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361AB6" w:rsidRDefault="00A76F4A" w14:paraId="1038F1A9" w14:textId="77777777">
      <w:pPr>
        <w:spacing w:after="0" w:line="276"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361AB6" w:rsidRDefault="00A76F4A" w14:paraId="739BA5B3" w14:textId="77777777">
      <w:pPr>
        <w:suppressAutoHyphens/>
        <w:spacing w:after="0" w:line="276" w:lineRule="auto"/>
        <w:rPr>
          <w:rFonts w:ascii="Palatino" w:hAnsi="Palatino" w:eastAsia="Times New Roman" w:cs="Times New Roman"/>
          <w:kern w:val="0"/>
          <w:sz w:val="26"/>
          <w:szCs w:val="20"/>
          <w14:ligatures w14:val="none"/>
        </w:rPr>
      </w:pPr>
    </w:p>
    <w:p w:rsidRPr="00547641" w:rsidR="00A76F4A" w:rsidP="00361AB6" w:rsidRDefault="00A76F4A" w14:paraId="2AFEBBF1" w14:textId="1E1CFEC2">
      <w:pPr>
        <w:tabs>
          <w:tab w:val="right" w:pos="8820"/>
        </w:tabs>
        <w:spacing w:after="0" w:line="276" w:lineRule="auto"/>
        <w:rPr>
          <w:rFonts w:ascii="Palatino Linotype" w:hAnsi="Palatino Linotype" w:eastAsia="Times New Roman" w:cs="Times New Roman"/>
          <w:b/>
          <w:color w:val="000000" w:themeColor="text1"/>
          <w:kern w:val="0"/>
          <w14:ligatures w14:val="none"/>
        </w:rPr>
      </w:pPr>
      <w:r w:rsidRPr="001942D0">
        <w:rPr>
          <w:rFonts w:ascii="Palatino Linotype" w:hAnsi="Palatino Linotype" w:eastAsia="Times New Roman" w:cs="Times New Roman"/>
          <w:b/>
          <w:kern w:val="0"/>
          <w14:ligatures w14:val="none"/>
        </w:rPr>
        <w:tab/>
      </w:r>
      <w:r w:rsidRPr="00547641">
        <w:rPr>
          <w:rFonts w:ascii="Palatino Linotype" w:hAnsi="Palatino Linotype" w:eastAsia="Times New Roman" w:cs="Times New Roman"/>
          <w:b/>
          <w:color w:val="000000" w:themeColor="text1"/>
          <w:kern w:val="0"/>
          <w14:ligatures w14:val="none"/>
        </w:rPr>
        <w:t>Agenda ID #</w:t>
      </w:r>
      <w:r w:rsidRPr="00505410" w:rsidR="00505410">
        <w:rPr>
          <w:rFonts w:ascii="Palatino Linotype" w:hAnsi="Palatino Linotype" w:eastAsia="Times New Roman" w:cs="Times New Roman"/>
          <w:b/>
          <w:bCs/>
          <w:color w:val="000000" w:themeColor="text1"/>
          <w:kern w:val="0"/>
          <w14:ligatures w14:val="none"/>
        </w:rPr>
        <w:t>23922</w:t>
      </w:r>
    </w:p>
    <w:p w:rsidRPr="00547641" w:rsidR="00A76F4A" w:rsidP="00361AB6" w:rsidRDefault="00204B1B" w14:paraId="097CE738" w14:textId="29721077">
      <w:pPr>
        <w:tabs>
          <w:tab w:val="right" w:pos="8820"/>
        </w:tabs>
        <w:spacing w:after="0" w:line="276" w:lineRule="auto"/>
        <w:rPr>
          <w:rFonts w:ascii="Palatino Linotype" w:hAnsi="Palatino Linotype" w:eastAsia="Palatino Linotype" w:cs="Times New Roman"/>
          <w:b/>
          <w:color w:val="000000" w:themeColor="text1"/>
          <w:kern w:val="0"/>
          <w14:ligatures w14:val="none"/>
        </w:rPr>
      </w:pPr>
      <w:r w:rsidRPr="00547641">
        <w:rPr>
          <w:rFonts w:ascii="Palatino Linotype" w:hAnsi="Palatino Linotype" w:eastAsia="Palatino Linotype" w:cs="Times New Roman"/>
          <w:b/>
          <w:color w:val="000000" w:themeColor="text1"/>
          <w:kern w:val="0"/>
          <w14:ligatures w14:val="none"/>
        </w:rPr>
        <w:t>ENERGY DIVISION</w:t>
      </w:r>
      <w:r w:rsidRPr="00547641" w:rsidR="00A76F4A">
        <w:rPr>
          <w:rFonts w:ascii="Palatino Linotype" w:hAnsi="Palatino Linotype" w:eastAsia="Times New Roman" w:cs="Times New Roman"/>
          <w:b/>
          <w:color w:val="000000" w:themeColor="text1"/>
          <w:kern w:val="0"/>
          <w14:ligatures w14:val="none"/>
        </w:rPr>
        <w:tab/>
      </w:r>
      <w:r w:rsidRPr="00547641" w:rsidR="00A76F4A">
        <w:rPr>
          <w:rFonts w:ascii="Palatino Linotype" w:hAnsi="Palatino Linotype" w:eastAsia="Palatino Linotype" w:cs="Times New Roman"/>
          <w:b/>
          <w:color w:val="000000" w:themeColor="text1"/>
          <w:kern w:val="0"/>
          <w14:ligatures w14:val="none"/>
        </w:rPr>
        <w:t xml:space="preserve">       </w:t>
      </w:r>
      <w:r w:rsidRPr="00547641" w:rsidR="00547641">
        <w:rPr>
          <w:rFonts w:ascii="Palatino Linotype" w:hAnsi="Palatino Linotype" w:eastAsia="Palatino Linotype" w:cs="Times New Roman"/>
          <w:b/>
          <w:color w:val="000000" w:themeColor="text1"/>
          <w:kern w:val="0"/>
          <w14:ligatures w14:val="none"/>
        </w:rPr>
        <w:t xml:space="preserve"> </w:t>
      </w:r>
      <w:r w:rsidRPr="00547641" w:rsidR="00A76F4A">
        <w:rPr>
          <w:rFonts w:ascii="Palatino Linotype" w:hAnsi="Palatino Linotype" w:eastAsia="Palatino Linotype" w:cs="Times New Roman"/>
          <w:b/>
          <w:color w:val="000000" w:themeColor="text1"/>
        </w:rPr>
        <w:t xml:space="preserve">RESOLUTION </w:t>
      </w:r>
      <w:r w:rsidRPr="00547641" w:rsidR="00547641">
        <w:rPr>
          <w:rFonts w:ascii="Palatino Linotype" w:hAnsi="Palatino Linotype" w:eastAsia="Palatino Linotype" w:cs="Times New Roman"/>
          <w:b/>
          <w:color w:val="000000" w:themeColor="text1"/>
        </w:rPr>
        <w:t>G-</w:t>
      </w:r>
      <w:r w:rsidR="002D06E2">
        <w:rPr>
          <w:rFonts w:ascii="Palatino Linotype" w:hAnsi="Palatino Linotype" w:eastAsia="Palatino Linotype" w:cs="Times New Roman"/>
          <w:b/>
          <w:color w:val="000000" w:themeColor="text1"/>
        </w:rPr>
        <w:t>3618</w:t>
      </w:r>
    </w:p>
    <w:p w:rsidRPr="00547641" w:rsidR="00A76F4A" w:rsidP="00361AB6" w:rsidRDefault="002004C1" w14:paraId="17BEFA95" w14:textId="03C6E520">
      <w:pPr>
        <w:tabs>
          <w:tab w:val="right" w:pos="8820"/>
        </w:tabs>
        <w:spacing w:after="0" w:line="276" w:lineRule="auto"/>
        <w:ind w:left="5040"/>
        <w:rPr>
          <w:rFonts w:ascii="Palatino Linotype" w:hAnsi="Palatino Linotype" w:eastAsia="Times New Roman" w:cs="Times New Roman"/>
          <w:b/>
          <w:color w:val="000000" w:themeColor="text1"/>
          <w:kern w:val="0"/>
          <w14:ligatures w14:val="none"/>
        </w:rPr>
      </w:pPr>
      <w:r>
        <w:rPr>
          <w:rFonts w:ascii="Palatino Linotype" w:hAnsi="Palatino Linotype" w:eastAsia="Times New Roman" w:cs="Times New Roman"/>
          <w:b/>
          <w:color w:val="000000" w:themeColor="text1"/>
          <w:kern w:val="0"/>
          <w14:ligatures w14:val="none"/>
        </w:rPr>
        <w:tab/>
      </w:r>
      <w:r w:rsidR="00034BDA">
        <w:rPr>
          <w:rFonts w:ascii="Palatino Linotype" w:hAnsi="Palatino Linotype" w:eastAsia="Times New Roman" w:cs="Times New Roman"/>
          <w:b/>
          <w:color w:val="000000" w:themeColor="text1"/>
          <w:kern w:val="0"/>
          <w14:ligatures w14:val="none"/>
        </w:rPr>
        <w:t>J</w:t>
      </w:r>
      <w:r w:rsidR="003F599E">
        <w:rPr>
          <w:rFonts w:ascii="Palatino Linotype" w:hAnsi="Palatino Linotype" w:eastAsia="Times New Roman" w:cs="Times New Roman"/>
          <w:b/>
          <w:color w:val="000000" w:themeColor="text1"/>
          <w:kern w:val="0"/>
          <w14:ligatures w14:val="none"/>
        </w:rPr>
        <w:t>anuary</w:t>
      </w:r>
      <w:r w:rsidR="00034BDA">
        <w:rPr>
          <w:rFonts w:ascii="Palatino Linotype" w:hAnsi="Palatino Linotype" w:eastAsia="Times New Roman" w:cs="Times New Roman"/>
          <w:b/>
          <w:color w:val="000000" w:themeColor="text1"/>
          <w:kern w:val="0"/>
          <w14:ligatures w14:val="none"/>
        </w:rPr>
        <w:t xml:space="preserve"> </w:t>
      </w:r>
      <w:r>
        <w:rPr>
          <w:rFonts w:ascii="Palatino Linotype" w:hAnsi="Palatino Linotype" w:eastAsia="Times New Roman" w:cs="Times New Roman"/>
          <w:b/>
          <w:color w:val="000000" w:themeColor="text1"/>
          <w:kern w:val="0"/>
          <w14:ligatures w14:val="none"/>
        </w:rPr>
        <w:t>1</w:t>
      </w:r>
      <w:r w:rsidR="005A5C60">
        <w:rPr>
          <w:rFonts w:ascii="Palatino Linotype" w:hAnsi="Palatino Linotype" w:eastAsia="Times New Roman" w:cs="Times New Roman"/>
          <w:b/>
          <w:color w:val="000000" w:themeColor="text1"/>
          <w:kern w:val="0"/>
          <w14:ligatures w14:val="none"/>
        </w:rPr>
        <w:t>5</w:t>
      </w:r>
      <w:r>
        <w:rPr>
          <w:rFonts w:ascii="Palatino Linotype" w:hAnsi="Palatino Linotype" w:eastAsia="Times New Roman" w:cs="Times New Roman"/>
          <w:b/>
          <w:color w:val="000000" w:themeColor="text1"/>
          <w:kern w:val="0"/>
          <w14:ligatures w14:val="none"/>
        </w:rPr>
        <w:t>, 2026</w:t>
      </w:r>
    </w:p>
    <w:p w:rsidRPr="001942D0" w:rsidR="00A76F4A" w:rsidP="00361AB6" w:rsidRDefault="00A76F4A" w14:paraId="524F4DC8" w14:textId="77777777">
      <w:pPr>
        <w:tabs>
          <w:tab w:val="right" w:pos="8910"/>
        </w:tabs>
        <w:spacing w:after="0" w:line="276" w:lineRule="auto"/>
        <w:ind w:left="1440" w:firstLine="720"/>
        <w:rPr>
          <w:rFonts w:ascii="Palatino" w:hAnsi="Palatino" w:eastAsia="Times New Roman" w:cs="Times New Roman"/>
          <w:b/>
          <w:kern w:val="0"/>
          <w:szCs w:val="20"/>
          <w14:ligatures w14:val="none"/>
        </w:rPr>
      </w:pPr>
    </w:p>
    <w:p w:rsidRPr="001942D0" w:rsidR="00A76F4A" w:rsidP="00361AB6" w:rsidRDefault="00A76F4A" w14:paraId="4767E366" w14:textId="77777777">
      <w:pPr>
        <w:keepNext/>
        <w:spacing w:after="0" w:line="276" w:lineRule="auto"/>
        <w:jc w:val="center"/>
        <w:rPr>
          <w:rFonts w:ascii="Helvetica" w:hAnsi="Helvetica" w:eastAsia="Times New Roman" w:cs="Times New Roman"/>
          <w:b/>
          <w:spacing w:val="120"/>
          <w:kern w:val="0"/>
          <w:sz w:val="26"/>
          <w:szCs w:val="26"/>
          <w:u w:val="single"/>
          <w14:ligatures w14:val="none"/>
        </w:rPr>
      </w:pPr>
      <w:bookmarkStart w:name="_Ref404993683" w:id="0"/>
      <w:r w:rsidRPr="0FE35697">
        <w:rPr>
          <w:rFonts w:ascii="Helvetica" w:hAnsi="Helvetica" w:eastAsia="Times New Roman" w:cs="Times New Roman"/>
          <w:b/>
          <w:spacing w:val="120"/>
          <w:kern w:val="0"/>
          <w:sz w:val="26"/>
          <w:szCs w:val="26"/>
          <w:u w:val="single"/>
          <w14:ligatures w14:val="none"/>
        </w:rPr>
        <w:t>RESOLUTIO</w:t>
      </w:r>
      <w:r w:rsidRPr="0FE35697" w:rsidR="00552287">
        <w:rPr>
          <w:rFonts w:ascii="Helvetica" w:hAnsi="Helvetica" w:eastAsia="Times New Roman" w:cs="Times New Roman"/>
          <w:b/>
          <w:spacing w:val="120"/>
          <w:kern w:val="0"/>
          <w:sz w:val="26"/>
          <w:szCs w:val="26"/>
          <w:u w:val="single"/>
          <w14:ligatures w14:val="none"/>
        </w:rPr>
        <w:t>N</w:t>
      </w:r>
    </w:p>
    <w:p w:rsidRPr="001942D0" w:rsidR="00A76F4A" w:rsidP="00361AB6" w:rsidRDefault="00A76F4A" w14:paraId="778B8F8D" w14:textId="77777777">
      <w:pPr>
        <w:spacing w:after="0" w:line="276" w:lineRule="auto"/>
        <w:rPr>
          <w:rFonts w:ascii="Palatino" w:hAnsi="Palatino" w:eastAsia="Palatino Linotype" w:cs="Times New Roman"/>
          <w:kern w:val="0"/>
          <w:sz w:val="26"/>
          <w:szCs w:val="20"/>
          <w14:ligatures w14:val="none"/>
        </w:rPr>
      </w:pPr>
    </w:p>
    <w:p w:rsidRPr="001942D0" w:rsidR="00A76F4A" w:rsidP="00361AB6" w:rsidRDefault="00A76F4A" w14:paraId="400F09B6" w14:textId="3FDE0251">
      <w:pPr>
        <w:spacing w:after="0" w:line="276"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B4078F">
        <w:rPr>
          <w:rFonts w:ascii="Palatino Linotype" w:hAnsi="Palatino Linotype" w:eastAsia="Times New Roman" w:cs="Times New Roman"/>
          <w:kern w:val="0"/>
          <w14:ligatures w14:val="none"/>
        </w:rPr>
        <w:t>G</w:t>
      </w:r>
      <w:r w:rsidR="002D06E2">
        <w:rPr>
          <w:rFonts w:ascii="Palatino Linotype" w:hAnsi="Palatino Linotype" w:eastAsia="Times New Roman" w:cs="Times New Roman"/>
          <w:kern w:val="0"/>
          <w14:ligatures w14:val="none"/>
        </w:rPr>
        <w:t>-3618</w:t>
      </w:r>
      <w:r w:rsidR="00B4078F">
        <w:rPr>
          <w:rFonts w:ascii="Palatino Linotype" w:hAnsi="Palatino Linotype" w:eastAsia="Times New Roman" w:cs="Times New Roman"/>
          <w:kern w:val="0"/>
          <w14:ligatures w14:val="none"/>
        </w:rPr>
        <w:t xml:space="preserve">. </w:t>
      </w:r>
      <w:r w:rsidR="008D0A6D">
        <w:rPr>
          <w:rFonts w:ascii="Palatino Linotype" w:hAnsi="Palatino Linotype"/>
        </w:rPr>
        <w:t xml:space="preserve">Pacific Gas and Electric Company’s </w:t>
      </w:r>
      <w:r w:rsidR="00E14F40">
        <w:rPr>
          <w:rFonts w:ascii="Palatino Linotype" w:hAnsi="Palatino Linotype" w:eastAsia="Times New Roman" w:cs="Times New Roman"/>
          <w:kern w:val="0"/>
          <w14:ligatures w14:val="none"/>
        </w:rPr>
        <w:t xml:space="preserve">Gas </w:t>
      </w:r>
      <w:r w:rsidR="00166F97">
        <w:rPr>
          <w:rFonts w:ascii="Palatino Linotype" w:hAnsi="Palatino Linotype" w:eastAsia="Times New Roman" w:cs="Times New Roman"/>
          <w:kern w:val="0"/>
          <w14:ligatures w14:val="none"/>
        </w:rPr>
        <w:t xml:space="preserve">Research, Development, and Demonstration </w:t>
      </w:r>
      <w:r w:rsidR="00DE79ED">
        <w:rPr>
          <w:rFonts w:ascii="Palatino Linotype" w:hAnsi="Palatino Linotype" w:eastAsia="Times New Roman" w:cs="Times New Roman"/>
          <w:kern w:val="0"/>
          <w14:ligatures w14:val="none"/>
        </w:rPr>
        <w:t>Investment Plan</w:t>
      </w:r>
      <w:r w:rsidR="008D0A6D">
        <w:rPr>
          <w:rFonts w:ascii="Palatino Linotype" w:hAnsi="Palatino Linotype" w:eastAsia="Times New Roman" w:cs="Times New Roman"/>
          <w:kern w:val="0"/>
          <w14:ligatures w14:val="none"/>
        </w:rPr>
        <w:t>s</w:t>
      </w:r>
      <w:r w:rsidR="00166F97">
        <w:rPr>
          <w:rFonts w:ascii="Palatino Linotype" w:hAnsi="Palatino Linotype" w:eastAsia="Times New Roman" w:cs="Times New Roman"/>
          <w:kern w:val="0"/>
          <w14:ligatures w14:val="none"/>
        </w:rPr>
        <w:t xml:space="preserve"> for </w:t>
      </w:r>
      <w:r w:rsidR="008D0A6D">
        <w:rPr>
          <w:rFonts w:ascii="Palatino Linotype" w:hAnsi="Palatino Linotype" w:eastAsia="Times New Roman" w:cs="Times New Roman"/>
          <w:kern w:val="0"/>
          <w14:ligatures w14:val="none"/>
        </w:rPr>
        <w:t xml:space="preserve">Calendar </w:t>
      </w:r>
      <w:r w:rsidR="007F5016">
        <w:rPr>
          <w:rFonts w:ascii="Palatino Linotype" w:hAnsi="Palatino Linotype" w:eastAsia="Times New Roman" w:cs="Times New Roman"/>
          <w:kern w:val="0"/>
          <w14:ligatures w14:val="none"/>
        </w:rPr>
        <w:br/>
      </w:r>
      <w:r w:rsidR="008D0A6D">
        <w:rPr>
          <w:rFonts w:ascii="Palatino Linotype" w:hAnsi="Palatino Linotype" w:eastAsia="Times New Roman" w:cs="Times New Roman"/>
          <w:kern w:val="0"/>
          <w14:ligatures w14:val="none"/>
        </w:rPr>
        <w:t xml:space="preserve">Years 2024 </w:t>
      </w:r>
      <w:r w:rsidR="00B14531">
        <w:rPr>
          <w:rFonts w:ascii="Palatino Linotype" w:hAnsi="Palatino Linotype" w:eastAsia="Times New Roman" w:cs="Times New Roman"/>
          <w:kern w:val="0"/>
          <w14:ligatures w14:val="none"/>
        </w:rPr>
        <w:t>(Advice Letter 5077-G</w:t>
      </w:r>
      <w:r w:rsidR="00C52DE5">
        <w:rPr>
          <w:rFonts w:ascii="Palatino Linotype" w:hAnsi="Palatino Linotype" w:eastAsia="Times New Roman" w:cs="Times New Roman"/>
          <w:kern w:val="0"/>
          <w14:ligatures w14:val="none"/>
        </w:rPr>
        <w:t>-A</w:t>
      </w:r>
      <w:r w:rsidR="00B14531">
        <w:rPr>
          <w:rFonts w:ascii="Palatino Linotype" w:hAnsi="Palatino Linotype" w:eastAsia="Times New Roman" w:cs="Times New Roman"/>
          <w:kern w:val="0"/>
          <w14:ligatures w14:val="none"/>
        </w:rPr>
        <w:t xml:space="preserve">) </w:t>
      </w:r>
      <w:r w:rsidR="008D0A6D">
        <w:rPr>
          <w:rFonts w:ascii="Palatino Linotype" w:hAnsi="Palatino Linotype" w:eastAsia="Times New Roman" w:cs="Times New Roman"/>
          <w:kern w:val="0"/>
          <w14:ligatures w14:val="none"/>
        </w:rPr>
        <w:t>and 2025</w:t>
      </w:r>
      <w:r w:rsidR="00B14531">
        <w:rPr>
          <w:rFonts w:ascii="Palatino Linotype" w:hAnsi="Palatino Linotype" w:eastAsia="Times New Roman" w:cs="Times New Roman"/>
          <w:kern w:val="0"/>
          <w14:ligatures w14:val="none"/>
        </w:rPr>
        <w:t xml:space="preserve"> (Advice Letter 5069-G)</w:t>
      </w:r>
      <w:r w:rsidR="008D0A6D">
        <w:rPr>
          <w:rFonts w:ascii="Palatino Linotype" w:hAnsi="Palatino Linotype" w:eastAsia="Times New Roman" w:cs="Times New Roman"/>
          <w:kern w:val="0"/>
          <w14:ligatures w14:val="none"/>
        </w:rPr>
        <w:t>.</w:t>
      </w:r>
    </w:p>
    <w:p w:rsidRPr="001942D0" w:rsidR="00A76F4A" w:rsidP="00361AB6" w:rsidRDefault="00A76F4A" w14:paraId="0054523B" w14:textId="77777777">
      <w:pPr>
        <w:spacing w:after="0" w:line="276" w:lineRule="auto"/>
        <w:ind w:right="720"/>
        <w:rPr>
          <w:rFonts w:ascii="Palatino Linotype" w:hAnsi="Palatino Linotype" w:eastAsia="Palatino Linotype" w:cs="Times New Roman"/>
          <w:kern w:val="0"/>
          <w14:ligatures w14:val="none"/>
        </w:rPr>
      </w:pPr>
    </w:p>
    <w:p w:rsidRPr="001942D0" w:rsidR="00A76F4A" w:rsidP="00361AB6" w:rsidRDefault="00A76F4A" w14:paraId="3DE3512A" w14:textId="77E88273">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84279F" w:rsidR="0084279F" w:rsidP="0084279F" w:rsidRDefault="00BF2B86" w14:paraId="2A708293" w14:textId="630AF554">
      <w:pPr>
        <w:numPr>
          <w:ilvl w:val="0"/>
          <w:numId w:val="2"/>
        </w:numPr>
        <w:spacing w:after="0" w:line="276" w:lineRule="auto"/>
        <w:ind w:right="720"/>
        <w:rPr>
          <w:rFonts w:ascii="Palatino Linotype" w:hAnsi="Palatino Linotype" w:eastAsia="Times New Roman" w:cs="Times New Roman"/>
          <w:color w:val="000000" w:themeColor="text1"/>
          <w:kern w:val="0"/>
          <w14:ligatures w14:val="none"/>
        </w:rPr>
      </w:pPr>
      <w:r w:rsidRPr="00CE69E2">
        <w:rPr>
          <w:rFonts w:ascii="Palatino Linotype" w:hAnsi="Palatino Linotype" w:eastAsia="Times New Roman" w:cs="Times New Roman"/>
          <w:color w:val="000000" w:themeColor="text1"/>
          <w:kern w:val="0"/>
          <w14:ligatures w14:val="none"/>
        </w:rPr>
        <w:t>Denies</w:t>
      </w:r>
      <w:r w:rsidRPr="00CE69E2" w:rsidR="001A6C0D">
        <w:rPr>
          <w:rFonts w:ascii="Palatino Linotype" w:hAnsi="Palatino Linotype" w:eastAsia="Times New Roman" w:cs="Times New Roman"/>
          <w:color w:val="000000" w:themeColor="text1"/>
          <w:kern w:val="0"/>
          <w14:ligatures w14:val="none"/>
        </w:rPr>
        <w:t xml:space="preserve"> </w:t>
      </w:r>
      <w:r w:rsidRPr="00CE69E2" w:rsidR="008D0A6D">
        <w:rPr>
          <w:rFonts w:ascii="Palatino Linotype" w:hAnsi="Palatino Linotype"/>
          <w:color w:val="000000" w:themeColor="text1"/>
        </w:rPr>
        <w:t xml:space="preserve">Pacific Gas and Electric Company’s (PG&amp;E’s) </w:t>
      </w:r>
      <w:r w:rsidRPr="00CE69E2" w:rsidR="00E14F40">
        <w:rPr>
          <w:rFonts w:ascii="Palatino Linotype" w:hAnsi="Palatino Linotype" w:eastAsia="Times New Roman" w:cs="Times New Roman"/>
          <w:color w:val="000000" w:themeColor="text1"/>
          <w:kern w:val="0"/>
          <w14:ligatures w14:val="none"/>
        </w:rPr>
        <w:t>Gas Research, Development, and Demonstration</w:t>
      </w:r>
      <w:r w:rsidRPr="00CE69E2" w:rsidR="00F0441C">
        <w:rPr>
          <w:rFonts w:ascii="Palatino Linotype" w:hAnsi="Palatino Linotype" w:eastAsia="Times New Roman" w:cs="Times New Roman"/>
          <w:color w:val="000000" w:themeColor="text1"/>
          <w:kern w:val="0"/>
          <w14:ligatures w14:val="none"/>
        </w:rPr>
        <w:t xml:space="preserve"> (RD&amp;D)</w:t>
      </w:r>
      <w:r w:rsidRPr="00CE69E2" w:rsidR="00E14F40">
        <w:rPr>
          <w:rFonts w:ascii="Palatino Linotype" w:hAnsi="Palatino Linotype" w:eastAsia="Times New Roman" w:cs="Times New Roman"/>
          <w:color w:val="000000" w:themeColor="text1"/>
          <w:kern w:val="0"/>
          <w14:ligatures w14:val="none"/>
        </w:rPr>
        <w:t xml:space="preserve"> </w:t>
      </w:r>
      <w:r w:rsidRPr="00CE69E2" w:rsidR="00DE79ED">
        <w:rPr>
          <w:rFonts w:ascii="Palatino Linotype" w:hAnsi="Palatino Linotype" w:eastAsia="Times New Roman" w:cs="Times New Roman"/>
          <w:color w:val="000000" w:themeColor="text1"/>
          <w:kern w:val="0"/>
          <w14:ligatures w14:val="none"/>
        </w:rPr>
        <w:t>Investment Plan</w:t>
      </w:r>
      <w:r w:rsidRPr="00CE69E2" w:rsidR="00147D2F">
        <w:rPr>
          <w:rFonts w:ascii="Palatino Linotype" w:hAnsi="Palatino Linotype" w:eastAsia="Times New Roman" w:cs="Times New Roman"/>
          <w:color w:val="000000" w:themeColor="text1"/>
          <w:kern w:val="0"/>
          <w14:ligatures w14:val="none"/>
        </w:rPr>
        <w:t>s</w:t>
      </w:r>
      <w:r w:rsidRPr="00CE69E2" w:rsidR="004B6D53">
        <w:rPr>
          <w:rFonts w:ascii="Palatino Linotype" w:hAnsi="Palatino Linotype" w:eastAsia="Times New Roman" w:cs="Times New Roman"/>
          <w:color w:val="000000" w:themeColor="text1"/>
          <w:kern w:val="0"/>
          <w14:ligatures w14:val="none"/>
        </w:rPr>
        <w:t xml:space="preserve"> with a budget of</w:t>
      </w:r>
      <w:r w:rsidRPr="00CE69E2" w:rsidR="008D0A6D">
        <w:rPr>
          <w:rFonts w:ascii="Palatino Linotype" w:hAnsi="Palatino Linotype" w:eastAsia="Times New Roman" w:cs="Times New Roman"/>
          <w:color w:val="000000" w:themeColor="text1"/>
          <w:kern w:val="0"/>
          <w14:ligatures w14:val="none"/>
        </w:rPr>
        <w:t xml:space="preserve"> </w:t>
      </w:r>
      <w:r w:rsidRPr="00CE69E2" w:rsidR="00EB12F7">
        <w:rPr>
          <w:rFonts w:ascii="Palatino Linotype" w:hAnsi="Palatino Linotype" w:eastAsia="Times New Roman" w:cs="Times New Roman"/>
          <w:color w:val="000000" w:themeColor="text1"/>
          <w:kern w:val="0"/>
          <w14:ligatures w14:val="none"/>
        </w:rPr>
        <w:t>$</w:t>
      </w:r>
      <w:r w:rsidRPr="00CE69E2" w:rsidR="00E15773">
        <w:rPr>
          <w:rFonts w:ascii="Palatino Linotype" w:hAnsi="Palatino Linotype" w:eastAsia="Times New Roman" w:cs="Times New Roman"/>
          <w:color w:val="000000" w:themeColor="text1"/>
          <w:kern w:val="0"/>
          <w14:ligatures w14:val="none"/>
        </w:rPr>
        <w:t>8,092,000</w:t>
      </w:r>
      <w:r w:rsidRPr="00CE69E2" w:rsidR="00EB12F7">
        <w:rPr>
          <w:rFonts w:ascii="Palatino Linotype" w:hAnsi="Palatino Linotype" w:eastAsia="Times New Roman" w:cs="Times New Roman"/>
          <w:color w:val="000000" w:themeColor="text1"/>
          <w:kern w:val="0"/>
          <w14:ligatures w14:val="none"/>
        </w:rPr>
        <w:t xml:space="preserve"> for </w:t>
      </w:r>
      <w:r w:rsidRPr="00CE69E2" w:rsidR="00ED405D">
        <w:rPr>
          <w:rFonts w:ascii="Palatino Linotype" w:hAnsi="Palatino Linotype" w:eastAsia="Times New Roman" w:cs="Times New Roman"/>
          <w:color w:val="000000" w:themeColor="text1"/>
          <w:kern w:val="0"/>
          <w14:ligatures w14:val="none"/>
        </w:rPr>
        <w:t xml:space="preserve">Calendar Year </w:t>
      </w:r>
      <w:r w:rsidRPr="00CE69E2" w:rsidR="00EB12F7">
        <w:rPr>
          <w:rFonts w:ascii="Palatino Linotype" w:hAnsi="Palatino Linotype" w:eastAsia="Times New Roman" w:cs="Times New Roman"/>
          <w:color w:val="000000" w:themeColor="text1"/>
          <w:kern w:val="0"/>
          <w14:ligatures w14:val="none"/>
        </w:rPr>
        <w:t xml:space="preserve">2024 </w:t>
      </w:r>
      <w:r w:rsidRPr="00CE69E2" w:rsidR="00910640">
        <w:rPr>
          <w:rFonts w:ascii="Palatino Linotype" w:hAnsi="Palatino Linotype" w:eastAsia="Times New Roman" w:cs="Times New Roman"/>
          <w:color w:val="000000" w:themeColor="text1"/>
          <w:kern w:val="0"/>
          <w14:ligatures w14:val="none"/>
        </w:rPr>
        <w:t>(as requested in Advice Letter 5077-G</w:t>
      </w:r>
      <w:r w:rsidRPr="00CE69E2" w:rsidR="00C52DE5">
        <w:rPr>
          <w:rFonts w:ascii="Palatino Linotype" w:hAnsi="Palatino Linotype" w:eastAsia="Times New Roman" w:cs="Times New Roman"/>
          <w:color w:val="000000" w:themeColor="text1"/>
          <w:kern w:val="0"/>
          <w14:ligatures w14:val="none"/>
        </w:rPr>
        <w:t>-A</w:t>
      </w:r>
      <w:r w:rsidRPr="00CE69E2" w:rsidR="00910640">
        <w:rPr>
          <w:rFonts w:ascii="Palatino Linotype" w:hAnsi="Palatino Linotype" w:eastAsia="Times New Roman" w:cs="Times New Roman"/>
          <w:color w:val="000000" w:themeColor="text1"/>
          <w:kern w:val="0"/>
          <w14:ligatures w14:val="none"/>
        </w:rPr>
        <w:t xml:space="preserve">) </w:t>
      </w:r>
      <w:r w:rsidRPr="00CE69E2" w:rsidR="00EB12F7">
        <w:rPr>
          <w:rFonts w:ascii="Palatino Linotype" w:hAnsi="Palatino Linotype" w:eastAsia="Times New Roman" w:cs="Times New Roman"/>
          <w:color w:val="000000" w:themeColor="text1"/>
          <w:kern w:val="0"/>
          <w14:ligatures w14:val="none"/>
        </w:rPr>
        <w:t>and $</w:t>
      </w:r>
      <w:r w:rsidRPr="00CE69E2" w:rsidR="00A76C8F">
        <w:rPr>
          <w:rFonts w:ascii="Palatino Linotype" w:hAnsi="Palatino Linotype" w:eastAsia="Times New Roman" w:cs="Times New Roman"/>
          <w:color w:val="000000" w:themeColor="text1"/>
          <w:kern w:val="0"/>
          <w14:ligatures w14:val="none"/>
        </w:rPr>
        <w:t>8,267,000</w:t>
      </w:r>
      <w:r w:rsidRPr="00CE69E2" w:rsidR="00EB12F7">
        <w:rPr>
          <w:rFonts w:ascii="Palatino Linotype" w:hAnsi="Palatino Linotype" w:eastAsia="Times New Roman" w:cs="Times New Roman"/>
          <w:color w:val="000000" w:themeColor="text1"/>
          <w:kern w:val="0"/>
          <w14:ligatures w14:val="none"/>
        </w:rPr>
        <w:t xml:space="preserve"> for </w:t>
      </w:r>
      <w:r w:rsidRPr="00CE69E2" w:rsidR="00ED405D">
        <w:rPr>
          <w:rFonts w:ascii="Palatino Linotype" w:hAnsi="Palatino Linotype" w:eastAsia="Times New Roman" w:cs="Times New Roman"/>
          <w:color w:val="000000" w:themeColor="text1"/>
          <w:kern w:val="0"/>
          <w14:ligatures w14:val="none"/>
        </w:rPr>
        <w:t xml:space="preserve">Calendar Year </w:t>
      </w:r>
      <w:r w:rsidRPr="00CE69E2" w:rsidR="00EB12F7">
        <w:rPr>
          <w:rFonts w:ascii="Palatino Linotype" w:hAnsi="Palatino Linotype" w:eastAsia="Times New Roman" w:cs="Times New Roman"/>
          <w:color w:val="000000" w:themeColor="text1"/>
          <w:kern w:val="0"/>
          <w14:ligatures w14:val="none"/>
        </w:rPr>
        <w:t>2025</w:t>
      </w:r>
      <w:r w:rsidRPr="00CE69E2" w:rsidR="00910640">
        <w:rPr>
          <w:rFonts w:ascii="Palatino Linotype" w:hAnsi="Palatino Linotype" w:eastAsia="Times New Roman" w:cs="Times New Roman"/>
          <w:color w:val="000000" w:themeColor="text1"/>
          <w:kern w:val="0"/>
          <w14:ligatures w14:val="none"/>
        </w:rPr>
        <w:t xml:space="preserve"> (as requested in Advice Letter 5069-G)</w:t>
      </w:r>
      <w:r w:rsidRPr="00CE69E2" w:rsidR="00EB12F7">
        <w:rPr>
          <w:rFonts w:ascii="Palatino Linotype" w:hAnsi="Palatino Linotype" w:eastAsia="Times New Roman" w:cs="Times New Roman"/>
          <w:color w:val="000000" w:themeColor="text1"/>
          <w:kern w:val="0"/>
          <w14:ligatures w14:val="none"/>
        </w:rPr>
        <w:t>, totaling $</w:t>
      </w:r>
      <w:r w:rsidRPr="00CE69E2" w:rsidR="00B71CA6">
        <w:rPr>
          <w:rFonts w:ascii="Palatino Linotype" w:hAnsi="Palatino Linotype" w:eastAsia="Times New Roman" w:cs="Times New Roman"/>
          <w:color w:val="000000" w:themeColor="text1"/>
          <w:kern w:val="0"/>
          <w14:ligatures w14:val="none"/>
        </w:rPr>
        <w:t>16,359,000</w:t>
      </w:r>
      <w:r w:rsidRPr="00CE69E2" w:rsidR="00B4078F">
        <w:rPr>
          <w:rFonts w:ascii="Palatino Linotype" w:hAnsi="Palatino Linotype" w:eastAsia="Times New Roman" w:cs="Times New Roman"/>
          <w:color w:val="000000" w:themeColor="text1"/>
          <w:kern w:val="0"/>
          <w14:ligatures w14:val="none"/>
        </w:rPr>
        <w:t>, pursuant to</w:t>
      </w:r>
      <w:r w:rsidRPr="00CE69E2" w:rsidR="00F11156">
        <w:rPr>
          <w:rFonts w:ascii="Palatino Linotype" w:hAnsi="Palatino Linotype" w:eastAsia="Times New Roman" w:cs="Times New Roman"/>
          <w:color w:val="000000" w:themeColor="text1"/>
          <w:kern w:val="0"/>
          <w14:ligatures w14:val="none"/>
        </w:rPr>
        <w:t xml:space="preserve"> California Public Utilities Commission</w:t>
      </w:r>
      <w:r w:rsidRPr="00CE69E2" w:rsidR="00B4078F">
        <w:rPr>
          <w:rFonts w:ascii="Palatino Linotype" w:hAnsi="Palatino Linotype" w:eastAsia="Times New Roman" w:cs="Times New Roman"/>
          <w:color w:val="000000" w:themeColor="text1"/>
          <w:kern w:val="0"/>
          <w14:ligatures w14:val="none"/>
        </w:rPr>
        <w:t xml:space="preserve"> </w:t>
      </w:r>
      <w:r w:rsidRPr="00CE69E2" w:rsidR="008D0A6D">
        <w:rPr>
          <w:rFonts w:ascii="Palatino Linotype" w:hAnsi="Palatino Linotype" w:eastAsia="Times New Roman" w:cs="Times New Roman"/>
          <w:color w:val="000000" w:themeColor="text1"/>
          <w:kern w:val="0"/>
          <w14:ligatures w14:val="none"/>
        </w:rPr>
        <w:t>D</w:t>
      </w:r>
      <w:r w:rsidRPr="00CE69E2" w:rsidR="00C52DE5">
        <w:rPr>
          <w:rFonts w:ascii="Palatino Linotype" w:hAnsi="Palatino Linotype" w:eastAsia="Times New Roman" w:cs="Times New Roman"/>
          <w:color w:val="000000" w:themeColor="text1"/>
          <w:kern w:val="0"/>
          <w14:ligatures w14:val="none"/>
        </w:rPr>
        <w:t>ecision (D</w:t>
      </w:r>
      <w:r w:rsidRPr="00CE69E2" w:rsidR="008D0A6D">
        <w:rPr>
          <w:rFonts w:ascii="Palatino Linotype" w:hAnsi="Palatino Linotype" w:eastAsia="Times New Roman" w:cs="Times New Roman"/>
          <w:color w:val="000000" w:themeColor="text1"/>
          <w:kern w:val="0"/>
          <w14:ligatures w14:val="none"/>
        </w:rPr>
        <w:t>.</w:t>
      </w:r>
      <w:r w:rsidRPr="00CE69E2" w:rsidR="00C52DE5">
        <w:rPr>
          <w:rFonts w:ascii="Palatino Linotype" w:hAnsi="Palatino Linotype" w:eastAsia="Times New Roman" w:cs="Times New Roman"/>
          <w:color w:val="000000" w:themeColor="text1"/>
          <w:kern w:val="0"/>
          <w14:ligatures w14:val="none"/>
        </w:rPr>
        <w:t>)</w:t>
      </w:r>
      <w:r w:rsidRPr="00CE69E2" w:rsidR="008D0A6D">
        <w:rPr>
          <w:rFonts w:ascii="Palatino Linotype" w:hAnsi="Palatino Linotype" w:eastAsia="Times New Roman" w:cs="Times New Roman"/>
          <w:color w:val="000000" w:themeColor="text1"/>
          <w:kern w:val="0"/>
          <w14:ligatures w14:val="none"/>
        </w:rPr>
        <w:t>23-11-069</w:t>
      </w:r>
      <w:r w:rsidRPr="00CE69E2" w:rsidR="00B4078F">
        <w:rPr>
          <w:rFonts w:ascii="Palatino Linotype" w:hAnsi="Palatino Linotype" w:eastAsia="Times New Roman" w:cs="Times New Roman"/>
          <w:color w:val="000000" w:themeColor="text1"/>
          <w:kern w:val="0"/>
          <w14:ligatures w14:val="none"/>
        </w:rPr>
        <w:t>.</w:t>
      </w:r>
      <w:r w:rsidRPr="00CE69E2" w:rsidR="009D5A82">
        <w:rPr>
          <w:rFonts w:ascii="Palatino Linotype" w:hAnsi="Palatino Linotype" w:eastAsia="Times New Roman" w:cs="Times New Roman"/>
          <w:color w:val="000000" w:themeColor="text1"/>
          <w:kern w:val="0"/>
          <w14:ligatures w14:val="none"/>
        </w:rPr>
        <w:t xml:space="preserve"> </w:t>
      </w:r>
      <w:r w:rsidR="0084279F">
        <w:rPr>
          <w:rFonts w:ascii="Palatino Linotype" w:hAnsi="Palatino Linotype" w:eastAsia="Times New Roman" w:cs="Times New Roman"/>
          <w:color w:val="000000" w:themeColor="text1"/>
          <w:kern w:val="0"/>
          <w14:ligatures w14:val="none"/>
        </w:rPr>
        <w:t>D</w:t>
      </w:r>
      <w:r w:rsidRPr="00CE69E2" w:rsidR="0074463C">
        <w:rPr>
          <w:rFonts w:ascii="Palatino Linotype" w:hAnsi="Palatino Linotype" w:eastAsia="Times New Roman" w:cs="Times New Roman"/>
          <w:color w:val="000000" w:themeColor="text1"/>
          <w:kern w:val="0"/>
          <w14:ligatures w14:val="none"/>
        </w:rPr>
        <w:t xml:space="preserve">enies PG&amp;E’s </w:t>
      </w:r>
      <w:r w:rsidRPr="00576137" w:rsidR="00B31980">
        <w:rPr>
          <w:rFonts w:ascii="Palatino Linotype" w:hAnsi="Palatino Linotype" w:eastAsia="Times New Roman" w:cs="Times New Roman"/>
          <w:color w:val="000000" w:themeColor="text1"/>
          <w:kern w:val="0"/>
          <w14:ligatures w14:val="none"/>
        </w:rPr>
        <w:t>additional</w:t>
      </w:r>
      <w:r w:rsidRPr="00576137" w:rsidR="0074463C">
        <w:rPr>
          <w:rFonts w:ascii="Palatino Linotype" w:hAnsi="Palatino Linotype" w:eastAsia="Times New Roman" w:cs="Times New Roman"/>
          <w:color w:val="000000" w:themeColor="text1"/>
          <w:kern w:val="0"/>
          <w14:ligatures w14:val="none"/>
        </w:rPr>
        <w:t xml:space="preserve"> </w:t>
      </w:r>
      <w:r w:rsidR="0074463C">
        <w:rPr>
          <w:rFonts w:ascii="Palatino Linotype" w:hAnsi="Palatino Linotype" w:eastAsia="Palatino Linotype" w:cs="Times New Roman"/>
          <w:color w:val="000000" w:themeColor="text1"/>
          <w:kern w:val="0"/>
          <w14:ligatures w14:val="none"/>
        </w:rPr>
        <w:t xml:space="preserve">cost </w:t>
      </w:r>
      <w:r w:rsidRPr="00CE69E2" w:rsidR="0074463C">
        <w:rPr>
          <w:rFonts w:ascii="Palatino Linotype" w:hAnsi="Palatino Linotype" w:eastAsia="Palatino Linotype" w:cs="Times New Roman"/>
          <w:color w:val="000000" w:themeColor="text1"/>
          <w:kern w:val="0"/>
          <w14:ligatures w14:val="none"/>
        </w:rPr>
        <w:t>recover</w:t>
      </w:r>
      <w:r w:rsidR="0074463C">
        <w:rPr>
          <w:rFonts w:ascii="Palatino Linotype" w:hAnsi="Palatino Linotype" w:eastAsia="Palatino Linotype" w:cs="Times New Roman"/>
          <w:color w:val="000000" w:themeColor="text1"/>
          <w:kern w:val="0"/>
          <w14:ligatures w14:val="none"/>
        </w:rPr>
        <w:t>y</w:t>
      </w:r>
      <w:r w:rsidRPr="00CE69E2" w:rsidR="0074463C">
        <w:rPr>
          <w:rFonts w:ascii="Palatino Linotype" w:hAnsi="Palatino Linotype" w:eastAsia="Times New Roman" w:cs="Times New Roman"/>
          <w:color w:val="000000" w:themeColor="text1"/>
          <w:kern w:val="0"/>
          <w14:ligatures w14:val="none"/>
        </w:rPr>
        <w:t xml:space="preserve"> </w:t>
      </w:r>
      <w:r w:rsidR="0074463C">
        <w:rPr>
          <w:rFonts w:ascii="Palatino Linotype" w:hAnsi="Palatino Linotype" w:eastAsia="Palatino Linotype" w:cs="Times New Roman"/>
          <w:color w:val="000000" w:themeColor="text1"/>
          <w:kern w:val="0"/>
          <w14:ligatures w14:val="none"/>
        </w:rPr>
        <w:t>request for</w:t>
      </w:r>
      <w:r w:rsidRPr="00CE69E2" w:rsidR="0074463C">
        <w:rPr>
          <w:rFonts w:ascii="Palatino Linotype" w:hAnsi="Palatino Linotype" w:eastAsia="Palatino Linotype" w:cs="Times New Roman"/>
          <w:color w:val="000000" w:themeColor="text1"/>
          <w:kern w:val="0"/>
          <w14:ligatures w14:val="none"/>
        </w:rPr>
        <w:t xml:space="preserve"> $7,207,712 </w:t>
      </w:r>
      <w:r w:rsidR="00652B96">
        <w:rPr>
          <w:rFonts w:ascii="Palatino Linotype" w:hAnsi="Palatino Linotype" w:eastAsia="Palatino Linotype" w:cs="Times New Roman"/>
          <w:color w:val="000000" w:themeColor="text1"/>
          <w:kern w:val="0"/>
          <w14:ligatures w14:val="none"/>
        </w:rPr>
        <w:t>incurred during</w:t>
      </w:r>
      <w:r w:rsidRPr="00CE69E2" w:rsidR="0074463C">
        <w:rPr>
          <w:rFonts w:ascii="Palatino Linotype" w:hAnsi="Palatino Linotype" w:eastAsia="Palatino Linotype" w:cs="Times New Roman"/>
          <w:color w:val="000000" w:themeColor="text1"/>
          <w:kern w:val="0"/>
          <w14:ligatures w14:val="none"/>
        </w:rPr>
        <w:t xml:space="preserve"> Calendar Years 2023 and 2024</w:t>
      </w:r>
      <w:r w:rsidR="00101492">
        <w:rPr>
          <w:rFonts w:ascii="Palatino Linotype" w:hAnsi="Palatino Linotype" w:eastAsia="Palatino Linotype" w:cs="Times New Roman"/>
          <w:color w:val="000000" w:themeColor="text1"/>
          <w:kern w:val="0"/>
          <w14:ligatures w14:val="none"/>
        </w:rPr>
        <w:t>.</w:t>
      </w:r>
      <w:r w:rsidR="63C38AA6">
        <w:rPr>
          <w:rFonts w:ascii="Palatino Linotype" w:hAnsi="Palatino Linotype" w:eastAsia="Palatino Linotype" w:cs="Times New Roman"/>
          <w:color w:val="000000" w:themeColor="text1"/>
          <w:kern w:val="0"/>
          <w14:ligatures w14:val="none"/>
        </w:rPr>
        <w:t xml:space="preserve"> </w:t>
      </w:r>
      <w:r w:rsidR="00B64203">
        <w:rPr>
          <w:rFonts w:ascii="Palatino Linotype" w:hAnsi="Palatino Linotype" w:eastAsia="Palatino Linotype" w:cs="Times New Roman"/>
          <w:color w:val="000000" w:themeColor="text1"/>
          <w:kern w:val="0"/>
          <w14:ligatures w14:val="none"/>
        </w:rPr>
        <w:t>For further consideration</w:t>
      </w:r>
      <w:r w:rsidR="00B53C96">
        <w:rPr>
          <w:rFonts w:ascii="Palatino Linotype" w:hAnsi="Palatino Linotype" w:eastAsia="Palatino Linotype" w:cs="Times New Roman"/>
          <w:color w:val="000000" w:themeColor="text1"/>
          <w:kern w:val="0"/>
          <w14:ligatures w14:val="none"/>
        </w:rPr>
        <w:t xml:space="preserve"> of its 2024 and 2025</w:t>
      </w:r>
      <w:r w:rsidR="00D13AD5">
        <w:rPr>
          <w:rFonts w:ascii="Palatino Linotype" w:hAnsi="Palatino Linotype" w:eastAsia="Palatino Linotype" w:cs="Times New Roman"/>
          <w:color w:val="000000" w:themeColor="text1"/>
          <w:kern w:val="0"/>
          <w14:ligatures w14:val="none"/>
        </w:rPr>
        <w:t xml:space="preserve"> Plans</w:t>
      </w:r>
      <w:r w:rsidR="00B64203">
        <w:rPr>
          <w:rFonts w:ascii="Palatino Linotype" w:hAnsi="Palatino Linotype" w:eastAsia="Palatino Linotype" w:cs="Times New Roman"/>
          <w:color w:val="000000" w:themeColor="text1"/>
          <w:kern w:val="0"/>
          <w14:ligatures w14:val="none"/>
        </w:rPr>
        <w:t xml:space="preserve"> d</w:t>
      </w:r>
      <w:r w:rsidRPr="0084279F" w:rsidR="009D5A82">
        <w:rPr>
          <w:rFonts w:ascii="Palatino Linotype" w:hAnsi="Palatino Linotype" w:eastAsia="Times New Roman" w:cs="Times New Roman"/>
          <w:color w:val="000000" w:themeColor="text1"/>
          <w:kern w:val="0"/>
          <w14:ligatures w14:val="none"/>
        </w:rPr>
        <w:t xml:space="preserve">irects PG&amp;E to submit revised </w:t>
      </w:r>
      <w:r w:rsidRPr="0084279F" w:rsidR="00C41B62">
        <w:rPr>
          <w:rFonts w:ascii="Palatino Linotype" w:hAnsi="Palatino Linotype" w:eastAsia="Times New Roman" w:cs="Times New Roman"/>
          <w:color w:val="000000" w:themeColor="text1"/>
          <w:kern w:val="0"/>
          <w14:ligatures w14:val="none"/>
        </w:rPr>
        <w:t>Gas RD&amp;D Investment Plans via</w:t>
      </w:r>
      <w:r w:rsidR="006D5CD4">
        <w:rPr>
          <w:rFonts w:ascii="Palatino Linotype" w:hAnsi="Palatino Linotype" w:eastAsia="Times New Roman" w:cs="Times New Roman"/>
          <w:color w:val="000000" w:themeColor="text1"/>
          <w:kern w:val="0"/>
          <w14:ligatures w14:val="none"/>
        </w:rPr>
        <w:t xml:space="preserve"> </w:t>
      </w:r>
      <w:r w:rsidRPr="0084279F" w:rsidR="00C41B62">
        <w:rPr>
          <w:rFonts w:ascii="Palatino Linotype" w:hAnsi="Palatino Linotype" w:eastAsia="Times New Roman" w:cs="Times New Roman"/>
          <w:color w:val="000000" w:themeColor="text1"/>
          <w:kern w:val="0"/>
          <w14:ligatures w14:val="none"/>
        </w:rPr>
        <w:t xml:space="preserve">Tier </w:t>
      </w:r>
      <w:r w:rsidR="00CF4F33">
        <w:rPr>
          <w:rFonts w:ascii="Palatino Linotype" w:hAnsi="Palatino Linotype" w:eastAsia="Times New Roman" w:cs="Times New Roman"/>
          <w:color w:val="000000" w:themeColor="text1"/>
          <w:kern w:val="0"/>
          <w14:ligatures w14:val="none"/>
        </w:rPr>
        <w:t>3</w:t>
      </w:r>
      <w:r w:rsidRPr="0084279F" w:rsidR="00C41B62">
        <w:rPr>
          <w:rFonts w:ascii="Palatino Linotype" w:hAnsi="Palatino Linotype" w:eastAsia="Times New Roman" w:cs="Times New Roman"/>
          <w:color w:val="000000" w:themeColor="text1"/>
          <w:kern w:val="0"/>
          <w14:ligatures w14:val="none"/>
        </w:rPr>
        <w:t xml:space="preserve"> Advice Letter</w:t>
      </w:r>
      <w:r w:rsidRPr="0084279F" w:rsidR="00D76F9A">
        <w:rPr>
          <w:rFonts w:ascii="Palatino Linotype" w:hAnsi="Palatino Linotype" w:eastAsia="Times New Roman" w:cs="Times New Roman"/>
          <w:color w:val="000000" w:themeColor="text1"/>
          <w:kern w:val="0"/>
          <w14:ligatures w14:val="none"/>
        </w:rPr>
        <w:t>s</w:t>
      </w:r>
      <w:r w:rsidRPr="0084279F" w:rsidR="00C41B62">
        <w:rPr>
          <w:rFonts w:ascii="Palatino Linotype" w:hAnsi="Palatino Linotype" w:eastAsia="Times New Roman" w:cs="Times New Roman"/>
          <w:color w:val="000000" w:themeColor="text1"/>
          <w:kern w:val="0"/>
          <w14:ligatures w14:val="none"/>
        </w:rPr>
        <w:t xml:space="preserve"> </w:t>
      </w:r>
      <w:r w:rsidRPr="0084279F" w:rsidR="004C1E19">
        <w:rPr>
          <w:rFonts w:ascii="Palatino Linotype" w:hAnsi="Palatino Linotype" w:eastAsia="Times New Roman" w:cs="Times New Roman"/>
          <w:color w:val="000000" w:themeColor="text1"/>
          <w:kern w:val="0"/>
          <w14:ligatures w14:val="none"/>
        </w:rPr>
        <w:t xml:space="preserve">with modifications described </w:t>
      </w:r>
      <w:r w:rsidRPr="0084279F" w:rsidR="00B55C43">
        <w:rPr>
          <w:rFonts w:ascii="Palatino Linotype" w:hAnsi="Palatino Linotype" w:eastAsia="Times New Roman" w:cs="Times New Roman"/>
          <w:color w:val="000000" w:themeColor="text1"/>
          <w:kern w:val="0"/>
          <w14:ligatures w14:val="none"/>
        </w:rPr>
        <w:t>in this Resolution.</w:t>
      </w:r>
      <w:r w:rsidRPr="0084279F" w:rsidR="007051BF">
        <w:rPr>
          <w:rFonts w:ascii="Palatino Linotype" w:hAnsi="Palatino Linotype" w:eastAsia="Times New Roman" w:cs="Times New Roman"/>
          <w:color w:val="000000" w:themeColor="text1"/>
          <w:kern w:val="0"/>
          <w14:ligatures w14:val="none"/>
        </w:rPr>
        <w:t xml:space="preserve"> </w:t>
      </w:r>
    </w:p>
    <w:p w:rsidRPr="00AD3759" w:rsidR="00101492" w:rsidP="00101492" w:rsidRDefault="586C2EC4" w14:paraId="682BB94B" w14:textId="523C224D">
      <w:pPr>
        <w:numPr>
          <w:ilvl w:val="0"/>
          <w:numId w:val="2"/>
        </w:numPr>
        <w:spacing w:after="0" w:line="276" w:lineRule="auto"/>
        <w:ind w:right="720"/>
        <w:rPr>
          <w:rFonts w:ascii="Palatino Linotype" w:hAnsi="Palatino Linotype" w:eastAsia="Times New Roman" w:cs="Times New Roman"/>
          <w:color w:val="000000" w:themeColor="text1"/>
          <w:kern w:val="0"/>
          <w14:ligatures w14:val="none"/>
        </w:rPr>
      </w:pPr>
      <w:r>
        <w:rPr>
          <w:rFonts w:ascii="Palatino Linotype" w:hAnsi="Palatino Linotype" w:eastAsia="Palatino Linotype" w:cs="Times New Roman"/>
          <w:color w:val="000000" w:themeColor="text1"/>
          <w:kern w:val="0"/>
          <w14:ligatures w14:val="none"/>
        </w:rPr>
        <w:t>Establishe</w:t>
      </w:r>
      <w:r w:rsidR="00101492">
        <w:rPr>
          <w:rFonts w:ascii="Palatino Linotype" w:hAnsi="Palatino Linotype" w:eastAsia="Palatino Linotype" w:cs="Times New Roman"/>
          <w:color w:val="000000" w:themeColor="text1"/>
          <w:kern w:val="0"/>
          <w14:ligatures w14:val="none"/>
        </w:rPr>
        <w:t>s</w:t>
      </w:r>
      <w:r w:rsidRPr="00977DD3" w:rsidR="00101492">
        <w:rPr>
          <w:rFonts w:ascii="Palatino Linotype" w:hAnsi="Palatino Linotype" w:eastAsia="Palatino Linotype" w:cs="Times New Roman"/>
          <w:color w:val="000000" w:themeColor="text1"/>
          <w:kern w:val="0"/>
          <w14:ligatures w14:val="none"/>
        </w:rPr>
        <w:t xml:space="preserve"> additional Gas RD&amp;D Program schedule requirements. </w:t>
      </w:r>
    </w:p>
    <w:p w:rsidRPr="001942D0" w:rsidR="00A76F4A" w:rsidP="00361AB6" w:rsidRDefault="00A76F4A" w14:paraId="711BBA7A" w14:textId="77777777">
      <w:pPr>
        <w:spacing w:after="0" w:line="276" w:lineRule="auto"/>
        <w:rPr>
          <w:rFonts w:ascii="Palatino" w:hAnsi="Palatino" w:eastAsia="Palatino Linotype" w:cs="Times New Roman"/>
          <w:kern w:val="0"/>
          <w:sz w:val="26"/>
          <w:szCs w:val="20"/>
          <w14:ligatures w14:val="none"/>
        </w:rPr>
      </w:pPr>
    </w:p>
    <w:p w:rsidRPr="001942D0" w:rsidR="00A76F4A" w:rsidP="00361AB6" w:rsidRDefault="00A76F4A" w14:paraId="4FCDC265"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7E56AC" w:rsidR="007E56AC" w:rsidP="00FF1910" w:rsidRDefault="007E56AC" w14:paraId="53B6E66F" w14:textId="1444546B">
      <w:pPr>
        <w:numPr>
          <w:ilvl w:val="0"/>
          <w:numId w:val="1"/>
        </w:numPr>
        <w:spacing w:after="0" w:line="276" w:lineRule="auto"/>
        <w:ind w:right="720"/>
        <w:rPr>
          <w:rFonts w:ascii="Palatino Linotype" w:hAnsi="Palatino Linotype" w:eastAsia="Times New Roman" w:cs="Times New Roman"/>
          <w:color w:val="000000" w:themeColor="text1"/>
          <w:kern w:val="0"/>
          <w14:ligatures w14:val="none"/>
        </w:rPr>
      </w:pPr>
      <w:r w:rsidRPr="007E56AC">
        <w:rPr>
          <w:rFonts w:ascii="Palatino Linotype" w:hAnsi="Palatino Linotype" w:eastAsia="Times New Roman" w:cs="Times New Roman"/>
          <w:color w:val="000000" w:themeColor="text1"/>
          <w:kern w:val="0"/>
          <w14:ligatures w14:val="none"/>
        </w:rPr>
        <w:t xml:space="preserve">There are no safety considerations associated with this </w:t>
      </w:r>
      <w:r w:rsidRPr="007E56AC" w:rsidR="71E33E06">
        <w:rPr>
          <w:rFonts w:ascii="Palatino Linotype" w:hAnsi="Palatino Linotype" w:eastAsia="Times New Roman" w:cs="Times New Roman"/>
          <w:color w:val="000000" w:themeColor="text1"/>
          <w:kern w:val="0"/>
          <w14:ligatures w14:val="none"/>
        </w:rPr>
        <w:t>R</w:t>
      </w:r>
      <w:r w:rsidRPr="007E56AC">
        <w:rPr>
          <w:rFonts w:ascii="Palatino Linotype" w:hAnsi="Palatino Linotype" w:eastAsia="Times New Roman" w:cs="Times New Roman"/>
          <w:color w:val="000000" w:themeColor="text1"/>
          <w:kern w:val="0"/>
          <w14:ligatures w14:val="none"/>
        </w:rPr>
        <w:t>esolution.</w:t>
      </w:r>
    </w:p>
    <w:p w:rsidRPr="001942D0" w:rsidR="00A76F4A" w:rsidP="00361AB6" w:rsidRDefault="00A76F4A" w14:paraId="64A6B8D1" w14:textId="77777777">
      <w:pPr>
        <w:spacing w:after="0" w:line="276" w:lineRule="auto"/>
        <w:ind w:left="720" w:right="720"/>
        <w:rPr>
          <w:rFonts w:ascii="Palatino Linotype" w:hAnsi="Palatino Linotype" w:eastAsia="Palatino Linotype" w:cs="Times New Roman"/>
          <w:kern w:val="0"/>
          <w14:ligatures w14:val="none"/>
        </w:rPr>
      </w:pPr>
    </w:p>
    <w:p w:rsidRPr="001942D0" w:rsidR="00A76F4A" w:rsidP="00361AB6" w:rsidRDefault="00A76F4A" w14:paraId="6B0D0B8E" w14:textId="77777777">
      <w:pPr>
        <w:spacing w:after="0" w:line="276"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FF1910" w:rsidRDefault="005336E2" w14:paraId="0ADF6FD2" w14:textId="2DE5476E">
      <w:pPr>
        <w:numPr>
          <w:ilvl w:val="0"/>
          <w:numId w:val="1"/>
        </w:numPr>
        <w:spacing w:after="0" w:line="276" w:lineRule="auto"/>
        <w:ind w:right="720"/>
        <w:rPr>
          <w:rFonts w:ascii="Palatino Linotype" w:hAnsi="Palatino Linotype" w:eastAsia="Times New Roman" w:cs="Times New Roman"/>
          <w:kern w:val="0"/>
          <w14:ligatures w14:val="none"/>
        </w:rPr>
      </w:pPr>
      <w:r w:rsidRPr="003F6CCF">
        <w:rPr>
          <w:rFonts w:ascii="Palatino Linotype" w:hAnsi="Palatino Linotype" w:eastAsia="Times New Roman" w:cs="Times New Roman"/>
          <w:color w:val="000000" w:themeColor="text1"/>
          <w:kern w:val="0"/>
          <w14:ligatures w14:val="none"/>
        </w:rPr>
        <w:t>Denies</w:t>
      </w:r>
      <w:r w:rsidR="00210D1B">
        <w:rPr>
          <w:rFonts w:ascii="Palatino Linotype" w:hAnsi="Palatino Linotype" w:eastAsia="Times New Roman" w:cs="Times New Roman"/>
          <w:kern w:val="0"/>
          <w14:ligatures w14:val="none"/>
        </w:rPr>
        <w:t xml:space="preserve"> </w:t>
      </w:r>
      <w:r w:rsidR="00B71CA6">
        <w:rPr>
          <w:rFonts w:ascii="Palatino Linotype" w:hAnsi="Palatino Linotype" w:eastAsia="Times New Roman" w:cs="Times New Roman"/>
          <w:kern w:val="0"/>
          <w14:ligatures w14:val="none"/>
        </w:rPr>
        <w:t>$</w:t>
      </w:r>
      <w:r w:rsidRPr="00E15773" w:rsidR="00B71CA6">
        <w:rPr>
          <w:rFonts w:ascii="Palatino Linotype" w:hAnsi="Palatino Linotype" w:eastAsia="Times New Roman" w:cs="Times New Roman"/>
          <w:color w:val="000000" w:themeColor="text1"/>
          <w:kern w:val="0"/>
          <w14:ligatures w14:val="none"/>
        </w:rPr>
        <w:t xml:space="preserve">8,092,000 </w:t>
      </w:r>
      <w:r w:rsidR="00B71CA6">
        <w:rPr>
          <w:rFonts w:ascii="Palatino Linotype" w:hAnsi="Palatino Linotype" w:eastAsia="Times New Roman" w:cs="Times New Roman"/>
          <w:color w:val="000000" w:themeColor="text1"/>
          <w:kern w:val="0"/>
          <w14:ligatures w14:val="none"/>
        </w:rPr>
        <w:t xml:space="preserve">in ratepayer costs </w:t>
      </w:r>
      <w:r w:rsidR="00B71CA6">
        <w:rPr>
          <w:rFonts w:ascii="Palatino Linotype" w:hAnsi="Palatino Linotype" w:eastAsia="Times New Roman" w:cs="Times New Roman"/>
          <w:kern w:val="0"/>
          <w14:ligatures w14:val="none"/>
        </w:rPr>
        <w:t>for Calendar Year 2024 and $</w:t>
      </w:r>
      <w:r w:rsidRPr="00A76C8F" w:rsidR="00B71CA6">
        <w:rPr>
          <w:rFonts w:ascii="Palatino Linotype" w:hAnsi="Palatino Linotype" w:eastAsia="Times New Roman" w:cs="Times New Roman"/>
          <w:color w:val="000000" w:themeColor="text1"/>
          <w:kern w:val="0"/>
          <w14:ligatures w14:val="none"/>
        </w:rPr>
        <w:t xml:space="preserve">8,267,000 </w:t>
      </w:r>
      <w:r w:rsidRPr="009E43B3" w:rsidR="00B71CA6">
        <w:rPr>
          <w:rFonts w:ascii="Palatino Linotype" w:hAnsi="Palatino Linotype" w:eastAsia="Times New Roman" w:cs="Times New Roman"/>
          <w:color w:val="000000" w:themeColor="text1"/>
          <w:kern w:val="0"/>
          <w14:ligatures w14:val="none"/>
        </w:rPr>
        <w:t xml:space="preserve">for Calendar Year 2025 </w:t>
      </w:r>
      <w:r w:rsidRPr="009E43B3" w:rsidR="00BE7871">
        <w:rPr>
          <w:rFonts w:ascii="Palatino Linotype" w:hAnsi="Palatino Linotype" w:eastAsia="Times New Roman" w:cs="Times New Roman"/>
          <w:color w:val="000000" w:themeColor="text1"/>
          <w:kern w:val="0"/>
          <w14:ligatures w14:val="none"/>
        </w:rPr>
        <w:t>as authorized in</w:t>
      </w:r>
      <w:r w:rsidRPr="009E43B3" w:rsidR="003E3262">
        <w:rPr>
          <w:rFonts w:ascii="Palatino Linotype" w:hAnsi="Palatino Linotype" w:eastAsia="Times New Roman" w:cs="Times New Roman"/>
          <w:color w:val="000000" w:themeColor="text1"/>
          <w:kern w:val="0"/>
          <w14:ligatures w14:val="none"/>
        </w:rPr>
        <w:t xml:space="preserve"> </w:t>
      </w:r>
      <w:r w:rsidRPr="009E43B3" w:rsidR="00BE7871">
        <w:rPr>
          <w:rFonts w:ascii="Palatino Linotype" w:hAnsi="Palatino Linotype" w:eastAsia="Times New Roman" w:cs="Times New Roman"/>
          <w:color w:val="000000" w:themeColor="text1"/>
          <w:kern w:val="0"/>
          <w14:ligatures w14:val="none"/>
        </w:rPr>
        <w:t>D.</w:t>
      </w:r>
      <w:r w:rsidRPr="009E43B3" w:rsidR="00F15AC1">
        <w:rPr>
          <w:rFonts w:ascii="Palatino Linotype" w:hAnsi="Palatino Linotype" w:eastAsia="Times New Roman" w:cs="Times New Roman"/>
          <w:color w:val="000000" w:themeColor="text1"/>
          <w:kern w:val="0"/>
          <w14:ligatures w14:val="none"/>
        </w:rPr>
        <w:t>23-11-069</w:t>
      </w:r>
      <w:r w:rsidRPr="009E43B3" w:rsidR="00EE4220">
        <w:rPr>
          <w:rFonts w:ascii="Palatino Linotype" w:hAnsi="Palatino Linotype" w:eastAsia="Times New Roman" w:cs="Times New Roman"/>
          <w:color w:val="000000" w:themeColor="text1"/>
          <w:kern w:val="0"/>
          <w14:ligatures w14:val="none"/>
        </w:rPr>
        <w:t xml:space="preserve"> </w:t>
      </w:r>
      <w:r w:rsidR="00DC0791">
        <w:rPr>
          <w:rFonts w:ascii="Palatino Linotype" w:hAnsi="Palatino Linotype" w:eastAsia="Times New Roman" w:cs="Times New Roman"/>
          <w:color w:val="000000" w:themeColor="text1"/>
          <w:kern w:val="0"/>
          <w14:ligatures w14:val="none"/>
        </w:rPr>
        <w:t xml:space="preserve">upon </w:t>
      </w:r>
      <w:r w:rsidR="000A6287">
        <w:rPr>
          <w:rFonts w:ascii="Palatino Linotype" w:hAnsi="Palatino Linotype" w:eastAsia="Times New Roman" w:cs="Times New Roman"/>
          <w:color w:val="000000" w:themeColor="text1"/>
          <w:kern w:val="0"/>
          <w14:ligatures w14:val="none"/>
        </w:rPr>
        <w:t>Commission approval of</w:t>
      </w:r>
      <w:r w:rsidRPr="009E43B3" w:rsidR="005D4801">
        <w:rPr>
          <w:rFonts w:ascii="Palatino Linotype" w:hAnsi="Palatino Linotype" w:eastAsia="Times New Roman" w:cs="Times New Roman"/>
          <w:color w:val="000000" w:themeColor="text1"/>
          <w:kern w:val="0"/>
          <w14:ligatures w14:val="none"/>
        </w:rPr>
        <w:t xml:space="preserve"> Gas RD&amp;D Investment Plans</w:t>
      </w:r>
      <w:r w:rsidR="00DC0791">
        <w:rPr>
          <w:rFonts w:ascii="Palatino Linotype" w:hAnsi="Palatino Linotype" w:eastAsia="Times New Roman" w:cs="Times New Roman"/>
          <w:color w:val="000000" w:themeColor="text1"/>
          <w:kern w:val="0"/>
          <w14:ligatures w14:val="none"/>
        </w:rPr>
        <w:t xml:space="preserve"> </w:t>
      </w:r>
      <w:r w:rsidR="00561D71">
        <w:rPr>
          <w:rFonts w:ascii="Palatino Linotype" w:hAnsi="Palatino Linotype" w:eastAsia="Times New Roman" w:cs="Times New Roman"/>
          <w:color w:val="000000" w:themeColor="text1"/>
          <w:kern w:val="0"/>
          <w14:ligatures w14:val="none"/>
        </w:rPr>
        <w:t xml:space="preserve">submitted </w:t>
      </w:r>
      <w:r w:rsidR="00DC0791">
        <w:rPr>
          <w:rFonts w:ascii="Palatino Linotype" w:hAnsi="Palatino Linotype" w:eastAsia="Times New Roman" w:cs="Times New Roman"/>
          <w:color w:val="000000" w:themeColor="text1"/>
          <w:kern w:val="0"/>
          <w14:ligatures w14:val="none"/>
        </w:rPr>
        <w:t>via T</w:t>
      </w:r>
      <w:r w:rsidR="00561D71">
        <w:rPr>
          <w:rFonts w:ascii="Palatino Linotype" w:hAnsi="Palatino Linotype" w:eastAsia="Times New Roman" w:cs="Times New Roman"/>
          <w:color w:val="000000" w:themeColor="text1"/>
          <w:kern w:val="0"/>
          <w14:ligatures w14:val="none"/>
        </w:rPr>
        <w:t xml:space="preserve">ier 3 </w:t>
      </w:r>
      <w:r w:rsidR="00C301FB">
        <w:rPr>
          <w:rFonts w:ascii="Palatino Linotype" w:hAnsi="Palatino Linotype" w:eastAsia="Times New Roman" w:cs="Times New Roman"/>
          <w:color w:val="000000" w:themeColor="text1"/>
          <w:kern w:val="0"/>
          <w14:ligatures w14:val="none"/>
        </w:rPr>
        <w:t>A</w:t>
      </w:r>
      <w:r w:rsidR="00561D71">
        <w:rPr>
          <w:rFonts w:ascii="Palatino Linotype" w:hAnsi="Palatino Linotype" w:eastAsia="Times New Roman" w:cs="Times New Roman"/>
          <w:color w:val="000000" w:themeColor="text1"/>
          <w:kern w:val="0"/>
          <w14:ligatures w14:val="none"/>
        </w:rPr>
        <w:t xml:space="preserve">dvice </w:t>
      </w:r>
      <w:r w:rsidR="00C301FB">
        <w:rPr>
          <w:rFonts w:ascii="Palatino Linotype" w:hAnsi="Palatino Linotype" w:eastAsia="Times New Roman" w:cs="Times New Roman"/>
          <w:color w:val="000000" w:themeColor="text1"/>
          <w:kern w:val="0"/>
          <w14:ligatures w14:val="none"/>
        </w:rPr>
        <w:t>L</w:t>
      </w:r>
      <w:r w:rsidR="00561D71">
        <w:rPr>
          <w:rFonts w:ascii="Palatino Linotype" w:hAnsi="Palatino Linotype" w:eastAsia="Times New Roman" w:cs="Times New Roman"/>
          <w:color w:val="000000" w:themeColor="text1"/>
          <w:kern w:val="0"/>
          <w14:ligatures w14:val="none"/>
        </w:rPr>
        <w:t>etter</w:t>
      </w:r>
      <w:r w:rsidRPr="009E43B3" w:rsidR="00BE7871">
        <w:rPr>
          <w:rFonts w:ascii="Palatino Linotype" w:hAnsi="Palatino Linotype" w:eastAsia="Times New Roman" w:cs="Times New Roman"/>
          <w:color w:val="000000" w:themeColor="text1"/>
          <w:kern w:val="0"/>
          <w14:ligatures w14:val="none"/>
        </w:rPr>
        <w:t>.</w:t>
      </w:r>
      <w:r w:rsidRPr="009E43B3" w:rsidR="00CA336C">
        <w:rPr>
          <w:rFonts w:ascii="Palatino Linotype" w:hAnsi="Palatino Linotype" w:eastAsia="Times New Roman" w:cs="Times New Roman"/>
          <w:color w:val="000000" w:themeColor="text1"/>
          <w:kern w:val="0"/>
          <w14:ligatures w14:val="none"/>
        </w:rPr>
        <w:t xml:space="preserve"> </w:t>
      </w:r>
      <w:r w:rsidRPr="005D4801" w:rsidR="00CA336C">
        <w:rPr>
          <w:rFonts w:ascii="Palatino Linotype" w:hAnsi="Palatino Linotype" w:eastAsia="Times New Roman" w:cs="Times New Roman"/>
          <w:color w:val="000000" w:themeColor="text1"/>
          <w:kern w:val="0"/>
          <w14:ligatures w14:val="none"/>
        </w:rPr>
        <w:t xml:space="preserve">Total </w:t>
      </w:r>
      <w:r w:rsidRPr="005D4801" w:rsidR="005D4801">
        <w:rPr>
          <w:rFonts w:ascii="Palatino Linotype" w:hAnsi="Palatino Linotype" w:eastAsia="Times New Roman" w:cs="Times New Roman"/>
          <w:color w:val="000000" w:themeColor="text1"/>
          <w:kern w:val="0"/>
          <w14:ligatures w14:val="none"/>
        </w:rPr>
        <w:t xml:space="preserve">proposed </w:t>
      </w:r>
      <w:r w:rsidRPr="005D4801" w:rsidR="00CA336C">
        <w:rPr>
          <w:rFonts w:ascii="Palatino Linotype" w:hAnsi="Palatino Linotype" w:eastAsia="Times New Roman" w:cs="Times New Roman"/>
          <w:color w:val="000000" w:themeColor="text1"/>
          <w:kern w:val="0"/>
          <w14:ligatures w14:val="none"/>
        </w:rPr>
        <w:t xml:space="preserve">Ratepayer Cost is </w:t>
      </w:r>
      <w:r w:rsidRPr="005D4801" w:rsidR="00B71CA6">
        <w:rPr>
          <w:rFonts w:ascii="Palatino Linotype" w:hAnsi="Palatino Linotype" w:eastAsia="Times New Roman" w:cs="Times New Roman"/>
          <w:color w:val="000000" w:themeColor="text1"/>
          <w:kern w:val="0"/>
          <w14:ligatures w14:val="none"/>
        </w:rPr>
        <w:t xml:space="preserve">$16,359,000 </w:t>
      </w:r>
      <w:r w:rsidRPr="005D4801" w:rsidR="00CA336C">
        <w:rPr>
          <w:rFonts w:ascii="Palatino Linotype" w:hAnsi="Palatino Linotype" w:eastAsia="Times New Roman" w:cs="Times New Roman"/>
          <w:color w:val="000000" w:themeColor="text1"/>
          <w:kern w:val="0"/>
          <w14:ligatures w14:val="none"/>
        </w:rPr>
        <w:t>for th</w:t>
      </w:r>
      <w:r w:rsidRPr="005D4801" w:rsidR="00F15AC1">
        <w:rPr>
          <w:rFonts w:ascii="Palatino Linotype" w:hAnsi="Palatino Linotype" w:eastAsia="Times New Roman" w:cs="Times New Roman"/>
          <w:color w:val="000000" w:themeColor="text1"/>
          <w:kern w:val="0"/>
          <w14:ligatures w14:val="none"/>
        </w:rPr>
        <w:t>ese</w:t>
      </w:r>
      <w:r w:rsidRPr="005D4801" w:rsidR="00CA336C">
        <w:rPr>
          <w:rFonts w:ascii="Palatino Linotype" w:hAnsi="Palatino Linotype" w:eastAsia="Times New Roman" w:cs="Times New Roman"/>
          <w:color w:val="000000" w:themeColor="text1"/>
          <w:kern w:val="0"/>
          <w14:ligatures w14:val="none"/>
        </w:rPr>
        <w:t xml:space="preserve"> Investment Plan</w:t>
      </w:r>
      <w:r w:rsidRPr="00EF2825" w:rsidR="00F15AC1">
        <w:rPr>
          <w:rFonts w:ascii="Palatino Linotype" w:hAnsi="Palatino Linotype" w:eastAsia="Times New Roman" w:cs="Times New Roman"/>
          <w:color w:val="000000" w:themeColor="text1"/>
          <w:kern w:val="0"/>
          <w14:ligatures w14:val="none"/>
        </w:rPr>
        <w:t>s</w:t>
      </w:r>
      <w:r w:rsidRPr="00EF2825" w:rsidR="00CA336C">
        <w:rPr>
          <w:rFonts w:ascii="Palatino Linotype" w:hAnsi="Palatino Linotype" w:eastAsia="Times New Roman" w:cs="Times New Roman"/>
          <w:color w:val="000000" w:themeColor="text1"/>
          <w:kern w:val="0"/>
          <w14:ligatures w14:val="none"/>
        </w:rPr>
        <w:t>.</w:t>
      </w:r>
      <w:r w:rsidRPr="00EF2825" w:rsidR="001E2FD4">
        <w:rPr>
          <w:rFonts w:ascii="Palatino Linotype" w:hAnsi="Palatino Linotype" w:eastAsia="Times New Roman" w:cs="Times New Roman"/>
          <w:color w:val="000000" w:themeColor="text1"/>
          <w:kern w:val="0"/>
          <w14:ligatures w14:val="none"/>
        </w:rPr>
        <w:t xml:space="preserve"> Denies </w:t>
      </w:r>
      <w:r w:rsidRPr="00EF2825" w:rsidR="005D1186">
        <w:rPr>
          <w:rFonts w:ascii="Palatino Linotype" w:hAnsi="Palatino Linotype" w:eastAsia="Times New Roman" w:cs="Times New Roman"/>
          <w:color w:val="000000" w:themeColor="text1"/>
          <w:kern w:val="0"/>
          <w14:ligatures w14:val="none"/>
        </w:rPr>
        <w:t xml:space="preserve">additional </w:t>
      </w:r>
      <w:r w:rsidRPr="00EF2825" w:rsidR="005D1186">
        <w:rPr>
          <w:rFonts w:ascii="Palatino Linotype" w:hAnsi="Palatino Linotype" w:eastAsia="Palatino Linotype" w:cs="Times New Roman"/>
          <w:color w:val="000000" w:themeColor="text1"/>
          <w:kern w:val="0"/>
          <w14:ligatures w14:val="none"/>
        </w:rPr>
        <w:t xml:space="preserve">cost </w:t>
      </w:r>
      <w:r w:rsidRPr="00EF2825" w:rsidR="005D1186">
        <w:rPr>
          <w:rFonts w:ascii="Palatino Linotype" w:hAnsi="Palatino Linotype" w:eastAsia="Palatino Linotype" w:cs="Times New Roman"/>
          <w:color w:val="000000" w:themeColor="text1"/>
          <w:kern w:val="0"/>
          <w14:ligatures w14:val="none"/>
        </w:rPr>
        <w:lastRenderedPageBreak/>
        <w:t>recovery</w:t>
      </w:r>
      <w:r w:rsidRPr="00EF2825" w:rsidR="005D1186">
        <w:rPr>
          <w:rFonts w:ascii="Palatino Linotype" w:hAnsi="Palatino Linotype" w:eastAsia="Times New Roman" w:cs="Times New Roman"/>
          <w:color w:val="000000" w:themeColor="text1"/>
          <w:kern w:val="0"/>
          <w14:ligatures w14:val="none"/>
        </w:rPr>
        <w:t xml:space="preserve"> </w:t>
      </w:r>
      <w:r w:rsidRPr="00EF2825" w:rsidR="005D1186">
        <w:rPr>
          <w:rFonts w:ascii="Palatino Linotype" w:hAnsi="Palatino Linotype" w:eastAsia="Palatino Linotype" w:cs="Times New Roman"/>
          <w:color w:val="000000" w:themeColor="text1"/>
          <w:kern w:val="0"/>
          <w14:ligatures w14:val="none"/>
        </w:rPr>
        <w:t>request for $7,207,712 incurred during Calendar Years 2023 and 2024.</w:t>
      </w:r>
    </w:p>
    <w:p w:rsidRPr="001942D0" w:rsidR="00A76F4A" w:rsidP="00361AB6" w:rsidRDefault="00A76F4A" w14:paraId="38D179E5" w14:textId="77777777">
      <w:pPr>
        <w:spacing w:after="0" w:line="276" w:lineRule="auto"/>
        <w:ind w:left="720" w:right="720"/>
        <w:rPr>
          <w:rFonts w:ascii="Palatino Linotype" w:hAnsi="Palatino Linotype" w:eastAsia="Palatino Linotype" w:cs="Times New Roman"/>
          <w:kern w:val="0"/>
          <w14:ligatures w14:val="none"/>
        </w:rPr>
      </w:pPr>
    </w:p>
    <w:p w:rsidRPr="001942D0" w:rsidR="00A76F4A" w:rsidP="00A1687D" w:rsidRDefault="00A76F4A" w14:paraId="573E1F48" w14:textId="6439EB29">
      <w:pPr>
        <w:spacing w:after="0" w:line="276" w:lineRule="auto"/>
        <w:ind w:left="72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740425">
        <w:rPr>
          <w:rFonts w:ascii="Palatino Linotype" w:hAnsi="Palatino Linotype" w:eastAsia="Palatino Linotype" w:cs="Times New Roman"/>
          <w:kern w:val="0"/>
          <w14:ligatures w14:val="none"/>
        </w:rPr>
        <w:t>5077</w:t>
      </w:r>
      <w:r w:rsidR="00DD7332">
        <w:rPr>
          <w:rFonts w:ascii="Palatino Linotype" w:hAnsi="Palatino Linotype" w:eastAsia="Palatino Linotype" w:cs="Times New Roman"/>
          <w:kern w:val="0"/>
          <w14:ligatures w14:val="none"/>
        </w:rPr>
        <w:t>-G</w:t>
      </w:r>
      <w:r w:rsidR="00DF74B2">
        <w:rPr>
          <w:rFonts w:ascii="Palatino Linotype" w:hAnsi="Palatino Linotype" w:eastAsia="Palatino Linotype" w:cs="Times New Roman"/>
          <w:kern w:val="0"/>
          <w14:ligatures w14:val="none"/>
        </w:rPr>
        <w:t>-A</w:t>
      </w:r>
      <w:r w:rsidR="00740425">
        <w:rPr>
          <w:rFonts w:ascii="Palatino Linotype" w:hAnsi="Palatino Linotype" w:eastAsia="Palatino Linotype" w:cs="Times New Roman"/>
          <w:kern w:val="0"/>
          <w14:ligatures w14:val="none"/>
        </w:rPr>
        <w:t xml:space="preserve"> for Calendar Year 2024</w:t>
      </w:r>
      <w:r w:rsidRPr="001942D0">
        <w:rPr>
          <w:rFonts w:ascii="Palatino Linotype" w:hAnsi="Palatino Linotype" w:eastAsia="Palatino Linotype" w:cs="Times New Roman"/>
          <w:kern w:val="0"/>
          <w14:ligatures w14:val="none"/>
        </w:rPr>
        <w:t xml:space="preserve"> </w:t>
      </w:r>
      <w:r w:rsidR="00B14531">
        <w:rPr>
          <w:rFonts w:ascii="Palatino Linotype" w:hAnsi="Palatino Linotype" w:eastAsia="Palatino Linotype" w:cs="Times New Roman"/>
          <w:kern w:val="0"/>
          <w14:ligatures w14:val="none"/>
        </w:rPr>
        <w:t>f</w:t>
      </w:r>
      <w:r w:rsidRPr="001942D0">
        <w:rPr>
          <w:rFonts w:ascii="Palatino Linotype" w:hAnsi="Palatino Linotype" w:eastAsia="Palatino Linotype" w:cs="Times New Roman"/>
          <w:kern w:val="0"/>
          <w14:ligatures w14:val="none"/>
        </w:rPr>
        <w:t>iled on</w:t>
      </w:r>
      <w:r w:rsidR="00740425">
        <w:rPr>
          <w:rFonts w:ascii="Palatino Linotype" w:hAnsi="Palatino Linotype" w:eastAsia="Palatino Linotype" w:cs="Times New Roman"/>
          <w:kern w:val="0"/>
          <w14:ligatures w14:val="none"/>
        </w:rPr>
        <w:t xml:space="preserve"> </w:t>
      </w:r>
      <w:r w:rsidR="00DF74B2">
        <w:rPr>
          <w:rFonts w:ascii="Palatino Linotype" w:hAnsi="Palatino Linotype" w:eastAsia="Palatino Linotype" w:cs="Times New Roman"/>
          <w:kern w:val="0"/>
          <w14:ligatures w14:val="none"/>
        </w:rPr>
        <w:t>August 18</w:t>
      </w:r>
      <w:r w:rsidR="00740425">
        <w:rPr>
          <w:rFonts w:ascii="Palatino Linotype" w:hAnsi="Palatino Linotype" w:eastAsia="Palatino Linotype" w:cs="Times New Roman"/>
          <w:kern w:val="0"/>
          <w14:ligatures w14:val="none"/>
        </w:rPr>
        <w:t xml:space="preserve">, 2025, </w:t>
      </w:r>
      <w:r w:rsidR="009E1649">
        <w:rPr>
          <w:rFonts w:ascii="Palatino Linotype" w:hAnsi="Palatino Linotype" w:eastAsia="Palatino Linotype" w:cs="Times New Roman"/>
          <w:kern w:val="0"/>
          <w14:ligatures w14:val="none"/>
        </w:rPr>
        <w:t xml:space="preserve">and </w:t>
      </w:r>
      <w:r w:rsidRPr="001942D0" w:rsidR="009E1649">
        <w:rPr>
          <w:rFonts w:ascii="Palatino Linotype" w:hAnsi="Palatino Linotype" w:eastAsia="Palatino Linotype" w:cs="Times New Roman"/>
          <w:kern w:val="0"/>
          <w14:ligatures w14:val="none"/>
        </w:rPr>
        <w:t xml:space="preserve">Advice Letter </w:t>
      </w:r>
      <w:r w:rsidR="00740425">
        <w:rPr>
          <w:rFonts w:ascii="Palatino Linotype" w:hAnsi="Palatino Linotype" w:eastAsia="Palatino Linotype" w:cs="Times New Roman"/>
          <w:kern w:val="0"/>
          <w14:ligatures w14:val="none"/>
        </w:rPr>
        <w:t>5069</w:t>
      </w:r>
      <w:r w:rsidR="009E1649">
        <w:rPr>
          <w:rFonts w:ascii="Palatino Linotype" w:hAnsi="Palatino Linotype" w:eastAsia="Palatino Linotype" w:cs="Times New Roman"/>
          <w:kern w:val="0"/>
          <w14:ligatures w14:val="none"/>
        </w:rPr>
        <w:t>-G</w:t>
      </w:r>
      <w:r w:rsidR="00740425">
        <w:rPr>
          <w:rFonts w:ascii="Palatino Linotype" w:hAnsi="Palatino Linotype" w:eastAsia="Palatino Linotype" w:cs="Times New Roman"/>
          <w:kern w:val="0"/>
          <w14:ligatures w14:val="none"/>
        </w:rPr>
        <w:t xml:space="preserve"> for Calendar Year 2025</w:t>
      </w:r>
      <w:r w:rsidR="00B14531">
        <w:rPr>
          <w:rFonts w:ascii="Palatino Linotype" w:hAnsi="Palatino Linotype" w:eastAsia="Palatino Linotype" w:cs="Times New Roman"/>
          <w:kern w:val="0"/>
          <w14:ligatures w14:val="none"/>
        </w:rPr>
        <w:t xml:space="preserve"> f</w:t>
      </w:r>
      <w:r w:rsidRPr="001942D0" w:rsidR="009E1649">
        <w:rPr>
          <w:rFonts w:ascii="Palatino Linotype" w:hAnsi="Palatino Linotype" w:eastAsia="Palatino Linotype" w:cs="Times New Roman"/>
          <w:kern w:val="0"/>
          <w14:ligatures w14:val="none"/>
        </w:rPr>
        <w:t xml:space="preserve">iled on </w:t>
      </w:r>
      <w:r w:rsidR="00B819D2">
        <w:rPr>
          <w:rFonts w:ascii="Palatino Linotype" w:hAnsi="Palatino Linotype" w:eastAsia="Palatino Linotype" w:cs="Times New Roman"/>
          <w:kern w:val="0"/>
          <w14:ligatures w14:val="none"/>
        </w:rPr>
        <w:t>May 30</w:t>
      </w:r>
      <w:r w:rsidR="00B04320">
        <w:rPr>
          <w:rFonts w:ascii="Palatino Linotype" w:hAnsi="Palatino Linotype" w:eastAsia="Palatino Linotype" w:cs="Times New Roman"/>
          <w:kern w:val="0"/>
          <w14:ligatures w14:val="none"/>
        </w:rPr>
        <w:t>,</w:t>
      </w:r>
      <w:r w:rsidR="00B819D2">
        <w:rPr>
          <w:rFonts w:ascii="Palatino Linotype" w:hAnsi="Palatino Linotype" w:eastAsia="Palatino Linotype" w:cs="Times New Roman"/>
          <w:kern w:val="0"/>
          <w14:ligatures w14:val="none"/>
        </w:rPr>
        <w:t xml:space="preserve"> 2025</w:t>
      </w:r>
      <w:r w:rsidRPr="001942D0" w:rsidR="009E1649">
        <w:rPr>
          <w:rFonts w:ascii="Palatino Linotype" w:hAnsi="Palatino Linotype" w:eastAsia="Palatino Linotype" w:cs="Times New Roman"/>
          <w:kern w:val="0"/>
          <w14:ligatures w14:val="none"/>
        </w:rPr>
        <w:t xml:space="preserve">. </w:t>
      </w:r>
    </w:p>
    <w:p w:rsidRPr="001942D0" w:rsidR="00A76F4A" w:rsidP="00361AB6" w:rsidRDefault="00A76F4A" w14:paraId="0542E5E0" w14:textId="77777777">
      <w:pPr>
        <w:spacing w:after="0" w:line="276"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361AB6" w:rsidRDefault="00A76F4A" w14:paraId="7279783F" w14:textId="77777777">
      <w:pPr>
        <w:spacing w:after="0" w:line="276" w:lineRule="auto"/>
        <w:rPr>
          <w:rFonts w:ascii="Palatino Linotype" w:hAnsi="Palatino Linotype" w:eastAsia="Palatino Linotype" w:cs="Times New Roman"/>
          <w:b/>
          <w:kern w:val="0"/>
          <w14:ligatures w14:val="none"/>
        </w:rPr>
      </w:pPr>
    </w:p>
    <w:p w:rsidRPr="001942D0" w:rsidR="00A76F4A" w:rsidP="00361AB6" w:rsidRDefault="00A76F4A" w14:paraId="3906F9BB" w14:textId="34AAB3A1">
      <w:pPr>
        <w:keepNext/>
        <w:spacing w:before="120" w:after="240" w:line="276"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5520F6" w:rsidR="005520F6" w:rsidP="00361AB6" w:rsidRDefault="00547A0F" w14:paraId="7201EEA8" w14:textId="355E0744">
      <w:pPr>
        <w:spacing w:after="0" w:line="276" w:lineRule="auto"/>
        <w:rPr>
          <w:rFonts w:ascii="Palatino Linotype" w:hAnsi="Palatino Linotype" w:eastAsia="Palatino Linotype" w:cs="Times New Roman"/>
          <w:color w:val="000000" w:themeColor="text1"/>
          <w:kern w:val="0"/>
          <w14:ligatures w14:val="none"/>
        </w:rPr>
      </w:pPr>
      <w:r w:rsidRPr="007D1510">
        <w:rPr>
          <w:rFonts w:ascii="Palatino Linotype" w:hAnsi="Palatino Linotype" w:eastAsia="Palatino Linotype" w:cs="Times New Roman"/>
          <w:kern w:val="0"/>
          <w14:ligatures w14:val="none"/>
        </w:rPr>
        <w:t xml:space="preserve">This </w:t>
      </w:r>
      <w:r w:rsidRPr="001F5217">
        <w:rPr>
          <w:rFonts w:ascii="Palatino Linotype" w:hAnsi="Palatino Linotype" w:eastAsia="Palatino Linotype" w:cs="Times New Roman"/>
          <w:color w:val="000000" w:themeColor="text1"/>
          <w:kern w:val="0"/>
          <w14:ligatures w14:val="none"/>
        </w:rPr>
        <w:t xml:space="preserve">Resolution </w:t>
      </w:r>
      <w:r w:rsidRPr="003F6CCF" w:rsidR="00E77C76">
        <w:rPr>
          <w:rFonts w:ascii="Palatino Linotype" w:hAnsi="Palatino Linotype" w:eastAsia="Palatino Linotype" w:cs="Times New Roman"/>
          <w:color w:val="000000" w:themeColor="text1"/>
          <w:kern w:val="0"/>
          <w14:ligatures w14:val="none"/>
        </w:rPr>
        <w:t>denies</w:t>
      </w:r>
      <w:r w:rsidRPr="003F6CCF">
        <w:rPr>
          <w:rFonts w:ascii="Palatino Linotype" w:hAnsi="Palatino Linotype" w:eastAsia="Palatino Linotype" w:cs="Times New Roman"/>
          <w:color w:val="000000" w:themeColor="text1"/>
          <w:kern w:val="0"/>
          <w14:ligatures w14:val="none"/>
        </w:rPr>
        <w:t xml:space="preserve"> </w:t>
      </w:r>
      <w:r w:rsidRPr="003F6CCF">
        <w:rPr>
          <w:rFonts w:ascii="Palatino Linotype" w:hAnsi="Palatino Linotype"/>
          <w:color w:val="000000" w:themeColor="text1"/>
        </w:rPr>
        <w:t>Pacific Gas and Electric Company</w:t>
      </w:r>
      <w:r w:rsidR="000E14A8">
        <w:rPr>
          <w:rFonts w:ascii="Palatino Linotype" w:hAnsi="Palatino Linotype"/>
          <w:color w:val="000000" w:themeColor="text1"/>
        </w:rPr>
        <w:t>’s</w:t>
      </w:r>
      <w:r w:rsidRPr="003F6CCF">
        <w:rPr>
          <w:rFonts w:ascii="Palatino Linotype" w:hAnsi="Palatino Linotype"/>
          <w:color w:val="000000" w:themeColor="text1"/>
        </w:rPr>
        <w:t xml:space="preserve"> (PG&amp;E) </w:t>
      </w:r>
      <w:r w:rsidRPr="003F6CCF" w:rsidR="00D467F1">
        <w:rPr>
          <w:rFonts w:ascii="Palatino Linotype" w:hAnsi="Palatino Linotype"/>
          <w:color w:val="000000" w:themeColor="text1"/>
        </w:rPr>
        <w:t>Advice Letter</w:t>
      </w:r>
      <w:r w:rsidRPr="003F6CCF" w:rsidR="000B6755">
        <w:rPr>
          <w:rFonts w:ascii="Palatino Linotype" w:hAnsi="Palatino Linotype"/>
          <w:color w:val="000000" w:themeColor="text1"/>
        </w:rPr>
        <w:t>s</w:t>
      </w:r>
      <w:r w:rsidRPr="003F6CCF" w:rsidR="00D467F1">
        <w:rPr>
          <w:rFonts w:ascii="Palatino Linotype" w:hAnsi="Palatino Linotype"/>
          <w:color w:val="000000" w:themeColor="text1"/>
        </w:rPr>
        <w:t xml:space="preserve"> </w:t>
      </w:r>
      <w:r w:rsidR="00A1687D">
        <w:rPr>
          <w:rFonts w:ascii="Palatino Linotype" w:hAnsi="Palatino Linotype"/>
          <w:color w:val="000000" w:themeColor="text1"/>
        </w:rPr>
        <w:br/>
      </w:r>
      <w:r w:rsidRPr="003F6CCF" w:rsidR="00D467F1">
        <w:rPr>
          <w:rFonts w:ascii="Palatino Linotype" w:hAnsi="Palatino Linotype"/>
          <w:color w:val="000000" w:themeColor="text1"/>
        </w:rPr>
        <w:t>(AL) 5077-G</w:t>
      </w:r>
      <w:r w:rsidRPr="003F6CCF" w:rsidR="00DF74B2">
        <w:rPr>
          <w:rFonts w:ascii="Palatino Linotype" w:hAnsi="Palatino Linotype"/>
          <w:color w:val="000000" w:themeColor="text1"/>
        </w:rPr>
        <w:t>-A</w:t>
      </w:r>
      <w:r w:rsidRPr="003F6CCF" w:rsidR="00D467F1">
        <w:rPr>
          <w:rFonts w:ascii="Palatino Linotype" w:hAnsi="Palatino Linotype"/>
          <w:color w:val="000000" w:themeColor="text1"/>
        </w:rPr>
        <w:t xml:space="preserve"> </w:t>
      </w:r>
      <w:r w:rsidRPr="003F6CCF" w:rsidR="000B6755">
        <w:rPr>
          <w:rFonts w:ascii="Palatino Linotype" w:hAnsi="Palatino Linotype"/>
          <w:color w:val="000000" w:themeColor="text1"/>
        </w:rPr>
        <w:t xml:space="preserve">and 5069-G with proposed </w:t>
      </w:r>
      <w:r w:rsidRPr="003F6CCF">
        <w:rPr>
          <w:rFonts w:ascii="Palatino Linotype" w:hAnsi="Palatino Linotype" w:eastAsia="Times New Roman" w:cs="Times New Roman"/>
          <w:color w:val="000000" w:themeColor="text1"/>
          <w:kern w:val="0"/>
          <w14:ligatures w14:val="none"/>
        </w:rPr>
        <w:t>Gas Research, Development, and Demonstration (RD&amp;D) Investment Plan</w:t>
      </w:r>
      <w:r w:rsidRPr="003F6CCF" w:rsidR="00147D2F">
        <w:rPr>
          <w:rFonts w:ascii="Palatino Linotype" w:hAnsi="Palatino Linotype" w:eastAsia="Times New Roman" w:cs="Times New Roman"/>
          <w:color w:val="000000" w:themeColor="text1"/>
          <w:kern w:val="0"/>
          <w14:ligatures w14:val="none"/>
        </w:rPr>
        <w:t>s</w:t>
      </w:r>
      <w:r w:rsidRPr="003F6CCF">
        <w:rPr>
          <w:rFonts w:ascii="Palatino Linotype" w:hAnsi="Palatino Linotype" w:eastAsia="Times New Roman" w:cs="Times New Roman"/>
          <w:color w:val="000000" w:themeColor="text1"/>
          <w:kern w:val="0"/>
          <w14:ligatures w14:val="none"/>
        </w:rPr>
        <w:t xml:space="preserve"> </w:t>
      </w:r>
      <w:r w:rsidRPr="003F6CCF" w:rsidR="00F44AF1">
        <w:rPr>
          <w:rFonts w:ascii="Palatino Linotype" w:hAnsi="Palatino Linotype" w:eastAsia="Times New Roman" w:cs="Times New Roman"/>
          <w:color w:val="000000" w:themeColor="text1"/>
          <w:kern w:val="0"/>
          <w14:ligatures w14:val="none"/>
        </w:rPr>
        <w:t>(Gas RD&amp;D Plans</w:t>
      </w:r>
      <w:r w:rsidRPr="003F6CCF" w:rsidR="004D0B1E">
        <w:rPr>
          <w:rFonts w:ascii="Palatino Linotype" w:hAnsi="Palatino Linotype" w:eastAsia="Times New Roman" w:cs="Times New Roman"/>
          <w:color w:val="000000" w:themeColor="text1"/>
          <w:kern w:val="0"/>
          <w14:ligatures w14:val="none"/>
        </w:rPr>
        <w:t xml:space="preserve"> or Plans</w:t>
      </w:r>
      <w:r w:rsidRPr="003F6CCF" w:rsidR="00F44AF1">
        <w:rPr>
          <w:rFonts w:ascii="Palatino Linotype" w:hAnsi="Palatino Linotype" w:eastAsia="Times New Roman" w:cs="Times New Roman"/>
          <w:color w:val="000000" w:themeColor="text1"/>
          <w:kern w:val="0"/>
          <w14:ligatures w14:val="none"/>
        </w:rPr>
        <w:t xml:space="preserve">) </w:t>
      </w:r>
      <w:r w:rsidRPr="003F6CCF">
        <w:rPr>
          <w:rFonts w:ascii="Palatino Linotype" w:hAnsi="Palatino Linotype" w:eastAsia="Times New Roman" w:cs="Times New Roman"/>
          <w:color w:val="000000" w:themeColor="text1"/>
          <w:kern w:val="0"/>
          <w14:ligatures w14:val="none"/>
        </w:rPr>
        <w:t xml:space="preserve">for Calendar Years </w:t>
      </w:r>
      <w:r w:rsidRPr="003F6CCF" w:rsidR="00DC6991">
        <w:rPr>
          <w:rFonts w:ascii="Palatino Linotype" w:hAnsi="Palatino Linotype" w:eastAsia="Times New Roman" w:cs="Times New Roman"/>
          <w:color w:val="000000" w:themeColor="text1"/>
          <w:kern w:val="0"/>
          <w14:ligatures w14:val="none"/>
        </w:rPr>
        <w:t xml:space="preserve">(CYs) </w:t>
      </w:r>
      <w:r w:rsidRPr="003F6CCF">
        <w:rPr>
          <w:rFonts w:ascii="Palatino Linotype" w:hAnsi="Palatino Linotype" w:eastAsia="Times New Roman" w:cs="Times New Roman"/>
          <w:color w:val="000000" w:themeColor="text1"/>
          <w:kern w:val="0"/>
          <w14:ligatures w14:val="none"/>
        </w:rPr>
        <w:t>2024 and 2025</w:t>
      </w:r>
      <w:r w:rsidRPr="003F6CCF" w:rsidR="000B6755">
        <w:rPr>
          <w:rFonts w:ascii="Palatino Linotype" w:hAnsi="Palatino Linotype" w:eastAsia="Times New Roman" w:cs="Times New Roman"/>
          <w:color w:val="000000" w:themeColor="text1"/>
          <w:kern w:val="0"/>
          <w14:ligatures w14:val="none"/>
        </w:rPr>
        <w:t xml:space="preserve">. </w:t>
      </w:r>
      <w:r w:rsidRPr="003F6CCF" w:rsidR="00E138FD">
        <w:rPr>
          <w:rFonts w:ascii="Palatino Linotype" w:hAnsi="Palatino Linotype" w:eastAsia="Palatino Linotype" w:cs="Times New Roman"/>
          <w:color w:val="000000" w:themeColor="text1"/>
          <w:kern w:val="0"/>
          <w14:ligatures w14:val="none"/>
        </w:rPr>
        <w:t xml:space="preserve">PG&amp;E’s </w:t>
      </w:r>
      <w:r w:rsidRPr="003F6CCF" w:rsidR="006372B0">
        <w:rPr>
          <w:rFonts w:ascii="Palatino Linotype" w:hAnsi="Palatino Linotype" w:eastAsia="Palatino Linotype" w:cs="Times New Roman"/>
          <w:color w:val="000000" w:themeColor="text1"/>
          <w:kern w:val="0"/>
          <w14:ligatures w14:val="none"/>
        </w:rPr>
        <w:t xml:space="preserve">Gas </w:t>
      </w:r>
      <w:r w:rsidRPr="003F6CCF">
        <w:rPr>
          <w:rFonts w:ascii="Palatino Linotype" w:hAnsi="Palatino Linotype" w:eastAsia="Palatino Linotype" w:cs="Times New Roman"/>
          <w:color w:val="000000" w:themeColor="text1"/>
          <w:kern w:val="0"/>
          <w14:ligatures w14:val="none"/>
        </w:rPr>
        <w:t>RD&amp;D Program was established pursuant to D</w:t>
      </w:r>
      <w:r w:rsidRPr="003F6CCF" w:rsidR="00EC4768">
        <w:rPr>
          <w:rFonts w:ascii="Palatino Linotype" w:hAnsi="Palatino Linotype" w:eastAsia="Palatino Linotype" w:cs="Times New Roman"/>
          <w:color w:val="000000" w:themeColor="text1"/>
          <w:kern w:val="0"/>
          <w14:ligatures w14:val="none"/>
        </w:rPr>
        <w:t>ecision (D</w:t>
      </w:r>
      <w:r w:rsidRPr="003F6CCF">
        <w:rPr>
          <w:rFonts w:ascii="Palatino Linotype" w:hAnsi="Palatino Linotype" w:eastAsia="Palatino Linotype" w:cs="Times New Roman"/>
          <w:color w:val="000000" w:themeColor="text1"/>
          <w:kern w:val="0"/>
          <w14:ligatures w14:val="none"/>
        </w:rPr>
        <w:t>.</w:t>
      </w:r>
      <w:r w:rsidRPr="003F6CCF" w:rsidR="00EC4768">
        <w:rPr>
          <w:rFonts w:ascii="Palatino Linotype" w:hAnsi="Palatino Linotype" w:eastAsia="Palatino Linotype" w:cs="Times New Roman"/>
          <w:color w:val="000000" w:themeColor="text1"/>
          <w:kern w:val="0"/>
          <w14:ligatures w14:val="none"/>
        </w:rPr>
        <w:t>)</w:t>
      </w:r>
      <w:r w:rsidRPr="003F6CCF" w:rsidR="00E138FD">
        <w:rPr>
          <w:rFonts w:ascii="Palatino Linotype" w:hAnsi="Palatino Linotype" w:eastAsia="Palatino Linotype" w:cs="Times New Roman"/>
          <w:color w:val="000000" w:themeColor="text1"/>
          <w:kern w:val="0"/>
          <w14:ligatures w14:val="none"/>
        </w:rPr>
        <w:t>23-11-069</w:t>
      </w:r>
      <w:r w:rsidRPr="00EF2825" w:rsidR="001F3C89">
        <w:rPr>
          <w:rFonts w:ascii="Palatino Linotype" w:hAnsi="Palatino Linotype" w:eastAsia="Palatino Linotype" w:cs="Times New Roman"/>
          <w:color w:val="000000" w:themeColor="text1"/>
          <w:kern w:val="0"/>
          <w14:ligatures w14:val="none"/>
        </w:rPr>
        <w:t xml:space="preserve">, </w:t>
      </w:r>
      <w:r w:rsidRPr="00EF2825" w:rsidR="00955C84">
        <w:rPr>
          <w:rFonts w:ascii="Palatino Linotype" w:hAnsi="Palatino Linotype" w:eastAsia="Palatino Linotype" w:cs="Times New Roman"/>
          <w:color w:val="000000" w:themeColor="text1"/>
          <w:kern w:val="0"/>
          <w14:ligatures w14:val="none"/>
        </w:rPr>
        <w:t xml:space="preserve">requiring PG&amp;E to </w:t>
      </w:r>
      <w:r w:rsidRPr="00EF2825" w:rsidR="00AA7D1C">
        <w:rPr>
          <w:rFonts w:ascii="Palatino Linotype" w:hAnsi="Palatino Linotype" w:eastAsia="Palatino Linotype" w:cs="Times New Roman"/>
          <w:bCs/>
          <w:color w:val="000000" w:themeColor="text1"/>
          <w:kern w:val="0"/>
          <w14:ligatures w14:val="none"/>
        </w:rPr>
        <w:t xml:space="preserve">submit, and the </w:t>
      </w:r>
      <w:r w:rsidRPr="00EF2825" w:rsidR="00940168">
        <w:rPr>
          <w:rFonts w:ascii="Palatino Linotype" w:hAnsi="Palatino Linotype" w:eastAsia="Palatino Linotype" w:cs="Times New Roman"/>
          <w:color w:val="000000" w:themeColor="text1"/>
          <w:kern w:val="0"/>
          <w14:ligatures w14:val="none"/>
        </w:rPr>
        <w:t xml:space="preserve">Commission </w:t>
      </w:r>
      <w:r w:rsidRPr="00EF2825" w:rsidR="00AA7D1C">
        <w:rPr>
          <w:rFonts w:ascii="Palatino Linotype" w:hAnsi="Palatino Linotype" w:eastAsia="Palatino Linotype" w:cs="Times New Roman"/>
          <w:bCs/>
          <w:color w:val="000000" w:themeColor="text1"/>
          <w:kern w:val="0"/>
          <w14:ligatures w14:val="none"/>
        </w:rPr>
        <w:t>to approve, an</w:t>
      </w:r>
      <w:r w:rsidRPr="00EF2825" w:rsidR="00940168">
        <w:rPr>
          <w:rFonts w:ascii="Palatino Linotype" w:hAnsi="Palatino Linotype" w:eastAsia="Palatino Linotype" w:cs="Times New Roman"/>
          <w:color w:val="000000" w:themeColor="text1"/>
          <w:kern w:val="0"/>
          <w14:ligatures w14:val="none"/>
        </w:rPr>
        <w:t xml:space="preserve"> annual </w:t>
      </w:r>
      <w:r w:rsidRPr="00EF2825" w:rsidR="00AA7D1C">
        <w:rPr>
          <w:rFonts w:ascii="Palatino Linotype" w:hAnsi="Palatino Linotype" w:eastAsia="Palatino Linotype" w:cs="Times New Roman"/>
          <w:bCs/>
          <w:color w:val="000000" w:themeColor="text1"/>
          <w:kern w:val="0"/>
          <w14:ligatures w14:val="none"/>
        </w:rPr>
        <w:t xml:space="preserve">Tier 3 </w:t>
      </w:r>
      <w:r w:rsidRPr="00EF2825" w:rsidR="00AA7D1C">
        <w:rPr>
          <w:rFonts w:ascii="Palatino Linotype" w:hAnsi="Palatino Linotype" w:eastAsia="Palatino Linotype" w:cs="Times New Roman"/>
          <w:color w:val="000000" w:themeColor="text1"/>
          <w:kern w:val="0"/>
          <w14:ligatures w14:val="none"/>
        </w:rPr>
        <w:t>AL describing</w:t>
      </w:r>
      <w:r w:rsidRPr="00EF2825" w:rsidR="00AA7D1C">
        <w:rPr>
          <w:rFonts w:ascii="Palatino Linotype" w:hAnsi="Palatino Linotype" w:eastAsia="Palatino Linotype" w:cs="Times New Roman"/>
          <w:bCs/>
          <w:color w:val="000000" w:themeColor="text1"/>
          <w:kern w:val="0"/>
          <w14:ligatures w14:val="none"/>
        </w:rPr>
        <w:t xml:space="preserve"> PG&amp;E’s proposed </w:t>
      </w:r>
      <w:r w:rsidRPr="00EF2825" w:rsidR="00940168">
        <w:rPr>
          <w:rFonts w:ascii="Palatino Linotype" w:hAnsi="Palatino Linotype" w:eastAsia="Palatino Linotype" w:cs="Times New Roman"/>
          <w:color w:val="000000" w:themeColor="text1"/>
          <w:kern w:val="0"/>
          <w14:ligatures w14:val="none"/>
        </w:rPr>
        <w:t xml:space="preserve">Gas RD&amp;D </w:t>
      </w:r>
      <w:r w:rsidRPr="00EF2825" w:rsidR="00AA7D1C">
        <w:rPr>
          <w:rFonts w:ascii="Palatino Linotype" w:hAnsi="Palatino Linotype" w:eastAsia="Palatino Linotype" w:cs="Times New Roman"/>
          <w:bCs/>
          <w:color w:val="000000" w:themeColor="text1"/>
          <w:kern w:val="0"/>
          <w14:ligatures w14:val="none"/>
        </w:rPr>
        <w:t>Investment Plan</w:t>
      </w:r>
      <w:r w:rsidRPr="00EF2825" w:rsidR="00C657FF">
        <w:rPr>
          <w:rFonts w:ascii="Palatino Linotype" w:hAnsi="Palatino Linotype" w:eastAsia="Palatino Linotype" w:cs="Times New Roman"/>
          <w:bCs/>
          <w:color w:val="000000" w:themeColor="text1"/>
          <w:kern w:val="0"/>
          <w14:ligatures w14:val="none"/>
        </w:rPr>
        <w:t xml:space="preserve"> prior to utilizing authorized funds</w:t>
      </w:r>
      <w:r w:rsidRPr="00EF2825">
        <w:rPr>
          <w:rFonts w:ascii="Palatino Linotype" w:hAnsi="Palatino Linotype" w:eastAsia="Palatino Linotype" w:cs="Times New Roman"/>
          <w:color w:val="000000" w:themeColor="text1"/>
          <w:kern w:val="0"/>
          <w14:ligatures w14:val="none"/>
        </w:rPr>
        <w:t>.</w:t>
      </w:r>
      <w:r w:rsidRPr="00EF2825" w:rsidR="00EC4768">
        <w:rPr>
          <w:rStyle w:val="FootnoteReference"/>
          <w:rFonts w:ascii="Palatino Linotype" w:hAnsi="Palatino Linotype" w:eastAsia="Palatino Linotype" w:cs="Times New Roman"/>
          <w:color w:val="000000" w:themeColor="text1"/>
          <w:kern w:val="0"/>
          <w14:ligatures w14:val="none"/>
        </w:rPr>
        <w:footnoteReference w:id="1"/>
      </w:r>
      <w:r w:rsidRPr="00EF2825">
        <w:rPr>
          <w:rFonts w:ascii="Palatino Linotype" w:hAnsi="Palatino Linotype" w:eastAsia="Palatino Linotype" w:cs="Times New Roman"/>
          <w:color w:val="000000" w:themeColor="text1"/>
          <w:kern w:val="0"/>
          <w14:ligatures w14:val="none"/>
        </w:rPr>
        <w:t xml:space="preserve"> </w:t>
      </w:r>
      <w:r w:rsidR="00885DE3">
        <w:rPr>
          <w:rFonts w:ascii="Palatino Linotype" w:hAnsi="Palatino Linotype" w:eastAsia="Palatino Linotype" w:cs="Times New Roman"/>
          <w:color w:val="000000" w:themeColor="text1"/>
          <w:kern w:val="0"/>
          <w14:ligatures w14:val="none"/>
        </w:rPr>
        <w:t xml:space="preserve">Based on </w:t>
      </w:r>
      <w:r w:rsidR="007C144A">
        <w:rPr>
          <w:rFonts w:ascii="Palatino Linotype" w:hAnsi="Palatino Linotype" w:eastAsia="Palatino Linotype" w:cs="Times New Roman"/>
          <w:color w:val="000000" w:themeColor="text1"/>
          <w:kern w:val="0"/>
          <w14:ligatures w14:val="none"/>
        </w:rPr>
        <w:t>Commission review</w:t>
      </w:r>
      <w:r w:rsidR="001F07D5">
        <w:rPr>
          <w:rFonts w:ascii="Palatino Linotype" w:hAnsi="Palatino Linotype" w:eastAsia="Palatino Linotype" w:cs="Times New Roman"/>
          <w:color w:val="000000" w:themeColor="text1"/>
          <w:kern w:val="0"/>
          <w14:ligatures w14:val="none"/>
        </w:rPr>
        <w:t xml:space="preserve"> of requirements</w:t>
      </w:r>
      <w:r w:rsidR="007C144A">
        <w:rPr>
          <w:rFonts w:ascii="Palatino Linotype" w:hAnsi="Palatino Linotype" w:eastAsia="Palatino Linotype" w:cs="Times New Roman"/>
          <w:color w:val="000000" w:themeColor="text1"/>
          <w:kern w:val="0"/>
          <w14:ligatures w14:val="none"/>
        </w:rPr>
        <w:t>, t</w:t>
      </w:r>
      <w:r w:rsidRPr="003F6CCF">
        <w:rPr>
          <w:rFonts w:ascii="Palatino Linotype" w:hAnsi="Palatino Linotype" w:eastAsia="Palatino Linotype" w:cs="Times New Roman"/>
          <w:color w:val="000000" w:themeColor="text1"/>
          <w:kern w:val="0"/>
          <w14:ligatures w14:val="none"/>
        </w:rPr>
        <w:t xml:space="preserve">he California Public Utilities Commission (CPUC or Commission) </w:t>
      </w:r>
      <w:r w:rsidRPr="003F6CCF" w:rsidR="003317A6">
        <w:rPr>
          <w:rFonts w:ascii="Palatino Linotype" w:hAnsi="Palatino Linotype" w:eastAsia="Palatino Linotype" w:cs="Times New Roman"/>
          <w:color w:val="000000" w:themeColor="text1"/>
          <w:kern w:val="0"/>
          <w14:ligatures w14:val="none"/>
        </w:rPr>
        <w:t>denies</w:t>
      </w:r>
      <w:r w:rsidRPr="003F6CCF">
        <w:rPr>
          <w:rFonts w:ascii="Palatino Linotype" w:hAnsi="Palatino Linotype" w:eastAsia="Palatino Linotype" w:cs="Times New Roman"/>
          <w:color w:val="000000" w:themeColor="text1"/>
          <w:kern w:val="0"/>
          <w14:ligatures w14:val="none"/>
        </w:rPr>
        <w:t xml:space="preserve"> </w:t>
      </w:r>
      <w:r w:rsidR="00147D2F">
        <w:rPr>
          <w:rFonts w:ascii="Palatino Linotype" w:hAnsi="Palatino Linotype" w:eastAsia="Palatino Linotype" w:cs="Times New Roman"/>
          <w:kern w:val="0"/>
          <w14:ligatures w14:val="none"/>
        </w:rPr>
        <w:t>PG&amp;E</w:t>
      </w:r>
      <w:r w:rsidRPr="007D1510">
        <w:rPr>
          <w:rFonts w:ascii="Palatino Linotype" w:hAnsi="Palatino Linotype" w:eastAsia="Palatino Linotype" w:cs="Times New Roman"/>
          <w:kern w:val="0"/>
          <w14:ligatures w14:val="none"/>
        </w:rPr>
        <w:t>’s</w:t>
      </w:r>
      <w:r w:rsidR="006A5DF1">
        <w:rPr>
          <w:rFonts w:ascii="Palatino Linotype" w:hAnsi="Palatino Linotype" w:eastAsia="Palatino Linotype" w:cs="Times New Roman"/>
          <w:kern w:val="0"/>
          <w14:ligatures w14:val="none"/>
        </w:rPr>
        <w:t xml:space="preserve"> Gas RD&amp;D Plans with</w:t>
      </w:r>
      <w:r w:rsidRPr="007D1510">
        <w:rPr>
          <w:rFonts w:ascii="Palatino Linotype" w:hAnsi="Palatino Linotype" w:eastAsia="Palatino Linotype" w:cs="Times New Roman"/>
          <w:kern w:val="0"/>
          <w14:ligatures w14:val="none"/>
        </w:rPr>
        <w:t xml:space="preserve"> proposed</w:t>
      </w:r>
      <w:r w:rsidR="00C7485A">
        <w:rPr>
          <w:rFonts w:ascii="Palatino Linotype" w:hAnsi="Palatino Linotype" w:eastAsia="Palatino Linotype" w:cs="Times New Roman"/>
          <w:kern w:val="0"/>
          <w14:ligatures w14:val="none"/>
        </w:rPr>
        <w:t xml:space="preserve"> </w:t>
      </w:r>
      <w:r w:rsidR="00C7485A">
        <w:rPr>
          <w:rFonts w:ascii="Palatino Linotype" w:hAnsi="Palatino Linotype" w:eastAsia="Times New Roman" w:cs="Times New Roman"/>
          <w:kern w:val="0"/>
          <w14:ligatures w14:val="none"/>
        </w:rPr>
        <w:t>budget</w:t>
      </w:r>
      <w:r w:rsidR="006A5DF1">
        <w:rPr>
          <w:rFonts w:ascii="Palatino Linotype" w:hAnsi="Palatino Linotype" w:eastAsia="Times New Roman" w:cs="Times New Roman"/>
          <w:kern w:val="0"/>
          <w14:ligatures w14:val="none"/>
        </w:rPr>
        <w:t>s</w:t>
      </w:r>
      <w:r w:rsidR="00C7485A">
        <w:rPr>
          <w:rFonts w:ascii="Palatino Linotype" w:hAnsi="Palatino Linotype" w:eastAsia="Times New Roman" w:cs="Times New Roman"/>
          <w:kern w:val="0"/>
          <w14:ligatures w14:val="none"/>
        </w:rPr>
        <w:t xml:space="preserve"> of $</w:t>
      </w:r>
      <w:r w:rsidRPr="00E15773" w:rsidR="00C7485A">
        <w:rPr>
          <w:rFonts w:ascii="Palatino Linotype" w:hAnsi="Palatino Linotype" w:eastAsia="Times New Roman" w:cs="Times New Roman"/>
          <w:color w:val="000000" w:themeColor="text1"/>
          <w:kern w:val="0"/>
          <w14:ligatures w14:val="none"/>
        </w:rPr>
        <w:t xml:space="preserve">8,092,000 </w:t>
      </w:r>
      <w:r w:rsidR="00C7485A">
        <w:rPr>
          <w:rFonts w:ascii="Palatino Linotype" w:hAnsi="Palatino Linotype" w:eastAsia="Times New Roman" w:cs="Times New Roman"/>
          <w:kern w:val="0"/>
          <w14:ligatures w14:val="none"/>
        </w:rPr>
        <w:t xml:space="preserve">for </w:t>
      </w:r>
      <w:r w:rsidR="00DC6991">
        <w:rPr>
          <w:rFonts w:ascii="Palatino Linotype" w:hAnsi="Palatino Linotype" w:eastAsia="Times New Roman" w:cs="Times New Roman"/>
          <w:kern w:val="0"/>
          <w14:ligatures w14:val="none"/>
        </w:rPr>
        <w:t>CY</w:t>
      </w:r>
      <w:r w:rsidR="00C7485A">
        <w:rPr>
          <w:rFonts w:ascii="Palatino Linotype" w:hAnsi="Palatino Linotype" w:eastAsia="Times New Roman" w:cs="Times New Roman"/>
          <w:kern w:val="0"/>
          <w14:ligatures w14:val="none"/>
        </w:rPr>
        <w:t xml:space="preserve"> 2024 and $</w:t>
      </w:r>
      <w:r w:rsidRPr="00A76C8F" w:rsidR="00C7485A">
        <w:rPr>
          <w:rFonts w:ascii="Palatino Linotype" w:hAnsi="Palatino Linotype" w:eastAsia="Times New Roman" w:cs="Times New Roman"/>
          <w:color w:val="000000" w:themeColor="text1"/>
          <w:kern w:val="0"/>
          <w14:ligatures w14:val="none"/>
        </w:rPr>
        <w:t xml:space="preserve">8,267,000 </w:t>
      </w:r>
      <w:r w:rsidR="00C7485A">
        <w:rPr>
          <w:rFonts w:ascii="Palatino Linotype" w:hAnsi="Palatino Linotype" w:eastAsia="Times New Roman" w:cs="Times New Roman"/>
          <w:kern w:val="0"/>
          <w14:ligatures w14:val="none"/>
        </w:rPr>
        <w:t xml:space="preserve">for </w:t>
      </w:r>
      <w:r w:rsidR="00AF0202">
        <w:rPr>
          <w:rFonts w:ascii="Palatino Linotype" w:hAnsi="Palatino Linotype" w:eastAsia="Times New Roman" w:cs="Times New Roman"/>
          <w:kern w:val="0"/>
          <w14:ligatures w14:val="none"/>
        </w:rPr>
        <w:br/>
      </w:r>
      <w:r w:rsidR="00DC6991">
        <w:rPr>
          <w:rFonts w:ascii="Palatino Linotype" w:hAnsi="Palatino Linotype" w:eastAsia="Times New Roman" w:cs="Times New Roman"/>
          <w:kern w:val="0"/>
          <w14:ligatures w14:val="none"/>
        </w:rPr>
        <w:t>CY</w:t>
      </w:r>
      <w:r w:rsidR="00C7485A">
        <w:rPr>
          <w:rFonts w:ascii="Palatino Linotype" w:hAnsi="Palatino Linotype" w:eastAsia="Times New Roman" w:cs="Times New Roman"/>
          <w:kern w:val="0"/>
          <w14:ligatures w14:val="none"/>
        </w:rPr>
        <w:t xml:space="preserve"> 2025, totaling $</w:t>
      </w:r>
      <w:r w:rsidRPr="00B71CA6" w:rsidR="00C7485A">
        <w:rPr>
          <w:rFonts w:ascii="Palatino Linotype" w:hAnsi="Palatino Linotype" w:eastAsia="Times New Roman" w:cs="Times New Roman"/>
          <w:color w:val="000000" w:themeColor="text1"/>
          <w:kern w:val="0"/>
          <w14:ligatures w14:val="none"/>
        </w:rPr>
        <w:t>16,359,000</w:t>
      </w:r>
      <w:r w:rsidR="005358A7">
        <w:rPr>
          <w:rFonts w:ascii="Palatino Linotype" w:hAnsi="Palatino Linotype" w:eastAsia="Times New Roman" w:cs="Times New Roman"/>
          <w:color w:val="000000" w:themeColor="text1"/>
          <w:kern w:val="0"/>
          <w14:ligatures w14:val="none"/>
        </w:rPr>
        <w:t>.</w:t>
      </w:r>
      <w:r w:rsidR="00CC2B38">
        <w:rPr>
          <w:rStyle w:val="FootnoteReference"/>
          <w:rFonts w:ascii="Palatino Linotype" w:hAnsi="Palatino Linotype" w:eastAsia="Times New Roman" w:cs="Times New Roman"/>
          <w:color w:val="000000" w:themeColor="text1"/>
          <w:kern w:val="0"/>
          <w14:ligatures w14:val="none"/>
        </w:rPr>
        <w:footnoteReference w:id="2"/>
      </w:r>
      <w:r w:rsidRPr="007D1510">
        <w:rPr>
          <w:rFonts w:ascii="Palatino Linotype" w:hAnsi="Palatino Linotype" w:eastAsia="Palatino Linotype" w:cs="Times New Roman"/>
          <w:kern w:val="0"/>
          <w14:ligatures w14:val="none"/>
        </w:rPr>
        <w:t xml:space="preserve"> Th</w:t>
      </w:r>
      <w:r w:rsidR="00F151FE">
        <w:rPr>
          <w:rFonts w:ascii="Palatino Linotype" w:hAnsi="Palatino Linotype" w:eastAsia="Palatino Linotype" w:cs="Times New Roman"/>
          <w:kern w:val="0"/>
          <w14:ligatures w14:val="none"/>
        </w:rPr>
        <w:t>ese budgets</w:t>
      </w:r>
      <w:r w:rsidRPr="007D1510">
        <w:rPr>
          <w:rFonts w:ascii="Palatino Linotype" w:hAnsi="Palatino Linotype" w:eastAsia="Palatino Linotype" w:cs="Times New Roman"/>
          <w:kern w:val="0"/>
          <w14:ligatures w14:val="none"/>
        </w:rPr>
        <w:t xml:space="preserve"> include </w:t>
      </w:r>
      <w:r w:rsidR="00F06146">
        <w:rPr>
          <w:rFonts w:ascii="Palatino Linotype" w:hAnsi="Palatino Linotype" w:eastAsia="Palatino Linotype" w:cs="Times New Roman"/>
          <w:kern w:val="0"/>
          <w14:ligatures w14:val="none"/>
        </w:rPr>
        <w:t>administrative budget</w:t>
      </w:r>
      <w:r w:rsidR="00E81D66">
        <w:rPr>
          <w:rFonts w:ascii="Palatino Linotype" w:hAnsi="Palatino Linotype" w:eastAsia="Palatino Linotype" w:cs="Times New Roman"/>
          <w:kern w:val="0"/>
          <w14:ligatures w14:val="none"/>
        </w:rPr>
        <w:t>s</w:t>
      </w:r>
      <w:r w:rsidR="00F06146">
        <w:rPr>
          <w:rFonts w:ascii="Palatino Linotype" w:hAnsi="Palatino Linotype" w:eastAsia="Palatino Linotype" w:cs="Times New Roman"/>
          <w:kern w:val="0"/>
          <w14:ligatures w14:val="none"/>
        </w:rPr>
        <w:t xml:space="preserve"> of</w:t>
      </w:r>
      <w:r w:rsidR="00F151FE">
        <w:rPr>
          <w:rFonts w:ascii="Palatino Linotype" w:hAnsi="Palatino Linotype" w:eastAsia="Palatino Linotype" w:cs="Times New Roman"/>
          <w:kern w:val="0"/>
          <w14:ligatures w14:val="none"/>
        </w:rPr>
        <w:t xml:space="preserve"> </w:t>
      </w:r>
      <w:r w:rsidR="005604CE">
        <w:rPr>
          <w:rFonts w:ascii="Palatino Linotype" w:hAnsi="Palatino Linotype" w:eastAsia="Palatino Linotype" w:cs="Times New Roman"/>
          <w:kern w:val="0"/>
          <w14:ligatures w14:val="none"/>
        </w:rPr>
        <w:t xml:space="preserve">10% for total administrative costs of </w:t>
      </w:r>
      <w:r w:rsidR="00F06146">
        <w:rPr>
          <w:rFonts w:ascii="Palatino Linotype" w:hAnsi="Palatino Linotype" w:eastAsia="Palatino Linotype" w:cs="Times New Roman"/>
          <w:kern w:val="0"/>
          <w14:ligatures w14:val="none"/>
        </w:rPr>
        <w:t>$809,200 for 2024 and $</w:t>
      </w:r>
      <w:r w:rsidR="00FD7EBA">
        <w:rPr>
          <w:rFonts w:ascii="Palatino Linotype" w:hAnsi="Palatino Linotype" w:eastAsia="Palatino Linotype" w:cs="Times New Roman"/>
          <w:kern w:val="0"/>
          <w14:ligatures w14:val="none"/>
        </w:rPr>
        <w:t>826,700 for 2025</w:t>
      </w:r>
      <w:r w:rsidRPr="007D1510">
        <w:rPr>
          <w:rFonts w:ascii="Palatino Linotype" w:hAnsi="Palatino Linotype" w:eastAsia="Palatino Linotype" w:cs="Times New Roman"/>
          <w:kern w:val="0"/>
          <w14:ligatures w14:val="none"/>
        </w:rPr>
        <w:t xml:space="preserve">. </w:t>
      </w:r>
      <w:r w:rsidR="001F5217">
        <w:rPr>
          <w:rFonts w:ascii="Palatino Linotype" w:hAnsi="Palatino Linotype" w:eastAsia="Times New Roman" w:cs="Times New Roman"/>
          <w:kern w:val="0"/>
          <w14:ligatures w14:val="none"/>
        </w:rPr>
        <w:t xml:space="preserve">This Resolution </w:t>
      </w:r>
      <w:r w:rsidRPr="003F6CCF" w:rsidR="004E5888">
        <w:rPr>
          <w:rFonts w:ascii="Palatino Linotype" w:hAnsi="Palatino Linotype" w:eastAsia="Times New Roman" w:cs="Times New Roman"/>
          <w:color w:val="000000" w:themeColor="text1"/>
          <w:kern w:val="0"/>
          <w14:ligatures w14:val="none"/>
        </w:rPr>
        <w:t xml:space="preserve">denies PG&amp;E’s </w:t>
      </w:r>
      <w:r w:rsidRPr="003F6CCF" w:rsidR="004E5888">
        <w:rPr>
          <w:rFonts w:ascii="Palatino Linotype" w:hAnsi="Palatino Linotype" w:eastAsia="Palatino Linotype" w:cs="Times New Roman"/>
          <w:color w:val="000000" w:themeColor="text1"/>
          <w:kern w:val="0"/>
          <w14:ligatures w14:val="none"/>
        </w:rPr>
        <w:t>request to recover $7,207,712 in expense</w:t>
      </w:r>
      <w:r w:rsidRPr="2694B4E8" w:rsidR="3E799500">
        <w:rPr>
          <w:rFonts w:ascii="Palatino Linotype" w:hAnsi="Palatino Linotype" w:eastAsia="Palatino Linotype" w:cs="Times New Roman"/>
          <w:color w:val="000000" w:themeColor="text1"/>
        </w:rPr>
        <w:t>s</w:t>
      </w:r>
      <w:r w:rsidRPr="003F6CCF" w:rsidR="004E5888">
        <w:rPr>
          <w:rFonts w:ascii="Palatino Linotype" w:hAnsi="Palatino Linotype" w:eastAsia="Palatino Linotype" w:cs="Times New Roman"/>
          <w:color w:val="000000" w:themeColor="text1"/>
          <w:kern w:val="0"/>
          <w14:ligatures w14:val="none"/>
        </w:rPr>
        <w:t xml:space="preserve"> for Calendar Years 2023 and 2024</w:t>
      </w:r>
      <w:r w:rsidR="002B40CF">
        <w:rPr>
          <w:rFonts w:ascii="Palatino Linotype" w:hAnsi="Palatino Linotype" w:eastAsia="Palatino Linotype" w:cs="Times New Roman"/>
          <w:color w:val="000000" w:themeColor="text1"/>
          <w:kern w:val="0"/>
          <w14:ligatures w14:val="none"/>
        </w:rPr>
        <w:t xml:space="preserve">. </w:t>
      </w:r>
      <w:r w:rsidR="00C70715">
        <w:rPr>
          <w:rFonts w:ascii="Palatino Linotype" w:hAnsi="Palatino Linotype" w:eastAsia="Palatino Linotype" w:cs="Times New Roman"/>
          <w:color w:val="000000" w:themeColor="text1"/>
          <w:kern w:val="0"/>
          <w14:ligatures w14:val="none"/>
        </w:rPr>
        <w:t>The Commission</w:t>
      </w:r>
      <w:r w:rsidR="004E5888">
        <w:rPr>
          <w:rFonts w:ascii="Palatino Linotype" w:hAnsi="Palatino Linotype" w:eastAsia="Palatino Linotype" w:cs="Times New Roman"/>
          <w:color w:val="000000" w:themeColor="text1"/>
          <w:kern w:val="0"/>
          <w14:ligatures w14:val="none"/>
        </w:rPr>
        <w:t xml:space="preserve"> </w:t>
      </w:r>
      <w:r w:rsidR="57FB62AA">
        <w:rPr>
          <w:rFonts w:ascii="Palatino Linotype" w:hAnsi="Palatino Linotype" w:eastAsia="Palatino Linotype" w:cs="Times New Roman"/>
          <w:color w:val="000000" w:themeColor="text1"/>
          <w:kern w:val="0"/>
          <w14:ligatures w14:val="none"/>
        </w:rPr>
        <w:t>d</w:t>
      </w:r>
      <w:r w:rsidR="001F5217">
        <w:rPr>
          <w:rFonts w:ascii="Palatino Linotype" w:hAnsi="Palatino Linotype" w:eastAsia="Times New Roman" w:cs="Times New Roman"/>
          <w:kern w:val="0"/>
          <w14:ligatures w14:val="none"/>
        </w:rPr>
        <w:t xml:space="preserve">irects PG&amp;E to submit revised </w:t>
      </w:r>
      <w:r w:rsidR="00904129">
        <w:rPr>
          <w:rFonts w:ascii="Palatino Linotype" w:hAnsi="Palatino Linotype" w:eastAsia="Times New Roman" w:cs="Times New Roman"/>
          <w:kern w:val="0"/>
          <w14:ligatures w14:val="none"/>
        </w:rPr>
        <w:t xml:space="preserve">2024 and 2025 </w:t>
      </w:r>
      <w:r w:rsidR="001F5217">
        <w:rPr>
          <w:rFonts w:ascii="Palatino Linotype" w:hAnsi="Palatino Linotype" w:eastAsia="Times New Roman" w:cs="Times New Roman"/>
          <w:kern w:val="0"/>
          <w14:ligatures w14:val="none"/>
        </w:rPr>
        <w:t xml:space="preserve">Gas RD&amp;D Investment Plans via </w:t>
      </w:r>
      <w:r w:rsidR="00B0129A">
        <w:rPr>
          <w:rFonts w:ascii="Palatino Linotype" w:hAnsi="Palatino Linotype" w:eastAsia="Times New Roman" w:cs="Times New Roman"/>
          <w:kern w:val="0"/>
          <w14:ligatures w14:val="none"/>
        </w:rPr>
        <w:t xml:space="preserve">respective </w:t>
      </w:r>
      <w:r w:rsidR="001F5217">
        <w:rPr>
          <w:rFonts w:ascii="Palatino Linotype" w:hAnsi="Palatino Linotype" w:eastAsia="Times New Roman" w:cs="Times New Roman"/>
          <w:kern w:val="0"/>
          <w14:ligatures w14:val="none"/>
        </w:rPr>
        <w:t xml:space="preserve">Tier </w:t>
      </w:r>
      <w:r w:rsidRPr="00592437" w:rsidR="60BE8A0A">
        <w:rPr>
          <w:rFonts w:ascii="Palatino Linotype" w:hAnsi="Palatino Linotype" w:eastAsia="Times New Roman" w:cs="Times New Roman"/>
          <w:color w:val="000000" w:themeColor="text1"/>
          <w:kern w:val="0"/>
          <w14:ligatures w14:val="none"/>
        </w:rPr>
        <w:t>3</w:t>
      </w:r>
      <w:r w:rsidRPr="00592437" w:rsidR="7257F611">
        <w:rPr>
          <w:rFonts w:ascii="Palatino Linotype" w:hAnsi="Palatino Linotype" w:eastAsia="Times New Roman" w:cs="Times New Roman"/>
          <w:color w:val="000000" w:themeColor="text1"/>
          <w:kern w:val="0"/>
          <w14:ligatures w14:val="none"/>
        </w:rPr>
        <w:t xml:space="preserve"> </w:t>
      </w:r>
      <w:r w:rsidRPr="003F6CCF" w:rsidR="001F5217">
        <w:rPr>
          <w:rFonts w:ascii="Palatino Linotype" w:hAnsi="Palatino Linotype" w:eastAsia="Times New Roman" w:cs="Times New Roman"/>
          <w:color w:val="000000" w:themeColor="text1"/>
          <w:kern w:val="0"/>
          <w14:ligatures w14:val="none"/>
        </w:rPr>
        <w:t>Advice Letter</w:t>
      </w:r>
      <w:r w:rsidRPr="003F6CCF" w:rsidR="00651A75">
        <w:rPr>
          <w:rFonts w:ascii="Palatino Linotype" w:hAnsi="Palatino Linotype" w:eastAsia="Times New Roman" w:cs="Times New Roman"/>
          <w:color w:val="000000" w:themeColor="text1"/>
          <w:kern w:val="0"/>
          <w14:ligatures w14:val="none"/>
        </w:rPr>
        <w:t>s</w:t>
      </w:r>
      <w:r w:rsidRPr="003F6CCF" w:rsidR="001F5217">
        <w:rPr>
          <w:rFonts w:ascii="Palatino Linotype" w:hAnsi="Palatino Linotype" w:eastAsia="Times New Roman" w:cs="Times New Roman"/>
          <w:color w:val="000000" w:themeColor="text1"/>
          <w:kern w:val="0"/>
          <w14:ligatures w14:val="none"/>
        </w:rPr>
        <w:t xml:space="preserve"> with </w:t>
      </w:r>
      <w:r w:rsidR="001F5463">
        <w:rPr>
          <w:rFonts w:ascii="Palatino Linotype" w:hAnsi="Palatino Linotype" w:eastAsia="Times New Roman" w:cs="Times New Roman"/>
          <w:color w:val="000000" w:themeColor="text1"/>
          <w:kern w:val="0"/>
          <w14:ligatures w14:val="none"/>
        </w:rPr>
        <w:t xml:space="preserve">required </w:t>
      </w:r>
      <w:r w:rsidRPr="003F6CCF" w:rsidR="001F5217">
        <w:rPr>
          <w:rFonts w:ascii="Palatino Linotype" w:hAnsi="Palatino Linotype" w:eastAsia="Times New Roman" w:cs="Times New Roman"/>
          <w:color w:val="000000" w:themeColor="text1"/>
          <w:kern w:val="0"/>
          <w14:ligatures w14:val="none"/>
        </w:rPr>
        <w:t xml:space="preserve">modifications as described </w:t>
      </w:r>
      <w:r w:rsidRPr="00977DD3" w:rsidR="001F5217">
        <w:rPr>
          <w:rFonts w:ascii="Palatino Linotype" w:hAnsi="Palatino Linotype" w:eastAsia="Times New Roman" w:cs="Times New Roman"/>
          <w:color w:val="000000" w:themeColor="text1"/>
          <w:kern w:val="0"/>
          <w14:ligatures w14:val="none"/>
        </w:rPr>
        <w:t>below</w:t>
      </w:r>
      <w:r w:rsidR="002C7482">
        <w:rPr>
          <w:rFonts w:ascii="Palatino Linotype" w:hAnsi="Palatino Linotype" w:eastAsia="Times New Roman" w:cs="Times New Roman"/>
          <w:color w:val="000000" w:themeColor="text1"/>
          <w:kern w:val="0"/>
          <w14:ligatures w14:val="none"/>
        </w:rPr>
        <w:t>.</w:t>
      </w:r>
    </w:p>
    <w:p w:rsidR="00A76F4A" w:rsidP="00361AB6" w:rsidRDefault="00A76F4A" w14:paraId="3ADC9F17" w14:textId="77777777">
      <w:pPr>
        <w:spacing w:after="0" w:line="276" w:lineRule="auto"/>
        <w:rPr>
          <w:rFonts w:ascii="Palatino Linotype" w:hAnsi="Palatino Linotype" w:eastAsia="Palatino Linotype" w:cs="Times New Roman"/>
          <w:kern w:val="0"/>
          <w14:ligatures w14:val="none"/>
        </w:rPr>
      </w:pPr>
    </w:p>
    <w:p w:rsidR="0078279B" w:rsidP="00361AB6" w:rsidRDefault="0078279B" w14:paraId="17B57956" w14:textId="25940747">
      <w:pPr>
        <w:spacing w:after="0" w:line="276" w:lineRule="auto"/>
        <w:rPr>
          <w:rFonts w:ascii="Palatino Linotype" w:hAnsi="Palatino Linotype" w:eastAsia="Palatino Linotype" w:cs="Times New Roman"/>
          <w:color w:val="000000" w:themeColor="text1"/>
          <w:kern w:val="0"/>
          <w14:ligatures w14:val="none"/>
        </w:rPr>
      </w:pPr>
      <w:r w:rsidRPr="00910387">
        <w:rPr>
          <w:rFonts w:ascii="Palatino Linotype" w:hAnsi="Palatino Linotype" w:eastAsia="Palatino Linotype" w:cs="Times New Roman"/>
          <w:color w:val="000000" w:themeColor="text1"/>
          <w:kern w:val="0"/>
          <w14:ligatures w14:val="none"/>
        </w:rPr>
        <w:t xml:space="preserve">This Resolution </w:t>
      </w:r>
      <w:r w:rsidRPr="00910387" w:rsidR="5703E937">
        <w:rPr>
          <w:rFonts w:ascii="Palatino Linotype" w:hAnsi="Palatino Linotype" w:eastAsia="Palatino Linotype" w:cs="Times New Roman"/>
          <w:color w:val="000000" w:themeColor="text1"/>
          <w:kern w:val="0"/>
          <w14:ligatures w14:val="none"/>
        </w:rPr>
        <w:t xml:space="preserve">directs </w:t>
      </w:r>
      <w:r w:rsidR="00D4333D">
        <w:rPr>
          <w:rFonts w:ascii="Palatino Linotype" w:hAnsi="Palatino Linotype" w:eastAsia="Palatino Linotype" w:cs="Times New Roman"/>
          <w:color w:val="000000" w:themeColor="text1"/>
          <w:kern w:val="0"/>
          <w14:ligatures w14:val="none"/>
        </w:rPr>
        <w:t xml:space="preserve">additional </w:t>
      </w:r>
      <w:r w:rsidRPr="00A2238F" w:rsidR="00D92D9C">
        <w:rPr>
          <w:rFonts w:ascii="Palatino Linotype" w:hAnsi="Palatino Linotype" w:eastAsia="Palatino Linotype" w:cs="Times New Roman"/>
          <w:color w:val="000000" w:themeColor="text1"/>
          <w:kern w:val="0"/>
          <w14:ligatures w14:val="none"/>
        </w:rPr>
        <w:t xml:space="preserve">PG&amp;E </w:t>
      </w:r>
      <w:r w:rsidR="00431214">
        <w:rPr>
          <w:rFonts w:ascii="Palatino Linotype" w:hAnsi="Palatino Linotype" w:eastAsia="Palatino Linotype" w:cs="Times New Roman"/>
          <w:color w:val="000000" w:themeColor="text1"/>
          <w:kern w:val="0"/>
          <w14:ligatures w14:val="none"/>
        </w:rPr>
        <w:t xml:space="preserve">Gas RD&amp;D </w:t>
      </w:r>
      <w:r w:rsidR="00930A56">
        <w:rPr>
          <w:rFonts w:ascii="Palatino Linotype" w:hAnsi="Palatino Linotype" w:eastAsia="Palatino Linotype" w:cs="Times New Roman"/>
          <w:color w:val="000000" w:themeColor="text1"/>
          <w:kern w:val="0"/>
          <w14:ligatures w14:val="none"/>
        </w:rPr>
        <w:t>P</w:t>
      </w:r>
      <w:r w:rsidR="00431214">
        <w:rPr>
          <w:rFonts w:ascii="Palatino Linotype" w:hAnsi="Palatino Linotype" w:eastAsia="Palatino Linotype" w:cs="Times New Roman"/>
          <w:color w:val="000000" w:themeColor="text1"/>
          <w:kern w:val="0"/>
          <w14:ligatures w14:val="none"/>
        </w:rPr>
        <w:t xml:space="preserve">rogram </w:t>
      </w:r>
      <w:r w:rsidR="00443AD0">
        <w:rPr>
          <w:rFonts w:ascii="Palatino Linotype" w:hAnsi="Palatino Linotype" w:eastAsia="Palatino Linotype" w:cs="Times New Roman"/>
          <w:color w:val="000000" w:themeColor="text1"/>
          <w:kern w:val="0"/>
          <w14:ligatures w14:val="none"/>
        </w:rPr>
        <w:t xml:space="preserve">schedule requirements </w:t>
      </w:r>
      <w:r w:rsidR="00E16EB8">
        <w:rPr>
          <w:rFonts w:ascii="Palatino Linotype" w:hAnsi="Palatino Linotype" w:eastAsia="Palatino Linotype" w:cs="Times New Roman"/>
          <w:color w:val="000000" w:themeColor="text1"/>
          <w:kern w:val="0"/>
          <w14:ligatures w14:val="none"/>
        </w:rPr>
        <w:t>as summarized in the</w:t>
      </w:r>
      <w:r>
        <w:rPr>
          <w:rFonts w:ascii="Palatino Linotype" w:hAnsi="Palatino Linotype" w:eastAsia="Palatino Linotype" w:cs="Times New Roman"/>
          <w:color w:val="000000" w:themeColor="text1"/>
          <w:kern w:val="0"/>
          <w14:ligatures w14:val="none"/>
        </w:rPr>
        <w:t xml:space="preserve"> table </w:t>
      </w:r>
      <w:r w:rsidR="00534B5B">
        <w:rPr>
          <w:rFonts w:ascii="Palatino Linotype" w:hAnsi="Palatino Linotype" w:eastAsia="Palatino Linotype" w:cs="Times New Roman"/>
          <w:color w:val="000000" w:themeColor="text1"/>
          <w:kern w:val="0"/>
          <w14:ligatures w14:val="none"/>
        </w:rPr>
        <w:t xml:space="preserve">below </w:t>
      </w:r>
      <w:r w:rsidR="00A3528D">
        <w:rPr>
          <w:rFonts w:ascii="Palatino Linotype" w:hAnsi="Palatino Linotype" w:eastAsia="Palatino Linotype" w:cs="Times New Roman"/>
          <w:color w:val="000000" w:themeColor="text1"/>
          <w:kern w:val="0"/>
          <w14:ligatures w14:val="none"/>
        </w:rPr>
        <w:t xml:space="preserve">outlining </w:t>
      </w:r>
      <w:r>
        <w:rPr>
          <w:rFonts w:ascii="Palatino Linotype" w:hAnsi="Palatino Linotype" w:eastAsia="Palatino Linotype" w:cs="Times New Roman"/>
          <w:color w:val="000000" w:themeColor="text1"/>
          <w:kern w:val="0"/>
          <w14:ligatures w14:val="none"/>
        </w:rPr>
        <w:t xml:space="preserve">the CY 2026 Plan </w:t>
      </w:r>
      <w:r w:rsidR="00E207FB">
        <w:rPr>
          <w:rFonts w:ascii="Palatino Linotype" w:hAnsi="Palatino Linotype" w:eastAsia="Palatino Linotype" w:cs="Times New Roman"/>
          <w:color w:val="000000" w:themeColor="text1"/>
          <w:kern w:val="0"/>
          <w14:ligatures w14:val="none"/>
        </w:rPr>
        <w:t>S</w:t>
      </w:r>
      <w:r w:rsidRPr="00514242">
        <w:rPr>
          <w:rFonts w:ascii="Palatino Linotype" w:hAnsi="Palatino Linotype" w:eastAsia="Palatino Linotype" w:cs="Times New Roman"/>
          <w:color w:val="000000" w:themeColor="text1"/>
          <w:kern w:val="0"/>
          <w14:ligatures w14:val="none"/>
        </w:rPr>
        <w:t>chedule</w:t>
      </w:r>
      <w:r w:rsidRPr="00514242" w:rsidR="00AF4234">
        <w:rPr>
          <w:rFonts w:ascii="Palatino Linotype" w:hAnsi="Palatino Linotype" w:eastAsia="Palatino Linotype" w:cs="Times New Roman"/>
          <w:color w:val="000000" w:themeColor="text1"/>
          <w:kern w:val="0"/>
          <w14:ligatures w14:val="none"/>
        </w:rPr>
        <w:t xml:space="preserve">. </w:t>
      </w:r>
      <w:r w:rsidR="00813E77">
        <w:rPr>
          <w:rFonts w:ascii="Palatino Linotype" w:hAnsi="Palatino Linotype" w:eastAsia="Palatino Linotype" w:cs="Times New Roman"/>
          <w:color w:val="000000" w:themeColor="text1"/>
          <w:kern w:val="0"/>
          <w14:ligatures w14:val="none"/>
        </w:rPr>
        <w:t xml:space="preserve">Unless otherwise </w:t>
      </w:r>
      <w:r w:rsidR="001853D8">
        <w:rPr>
          <w:rFonts w:ascii="Palatino Linotype" w:hAnsi="Palatino Linotype" w:eastAsia="Palatino Linotype" w:cs="Times New Roman"/>
          <w:color w:val="000000" w:themeColor="text1"/>
          <w:kern w:val="0"/>
          <w14:ligatures w14:val="none"/>
        </w:rPr>
        <w:t>advised</w:t>
      </w:r>
      <w:r w:rsidR="00813E77">
        <w:rPr>
          <w:rFonts w:ascii="Palatino Linotype" w:hAnsi="Palatino Linotype" w:eastAsia="Palatino Linotype" w:cs="Times New Roman"/>
          <w:color w:val="000000" w:themeColor="text1"/>
          <w:kern w:val="0"/>
          <w14:ligatures w14:val="none"/>
        </w:rPr>
        <w:t xml:space="preserve"> by Energy Division</w:t>
      </w:r>
      <w:r w:rsidR="008E28CC">
        <w:rPr>
          <w:rFonts w:ascii="Palatino Linotype" w:hAnsi="Palatino Linotype" w:eastAsia="Palatino Linotype" w:cs="Times New Roman"/>
          <w:color w:val="000000" w:themeColor="text1"/>
          <w:kern w:val="0"/>
          <w14:ligatures w14:val="none"/>
        </w:rPr>
        <w:t xml:space="preserve"> (ED)</w:t>
      </w:r>
      <w:r w:rsidR="00813E77">
        <w:rPr>
          <w:rFonts w:ascii="Palatino Linotype" w:hAnsi="Palatino Linotype" w:eastAsia="Palatino Linotype" w:cs="Times New Roman"/>
          <w:color w:val="000000" w:themeColor="text1"/>
          <w:kern w:val="0"/>
          <w14:ligatures w14:val="none"/>
        </w:rPr>
        <w:t>, f</w:t>
      </w:r>
      <w:r w:rsidRPr="00514242" w:rsidR="00AF4234">
        <w:rPr>
          <w:rFonts w:ascii="Palatino Linotype" w:hAnsi="Palatino Linotype" w:eastAsia="Palatino Linotype" w:cs="Times New Roman"/>
          <w:color w:val="000000" w:themeColor="text1"/>
          <w:kern w:val="0"/>
          <w14:ligatures w14:val="none"/>
        </w:rPr>
        <w:t xml:space="preserve">uture </w:t>
      </w:r>
      <w:r w:rsidR="00D30443">
        <w:rPr>
          <w:rFonts w:ascii="Palatino Linotype" w:hAnsi="Palatino Linotype" w:eastAsia="Palatino Linotype" w:cs="Times New Roman"/>
          <w:color w:val="000000" w:themeColor="text1"/>
          <w:kern w:val="0"/>
          <w14:ligatures w14:val="none"/>
        </w:rPr>
        <w:t xml:space="preserve">annual </w:t>
      </w:r>
      <w:r w:rsidR="00A33166">
        <w:rPr>
          <w:rFonts w:ascii="Palatino Linotype" w:hAnsi="Palatino Linotype" w:eastAsia="Palatino Linotype" w:cs="Times New Roman"/>
          <w:color w:val="000000" w:themeColor="text1"/>
          <w:kern w:val="0"/>
          <w14:ligatures w14:val="none"/>
        </w:rPr>
        <w:t xml:space="preserve">program </w:t>
      </w:r>
      <w:r w:rsidRPr="00514242" w:rsidR="00AF4234">
        <w:rPr>
          <w:rFonts w:ascii="Palatino Linotype" w:hAnsi="Palatino Linotype" w:eastAsia="Palatino Linotype" w:cs="Times New Roman"/>
          <w:color w:val="000000" w:themeColor="text1"/>
          <w:kern w:val="0"/>
          <w14:ligatures w14:val="none"/>
        </w:rPr>
        <w:t xml:space="preserve">cycles </w:t>
      </w:r>
      <w:r w:rsidRPr="00514242" w:rsidR="00514242">
        <w:rPr>
          <w:rFonts w:ascii="Palatino Linotype" w:hAnsi="Palatino Linotype" w:eastAsia="Palatino Linotype" w:cs="Times New Roman"/>
          <w:color w:val="000000" w:themeColor="text1"/>
          <w:kern w:val="0"/>
          <w14:ligatures w14:val="none"/>
        </w:rPr>
        <w:t>shall mirror this schedule:</w:t>
      </w:r>
    </w:p>
    <w:p w:rsidR="006D5CD4" w:rsidP="00361AB6" w:rsidRDefault="006D5CD4" w14:paraId="5C0775B7" w14:textId="77777777">
      <w:pPr>
        <w:spacing w:after="0" w:line="276" w:lineRule="auto"/>
        <w:rPr>
          <w:rFonts w:ascii="Palatino Linotype" w:hAnsi="Palatino Linotype" w:eastAsia="Palatino Linotype" w:cs="Times New Roman"/>
          <w:color w:val="000000" w:themeColor="text1"/>
          <w:kern w:val="0"/>
          <w14:ligatures w14:val="none"/>
        </w:rPr>
      </w:pPr>
    </w:p>
    <w:tbl>
      <w:tblPr>
        <w:tblW w:w="91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52"/>
        <w:gridCol w:w="7020"/>
      </w:tblGrid>
      <w:tr w:rsidRPr="00406769" w:rsidR="008A4743" w:rsidTr="00426933" w14:paraId="0BA6931A" w14:textId="77777777">
        <w:trPr>
          <w:trHeight w:val="390"/>
        </w:trPr>
        <w:tc>
          <w:tcPr>
            <w:tcW w:w="9172" w:type="dxa"/>
            <w:gridSpan w:val="2"/>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06769" w:rsidR="008A4743" w:rsidP="0005355D" w:rsidRDefault="008A4743" w14:paraId="637E9EFF" w14:textId="1E311FD9">
            <w:pPr>
              <w:keepNext/>
              <w:keepLines/>
              <w:spacing w:after="0" w:line="276" w:lineRule="auto"/>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14:ligatures w14:val="none"/>
              </w:rPr>
              <w:lastRenderedPageBreak/>
              <w:t xml:space="preserve">Table 1: Calendar Year </w:t>
            </w:r>
            <w:r w:rsidRPr="00406769">
              <w:rPr>
                <w:rFonts w:ascii="Palatino Linotype" w:hAnsi="Palatino Linotype" w:eastAsia="Palatino Linotype" w:cs="Times New Roman"/>
                <w:b/>
                <w:bCs/>
                <w:kern w:val="0"/>
                <w14:ligatures w14:val="none"/>
              </w:rPr>
              <w:t xml:space="preserve">2026 </w:t>
            </w:r>
            <w:r>
              <w:rPr>
                <w:rFonts w:ascii="Palatino Linotype" w:hAnsi="Palatino Linotype" w:eastAsia="Palatino Linotype" w:cs="Times New Roman"/>
                <w:b/>
                <w:bCs/>
                <w:kern w:val="0"/>
                <w14:ligatures w14:val="none"/>
              </w:rPr>
              <w:t>Plan</w:t>
            </w:r>
            <w:r w:rsidRPr="007D1585">
              <w:rPr>
                <w:rFonts w:ascii="Palatino Linotype" w:hAnsi="Palatino Linotype" w:eastAsia="Palatino Linotype" w:cs="Times New Roman"/>
                <w:b/>
                <w:bCs/>
                <w:color w:val="000000" w:themeColor="text1"/>
                <w:kern w:val="0"/>
                <w14:ligatures w14:val="none"/>
              </w:rPr>
              <w:t xml:space="preserve"> </w:t>
            </w:r>
            <w:r w:rsidRPr="00406769">
              <w:rPr>
                <w:rFonts w:ascii="Palatino Linotype" w:hAnsi="Palatino Linotype" w:eastAsia="Palatino Linotype" w:cs="Times New Roman"/>
                <w:b/>
                <w:bCs/>
                <w:kern w:val="0"/>
                <w14:ligatures w14:val="none"/>
              </w:rPr>
              <w:t>Schedule</w:t>
            </w:r>
          </w:p>
        </w:tc>
      </w:tr>
      <w:tr w:rsidRPr="00431214" w:rsidR="008A4743" w:rsidTr="00426933" w14:paraId="7D277D41" w14:textId="77777777">
        <w:trPr>
          <w:trHeight w:val="300"/>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4F0661" w:rsidR="008A4743" w:rsidP="0005355D" w:rsidRDefault="008A4743" w14:paraId="10660698" w14:textId="235894EB">
            <w:pPr>
              <w:keepNext/>
              <w:keepLines/>
              <w:spacing w:after="0" w:line="276" w:lineRule="auto"/>
              <w:rPr>
                <w:rFonts w:ascii="Palatino Linotype" w:hAnsi="Palatino Linotype" w:eastAsia="Palatino Linotype" w:cs="Times New Roman"/>
                <w:b/>
                <w:bCs/>
                <w:kern w:val="0"/>
                <w14:ligatures w14:val="none"/>
              </w:rPr>
            </w:pPr>
            <w:r w:rsidRPr="004F0661">
              <w:rPr>
                <w:rFonts w:ascii="Palatino Linotype" w:hAnsi="Palatino Linotype" w:eastAsia="Palatino Linotype" w:cs="Times New Roman"/>
                <w:b/>
                <w:bCs/>
                <w:kern w:val="0"/>
                <w14:ligatures w14:val="none"/>
              </w:rPr>
              <w:t>Timeline:</w:t>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F0661" w:rsidR="008A4743" w:rsidP="0005355D" w:rsidRDefault="008A4743" w14:paraId="676A8970" w14:textId="77777777">
            <w:pPr>
              <w:keepNext/>
              <w:keepLines/>
              <w:spacing w:after="0" w:line="276" w:lineRule="auto"/>
              <w:rPr>
                <w:rFonts w:ascii="Palatino Linotype" w:hAnsi="Palatino Linotype" w:eastAsia="Palatino Linotype" w:cs="Times New Roman"/>
                <w:b/>
                <w:bCs/>
                <w:kern w:val="0"/>
                <w14:ligatures w14:val="none"/>
              </w:rPr>
            </w:pPr>
            <w:r w:rsidRPr="004F0661">
              <w:rPr>
                <w:rFonts w:ascii="Palatino Linotype" w:hAnsi="Palatino Linotype" w:eastAsia="Palatino Linotype" w:cs="Times New Roman"/>
                <w:b/>
                <w:bCs/>
                <w:kern w:val="0"/>
                <w14:ligatures w14:val="none"/>
              </w:rPr>
              <w:t>Action:</w:t>
            </w:r>
            <w:r w:rsidRPr="004F0661">
              <w:rPr>
                <w:rFonts w:ascii="Times New Roman" w:hAnsi="Times New Roman" w:eastAsia="Palatino Linotype" w:cs="Times New Roman"/>
                <w:b/>
                <w:bCs/>
                <w:kern w:val="0"/>
                <w14:ligatures w14:val="none"/>
              </w:rPr>
              <w:t> </w:t>
            </w:r>
            <w:r w:rsidRPr="004F0661">
              <w:rPr>
                <w:rFonts w:ascii="Palatino Linotype" w:hAnsi="Palatino Linotype" w:eastAsia="Palatino Linotype" w:cs="Times New Roman"/>
                <w:b/>
                <w:bCs/>
                <w:kern w:val="0"/>
                <w14:ligatures w14:val="none"/>
              </w:rPr>
              <w:t> </w:t>
            </w:r>
          </w:p>
        </w:tc>
      </w:tr>
      <w:tr w:rsidRPr="00406769" w:rsidR="008A4743" w:rsidTr="0005355D" w14:paraId="06BDFDDF" w14:textId="77777777">
        <w:trPr>
          <w:trHeight w:val="576"/>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C962FF" w:rsidR="008A4743" w:rsidP="0005355D" w:rsidRDefault="008A4743" w14:paraId="6EFD1235" w14:textId="6C20E511">
            <w:pPr>
              <w:keepNext/>
              <w:keepLines/>
              <w:spacing w:after="0" w:line="276" w:lineRule="auto"/>
              <w:rPr>
                <w:rFonts w:ascii="Palatino Linotype" w:hAnsi="Palatino Linotype" w:eastAsia="Palatino Linotype" w:cs="Times New Roman"/>
                <w:color w:val="000000" w:themeColor="text1"/>
                <w:kern w:val="0"/>
                <w14:ligatures w14:val="none"/>
              </w:rPr>
            </w:pPr>
            <w:r w:rsidRPr="00C962FF">
              <w:rPr>
                <w:rFonts w:ascii="Palatino Linotype" w:hAnsi="Palatino Linotype" w:eastAsia="Palatino Linotype" w:cs="Times New Roman"/>
                <w:color w:val="000000" w:themeColor="text1"/>
                <w:kern w:val="0"/>
                <w14:ligatures w14:val="none"/>
              </w:rPr>
              <w:t>September 2025</w:t>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1F391F" w:rsidR="008A4743" w:rsidP="0005355D" w:rsidRDefault="008A4743" w14:paraId="758B941C" w14:textId="5AA23071">
            <w:pPr>
              <w:keepNext/>
              <w:keepLines/>
              <w:spacing w:after="0" w:line="276" w:lineRule="auto"/>
              <w:rPr>
                <w:rFonts w:ascii="Palatino Linotype" w:hAnsi="Palatino Linotype" w:eastAsia="Palatino Linotype" w:cs="Times New Roman"/>
                <w:color w:val="000000" w:themeColor="text1"/>
                <w:kern w:val="0"/>
                <w14:ligatures w14:val="none"/>
              </w:rPr>
            </w:pPr>
            <w:r>
              <w:rPr>
                <w:rFonts w:ascii="Palatino Linotype" w:hAnsi="Palatino Linotype" w:eastAsia="Palatino Linotype" w:cs="Times New Roman"/>
                <w:color w:val="000000" w:themeColor="text1"/>
                <w:kern w:val="0"/>
                <w14:ligatures w14:val="none"/>
              </w:rPr>
              <w:t>C</w:t>
            </w:r>
            <w:r w:rsidRPr="001F391F">
              <w:rPr>
                <w:rFonts w:ascii="Palatino Linotype" w:hAnsi="Palatino Linotype" w:eastAsia="Palatino Linotype" w:cs="Times New Roman"/>
                <w:color w:val="000000" w:themeColor="text1"/>
                <w:kern w:val="0"/>
                <w14:ligatures w14:val="none"/>
              </w:rPr>
              <w:t>oordinat</w:t>
            </w:r>
            <w:r>
              <w:rPr>
                <w:rFonts w:ascii="Palatino Linotype" w:hAnsi="Palatino Linotype" w:eastAsia="Palatino Linotype" w:cs="Times New Roman"/>
                <w:color w:val="000000" w:themeColor="text1"/>
                <w:kern w:val="0"/>
                <w14:ligatures w14:val="none"/>
              </w:rPr>
              <w:t>e on</w:t>
            </w:r>
            <w:r w:rsidRPr="001F391F">
              <w:rPr>
                <w:rFonts w:ascii="Palatino Linotype" w:hAnsi="Palatino Linotype" w:eastAsia="Palatino Linotype" w:cs="Times New Roman"/>
                <w:color w:val="000000" w:themeColor="text1"/>
                <w:kern w:val="0"/>
                <w14:ligatures w14:val="none"/>
              </w:rPr>
              <w:t xml:space="preserve"> 2026 Plans across</w:t>
            </w:r>
            <w:r>
              <w:rPr>
                <w:rFonts w:ascii="Palatino Linotype" w:hAnsi="Palatino Linotype" w:eastAsia="Palatino Linotype" w:cs="Times New Roman"/>
                <w:color w:val="000000" w:themeColor="text1"/>
                <w:kern w:val="0"/>
                <w14:ligatures w14:val="none"/>
              </w:rPr>
              <w:t xml:space="preserve"> program administrators</w:t>
            </w:r>
            <w:r w:rsidRPr="001F391F">
              <w:rPr>
                <w:rFonts w:ascii="Palatino Linotype" w:hAnsi="Palatino Linotype" w:eastAsia="Palatino Linotype" w:cs="Times New Roman"/>
                <w:color w:val="000000" w:themeColor="text1"/>
                <w:kern w:val="0"/>
                <w14:ligatures w14:val="none"/>
              </w:rPr>
              <w:t xml:space="preserve"> to promote synchronicity </w:t>
            </w:r>
            <w:r>
              <w:rPr>
                <w:rFonts w:ascii="Palatino Linotype" w:hAnsi="Palatino Linotype" w:eastAsia="Palatino Linotype" w:cs="Times New Roman"/>
                <w:color w:val="000000" w:themeColor="text1"/>
                <w:kern w:val="0"/>
                <w14:ligatures w14:val="none"/>
              </w:rPr>
              <w:t xml:space="preserve">in implementing CPUC policies </w:t>
            </w:r>
            <w:r w:rsidRPr="001F391F">
              <w:rPr>
                <w:rFonts w:ascii="Palatino Linotype" w:hAnsi="Palatino Linotype" w:eastAsia="Palatino Linotype" w:cs="Times New Roman"/>
                <w:color w:val="000000" w:themeColor="text1"/>
                <w:kern w:val="0"/>
                <w14:ligatures w14:val="none"/>
              </w:rPr>
              <w:t>and avoid duplicative RD&amp;D activities</w:t>
            </w:r>
            <w:r>
              <w:rPr>
                <w:rFonts w:ascii="Times New Roman" w:hAnsi="Times New Roman" w:eastAsia="Palatino Linotype" w:cs="Times New Roman"/>
                <w:color w:val="000000" w:themeColor="text1"/>
                <w:kern w:val="0"/>
                <w14:ligatures w14:val="none"/>
              </w:rPr>
              <w:t>.</w:t>
            </w:r>
            <w:r w:rsidRPr="001F391F">
              <w:rPr>
                <w:rFonts w:ascii="Palatino Linotype" w:hAnsi="Palatino Linotype" w:eastAsia="Palatino Linotype" w:cs="Times New Roman"/>
                <w:color w:val="000000" w:themeColor="text1"/>
                <w:kern w:val="0"/>
                <w14:ligatures w14:val="none"/>
              </w:rPr>
              <w:t> </w:t>
            </w:r>
          </w:p>
        </w:tc>
      </w:tr>
      <w:tr w:rsidRPr="00406769" w:rsidR="008A4743" w:rsidTr="00426933" w14:paraId="25AB842D" w14:textId="77777777">
        <w:trPr>
          <w:trHeight w:val="675"/>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C962FF" w:rsidR="008A4743" w:rsidP="0005355D" w:rsidRDefault="008A4743" w14:paraId="41C105B0" w14:textId="7229DB8A">
            <w:pPr>
              <w:keepNext/>
              <w:keepLines/>
              <w:spacing w:after="0" w:line="276" w:lineRule="auto"/>
              <w:rPr>
                <w:rFonts w:ascii="Palatino Linotype" w:hAnsi="Palatino Linotype" w:eastAsia="Palatino Linotype" w:cs="Times New Roman"/>
                <w:color w:val="000000" w:themeColor="text1"/>
                <w:kern w:val="0"/>
                <w14:ligatures w14:val="none"/>
              </w:rPr>
            </w:pPr>
            <w:r w:rsidRPr="00C962FF">
              <w:rPr>
                <w:rFonts w:ascii="Palatino Linotype" w:hAnsi="Palatino Linotype" w:eastAsia="Palatino Linotype" w:cs="Times New Roman"/>
                <w:color w:val="000000" w:themeColor="text1"/>
                <w:kern w:val="0"/>
                <w14:ligatures w14:val="none"/>
              </w:rPr>
              <w:t>October 2025</w:t>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06769" w:rsidR="008A4743" w:rsidP="0005355D" w:rsidRDefault="008A4743" w14:paraId="2993C9A5" w14:textId="44824591">
            <w:pPr>
              <w:keepNext/>
              <w:keepLines/>
              <w:spacing w:after="0" w:line="276" w:lineRule="auto"/>
              <w:rPr>
                <w:rFonts w:ascii="Palatino Linotype" w:hAnsi="Palatino Linotype" w:eastAsia="Palatino Linotype" w:cs="Times New Roman"/>
                <w:kern w:val="0"/>
                <w14:ligatures w14:val="none"/>
              </w:rPr>
            </w:pPr>
            <w:r w:rsidRPr="00406769">
              <w:rPr>
                <w:rFonts w:ascii="Palatino Linotype" w:hAnsi="Palatino Linotype" w:eastAsia="Palatino Linotype" w:cs="Times New Roman"/>
                <w:kern w:val="0"/>
                <w14:ligatures w14:val="none"/>
              </w:rPr>
              <w:t xml:space="preserve">Submit </w:t>
            </w:r>
            <w:r>
              <w:rPr>
                <w:rFonts w:ascii="Palatino Linotype" w:hAnsi="Palatino Linotype" w:eastAsia="Palatino Linotype" w:cs="Times New Roman"/>
                <w:kern w:val="0"/>
                <w14:ligatures w14:val="none"/>
              </w:rPr>
              <w:t>pre-submittal Consultation</w:t>
            </w:r>
            <w:r w:rsidRPr="0040676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Plan proposal </w:t>
            </w:r>
            <w:r w:rsidRPr="00406769">
              <w:rPr>
                <w:rFonts w:ascii="Palatino Linotype" w:hAnsi="Palatino Linotype" w:eastAsia="Palatino Linotype" w:cs="Times New Roman"/>
                <w:kern w:val="0"/>
                <w14:ligatures w14:val="none"/>
              </w:rPr>
              <w:t>materials to Energy Divisio</w:t>
            </w:r>
            <w:r>
              <w:rPr>
                <w:rFonts w:ascii="Palatino Linotype" w:hAnsi="Palatino Linotype" w:eastAsia="Palatino Linotype" w:cs="Times New Roman"/>
                <w:kern w:val="0"/>
                <w14:ligatures w14:val="none"/>
              </w:rPr>
              <w:t>n for initial feedback.</w:t>
            </w:r>
          </w:p>
        </w:tc>
      </w:tr>
      <w:tr w:rsidRPr="00406769" w:rsidR="008A4743" w:rsidTr="006A2930" w14:paraId="0A1D2782" w14:textId="77777777">
        <w:trPr>
          <w:trHeight w:val="948"/>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C962FF" w:rsidR="008A4743" w:rsidP="0005355D" w:rsidRDefault="008A4743" w14:paraId="3FFA85E5" w14:textId="237B2590">
            <w:pPr>
              <w:keepNext/>
              <w:keepLines/>
              <w:spacing w:after="0" w:line="276" w:lineRule="auto"/>
              <w:rPr>
                <w:rFonts w:ascii="Palatino Linotype" w:hAnsi="Palatino Linotype" w:eastAsia="Palatino Linotype" w:cs="Times New Roman"/>
                <w:color w:val="000000" w:themeColor="text1"/>
                <w:kern w:val="0"/>
                <w14:ligatures w14:val="none"/>
              </w:rPr>
            </w:pPr>
            <w:r w:rsidRPr="00C962FF">
              <w:rPr>
                <w:rFonts w:ascii="Palatino Linotype" w:hAnsi="Palatino Linotype" w:eastAsia="Palatino Linotype" w:cs="Times New Roman"/>
                <w:color w:val="000000" w:themeColor="text1"/>
                <w:kern w:val="0"/>
                <w14:ligatures w14:val="none"/>
              </w:rPr>
              <w:t>November 2025</w:t>
            </w:r>
            <w:r w:rsidR="004C2494">
              <w:rPr>
                <w:rFonts w:ascii="Palatino Linotype" w:hAnsi="Palatino Linotype" w:eastAsia="Palatino Linotype" w:cs="Times New Roman"/>
                <w:color w:val="000000" w:themeColor="text1"/>
                <w:kern w:val="0"/>
                <w14:ligatures w14:val="none"/>
              </w:rPr>
              <w:t xml:space="preserve"> – January 2026</w:t>
            </w:r>
            <w:r w:rsidRPr="3F269A91">
              <w:rPr>
                <w:rStyle w:val="FootnoteReference"/>
                <w:rFonts w:ascii="Palatino Linotype" w:hAnsi="Palatino Linotype" w:eastAsia="Palatino Linotype" w:cs="Times New Roman"/>
                <w:color w:val="000000" w:themeColor="text1"/>
              </w:rPr>
              <w:footnoteReference w:id="3"/>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06769" w:rsidR="008A4743" w:rsidP="0005355D" w:rsidRDefault="008A4743" w14:paraId="63C14FBE" w14:textId="77F3D7DD">
            <w:pPr>
              <w:keepNext/>
              <w:keepLines/>
              <w:spacing w:after="0" w:line="276" w:lineRule="auto"/>
              <w:rPr>
                <w:rFonts w:ascii="Palatino Linotype" w:hAnsi="Palatino Linotype" w:eastAsia="Palatino Linotype" w:cs="Times New Roman"/>
                <w:kern w:val="0"/>
                <w14:ligatures w14:val="none"/>
              </w:rPr>
            </w:pPr>
            <w:r w:rsidRPr="00406769">
              <w:rPr>
                <w:rFonts w:ascii="Palatino Linotype" w:hAnsi="Palatino Linotype" w:eastAsia="Palatino Linotype" w:cs="Times New Roman"/>
                <w:kern w:val="0"/>
                <w14:ligatures w14:val="none"/>
              </w:rPr>
              <w:t xml:space="preserve">Conduct </w:t>
            </w:r>
            <w:r>
              <w:rPr>
                <w:rFonts w:ascii="Palatino Linotype" w:hAnsi="Palatino Linotype" w:eastAsia="Palatino Linotype" w:cs="Times New Roman"/>
                <w:kern w:val="0"/>
                <w14:ligatures w14:val="none"/>
              </w:rPr>
              <w:t>pre-submittal Consultation with CPUC staff to promote alignment with CPUC policies and proceedings.</w:t>
            </w:r>
          </w:p>
        </w:tc>
      </w:tr>
      <w:tr w:rsidRPr="00406769" w:rsidR="00D10A25" w:rsidTr="008A4743" w14:paraId="140358A1" w14:textId="77777777">
        <w:trPr>
          <w:trHeight w:val="585"/>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Pr="00C502A7" w:rsidR="00D10A25" w:rsidP="0005355D" w:rsidRDefault="00762536" w14:paraId="30CE4550" w14:textId="15C52268">
            <w:pPr>
              <w:keepNext/>
              <w:keepLines/>
              <w:spacing w:after="0" w:line="276" w:lineRule="auto"/>
              <w:rPr>
                <w:rFonts w:ascii="Palatino Linotype" w:hAnsi="Palatino Linotype" w:eastAsia="Palatino Linotype" w:cs="Times New Roman"/>
                <w:color w:val="000000" w:themeColor="text1"/>
                <w:kern w:val="0"/>
                <w14:ligatures w14:val="none"/>
              </w:rPr>
            </w:pPr>
            <w:r w:rsidRPr="00C502A7">
              <w:rPr>
                <w:rFonts w:ascii="Palatino Linotype" w:hAnsi="Palatino Linotype" w:eastAsia="Palatino Linotype" w:cs="Times New Roman"/>
                <w:color w:val="000000" w:themeColor="text1"/>
                <w:kern w:val="0"/>
                <w14:ligatures w14:val="none"/>
              </w:rPr>
              <w:t xml:space="preserve">By </w:t>
            </w:r>
            <w:r w:rsidRPr="00C502A7" w:rsidR="00BB4B95">
              <w:rPr>
                <w:rFonts w:ascii="Palatino Linotype" w:hAnsi="Palatino Linotype" w:eastAsia="Palatino Linotype" w:cs="Times New Roman"/>
                <w:color w:val="000000" w:themeColor="text1"/>
                <w:kern w:val="0"/>
                <w14:ligatures w14:val="none"/>
              </w:rPr>
              <w:t xml:space="preserve">March </w:t>
            </w:r>
            <w:r w:rsidRPr="00C502A7">
              <w:rPr>
                <w:rFonts w:ascii="Palatino Linotype" w:hAnsi="Palatino Linotype" w:eastAsia="Palatino Linotype" w:cs="Times New Roman"/>
                <w:color w:val="000000" w:themeColor="text1"/>
                <w:kern w:val="0"/>
                <w14:ligatures w14:val="none"/>
              </w:rPr>
              <w:t>1,</w:t>
            </w:r>
            <w:r w:rsidRPr="00C502A7" w:rsidR="00D128B9">
              <w:rPr>
                <w:rFonts w:ascii="Palatino Linotype" w:hAnsi="Palatino Linotype" w:eastAsia="Palatino Linotype" w:cs="Times New Roman"/>
                <w:color w:val="000000" w:themeColor="text1"/>
                <w:kern w:val="0"/>
                <w14:ligatures w14:val="none"/>
              </w:rPr>
              <w:t xml:space="preserve"> 2026</w:t>
            </w:r>
          </w:p>
          <w:p w:rsidRPr="00C502A7" w:rsidR="00BB4B95" w:rsidP="0005355D" w:rsidRDefault="00BB4B95" w14:paraId="4A01086B" w14:textId="46C5BF21">
            <w:pPr>
              <w:keepNext/>
              <w:keepLines/>
              <w:spacing w:after="0" w:line="276" w:lineRule="auto"/>
              <w:rPr>
                <w:rFonts w:ascii="Palatino Linotype" w:hAnsi="Palatino Linotype" w:eastAsia="Palatino Linotype" w:cs="Times New Roman"/>
                <w:i/>
                <w:iCs/>
                <w:color w:val="000000" w:themeColor="text1"/>
                <w:kern w:val="0"/>
                <w14:ligatures w14:val="none"/>
              </w:rPr>
            </w:pPr>
            <w:r w:rsidRPr="00C502A7">
              <w:rPr>
                <w:rFonts w:ascii="Palatino Linotype" w:hAnsi="Palatino Linotype" w:eastAsia="Palatino Linotype" w:cs="Times New Roman"/>
                <w:i/>
                <w:iCs/>
                <w:color w:val="000000" w:themeColor="text1"/>
                <w:kern w:val="0"/>
                <w:sz w:val="20"/>
                <w:szCs w:val="20"/>
                <w14:ligatures w14:val="none"/>
              </w:rPr>
              <w:t>*Prior to workshop</w:t>
            </w:r>
            <w:r w:rsidRPr="00C502A7" w:rsidR="002E5F7D">
              <w:rPr>
                <w:rStyle w:val="FootnoteReference"/>
                <w:rFonts w:ascii="Palatino Linotype" w:hAnsi="Palatino Linotype" w:eastAsia="Palatino Linotype" w:cs="Times New Roman"/>
                <w:color w:val="000000" w:themeColor="text1"/>
                <w:kern w:val="0"/>
                <w14:ligatures w14:val="none"/>
              </w:rPr>
              <w:footnoteReference w:id="4"/>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C502A7" w:rsidR="00D10A25" w:rsidP="0005355D" w:rsidRDefault="00D10A25" w14:paraId="24ACCB63" w14:textId="0802C9F2">
            <w:pPr>
              <w:keepNext/>
              <w:keepLines/>
              <w:spacing w:after="0" w:line="276" w:lineRule="auto"/>
              <w:rPr>
                <w:rFonts w:ascii="Palatino Linotype" w:hAnsi="Palatino Linotype" w:eastAsia="Palatino Linotype" w:cs="Times New Roman"/>
                <w:color w:val="000000" w:themeColor="text1"/>
              </w:rPr>
            </w:pPr>
            <w:r w:rsidRPr="00C502A7">
              <w:rPr>
                <w:rFonts w:ascii="Palatino Linotype" w:hAnsi="Palatino Linotype" w:eastAsia="Palatino Linotype" w:cs="Times New Roman"/>
                <w:color w:val="000000" w:themeColor="text1"/>
              </w:rPr>
              <w:t xml:space="preserve">Submit Annual </w:t>
            </w:r>
            <w:r w:rsidRPr="00C502A7" w:rsidR="002930A1">
              <w:rPr>
                <w:rFonts w:ascii="Palatino Linotype" w:hAnsi="Palatino Linotype" w:eastAsia="Palatino Linotype" w:cs="Times New Roman"/>
                <w:color w:val="000000" w:themeColor="text1"/>
              </w:rPr>
              <w:t xml:space="preserve">Gas RD&amp;D </w:t>
            </w:r>
            <w:r w:rsidRPr="00C502A7">
              <w:rPr>
                <w:rFonts w:ascii="Palatino Linotype" w:hAnsi="Palatino Linotype" w:eastAsia="Palatino Linotype" w:cs="Times New Roman"/>
                <w:color w:val="000000" w:themeColor="text1"/>
              </w:rPr>
              <w:t>Report</w:t>
            </w:r>
            <w:r w:rsidRPr="00C502A7" w:rsidR="00B64450">
              <w:rPr>
                <w:rFonts w:ascii="Palatino Linotype" w:hAnsi="Palatino Linotype" w:eastAsia="Palatino Linotype" w:cs="Times New Roman"/>
                <w:color w:val="000000" w:themeColor="text1"/>
              </w:rPr>
              <w:t xml:space="preserve"> from prior year (2025).</w:t>
            </w:r>
          </w:p>
        </w:tc>
      </w:tr>
      <w:tr w:rsidRPr="00406769" w:rsidR="008A4743" w:rsidTr="00426933" w14:paraId="4F01F7A3" w14:textId="77777777">
        <w:trPr>
          <w:trHeight w:val="585"/>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C502A7" w:rsidR="008A4743" w:rsidP="0005355D" w:rsidRDefault="00A01989" w14:paraId="1F1A0799" w14:textId="21F2683B">
            <w:pPr>
              <w:keepNext/>
              <w:keepLines/>
              <w:spacing w:after="0" w:line="276" w:lineRule="auto"/>
              <w:rPr>
                <w:rFonts w:ascii="Palatino Linotype" w:hAnsi="Palatino Linotype" w:eastAsia="Palatino Linotype" w:cs="Times New Roman"/>
                <w:color w:val="000000" w:themeColor="text1"/>
                <w:kern w:val="0"/>
                <w14:ligatures w14:val="none"/>
              </w:rPr>
            </w:pPr>
            <w:r w:rsidRPr="00C502A7">
              <w:rPr>
                <w:rFonts w:ascii="Palatino Linotype" w:hAnsi="Palatino Linotype" w:eastAsia="Palatino Linotype" w:cs="Times New Roman"/>
                <w:color w:val="000000" w:themeColor="text1"/>
                <w:kern w:val="0"/>
                <w14:ligatures w14:val="none"/>
              </w:rPr>
              <w:t xml:space="preserve">By </w:t>
            </w:r>
            <w:r w:rsidRPr="00C502A7" w:rsidR="00C40928">
              <w:rPr>
                <w:rFonts w:ascii="Palatino Linotype" w:hAnsi="Palatino Linotype" w:eastAsia="Palatino Linotype" w:cs="Times New Roman"/>
                <w:color w:val="000000" w:themeColor="text1"/>
                <w:kern w:val="0"/>
                <w14:ligatures w14:val="none"/>
              </w:rPr>
              <w:t xml:space="preserve">March </w:t>
            </w:r>
            <w:r w:rsidRPr="00C502A7">
              <w:rPr>
                <w:rFonts w:ascii="Palatino Linotype" w:hAnsi="Palatino Linotype" w:eastAsia="Palatino Linotype" w:cs="Times New Roman"/>
                <w:color w:val="000000" w:themeColor="text1"/>
                <w:kern w:val="0"/>
                <w14:ligatures w14:val="none"/>
              </w:rPr>
              <w:t xml:space="preserve">1, </w:t>
            </w:r>
            <w:r w:rsidRPr="00C502A7" w:rsidR="008A4743">
              <w:rPr>
                <w:rFonts w:ascii="Palatino Linotype" w:hAnsi="Palatino Linotype" w:eastAsia="Palatino Linotype" w:cs="Times New Roman"/>
                <w:color w:val="000000" w:themeColor="text1"/>
                <w:kern w:val="0"/>
                <w14:ligatures w14:val="none"/>
              </w:rPr>
              <w:t>2026</w:t>
            </w:r>
            <w:r w:rsidRPr="00C502A7" w:rsidR="008A4743">
              <w:rPr>
                <w:rStyle w:val="FootnoteReference"/>
                <w:rFonts w:ascii="Palatino Linotype" w:hAnsi="Palatino Linotype" w:eastAsia="Palatino Linotype" w:cs="Times New Roman"/>
                <w:color w:val="000000" w:themeColor="text1"/>
                <w:kern w:val="0"/>
                <w14:ligatures w14:val="none"/>
              </w:rPr>
              <w:footnoteReference w:id="5"/>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D4672" w:rsidR="008A4743" w:rsidP="0005355D" w:rsidRDefault="008A4743" w14:paraId="1D1F2603" w14:textId="69202F84">
            <w:pPr>
              <w:keepNext/>
              <w:keepLines/>
              <w:spacing w:after="0" w:line="276" w:lineRule="auto"/>
              <w:rPr>
                <w:rFonts w:ascii="Palatino Linotype" w:hAnsi="Palatino Linotype" w:eastAsia="Palatino Linotype" w:cs="Times New Roman"/>
                <w:color w:val="000000" w:themeColor="text1"/>
                <w:kern w:val="0"/>
                <w14:ligatures w14:val="none"/>
              </w:rPr>
            </w:pPr>
            <w:r w:rsidRPr="12A43CDC">
              <w:rPr>
                <w:rFonts w:ascii="Palatino Linotype" w:hAnsi="Palatino Linotype" w:eastAsia="Palatino Linotype" w:cs="Times New Roman"/>
                <w:color w:val="000000" w:themeColor="text1"/>
              </w:rPr>
              <w:t xml:space="preserve">Host coordinated </w:t>
            </w:r>
            <w:r>
              <w:rPr>
                <w:rFonts w:ascii="Palatino Linotype" w:hAnsi="Palatino Linotype" w:eastAsia="Palatino Linotype" w:cs="Times New Roman"/>
                <w:color w:val="000000" w:themeColor="text1"/>
              </w:rPr>
              <w:t>and diverse stakeholder</w:t>
            </w:r>
            <w:r w:rsidRPr="12A43CDC">
              <w:rPr>
                <w:rFonts w:ascii="Palatino Linotype" w:hAnsi="Palatino Linotype" w:eastAsia="Palatino Linotype" w:cs="Times New Roman"/>
                <w:color w:val="000000" w:themeColor="text1"/>
              </w:rPr>
              <w:t xml:space="preserve"> Public Workshops to present the results of the previous year’s RD&amp;D programs </w:t>
            </w:r>
            <w:r>
              <w:rPr>
                <w:rFonts w:ascii="Palatino Linotype" w:hAnsi="Palatino Linotype" w:eastAsia="Palatino Linotype" w:cs="Times New Roman"/>
                <w:color w:val="000000" w:themeColor="text1"/>
              </w:rPr>
              <w:t xml:space="preserve">demonstrating </w:t>
            </w:r>
            <w:r w:rsidR="00320DD3">
              <w:rPr>
                <w:rFonts w:ascii="Palatino Linotype" w:hAnsi="Palatino Linotype" w:eastAsia="Palatino Linotype" w:cs="Times New Roman"/>
                <w:color w:val="000000" w:themeColor="text1"/>
              </w:rPr>
              <w:t xml:space="preserve">RD&amp;D outcomes and </w:t>
            </w:r>
            <w:r>
              <w:rPr>
                <w:rFonts w:ascii="Palatino Linotype" w:hAnsi="Palatino Linotype" w:eastAsia="Palatino Linotype" w:cs="Times New Roman"/>
                <w:color w:val="000000" w:themeColor="text1"/>
              </w:rPr>
              <w:t>continuity in</w:t>
            </w:r>
            <w:r w:rsidRPr="12A43CDC">
              <w:rPr>
                <w:rFonts w:ascii="Palatino Linotype" w:hAnsi="Palatino Linotype" w:eastAsia="Palatino Linotype" w:cs="Times New Roman"/>
                <w:color w:val="000000" w:themeColor="text1"/>
              </w:rPr>
              <w:t xml:space="preserve"> obtain</w:t>
            </w:r>
            <w:r>
              <w:rPr>
                <w:rFonts w:ascii="Palatino Linotype" w:hAnsi="Palatino Linotype" w:eastAsia="Palatino Linotype" w:cs="Times New Roman"/>
                <w:color w:val="000000" w:themeColor="text1"/>
              </w:rPr>
              <w:t>ing</w:t>
            </w:r>
            <w:r w:rsidRPr="12A43CDC">
              <w:rPr>
                <w:rFonts w:ascii="Palatino Linotype" w:hAnsi="Palatino Linotype" w:eastAsia="Palatino Linotype" w:cs="Times New Roman"/>
                <w:color w:val="000000" w:themeColor="text1"/>
              </w:rPr>
              <w:t xml:space="preserve"> input regarding proposed 2026 Plans informed by CPUC staf</w:t>
            </w:r>
            <w:r>
              <w:rPr>
                <w:rFonts w:ascii="Palatino Linotype" w:hAnsi="Palatino Linotype" w:eastAsia="Palatino Linotype" w:cs="Times New Roman"/>
                <w:color w:val="000000" w:themeColor="text1"/>
                <w:kern w:val="0"/>
                <w14:ligatures w14:val="none"/>
              </w:rPr>
              <w:t>f</w:t>
            </w:r>
            <w:r w:rsidR="00FC6F66">
              <w:rPr>
                <w:rFonts w:ascii="Palatino Linotype" w:hAnsi="Palatino Linotype" w:eastAsia="Palatino Linotype" w:cs="Times New Roman"/>
                <w:color w:val="000000" w:themeColor="text1"/>
                <w:kern w:val="0"/>
                <w14:ligatures w14:val="none"/>
              </w:rPr>
              <w:t xml:space="preserve">, under </w:t>
            </w:r>
            <w:r w:rsidR="00EB7C1E">
              <w:rPr>
                <w:rFonts w:ascii="Palatino Linotype" w:hAnsi="Palatino Linotype" w:eastAsia="Palatino Linotype" w:cs="Times New Roman"/>
                <w:color w:val="000000" w:themeColor="text1"/>
                <w:kern w:val="0"/>
                <w14:ligatures w14:val="none"/>
              </w:rPr>
              <w:t xml:space="preserve">guidance </w:t>
            </w:r>
            <w:r w:rsidR="00FC6F66">
              <w:rPr>
                <w:rFonts w:ascii="Palatino Linotype" w:hAnsi="Palatino Linotype" w:eastAsia="Palatino Linotype" w:cs="Times New Roman"/>
                <w:color w:val="000000" w:themeColor="text1"/>
                <w:kern w:val="0"/>
                <w14:ligatures w14:val="none"/>
              </w:rPr>
              <w:t xml:space="preserve">from </w:t>
            </w:r>
            <w:r w:rsidR="00EB7C1E">
              <w:rPr>
                <w:rFonts w:ascii="Palatino Linotype" w:hAnsi="Palatino Linotype" w:eastAsia="Palatino Linotype" w:cs="Times New Roman"/>
                <w:color w:val="000000" w:themeColor="text1"/>
                <w:kern w:val="0"/>
                <w14:ligatures w14:val="none"/>
              </w:rPr>
              <w:t>Energy Division staff</w:t>
            </w:r>
            <w:r w:rsidRPr="00BD4672">
              <w:rPr>
                <w:rFonts w:ascii="Palatino Linotype" w:hAnsi="Palatino Linotype" w:eastAsia="Palatino Linotype" w:cs="Times New Roman"/>
                <w:color w:val="000000" w:themeColor="text1"/>
                <w:kern w:val="0"/>
                <w14:ligatures w14:val="none"/>
              </w:rPr>
              <w:t>.</w:t>
            </w:r>
          </w:p>
        </w:tc>
      </w:tr>
      <w:tr w:rsidRPr="00406769" w:rsidR="008A4743" w:rsidTr="00426933" w14:paraId="2BC92791" w14:textId="77777777">
        <w:trPr>
          <w:trHeight w:val="417"/>
        </w:trPr>
        <w:tc>
          <w:tcPr>
            <w:tcW w:w="21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A3446A" w:rsidR="008A4743" w:rsidP="0005355D" w:rsidRDefault="008A4743" w14:paraId="1078E870" w14:textId="56097DC4">
            <w:pPr>
              <w:keepNext/>
              <w:keepLines/>
              <w:spacing w:after="0" w:line="276" w:lineRule="auto"/>
              <w:rPr>
                <w:rFonts w:ascii="Palatino Linotype" w:hAnsi="Palatino Linotype" w:eastAsia="Palatino Linotype" w:cs="Times New Roman"/>
                <w:color w:val="808080" w:themeColor="background1" w:themeShade="80"/>
                <w:kern w:val="0"/>
                <w14:ligatures w14:val="none"/>
              </w:rPr>
            </w:pPr>
            <w:r w:rsidRPr="00A3446A">
              <w:rPr>
                <w:rFonts w:ascii="Palatino Linotype" w:hAnsi="Palatino Linotype" w:eastAsia="Palatino Linotype" w:cs="Times New Roman"/>
                <w:color w:val="000000" w:themeColor="text1"/>
                <w:kern w:val="0"/>
                <w14:ligatures w14:val="none"/>
              </w:rPr>
              <w:t>By</w:t>
            </w:r>
            <w:r w:rsidRPr="00220749">
              <w:rPr>
                <w:rFonts w:ascii="Palatino Linotype" w:hAnsi="Palatino Linotype" w:eastAsia="Palatino Linotype" w:cs="Times New Roman"/>
                <w:color w:val="808080" w:themeColor="background1" w:themeShade="80"/>
                <w:kern w:val="0"/>
                <w14:ligatures w14:val="none"/>
              </w:rPr>
              <w:t xml:space="preserve"> </w:t>
            </w:r>
            <w:r w:rsidRPr="00406769">
              <w:rPr>
                <w:rFonts w:ascii="Palatino Linotype" w:hAnsi="Palatino Linotype" w:eastAsia="Palatino Linotype" w:cs="Times New Roman"/>
                <w:kern w:val="0"/>
                <w14:ligatures w14:val="none"/>
              </w:rPr>
              <w:t>June 1,</w:t>
            </w:r>
            <w:r>
              <w:rPr>
                <w:rStyle w:val="FootnoteReference"/>
                <w:rFonts w:ascii="Palatino Linotype" w:hAnsi="Palatino Linotype" w:eastAsia="Palatino Linotype" w:cs="Times New Roman"/>
                <w:kern w:val="0"/>
                <w14:ligatures w14:val="none"/>
              </w:rPr>
              <w:footnoteReference w:id="6"/>
            </w:r>
            <w:r w:rsidRPr="00406769">
              <w:rPr>
                <w:rFonts w:ascii="Palatino Linotype" w:hAnsi="Palatino Linotype" w:eastAsia="Palatino Linotype" w:cs="Times New Roman"/>
                <w:kern w:val="0"/>
                <w14:ligatures w14:val="none"/>
              </w:rPr>
              <w:t xml:space="preserve"> 2026</w:t>
            </w:r>
            <w:r w:rsidRPr="00406769">
              <w:rPr>
                <w:rFonts w:ascii="Times New Roman" w:hAnsi="Times New Roman" w:eastAsia="Palatino Linotype" w:cs="Times New Roman"/>
                <w:kern w:val="0"/>
                <w14:ligatures w14:val="none"/>
              </w:rPr>
              <w:t> </w:t>
            </w:r>
            <w:r w:rsidRPr="00406769">
              <w:rPr>
                <w:rFonts w:ascii="Palatino Linotype" w:hAnsi="Palatino Linotype" w:eastAsia="Palatino Linotype" w:cs="Times New Roman"/>
                <w:kern w:val="0"/>
                <w14:ligatures w14:val="none"/>
              </w:rPr>
              <w:t> </w:t>
            </w:r>
          </w:p>
        </w:tc>
        <w:tc>
          <w:tcPr>
            <w:tcW w:w="7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406769" w:rsidR="008A4743" w:rsidP="0005355D" w:rsidRDefault="008A4743" w14:paraId="22838D1C" w14:textId="2E73DCD9">
            <w:pPr>
              <w:keepNext/>
              <w:keepLines/>
              <w:spacing w:after="0" w:line="276" w:lineRule="auto"/>
              <w:rPr>
                <w:rFonts w:ascii="Palatino Linotype" w:hAnsi="Palatino Linotype" w:eastAsia="Palatino Linotype" w:cs="Times New Roman"/>
                <w:kern w:val="0"/>
                <w14:ligatures w14:val="none"/>
              </w:rPr>
            </w:pPr>
            <w:r w:rsidRPr="00406769">
              <w:rPr>
                <w:rFonts w:ascii="Palatino Linotype" w:hAnsi="Palatino Linotype" w:eastAsia="Palatino Linotype" w:cs="Times New Roman"/>
                <w:kern w:val="0"/>
                <w14:ligatures w14:val="none"/>
              </w:rPr>
              <w:t>Submit Proposed 2026 Plan via Tier</w:t>
            </w:r>
            <w:r>
              <w:rPr>
                <w:rFonts w:ascii="Palatino Linotype" w:hAnsi="Palatino Linotype" w:eastAsia="Palatino Linotype" w:cs="Times New Roman"/>
                <w:kern w:val="0"/>
                <w14:ligatures w14:val="none"/>
              </w:rPr>
              <w:t xml:space="preserve"> </w:t>
            </w:r>
            <w:r w:rsidRPr="00406769">
              <w:rPr>
                <w:rFonts w:ascii="Palatino Linotype" w:hAnsi="Palatino Linotype" w:eastAsia="Palatino Linotype" w:cs="Times New Roman"/>
                <w:kern w:val="0"/>
                <w14:ligatures w14:val="none"/>
              </w:rPr>
              <w:t>3 AL</w:t>
            </w:r>
            <w:r>
              <w:rPr>
                <w:rFonts w:ascii="Palatino Linotype" w:hAnsi="Palatino Linotype" w:eastAsia="Palatino Linotype" w:cs="Times New Roman"/>
                <w:kern w:val="0"/>
                <w14:ligatures w14:val="none"/>
              </w:rPr>
              <w:t>.</w:t>
            </w:r>
            <w:r w:rsidRPr="00406769">
              <w:rPr>
                <w:rFonts w:ascii="Palatino Linotype" w:hAnsi="Palatino Linotype" w:eastAsia="Palatino Linotype" w:cs="Times New Roman"/>
                <w:kern w:val="0"/>
                <w14:ligatures w14:val="none"/>
              </w:rPr>
              <w:t xml:space="preserve"> </w:t>
            </w:r>
          </w:p>
        </w:tc>
      </w:tr>
    </w:tbl>
    <w:p w:rsidR="00BD45F9" w:rsidP="00361AB6" w:rsidRDefault="00BD45F9" w14:paraId="3687991A" w14:textId="15964F05">
      <w:pPr>
        <w:spacing w:after="0" w:line="276" w:lineRule="auto"/>
        <w:rPr>
          <w:rFonts w:ascii="Palatino Linotype" w:hAnsi="Palatino Linotype" w:eastAsia="Palatino Linotype" w:cs="Times New Roman"/>
          <w:kern w:val="0"/>
          <w14:ligatures w14:val="none"/>
        </w:rPr>
      </w:pPr>
      <w:r w:rsidRPr="00406769">
        <w:rPr>
          <w:rFonts w:ascii="Palatino Linotype" w:hAnsi="Palatino Linotype" w:eastAsia="Palatino Linotype" w:cs="Times New Roman"/>
          <w:kern w:val="0"/>
          <w14:ligatures w14:val="none"/>
        </w:rPr>
        <w:t> </w:t>
      </w:r>
    </w:p>
    <w:p w:rsidRPr="008B7257" w:rsidR="00525769" w:rsidP="00017288" w:rsidRDefault="00A76F4A" w14:paraId="3FF9E1F8" w14:textId="2F8A7EF5">
      <w:pPr>
        <w:widowControl w:val="0"/>
        <w:spacing w:before="120" w:after="240" w:line="276" w:lineRule="auto"/>
        <w:outlineLvl w:val="0"/>
        <w:rPr>
          <w:rFonts w:ascii="Palatino Linotype" w:hAnsi="Palatino Linotype" w:eastAsia="Palatino Linotype" w:cs="Times New Roman"/>
          <w:b/>
          <w:caps/>
          <w:color w:val="000000" w:themeColor="text1"/>
          <w:kern w:val="28"/>
          <w:u w:val="single"/>
          <w14:ligatures w14:val="none"/>
        </w:rPr>
      </w:pPr>
      <w:r w:rsidRPr="008B7257">
        <w:rPr>
          <w:rFonts w:ascii="Palatino Linotype" w:hAnsi="Palatino Linotype" w:eastAsia="Palatino Linotype" w:cs="Times New Roman"/>
          <w:b/>
          <w:caps/>
          <w:color w:val="000000" w:themeColor="text1"/>
          <w:kern w:val="28"/>
          <w:u w:val="single"/>
          <w14:ligatures w14:val="none"/>
        </w:rPr>
        <w:t>Background</w:t>
      </w:r>
    </w:p>
    <w:p w:rsidRPr="008B7257" w:rsidR="00AB09B6" w:rsidP="00017288" w:rsidRDefault="00AB09B6" w14:paraId="41352B3D" w14:textId="30E76803">
      <w:pPr>
        <w:widowControl w:val="0"/>
        <w:spacing w:after="0" w:line="276" w:lineRule="auto"/>
        <w:rPr>
          <w:rFonts w:ascii="Palatino Linotype" w:hAnsi="Palatino Linotype" w:eastAsia="Palatino Linotype" w:cs="Times New Roman"/>
          <w:color w:val="000000" w:themeColor="text1"/>
          <w:kern w:val="0"/>
          <w14:ligatures w14:val="none"/>
        </w:rPr>
      </w:pPr>
      <w:r w:rsidRPr="008B7257">
        <w:rPr>
          <w:rFonts w:ascii="Palatino Linotype" w:hAnsi="Palatino Linotype" w:eastAsia="Palatino Linotype" w:cs="Times New Roman"/>
          <w:color w:val="000000" w:themeColor="text1"/>
          <w:kern w:val="0"/>
          <w14:ligatures w14:val="none"/>
        </w:rPr>
        <w:t xml:space="preserve">Public Utilities Code Section 740.1 and Decision (D.)23-11-069 </w:t>
      </w:r>
      <w:r w:rsidRPr="008B7257" w:rsidR="002C1730">
        <w:rPr>
          <w:rFonts w:ascii="Palatino Linotype" w:hAnsi="Palatino Linotype"/>
          <w:color w:val="000000" w:themeColor="text1"/>
          <w:szCs w:val="16"/>
        </w:rPr>
        <w:t>adopting PG&amp;E’s</w:t>
      </w:r>
      <w:r w:rsidRPr="008B7257">
        <w:rPr>
          <w:rFonts w:ascii="Palatino Linotype" w:hAnsi="Palatino Linotype"/>
          <w:color w:val="000000" w:themeColor="text1"/>
          <w:szCs w:val="16"/>
        </w:rPr>
        <w:t xml:space="preserve"> Test Year </w:t>
      </w:r>
      <w:r w:rsidR="008B7257">
        <w:rPr>
          <w:rFonts w:ascii="Palatino Linotype" w:hAnsi="Palatino Linotype"/>
          <w:color w:val="000000" w:themeColor="text1"/>
          <w:szCs w:val="16"/>
        </w:rPr>
        <w:t xml:space="preserve">(TY) </w:t>
      </w:r>
      <w:r w:rsidRPr="008B7257">
        <w:rPr>
          <w:rFonts w:ascii="Palatino Linotype" w:hAnsi="Palatino Linotype"/>
          <w:color w:val="000000" w:themeColor="text1"/>
          <w:szCs w:val="16"/>
        </w:rPr>
        <w:t xml:space="preserve">2023 General Rate Case </w:t>
      </w:r>
      <w:r w:rsidR="008B7257">
        <w:rPr>
          <w:rFonts w:ascii="Palatino Linotype" w:hAnsi="Palatino Linotype"/>
          <w:color w:val="000000" w:themeColor="text1"/>
          <w:szCs w:val="16"/>
        </w:rPr>
        <w:t>(GRC)</w:t>
      </w:r>
      <w:r w:rsidDel="002C1730">
        <w:rPr>
          <w:rFonts w:ascii="Palatino Linotype" w:hAnsi="Palatino Linotype"/>
          <w:color w:val="000000" w:themeColor="text1"/>
          <w:szCs w:val="16"/>
        </w:rPr>
        <w:t xml:space="preserve"> </w:t>
      </w:r>
      <w:r w:rsidRPr="008B7257" w:rsidR="00AB5F44">
        <w:rPr>
          <w:rFonts w:ascii="Palatino Linotype" w:hAnsi="Palatino Linotype" w:eastAsia="Palatino Linotype" w:cs="Times New Roman"/>
          <w:color w:val="000000" w:themeColor="text1"/>
          <w:kern w:val="0"/>
          <w14:ligatures w14:val="none"/>
        </w:rPr>
        <w:t>detail</w:t>
      </w:r>
      <w:r w:rsidRPr="008B7257">
        <w:rPr>
          <w:rFonts w:ascii="Palatino Linotype" w:hAnsi="Palatino Linotype" w:eastAsia="Palatino Linotype" w:cs="Times New Roman"/>
          <w:color w:val="000000" w:themeColor="text1"/>
          <w:kern w:val="0"/>
          <w14:ligatures w14:val="none"/>
        </w:rPr>
        <w:t xml:space="preserve"> </w:t>
      </w:r>
      <w:r w:rsidRPr="008B7257" w:rsidR="006A2F4E">
        <w:rPr>
          <w:rFonts w:ascii="Palatino Linotype" w:hAnsi="Palatino Linotype" w:eastAsia="Palatino Linotype" w:cs="Times New Roman"/>
          <w:color w:val="000000" w:themeColor="text1"/>
          <w:kern w:val="0"/>
          <w14:ligatures w14:val="none"/>
        </w:rPr>
        <w:t xml:space="preserve">Commission requirements </w:t>
      </w:r>
      <w:r w:rsidRPr="008B7257" w:rsidR="009324EA">
        <w:rPr>
          <w:rFonts w:ascii="Palatino Linotype" w:hAnsi="Palatino Linotype" w:eastAsia="Palatino Linotype" w:cs="Times New Roman"/>
          <w:color w:val="000000" w:themeColor="text1"/>
          <w:kern w:val="0"/>
          <w14:ligatures w14:val="none"/>
        </w:rPr>
        <w:t>for developing</w:t>
      </w:r>
      <w:r w:rsidRPr="008B7257" w:rsidR="005D29EC">
        <w:rPr>
          <w:rFonts w:ascii="Palatino Linotype" w:hAnsi="Palatino Linotype" w:eastAsia="Palatino Linotype" w:cs="Times New Roman"/>
          <w:color w:val="000000" w:themeColor="text1"/>
          <w:kern w:val="0"/>
          <w14:ligatures w14:val="none"/>
        </w:rPr>
        <w:t xml:space="preserve">, </w:t>
      </w:r>
      <w:r w:rsidRPr="008B7257" w:rsidR="009324EA">
        <w:rPr>
          <w:rFonts w:ascii="Palatino Linotype" w:hAnsi="Palatino Linotype" w:eastAsia="Palatino Linotype" w:cs="Times New Roman"/>
          <w:color w:val="000000" w:themeColor="text1"/>
          <w:kern w:val="0"/>
          <w14:ligatures w14:val="none"/>
        </w:rPr>
        <w:t>reviewing</w:t>
      </w:r>
      <w:r w:rsidRPr="008B7257" w:rsidR="005D29EC">
        <w:rPr>
          <w:rFonts w:ascii="Palatino Linotype" w:hAnsi="Palatino Linotype" w:eastAsia="Palatino Linotype" w:cs="Times New Roman"/>
          <w:color w:val="000000" w:themeColor="text1"/>
          <w:kern w:val="0"/>
          <w14:ligatures w14:val="none"/>
        </w:rPr>
        <w:t>, and approving</w:t>
      </w:r>
      <w:r w:rsidRPr="008B7257" w:rsidR="009324EA">
        <w:rPr>
          <w:rFonts w:ascii="Palatino Linotype" w:hAnsi="Palatino Linotype" w:eastAsia="Palatino Linotype" w:cs="Times New Roman"/>
          <w:color w:val="000000" w:themeColor="text1"/>
          <w:kern w:val="0"/>
          <w14:ligatures w14:val="none"/>
        </w:rPr>
        <w:t xml:space="preserve"> </w:t>
      </w:r>
      <w:r w:rsidRPr="008B7257" w:rsidR="00D13C84">
        <w:rPr>
          <w:rFonts w:ascii="Palatino Linotype" w:hAnsi="Palatino Linotype" w:eastAsia="Palatino Linotype" w:cs="Times New Roman"/>
          <w:color w:val="000000" w:themeColor="text1"/>
          <w:kern w:val="0"/>
          <w14:ligatures w14:val="none"/>
        </w:rPr>
        <w:t xml:space="preserve">PG&amp;E’s </w:t>
      </w:r>
      <w:r w:rsidRPr="008B7257" w:rsidR="00005C91">
        <w:rPr>
          <w:rFonts w:ascii="Palatino Linotype" w:hAnsi="Palatino Linotype" w:eastAsia="Palatino Linotype" w:cs="Times New Roman"/>
          <w:color w:val="000000" w:themeColor="text1"/>
          <w:kern w:val="0"/>
          <w14:ligatures w14:val="none"/>
        </w:rPr>
        <w:t>Annual Gas RD&amp;D Investment Plans.</w:t>
      </w:r>
    </w:p>
    <w:p w:rsidR="00AB09B6" w:rsidP="007E7238" w:rsidRDefault="00AB09B6" w14:paraId="401F744E" w14:textId="77777777">
      <w:pPr>
        <w:keepNext/>
        <w:spacing w:after="0" w:line="276" w:lineRule="auto"/>
        <w:rPr>
          <w:rFonts w:ascii="Palatino Linotype" w:hAnsi="Palatino Linotype" w:eastAsia="Palatino Linotype" w:cs="Times New Roman"/>
          <w:bCs/>
          <w:color w:val="000000" w:themeColor="text1"/>
          <w:kern w:val="0"/>
          <w14:ligatures w14:val="none"/>
        </w:rPr>
      </w:pPr>
    </w:p>
    <w:p w:rsidRPr="00325A59" w:rsidR="006B1D50" w:rsidP="002D4219" w:rsidRDefault="006B1D50" w14:paraId="6F55C6F2" w14:textId="70A7EB51">
      <w:pPr>
        <w:keepNext/>
        <w:spacing w:after="120" w:line="276" w:lineRule="auto"/>
        <w:rPr>
          <w:rFonts w:ascii="Palatino Linotype" w:hAnsi="Palatino Linotype" w:eastAsia="Palatino Linotype" w:cs="Times New Roman"/>
          <w:b/>
          <w:color w:val="000000" w:themeColor="text1"/>
          <w:kern w:val="0"/>
          <w14:ligatures w14:val="none"/>
        </w:rPr>
      </w:pPr>
      <w:r w:rsidRPr="00325A59">
        <w:rPr>
          <w:rFonts w:ascii="Palatino Linotype" w:hAnsi="Palatino Linotype" w:eastAsia="Palatino Linotype" w:cs="Times New Roman"/>
          <w:b/>
          <w:color w:val="000000" w:themeColor="text1"/>
          <w:kern w:val="0"/>
          <w14:ligatures w14:val="none"/>
        </w:rPr>
        <w:t>Public Utilities Code Section 740.1</w:t>
      </w:r>
    </w:p>
    <w:p w:rsidR="00F43641" w:rsidP="007E7238" w:rsidRDefault="00F43641" w14:paraId="1E9DB555" w14:textId="3B582FF9">
      <w:pPr>
        <w:keepNext/>
        <w:spacing w:after="0" w:line="276" w:lineRule="auto"/>
        <w:rPr>
          <w:rFonts w:ascii="Palatino Linotype" w:hAnsi="Palatino Linotype" w:eastAsia="Palatino Linotype" w:cs="Times New Roman"/>
          <w:bCs/>
          <w:color w:val="000000" w:themeColor="text1"/>
          <w:kern w:val="0"/>
          <w14:ligatures w14:val="none"/>
        </w:rPr>
      </w:pPr>
      <w:r>
        <w:rPr>
          <w:rFonts w:ascii="Palatino Linotype" w:hAnsi="Palatino Linotype" w:eastAsia="Palatino Linotype" w:cs="Times New Roman"/>
          <w:bCs/>
          <w:color w:val="000000" w:themeColor="text1"/>
          <w:kern w:val="0"/>
          <w14:ligatures w14:val="none"/>
        </w:rPr>
        <w:t>Public Utilities Code Section 740.1</w:t>
      </w:r>
      <w:r w:rsidR="00C90AF8">
        <w:rPr>
          <w:rStyle w:val="FootnoteReference"/>
          <w:rFonts w:ascii="Palatino Linotype" w:hAnsi="Palatino Linotype" w:eastAsia="Palatino Linotype" w:cs="Times New Roman"/>
          <w:bCs/>
          <w:color w:val="000000" w:themeColor="text1"/>
          <w:kern w:val="0"/>
          <w14:ligatures w14:val="none"/>
        </w:rPr>
        <w:footnoteReference w:id="7"/>
      </w:r>
      <w:r>
        <w:rPr>
          <w:rFonts w:ascii="Palatino Linotype" w:hAnsi="Palatino Linotype" w:eastAsia="Palatino Linotype" w:cs="Times New Roman"/>
          <w:bCs/>
          <w:color w:val="000000" w:themeColor="text1"/>
          <w:kern w:val="0"/>
          <w14:ligatures w14:val="none"/>
        </w:rPr>
        <w:t xml:space="preserve"> directs the Commission to consider the following guidelines in evaluating proposed Gas RD&amp;D investments: </w:t>
      </w:r>
    </w:p>
    <w:p w:rsidR="00F43641" w:rsidP="00FF1910" w:rsidRDefault="00F43641" w14:paraId="234232DB" w14:textId="5091F4EF">
      <w:pPr>
        <w:pStyle w:val="ListParagraph"/>
        <w:numPr>
          <w:ilvl w:val="0"/>
          <w:numId w:val="4"/>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Projects should offer a reasonable probability of providing benefits to ratepayers.</w:t>
      </w:r>
      <w:r w:rsidR="00E55728">
        <w:rPr>
          <w:rStyle w:val="FootnoteReference"/>
          <w:rFonts w:ascii="Palatino Linotype" w:hAnsi="Palatino Linotype" w:eastAsia="Palatino Linotype" w:cs="Times New Roman"/>
          <w:bCs/>
          <w:color w:val="000000" w:themeColor="text1"/>
          <w:kern w:val="0"/>
          <w14:ligatures w14:val="none"/>
        </w:rPr>
        <w:footnoteReference w:id="8"/>
      </w:r>
    </w:p>
    <w:p w:rsidR="00F43641" w:rsidP="00FF1910" w:rsidRDefault="00F43641" w14:paraId="3DA5BF25" w14:textId="77777777">
      <w:pPr>
        <w:pStyle w:val="ListParagraph"/>
        <w:numPr>
          <w:ilvl w:val="0"/>
          <w:numId w:val="4"/>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Expenditures on projects which have a low probability for success should be minimized.</w:t>
      </w:r>
    </w:p>
    <w:p w:rsidR="00F43641" w:rsidP="61D6D4C1" w:rsidRDefault="00F43641" w14:paraId="1AA2C224" w14:textId="24D140DD">
      <w:pPr>
        <w:pStyle w:val="ListParagraph"/>
        <w:numPr>
          <w:ilvl w:val="0"/>
          <w:numId w:val="4"/>
        </w:numPr>
        <w:spacing w:after="0" w:line="276" w:lineRule="auto"/>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Projects should be consistent with the corporation's resource plan.</w:t>
      </w:r>
      <w:r w:rsidR="00036840">
        <w:rPr>
          <w:rStyle w:val="FootnoteReference"/>
          <w:rFonts w:ascii="Palatino Linotype" w:hAnsi="Palatino Linotype" w:eastAsia="Palatino Linotype" w:cs="Times New Roman"/>
          <w:bCs/>
          <w:color w:val="000000" w:themeColor="text1"/>
          <w:kern w:val="0"/>
          <w14:ligatures w14:val="none"/>
        </w:rPr>
        <w:footnoteReference w:id="9"/>
      </w:r>
    </w:p>
    <w:p w:rsidR="00F43641" w:rsidP="00FF1910" w:rsidRDefault="00F43641" w14:paraId="70FE8E6E" w14:textId="35DB229F">
      <w:pPr>
        <w:pStyle w:val="ListParagraph"/>
        <w:numPr>
          <w:ilvl w:val="0"/>
          <w:numId w:val="4"/>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Projects should not unnecessarily duplicate research currently, previously, or imminently undertaken by other electrical or gas corporations or research organizations.</w:t>
      </w:r>
      <w:r w:rsidR="00260A9F">
        <w:rPr>
          <w:rStyle w:val="FootnoteReference"/>
          <w:rFonts w:ascii="Palatino Linotype" w:hAnsi="Palatino Linotype" w:eastAsia="Palatino Linotype" w:cs="Times New Roman"/>
          <w:bCs/>
          <w:color w:val="000000" w:themeColor="text1"/>
          <w:kern w:val="0"/>
          <w14:ligatures w14:val="none"/>
        </w:rPr>
        <w:footnoteReference w:id="10"/>
      </w:r>
    </w:p>
    <w:p w:rsidR="00F43641" w:rsidP="00FF1910" w:rsidRDefault="00F43641" w14:paraId="70AB0A5E" w14:textId="77777777">
      <w:pPr>
        <w:pStyle w:val="ListParagraph"/>
        <w:numPr>
          <w:ilvl w:val="0"/>
          <w:numId w:val="4"/>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Each project should also support one or more of the following objectives:</w:t>
      </w:r>
    </w:p>
    <w:p w:rsidR="00F43641" w:rsidP="00FF1910" w:rsidRDefault="00F43641" w14:paraId="6CB9B474" w14:textId="77777777">
      <w:pPr>
        <w:pStyle w:val="ListParagraph"/>
        <w:numPr>
          <w:ilvl w:val="0"/>
          <w:numId w:val="5"/>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Environmental improvement.</w:t>
      </w:r>
    </w:p>
    <w:p w:rsidR="00F43641" w:rsidP="00FF1910" w:rsidRDefault="00F43641" w14:paraId="2B4CAD2B" w14:textId="77777777">
      <w:pPr>
        <w:pStyle w:val="ListParagraph"/>
        <w:numPr>
          <w:ilvl w:val="0"/>
          <w:numId w:val="5"/>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Public and employee safety.</w:t>
      </w:r>
    </w:p>
    <w:p w:rsidR="00F43641" w:rsidP="00FF1910" w:rsidRDefault="00F43641" w14:paraId="379C1B2B" w14:textId="77777777">
      <w:pPr>
        <w:pStyle w:val="ListParagraph"/>
        <w:numPr>
          <w:ilvl w:val="0"/>
          <w:numId w:val="5"/>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Conservation by efficient resource use or by reducing or shifting system load.</w:t>
      </w:r>
    </w:p>
    <w:p w:rsidR="00F43641" w:rsidP="00FF1910" w:rsidRDefault="00F43641" w14:paraId="7ACB2492" w14:textId="77777777">
      <w:pPr>
        <w:pStyle w:val="ListParagraph"/>
        <w:numPr>
          <w:ilvl w:val="0"/>
          <w:numId w:val="5"/>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Development of new resources and processes, particularly renewable resources and processes which further supply technologies.</w:t>
      </w:r>
    </w:p>
    <w:p w:rsidR="00F43641" w:rsidP="004F72FA" w:rsidRDefault="00F43641" w14:paraId="5E470114" w14:textId="69D2F528">
      <w:pPr>
        <w:pStyle w:val="ListParagraph"/>
        <w:numPr>
          <w:ilvl w:val="0"/>
          <w:numId w:val="5"/>
        </w:numPr>
        <w:spacing w:after="0" w:line="276" w:lineRule="auto"/>
        <w:contextualSpacing w:val="0"/>
        <w:rPr>
          <w:rFonts w:ascii="Palatino Linotype" w:hAnsi="Palatino Linotype" w:eastAsia="Palatino Linotype" w:cs="Times New Roman"/>
          <w:bCs/>
          <w:color w:val="000000" w:themeColor="text1"/>
          <w:kern w:val="0"/>
          <w14:ligatures w14:val="none"/>
        </w:rPr>
      </w:pPr>
      <w:r w:rsidRPr="00027960">
        <w:rPr>
          <w:rFonts w:ascii="Palatino Linotype" w:hAnsi="Palatino Linotype" w:eastAsia="Palatino Linotype" w:cs="Times New Roman"/>
          <w:bCs/>
          <w:color w:val="000000" w:themeColor="text1"/>
          <w:kern w:val="0"/>
          <w14:ligatures w14:val="none"/>
        </w:rPr>
        <w:t>Improve operating efficiency and reliability or otherwise reduce operating costs.</w:t>
      </w:r>
      <w:r w:rsidR="00C90AF8">
        <w:rPr>
          <w:rStyle w:val="FootnoteReference"/>
          <w:rFonts w:ascii="Palatino Linotype" w:hAnsi="Palatino Linotype" w:eastAsia="Palatino Linotype" w:cs="Times New Roman"/>
          <w:bCs/>
          <w:color w:val="000000" w:themeColor="text1"/>
          <w:kern w:val="0"/>
          <w14:ligatures w14:val="none"/>
        </w:rPr>
        <w:footnoteReference w:id="11"/>
      </w:r>
    </w:p>
    <w:p w:rsidR="00E82648" w:rsidP="00836A28" w:rsidRDefault="00E82648" w14:paraId="5E552223" w14:textId="6180584C">
      <w:pPr>
        <w:spacing w:after="0" w:line="276" w:lineRule="auto"/>
        <w:rPr>
          <w:rFonts w:ascii="Palatino Linotype" w:hAnsi="Palatino Linotype" w:eastAsia="Palatino Linotype" w:cs="Times New Roman"/>
          <w:color w:val="000000" w:themeColor="text1"/>
          <w:kern w:val="0"/>
          <w14:ligatures w14:val="none"/>
        </w:rPr>
      </w:pPr>
    </w:p>
    <w:p w:rsidR="00F71F40" w:rsidP="007E7238" w:rsidRDefault="00B04B72" w14:paraId="4E26B6D0" w14:textId="22174967">
      <w:pPr>
        <w:keepNext/>
        <w:spacing w:line="276"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462458">
        <w:rPr>
          <w:rFonts w:ascii="Palatino Linotype" w:hAnsi="Palatino Linotype" w:eastAsia="Palatino Linotype" w:cs="Times New Roman"/>
          <w:kern w:val="0"/>
          <w14:ligatures w14:val="none"/>
        </w:rPr>
        <w:t xml:space="preserve">he Commission approved a TY 2023 Gas RD&amp;D </w:t>
      </w:r>
      <w:r w:rsidR="00AA47D2">
        <w:rPr>
          <w:rFonts w:ascii="Palatino Linotype" w:hAnsi="Palatino Linotype" w:eastAsia="Palatino Linotype" w:cs="Times New Roman"/>
          <w:kern w:val="0"/>
          <w14:ligatures w14:val="none"/>
        </w:rPr>
        <w:t xml:space="preserve">budget </w:t>
      </w:r>
      <w:r w:rsidR="009A7B27">
        <w:rPr>
          <w:rFonts w:ascii="Palatino Linotype" w:hAnsi="Palatino Linotype" w:eastAsia="Palatino Linotype" w:cs="Times New Roman"/>
          <w:kern w:val="0"/>
          <w14:ligatures w14:val="none"/>
        </w:rPr>
        <w:t>forecast</w:t>
      </w:r>
      <w:r w:rsidR="00462458">
        <w:rPr>
          <w:rFonts w:ascii="Palatino Linotype" w:hAnsi="Palatino Linotype" w:eastAsia="Palatino Linotype" w:cs="Times New Roman"/>
          <w:kern w:val="0"/>
          <w14:ligatures w14:val="none"/>
        </w:rPr>
        <w:t xml:space="preserve"> of $7.414 million in PG&amp;E’s 2023 GRC D.23-11-069</w:t>
      </w:r>
      <w:r w:rsidRPr="00B04B72">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based on 2020 Gas RD&amp;D costs as the most measurable basis</w:t>
      </w:r>
      <w:r w:rsidR="00462458">
        <w:rPr>
          <w:rFonts w:ascii="Palatino Linotype" w:hAnsi="Palatino Linotype" w:eastAsia="Palatino Linotype" w:cs="Times New Roman"/>
          <w:kern w:val="0"/>
          <w14:ligatures w14:val="none"/>
        </w:rPr>
        <w:t>.</w:t>
      </w:r>
      <w:r w:rsidR="00462458">
        <w:rPr>
          <w:rStyle w:val="FootnoteReference"/>
          <w:rFonts w:ascii="Palatino Linotype" w:hAnsi="Palatino Linotype" w:eastAsia="Palatino Linotype" w:cs="Times New Roman"/>
          <w:kern w:val="0"/>
          <w14:ligatures w14:val="none"/>
        </w:rPr>
        <w:footnoteReference w:id="12"/>
      </w:r>
      <w:r w:rsidR="00462458">
        <w:rPr>
          <w:rFonts w:ascii="Palatino Linotype" w:hAnsi="Palatino Linotype" w:eastAsia="Palatino Linotype" w:cs="Times New Roman"/>
          <w:kern w:val="0"/>
          <w14:ligatures w14:val="none"/>
        </w:rPr>
        <w:t xml:space="preserve"> D.23-11-069 approved an escalation factor authorizing a</w:t>
      </w:r>
      <w:r w:rsidR="00F14BDC">
        <w:rPr>
          <w:rFonts w:ascii="Palatino Linotype" w:hAnsi="Palatino Linotype" w:eastAsia="Palatino Linotype" w:cs="Times New Roman"/>
          <w:kern w:val="0"/>
          <w14:ligatures w14:val="none"/>
        </w:rPr>
        <w:t>n</w:t>
      </w:r>
      <w:r w:rsidR="00462458">
        <w:rPr>
          <w:rFonts w:ascii="Palatino Linotype" w:hAnsi="Palatino Linotype" w:eastAsia="Palatino Linotype" w:cs="Times New Roman"/>
          <w:kern w:val="0"/>
          <w14:ligatures w14:val="none"/>
        </w:rPr>
        <w:t xml:space="preserve"> </w:t>
      </w:r>
      <w:r w:rsidRPr="001B25FD" w:rsidR="00462458">
        <w:rPr>
          <w:rFonts w:ascii="Palatino Linotype" w:hAnsi="Palatino Linotype" w:eastAsia="Palatino Linotype" w:cs="Times New Roman"/>
          <w:color w:val="000000" w:themeColor="text1"/>
        </w:rPr>
        <w:t xml:space="preserve">$8.09 million annual </w:t>
      </w:r>
      <w:r w:rsidRPr="001B25FD" w:rsidR="00462458">
        <w:rPr>
          <w:rFonts w:ascii="Palatino Linotype" w:hAnsi="Palatino Linotype" w:eastAsia="Palatino Linotype" w:cs="Times New Roman"/>
          <w:color w:val="000000" w:themeColor="text1"/>
        </w:rPr>
        <w:lastRenderedPageBreak/>
        <w:t>budget for</w:t>
      </w:r>
      <w:r w:rsidR="00462458">
        <w:rPr>
          <w:rFonts w:ascii="Palatino Linotype" w:hAnsi="Palatino Linotype" w:eastAsia="Palatino Linotype" w:cs="Times New Roman"/>
          <w:color w:val="000000" w:themeColor="text1"/>
        </w:rPr>
        <w:t xml:space="preserve"> PG&amp;E’s </w:t>
      </w:r>
      <w:r w:rsidRPr="001B25FD" w:rsidR="00462458">
        <w:rPr>
          <w:rFonts w:ascii="Palatino Linotype" w:hAnsi="Palatino Linotype" w:eastAsia="Palatino Linotype" w:cs="Times New Roman"/>
          <w:color w:val="000000" w:themeColor="text1"/>
        </w:rPr>
        <w:t>2024 Plan</w:t>
      </w:r>
      <w:r w:rsidR="00462458">
        <w:rPr>
          <w:rFonts w:ascii="Palatino Linotype" w:hAnsi="Palatino Linotype" w:eastAsia="Palatino Linotype" w:cs="Times New Roman"/>
          <w:color w:val="000000" w:themeColor="text1"/>
        </w:rPr>
        <w:t xml:space="preserve"> and $8.267 million annual budget for its 2025 Plan.</w:t>
      </w:r>
      <w:r w:rsidR="00462458">
        <w:rPr>
          <w:rStyle w:val="FootnoteReference"/>
          <w:rFonts w:ascii="Palatino Linotype" w:hAnsi="Palatino Linotype" w:eastAsia="Palatino Linotype" w:cs="Times New Roman"/>
          <w:color w:val="000000" w:themeColor="text1"/>
        </w:rPr>
        <w:footnoteReference w:id="13"/>
      </w:r>
      <w:r w:rsidRPr="001B25FD" w:rsidR="00462458">
        <w:rPr>
          <w:rFonts w:ascii="Palatino Linotype" w:hAnsi="Palatino Linotype" w:eastAsia="Palatino Linotype" w:cs="Times New Roman"/>
          <w:color w:val="000000" w:themeColor="text1"/>
        </w:rPr>
        <w:t xml:space="preserve"> </w:t>
      </w:r>
      <w:r w:rsidR="00080281">
        <w:rPr>
          <w:rFonts w:ascii="Palatino Linotype" w:hAnsi="Palatino Linotype" w:eastAsia="Palatino Linotype" w:cs="Times New Roman"/>
          <w:kern w:val="0"/>
          <w14:ligatures w14:val="none"/>
        </w:rPr>
        <w:t xml:space="preserve">To utilize authorized funds, </w:t>
      </w:r>
      <w:r w:rsidR="00080281">
        <w:rPr>
          <w:rFonts w:ascii="Palatino Linotype" w:hAnsi="Palatino Linotype" w:eastAsia="Palatino Linotype" w:cs="Times New Roman"/>
          <w:bCs/>
          <w:kern w:val="0"/>
          <w14:ligatures w14:val="none"/>
        </w:rPr>
        <w:t>D.23-11-069 requires PG&amp;E to submit</w:t>
      </w:r>
      <w:r w:rsidR="00535BFB">
        <w:rPr>
          <w:rFonts w:ascii="Palatino Linotype" w:hAnsi="Palatino Linotype" w:eastAsia="Palatino Linotype" w:cs="Times New Roman"/>
          <w:bCs/>
          <w:kern w:val="0"/>
          <w14:ligatures w14:val="none"/>
        </w:rPr>
        <w:t>,</w:t>
      </w:r>
      <w:r w:rsidR="00080281">
        <w:rPr>
          <w:rFonts w:ascii="Palatino Linotype" w:hAnsi="Palatino Linotype" w:eastAsia="Palatino Linotype" w:cs="Times New Roman"/>
          <w:bCs/>
          <w:kern w:val="0"/>
          <w14:ligatures w14:val="none"/>
        </w:rPr>
        <w:t xml:space="preserve"> and the Commission to approve</w:t>
      </w:r>
      <w:r w:rsidR="00535BFB">
        <w:rPr>
          <w:rFonts w:ascii="Palatino Linotype" w:hAnsi="Palatino Linotype" w:eastAsia="Palatino Linotype" w:cs="Times New Roman"/>
          <w:bCs/>
          <w:kern w:val="0"/>
          <w14:ligatures w14:val="none"/>
        </w:rPr>
        <w:t>,</w:t>
      </w:r>
      <w:r w:rsidR="00080281">
        <w:rPr>
          <w:rFonts w:ascii="Palatino Linotype" w:hAnsi="Palatino Linotype" w:eastAsia="Palatino Linotype" w:cs="Times New Roman"/>
          <w:bCs/>
          <w:kern w:val="0"/>
          <w14:ligatures w14:val="none"/>
        </w:rPr>
        <w:t xml:space="preserve"> an annual Tier 3 </w:t>
      </w:r>
      <w:r w:rsidRPr="64FE4AD1" w:rsidR="00080281">
        <w:rPr>
          <w:rFonts w:ascii="Palatino Linotype" w:hAnsi="Palatino Linotype" w:eastAsia="Palatino Linotype" w:cs="Times New Roman"/>
          <w:kern w:val="0"/>
          <w14:ligatures w14:val="none"/>
        </w:rPr>
        <w:t>A</w:t>
      </w:r>
      <w:r w:rsidRPr="64FE4AD1" w:rsidR="7BC39F5A">
        <w:rPr>
          <w:rFonts w:ascii="Palatino Linotype" w:hAnsi="Palatino Linotype" w:eastAsia="Palatino Linotype" w:cs="Times New Roman"/>
          <w:kern w:val="0"/>
          <w14:ligatures w14:val="none"/>
        </w:rPr>
        <w:t xml:space="preserve">L </w:t>
      </w:r>
      <w:r w:rsidRPr="64FE4AD1" w:rsidR="00080281">
        <w:rPr>
          <w:rFonts w:ascii="Palatino Linotype" w:hAnsi="Palatino Linotype" w:eastAsia="Palatino Linotype" w:cs="Times New Roman"/>
          <w:kern w:val="0"/>
          <w14:ligatures w14:val="none"/>
        </w:rPr>
        <w:t>describing</w:t>
      </w:r>
      <w:r w:rsidR="00080281">
        <w:rPr>
          <w:rFonts w:ascii="Palatino Linotype" w:hAnsi="Palatino Linotype" w:eastAsia="Palatino Linotype" w:cs="Times New Roman"/>
          <w:bCs/>
          <w:kern w:val="0"/>
          <w14:ligatures w14:val="none"/>
        </w:rPr>
        <w:t xml:space="preserve"> PG&amp;E’s proposed Gas RD&amp;D Investment Plan. Upon Commission approval of the Plan, PG&amp;E may record Gas RD&amp;D program expenses in a one-way balancing account.</w:t>
      </w:r>
      <w:r w:rsidRPr="002204D2" w:rsidR="00AF121B">
        <w:rPr>
          <w:rFonts w:ascii="Palatino Linotype" w:hAnsi="Palatino Linotype"/>
        </w:rPr>
        <w:t xml:space="preserve"> </w:t>
      </w:r>
      <w:r w:rsidRPr="002204D2" w:rsidR="00F2303C">
        <w:rPr>
          <w:rFonts w:ascii="Palatino Linotype" w:hAnsi="Palatino Linotype"/>
        </w:rPr>
        <w:t xml:space="preserve">PG&amp;E shall not record any Gas RD&amp;D program expenses in a one-way balancing account until an annual Tier 3 Advice Letter outlining its Gas RD&amp;D </w:t>
      </w:r>
      <w:r w:rsidR="00B065CE">
        <w:rPr>
          <w:rFonts w:ascii="Palatino Linotype" w:hAnsi="Palatino Linotype"/>
        </w:rPr>
        <w:t>B</w:t>
      </w:r>
      <w:r w:rsidRPr="002204D2" w:rsidR="00F2303C">
        <w:rPr>
          <w:rFonts w:ascii="Palatino Linotype" w:hAnsi="Palatino Linotype"/>
        </w:rPr>
        <w:t xml:space="preserve">udget </w:t>
      </w:r>
      <w:r w:rsidR="00B065CE">
        <w:rPr>
          <w:rFonts w:ascii="Palatino Linotype" w:hAnsi="Palatino Linotype"/>
        </w:rPr>
        <w:t>P</w:t>
      </w:r>
      <w:r w:rsidRPr="002204D2" w:rsidR="00F2303C">
        <w:rPr>
          <w:rFonts w:ascii="Palatino Linotype" w:hAnsi="Palatino Linotype"/>
        </w:rPr>
        <w:t>lan is approved.</w:t>
      </w:r>
      <w:r w:rsidRPr="002204D2" w:rsidR="00F2303C">
        <w:rPr>
          <w:rStyle w:val="FootnoteReference"/>
          <w:rFonts w:ascii="Palatino Linotype" w:hAnsi="Palatino Linotype"/>
        </w:rPr>
        <w:footnoteReference w:id="14"/>
      </w:r>
    </w:p>
    <w:p w:rsidR="00373D9A" w:rsidP="00361AB6" w:rsidRDefault="00373D9A" w14:paraId="0A725C0A" w14:textId="77777777">
      <w:pPr>
        <w:spacing w:line="276" w:lineRule="auto"/>
        <w:contextualSpacing/>
        <w:rPr>
          <w:rFonts w:ascii="Palatino Linotype" w:hAnsi="Palatino Linotype" w:eastAsia="Palatino Linotype" w:cs="Times New Roman"/>
          <w:kern w:val="0"/>
          <w14:ligatures w14:val="none"/>
        </w:rPr>
      </w:pPr>
    </w:p>
    <w:p w:rsidRPr="00592437" w:rsidR="003A0BE0" w:rsidP="004746CA" w:rsidRDefault="6E281296" w14:paraId="2356C8B0" w14:textId="4E20BF2E">
      <w:pPr>
        <w:spacing w:after="120" w:line="276" w:lineRule="auto"/>
        <w:rPr>
          <w:rFonts w:ascii="Palatino Linotype" w:hAnsi="Palatino Linotype" w:eastAsia="Palatino Linotype" w:cs="Times New Roman"/>
          <w:b/>
          <w:color w:val="000000" w:themeColor="text1"/>
          <w:kern w:val="0"/>
          <w14:ligatures w14:val="none"/>
        </w:rPr>
      </w:pPr>
      <w:r w:rsidRPr="00592437">
        <w:rPr>
          <w:rFonts w:ascii="Palatino Linotype" w:hAnsi="Palatino Linotype" w:eastAsia="Palatino Linotype" w:cs="Times New Roman"/>
          <w:b/>
          <w:bCs/>
          <w:color w:val="000000" w:themeColor="text1"/>
          <w:kern w:val="0"/>
          <w14:ligatures w14:val="none"/>
        </w:rPr>
        <w:t>Decision 23-11-069</w:t>
      </w:r>
      <w:r w:rsidRPr="00592437" w:rsidR="0060DF81">
        <w:rPr>
          <w:rFonts w:ascii="Palatino Linotype" w:hAnsi="Palatino Linotype" w:eastAsia="Palatino Linotype" w:cs="Times New Roman"/>
          <w:b/>
          <w:bCs/>
          <w:color w:val="000000" w:themeColor="text1"/>
          <w:kern w:val="0"/>
          <w14:ligatures w14:val="none"/>
        </w:rPr>
        <w:t xml:space="preserve"> Adopting PG&amp;E’s </w:t>
      </w:r>
      <w:r w:rsidRPr="00592437" w:rsidR="5B51D59E">
        <w:rPr>
          <w:rFonts w:ascii="Palatino Linotype" w:hAnsi="Palatino Linotype" w:eastAsia="Palatino Linotype" w:cs="Times New Roman"/>
          <w:b/>
          <w:bCs/>
          <w:color w:val="000000" w:themeColor="text1"/>
          <w:kern w:val="0"/>
          <w14:ligatures w14:val="none"/>
        </w:rPr>
        <w:t>2023</w:t>
      </w:r>
      <w:r w:rsidRPr="00592437" w:rsidR="7204AA3A">
        <w:rPr>
          <w:rFonts w:ascii="Palatino Linotype" w:hAnsi="Palatino Linotype" w:eastAsia="Palatino Linotype" w:cs="Times New Roman"/>
          <w:b/>
          <w:bCs/>
          <w:color w:val="000000" w:themeColor="text1"/>
        </w:rPr>
        <w:t xml:space="preserve"> Revenue Requirement in PG&amp;E’s</w:t>
      </w:r>
      <w:r w:rsidRPr="00592437" w:rsidR="5B51D59E">
        <w:rPr>
          <w:rFonts w:ascii="Palatino Linotype" w:hAnsi="Palatino Linotype" w:eastAsia="Palatino Linotype" w:cs="Times New Roman"/>
          <w:b/>
          <w:bCs/>
          <w:color w:val="000000" w:themeColor="text1"/>
          <w:kern w:val="0"/>
          <w14:ligatures w14:val="none"/>
        </w:rPr>
        <w:t xml:space="preserve"> General Rate Case</w:t>
      </w:r>
      <w:r w:rsidRPr="00592437" w:rsidR="4ED7F7FE">
        <w:rPr>
          <w:rFonts w:ascii="Palatino Linotype" w:hAnsi="Palatino Linotype" w:eastAsia="Palatino Linotype" w:cs="Times New Roman"/>
          <w:b/>
          <w:bCs/>
          <w:color w:val="000000" w:themeColor="text1"/>
        </w:rPr>
        <w:t xml:space="preserve"> </w:t>
      </w:r>
      <w:r w:rsidRPr="00592437" w:rsidR="487F7C96">
        <w:rPr>
          <w:rFonts w:ascii="Palatino Linotype" w:hAnsi="Palatino Linotype" w:eastAsia="Palatino Linotype" w:cs="Times New Roman"/>
          <w:b/>
          <w:bCs/>
          <w:color w:val="000000" w:themeColor="text1"/>
        </w:rPr>
        <w:t>and Gas RD&amp;D Investment Plan Funds Upon Approval of a Tier 3 Advice Letter</w:t>
      </w:r>
    </w:p>
    <w:p w:rsidR="008B0B6E" w:rsidP="007E7238" w:rsidRDefault="00DA4E23" w14:paraId="3DC7CD6A" w14:textId="3194442A">
      <w:pPr>
        <w:spacing w:line="276" w:lineRule="auto"/>
        <w:rPr>
          <w:rFonts w:ascii="Palatino Linotype" w:hAnsi="Palatino Linotype" w:eastAsia="Palatino Linotype" w:cs="Times New Roman"/>
          <w:bCs/>
          <w:color w:val="000000" w:themeColor="text1"/>
          <w:kern w:val="0"/>
          <w14:ligatures w14:val="none"/>
        </w:rPr>
      </w:pPr>
      <w:r>
        <w:rPr>
          <w:rFonts w:ascii="Palatino Linotype" w:hAnsi="Palatino Linotype" w:eastAsia="Palatino Linotype" w:cs="Times New Roman"/>
          <w:bCs/>
          <w:color w:val="000000" w:themeColor="text1"/>
          <w:kern w:val="0"/>
          <w14:ligatures w14:val="none"/>
        </w:rPr>
        <w:t>Decision (</w:t>
      </w:r>
      <w:r w:rsidR="0003427E">
        <w:rPr>
          <w:rFonts w:ascii="Palatino Linotype" w:hAnsi="Palatino Linotype" w:eastAsia="Palatino Linotype" w:cs="Times New Roman"/>
          <w:bCs/>
          <w:color w:val="000000" w:themeColor="text1"/>
          <w:kern w:val="0"/>
          <w14:ligatures w14:val="none"/>
        </w:rPr>
        <w:t>D.</w:t>
      </w:r>
      <w:r>
        <w:rPr>
          <w:rFonts w:ascii="Palatino Linotype" w:hAnsi="Palatino Linotype" w:eastAsia="Palatino Linotype" w:cs="Times New Roman"/>
          <w:bCs/>
          <w:color w:val="000000" w:themeColor="text1"/>
          <w:kern w:val="0"/>
          <w14:ligatures w14:val="none"/>
        </w:rPr>
        <w:t>)</w:t>
      </w:r>
      <w:r w:rsidR="0003427E">
        <w:rPr>
          <w:rFonts w:ascii="Palatino Linotype" w:hAnsi="Palatino Linotype" w:eastAsia="Palatino Linotype" w:cs="Times New Roman"/>
          <w:bCs/>
          <w:color w:val="000000" w:themeColor="text1"/>
          <w:kern w:val="0"/>
          <w14:ligatures w14:val="none"/>
        </w:rPr>
        <w:t xml:space="preserve">23-11-069 requires PG&amp;E to </w:t>
      </w:r>
      <w:r w:rsidRPr="008B0B6E" w:rsidR="008B0B6E">
        <w:rPr>
          <w:rFonts w:ascii="Palatino Linotype" w:hAnsi="Palatino Linotype" w:eastAsia="Palatino Linotype" w:cs="Times New Roman"/>
          <w:bCs/>
          <w:color w:val="000000" w:themeColor="text1"/>
          <w:kern w:val="0"/>
          <w14:ligatures w14:val="none"/>
        </w:rPr>
        <w:t xml:space="preserve">submit its annual </w:t>
      </w:r>
      <w:r w:rsidR="00B466B6">
        <w:rPr>
          <w:rFonts w:ascii="Palatino Linotype" w:hAnsi="Palatino Linotype" w:eastAsia="Palatino Linotype" w:cs="Times New Roman"/>
          <w:bCs/>
          <w:color w:val="000000" w:themeColor="text1"/>
          <w:kern w:val="0"/>
          <w14:ligatures w14:val="none"/>
        </w:rPr>
        <w:t>Gas RD&amp;D Investment Pl</w:t>
      </w:r>
      <w:r w:rsidRPr="008B0B6E" w:rsidR="008B0B6E">
        <w:rPr>
          <w:rFonts w:ascii="Palatino Linotype" w:hAnsi="Palatino Linotype" w:eastAsia="Palatino Linotype" w:cs="Times New Roman"/>
          <w:bCs/>
          <w:color w:val="000000" w:themeColor="text1"/>
          <w:kern w:val="0"/>
          <w14:ligatures w14:val="none"/>
        </w:rPr>
        <w:t>an as follows</w:t>
      </w:r>
      <w:r w:rsidR="00046E8D">
        <w:rPr>
          <w:rFonts w:ascii="Palatino Linotype" w:hAnsi="Palatino Linotype" w:eastAsia="Palatino Linotype" w:cs="Times New Roman"/>
          <w:bCs/>
          <w:color w:val="000000" w:themeColor="text1"/>
          <w:kern w:val="0"/>
          <w14:ligatures w14:val="none"/>
        </w:rPr>
        <w:t>,</w:t>
      </w:r>
      <w:r w:rsidRPr="008B0B6E" w:rsidR="008B0B6E">
        <w:rPr>
          <w:rFonts w:ascii="Palatino Linotype" w:hAnsi="Palatino Linotype" w:eastAsia="Palatino Linotype" w:cs="Times New Roman"/>
          <w:bCs/>
          <w:color w:val="000000" w:themeColor="text1"/>
          <w:kern w:val="0"/>
          <w14:ligatures w14:val="none"/>
        </w:rPr>
        <w:t xml:space="preserve"> </w:t>
      </w:r>
      <w:r w:rsidR="009F77EE">
        <w:rPr>
          <w:rFonts w:ascii="Palatino Linotype" w:hAnsi="Palatino Linotype" w:eastAsia="Palatino Linotype" w:cs="Times New Roman"/>
          <w:bCs/>
          <w:color w:val="000000" w:themeColor="text1"/>
          <w:kern w:val="0"/>
          <w14:ligatures w14:val="none"/>
        </w:rPr>
        <w:t>consistent with</w:t>
      </w:r>
      <w:r w:rsidRPr="008B0B6E" w:rsidR="008B0B6E">
        <w:rPr>
          <w:rFonts w:ascii="Palatino Linotype" w:hAnsi="Palatino Linotype" w:eastAsia="Palatino Linotype" w:cs="Times New Roman"/>
          <w:bCs/>
          <w:color w:val="000000" w:themeColor="text1"/>
          <w:kern w:val="0"/>
          <w14:ligatures w14:val="none"/>
        </w:rPr>
        <w:t xml:space="preserve"> </w:t>
      </w:r>
      <w:r w:rsidR="00B466B6">
        <w:rPr>
          <w:rFonts w:ascii="Palatino Linotype" w:hAnsi="Palatino Linotype" w:eastAsia="Palatino Linotype" w:cs="Times New Roman"/>
          <w:bCs/>
          <w:color w:val="000000" w:themeColor="text1"/>
          <w:kern w:val="0"/>
          <w14:ligatures w14:val="none"/>
        </w:rPr>
        <w:t xml:space="preserve">prior </w:t>
      </w:r>
      <w:r w:rsidRPr="00E9576C" w:rsidR="00B466B6">
        <w:rPr>
          <w:rFonts w:ascii="Palatino Linotype" w:hAnsi="Palatino Linotype" w:eastAsia="Palatino Linotype" w:cs="Times New Roman"/>
          <w:kern w:val="0"/>
          <w14:ligatures w14:val="none"/>
        </w:rPr>
        <w:t xml:space="preserve">Commission </w:t>
      </w:r>
      <w:r w:rsidR="00D75298">
        <w:rPr>
          <w:rFonts w:ascii="Palatino Linotype" w:hAnsi="Palatino Linotype" w:eastAsia="Palatino Linotype" w:cs="Times New Roman"/>
          <w:kern w:val="0"/>
          <w14:ligatures w14:val="none"/>
        </w:rPr>
        <w:t>D</w:t>
      </w:r>
      <w:r w:rsidRPr="00E9576C" w:rsidR="00B466B6">
        <w:rPr>
          <w:rFonts w:ascii="Palatino Linotype" w:hAnsi="Palatino Linotype" w:eastAsia="Palatino Linotype" w:cs="Times New Roman"/>
          <w:kern w:val="0"/>
          <w14:ligatures w14:val="none"/>
        </w:rPr>
        <w:t xml:space="preserve">ecisions and </w:t>
      </w:r>
      <w:r w:rsidR="00D75298">
        <w:rPr>
          <w:rFonts w:ascii="Palatino Linotype" w:hAnsi="Palatino Linotype" w:eastAsia="Palatino Linotype" w:cs="Times New Roman"/>
          <w:kern w:val="0"/>
          <w14:ligatures w14:val="none"/>
        </w:rPr>
        <w:t>R</w:t>
      </w:r>
      <w:r w:rsidRPr="00E9576C" w:rsidR="00B466B6">
        <w:rPr>
          <w:rFonts w:ascii="Palatino Linotype" w:hAnsi="Palatino Linotype" w:eastAsia="Palatino Linotype" w:cs="Times New Roman"/>
          <w:kern w:val="0"/>
          <w14:ligatures w14:val="none"/>
        </w:rPr>
        <w:t xml:space="preserve">esolutions </w:t>
      </w:r>
      <w:r w:rsidRPr="008B0B6E" w:rsidR="008B0B6E">
        <w:rPr>
          <w:rFonts w:ascii="Palatino Linotype" w:hAnsi="Palatino Linotype" w:eastAsia="Palatino Linotype" w:cs="Times New Roman"/>
          <w:bCs/>
          <w:color w:val="000000" w:themeColor="text1"/>
          <w:kern w:val="0"/>
          <w14:ligatures w14:val="none"/>
        </w:rPr>
        <w:t>guidance</w:t>
      </w:r>
      <w:r w:rsidR="00891130">
        <w:rPr>
          <w:rFonts w:ascii="Palatino Linotype" w:hAnsi="Palatino Linotype" w:eastAsia="Palatino Linotype" w:cs="Times New Roman"/>
          <w:bCs/>
          <w:color w:val="000000" w:themeColor="text1"/>
          <w:kern w:val="0"/>
          <w14:ligatures w14:val="none"/>
        </w:rPr>
        <w:t>:</w:t>
      </w:r>
      <w:r w:rsidRPr="61D6D4C1" w:rsidR="0003427E">
        <w:rPr>
          <w:rStyle w:val="FootnoteReference"/>
          <w:rFonts w:ascii="Palatino Linotype" w:hAnsi="Palatino Linotype" w:eastAsia="Palatino Linotype" w:cs="Times New Roman"/>
          <w:color w:val="000000" w:themeColor="text1"/>
        </w:rPr>
        <w:footnoteReference w:id="15"/>
      </w:r>
    </w:p>
    <w:p w:rsidR="00B052F4" w:rsidP="007E7238" w:rsidRDefault="002204D2" w14:paraId="3868B9D1" w14:textId="6959D7B9">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rPr>
        <w:t>The annual research plan should detail budgets broken down by research sub-program area and explain how the projects improve reliability, safety, equity, affordability, and environmental benefits, and incorporates input from key stakeholders, such as the Disadvantaged Communities Advisory Group.</w:t>
      </w:r>
      <w:r w:rsidRPr="002204D2">
        <w:rPr>
          <w:rStyle w:val="FootnoteReference"/>
          <w:rFonts w:ascii="Palatino Linotype" w:hAnsi="Palatino Linotype"/>
        </w:rPr>
        <w:footnoteReference w:id="16"/>
      </w:r>
    </w:p>
    <w:p w:rsidR="00B052F4" w:rsidP="007E7238" w:rsidRDefault="002204D2" w14:paraId="0A93EB77" w14:textId="77777777">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rPr>
        <w:t xml:space="preserve">The annual research plan should include a proposed benefits analysis framework, created in consultation with Energy Division </w:t>
      </w:r>
      <w:r w:rsidR="00D17044">
        <w:rPr>
          <w:rFonts w:ascii="Palatino Linotype" w:hAnsi="Palatino Linotype"/>
        </w:rPr>
        <w:t>staff</w:t>
      </w:r>
      <w:r w:rsidRPr="00B052F4">
        <w:rPr>
          <w:rFonts w:ascii="Palatino Linotype" w:hAnsi="Palatino Linotype"/>
        </w:rPr>
        <w:t>. This framework should provide sufficient quantitative estimates of potential safety, reliability, operational efficiency, improved affordability, environmental-related benefits, benefits to underserved communities, and numeric targets or a specified numeric range of potential benefits for projects.</w:t>
      </w:r>
      <w:r w:rsidRPr="002204D2">
        <w:rPr>
          <w:rStyle w:val="FootnoteReference"/>
          <w:rFonts w:ascii="Palatino Linotype" w:hAnsi="Palatino Linotype"/>
        </w:rPr>
        <w:footnoteReference w:id="17"/>
      </w:r>
    </w:p>
    <w:p w:rsidRPr="00236A19" w:rsidR="00B052F4" w:rsidP="007E7238" w:rsidRDefault="002204D2" w14:paraId="4C9045A4" w14:textId="5A43B393">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rPr>
        <w:t>PG&amp;E should cap its administrative costs for Gas RD&amp;D at 10</w:t>
      </w:r>
      <w:r w:rsidRPr="00B052F4" w:rsidR="5F320CEC">
        <w:rPr>
          <w:rFonts w:ascii="Palatino Linotype" w:hAnsi="Palatino Linotype"/>
        </w:rPr>
        <w:t>%</w:t>
      </w:r>
      <w:r w:rsidRPr="61D6D4C1" w:rsidR="2C498E22">
        <w:rPr>
          <w:rFonts w:ascii="Palatino Linotype" w:hAnsi="Palatino Linotype"/>
        </w:rPr>
        <w:t xml:space="preserve"> </w:t>
      </w:r>
      <w:r w:rsidRPr="00B052F4" w:rsidR="5F320CEC">
        <w:rPr>
          <w:rFonts w:ascii="Palatino Linotype" w:hAnsi="Palatino Linotype"/>
        </w:rPr>
        <w:t>...</w:t>
      </w:r>
      <w:r w:rsidRPr="61D6D4C1" w:rsidR="20C6B80B">
        <w:rPr>
          <w:rFonts w:ascii="Palatino Linotype" w:hAnsi="Palatino Linotype"/>
        </w:rPr>
        <w:t>.</w:t>
      </w:r>
      <w:r w:rsidRPr="00B052F4">
        <w:rPr>
          <w:rFonts w:ascii="Palatino Linotype" w:hAnsi="Palatino Linotype"/>
        </w:rPr>
        <w:t xml:space="preserve"> PG&amp;E’s annual research plan should provide detail about administrative costs and require PG&amp;E to allocate these cost categories to its administrative budget as outlined below</w:t>
      </w:r>
      <w:r w:rsidRPr="00B052F4">
        <w:rPr>
          <w:rFonts w:ascii="Palatino Linotype" w:hAnsi="Palatino Linotype"/>
          <w:color w:val="000000" w:themeColor="text1"/>
        </w:rPr>
        <w:t>.</w:t>
      </w:r>
      <w:r w:rsidRPr="002204D2">
        <w:rPr>
          <w:rStyle w:val="FootnoteReference"/>
          <w:rFonts w:ascii="Palatino Linotype" w:hAnsi="Palatino Linotype"/>
        </w:rPr>
        <w:footnoteReference w:id="18"/>
      </w:r>
    </w:p>
    <w:p w:rsidRPr="00236A19" w:rsidR="00236A19" w:rsidP="007E7238" w:rsidRDefault="00236A19" w14:paraId="1029B7DA" w14:textId="0D5D2FB9">
      <w:pPr>
        <w:pStyle w:val="ListParagraph"/>
        <w:numPr>
          <w:ilvl w:val="0"/>
          <w:numId w:val="8"/>
        </w:numPr>
        <w:spacing w:line="276" w:lineRule="auto"/>
        <w:ind w:left="810" w:hanging="450"/>
        <w:rPr>
          <w:rFonts w:ascii="Palatino Linotype" w:hAnsi="Palatino Linotype"/>
        </w:rPr>
      </w:pPr>
      <w:r w:rsidRPr="00236A19">
        <w:rPr>
          <w:rFonts w:ascii="Palatino Linotype" w:hAnsi="Palatino Linotype"/>
        </w:rPr>
        <w:lastRenderedPageBreak/>
        <w:t>In its annual research plan, PG&amp;E should explain how its</w:t>
      </w:r>
      <w:r>
        <w:rPr>
          <w:rFonts w:ascii="Palatino Linotype" w:hAnsi="Palatino Linotype"/>
        </w:rPr>
        <w:t xml:space="preserve"> </w:t>
      </w:r>
      <w:r w:rsidRPr="00236A19">
        <w:rPr>
          <w:rFonts w:ascii="Palatino Linotype" w:hAnsi="Palatino Linotype"/>
        </w:rPr>
        <w:t>proposals for low carbon research projects (rather than zero/no carbon projects) support the State’s aggressive</w:t>
      </w:r>
      <w:r>
        <w:rPr>
          <w:rFonts w:ascii="Palatino Linotype" w:hAnsi="Palatino Linotype"/>
        </w:rPr>
        <w:t xml:space="preserve"> </w:t>
      </w:r>
      <w:r w:rsidRPr="00236A19">
        <w:rPr>
          <w:rFonts w:ascii="Palatino Linotype" w:hAnsi="Palatino Linotype"/>
        </w:rPr>
        <w:t>zero-carbon goals.</w:t>
      </w:r>
      <w:r w:rsidR="007004A4">
        <w:rPr>
          <w:rStyle w:val="FootnoteReference"/>
          <w:rFonts w:ascii="Palatino Linotype" w:hAnsi="Palatino Linotype"/>
        </w:rPr>
        <w:footnoteReference w:id="19"/>
      </w:r>
    </w:p>
    <w:p w:rsidRPr="00B052F4" w:rsidR="00B052F4" w:rsidP="007E7238" w:rsidRDefault="002204D2" w14:paraId="279F9A51" w14:textId="4CBAB001">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color w:val="000000" w:themeColor="text1"/>
        </w:rPr>
        <w:t>The annual research plan should include information on funds encumbered, spent, and unspent. The plan should also outline co-funding and collaborative partners and explain how PG</w:t>
      </w:r>
      <w:r w:rsidRPr="00B052F4" w:rsidR="71D434E5">
        <w:rPr>
          <w:rFonts w:ascii="Palatino Linotype" w:hAnsi="Palatino Linotype"/>
          <w:color w:val="000000" w:themeColor="text1"/>
        </w:rPr>
        <w:t>&amp;</w:t>
      </w:r>
      <w:r w:rsidRPr="00B052F4">
        <w:rPr>
          <w:rFonts w:ascii="Palatino Linotype" w:hAnsi="Palatino Linotype"/>
          <w:color w:val="000000" w:themeColor="text1"/>
        </w:rPr>
        <w:t>E engages with diverse academic populations. Further, PG&amp;E should describe how its research plan will benefit underserved communities.</w:t>
      </w:r>
      <w:r w:rsidRPr="002204D2">
        <w:rPr>
          <w:rStyle w:val="FootnoteReference"/>
          <w:rFonts w:ascii="Palatino Linotype" w:hAnsi="Palatino Linotype"/>
          <w:color w:val="000000" w:themeColor="text1"/>
        </w:rPr>
        <w:footnoteReference w:id="20"/>
      </w:r>
    </w:p>
    <w:p w:rsidRPr="00E63DFE" w:rsidR="00E63DFE" w:rsidP="007E7238" w:rsidRDefault="002204D2" w14:paraId="4299CCEC" w14:textId="77777777">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color w:val="000000" w:themeColor="text1"/>
        </w:rPr>
        <w:t>PG&amp;E shall hold an annual workshop prior to submitting its Tier 3 Advice Letter Annual Gas RD&amp;D Investment Plan and shall consult with Energy Division to develop the workshop agenda. The annual workshop shall be held at least 90 days before submitting its annual Gas RD&amp;D research plan to the CPUC to allow sufficient time to incorporate stakeholder feedback. At these workshops, PG&amp;E shall present the results of the previous year’s RD&amp;D program and obtain input regarding its proposed spending for the following calendar year. The workshop shall follow the guidance of D.19-09-051 Ordering Paragraph 30.</w:t>
      </w:r>
      <w:r w:rsidRPr="002204D2">
        <w:rPr>
          <w:rStyle w:val="FootnoteReference"/>
          <w:rFonts w:ascii="Palatino Linotype" w:hAnsi="Palatino Linotype"/>
          <w:color w:val="000000" w:themeColor="text1"/>
        </w:rPr>
        <w:footnoteReference w:id="21"/>
      </w:r>
    </w:p>
    <w:p w:rsidRPr="00E63DFE" w:rsidR="00E63DFE" w:rsidP="007E7238" w:rsidRDefault="00E63DFE" w14:paraId="1BE25446" w14:textId="3FCC48BB">
      <w:pPr>
        <w:pStyle w:val="ListParagraph"/>
        <w:numPr>
          <w:ilvl w:val="0"/>
          <w:numId w:val="8"/>
        </w:numPr>
        <w:spacing w:line="276" w:lineRule="auto"/>
        <w:ind w:left="810" w:hanging="450"/>
        <w:rPr>
          <w:rFonts w:ascii="Palatino Linotype" w:hAnsi="Palatino Linotype"/>
        </w:rPr>
      </w:pPr>
      <w:r w:rsidRPr="00E63DFE">
        <w:rPr>
          <w:rFonts w:ascii="Palatino Linotype" w:hAnsi="Palatino Linotype"/>
        </w:rPr>
        <w:t>Prior to the</w:t>
      </w:r>
      <w:r w:rsidRPr="00E63DFE" w:rsidDel="00DA0BE5">
        <w:rPr>
          <w:rFonts w:ascii="Palatino Linotype" w:hAnsi="Palatino Linotype"/>
        </w:rPr>
        <w:t xml:space="preserve"> </w:t>
      </w:r>
      <w:r w:rsidRPr="00E63DFE">
        <w:rPr>
          <w:rFonts w:ascii="Palatino Linotype" w:hAnsi="Palatino Linotype"/>
        </w:rPr>
        <w:t xml:space="preserve">workshop, PG&amp;E should submit its RD&amp;D annual report to Energy Division </w:t>
      </w:r>
      <w:r w:rsidR="00D17044">
        <w:rPr>
          <w:rFonts w:ascii="Palatino Linotype" w:hAnsi="Palatino Linotype"/>
        </w:rPr>
        <w:t>staff</w:t>
      </w:r>
      <w:r w:rsidRPr="00E63DFE">
        <w:rPr>
          <w:rFonts w:ascii="Palatino Linotype" w:hAnsi="Palatino Linotype"/>
        </w:rPr>
        <w:t xml:space="preserve"> describing prior years’ RD&amp;D program including a summary of ongoing and completed projects; funds expended, funding recipients, and leveraged funding; and an explanation of the process used for selecting RD&amp;D project areas as well as the structure of PG&amp;E’s RD&amp;D portfolio.</w:t>
      </w:r>
      <w:r w:rsidR="006765E5">
        <w:rPr>
          <w:rStyle w:val="FootnoteReference"/>
          <w:rFonts w:ascii="Palatino Linotype" w:hAnsi="Palatino Linotype"/>
        </w:rPr>
        <w:footnoteReference w:id="22"/>
      </w:r>
    </w:p>
    <w:p w:rsidRPr="00300CB1" w:rsidR="00300CB1" w:rsidP="007E7238" w:rsidRDefault="002204D2" w14:paraId="222E335F" w14:textId="45400649">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color w:val="000000" w:themeColor="text1"/>
        </w:rPr>
        <w:t xml:space="preserve">PG&amp;E shall provide Energy Division </w:t>
      </w:r>
      <w:r w:rsidR="00D17044">
        <w:rPr>
          <w:rFonts w:ascii="Palatino Linotype" w:hAnsi="Palatino Linotype"/>
          <w:color w:val="000000" w:themeColor="text1"/>
        </w:rPr>
        <w:t>staff</w:t>
      </w:r>
      <w:r w:rsidRPr="00B052F4">
        <w:rPr>
          <w:rFonts w:ascii="Palatino Linotype" w:hAnsi="Palatino Linotype"/>
          <w:color w:val="000000" w:themeColor="text1"/>
        </w:rPr>
        <w:t xml:space="preserve"> with the workshop presentation materials as well as documentation on stakeholders consulted in the development of RD&amp;D projects, both at least one week before the worksho</w:t>
      </w:r>
      <w:r w:rsidR="00300CB1">
        <w:rPr>
          <w:rFonts w:ascii="Palatino Linotype" w:hAnsi="Palatino Linotype"/>
          <w:color w:val="000000" w:themeColor="text1"/>
        </w:rPr>
        <w:t>p.</w:t>
      </w:r>
      <w:r w:rsidR="00E27AE1">
        <w:rPr>
          <w:rStyle w:val="FootnoteReference"/>
          <w:rFonts w:ascii="Palatino Linotype" w:hAnsi="Palatino Linotype"/>
          <w:color w:val="000000" w:themeColor="text1"/>
        </w:rPr>
        <w:footnoteReference w:id="23"/>
      </w:r>
    </w:p>
    <w:p w:rsidRPr="00B052F4" w:rsidR="00B052F4" w:rsidP="007E7238" w:rsidRDefault="002204D2" w14:paraId="586559BF" w14:textId="2E628925">
      <w:pPr>
        <w:pStyle w:val="ListParagraph"/>
        <w:numPr>
          <w:ilvl w:val="0"/>
          <w:numId w:val="8"/>
        </w:numPr>
        <w:spacing w:line="276" w:lineRule="auto"/>
        <w:ind w:left="810" w:hanging="450"/>
        <w:rPr>
          <w:rFonts w:ascii="Palatino Linotype" w:hAnsi="Palatino Linotype"/>
        </w:rPr>
      </w:pPr>
      <w:r w:rsidRPr="00B052F4">
        <w:rPr>
          <w:rFonts w:ascii="Palatino Linotype" w:hAnsi="Palatino Linotype"/>
          <w:color w:val="000000" w:themeColor="text1"/>
        </w:rPr>
        <w:t xml:space="preserve">PG&amp;E shall engage relevant stakeholders to encourage their attendance at the workshop, such as the California Energy Commission, the Disadvantaged </w:t>
      </w:r>
      <w:r w:rsidRPr="00B052F4">
        <w:rPr>
          <w:rFonts w:ascii="Palatino Linotype" w:hAnsi="Palatino Linotype"/>
          <w:color w:val="000000" w:themeColor="text1"/>
        </w:rPr>
        <w:lastRenderedPageBreak/>
        <w:t>Communities Advisory Group, the U.S. Department of Energy, and other organizations engaged in gas research and development.</w:t>
      </w:r>
      <w:r w:rsidR="002D6A72">
        <w:rPr>
          <w:rStyle w:val="FootnoteReference"/>
          <w:rFonts w:ascii="Palatino Linotype" w:hAnsi="Palatino Linotype"/>
          <w:color w:val="000000" w:themeColor="text1"/>
        </w:rPr>
        <w:footnoteReference w:id="24"/>
      </w:r>
    </w:p>
    <w:p w:rsidRPr="00B052F4" w:rsidR="00B052F4" w:rsidP="007E7238" w:rsidRDefault="002204D2" w14:paraId="35644A33" w14:textId="0BDC769D">
      <w:pPr>
        <w:pStyle w:val="ListParagraph"/>
        <w:numPr>
          <w:ilvl w:val="0"/>
          <w:numId w:val="8"/>
        </w:numPr>
        <w:spacing w:line="276" w:lineRule="auto"/>
        <w:ind w:left="810" w:hanging="450"/>
        <w:rPr>
          <w:rStyle w:val="FootnoteReference"/>
          <w:rFonts w:ascii="Palatino Linotype" w:hAnsi="Palatino Linotype"/>
          <w:vertAlign w:val="baseline"/>
        </w:rPr>
      </w:pPr>
      <w:r w:rsidRPr="00B052F4">
        <w:rPr>
          <w:rFonts w:ascii="Palatino Linotype" w:hAnsi="Palatino Linotype"/>
          <w:color w:val="000000" w:themeColor="text1"/>
        </w:rPr>
        <w:t>PG&amp;E’s research plan should allocate approximately $296,400 to an evaluation or audit.</w:t>
      </w:r>
      <w:r w:rsidR="002D6A72">
        <w:rPr>
          <w:rStyle w:val="FootnoteReference"/>
          <w:rFonts w:ascii="Palatino Linotype" w:hAnsi="Palatino Linotype"/>
          <w:color w:val="000000" w:themeColor="text1"/>
        </w:rPr>
        <w:footnoteReference w:id="25"/>
      </w:r>
    </w:p>
    <w:p w:rsidRPr="00B052F4" w:rsidR="002204D2" w:rsidP="00EE3C28" w:rsidRDefault="002204D2" w14:paraId="4B95070A" w14:textId="5686D367">
      <w:pPr>
        <w:pStyle w:val="ListParagraph"/>
        <w:numPr>
          <w:ilvl w:val="0"/>
          <w:numId w:val="8"/>
        </w:numPr>
        <w:spacing w:line="276" w:lineRule="auto"/>
        <w:ind w:left="806" w:hanging="446"/>
        <w:rPr>
          <w:rFonts w:ascii="Palatino Linotype" w:hAnsi="Palatino Linotype"/>
        </w:rPr>
      </w:pPr>
      <w:r w:rsidRPr="00B052F4">
        <w:rPr>
          <w:rFonts w:ascii="Palatino Linotype" w:hAnsi="Palatino Linotype"/>
          <w:color w:val="000000" w:themeColor="text1"/>
        </w:rPr>
        <w:t>PG&amp;E’s research plan may separately allocate and track funds for gas research development and deployment in one database that tracks all ratepayer-funded R&amp;D and Development projects across these industries.</w:t>
      </w:r>
      <w:r w:rsidR="00D1546E">
        <w:rPr>
          <w:rStyle w:val="FootnoteReference"/>
          <w:rFonts w:ascii="Palatino Linotype" w:hAnsi="Palatino Linotype"/>
          <w:color w:val="000000" w:themeColor="text1"/>
        </w:rPr>
        <w:footnoteReference w:id="26"/>
      </w:r>
    </w:p>
    <w:p w:rsidR="005A01F9" w:rsidP="00361AB6" w:rsidRDefault="005A01F9" w14:paraId="6CC78D76" w14:textId="77777777">
      <w:pPr>
        <w:spacing w:after="0" w:line="276" w:lineRule="auto"/>
        <w:rPr>
          <w:rFonts w:ascii="Palatino Linotype" w:hAnsi="Palatino Linotype" w:eastAsia="Palatino Linotype" w:cs="Times New Roman"/>
          <w:b/>
          <w:kern w:val="0"/>
          <w14:ligatures w14:val="none"/>
        </w:rPr>
      </w:pPr>
    </w:p>
    <w:p w:rsidRPr="00836A28" w:rsidR="0061159C" w:rsidP="00C20572" w:rsidRDefault="005D515D" w14:paraId="52C27881" w14:textId="5F6CC97E">
      <w:pPr>
        <w:spacing w:after="120" w:line="276" w:lineRule="auto"/>
        <w:rPr>
          <w:rFonts w:ascii="Palatino Linotype" w:hAnsi="Palatino Linotype" w:eastAsia="Palatino Linotype" w:cs="Times New Roman"/>
          <w:b/>
          <w:kern w:val="0"/>
          <w14:ligatures w14:val="none"/>
        </w:rPr>
      </w:pPr>
      <w:r w:rsidRPr="00836A28">
        <w:rPr>
          <w:rFonts w:ascii="Palatino Linotype" w:hAnsi="Palatino Linotype" w:eastAsia="Palatino Linotype" w:cs="Times New Roman"/>
          <w:b/>
          <w:kern w:val="0"/>
          <w14:ligatures w14:val="none"/>
        </w:rPr>
        <w:t xml:space="preserve">Summary of </w:t>
      </w:r>
      <w:r w:rsidRPr="00836A28" w:rsidR="00AC171A">
        <w:rPr>
          <w:rFonts w:ascii="Palatino Linotype" w:hAnsi="Palatino Linotype" w:eastAsia="Palatino Linotype" w:cs="Times New Roman"/>
          <w:b/>
          <w:kern w:val="0"/>
          <w14:ligatures w14:val="none"/>
        </w:rPr>
        <w:t>PG&amp;E</w:t>
      </w:r>
      <w:r w:rsidRPr="00836A28" w:rsidR="0091137D">
        <w:rPr>
          <w:rFonts w:ascii="Palatino Linotype" w:hAnsi="Palatino Linotype" w:eastAsia="Palatino Linotype" w:cs="Times New Roman"/>
          <w:b/>
          <w:kern w:val="0"/>
          <w14:ligatures w14:val="none"/>
        </w:rPr>
        <w:t xml:space="preserve"> Advice Letter </w:t>
      </w:r>
      <w:r w:rsidRPr="00836A28" w:rsidR="00BB08C3">
        <w:rPr>
          <w:rFonts w:ascii="Palatino Linotype" w:hAnsi="Palatino Linotype" w:eastAsia="Palatino Linotype" w:cs="Times New Roman"/>
          <w:b/>
          <w:kern w:val="0"/>
          <w14:ligatures w14:val="none"/>
        </w:rPr>
        <w:t>5077-G-A</w:t>
      </w:r>
      <w:r w:rsidRPr="00836A28" w:rsidR="009B7F74">
        <w:rPr>
          <w:rFonts w:ascii="Palatino Linotype" w:hAnsi="Palatino Linotype" w:eastAsia="Palatino Linotype" w:cs="Times New Roman"/>
          <w:b/>
          <w:kern w:val="0"/>
          <w14:ligatures w14:val="none"/>
        </w:rPr>
        <w:t xml:space="preserve">: </w:t>
      </w:r>
      <w:r w:rsidR="00584D30">
        <w:rPr>
          <w:rFonts w:ascii="Palatino Linotype" w:hAnsi="Palatino Linotype" w:eastAsia="Palatino Linotype" w:cs="Times New Roman"/>
          <w:b/>
          <w:kern w:val="0"/>
          <w14:ligatures w14:val="none"/>
        </w:rPr>
        <w:t>Cost Recovery and</w:t>
      </w:r>
      <w:r w:rsidR="00AC171A">
        <w:rPr>
          <w:rFonts w:ascii="Palatino Linotype" w:hAnsi="Palatino Linotype" w:eastAsia="Palatino Linotype" w:cs="Times New Roman"/>
          <w:b/>
          <w:kern w:val="0"/>
          <w14:ligatures w14:val="none"/>
        </w:rPr>
        <w:t xml:space="preserve"> </w:t>
      </w:r>
      <w:r w:rsidRPr="00836A28" w:rsidR="00AC171A">
        <w:rPr>
          <w:rFonts w:ascii="Palatino Linotype" w:hAnsi="Palatino Linotype" w:eastAsia="Palatino Linotype" w:cs="Times New Roman"/>
          <w:b/>
          <w:kern w:val="0"/>
          <w14:ligatures w14:val="none"/>
        </w:rPr>
        <w:t>2024 Gas RD&amp;D Plan</w:t>
      </w:r>
      <w:r w:rsidRPr="00836A28" w:rsidR="009B7F74">
        <w:rPr>
          <w:rFonts w:ascii="Palatino Linotype" w:hAnsi="Palatino Linotype" w:eastAsia="Palatino Linotype" w:cs="Times New Roman"/>
          <w:b/>
          <w:kern w:val="0"/>
          <w14:ligatures w14:val="none"/>
        </w:rPr>
        <w:t xml:space="preserve"> </w:t>
      </w:r>
    </w:p>
    <w:p w:rsidRPr="00C20572" w:rsidR="0061159C" w:rsidP="00361AB6" w:rsidRDefault="0061159C" w14:paraId="104C4F96" w14:textId="55FCCAAF">
      <w:pPr>
        <w:spacing w:after="0" w:line="276" w:lineRule="auto"/>
        <w:rPr>
          <w:rFonts w:ascii="Palatino Linotype" w:hAnsi="Palatino Linotype" w:eastAsia="Palatino Linotype" w:cs="Times New Roman"/>
          <w:color w:val="000000" w:themeColor="text1"/>
          <w:kern w:val="0"/>
          <w14:ligatures w14:val="none"/>
        </w:rPr>
      </w:pPr>
      <w:r w:rsidRPr="35CA46ED">
        <w:rPr>
          <w:rFonts w:ascii="Palatino Linotype" w:hAnsi="Palatino Linotype" w:eastAsia="Palatino Linotype" w:cs="Times New Roman"/>
          <w:color w:val="000000" w:themeColor="text1"/>
        </w:rPr>
        <w:t xml:space="preserve">PG&amp;E submitted </w:t>
      </w:r>
      <w:r w:rsidRPr="00C20572" w:rsidR="0040480F">
        <w:rPr>
          <w:rFonts w:ascii="Palatino Linotype" w:hAnsi="Palatino Linotype" w:eastAsia="Palatino Linotype" w:cs="Times New Roman"/>
          <w:color w:val="000000" w:themeColor="text1"/>
          <w:kern w:val="0"/>
          <w14:ligatures w14:val="none"/>
        </w:rPr>
        <w:t xml:space="preserve">its </w:t>
      </w:r>
      <w:r w:rsidRPr="00C20572" w:rsidR="00431F4F">
        <w:rPr>
          <w:rFonts w:ascii="Palatino Linotype" w:hAnsi="Palatino Linotype" w:eastAsia="Palatino Linotype" w:cs="Times New Roman"/>
          <w:color w:val="000000" w:themeColor="text1"/>
          <w:kern w:val="0"/>
          <w14:ligatures w14:val="none"/>
        </w:rPr>
        <w:t xml:space="preserve">proposed </w:t>
      </w:r>
      <w:r w:rsidRPr="00C20572" w:rsidR="0040480F">
        <w:rPr>
          <w:rFonts w:ascii="Palatino Linotype" w:hAnsi="Palatino Linotype" w:eastAsia="Palatino Linotype" w:cs="Times New Roman"/>
          <w:color w:val="000000" w:themeColor="text1"/>
          <w:kern w:val="0"/>
          <w14:ligatures w14:val="none"/>
        </w:rPr>
        <w:t xml:space="preserve">2024 Plan via </w:t>
      </w:r>
      <w:r w:rsidRPr="35CA46ED">
        <w:rPr>
          <w:rFonts w:ascii="Palatino Linotype" w:hAnsi="Palatino Linotype" w:eastAsia="Palatino Linotype" w:cs="Times New Roman"/>
          <w:color w:val="000000" w:themeColor="text1"/>
        </w:rPr>
        <w:t xml:space="preserve">Tier 3 AL </w:t>
      </w:r>
      <w:r w:rsidRPr="00C20572" w:rsidR="00D07F64">
        <w:rPr>
          <w:rFonts w:ascii="Palatino Linotype" w:hAnsi="Palatino Linotype" w:eastAsia="Palatino Linotype" w:cs="Times New Roman"/>
          <w:color w:val="000000" w:themeColor="text1"/>
          <w:kern w:val="0"/>
          <w14:ligatures w14:val="none"/>
        </w:rPr>
        <w:t>4</w:t>
      </w:r>
      <w:r w:rsidRPr="00C20572">
        <w:rPr>
          <w:rFonts w:ascii="Palatino Linotype" w:hAnsi="Palatino Linotype" w:eastAsia="Palatino Linotype" w:cs="Times New Roman"/>
          <w:color w:val="000000" w:themeColor="text1"/>
          <w:kern w:val="0"/>
          <w14:ligatures w14:val="none"/>
        </w:rPr>
        <w:t xml:space="preserve">931-G on </w:t>
      </w:r>
      <w:r w:rsidRPr="35CA46ED">
        <w:rPr>
          <w:rFonts w:ascii="Palatino Linotype" w:hAnsi="Palatino Linotype" w:eastAsia="Palatino Linotype" w:cs="Times New Roman"/>
          <w:color w:val="000000" w:themeColor="text1"/>
        </w:rPr>
        <w:t xml:space="preserve">July </w:t>
      </w:r>
      <w:r w:rsidRPr="00C20572">
        <w:rPr>
          <w:rFonts w:ascii="Palatino Linotype" w:hAnsi="Palatino Linotype" w:eastAsia="Palatino Linotype" w:cs="Times New Roman"/>
          <w:color w:val="000000" w:themeColor="text1"/>
          <w:kern w:val="0"/>
          <w14:ligatures w14:val="none"/>
        </w:rPr>
        <w:t>1</w:t>
      </w:r>
      <w:r w:rsidRPr="35CA46ED">
        <w:rPr>
          <w:rFonts w:ascii="Palatino Linotype" w:hAnsi="Palatino Linotype" w:eastAsia="Palatino Linotype" w:cs="Times New Roman"/>
          <w:color w:val="000000" w:themeColor="text1"/>
        </w:rPr>
        <w:t>, 2024. PG&amp;E later withdrew</w:t>
      </w:r>
      <w:r w:rsidRPr="35CA46ED" w:rsidDel="00D07F64">
        <w:rPr>
          <w:rFonts w:ascii="Palatino Linotype" w:hAnsi="Palatino Linotype" w:eastAsia="Palatino Linotype" w:cs="Times New Roman"/>
          <w:color w:val="000000" w:themeColor="text1"/>
        </w:rPr>
        <w:t xml:space="preserve"> </w:t>
      </w:r>
      <w:r w:rsidRPr="35CA46ED">
        <w:rPr>
          <w:rFonts w:ascii="Palatino Linotype" w:hAnsi="Palatino Linotype" w:eastAsia="Palatino Linotype" w:cs="Times New Roman"/>
          <w:color w:val="000000" w:themeColor="text1"/>
        </w:rPr>
        <w:t>AL</w:t>
      </w:r>
      <w:r w:rsidRPr="00C20572" w:rsidR="007E4EAD">
        <w:rPr>
          <w:rFonts w:ascii="Palatino Linotype" w:hAnsi="Palatino Linotype" w:eastAsia="Palatino Linotype" w:cs="Times New Roman"/>
          <w:color w:val="000000" w:themeColor="text1"/>
          <w:kern w:val="0"/>
          <w14:ligatures w14:val="none"/>
        </w:rPr>
        <w:t xml:space="preserve"> 4931-G</w:t>
      </w:r>
      <w:r w:rsidRPr="35CA46ED">
        <w:rPr>
          <w:rFonts w:ascii="Palatino Linotype" w:hAnsi="Palatino Linotype" w:eastAsia="Palatino Linotype" w:cs="Times New Roman"/>
          <w:color w:val="000000" w:themeColor="text1"/>
        </w:rPr>
        <w:t xml:space="preserve"> on May </w:t>
      </w:r>
      <w:r w:rsidRPr="00C20572">
        <w:rPr>
          <w:rFonts w:ascii="Palatino Linotype" w:hAnsi="Palatino Linotype" w:eastAsia="Palatino Linotype" w:cs="Times New Roman"/>
          <w:color w:val="000000" w:themeColor="text1"/>
          <w:kern w:val="0"/>
          <w14:ligatures w14:val="none"/>
        </w:rPr>
        <w:t>12</w:t>
      </w:r>
      <w:r w:rsidRPr="35CA46ED">
        <w:rPr>
          <w:rFonts w:ascii="Palatino Linotype" w:hAnsi="Palatino Linotype" w:eastAsia="Palatino Linotype" w:cs="Times New Roman"/>
          <w:color w:val="000000" w:themeColor="text1"/>
        </w:rPr>
        <w:t xml:space="preserve">, 2025, after consultation with CPUC staff. PG&amp;E resubmitted its 2024 Plan (AL 5077-G) on June </w:t>
      </w:r>
      <w:r w:rsidRPr="00C20572">
        <w:rPr>
          <w:rFonts w:ascii="Palatino Linotype" w:hAnsi="Palatino Linotype" w:eastAsia="Palatino Linotype" w:cs="Times New Roman"/>
          <w:color w:val="000000" w:themeColor="text1"/>
          <w:kern w:val="0"/>
          <w14:ligatures w14:val="none"/>
        </w:rPr>
        <w:t>25</w:t>
      </w:r>
      <w:r w:rsidRPr="35CA46ED">
        <w:rPr>
          <w:rFonts w:ascii="Palatino Linotype" w:hAnsi="Palatino Linotype" w:eastAsia="Palatino Linotype" w:cs="Times New Roman"/>
          <w:color w:val="000000" w:themeColor="text1"/>
        </w:rPr>
        <w:t xml:space="preserve">, 2025, and </w:t>
      </w:r>
      <w:r w:rsidRPr="00C20572" w:rsidR="00315CB7">
        <w:rPr>
          <w:rFonts w:ascii="Palatino Linotype" w:hAnsi="Palatino Linotype" w:eastAsia="Palatino Linotype" w:cs="Times New Roman"/>
          <w:color w:val="000000" w:themeColor="text1"/>
          <w:kern w:val="0"/>
          <w14:ligatures w14:val="none"/>
        </w:rPr>
        <w:t xml:space="preserve">subsequently submitted </w:t>
      </w:r>
      <w:r w:rsidRPr="00C20572" w:rsidR="00331C26">
        <w:rPr>
          <w:rFonts w:ascii="Palatino Linotype" w:hAnsi="Palatino Linotype" w:eastAsia="Palatino Linotype" w:cs="Times New Roman"/>
          <w:color w:val="000000" w:themeColor="text1"/>
          <w:kern w:val="0"/>
          <w14:ligatures w14:val="none"/>
        </w:rPr>
        <w:t>its</w:t>
      </w:r>
      <w:r w:rsidRPr="35CA46ED">
        <w:rPr>
          <w:rFonts w:ascii="Palatino Linotype" w:hAnsi="Palatino Linotype" w:eastAsia="Palatino Linotype" w:cs="Times New Roman"/>
          <w:color w:val="000000" w:themeColor="text1"/>
        </w:rPr>
        <w:t xml:space="preserve"> </w:t>
      </w:r>
      <w:r w:rsidRPr="00C20572" w:rsidR="00B72C5A">
        <w:rPr>
          <w:rFonts w:ascii="Palatino Linotype" w:hAnsi="Palatino Linotype" w:eastAsia="Palatino Linotype" w:cs="Times New Roman"/>
          <w:color w:val="000000" w:themeColor="text1"/>
          <w:kern w:val="0"/>
          <w14:ligatures w14:val="none"/>
        </w:rPr>
        <w:t xml:space="preserve">modified 2024 </w:t>
      </w:r>
      <w:r w:rsidRPr="35CA46ED">
        <w:rPr>
          <w:rFonts w:ascii="Palatino Linotype" w:hAnsi="Palatino Linotype" w:eastAsia="Palatino Linotype" w:cs="Times New Roman"/>
          <w:color w:val="000000" w:themeColor="text1"/>
        </w:rPr>
        <w:t xml:space="preserve">Plan </w:t>
      </w:r>
      <w:r w:rsidRPr="00C20572" w:rsidR="00B72C5A">
        <w:rPr>
          <w:rFonts w:ascii="Palatino Linotype" w:hAnsi="Palatino Linotype" w:eastAsia="Palatino Linotype" w:cs="Times New Roman"/>
          <w:color w:val="000000" w:themeColor="text1"/>
          <w:kern w:val="0"/>
          <w14:ligatures w14:val="none"/>
        </w:rPr>
        <w:t xml:space="preserve">via </w:t>
      </w:r>
      <w:r w:rsidRPr="35CA46ED">
        <w:rPr>
          <w:rFonts w:ascii="Palatino Linotype" w:hAnsi="Palatino Linotype" w:eastAsia="Palatino Linotype" w:cs="Times New Roman"/>
          <w:color w:val="000000" w:themeColor="text1"/>
        </w:rPr>
        <w:t>supplement</w:t>
      </w:r>
      <w:r w:rsidRPr="00C20572" w:rsidR="00B72C5A">
        <w:rPr>
          <w:rFonts w:ascii="Palatino Linotype" w:hAnsi="Palatino Linotype" w:eastAsia="Palatino Linotype" w:cs="Times New Roman"/>
          <w:color w:val="000000" w:themeColor="text1"/>
          <w:kern w:val="0"/>
          <w14:ligatures w14:val="none"/>
        </w:rPr>
        <w:t>al</w:t>
      </w:r>
      <w:r w:rsidRPr="35CA46ED">
        <w:rPr>
          <w:rFonts w:ascii="Palatino Linotype" w:hAnsi="Palatino Linotype" w:eastAsia="Palatino Linotype" w:cs="Times New Roman"/>
          <w:color w:val="000000" w:themeColor="text1"/>
        </w:rPr>
        <w:t xml:space="preserve"> AL 5077-G-A on August </w:t>
      </w:r>
      <w:r w:rsidRPr="00C20572">
        <w:rPr>
          <w:rFonts w:ascii="Palatino Linotype" w:hAnsi="Palatino Linotype" w:eastAsia="Palatino Linotype" w:cs="Times New Roman"/>
          <w:color w:val="000000" w:themeColor="text1"/>
          <w:kern w:val="0"/>
          <w14:ligatures w14:val="none"/>
        </w:rPr>
        <w:t>18</w:t>
      </w:r>
      <w:r w:rsidRPr="35CA46ED">
        <w:rPr>
          <w:rFonts w:ascii="Palatino Linotype" w:hAnsi="Palatino Linotype" w:eastAsia="Palatino Linotype" w:cs="Times New Roman"/>
          <w:color w:val="000000" w:themeColor="text1"/>
        </w:rPr>
        <w:t xml:space="preserve">, 2025. </w:t>
      </w:r>
    </w:p>
    <w:p w:rsidR="00C47982" w:rsidP="00836A28" w:rsidRDefault="00C47982" w14:paraId="7C3E09E3" w14:textId="77777777">
      <w:pPr>
        <w:spacing w:after="0" w:line="276" w:lineRule="auto"/>
        <w:rPr>
          <w:rFonts w:ascii="Palatino Linotype" w:hAnsi="Palatino Linotype"/>
          <w:b/>
        </w:rPr>
      </w:pPr>
    </w:p>
    <w:p w:rsidRPr="00836A28" w:rsidR="00054A39" w:rsidP="0056379C" w:rsidRDefault="00A61A02" w14:paraId="49E292AC" w14:textId="017E876E">
      <w:pPr>
        <w:spacing w:line="276" w:lineRule="auto"/>
        <w:rPr>
          <w:rFonts w:ascii="Palatino Linotype" w:hAnsi="Palatino Linotype" w:eastAsia="Palatino Linotype" w:cs="Times New Roman"/>
          <w:kern w:val="0"/>
          <w:u w:val="single"/>
          <w14:ligatures w14:val="none"/>
        </w:rPr>
      </w:pPr>
      <w:r w:rsidRPr="00836A28">
        <w:rPr>
          <w:rFonts w:ascii="Palatino Linotype" w:hAnsi="Palatino Linotype"/>
          <w:u w:val="single"/>
        </w:rPr>
        <w:t>PG&amp;E Request</w:t>
      </w:r>
      <w:r w:rsidRPr="00836A28" w:rsidR="005A01F9">
        <w:rPr>
          <w:rFonts w:ascii="Palatino Linotype" w:hAnsi="Palatino Linotype"/>
          <w:u w:val="single"/>
        </w:rPr>
        <w:t xml:space="preserve"> for 2023 &amp; 2024 Cost Recovery </w:t>
      </w:r>
    </w:p>
    <w:p w:rsidRPr="00FC2D6C" w:rsidR="009616FE" w:rsidP="00361AB6" w:rsidRDefault="00FC2D6C" w14:paraId="7AFA0793" w14:textId="674352A4">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color w:val="000000" w:themeColor="text1"/>
          <w:kern w:val="0"/>
          <w14:ligatures w14:val="none"/>
        </w:rPr>
        <w:t xml:space="preserve">In AL 5077-G-A, </w:t>
      </w:r>
      <w:r w:rsidRPr="00913581" w:rsidR="00913581">
        <w:rPr>
          <w:rFonts w:ascii="Palatino Linotype" w:hAnsi="Palatino Linotype" w:eastAsia="Palatino Linotype" w:cs="Times New Roman"/>
          <w:color w:val="000000" w:themeColor="text1"/>
          <w:kern w:val="0"/>
          <w14:ligatures w14:val="none"/>
        </w:rPr>
        <w:t>PG&amp;E requests to recover $7,207,712 in expense revenue requirements, including total actual Gas RD&amp;D (MAT GZA) expenses recorded in Calendar Years 2023 ($3,532,835) and 2024 ($3,674,877).</w:t>
      </w:r>
      <w:r w:rsidRPr="00913581" w:rsidR="00913581">
        <w:rPr>
          <w:rStyle w:val="FootnoteReference"/>
          <w:rFonts w:ascii="Palatino Linotype" w:hAnsi="Palatino Linotype" w:eastAsia="Palatino Linotype" w:cs="Times New Roman"/>
          <w:color w:val="000000" w:themeColor="text1"/>
          <w:kern w:val="0"/>
          <w14:ligatures w14:val="none"/>
        </w:rPr>
        <w:footnoteReference w:id="27"/>
      </w:r>
    </w:p>
    <w:p w:rsidR="009616FE" w:rsidP="00361AB6" w:rsidRDefault="009616FE" w14:paraId="05FAF1BC" w14:textId="77777777">
      <w:pPr>
        <w:spacing w:after="0" w:line="276" w:lineRule="auto"/>
        <w:rPr>
          <w:rFonts w:ascii="Palatino Linotype" w:hAnsi="Palatino Linotype" w:eastAsia="Palatino Linotype" w:cs="Times New Roman"/>
          <w:b/>
          <w:kern w:val="0"/>
          <w14:ligatures w14:val="none"/>
        </w:rPr>
      </w:pPr>
    </w:p>
    <w:p w:rsidRPr="00836A28" w:rsidR="00311637" w:rsidP="00616590" w:rsidRDefault="005A01F9" w14:paraId="0DFC0F81" w14:textId="5543EEC0">
      <w:pPr>
        <w:spacing w:line="276" w:lineRule="auto"/>
        <w:rPr>
          <w:rFonts w:ascii="Palatino Linotype" w:hAnsi="Palatino Linotype"/>
          <w:u w:val="single"/>
        </w:rPr>
      </w:pPr>
      <w:r w:rsidRPr="00836A28">
        <w:rPr>
          <w:rFonts w:ascii="Palatino Linotype" w:hAnsi="Palatino Linotype"/>
          <w:u w:val="single"/>
        </w:rPr>
        <w:t>PG&amp;E Request for 2024 Gas RD&amp;D</w:t>
      </w:r>
      <w:r w:rsidRPr="00836A28" w:rsidR="009616FE">
        <w:rPr>
          <w:rFonts w:ascii="Palatino Linotype" w:hAnsi="Palatino Linotype"/>
          <w:u w:val="single"/>
        </w:rPr>
        <w:t xml:space="preserve"> Plan</w:t>
      </w:r>
    </w:p>
    <w:p w:rsidRPr="00BE6B16" w:rsidR="00311637" w:rsidP="00361AB6" w:rsidRDefault="00DB13A3" w14:paraId="78B9C35B" w14:textId="3820C160">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w:t>
      </w:r>
      <w:r w:rsidR="008129F8">
        <w:rPr>
          <w:rFonts w:ascii="Palatino Linotype" w:hAnsi="Palatino Linotype" w:eastAsia="Palatino Linotype" w:cs="Times New Roman"/>
          <w:bCs/>
          <w:kern w:val="0"/>
          <w14:ligatures w14:val="none"/>
        </w:rPr>
        <w:t xml:space="preserve"> also</w:t>
      </w:r>
      <w:r>
        <w:rPr>
          <w:rFonts w:ascii="Palatino Linotype" w:hAnsi="Palatino Linotype" w:eastAsia="Palatino Linotype" w:cs="Times New Roman"/>
          <w:bCs/>
          <w:kern w:val="0"/>
          <w14:ligatures w14:val="none"/>
        </w:rPr>
        <w:t xml:space="preserve"> seeks approval </w:t>
      </w:r>
      <w:r w:rsidR="00C61412">
        <w:rPr>
          <w:rFonts w:ascii="Palatino Linotype" w:hAnsi="Palatino Linotype" w:eastAsia="Palatino Linotype" w:cs="Times New Roman"/>
          <w:bCs/>
          <w:kern w:val="0"/>
          <w14:ligatures w14:val="none"/>
        </w:rPr>
        <w:t xml:space="preserve">of its proposed Gas RD&amp;D Investment Plan for Calendar Year 2024 </w:t>
      </w:r>
      <w:r w:rsidR="008129F8">
        <w:rPr>
          <w:rFonts w:ascii="Palatino Linotype" w:hAnsi="Palatino Linotype" w:eastAsia="Palatino Linotype" w:cs="Times New Roman"/>
          <w:bCs/>
          <w:kern w:val="0"/>
          <w14:ligatures w14:val="none"/>
        </w:rPr>
        <w:t>in AL</w:t>
      </w:r>
      <w:r w:rsidR="00B770CE">
        <w:rPr>
          <w:rFonts w:ascii="Palatino Linotype" w:hAnsi="Palatino Linotype" w:eastAsia="Palatino Linotype" w:cs="Times New Roman"/>
          <w:bCs/>
          <w:kern w:val="0"/>
          <w14:ligatures w14:val="none"/>
        </w:rPr>
        <w:t xml:space="preserve"> 5077-G-A, </w:t>
      </w:r>
      <w:r w:rsidR="000531DE">
        <w:rPr>
          <w:rFonts w:ascii="Palatino Linotype" w:hAnsi="Palatino Linotype" w:eastAsia="Palatino Linotype" w:cs="Times New Roman"/>
          <w:bCs/>
          <w:kern w:val="0"/>
          <w14:ligatures w14:val="none"/>
        </w:rPr>
        <w:t xml:space="preserve">authorized </w:t>
      </w:r>
      <w:r w:rsidR="00D909A9">
        <w:rPr>
          <w:rFonts w:ascii="Palatino Linotype" w:hAnsi="Palatino Linotype" w:eastAsia="Palatino Linotype" w:cs="Times New Roman"/>
          <w:bCs/>
          <w:kern w:val="0"/>
          <w14:ligatures w14:val="none"/>
        </w:rPr>
        <w:t xml:space="preserve">by D.23-11-069 </w:t>
      </w:r>
      <w:r w:rsidR="000531DE">
        <w:rPr>
          <w:rFonts w:ascii="Palatino Linotype" w:hAnsi="Palatino Linotype" w:eastAsia="Palatino Linotype" w:cs="Times New Roman"/>
          <w:bCs/>
          <w:kern w:val="0"/>
          <w14:ligatures w14:val="none"/>
        </w:rPr>
        <w:t>at</w:t>
      </w:r>
      <w:r w:rsidR="00C61412">
        <w:rPr>
          <w:rFonts w:ascii="Palatino Linotype" w:hAnsi="Palatino Linotype" w:eastAsia="Palatino Linotype" w:cs="Times New Roman"/>
          <w:bCs/>
          <w:kern w:val="0"/>
          <w14:ligatures w14:val="none"/>
        </w:rPr>
        <w:t xml:space="preserve"> </w:t>
      </w:r>
      <w:r w:rsidR="00D37EA9">
        <w:rPr>
          <w:rFonts w:ascii="Palatino Linotype" w:hAnsi="Palatino Linotype" w:eastAsia="Palatino Linotype" w:cs="Times New Roman"/>
          <w:bCs/>
          <w:kern w:val="0"/>
          <w14:ligatures w14:val="none"/>
        </w:rPr>
        <w:t xml:space="preserve">$8,092,000 </w:t>
      </w:r>
      <w:r w:rsidR="00BE6B16">
        <w:rPr>
          <w:rFonts w:ascii="Palatino Linotype" w:hAnsi="Palatino Linotype" w:eastAsia="Palatino Linotype" w:cs="Times New Roman"/>
          <w:bCs/>
          <w:kern w:val="0"/>
          <w14:ligatures w14:val="none"/>
        </w:rPr>
        <w:t xml:space="preserve">with the following </w:t>
      </w:r>
      <w:r w:rsidR="0044796D">
        <w:rPr>
          <w:rFonts w:ascii="Palatino Linotype" w:hAnsi="Palatino Linotype" w:eastAsia="Palatino Linotype" w:cs="Times New Roman"/>
          <w:bCs/>
          <w:kern w:val="0"/>
          <w14:ligatures w14:val="none"/>
        </w:rPr>
        <w:t xml:space="preserve">proposed </w:t>
      </w:r>
      <w:r w:rsidR="00BE6B16">
        <w:rPr>
          <w:rFonts w:ascii="Palatino Linotype" w:hAnsi="Palatino Linotype" w:eastAsia="Palatino Linotype" w:cs="Times New Roman"/>
          <w:bCs/>
          <w:kern w:val="0"/>
          <w14:ligatures w14:val="none"/>
        </w:rPr>
        <w:t>budget allocations to various Initiatives:</w:t>
      </w:r>
      <w:r w:rsidR="003F24E0">
        <w:rPr>
          <w:rStyle w:val="FootnoteReference"/>
          <w:rFonts w:ascii="Palatino Linotype" w:hAnsi="Palatino Linotype" w:eastAsia="Palatino Linotype" w:cs="Times New Roman"/>
          <w:bCs/>
          <w:kern w:val="0"/>
          <w14:ligatures w14:val="none"/>
        </w:rPr>
        <w:footnoteReference w:id="28"/>
      </w:r>
      <w:r w:rsidR="00BE6B16">
        <w:rPr>
          <w:rFonts w:ascii="Palatino Linotype" w:hAnsi="Palatino Linotype" w:eastAsia="Palatino Linotype" w:cs="Times New Roman"/>
          <w:bCs/>
          <w:kern w:val="0"/>
          <w14:ligatures w14:val="none"/>
        </w:rPr>
        <w:t xml:space="preserve"> </w:t>
      </w:r>
    </w:p>
    <w:p w:rsidR="00C468ED" w:rsidP="00361AB6" w:rsidRDefault="00C468ED" w14:paraId="708B6DED" w14:textId="77777777">
      <w:pPr>
        <w:spacing w:after="0" w:line="276" w:lineRule="auto"/>
        <w:rPr>
          <w:rFonts w:ascii="Palatino Linotype" w:hAnsi="Palatino Linotype" w:eastAsia="Palatino Linotype" w:cs="Times New Roman"/>
          <w:b/>
          <w:kern w:val="0"/>
          <w:u w:val="single"/>
          <w14:ligatures w14:val="none"/>
        </w:rPr>
      </w:pPr>
    </w:p>
    <w:tbl>
      <w:tblPr>
        <w:tblStyle w:val="TableGrid"/>
        <w:tblW w:w="0" w:type="auto"/>
        <w:tblLook w:val="04A0" w:firstRow="1" w:lastRow="0" w:firstColumn="1" w:lastColumn="0" w:noHBand="0" w:noVBand="1"/>
      </w:tblPr>
      <w:tblGrid>
        <w:gridCol w:w="2784"/>
        <w:gridCol w:w="4195"/>
        <w:gridCol w:w="2371"/>
      </w:tblGrid>
      <w:tr w:rsidRPr="009B5F9B" w:rsidR="00C468ED" w:rsidTr="00C55585" w14:paraId="18FDD058" w14:textId="77777777">
        <w:trPr>
          <w:trHeight w:val="350"/>
        </w:trPr>
        <w:tc>
          <w:tcPr>
            <w:tcW w:w="9350" w:type="dxa"/>
            <w:gridSpan w:val="3"/>
            <w:tcBorders>
              <w:top w:val="single" w:color="auto" w:sz="4" w:space="0"/>
              <w:left w:val="single" w:color="auto" w:sz="4" w:space="0"/>
              <w:bottom w:val="single" w:color="auto" w:sz="4" w:space="0"/>
              <w:right w:val="single" w:color="auto" w:sz="4" w:space="0"/>
            </w:tcBorders>
          </w:tcPr>
          <w:p w:rsidRPr="009B5F9B" w:rsidR="00C468ED" w:rsidP="00D35B07" w:rsidRDefault="003B58E1" w14:paraId="515DDD40" w14:textId="557F67D2">
            <w:pPr>
              <w:keepNext/>
              <w:keepLines/>
              <w:spacing w:line="276" w:lineRule="auto"/>
              <w:jc w:val="center"/>
              <w:rPr>
                <w:rFonts w:ascii="Palatino Linotype" w:hAnsi="Palatino Linotype"/>
                <w:b/>
                <w:bCs w:val="0"/>
              </w:rPr>
            </w:pPr>
            <w:r>
              <w:rPr>
                <w:rFonts w:ascii="Palatino Linotype" w:hAnsi="Palatino Linotype"/>
                <w:b/>
                <w:bCs w:val="0"/>
              </w:rPr>
              <w:lastRenderedPageBreak/>
              <w:t xml:space="preserve">Table 2: </w:t>
            </w:r>
            <w:r w:rsidR="00C468ED">
              <w:rPr>
                <w:rFonts w:ascii="Palatino Linotype" w:hAnsi="Palatino Linotype"/>
                <w:b/>
                <w:bCs w:val="0"/>
              </w:rPr>
              <w:t>2024 Gas RD&amp;D Plan Proposed Budget</w:t>
            </w:r>
          </w:p>
        </w:tc>
      </w:tr>
      <w:tr w:rsidRPr="009B5F9B" w:rsidR="00C468ED" w:rsidTr="00C55585" w14:paraId="48C0ACC0" w14:textId="77777777">
        <w:tc>
          <w:tcPr>
            <w:tcW w:w="2784"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6EADC542"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Investment Theme</w:t>
            </w: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1B756B11"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Initiative Title</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029928D9"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2024 Plan Budget</w:t>
            </w:r>
          </w:p>
        </w:tc>
      </w:tr>
      <w:tr w:rsidR="00C468ED" w:rsidTr="00C55585" w14:paraId="28E68152" w14:textId="77777777">
        <w:tc>
          <w:tcPr>
            <w:tcW w:w="2784" w:type="dxa"/>
            <w:vMerge w:val="restart"/>
            <w:tcBorders>
              <w:top w:val="single" w:color="auto" w:sz="4" w:space="0"/>
              <w:left w:val="single" w:color="auto" w:sz="4" w:space="0"/>
              <w:bottom w:val="single" w:color="auto" w:sz="4" w:space="0"/>
              <w:right w:val="single" w:color="auto" w:sz="4" w:space="0"/>
            </w:tcBorders>
          </w:tcPr>
          <w:p w:rsidRPr="008C587F" w:rsidR="00C468ED" w:rsidP="00D35B07" w:rsidRDefault="00C468ED" w14:paraId="22B02A21"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Gas System Integrity</w:t>
            </w: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5B4CFF71"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Proactive Geohazard Risk Management</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33F06885"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$594,126</w:t>
            </w:r>
          </w:p>
        </w:tc>
      </w:tr>
      <w:tr w:rsidR="00C468ED" w:rsidTr="00C55585" w14:paraId="0129844C" w14:textId="77777777">
        <w:tc>
          <w:tcPr>
            <w:tcW w:w="2784" w:type="dxa"/>
            <w:vMerge/>
            <w:tcBorders>
              <w:top w:val="single" w:color="auto" w:sz="4" w:space="0"/>
              <w:left w:val="single" w:color="auto" w:sz="4" w:space="0"/>
              <w:bottom w:val="single" w:color="auto" w:sz="4" w:space="0"/>
              <w:right w:val="single" w:color="auto" w:sz="4" w:space="0"/>
            </w:tcBorders>
          </w:tcPr>
          <w:p w:rsidRPr="008C587F" w:rsidR="00C468ED" w:rsidP="00D35B07" w:rsidRDefault="00C468ED" w14:paraId="2DFBF9D0" w14:textId="77777777">
            <w:pPr>
              <w:keepNext/>
              <w:keepLines/>
              <w:spacing w:line="276" w:lineRule="auto"/>
              <w:rPr>
                <w:rFonts w:ascii="Palatino Linotype" w:hAnsi="Palatino Linotype"/>
                <w:sz w:val="22"/>
                <w:szCs w:val="22"/>
              </w:rPr>
            </w:pP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36AB5DEE"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Innovative and Cost-Effective Integrity Management</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673F443B"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$1,398,644</w:t>
            </w:r>
          </w:p>
        </w:tc>
      </w:tr>
      <w:tr w:rsidR="00C468ED" w:rsidTr="00C55585" w14:paraId="5074ADC2" w14:textId="77777777">
        <w:tc>
          <w:tcPr>
            <w:tcW w:w="2784" w:type="dxa"/>
            <w:vMerge/>
            <w:tcBorders>
              <w:top w:val="single" w:color="auto" w:sz="4" w:space="0"/>
              <w:left w:val="single" w:color="auto" w:sz="4" w:space="0"/>
              <w:bottom w:val="single" w:color="auto" w:sz="4" w:space="0"/>
              <w:right w:val="single" w:color="auto" w:sz="4" w:space="0"/>
            </w:tcBorders>
          </w:tcPr>
          <w:p w:rsidRPr="008C587F" w:rsidR="00C468ED" w:rsidP="00D35B07" w:rsidRDefault="00C468ED" w14:paraId="30C50A90" w14:textId="77777777">
            <w:pPr>
              <w:keepNext/>
              <w:keepLines/>
              <w:spacing w:line="276" w:lineRule="auto"/>
              <w:rPr>
                <w:rFonts w:ascii="Palatino Linotype" w:hAnsi="Palatino Linotype"/>
                <w:sz w:val="22"/>
                <w:szCs w:val="22"/>
              </w:rPr>
            </w:pP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1232FD93"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Advanced Leak Detection and Repair</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4936A56A"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$1,819,428</w:t>
            </w:r>
          </w:p>
        </w:tc>
      </w:tr>
      <w:tr w:rsidR="00C468ED" w:rsidTr="00C55585" w14:paraId="570F6BFD" w14:textId="77777777">
        <w:tc>
          <w:tcPr>
            <w:tcW w:w="2784" w:type="dxa"/>
            <w:vMerge/>
            <w:tcBorders>
              <w:top w:val="single" w:color="auto" w:sz="4" w:space="0"/>
              <w:left w:val="single" w:color="auto" w:sz="4" w:space="0"/>
              <w:bottom w:val="single" w:color="auto" w:sz="4" w:space="0"/>
              <w:right w:val="single" w:color="auto" w:sz="4" w:space="0"/>
            </w:tcBorders>
          </w:tcPr>
          <w:p w:rsidRPr="008C587F" w:rsidR="00C468ED" w:rsidP="00D35B07" w:rsidRDefault="00C468ED" w14:paraId="273AD055" w14:textId="77777777">
            <w:pPr>
              <w:keepNext/>
              <w:keepLines/>
              <w:spacing w:line="276" w:lineRule="auto"/>
              <w:rPr>
                <w:rFonts w:ascii="Palatino Linotype" w:hAnsi="Palatino Linotype"/>
                <w:sz w:val="22"/>
                <w:szCs w:val="22"/>
              </w:rPr>
            </w:pP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16571317"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Emission Reduction Activities and Refined Reporting</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25841467"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$982,542</w:t>
            </w:r>
          </w:p>
        </w:tc>
      </w:tr>
      <w:tr w:rsidR="00C468ED" w:rsidTr="00C55585" w14:paraId="7026A7BE" w14:textId="77777777">
        <w:tc>
          <w:tcPr>
            <w:tcW w:w="2784"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05AEA813"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Decarbonization</w:t>
            </w:r>
          </w:p>
        </w:tc>
        <w:tc>
          <w:tcPr>
            <w:tcW w:w="4195"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1872883E"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Clean Fuels Integration</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7CE173DC"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$2,191,660</w:t>
            </w:r>
          </w:p>
        </w:tc>
      </w:tr>
      <w:tr w:rsidRPr="009B5F9B" w:rsidR="00C468ED" w:rsidTr="00C55585" w14:paraId="77E95742" w14:textId="77777777">
        <w:tc>
          <w:tcPr>
            <w:tcW w:w="6979" w:type="dxa"/>
            <w:gridSpan w:val="2"/>
            <w:tcBorders>
              <w:top w:val="single" w:color="auto" w:sz="4" w:space="0"/>
              <w:left w:val="single" w:color="auto" w:sz="4" w:space="0"/>
              <w:bottom w:val="single" w:color="auto" w:sz="4" w:space="0"/>
              <w:right w:val="single" w:color="auto" w:sz="4" w:space="0"/>
            </w:tcBorders>
          </w:tcPr>
          <w:p w:rsidRPr="008C587F" w:rsidR="00C468ED" w:rsidP="00D35B07" w:rsidRDefault="00C468ED" w14:paraId="0EBB3394"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Program Evaluation</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3EB66FBC"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$294,400</w:t>
            </w:r>
          </w:p>
        </w:tc>
      </w:tr>
      <w:tr w:rsidRPr="009B5F9B" w:rsidR="00C468ED" w:rsidTr="00C55585" w14:paraId="44C75C16" w14:textId="77777777">
        <w:tc>
          <w:tcPr>
            <w:tcW w:w="6979" w:type="dxa"/>
            <w:gridSpan w:val="2"/>
            <w:tcBorders>
              <w:top w:val="single" w:color="auto" w:sz="4" w:space="0"/>
              <w:left w:val="single" w:color="auto" w:sz="4" w:space="0"/>
              <w:bottom w:val="single" w:color="auto" w:sz="4" w:space="0"/>
              <w:right w:val="single" w:color="auto" w:sz="4" w:space="0"/>
            </w:tcBorders>
          </w:tcPr>
          <w:p w:rsidRPr="008C587F" w:rsidR="00C468ED" w:rsidP="00D35B07" w:rsidRDefault="00C468ED" w14:paraId="4DC5889F"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Administrative</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C468ED" w14:paraId="2E17092A"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$809,200</w:t>
            </w:r>
          </w:p>
        </w:tc>
      </w:tr>
      <w:tr w:rsidRPr="009B5F9B" w:rsidR="00C468ED" w:rsidTr="00C55585" w14:paraId="2ED2402C" w14:textId="77777777">
        <w:tc>
          <w:tcPr>
            <w:tcW w:w="6979" w:type="dxa"/>
            <w:gridSpan w:val="2"/>
            <w:tcBorders>
              <w:top w:val="single" w:color="auto" w:sz="4" w:space="0"/>
              <w:left w:val="single" w:color="auto" w:sz="4" w:space="0"/>
              <w:bottom w:val="single" w:color="auto" w:sz="4" w:space="0"/>
              <w:right w:val="single" w:color="auto" w:sz="4" w:space="0"/>
            </w:tcBorders>
            <w:vAlign w:val="center"/>
          </w:tcPr>
          <w:p w:rsidRPr="008C587F" w:rsidR="00C468ED" w:rsidP="00D35B07" w:rsidRDefault="00C468ED" w14:paraId="2F248AF0" w14:textId="77777777">
            <w:pPr>
              <w:keepNext/>
              <w:keepLines/>
              <w:spacing w:line="276" w:lineRule="auto"/>
              <w:jc w:val="right"/>
              <w:rPr>
                <w:rFonts w:ascii="Palatino Linotype" w:hAnsi="Palatino Linotype"/>
                <w:b/>
                <w:bCs w:val="0"/>
                <w:sz w:val="22"/>
                <w:szCs w:val="22"/>
              </w:rPr>
            </w:pPr>
            <w:r w:rsidRPr="008C587F">
              <w:rPr>
                <w:rFonts w:ascii="Palatino Linotype" w:hAnsi="Palatino Linotype"/>
                <w:b/>
                <w:bCs w:val="0"/>
                <w:sz w:val="22"/>
                <w:szCs w:val="22"/>
              </w:rPr>
              <w:t>ANNUAL TOTAL:</w:t>
            </w:r>
          </w:p>
        </w:tc>
        <w:tc>
          <w:tcPr>
            <w:tcW w:w="2371" w:type="dxa"/>
            <w:tcBorders>
              <w:top w:val="single" w:color="auto" w:sz="4" w:space="0"/>
              <w:left w:val="single" w:color="auto" w:sz="4" w:space="0"/>
              <w:bottom w:val="single" w:color="auto" w:sz="4" w:space="0"/>
              <w:right w:val="single" w:color="auto" w:sz="4" w:space="0"/>
            </w:tcBorders>
          </w:tcPr>
          <w:p w:rsidRPr="008C587F" w:rsidR="00C468ED" w:rsidP="00D35B07" w:rsidRDefault="00A11B3C" w14:paraId="27F2F5F3" w14:textId="1F7D02AF">
            <w:pPr>
              <w:keepNext/>
              <w:keepLines/>
              <w:spacing w:line="276" w:lineRule="auto"/>
              <w:rPr>
                <w:rFonts w:ascii="Palatino Linotype" w:hAnsi="Palatino Linotype"/>
                <w:b/>
                <w:bCs w:val="0"/>
                <w:sz w:val="22"/>
                <w:szCs w:val="22"/>
              </w:rPr>
            </w:pPr>
            <w:r w:rsidRPr="007630D4">
              <w:rPr>
                <w:rFonts w:ascii="Palatino Linotype" w:hAnsi="Palatino Linotype"/>
                <w:b/>
                <w:bCs w:val="0"/>
                <w:color w:val="000000" w:themeColor="text1"/>
                <w:sz w:val="22"/>
                <w:szCs w:val="22"/>
              </w:rPr>
              <w:t>*</w:t>
            </w:r>
            <w:r w:rsidRPr="007630D4" w:rsidR="00C468ED">
              <w:rPr>
                <w:rFonts w:ascii="Palatino Linotype" w:hAnsi="Palatino Linotype"/>
                <w:b/>
                <w:bCs w:val="0"/>
                <w:color w:val="000000" w:themeColor="text1"/>
                <w:sz w:val="22"/>
                <w:szCs w:val="22"/>
              </w:rPr>
              <w:t>$8,09</w:t>
            </w:r>
            <w:r w:rsidRPr="007630D4">
              <w:rPr>
                <w:rFonts w:ascii="Palatino Linotype" w:hAnsi="Palatino Linotype"/>
                <w:b/>
                <w:bCs w:val="0"/>
                <w:color w:val="000000" w:themeColor="text1"/>
                <w:sz w:val="22"/>
                <w:szCs w:val="22"/>
              </w:rPr>
              <w:t>0</w:t>
            </w:r>
            <w:r w:rsidRPr="007630D4" w:rsidR="00C468ED">
              <w:rPr>
                <w:rFonts w:ascii="Palatino Linotype" w:hAnsi="Palatino Linotype"/>
                <w:b/>
                <w:bCs w:val="0"/>
                <w:color w:val="000000" w:themeColor="text1"/>
                <w:sz w:val="22"/>
                <w:szCs w:val="22"/>
              </w:rPr>
              <w:t>,000</w:t>
            </w:r>
          </w:p>
        </w:tc>
      </w:tr>
    </w:tbl>
    <w:p w:rsidRPr="00D54048" w:rsidR="00D87C13" w:rsidP="00D54048" w:rsidRDefault="00A11B3C" w14:paraId="07988EDA" w14:textId="63A5600A">
      <w:pPr>
        <w:spacing w:after="0" w:line="240" w:lineRule="auto"/>
        <w:rPr>
          <w:rFonts w:ascii="Palatino Linotype" w:hAnsi="Palatino Linotype" w:eastAsia="Palatino Linotype" w:cs="Times New Roman"/>
          <w:bCs/>
          <w:i/>
          <w:iCs/>
          <w:kern w:val="0"/>
          <w:sz w:val="20"/>
          <w:szCs w:val="20"/>
          <w14:ligatures w14:val="none"/>
        </w:rPr>
      </w:pPr>
      <w:r w:rsidRPr="00D54048">
        <w:rPr>
          <w:rFonts w:ascii="Palatino Linotype" w:hAnsi="Palatino Linotype" w:eastAsia="Palatino Linotype" w:cs="Times New Roman"/>
          <w:bCs/>
          <w:i/>
          <w:iCs/>
          <w:color w:val="000000" w:themeColor="text1"/>
          <w:kern w:val="0"/>
          <w:sz w:val="20"/>
          <w:szCs w:val="20"/>
          <w14:ligatures w14:val="none"/>
        </w:rPr>
        <w:t>*</w:t>
      </w:r>
      <w:r w:rsidRPr="00D54048" w:rsidR="00D54048">
        <w:rPr>
          <w:rFonts w:ascii="Palatino Linotype" w:hAnsi="Palatino Linotype" w:eastAsia="Palatino Linotype" w:cs="Times New Roman"/>
          <w:bCs/>
          <w:i/>
          <w:iCs/>
          <w:color w:val="000000" w:themeColor="text1"/>
          <w:kern w:val="0"/>
          <w:sz w:val="20"/>
          <w:szCs w:val="20"/>
          <w14:ligatures w14:val="none"/>
        </w:rPr>
        <w:t>Actual sum of PG&amp;E’s proposed budget allocations is $8,090,000; a</w:t>
      </w:r>
      <w:r w:rsidRPr="00D54048" w:rsidR="00740B5C">
        <w:rPr>
          <w:rFonts w:ascii="Palatino Linotype" w:hAnsi="Palatino Linotype" w:eastAsia="Palatino Linotype" w:cs="Times New Roman"/>
          <w:bCs/>
          <w:i/>
          <w:iCs/>
          <w:color w:val="000000" w:themeColor="text1"/>
          <w:kern w:val="0"/>
          <w:sz w:val="20"/>
          <w:szCs w:val="20"/>
          <w14:ligatures w14:val="none"/>
        </w:rPr>
        <w:t>pproved budget amount is $8,092,000</w:t>
      </w:r>
      <w:r w:rsidRPr="00D54048" w:rsidR="00D54048">
        <w:rPr>
          <w:rFonts w:ascii="Palatino Linotype" w:hAnsi="Palatino Linotype" w:eastAsia="Palatino Linotype" w:cs="Times New Roman"/>
          <w:bCs/>
          <w:i/>
          <w:iCs/>
          <w:color w:val="000000" w:themeColor="text1"/>
          <w:kern w:val="0"/>
          <w:sz w:val="20"/>
          <w:szCs w:val="20"/>
          <w14:ligatures w14:val="none"/>
        </w:rPr>
        <w:t>.</w:t>
      </w:r>
    </w:p>
    <w:p w:rsidR="00A11B3C" w:rsidP="00361AB6" w:rsidRDefault="00A11B3C" w14:paraId="484DDB90" w14:textId="77777777">
      <w:pPr>
        <w:spacing w:after="0" w:line="276" w:lineRule="auto"/>
        <w:rPr>
          <w:rFonts w:ascii="Palatino Linotype" w:hAnsi="Palatino Linotype" w:eastAsia="Palatino Linotype" w:cs="Times New Roman"/>
          <w:bCs/>
          <w:kern w:val="0"/>
          <w14:ligatures w14:val="none"/>
        </w:rPr>
      </w:pPr>
    </w:p>
    <w:p w:rsidRPr="00836A28" w:rsidR="00D87C13" w:rsidP="00361AB6" w:rsidRDefault="00D87C13" w14:paraId="60FD9B1C" w14:textId="51BAB6C3">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Gas System Integrity</w:t>
      </w:r>
      <w:r w:rsidRPr="00836A28" w:rsidR="00D948C6">
        <w:rPr>
          <w:rFonts w:ascii="Palatino Linotype" w:hAnsi="Palatino Linotype" w:eastAsia="Palatino Linotype" w:cs="Times New Roman"/>
          <w:i/>
          <w:kern w:val="0"/>
          <w14:ligatures w14:val="none"/>
        </w:rPr>
        <w:t xml:space="preserve"> Theme</w:t>
      </w:r>
      <w:r w:rsidRPr="00836A28" w:rsidR="004F5AB6">
        <w:rPr>
          <w:rFonts w:ascii="Palatino Linotype" w:hAnsi="Palatino Linotype" w:eastAsia="Palatino Linotype" w:cs="Times New Roman"/>
          <w:i/>
          <w:kern w:val="0"/>
          <w14:ligatures w14:val="none"/>
        </w:rPr>
        <w:t xml:space="preserve"> </w:t>
      </w:r>
      <w:r w:rsidRPr="00836A28" w:rsidR="00D948C6">
        <w:rPr>
          <w:rFonts w:ascii="Palatino Linotype" w:hAnsi="Palatino Linotype" w:eastAsia="Palatino Linotype" w:cs="Times New Roman"/>
          <w:i/>
          <w:kern w:val="0"/>
          <w14:ligatures w14:val="none"/>
        </w:rPr>
        <w:t xml:space="preserve">Proposed </w:t>
      </w:r>
      <w:r w:rsidRPr="00836A28" w:rsidR="004F5AB6">
        <w:rPr>
          <w:rFonts w:ascii="Palatino Linotype" w:hAnsi="Palatino Linotype" w:eastAsia="Palatino Linotype" w:cs="Times New Roman"/>
          <w:i/>
          <w:kern w:val="0"/>
          <w14:ligatures w14:val="none"/>
        </w:rPr>
        <w:t>Initiatives</w:t>
      </w:r>
      <w:r w:rsidRPr="00836A28">
        <w:rPr>
          <w:rFonts w:ascii="Palatino Linotype" w:hAnsi="Palatino Linotype" w:eastAsia="Palatino Linotype" w:cs="Times New Roman"/>
          <w:i/>
          <w:kern w:val="0"/>
          <w14:ligatures w14:val="none"/>
        </w:rPr>
        <w:t xml:space="preserve"> </w:t>
      </w:r>
    </w:p>
    <w:p w:rsidR="00D87C13" w:rsidP="00361AB6" w:rsidRDefault="008E4974" w14:paraId="2AD77F19" w14:textId="1F1F8EB8">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states that</w:t>
      </w:r>
      <w:r w:rsidR="004F5AB6">
        <w:rPr>
          <w:rFonts w:ascii="Palatino Linotype" w:hAnsi="Palatino Linotype" w:eastAsia="Palatino Linotype" w:cs="Times New Roman"/>
          <w:bCs/>
          <w:kern w:val="0"/>
          <w14:ligatures w14:val="none"/>
        </w:rPr>
        <w:t xml:space="preserve"> </w:t>
      </w:r>
      <w:r w:rsidR="007574F0">
        <w:rPr>
          <w:rFonts w:ascii="Palatino Linotype" w:hAnsi="Palatino Linotype" w:eastAsia="Palatino Linotype" w:cs="Times New Roman"/>
          <w:bCs/>
          <w:kern w:val="0"/>
          <w14:ligatures w14:val="none"/>
        </w:rPr>
        <w:t>it seeks to develop I</w:t>
      </w:r>
      <w:r w:rsidR="00160539">
        <w:rPr>
          <w:rFonts w:ascii="Palatino Linotype" w:hAnsi="Palatino Linotype" w:eastAsia="Palatino Linotype" w:cs="Times New Roman"/>
          <w:bCs/>
          <w:kern w:val="0"/>
          <w14:ligatures w14:val="none"/>
        </w:rPr>
        <w:t xml:space="preserve">nitiatives </w:t>
      </w:r>
      <w:r>
        <w:rPr>
          <w:rFonts w:ascii="Palatino Linotype" w:hAnsi="Palatino Linotype" w:eastAsia="Palatino Linotype" w:cs="Times New Roman"/>
          <w:bCs/>
          <w:kern w:val="0"/>
          <w14:ligatures w14:val="none"/>
        </w:rPr>
        <w:t xml:space="preserve">within the Gas System Integrity Theme </w:t>
      </w:r>
      <w:r w:rsidR="004F5AB6">
        <w:rPr>
          <w:rFonts w:ascii="Palatino Linotype" w:hAnsi="Palatino Linotype" w:eastAsia="Palatino Linotype" w:cs="Times New Roman"/>
          <w:bCs/>
          <w:kern w:val="0"/>
          <w14:ligatures w14:val="none"/>
        </w:rPr>
        <w:t>to</w:t>
      </w:r>
      <w:r w:rsidR="006723B3">
        <w:rPr>
          <w:rFonts w:ascii="Palatino Linotype" w:hAnsi="Palatino Linotype" w:eastAsia="Palatino Linotype" w:cs="Times New Roman"/>
          <w:bCs/>
          <w:kern w:val="0"/>
          <w14:ligatures w14:val="none"/>
        </w:rPr>
        <w:t xml:space="preserve"> advance technologies </w:t>
      </w:r>
      <w:r w:rsidR="0092388B">
        <w:rPr>
          <w:rFonts w:ascii="Palatino Linotype" w:hAnsi="Palatino Linotype" w:eastAsia="Palatino Linotype" w:cs="Times New Roman"/>
          <w:bCs/>
          <w:kern w:val="0"/>
          <w14:ligatures w14:val="none"/>
        </w:rPr>
        <w:t>to improve gas system integrity and reduce methane emissions</w:t>
      </w:r>
      <w:r w:rsidR="00016B00">
        <w:rPr>
          <w:rFonts w:ascii="Palatino Linotype" w:hAnsi="Palatino Linotype" w:eastAsia="Palatino Linotype" w:cs="Times New Roman"/>
          <w:bCs/>
          <w:kern w:val="0"/>
          <w14:ligatures w14:val="none"/>
        </w:rPr>
        <w:t>.</w:t>
      </w:r>
      <w:r w:rsidR="002E2942">
        <w:rPr>
          <w:rStyle w:val="FootnoteReference"/>
          <w:rFonts w:ascii="Palatino Linotype" w:hAnsi="Palatino Linotype" w:eastAsia="Palatino Linotype" w:cs="Times New Roman"/>
          <w:bCs/>
          <w:kern w:val="0"/>
          <w14:ligatures w14:val="none"/>
        </w:rPr>
        <w:footnoteReference w:id="29"/>
      </w:r>
      <w:r w:rsidR="00137773">
        <w:rPr>
          <w:rFonts w:ascii="Palatino Linotype" w:hAnsi="Palatino Linotype" w:eastAsia="Palatino Linotype" w:cs="Times New Roman"/>
          <w:bCs/>
          <w:kern w:val="0"/>
          <w14:ligatures w14:val="none"/>
        </w:rPr>
        <w:t xml:space="preserve"> </w:t>
      </w:r>
    </w:p>
    <w:p w:rsidR="0001382D" w:rsidP="00361AB6" w:rsidRDefault="0001382D" w14:paraId="6E58F829" w14:textId="77777777">
      <w:pPr>
        <w:spacing w:after="0" w:line="276" w:lineRule="auto"/>
        <w:rPr>
          <w:rFonts w:ascii="Palatino Linotype" w:hAnsi="Palatino Linotype" w:eastAsia="Palatino Linotype" w:cs="Times New Roman"/>
          <w:bCs/>
          <w:kern w:val="0"/>
          <w14:ligatures w14:val="none"/>
        </w:rPr>
      </w:pPr>
    </w:p>
    <w:p w:rsidRPr="00836A28" w:rsidR="00066940" w:rsidP="00836A28" w:rsidRDefault="00066940" w14:paraId="2BFBC4B3" w14:textId="33AAC65D">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Proac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ve Geohazard Risk Management</w:t>
      </w:r>
      <w:r w:rsidRPr="00836A28" w:rsidR="00EF1531">
        <w:rPr>
          <w:rFonts w:ascii="Palatino Linotype" w:hAnsi="Palatino Linotype" w:eastAsia="Palatino Linotype" w:cs="Times New Roman"/>
          <w:kern w:val="0"/>
          <w14:ligatures w14:val="none"/>
        </w:rPr>
        <w:t xml:space="preserve"> </w:t>
      </w:r>
    </w:p>
    <w:p w:rsidR="007774A4" w:rsidP="007E7238" w:rsidRDefault="00137773" w14:paraId="6F8C43D3" w14:textId="0CB7A232">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w:t>
      </w:r>
      <w:r w:rsidR="00FC7FCD">
        <w:rPr>
          <w:rFonts w:ascii="Palatino Linotype" w:hAnsi="Palatino Linotype" w:eastAsia="Palatino Linotype" w:cs="Times New Roman"/>
          <w:bCs/>
          <w:kern w:val="0"/>
          <w14:ligatures w14:val="none"/>
        </w:rPr>
        <w:t xml:space="preserve">it seeks to develop </w:t>
      </w:r>
      <w:r w:rsidR="00160539">
        <w:rPr>
          <w:rFonts w:ascii="Palatino Linotype" w:hAnsi="Palatino Linotype" w:eastAsia="Palatino Linotype" w:cs="Times New Roman"/>
          <w:bCs/>
          <w:kern w:val="0"/>
          <w14:ligatures w14:val="none"/>
        </w:rPr>
        <w:t xml:space="preserve">projects within </w:t>
      </w:r>
      <w:r>
        <w:rPr>
          <w:rFonts w:ascii="Palatino Linotype" w:hAnsi="Palatino Linotype" w:eastAsia="Palatino Linotype" w:cs="Times New Roman"/>
          <w:bCs/>
          <w:kern w:val="0"/>
          <w14:ligatures w14:val="none"/>
        </w:rPr>
        <w:t xml:space="preserve">the </w:t>
      </w:r>
      <w:r w:rsidRPr="00137773">
        <w:rPr>
          <w:rFonts w:ascii="Palatino Linotype" w:hAnsi="Palatino Linotype" w:eastAsia="Palatino Linotype" w:cs="Times New Roman"/>
          <w:bCs/>
          <w:kern w:val="0"/>
          <w14:ligatures w14:val="none"/>
        </w:rPr>
        <w:t>Proac</w:t>
      </w:r>
      <w:r w:rsidRPr="00137773">
        <w:rPr>
          <w:rFonts w:ascii="Palatino Linotype" w:hAnsi="Palatino Linotype" w:eastAsia="Palatino Linotype" w:cs="Palatino Linotype"/>
          <w:bCs/>
          <w:kern w:val="0"/>
          <w14:ligatures w14:val="none"/>
        </w:rPr>
        <w:t>ti</w:t>
      </w:r>
      <w:r w:rsidRPr="00137773">
        <w:rPr>
          <w:rFonts w:ascii="Palatino Linotype" w:hAnsi="Palatino Linotype" w:eastAsia="Palatino Linotype" w:cs="Times New Roman"/>
          <w:bCs/>
          <w:kern w:val="0"/>
          <w14:ligatures w14:val="none"/>
        </w:rPr>
        <w:t>ve Geohazard Risk Management Initiative</w:t>
      </w:r>
      <w:r w:rsidR="009C13A1">
        <w:rPr>
          <w:rFonts w:ascii="Palatino Linotype" w:hAnsi="Palatino Linotype" w:eastAsia="Palatino Linotype" w:cs="Times New Roman"/>
          <w:bCs/>
          <w:kern w:val="0"/>
          <w14:ligatures w14:val="none"/>
        </w:rPr>
        <w:t xml:space="preserve"> </w:t>
      </w:r>
      <w:r w:rsidR="00084247">
        <w:rPr>
          <w:rFonts w:ascii="Palatino Linotype" w:hAnsi="Palatino Linotype" w:eastAsia="Palatino Linotype" w:cs="Times New Roman"/>
          <w:bCs/>
          <w:kern w:val="0"/>
          <w14:ligatures w14:val="none"/>
        </w:rPr>
        <w:t>to</w:t>
      </w:r>
      <w:r w:rsidR="009C13A1">
        <w:rPr>
          <w:rFonts w:ascii="Palatino Linotype" w:hAnsi="Palatino Linotype" w:eastAsia="Palatino Linotype" w:cs="Times New Roman"/>
          <w:bCs/>
          <w:kern w:val="0"/>
          <w14:ligatures w14:val="none"/>
        </w:rPr>
        <w:t xml:space="preserve"> </w:t>
      </w:r>
      <w:r w:rsidR="0056707C">
        <w:rPr>
          <w:rFonts w:ascii="Palatino Linotype" w:hAnsi="Palatino Linotype" w:eastAsia="Palatino Linotype" w:cs="Times New Roman"/>
          <w:bCs/>
          <w:kern w:val="0"/>
          <w14:ligatures w14:val="none"/>
        </w:rPr>
        <w:t xml:space="preserve">advance </w:t>
      </w:r>
      <w:r w:rsidRPr="0056707C" w:rsidR="0056707C">
        <w:rPr>
          <w:rFonts w:ascii="Palatino Linotype" w:hAnsi="Palatino Linotype" w:eastAsia="Palatino Linotype" w:cs="Times New Roman"/>
          <w:bCs/>
          <w:kern w:val="0"/>
          <w14:ligatures w14:val="none"/>
        </w:rPr>
        <w:t>the development of more capable inline inspec</w:t>
      </w:r>
      <w:r w:rsidR="0056707C">
        <w:rPr>
          <w:rFonts w:ascii="Palatino Linotype" w:hAnsi="Palatino Linotype" w:eastAsia="Palatino Linotype" w:cs="Palatino Linotype"/>
          <w:bCs/>
          <w:kern w:val="0"/>
          <w14:ligatures w14:val="none"/>
        </w:rPr>
        <w:t>ti</w:t>
      </w:r>
      <w:r w:rsidRPr="0056707C" w:rsidR="0056707C">
        <w:rPr>
          <w:rFonts w:ascii="Palatino Linotype" w:hAnsi="Palatino Linotype" w:eastAsia="Palatino Linotype" w:cs="Times New Roman"/>
          <w:bCs/>
          <w:kern w:val="0"/>
          <w14:ligatures w14:val="none"/>
        </w:rPr>
        <w:t>on</w:t>
      </w:r>
      <w:r w:rsidR="0056707C">
        <w:rPr>
          <w:rFonts w:ascii="Palatino Linotype" w:hAnsi="Palatino Linotype" w:eastAsia="Palatino Linotype" w:cs="Times New Roman"/>
          <w:bCs/>
          <w:kern w:val="0"/>
          <w14:ligatures w14:val="none"/>
        </w:rPr>
        <w:t xml:space="preserve"> </w:t>
      </w:r>
      <w:r w:rsidRPr="0056707C" w:rsidR="0056707C">
        <w:rPr>
          <w:rFonts w:ascii="Palatino Linotype" w:hAnsi="Palatino Linotype" w:eastAsia="Palatino Linotype" w:cs="Times New Roman"/>
          <w:bCs/>
          <w:kern w:val="0"/>
          <w14:ligatures w14:val="none"/>
        </w:rPr>
        <w:t>devices, less-intrusive monitoring systems, and sophis</w:t>
      </w:r>
      <w:r w:rsidR="0056707C">
        <w:rPr>
          <w:rFonts w:ascii="Palatino Linotype" w:hAnsi="Palatino Linotype" w:eastAsia="Palatino Linotype" w:cs="Palatino Linotype"/>
          <w:bCs/>
          <w:kern w:val="0"/>
          <w14:ligatures w14:val="none"/>
        </w:rPr>
        <w:t>ti</w:t>
      </w:r>
      <w:r w:rsidRPr="0056707C" w:rsidR="0056707C">
        <w:rPr>
          <w:rFonts w:ascii="Palatino Linotype" w:hAnsi="Palatino Linotype" w:eastAsia="Palatino Linotype" w:cs="Times New Roman"/>
          <w:bCs/>
          <w:kern w:val="0"/>
          <w14:ligatures w14:val="none"/>
        </w:rPr>
        <w:t>cated modeling tools</w:t>
      </w:r>
      <w:r w:rsidR="00BA2D87">
        <w:rPr>
          <w:rFonts w:ascii="Palatino Linotype" w:hAnsi="Palatino Linotype" w:eastAsia="Palatino Linotype" w:cs="Times New Roman"/>
          <w:bCs/>
          <w:kern w:val="0"/>
          <w14:ligatures w14:val="none"/>
        </w:rPr>
        <w:t xml:space="preserve">. PG&amp;E </w:t>
      </w:r>
      <w:r w:rsidR="00480DC4">
        <w:rPr>
          <w:rFonts w:ascii="Palatino Linotype" w:hAnsi="Palatino Linotype" w:eastAsia="Palatino Linotype" w:cs="Times New Roman"/>
          <w:bCs/>
          <w:kern w:val="0"/>
          <w14:ligatures w14:val="none"/>
        </w:rPr>
        <w:t xml:space="preserve">states that it </w:t>
      </w:r>
      <w:r w:rsidR="00BA2D87">
        <w:rPr>
          <w:rFonts w:ascii="Palatino Linotype" w:hAnsi="Palatino Linotype" w:eastAsia="Palatino Linotype" w:cs="Times New Roman"/>
          <w:bCs/>
          <w:kern w:val="0"/>
          <w14:ligatures w14:val="none"/>
        </w:rPr>
        <w:t>intends</w:t>
      </w:r>
      <w:r w:rsidR="00B855E6">
        <w:rPr>
          <w:rFonts w:ascii="Palatino Linotype" w:hAnsi="Palatino Linotype" w:eastAsia="Palatino Linotype" w:cs="Times New Roman"/>
          <w:bCs/>
          <w:kern w:val="0"/>
          <w14:ligatures w14:val="none"/>
        </w:rPr>
        <w:t xml:space="preserve"> </w:t>
      </w:r>
      <w:r w:rsidRPr="00B855E6" w:rsidR="00B855E6">
        <w:rPr>
          <w:rFonts w:ascii="Palatino Linotype" w:hAnsi="Palatino Linotype" w:eastAsia="Palatino Linotype" w:cs="Times New Roman"/>
          <w:bCs/>
          <w:kern w:val="0"/>
          <w14:ligatures w14:val="none"/>
        </w:rPr>
        <w:t>to improve</w:t>
      </w:r>
      <w:r w:rsidR="00084247">
        <w:rPr>
          <w:rFonts w:ascii="Palatino Linotype" w:hAnsi="Palatino Linotype" w:eastAsia="Palatino Linotype" w:cs="Times New Roman"/>
          <w:bCs/>
          <w:kern w:val="0"/>
          <w14:ligatures w14:val="none"/>
        </w:rPr>
        <w:t xml:space="preserve"> </w:t>
      </w:r>
      <w:r w:rsidRPr="00B855E6" w:rsidR="00B855E6">
        <w:rPr>
          <w:rFonts w:ascii="Palatino Linotype" w:hAnsi="Palatino Linotype" w:eastAsia="Palatino Linotype" w:cs="Times New Roman"/>
          <w:bCs/>
          <w:kern w:val="0"/>
          <w14:ligatures w14:val="none"/>
        </w:rPr>
        <w:t>visibility into asset condi</w:t>
      </w:r>
      <w:r w:rsidR="00B855E6">
        <w:rPr>
          <w:rFonts w:ascii="Palatino Linotype" w:hAnsi="Palatino Linotype" w:eastAsia="Palatino Linotype" w:cs="Palatino Linotype"/>
          <w:bCs/>
          <w:kern w:val="0"/>
          <w14:ligatures w14:val="none"/>
        </w:rPr>
        <w:t>ti</w:t>
      </w:r>
      <w:r w:rsidRPr="00B855E6" w:rsidR="00B855E6">
        <w:rPr>
          <w:rFonts w:ascii="Palatino Linotype" w:hAnsi="Palatino Linotype" w:eastAsia="Palatino Linotype" w:cs="Times New Roman"/>
          <w:bCs/>
          <w:kern w:val="0"/>
          <w14:ligatures w14:val="none"/>
        </w:rPr>
        <w:t>ons, lower maintenance and repair costs, and reduce the likelihood of service disrup</w:t>
      </w:r>
      <w:r w:rsidR="00B855E6">
        <w:rPr>
          <w:rFonts w:ascii="Palatino Linotype" w:hAnsi="Palatino Linotype" w:eastAsia="Palatino Linotype" w:cs="Palatino Linotype"/>
          <w:bCs/>
          <w:kern w:val="0"/>
          <w14:ligatures w14:val="none"/>
        </w:rPr>
        <w:t>ti</w:t>
      </w:r>
      <w:r w:rsidRPr="00B855E6" w:rsidR="00B855E6">
        <w:rPr>
          <w:rFonts w:ascii="Palatino Linotype" w:hAnsi="Palatino Linotype" w:eastAsia="Palatino Linotype" w:cs="Times New Roman"/>
          <w:bCs/>
          <w:kern w:val="0"/>
          <w14:ligatures w14:val="none"/>
        </w:rPr>
        <w:t>ons</w:t>
      </w:r>
      <w:r w:rsidR="00B855E6">
        <w:rPr>
          <w:rFonts w:ascii="Palatino Linotype" w:hAnsi="Palatino Linotype" w:eastAsia="Palatino Linotype" w:cs="Times New Roman"/>
          <w:bCs/>
          <w:kern w:val="0"/>
          <w14:ligatures w14:val="none"/>
        </w:rPr>
        <w:t xml:space="preserve"> </w:t>
      </w:r>
      <w:r w:rsidRPr="00B855E6" w:rsidR="00B855E6">
        <w:rPr>
          <w:rFonts w:ascii="Palatino Linotype" w:hAnsi="Palatino Linotype" w:eastAsia="Palatino Linotype" w:cs="Times New Roman"/>
          <w:bCs/>
          <w:kern w:val="0"/>
          <w14:ligatures w14:val="none"/>
        </w:rPr>
        <w:t>or safety incidents</w:t>
      </w:r>
      <w:r w:rsidR="00B855E6">
        <w:rPr>
          <w:rFonts w:ascii="Palatino Linotype" w:hAnsi="Palatino Linotype" w:eastAsia="Palatino Linotype" w:cs="Times New Roman"/>
          <w:bCs/>
          <w:kern w:val="0"/>
          <w14:ligatures w14:val="none"/>
        </w:rPr>
        <w:t xml:space="preserve">. </w:t>
      </w:r>
      <w:r w:rsidR="00A728DD">
        <w:rPr>
          <w:rFonts w:ascii="Palatino Linotype" w:hAnsi="Palatino Linotype" w:eastAsia="Palatino Linotype" w:cs="Times New Roman"/>
          <w:bCs/>
          <w:kern w:val="0"/>
          <w14:ligatures w14:val="none"/>
        </w:rPr>
        <w:t xml:space="preserve">PG&amp;E </w:t>
      </w:r>
      <w:r w:rsidR="00726308">
        <w:rPr>
          <w:rFonts w:ascii="Palatino Linotype" w:hAnsi="Palatino Linotype" w:eastAsia="Palatino Linotype" w:cs="Times New Roman"/>
          <w:bCs/>
          <w:kern w:val="0"/>
          <w14:ligatures w14:val="none"/>
        </w:rPr>
        <w:t xml:space="preserve">proposes to </w:t>
      </w:r>
      <w:r w:rsidR="00DC710A">
        <w:rPr>
          <w:rFonts w:ascii="Palatino Linotype" w:hAnsi="Palatino Linotype" w:eastAsia="Palatino Linotype" w:cs="Times New Roman"/>
          <w:bCs/>
          <w:kern w:val="0"/>
          <w14:ligatures w14:val="none"/>
        </w:rPr>
        <w:t>allocate</w:t>
      </w:r>
      <w:r w:rsidR="00A728DD">
        <w:rPr>
          <w:rFonts w:ascii="Palatino Linotype" w:hAnsi="Palatino Linotype" w:eastAsia="Palatino Linotype" w:cs="Times New Roman"/>
          <w:bCs/>
          <w:kern w:val="0"/>
          <w14:ligatures w14:val="none"/>
        </w:rPr>
        <w:t xml:space="preserve"> </w:t>
      </w:r>
      <w:r w:rsidRPr="007774A4" w:rsidR="007774A4">
        <w:rPr>
          <w:rFonts w:ascii="Palatino Linotype" w:hAnsi="Palatino Linotype" w:eastAsia="Palatino Linotype" w:cs="Times New Roman"/>
          <w:bCs/>
          <w:kern w:val="0"/>
          <w14:ligatures w14:val="none"/>
        </w:rPr>
        <w:t>$594,126</w:t>
      </w:r>
      <w:r w:rsidR="00A728DD">
        <w:rPr>
          <w:rFonts w:ascii="Palatino Linotype" w:hAnsi="Palatino Linotype" w:eastAsia="Palatino Linotype" w:cs="Times New Roman"/>
          <w:bCs/>
          <w:kern w:val="0"/>
          <w14:ligatures w14:val="none"/>
        </w:rPr>
        <w:t xml:space="preserve"> in its 2024 Pla</w:t>
      </w:r>
      <w:r w:rsidRPr="008E2D93" w:rsidR="00A728DD">
        <w:rPr>
          <w:rFonts w:ascii="Palatino Linotype" w:hAnsi="Palatino Linotype" w:eastAsia="Palatino Linotype" w:cs="Times New Roman"/>
          <w:bCs/>
          <w:kern w:val="0"/>
          <w14:ligatures w14:val="none"/>
        </w:rPr>
        <w:t>n</w:t>
      </w:r>
      <w:r w:rsidRPr="008E2D93" w:rsidR="008E2D93">
        <w:rPr>
          <w:rFonts w:ascii="Palatino Linotype" w:hAnsi="Palatino Linotype" w:eastAsia="Palatino Linotype" w:cs="Times New Roman"/>
          <w:bCs/>
          <w:kern w:val="0"/>
          <w14:ligatures w14:val="none"/>
        </w:rPr>
        <w:t>.</w:t>
      </w:r>
      <w:r w:rsidRPr="008E2D93" w:rsidR="00301161">
        <w:rPr>
          <w:rStyle w:val="FootnoteReference"/>
          <w:rFonts w:ascii="Palatino Linotype" w:hAnsi="Palatino Linotype" w:eastAsia="Palatino Linotype" w:cs="Times New Roman"/>
          <w:bCs/>
          <w:kern w:val="0"/>
          <w14:ligatures w14:val="none"/>
        </w:rPr>
        <w:footnoteReference w:id="30"/>
      </w:r>
    </w:p>
    <w:p w:rsidR="00137773" w:rsidP="007E7238" w:rsidRDefault="00137773" w14:paraId="3F840C14" w14:textId="77777777">
      <w:pPr>
        <w:spacing w:after="0" w:line="276" w:lineRule="auto"/>
        <w:ind w:left="720"/>
        <w:rPr>
          <w:rFonts w:ascii="Palatino Linotype" w:hAnsi="Palatino Linotype" w:eastAsia="Palatino Linotype" w:cs="Times New Roman"/>
          <w:bCs/>
          <w:kern w:val="0"/>
          <w14:ligatures w14:val="none"/>
        </w:rPr>
      </w:pPr>
    </w:p>
    <w:p w:rsidRPr="00836A28" w:rsidR="00066940" w:rsidP="00836A28" w:rsidRDefault="00066940" w14:paraId="65530758" w14:textId="2A2068D1">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Innova</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ve and Cost-Effec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ve Integrity Management</w:t>
      </w:r>
    </w:p>
    <w:p w:rsidRPr="00480DC4" w:rsidR="00A728DD" w:rsidP="007E7238" w:rsidRDefault="00E31ADD" w14:paraId="40635BC4" w14:textId="5F2DD8E8">
      <w:pPr>
        <w:spacing w:after="0" w:line="276" w:lineRule="auto"/>
        <w:ind w:left="720"/>
        <w:rPr>
          <w:rFonts w:ascii="Palatino Linotype" w:hAnsi="Palatino Linotype" w:eastAsia="Palatino Linotype" w:cs="Times New Roman"/>
          <w:bCs/>
          <w:kern w:val="0"/>
          <w:u w:val="single"/>
          <w14:ligatures w14:val="none"/>
        </w:rPr>
      </w:pPr>
      <w:r>
        <w:rPr>
          <w:rFonts w:ascii="Palatino Linotype" w:hAnsi="Palatino Linotype" w:eastAsia="Palatino Linotype" w:cs="Times New Roman"/>
          <w:bCs/>
          <w:kern w:val="0"/>
          <w14:ligatures w14:val="none"/>
        </w:rPr>
        <w:t xml:space="preserve">PG&amp;E </w:t>
      </w:r>
      <w:r w:rsidR="00790FE4">
        <w:rPr>
          <w:rFonts w:ascii="Palatino Linotype" w:hAnsi="Palatino Linotype" w:eastAsia="Palatino Linotype" w:cs="Times New Roman"/>
          <w:bCs/>
          <w:kern w:val="0"/>
          <w14:ligatures w14:val="none"/>
        </w:rPr>
        <w:t xml:space="preserve">states that it seeks to develop projects </w:t>
      </w:r>
      <w:r>
        <w:rPr>
          <w:rFonts w:ascii="Palatino Linotype" w:hAnsi="Palatino Linotype" w:eastAsia="Palatino Linotype" w:cs="Times New Roman"/>
          <w:bCs/>
          <w:kern w:val="0"/>
          <w14:ligatures w14:val="none"/>
        </w:rPr>
        <w:t xml:space="preserve">within </w:t>
      </w:r>
      <w:r w:rsidRPr="00E31ADD">
        <w:rPr>
          <w:rFonts w:ascii="Palatino Linotype" w:hAnsi="Palatino Linotype" w:eastAsia="Palatino Linotype" w:cs="Times New Roman"/>
          <w:bCs/>
          <w:kern w:val="0"/>
          <w14:ligatures w14:val="none"/>
        </w:rPr>
        <w:t>the Innova</w:t>
      </w:r>
      <w:r w:rsidRPr="00E31ADD">
        <w:rPr>
          <w:rFonts w:ascii="Palatino Linotype" w:hAnsi="Palatino Linotype" w:eastAsia="Palatino Linotype" w:cs="Palatino Linotype"/>
          <w:bCs/>
          <w:kern w:val="0"/>
          <w14:ligatures w14:val="none"/>
        </w:rPr>
        <w:t>ti</w:t>
      </w:r>
      <w:r w:rsidRPr="00E31ADD">
        <w:rPr>
          <w:rFonts w:ascii="Palatino Linotype" w:hAnsi="Palatino Linotype" w:eastAsia="Palatino Linotype" w:cs="Times New Roman"/>
          <w:bCs/>
          <w:kern w:val="0"/>
          <w14:ligatures w14:val="none"/>
        </w:rPr>
        <w:t>ve and Cost-Effec</w:t>
      </w:r>
      <w:r w:rsidRPr="00E31ADD">
        <w:rPr>
          <w:rFonts w:ascii="Palatino Linotype" w:hAnsi="Palatino Linotype" w:eastAsia="Palatino Linotype" w:cs="Palatino Linotype"/>
          <w:bCs/>
          <w:kern w:val="0"/>
          <w14:ligatures w14:val="none"/>
        </w:rPr>
        <w:t>ti</w:t>
      </w:r>
      <w:r w:rsidRPr="00E31ADD">
        <w:rPr>
          <w:rFonts w:ascii="Palatino Linotype" w:hAnsi="Palatino Linotype" w:eastAsia="Palatino Linotype" w:cs="Times New Roman"/>
          <w:bCs/>
          <w:kern w:val="0"/>
          <w14:ligatures w14:val="none"/>
        </w:rPr>
        <w:t xml:space="preserve">ve Integrity Management </w:t>
      </w:r>
      <w:r>
        <w:rPr>
          <w:rFonts w:ascii="Palatino Linotype" w:hAnsi="Palatino Linotype" w:eastAsia="Palatino Linotype" w:cs="Times New Roman"/>
          <w:bCs/>
          <w:kern w:val="0"/>
          <w14:ligatures w14:val="none"/>
        </w:rPr>
        <w:t>I</w:t>
      </w:r>
      <w:r w:rsidRPr="00E31ADD">
        <w:rPr>
          <w:rFonts w:ascii="Palatino Linotype" w:hAnsi="Palatino Linotype" w:eastAsia="Palatino Linotype" w:cs="Times New Roman"/>
          <w:bCs/>
          <w:kern w:val="0"/>
          <w14:ligatures w14:val="none"/>
        </w:rPr>
        <w:t>nitiative to</w:t>
      </w:r>
      <w:r w:rsidRPr="00A1798E" w:rsidR="00A1798E">
        <w:rPr>
          <w:rFonts w:ascii="Palatino Linotype" w:hAnsi="Palatino Linotype" w:eastAsia="Palatino Linotype" w:cs="Times New Roman"/>
          <w:bCs/>
          <w:kern w:val="0"/>
          <w14:ligatures w14:val="none"/>
        </w:rPr>
        <w:t xml:space="preserve"> </w:t>
      </w:r>
      <w:r w:rsidRPr="00DC5D9A" w:rsidR="00DC5D9A">
        <w:rPr>
          <w:rFonts w:ascii="Palatino Linotype" w:hAnsi="Palatino Linotype" w:eastAsia="Palatino Linotype" w:cs="Times New Roman"/>
          <w:bCs/>
          <w:kern w:val="0"/>
          <w14:ligatures w14:val="none"/>
        </w:rPr>
        <w:t>advanc</w:t>
      </w:r>
      <w:r w:rsidR="009234CC">
        <w:rPr>
          <w:rFonts w:ascii="Palatino Linotype" w:hAnsi="Palatino Linotype" w:eastAsia="Palatino Linotype" w:cs="Times New Roman"/>
          <w:bCs/>
          <w:kern w:val="0"/>
          <w14:ligatures w14:val="none"/>
        </w:rPr>
        <w:t>e</w:t>
      </w:r>
      <w:r w:rsidRPr="00DC5D9A" w:rsidR="00DC5D9A">
        <w:rPr>
          <w:rFonts w:ascii="Palatino Linotype" w:hAnsi="Palatino Linotype" w:eastAsia="Palatino Linotype" w:cs="Times New Roman"/>
          <w:bCs/>
          <w:kern w:val="0"/>
          <w14:ligatures w14:val="none"/>
        </w:rPr>
        <w:t xml:space="preserve"> a new genera</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 xml:space="preserve">on of </w:t>
      </w:r>
      <w:r w:rsidRPr="00DC5D9A" w:rsidR="00DC5D9A">
        <w:rPr>
          <w:rFonts w:ascii="Palatino Linotype" w:hAnsi="Palatino Linotype" w:eastAsia="Palatino Linotype" w:cs="Times New Roman"/>
          <w:bCs/>
          <w:kern w:val="0"/>
          <w14:ligatures w14:val="none"/>
        </w:rPr>
        <w:lastRenderedPageBreak/>
        <w:t>integrity management tools</w:t>
      </w:r>
      <w:r w:rsidR="009234CC">
        <w:rPr>
          <w:rFonts w:ascii="Palatino Linotype" w:hAnsi="Palatino Linotype" w:eastAsia="Palatino Linotype" w:cs="Times New Roman"/>
          <w:bCs/>
          <w:kern w:val="0"/>
          <w14:ligatures w14:val="none"/>
        </w:rPr>
        <w:t xml:space="preserve"> </w:t>
      </w:r>
      <w:r w:rsidRPr="00DC5D9A" w:rsidR="00DC5D9A">
        <w:rPr>
          <w:rFonts w:ascii="Palatino Linotype" w:hAnsi="Palatino Linotype" w:eastAsia="Palatino Linotype" w:cs="Times New Roman"/>
          <w:bCs/>
          <w:kern w:val="0"/>
          <w14:ligatures w14:val="none"/>
        </w:rPr>
        <w:t>and prac</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ces</w:t>
      </w:r>
      <w:r w:rsidR="00A1798E">
        <w:rPr>
          <w:rFonts w:ascii="Palatino Linotype" w:hAnsi="Palatino Linotype" w:eastAsia="Palatino Linotype" w:cs="Times New Roman"/>
          <w:bCs/>
          <w:kern w:val="0"/>
          <w14:ligatures w14:val="none"/>
        </w:rPr>
        <w:t xml:space="preserve"> b</w:t>
      </w:r>
      <w:r w:rsidRPr="00DC5D9A" w:rsidR="00DC5D9A">
        <w:rPr>
          <w:rFonts w:ascii="Palatino Linotype" w:hAnsi="Palatino Linotype" w:eastAsia="Palatino Linotype" w:cs="Times New Roman"/>
          <w:bCs/>
          <w:kern w:val="0"/>
          <w14:ligatures w14:val="none"/>
        </w:rPr>
        <w:t>y integra</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 xml:space="preserve">ng 3D mapping, </w:t>
      </w:r>
      <w:r w:rsidR="006F1CBB">
        <w:rPr>
          <w:rFonts w:ascii="Palatino Linotype" w:hAnsi="Palatino Linotype" w:eastAsia="Palatino Linotype" w:cs="Times New Roman"/>
          <w:bCs/>
          <w:kern w:val="0"/>
          <w14:ligatures w14:val="none"/>
        </w:rPr>
        <w:br/>
      </w:r>
      <w:r w:rsidRPr="00DC5D9A" w:rsidR="00DC5D9A">
        <w:rPr>
          <w:rFonts w:ascii="Palatino Linotype" w:hAnsi="Palatino Linotype" w:eastAsia="Palatino Linotype" w:cs="Times New Roman"/>
          <w:bCs/>
          <w:kern w:val="0"/>
          <w14:ligatures w14:val="none"/>
        </w:rPr>
        <w:t>AI-enabled sensors, on-demand and/or real</w:t>
      </w:r>
      <w:r w:rsidR="00DC5D9A">
        <w:rPr>
          <w:rFonts w:ascii="Palatino Linotype" w:hAnsi="Palatino Linotype" w:eastAsia="Palatino Linotype" w:cs="Times New Roman"/>
          <w:bCs/>
          <w:kern w:val="0"/>
          <w14:ligatures w14:val="none"/>
        </w:rPr>
        <w:t>-ti</w:t>
      </w:r>
      <w:r w:rsidRPr="00DC5D9A" w:rsidR="00DC5D9A">
        <w:rPr>
          <w:rFonts w:ascii="Palatino Linotype" w:hAnsi="Palatino Linotype" w:eastAsia="Palatino Linotype" w:cs="Times New Roman"/>
          <w:bCs/>
          <w:kern w:val="0"/>
          <w14:ligatures w14:val="none"/>
        </w:rPr>
        <w:t>me monitoring solu</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ons</w:t>
      </w:r>
      <w:r w:rsidR="00480DC4">
        <w:rPr>
          <w:rFonts w:ascii="Palatino Linotype" w:hAnsi="Palatino Linotype" w:eastAsia="Palatino Linotype" w:cs="Times New Roman"/>
          <w:bCs/>
          <w:kern w:val="0"/>
          <w14:ligatures w14:val="none"/>
        </w:rPr>
        <w:t>. PG&amp;E states that it intends to e</w:t>
      </w:r>
      <w:r w:rsidRPr="00DC5D9A" w:rsidR="00DC5D9A">
        <w:rPr>
          <w:rFonts w:ascii="Palatino Linotype" w:hAnsi="Palatino Linotype" w:eastAsia="Palatino Linotype" w:cs="Times New Roman"/>
          <w:bCs/>
          <w:kern w:val="0"/>
          <w14:ligatures w14:val="none"/>
        </w:rPr>
        <w:t>nhance safety, reduce maintenance costs, ensure compliance with federal and state</w:t>
      </w:r>
      <w:r w:rsidR="009234CC">
        <w:rPr>
          <w:rFonts w:ascii="Palatino Linotype" w:hAnsi="Palatino Linotype" w:eastAsia="Palatino Linotype" w:cs="Times New Roman"/>
          <w:bCs/>
          <w:kern w:val="0"/>
          <w14:ligatures w14:val="none"/>
        </w:rPr>
        <w:t xml:space="preserve"> </w:t>
      </w:r>
      <w:r w:rsidRPr="00DC5D9A" w:rsidR="00DC5D9A">
        <w:rPr>
          <w:rFonts w:ascii="Palatino Linotype" w:hAnsi="Palatino Linotype" w:eastAsia="Palatino Linotype" w:cs="Times New Roman"/>
          <w:bCs/>
          <w:kern w:val="0"/>
          <w14:ligatures w14:val="none"/>
        </w:rPr>
        <w:t>regula</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ons</w:t>
      </w:r>
      <w:r w:rsidR="009234CC">
        <w:rPr>
          <w:rFonts w:ascii="Palatino Linotype" w:hAnsi="Palatino Linotype" w:eastAsia="Palatino Linotype" w:cs="Times New Roman"/>
          <w:bCs/>
          <w:kern w:val="0"/>
          <w14:ligatures w14:val="none"/>
        </w:rPr>
        <w:t>, and improve</w:t>
      </w:r>
      <w:r w:rsidRPr="00DC5D9A" w:rsidR="00DC5D9A">
        <w:rPr>
          <w:rFonts w:ascii="Palatino Linotype" w:hAnsi="Palatino Linotype" w:eastAsia="Palatino Linotype" w:cs="Times New Roman"/>
          <w:bCs/>
          <w:kern w:val="0"/>
          <w14:ligatures w14:val="none"/>
        </w:rPr>
        <w:t xml:space="preserve"> opera</w:t>
      </w:r>
      <w:r w:rsidR="00DC5D9A">
        <w:rPr>
          <w:rFonts w:ascii="Palatino Linotype" w:hAnsi="Palatino Linotype" w:eastAsia="Palatino Linotype" w:cs="Palatino Linotype"/>
          <w:bCs/>
          <w:kern w:val="0"/>
          <w14:ligatures w14:val="none"/>
        </w:rPr>
        <w:t>ti</w:t>
      </w:r>
      <w:r w:rsidRPr="00DC5D9A" w:rsidR="00DC5D9A">
        <w:rPr>
          <w:rFonts w:ascii="Palatino Linotype" w:hAnsi="Palatino Linotype" w:eastAsia="Palatino Linotype" w:cs="Times New Roman"/>
          <w:bCs/>
          <w:kern w:val="0"/>
          <w14:ligatures w14:val="none"/>
        </w:rPr>
        <w:t>onal efficiency</w:t>
      </w:r>
      <w:r w:rsidR="00045595">
        <w:rPr>
          <w:rFonts w:ascii="Palatino Linotype" w:hAnsi="Palatino Linotype" w:eastAsia="Palatino Linotype" w:cs="Times New Roman"/>
          <w:bCs/>
          <w:kern w:val="0"/>
          <w14:ligatures w14:val="none"/>
        </w:rPr>
        <w:t xml:space="preserve">. </w:t>
      </w:r>
      <w:r w:rsidR="00A728DD">
        <w:rPr>
          <w:rFonts w:ascii="Palatino Linotype" w:hAnsi="Palatino Linotype" w:eastAsia="Palatino Linotype" w:cs="Times New Roman"/>
          <w:bCs/>
          <w:kern w:val="0"/>
          <w14:ligatures w14:val="none"/>
        </w:rPr>
        <w:t xml:space="preserve">PG&amp;E </w:t>
      </w:r>
      <w:r w:rsidR="00B61F96">
        <w:rPr>
          <w:rFonts w:ascii="Palatino Linotype" w:hAnsi="Palatino Linotype" w:eastAsia="Palatino Linotype" w:cs="Times New Roman"/>
          <w:bCs/>
          <w:kern w:val="0"/>
          <w14:ligatures w14:val="none"/>
        </w:rPr>
        <w:t>propose</w:t>
      </w:r>
      <w:r w:rsidR="00351385">
        <w:rPr>
          <w:rFonts w:ascii="Palatino Linotype" w:hAnsi="Palatino Linotype" w:eastAsia="Palatino Linotype" w:cs="Times New Roman"/>
          <w:bCs/>
          <w:kern w:val="0"/>
          <w14:ligatures w14:val="none"/>
        </w:rPr>
        <w:t>s</w:t>
      </w:r>
      <w:r w:rsidR="00B61F96">
        <w:rPr>
          <w:rFonts w:ascii="Palatino Linotype" w:hAnsi="Palatino Linotype" w:eastAsia="Palatino Linotype" w:cs="Times New Roman"/>
          <w:bCs/>
          <w:kern w:val="0"/>
          <w14:ligatures w14:val="none"/>
        </w:rPr>
        <w:t xml:space="preserve"> to </w:t>
      </w:r>
      <w:r w:rsidR="00DC710A">
        <w:rPr>
          <w:rFonts w:ascii="Palatino Linotype" w:hAnsi="Palatino Linotype" w:eastAsia="Palatino Linotype" w:cs="Times New Roman"/>
          <w:bCs/>
          <w:kern w:val="0"/>
          <w14:ligatures w14:val="none"/>
        </w:rPr>
        <w:t>allocate</w:t>
      </w:r>
      <w:r w:rsidR="00A728DD">
        <w:rPr>
          <w:rFonts w:ascii="Palatino Linotype" w:hAnsi="Palatino Linotype" w:eastAsia="Palatino Linotype" w:cs="Times New Roman"/>
          <w:bCs/>
          <w:kern w:val="0"/>
          <w14:ligatures w14:val="none"/>
        </w:rPr>
        <w:t xml:space="preserve"> </w:t>
      </w:r>
      <w:r w:rsidRPr="00FC5B7C" w:rsidR="00A728DD">
        <w:rPr>
          <w:rFonts w:ascii="Palatino Linotype" w:hAnsi="Palatino Linotype" w:eastAsia="Palatino Linotype" w:cs="Times New Roman"/>
          <w:bCs/>
          <w:kern w:val="0"/>
          <w14:ligatures w14:val="none"/>
        </w:rPr>
        <w:t>$1,398,644</w:t>
      </w:r>
      <w:r w:rsidR="00A728DD">
        <w:rPr>
          <w:rFonts w:ascii="Palatino Linotype" w:hAnsi="Palatino Linotype" w:eastAsia="Palatino Linotype" w:cs="Times New Roman"/>
          <w:bCs/>
          <w:kern w:val="0"/>
          <w14:ligatures w14:val="none"/>
        </w:rPr>
        <w:t xml:space="preserve"> in its 2024 Plan.</w:t>
      </w:r>
      <w:r w:rsidR="00224DE3">
        <w:rPr>
          <w:rStyle w:val="FootnoteReference"/>
          <w:rFonts w:ascii="Palatino Linotype" w:hAnsi="Palatino Linotype" w:eastAsia="Palatino Linotype" w:cs="Times New Roman"/>
          <w:bCs/>
          <w:kern w:val="0"/>
          <w14:ligatures w14:val="none"/>
        </w:rPr>
        <w:footnoteReference w:id="31"/>
      </w:r>
    </w:p>
    <w:p w:rsidR="00066940" w:rsidP="007E7238" w:rsidRDefault="00066940" w14:paraId="690144F1" w14:textId="77777777">
      <w:pPr>
        <w:spacing w:after="0" w:line="276" w:lineRule="auto"/>
        <w:ind w:left="720"/>
        <w:rPr>
          <w:rFonts w:ascii="Palatino Linotype" w:hAnsi="Palatino Linotype" w:eastAsia="Palatino Linotype" w:cs="Times New Roman"/>
          <w:bCs/>
          <w:kern w:val="0"/>
          <w14:ligatures w14:val="none"/>
        </w:rPr>
      </w:pPr>
    </w:p>
    <w:p w:rsidRPr="00836A28" w:rsidR="00066940" w:rsidP="00836A28" w:rsidRDefault="00066940" w14:paraId="5EDE8032" w14:textId="108DA9E0">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Advanced Leak Detec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 and Repair</w:t>
      </w:r>
    </w:p>
    <w:p w:rsidR="002F46AE" w:rsidP="007E7238" w:rsidRDefault="00B22998" w14:paraId="26D2AAAE" w14:textId="673264EA">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480DC4">
        <w:rPr>
          <w:rFonts w:ascii="Palatino Linotype" w:hAnsi="Palatino Linotype" w:eastAsia="Palatino Linotype" w:cs="Times New Roman"/>
          <w:bCs/>
          <w:kern w:val="0"/>
          <w14:ligatures w14:val="none"/>
        </w:rPr>
        <w:t xml:space="preserve">states that it seeks to develop projects </w:t>
      </w:r>
      <w:r>
        <w:rPr>
          <w:rFonts w:ascii="Palatino Linotype" w:hAnsi="Palatino Linotype" w:eastAsia="Palatino Linotype" w:cs="Times New Roman"/>
          <w:bCs/>
          <w:kern w:val="0"/>
          <w14:ligatures w14:val="none"/>
        </w:rPr>
        <w:t xml:space="preserve">within </w:t>
      </w:r>
      <w:r w:rsidRPr="00E31ADD">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Pr="00B22998">
        <w:rPr>
          <w:rFonts w:ascii="Palatino Linotype" w:hAnsi="Palatino Linotype" w:eastAsia="Palatino Linotype" w:cs="Times New Roman"/>
          <w:bCs/>
          <w:kern w:val="0"/>
          <w14:ligatures w14:val="none"/>
        </w:rPr>
        <w:t>Advanced Leak Detec</w:t>
      </w:r>
      <w:r w:rsidRPr="00B22998">
        <w:rPr>
          <w:rFonts w:ascii="Palatino Linotype" w:hAnsi="Palatino Linotype" w:eastAsia="Palatino Linotype" w:cs="Palatino Linotype"/>
          <w:bCs/>
          <w:kern w:val="0"/>
          <w14:ligatures w14:val="none"/>
        </w:rPr>
        <w:t>ti</w:t>
      </w:r>
      <w:r w:rsidRPr="00B22998">
        <w:rPr>
          <w:rFonts w:ascii="Palatino Linotype" w:hAnsi="Palatino Linotype" w:eastAsia="Palatino Linotype" w:cs="Times New Roman"/>
          <w:bCs/>
          <w:kern w:val="0"/>
          <w14:ligatures w14:val="none"/>
        </w:rPr>
        <w:t xml:space="preserve">on and Repair Initiative to </w:t>
      </w:r>
      <w:r w:rsidRPr="009C4B0C" w:rsidR="009C4B0C">
        <w:rPr>
          <w:rFonts w:ascii="Palatino Linotype" w:hAnsi="Palatino Linotype" w:eastAsia="Palatino Linotype" w:cs="Times New Roman"/>
          <w:bCs/>
          <w:kern w:val="0"/>
          <w14:ligatures w14:val="none"/>
        </w:rPr>
        <w:t>a</w:t>
      </w:r>
      <w:r w:rsidRPr="009C4B0C" w:rsidR="002C4A89">
        <w:rPr>
          <w:rFonts w:ascii="Palatino Linotype" w:hAnsi="Palatino Linotype" w:eastAsia="Palatino Linotype" w:cs="Times New Roman"/>
          <w:bCs/>
          <w:kern w:val="0"/>
          <w14:ligatures w14:val="none"/>
        </w:rPr>
        <w:t>dvance</w:t>
      </w:r>
      <w:r w:rsidRPr="009C4B0C" w:rsidR="00D60C6A">
        <w:rPr>
          <w:rFonts w:ascii="Palatino Linotype" w:hAnsi="Palatino Linotype" w:eastAsia="Palatino Linotype" w:cs="Times New Roman"/>
          <w:bCs/>
          <w:kern w:val="0"/>
          <w14:ligatures w14:val="none"/>
        </w:rPr>
        <w:t xml:space="preserve"> next-generation</w:t>
      </w:r>
      <w:r w:rsidRPr="009C4B0C" w:rsidR="002C4A89">
        <w:rPr>
          <w:rFonts w:ascii="Palatino Linotype" w:hAnsi="Palatino Linotype" w:eastAsia="Palatino Linotype" w:cs="Times New Roman"/>
          <w:bCs/>
          <w:kern w:val="0"/>
          <w14:ligatures w14:val="none"/>
        </w:rPr>
        <w:t xml:space="preserve"> leak detec</w:t>
      </w:r>
      <w:r w:rsidRPr="009C4B0C" w:rsidR="002C4A89">
        <w:rPr>
          <w:rFonts w:ascii="Palatino Linotype" w:hAnsi="Palatino Linotype" w:eastAsia="Palatino Linotype" w:cs="Palatino Linotype"/>
          <w:bCs/>
          <w:kern w:val="0"/>
          <w14:ligatures w14:val="none"/>
        </w:rPr>
        <w:t>ti</w:t>
      </w:r>
      <w:r w:rsidRPr="009C4B0C" w:rsidR="002C4A89">
        <w:rPr>
          <w:rFonts w:ascii="Palatino Linotype" w:hAnsi="Palatino Linotype" w:eastAsia="Palatino Linotype" w:cs="Times New Roman"/>
          <w:bCs/>
          <w:kern w:val="0"/>
          <w14:ligatures w14:val="none"/>
        </w:rPr>
        <w:t xml:space="preserve">on </w:t>
      </w:r>
      <w:r w:rsidRPr="009C4B0C" w:rsidR="00D60C6A">
        <w:rPr>
          <w:rFonts w:ascii="Palatino Linotype" w:hAnsi="Palatino Linotype" w:eastAsia="Palatino Linotype" w:cs="Times New Roman"/>
          <w:bCs/>
          <w:kern w:val="0"/>
          <w14:ligatures w14:val="none"/>
        </w:rPr>
        <w:t>and repair solutions,</w:t>
      </w:r>
      <w:r w:rsidRPr="009C4B0C" w:rsidR="002C4A89">
        <w:rPr>
          <w:rFonts w:ascii="Palatino Linotype" w:hAnsi="Palatino Linotype" w:eastAsia="Palatino Linotype" w:cs="Times New Roman"/>
          <w:bCs/>
          <w:kern w:val="0"/>
          <w14:ligatures w14:val="none"/>
        </w:rPr>
        <w:t xml:space="preserve"> including mobile leak detec</w:t>
      </w:r>
      <w:r w:rsidRPr="009C4B0C" w:rsidR="002C4A89">
        <w:rPr>
          <w:rFonts w:ascii="Palatino Linotype" w:hAnsi="Palatino Linotype" w:eastAsia="Palatino Linotype" w:cs="Palatino Linotype"/>
          <w:bCs/>
          <w:kern w:val="0"/>
          <w14:ligatures w14:val="none"/>
        </w:rPr>
        <w:t>ti</w:t>
      </w:r>
      <w:r w:rsidRPr="009C4B0C" w:rsidR="002C4A89">
        <w:rPr>
          <w:rFonts w:ascii="Palatino Linotype" w:hAnsi="Palatino Linotype" w:eastAsia="Palatino Linotype" w:cs="Times New Roman"/>
          <w:bCs/>
          <w:kern w:val="0"/>
          <w14:ligatures w14:val="none"/>
        </w:rPr>
        <w:t>on, aerial leak detec</w:t>
      </w:r>
      <w:r w:rsidRPr="009C4B0C" w:rsidR="002C4A89">
        <w:rPr>
          <w:rFonts w:ascii="Palatino Linotype" w:hAnsi="Palatino Linotype" w:eastAsia="Palatino Linotype" w:cs="Palatino Linotype"/>
          <w:bCs/>
          <w:kern w:val="0"/>
          <w14:ligatures w14:val="none"/>
        </w:rPr>
        <w:t>ti</w:t>
      </w:r>
      <w:r w:rsidRPr="009C4B0C" w:rsidR="002C4A89">
        <w:rPr>
          <w:rFonts w:ascii="Palatino Linotype" w:hAnsi="Palatino Linotype" w:eastAsia="Palatino Linotype" w:cs="Times New Roman"/>
          <w:bCs/>
          <w:kern w:val="0"/>
          <w14:ligatures w14:val="none"/>
        </w:rPr>
        <w:t>on (drone, helicopter, fixed-wing, satellite), and con</w:t>
      </w:r>
      <w:r w:rsidRPr="009C4B0C" w:rsidR="002C4A89">
        <w:rPr>
          <w:rFonts w:ascii="Palatino Linotype" w:hAnsi="Palatino Linotype" w:eastAsia="Palatino Linotype" w:cs="Palatino Linotype"/>
          <w:bCs/>
          <w:kern w:val="0"/>
          <w14:ligatures w14:val="none"/>
        </w:rPr>
        <w:t>ti</w:t>
      </w:r>
      <w:r w:rsidRPr="009C4B0C" w:rsidR="002C4A89">
        <w:rPr>
          <w:rFonts w:ascii="Palatino Linotype" w:hAnsi="Palatino Linotype" w:eastAsia="Palatino Linotype" w:cs="Times New Roman"/>
          <w:bCs/>
          <w:kern w:val="0"/>
          <w14:ligatures w14:val="none"/>
        </w:rPr>
        <w:t>nuous monitoring op</w:t>
      </w:r>
      <w:r w:rsidRPr="009C4B0C" w:rsidR="002C4A89">
        <w:rPr>
          <w:rFonts w:ascii="Palatino Linotype" w:hAnsi="Palatino Linotype" w:eastAsia="Palatino Linotype" w:cs="Palatino Linotype"/>
          <w:bCs/>
          <w:kern w:val="0"/>
          <w14:ligatures w14:val="none"/>
        </w:rPr>
        <w:t>ti</w:t>
      </w:r>
      <w:r w:rsidRPr="009C4B0C" w:rsidR="002C4A89">
        <w:rPr>
          <w:rFonts w:ascii="Palatino Linotype" w:hAnsi="Palatino Linotype" w:eastAsia="Palatino Linotype" w:cs="Times New Roman"/>
          <w:bCs/>
          <w:kern w:val="0"/>
          <w14:ligatures w14:val="none"/>
        </w:rPr>
        <w:t>ons</w:t>
      </w:r>
      <w:r w:rsidR="00480DC4">
        <w:rPr>
          <w:rFonts w:ascii="Palatino Linotype" w:hAnsi="Palatino Linotype" w:eastAsia="Palatino Linotype" w:cs="Times New Roman"/>
          <w:bCs/>
          <w:kern w:val="0"/>
          <w14:ligatures w14:val="none"/>
        </w:rPr>
        <w:t xml:space="preserve">. PG&amp;E states that it intends to </w:t>
      </w:r>
      <w:r w:rsidRPr="009C4B0C" w:rsidR="00C501CD">
        <w:rPr>
          <w:rFonts w:ascii="Palatino Linotype" w:hAnsi="Palatino Linotype" w:eastAsia="Palatino Linotype" w:cs="Times New Roman"/>
          <w:bCs/>
          <w:kern w:val="0"/>
          <w14:ligatures w14:val="none"/>
        </w:rPr>
        <w:t>reduce emissions, increase opera</w:t>
      </w:r>
      <w:r w:rsidRPr="009C4B0C" w:rsidR="00C501CD">
        <w:rPr>
          <w:rFonts w:ascii="Palatino Linotype" w:hAnsi="Palatino Linotype" w:eastAsia="Palatino Linotype" w:cs="Palatino Linotype"/>
          <w:bCs/>
          <w:kern w:val="0"/>
          <w14:ligatures w14:val="none"/>
        </w:rPr>
        <w:t>ti</w:t>
      </w:r>
      <w:r w:rsidRPr="009C4B0C" w:rsidR="00C501CD">
        <w:rPr>
          <w:rFonts w:ascii="Palatino Linotype" w:hAnsi="Palatino Linotype" w:eastAsia="Palatino Linotype" w:cs="Times New Roman"/>
          <w:bCs/>
          <w:kern w:val="0"/>
          <w14:ligatures w14:val="none"/>
        </w:rPr>
        <w:t>onal</w:t>
      </w:r>
      <w:r w:rsidR="0078764D">
        <w:rPr>
          <w:rFonts w:ascii="Palatino Linotype" w:hAnsi="Palatino Linotype" w:eastAsia="Palatino Linotype" w:cs="Times New Roman"/>
          <w:bCs/>
          <w:kern w:val="0"/>
          <w14:ligatures w14:val="none"/>
        </w:rPr>
        <w:t xml:space="preserve"> </w:t>
      </w:r>
      <w:r w:rsidRPr="009C4B0C" w:rsidR="00C501CD">
        <w:rPr>
          <w:rFonts w:ascii="Palatino Linotype" w:hAnsi="Palatino Linotype" w:eastAsia="Palatino Linotype" w:cs="Times New Roman"/>
          <w:bCs/>
          <w:kern w:val="0"/>
          <w14:ligatures w14:val="none"/>
        </w:rPr>
        <w:t>reliability, and help meet evolving state policy goals</w:t>
      </w:r>
      <w:r w:rsidR="009C4B0C">
        <w:rPr>
          <w:rFonts w:ascii="Palatino Linotype" w:hAnsi="Palatino Linotype" w:eastAsia="Palatino Linotype" w:cs="Times New Roman"/>
          <w:bCs/>
          <w:kern w:val="0"/>
          <w14:ligatures w14:val="none"/>
        </w:rPr>
        <w:t xml:space="preserve">. </w:t>
      </w:r>
      <w:r w:rsidR="002F46AE">
        <w:rPr>
          <w:rFonts w:ascii="Palatino Linotype" w:hAnsi="Palatino Linotype" w:eastAsia="Palatino Linotype" w:cs="Times New Roman"/>
          <w:bCs/>
          <w:kern w:val="0"/>
          <w14:ligatures w14:val="none"/>
        </w:rPr>
        <w:t xml:space="preserve">PG&amp;E </w:t>
      </w:r>
      <w:r w:rsidR="00B61F96">
        <w:rPr>
          <w:rFonts w:ascii="Palatino Linotype" w:hAnsi="Palatino Linotype" w:eastAsia="Palatino Linotype" w:cs="Times New Roman"/>
          <w:bCs/>
          <w:kern w:val="0"/>
          <w14:ligatures w14:val="none"/>
        </w:rPr>
        <w:t>propose</w:t>
      </w:r>
      <w:r w:rsidR="00351385">
        <w:rPr>
          <w:rFonts w:ascii="Palatino Linotype" w:hAnsi="Palatino Linotype" w:eastAsia="Palatino Linotype" w:cs="Times New Roman"/>
          <w:bCs/>
          <w:kern w:val="0"/>
          <w14:ligatures w14:val="none"/>
        </w:rPr>
        <w:t>s</w:t>
      </w:r>
      <w:r w:rsidR="00B61F96">
        <w:rPr>
          <w:rFonts w:ascii="Palatino Linotype" w:hAnsi="Palatino Linotype" w:eastAsia="Palatino Linotype" w:cs="Times New Roman"/>
          <w:bCs/>
          <w:kern w:val="0"/>
          <w14:ligatures w14:val="none"/>
        </w:rPr>
        <w:t xml:space="preserve"> to </w:t>
      </w:r>
      <w:r w:rsidR="00DC710A">
        <w:rPr>
          <w:rFonts w:ascii="Palatino Linotype" w:hAnsi="Palatino Linotype" w:eastAsia="Palatino Linotype" w:cs="Times New Roman"/>
          <w:bCs/>
          <w:kern w:val="0"/>
          <w14:ligatures w14:val="none"/>
        </w:rPr>
        <w:t xml:space="preserve">allocate </w:t>
      </w:r>
      <w:r w:rsidRPr="00813129" w:rsidR="002F46AE">
        <w:rPr>
          <w:rFonts w:ascii="Palatino Linotype" w:hAnsi="Palatino Linotype" w:eastAsia="Palatino Linotype" w:cs="Times New Roman"/>
          <w:bCs/>
          <w:kern w:val="0"/>
          <w14:ligatures w14:val="none"/>
        </w:rPr>
        <w:t>$1,819,428</w:t>
      </w:r>
      <w:r w:rsidR="002F46AE">
        <w:rPr>
          <w:rFonts w:ascii="Palatino Linotype" w:hAnsi="Palatino Linotype" w:eastAsia="Palatino Linotype" w:cs="Times New Roman"/>
          <w:bCs/>
          <w:kern w:val="0"/>
          <w14:ligatures w14:val="none"/>
        </w:rPr>
        <w:t xml:space="preserve"> in its 2024 Plan.</w:t>
      </w:r>
      <w:r w:rsidR="00E20BFA">
        <w:rPr>
          <w:rStyle w:val="FootnoteReference"/>
          <w:rFonts w:ascii="Palatino Linotype" w:hAnsi="Palatino Linotype" w:eastAsia="Palatino Linotype" w:cs="Times New Roman"/>
          <w:bCs/>
          <w:kern w:val="0"/>
          <w14:ligatures w14:val="none"/>
        </w:rPr>
        <w:footnoteReference w:id="32"/>
      </w:r>
    </w:p>
    <w:p w:rsidRPr="001D46EA" w:rsidR="00066940" w:rsidP="007E7238" w:rsidRDefault="00066940" w14:paraId="39BE9880" w14:textId="54A939B5">
      <w:pPr>
        <w:spacing w:after="0" w:line="276" w:lineRule="auto"/>
        <w:ind w:left="720"/>
        <w:rPr>
          <w:rFonts w:ascii="Palatino Linotype" w:hAnsi="Palatino Linotype" w:eastAsia="Palatino Linotype" w:cs="Times New Roman"/>
          <w:bCs/>
          <w:kern w:val="0"/>
          <w14:ligatures w14:val="none"/>
        </w:rPr>
      </w:pPr>
    </w:p>
    <w:p w:rsidRPr="00836A28" w:rsidR="00066940" w:rsidP="00836A28" w:rsidRDefault="00066940" w14:paraId="288E4086" w14:textId="25AA5B9A">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Emission Reduc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 Ac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vi</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es and Refined Repor</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ng</w:t>
      </w:r>
    </w:p>
    <w:p w:rsidR="002F46AE" w:rsidP="007E7238" w:rsidRDefault="001C541D" w14:paraId="4D98BA56" w14:textId="362CEA75">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3D482C">
        <w:rPr>
          <w:rFonts w:ascii="Palatino Linotype" w:hAnsi="Palatino Linotype" w:eastAsia="Palatino Linotype" w:cs="Times New Roman"/>
          <w:bCs/>
          <w:kern w:val="0"/>
          <w14:ligatures w14:val="none"/>
        </w:rPr>
        <w:t xml:space="preserve">states that it seeks to develop projects </w:t>
      </w:r>
      <w:r>
        <w:rPr>
          <w:rFonts w:ascii="Palatino Linotype" w:hAnsi="Palatino Linotype" w:eastAsia="Palatino Linotype" w:cs="Times New Roman"/>
          <w:bCs/>
          <w:kern w:val="0"/>
          <w14:ligatures w14:val="none"/>
        </w:rPr>
        <w:t xml:space="preserve">within </w:t>
      </w:r>
      <w:r w:rsidRPr="00E31ADD">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Pr="001C541D">
        <w:rPr>
          <w:rFonts w:ascii="Palatino Linotype" w:hAnsi="Palatino Linotype" w:eastAsia="Palatino Linotype" w:cs="Times New Roman"/>
          <w:bCs/>
          <w:kern w:val="0"/>
          <w14:ligatures w14:val="none"/>
        </w:rPr>
        <w:t>Emission Reduc</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on Ac</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vi</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es and Refined Repor</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 xml:space="preserve">ng Initiative to </w:t>
      </w:r>
      <w:r w:rsidRPr="00FA550C" w:rsidR="00CF0510">
        <w:rPr>
          <w:rFonts w:ascii="Palatino Linotype" w:hAnsi="Palatino Linotype" w:eastAsia="Palatino Linotype" w:cs="Times New Roman"/>
          <w:bCs/>
          <w:kern w:val="0"/>
          <w14:ligatures w14:val="none"/>
        </w:rPr>
        <w:t>d</w:t>
      </w:r>
      <w:r w:rsidRPr="00FA550C" w:rsidR="001F7588">
        <w:rPr>
          <w:rFonts w:ascii="Palatino Linotype" w:hAnsi="Palatino Linotype" w:eastAsia="Palatino Linotype" w:cs="Times New Roman"/>
          <w:bCs/>
          <w:kern w:val="0"/>
          <w14:ligatures w14:val="none"/>
        </w:rPr>
        <w:t>eploy</w:t>
      </w:r>
      <w:r w:rsidRPr="00FA550C" w:rsidR="00CF0510">
        <w:rPr>
          <w:rFonts w:ascii="Palatino Linotype" w:hAnsi="Palatino Linotype" w:eastAsia="Palatino Linotype" w:cs="Times New Roman"/>
          <w:bCs/>
          <w:kern w:val="0"/>
          <w14:ligatures w14:val="none"/>
        </w:rPr>
        <w:t xml:space="preserve"> </w:t>
      </w:r>
      <w:r w:rsidRPr="00FA550C" w:rsidR="001F7588">
        <w:rPr>
          <w:rFonts w:ascii="Palatino Linotype" w:hAnsi="Palatino Linotype" w:eastAsia="Palatino Linotype" w:cs="Times New Roman"/>
          <w:bCs/>
          <w:kern w:val="0"/>
          <w14:ligatures w14:val="none"/>
        </w:rPr>
        <w:t>technologies that further reduce opera</w:t>
      </w:r>
      <w:r w:rsidRPr="00FA550C" w:rsidR="001F7588">
        <w:rPr>
          <w:rFonts w:ascii="Palatino Linotype" w:hAnsi="Palatino Linotype" w:eastAsia="Palatino Linotype" w:cs="Palatino Linotype"/>
          <w:bCs/>
          <w:kern w:val="0"/>
          <w14:ligatures w14:val="none"/>
        </w:rPr>
        <w:t>ti</w:t>
      </w:r>
      <w:r w:rsidRPr="00FA550C" w:rsidR="001F7588">
        <w:rPr>
          <w:rFonts w:ascii="Palatino Linotype" w:hAnsi="Palatino Linotype" w:eastAsia="Palatino Linotype" w:cs="Times New Roman"/>
          <w:bCs/>
          <w:kern w:val="0"/>
          <w14:ligatures w14:val="none"/>
        </w:rPr>
        <w:t xml:space="preserve">onal emissions </w:t>
      </w:r>
      <w:r w:rsidRPr="00FA550C" w:rsidR="00CF0510">
        <w:rPr>
          <w:rFonts w:ascii="Palatino Linotype" w:hAnsi="Palatino Linotype" w:eastAsia="Palatino Linotype" w:cs="Times New Roman"/>
          <w:bCs/>
          <w:kern w:val="0"/>
          <w14:ligatures w14:val="none"/>
        </w:rPr>
        <w:t>while refining</w:t>
      </w:r>
      <w:r w:rsidRPr="00FA550C" w:rsidR="001F7588">
        <w:rPr>
          <w:rFonts w:ascii="Palatino Linotype" w:hAnsi="Palatino Linotype" w:eastAsia="Palatino Linotype" w:cs="Times New Roman"/>
          <w:bCs/>
          <w:kern w:val="0"/>
          <w14:ligatures w14:val="none"/>
        </w:rPr>
        <w:t xml:space="preserve"> emissions repor</w:t>
      </w:r>
      <w:r w:rsidRPr="00FA550C" w:rsidR="001F7588">
        <w:rPr>
          <w:rFonts w:ascii="Palatino Linotype" w:hAnsi="Palatino Linotype" w:eastAsia="Palatino Linotype" w:cs="Palatino Linotype"/>
          <w:bCs/>
          <w:kern w:val="0"/>
          <w14:ligatures w14:val="none"/>
        </w:rPr>
        <w:t>ti</w:t>
      </w:r>
      <w:r w:rsidRPr="00FA550C" w:rsidR="001F7588">
        <w:rPr>
          <w:rFonts w:ascii="Palatino Linotype" w:hAnsi="Palatino Linotype" w:eastAsia="Palatino Linotype" w:cs="Times New Roman"/>
          <w:bCs/>
          <w:kern w:val="0"/>
          <w14:ligatures w14:val="none"/>
        </w:rPr>
        <w:t>ng frameworks through more precise data collec</w:t>
      </w:r>
      <w:r w:rsidRPr="00FA550C" w:rsidR="001F7588">
        <w:rPr>
          <w:rFonts w:ascii="Palatino Linotype" w:hAnsi="Palatino Linotype" w:eastAsia="Palatino Linotype" w:cs="Palatino Linotype"/>
          <w:bCs/>
          <w:kern w:val="0"/>
          <w14:ligatures w14:val="none"/>
        </w:rPr>
        <w:t>ti</w:t>
      </w:r>
      <w:r w:rsidRPr="00FA550C" w:rsidR="001F7588">
        <w:rPr>
          <w:rFonts w:ascii="Palatino Linotype" w:hAnsi="Palatino Linotype" w:eastAsia="Palatino Linotype" w:cs="Times New Roman"/>
          <w:bCs/>
          <w:kern w:val="0"/>
          <w14:ligatures w14:val="none"/>
        </w:rPr>
        <w:t>on</w:t>
      </w:r>
      <w:r w:rsidR="003D482C">
        <w:rPr>
          <w:rFonts w:ascii="Palatino Linotype" w:hAnsi="Palatino Linotype" w:eastAsia="Palatino Linotype" w:cs="Times New Roman"/>
          <w:bCs/>
          <w:kern w:val="0"/>
          <w14:ligatures w14:val="none"/>
        </w:rPr>
        <w:t>. PG&amp;E states that it intends to</w:t>
      </w:r>
      <w:r w:rsidRPr="00FA550C" w:rsidR="00CF0510">
        <w:rPr>
          <w:rFonts w:ascii="Palatino Linotype" w:hAnsi="Palatino Linotype" w:eastAsia="Palatino Linotype" w:cs="Times New Roman"/>
          <w:bCs/>
          <w:kern w:val="0"/>
          <w14:ligatures w14:val="none"/>
        </w:rPr>
        <w:t xml:space="preserve"> </w:t>
      </w:r>
      <w:r w:rsidRPr="00FA550C" w:rsidR="00FA550C">
        <w:rPr>
          <w:rFonts w:ascii="Palatino Linotype" w:hAnsi="Palatino Linotype" w:eastAsia="Palatino Linotype" w:cs="Times New Roman"/>
          <w:bCs/>
          <w:kern w:val="0"/>
          <w14:ligatures w14:val="none"/>
        </w:rPr>
        <w:t>support gas system safety and reliability and reduce methane emissions.</w:t>
      </w:r>
      <w:r w:rsidR="00FA550C">
        <w:rPr>
          <w:rFonts w:ascii="Palatino Linotype" w:hAnsi="Palatino Linotype" w:eastAsia="Palatino Linotype" w:cs="Times New Roman"/>
          <w:bCs/>
          <w:kern w:val="0"/>
          <w14:ligatures w14:val="none"/>
        </w:rPr>
        <w:t xml:space="preserve"> </w:t>
      </w:r>
      <w:r w:rsidR="002F46AE">
        <w:rPr>
          <w:rFonts w:ascii="Palatino Linotype" w:hAnsi="Palatino Linotype" w:eastAsia="Palatino Linotype" w:cs="Times New Roman"/>
          <w:bCs/>
          <w:kern w:val="0"/>
          <w14:ligatures w14:val="none"/>
        </w:rPr>
        <w:t xml:space="preserve">PG&amp;E </w:t>
      </w:r>
      <w:r w:rsidR="00B61F96">
        <w:rPr>
          <w:rFonts w:ascii="Palatino Linotype" w:hAnsi="Palatino Linotype" w:eastAsia="Palatino Linotype" w:cs="Times New Roman"/>
          <w:bCs/>
          <w:kern w:val="0"/>
          <w14:ligatures w14:val="none"/>
        </w:rPr>
        <w:t xml:space="preserve">proposes to </w:t>
      </w:r>
      <w:r w:rsidR="00DC710A">
        <w:rPr>
          <w:rFonts w:ascii="Palatino Linotype" w:hAnsi="Palatino Linotype" w:eastAsia="Palatino Linotype" w:cs="Times New Roman"/>
          <w:bCs/>
          <w:kern w:val="0"/>
          <w14:ligatures w14:val="none"/>
        </w:rPr>
        <w:t>allocate</w:t>
      </w:r>
      <w:r w:rsidR="002F46AE">
        <w:rPr>
          <w:rFonts w:ascii="Palatino Linotype" w:hAnsi="Palatino Linotype" w:eastAsia="Palatino Linotype" w:cs="Times New Roman"/>
          <w:bCs/>
          <w:kern w:val="0"/>
          <w14:ligatures w14:val="none"/>
        </w:rPr>
        <w:t xml:space="preserve"> </w:t>
      </w:r>
      <w:r w:rsidRPr="00813129" w:rsidR="002F46AE">
        <w:rPr>
          <w:rFonts w:ascii="Palatino Linotype" w:hAnsi="Palatino Linotype" w:eastAsia="Palatino Linotype" w:cs="Times New Roman"/>
          <w:bCs/>
          <w:kern w:val="0"/>
          <w14:ligatures w14:val="none"/>
        </w:rPr>
        <w:t>$982,542</w:t>
      </w:r>
      <w:r w:rsidR="002F46AE">
        <w:rPr>
          <w:rFonts w:ascii="Palatino Linotype" w:hAnsi="Palatino Linotype" w:eastAsia="Palatino Linotype" w:cs="Times New Roman"/>
          <w:bCs/>
          <w:kern w:val="0"/>
          <w14:ligatures w14:val="none"/>
        </w:rPr>
        <w:t xml:space="preserve"> in its 2024 </w:t>
      </w:r>
      <w:r w:rsidRPr="00C84080" w:rsidR="002F46AE">
        <w:rPr>
          <w:rFonts w:ascii="Palatino Linotype" w:hAnsi="Palatino Linotype" w:eastAsia="Palatino Linotype" w:cs="Times New Roman"/>
          <w:bCs/>
          <w:kern w:val="0"/>
          <w14:ligatures w14:val="none"/>
        </w:rPr>
        <w:t>Plan.</w:t>
      </w:r>
      <w:r w:rsidRPr="00C84080">
        <w:rPr>
          <w:rStyle w:val="FootnoteReference"/>
          <w:rFonts w:ascii="Palatino Linotype" w:hAnsi="Palatino Linotype" w:eastAsia="Palatino Linotype" w:cs="Times New Roman"/>
          <w:bCs/>
          <w:kern w:val="0"/>
          <w14:ligatures w14:val="none"/>
        </w:rPr>
        <w:footnoteReference w:id="33"/>
      </w:r>
    </w:p>
    <w:p w:rsidR="008E4974" w:rsidP="00361AB6" w:rsidRDefault="008E4974" w14:paraId="4D830213" w14:textId="77777777">
      <w:pPr>
        <w:spacing w:after="0" w:line="276" w:lineRule="auto"/>
        <w:rPr>
          <w:rFonts w:ascii="Palatino Linotype" w:hAnsi="Palatino Linotype" w:eastAsia="Palatino Linotype" w:cs="Times New Roman"/>
          <w:bCs/>
          <w:kern w:val="0"/>
          <w14:ligatures w14:val="none"/>
        </w:rPr>
      </w:pPr>
    </w:p>
    <w:p w:rsidRPr="00836A28" w:rsidR="00160539" w:rsidP="00361AB6" w:rsidRDefault="00D87C13" w14:paraId="6A1200F3" w14:textId="25F1EEFC">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Decarbonization Theme</w:t>
      </w:r>
      <w:r w:rsidRPr="00836A28" w:rsidR="00362619">
        <w:rPr>
          <w:rFonts w:ascii="Palatino Linotype" w:hAnsi="Palatino Linotype" w:eastAsia="Palatino Linotype" w:cs="Times New Roman"/>
          <w:i/>
          <w:kern w:val="0"/>
          <w14:ligatures w14:val="none"/>
        </w:rPr>
        <w:t xml:space="preserve"> Proposed Initiatives</w:t>
      </w:r>
    </w:p>
    <w:p w:rsidR="00BB7C41" w:rsidP="00361AB6" w:rsidRDefault="00160539" w14:paraId="0ECD4471" w14:textId="6FB891B4">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A81DDE">
        <w:rPr>
          <w:rFonts w:ascii="Palatino Linotype" w:hAnsi="Palatino Linotype" w:eastAsia="Palatino Linotype" w:cs="Times New Roman"/>
          <w:bCs/>
          <w:kern w:val="0"/>
          <w14:ligatures w14:val="none"/>
        </w:rPr>
        <w:t xml:space="preserve">states that it seeks to develop Initiatives within the </w:t>
      </w:r>
      <w:r>
        <w:rPr>
          <w:rFonts w:ascii="Palatino Linotype" w:hAnsi="Palatino Linotype" w:eastAsia="Palatino Linotype" w:cs="Times New Roman"/>
          <w:bCs/>
          <w:kern w:val="0"/>
          <w14:ligatures w14:val="none"/>
        </w:rPr>
        <w:t xml:space="preserve">Decarbonization Theme to </w:t>
      </w:r>
      <w:r w:rsidR="00A70430">
        <w:rPr>
          <w:rFonts w:ascii="Palatino Linotype" w:hAnsi="Palatino Linotype" w:eastAsia="Palatino Linotype" w:cs="Times New Roman"/>
          <w:bCs/>
          <w:kern w:val="0"/>
          <w14:ligatures w14:val="none"/>
        </w:rPr>
        <w:t>d</w:t>
      </w:r>
      <w:r w:rsidRPr="00A70430" w:rsidR="00BB7C41">
        <w:rPr>
          <w:rFonts w:ascii="Palatino Linotype" w:hAnsi="Palatino Linotype" w:eastAsia="Palatino Linotype" w:cs="Times New Roman"/>
          <w:bCs/>
          <w:kern w:val="0"/>
          <w14:ligatures w14:val="none"/>
        </w:rPr>
        <w:t>evelop or advance technologies to decarbonize the gas system</w:t>
      </w:r>
      <w:r w:rsidRPr="00A70430" w:rsidR="00A70430">
        <w:rPr>
          <w:rFonts w:ascii="Palatino Linotype" w:hAnsi="Palatino Linotype" w:eastAsia="Palatino Linotype" w:cs="Times New Roman"/>
          <w:bCs/>
          <w:kern w:val="0"/>
          <w14:ligatures w14:val="none"/>
        </w:rPr>
        <w:t xml:space="preserve"> by conducting founda</w:t>
      </w:r>
      <w:r w:rsidRPr="00A70430" w:rsidR="00A70430">
        <w:rPr>
          <w:rFonts w:ascii="Palatino Linotype" w:hAnsi="Palatino Linotype" w:eastAsia="Palatino Linotype" w:cs="Palatino Linotype"/>
          <w:bCs/>
          <w:kern w:val="0"/>
          <w14:ligatures w14:val="none"/>
        </w:rPr>
        <w:t>ti</w:t>
      </w:r>
      <w:r w:rsidRPr="00A70430" w:rsidR="00A70430">
        <w:rPr>
          <w:rFonts w:ascii="Palatino Linotype" w:hAnsi="Palatino Linotype" w:eastAsia="Palatino Linotype" w:cs="Times New Roman"/>
          <w:bCs/>
          <w:kern w:val="0"/>
          <w14:ligatures w14:val="none"/>
        </w:rPr>
        <w:t>onal research that better informs the industry’s understanding of the challenges and impacts of integra</w:t>
      </w:r>
      <w:r w:rsidRPr="00A70430" w:rsidR="00A70430">
        <w:rPr>
          <w:rFonts w:ascii="Palatino Linotype" w:hAnsi="Palatino Linotype" w:eastAsia="Palatino Linotype" w:cs="Palatino Linotype"/>
          <w:bCs/>
          <w:kern w:val="0"/>
          <w14:ligatures w14:val="none"/>
        </w:rPr>
        <w:t>ti</w:t>
      </w:r>
      <w:r w:rsidRPr="00A70430" w:rsidR="00A70430">
        <w:rPr>
          <w:rFonts w:ascii="Palatino Linotype" w:hAnsi="Palatino Linotype" w:eastAsia="Palatino Linotype" w:cs="Times New Roman"/>
          <w:bCs/>
          <w:kern w:val="0"/>
          <w14:ligatures w14:val="none"/>
        </w:rPr>
        <w:t>ng cleaner fuels into exis</w:t>
      </w:r>
      <w:r w:rsidRPr="00A70430" w:rsidR="00A70430">
        <w:rPr>
          <w:rFonts w:ascii="Palatino Linotype" w:hAnsi="Palatino Linotype" w:eastAsia="Palatino Linotype" w:cs="Palatino Linotype"/>
          <w:bCs/>
          <w:kern w:val="0"/>
          <w14:ligatures w14:val="none"/>
        </w:rPr>
        <w:t>ti</w:t>
      </w:r>
      <w:r w:rsidRPr="00A70430" w:rsidR="00A70430">
        <w:rPr>
          <w:rFonts w:ascii="Palatino Linotype" w:hAnsi="Palatino Linotype" w:eastAsia="Palatino Linotype" w:cs="Times New Roman"/>
          <w:bCs/>
          <w:kern w:val="0"/>
          <w14:ligatures w14:val="none"/>
        </w:rPr>
        <w:t>ng pipelines and system assets, as well as into customer applica</w:t>
      </w:r>
      <w:r w:rsidRPr="00A70430" w:rsidR="00A70430">
        <w:rPr>
          <w:rFonts w:ascii="Palatino Linotype" w:hAnsi="Palatino Linotype" w:eastAsia="Palatino Linotype" w:cs="Palatino Linotype"/>
          <w:bCs/>
          <w:kern w:val="0"/>
          <w14:ligatures w14:val="none"/>
        </w:rPr>
        <w:t>ti</w:t>
      </w:r>
      <w:r w:rsidRPr="00A70430" w:rsidR="00A70430">
        <w:rPr>
          <w:rFonts w:ascii="Palatino Linotype" w:hAnsi="Palatino Linotype" w:eastAsia="Palatino Linotype" w:cs="Times New Roman"/>
          <w:bCs/>
          <w:kern w:val="0"/>
          <w14:ligatures w14:val="none"/>
        </w:rPr>
        <w:t>ons and end uses.</w:t>
      </w:r>
      <w:r w:rsidR="00EF229B">
        <w:rPr>
          <w:rStyle w:val="FootnoteReference"/>
          <w:rFonts w:ascii="Palatino Linotype" w:hAnsi="Palatino Linotype" w:eastAsia="Palatino Linotype" w:cs="Times New Roman"/>
          <w:bCs/>
          <w:kern w:val="0"/>
          <w14:ligatures w14:val="none"/>
        </w:rPr>
        <w:footnoteReference w:id="34"/>
      </w:r>
    </w:p>
    <w:p w:rsidR="0078790D" w:rsidP="00361AB6" w:rsidRDefault="0078790D" w14:paraId="5CBEF9BB" w14:textId="77777777">
      <w:pPr>
        <w:spacing w:after="0" w:line="276" w:lineRule="auto"/>
        <w:rPr>
          <w:rFonts w:ascii="Palatino Linotype" w:hAnsi="Palatino Linotype" w:eastAsia="Palatino Linotype" w:cs="Times New Roman"/>
          <w:bCs/>
          <w:i/>
          <w:iCs/>
          <w:kern w:val="0"/>
          <w14:ligatures w14:val="none"/>
        </w:rPr>
      </w:pPr>
    </w:p>
    <w:p w:rsidRPr="00836A28" w:rsidR="002F46AE" w:rsidP="00836A28" w:rsidRDefault="00236968" w14:paraId="291FAB10" w14:textId="257616FB">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Clean Fuels Integra</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w:t>
      </w:r>
      <w:r w:rsidRPr="00836A28" w:rsidR="0096453F">
        <w:rPr>
          <w:rFonts w:ascii="Palatino Linotype" w:hAnsi="Palatino Linotype" w:eastAsia="Palatino Linotype" w:cs="Times New Roman"/>
          <w:color w:val="EE0000"/>
          <w:kern w:val="0"/>
          <w14:ligatures w14:val="none"/>
        </w:rPr>
        <w:t xml:space="preserve"> </w:t>
      </w:r>
    </w:p>
    <w:p w:rsidR="00F1673B" w:rsidP="007E7238" w:rsidRDefault="000A2E91" w14:paraId="0CE21AB6" w14:textId="062E5AA0">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A81DDE">
        <w:rPr>
          <w:rFonts w:ascii="Palatino Linotype" w:hAnsi="Palatino Linotype" w:eastAsia="Palatino Linotype" w:cs="Times New Roman"/>
          <w:bCs/>
          <w:kern w:val="0"/>
          <w14:ligatures w14:val="none"/>
        </w:rPr>
        <w:t xml:space="preserve">states that it seeks to develop projects within </w:t>
      </w:r>
      <w:r w:rsidRPr="00E31ADD" w:rsidR="00A81DDE">
        <w:rPr>
          <w:rFonts w:ascii="Palatino Linotype" w:hAnsi="Palatino Linotype" w:eastAsia="Palatino Linotype" w:cs="Times New Roman"/>
          <w:bCs/>
          <w:kern w:val="0"/>
          <w14:ligatures w14:val="none"/>
        </w:rPr>
        <w:t>the</w:t>
      </w:r>
      <w:r w:rsidR="00A81DDE">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Clean Fuels Integration Initiative</w:t>
      </w:r>
      <w:r w:rsidR="00121D5D">
        <w:rPr>
          <w:rFonts w:ascii="Palatino Linotype" w:hAnsi="Palatino Linotype" w:eastAsia="Palatino Linotype" w:cs="Times New Roman"/>
          <w:bCs/>
          <w:kern w:val="0"/>
          <w14:ligatures w14:val="none"/>
        </w:rPr>
        <w:t xml:space="preserve"> to </w:t>
      </w:r>
      <w:r w:rsidRPr="00121D5D" w:rsidR="00121D5D">
        <w:rPr>
          <w:rFonts w:ascii="Palatino Linotype" w:hAnsi="Palatino Linotype" w:eastAsia="Palatino Linotype" w:cs="Times New Roman"/>
          <w:bCs/>
          <w:kern w:val="0"/>
          <w14:ligatures w14:val="none"/>
        </w:rPr>
        <w:t>assess the technical, opera</w:t>
      </w:r>
      <w:r w:rsidR="00121D5D">
        <w:rPr>
          <w:rFonts w:ascii="Palatino Linotype" w:hAnsi="Palatino Linotype" w:eastAsia="Palatino Linotype" w:cs="Palatino Linotype"/>
          <w:bCs/>
          <w:kern w:val="0"/>
          <w14:ligatures w14:val="none"/>
        </w:rPr>
        <w:t>ti</w:t>
      </w:r>
      <w:r w:rsidRPr="00121D5D" w:rsidR="00121D5D">
        <w:rPr>
          <w:rFonts w:ascii="Palatino Linotype" w:hAnsi="Palatino Linotype" w:eastAsia="Palatino Linotype" w:cs="Times New Roman"/>
          <w:bCs/>
          <w:kern w:val="0"/>
          <w14:ligatures w14:val="none"/>
        </w:rPr>
        <w:t>onal, and economic implica</w:t>
      </w:r>
      <w:r w:rsidR="00121D5D">
        <w:rPr>
          <w:rFonts w:ascii="Palatino Linotype" w:hAnsi="Palatino Linotype" w:eastAsia="Palatino Linotype" w:cs="Palatino Linotype"/>
          <w:bCs/>
          <w:kern w:val="0"/>
          <w14:ligatures w14:val="none"/>
        </w:rPr>
        <w:t>ti</w:t>
      </w:r>
      <w:r w:rsidRPr="00121D5D" w:rsidR="00121D5D">
        <w:rPr>
          <w:rFonts w:ascii="Palatino Linotype" w:hAnsi="Palatino Linotype" w:eastAsia="Palatino Linotype" w:cs="Times New Roman"/>
          <w:bCs/>
          <w:kern w:val="0"/>
          <w14:ligatures w14:val="none"/>
        </w:rPr>
        <w:t>ons of clean fuel integra</w:t>
      </w:r>
      <w:r w:rsidR="00121D5D">
        <w:rPr>
          <w:rFonts w:ascii="Palatino Linotype" w:hAnsi="Palatino Linotype" w:eastAsia="Palatino Linotype" w:cs="Palatino Linotype"/>
          <w:bCs/>
          <w:kern w:val="0"/>
          <w14:ligatures w14:val="none"/>
        </w:rPr>
        <w:t>ti</w:t>
      </w:r>
      <w:r w:rsidRPr="00121D5D" w:rsidR="00121D5D">
        <w:rPr>
          <w:rFonts w:ascii="Palatino Linotype" w:hAnsi="Palatino Linotype" w:eastAsia="Palatino Linotype" w:cs="Times New Roman"/>
          <w:bCs/>
          <w:kern w:val="0"/>
          <w14:ligatures w14:val="none"/>
        </w:rPr>
        <w:t>on</w:t>
      </w:r>
      <w:r w:rsidR="001843DD">
        <w:rPr>
          <w:rFonts w:ascii="Palatino Linotype" w:hAnsi="Palatino Linotype" w:eastAsia="Palatino Linotype" w:cs="Times New Roman"/>
          <w:bCs/>
          <w:kern w:val="0"/>
          <w14:ligatures w14:val="none"/>
        </w:rPr>
        <w:t xml:space="preserve"> (</w:t>
      </w:r>
      <w:r w:rsidR="0096453F">
        <w:rPr>
          <w:rFonts w:ascii="Palatino Linotype" w:hAnsi="Palatino Linotype" w:eastAsia="Palatino Linotype" w:cs="Times New Roman"/>
          <w:bCs/>
          <w:kern w:val="0"/>
          <w14:ligatures w14:val="none"/>
        </w:rPr>
        <w:t>renewable natural gas</w:t>
      </w:r>
      <w:r w:rsidRPr="001843DD" w:rsidR="001843DD">
        <w:rPr>
          <w:rFonts w:ascii="Palatino Linotype" w:hAnsi="Palatino Linotype" w:eastAsia="Palatino Linotype" w:cs="Times New Roman"/>
          <w:bCs/>
          <w:kern w:val="0"/>
          <w14:ligatures w14:val="none"/>
        </w:rPr>
        <w:t>, renewable hydrogen, and synthe</w:t>
      </w:r>
      <w:r w:rsidR="001843DD">
        <w:rPr>
          <w:rFonts w:ascii="Palatino Linotype" w:hAnsi="Palatino Linotype" w:eastAsia="Palatino Linotype" w:cs="Palatino Linotype"/>
          <w:bCs/>
          <w:kern w:val="0"/>
          <w14:ligatures w14:val="none"/>
        </w:rPr>
        <w:t>ti</w:t>
      </w:r>
      <w:r w:rsidRPr="001843DD" w:rsidR="001843DD">
        <w:rPr>
          <w:rFonts w:ascii="Palatino Linotype" w:hAnsi="Palatino Linotype" w:eastAsia="Palatino Linotype" w:cs="Times New Roman"/>
          <w:bCs/>
          <w:kern w:val="0"/>
          <w14:ligatures w14:val="none"/>
        </w:rPr>
        <w:t>c methane</w:t>
      </w:r>
      <w:r w:rsidR="001843DD">
        <w:rPr>
          <w:rFonts w:ascii="Palatino Linotype" w:hAnsi="Palatino Linotype" w:eastAsia="Palatino Linotype" w:cs="Times New Roman"/>
          <w:bCs/>
          <w:kern w:val="0"/>
          <w14:ligatures w14:val="none"/>
        </w:rPr>
        <w:t>)</w:t>
      </w:r>
      <w:r w:rsidR="00A81DDE">
        <w:rPr>
          <w:rFonts w:ascii="Palatino Linotype" w:hAnsi="Palatino Linotype" w:eastAsia="Palatino Linotype" w:cs="Times New Roman"/>
          <w:bCs/>
          <w:kern w:val="0"/>
          <w14:ligatures w14:val="none"/>
        </w:rPr>
        <w:t>. PG&amp;E states that</w:t>
      </w:r>
      <w:r w:rsidR="00DE61BA">
        <w:rPr>
          <w:rFonts w:ascii="Palatino Linotype" w:hAnsi="Palatino Linotype" w:eastAsia="Palatino Linotype" w:cs="Times New Roman"/>
          <w:bCs/>
          <w:kern w:val="0"/>
          <w14:ligatures w14:val="none"/>
        </w:rPr>
        <w:t xml:space="preserve"> it</w:t>
      </w:r>
      <w:r w:rsidR="00A81DDE">
        <w:rPr>
          <w:rFonts w:ascii="Palatino Linotype" w:hAnsi="Palatino Linotype" w:eastAsia="Palatino Linotype" w:cs="Times New Roman"/>
          <w:bCs/>
          <w:kern w:val="0"/>
          <w14:ligatures w14:val="none"/>
        </w:rPr>
        <w:t xml:space="preserve"> intends </w:t>
      </w:r>
      <w:r w:rsidR="001843DD">
        <w:rPr>
          <w:rFonts w:ascii="Palatino Linotype" w:hAnsi="Palatino Linotype" w:eastAsia="Palatino Linotype" w:cs="Times New Roman"/>
          <w:bCs/>
          <w:kern w:val="0"/>
          <w14:ligatures w14:val="none"/>
        </w:rPr>
        <w:t xml:space="preserve">to </w:t>
      </w:r>
      <w:r w:rsidR="00FF5212">
        <w:rPr>
          <w:rFonts w:ascii="Palatino Linotype" w:hAnsi="Palatino Linotype" w:eastAsia="Palatino Linotype" w:cs="Times New Roman"/>
          <w:bCs/>
          <w:kern w:val="0"/>
          <w14:ligatures w14:val="none"/>
        </w:rPr>
        <w:t xml:space="preserve">support carbon reduction, system reliability, and energy affordability. </w:t>
      </w:r>
      <w:r w:rsidR="002F46AE">
        <w:rPr>
          <w:rFonts w:ascii="Palatino Linotype" w:hAnsi="Palatino Linotype" w:eastAsia="Palatino Linotype" w:cs="Times New Roman"/>
          <w:bCs/>
          <w:kern w:val="0"/>
          <w14:ligatures w14:val="none"/>
        </w:rPr>
        <w:t xml:space="preserve">PG&amp;E </w:t>
      </w:r>
      <w:r w:rsidR="00860ED3">
        <w:rPr>
          <w:rFonts w:ascii="Palatino Linotype" w:hAnsi="Palatino Linotype" w:eastAsia="Palatino Linotype" w:cs="Times New Roman"/>
          <w:bCs/>
          <w:kern w:val="0"/>
          <w14:ligatures w14:val="none"/>
        </w:rPr>
        <w:t>propose</w:t>
      </w:r>
      <w:r w:rsidR="00351385">
        <w:rPr>
          <w:rFonts w:ascii="Palatino Linotype" w:hAnsi="Palatino Linotype" w:eastAsia="Palatino Linotype" w:cs="Times New Roman"/>
          <w:bCs/>
          <w:kern w:val="0"/>
          <w14:ligatures w14:val="none"/>
        </w:rPr>
        <w:t>s</w:t>
      </w:r>
      <w:r w:rsidR="00860ED3">
        <w:rPr>
          <w:rFonts w:ascii="Palatino Linotype" w:hAnsi="Palatino Linotype" w:eastAsia="Palatino Linotype" w:cs="Times New Roman"/>
          <w:bCs/>
          <w:kern w:val="0"/>
          <w14:ligatures w14:val="none"/>
        </w:rPr>
        <w:t xml:space="preserve"> to </w:t>
      </w:r>
      <w:r w:rsidR="00DC710A">
        <w:rPr>
          <w:rFonts w:ascii="Palatino Linotype" w:hAnsi="Palatino Linotype" w:eastAsia="Palatino Linotype" w:cs="Times New Roman"/>
          <w:bCs/>
          <w:kern w:val="0"/>
          <w14:ligatures w14:val="none"/>
        </w:rPr>
        <w:t>allocate</w:t>
      </w:r>
      <w:r w:rsidR="002F46AE">
        <w:rPr>
          <w:rFonts w:ascii="Palatino Linotype" w:hAnsi="Palatino Linotype" w:eastAsia="Palatino Linotype" w:cs="Times New Roman"/>
          <w:bCs/>
          <w:kern w:val="0"/>
          <w14:ligatures w14:val="none"/>
        </w:rPr>
        <w:t xml:space="preserve"> </w:t>
      </w:r>
      <w:r w:rsidRPr="00F1673B" w:rsidR="00F1673B">
        <w:rPr>
          <w:rFonts w:ascii="Palatino Linotype" w:hAnsi="Palatino Linotype" w:eastAsia="Palatino Linotype" w:cs="Times New Roman"/>
          <w:bCs/>
          <w:kern w:val="0"/>
          <w14:ligatures w14:val="none"/>
        </w:rPr>
        <w:t>$2,110,660</w:t>
      </w:r>
      <w:r w:rsidR="002F46AE">
        <w:rPr>
          <w:rFonts w:ascii="Palatino Linotype" w:hAnsi="Palatino Linotype" w:eastAsia="Palatino Linotype" w:cs="Times New Roman"/>
          <w:bCs/>
          <w:kern w:val="0"/>
          <w14:ligatures w14:val="none"/>
        </w:rPr>
        <w:t xml:space="preserve"> in its 2024 Plan.</w:t>
      </w:r>
      <w:r w:rsidR="00AB3D8E">
        <w:rPr>
          <w:rStyle w:val="FootnoteReference"/>
          <w:rFonts w:ascii="Palatino Linotype" w:hAnsi="Palatino Linotype" w:eastAsia="Palatino Linotype" w:cs="Times New Roman"/>
          <w:bCs/>
          <w:kern w:val="0"/>
          <w14:ligatures w14:val="none"/>
        </w:rPr>
        <w:footnoteReference w:id="35"/>
      </w:r>
    </w:p>
    <w:p w:rsidR="00AD4072" w:rsidP="00361AB6" w:rsidRDefault="00AD4072" w14:paraId="77851026" w14:textId="77777777">
      <w:pPr>
        <w:spacing w:after="0" w:line="276" w:lineRule="auto"/>
        <w:rPr>
          <w:rFonts w:ascii="Palatino Linotype" w:hAnsi="Palatino Linotype" w:eastAsia="Palatino Linotype" w:cs="Times New Roman"/>
          <w:bCs/>
          <w:kern w:val="0"/>
          <w14:ligatures w14:val="none"/>
        </w:rPr>
      </w:pPr>
    </w:p>
    <w:p w:rsidRPr="00836A28" w:rsidR="0022505D" w:rsidP="00361AB6" w:rsidRDefault="0022505D" w14:paraId="2FF5E2F8" w14:textId="63BA790D">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Program Administration</w:t>
      </w:r>
    </w:p>
    <w:p w:rsidR="00706900" w:rsidP="00361AB6" w:rsidRDefault="00E940A0" w14:paraId="04144B48" w14:textId="349BCE1A">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351385">
        <w:rPr>
          <w:rFonts w:ascii="Palatino Linotype" w:hAnsi="Palatino Linotype" w:eastAsia="Palatino Linotype" w:cs="Times New Roman"/>
          <w:bCs/>
          <w:kern w:val="0"/>
          <w14:ligatures w14:val="none"/>
        </w:rPr>
        <w:t xml:space="preserve">proposes to </w:t>
      </w:r>
      <w:r>
        <w:rPr>
          <w:rFonts w:ascii="Palatino Linotype" w:hAnsi="Palatino Linotype" w:eastAsia="Palatino Linotype" w:cs="Times New Roman"/>
          <w:bCs/>
          <w:kern w:val="0"/>
          <w14:ligatures w14:val="none"/>
        </w:rPr>
        <w:t xml:space="preserve">allocate ten percent of </w:t>
      </w:r>
      <w:r w:rsidR="00636919">
        <w:rPr>
          <w:rFonts w:ascii="Palatino Linotype" w:hAnsi="Palatino Linotype" w:eastAsia="Palatino Linotype" w:cs="Times New Roman"/>
          <w:bCs/>
          <w:kern w:val="0"/>
          <w14:ligatures w14:val="none"/>
        </w:rPr>
        <w:t>its</w:t>
      </w:r>
      <w:r w:rsidR="00415181">
        <w:rPr>
          <w:rFonts w:ascii="Palatino Linotype" w:hAnsi="Palatino Linotype" w:eastAsia="Palatino Linotype" w:cs="Times New Roman"/>
          <w:bCs/>
          <w:kern w:val="0"/>
          <w14:ligatures w14:val="none"/>
        </w:rPr>
        <w:t xml:space="preserve"> annual</w:t>
      </w:r>
      <w:r>
        <w:rPr>
          <w:rFonts w:ascii="Palatino Linotype" w:hAnsi="Palatino Linotype" w:eastAsia="Palatino Linotype" w:cs="Times New Roman"/>
          <w:bCs/>
          <w:kern w:val="0"/>
          <w14:ligatures w14:val="none"/>
        </w:rPr>
        <w:t xml:space="preserve"> total budget to </w:t>
      </w:r>
      <w:r w:rsidR="001B101E">
        <w:rPr>
          <w:rFonts w:ascii="Palatino Linotype" w:hAnsi="Palatino Linotype" w:eastAsia="Palatino Linotype" w:cs="Times New Roman"/>
          <w:bCs/>
          <w:kern w:val="0"/>
          <w14:ligatures w14:val="none"/>
        </w:rPr>
        <w:t xml:space="preserve">administrative </w:t>
      </w:r>
      <w:r>
        <w:rPr>
          <w:rFonts w:ascii="Palatino Linotype" w:hAnsi="Palatino Linotype" w:eastAsia="Palatino Linotype" w:cs="Times New Roman"/>
          <w:bCs/>
          <w:kern w:val="0"/>
          <w14:ligatures w14:val="none"/>
        </w:rPr>
        <w:t>costs</w:t>
      </w:r>
      <w:r w:rsidR="007343D9">
        <w:rPr>
          <w:rFonts w:ascii="Palatino Linotype" w:hAnsi="Palatino Linotype" w:eastAsia="Palatino Linotype" w:cs="Times New Roman"/>
          <w:bCs/>
          <w:kern w:val="0"/>
          <w14:ligatures w14:val="none"/>
        </w:rPr>
        <w:t>, translating to $809,200 in its 2024 Plan</w:t>
      </w:r>
      <w:r w:rsidR="00415181">
        <w:rPr>
          <w:rFonts w:ascii="Palatino Linotype" w:hAnsi="Palatino Linotype" w:eastAsia="Palatino Linotype" w:cs="Times New Roman"/>
          <w:bCs/>
          <w:kern w:val="0"/>
          <w14:ligatures w14:val="none"/>
        </w:rPr>
        <w:t>.</w:t>
      </w:r>
      <w:r w:rsidR="00706900">
        <w:rPr>
          <w:rStyle w:val="FootnoteReference"/>
          <w:rFonts w:ascii="Palatino Linotype" w:hAnsi="Palatino Linotype" w:eastAsia="Palatino Linotype" w:cs="Times New Roman"/>
          <w:bCs/>
          <w:kern w:val="0"/>
          <w14:ligatures w14:val="none"/>
        </w:rPr>
        <w:footnoteReference w:id="36"/>
      </w:r>
    </w:p>
    <w:p w:rsidR="00706900" w:rsidP="00361AB6" w:rsidRDefault="00706900" w14:paraId="40D99496" w14:textId="77777777">
      <w:pPr>
        <w:spacing w:after="0" w:line="276" w:lineRule="auto"/>
        <w:rPr>
          <w:rFonts w:ascii="Palatino Linotype" w:hAnsi="Palatino Linotype" w:eastAsia="Palatino Linotype" w:cs="Times New Roman"/>
          <w:bCs/>
          <w:kern w:val="0"/>
          <w14:ligatures w14:val="none"/>
        </w:rPr>
      </w:pPr>
    </w:p>
    <w:p w:rsidRPr="00836A28" w:rsidR="00706900" w:rsidP="00361AB6" w:rsidRDefault="00706900" w14:paraId="4635B3C1" w14:textId="664B75A7">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Program Evaluation</w:t>
      </w:r>
    </w:p>
    <w:p w:rsidR="00A61A02" w:rsidP="00EE3C28" w:rsidRDefault="00904DA9" w14:paraId="562F8071" w14:textId="5DEA22E5">
      <w:pPr>
        <w:spacing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351385">
        <w:rPr>
          <w:rFonts w:ascii="Palatino Linotype" w:hAnsi="Palatino Linotype" w:eastAsia="Palatino Linotype" w:cs="Times New Roman"/>
          <w:bCs/>
          <w:kern w:val="0"/>
          <w14:ligatures w14:val="none"/>
        </w:rPr>
        <w:t xml:space="preserve">proposes to </w:t>
      </w:r>
      <w:r>
        <w:rPr>
          <w:rFonts w:ascii="Palatino Linotype" w:hAnsi="Palatino Linotype" w:eastAsia="Palatino Linotype" w:cs="Times New Roman"/>
          <w:bCs/>
          <w:kern w:val="0"/>
          <w14:ligatures w14:val="none"/>
        </w:rPr>
        <w:t xml:space="preserve">allocate </w:t>
      </w:r>
      <w:r w:rsidRPr="00B420C1" w:rsidR="00B420C1">
        <w:rPr>
          <w:rFonts w:ascii="Palatino Linotype" w:hAnsi="Palatino Linotype" w:eastAsia="Palatino Linotype" w:cs="Times New Roman"/>
          <w:bCs/>
          <w:kern w:val="0"/>
          <w14:ligatures w14:val="none"/>
        </w:rPr>
        <w:t>$294,400</w:t>
      </w:r>
      <w:r w:rsidR="00B420C1">
        <w:rPr>
          <w:rFonts w:ascii="Palatino Linotype" w:hAnsi="Palatino Linotype" w:eastAsia="Palatino Linotype" w:cs="Times New Roman"/>
          <w:bCs/>
          <w:kern w:val="0"/>
          <w14:ligatures w14:val="none"/>
        </w:rPr>
        <w:t xml:space="preserve"> in its 2024 Plan</w:t>
      </w:r>
      <w:r>
        <w:rPr>
          <w:rFonts w:ascii="Palatino Linotype" w:hAnsi="Palatino Linotype" w:eastAsia="Palatino Linotype" w:cs="Times New Roman"/>
          <w:bCs/>
          <w:kern w:val="0"/>
          <w14:ligatures w14:val="none"/>
        </w:rPr>
        <w:t xml:space="preserve"> </w:t>
      </w:r>
      <w:r w:rsidR="00053C5E">
        <w:rPr>
          <w:rFonts w:ascii="Palatino Linotype" w:hAnsi="Palatino Linotype" w:eastAsia="Palatino Linotype" w:cs="Times New Roman"/>
          <w:bCs/>
          <w:kern w:val="0"/>
          <w14:ligatures w14:val="none"/>
        </w:rPr>
        <w:t>for</w:t>
      </w:r>
      <w:r w:rsidR="00045939">
        <w:rPr>
          <w:rFonts w:ascii="Palatino Linotype" w:hAnsi="Palatino Linotype" w:eastAsia="Palatino Linotype" w:cs="Times New Roman"/>
          <w:bCs/>
          <w:kern w:val="0"/>
          <w14:ligatures w14:val="none"/>
        </w:rPr>
        <w:t xml:space="preserve"> its proportional share </w:t>
      </w:r>
      <w:r w:rsidR="00531E6C">
        <w:rPr>
          <w:rFonts w:ascii="Palatino Linotype" w:hAnsi="Palatino Linotype" w:eastAsia="Palatino Linotype" w:cs="Times New Roman"/>
          <w:bCs/>
          <w:kern w:val="0"/>
          <w14:ligatures w14:val="none"/>
        </w:rPr>
        <w:t xml:space="preserve">of a </w:t>
      </w:r>
      <w:r>
        <w:rPr>
          <w:rFonts w:ascii="Palatino Linotype" w:hAnsi="Palatino Linotype" w:eastAsia="Palatino Linotype" w:cs="Times New Roman"/>
          <w:bCs/>
          <w:kern w:val="0"/>
          <w14:ligatures w14:val="none"/>
        </w:rPr>
        <w:t>comprehensive Gas RD&amp;D Program Evaluation</w:t>
      </w:r>
      <w:r w:rsidR="00A663E2">
        <w:rPr>
          <w:rFonts w:ascii="Palatino Linotype" w:hAnsi="Palatino Linotype" w:eastAsia="Palatino Linotype" w:cs="Times New Roman"/>
          <w:bCs/>
          <w:kern w:val="0"/>
          <w14:ligatures w14:val="none"/>
        </w:rPr>
        <w:t xml:space="preserve"> to be conducted by Energy Division</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37"/>
      </w:r>
    </w:p>
    <w:p w:rsidR="00311637" w:rsidP="00361AB6" w:rsidRDefault="00311637" w14:paraId="63EA9F8A" w14:textId="77777777">
      <w:pPr>
        <w:spacing w:after="0" w:line="276" w:lineRule="auto"/>
        <w:rPr>
          <w:rFonts w:ascii="Palatino Linotype" w:hAnsi="Palatino Linotype" w:eastAsia="Palatino Linotype" w:cs="Times New Roman"/>
          <w:bCs/>
          <w:kern w:val="0"/>
          <w14:ligatures w14:val="none"/>
        </w:rPr>
      </w:pPr>
    </w:p>
    <w:p w:rsidRPr="005409F7" w:rsidR="00A61A02" w:rsidP="00B065CE" w:rsidRDefault="00E11D3C" w14:paraId="5B8CF70D" w14:textId="1111DEAF">
      <w:pPr>
        <w:spacing w:after="240" w:line="276" w:lineRule="auto"/>
        <w:rPr>
          <w:rFonts w:ascii="Palatino Linotype" w:hAnsi="Palatino Linotype" w:eastAsia="Palatino Linotype" w:cs="Times New Roman"/>
          <w:b/>
          <w:kern w:val="0"/>
          <w14:ligatures w14:val="none"/>
        </w:rPr>
      </w:pPr>
      <w:r w:rsidRPr="6F4C4E21">
        <w:rPr>
          <w:rFonts w:ascii="Palatino Linotype" w:hAnsi="Palatino Linotype" w:eastAsia="Palatino Linotype" w:cs="Times New Roman"/>
          <w:b/>
        </w:rPr>
        <w:t>Summary of PG&amp;E</w:t>
      </w:r>
      <w:r w:rsidRPr="6F4C4E21" w:rsidR="00592E7A">
        <w:rPr>
          <w:rFonts w:ascii="Palatino Linotype" w:hAnsi="Palatino Linotype" w:eastAsia="Palatino Linotype" w:cs="Times New Roman"/>
          <w:b/>
        </w:rPr>
        <w:t xml:space="preserve"> Advice Letter</w:t>
      </w:r>
      <w:r w:rsidRPr="6F4C4E21" w:rsidR="009C3FCA">
        <w:rPr>
          <w:rFonts w:ascii="Palatino Linotype" w:hAnsi="Palatino Linotype" w:eastAsia="Palatino Linotype" w:cs="Times New Roman"/>
          <w:b/>
        </w:rPr>
        <w:t xml:space="preserve"> 5069-G:</w:t>
      </w:r>
      <w:r w:rsidRPr="6F4C4E21">
        <w:rPr>
          <w:rFonts w:ascii="Palatino Linotype" w:hAnsi="Palatino Linotype" w:eastAsia="Palatino Linotype" w:cs="Times New Roman"/>
          <w:b/>
        </w:rPr>
        <w:t xml:space="preserve"> 202</w:t>
      </w:r>
      <w:r w:rsidRPr="6F4C4E21" w:rsidR="009C3FCA">
        <w:rPr>
          <w:rFonts w:ascii="Palatino Linotype" w:hAnsi="Palatino Linotype" w:eastAsia="Palatino Linotype" w:cs="Times New Roman"/>
          <w:b/>
        </w:rPr>
        <w:t>5</w:t>
      </w:r>
      <w:r w:rsidRPr="6F4C4E21">
        <w:rPr>
          <w:rFonts w:ascii="Palatino Linotype" w:hAnsi="Palatino Linotype" w:eastAsia="Palatino Linotype" w:cs="Times New Roman"/>
          <w:b/>
        </w:rPr>
        <w:t xml:space="preserve"> Gas RD&amp;D Plan</w:t>
      </w:r>
    </w:p>
    <w:p w:rsidRPr="00836A28" w:rsidR="00E55B24" w:rsidP="00361AB6" w:rsidRDefault="007E73AF" w14:paraId="48E2032A" w14:textId="066FEEC0">
      <w:pPr>
        <w:spacing w:after="0" w:line="276" w:lineRule="auto"/>
        <w:rPr>
          <w:rFonts w:ascii="Palatino Linotype" w:hAnsi="Palatino Linotype" w:eastAsia="Palatino Linotype" w:cs="Times New Roman"/>
          <w:color w:val="000000" w:themeColor="text1"/>
          <w:kern w:val="0"/>
          <w14:ligatures w14:val="none"/>
        </w:rPr>
      </w:pPr>
      <w:r w:rsidRPr="00836A28">
        <w:rPr>
          <w:rFonts w:ascii="Palatino Linotype" w:hAnsi="Palatino Linotype" w:eastAsia="Palatino Linotype" w:cs="Times New Roman"/>
          <w:color w:val="000000" w:themeColor="text1"/>
        </w:rPr>
        <w:t xml:space="preserve">PG&amp;E submitted its proposed </w:t>
      </w:r>
      <w:r w:rsidRPr="00836A28" w:rsidR="00AA7080">
        <w:rPr>
          <w:rFonts w:ascii="Palatino Linotype" w:hAnsi="Palatino Linotype" w:eastAsia="Palatino Linotype" w:cs="Times New Roman"/>
          <w:color w:val="000000" w:themeColor="text1"/>
        </w:rPr>
        <w:t xml:space="preserve">2025 </w:t>
      </w:r>
      <w:r w:rsidRPr="00836A28">
        <w:rPr>
          <w:rFonts w:ascii="Palatino Linotype" w:hAnsi="Palatino Linotype" w:eastAsia="Palatino Linotype" w:cs="Times New Roman"/>
          <w:color w:val="000000" w:themeColor="text1"/>
        </w:rPr>
        <w:t>Plan via Tier 3 AL 5069-G on May 30, 2025</w:t>
      </w:r>
      <w:r w:rsidRPr="00836A28" w:rsidR="00054A39">
        <w:rPr>
          <w:rFonts w:ascii="Palatino Linotype" w:hAnsi="Palatino Linotype" w:eastAsia="Palatino Linotype" w:cs="Times New Roman"/>
          <w:color w:val="000000" w:themeColor="text1"/>
        </w:rPr>
        <w:t>.</w:t>
      </w:r>
    </w:p>
    <w:p w:rsidR="00E11D3C" w:rsidP="00E11D3C" w:rsidRDefault="00E11D3C" w14:paraId="3A6D7E2A" w14:textId="77777777">
      <w:pPr>
        <w:spacing w:after="0" w:line="276" w:lineRule="auto"/>
        <w:rPr>
          <w:rFonts w:ascii="Palatino Linotype" w:hAnsi="Palatino Linotype"/>
          <w:b/>
          <w:bCs/>
        </w:rPr>
      </w:pPr>
    </w:p>
    <w:p w:rsidR="00E55B24" w:rsidP="6F4C4E21" w:rsidRDefault="00E11D3C" w14:paraId="4A4CE5C0" w14:textId="6387C26B">
      <w:pPr>
        <w:spacing w:after="120" w:line="276" w:lineRule="auto"/>
        <w:rPr>
          <w:rFonts w:ascii="Palatino Linotype" w:hAnsi="Palatino Linotype" w:eastAsia="Palatino Linotype" w:cs="Times New Roman"/>
          <w:kern w:val="0"/>
          <w:u w:val="single"/>
          <w14:ligatures w14:val="none"/>
        </w:rPr>
      </w:pPr>
      <w:r w:rsidRPr="6F4C4E21">
        <w:rPr>
          <w:rFonts w:ascii="Palatino Linotype" w:hAnsi="Palatino Linotype"/>
          <w:u w:val="single"/>
        </w:rPr>
        <w:t>PG&amp;E Request for 2025 Gas RD&amp;D Plan</w:t>
      </w:r>
    </w:p>
    <w:p w:rsidR="00311637" w:rsidP="00361AB6" w:rsidRDefault="00054A39" w14:paraId="23E5C6B3" w14:textId="769DA78D">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w:t>
      </w:r>
      <w:r w:rsidR="00B54B03">
        <w:rPr>
          <w:rFonts w:ascii="Palatino Linotype" w:hAnsi="Palatino Linotype" w:eastAsia="Palatino Linotype" w:cs="Times New Roman"/>
          <w:bCs/>
          <w:kern w:val="0"/>
          <w14:ligatures w14:val="none"/>
        </w:rPr>
        <w:t xml:space="preserve"> seek</w:t>
      </w:r>
      <w:r>
        <w:rPr>
          <w:rFonts w:ascii="Palatino Linotype" w:hAnsi="Palatino Linotype" w:eastAsia="Palatino Linotype" w:cs="Times New Roman"/>
          <w:bCs/>
          <w:kern w:val="0"/>
          <w14:ligatures w14:val="none"/>
        </w:rPr>
        <w:t>s</w:t>
      </w:r>
      <w:r w:rsidR="00B54B03">
        <w:rPr>
          <w:rFonts w:ascii="Palatino Linotype" w:hAnsi="Palatino Linotype" w:eastAsia="Palatino Linotype" w:cs="Times New Roman"/>
          <w:bCs/>
          <w:kern w:val="0"/>
          <w14:ligatures w14:val="none"/>
        </w:rPr>
        <w:t xml:space="preserve"> </w:t>
      </w:r>
      <w:r w:rsidR="0044796D">
        <w:rPr>
          <w:rFonts w:ascii="Palatino Linotype" w:hAnsi="Palatino Linotype" w:eastAsia="Palatino Linotype" w:cs="Times New Roman"/>
          <w:bCs/>
          <w:kern w:val="0"/>
          <w14:ligatures w14:val="none"/>
        </w:rPr>
        <w:t xml:space="preserve">approval of </w:t>
      </w:r>
      <w:r w:rsidR="007E73AF">
        <w:rPr>
          <w:rFonts w:ascii="Palatino Linotype" w:hAnsi="Palatino Linotype" w:eastAsia="Palatino Linotype" w:cs="Times New Roman"/>
          <w:bCs/>
          <w:kern w:val="0"/>
          <w14:ligatures w14:val="none"/>
        </w:rPr>
        <w:t xml:space="preserve">its proposed Gas RD&amp;D Investment Plan </w:t>
      </w:r>
      <w:r w:rsidR="0016144D">
        <w:rPr>
          <w:rFonts w:ascii="Palatino Linotype" w:hAnsi="Palatino Linotype" w:eastAsia="Palatino Linotype" w:cs="Times New Roman"/>
          <w:bCs/>
          <w:kern w:val="0"/>
          <w14:ligatures w14:val="none"/>
        </w:rPr>
        <w:t xml:space="preserve">for Calendar Year 2025 in AL 5069-G, </w:t>
      </w:r>
      <w:r w:rsidR="008F53B2">
        <w:rPr>
          <w:rFonts w:ascii="Palatino Linotype" w:hAnsi="Palatino Linotype" w:eastAsia="Palatino Linotype" w:cs="Times New Roman"/>
          <w:bCs/>
          <w:kern w:val="0"/>
          <w14:ligatures w14:val="none"/>
        </w:rPr>
        <w:t xml:space="preserve">authorized </w:t>
      </w:r>
      <w:r w:rsidR="00D909A9">
        <w:rPr>
          <w:rFonts w:ascii="Palatino Linotype" w:hAnsi="Palatino Linotype" w:eastAsia="Palatino Linotype" w:cs="Times New Roman"/>
          <w:bCs/>
          <w:kern w:val="0"/>
          <w14:ligatures w14:val="none"/>
        </w:rPr>
        <w:t xml:space="preserve">by D.23-11-069 </w:t>
      </w:r>
      <w:r w:rsidR="008F53B2">
        <w:rPr>
          <w:rFonts w:ascii="Palatino Linotype" w:hAnsi="Palatino Linotype" w:eastAsia="Palatino Linotype" w:cs="Times New Roman"/>
          <w:bCs/>
          <w:kern w:val="0"/>
          <w14:ligatures w14:val="none"/>
        </w:rPr>
        <w:t xml:space="preserve">at $8,267,000 </w:t>
      </w:r>
      <w:r w:rsidR="002B080C">
        <w:rPr>
          <w:rFonts w:ascii="Palatino Linotype" w:hAnsi="Palatino Linotype" w:eastAsia="Palatino Linotype" w:cs="Times New Roman"/>
          <w:bCs/>
          <w:kern w:val="0"/>
          <w14:ligatures w14:val="none"/>
        </w:rPr>
        <w:t>with</w:t>
      </w:r>
      <w:r w:rsidR="0044796D">
        <w:rPr>
          <w:rFonts w:ascii="Palatino Linotype" w:hAnsi="Palatino Linotype" w:eastAsia="Palatino Linotype" w:cs="Times New Roman"/>
          <w:bCs/>
          <w:kern w:val="0"/>
          <w14:ligatures w14:val="none"/>
        </w:rPr>
        <w:t xml:space="preserve"> the following proposed budget allocations to various Initiatives:</w:t>
      </w:r>
      <w:r w:rsidR="003F24E0">
        <w:rPr>
          <w:rStyle w:val="FootnoteReference"/>
          <w:rFonts w:ascii="Palatino Linotype" w:hAnsi="Palatino Linotype"/>
          <w:b/>
          <w:bCs/>
        </w:rPr>
        <w:footnoteReference w:id="38"/>
      </w:r>
      <w:r w:rsidR="0044796D">
        <w:rPr>
          <w:rFonts w:ascii="Palatino Linotype" w:hAnsi="Palatino Linotype" w:eastAsia="Palatino Linotype" w:cs="Times New Roman"/>
          <w:bCs/>
          <w:kern w:val="0"/>
          <w14:ligatures w14:val="none"/>
        </w:rPr>
        <w:t xml:space="preserve"> </w:t>
      </w:r>
    </w:p>
    <w:p w:rsidR="00A61A02" w:rsidP="00361AB6" w:rsidRDefault="00A61A02" w14:paraId="4749F06B" w14:textId="77777777">
      <w:pPr>
        <w:spacing w:after="0" w:line="276" w:lineRule="auto"/>
        <w:rPr>
          <w:rFonts w:ascii="Palatino Linotype" w:hAnsi="Palatino Linotype" w:eastAsia="Palatino Linotype" w:cs="Times New Roman"/>
          <w:bCs/>
          <w:kern w:val="0"/>
          <w14:ligatures w14:val="none"/>
        </w:rPr>
      </w:pPr>
    </w:p>
    <w:tbl>
      <w:tblPr>
        <w:tblStyle w:val="TableGrid"/>
        <w:tblW w:w="9355" w:type="dxa"/>
        <w:tblLook w:val="04A0" w:firstRow="1" w:lastRow="0" w:firstColumn="1" w:lastColumn="0" w:noHBand="0" w:noVBand="1"/>
      </w:tblPr>
      <w:tblGrid>
        <w:gridCol w:w="2785"/>
        <w:gridCol w:w="4230"/>
        <w:gridCol w:w="2340"/>
      </w:tblGrid>
      <w:tr w:rsidRPr="009B5F9B" w:rsidR="00A61A02" w:rsidTr="000A209B" w14:paraId="60395292" w14:textId="77777777">
        <w:trPr>
          <w:trHeight w:val="314"/>
        </w:trPr>
        <w:tc>
          <w:tcPr>
            <w:tcW w:w="9355" w:type="dxa"/>
            <w:gridSpan w:val="3"/>
            <w:tcBorders>
              <w:top w:val="single" w:color="auto" w:sz="4" w:space="0"/>
              <w:left w:val="single" w:color="auto" w:sz="4" w:space="0"/>
              <w:bottom w:val="single" w:color="auto" w:sz="4" w:space="0"/>
              <w:right w:val="single" w:color="auto" w:sz="4" w:space="0"/>
            </w:tcBorders>
          </w:tcPr>
          <w:p w:rsidRPr="009B5F9B" w:rsidR="00A61A02" w:rsidP="002E39DD" w:rsidRDefault="003B58E1" w14:paraId="19BF7006" w14:textId="44E43881">
            <w:pPr>
              <w:keepNext/>
              <w:keepLines/>
              <w:spacing w:line="276" w:lineRule="auto"/>
              <w:jc w:val="center"/>
              <w:rPr>
                <w:rFonts w:ascii="Palatino Linotype" w:hAnsi="Palatino Linotype"/>
                <w:b/>
                <w:bCs w:val="0"/>
              </w:rPr>
            </w:pPr>
            <w:r>
              <w:rPr>
                <w:rFonts w:ascii="Palatino Linotype" w:hAnsi="Palatino Linotype"/>
                <w:b/>
                <w:bCs w:val="0"/>
              </w:rPr>
              <w:lastRenderedPageBreak/>
              <w:t xml:space="preserve">Table 3: </w:t>
            </w:r>
            <w:r w:rsidR="00A61A02">
              <w:rPr>
                <w:rFonts w:ascii="Palatino Linotype" w:hAnsi="Palatino Linotype"/>
                <w:b/>
                <w:bCs w:val="0"/>
              </w:rPr>
              <w:t>2025 Gas RD&amp;D Plan Proposed Budget</w:t>
            </w:r>
          </w:p>
        </w:tc>
      </w:tr>
      <w:tr w:rsidRPr="009B5F9B" w:rsidR="00A61A02" w:rsidTr="000A209B" w14:paraId="198025C4" w14:textId="77777777">
        <w:tc>
          <w:tcPr>
            <w:tcW w:w="2785"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12219451"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Investment Theme</w:t>
            </w: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2D43A2C5"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Initiative Title</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16C83403" w14:textId="77777777">
            <w:pPr>
              <w:keepNext/>
              <w:keepLines/>
              <w:spacing w:line="276" w:lineRule="auto"/>
              <w:rPr>
                <w:rFonts w:ascii="Palatino Linotype" w:hAnsi="Palatino Linotype"/>
                <w:b/>
                <w:bCs w:val="0"/>
                <w:sz w:val="22"/>
                <w:szCs w:val="22"/>
              </w:rPr>
            </w:pPr>
            <w:r w:rsidRPr="008C587F">
              <w:rPr>
                <w:rFonts w:ascii="Palatino Linotype" w:hAnsi="Palatino Linotype"/>
                <w:b/>
                <w:bCs w:val="0"/>
                <w:sz w:val="22"/>
                <w:szCs w:val="22"/>
              </w:rPr>
              <w:t>2025 Plan Budget</w:t>
            </w:r>
          </w:p>
        </w:tc>
      </w:tr>
      <w:tr w:rsidR="00A61A02" w:rsidTr="000A209B" w14:paraId="0ECEA91A" w14:textId="77777777">
        <w:tc>
          <w:tcPr>
            <w:tcW w:w="2785" w:type="dxa"/>
            <w:vMerge w:val="restart"/>
            <w:tcBorders>
              <w:top w:val="single" w:color="auto" w:sz="4" w:space="0"/>
              <w:left w:val="single" w:color="auto" w:sz="4" w:space="0"/>
              <w:bottom w:val="single" w:color="auto" w:sz="4" w:space="0"/>
              <w:right w:val="single" w:color="auto" w:sz="4" w:space="0"/>
            </w:tcBorders>
          </w:tcPr>
          <w:p w:rsidRPr="008C587F" w:rsidR="00A61A02" w:rsidP="002E39DD" w:rsidRDefault="00A61A02" w14:paraId="64359F67"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Gas System Integrity</w:t>
            </w: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78310C07"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Proactive Geohazard Risk Management</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0CA7720A"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$639,127</w:t>
            </w:r>
          </w:p>
        </w:tc>
      </w:tr>
      <w:tr w:rsidR="00A61A02" w:rsidTr="000A209B" w14:paraId="4E3F7199" w14:textId="77777777">
        <w:tc>
          <w:tcPr>
            <w:tcW w:w="2785" w:type="dxa"/>
            <w:vMerge/>
            <w:tcBorders>
              <w:top w:val="single" w:color="auto" w:sz="4" w:space="0"/>
              <w:left w:val="single" w:color="auto" w:sz="4" w:space="0"/>
              <w:bottom w:val="single" w:color="auto" w:sz="4" w:space="0"/>
              <w:right w:val="single" w:color="auto" w:sz="4" w:space="0"/>
            </w:tcBorders>
          </w:tcPr>
          <w:p w:rsidRPr="008C587F" w:rsidR="00A61A02" w:rsidP="002E39DD" w:rsidRDefault="00A61A02" w14:paraId="2939F827" w14:textId="77777777">
            <w:pPr>
              <w:keepNext/>
              <w:keepLines/>
              <w:spacing w:line="276" w:lineRule="auto"/>
              <w:rPr>
                <w:rFonts w:ascii="Palatino Linotype" w:hAnsi="Palatino Linotype"/>
                <w:sz w:val="22"/>
                <w:szCs w:val="22"/>
              </w:rPr>
            </w:pP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2FF1C25E"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Innovative and Cost-Effective Integrity Management</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68BA4D96"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$1,493,196</w:t>
            </w:r>
          </w:p>
        </w:tc>
      </w:tr>
      <w:tr w:rsidR="00A61A02" w:rsidTr="000A209B" w14:paraId="4F59B28E" w14:textId="77777777">
        <w:tc>
          <w:tcPr>
            <w:tcW w:w="2785" w:type="dxa"/>
            <w:vMerge/>
            <w:tcBorders>
              <w:top w:val="single" w:color="auto" w:sz="4" w:space="0"/>
              <w:left w:val="single" w:color="auto" w:sz="4" w:space="0"/>
              <w:bottom w:val="single" w:color="auto" w:sz="4" w:space="0"/>
              <w:right w:val="single" w:color="auto" w:sz="4" w:space="0"/>
            </w:tcBorders>
          </w:tcPr>
          <w:p w:rsidRPr="008C587F" w:rsidR="00A61A02" w:rsidP="002E39DD" w:rsidRDefault="00A61A02" w14:paraId="72F5C8F4" w14:textId="77777777">
            <w:pPr>
              <w:keepNext/>
              <w:keepLines/>
              <w:spacing w:line="276" w:lineRule="auto"/>
              <w:rPr>
                <w:rFonts w:ascii="Palatino Linotype" w:hAnsi="Palatino Linotype"/>
                <w:sz w:val="22"/>
                <w:szCs w:val="22"/>
              </w:rPr>
            </w:pP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5A2B38B1"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Advanced Leak Detection and Repair</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472AC879"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$1,923,080</w:t>
            </w:r>
          </w:p>
        </w:tc>
      </w:tr>
      <w:tr w:rsidR="00A61A02" w:rsidTr="000A209B" w14:paraId="12AFD7F1" w14:textId="77777777">
        <w:tc>
          <w:tcPr>
            <w:tcW w:w="2785" w:type="dxa"/>
            <w:vMerge/>
            <w:tcBorders>
              <w:top w:val="single" w:color="auto" w:sz="4" w:space="0"/>
              <w:left w:val="single" w:color="auto" w:sz="4" w:space="0"/>
              <w:bottom w:val="single" w:color="auto" w:sz="4" w:space="0"/>
              <w:right w:val="single" w:color="auto" w:sz="4" w:space="0"/>
            </w:tcBorders>
          </w:tcPr>
          <w:p w:rsidRPr="008C587F" w:rsidR="00A61A02" w:rsidP="002E39DD" w:rsidRDefault="00A61A02" w14:paraId="3F23E14E" w14:textId="77777777">
            <w:pPr>
              <w:keepNext/>
              <w:keepLines/>
              <w:spacing w:line="276" w:lineRule="auto"/>
              <w:rPr>
                <w:rFonts w:ascii="Palatino Linotype" w:hAnsi="Palatino Linotype"/>
                <w:sz w:val="22"/>
                <w:szCs w:val="22"/>
              </w:rPr>
            </w:pP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5E874081"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Emission Reduction Activities and Refined Reporting</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05C28689"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$1,035,943</w:t>
            </w:r>
          </w:p>
        </w:tc>
      </w:tr>
      <w:tr w:rsidR="00A61A02" w:rsidTr="000A209B" w14:paraId="5D0D7DA2" w14:textId="77777777">
        <w:tc>
          <w:tcPr>
            <w:tcW w:w="2785" w:type="dxa"/>
            <w:vMerge w:val="restart"/>
            <w:tcBorders>
              <w:top w:val="single" w:color="auto" w:sz="4" w:space="0"/>
              <w:left w:val="single" w:color="auto" w:sz="4" w:space="0"/>
              <w:bottom w:val="single" w:color="auto" w:sz="4" w:space="0"/>
              <w:right w:val="single" w:color="auto" w:sz="4" w:space="0"/>
            </w:tcBorders>
          </w:tcPr>
          <w:p w:rsidRPr="008C587F" w:rsidR="00A61A02" w:rsidP="002E39DD" w:rsidRDefault="00A61A02" w14:paraId="7EFBE56E"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Decarbonization</w:t>
            </w: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209DA599"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Clean Fuels Integration</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5AE6A324"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$1,703,363</w:t>
            </w:r>
          </w:p>
        </w:tc>
      </w:tr>
      <w:tr w:rsidR="00A61A02" w:rsidTr="000A209B" w14:paraId="6859C78F" w14:textId="77777777">
        <w:tc>
          <w:tcPr>
            <w:tcW w:w="2785" w:type="dxa"/>
            <w:vMerge/>
            <w:tcBorders>
              <w:top w:val="single" w:color="auto" w:sz="4" w:space="0"/>
              <w:left w:val="single" w:color="auto" w:sz="4" w:space="0"/>
              <w:bottom w:val="single" w:color="auto" w:sz="4" w:space="0"/>
              <w:right w:val="single" w:color="auto" w:sz="4" w:space="0"/>
            </w:tcBorders>
          </w:tcPr>
          <w:p w:rsidRPr="008C587F" w:rsidR="00A61A02" w:rsidP="002E39DD" w:rsidRDefault="00A61A02" w14:paraId="69999CB8" w14:textId="77777777">
            <w:pPr>
              <w:keepNext/>
              <w:keepLines/>
              <w:spacing w:line="276" w:lineRule="auto"/>
              <w:rPr>
                <w:rFonts w:ascii="Palatino Linotype" w:hAnsi="Palatino Linotype"/>
                <w:sz w:val="22"/>
                <w:szCs w:val="22"/>
              </w:rPr>
            </w:pPr>
          </w:p>
        </w:tc>
        <w:tc>
          <w:tcPr>
            <w:tcW w:w="423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451E3C20"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Sustainable Energy Solutions</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33F56613"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$588,602</w:t>
            </w:r>
          </w:p>
        </w:tc>
      </w:tr>
      <w:tr w:rsidR="00A61A02" w:rsidTr="000A209B" w14:paraId="6F3CF1C3" w14:textId="77777777">
        <w:tc>
          <w:tcPr>
            <w:tcW w:w="7015" w:type="dxa"/>
            <w:gridSpan w:val="2"/>
            <w:tcBorders>
              <w:top w:val="single" w:color="auto" w:sz="4" w:space="0"/>
              <w:left w:val="single" w:color="auto" w:sz="4" w:space="0"/>
              <w:bottom w:val="single" w:color="auto" w:sz="4" w:space="0"/>
              <w:right w:val="single" w:color="auto" w:sz="4" w:space="0"/>
            </w:tcBorders>
          </w:tcPr>
          <w:p w:rsidRPr="008C587F" w:rsidR="00A61A02" w:rsidP="002E39DD" w:rsidRDefault="00A61A02" w14:paraId="57499EED"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Gas RD&amp;D Database Development</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3E62CC1B"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$56,987</w:t>
            </w:r>
          </w:p>
        </w:tc>
      </w:tr>
      <w:tr w:rsidR="00A61A02" w:rsidTr="000A209B" w14:paraId="144D489A" w14:textId="77777777">
        <w:tc>
          <w:tcPr>
            <w:tcW w:w="7015" w:type="dxa"/>
            <w:gridSpan w:val="2"/>
            <w:tcBorders>
              <w:top w:val="single" w:color="auto" w:sz="4" w:space="0"/>
              <w:left w:val="single" w:color="auto" w:sz="4" w:space="0"/>
              <w:bottom w:val="single" w:color="auto" w:sz="4" w:space="0"/>
              <w:right w:val="single" w:color="auto" w:sz="4" w:space="0"/>
            </w:tcBorders>
          </w:tcPr>
          <w:p w:rsidRPr="008C587F" w:rsidR="00A61A02" w:rsidP="002E39DD" w:rsidRDefault="00A61A02" w14:paraId="1013AA66"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Administrative</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A61A02" w14:paraId="5D7CB58A" w14:textId="77777777">
            <w:pPr>
              <w:keepNext/>
              <w:keepLines/>
              <w:spacing w:line="276" w:lineRule="auto"/>
              <w:rPr>
                <w:rFonts w:ascii="Palatino Linotype" w:hAnsi="Palatino Linotype"/>
                <w:sz w:val="22"/>
                <w:szCs w:val="22"/>
              </w:rPr>
            </w:pPr>
            <w:r w:rsidRPr="008C587F">
              <w:rPr>
                <w:rFonts w:ascii="Palatino Linotype" w:hAnsi="Palatino Linotype"/>
                <w:sz w:val="22"/>
                <w:szCs w:val="22"/>
              </w:rPr>
              <w:t>$826,700</w:t>
            </w:r>
          </w:p>
        </w:tc>
      </w:tr>
      <w:tr w:rsidRPr="009B5F9B" w:rsidR="00A61A02" w:rsidTr="000A209B" w14:paraId="5D6F9F73" w14:textId="77777777">
        <w:tc>
          <w:tcPr>
            <w:tcW w:w="7015" w:type="dxa"/>
            <w:gridSpan w:val="2"/>
            <w:tcBorders>
              <w:top w:val="single" w:color="auto" w:sz="4" w:space="0"/>
              <w:left w:val="single" w:color="auto" w:sz="4" w:space="0"/>
              <w:bottom w:val="single" w:color="auto" w:sz="4" w:space="0"/>
              <w:right w:val="single" w:color="auto" w:sz="4" w:space="0"/>
            </w:tcBorders>
            <w:vAlign w:val="center"/>
          </w:tcPr>
          <w:p w:rsidRPr="008C587F" w:rsidR="00A61A02" w:rsidP="002E39DD" w:rsidRDefault="00A61A02" w14:paraId="73E6EAC6" w14:textId="77777777">
            <w:pPr>
              <w:keepNext/>
              <w:keepLines/>
              <w:spacing w:line="276" w:lineRule="auto"/>
              <w:jc w:val="right"/>
              <w:rPr>
                <w:rFonts w:ascii="Palatino Linotype" w:hAnsi="Palatino Linotype"/>
                <w:b/>
                <w:bCs w:val="0"/>
                <w:sz w:val="22"/>
                <w:szCs w:val="22"/>
              </w:rPr>
            </w:pPr>
            <w:r w:rsidRPr="008C587F">
              <w:rPr>
                <w:rFonts w:ascii="Palatino Linotype" w:hAnsi="Palatino Linotype"/>
                <w:b/>
                <w:bCs w:val="0"/>
                <w:sz w:val="22"/>
                <w:szCs w:val="22"/>
              </w:rPr>
              <w:t>ANNUAL TOTAL:</w:t>
            </w:r>
          </w:p>
        </w:tc>
        <w:tc>
          <w:tcPr>
            <w:tcW w:w="2340" w:type="dxa"/>
            <w:tcBorders>
              <w:top w:val="single" w:color="auto" w:sz="4" w:space="0"/>
              <w:left w:val="single" w:color="auto" w:sz="4" w:space="0"/>
              <w:bottom w:val="single" w:color="auto" w:sz="4" w:space="0"/>
              <w:right w:val="single" w:color="auto" w:sz="4" w:space="0"/>
            </w:tcBorders>
          </w:tcPr>
          <w:p w:rsidRPr="008C587F" w:rsidR="00A61A02" w:rsidP="002E39DD" w:rsidRDefault="001C3FC7" w14:paraId="7CC99BEC" w14:textId="46117307">
            <w:pPr>
              <w:keepNext/>
              <w:keepLines/>
              <w:spacing w:line="276" w:lineRule="auto"/>
              <w:rPr>
                <w:rFonts w:ascii="Palatino Linotype" w:hAnsi="Palatino Linotype"/>
                <w:b/>
                <w:bCs w:val="0"/>
                <w:sz w:val="22"/>
                <w:szCs w:val="22"/>
              </w:rPr>
            </w:pPr>
            <w:r>
              <w:rPr>
                <w:rFonts w:ascii="Palatino Linotype" w:hAnsi="Palatino Linotype"/>
                <w:b/>
                <w:bCs w:val="0"/>
                <w:sz w:val="22"/>
                <w:szCs w:val="22"/>
              </w:rPr>
              <w:t>*</w:t>
            </w:r>
            <w:r w:rsidRPr="008C587F" w:rsidR="00A61A02">
              <w:rPr>
                <w:rFonts w:ascii="Palatino Linotype" w:hAnsi="Palatino Linotype"/>
                <w:b/>
                <w:bCs w:val="0"/>
                <w:sz w:val="22"/>
                <w:szCs w:val="22"/>
              </w:rPr>
              <w:t>$8,26</w:t>
            </w:r>
            <w:r w:rsidR="00F12117">
              <w:rPr>
                <w:rFonts w:ascii="Palatino Linotype" w:hAnsi="Palatino Linotype"/>
                <w:b/>
                <w:bCs w:val="0"/>
                <w:sz w:val="22"/>
                <w:szCs w:val="22"/>
              </w:rPr>
              <w:t>6</w:t>
            </w:r>
            <w:r w:rsidRPr="008C587F" w:rsidR="00A61A02">
              <w:rPr>
                <w:rFonts w:ascii="Palatino Linotype" w:hAnsi="Palatino Linotype"/>
                <w:b/>
                <w:bCs w:val="0"/>
                <w:sz w:val="22"/>
                <w:szCs w:val="22"/>
              </w:rPr>
              <w:t>,</w:t>
            </w:r>
            <w:r w:rsidR="002D2821">
              <w:rPr>
                <w:rFonts w:ascii="Palatino Linotype" w:hAnsi="Palatino Linotype"/>
                <w:b/>
                <w:bCs w:val="0"/>
                <w:sz w:val="22"/>
                <w:szCs w:val="22"/>
              </w:rPr>
              <w:t>998</w:t>
            </w:r>
          </w:p>
        </w:tc>
      </w:tr>
    </w:tbl>
    <w:p w:rsidRPr="000525DA" w:rsidR="00A56E43" w:rsidP="000525DA" w:rsidRDefault="000525DA" w14:paraId="3C5AB8AA" w14:textId="43F545F8">
      <w:pPr>
        <w:spacing w:after="0" w:line="240" w:lineRule="auto"/>
        <w:rPr>
          <w:rFonts w:ascii="Palatino Linotype" w:hAnsi="Palatino Linotype" w:eastAsia="Palatino Linotype" w:cs="Times New Roman"/>
          <w:bCs/>
          <w:i/>
          <w:iCs/>
          <w:kern w:val="0"/>
          <w:sz w:val="20"/>
          <w:szCs w:val="20"/>
          <w14:ligatures w14:val="none"/>
        </w:rPr>
      </w:pPr>
      <w:r w:rsidRPr="00D54048">
        <w:rPr>
          <w:rFonts w:ascii="Palatino Linotype" w:hAnsi="Palatino Linotype" w:eastAsia="Palatino Linotype" w:cs="Times New Roman"/>
          <w:bCs/>
          <w:i/>
          <w:iCs/>
          <w:color w:val="000000" w:themeColor="text1"/>
          <w:kern w:val="0"/>
          <w:sz w:val="20"/>
          <w:szCs w:val="20"/>
          <w14:ligatures w14:val="none"/>
        </w:rPr>
        <w:t>*Actual sum of PG&amp;E’s proposed budget allocations is</w:t>
      </w:r>
      <w:r>
        <w:rPr>
          <w:rFonts w:ascii="Palatino Linotype" w:hAnsi="Palatino Linotype" w:eastAsia="Palatino Linotype" w:cs="Times New Roman"/>
          <w:bCs/>
          <w:i/>
          <w:iCs/>
          <w:color w:val="000000" w:themeColor="text1"/>
          <w:kern w:val="0"/>
          <w:sz w:val="20"/>
          <w:szCs w:val="20"/>
          <w14:ligatures w14:val="none"/>
        </w:rPr>
        <w:t xml:space="preserve"> </w:t>
      </w:r>
      <w:r w:rsidRPr="000525DA">
        <w:rPr>
          <w:rFonts w:ascii="Palatino Linotype" w:hAnsi="Palatino Linotype" w:eastAsia="Palatino Linotype" w:cs="Times New Roman"/>
          <w:bCs/>
          <w:i/>
          <w:iCs/>
          <w:color w:val="000000" w:themeColor="text1"/>
          <w:kern w:val="0"/>
          <w:sz w:val="20"/>
          <w:szCs w:val="20"/>
          <w14:ligatures w14:val="none"/>
        </w:rPr>
        <w:t>$8,266,998</w:t>
      </w:r>
      <w:r w:rsidRPr="00D54048">
        <w:rPr>
          <w:rFonts w:ascii="Palatino Linotype" w:hAnsi="Palatino Linotype" w:eastAsia="Palatino Linotype" w:cs="Times New Roman"/>
          <w:bCs/>
          <w:i/>
          <w:iCs/>
          <w:color w:val="000000" w:themeColor="text1"/>
          <w:kern w:val="0"/>
          <w:sz w:val="20"/>
          <w:szCs w:val="20"/>
          <w14:ligatures w14:val="none"/>
        </w:rPr>
        <w:t>; approved budget amount is $8,</w:t>
      </w:r>
      <w:r>
        <w:rPr>
          <w:rFonts w:ascii="Palatino Linotype" w:hAnsi="Palatino Linotype" w:eastAsia="Palatino Linotype" w:cs="Times New Roman"/>
          <w:bCs/>
          <w:i/>
          <w:iCs/>
          <w:color w:val="000000" w:themeColor="text1"/>
          <w:kern w:val="0"/>
          <w:sz w:val="20"/>
          <w:szCs w:val="20"/>
          <w14:ligatures w14:val="none"/>
        </w:rPr>
        <w:t>267</w:t>
      </w:r>
      <w:r w:rsidRPr="00D54048">
        <w:rPr>
          <w:rFonts w:ascii="Palatino Linotype" w:hAnsi="Palatino Linotype" w:eastAsia="Palatino Linotype" w:cs="Times New Roman"/>
          <w:bCs/>
          <w:i/>
          <w:iCs/>
          <w:color w:val="000000" w:themeColor="text1"/>
          <w:kern w:val="0"/>
          <w:sz w:val="20"/>
          <w:szCs w:val="20"/>
          <w14:ligatures w14:val="none"/>
        </w:rPr>
        <w:t>,000.</w:t>
      </w:r>
    </w:p>
    <w:p w:rsidR="007630D4" w:rsidP="00361AB6" w:rsidRDefault="007630D4" w14:paraId="14676B41" w14:textId="77777777">
      <w:pPr>
        <w:spacing w:after="0" w:line="276" w:lineRule="auto"/>
        <w:rPr>
          <w:rFonts w:ascii="Palatino Linotype" w:hAnsi="Palatino Linotype" w:eastAsia="Palatino Linotype" w:cs="Times New Roman"/>
          <w:bCs/>
          <w:kern w:val="0"/>
          <w14:ligatures w14:val="none"/>
        </w:rPr>
      </w:pPr>
    </w:p>
    <w:p w:rsidRPr="00836A28" w:rsidR="00912614" w:rsidP="00361AB6" w:rsidRDefault="00912614" w14:paraId="5E756AD2" w14:textId="77777777">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 xml:space="preserve">Gas System Integrity Theme Proposed Initiatives </w:t>
      </w:r>
    </w:p>
    <w:p w:rsidR="00912614" w:rsidP="00361AB6" w:rsidRDefault="00912614" w14:paraId="598FECEE" w14:textId="77777777">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states that it seeks to develop Initiatives within the Gas System Integrity Theme to advance technologies to improve gas system integrity and reduce methane emissions.</w:t>
      </w:r>
      <w:r>
        <w:rPr>
          <w:rStyle w:val="FootnoteReference"/>
          <w:rFonts w:ascii="Palatino Linotype" w:hAnsi="Palatino Linotype" w:eastAsia="Palatino Linotype" w:cs="Times New Roman"/>
          <w:bCs/>
          <w:kern w:val="0"/>
          <w14:ligatures w14:val="none"/>
        </w:rPr>
        <w:footnoteReference w:id="39"/>
      </w:r>
      <w:r>
        <w:rPr>
          <w:rFonts w:ascii="Palatino Linotype" w:hAnsi="Palatino Linotype" w:eastAsia="Palatino Linotype" w:cs="Times New Roman"/>
          <w:bCs/>
          <w:kern w:val="0"/>
          <w14:ligatures w14:val="none"/>
        </w:rPr>
        <w:t xml:space="preserve"> </w:t>
      </w:r>
    </w:p>
    <w:p w:rsidR="00912614" w:rsidP="00361AB6" w:rsidRDefault="00912614" w14:paraId="01813CDB" w14:textId="77777777">
      <w:pPr>
        <w:spacing w:after="0" w:line="276" w:lineRule="auto"/>
        <w:rPr>
          <w:rFonts w:ascii="Palatino Linotype" w:hAnsi="Palatino Linotype" w:eastAsia="Palatino Linotype" w:cs="Times New Roman"/>
          <w:bCs/>
          <w:kern w:val="0"/>
          <w14:ligatures w14:val="none"/>
        </w:rPr>
      </w:pPr>
    </w:p>
    <w:p w:rsidRPr="00836A28" w:rsidR="00912614" w:rsidP="00836A28" w:rsidRDefault="00912614" w14:paraId="56086198" w14:textId="77777777">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Proac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 xml:space="preserve">ve Geohazard Risk Management </w:t>
      </w:r>
    </w:p>
    <w:p w:rsidR="00912614" w:rsidP="007E7238" w:rsidRDefault="00912614" w14:paraId="1A94DB5D" w14:textId="2FFED074">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it seeks to develop projects within the </w:t>
      </w:r>
      <w:r w:rsidRPr="00137773">
        <w:rPr>
          <w:rFonts w:ascii="Palatino Linotype" w:hAnsi="Palatino Linotype" w:eastAsia="Palatino Linotype" w:cs="Times New Roman"/>
          <w:bCs/>
          <w:kern w:val="0"/>
          <w14:ligatures w14:val="none"/>
        </w:rPr>
        <w:t>Proac</w:t>
      </w:r>
      <w:r w:rsidRPr="00137773">
        <w:rPr>
          <w:rFonts w:ascii="Palatino Linotype" w:hAnsi="Palatino Linotype" w:eastAsia="Palatino Linotype" w:cs="Palatino Linotype"/>
          <w:bCs/>
          <w:kern w:val="0"/>
          <w14:ligatures w14:val="none"/>
        </w:rPr>
        <w:t>ti</w:t>
      </w:r>
      <w:r w:rsidRPr="00137773">
        <w:rPr>
          <w:rFonts w:ascii="Palatino Linotype" w:hAnsi="Palatino Linotype" w:eastAsia="Palatino Linotype" w:cs="Times New Roman"/>
          <w:bCs/>
          <w:kern w:val="0"/>
          <w14:ligatures w14:val="none"/>
        </w:rPr>
        <w:t>ve Geohazard Risk Management Initiative</w:t>
      </w:r>
      <w:r>
        <w:rPr>
          <w:rFonts w:ascii="Palatino Linotype" w:hAnsi="Palatino Linotype" w:eastAsia="Palatino Linotype" w:cs="Times New Roman"/>
          <w:bCs/>
          <w:kern w:val="0"/>
          <w14:ligatures w14:val="none"/>
        </w:rPr>
        <w:t xml:space="preserve"> to advance </w:t>
      </w:r>
      <w:r w:rsidRPr="0056707C">
        <w:rPr>
          <w:rFonts w:ascii="Palatino Linotype" w:hAnsi="Palatino Linotype" w:eastAsia="Palatino Linotype" w:cs="Times New Roman"/>
          <w:bCs/>
          <w:kern w:val="0"/>
          <w14:ligatures w14:val="none"/>
        </w:rPr>
        <w:t>the development of more capable inline inspec</w:t>
      </w:r>
      <w:r>
        <w:rPr>
          <w:rFonts w:ascii="Palatino Linotype" w:hAnsi="Palatino Linotype" w:eastAsia="Palatino Linotype" w:cs="Palatino Linotype"/>
          <w:bCs/>
          <w:kern w:val="0"/>
          <w14:ligatures w14:val="none"/>
        </w:rPr>
        <w:t>ti</w:t>
      </w:r>
      <w:r w:rsidRPr="0056707C">
        <w:rPr>
          <w:rFonts w:ascii="Palatino Linotype" w:hAnsi="Palatino Linotype" w:eastAsia="Palatino Linotype" w:cs="Times New Roman"/>
          <w:bCs/>
          <w:kern w:val="0"/>
          <w14:ligatures w14:val="none"/>
        </w:rPr>
        <w:t>on</w:t>
      </w:r>
      <w:r>
        <w:rPr>
          <w:rFonts w:ascii="Palatino Linotype" w:hAnsi="Palatino Linotype" w:eastAsia="Palatino Linotype" w:cs="Times New Roman"/>
          <w:bCs/>
          <w:kern w:val="0"/>
          <w14:ligatures w14:val="none"/>
        </w:rPr>
        <w:t xml:space="preserve"> </w:t>
      </w:r>
      <w:r w:rsidRPr="0056707C">
        <w:rPr>
          <w:rFonts w:ascii="Palatino Linotype" w:hAnsi="Palatino Linotype" w:eastAsia="Palatino Linotype" w:cs="Times New Roman"/>
          <w:bCs/>
          <w:kern w:val="0"/>
          <w14:ligatures w14:val="none"/>
        </w:rPr>
        <w:t>devices, less-intrusive monitoring systems, and sophis</w:t>
      </w:r>
      <w:r>
        <w:rPr>
          <w:rFonts w:ascii="Palatino Linotype" w:hAnsi="Palatino Linotype" w:eastAsia="Palatino Linotype" w:cs="Palatino Linotype"/>
          <w:bCs/>
          <w:kern w:val="0"/>
          <w14:ligatures w14:val="none"/>
        </w:rPr>
        <w:t>ti</w:t>
      </w:r>
      <w:r w:rsidRPr="0056707C">
        <w:rPr>
          <w:rFonts w:ascii="Palatino Linotype" w:hAnsi="Palatino Linotype" w:eastAsia="Palatino Linotype" w:cs="Times New Roman"/>
          <w:bCs/>
          <w:kern w:val="0"/>
          <w14:ligatures w14:val="none"/>
        </w:rPr>
        <w:t>cated modeling tools</w:t>
      </w:r>
      <w:r>
        <w:rPr>
          <w:rFonts w:ascii="Palatino Linotype" w:hAnsi="Palatino Linotype" w:eastAsia="Palatino Linotype" w:cs="Times New Roman"/>
          <w:bCs/>
          <w:kern w:val="0"/>
          <w14:ligatures w14:val="none"/>
        </w:rPr>
        <w:t xml:space="preserve">. PG&amp;E states that it intends </w:t>
      </w:r>
      <w:r w:rsidRPr="00B855E6">
        <w:rPr>
          <w:rFonts w:ascii="Palatino Linotype" w:hAnsi="Palatino Linotype" w:eastAsia="Palatino Linotype" w:cs="Times New Roman"/>
          <w:bCs/>
          <w:kern w:val="0"/>
          <w14:ligatures w14:val="none"/>
        </w:rPr>
        <w:t>to improve</w:t>
      </w:r>
      <w:r>
        <w:rPr>
          <w:rFonts w:ascii="Palatino Linotype" w:hAnsi="Palatino Linotype" w:eastAsia="Palatino Linotype" w:cs="Times New Roman"/>
          <w:bCs/>
          <w:kern w:val="0"/>
          <w14:ligatures w14:val="none"/>
        </w:rPr>
        <w:t xml:space="preserve"> </w:t>
      </w:r>
      <w:r w:rsidRPr="00B855E6">
        <w:rPr>
          <w:rFonts w:ascii="Palatino Linotype" w:hAnsi="Palatino Linotype" w:eastAsia="Palatino Linotype" w:cs="Times New Roman"/>
          <w:bCs/>
          <w:kern w:val="0"/>
          <w14:ligatures w14:val="none"/>
        </w:rPr>
        <w:t>visibility into asset condi</w:t>
      </w:r>
      <w:r>
        <w:rPr>
          <w:rFonts w:ascii="Palatino Linotype" w:hAnsi="Palatino Linotype" w:eastAsia="Palatino Linotype" w:cs="Palatino Linotype"/>
          <w:bCs/>
          <w:kern w:val="0"/>
          <w14:ligatures w14:val="none"/>
        </w:rPr>
        <w:t>ti</w:t>
      </w:r>
      <w:r w:rsidRPr="00B855E6">
        <w:rPr>
          <w:rFonts w:ascii="Palatino Linotype" w:hAnsi="Palatino Linotype" w:eastAsia="Palatino Linotype" w:cs="Times New Roman"/>
          <w:bCs/>
          <w:kern w:val="0"/>
          <w14:ligatures w14:val="none"/>
        </w:rPr>
        <w:t>ons, lower maintenance and repair costs, and reduce the likelihood of service disrup</w:t>
      </w:r>
      <w:r>
        <w:rPr>
          <w:rFonts w:ascii="Palatino Linotype" w:hAnsi="Palatino Linotype" w:eastAsia="Palatino Linotype" w:cs="Palatino Linotype"/>
          <w:bCs/>
          <w:kern w:val="0"/>
          <w14:ligatures w14:val="none"/>
        </w:rPr>
        <w:t>ti</w:t>
      </w:r>
      <w:r w:rsidRPr="005940BF">
        <w:rPr>
          <w:rFonts w:ascii="Palatino Linotype" w:hAnsi="Palatino Linotype" w:eastAsia="Palatino Linotype" w:cs="Times New Roman"/>
          <w:bCs/>
          <w:kern w:val="0"/>
          <w14:ligatures w14:val="none"/>
        </w:rPr>
        <w:t>ons or safety incidents. PG&amp;E proposes to allocate $639,127 in its 2025 Plan to this initiative.</w:t>
      </w:r>
      <w:r w:rsidRPr="005940BF">
        <w:rPr>
          <w:rStyle w:val="FootnoteReference"/>
          <w:rFonts w:ascii="Palatino Linotype" w:hAnsi="Palatino Linotype" w:eastAsia="Palatino Linotype" w:cs="Times New Roman"/>
          <w:bCs/>
          <w:kern w:val="0"/>
          <w14:ligatures w14:val="none"/>
        </w:rPr>
        <w:footnoteReference w:id="40"/>
      </w:r>
    </w:p>
    <w:p w:rsidR="00912614" w:rsidP="007E7238" w:rsidRDefault="00912614" w14:paraId="77AF9CFC" w14:textId="2FFAE9D9">
      <w:pPr>
        <w:spacing w:after="0" w:line="276" w:lineRule="auto"/>
        <w:ind w:left="720"/>
        <w:rPr>
          <w:rFonts w:ascii="Palatino Linotype" w:hAnsi="Palatino Linotype" w:eastAsia="Palatino Linotype" w:cs="Times New Roman"/>
          <w:bCs/>
          <w:kern w:val="0"/>
          <w14:ligatures w14:val="none"/>
        </w:rPr>
      </w:pPr>
    </w:p>
    <w:p w:rsidRPr="00836A28" w:rsidR="00912614" w:rsidP="00836A28" w:rsidRDefault="00912614" w14:paraId="14A9E1CE" w14:textId="34EBFB6A">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Innova</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ve and Cost-Effec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ve Integrity Management</w:t>
      </w:r>
    </w:p>
    <w:p w:rsidRPr="00480DC4" w:rsidR="00912614" w:rsidP="007E7238" w:rsidRDefault="00912614" w14:paraId="54484BDD" w14:textId="7E21E720">
      <w:pPr>
        <w:spacing w:after="0" w:line="276" w:lineRule="auto"/>
        <w:ind w:left="720"/>
        <w:rPr>
          <w:rFonts w:ascii="Palatino Linotype" w:hAnsi="Palatino Linotype" w:eastAsia="Palatino Linotype" w:cs="Times New Roman"/>
          <w:bCs/>
          <w:kern w:val="0"/>
          <w:u w:val="single"/>
          <w14:ligatures w14:val="none"/>
        </w:rPr>
      </w:pPr>
      <w:r>
        <w:rPr>
          <w:rFonts w:ascii="Palatino Linotype" w:hAnsi="Palatino Linotype" w:eastAsia="Palatino Linotype" w:cs="Times New Roman"/>
          <w:bCs/>
          <w:kern w:val="0"/>
          <w14:ligatures w14:val="none"/>
        </w:rPr>
        <w:lastRenderedPageBreak/>
        <w:t xml:space="preserve">PG&amp;E states that it seeks to develop projects within </w:t>
      </w:r>
      <w:r w:rsidRPr="00E31ADD">
        <w:rPr>
          <w:rFonts w:ascii="Palatino Linotype" w:hAnsi="Palatino Linotype" w:eastAsia="Palatino Linotype" w:cs="Times New Roman"/>
          <w:bCs/>
          <w:kern w:val="0"/>
          <w14:ligatures w14:val="none"/>
        </w:rPr>
        <w:t>the Innova</w:t>
      </w:r>
      <w:r w:rsidRPr="00E31ADD">
        <w:rPr>
          <w:rFonts w:ascii="Palatino Linotype" w:hAnsi="Palatino Linotype" w:eastAsia="Palatino Linotype" w:cs="Palatino Linotype"/>
          <w:bCs/>
          <w:kern w:val="0"/>
          <w14:ligatures w14:val="none"/>
        </w:rPr>
        <w:t>ti</w:t>
      </w:r>
      <w:r w:rsidRPr="00E31ADD">
        <w:rPr>
          <w:rFonts w:ascii="Palatino Linotype" w:hAnsi="Palatino Linotype" w:eastAsia="Palatino Linotype" w:cs="Times New Roman"/>
          <w:bCs/>
          <w:kern w:val="0"/>
          <w14:ligatures w14:val="none"/>
        </w:rPr>
        <w:t>ve and Cost-Effec</w:t>
      </w:r>
      <w:r w:rsidRPr="00E31ADD">
        <w:rPr>
          <w:rFonts w:ascii="Palatino Linotype" w:hAnsi="Palatino Linotype" w:eastAsia="Palatino Linotype" w:cs="Palatino Linotype"/>
          <w:bCs/>
          <w:kern w:val="0"/>
          <w14:ligatures w14:val="none"/>
        </w:rPr>
        <w:t>ti</w:t>
      </w:r>
      <w:r w:rsidRPr="00E31ADD">
        <w:rPr>
          <w:rFonts w:ascii="Palatino Linotype" w:hAnsi="Palatino Linotype" w:eastAsia="Palatino Linotype" w:cs="Times New Roman"/>
          <w:bCs/>
          <w:kern w:val="0"/>
          <w14:ligatures w14:val="none"/>
        </w:rPr>
        <w:t xml:space="preserve">ve Integrity Management </w:t>
      </w:r>
      <w:r>
        <w:rPr>
          <w:rFonts w:ascii="Palatino Linotype" w:hAnsi="Palatino Linotype" w:eastAsia="Palatino Linotype" w:cs="Times New Roman"/>
          <w:bCs/>
          <w:kern w:val="0"/>
          <w14:ligatures w14:val="none"/>
        </w:rPr>
        <w:t>I</w:t>
      </w:r>
      <w:r w:rsidRPr="00E31ADD">
        <w:rPr>
          <w:rFonts w:ascii="Palatino Linotype" w:hAnsi="Palatino Linotype" w:eastAsia="Palatino Linotype" w:cs="Times New Roman"/>
          <w:bCs/>
          <w:kern w:val="0"/>
          <w14:ligatures w14:val="none"/>
        </w:rPr>
        <w:t>nitiative to</w:t>
      </w:r>
      <w:r w:rsidRPr="00A1798E">
        <w:rPr>
          <w:rFonts w:ascii="Palatino Linotype" w:hAnsi="Palatino Linotype" w:eastAsia="Palatino Linotype" w:cs="Times New Roman"/>
          <w:bCs/>
          <w:kern w:val="0"/>
          <w14:ligatures w14:val="none"/>
        </w:rPr>
        <w:t xml:space="preserve"> </w:t>
      </w:r>
      <w:r w:rsidRPr="00DC5D9A">
        <w:rPr>
          <w:rFonts w:ascii="Palatino Linotype" w:hAnsi="Palatino Linotype" w:eastAsia="Palatino Linotype" w:cs="Times New Roman"/>
          <w:bCs/>
          <w:kern w:val="0"/>
          <w14:ligatures w14:val="none"/>
        </w:rPr>
        <w:t>advanc</w:t>
      </w:r>
      <w:r>
        <w:rPr>
          <w:rFonts w:ascii="Palatino Linotype" w:hAnsi="Palatino Linotype" w:eastAsia="Palatino Linotype" w:cs="Times New Roman"/>
          <w:bCs/>
          <w:kern w:val="0"/>
          <w14:ligatures w14:val="none"/>
        </w:rPr>
        <w:t>e</w:t>
      </w:r>
      <w:r w:rsidRPr="00DC5D9A">
        <w:rPr>
          <w:rFonts w:ascii="Palatino Linotype" w:hAnsi="Palatino Linotype" w:eastAsia="Palatino Linotype" w:cs="Times New Roman"/>
          <w:bCs/>
          <w:kern w:val="0"/>
          <w14:ligatures w14:val="none"/>
        </w:rPr>
        <w:t xml:space="preserve"> a new genera</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on of integrity management tools</w:t>
      </w:r>
      <w:r>
        <w:rPr>
          <w:rFonts w:ascii="Palatino Linotype" w:hAnsi="Palatino Linotype" w:eastAsia="Palatino Linotype" w:cs="Times New Roman"/>
          <w:bCs/>
          <w:kern w:val="0"/>
          <w14:ligatures w14:val="none"/>
        </w:rPr>
        <w:t xml:space="preserve"> </w:t>
      </w:r>
      <w:r w:rsidRPr="00DC5D9A">
        <w:rPr>
          <w:rFonts w:ascii="Palatino Linotype" w:hAnsi="Palatino Linotype" w:eastAsia="Palatino Linotype" w:cs="Times New Roman"/>
          <w:bCs/>
          <w:kern w:val="0"/>
          <w14:ligatures w14:val="none"/>
        </w:rPr>
        <w:t>and prac</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ces</w:t>
      </w:r>
      <w:r>
        <w:rPr>
          <w:rFonts w:ascii="Palatino Linotype" w:hAnsi="Palatino Linotype" w:eastAsia="Palatino Linotype" w:cs="Times New Roman"/>
          <w:bCs/>
          <w:kern w:val="0"/>
          <w14:ligatures w14:val="none"/>
        </w:rPr>
        <w:t xml:space="preserve"> b</w:t>
      </w:r>
      <w:r w:rsidRPr="00DC5D9A">
        <w:rPr>
          <w:rFonts w:ascii="Palatino Linotype" w:hAnsi="Palatino Linotype" w:eastAsia="Palatino Linotype" w:cs="Times New Roman"/>
          <w:bCs/>
          <w:kern w:val="0"/>
          <w14:ligatures w14:val="none"/>
        </w:rPr>
        <w:t>y integra</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 xml:space="preserve">ng 3D mapping, </w:t>
      </w:r>
      <w:r w:rsidR="0032312B">
        <w:rPr>
          <w:rFonts w:ascii="Palatino Linotype" w:hAnsi="Palatino Linotype" w:eastAsia="Palatino Linotype" w:cs="Times New Roman"/>
          <w:bCs/>
          <w:kern w:val="0"/>
          <w14:ligatures w14:val="none"/>
        </w:rPr>
        <w:br/>
      </w:r>
      <w:r w:rsidRPr="00DC5D9A">
        <w:rPr>
          <w:rFonts w:ascii="Palatino Linotype" w:hAnsi="Palatino Linotype" w:eastAsia="Palatino Linotype" w:cs="Times New Roman"/>
          <w:bCs/>
          <w:kern w:val="0"/>
          <w14:ligatures w14:val="none"/>
        </w:rPr>
        <w:t>AI-enabled sensors, on-demand and/or real</w:t>
      </w:r>
      <w:r>
        <w:rPr>
          <w:rFonts w:ascii="Palatino Linotype" w:hAnsi="Palatino Linotype" w:eastAsia="Palatino Linotype" w:cs="Times New Roman"/>
          <w:bCs/>
          <w:kern w:val="0"/>
          <w14:ligatures w14:val="none"/>
        </w:rPr>
        <w:t>-ti</w:t>
      </w:r>
      <w:r w:rsidRPr="00DC5D9A">
        <w:rPr>
          <w:rFonts w:ascii="Palatino Linotype" w:hAnsi="Palatino Linotype" w:eastAsia="Palatino Linotype" w:cs="Times New Roman"/>
          <w:bCs/>
          <w:kern w:val="0"/>
          <w14:ligatures w14:val="none"/>
        </w:rPr>
        <w:t>me monitoring solu</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ons</w:t>
      </w:r>
      <w:r>
        <w:rPr>
          <w:rFonts w:ascii="Palatino Linotype" w:hAnsi="Palatino Linotype" w:eastAsia="Palatino Linotype" w:cs="Times New Roman"/>
          <w:bCs/>
          <w:kern w:val="0"/>
          <w14:ligatures w14:val="none"/>
        </w:rPr>
        <w:t>. PG&amp;E states that it intends to e</w:t>
      </w:r>
      <w:r w:rsidRPr="00DC5D9A">
        <w:rPr>
          <w:rFonts w:ascii="Palatino Linotype" w:hAnsi="Palatino Linotype" w:eastAsia="Palatino Linotype" w:cs="Times New Roman"/>
          <w:bCs/>
          <w:kern w:val="0"/>
          <w14:ligatures w14:val="none"/>
        </w:rPr>
        <w:t>nhance safety, reduce maintenance costs, ensure compliance with federal and state</w:t>
      </w:r>
      <w:r>
        <w:rPr>
          <w:rFonts w:ascii="Palatino Linotype" w:hAnsi="Palatino Linotype" w:eastAsia="Palatino Linotype" w:cs="Times New Roman"/>
          <w:bCs/>
          <w:kern w:val="0"/>
          <w14:ligatures w14:val="none"/>
        </w:rPr>
        <w:t xml:space="preserve"> </w:t>
      </w:r>
      <w:r w:rsidRPr="00DC5D9A">
        <w:rPr>
          <w:rFonts w:ascii="Palatino Linotype" w:hAnsi="Palatino Linotype" w:eastAsia="Palatino Linotype" w:cs="Times New Roman"/>
          <w:bCs/>
          <w:kern w:val="0"/>
          <w14:ligatures w14:val="none"/>
        </w:rPr>
        <w:t>regula</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ons</w:t>
      </w:r>
      <w:r>
        <w:rPr>
          <w:rFonts w:ascii="Palatino Linotype" w:hAnsi="Palatino Linotype" w:eastAsia="Palatino Linotype" w:cs="Times New Roman"/>
          <w:bCs/>
          <w:kern w:val="0"/>
          <w14:ligatures w14:val="none"/>
        </w:rPr>
        <w:t>, and improve</w:t>
      </w:r>
      <w:r w:rsidRPr="00DC5D9A">
        <w:rPr>
          <w:rFonts w:ascii="Palatino Linotype" w:hAnsi="Palatino Linotype" w:eastAsia="Palatino Linotype" w:cs="Times New Roman"/>
          <w:bCs/>
          <w:kern w:val="0"/>
          <w14:ligatures w14:val="none"/>
        </w:rPr>
        <w:t xml:space="preserve"> opera</w:t>
      </w:r>
      <w:r>
        <w:rPr>
          <w:rFonts w:ascii="Palatino Linotype" w:hAnsi="Palatino Linotype" w:eastAsia="Palatino Linotype" w:cs="Palatino Linotype"/>
          <w:bCs/>
          <w:kern w:val="0"/>
          <w14:ligatures w14:val="none"/>
        </w:rPr>
        <w:t>ti</w:t>
      </w:r>
      <w:r w:rsidRPr="00DC5D9A">
        <w:rPr>
          <w:rFonts w:ascii="Palatino Linotype" w:hAnsi="Palatino Linotype" w:eastAsia="Palatino Linotype" w:cs="Times New Roman"/>
          <w:bCs/>
          <w:kern w:val="0"/>
          <w14:ligatures w14:val="none"/>
        </w:rPr>
        <w:t>onal efficiency.</w:t>
      </w:r>
      <w:r w:rsidRPr="00E22899">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PG&amp;E proposes to all</w:t>
      </w:r>
      <w:r w:rsidRPr="005940BF">
        <w:rPr>
          <w:rFonts w:ascii="Palatino Linotype" w:hAnsi="Palatino Linotype" w:eastAsia="Palatino Linotype" w:cs="Times New Roman"/>
          <w:bCs/>
          <w:kern w:val="0"/>
          <w14:ligatures w14:val="none"/>
        </w:rPr>
        <w:t xml:space="preserve">ocate </w:t>
      </w:r>
      <w:r w:rsidRPr="005940BF" w:rsidR="005940BF">
        <w:rPr>
          <w:rFonts w:ascii="Palatino Linotype" w:hAnsi="Palatino Linotype" w:eastAsia="Palatino Linotype" w:cs="Times New Roman"/>
          <w:bCs/>
          <w:kern w:val="0"/>
          <w14:ligatures w14:val="none"/>
        </w:rPr>
        <w:t>$</w:t>
      </w:r>
      <w:r w:rsidRPr="005940BF">
        <w:rPr>
          <w:rFonts w:ascii="Palatino Linotype" w:hAnsi="Palatino Linotype" w:eastAsia="Palatino Linotype" w:cs="Times New Roman"/>
          <w:bCs/>
          <w:kern w:val="0"/>
          <w14:ligatures w14:val="none"/>
        </w:rPr>
        <w:t>1,493,196 in its 2025 Plan to this initiative.</w:t>
      </w:r>
      <w:r w:rsidRPr="005940BF">
        <w:rPr>
          <w:rStyle w:val="FootnoteReference"/>
          <w:rFonts w:ascii="Palatino Linotype" w:hAnsi="Palatino Linotype" w:eastAsia="Palatino Linotype" w:cs="Times New Roman"/>
          <w:bCs/>
          <w:kern w:val="0"/>
          <w14:ligatures w14:val="none"/>
        </w:rPr>
        <w:footnoteReference w:id="41"/>
      </w:r>
    </w:p>
    <w:p w:rsidR="00912614" w:rsidP="007E7238" w:rsidRDefault="00912614" w14:paraId="749347AE" w14:textId="77777777">
      <w:pPr>
        <w:spacing w:after="0" w:line="276" w:lineRule="auto"/>
        <w:ind w:left="720"/>
        <w:rPr>
          <w:rFonts w:ascii="Palatino Linotype" w:hAnsi="Palatino Linotype" w:eastAsia="Palatino Linotype" w:cs="Times New Roman"/>
          <w:bCs/>
          <w:kern w:val="0"/>
          <w14:ligatures w14:val="none"/>
        </w:rPr>
      </w:pPr>
    </w:p>
    <w:p w:rsidRPr="00836A28" w:rsidR="00912614" w:rsidP="00836A28" w:rsidRDefault="00912614" w14:paraId="5131DBB7" w14:textId="3A5A18EF">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Advanced Leak Detec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 and Repair</w:t>
      </w:r>
    </w:p>
    <w:p w:rsidR="00912614" w:rsidP="007E7238" w:rsidRDefault="00912614" w14:paraId="00C6DEEA" w14:textId="3CA8752C">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it seeks to develop projects within </w:t>
      </w:r>
      <w:r w:rsidRPr="00E31ADD">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Pr="00B22998">
        <w:rPr>
          <w:rFonts w:ascii="Palatino Linotype" w:hAnsi="Palatino Linotype" w:eastAsia="Palatino Linotype" w:cs="Times New Roman"/>
          <w:bCs/>
          <w:kern w:val="0"/>
          <w14:ligatures w14:val="none"/>
        </w:rPr>
        <w:t>Advanced Leak Detec</w:t>
      </w:r>
      <w:r w:rsidRPr="00B22998">
        <w:rPr>
          <w:rFonts w:ascii="Palatino Linotype" w:hAnsi="Palatino Linotype" w:eastAsia="Palatino Linotype" w:cs="Palatino Linotype"/>
          <w:bCs/>
          <w:kern w:val="0"/>
          <w14:ligatures w14:val="none"/>
        </w:rPr>
        <w:t>ti</w:t>
      </w:r>
      <w:r w:rsidRPr="00B22998">
        <w:rPr>
          <w:rFonts w:ascii="Palatino Linotype" w:hAnsi="Palatino Linotype" w:eastAsia="Palatino Linotype" w:cs="Times New Roman"/>
          <w:bCs/>
          <w:kern w:val="0"/>
          <w14:ligatures w14:val="none"/>
        </w:rPr>
        <w:t xml:space="preserve">on and Repair Initiative to </w:t>
      </w:r>
      <w:r w:rsidRPr="009C4B0C">
        <w:rPr>
          <w:rFonts w:ascii="Palatino Linotype" w:hAnsi="Palatino Linotype" w:eastAsia="Palatino Linotype" w:cs="Times New Roman"/>
          <w:bCs/>
          <w:kern w:val="0"/>
          <w14:ligatures w14:val="none"/>
        </w:rPr>
        <w:t>advance next-generation leak detec</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on and repair solutions, including mobile leak detec</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on, aerial leak detec</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on (drone, helicopter, fixed-wing, satellite), and con</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nuous monitoring op</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ons</w:t>
      </w:r>
      <w:r>
        <w:rPr>
          <w:rFonts w:ascii="Palatino Linotype" w:hAnsi="Palatino Linotype" w:eastAsia="Palatino Linotype" w:cs="Times New Roman"/>
          <w:bCs/>
          <w:kern w:val="0"/>
          <w14:ligatures w14:val="none"/>
        </w:rPr>
        <w:t xml:space="preserve">. PG&amp;E states that it intends to </w:t>
      </w:r>
      <w:r w:rsidRPr="009C4B0C">
        <w:rPr>
          <w:rFonts w:ascii="Palatino Linotype" w:hAnsi="Palatino Linotype" w:eastAsia="Palatino Linotype" w:cs="Times New Roman"/>
          <w:bCs/>
          <w:kern w:val="0"/>
          <w14:ligatures w14:val="none"/>
        </w:rPr>
        <w:t>reduce emissions, increase opera</w:t>
      </w:r>
      <w:r w:rsidRPr="009C4B0C">
        <w:rPr>
          <w:rFonts w:ascii="Palatino Linotype" w:hAnsi="Palatino Linotype" w:eastAsia="Palatino Linotype" w:cs="Palatino Linotype"/>
          <w:bCs/>
          <w:kern w:val="0"/>
          <w14:ligatures w14:val="none"/>
        </w:rPr>
        <w:t>ti</w:t>
      </w:r>
      <w:r w:rsidRPr="009C4B0C">
        <w:rPr>
          <w:rFonts w:ascii="Palatino Linotype" w:hAnsi="Palatino Linotype" w:eastAsia="Palatino Linotype" w:cs="Times New Roman"/>
          <w:bCs/>
          <w:kern w:val="0"/>
          <w14:ligatures w14:val="none"/>
        </w:rPr>
        <w:t>onal</w:t>
      </w:r>
      <w:r>
        <w:rPr>
          <w:rFonts w:ascii="Palatino Linotype" w:hAnsi="Palatino Linotype" w:eastAsia="Palatino Linotype" w:cs="Times New Roman"/>
          <w:bCs/>
          <w:kern w:val="0"/>
          <w14:ligatures w14:val="none"/>
        </w:rPr>
        <w:t xml:space="preserve"> </w:t>
      </w:r>
      <w:r w:rsidRPr="009C4B0C">
        <w:rPr>
          <w:rFonts w:ascii="Palatino Linotype" w:hAnsi="Palatino Linotype" w:eastAsia="Palatino Linotype" w:cs="Times New Roman"/>
          <w:bCs/>
          <w:kern w:val="0"/>
          <w14:ligatures w14:val="none"/>
        </w:rPr>
        <w:t xml:space="preserve">reliability, and help meet </w:t>
      </w:r>
      <w:r w:rsidRPr="002263A0">
        <w:rPr>
          <w:rFonts w:ascii="Palatino Linotype" w:hAnsi="Palatino Linotype" w:eastAsia="Palatino Linotype" w:cs="Times New Roman"/>
          <w:bCs/>
          <w:kern w:val="0"/>
          <w14:ligatures w14:val="none"/>
        </w:rPr>
        <w:t>evolving state policy goals. PG&amp;E proposes to allocate $1,923,080 in its 2025 Plan to this initiative.</w:t>
      </w:r>
      <w:r w:rsidRPr="002263A0">
        <w:rPr>
          <w:rStyle w:val="FootnoteReference"/>
          <w:rFonts w:ascii="Palatino Linotype" w:hAnsi="Palatino Linotype" w:eastAsia="Palatino Linotype" w:cs="Times New Roman"/>
          <w:bCs/>
          <w:kern w:val="0"/>
          <w14:ligatures w14:val="none"/>
        </w:rPr>
        <w:footnoteReference w:id="42"/>
      </w:r>
    </w:p>
    <w:p w:rsidRPr="001D46EA" w:rsidR="00912614" w:rsidP="007E7238" w:rsidRDefault="00912614" w14:paraId="68626BE8" w14:textId="77777777">
      <w:pPr>
        <w:spacing w:after="0" w:line="276" w:lineRule="auto"/>
        <w:ind w:left="720"/>
        <w:rPr>
          <w:rFonts w:ascii="Palatino Linotype" w:hAnsi="Palatino Linotype" w:eastAsia="Palatino Linotype" w:cs="Times New Roman"/>
          <w:bCs/>
          <w:kern w:val="0"/>
          <w14:ligatures w14:val="none"/>
        </w:rPr>
      </w:pPr>
    </w:p>
    <w:p w:rsidRPr="00836A28" w:rsidR="00912614" w:rsidP="00836A28" w:rsidRDefault="00912614" w14:paraId="22D28644" w14:textId="77777777">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Emission Reduc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 Ac</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vi</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es and Refined Repor</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ng</w:t>
      </w:r>
    </w:p>
    <w:p w:rsidR="00912614" w:rsidP="007E7238" w:rsidRDefault="00912614" w14:paraId="01759BA0" w14:textId="1F7065C4">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it seeks to develop projects within </w:t>
      </w:r>
      <w:r w:rsidRPr="00E31ADD">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w:t>
      </w:r>
      <w:r w:rsidRPr="001C541D">
        <w:rPr>
          <w:rFonts w:ascii="Palatino Linotype" w:hAnsi="Palatino Linotype" w:eastAsia="Palatino Linotype" w:cs="Times New Roman"/>
          <w:bCs/>
          <w:kern w:val="0"/>
          <w14:ligatures w14:val="none"/>
        </w:rPr>
        <w:t>Emission Reduc</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on Ac</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vi</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es and Refined Repor</w:t>
      </w:r>
      <w:r w:rsidRPr="001C541D">
        <w:rPr>
          <w:rFonts w:ascii="Palatino Linotype" w:hAnsi="Palatino Linotype" w:eastAsia="Palatino Linotype" w:cs="Palatino Linotype"/>
          <w:bCs/>
          <w:kern w:val="0"/>
          <w14:ligatures w14:val="none"/>
        </w:rPr>
        <w:t>ti</w:t>
      </w:r>
      <w:r w:rsidRPr="001C541D">
        <w:rPr>
          <w:rFonts w:ascii="Palatino Linotype" w:hAnsi="Palatino Linotype" w:eastAsia="Palatino Linotype" w:cs="Times New Roman"/>
          <w:bCs/>
          <w:kern w:val="0"/>
          <w14:ligatures w14:val="none"/>
        </w:rPr>
        <w:t xml:space="preserve">ng Initiative to </w:t>
      </w:r>
      <w:r w:rsidRPr="00FA550C">
        <w:rPr>
          <w:rFonts w:ascii="Palatino Linotype" w:hAnsi="Palatino Linotype" w:eastAsia="Palatino Linotype" w:cs="Times New Roman"/>
          <w:bCs/>
          <w:kern w:val="0"/>
          <w14:ligatures w14:val="none"/>
        </w:rPr>
        <w:t>deploy technologies that further reduce opera</w:t>
      </w:r>
      <w:r w:rsidRPr="00FA550C">
        <w:rPr>
          <w:rFonts w:ascii="Palatino Linotype" w:hAnsi="Palatino Linotype" w:eastAsia="Palatino Linotype" w:cs="Palatino Linotype"/>
          <w:bCs/>
          <w:kern w:val="0"/>
          <w14:ligatures w14:val="none"/>
        </w:rPr>
        <w:t>ti</w:t>
      </w:r>
      <w:r w:rsidRPr="00FA550C">
        <w:rPr>
          <w:rFonts w:ascii="Palatino Linotype" w:hAnsi="Palatino Linotype" w:eastAsia="Palatino Linotype" w:cs="Times New Roman"/>
          <w:bCs/>
          <w:kern w:val="0"/>
          <w14:ligatures w14:val="none"/>
        </w:rPr>
        <w:t>onal emissions while refining emissions repor</w:t>
      </w:r>
      <w:r w:rsidRPr="00FA550C">
        <w:rPr>
          <w:rFonts w:ascii="Palatino Linotype" w:hAnsi="Palatino Linotype" w:eastAsia="Palatino Linotype" w:cs="Palatino Linotype"/>
          <w:bCs/>
          <w:kern w:val="0"/>
          <w14:ligatures w14:val="none"/>
        </w:rPr>
        <w:t>ti</w:t>
      </w:r>
      <w:r w:rsidRPr="00FA550C">
        <w:rPr>
          <w:rFonts w:ascii="Palatino Linotype" w:hAnsi="Palatino Linotype" w:eastAsia="Palatino Linotype" w:cs="Times New Roman"/>
          <w:bCs/>
          <w:kern w:val="0"/>
          <w14:ligatures w14:val="none"/>
        </w:rPr>
        <w:t>ng frameworks through more precise data collec</w:t>
      </w:r>
      <w:r w:rsidRPr="00FA550C">
        <w:rPr>
          <w:rFonts w:ascii="Palatino Linotype" w:hAnsi="Palatino Linotype" w:eastAsia="Palatino Linotype" w:cs="Palatino Linotype"/>
          <w:bCs/>
          <w:kern w:val="0"/>
          <w14:ligatures w14:val="none"/>
        </w:rPr>
        <w:t>ti</w:t>
      </w:r>
      <w:r w:rsidRPr="00FA550C">
        <w:rPr>
          <w:rFonts w:ascii="Palatino Linotype" w:hAnsi="Palatino Linotype" w:eastAsia="Palatino Linotype" w:cs="Times New Roman"/>
          <w:bCs/>
          <w:kern w:val="0"/>
          <w14:ligatures w14:val="none"/>
        </w:rPr>
        <w:t>on</w:t>
      </w:r>
      <w:r>
        <w:rPr>
          <w:rFonts w:ascii="Palatino Linotype" w:hAnsi="Palatino Linotype" w:eastAsia="Palatino Linotype" w:cs="Times New Roman"/>
          <w:bCs/>
          <w:kern w:val="0"/>
          <w14:ligatures w14:val="none"/>
        </w:rPr>
        <w:t>. PG&amp;E states that it intends to</w:t>
      </w:r>
      <w:r w:rsidRPr="00FA550C">
        <w:rPr>
          <w:rFonts w:ascii="Palatino Linotype" w:hAnsi="Palatino Linotype" w:eastAsia="Palatino Linotype" w:cs="Times New Roman"/>
          <w:bCs/>
          <w:kern w:val="0"/>
          <w14:ligatures w14:val="none"/>
        </w:rPr>
        <w:t xml:space="preserve"> support gas system safety and reliability and reduce </w:t>
      </w:r>
      <w:r w:rsidRPr="002263A0">
        <w:rPr>
          <w:rFonts w:ascii="Palatino Linotype" w:hAnsi="Palatino Linotype" w:eastAsia="Palatino Linotype" w:cs="Times New Roman"/>
          <w:bCs/>
          <w:kern w:val="0"/>
          <w14:ligatures w14:val="none"/>
        </w:rPr>
        <w:t>methane emissions. PG&amp;E proposes to allocate $1,035,943 in its 2025 Plan to this initiative.</w:t>
      </w:r>
      <w:r w:rsidRPr="002263A0">
        <w:rPr>
          <w:rStyle w:val="FootnoteReference"/>
          <w:rFonts w:ascii="Palatino Linotype" w:hAnsi="Palatino Linotype" w:eastAsia="Palatino Linotype" w:cs="Times New Roman"/>
          <w:bCs/>
          <w:kern w:val="0"/>
          <w14:ligatures w14:val="none"/>
        </w:rPr>
        <w:footnoteReference w:id="43"/>
      </w:r>
    </w:p>
    <w:p w:rsidR="6AB7C093" w:rsidP="6AB7C093" w:rsidRDefault="6AB7C093" w14:paraId="35E5C796" w14:textId="0DC35A5F">
      <w:pPr>
        <w:spacing w:after="0" w:line="276" w:lineRule="auto"/>
        <w:rPr>
          <w:rFonts w:ascii="Palatino Linotype" w:hAnsi="Palatino Linotype" w:eastAsia="Palatino Linotype" w:cs="Times New Roman"/>
        </w:rPr>
      </w:pPr>
    </w:p>
    <w:p w:rsidRPr="00836A28" w:rsidR="00912614" w:rsidP="00361AB6" w:rsidRDefault="00912614" w14:paraId="050A6738" w14:textId="6FEB84B6">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Decarbonization Theme</w:t>
      </w:r>
      <w:r w:rsidRPr="00836A28" w:rsidR="00666D68">
        <w:rPr>
          <w:rFonts w:ascii="Palatino Linotype" w:hAnsi="Palatino Linotype" w:eastAsia="Palatino Linotype" w:cs="Times New Roman"/>
          <w:i/>
          <w:kern w:val="0"/>
          <w14:ligatures w14:val="none"/>
        </w:rPr>
        <w:t xml:space="preserve"> Proposed Initiatives</w:t>
      </w:r>
    </w:p>
    <w:p w:rsidR="00912614" w:rsidP="00361AB6" w:rsidRDefault="00912614" w14:paraId="7B268B8C" w14:textId="77777777">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states that it seeks to develop Initiatives within the Decarbonization Theme to d</w:t>
      </w:r>
      <w:r w:rsidRPr="00A70430">
        <w:rPr>
          <w:rFonts w:ascii="Palatino Linotype" w:hAnsi="Palatino Linotype" w:eastAsia="Palatino Linotype" w:cs="Times New Roman"/>
          <w:bCs/>
          <w:kern w:val="0"/>
          <w14:ligatures w14:val="none"/>
        </w:rPr>
        <w:t xml:space="preserve">evelop or advance technologies to decarbonize the gas system by conducting </w:t>
      </w:r>
      <w:r w:rsidRPr="00A70430">
        <w:rPr>
          <w:rFonts w:ascii="Palatino Linotype" w:hAnsi="Palatino Linotype" w:eastAsia="Palatino Linotype" w:cs="Times New Roman"/>
          <w:bCs/>
          <w:kern w:val="0"/>
          <w14:ligatures w14:val="none"/>
        </w:rPr>
        <w:lastRenderedPageBreak/>
        <w:t>founda</w:t>
      </w:r>
      <w:r w:rsidRPr="00A70430">
        <w:rPr>
          <w:rFonts w:ascii="Palatino Linotype" w:hAnsi="Palatino Linotype" w:eastAsia="Palatino Linotype" w:cs="Palatino Linotype"/>
          <w:bCs/>
          <w:kern w:val="0"/>
          <w14:ligatures w14:val="none"/>
        </w:rPr>
        <w:t>ti</w:t>
      </w:r>
      <w:r w:rsidRPr="00A70430">
        <w:rPr>
          <w:rFonts w:ascii="Palatino Linotype" w:hAnsi="Palatino Linotype" w:eastAsia="Palatino Linotype" w:cs="Times New Roman"/>
          <w:bCs/>
          <w:kern w:val="0"/>
          <w14:ligatures w14:val="none"/>
        </w:rPr>
        <w:t>onal research that better informs the industry’s understanding of the challenges and impacts of integra</w:t>
      </w:r>
      <w:r w:rsidRPr="00A70430">
        <w:rPr>
          <w:rFonts w:ascii="Palatino Linotype" w:hAnsi="Palatino Linotype" w:eastAsia="Palatino Linotype" w:cs="Palatino Linotype"/>
          <w:bCs/>
          <w:kern w:val="0"/>
          <w14:ligatures w14:val="none"/>
        </w:rPr>
        <w:t>ti</w:t>
      </w:r>
      <w:r w:rsidRPr="00A70430">
        <w:rPr>
          <w:rFonts w:ascii="Palatino Linotype" w:hAnsi="Palatino Linotype" w:eastAsia="Palatino Linotype" w:cs="Times New Roman"/>
          <w:bCs/>
          <w:kern w:val="0"/>
          <w14:ligatures w14:val="none"/>
        </w:rPr>
        <w:t>ng cleaner fuels into exis</w:t>
      </w:r>
      <w:r w:rsidRPr="00A70430">
        <w:rPr>
          <w:rFonts w:ascii="Palatino Linotype" w:hAnsi="Palatino Linotype" w:eastAsia="Palatino Linotype" w:cs="Palatino Linotype"/>
          <w:bCs/>
          <w:kern w:val="0"/>
          <w14:ligatures w14:val="none"/>
        </w:rPr>
        <w:t>ti</w:t>
      </w:r>
      <w:r w:rsidRPr="00A70430">
        <w:rPr>
          <w:rFonts w:ascii="Palatino Linotype" w:hAnsi="Palatino Linotype" w:eastAsia="Palatino Linotype" w:cs="Times New Roman"/>
          <w:bCs/>
          <w:kern w:val="0"/>
          <w14:ligatures w14:val="none"/>
        </w:rPr>
        <w:t>ng pipelines and system assets, as well as into customer applica</w:t>
      </w:r>
      <w:r w:rsidRPr="00A70430">
        <w:rPr>
          <w:rFonts w:ascii="Palatino Linotype" w:hAnsi="Palatino Linotype" w:eastAsia="Palatino Linotype" w:cs="Palatino Linotype"/>
          <w:bCs/>
          <w:kern w:val="0"/>
          <w14:ligatures w14:val="none"/>
        </w:rPr>
        <w:t>ti</w:t>
      </w:r>
      <w:r w:rsidRPr="00A70430">
        <w:rPr>
          <w:rFonts w:ascii="Palatino Linotype" w:hAnsi="Palatino Linotype" w:eastAsia="Palatino Linotype" w:cs="Times New Roman"/>
          <w:bCs/>
          <w:kern w:val="0"/>
          <w14:ligatures w14:val="none"/>
        </w:rPr>
        <w:t>ons and end uses.</w:t>
      </w:r>
      <w:r>
        <w:rPr>
          <w:rStyle w:val="FootnoteReference"/>
          <w:rFonts w:ascii="Palatino Linotype" w:hAnsi="Palatino Linotype" w:eastAsia="Palatino Linotype" w:cs="Times New Roman"/>
          <w:bCs/>
          <w:kern w:val="0"/>
          <w14:ligatures w14:val="none"/>
        </w:rPr>
        <w:footnoteReference w:id="44"/>
      </w:r>
    </w:p>
    <w:p w:rsidR="00912614" w:rsidP="00361AB6" w:rsidRDefault="00912614" w14:paraId="10C464E6" w14:textId="77777777">
      <w:pPr>
        <w:spacing w:after="0" w:line="276" w:lineRule="auto"/>
        <w:rPr>
          <w:rFonts w:ascii="Palatino Linotype" w:hAnsi="Palatino Linotype" w:eastAsia="Palatino Linotype" w:cs="Times New Roman"/>
          <w:bCs/>
          <w:i/>
          <w:iCs/>
          <w:kern w:val="0"/>
          <w14:ligatures w14:val="none"/>
        </w:rPr>
      </w:pPr>
    </w:p>
    <w:p w:rsidRPr="00836A28" w:rsidR="00912614" w:rsidP="00836A28" w:rsidRDefault="00912614" w14:paraId="595F7E21" w14:textId="77777777">
      <w:pPr>
        <w:pStyle w:val="ListParagraph"/>
        <w:numPr>
          <w:ilvl w:val="0"/>
          <w:numId w:val="1"/>
        </w:numPr>
        <w:spacing w:line="276" w:lineRule="auto"/>
        <w:rPr>
          <w:rFonts w:ascii="Palatino Linotype" w:hAnsi="Palatino Linotype" w:eastAsia="Palatino Linotype" w:cs="Times New Roman"/>
          <w:kern w:val="0"/>
          <w14:ligatures w14:val="none"/>
        </w:rPr>
      </w:pPr>
      <w:r w:rsidRPr="00836A28">
        <w:rPr>
          <w:rFonts w:ascii="Palatino Linotype" w:hAnsi="Palatino Linotype" w:eastAsia="Palatino Linotype" w:cs="Times New Roman"/>
          <w:kern w:val="0"/>
          <w14:ligatures w14:val="none"/>
        </w:rPr>
        <w:t>Clean Fuels Integra</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w:t>
      </w:r>
      <w:r w:rsidRPr="00836A28">
        <w:rPr>
          <w:rFonts w:ascii="Palatino Linotype" w:hAnsi="Palatino Linotype" w:eastAsia="Palatino Linotype" w:cs="Times New Roman"/>
          <w:color w:val="EE0000"/>
          <w:kern w:val="0"/>
          <w14:ligatures w14:val="none"/>
        </w:rPr>
        <w:t xml:space="preserve"> </w:t>
      </w:r>
    </w:p>
    <w:p w:rsidR="00912614" w:rsidP="007E7238" w:rsidRDefault="00912614" w14:paraId="3F76A921" w14:textId="19C4BF25">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states that it seeks to develop projects within </w:t>
      </w:r>
      <w:r w:rsidRPr="00E31ADD">
        <w:rPr>
          <w:rFonts w:ascii="Palatino Linotype" w:hAnsi="Palatino Linotype" w:eastAsia="Palatino Linotype" w:cs="Times New Roman"/>
          <w:bCs/>
          <w:kern w:val="0"/>
          <w14:ligatures w14:val="none"/>
        </w:rPr>
        <w:t>the</w:t>
      </w:r>
      <w:r>
        <w:rPr>
          <w:rFonts w:ascii="Palatino Linotype" w:hAnsi="Palatino Linotype" w:eastAsia="Palatino Linotype" w:cs="Times New Roman"/>
          <w:bCs/>
          <w:kern w:val="0"/>
          <w14:ligatures w14:val="none"/>
        </w:rPr>
        <w:t xml:space="preserve"> Clean Fuels Integration Initiative to </w:t>
      </w:r>
      <w:r w:rsidRPr="00121D5D">
        <w:rPr>
          <w:rFonts w:ascii="Palatino Linotype" w:hAnsi="Palatino Linotype" w:eastAsia="Palatino Linotype" w:cs="Times New Roman"/>
          <w:bCs/>
          <w:kern w:val="0"/>
          <w14:ligatures w14:val="none"/>
        </w:rPr>
        <w:t>assess the technical, opera</w:t>
      </w:r>
      <w:r>
        <w:rPr>
          <w:rFonts w:ascii="Palatino Linotype" w:hAnsi="Palatino Linotype" w:eastAsia="Palatino Linotype" w:cs="Palatino Linotype"/>
          <w:bCs/>
          <w:kern w:val="0"/>
          <w14:ligatures w14:val="none"/>
        </w:rPr>
        <w:t>ti</w:t>
      </w:r>
      <w:r w:rsidRPr="00121D5D">
        <w:rPr>
          <w:rFonts w:ascii="Palatino Linotype" w:hAnsi="Palatino Linotype" w:eastAsia="Palatino Linotype" w:cs="Times New Roman"/>
          <w:bCs/>
          <w:kern w:val="0"/>
          <w14:ligatures w14:val="none"/>
        </w:rPr>
        <w:t>onal, and economic implica</w:t>
      </w:r>
      <w:r>
        <w:rPr>
          <w:rFonts w:ascii="Palatino Linotype" w:hAnsi="Palatino Linotype" w:eastAsia="Palatino Linotype" w:cs="Palatino Linotype"/>
          <w:bCs/>
          <w:kern w:val="0"/>
          <w14:ligatures w14:val="none"/>
        </w:rPr>
        <w:t>ti</w:t>
      </w:r>
      <w:r w:rsidRPr="00121D5D">
        <w:rPr>
          <w:rFonts w:ascii="Palatino Linotype" w:hAnsi="Palatino Linotype" w:eastAsia="Palatino Linotype" w:cs="Times New Roman"/>
          <w:bCs/>
          <w:kern w:val="0"/>
          <w14:ligatures w14:val="none"/>
        </w:rPr>
        <w:t>ons of clean fuel integra</w:t>
      </w:r>
      <w:r>
        <w:rPr>
          <w:rFonts w:ascii="Palatino Linotype" w:hAnsi="Palatino Linotype" w:eastAsia="Palatino Linotype" w:cs="Palatino Linotype"/>
          <w:bCs/>
          <w:kern w:val="0"/>
          <w14:ligatures w14:val="none"/>
        </w:rPr>
        <w:t>ti</w:t>
      </w:r>
      <w:r w:rsidRPr="00121D5D">
        <w:rPr>
          <w:rFonts w:ascii="Palatino Linotype" w:hAnsi="Palatino Linotype" w:eastAsia="Palatino Linotype" w:cs="Times New Roman"/>
          <w:bCs/>
          <w:kern w:val="0"/>
          <w14:ligatures w14:val="none"/>
        </w:rPr>
        <w:t>on</w:t>
      </w:r>
      <w:r>
        <w:rPr>
          <w:rFonts w:ascii="Palatino Linotype" w:hAnsi="Palatino Linotype" w:eastAsia="Palatino Linotype" w:cs="Times New Roman"/>
          <w:bCs/>
          <w:kern w:val="0"/>
          <w14:ligatures w14:val="none"/>
        </w:rPr>
        <w:t xml:space="preserve"> (renewable natural gas</w:t>
      </w:r>
      <w:r w:rsidRPr="001843DD">
        <w:rPr>
          <w:rFonts w:ascii="Palatino Linotype" w:hAnsi="Palatino Linotype" w:eastAsia="Palatino Linotype" w:cs="Times New Roman"/>
          <w:bCs/>
          <w:kern w:val="0"/>
          <w14:ligatures w14:val="none"/>
        </w:rPr>
        <w:t>, renewable hydrogen, and synthe</w:t>
      </w:r>
      <w:r>
        <w:rPr>
          <w:rFonts w:ascii="Palatino Linotype" w:hAnsi="Palatino Linotype" w:eastAsia="Palatino Linotype" w:cs="Palatino Linotype"/>
          <w:bCs/>
          <w:kern w:val="0"/>
          <w14:ligatures w14:val="none"/>
        </w:rPr>
        <w:t>ti</w:t>
      </w:r>
      <w:r w:rsidRPr="001843DD">
        <w:rPr>
          <w:rFonts w:ascii="Palatino Linotype" w:hAnsi="Palatino Linotype" w:eastAsia="Palatino Linotype" w:cs="Times New Roman"/>
          <w:bCs/>
          <w:kern w:val="0"/>
          <w14:ligatures w14:val="none"/>
        </w:rPr>
        <w:t>c methane</w:t>
      </w:r>
      <w:r>
        <w:rPr>
          <w:rFonts w:ascii="Palatino Linotype" w:hAnsi="Palatino Linotype" w:eastAsia="Palatino Linotype" w:cs="Times New Roman"/>
          <w:bCs/>
          <w:kern w:val="0"/>
          <w14:ligatures w14:val="none"/>
        </w:rPr>
        <w:t>). PG&amp;E states that</w:t>
      </w:r>
      <w:r w:rsidR="00A749CF">
        <w:rPr>
          <w:rFonts w:ascii="Palatino Linotype" w:hAnsi="Palatino Linotype" w:eastAsia="Palatino Linotype" w:cs="Times New Roman"/>
          <w:bCs/>
          <w:kern w:val="0"/>
          <w14:ligatures w14:val="none"/>
        </w:rPr>
        <w:t xml:space="preserve"> it</w:t>
      </w:r>
      <w:r>
        <w:rPr>
          <w:rFonts w:ascii="Palatino Linotype" w:hAnsi="Palatino Linotype" w:eastAsia="Palatino Linotype" w:cs="Times New Roman"/>
          <w:bCs/>
          <w:kern w:val="0"/>
          <w14:ligatures w14:val="none"/>
        </w:rPr>
        <w:t xml:space="preserve"> intends to support carbon reduction, system reliability, and </w:t>
      </w:r>
      <w:r w:rsidRPr="00DE0E6A">
        <w:rPr>
          <w:rFonts w:ascii="Palatino Linotype" w:hAnsi="Palatino Linotype" w:eastAsia="Palatino Linotype" w:cs="Times New Roman"/>
          <w:bCs/>
          <w:kern w:val="0"/>
          <w14:ligatures w14:val="none"/>
        </w:rPr>
        <w:t>energy affordability. PG&amp;E proposes to allocate $1,703,363 in its 2025 Plan to this initiative.</w:t>
      </w:r>
      <w:r w:rsidRPr="00DE0E6A">
        <w:rPr>
          <w:rStyle w:val="FootnoteReference"/>
          <w:rFonts w:ascii="Palatino Linotype" w:hAnsi="Palatino Linotype" w:eastAsia="Palatino Linotype" w:cs="Times New Roman"/>
          <w:bCs/>
          <w:kern w:val="0"/>
          <w14:ligatures w14:val="none"/>
        </w:rPr>
        <w:footnoteReference w:id="45"/>
      </w:r>
    </w:p>
    <w:p w:rsidR="00912614" w:rsidP="007E7238" w:rsidRDefault="00912614" w14:paraId="292396B6" w14:textId="77777777">
      <w:pPr>
        <w:spacing w:after="0" w:line="276" w:lineRule="auto"/>
        <w:ind w:left="720"/>
        <w:rPr>
          <w:rFonts w:ascii="Palatino Linotype" w:hAnsi="Palatino Linotype" w:eastAsia="Palatino Linotype" w:cs="Times New Roman"/>
          <w:bCs/>
          <w:kern w:val="0"/>
          <w14:ligatures w14:val="none"/>
        </w:rPr>
      </w:pPr>
    </w:p>
    <w:p w:rsidRPr="00836A28" w:rsidR="00912614" w:rsidP="00836A28" w:rsidRDefault="00912614" w14:paraId="092B5129" w14:textId="77777777">
      <w:pPr>
        <w:pStyle w:val="ListParagraph"/>
        <w:numPr>
          <w:ilvl w:val="0"/>
          <w:numId w:val="1"/>
        </w:numPr>
        <w:spacing w:line="276" w:lineRule="auto"/>
        <w:rPr>
          <w:rFonts w:ascii="Palatino Linotype" w:hAnsi="Palatino Linotype" w:eastAsia="Palatino Linotype" w:cs="Palatino Linotype"/>
          <w:kern w:val="0"/>
          <w14:ligatures w14:val="none"/>
        </w:rPr>
      </w:pPr>
      <w:r w:rsidRPr="00836A28">
        <w:rPr>
          <w:rFonts w:ascii="Palatino Linotype" w:hAnsi="Palatino Linotype" w:eastAsia="Palatino Linotype" w:cs="Times New Roman"/>
          <w:kern w:val="0"/>
          <w14:ligatures w14:val="none"/>
        </w:rPr>
        <w:t>Sustainable Energy Solu</w:t>
      </w:r>
      <w:r w:rsidRPr="00836A28">
        <w:rPr>
          <w:rFonts w:ascii="Palatino Linotype" w:hAnsi="Palatino Linotype" w:eastAsia="Palatino Linotype" w:cs="Palatino Linotype"/>
          <w:kern w:val="0"/>
          <w14:ligatures w14:val="none"/>
        </w:rPr>
        <w:t>ti</w:t>
      </w:r>
      <w:r w:rsidRPr="00836A28">
        <w:rPr>
          <w:rFonts w:ascii="Palatino Linotype" w:hAnsi="Palatino Linotype" w:eastAsia="Palatino Linotype" w:cs="Times New Roman"/>
          <w:kern w:val="0"/>
          <w14:ligatures w14:val="none"/>
        </w:rPr>
        <w:t>ons</w:t>
      </w:r>
      <w:r w:rsidRPr="00836A28">
        <w:rPr>
          <w:rFonts w:ascii="Palatino Linotype" w:hAnsi="Palatino Linotype" w:eastAsia="Palatino Linotype" w:cs="Palatino Linotype"/>
          <w:kern w:val="0"/>
          <w14:ligatures w14:val="none"/>
        </w:rPr>
        <w:t xml:space="preserve"> </w:t>
      </w:r>
    </w:p>
    <w:p w:rsidR="00912614" w:rsidP="007E7238" w:rsidRDefault="00912614" w14:paraId="66C63770" w14:textId="27FCEC1A">
      <w:pPr>
        <w:spacing w:after="0" w:line="276" w:lineRule="auto"/>
        <w:ind w:lef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states that it seeks to develop projects within the Sustainable Energy Solutions Initiative to develop and deploy technologies such</w:t>
      </w:r>
      <w:r w:rsidRPr="005040DB">
        <w:rPr>
          <w:rFonts w:ascii="Palatino Linotype" w:hAnsi="Palatino Linotype" w:eastAsia="Palatino Linotype" w:cs="Times New Roman"/>
          <w:bCs/>
          <w:kern w:val="0"/>
          <w14:ligatures w14:val="none"/>
        </w:rPr>
        <w:t xml:space="preserve"> as networked geothermal systems, smart energy controls, storage, and hybrid hea</w:t>
      </w:r>
      <w:r w:rsidRPr="005040DB">
        <w:rPr>
          <w:rFonts w:ascii="Palatino Linotype" w:hAnsi="Palatino Linotype" w:eastAsia="Palatino Linotype" w:cs="Palatino Linotype"/>
          <w:bCs/>
          <w:kern w:val="0"/>
          <w14:ligatures w14:val="none"/>
        </w:rPr>
        <w:t>ti</w:t>
      </w:r>
      <w:r w:rsidRPr="005040DB">
        <w:rPr>
          <w:rFonts w:ascii="Palatino Linotype" w:hAnsi="Palatino Linotype" w:eastAsia="Palatino Linotype" w:cs="Times New Roman"/>
          <w:bCs/>
          <w:kern w:val="0"/>
          <w14:ligatures w14:val="none"/>
        </w:rPr>
        <w:t>ng technologies</w:t>
      </w:r>
      <w:r>
        <w:rPr>
          <w:rFonts w:ascii="Palatino Linotype" w:hAnsi="Palatino Linotype" w:eastAsia="Palatino Linotype" w:cs="Times New Roman"/>
          <w:bCs/>
          <w:kern w:val="0"/>
          <w14:ligatures w14:val="none"/>
        </w:rPr>
        <w:t xml:space="preserve">. PG&amp;E states that it intends to </w:t>
      </w:r>
      <w:r w:rsidRPr="005040DB">
        <w:rPr>
          <w:rFonts w:ascii="Palatino Linotype" w:hAnsi="Palatino Linotype" w:eastAsia="Palatino Linotype" w:cs="Times New Roman"/>
          <w:bCs/>
          <w:kern w:val="0"/>
          <w14:ligatures w14:val="none"/>
        </w:rPr>
        <w:t>improve affordability, reliability, and environmental outcomes</w:t>
      </w:r>
      <w:r>
        <w:rPr>
          <w:rFonts w:ascii="Palatino Linotype" w:hAnsi="Palatino Linotype" w:eastAsia="Palatino Linotype" w:cs="Times New Roman"/>
          <w:bCs/>
          <w:kern w:val="0"/>
          <w14:ligatures w14:val="none"/>
        </w:rPr>
        <w:t xml:space="preserve">, potentially in collaboration with the California Energy Commission (CEC) Gas RD&amp;D Program. PG&amp;E proposes to allocate </w:t>
      </w:r>
      <w:r w:rsidRPr="00813129">
        <w:rPr>
          <w:rFonts w:ascii="Palatino Linotype" w:hAnsi="Palatino Linotype" w:eastAsia="Palatino Linotype" w:cs="Times New Roman"/>
          <w:bCs/>
          <w:kern w:val="0"/>
          <w14:ligatures w14:val="none"/>
        </w:rPr>
        <w:t>$</w:t>
      </w:r>
      <w:r w:rsidRPr="00AB3D8E">
        <w:rPr>
          <w:rFonts w:ascii="Palatino Linotype" w:hAnsi="Palatino Linotype" w:eastAsia="Palatino Linotype" w:cs="Times New Roman"/>
          <w:bCs/>
          <w:kern w:val="0"/>
          <w14:ligatures w14:val="none"/>
        </w:rPr>
        <w:t>588,602</w:t>
      </w:r>
      <w:r>
        <w:rPr>
          <w:rFonts w:ascii="Palatino Linotype" w:hAnsi="Palatino Linotype" w:eastAsia="Palatino Linotype" w:cs="Times New Roman"/>
          <w:bCs/>
          <w:kern w:val="0"/>
          <w14:ligatures w14:val="none"/>
        </w:rPr>
        <w:t xml:space="preserve"> in its 2025 Plan</w:t>
      </w:r>
      <w:r w:rsidRPr="00A728DD">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to this initiative.</w:t>
      </w:r>
      <w:r>
        <w:rPr>
          <w:rStyle w:val="FootnoteReference"/>
          <w:rFonts w:ascii="Palatino Linotype" w:hAnsi="Palatino Linotype" w:eastAsia="Palatino Linotype" w:cs="Times New Roman"/>
          <w:bCs/>
          <w:kern w:val="0"/>
          <w14:ligatures w14:val="none"/>
        </w:rPr>
        <w:footnoteReference w:id="46"/>
      </w:r>
    </w:p>
    <w:p w:rsidR="00912614" w:rsidP="00361AB6" w:rsidRDefault="00912614" w14:paraId="46433B78" w14:textId="77777777">
      <w:pPr>
        <w:spacing w:after="0" w:line="276" w:lineRule="auto"/>
        <w:rPr>
          <w:rFonts w:ascii="Palatino Linotype" w:hAnsi="Palatino Linotype" w:eastAsia="Palatino Linotype" w:cs="Times New Roman"/>
          <w:bCs/>
          <w:kern w:val="0"/>
          <w14:ligatures w14:val="none"/>
        </w:rPr>
      </w:pPr>
    </w:p>
    <w:p w:rsidRPr="00836A28" w:rsidR="00912614" w:rsidP="00361AB6" w:rsidRDefault="00912614" w14:paraId="1C4D3453" w14:textId="77777777">
      <w:pPr>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Program Administration</w:t>
      </w:r>
    </w:p>
    <w:p w:rsidR="00912614" w:rsidP="00361AB6" w:rsidRDefault="00912614" w14:paraId="05EC89F7" w14:textId="65C79A4E">
      <w:pPr>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proposes to allocate ten percent of </w:t>
      </w:r>
      <w:r w:rsidR="00A749CF">
        <w:rPr>
          <w:rFonts w:ascii="Palatino Linotype" w:hAnsi="Palatino Linotype" w:eastAsia="Palatino Linotype" w:cs="Times New Roman"/>
          <w:bCs/>
          <w:kern w:val="0"/>
          <w14:ligatures w14:val="none"/>
        </w:rPr>
        <w:t>its</w:t>
      </w:r>
      <w:r w:rsidRPr="00DE0E6A">
        <w:rPr>
          <w:rFonts w:ascii="Palatino Linotype" w:hAnsi="Palatino Linotype" w:eastAsia="Palatino Linotype" w:cs="Times New Roman"/>
          <w:bCs/>
          <w:kern w:val="0"/>
          <w14:ligatures w14:val="none"/>
        </w:rPr>
        <w:t xml:space="preserve"> annual total budget to administrative costs, translating to $826,700 in its 2025 Plan.</w:t>
      </w:r>
      <w:r w:rsidRPr="00DE0E6A">
        <w:rPr>
          <w:rStyle w:val="FootnoteReference"/>
          <w:rFonts w:ascii="Palatino Linotype" w:hAnsi="Palatino Linotype" w:eastAsia="Palatino Linotype" w:cs="Times New Roman"/>
          <w:bCs/>
          <w:kern w:val="0"/>
          <w14:ligatures w14:val="none"/>
        </w:rPr>
        <w:footnoteReference w:id="47"/>
      </w:r>
    </w:p>
    <w:p w:rsidR="00311637" w:rsidP="00361AB6" w:rsidRDefault="00311637" w14:paraId="34EC5BEA" w14:textId="77777777">
      <w:pPr>
        <w:spacing w:line="276" w:lineRule="auto"/>
        <w:rPr>
          <w:rFonts w:ascii="Palatino Linotype" w:hAnsi="Palatino Linotype" w:eastAsia="Palatino Linotype" w:cs="Times New Roman"/>
          <w:bCs/>
          <w:i/>
          <w:iCs/>
          <w:kern w:val="0"/>
          <w14:ligatures w14:val="none"/>
        </w:rPr>
      </w:pPr>
    </w:p>
    <w:p w:rsidRPr="00836A28" w:rsidR="00311637" w:rsidP="00EE1195" w:rsidRDefault="00311637" w14:paraId="0F89F386" w14:textId="71145ACD">
      <w:pPr>
        <w:widowControl w:val="0"/>
        <w:spacing w:line="276" w:lineRule="auto"/>
        <w:rPr>
          <w:rFonts w:ascii="Palatino Linotype" w:hAnsi="Palatino Linotype" w:eastAsia="Palatino Linotype" w:cs="Times New Roman"/>
          <w:i/>
          <w:kern w:val="0"/>
          <w14:ligatures w14:val="none"/>
        </w:rPr>
      </w:pPr>
      <w:r w:rsidRPr="00836A28">
        <w:rPr>
          <w:rFonts w:ascii="Palatino Linotype" w:hAnsi="Palatino Linotype" w:eastAsia="Palatino Linotype" w:cs="Times New Roman"/>
          <w:i/>
          <w:kern w:val="0"/>
          <w14:ligatures w14:val="none"/>
        </w:rPr>
        <w:t xml:space="preserve">Gas RD&amp;D Database Development </w:t>
      </w:r>
    </w:p>
    <w:p w:rsidR="00311637" w:rsidP="00EE1195" w:rsidRDefault="00311637" w14:paraId="3A50112E" w14:textId="6C3784CB">
      <w:pPr>
        <w:widowControl w:val="0"/>
        <w:spacing w:after="0" w:line="276"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A11BBB">
        <w:rPr>
          <w:rFonts w:ascii="Palatino Linotype" w:hAnsi="Palatino Linotype" w:eastAsia="Palatino Linotype" w:cs="Times New Roman"/>
          <w:bCs/>
          <w:kern w:val="0"/>
          <w14:ligatures w14:val="none"/>
        </w:rPr>
        <w:t xml:space="preserve">proposes to </w:t>
      </w:r>
      <w:r>
        <w:rPr>
          <w:rFonts w:ascii="Palatino Linotype" w:hAnsi="Palatino Linotype" w:eastAsia="Palatino Linotype" w:cs="Times New Roman"/>
          <w:bCs/>
          <w:kern w:val="0"/>
          <w14:ligatures w14:val="none"/>
        </w:rPr>
        <w:t xml:space="preserve">allocate </w:t>
      </w:r>
      <w:r w:rsidRPr="00B420C1">
        <w:rPr>
          <w:rFonts w:ascii="Palatino Linotype" w:hAnsi="Palatino Linotype" w:eastAsia="Palatino Linotype" w:cs="Times New Roman"/>
          <w:bCs/>
          <w:kern w:val="0"/>
          <w14:ligatures w14:val="none"/>
        </w:rPr>
        <w:t>$56,987</w:t>
      </w:r>
      <w:r>
        <w:rPr>
          <w:rFonts w:ascii="Palatino Linotype" w:hAnsi="Palatino Linotype" w:eastAsia="Palatino Linotype" w:cs="Times New Roman"/>
          <w:bCs/>
          <w:kern w:val="0"/>
          <w14:ligatures w14:val="none"/>
        </w:rPr>
        <w:t xml:space="preserve"> in its 2025 Plan </w:t>
      </w:r>
      <w:r w:rsidR="003F771B">
        <w:rPr>
          <w:rFonts w:ascii="Palatino Linotype" w:hAnsi="Palatino Linotype" w:eastAsia="Palatino Linotype" w:cs="Times New Roman"/>
          <w:bCs/>
          <w:kern w:val="0"/>
          <w14:ligatures w14:val="none"/>
        </w:rPr>
        <w:t>for</w:t>
      </w:r>
      <w:r w:rsidR="00D5234E">
        <w:rPr>
          <w:rFonts w:ascii="Palatino Linotype" w:hAnsi="Palatino Linotype" w:eastAsia="Palatino Linotype" w:cs="Times New Roman"/>
          <w:bCs/>
          <w:kern w:val="0"/>
          <w14:ligatures w14:val="none"/>
        </w:rPr>
        <w:t xml:space="preserve"> its proportional share </w:t>
      </w:r>
      <w:r w:rsidR="003F771B">
        <w:rPr>
          <w:rFonts w:ascii="Palatino Linotype" w:hAnsi="Palatino Linotype" w:eastAsia="Palatino Linotype" w:cs="Times New Roman"/>
          <w:bCs/>
          <w:kern w:val="0"/>
          <w14:ligatures w14:val="none"/>
        </w:rPr>
        <w:t>of</w:t>
      </w:r>
      <w:r w:rsidR="00D5234E">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lastRenderedPageBreak/>
        <w:t xml:space="preserve">developing </w:t>
      </w:r>
      <w:r w:rsidR="00531E6C">
        <w:rPr>
          <w:rFonts w:ascii="Palatino Linotype" w:hAnsi="Palatino Linotype" w:eastAsia="Palatino Linotype" w:cs="Times New Roman"/>
          <w:bCs/>
          <w:kern w:val="0"/>
          <w14:ligatures w14:val="none"/>
        </w:rPr>
        <w:t xml:space="preserve">a </w:t>
      </w:r>
      <w:r w:rsidR="00A11BBB">
        <w:rPr>
          <w:rFonts w:ascii="Palatino Linotype" w:hAnsi="Palatino Linotype" w:eastAsia="Palatino Linotype" w:cs="Times New Roman"/>
          <w:bCs/>
          <w:kern w:val="0"/>
          <w14:ligatures w14:val="none"/>
        </w:rPr>
        <w:t>comprehensive</w:t>
      </w:r>
      <w:r>
        <w:rPr>
          <w:rFonts w:ascii="Palatino Linotype" w:hAnsi="Palatino Linotype" w:eastAsia="Palatino Linotype" w:cs="Times New Roman"/>
          <w:bCs/>
          <w:kern w:val="0"/>
          <w14:ligatures w14:val="none"/>
        </w:rPr>
        <w:t xml:space="preserve"> Gas RD&amp;D Database.</w:t>
      </w:r>
      <w:r>
        <w:rPr>
          <w:rStyle w:val="FootnoteReference"/>
          <w:rFonts w:ascii="Palatino Linotype" w:hAnsi="Palatino Linotype" w:eastAsia="Palatino Linotype" w:cs="Times New Roman"/>
          <w:bCs/>
          <w:kern w:val="0"/>
          <w14:ligatures w14:val="none"/>
        </w:rPr>
        <w:footnoteReference w:id="48"/>
      </w:r>
      <w:r>
        <w:rPr>
          <w:rFonts w:ascii="Palatino Linotype" w:hAnsi="Palatino Linotype" w:eastAsia="Palatino Linotype" w:cs="Times New Roman"/>
          <w:bCs/>
          <w:kern w:val="0"/>
          <w14:ligatures w14:val="none"/>
        </w:rPr>
        <w:t xml:space="preserve"> </w:t>
      </w:r>
    </w:p>
    <w:p w:rsidRPr="00547AA3" w:rsidR="0022505D" w:rsidP="00361AB6" w:rsidRDefault="0022505D" w14:paraId="1E0B0867" w14:textId="77777777">
      <w:pPr>
        <w:spacing w:after="0" w:line="276" w:lineRule="auto"/>
        <w:rPr>
          <w:rFonts w:ascii="Palatino Linotype" w:hAnsi="Palatino Linotype" w:eastAsia="Palatino Linotype" w:cs="Times New Roman"/>
          <w:bCs/>
          <w:kern w:val="0"/>
          <w14:ligatures w14:val="none"/>
        </w:rPr>
      </w:pPr>
    </w:p>
    <w:p w:rsidRPr="001942D0" w:rsidR="00A76F4A" w:rsidP="00361AB6" w:rsidRDefault="00A76F4A" w14:paraId="030741A5" w14:textId="77777777">
      <w:pPr>
        <w:keepNext/>
        <w:spacing w:before="120" w:after="240" w:line="276"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9946C1" w:rsidP="00361AB6" w:rsidRDefault="00EE398B" w14:paraId="011CA143" w14:textId="381B1C70">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Notice of Advice Letter 5077-G-A was made by publication on the Commission’s Daily Calendar on</w:t>
      </w:r>
      <w:r w:rsidR="00AA4527">
        <w:rPr>
          <w:rFonts w:ascii="Palatino Linotype" w:hAnsi="Palatino Linotype" w:eastAsia="Palatino Linotype" w:cs="Times New Roman"/>
          <w:kern w:val="0"/>
          <w14:ligatures w14:val="none"/>
        </w:rPr>
        <w:t xml:space="preserve"> August 25, 2025.</w:t>
      </w:r>
      <w:r w:rsidRPr="00EE398B">
        <w:rPr>
          <w:rFonts w:ascii="Palatino Linotype" w:hAnsi="Palatino Linotype" w:eastAsia="Palatino Linotype" w:cs="Times New Roman"/>
          <w:color w:val="808080" w:themeColor="background1" w:themeShade="80"/>
          <w:kern w:val="0"/>
          <w14:ligatures w14:val="none"/>
        </w:rPr>
        <w:t xml:space="preserve"> </w:t>
      </w:r>
      <w:r>
        <w:rPr>
          <w:rFonts w:ascii="Palatino Linotype" w:hAnsi="Palatino Linotype" w:eastAsia="Palatino Linotype" w:cs="Times New Roman"/>
          <w:kern w:val="0"/>
          <w14:ligatures w14:val="none"/>
        </w:rPr>
        <w:t>Notice of Advice Letter 5069-G was made by publication on the Commission’s Daily Calendar on June 6, 2025. P</w:t>
      </w:r>
      <w:r w:rsidRPr="009F7A81" w:rsidR="009F7A81">
        <w:rPr>
          <w:rFonts w:ascii="Palatino Linotype" w:hAnsi="Palatino Linotype" w:eastAsia="Palatino Linotype" w:cs="Times New Roman"/>
          <w:color w:val="000000" w:themeColor="text1"/>
          <w:kern w:val="0"/>
          <w14:ligatures w14:val="none"/>
        </w:rPr>
        <w:t>G&amp;E</w:t>
      </w:r>
      <w:r w:rsidRPr="009F7A81" w:rsidR="009946C1">
        <w:rPr>
          <w:rFonts w:ascii="Palatino Linotype" w:hAnsi="Palatino Linotype" w:eastAsia="Palatino Linotype" w:cs="Times New Roman"/>
          <w:color w:val="000000" w:themeColor="text1"/>
          <w:kern w:val="0"/>
          <w14:ligatures w14:val="none"/>
        </w:rPr>
        <w:t xml:space="preserve"> states that cop</w:t>
      </w:r>
      <w:r>
        <w:rPr>
          <w:rFonts w:ascii="Palatino Linotype" w:hAnsi="Palatino Linotype" w:eastAsia="Palatino Linotype" w:cs="Times New Roman"/>
          <w:color w:val="000000" w:themeColor="text1"/>
          <w:kern w:val="0"/>
          <w14:ligatures w14:val="none"/>
        </w:rPr>
        <w:t>ies</w:t>
      </w:r>
      <w:r w:rsidRPr="009F7A81" w:rsidR="009946C1">
        <w:rPr>
          <w:rFonts w:ascii="Palatino Linotype" w:hAnsi="Palatino Linotype" w:eastAsia="Palatino Linotype" w:cs="Times New Roman"/>
          <w:color w:val="000000" w:themeColor="text1"/>
          <w:kern w:val="0"/>
          <w14:ligatures w14:val="none"/>
        </w:rPr>
        <w:t xml:space="preserve"> of the Advice Letter</w:t>
      </w:r>
      <w:r w:rsidR="008B6934">
        <w:rPr>
          <w:rFonts w:ascii="Palatino Linotype" w:hAnsi="Palatino Linotype" w:eastAsia="Palatino Linotype" w:cs="Times New Roman"/>
          <w:color w:val="000000" w:themeColor="text1"/>
          <w:kern w:val="0"/>
          <w14:ligatures w14:val="none"/>
        </w:rPr>
        <w:t>s</w:t>
      </w:r>
      <w:r w:rsidRPr="009F7A81" w:rsidR="009946C1">
        <w:rPr>
          <w:rFonts w:ascii="Palatino Linotype" w:hAnsi="Palatino Linotype" w:eastAsia="Palatino Linotype" w:cs="Times New Roman"/>
          <w:color w:val="000000" w:themeColor="text1"/>
          <w:kern w:val="0"/>
          <w14:ligatures w14:val="none"/>
        </w:rPr>
        <w:t xml:space="preserve"> w</w:t>
      </w:r>
      <w:r>
        <w:rPr>
          <w:rFonts w:ascii="Palatino Linotype" w:hAnsi="Palatino Linotype" w:eastAsia="Palatino Linotype" w:cs="Times New Roman"/>
          <w:color w:val="000000" w:themeColor="text1"/>
          <w:kern w:val="0"/>
          <w14:ligatures w14:val="none"/>
        </w:rPr>
        <w:t>ere</w:t>
      </w:r>
      <w:r w:rsidRPr="009F7A81" w:rsidR="009946C1">
        <w:rPr>
          <w:rFonts w:ascii="Palatino Linotype" w:hAnsi="Palatino Linotype" w:eastAsia="Palatino Linotype" w:cs="Times New Roman"/>
          <w:color w:val="000000" w:themeColor="text1"/>
          <w:kern w:val="0"/>
          <w14:ligatures w14:val="none"/>
        </w:rPr>
        <w:t xml:space="preserve"> mailed and distributed in accordance with Section 4 of General Order 96-B.</w:t>
      </w:r>
    </w:p>
    <w:p w:rsidRPr="001942D0" w:rsidR="00AF74D5" w:rsidP="00361AB6" w:rsidRDefault="00AF74D5" w14:paraId="408FBCEB" w14:textId="77777777">
      <w:pPr>
        <w:spacing w:after="0" w:line="276" w:lineRule="auto"/>
        <w:rPr>
          <w:rFonts w:ascii="Palatino Linotype" w:hAnsi="Palatino Linotype" w:eastAsia="Palatino Linotype" w:cs="Times New Roman"/>
          <w:kern w:val="0"/>
          <w14:ligatures w14:val="none"/>
        </w:rPr>
      </w:pPr>
    </w:p>
    <w:p w:rsidR="00A76F4A" w:rsidP="00361AB6" w:rsidRDefault="00A76F4A" w14:paraId="3DC7474D" w14:textId="77777777">
      <w:pPr>
        <w:keepNext/>
        <w:spacing w:before="120" w:after="240" w:line="276"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361AB6" w:rsidRDefault="00E7721E" w14:paraId="7EEC86B5" w14:textId="20D15392">
      <w:pPr>
        <w:spacing w:after="0"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Advice Letter</w:t>
      </w:r>
      <w:r w:rsidR="00D4605A">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w:t>
      </w:r>
      <w:r w:rsidR="00D4605A">
        <w:rPr>
          <w:rFonts w:ascii="Palatino Linotype" w:hAnsi="Palatino Linotype" w:eastAsia="Palatino Linotype" w:cs="Times New Roman"/>
          <w:kern w:val="0"/>
          <w14:ligatures w14:val="none"/>
        </w:rPr>
        <w:t>5077</w:t>
      </w:r>
      <w:r>
        <w:rPr>
          <w:rFonts w:ascii="Palatino Linotype" w:hAnsi="Palatino Linotype" w:eastAsia="Palatino Linotype" w:cs="Times New Roman"/>
          <w:kern w:val="0"/>
          <w14:ligatures w14:val="none"/>
        </w:rPr>
        <w:t>-G</w:t>
      </w:r>
      <w:r w:rsidR="003B7042">
        <w:rPr>
          <w:rFonts w:ascii="Palatino Linotype" w:hAnsi="Palatino Linotype" w:eastAsia="Palatino Linotype" w:cs="Times New Roman"/>
          <w:kern w:val="0"/>
          <w14:ligatures w14:val="none"/>
        </w:rPr>
        <w:t>-A</w:t>
      </w:r>
      <w:r>
        <w:rPr>
          <w:rFonts w:ascii="Palatino Linotype" w:hAnsi="Palatino Linotype" w:eastAsia="Palatino Linotype" w:cs="Times New Roman"/>
          <w:kern w:val="0"/>
          <w14:ligatures w14:val="none"/>
        </w:rPr>
        <w:t xml:space="preserve"> </w:t>
      </w:r>
      <w:r w:rsidR="00D4605A">
        <w:rPr>
          <w:rFonts w:ascii="Palatino Linotype" w:hAnsi="Palatino Linotype" w:eastAsia="Palatino Linotype" w:cs="Times New Roman"/>
          <w:kern w:val="0"/>
          <w14:ligatures w14:val="none"/>
        </w:rPr>
        <w:t xml:space="preserve">and </w:t>
      </w:r>
      <w:r w:rsidR="00FA66B2">
        <w:rPr>
          <w:rFonts w:ascii="Palatino Linotype" w:hAnsi="Palatino Linotype" w:eastAsia="Palatino Linotype" w:cs="Times New Roman"/>
          <w:kern w:val="0"/>
          <w14:ligatures w14:val="none"/>
        </w:rPr>
        <w:t xml:space="preserve">5069-G </w:t>
      </w:r>
      <w:r w:rsidRPr="00FA66B2" w:rsidR="00FA66B2">
        <w:rPr>
          <w:rFonts w:ascii="Palatino Linotype" w:hAnsi="Palatino Linotype" w:eastAsia="Palatino Linotype" w:cs="Times New Roman"/>
          <w:color w:val="000000" w:themeColor="text1"/>
          <w:kern w:val="0"/>
          <w14:ligatures w14:val="none"/>
        </w:rPr>
        <w:t>were</w:t>
      </w:r>
      <w:r w:rsidRPr="00FA66B2">
        <w:rPr>
          <w:rFonts w:ascii="Palatino Linotype" w:hAnsi="Palatino Linotype" w:eastAsia="Palatino Linotype" w:cs="Times New Roman"/>
          <w:color w:val="000000" w:themeColor="text1"/>
          <w:kern w:val="0"/>
          <w14:ligatures w14:val="none"/>
        </w:rPr>
        <w:t xml:space="preserve"> not protested</w:t>
      </w:r>
      <w:r w:rsidRPr="00FA66B2" w:rsidR="00FA66B2">
        <w:rPr>
          <w:rFonts w:ascii="Palatino Linotype" w:hAnsi="Palatino Linotype" w:eastAsia="Palatino Linotype" w:cs="Times New Roman"/>
          <w:color w:val="000000" w:themeColor="text1"/>
          <w:kern w:val="0"/>
          <w14:ligatures w14:val="none"/>
        </w:rPr>
        <w:t>.</w:t>
      </w:r>
    </w:p>
    <w:p w:rsidRPr="001942D0" w:rsidR="00AF74D5" w:rsidP="00361AB6" w:rsidRDefault="00AF74D5" w14:paraId="52EFDF24" w14:textId="77777777">
      <w:pPr>
        <w:spacing w:after="0" w:line="276" w:lineRule="auto"/>
        <w:rPr>
          <w:rFonts w:ascii="Palatino Linotype" w:hAnsi="Palatino Linotype" w:eastAsia="Palatino Linotype" w:cs="Times New Roman"/>
          <w:kern w:val="0"/>
          <w14:ligatures w14:val="none"/>
        </w:rPr>
      </w:pPr>
    </w:p>
    <w:p w:rsidRPr="001942D0" w:rsidR="00A76F4A" w:rsidP="00361AB6" w:rsidRDefault="00A76F4A" w14:paraId="52F8DB71" w14:textId="77777777">
      <w:pPr>
        <w:keepNext/>
        <w:spacing w:before="120" w:after="240" w:line="276"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713620" w:rsidR="00420FE1" w:rsidP="00713620" w:rsidRDefault="0016599B" w14:paraId="787B0AF1" w14:textId="7CF304A1">
      <w:pPr>
        <w:pStyle w:val="10sp0"/>
        <w:spacing w:line="276" w:lineRule="auto"/>
        <w:rPr>
          <w:rFonts w:ascii="Palatino Linotype" w:hAnsi="Palatino Linotype"/>
          <w:b/>
          <w:bCs/>
        </w:rPr>
      </w:pPr>
      <w:r w:rsidRPr="0087523A">
        <w:rPr>
          <w:rFonts w:ascii="Palatino Linotype" w:hAnsi="Palatino Linotype"/>
          <w:b/>
          <w:bCs/>
        </w:rPr>
        <w:t xml:space="preserve">Compliance </w:t>
      </w:r>
      <w:r w:rsidRPr="0087523A" w:rsidR="000726AA">
        <w:rPr>
          <w:rFonts w:ascii="Palatino Linotype" w:hAnsi="Palatino Linotype"/>
          <w:b/>
          <w:bCs/>
        </w:rPr>
        <w:t xml:space="preserve">Assessment of </w:t>
      </w:r>
      <w:r w:rsidRPr="0087523A" w:rsidR="00964720">
        <w:rPr>
          <w:rFonts w:ascii="Palatino Linotype" w:hAnsi="Palatino Linotype"/>
          <w:b/>
          <w:bCs/>
        </w:rPr>
        <w:t xml:space="preserve">AL 5077-G-A </w:t>
      </w:r>
      <w:r w:rsidR="00067ABF">
        <w:rPr>
          <w:rFonts w:ascii="Palatino Linotype" w:hAnsi="Palatino Linotype"/>
          <w:b/>
          <w:bCs/>
        </w:rPr>
        <w:t>- 2024 Gas RD&amp;D Plan</w:t>
      </w:r>
    </w:p>
    <w:p w:rsidRPr="00527781" w:rsidR="0037472F" w:rsidP="007E4725" w:rsidRDefault="0016599B" w14:paraId="0ABCF983" w14:textId="0370F918">
      <w:pPr>
        <w:pStyle w:val="10sp0"/>
        <w:spacing w:after="0" w:line="276" w:lineRule="auto"/>
        <w:rPr>
          <w:rFonts w:ascii="Palatino Linotype" w:hAnsi="Palatino Linotype"/>
        </w:rPr>
      </w:pPr>
      <w:r>
        <w:rPr>
          <w:rFonts w:ascii="Palatino Linotype" w:hAnsi="Palatino Linotype"/>
        </w:rPr>
        <w:t>The C</w:t>
      </w:r>
      <w:r w:rsidR="00361AB6">
        <w:rPr>
          <w:rFonts w:ascii="Palatino Linotype" w:hAnsi="Palatino Linotype"/>
        </w:rPr>
        <w:t>ommission</w:t>
      </w:r>
      <w:r>
        <w:rPr>
          <w:rFonts w:ascii="Palatino Linotype" w:hAnsi="Palatino Linotype"/>
        </w:rPr>
        <w:t xml:space="preserve"> </w:t>
      </w:r>
      <w:r w:rsidR="56659314">
        <w:rPr>
          <w:rFonts w:ascii="Palatino Linotype" w:hAnsi="Palatino Linotype"/>
        </w:rPr>
        <w:t xml:space="preserve">conducted </w:t>
      </w:r>
      <w:r w:rsidR="00527781">
        <w:rPr>
          <w:rFonts w:ascii="Palatino Linotype" w:hAnsi="Palatino Linotype"/>
        </w:rPr>
        <w:t xml:space="preserve">a </w:t>
      </w:r>
      <w:r w:rsidR="56659314">
        <w:rPr>
          <w:rFonts w:ascii="Palatino Linotype" w:hAnsi="Palatino Linotype"/>
        </w:rPr>
        <w:t>compliance assessment o</w:t>
      </w:r>
      <w:r w:rsidR="3246E21B">
        <w:rPr>
          <w:rFonts w:ascii="Palatino Linotype" w:hAnsi="Palatino Linotype"/>
        </w:rPr>
        <w:t>f</w:t>
      </w:r>
      <w:r w:rsidR="56659314">
        <w:rPr>
          <w:rFonts w:ascii="Palatino Linotype" w:hAnsi="Palatino Linotype"/>
        </w:rPr>
        <w:t xml:space="preserve"> </w:t>
      </w:r>
      <w:r>
        <w:rPr>
          <w:rFonts w:ascii="Palatino Linotype" w:hAnsi="Palatino Linotype"/>
        </w:rPr>
        <w:t xml:space="preserve">PG&amp;E’s </w:t>
      </w:r>
      <w:r w:rsidR="002674B9">
        <w:rPr>
          <w:rFonts w:ascii="Palatino Linotype" w:hAnsi="Palatino Linotype"/>
        </w:rPr>
        <w:t>AL 5077-G-A</w:t>
      </w:r>
      <w:r w:rsidRPr="47984FA7">
        <w:rPr>
          <w:rStyle w:val="FootnoteReference"/>
          <w:rFonts w:ascii="Palatino Linotype" w:hAnsi="Palatino Linotype"/>
        </w:rPr>
        <w:footnoteReference w:id="49"/>
      </w:r>
      <w:r w:rsidR="002674B9">
        <w:rPr>
          <w:rFonts w:ascii="Palatino Linotype" w:hAnsi="Palatino Linotype"/>
        </w:rPr>
        <w:t xml:space="preserve"> </w:t>
      </w:r>
      <w:r w:rsidR="00FD0CAE">
        <w:rPr>
          <w:rFonts w:ascii="Palatino Linotype" w:hAnsi="Palatino Linotype"/>
        </w:rPr>
        <w:t>proposing</w:t>
      </w:r>
      <w:r w:rsidR="002674B9">
        <w:rPr>
          <w:rFonts w:ascii="Palatino Linotype" w:hAnsi="Palatino Linotype"/>
        </w:rPr>
        <w:t xml:space="preserve"> its 2024 Gas </w:t>
      </w:r>
      <w:r w:rsidR="00507EEC">
        <w:rPr>
          <w:rFonts w:ascii="Palatino Linotype" w:hAnsi="Palatino Linotype"/>
        </w:rPr>
        <w:t xml:space="preserve">RD&amp;D Investment Plan and </w:t>
      </w:r>
      <w:r w:rsidR="001D7A91">
        <w:rPr>
          <w:rFonts w:ascii="Palatino Linotype" w:hAnsi="Palatino Linotype"/>
        </w:rPr>
        <w:t>requesting</w:t>
      </w:r>
      <w:r w:rsidR="00507EEC">
        <w:rPr>
          <w:rFonts w:ascii="Palatino Linotype" w:hAnsi="Palatino Linotype"/>
        </w:rPr>
        <w:t xml:space="preserve"> recovery </w:t>
      </w:r>
      <w:r w:rsidR="001D7A91">
        <w:rPr>
          <w:rFonts w:ascii="Palatino Linotype" w:hAnsi="Palatino Linotype"/>
        </w:rPr>
        <w:t>of</w:t>
      </w:r>
      <w:r w:rsidR="00507EEC">
        <w:rPr>
          <w:rFonts w:ascii="Palatino Linotype" w:hAnsi="Palatino Linotype"/>
        </w:rPr>
        <w:t xml:space="preserve"> </w:t>
      </w:r>
      <w:r w:rsidR="00B56FDF">
        <w:rPr>
          <w:rFonts w:ascii="Palatino Linotype" w:hAnsi="Palatino Linotype"/>
        </w:rPr>
        <w:t>other costs incurred in</w:t>
      </w:r>
      <w:r w:rsidR="00507EEC">
        <w:rPr>
          <w:rFonts w:ascii="Palatino Linotype" w:hAnsi="Palatino Linotype"/>
        </w:rPr>
        <w:t xml:space="preserve"> 2023 and 2024</w:t>
      </w:r>
      <w:r w:rsidR="00B56FDF">
        <w:rPr>
          <w:rFonts w:ascii="Palatino Linotype" w:hAnsi="Palatino Linotype"/>
        </w:rPr>
        <w:t>.</w:t>
      </w:r>
      <w:r w:rsidR="00F0016A">
        <w:rPr>
          <w:rFonts w:ascii="Palatino Linotype" w:hAnsi="Palatino Linotype"/>
        </w:rPr>
        <w:t xml:space="preserve"> As described above, </w:t>
      </w:r>
      <w:r w:rsidR="00755FB4">
        <w:rPr>
          <w:rFonts w:ascii="Palatino Linotype" w:hAnsi="Palatino Linotype"/>
        </w:rPr>
        <w:t>staff assessed PG&amp;E’s 2024 Plan</w:t>
      </w:r>
      <w:r w:rsidR="00507EEC">
        <w:rPr>
          <w:rFonts w:ascii="Palatino Linotype" w:hAnsi="Palatino Linotype"/>
        </w:rPr>
        <w:t xml:space="preserve"> </w:t>
      </w:r>
      <w:r w:rsidR="004D511B">
        <w:rPr>
          <w:rFonts w:ascii="Palatino Linotype" w:hAnsi="Palatino Linotype"/>
        </w:rPr>
        <w:t xml:space="preserve">based on </w:t>
      </w:r>
      <w:r w:rsidR="00803739">
        <w:rPr>
          <w:rFonts w:ascii="Palatino Linotype" w:hAnsi="Palatino Linotype"/>
        </w:rPr>
        <w:t>c</w:t>
      </w:r>
      <w:r w:rsidR="004D511B">
        <w:rPr>
          <w:rFonts w:ascii="Palatino Linotype" w:hAnsi="Palatino Linotype"/>
        </w:rPr>
        <w:t>onsistency with</w:t>
      </w:r>
      <w:r w:rsidR="00803739">
        <w:rPr>
          <w:rFonts w:ascii="Palatino Linotype" w:hAnsi="Palatino Linotype"/>
        </w:rPr>
        <w:t xml:space="preserve"> </w:t>
      </w:r>
      <w:r w:rsidR="3795409B">
        <w:rPr>
          <w:rFonts w:ascii="Palatino Linotype" w:hAnsi="Palatino Linotype"/>
        </w:rPr>
        <w:t xml:space="preserve">requirements set in </w:t>
      </w:r>
      <w:r w:rsidR="00FD4C57">
        <w:rPr>
          <w:rFonts w:ascii="Palatino Linotype" w:hAnsi="Palatino Linotype"/>
        </w:rPr>
        <w:t>D</w:t>
      </w:r>
      <w:r w:rsidRPr="00803739" w:rsidR="00767C3B">
        <w:rPr>
          <w:rFonts w:ascii="Palatino Linotype" w:hAnsi="Palatino Linotype"/>
        </w:rPr>
        <w:t>.23-11-069</w:t>
      </w:r>
      <w:r w:rsidR="00EC080F">
        <w:rPr>
          <w:rFonts w:ascii="Palatino Linotype" w:hAnsi="Palatino Linotype"/>
        </w:rPr>
        <w:t xml:space="preserve">and </w:t>
      </w:r>
      <w:r w:rsidR="456056D6">
        <w:rPr>
          <w:rFonts w:ascii="Palatino Linotype" w:hAnsi="Palatino Linotype"/>
        </w:rPr>
        <w:t>Public Utilities Code 740.1,</w:t>
      </w:r>
      <w:r w:rsidRPr="00BF3B74" w:rsidR="00117268">
        <w:rPr>
          <w:rStyle w:val="FootnoteReference"/>
          <w:rFonts w:ascii="Palatino Linotype" w:hAnsi="Palatino Linotype"/>
          <w:color w:val="000000" w:themeColor="text1"/>
        </w:rPr>
        <w:footnoteReference w:id="50"/>
      </w:r>
      <w:r w:rsidRPr="005E5657" w:rsidR="00117268">
        <w:rPr>
          <w:rFonts w:ascii="Palatino Linotype" w:hAnsi="Palatino Linotype"/>
          <w:color w:val="0070C0"/>
        </w:rPr>
        <w:t xml:space="preserve"> </w:t>
      </w:r>
      <w:r w:rsidRPr="005E5657" w:rsidR="456056D6">
        <w:rPr>
          <w:rFonts w:ascii="Palatino Linotype" w:hAnsi="Palatino Linotype"/>
          <w:color w:val="0070C0"/>
        </w:rPr>
        <w:t xml:space="preserve"> </w:t>
      </w:r>
      <w:r w:rsidR="456056D6">
        <w:rPr>
          <w:rFonts w:ascii="Palatino Linotype" w:hAnsi="Palatino Linotype"/>
        </w:rPr>
        <w:t>among</w:t>
      </w:r>
      <w:r w:rsidR="00EC080F">
        <w:rPr>
          <w:rFonts w:ascii="Palatino Linotype" w:hAnsi="Palatino Linotype"/>
        </w:rPr>
        <w:t xml:space="preserve"> </w:t>
      </w:r>
      <w:r w:rsidR="00D87D4F">
        <w:rPr>
          <w:rFonts w:ascii="Palatino Linotype" w:hAnsi="Palatino Linotype"/>
        </w:rPr>
        <w:t xml:space="preserve">other </w:t>
      </w:r>
      <w:r w:rsidR="006F2241">
        <w:rPr>
          <w:rFonts w:ascii="Palatino Linotype" w:hAnsi="Palatino Linotype"/>
        </w:rPr>
        <w:t xml:space="preserve">Commission </w:t>
      </w:r>
      <w:r w:rsidR="00493C3A">
        <w:rPr>
          <w:rFonts w:ascii="Palatino Linotype" w:hAnsi="Palatino Linotype"/>
        </w:rPr>
        <w:t>guidance</w:t>
      </w:r>
      <w:r w:rsidR="009346E3">
        <w:rPr>
          <w:rFonts w:ascii="Palatino Linotype" w:hAnsi="Palatino Linotype"/>
        </w:rPr>
        <w:t>.</w:t>
      </w:r>
      <w:r w:rsidR="00720F90">
        <w:rPr>
          <w:rStyle w:val="FootnoteReference"/>
          <w:rFonts w:ascii="Palatino Linotype" w:hAnsi="Palatino Linotype"/>
        </w:rPr>
        <w:footnoteReference w:id="51"/>
      </w:r>
      <w:r w:rsidR="009A77B0">
        <w:rPr>
          <w:rFonts w:ascii="Palatino Linotype" w:hAnsi="Palatino Linotype"/>
        </w:rPr>
        <w:t xml:space="preserve"> </w:t>
      </w:r>
      <w:r w:rsidRPr="61D6D4C1" w:rsidR="00E636DC">
        <w:rPr>
          <w:rFonts w:ascii="Palatino Linotype" w:hAnsi="Palatino Linotype"/>
          <w:color w:val="000000" w:themeColor="text1"/>
        </w:rPr>
        <w:t>In summary, t</w:t>
      </w:r>
      <w:r w:rsidRPr="61D6D4C1" w:rsidR="00C94B79">
        <w:rPr>
          <w:rFonts w:ascii="Palatino Linotype" w:hAnsi="Palatino Linotype"/>
          <w:color w:val="000000" w:themeColor="text1"/>
        </w:rPr>
        <w:t xml:space="preserve">he Commission finds that </w:t>
      </w:r>
      <w:r w:rsidRPr="61D6D4C1" w:rsidR="007E4725">
        <w:rPr>
          <w:rFonts w:ascii="Palatino Linotype" w:hAnsi="Palatino Linotype"/>
          <w:color w:val="000000" w:themeColor="text1"/>
        </w:rPr>
        <w:t>PG&amp;E is not compliant w</w:t>
      </w:r>
      <w:r w:rsidRPr="61D6D4C1" w:rsidR="00153B2C">
        <w:rPr>
          <w:rFonts w:ascii="Palatino Linotype" w:hAnsi="Palatino Linotype"/>
          <w:color w:val="000000" w:themeColor="text1"/>
        </w:rPr>
        <w:t xml:space="preserve">ith these requirements </w:t>
      </w:r>
      <w:r w:rsidRPr="61D6D4C1" w:rsidR="004931F9">
        <w:rPr>
          <w:rFonts w:ascii="Palatino Linotype" w:hAnsi="Palatino Linotype"/>
          <w:color w:val="000000" w:themeColor="text1"/>
        </w:rPr>
        <w:t xml:space="preserve">in AL 5077-G-A </w:t>
      </w:r>
      <w:r w:rsidRPr="61D6D4C1" w:rsidR="00D40940">
        <w:rPr>
          <w:rFonts w:ascii="Palatino Linotype" w:hAnsi="Palatino Linotype"/>
          <w:color w:val="000000" w:themeColor="text1"/>
        </w:rPr>
        <w:t>for the following</w:t>
      </w:r>
      <w:r w:rsidRPr="61D6D4C1" w:rsidR="00FC15FF">
        <w:rPr>
          <w:rFonts w:ascii="Palatino Linotype" w:hAnsi="Palatino Linotype"/>
          <w:color w:val="000000" w:themeColor="text1"/>
        </w:rPr>
        <w:t xml:space="preserve"> reasons</w:t>
      </w:r>
      <w:r w:rsidR="00E37EA4">
        <w:rPr>
          <w:rFonts w:ascii="Palatino Linotype" w:hAnsi="Palatino Linotype"/>
          <w:color w:val="000000" w:themeColor="text1"/>
        </w:rPr>
        <w:t xml:space="preserve"> (see Appendix </w:t>
      </w:r>
      <w:r w:rsidR="00951F3B">
        <w:rPr>
          <w:rFonts w:ascii="Palatino Linotype" w:hAnsi="Palatino Linotype"/>
          <w:color w:val="000000" w:themeColor="text1"/>
        </w:rPr>
        <w:t>F</w:t>
      </w:r>
      <w:r w:rsidR="003357B0">
        <w:rPr>
          <w:rFonts w:ascii="Palatino Linotype" w:hAnsi="Palatino Linotype"/>
          <w:color w:val="000000" w:themeColor="text1"/>
        </w:rPr>
        <w:t xml:space="preserve"> for details</w:t>
      </w:r>
      <w:r w:rsidR="00E37EA4">
        <w:rPr>
          <w:rFonts w:ascii="Palatino Linotype" w:hAnsi="Palatino Linotype"/>
          <w:color w:val="000000" w:themeColor="text1"/>
        </w:rPr>
        <w:t>)</w:t>
      </w:r>
      <w:r w:rsidRPr="61D6D4C1" w:rsidR="00FC15FF">
        <w:rPr>
          <w:rFonts w:ascii="Palatino Linotype" w:hAnsi="Palatino Linotype"/>
          <w:color w:val="000000" w:themeColor="text1"/>
        </w:rPr>
        <w:t xml:space="preserve">: </w:t>
      </w:r>
      <w:r w:rsidRPr="61D6D4C1" w:rsidR="00153B2C">
        <w:rPr>
          <w:rFonts w:ascii="Palatino Linotype" w:hAnsi="Palatino Linotype"/>
          <w:color w:val="000000" w:themeColor="text1"/>
        </w:rPr>
        <w:t xml:space="preserve"> </w:t>
      </w:r>
    </w:p>
    <w:p w:rsidRPr="006F3EEF" w:rsidR="00153B2C" w:rsidP="004931F9" w:rsidRDefault="00EC7021" w14:paraId="609B6CED" w14:textId="4B5A2C69">
      <w:pPr>
        <w:pStyle w:val="10sp0"/>
        <w:numPr>
          <w:ilvl w:val="0"/>
          <w:numId w:val="19"/>
        </w:numPr>
        <w:spacing w:after="0" w:line="276" w:lineRule="auto"/>
        <w:rPr>
          <w:rFonts w:ascii="Palatino Linotype" w:hAnsi="Palatino Linotype"/>
          <w:color w:val="000000" w:themeColor="text1"/>
        </w:rPr>
      </w:pPr>
      <w:r w:rsidRPr="61D6D4C1">
        <w:rPr>
          <w:rFonts w:ascii="Palatino Linotype" w:hAnsi="Palatino Linotype" w:eastAsia="Palatino Linotype"/>
          <w:color w:val="000000" w:themeColor="text1"/>
        </w:rPr>
        <w:lastRenderedPageBreak/>
        <w:t>PG&amp;E r</w:t>
      </w:r>
      <w:r w:rsidRPr="61D6D4C1" w:rsidR="004931F9">
        <w:rPr>
          <w:rFonts w:ascii="Palatino Linotype" w:hAnsi="Palatino Linotype" w:eastAsia="Palatino Linotype"/>
          <w:color w:val="000000" w:themeColor="text1"/>
        </w:rPr>
        <w:t>equest</w:t>
      </w:r>
      <w:r w:rsidRPr="61D6D4C1">
        <w:rPr>
          <w:rFonts w:ascii="Palatino Linotype" w:hAnsi="Palatino Linotype" w:eastAsia="Palatino Linotype"/>
          <w:color w:val="000000" w:themeColor="text1"/>
        </w:rPr>
        <w:t>s</w:t>
      </w:r>
      <w:r w:rsidRPr="61D6D4C1" w:rsidR="004931F9">
        <w:rPr>
          <w:rFonts w:ascii="Palatino Linotype" w:hAnsi="Palatino Linotype" w:eastAsia="Palatino Linotype"/>
          <w:color w:val="000000" w:themeColor="text1"/>
        </w:rPr>
        <w:t xml:space="preserve"> </w:t>
      </w:r>
      <w:r w:rsidRPr="61D6D4C1" w:rsidR="6476B9A6">
        <w:rPr>
          <w:rFonts w:ascii="Palatino Linotype" w:hAnsi="Palatino Linotype" w:eastAsia="Palatino Linotype"/>
          <w:color w:val="000000" w:themeColor="text1"/>
        </w:rPr>
        <w:t xml:space="preserve">“that the approval of this Annual Plan will also allow PG&amp;E </w:t>
      </w:r>
      <w:r w:rsidRPr="61D6D4C1" w:rsidR="004931F9">
        <w:rPr>
          <w:rFonts w:ascii="Palatino Linotype" w:hAnsi="Palatino Linotype" w:eastAsia="Palatino Linotype"/>
          <w:color w:val="000000" w:themeColor="text1"/>
        </w:rPr>
        <w:t xml:space="preserve">to recover </w:t>
      </w:r>
      <w:r w:rsidRPr="61D6D4C1" w:rsidR="648F9A4F">
        <w:rPr>
          <w:rFonts w:ascii="Palatino Linotype" w:hAnsi="Palatino Linotype" w:eastAsia="Palatino Linotype"/>
          <w:color w:val="000000" w:themeColor="text1"/>
        </w:rPr>
        <w:t xml:space="preserve">approximately $7.2 million </w:t>
      </w:r>
      <w:r w:rsidRPr="61D6D4C1" w:rsidR="65BEC54C">
        <w:rPr>
          <w:rFonts w:ascii="Palatino Linotype" w:hAnsi="Palatino Linotype" w:eastAsia="Palatino Linotype"/>
          <w:color w:val="000000" w:themeColor="text1"/>
        </w:rPr>
        <w:t>in total for 2023-2024 revenue requirements, all of which is expense revenue requirement”</w:t>
      </w:r>
      <w:r w:rsidRPr="61D6D4C1" w:rsidR="00326E24">
        <w:rPr>
          <w:rStyle w:val="FootnoteReference"/>
          <w:rFonts w:ascii="Palatino Linotype" w:hAnsi="Palatino Linotype" w:eastAsia="Palatino Linotype"/>
          <w:color w:val="000000" w:themeColor="text1"/>
        </w:rPr>
        <w:footnoteReference w:id="52"/>
      </w:r>
      <w:r w:rsidRPr="00CB57C0" w:rsidR="00CB57C0">
        <w:rPr>
          <w:rFonts w:ascii="Palatino Linotype" w:hAnsi="Palatino Linotype"/>
          <w:color w:val="000000" w:themeColor="text1"/>
          <w:sz w:val="20"/>
        </w:rPr>
        <w:t xml:space="preserve"> </w:t>
      </w:r>
      <w:r w:rsidR="007F2E2E">
        <w:rPr>
          <w:rFonts w:ascii="Palatino Linotype" w:hAnsi="Palatino Linotype"/>
          <w:color w:val="000000" w:themeColor="text1"/>
          <w:szCs w:val="24"/>
        </w:rPr>
        <w:t xml:space="preserve">despite that PG&amp;E did not submit </w:t>
      </w:r>
      <w:r w:rsidR="006031F6">
        <w:rPr>
          <w:rFonts w:ascii="Palatino Linotype" w:hAnsi="Palatino Linotype"/>
          <w:color w:val="000000" w:themeColor="text1"/>
          <w:szCs w:val="24"/>
        </w:rPr>
        <w:t>an RD&amp;D Plan associated with</w:t>
      </w:r>
      <w:r w:rsidR="00D809D3">
        <w:rPr>
          <w:rFonts w:ascii="Palatino Linotype" w:hAnsi="Palatino Linotype"/>
          <w:color w:val="000000" w:themeColor="text1"/>
          <w:szCs w:val="24"/>
        </w:rPr>
        <w:t xml:space="preserve"> these costs</w:t>
      </w:r>
      <w:r w:rsidR="004540C3">
        <w:rPr>
          <w:rFonts w:ascii="Palatino Linotype" w:hAnsi="Palatino Linotype"/>
          <w:color w:val="000000" w:themeColor="text1"/>
          <w:szCs w:val="24"/>
        </w:rPr>
        <w:t xml:space="preserve"> </w:t>
      </w:r>
      <w:r w:rsidR="00A00C41">
        <w:rPr>
          <w:rFonts w:ascii="Palatino Linotype" w:hAnsi="Palatino Linotype"/>
          <w:color w:val="000000" w:themeColor="text1"/>
          <w:szCs w:val="24"/>
        </w:rPr>
        <w:t xml:space="preserve">via </w:t>
      </w:r>
      <w:r w:rsidR="007F2E2E">
        <w:rPr>
          <w:rFonts w:ascii="Palatino Linotype" w:hAnsi="Palatino Linotype"/>
          <w:color w:val="000000" w:themeColor="text1"/>
          <w:szCs w:val="24"/>
        </w:rPr>
        <w:t xml:space="preserve">a </w:t>
      </w:r>
      <w:r w:rsidRPr="00CB57C0" w:rsidR="00CB57C0">
        <w:rPr>
          <w:rFonts w:ascii="Palatino Linotype" w:hAnsi="Palatino Linotype"/>
          <w:color w:val="000000" w:themeColor="text1"/>
          <w:szCs w:val="24"/>
        </w:rPr>
        <w:t xml:space="preserve">Tier 3 AL </w:t>
      </w:r>
      <w:r w:rsidR="00A00C41">
        <w:rPr>
          <w:rFonts w:ascii="Palatino Linotype" w:hAnsi="Palatino Linotype"/>
          <w:color w:val="000000" w:themeColor="text1"/>
          <w:szCs w:val="24"/>
        </w:rPr>
        <w:t>as required</w:t>
      </w:r>
      <w:r w:rsidRPr="00CB57C0" w:rsidR="00CB57C0">
        <w:rPr>
          <w:rFonts w:ascii="Palatino Linotype" w:hAnsi="Palatino Linotype"/>
          <w:color w:val="000000" w:themeColor="text1"/>
          <w:szCs w:val="24"/>
        </w:rPr>
        <w:t xml:space="preserve"> and therefore PG&amp;E </w:t>
      </w:r>
      <w:r w:rsidR="007F2E2E">
        <w:rPr>
          <w:rFonts w:ascii="Palatino Linotype" w:hAnsi="Palatino Linotype"/>
          <w:color w:val="000000" w:themeColor="text1"/>
          <w:szCs w:val="24"/>
        </w:rPr>
        <w:t>is</w:t>
      </w:r>
      <w:r w:rsidRPr="00CB57C0" w:rsidR="007F2E2E">
        <w:rPr>
          <w:rFonts w:ascii="Palatino Linotype" w:hAnsi="Palatino Linotype"/>
          <w:color w:val="000000" w:themeColor="text1"/>
          <w:szCs w:val="24"/>
        </w:rPr>
        <w:t xml:space="preserve"> </w:t>
      </w:r>
      <w:r w:rsidRPr="00CB57C0" w:rsidR="00CB57C0">
        <w:rPr>
          <w:rFonts w:ascii="Palatino Linotype" w:hAnsi="Palatino Linotype"/>
          <w:color w:val="000000" w:themeColor="text1"/>
          <w:szCs w:val="24"/>
        </w:rPr>
        <w:t>not authorized to record Gas RD&amp;D expenses in a one-way balancing account</w:t>
      </w:r>
      <w:r w:rsidRPr="00CB57C0" w:rsidR="00A42770">
        <w:rPr>
          <w:rFonts w:ascii="Palatino Linotype" w:hAnsi="Palatino Linotype" w:eastAsia="Palatino Linotype"/>
          <w:color w:val="000000" w:themeColor="text1"/>
          <w:szCs w:val="24"/>
        </w:rPr>
        <w:t>.</w:t>
      </w:r>
      <w:r w:rsidRPr="00CB57C0" w:rsidR="005B203A">
        <w:rPr>
          <w:rStyle w:val="FootnoteReference"/>
          <w:rFonts w:ascii="Palatino Linotype" w:hAnsi="Palatino Linotype" w:eastAsia="Palatino Linotype"/>
          <w:color w:val="000000" w:themeColor="text1"/>
          <w:szCs w:val="24"/>
        </w:rPr>
        <w:footnoteReference w:id="53"/>
      </w:r>
    </w:p>
    <w:p w:rsidR="005958D6" w:rsidP="004931F9" w:rsidRDefault="005958D6" w14:paraId="7ACA5BEE" w14:textId="2E4BEB5C">
      <w:pPr>
        <w:pStyle w:val="10sp0"/>
        <w:numPr>
          <w:ilvl w:val="0"/>
          <w:numId w:val="19"/>
        </w:numPr>
        <w:spacing w:after="0" w:line="276" w:lineRule="auto"/>
        <w:rPr>
          <w:rFonts w:ascii="Palatino Linotype" w:hAnsi="Palatino Linotype"/>
          <w:color w:val="000000" w:themeColor="text1"/>
          <w:szCs w:val="24"/>
        </w:rPr>
      </w:pPr>
      <w:r w:rsidRPr="005958D6">
        <w:rPr>
          <w:rFonts w:ascii="Palatino Linotype" w:hAnsi="Palatino Linotype"/>
          <w:color w:val="000000" w:themeColor="text1"/>
          <w:szCs w:val="24"/>
        </w:rPr>
        <w:t xml:space="preserve">PG&amp;E </w:t>
      </w:r>
      <w:r w:rsidR="009005CA">
        <w:rPr>
          <w:rFonts w:ascii="Palatino Linotype" w:hAnsi="Palatino Linotype"/>
          <w:color w:val="000000" w:themeColor="text1"/>
          <w:szCs w:val="24"/>
        </w:rPr>
        <w:t xml:space="preserve">does not demonstrate ratepayer </w:t>
      </w:r>
      <w:r w:rsidR="00AD2647">
        <w:rPr>
          <w:rFonts w:ascii="Palatino Linotype" w:hAnsi="Palatino Linotype"/>
          <w:color w:val="000000" w:themeColor="text1"/>
          <w:szCs w:val="24"/>
        </w:rPr>
        <w:t>benefits</w:t>
      </w:r>
      <w:r w:rsidR="009005CA">
        <w:rPr>
          <w:rFonts w:ascii="Palatino Linotype" w:hAnsi="Palatino Linotype"/>
          <w:color w:val="000000" w:themeColor="text1"/>
          <w:szCs w:val="24"/>
        </w:rPr>
        <w:t xml:space="preserve"> </w:t>
      </w:r>
      <w:r w:rsidR="00E6481F">
        <w:rPr>
          <w:rFonts w:ascii="Palatino Linotype" w:hAnsi="Palatino Linotype"/>
          <w:color w:val="000000" w:themeColor="text1"/>
          <w:szCs w:val="24"/>
        </w:rPr>
        <w:t>attributable to each</w:t>
      </w:r>
      <w:r w:rsidR="009005CA">
        <w:rPr>
          <w:rFonts w:ascii="Palatino Linotype" w:hAnsi="Palatino Linotype"/>
          <w:color w:val="000000" w:themeColor="text1"/>
          <w:szCs w:val="24"/>
        </w:rPr>
        <w:t xml:space="preserve"> proposed Initiative</w:t>
      </w:r>
      <w:r w:rsidR="00E328DF">
        <w:rPr>
          <w:rFonts w:ascii="Palatino Linotype" w:hAnsi="Palatino Linotype"/>
          <w:color w:val="000000" w:themeColor="text1"/>
          <w:szCs w:val="24"/>
        </w:rPr>
        <w:t>:</w:t>
      </w:r>
      <w:r w:rsidR="00AD2647">
        <w:rPr>
          <w:rStyle w:val="FootnoteReference"/>
          <w:rFonts w:ascii="Palatino Linotype" w:hAnsi="Palatino Linotype"/>
          <w:color w:val="000000" w:themeColor="text1"/>
          <w:szCs w:val="24"/>
        </w:rPr>
        <w:footnoteReference w:id="54"/>
      </w:r>
      <w:r w:rsidR="00E328DF">
        <w:rPr>
          <w:rFonts w:ascii="Palatino Linotype" w:hAnsi="Palatino Linotype"/>
          <w:color w:val="000000" w:themeColor="text1"/>
          <w:szCs w:val="24"/>
        </w:rPr>
        <w:t xml:space="preserve"> </w:t>
      </w:r>
    </w:p>
    <w:p w:rsidRPr="009C55D4" w:rsidR="00DF633D" w:rsidP="00EA19F1" w:rsidRDefault="00E328DF" w14:paraId="76A6BD49" w14:textId="502606CF">
      <w:pPr>
        <w:pStyle w:val="10sp0"/>
        <w:numPr>
          <w:ilvl w:val="1"/>
          <w:numId w:val="19"/>
        </w:numPr>
        <w:spacing w:after="0" w:line="276" w:lineRule="auto"/>
        <w:rPr>
          <w:rFonts w:ascii="Palatino Linotype" w:hAnsi="Palatino Linotype"/>
          <w:color w:val="000000" w:themeColor="text1"/>
          <w:szCs w:val="24"/>
        </w:rPr>
      </w:pPr>
      <w:r w:rsidRPr="009C55D4">
        <w:rPr>
          <w:rFonts w:ascii="Palatino Linotype" w:hAnsi="Palatino Linotype"/>
          <w:color w:val="000000" w:themeColor="text1"/>
        </w:rPr>
        <w:t>PG&amp;E included in its “Assumptions” subsection in the “Benefits” chapter describing its proposed impacts analysis methodology that “[n]ot all projects should be required to conduct an impacts analysis. Smaller projects may be more exploratory in nature and the effort associated with the analysis may be unduly burdensome.”</w:t>
      </w:r>
      <w:r w:rsidRPr="009C55D4">
        <w:rPr>
          <w:rStyle w:val="FootnoteReference"/>
          <w:rFonts w:ascii="Palatino Linotype" w:hAnsi="Palatino Linotype"/>
          <w:color w:val="000000" w:themeColor="text1"/>
        </w:rPr>
        <w:footnoteReference w:id="55"/>
      </w:r>
    </w:p>
    <w:p w:rsidR="00EA19F1" w:rsidP="00EA19F1" w:rsidRDefault="00EA19F1" w14:paraId="22475250" w14:textId="77777777">
      <w:pPr>
        <w:pStyle w:val="10sp0"/>
        <w:numPr>
          <w:ilvl w:val="1"/>
          <w:numId w:val="19"/>
        </w:numPr>
        <w:spacing w:after="0" w:line="276" w:lineRule="auto"/>
        <w:rPr>
          <w:rFonts w:ascii="Palatino Linotype" w:hAnsi="Palatino Linotype"/>
          <w:color w:val="000000" w:themeColor="text1"/>
          <w:szCs w:val="24"/>
        </w:rPr>
      </w:pPr>
      <w:r w:rsidRPr="61D6D4C1">
        <w:rPr>
          <w:rFonts w:ascii="Palatino Linotype" w:hAnsi="Palatino Linotype"/>
          <w:color w:val="000000" w:themeColor="text1"/>
        </w:rPr>
        <w:t>PG&amp;E does not demonstrate that impacts should be attributed</w:t>
      </w:r>
      <w:r w:rsidRPr="009C55D4">
        <w:rPr>
          <w:rStyle w:val="FootnoteReference"/>
          <w:rFonts w:ascii="Palatino Linotype" w:hAnsi="Palatino Linotype"/>
          <w:color w:val="000000" w:themeColor="text1"/>
        </w:rPr>
        <w:footnoteReference w:id="56"/>
      </w:r>
      <w:r w:rsidRPr="00DA379D">
        <w:rPr>
          <w:rFonts w:ascii="Palatino Linotype" w:hAnsi="Palatino Linotype"/>
          <w:color w:val="0070C0"/>
        </w:rPr>
        <w:t xml:space="preserve"> </w:t>
      </w:r>
      <w:r w:rsidRPr="61D6D4C1">
        <w:rPr>
          <w:rFonts w:ascii="Palatino Linotype" w:hAnsi="Palatino Linotype"/>
          <w:color w:val="000000" w:themeColor="text1"/>
        </w:rPr>
        <w:t>to the Innovative and Cost-Effective Integrity Management Initiative as opposed to the related Pipeline and Hazardous Materials Safety Administration (PHMSA) Mega Rule and mandates from the California Geological Energy Management Division (CalGEM) as referenced.</w:t>
      </w:r>
      <w:r w:rsidRPr="61D6D4C1">
        <w:rPr>
          <w:rStyle w:val="FootnoteReference"/>
          <w:rFonts w:ascii="Palatino Linotype" w:hAnsi="Palatino Linotype"/>
          <w:color w:val="000000" w:themeColor="text1"/>
        </w:rPr>
        <w:footnoteReference w:id="57"/>
      </w:r>
    </w:p>
    <w:p w:rsidRPr="00F768C7" w:rsidR="00F768C7" w:rsidP="00B76453" w:rsidRDefault="00B76453" w14:paraId="2DFFF276" w14:textId="4FD96D90">
      <w:pPr>
        <w:pStyle w:val="10sp0"/>
        <w:numPr>
          <w:ilvl w:val="1"/>
          <w:numId w:val="19"/>
        </w:numPr>
        <w:spacing w:after="0" w:line="276" w:lineRule="auto"/>
        <w:rPr>
          <w:rFonts w:ascii="Palatino Linotype" w:hAnsi="Palatino Linotype"/>
          <w:color w:val="000000" w:themeColor="text1"/>
        </w:rPr>
      </w:pPr>
      <w:r>
        <w:rPr>
          <w:rFonts w:ascii="Palatino Linotype" w:hAnsi="Palatino Linotype"/>
          <w:color w:val="000000" w:themeColor="text1"/>
        </w:rPr>
        <w:t xml:space="preserve">The primary objective of PG&amp;E’s </w:t>
      </w:r>
      <w:r w:rsidRPr="00B76453" w:rsidR="000303C3">
        <w:rPr>
          <w:rFonts w:ascii="Palatino Linotype" w:hAnsi="Palatino Linotype" w:eastAsia="Palatino Linotype"/>
          <w:color w:val="000000" w:themeColor="text1"/>
        </w:rPr>
        <w:t>proposed Emission Reduction Activities and Refined Reporting Initiative</w:t>
      </w:r>
      <w:r w:rsidRPr="009C55D4" w:rsidR="000303C3">
        <w:rPr>
          <w:rStyle w:val="FootnoteReference"/>
          <w:rFonts w:ascii="Palatino Linotype" w:hAnsi="Palatino Linotype" w:eastAsia="Palatino Linotype"/>
          <w:color w:val="000000" w:themeColor="text1"/>
        </w:rPr>
        <w:footnoteReference w:id="58"/>
      </w:r>
      <w:r w:rsidRPr="00B76453" w:rsidR="000303C3">
        <w:rPr>
          <w:rFonts w:ascii="Palatino Linotype" w:hAnsi="Palatino Linotype" w:eastAsia="Palatino Linotype"/>
          <w:color w:val="000000" w:themeColor="text1"/>
        </w:rPr>
        <w:t xml:space="preserve"> </w:t>
      </w:r>
      <w:r w:rsidR="00F768C7">
        <w:rPr>
          <w:rFonts w:ascii="Palatino Linotype" w:hAnsi="Palatino Linotype" w:eastAsia="Palatino Linotype"/>
          <w:color w:val="000000" w:themeColor="text1"/>
        </w:rPr>
        <w:t>appears to be meeting regulatory goals</w:t>
      </w:r>
      <w:r w:rsidR="00AC2F0D">
        <w:rPr>
          <w:rFonts w:ascii="Palatino Linotype" w:hAnsi="Palatino Linotype" w:eastAsia="Palatino Linotype"/>
          <w:color w:val="000000" w:themeColor="text1"/>
        </w:rPr>
        <w:t>.</w:t>
      </w:r>
    </w:p>
    <w:p w:rsidR="00B63E55" w:rsidP="00B63E55" w:rsidRDefault="00C9518C" w14:paraId="7456C227" w14:textId="5B54ED8F">
      <w:pPr>
        <w:pStyle w:val="10sp0"/>
        <w:numPr>
          <w:ilvl w:val="1"/>
          <w:numId w:val="19"/>
        </w:numPr>
        <w:spacing w:after="0" w:line="276" w:lineRule="auto"/>
        <w:rPr>
          <w:rFonts w:ascii="Palatino Linotype" w:hAnsi="Palatino Linotype"/>
          <w:color w:val="000000" w:themeColor="text1"/>
        </w:rPr>
      </w:pPr>
      <w:r>
        <w:rPr>
          <w:rFonts w:ascii="Palatino Linotype" w:hAnsi="Palatino Linotype"/>
          <w:color w:val="000000" w:themeColor="text1"/>
        </w:rPr>
        <w:t>PG&amp;E proposes</w:t>
      </w:r>
      <w:r w:rsidR="00B63E55">
        <w:rPr>
          <w:rFonts w:ascii="Palatino Linotype" w:hAnsi="Palatino Linotype"/>
          <w:color w:val="000000" w:themeColor="text1"/>
        </w:rPr>
        <w:t xml:space="preserve"> </w:t>
      </w:r>
      <w:r w:rsidRPr="61D6D4C1" w:rsidR="00B63E55">
        <w:rPr>
          <w:rFonts w:ascii="Palatino Linotype" w:hAnsi="Palatino Linotype"/>
          <w:color w:val="000000" w:themeColor="text1"/>
        </w:rPr>
        <w:t>projects</w:t>
      </w:r>
      <w:r w:rsidRPr="00FA23AC" w:rsidR="00B63E55">
        <w:rPr>
          <w:rFonts w:ascii="Palatino Linotype" w:hAnsi="Palatino Linotype"/>
          <w:color w:val="000000" w:themeColor="text1"/>
        </w:rPr>
        <w:t xml:space="preserve"> </w:t>
      </w:r>
      <w:r w:rsidRPr="61D6D4C1" w:rsidR="00B63E55">
        <w:rPr>
          <w:rFonts w:ascii="Palatino Linotype" w:hAnsi="Palatino Linotype"/>
          <w:color w:val="000000" w:themeColor="text1"/>
        </w:rPr>
        <w:t>neither located in the State of California nor affilia</w:t>
      </w:r>
      <w:r w:rsidRPr="009C55D4" w:rsidR="00B63E55">
        <w:rPr>
          <w:rFonts w:ascii="Palatino Linotype" w:hAnsi="Palatino Linotype"/>
          <w:color w:val="000000" w:themeColor="text1"/>
        </w:rPr>
        <w:t>ted with a federal lab,</w:t>
      </w:r>
      <w:r w:rsidRPr="009C55D4" w:rsidR="00B63E55">
        <w:rPr>
          <w:rStyle w:val="FootnoteReference"/>
          <w:rFonts w:ascii="Palatino Linotype" w:hAnsi="Palatino Linotype"/>
          <w:color w:val="000000" w:themeColor="text1"/>
        </w:rPr>
        <w:footnoteReference w:id="59"/>
      </w:r>
      <w:r w:rsidRPr="009C55D4" w:rsidR="00B63E55">
        <w:rPr>
          <w:rFonts w:ascii="Palatino Linotype" w:hAnsi="Palatino Linotype"/>
          <w:color w:val="000000" w:themeColor="text1"/>
        </w:rPr>
        <w:t xml:space="preserve"> including</w:t>
      </w:r>
      <w:r w:rsidRPr="009C55D4" w:rsidR="00B63E55">
        <w:rPr>
          <w:color w:val="000000" w:themeColor="text1"/>
        </w:rPr>
        <w:t xml:space="preserve"> </w:t>
      </w:r>
      <w:r w:rsidRPr="009C55D4" w:rsidR="00B63E55">
        <w:rPr>
          <w:rFonts w:ascii="Palatino Linotype" w:hAnsi="Palatino Linotype"/>
          <w:color w:val="000000" w:themeColor="text1"/>
        </w:rPr>
        <w:t xml:space="preserve">Open Solutions for Historical Climate Data for California; ADV JIP Integrity Management of Hard Spots </w:t>
      </w:r>
      <w:r w:rsidRPr="009C55D4" w:rsidR="00B63E55">
        <w:rPr>
          <w:rFonts w:ascii="Palatino Linotype" w:hAnsi="Palatino Linotype"/>
          <w:color w:val="000000" w:themeColor="text1"/>
        </w:rPr>
        <w:lastRenderedPageBreak/>
        <w:t>in Transmission Pipelines; and ADV JIP Narrow Groove Corrosion Composite Reinforcement.</w:t>
      </w:r>
      <w:r w:rsidRPr="009C55D4" w:rsidR="00B63E55">
        <w:rPr>
          <w:rStyle w:val="FootnoteReference"/>
          <w:rFonts w:ascii="Palatino Linotype" w:hAnsi="Palatino Linotype"/>
          <w:color w:val="000000" w:themeColor="text1"/>
        </w:rPr>
        <w:footnoteReference w:id="60"/>
      </w:r>
      <w:r w:rsidRPr="009C55D4" w:rsidR="00B63E55">
        <w:rPr>
          <w:rFonts w:ascii="Palatino Linotype" w:hAnsi="Palatino Linotype"/>
          <w:color w:val="000000" w:themeColor="text1"/>
        </w:rPr>
        <w:t xml:space="preserve"> </w:t>
      </w:r>
    </w:p>
    <w:p w:rsidRPr="00C9518C" w:rsidR="00EA3978" w:rsidP="00C9518C" w:rsidRDefault="00C9518C" w14:paraId="0535E02A" w14:textId="408F77D5">
      <w:pPr>
        <w:pStyle w:val="10sp0"/>
        <w:numPr>
          <w:ilvl w:val="0"/>
          <w:numId w:val="19"/>
        </w:numPr>
        <w:spacing w:after="0" w:line="276" w:lineRule="auto"/>
        <w:rPr>
          <w:rFonts w:ascii="Palatino Linotype" w:hAnsi="Palatino Linotype"/>
          <w:color w:val="000000" w:themeColor="text1"/>
        </w:rPr>
      </w:pPr>
      <w:r>
        <w:rPr>
          <w:rFonts w:ascii="Palatino Linotype" w:hAnsi="Palatino Linotype"/>
          <w:color w:val="000000" w:themeColor="text1"/>
        </w:rPr>
        <w:t>PG&amp;E does not d</w:t>
      </w:r>
      <w:r w:rsidRPr="001D14E3">
        <w:rPr>
          <w:rFonts w:ascii="Palatino Linotype" w:hAnsi="Palatino Linotype"/>
          <w:color w:val="000000" w:themeColor="text1"/>
        </w:rPr>
        <w:t>emonstrat</w:t>
      </w:r>
      <w:r>
        <w:rPr>
          <w:rFonts w:ascii="Palatino Linotype" w:hAnsi="Palatino Linotype"/>
          <w:color w:val="000000" w:themeColor="text1"/>
        </w:rPr>
        <w:t>e that</w:t>
      </w:r>
      <w:r w:rsidRPr="001D14E3">
        <w:rPr>
          <w:rFonts w:ascii="Palatino Linotype" w:hAnsi="Palatino Linotype"/>
          <w:color w:val="000000" w:themeColor="text1"/>
        </w:rPr>
        <w:t xml:space="preserve"> Initiatives are complementary </w:t>
      </w:r>
      <w:r w:rsidR="000B47B3">
        <w:rPr>
          <w:rFonts w:ascii="Palatino Linotype" w:hAnsi="Palatino Linotype"/>
          <w:color w:val="000000" w:themeColor="text1"/>
        </w:rPr>
        <w:t>and</w:t>
      </w:r>
      <w:r w:rsidRPr="001D14E3">
        <w:rPr>
          <w:rFonts w:ascii="Palatino Linotype" w:hAnsi="Palatino Linotype"/>
          <w:color w:val="000000" w:themeColor="text1"/>
        </w:rPr>
        <w:t xml:space="preserve"> not duplicative of RD&amp;D currently, previously, or imminently underway,</w:t>
      </w:r>
      <w:r>
        <w:rPr>
          <w:rStyle w:val="FootnoteReference"/>
          <w:rFonts w:ascii="Palatino Linotype" w:hAnsi="Palatino Linotype"/>
          <w:color w:val="000000" w:themeColor="text1"/>
        </w:rPr>
        <w:footnoteReference w:id="61"/>
      </w:r>
      <w:r w:rsidRPr="001D14E3">
        <w:rPr>
          <w:rFonts w:ascii="Palatino Linotype" w:hAnsi="Palatino Linotype"/>
          <w:color w:val="000000" w:themeColor="text1"/>
        </w:rPr>
        <w:t xml:space="preserve"> </w:t>
      </w:r>
      <w:r>
        <w:rPr>
          <w:rFonts w:ascii="Palatino Linotype" w:hAnsi="Palatino Linotype"/>
          <w:color w:val="000000" w:themeColor="text1"/>
        </w:rPr>
        <w:t>particularly</w:t>
      </w:r>
      <w:r w:rsidRPr="001D14E3">
        <w:rPr>
          <w:rFonts w:ascii="Palatino Linotype" w:hAnsi="Palatino Linotype"/>
          <w:color w:val="000000" w:themeColor="text1"/>
        </w:rPr>
        <w:t xml:space="preserve"> by differentiating activities from those </w:t>
      </w:r>
      <w:r w:rsidRPr="61D6D4C1">
        <w:rPr>
          <w:rFonts w:ascii="Palatino Linotype" w:hAnsi="Palatino Linotype"/>
          <w:color w:val="000000" w:themeColor="text1"/>
        </w:rPr>
        <w:t>associated with the Natural Gas Leak Abatement (NGLA) Program</w:t>
      </w:r>
      <w:r>
        <w:rPr>
          <w:rFonts w:ascii="Palatino Linotype" w:hAnsi="Palatino Linotype"/>
          <w:color w:val="000000" w:themeColor="text1"/>
        </w:rPr>
        <w:t xml:space="preserve">, </w:t>
      </w:r>
      <w:r w:rsidRPr="61D6D4C1">
        <w:rPr>
          <w:rFonts w:ascii="Palatino Linotype" w:hAnsi="Palatino Linotype"/>
          <w:color w:val="000000" w:themeColor="text1"/>
        </w:rPr>
        <w:t>Alliance for Renewable Clean Hydrogen Energy Systems (ARCHES)</w:t>
      </w:r>
      <w:r>
        <w:rPr>
          <w:rFonts w:ascii="Palatino Linotype" w:hAnsi="Palatino Linotype"/>
          <w:color w:val="000000" w:themeColor="text1"/>
        </w:rPr>
        <w:t>,</w:t>
      </w:r>
      <w:r w:rsidRPr="61D6D4C1">
        <w:rPr>
          <w:rFonts w:ascii="Palatino Linotype" w:hAnsi="Palatino Linotype"/>
          <w:color w:val="000000" w:themeColor="text1"/>
        </w:rPr>
        <w:t xml:space="preserve"> hydrogen blending pilots</w:t>
      </w:r>
      <w:r>
        <w:rPr>
          <w:rFonts w:ascii="Palatino Linotype" w:hAnsi="Palatino Linotype"/>
          <w:color w:val="000000" w:themeColor="text1"/>
        </w:rPr>
        <w:t>,</w:t>
      </w:r>
      <w:r w:rsidRPr="61D6D4C1">
        <w:rPr>
          <w:rStyle w:val="FootnoteReference"/>
          <w:rFonts w:ascii="Palatino Linotype" w:hAnsi="Palatino Linotype"/>
          <w:color w:val="000000" w:themeColor="text1"/>
        </w:rPr>
        <w:footnoteReference w:id="62"/>
      </w:r>
      <w:r w:rsidRPr="001D14E3">
        <w:rPr>
          <w:rFonts w:ascii="Palatino Linotype" w:hAnsi="Palatino Linotype"/>
          <w:color w:val="000000" w:themeColor="text1"/>
        </w:rPr>
        <w:t xml:space="preserve"> and other related programs</w:t>
      </w:r>
      <w:r>
        <w:rPr>
          <w:rFonts w:ascii="Palatino Linotype" w:hAnsi="Palatino Linotype"/>
          <w:color w:val="000000" w:themeColor="text1"/>
        </w:rPr>
        <w:t xml:space="preserve"> </w:t>
      </w:r>
      <w:r w:rsidRPr="001D14E3">
        <w:rPr>
          <w:rFonts w:ascii="Palatino Linotype" w:hAnsi="Palatino Linotype"/>
          <w:color w:val="000000" w:themeColor="text1"/>
        </w:rPr>
        <w:t>and documenting coordination with other Gas RD&amp;D administrators at the Initiative level. </w:t>
      </w:r>
    </w:p>
    <w:p w:rsidR="0032769F" w:rsidP="0032769F" w:rsidRDefault="0032769F" w14:paraId="25528602" w14:textId="77777777">
      <w:pPr>
        <w:pStyle w:val="10sp0"/>
        <w:numPr>
          <w:ilvl w:val="0"/>
          <w:numId w:val="19"/>
        </w:numPr>
        <w:spacing w:after="0" w:line="276" w:lineRule="auto"/>
        <w:rPr>
          <w:rFonts w:ascii="Palatino Linotype" w:hAnsi="Palatino Linotype"/>
          <w:color w:val="000000" w:themeColor="text1"/>
        </w:rPr>
      </w:pPr>
      <w:r w:rsidRPr="61D6D4C1">
        <w:rPr>
          <w:rFonts w:ascii="Palatino Linotype" w:hAnsi="Palatino Linotype"/>
          <w:color w:val="000000" w:themeColor="text1"/>
        </w:rPr>
        <w:t xml:space="preserve">PG&amp;E does not allocate Program Administrative costs to specific categories using the </w:t>
      </w:r>
      <w:r>
        <w:rPr>
          <w:rFonts w:ascii="Palatino Linotype" w:hAnsi="Palatino Linotype"/>
          <w:color w:val="000000" w:themeColor="text1"/>
        </w:rPr>
        <w:t xml:space="preserve">Administrative Budget </w:t>
      </w:r>
      <w:r w:rsidRPr="61D6D4C1">
        <w:rPr>
          <w:rFonts w:ascii="Palatino Linotype" w:hAnsi="Palatino Linotype"/>
          <w:color w:val="000000" w:themeColor="text1"/>
        </w:rPr>
        <w:t>template</w:t>
      </w:r>
      <w:r w:rsidRPr="61D6D4C1">
        <w:rPr>
          <w:rStyle w:val="FootnoteReference"/>
          <w:rFonts w:ascii="Palatino Linotype" w:hAnsi="Palatino Linotype"/>
          <w:color w:val="000000" w:themeColor="text1"/>
        </w:rPr>
        <w:footnoteReference w:id="63"/>
      </w:r>
      <w:r w:rsidRPr="61D6D4C1">
        <w:rPr>
          <w:rFonts w:ascii="Palatino Linotype" w:hAnsi="Palatino Linotype"/>
          <w:color w:val="000000" w:themeColor="text1"/>
        </w:rPr>
        <w:t xml:space="preserve"> as required.</w:t>
      </w:r>
      <w:r w:rsidRPr="61D6D4C1">
        <w:rPr>
          <w:rStyle w:val="FootnoteReference"/>
          <w:rFonts w:ascii="Palatino Linotype" w:hAnsi="Palatino Linotype"/>
          <w:color w:val="000000" w:themeColor="text1"/>
        </w:rPr>
        <w:footnoteReference w:id="64"/>
      </w:r>
    </w:p>
    <w:p w:rsidRPr="00671CB5" w:rsidR="006F3EEF" w:rsidP="004931F9" w:rsidRDefault="006F3EEF" w14:paraId="70C1AA22" w14:textId="78AC5DD8">
      <w:pPr>
        <w:pStyle w:val="10sp0"/>
        <w:numPr>
          <w:ilvl w:val="0"/>
          <w:numId w:val="19"/>
        </w:numPr>
        <w:spacing w:after="0" w:line="276" w:lineRule="auto"/>
        <w:rPr>
          <w:rFonts w:ascii="Palatino Linotype" w:hAnsi="Palatino Linotype"/>
          <w:color w:val="000000" w:themeColor="text1"/>
          <w:szCs w:val="24"/>
        </w:rPr>
      </w:pPr>
      <w:r w:rsidRPr="61D6D4C1">
        <w:rPr>
          <w:rFonts w:ascii="Palatino Linotype" w:hAnsi="Palatino Linotype" w:eastAsia="Palatino Linotype"/>
          <w:color w:val="000000" w:themeColor="text1"/>
        </w:rPr>
        <w:t>P</w:t>
      </w:r>
      <w:r w:rsidRPr="61D6D4C1" w:rsidR="00016A57">
        <w:rPr>
          <w:rFonts w:ascii="Palatino Linotype" w:hAnsi="Palatino Linotype" w:eastAsia="Palatino Linotype"/>
          <w:color w:val="000000" w:themeColor="text1"/>
        </w:rPr>
        <w:t>G&amp;E p</w:t>
      </w:r>
      <w:r w:rsidRPr="61D6D4C1">
        <w:rPr>
          <w:rFonts w:ascii="Palatino Linotype" w:hAnsi="Palatino Linotype" w:eastAsia="Palatino Linotype"/>
          <w:color w:val="000000" w:themeColor="text1"/>
        </w:rPr>
        <w:t>ropos</w:t>
      </w:r>
      <w:r w:rsidRPr="61D6D4C1" w:rsidR="00F41601">
        <w:rPr>
          <w:rFonts w:ascii="Palatino Linotype" w:hAnsi="Palatino Linotype" w:eastAsia="Palatino Linotype"/>
          <w:color w:val="000000" w:themeColor="text1"/>
        </w:rPr>
        <w:t>es</w:t>
      </w:r>
      <w:r w:rsidRPr="61D6D4C1">
        <w:rPr>
          <w:rFonts w:ascii="Palatino Linotype" w:hAnsi="Palatino Linotype" w:eastAsia="Palatino Linotype"/>
          <w:color w:val="000000" w:themeColor="text1"/>
        </w:rPr>
        <w:t xml:space="preserve"> hydrogen-specific activities</w:t>
      </w:r>
      <w:r w:rsidRPr="61D6D4C1" w:rsidR="007848EF">
        <w:rPr>
          <w:rStyle w:val="FootnoteReference"/>
          <w:rFonts w:ascii="Palatino Linotype" w:hAnsi="Palatino Linotype" w:eastAsia="Palatino Linotype"/>
          <w:color w:val="000000" w:themeColor="text1"/>
        </w:rPr>
        <w:footnoteReference w:id="65"/>
      </w:r>
      <w:r w:rsidRPr="61D6D4C1" w:rsidR="00F41601">
        <w:rPr>
          <w:rFonts w:ascii="Palatino Linotype" w:hAnsi="Palatino Linotype" w:eastAsia="Palatino Linotype"/>
          <w:color w:val="000000" w:themeColor="text1"/>
        </w:rPr>
        <w:t xml:space="preserve"> though</w:t>
      </w:r>
      <w:r w:rsidRPr="002851B9" w:rsidR="00F41601">
        <w:rPr>
          <w:rFonts w:ascii="Palatino Linotype" w:hAnsi="Palatino Linotype" w:eastAsia="Palatino Linotype"/>
          <w:color w:val="000000" w:themeColor="text1"/>
          <w:szCs w:val="24"/>
        </w:rPr>
        <w:t xml:space="preserve"> </w:t>
      </w:r>
      <w:r w:rsidRPr="002851B9" w:rsidR="002851B9">
        <w:rPr>
          <w:rFonts w:ascii="Palatino Linotype" w:hAnsi="Palatino Linotype"/>
          <w:szCs w:val="24"/>
        </w:rPr>
        <w:t>the Commission has not provided guidance on the appropriate role of gas ratepayers in funding hydrogen RD&amp;D, particularly as these projects would have further implications for ratepayer funding, including in future Gas RD&amp;D Plans</w:t>
      </w:r>
      <w:r w:rsidRPr="61D6D4C1" w:rsidR="00F41601">
        <w:rPr>
          <w:rFonts w:ascii="Palatino Linotype" w:hAnsi="Palatino Linotype" w:eastAsia="Palatino Linotype"/>
          <w:color w:val="000000" w:themeColor="text1"/>
        </w:rPr>
        <w:t>.</w:t>
      </w:r>
      <w:r w:rsidRPr="61D6D4C1" w:rsidR="00460589">
        <w:rPr>
          <w:rStyle w:val="FootnoteReference"/>
          <w:rFonts w:ascii="Palatino Linotype" w:hAnsi="Palatino Linotype" w:eastAsia="Palatino Linotype"/>
          <w:color w:val="000000" w:themeColor="text1"/>
        </w:rPr>
        <w:footnoteReference w:id="66"/>
      </w:r>
    </w:p>
    <w:p w:rsidRPr="004931F9" w:rsidR="00E32914" w:rsidP="00E32914" w:rsidRDefault="00E32914" w14:paraId="23D3A57B" w14:textId="274FA8F4">
      <w:pPr>
        <w:pStyle w:val="10sp0"/>
        <w:numPr>
          <w:ilvl w:val="0"/>
          <w:numId w:val="19"/>
        </w:numPr>
        <w:spacing w:after="0" w:line="276" w:lineRule="auto"/>
        <w:rPr>
          <w:rFonts w:ascii="Palatino Linotype" w:hAnsi="Palatino Linotype"/>
          <w:color w:val="000000" w:themeColor="text1"/>
          <w:szCs w:val="24"/>
        </w:rPr>
      </w:pPr>
      <w:r>
        <w:rPr>
          <w:rFonts w:ascii="Palatino Linotype" w:hAnsi="Palatino Linotype"/>
          <w:color w:val="000000" w:themeColor="text1"/>
          <w:szCs w:val="24"/>
        </w:rPr>
        <w:t xml:space="preserve">PG&amp;E does not </w:t>
      </w:r>
      <w:r w:rsidRPr="00DB0D00">
        <w:rPr>
          <w:rFonts w:ascii="Palatino Linotype" w:hAnsi="Palatino Linotype"/>
          <w:color w:val="000000" w:themeColor="text1"/>
          <w:szCs w:val="24"/>
        </w:rPr>
        <w:t xml:space="preserve">indicate which projects have been funded via previous GRC cycles or other funding mechanisms </w:t>
      </w:r>
      <w:r>
        <w:rPr>
          <w:rFonts w:ascii="Palatino Linotype" w:hAnsi="Palatino Linotype"/>
          <w:color w:val="000000" w:themeColor="text1"/>
          <w:szCs w:val="24"/>
        </w:rPr>
        <w:t>as opposed to those</w:t>
      </w:r>
      <w:r w:rsidRPr="00561298">
        <w:t xml:space="preserve"> </w:t>
      </w:r>
      <w:r w:rsidRPr="00561298">
        <w:rPr>
          <w:rFonts w:ascii="Palatino Linotype" w:hAnsi="Palatino Linotype"/>
          <w:color w:val="000000" w:themeColor="text1"/>
          <w:szCs w:val="24"/>
        </w:rPr>
        <w:t>that may be funded within this Gas RD&amp;D Program</w:t>
      </w:r>
      <w:r>
        <w:rPr>
          <w:rFonts w:ascii="Palatino Linotype" w:hAnsi="Palatino Linotype"/>
          <w:color w:val="000000" w:themeColor="text1"/>
          <w:szCs w:val="24"/>
        </w:rPr>
        <w:t xml:space="preserve"> </w:t>
      </w:r>
      <w:r w:rsidRPr="00DB0D00">
        <w:rPr>
          <w:rFonts w:ascii="Palatino Linotype" w:hAnsi="Palatino Linotype"/>
          <w:color w:val="000000" w:themeColor="text1"/>
          <w:szCs w:val="24"/>
        </w:rPr>
        <w:t>for clarity in reporting on funds encumbered, spent, and unspent.</w:t>
      </w:r>
      <w:r w:rsidR="00142D9A">
        <w:rPr>
          <w:rStyle w:val="FootnoteReference"/>
          <w:rFonts w:ascii="Palatino Linotype" w:hAnsi="Palatino Linotype"/>
          <w:color w:val="000000" w:themeColor="text1"/>
          <w:szCs w:val="24"/>
        </w:rPr>
        <w:footnoteReference w:id="67"/>
      </w:r>
    </w:p>
    <w:p w:rsidR="004931F9" w:rsidP="00AD60BE" w:rsidRDefault="004931F9" w14:paraId="13463CE1" w14:textId="2BB7A1E8">
      <w:pPr>
        <w:spacing w:after="0" w:line="276" w:lineRule="auto"/>
        <w:ind w:left="360"/>
        <w:rPr>
          <w:rFonts w:ascii="Palatino Linotype" w:hAnsi="Palatino Linotype" w:eastAsia="Palatino Linotype" w:cs="Times New Roman"/>
          <w:i/>
          <w:kern w:val="0"/>
          <w:u w:val="single"/>
          <w14:ligatures w14:val="none"/>
        </w:rPr>
      </w:pPr>
    </w:p>
    <w:p w:rsidRPr="00097F67" w:rsidR="00EF1125" w:rsidP="0030309F" w:rsidRDefault="00EF1125" w14:paraId="73D92754" w14:textId="430F394B">
      <w:pPr>
        <w:spacing w:line="276" w:lineRule="auto"/>
        <w:rPr>
          <w:rFonts w:ascii="Palatino Linotype" w:hAnsi="Palatino Linotype" w:eastAsia="Palatino Linotype" w:cs="Times New Roman"/>
          <w:color w:val="000000" w:themeColor="text1"/>
          <w:kern w:val="0"/>
          <w14:ligatures w14:val="none"/>
        </w:rPr>
      </w:pPr>
      <w:r w:rsidRPr="00097F67">
        <w:rPr>
          <w:rFonts w:ascii="Palatino Linotype" w:hAnsi="Palatino Linotype" w:eastAsia="Palatino Linotype" w:cs="Times New Roman"/>
          <w:iCs/>
          <w:color w:val="000000" w:themeColor="text1"/>
          <w:u w:val="single"/>
        </w:rPr>
        <w:t>Resubmittal of PG&amp;E’s 2024 Plan</w:t>
      </w:r>
    </w:p>
    <w:p w:rsidRPr="009C55D4" w:rsidR="003A3731" w:rsidP="004931F9" w:rsidRDefault="005604DD" w14:paraId="3632C937" w14:textId="1EF2CB93">
      <w:pPr>
        <w:pStyle w:val="10sp0"/>
        <w:spacing w:after="0" w:line="276" w:lineRule="auto"/>
        <w:rPr>
          <w:rFonts w:ascii="Palatino Linotype" w:hAnsi="Palatino Linotype" w:eastAsia="Palatino Linotype"/>
          <w:color w:val="000000" w:themeColor="text1"/>
        </w:rPr>
      </w:pPr>
      <w:r>
        <w:rPr>
          <w:rFonts w:ascii="Palatino Linotype" w:hAnsi="Palatino Linotype" w:eastAsia="Palatino Linotype"/>
          <w:color w:val="000000" w:themeColor="text1"/>
        </w:rPr>
        <w:t>To pursue funding</w:t>
      </w:r>
      <w:r w:rsidR="00FE593E">
        <w:rPr>
          <w:rFonts w:ascii="Palatino Linotype" w:hAnsi="Palatino Linotype" w:eastAsia="Palatino Linotype"/>
          <w:color w:val="000000" w:themeColor="text1"/>
        </w:rPr>
        <w:t xml:space="preserve"> </w:t>
      </w:r>
      <w:r w:rsidR="0061145B">
        <w:rPr>
          <w:rFonts w:ascii="Palatino Linotype" w:hAnsi="Palatino Linotype" w:eastAsia="Palatino Linotype"/>
          <w:color w:val="000000" w:themeColor="text1"/>
        </w:rPr>
        <w:t xml:space="preserve">for its </w:t>
      </w:r>
      <w:r w:rsidRPr="009C55D4" w:rsidR="0061145B">
        <w:rPr>
          <w:rFonts w:ascii="Palatino Linotype" w:hAnsi="Palatino Linotype" w:eastAsia="Palatino Linotype"/>
          <w:color w:val="000000" w:themeColor="text1"/>
        </w:rPr>
        <w:t>2024 Gas RD&amp;D Investment Plan</w:t>
      </w:r>
      <w:r w:rsidR="0061145B">
        <w:rPr>
          <w:rFonts w:ascii="Palatino Linotype" w:hAnsi="Palatino Linotype" w:eastAsia="Palatino Linotype"/>
          <w:color w:val="000000" w:themeColor="text1"/>
        </w:rPr>
        <w:t xml:space="preserve">, </w:t>
      </w:r>
      <w:r w:rsidRPr="009C55D4" w:rsidR="003A3731">
        <w:rPr>
          <w:rFonts w:ascii="Palatino Linotype" w:hAnsi="Palatino Linotype" w:eastAsia="Palatino Linotype"/>
          <w:color w:val="000000" w:themeColor="text1"/>
        </w:rPr>
        <w:t xml:space="preserve">PG&amp;E shall submit a </w:t>
      </w:r>
      <w:r w:rsidR="00142543">
        <w:rPr>
          <w:rFonts w:ascii="Palatino Linotype" w:hAnsi="Palatino Linotype" w:eastAsia="Palatino Linotype"/>
          <w:color w:val="000000" w:themeColor="text1"/>
        </w:rPr>
        <w:t xml:space="preserve">revised </w:t>
      </w:r>
      <w:r w:rsidRPr="009C55D4" w:rsidR="003A3731">
        <w:rPr>
          <w:rFonts w:ascii="Palatino Linotype" w:hAnsi="Palatino Linotype" w:eastAsia="Palatino Linotype"/>
          <w:color w:val="000000" w:themeColor="text1"/>
        </w:rPr>
        <w:t xml:space="preserve">Tier </w:t>
      </w:r>
      <w:r w:rsidRPr="009C55D4" w:rsidR="4544B6D0">
        <w:rPr>
          <w:rFonts w:ascii="Palatino Linotype" w:hAnsi="Palatino Linotype" w:eastAsia="Palatino Linotype"/>
          <w:color w:val="000000" w:themeColor="text1"/>
        </w:rPr>
        <w:t>3</w:t>
      </w:r>
      <w:r w:rsidRPr="009C55D4" w:rsidR="003A3731">
        <w:rPr>
          <w:rFonts w:ascii="Palatino Linotype" w:hAnsi="Palatino Linotype" w:eastAsia="Palatino Linotype"/>
          <w:color w:val="000000" w:themeColor="text1"/>
        </w:rPr>
        <w:t xml:space="preserve"> AL within </w:t>
      </w:r>
      <w:r w:rsidRPr="009C55D4" w:rsidR="007C4AE0">
        <w:rPr>
          <w:rFonts w:ascii="Palatino Linotype" w:hAnsi="Palatino Linotype" w:eastAsia="Palatino Linotype"/>
          <w:color w:val="000000" w:themeColor="text1"/>
        </w:rPr>
        <w:t>6</w:t>
      </w:r>
      <w:r w:rsidRPr="009C55D4" w:rsidR="003A3731">
        <w:rPr>
          <w:rFonts w:ascii="Palatino Linotype" w:hAnsi="Palatino Linotype" w:eastAsia="Palatino Linotype"/>
          <w:color w:val="000000" w:themeColor="text1"/>
        </w:rPr>
        <w:t xml:space="preserve">0 days addressing the compliance issues </w:t>
      </w:r>
      <w:r w:rsidRPr="009C55D4" w:rsidR="0030309F">
        <w:rPr>
          <w:rFonts w:ascii="Palatino Linotype" w:hAnsi="Palatino Linotype" w:eastAsia="Palatino Linotype"/>
          <w:color w:val="000000" w:themeColor="text1"/>
        </w:rPr>
        <w:t xml:space="preserve">described above </w:t>
      </w:r>
      <w:r w:rsidR="006B2DA0">
        <w:rPr>
          <w:rFonts w:ascii="Palatino Linotype" w:hAnsi="Palatino Linotype" w:eastAsia="Palatino Linotype"/>
          <w:color w:val="000000" w:themeColor="text1"/>
        </w:rPr>
        <w:t xml:space="preserve">and </w:t>
      </w:r>
      <w:r w:rsidRPr="009C55D4" w:rsidR="0030309F">
        <w:rPr>
          <w:rFonts w:ascii="Palatino Linotype" w:hAnsi="Palatino Linotype" w:eastAsia="Palatino Linotype"/>
          <w:color w:val="000000" w:themeColor="text1"/>
        </w:rPr>
        <w:t xml:space="preserve">as </w:t>
      </w:r>
      <w:r w:rsidRPr="009C55D4" w:rsidR="003A3731">
        <w:rPr>
          <w:rFonts w:ascii="Palatino Linotype" w:hAnsi="Palatino Linotype" w:eastAsia="Palatino Linotype"/>
          <w:color w:val="000000" w:themeColor="text1"/>
        </w:rPr>
        <w:t>detailed in the appendix of this Resolution</w:t>
      </w:r>
      <w:r w:rsidRPr="009C55D4" w:rsidR="0030309F">
        <w:rPr>
          <w:rFonts w:ascii="Palatino Linotype" w:hAnsi="Palatino Linotype" w:eastAsia="Palatino Linotype"/>
          <w:color w:val="000000" w:themeColor="text1"/>
        </w:rPr>
        <w:t>.</w:t>
      </w:r>
      <w:r w:rsidRPr="009C55D4" w:rsidR="0030309F">
        <w:rPr>
          <w:rStyle w:val="FootnoteReference"/>
          <w:rFonts w:ascii="Palatino Linotype" w:hAnsi="Palatino Linotype" w:eastAsia="Palatino Linotype"/>
          <w:color w:val="000000" w:themeColor="text1"/>
        </w:rPr>
        <w:footnoteReference w:id="68"/>
      </w:r>
    </w:p>
    <w:p w:rsidR="00EF1125" w:rsidP="00F73189" w:rsidRDefault="00EF1125" w14:paraId="53F4C1B8" w14:textId="77777777">
      <w:pPr>
        <w:pStyle w:val="10sp0"/>
        <w:spacing w:after="120" w:line="276" w:lineRule="auto"/>
        <w:rPr>
          <w:rFonts w:ascii="Palatino Linotype" w:hAnsi="Palatino Linotype"/>
          <w:b/>
          <w:bCs/>
        </w:rPr>
      </w:pPr>
    </w:p>
    <w:p w:rsidRPr="00713620" w:rsidR="00527781" w:rsidP="00527781" w:rsidRDefault="00527781" w14:paraId="7382C000" w14:textId="4F047F0D">
      <w:pPr>
        <w:pStyle w:val="10sp0"/>
        <w:spacing w:line="276" w:lineRule="auto"/>
        <w:rPr>
          <w:rFonts w:ascii="Palatino Linotype" w:hAnsi="Palatino Linotype"/>
          <w:b/>
          <w:bCs/>
        </w:rPr>
      </w:pPr>
      <w:r w:rsidRPr="0087523A">
        <w:rPr>
          <w:rFonts w:ascii="Palatino Linotype" w:hAnsi="Palatino Linotype"/>
          <w:b/>
          <w:bCs/>
        </w:rPr>
        <w:t>Compliance Assessment of AL 5069-G</w:t>
      </w:r>
      <w:r w:rsidRPr="00420FE1">
        <w:rPr>
          <w:rFonts w:ascii="Palatino Linotype" w:hAnsi="Palatino Linotype"/>
          <w:b/>
          <w:bCs/>
        </w:rPr>
        <w:t xml:space="preserve"> </w:t>
      </w:r>
      <w:r w:rsidR="00067ABF">
        <w:rPr>
          <w:rFonts w:ascii="Palatino Linotype" w:hAnsi="Palatino Linotype"/>
          <w:b/>
          <w:bCs/>
        </w:rPr>
        <w:t>– 2025 Gas RD&amp;D Plan</w:t>
      </w:r>
    </w:p>
    <w:p w:rsidRPr="00527781" w:rsidR="004931F9" w:rsidP="004931F9" w:rsidRDefault="00527781" w14:paraId="55F03448" w14:textId="44C59184">
      <w:pPr>
        <w:pStyle w:val="10sp0"/>
        <w:spacing w:after="0" w:line="276" w:lineRule="auto"/>
        <w:rPr>
          <w:rFonts w:ascii="Palatino Linotype" w:hAnsi="Palatino Linotype"/>
        </w:rPr>
      </w:pPr>
      <w:r>
        <w:rPr>
          <w:rFonts w:ascii="Palatino Linotype" w:hAnsi="Palatino Linotype"/>
        </w:rPr>
        <w:t>The Commission conducted a compliance assessment of PG&amp;E’s AL 5069-G</w:t>
      </w:r>
      <w:r w:rsidRPr="2F1CE98E">
        <w:rPr>
          <w:rStyle w:val="FootnoteReference"/>
          <w:rFonts w:ascii="Palatino Linotype" w:hAnsi="Palatino Linotype"/>
        </w:rPr>
        <w:footnoteReference w:id="69"/>
      </w:r>
      <w:r>
        <w:rPr>
          <w:rFonts w:ascii="Palatino Linotype" w:hAnsi="Palatino Linotype"/>
        </w:rPr>
        <w:t xml:space="preserve"> </w:t>
      </w:r>
      <w:r w:rsidR="00F443F3">
        <w:rPr>
          <w:rFonts w:ascii="Palatino Linotype" w:hAnsi="Palatino Linotype"/>
        </w:rPr>
        <w:t xml:space="preserve">proposing </w:t>
      </w:r>
      <w:r>
        <w:rPr>
          <w:rFonts w:ascii="Palatino Linotype" w:hAnsi="Palatino Linotype"/>
        </w:rPr>
        <w:t>its 2025 Gas RD&amp;D Investment Plan</w:t>
      </w:r>
      <w:r w:rsidR="196BDD62">
        <w:rPr>
          <w:rFonts w:ascii="Palatino Linotype" w:hAnsi="Palatino Linotype"/>
        </w:rPr>
        <w:t>.</w:t>
      </w:r>
      <w:r>
        <w:rPr>
          <w:rFonts w:ascii="Palatino Linotype" w:hAnsi="Palatino Linotype"/>
        </w:rPr>
        <w:t xml:space="preserve"> </w:t>
      </w:r>
      <w:r w:rsidR="196BDD62">
        <w:rPr>
          <w:rFonts w:ascii="Palatino Linotype" w:hAnsi="Palatino Linotype"/>
        </w:rPr>
        <w:t>As described above, staff assessed PG&amp;E‘s 2025 Plan</w:t>
      </w:r>
      <w:r>
        <w:rPr>
          <w:rFonts w:ascii="Palatino Linotype" w:hAnsi="Palatino Linotype"/>
        </w:rPr>
        <w:t xml:space="preserve"> based on consistency with requirements set in D</w:t>
      </w:r>
      <w:r w:rsidRPr="00803739">
        <w:rPr>
          <w:rFonts w:ascii="Palatino Linotype" w:hAnsi="Palatino Linotype"/>
        </w:rPr>
        <w:t>.23-11-069</w:t>
      </w:r>
      <w:r>
        <w:rPr>
          <w:rFonts w:ascii="Palatino Linotype" w:hAnsi="Palatino Linotype"/>
        </w:rPr>
        <w:t xml:space="preserve"> and Public Utilities Code 740.1,</w:t>
      </w:r>
      <w:r w:rsidR="00A736D6">
        <w:rPr>
          <w:rStyle w:val="FootnoteReference"/>
          <w:rFonts w:ascii="Palatino Linotype" w:hAnsi="Palatino Linotype"/>
        </w:rPr>
        <w:footnoteReference w:id="70"/>
      </w:r>
      <w:r>
        <w:rPr>
          <w:rFonts w:ascii="Palatino Linotype" w:hAnsi="Palatino Linotype"/>
        </w:rPr>
        <w:t xml:space="preserve"> among </w:t>
      </w:r>
      <w:r w:rsidR="00851E7E">
        <w:rPr>
          <w:rFonts w:ascii="Palatino Linotype" w:hAnsi="Palatino Linotype"/>
        </w:rPr>
        <w:t>other</w:t>
      </w:r>
      <w:r>
        <w:rPr>
          <w:rFonts w:ascii="Palatino Linotype" w:hAnsi="Palatino Linotype"/>
        </w:rPr>
        <w:t xml:space="preserve"> Commission guidance.</w:t>
      </w:r>
      <w:r>
        <w:rPr>
          <w:rStyle w:val="FootnoteReference"/>
          <w:rFonts w:ascii="Palatino Linotype" w:hAnsi="Palatino Linotype"/>
        </w:rPr>
        <w:footnoteReference w:id="71"/>
      </w:r>
      <w:r>
        <w:rPr>
          <w:rFonts w:ascii="Palatino Linotype" w:hAnsi="Palatino Linotype"/>
        </w:rPr>
        <w:t xml:space="preserve"> </w:t>
      </w:r>
      <w:r w:rsidRPr="00BD4DA7" w:rsidR="00B25995">
        <w:rPr>
          <w:rFonts w:ascii="Palatino Linotype" w:hAnsi="Palatino Linotype"/>
          <w:color w:val="000000" w:themeColor="text1"/>
        </w:rPr>
        <w:t xml:space="preserve">PG&amp;E’s 2025 Plan </w:t>
      </w:r>
      <w:r w:rsidRPr="00BD4DA7" w:rsidR="007037A6">
        <w:rPr>
          <w:rFonts w:ascii="Palatino Linotype" w:hAnsi="Palatino Linotype"/>
          <w:color w:val="000000" w:themeColor="text1"/>
        </w:rPr>
        <w:t>is</w:t>
      </w:r>
      <w:r w:rsidRPr="00BD4DA7" w:rsidR="00B25995">
        <w:rPr>
          <w:rFonts w:ascii="Palatino Linotype" w:hAnsi="Palatino Linotype"/>
          <w:color w:val="000000" w:themeColor="text1"/>
        </w:rPr>
        <w:t xml:space="preserve"> </w:t>
      </w:r>
      <w:r w:rsidRPr="00BD4DA7" w:rsidR="007037A6">
        <w:rPr>
          <w:rFonts w:ascii="Palatino Linotype" w:hAnsi="Palatino Linotype"/>
          <w:color w:val="000000" w:themeColor="text1"/>
        </w:rPr>
        <w:t xml:space="preserve">largely </w:t>
      </w:r>
      <w:r w:rsidRPr="00BD4DA7" w:rsidR="00BE00E3">
        <w:rPr>
          <w:rFonts w:ascii="Palatino Linotype" w:hAnsi="Palatino Linotype"/>
          <w:color w:val="000000" w:themeColor="text1"/>
        </w:rPr>
        <w:t xml:space="preserve">identical to </w:t>
      </w:r>
      <w:r w:rsidRPr="00BD4DA7" w:rsidR="007037A6">
        <w:rPr>
          <w:rFonts w:ascii="Palatino Linotype" w:hAnsi="Palatino Linotype"/>
          <w:color w:val="000000" w:themeColor="text1"/>
        </w:rPr>
        <w:t>its proposed</w:t>
      </w:r>
      <w:r w:rsidRPr="00BD4DA7" w:rsidR="00B25995">
        <w:rPr>
          <w:rFonts w:ascii="Palatino Linotype" w:hAnsi="Palatino Linotype"/>
          <w:color w:val="000000" w:themeColor="text1"/>
        </w:rPr>
        <w:t xml:space="preserve"> 2024 Plan</w:t>
      </w:r>
      <w:r w:rsidRPr="00BD4DA7" w:rsidR="00641E3D">
        <w:rPr>
          <w:rStyle w:val="FootnoteReference"/>
          <w:rFonts w:ascii="Palatino Linotype" w:hAnsi="Palatino Linotype"/>
          <w:color w:val="000000" w:themeColor="text1"/>
        </w:rPr>
        <w:footnoteReference w:id="72"/>
      </w:r>
      <w:r w:rsidRPr="00BD4DA7" w:rsidR="00641E3D">
        <w:rPr>
          <w:rFonts w:ascii="Palatino Linotype" w:hAnsi="Palatino Linotype"/>
          <w:color w:val="000000" w:themeColor="text1"/>
        </w:rPr>
        <w:t xml:space="preserve"> and PG&amp;E does not</w:t>
      </w:r>
      <w:r w:rsidRPr="00BD4DA7" w:rsidR="00BD44B7">
        <w:rPr>
          <w:rFonts w:ascii="Palatino Linotype" w:hAnsi="Palatino Linotype"/>
          <w:color w:val="000000" w:themeColor="text1"/>
        </w:rPr>
        <w:t xml:space="preserve"> d</w:t>
      </w:r>
      <w:r w:rsidRPr="00BD4DA7" w:rsidR="00564922">
        <w:rPr>
          <w:rFonts w:ascii="Palatino Linotype" w:hAnsi="Palatino Linotype"/>
          <w:color w:val="000000" w:themeColor="text1"/>
        </w:rPr>
        <w:t xml:space="preserve">ifferentiate </w:t>
      </w:r>
      <w:r w:rsidRPr="00BD4DA7" w:rsidR="006F42BF">
        <w:rPr>
          <w:rFonts w:ascii="Palatino Linotype" w:hAnsi="Palatino Linotype"/>
          <w:color w:val="000000" w:themeColor="text1"/>
        </w:rPr>
        <w:t>th</w:t>
      </w:r>
      <w:r w:rsidRPr="00BD4DA7" w:rsidR="007037A6">
        <w:rPr>
          <w:rFonts w:ascii="Palatino Linotype" w:hAnsi="Palatino Linotype"/>
          <w:color w:val="000000" w:themeColor="text1"/>
        </w:rPr>
        <w:t xml:space="preserve">e Initiatives </w:t>
      </w:r>
      <w:r w:rsidRPr="00BD4DA7" w:rsidR="00796AE0">
        <w:rPr>
          <w:rFonts w:ascii="Palatino Linotype" w:hAnsi="Palatino Linotype"/>
          <w:color w:val="000000" w:themeColor="text1"/>
        </w:rPr>
        <w:t xml:space="preserve">nor </w:t>
      </w:r>
      <w:r w:rsidRPr="00BD4DA7" w:rsidR="00FD76B6">
        <w:rPr>
          <w:rFonts w:ascii="Palatino Linotype" w:hAnsi="Palatino Linotype"/>
          <w:color w:val="000000" w:themeColor="text1"/>
        </w:rPr>
        <w:t>describe</w:t>
      </w:r>
      <w:r w:rsidRPr="00BD4DA7" w:rsidR="00D31CB9">
        <w:rPr>
          <w:rFonts w:ascii="Palatino Linotype" w:hAnsi="Palatino Linotype"/>
          <w:color w:val="000000" w:themeColor="text1"/>
        </w:rPr>
        <w:t xml:space="preserve"> </w:t>
      </w:r>
      <w:r w:rsidRPr="00BD4DA7" w:rsidR="00796AE0">
        <w:rPr>
          <w:rFonts w:ascii="Palatino Linotype" w:hAnsi="Palatino Linotype"/>
          <w:color w:val="000000" w:themeColor="text1"/>
        </w:rPr>
        <w:t xml:space="preserve">the intended </w:t>
      </w:r>
      <w:r w:rsidRPr="00BD4DA7" w:rsidR="00D31CB9">
        <w:rPr>
          <w:rFonts w:ascii="Palatino Linotype" w:hAnsi="Palatino Linotype"/>
          <w:color w:val="000000" w:themeColor="text1"/>
        </w:rPr>
        <w:t xml:space="preserve">progress </w:t>
      </w:r>
      <w:r w:rsidRPr="00BD4DA7" w:rsidR="00796AE0">
        <w:rPr>
          <w:rFonts w:ascii="Palatino Linotype" w:hAnsi="Palatino Linotype"/>
          <w:color w:val="000000" w:themeColor="text1"/>
        </w:rPr>
        <w:t xml:space="preserve">to be made in the subsequent year. Thus, PG&amp;E’s 2025 Plan duplicates the compliance issues </w:t>
      </w:r>
      <w:r w:rsidRPr="00BD4DA7" w:rsidR="00994DE2">
        <w:rPr>
          <w:rFonts w:ascii="Palatino Linotype" w:hAnsi="Palatino Linotype"/>
          <w:color w:val="000000" w:themeColor="text1"/>
        </w:rPr>
        <w:t xml:space="preserve">in its 2024 Plan, exacerbated </w:t>
      </w:r>
      <w:r w:rsidRPr="00BD4DA7" w:rsidR="00731BCE">
        <w:rPr>
          <w:rFonts w:ascii="Palatino Linotype" w:hAnsi="Palatino Linotype"/>
          <w:color w:val="000000" w:themeColor="text1"/>
        </w:rPr>
        <w:t xml:space="preserve">by failing to demonstrate incremental value added. </w:t>
      </w:r>
      <w:r w:rsidRPr="43E170AB" w:rsidR="00E636DC">
        <w:rPr>
          <w:rFonts w:ascii="Palatino Linotype" w:hAnsi="Palatino Linotype"/>
          <w:color w:val="000000" w:themeColor="text1"/>
        </w:rPr>
        <w:t>In summary, t</w:t>
      </w:r>
      <w:r w:rsidRPr="43E170AB" w:rsidR="004931F9">
        <w:rPr>
          <w:rFonts w:ascii="Palatino Linotype" w:hAnsi="Palatino Linotype"/>
          <w:color w:val="000000" w:themeColor="text1"/>
        </w:rPr>
        <w:t xml:space="preserve">he Commission finds that PG&amp;E is not compliant with these requirements in AL 5069-G </w:t>
      </w:r>
      <w:r w:rsidRPr="43E170AB" w:rsidR="00A80377">
        <w:rPr>
          <w:rFonts w:ascii="Palatino Linotype" w:hAnsi="Palatino Linotype"/>
          <w:color w:val="000000" w:themeColor="text1"/>
        </w:rPr>
        <w:t>for the following reasons</w:t>
      </w:r>
      <w:r w:rsidR="00A267AD">
        <w:rPr>
          <w:rFonts w:ascii="Palatino Linotype" w:hAnsi="Palatino Linotype"/>
          <w:color w:val="000000" w:themeColor="text1"/>
        </w:rPr>
        <w:t xml:space="preserve"> (See Appendix G for details)</w:t>
      </w:r>
      <w:r w:rsidRPr="43E170AB" w:rsidR="00A80377">
        <w:rPr>
          <w:rFonts w:ascii="Palatino Linotype" w:hAnsi="Palatino Linotype"/>
          <w:color w:val="000000" w:themeColor="text1"/>
        </w:rPr>
        <w:t xml:space="preserve">: </w:t>
      </w:r>
    </w:p>
    <w:p w:rsidRPr="00C710D8" w:rsidR="00C710D8" w:rsidP="00C710D8" w:rsidRDefault="00C710D8" w14:paraId="4CF8C652" w14:textId="264A6EC6">
      <w:pPr>
        <w:pStyle w:val="10sp0"/>
        <w:numPr>
          <w:ilvl w:val="0"/>
          <w:numId w:val="20"/>
        </w:numPr>
        <w:spacing w:after="0" w:line="276" w:lineRule="auto"/>
        <w:rPr>
          <w:rFonts w:ascii="Palatino Linotype" w:hAnsi="Palatino Linotype"/>
          <w:color w:val="000000" w:themeColor="text1"/>
          <w:szCs w:val="24"/>
        </w:rPr>
      </w:pPr>
      <w:r w:rsidRPr="005958D6">
        <w:rPr>
          <w:rFonts w:ascii="Palatino Linotype" w:hAnsi="Palatino Linotype"/>
          <w:color w:val="000000" w:themeColor="text1"/>
          <w:szCs w:val="24"/>
        </w:rPr>
        <w:t xml:space="preserve">PG&amp;E </w:t>
      </w:r>
      <w:r>
        <w:rPr>
          <w:rFonts w:ascii="Palatino Linotype" w:hAnsi="Palatino Linotype"/>
          <w:color w:val="000000" w:themeColor="text1"/>
          <w:szCs w:val="24"/>
        </w:rPr>
        <w:t>does not demonstrate ratepayer benefits attributable to each proposed Initiative:</w:t>
      </w:r>
      <w:r>
        <w:rPr>
          <w:rStyle w:val="FootnoteReference"/>
          <w:rFonts w:ascii="Palatino Linotype" w:hAnsi="Palatino Linotype"/>
          <w:color w:val="000000" w:themeColor="text1"/>
          <w:szCs w:val="24"/>
        </w:rPr>
        <w:footnoteReference w:id="73"/>
      </w:r>
      <w:r>
        <w:rPr>
          <w:rFonts w:ascii="Palatino Linotype" w:hAnsi="Palatino Linotype"/>
          <w:color w:val="000000" w:themeColor="text1"/>
          <w:szCs w:val="24"/>
        </w:rPr>
        <w:t xml:space="preserve"> </w:t>
      </w:r>
    </w:p>
    <w:p w:rsidRPr="00C710D8" w:rsidR="00C710D8" w:rsidP="00C710D8" w:rsidRDefault="00CE4528" w14:paraId="5A3B5D33" w14:textId="337D1583">
      <w:pPr>
        <w:pStyle w:val="10sp0"/>
        <w:numPr>
          <w:ilvl w:val="1"/>
          <w:numId w:val="20"/>
        </w:numPr>
        <w:spacing w:after="0" w:line="276" w:lineRule="auto"/>
        <w:rPr>
          <w:rFonts w:ascii="Palatino Linotype" w:hAnsi="Palatino Linotype"/>
          <w:color w:val="000000" w:themeColor="text1"/>
        </w:rPr>
      </w:pPr>
      <w:r w:rsidRPr="61D6D4C1">
        <w:rPr>
          <w:rFonts w:ascii="Palatino Linotype" w:hAnsi="Palatino Linotype"/>
          <w:color w:val="000000" w:themeColor="text1"/>
        </w:rPr>
        <w:t>PG&amp;</w:t>
      </w:r>
      <w:r w:rsidRPr="00C710D8">
        <w:rPr>
          <w:rFonts w:ascii="Palatino Linotype" w:hAnsi="Palatino Linotype"/>
          <w:color w:val="000000" w:themeColor="text1"/>
        </w:rPr>
        <w:t>E included in its “Assumptions” subsection in the “Benefits” chapter describing its proposed impacts analysis methodology that “[n]ot all projects should be required to conduct an impacts analysis. Smaller projects may be more exploratory in nature and the effort associated with the analysis may be unduly burdensome.”</w:t>
      </w:r>
      <w:r w:rsidRPr="00C710D8">
        <w:rPr>
          <w:rStyle w:val="FootnoteReference"/>
          <w:rFonts w:ascii="Palatino Linotype" w:hAnsi="Palatino Linotype"/>
          <w:color w:val="000000" w:themeColor="text1"/>
        </w:rPr>
        <w:footnoteReference w:id="74"/>
      </w:r>
      <w:r w:rsidRPr="00C710D8">
        <w:rPr>
          <w:rFonts w:ascii="Palatino Linotype" w:hAnsi="Palatino Linotype"/>
          <w:color w:val="000000" w:themeColor="text1"/>
        </w:rPr>
        <w:t xml:space="preserve"> </w:t>
      </w:r>
    </w:p>
    <w:p w:rsidRPr="006A3682" w:rsidR="00FA68F6" w:rsidP="00C710D8" w:rsidRDefault="00FA68F6" w14:paraId="66B10288" w14:textId="28F88403">
      <w:pPr>
        <w:pStyle w:val="10sp0"/>
        <w:numPr>
          <w:ilvl w:val="1"/>
          <w:numId w:val="20"/>
        </w:numPr>
        <w:spacing w:after="0" w:line="276" w:lineRule="auto"/>
        <w:rPr>
          <w:rFonts w:ascii="Palatino Linotype" w:hAnsi="Palatino Linotype"/>
          <w:color w:val="000000" w:themeColor="text1"/>
          <w:szCs w:val="24"/>
        </w:rPr>
      </w:pPr>
      <w:r w:rsidRPr="21EC5BEE">
        <w:rPr>
          <w:rFonts w:ascii="Palatino Linotype" w:hAnsi="Palatino Linotype"/>
          <w:color w:val="000000" w:themeColor="text1"/>
        </w:rPr>
        <w:t>PG&amp;E does not demonstrate that impacts should be attributed</w:t>
      </w:r>
      <w:r w:rsidR="00DA379D">
        <w:rPr>
          <w:rStyle w:val="FootnoteReference"/>
          <w:rFonts w:ascii="Palatino Linotype" w:hAnsi="Palatino Linotype"/>
          <w:color w:val="000000" w:themeColor="text1"/>
        </w:rPr>
        <w:footnoteReference w:id="75"/>
      </w:r>
      <w:r w:rsidRPr="21EC5BEE">
        <w:rPr>
          <w:rFonts w:ascii="Palatino Linotype" w:hAnsi="Palatino Linotype"/>
          <w:color w:val="000000" w:themeColor="text1"/>
        </w:rPr>
        <w:t xml:space="preserve"> to the Innovative and Cost-Effective Integrity Management Initiative as opposed to the related Pipeline and Hazardous Materials Safety Administration </w:t>
      </w:r>
      <w:r w:rsidRPr="21EC5BEE">
        <w:rPr>
          <w:rFonts w:ascii="Palatino Linotype" w:hAnsi="Palatino Linotype"/>
          <w:color w:val="000000" w:themeColor="text1"/>
        </w:rPr>
        <w:lastRenderedPageBreak/>
        <w:t xml:space="preserve">(PHMSA) Mega Rule and mandates from the California Geological Energy </w:t>
      </w:r>
      <w:r w:rsidRPr="006A3682">
        <w:rPr>
          <w:rFonts w:ascii="Palatino Linotype" w:hAnsi="Palatino Linotype"/>
          <w:color w:val="000000" w:themeColor="text1"/>
        </w:rPr>
        <w:t>Management Division (CalGEM) as referenced.</w:t>
      </w:r>
      <w:r w:rsidRPr="006A3682" w:rsidR="004A1DDA">
        <w:rPr>
          <w:rStyle w:val="FootnoteReference"/>
          <w:rFonts w:ascii="Palatino Linotype" w:hAnsi="Palatino Linotype"/>
          <w:color w:val="000000" w:themeColor="text1"/>
        </w:rPr>
        <w:footnoteReference w:id="76"/>
      </w:r>
    </w:p>
    <w:p w:rsidRPr="006A3682" w:rsidR="00C710D8" w:rsidP="00C710D8" w:rsidRDefault="00C710D8" w14:paraId="06215E12" w14:textId="5C2CDFC8">
      <w:pPr>
        <w:pStyle w:val="10sp0"/>
        <w:numPr>
          <w:ilvl w:val="1"/>
          <w:numId w:val="20"/>
        </w:numPr>
        <w:spacing w:after="0" w:line="276" w:lineRule="auto"/>
        <w:rPr>
          <w:rFonts w:ascii="Palatino Linotype" w:hAnsi="Palatino Linotype" w:eastAsia="Palatino Linotype"/>
          <w:color w:val="000000" w:themeColor="text1"/>
        </w:rPr>
      </w:pPr>
      <w:r w:rsidRPr="006A3682">
        <w:rPr>
          <w:rFonts w:ascii="Palatino Linotype" w:hAnsi="Palatino Linotype"/>
          <w:color w:val="000000" w:themeColor="text1"/>
        </w:rPr>
        <w:t xml:space="preserve">The primary objective of PG&amp;E’s </w:t>
      </w:r>
      <w:r w:rsidRPr="006A3682" w:rsidR="00F37375">
        <w:rPr>
          <w:rFonts w:ascii="Palatino Linotype" w:hAnsi="Palatino Linotype" w:eastAsia="Palatino Linotype"/>
          <w:color w:val="000000" w:themeColor="text1"/>
        </w:rPr>
        <w:t>proposed Emission Reduction Activities and Refined Reporting Initiative</w:t>
      </w:r>
      <w:r w:rsidRPr="006A3682" w:rsidR="008713AD">
        <w:rPr>
          <w:rStyle w:val="FootnoteReference"/>
          <w:rFonts w:ascii="Palatino Linotype" w:hAnsi="Palatino Linotype" w:eastAsia="Palatino Linotype"/>
          <w:color w:val="000000" w:themeColor="text1"/>
        </w:rPr>
        <w:footnoteReference w:id="77"/>
      </w:r>
      <w:r w:rsidRPr="006A3682" w:rsidR="008713AD">
        <w:rPr>
          <w:rFonts w:ascii="Palatino Linotype" w:hAnsi="Palatino Linotype" w:eastAsia="Palatino Linotype"/>
          <w:color w:val="000000" w:themeColor="text1"/>
        </w:rPr>
        <w:t xml:space="preserve"> </w:t>
      </w:r>
      <w:r w:rsidRPr="006A3682">
        <w:rPr>
          <w:rFonts w:ascii="Palatino Linotype" w:hAnsi="Palatino Linotype" w:eastAsia="Palatino Linotype"/>
          <w:color w:val="000000" w:themeColor="text1"/>
        </w:rPr>
        <w:t>appears to be</w:t>
      </w:r>
      <w:r w:rsidRPr="006A3682" w:rsidR="00F37375">
        <w:rPr>
          <w:rFonts w:ascii="Palatino Linotype" w:hAnsi="Palatino Linotype" w:eastAsia="Palatino Linotype"/>
          <w:color w:val="000000" w:themeColor="text1"/>
        </w:rPr>
        <w:t xml:space="preserve"> meeting regulatory goals. </w:t>
      </w:r>
    </w:p>
    <w:p w:rsidRPr="006A3682" w:rsidR="00C710D8" w:rsidP="00C710D8" w:rsidRDefault="00C710D8" w14:paraId="7DDDA40C" w14:textId="7BB4B2B6">
      <w:pPr>
        <w:pStyle w:val="10sp0"/>
        <w:numPr>
          <w:ilvl w:val="0"/>
          <w:numId w:val="20"/>
        </w:numPr>
        <w:spacing w:after="0" w:line="276" w:lineRule="auto"/>
        <w:rPr>
          <w:rFonts w:ascii="Palatino Linotype" w:hAnsi="Palatino Linotype"/>
          <w:color w:val="000000" w:themeColor="text1"/>
        </w:rPr>
      </w:pPr>
      <w:r w:rsidRPr="006A3682">
        <w:rPr>
          <w:rFonts w:ascii="Palatino Linotype" w:hAnsi="Palatino Linotype"/>
          <w:color w:val="000000" w:themeColor="text1"/>
        </w:rPr>
        <w:t xml:space="preserve">PG&amp;E does not demonstrate that Initiatives are complementary </w:t>
      </w:r>
      <w:r w:rsidR="0080047A">
        <w:rPr>
          <w:rFonts w:ascii="Palatino Linotype" w:hAnsi="Palatino Linotype"/>
          <w:color w:val="000000" w:themeColor="text1"/>
        </w:rPr>
        <w:t>and</w:t>
      </w:r>
      <w:r w:rsidRPr="006A3682" w:rsidR="0080047A">
        <w:rPr>
          <w:rFonts w:ascii="Palatino Linotype" w:hAnsi="Palatino Linotype"/>
          <w:color w:val="000000" w:themeColor="text1"/>
        </w:rPr>
        <w:t xml:space="preserve"> </w:t>
      </w:r>
      <w:r w:rsidRPr="006A3682">
        <w:rPr>
          <w:rFonts w:ascii="Palatino Linotype" w:hAnsi="Palatino Linotype"/>
          <w:color w:val="000000" w:themeColor="text1"/>
        </w:rPr>
        <w:t>not duplicative of RD&amp;D currently, previously, or imminently underway,</w:t>
      </w:r>
      <w:r w:rsidRPr="006A3682">
        <w:rPr>
          <w:rStyle w:val="FootnoteReference"/>
          <w:rFonts w:ascii="Palatino Linotype" w:hAnsi="Palatino Linotype"/>
          <w:color w:val="000000" w:themeColor="text1"/>
        </w:rPr>
        <w:footnoteReference w:id="78"/>
      </w:r>
      <w:r w:rsidRPr="006A3682">
        <w:rPr>
          <w:rFonts w:ascii="Palatino Linotype" w:hAnsi="Palatino Linotype"/>
          <w:color w:val="000000" w:themeColor="text1"/>
        </w:rPr>
        <w:t xml:space="preserve"> including by: </w:t>
      </w:r>
    </w:p>
    <w:p w:rsidRPr="00372CC7" w:rsidR="00C710D8" w:rsidP="00C710D8" w:rsidRDefault="00C710D8" w14:paraId="3AEB68A8" w14:textId="77777777">
      <w:pPr>
        <w:pStyle w:val="10sp0"/>
        <w:numPr>
          <w:ilvl w:val="1"/>
          <w:numId w:val="20"/>
        </w:numPr>
        <w:spacing w:after="0" w:line="276" w:lineRule="auto"/>
        <w:rPr>
          <w:rFonts w:ascii="Palatino Linotype" w:hAnsi="Palatino Linotype"/>
          <w:color w:val="000000" w:themeColor="text1"/>
        </w:rPr>
      </w:pPr>
      <w:r w:rsidRPr="006A3682">
        <w:rPr>
          <w:rFonts w:ascii="Palatino Linotype" w:hAnsi="Palatino Linotype"/>
          <w:color w:val="000000" w:themeColor="text1"/>
        </w:rPr>
        <w:t>differentiating Initiatives from those proposed in PG&amp;E’s 2024 Plan</w:t>
      </w:r>
      <w:r w:rsidRPr="006A3682">
        <w:rPr>
          <w:rStyle w:val="FootnoteReference"/>
          <w:rFonts w:ascii="Palatino Linotype" w:hAnsi="Palatino Linotype"/>
          <w:color w:val="000000" w:themeColor="text1"/>
        </w:rPr>
        <w:footnoteReference w:id="79"/>
      </w:r>
      <w:r w:rsidRPr="006A3682">
        <w:rPr>
          <w:rFonts w:ascii="Palatino Linotype" w:hAnsi="Palatino Linotype"/>
          <w:color w:val="000000" w:themeColor="text1"/>
        </w:rPr>
        <w:t xml:space="preserve"> by describing specific Research Topics and discussing incremental value </w:t>
      </w:r>
      <w:r w:rsidRPr="00372CC7">
        <w:rPr>
          <w:rFonts w:ascii="Palatino Linotype" w:hAnsi="Palatino Linotype"/>
          <w:color w:val="000000" w:themeColor="text1"/>
        </w:rPr>
        <w:t>added, </w:t>
      </w:r>
    </w:p>
    <w:p w:rsidRPr="00372CC7" w:rsidR="00C710D8" w:rsidP="00C710D8" w:rsidRDefault="00C710D8" w14:paraId="741AB817" w14:textId="4F439D42">
      <w:pPr>
        <w:pStyle w:val="10sp0"/>
        <w:numPr>
          <w:ilvl w:val="1"/>
          <w:numId w:val="20"/>
        </w:numPr>
        <w:spacing w:after="0" w:line="276" w:lineRule="auto"/>
        <w:rPr>
          <w:rFonts w:ascii="Palatino Linotype" w:hAnsi="Palatino Linotype"/>
          <w:color w:val="000000" w:themeColor="text1"/>
        </w:rPr>
      </w:pPr>
      <w:r w:rsidRPr="00372CC7">
        <w:rPr>
          <w:rFonts w:ascii="Palatino Linotype" w:hAnsi="Palatino Linotype"/>
          <w:color w:val="000000" w:themeColor="text1"/>
        </w:rPr>
        <w:t>differentiating activities from those associated with NGLA, ARCHES, hydrogen blending pilots,</w:t>
      </w:r>
      <w:r w:rsidRPr="00372CC7">
        <w:rPr>
          <w:rStyle w:val="FootnoteReference"/>
          <w:rFonts w:ascii="Palatino Linotype" w:hAnsi="Palatino Linotype"/>
          <w:color w:val="000000" w:themeColor="text1"/>
        </w:rPr>
        <w:footnoteReference w:id="80"/>
      </w:r>
      <w:r w:rsidRPr="00372CC7">
        <w:rPr>
          <w:rFonts w:ascii="Palatino Linotype" w:hAnsi="Palatino Linotype"/>
          <w:color w:val="000000" w:themeColor="text1"/>
        </w:rPr>
        <w:t xml:space="preserve"> and other related programs, </w:t>
      </w:r>
      <w:r w:rsidRPr="00372CC7" w:rsidR="0001650E">
        <w:rPr>
          <w:rFonts w:ascii="Palatino Linotype" w:hAnsi="Palatino Linotype"/>
          <w:color w:val="000000" w:themeColor="text1"/>
        </w:rPr>
        <w:t>and</w:t>
      </w:r>
    </w:p>
    <w:p w:rsidRPr="00372CC7" w:rsidR="00C710D8" w:rsidP="00C710D8" w:rsidRDefault="00C710D8" w14:paraId="095EDE5B" w14:textId="77777777">
      <w:pPr>
        <w:pStyle w:val="10sp0"/>
        <w:numPr>
          <w:ilvl w:val="1"/>
          <w:numId w:val="20"/>
        </w:numPr>
        <w:spacing w:after="0" w:line="276" w:lineRule="auto"/>
        <w:rPr>
          <w:rFonts w:ascii="Palatino Linotype" w:hAnsi="Palatino Linotype"/>
          <w:color w:val="000000" w:themeColor="text1"/>
        </w:rPr>
      </w:pPr>
      <w:r w:rsidRPr="00372CC7">
        <w:rPr>
          <w:rFonts w:ascii="Palatino Linotype" w:hAnsi="Palatino Linotype"/>
          <w:color w:val="000000" w:themeColor="text1"/>
        </w:rPr>
        <w:t>documenting coordination with other Gas RD&amp;D administrators at the Initiative level. </w:t>
      </w:r>
    </w:p>
    <w:p w:rsidRPr="00372CC7" w:rsidR="00F10FA0" w:rsidP="00F37375" w:rsidRDefault="00F979EE" w14:paraId="6B96E532" w14:textId="0A56AC31">
      <w:pPr>
        <w:pStyle w:val="10sp0"/>
        <w:numPr>
          <w:ilvl w:val="0"/>
          <w:numId w:val="20"/>
        </w:numPr>
        <w:spacing w:after="0" w:line="276" w:lineRule="auto"/>
        <w:rPr>
          <w:rFonts w:ascii="Palatino Linotype" w:hAnsi="Palatino Linotype"/>
          <w:color w:val="000000" w:themeColor="text1"/>
          <w:szCs w:val="24"/>
        </w:rPr>
      </w:pPr>
      <w:r w:rsidRPr="00372CC7">
        <w:rPr>
          <w:rFonts w:ascii="Palatino Linotype" w:hAnsi="Palatino Linotype"/>
          <w:color w:val="000000" w:themeColor="text1"/>
        </w:rPr>
        <w:t xml:space="preserve">PG&amp;E does not allocate Program Administrative costs to specific categories using the </w:t>
      </w:r>
      <w:r w:rsidRPr="00372CC7" w:rsidR="00C710D8">
        <w:rPr>
          <w:rFonts w:ascii="Palatino Linotype" w:hAnsi="Palatino Linotype"/>
          <w:color w:val="000000" w:themeColor="text1"/>
        </w:rPr>
        <w:t>Administrative Budget</w:t>
      </w:r>
      <w:r w:rsidRPr="00372CC7" w:rsidR="7AEEBA1F">
        <w:rPr>
          <w:rFonts w:ascii="Palatino Linotype" w:hAnsi="Palatino Linotype"/>
          <w:color w:val="000000" w:themeColor="text1"/>
        </w:rPr>
        <w:t xml:space="preserve"> </w:t>
      </w:r>
      <w:r w:rsidRPr="00372CC7" w:rsidR="00F10FA0">
        <w:rPr>
          <w:rFonts w:ascii="Palatino Linotype" w:hAnsi="Palatino Linotype"/>
          <w:color w:val="000000" w:themeColor="text1"/>
        </w:rPr>
        <w:t>template</w:t>
      </w:r>
      <w:r w:rsidRPr="00372CC7" w:rsidR="00D150BB">
        <w:rPr>
          <w:rStyle w:val="FootnoteReference"/>
          <w:rFonts w:ascii="Palatino Linotype" w:hAnsi="Palatino Linotype"/>
          <w:color w:val="000000" w:themeColor="text1"/>
        </w:rPr>
        <w:footnoteReference w:id="81"/>
      </w:r>
      <w:r w:rsidRPr="00372CC7" w:rsidR="6E2F3153">
        <w:rPr>
          <w:rStyle w:val="FootnoteReference"/>
          <w:rFonts w:ascii="Palatino Linotype" w:hAnsi="Palatino Linotype"/>
          <w:color w:val="000000" w:themeColor="text1"/>
        </w:rPr>
        <w:t xml:space="preserve"> </w:t>
      </w:r>
      <w:r w:rsidRPr="00372CC7" w:rsidR="6E2F3153">
        <w:rPr>
          <w:rFonts w:ascii="Palatino Linotype" w:hAnsi="Palatino Linotype"/>
          <w:color w:val="000000" w:themeColor="text1"/>
        </w:rPr>
        <w:t xml:space="preserve">as </w:t>
      </w:r>
      <w:r w:rsidRPr="00372CC7" w:rsidR="00F10FA0">
        <w:rPr>
          <w:rFonts w:ascii="Palatino Linotype" w:hAnsi="Palatino Linotype"/>
          <w:color w:val="000000" w:themeColor="text1"/>
        </w:rPr>
        <w:t>required.</w:t>
      </w:r>
      <w:r w:rsidRPr="00372CC7" w:rsidR="00D150BB">
        <w:rPr>
          <w:rStyle w:val="FootnoteReference"/>
          <w:rFonts w:ascii="Palatino Linotype" w:hAnsi="Palatino Linotype"/>
          <w:color w:val="000000" w:themeColor="text1"/>
        </w:rPr>
        <w:footnoteReference w:id="82"/>
      </w:r>
    </w:p>
    <w:p w:rsidR="00C710D8" w:rsidP="00C710D8" w:rsidRDefault="00C710D8" w14:paraId="768FA624" w14:textId="60959296">
      <w:pPr>
        <w:pStyle w:val="10sp0"/>
        <w:numPr>
          <w:ilvl w:val="0"/>
          <w:numId w:val="20"/>
        </w:numPr>
        <w:spacing w:after="0" w:line="276" w:lineRule="auto"/>
        <w:rPr>
          <w:rFonts w:ascii="Palatino Linotype" w:hAnsi="Palatino Linotype"/>
          <w:color w:val="000000" w:themeColor="text1"/>
        </w:rPr>
      </w:pPr>
      <w:r w:rsidRPr="00372CC7">
        <w:rPr>
          <w:rFonts w:ascii="Palatino Linotype" w:hAnsi="Palatino Linotype" w:eastAsia="Palatino Linotype"/>
          <w:color w:val="000000" w:themeColor="text1"/>
        </w:rPr>
        <w:t>PG&amp;</w:t>
      </w:r>
      <w:r w:rsidRPr="0D44A3C8">
        <w:rPr>
          <w:rFonts w:ascii="Palatino Linotype" w:hAnsi="Palatino Linotype" w:eastAsia="Palatino Linotype"/>
          <w:color w:val="000000" w:themeColor="text1"/>
        </w:rPr>
        <w:t>E proposes hydrogen-specific activities</w:t>
      </w:r>
      <w:r w:rsidRPr="0D44A3C8">
        <w:rPr>
          <w:rStyle w:val="FootnoteReference"/>
          <w:rFonts w:ascii="Palatino Linotype" w:hAnsi="Palatino Linotype" w:eastAsia="Palatino Linotype"/>
          <w:color w:val="000000" w:themeColor="text1"/>
        </w:rPr>
        <w:footnoteReference w:id="83"/>
      </w:r>
      <w:r w:rsidRPr="0D44A3C8">
        <w:rPr>
          <w:rFonts w:ascii="Palatino Linotype" w:hAnsi="Palatino Linotype" w:eastAsia="Palatino Linotype"/>
          <w:color w:val="000000" w:themeColor="text1"/>
        </w:rPr>
        <w:t xml:space="preserve"> though </w:t>
      </w:r>
      <w:r w:rsidRPr="5A49EF21" w:rsidR="00363503">
        <w:rPr>
          <w:rFonts w:ascii="Palatino Linotype" w:hAnsi="Palatino Linotype"/>
        </w:rPr>
        <w:t xml:space="preserve">the Commission has not provided guidance on the appropriate role of </w:t>
      </w:r>
      <w:r w:rsidRPr="68ED7BA0" w:rsidR="00363503">
        <w:rPr>
          <w:rFonts w:ascii="Palatino Linotype" w:hAnsi="Palatino Linotype"/>
        </w:rPr>
        <w:t>gas</w:t>
      </w:r>
      <w:r w:rsidRPr="5A49EF21" w:rsidR="00363503">
        <w:rPr>
          <w:rFonts w:ascii="Palatino Linotype" w:hAnsi="Palatino Linotype"/>
        </w:rPr>
        <w:t xml:space="preserve"> ratepayers in funding hydrogen RD&amp;D, particularly as these projects would have further implications for ratepayer funding, including in future Gas RD&amp;D Plans</w:t>
      </w:r>
      <w:r w:rsidRPr="61D6D4C1">
        <w:rPr>
          <w:rFonts w:ascii="Palatino Linotype" w:hAnsi="Palatino Linotype" w:eastAsia="Palatino Linotype" w:cs="Palatino Linotype"/>
          <w:color w:val="000000" w:themeColor="text1"/>
        </w:rPr>
        <w:t>.</w:t>
      </w:r>
      <w:r w:rsidRPr="61D6D4C1">
        <w:rPr>
          <w:rStyle w:val="FootnoteReference"/>
          <w:rFonts w:ascii="Palatino Linotype" w:hAnsi="Palatino Linotype" w:eastAsia="Palatino Linotype" w:cs="Palatino Linotype"/>
          <w:color w:val="000000" w:themeColor="text1"/>
        </w:rPr>
        <w:footnoteReference w:id="84"/>
      </w:r>
      <w:r w:rsidRPr="21EC5BEE" w:rsidDel="00CE4528">
        <w:rPr>
          <w:rFonts w:ascii="Palatino Linotype" w:hAnsi="Palatino Linotype"/>
          <w:color w:val="000000" w:themeColor="text1"/>
        </w:rPr>
        <w:t xml:space="preserve"> </w:t>
      </w:r>
    </w:p>
    <w:p w:rsidRPr="005D111A" w:rsidR="00F44166" w:rsidP="005D111A" w:rsidRDefault="009D17F7" w14:paraId="4992135C" w14:textId="5F0C09A5">
      <w:pPr>
        <w:pStyle w:val="10sp0"/>
        <w:numPr>
          <w:ilvl w:val="0"/>
          <w:numId w:val="20"/>
        </w:numPr>
        <w:spacing w:after="0" w:line="276" w:lineRule="auto"/>
        <w:rPr>
          <w:rFonts w:ascii="Palatino Linotype" w:hAnsi="Palatino Linotype"/>
          <w:color w:val="000000" w:themeColor="text1"/>
          <w:szCs w:val="24"/>
        </w:rPr>
      </w:pPr>
      <w:r w:rsidRPr="005D111A">
        <w:rPr>
          <w:rFonts w:ascii="Palatino Linotype" w:hAnsi="Palatino Linotype"/>
          <w:color w:val="000000" w:themeColor="text1"/>
          <w:szCs w:val="24"/>
        </w:rPr>
        <w:t xml:space="preserve">PG&amp;E does not </w:t>
      </w:r>
      <w:r w:rsidRPr="005D111A" w:rsidR="00DB0D00">
        <w:rPr>
          <w:rFonts w:ascii="Palatino Linotype" w:hAnsi="Palatino Linotype"/>
          <w:color w:val="000000" w:themeColor="text1"/>
          <w:szCs w:val="24"/>
        </w:rPr>
        <w:t xml:space="preserve">indicate which projects have been funded via previous GRC cycles or other funding mechanisms </w:t>
      </w:r>
      <w:r w:rsidRPr="005D111A" w:rsidR="00561298">
        <w:rPr>
          <w:rFonts w:ascii="Palatino Linotype" w:hAnsi="Palatino Linotype"/>
          <w:color w:val="000000" w:themeColor="text1"/>
          <w:szCs w:val="24"/>
        </w:rPr>
        <w:t>as opposed to those</w:t>
      </w:r>
      <w:r w:rsidRPr="00561298" w:rsidR="00561298">
        <w:t xml:space="preserve"> </w:t>
      </w:r>
      <w:r w:rsidRPr="005D111A" w:rsidR="00561298">
        <w:rPr>
          <w:rFonts w:ascii="Palatino Linotype" w:hAnsi="Palatino Linotype"/>
          <w:color w:val="000000" w:themeColor="text1"/>
          <w:szCs w:val="24"/>
        </w:rPr>
        <w:t xml:space="preserve">that may be funded within this Gas RD&amp;D Program </w:t>
      </w:r>
      <w:r w:rsidRPr="005D111A" w:rsidR="00DB0D00">
        <w:rPr>
          <w:rFonts w:ascii="Palatino Linotype" w:hAnsi="Palatino Linotype"/>
          <w:color w:val="000000" w:themeColor="text1"/>
          <w:szCs w:val="24"/>
        </w:rPr>
        <w:t>for clarity in reporting on funds encumbered, spent, and unspent.</w:t>
      </w:r>
      <w:r w:rsidR="00142D9A">
        <w:rPr>
          <w:rStyle w:val="FootnoteReference"/>
          <w:rFonts w:ascii="Palatino Linotype" w:hAnsi="Palatino Linotype"/>
          <w:color w:val="000000" w:themeColor="text1"/>
          <w:szCs w:val="24"/>
        </w:rPr>
        <w:footnoteReference w:id="85"/>
      </w:r>
    </w:p>
    <w:p w:rsidR="005D44A8" w:rsidP="00361AB6" w:rsidRDefault="005D44A8" w14:paraId="269191F1" w14:textId="77777777">
      <w:pPr>
        <w:spacing w:after="0" w:line="276" w:lineRule="auto"/>
        <w:contextualSpacing/>
        <w:rPr>
          <w:rFonts w:ascii="Palatino Linotype" w:hAnsi="Palatino Linotype" w:eastAsia="Palatino Linotype" w:cs="Times New Roman"/>
          <w:kern w:val="0"/>
          <w14:ligatures w14:val="none"/>
        </w:rPr>
      </w:pPr>
    </w:p>
    <w:p w:rsidRPr="007211B0" w:rsidR="0030309F" w:rsidP="0030309F" w:rsidRDefault="0030309F" w14:paraId="7E3DD2CA" w14:textId="214437A3">
      <w:pPr>
        <w:spacing w:line="276" w:lineRule="auto"/>
        <w:rPr>
          <w:rFonts w:ascii="Palatino Linotype" w:hAnsi="Palatino Linotype" w:eastAsia="Palatino Linotype" w:cs="Times New Roman"/>
          <w:color w:val="000000" w:themeColor="text1"/>
          <w:kern w:val="0"/>
          <w14:ligatures w14:val="none"/>
        </w:rPr>
      </w:pPr>
      <w:r w:rsidRPr="007211B0">
        <w:rPr>
          <w:rFonts w:ascii="Palatino Linotype" w:hAnsi="Palatino Linotype" w:eastAsia="Palatino Linotype" w:cs="Times New Roman"/>
          <w:iCs/>
          <w:color w:val="000000" w:themeColor="text1"/>
          <w:u w:val="single"/>
        </w:rPr>
        <w:lastRenderedPageBreak/>
        <w:t>Resubmittal of PG&amp;E’s 2025 Plan</w:t>
      </w:r>
    </w:p>
    <w:p w:rsidRPr="0077695B" w:rsidR="0030309F" w:rsidP="00DF01BB" w:rsidRDefault="00CF4553" w14:paraId="24CC7D28" w14:textId="2156A98C">
      <w:pPr>
        <w:pStyle w:val="10sp0"/>
        <w:spacing w:after="160" w:line="276" w:lineRule="auto"/>
        <w:rPr>
          <w:rFonts w:ascii="Palatino Linotype" w:hAnsi="Palatino Linotype" w:eastAsia="Palatino Linotype"/>
          <w:color w:val="000000" w:themeColor="text1"/>
        </w:rPr>
      </w:pPr>
      <w:r>
        <w:rPr>
          <w:rFonts w:ascii="Palatino Linotype" w:hAnsi="Palatino Linotype" w:eastAsia="Palatino Linotype"/>
          <w:color w:val="000000" w:themeColor="text1"/>
        </w:rPr>
        <w:t xml:space="preserve">To pursue funding for its </w:t>
      </w:r>
      <w:r w:rsidRPr="009C55D4">
        <w:rPr>
          <w:rFonts w:ascii="Palatino Linotype" w:hAnsi="Palatino Linotype" w:eastAsia="Palatino Linotype"/>
          <w:color w:val="000000" w:themeColor="text1"/>
        </w:rPr>
        <w:t>202</w:t>
      </w:r>
      <w:r>
        <w:rPr>
          <w:rFonts w:ascii="Palatino Linotype" w:hAnsi="Palatino Linotype" w:eastAsia="Palatino Linotype"/>
          <w:color w:val="000000" w:themeColor="text1"/>
        </w:rPr>
        <w:t>5</w:t>
      </w:r>
      <w:r w:rsidRPr="009C55D4">
        <w:rPr>
          <w:rFonts w:ascii="Palatino Linotype" w:hAnsi="Palatino Linotype" w:eastAsia="Palatino Linotype"/>
          <w:color w:val="000000" w:themeColor="text1"/>
        </w:rPr>
        <w:t xml:space="preserve"> Gas RD&amp;D Investment Plan</w:t>
      </w:r>
      <w:r>
        <w:rPr>
          <w:rFonts w:ascii="Palatino Linotype" w:hAnsi="Palatino Linotype" w:eastAsia="Palatino Linotype"/>
          <w:color w:val="000000" w:themeColor="text1"/>
        </w:rPr>
        <w:t xml:space="preserve">, </w:t>
      </w:r>
      <w:r w:rsidRPr="0077695B" w:rsidR="0030309F">
        <w:rPr>
          <w:rFonts w:ascii="Palatino Linotype" w:hAnsi="Palatino Linotype" w:eastAsia="Palatino Linotype"/>
          <w:color w:val="000000" w:themeColor="text1"/>
        </w:rPr>
        <w:t xml:space="preserve">PG&amp;E shall submit a </w:t>
      </w:r>
      <w:r>
        <w:rPr>
          <w:rFonts w:ascii="Palatino Linotype" w:hAnsi="Palatino Linotype" w:eastAsia="Palatino Linotype"/>
          <w:color w:val="000000" w:themeColor="text1"/>
        </w:rPr>
        <w:t>revised</w:t>
      </w:r>
      <w:r w:rsidRPr="0077695B" w:rsidR="0030309F">
        <w:rPr>
          <w:rFonts w:ascii="Palatino Linotype" w:hAnsi="Palatino Linotype" w:eastAsia="Palatino Linotype"/>
          <w:color w:val="000000" w:themeColor="text1"/>
        </w:rPr>
        <w:t xml:space="preserve"> Tier </w:t>
      </w:r>
      <w:r w:rsidRPr="0077695B" w:rsidR="72D1BBCA">
        <w:rPr>
          <w:rFonts w:ascii="Palatino Linotype" w:hAnsi="Palatino Linotype" w:eastAsia="Palatino Linotype"/>
          <w:color w:val="000000" w:themeColor="text1"/>
        </w:rPr>
        <w:t>3</w:t>
      </w:r>
      <w:r w:rsidRPr="0077695B" w:rsidR="0030309F">
        <w:rPr>
          <w:rFonts w:ascii="Palatino Linotype" w:hAnsi="Palatino Linotype" w:eastAsia="Palatino Linotype"/>
          <w:color w:val="000000" w:themeColor="text1"/>
        </w:rPr>
        <w:t xml:space="preserve"> AL within </w:t>
      </w:r>
      <w:r w:rsidRPr="0077695B" w:rsidR="007C4AE0">
        <w:rPr>
          <w:rFonts w:ascii="Palatino Linotype" w:hAnsi="Palatino Linotype" w:eastAsia="Palatino Linotype"/>
          <w:color w:val="000000" w:themeColor="text1"/>
        </w:rPr>
        <w:t>6</w:t>
      </w:r>
      <w:r w:rsidRPr="0077695B" w:rsidR="0030309F">
        <w:rPr>
          <w:rFonts w:ascii="Palatino Linotype" w:hAnsi="Palatino Linotype" w:eastAsia="Palatino Linotype"/>
          <w:color w:val="000000" w:themeColor="text1"/>
        </w:rPr>
        <w:t xml:space="preserve">0 days addressing the compliance issues described above </w:t>
      </w:r>
      <w:r w:rsidR="00372CC7">
        <w:rPr>
          <w:rFonts w:ascii="Palatino Linotype" w:hAnsi="Palatino Linotype" w:eastAsia="Palatino Linotype"/>
          <w:color w:val="000000" w:themeColor="text1"/>
        </w:rPr>
        <w:t xml:space="preserve">and </w:t>
      </w:r>
      <w:r w:rsidRPr="0077695B" w:rsidR="0030309F">
        <w:rPr>
          <w:rFonts w:ascii="Palatino Linotype" w:hAnsi="Palatino Linotype" w:eastAsia="Palatino Linotype"/>
          <w:color w:val="000000" w:themeColor="text1"/>
        </w:rPr>
        <w:t>as detailed in the appendix of this Resolution.</w:t>
      </w:r>
      <w:r w:rsidRPr="0077695B" w:rsidR="0030309F">
        <w:rPr>
          <w:rStyle w:val="FootnoteReference"/>
          <w:rFonts w:ascii="Palatino Linotype" w:hAnsi="Palatino Linotype" w:eastAsia="Palatino Linotype"/>
          <w:color w:val="000000" w:themeColor="text1"/>
        </w:rPr>
        <w:footnoteReference w:id="86"/>
      </w:r>
    </w:p>
    <w:p w:rsidR="00B0173E" w:rsidP="00361AB6" w:rsidRDefault="00B0173E" w14:paraId="4E8B5B80" w14:textId="77777777">
      <w:pPr>
        <w:spacing w:after="0" w:line="276" w:lineRule="auto"/>
        <w:contextualSpacing/>
        <w:rPr>
          <w:rFonts w:ascii="Palatino Linotype" w:hAnsi="Palatino Linotype" w:eastAsia="Palatino Linotype" w:cs="Times New Roman"/>
          <w:kern w:val="0"/>
          <w14:ligatures w14:val="none"/>
        </w:rPr>
      </w:pPr>
    </w:p>
    <w:p w:rsidR="004E1DB8" w:rsidP="00713620" w:rsidRDefault="00420FE1" w14:paraId="36E7136C" w14:textId="0DA16636">
      <w:pPr>
        <w:pStyle w:val="10sp0"/>
        <w:spacing w:line="276" w:lineRule="auto"/>
        <w:rPr>
          <w:rFonts w:ascii="Palatino Linotype" w:hAnsi="Palatino Linotype"/>
          <w:b/>
          <w:bCs/>
        </w:rPr>
      </w:pPr>
      <w:r>
        <w:rPr>
          <w:rFonts w:ascii="Palatino Linotype" w:hAnsi="Palatino Linotype"/>
          <w:b/>
          <w:bCs/>
        </w:rPr>
        <w:t>2026</w:t>
      </w:r>
      <w:r w:rsidRPr="00420FE1">
        <w:rPr>
          <w:rFonts w:ascii="Palatino Linotype" w:hAnsi="Palatino Linotype"/>
          <w:b/>
          <w:bCs/>
        </w:rPr>
        <w:t xml:space="preserve"> Gas RD&amp;D Investment Plan</w:t>
      </w:r>
      <w:r w:rsidR="003B0741">
        <w:rPr>
          <w:rFonts w:ascii="Palatino Linotype" w:hAnsi="Palatino Linotype"/>
          <w:b/>
          <w:bCs/>
        </w:rPr>
        <w:t xml:space="preserve"> and Beyond</w:t>
      </w:r>
    </w:p>
    <w:p w:rsidR="004E1DB8" w:rsidP="004E1DB8" w:rsidRDefault="004E1DB8" w14:paraId="221120FC" w14:textId="1AB9A919">
      <w:pPr>
        <w:spacing w:after="0" w:line="276" w:lineRule="auto"/>
        <w:rPr>
          <w:rFonts w:ascii="Palatino Linotype" w:hAnsi="Palatino Linotype" w:eastAsia="Palatino Linotype" w:cs="Times New Roman"/>
          <w:color w:val="000000" w:themeColor="text1"/>
          <w:kern w:val="0"/>
          <w14:ligatures w14:val="none"/>
        </w:rPr>
      </w:pPr>
      <w:r w:rsidRPr="00DD53F5">
        <w:rPr>
          <w:rFonts w:ascii="Palatino Linotype" w:hAnsi="Palatino Linotype" w:eastAsia="Century Gothic" w:cs="Century Gothic"/>
          <w:color w:val="000000" w:themeColor="text1"/>
        </w:rPr>
        <w:t xml:space="preserve">Consistent with </w:t>
      </w:r>
      <w:r>
        <w:rPr>
          <w:rFonts w:ascii="Palatino Linotype" w:hAnsi="Palatino Linotype" w:eastAsia="Century Gothic" w:cs="Century Gothic"/>
          <w:color w:val="000000" w:themeColor="text1"/>
        </w:rPr>
        <w:t xml:space="preserve">existing </w:t>
      </w:r>
      <w:r w:rsidRPr="00DD53F5">
        <w:rPr>
          <w:rFonts w:ascii="Palatino Linotype" w:hAnsi="Palatino Linotype" w:eastAsia="Century Gothic" w:cs="Century Gothic"/>
          <w:color w:val="000000" w:themeColor="text1"/>
        </w:rPr>
        <w:t xml:space="preserve">Commission guidance and according to the </w:t>
      </w:r>
      <w:r>
        <w:rPr>
          <w:rFonts w:ascii="Palatino Linotype" w:hAnsi="Palatino Linotype" w:eastAsia="Palatino Linotype" w:cs="Palatino Linotype"/>
        </w:rPr>
        <w:t xml:space="preserve">schedule detailed </w:t>
      </w:r>
      <w:r w:rsidRPr="03C6F585">
        <w:rPr>
          <w:rFonts w:ascii="Palatino Linotype" w:hAnsi="Palatino Linotype" w:eastAsia="Palatino Linotype" w:cs="Palatino Linotype"/>
        </w:rPr>
        <w:t>above</w:t>
      </w:r>
      <w:r>
        <w:rPr>
          <w:rFonts w:ascii="Palatino Linotype" w:hAnsi="Palatino Linotype" w:eastAsia="Century Gothic" w:cs="Century Gothic"/>
          <w:color w:val="000000" w:themeColor="text1"/>
        </w:rPr>
        <w:t>, the following requirements shall apply f</w:t>
      </w:r>
      <w:r>
        <w:rPr>
          <w:rFonts w:ascii="Palatino Linotype" w:hAnsi="Palatino Linotype" w:eastAsia="Palatino Linotype" w:cs="Times New Roman"/>
          <w:color w:val="000000" w:themeColor="text1"/>
          <w:kern w:val="0"/>
          <w14:ligatures w14:val="none"/>
        </w:rPr>
        <w:t xml:space="preserve">or PG&amp;E’s </w:t>
      </w:r>
      <w:r w:rsidRPr="00F01F47">
        <w:rPr>
          <w:rFonts w:ascii="Palatino Linotype" w:hAnsi="Palatino Linotype" w:eastAsia="Palatino Linotype" w:cs="Times New Roman"/>
          <w:color w:val="000000" w:themeColor="text1"/>
          <w:kern w:val="0"/>
          <w14:ligatures w14:val="none"/>
        </w:rPr>
        <w:t>Calendar Year 2026 Gas RD&amp;D Investment Plan and beyond</w:t>
      </w:r>
      <w:r>
        <w:rPr>
          <w:rFonts w:ascii="Palatino Linotype" w:hAnsi="Palatino Linotype" w:eastAsia="Palatino Linotype" w:cs="Times New Roman"/>
          <w:color w:val="000000" w:themeColor="text1"/>
          <w:kern w:val="0"/>
          <w14:ligatures w14:val="none"/>
        </w:rPr>
        <w:t xml:space="preserve">: </w:t>
      </w:r>
    </w:p>
    <w:p w:rsidRPr="004E1DB8" w:rsidR="004E1DB8" w:rsidP="004E1DB8" w:rsidRDefault="004E1DB8" w14:paraId="73E4CD9E" w14:textId="77777777">
      <w:pPr>
        <w:spacing w:after="0" w:line="276" w:lineRule="auto"/>
        <w:rPr>
          <w:rFonts w:ascii="Palatino Linotype" w:hAnsi="Palatino Linotype" w:eastAsia="Palatino Linotype" w:cs="Times New Roman"/>
          <w:color w:val="000000" w:themeColor="text1"/>
          <w:kern w:val="0"/>
          <w14:ligatures w14:val="none"/>
        </w:rPr>
      </w:pPr>
    </w:p>
    <w:p w:rsidRPr="007211B0" w:rsidR="00EE05EE" w:rsidP="00EE05EE" w:rsidRDefault="00EE05EE" w14:paraId="5A253752" w14:textId="77777777">
      <w:pPr>
        <w:spacing w:line="276" w:lineRule="auto"/>
        <w:rPr>
          <w:rFonts w:ascii="Palatino Linotype" w:hAnsi="Palatino Linotype" w:eastAsia="Palatino Linotype" w:cs="Times New Roman"/>
          <w:color w:val="000000" w:themeColor="text1"/>
          <w:kern w:val="0"/>
          <w:u w:val="single"/>
          <w14:ligatures w14:val="none"/>
        </w:rPr>
      </w:pPr>
      <w:r w:rsidRPr="007211B0">
        <w:rPr>
          <w:rFonts w:ascii="Palatino Linotype" w:hAnsi="Palatino Linotype" w:eastAsia="Palatino Linotype" w:cs="Times New Roman"/>
          <w:color w:val="000000" w:themeColor="text1"/>
          <w:kern w:val="0"/>
          <w:u w:val="single"/>
          <w14:ligatures w14:val="none"/>
        </w:rPr>
        <w:t>Annual Report</w:t>
      </w:r>
    </w:p>
    <w:p w:rsidRPr="00360A1F" w:rsidR="00EE05EE" w:rsidP="00361AB6" w:rsidRDefault="00EE05EE" w14:paraId="7E0727BF" w14:textId="6B40BD1C">
      <w:pPr>
        <w:spacing w:after="0" w:line="276" w:lineRule="auto"/>
        <w:rPr>
          <w:rFonts w:ascii="Palatino Linotype" w:hAnsi="Palatino Linotype" w:eastAsia="Palatino Linotype" w:cs="Times New Roman"/>
          <w:color w:val="808080" w:themeColor="background1" w:themeShade="80"/>
        </w:rPr>
      </w:pPr>
      <w:r w:rsidRPr="00E8189B">
        <w:rPr>
          <w:rFonts w:ascii="Palatino Linotype" w:hAnsi="Palatino Linotype" w:eastAsia="Palatino Linotype" w:cs="Times New Roman"/>
          <w:color w:val="000000" w:themeColor="text1"/>
          <w:kern w:val="0"/>
          <w14:ligatures w14:val="none"/>
        </w:rPr>
        <w:t xml:space="preserve">PG&amp;E shall submit </w:t>
      </w:r>
      <w:r w:rsidRPr="21EC5BEE">
        <w:rPr>
          <w:rFonts w:ascii="Palatino Linotype" w:hAnsi="Palatino Linotype" w:eastAsia="Palatino Linotype" w:cs="Times New Roman"/>
          <w:color w:val="000000" w:themeColor="text1"/>
        </w:rPr>
        <w:t xml:space="preserve">its </w:t>
      </w:r>
      <w:r w:rsidRPr="00E8189B">
        <w:rPr>
          <w:rFonts w:ascii="Palatino Linotype" w:hAnsi="Palatino Linotype" w:eastAsia="Palatino Linotype" w:cs="Times New Roman"/>
          <w:color w:val="000000" w:themeColor="text1"/>
          <w:kern w:val="0"/>
          <w14:ligatures w14:val="none"/>
        </w:rPr>
        <w:t>Annual Gas RD&amp;D Reports</w:t>
      </w:r>
      <w:r>
        <w:rPr>
          <w:rFonts w:ascii="Palatino Linotype" w:hAnsi="Palatino Linotype" w:eastAsia="Palatino Linotype" w:cs="Times New Roman"/>
          <w:color w:val="000000" w:themeColor="text1"/>
          <w:kern w:val="0"/>
          <w14:ligatures w14:val="none"/>
        </w:rPr>
        <w:t xml:space="preserve"> </w:t>
      </w:r>
      <w:r w:rsidR="00500475">
        <w:rPr>
          <w:rFonts w:ascii="Palatino Linotype" w:hAnsi="Palatino Linotype" w:eastAsia="Palatino Linotype" w:cs="Times New Roman"/>
          <w:color w:val="000000" w:themeColor="text1"/>
          <w:kern w:val="0"/>
          <w14:ligatures w14:val="none"/>
        </w:rPr>
        <w:t xml:space="preserve">prior to holding Public Workshops </w:t>
      </w:r>
      <w:r>
        <w:rPr>
          <w:rFonts w:ascii="Palatino Linotype" w:hAnsi="Palatino Linotype" w:eastAsia="Palatino Linotype" w:cs="Times New Roman"/>
          <w:color w:val="000000" w:themeColor="text1"/>
          <w:kern w:val="0"/>
          <w14:ligatures w14:val="none"/>
        </w:rPr>
        <w:t>in accordance with D.23-11-069</w:t>
      </w:r>
      <w:r w:rsidR="00500475">
        <w:rPr>
          <w:rFonts w:ascii="Palatino Linotype" w:hAnsi="Palatino Linotype" w:eastAsia="Palatino Linotype" w:cs="Times New Roman"/>
          <w:color w:val="000000" w:themeColor="text1"/>
          <w:kern w:val="0"/>
          <w14:ligatures w14:val="none"/>
        </w:rPr>
        <w:t>,</w:t>
      </w:r>
      <w:r w:rsidR="00C95C25">
        <w:rPr>
          <w:rStyle w:val="FootnoteReference"/>
          <w:rFonts w:ascii="Palatino Linotype" w:hAnsi="Palatino Linotype" w:eastAsia="Palatino Linotype" w:cs="Times New Roman"/>
          <w:color w:val="000000" w:themeColor="text1"/>
          <w:kern w:val="0"/>
          <w14:ligatures w14:val="none"/>
        </w:rPr>
        <w:footnoteReference w:id="87"/>
      </w:r>
      <w:r>
        <w:rPr>
          <w:rFonts w:ascii="Palatino Linotype" w:hAnsi="Palatino Linotype" w:eastAsia="Palatino Linotype" w:cs="Times New Roman"/>
          <w:color w:val="000000" w:themeColor="text1"/>
          <w:kern w:val="0"/>
          <w14:ligatures w14:val="none"/>
        </w:rPr>
        <w:t xml:space="preserve"> </w:t>
      </w:r>
      <w:r w:rsidR="00500475">
        <w:rPr>
          <w:rFonts w:ascii="Palatino Linotype" w:hAnsi="Palatino Linotype" w:eastAsia="Palatino Linotype" w:cs="Times New Roman"/>
          <w:color w:val="000000" w:themeColor="text1"/>
          <w:kern w:val="0"/>
          <w14:ligatures w14:val="none"/>
        </w:rPr>
        <w:t xml:space="preserve">each </w:t>
      </w:r>
      <w:r w:rsidRPr="00E202BB">
        <w:rPr>
          <w:rFonts w:ascii="Palatino Linotype" w:hAnsi="Palatino Linotype" w:eastAsia="Palatino Linotype" w:cs="Times New Roman"/>
          <w:color w:val="000000" w:themeColor="text1"/>
          <w:kern w:val="0"/>
          <w14:ligatures w14:val="none"/>
        </w:rPr>
        <w:t xml:space="preserve">by </w:t>
      </w:r>
      <w:r w:rsidRPr="00E202BB" w:rsidR="00CA5D4A">
        <w:rPr>
          <w:rFonts w:ascii="Palatino Linotype" w:hAnsi="Palatino Linotype" w:eastAsia="Palatino Linotype" w:cs="Times New Roman"/>
          <w:color w:val="000000" w:themeColor="text1"/>
          <w:kern w:val="0"/>
          <w14:ligatures w14:val="none"/>
        </w:rPr>
        <w:t xml:space="preserve">March </w:t>
      </w:r>
      <w:r w:rsidRPr="00E202BB">
        <w:rPr>
          <w:rFonts w:ascii="Palatino Linotype" w:hAnsi="Palatino Linotype" w:eastAsia="Palatino Linotype" w:cs="Times New Roman"/>
          <w:color w:val="000000" w:themeColor="text1"/>
          <w:kern w:val="0"/>
          <w14:ligatures w14:val="none"/>
        </w:rPr>
        <w:t>1 annually</w:t>
      </w:r>
      <w:r>
        <w:rPr>
          <w:rFonts w:ascii="Palatino Linotype" w:hAnsi="Palatino Linotype" w:eastAsia="Palatino Linotype" w:cs="Times New Roman"/>
          <w:color w:val="000000" w:themeColor="text1"/>
          <w:kern w:val="0"/>
          <w14:ligatures w14:val="none"/>
        </w:rPr>
        <w:t>.</w:t>
      </w:r>
      <w:r w:rsidRPr="00E8189B">
        <w:rPr>
          <w:rFonts w:ascii="Palatino Linotype" w:hAnsi="Palatino Linotype" w:eastAsia="Palatino Linotype" w:cs="Times New Roman"/>
          <w:color w:val="000000" w:themeColor="text1"/>
          <w:kern w:val="0"/>
          <w14:ligatures w14:val="none"/>
        </w:rPr>
        <w:t xml:space="preserve"> </w:t>
      </w:r>
      <w:r w:rsidRPr="001E4E8E">
        <w:rPr>
          <w:rFonts w:ascii="Palatino Linotype" w:hAnsi="Palatino Linotype" w:eastAsia="Palatino Linotype" w:cs="Times New Roman"/>
          <w:color w:val="000000" w:themeColor="text1"/>
          <w:kern w:val="0"/>
          <w14:ligatures w14:val="none"/>
        </w:rPr>
        <w:t>PG&amp;E shall include information on all active and recently completed projects</w:t>
      </w:r>
      <w:r>
        <w:rPr>
          <w:rFonts w:ascii="Palatino Linotype" w:hAnsi="Palatino Linotype" w:eastAsia="Palatino Linotype" w:cs="Times New Roman"/>
          <w:color w:val="000000" w:themeColor="text1"/>
          <w:kern w:val="0"/>
          <w14:ligatures w14:val="none"/>
        </w:rPr>
        <w:t>.</w:t>
      </w:r>
      <w:r>
        <w:rPr>
          <w:rStyle w:val="FootnoteReference"/>
          <w:rFonts w:ascii="Palatino Linotype" w:hAnsi="Palatino Linotype" w:eastAsia="Palatino Linotype" w:cs="Times New Roman"/>
          <w:color w:val="000000" w:themeColor="text1"/>
          <w:kern w:val="0"/>
          <w14:ligatures w14:val="none"/>
        </w:rPr>
        <w:footnoteReference w:id="88"/>
      </w:r>
      <w:r w:rsidRPr="00B46DC8">
        <w:rPr>
          <w:rFonts w:ascii="Palatino Linotype" w:hAnsi="Palatino Linotype" w:eastAsia="Palatino Linotype" w:cs="Times New Roman"/>
          <w:color w:val="000000" w:themeColor="text1"/>
          <w:kern w:val="0"/>
          <w14:ligatures w14:val="none"/>
        </w:rPr>
        <w:t xml:space="preserve"> </w:t>
      </w:r>
      <w:r w:rsidRPr="21367BD3">
        <w:rPr>
          <w:rFonts w:ascii="Palatino Linotype" w:hAnsi="Palatino Linotype" w:eastAsia="Palatino Linotype" w:cs="Times New Roman"/>
          <w:kern w:val="0"/>
          <w14:ligatures w14:val="none"/>
        </w:rPr>
        <w:t xml:space="preserve">For clarity in reporting, PG&amp;E shall indicate which projects have been funded via previous GRC cycles or other funding mechanisms as these are not affiliated with Investment Plans approved within this Gas RD&amp;D Program. In future reporting, PG&amp;E shall clearly delineate projects that may be funded within this Gas RD&amp;D Program, including </w:t>
      </w:r>
      <w:r w:rsidRPr="008D158F">
        <w:rPr>
          <w:rFonts w:ascii="Palatino Linotype" w:hAnsi="Palatino Linotype" w:eastAsia="Palatino Linotype" w:cs="Times New Roman"/>
          <w:kern w:val="0"/>
          <w14:ligatures w14:val="none"/>
        </w:rPr>
        <w:t>the</w:t>
      </w:r>
      <w:r w:rsidRPr="21367BD3">
        <w:rPr>
          <w:rFonts w:ascii="Palatino Linotype" w:hAnsi="Palatino Linotype" w:eastAsia="Palatino Linotype" w:cs="Times New Roman"/>
          <w:kern w:val="0"/>
          <w14:ligatures w14:val="none"/>
        </w:rPr>
        <w:t xml:space="preserve"> specific</w:t>
      </w:r>
      <w:r w:rsidRPr="008D158F">
        <w:rPr>
          <w:rFonts w:ascii="Palatino Linotype" w:hAnsi="Palatino Linotype" w:eastAsia="Palatino Linotype" w:cs="Times New Roman"/>
          <w:kern w:val="0"/>
          <w14:ligatures w14:val="none"/>
        </w:rPr>
        <w:t xml:space="preserve"> Initiative and approved Investment Plan associated with each project</w:t>
      </w:r>
      <w:r w:rsidRPr="21367BD3">
        <w:rPr>
          <w:rFonts w:ascii="Palatino Linotype" w:hAnsi="Palatino Linotype" w:eastAsia="Palatino Linotype" w:cs="Times New Roman"/>
          <w:kern w:val="0"/>
          <w14:ligatures w14:val="none"/>
        </w:rPr>
        <w:t xml:space="preserve">. </w:t>
      </w:r>
      <w:r w:rsidRPr="005F6117">
        <w:rPr>
          <w:rFonts w:ascii="Palatino Linotype" w:hAnsi="Palatino Linotype" w:eastAsia="Palatino Linotype" w:cs="Times New Roman"/>
          <w:color w:val="000000" w:themeColor="text1"/>
          <w:kern w:val="0"/>
          <w14:ligatures w14:val="none"/>
        </w:rPr>
        <w:t xml:space="preserve">The Initiative Criteria described below shall serve as guidance for PG&amp;E to demonstrate realized ratepayer benefit and provide meaningful reporting on impacts both in detail and by synthesizing major accomplishments and contributions to Gas RD&amp;D. </w:t>
      </w:r>
      <w:r w:rsidR="008E28CC">
        <w:rPr>
          <w:rFonts w:ascii="Palatino Linotype" w:hAnsi="Palatino Linotype" w:eastAsia="Palatino Linotype" w:cs="Times New Roman"/>
          <w:color w:val="000000" w:themeColor="text1"/>
          <w:kern w:val="0"/>
          <w14:ligatures w14:val="none"/>
        </w:rPr>
        <w:t xml:space="preserve">ED </w:t>
      </w:r>
      <w:r>
        <w:rPr>
          <w:rFonts w:ascii="Palatino Linotype" w:hAnsi="Palatino Linotype" w:eastAsia="Palatino Linotype" w:cs="Times New Roman"/>
          <w:color w:val="000000" w:themeColor="text1"/>
          <w:kern w:val="0"/>
          <w14:ligatures w14:val="none"/>
        </w:rPr>
        <w:t>staff</w:t>
      </w:r>
      <w:r w:rsidR="00552FB0">
        <w:rPr>
          <w:rFonts w:ascii="Palatino Linotype" w:hAnsi="Palatino Linotype" w:eastAsia="Palatino Linotype" w:cs="Times New Roman"/>
          <w:color w:val="000000" w:themeColor="text1"/>
          <w:kern w:val="0"/>
          <w14:ligatures w14:val="none"/>
        </w:rPr>
        <w:t xml:space="preserve"> </w:t>
      </w:r>
      <w:r w:rsidR="00C3324D">
        <w:rPr>
          <w:rFonts w:ascii="Palatino Linotype" w:hAnsi="Palatino Linotype" w:eastAsia="Palatino Linotype" w:cs="Times New Roman"/>
          <w:color w:val="000000" w:themeColor="text1"/>
          <w:kern w:val="0"/>
          <w14:ligatures w14:val="none"/>
        </w:rPr>
        <w:t>shall</w:t>
      </w:r>
      <w:r w:rsidRPr="001E4E8E">
        <w:rPr>
          <w:rFonts w:ascii="Palatino Linotype" w:hAnsi="Palatino Linotype" w:eastAsia="Palatino Linotype" w:cs="Times New Roman"/>
          <w:color w:val="000000" w:themeColor="text1"/>
          <w:kern w:val="0"/>
          <w14:ligatures w14:val="none"/>
        </w:rPr>
        <w:t xml:space="preserve"> provide additional guidance via an Annual Report Template. </w:t>
      </w:r>
    </w:p>
    <w:p w:rsidR="00EE05EE" w:rsidP="00361AB6" w:rsidRDefault="00EE05EE" w14:paraId="243552AB" w14:textId="77777777">
      <w:pPr>
        <w:spacing w:after="0" w:line="276" w:lineRule="auto"/>
        <w:rPr>
          <w:rFonts w:ascii="Palatino Linotype" w:hAnsi="Palatino Linotype" w:eastAsia="Century Gothic" w:cs="Century Gothic"/>
          <w:color w:val="000000" w:themeColor="text1"/>
        </w:rPr>
      </w:pPr>
    </w:p>
    <w:p w:rsidRPr="007211B0" w:rsidR="00EE05EE" w:rsidP="00DF01BB" w:rsidRDefault="00EE05EE" w14:paraId="4582BAA2" w14:textId="2D3CB942">
      <w:pPr>
        <w:keepNext/>
        <w:spacing w:after="0" w:line="276" w:lineRule="auto"/>
        <w:rPr>
          <w:rFonts w:ascii="Palatino Linotype" w:hAnsi="Palatino Linotype" w:eastAsia="Century Gothic" w:cs="Century Gothic"/>
          <w:color w:val="000000" w:themeColor="text1"/>
          <w:u w:val="single"/>
        </w:rPr>
      </w:pPr>
      <w:r w:rsidRPr="007211B0">
        <w:rPr>
          <w:rFonts w:ascii="Palatino Linotype" w:hAnsi="Palatino Linotype" w:eastAsia="Century Gothic" w:cs="Century Gothic"/>
          <w:color w:val="000000" w:themeColor="text1"/>
          <w:u w:val="single"/>
        </w:rPr>
        <w:lastRenderedPageBreak/>
        <w:t>Annual Investment Plan</w:t>
      </w:r>
      <w:r w:rsidRPr="007211B0" w:rsidR="00DD5C43">
        <w:rPr>
          <w:rFonts w:ascii="Palatino Linotype" w:hAnsi="Palatino Linotype" w:eastAsia="Century Gothic" w:cs="Century Gothic"/>
          <w:color w:val="000000" w:themeColor="text1"/>
          <w:u w:val="single"/>
        </w:rPr>
        <w:t>ning</w:t>
      </w:r>
    </w:p>
    <w:p w:rsidR="00FE52CD" w:rsidP="00DF01BB" w:rsidRDefault="00FE52CD" w14:paraId="04A5376D" w14:textId="77777777">
      <w:pPr>
        <w:keepNext/>
        <w:spacing w:after="0" w:line="276" w:lineRule="auto"/>
        <w:rPr>
          <w:rFonts w:ascii="Palatino Linotype" w:hAnsi="Palatino Linotype" w:eastAsia="Palatino Linotype" w:cs="Times New Roman"/>
          <w:i/>
          <w:iCs/>
          <w:color w:val="000000" w:themeColor="text1"/>
          <w:kern w:val="0"/>
          <w14:ligatures w14:val="none"/>
        </w:rPr>
      </w:pPr>
    </w:p>
    <w:p w:rsidRPr="007211B0" w:rsidR="0038786A" w:rsidP="00DF01BB" w:rsidRDefault="0038786A" w14:paraId="4C357CE1" w14:textId="77777777">
      <w:pPr>
        <w:keepNext/>
        <w:spacing w:after="240" w:line="276" w:lineRule="auto"/>
        <w:rPr>
          <w:rFonts w:ascii="Palatino Linotype" w:hAnsi="Palatino Linotype" w:eastAsia="Palatino Linotype" w:cs="Times New Roman"/>
          <w:i/>
          <w:iCs/>
          <w:color w:val="000000" w:themeColor="text1"/>
        </w:rPr>
      </w:pPr>
      <w:r w:rsidRPr="007211B0">
        <w:rPr>
          <w:rFonts w:ascii="Palatino Linotype" w:hAnsi="Palatino Linotype" w:eastAsia="Palatino Linotype" w:cs="Times New Roman"/>
          <w:i/>
          <w:iCs/>
          <w:color w:val="000000" w:themeColor="text1"/>
        </w:rPr>
        <w:t xml:space="preserve">Initiative Criteria </w:t>
      </w:r>
    </w:p>
    <w:p w:rsidRPr="00A36DF3" w:rsidR="0038786A" w:rsidP="00DF01BB" w:rsidRDefault="00461587" w14:paraId="3B049077" w14:textId="66D92579">
      <w:pPr>
        <w:keepNext/>
        <w:spacing w:after="0" w:line="276" w:lineRule="auto"/>
        <w:rPr>
          <w:rFonts w:ascii="Palatino Linotype" w:hAnsi="Palatino Linotype" w:eastAsia="Century Gothic" w:cs="Century Gothic"/>
          <w:color w:val="0070C0"/>
        </w:rPr>
      </w:pPr>
      <w:r w:rsidRPr="007277EF">
        <w:rPr>
          <w:rFonts w:ascii="Palatino Linotype" w:hAnsi="Palatino Linotype" w:eastAsia="Century Gothic" w:cs="Century Gothic"/>
          <w:color w:val="000000" w:themeColor="text1"/>
        </w:rPr>
        <w:t xml:space="preserve">PG&amp;E shall develop and propose Gas RD&amp;D investments </w:t>
      </w:r>
      <w:r w:rsidRPr="007277EF" w:rsidR="00A36DF3">
        <w:rPr>
          <w:rFonts w:ascii="Palatino Linotype" w:hAnsi="Palatino Linotype" w:eastAsia="Century Gothic" w:cs="Century Gothic"/>
          <w:color w:val="000000" w:themeColor="text1"/>
        </w:rPr>
        <w:t>at the Initiative level and demonstrate the following for each,</w:t>
      </w:r>
      <w:r w:rsidRPr="007277EF">
        <w:rPr>
          <w:rFonts w:ascii="Palatino Linotype" w:hAnsi="Palatino Linotype" w:eastAsia="Century Gothic" w:cs="Century Gothic"/>
          <w:color w:val="000000" w:themeColor="text1"/>
        </w:rPr>
        <w:t xml:space="preserve"> </w:t>
      </w:r>
      <w:r>
        <w:rPr>
          <w:rFonts w:ascii="Palatino Linotype" w:hAnsi="Palatino Linotype" w:eastAsia="Century Gothic" w:cs="Century Gothic"/>
          <w:color w:val="000000" w:themeColor="text1"/>
        </w:rPr>
        <w:t>consistent with Commission guidance</w:t>
      </w:r>
      <w:r w:rsidR="00D35D54">
        <w:rPr>
          <w:rFonts w:ascii="Palatino Linotype" w:hAnsi="Palatino Linotype" w:eastAsia="Century Gothic" w:cs="Century Gothic"/>
          <w:color w:val="000000" w:themeColor="text1"/>
        </w:rPr>
        <w:t xml:space="preserve"> (see Appendix D)</w:t>
      </w:r>
      <w:r w:rsidRPr="00DD53F5" w:rsidR="0038786A">
        <w:rPr>
          <w:rFonts w:ascii="Palatino Linotype" w:hAnsi="Palatino Linotype" w:eastAsia="Century Gothic" w:cs="Century Gothic"/>
          <w:color w:val="000000" w:themeColor="text1"/>
        </w:rPr>
        <w:t>:</w:t>
      </w:r>
      <w:r w:rsidRPr="00461587">
        <w:rPr>
          <w:rStyle w:val="FootnoteReference"/>
          <w:rFonts w:ascii="Palatino Linotype" w:hAnsi="Palatino Linotype" w:eastAsia="Century Gothic" w:cs="Century Gothic"/>
          <w:color w:val="000000" w:themeColor="text1"/>
        </w:rPr>
        <w:t xml:space="preserve"> </w:t>
      </w:r>
      <w:r>
        <w:rPr>
          <w:rStyle w:val="FootnoteReference"/>
          <w:rFonts w:ascii="Palatino Linotype" w:hAnsi="Palatino Linotype" w:eastAsia="Century Gothic" w:cs="Century Gothic"/>
          <w:color w:val="000000" w:themeColor="text1"/>
        </w:rPr>
        <w:footnoteReference w:id="89"/>
      </w:r>
    </w:p>
    <w:p w:rsidR="0038786A" w:rsidP="0038786A" w:rsidRDefault="003F5809" w14:paraId="3926FF12" w14:textId="65980CC5">
      <w:pPr>
        <w:pStyle w:val="ListParagraph"/>
        <w:numPr>
          <w:ilvl w:val="0"/>
          <w:numId w:val="10"/>
        </w:numPr>
        <w:spacing w:before="240" w:after="0" w:line="276" w:lineRule="auto"/>
        <w:rPr>
          <w:rFonts w:ascii="Palatino Linotype" w:hAnsi="Palatino Linotype" w:eastAsia="Century Gothic" w:cs="Century Gothic"/>
          <w:color w:val="000000" w:themeColor="text1"/>
        </w:rPr>
      </w:pPr>
      <w:r w:rsidRPr="00192ACE">
        <w:rPr>
          <w:rFonts w:ascii="Palatino Linotype" w:hAnsi="Palatino Linotype" w:eastAsia="Century Gothic" w:cs="Century Gothic"/>
          <w:b/>
          <w:bCs/>
          <w:color w:val="000000" w:themeColor="text1"/>
        </w:rPr>
        <w:t>Policy Priority:</w:t>
      </w:r>
      <w:r w:rsidRPr="00192ACE">
        <w:rPr>
          <w:rFonts w:ascii="Palatino Linotype" w:hAnsi="Palatino Linotype" w:eastAsia="Century Gothic" w:cs="Century Gothic"/>
          <w:color w:val="000000" w:themeColor="text1"/>
        </w:rPr>
        <w:t xml:space="preserve"> </w:t>
      </w:r>
      <w:r w:rsidRPr="00DD53F5" w:rsidR="0038786A">
        <w:rPr>
          <w:rFonts w:ascii="Palatino Linotype" w:hAnsi="Palatino Linotype" w:eastAsia="Century Gothic" w:cs="Century Gothic"/>
          <w:color w:val="000000" w:themeColor="text1"/>
        </w:rPr>
        <w:t xml:space="preserve">Alignment with and prioritization of critical gaps and needs identified in State </w:t>
      </w:r>
      <w:r w:rsidR="0038786A">
        <w:rPr>
          <w:rFonts w:ascii="Palatino Linotype" w:hAnsi="Palatino Linotype" w:eastAsia="Century Gothic" w:cs="Century Gothic"/>
          <w:color w:val="000000" w:themeColor="text1"/>
        </w:rPr>
        <w:t xml:space="preserve">goals </w:t>
      </w:r>
      <w:r w:rsidRPr="00DD53F5" w:rsidR="0038786A">
        <w:rPr>
          <w:rFonts w:ascii="Palatino Linotype" w:hAnsi="Palatino Linotype" w:eastAsia="Century Gothic" w:cs="Century Gothic"/>
          <w:color w:val="000000" w:themeColor="text1"/>
        </w:rPr>
        <w:t xml:space="preserve">and specific CPUC </w:t>
      </w:r>
      <w:r w:rsidR="0038786A">
        <w:rPr>
          <w:rFonts w:ascii="Palatino Linotype" w:hAnsi="Palatino Linotype" w:eastAsia="Century Gothic" w:cs="Century Gothic"/>
          <w:color w:val="000000" w:themeColor="text1"/>
        </w:rPr>
        <w:t>p</w:t>
      </w:r>
      <w:r w:rsidRPr="00DD53F5" w:rsidR="0038786A">
        <w:rPr>
          <w:rFonts w:ascii="Palatino Linotype" w:hAnsi="Palatino Linotype" w:eastAsia="Century Gothic" w:cs="Century Gothic"/>
          <w:color w:val="000000" w:themeColor="text1"/>
        </w:rPr>
        <w:t xml:space="preserve">olicies and </w:t>
      </w:r>
      <w:r w:rsidR="0038786A">
        <w:rPr>
          <w:rFonts w:ascii="Palatino Linotype" w:hAnsi="Palatino Linotype" w:eastAsia="Century Gothic" w:cs="Century Gothic"/>
          <w:color w:val="000000" w:themeColor="text1"/>
        </w:rPr>
        <w:t>p</w:t>
      </w:r>
      <w:r w:rsidRPr="00DD53F5" w:rsidR="0038786A">
        <w:rPr>
          <w:rFonts w:ascii="Palatino Linotype" w:hAnsi="Palatino Linotype" w:eastAsia="Century Gothic" w:cs="Century Gothic"/>
          <w:color w:val="000000" w:themeColor="text1"/>
        </w:rPr>
        <w:t>roceedings</w:t>
      </w:r>
      <w:r w:rsidR="007357BB">
        <w:rPr>
          <w:rFonts w:ascii="Palatino Linotype" w:hAnsi="Palatino Linotype" w:eastAsia="Century Gothic" w:cs="Century Gothic"/>
          <w:color w:val="000000" w:themeColor="text1"/>
        </w:rPr>
        <w:t xml:space="preserve"> to demonstrate ratepayer benefit</w:t>
      </w:r>
      <w:r w:rsidR="0038786A">
        <w:rPr>
          <w:rFonts w:ascii="Palatino Linotype" w:hAnsi="Palatino Linotype" w:eastAsia="Century Gothic" w:cs="Century Gothic"/>
          <w:color w:val="000000" w:themeColor="text1"/>
        </w:rPr>
        <w:t xml:space="preserve">, </w:t>
      </w:r>
      <w:r w:rsidRPr="007E7238" w:rsidR="0038786A">
        <w:rPr>
          <w:rFonts w:ascii="Palatino Linotype" w:hAnsi="Palatino Linotype" w:eastAsia="Century Gothic" w:cs="Century Gothic"/>
          <w:color w:val="000000" w:themeColor="text1"/>
        </w:rPr>
        <w:t xml:space="preserve">informed by consultation with CPUC </w:t>
      </w:r>
      <w:r w:rsidR="0038786A">
        <w:rPr>
          <w:rFonts w:ascii="Palatino Linotype" w:hAnsi="Palatino Linotype" w:eastAsia="Century Gothic" w:cs="Century Gothic"/>
          <w:color w:val="000000" w:themeColor="text1"/>
        </w:rPr>
        <w:t>s</w:t>
      </w:r>
      <w:r w:rsidRPr="00A83AB6" w:rsidR="0038786A">
        <w:rPr>
          <w:rFonts w:ascii="Palatino Linotype" w:hAnsi="Palatino Linotype" w:eastAsia="Century Gothic" w:cs="Century Gothic"/>
          <w:color w:val="000000" w:themeColor="text1"/>
        </w:rPr>
        <w:t>taff.</w:t>
      </w:r>
    </w:p>
    <w:p w:rsidRPr="00897F4C" w:rsidR="00CD62B2" w:rsidP="00EC6E86" w:rsidRDefault="00CD62B2" w14:paraId="529DE17F" w14:textId="6E020F85">
      <w:pPr>
        <w:pStyle w:val="ListParagraph"/>
        <w:numPr>
          <w:ilvl w:val="0"/>
          <w:numId w:val="10"/>
        </w:numPr>
        <w:spacing w:before="240" w:after="0" w:line="276" w:lineRule="auto"/>
        <w:rPr>
          <w:rFonts w:ascii="Palatino Linotype" w:hAnsi="Palatino Linotype" w:eastAsia="Century Gothic" w:cs="Century Gothic"/>
          <w:color w:val="000000" w:themeColor="text1"/>
        </w:rPr>
      </w:pPr>
      <w:r w:rsidRPr="00897F4C">
        <w:rPr>
          <w:rFonts w:ascii="Palatino Linotype" w:hAnsi="Palatino Linotype" w:eastAsia="Century Gothic" w:cs="Century Gothic"/>
          <w:b/>
          <w:bCs/>
          <w:color w:val="000000" w:themeColor="text1"/>
        </w:rPr>
        <w:t>Identified Need:</w:t>
      </w:r>
      <w:r w:rsidRPr="00897F4C">
        <w:rPr>
          <w:rFonts w:ascii="Palatino Linotype" w:hAnsi="Palatino Linotype" w:eastAsia="Century Gothic" w:cs="Century Gothic"/>
          <w:color w:val="000000" w:themeColor="text1"/>
        </w:rPr>
        <w:t xml:space="preserve"> </w:t>
      </w:r>
      <w:r w:rsidRPr="00897F4C" w:rsidR="00EC6E86">
        <w:rPr>
          <w:rFonts w:ascii="Palatino Linotype" w:hAnsi="Palatino Linotype"/>
          <w:color w:val="000000" w:themeColor="text1"/>
        </w:rPr>
        <w:t>Innovation and differentiation from existing RD&amp;D activities to support complementary rather than duplicative efforts, informed by specific consultation with other Gas RD&amp;D Administrators.</w:t>
      </w:r>
      <w:r w:rsidRPr="00897F4C" w:rsidR="009C4A17">
        <w:rPr>
          <w:rFonts w:ascii="Palatino Linotype" w:hAnsi="Palatino Linotype"/>
          <w:color w:val="000000" w:themeColor="text1"/>
        </w:rPr>
        <w:t xml:space="preserve"> Demonstrate that the Initiative </w:t>
      </w:r>
      <w:r w:rsidRPr="00897F4C" w:rsidR="00F168A4">
        <w:rPr>
          <w:rFonts w:ascii="Palatino Linotype" w:hAnsi="Palatino Linotype"/>
          <w:color w:val="000000" w:themeColor="text1"/>
        </w:rPr>
        <w:t xml:space="preserve">will </w:t>
      </w:r>
      <w:r w:rsidRPr="00897F4C" w:rsidR="009C4A17">
        <w:rPr>
          <w:rFonts w:ascii="Palatino Linotype" w:hAnsi="Palatino Linotype"/>
          <w:color w:val="000000" w:themeColor="text1"/>
        </w:rPr>
        <w:t>leverage existing progress while providing distinct additional value.</w:t>
      </w:r>
    </w:p>
    <w:p w:rsidRPr="00EC6E86" w:rsidR="00440CC9" w:rsidP="00EC6E86" w:rsidRDefault="00440CC9" w14:paraId="6072EAFB" w14:textId="29FE2396">
      <w:pPr>
        <w:pStyle w:val="ListParagraph"/>
        <w:numPr>
          <w:ilvl w:val="0"/>
          <w:numId w:val="10"/>
        </w:numPr>
        <w:spacing w:before="240" w:after="0" w:line="276" w:lineRule="auto"/>
        <w:rPr>
          <w:rFonts w:ascii="Palatino Linotype" w:hAnsi="Palatino Linotype" w:eastAsia="Century Gothic" w:cs="Century Gothic"/>
          <w:color w:val="000000" w:themeColor="text1"/>
        </w:rPr>
      </w:pPr>
      <w:r w:rsidRPr="00897F4C">
        <w:rPr>
          <w:rFonts w:ascii="Palatino Linotype" w:hAnsi="Palatino Linotype" w:eastAsia="Century Gothic" w:cs="Century Gothic"/>
          <w:b/>
          <w:bCs/>
          <w:color w:val="000000" w:themeColor="text1"/>
        </w:rPr>
        <w:t>Proposed Solution</w:t>
      </w:r>
      <w:r w:rsidRPr="00897F4C">
        <w:rPr>
          <w:rFonts w:ascii="Palatino Linotype" w:hAnsi="Palatino Linotype" w:eastAsia="Century Gothic" w:cs="Century Gothic"/>
          <w:color w:val="000000" w:themeColor="text1"/>
        </w:rPr>
        <w:t xml:space="preserve">: </w:t>
      </w:r>
      <w:r w:rsidRPr="00897F4C" w:rsidR="006A777A">
        <w:rPr>
          <w:rFonts w:ascii="Palatino Linotype" w:hAnsi="Palatino Linotype" w:eastAsia="Century Gothic" w:cs="Century Gothic"/>
          <w:color w:val="000000" w:themeColor="text1"/>
        </w:rPr>
        <w:t xml:space="preserve">Describe Research Topics, anticipated near-term project outputs commensurate with the proposed funding level, </w:t>
      </w:r>
      <w:r w:rsidR="006A777A">
        <w:rPr>
          <w:rFonts w:ascii="Palatino Linotype" w:hAnsi="Palatino Linotype" w:eastAsia="Century Gothic" w:cs="Century Gothic"/>
          <w:color w:val="000000" w:themeColor="text1"/>
        </w:rPr>
        <w:t>and i</w:t>
      </w:r>
      <w:r w:rsidRPr="00DD53F5" w:rsidR="00EC6E86">
        <w:rPr>
          <w:rFonts w:ascii="Palatino Linotype" w:hAnsi="Palatino Linotype" w:eastAsia="Century Gothic" w:cs="Century Gothic"/>
          <w:color w:val="000000" w:themeColor="text1"/>
        </w:rPr>
        <w:t xml:space="preserve">ntended pathways to scale, commercialize, and otherwise utilize results from RD&amp;D activities to promote technology transfer and market </w:t>
      </w:r>
      <w:r w:rsidR="00EC6E86">
        <w:rPr>
          <w:rFonts w:ascii="Palatino Linotype" w:hAnsi="Palatino Linotype" w:eastAsia="Century Gothic" w:cs="Century Gothic"/>
          <w:color w:val="000000" w:themeColor="text1"/>
        </w:rPr>
        <w:t>facilitation.</w:t>
      </w:r>
    </w:p>
    <w:p w:rsidRPr="00897F4C" w:rsidR="00440CC9" w:rsidP="0038786A" w:rsidRDefault="00440CC9" w14:paraId="03326B8D" w14:textId="7AA581EA">
      <w:pPr>
        <w:pStyle w:val="ListParagraph"/>
        <w:numPr>
          <w:ilvl w:val="0"/>
          <w:numId w:val="10"/>
        </w:numPr>
        <w:spacing w:before="240" w:after="0" w:line="276" w:lineRule="auto"/>
        <w:rPr>
          <w:rFonts w:ascii="Palatino Linotype" w:hAnsi="Palatino Linotype" w:eastAsia="Century Gothic" w:cs="Century Gothic"/>
          <w:color w:val="000000" w:themeColor="text1"/>
        </w:rPr>
      </w:pPr>
      <w:r w:rsidRPr="00897F4C">
        <w:rPr>
          <w:rFonts w:ascii="Palatino Linotype" w:hAnsi="Palatino Linotype" w:eastAsia="Century Gothic" w:cs="Century Gothic"/>
          <w:b/>
          <w:bCs/>
          <w:color w:val="000000" w:themeColor="text1"/>
        </w:rPr>
        <w:t>Anticipated Impacts</w:t>
      </w:r>
      <w:r w:rsidRPr="00897F4C">
        <w:rPr>
          <w:rFonts w:ascii="Palatino Linotype" w:hAnsi="Palatino Linotype" w:eastAsia="Century Gothic" w:cs="Century Gothic"/>
          <w:color w:val="000000" w:themeColor="text1"/>
        </w:rPr>
        <w:t>:</w:t>
      </w:r>
    </w:p>
    <w:p w:rsidR="00EC6E86" w:rsidP="00440CC9" w:rsidRDefault="00440CC9" w14:paraId="7E6FCD7C" w14:textId="53638DA8">
      <w:pPr>
        <w:pStyle w:val="ListParagraph"/>
        <w:numPr>
          <w:ilvl w:val="1"/>
          <w:numId w:val="10"/>
        </w:numPr>
        <w:spacing w:before="240" w:after="0" w:line="276" w:lineRule="auto"/>
        <w:rPr>
          <w:rFonts w:ascii="Palatino Linotype" w:hAnsi="Palatino Linotype" w:eastAsia="Century Gothic" w:cs="Century Gothic"/>
          <w:color w:val="000000" w:themeColor="text1"/>
        </w:rPr>
      </w:pPr>
      <w:r w:rsidRPr="00D51E25">
        <w:rPr>
          <w:rFonts w:ascii="Palatino Linotype" w:hAnsi="Palatino Linotype" w:eastAsia="Century Gothic" w:cs="Century Gothic"/>
          <w:color w:val="000000" w:themeColor="text1"/>
        </w:rPr>
        <w:t>Reasonable probability of providing California ratepayer benefit by locating projects in the State of California</w:t>
      </w:r>
      <w:r w:rsidR="00816E01">
        <w:rPr>
          <w:rStyle w:val="FootnoteReference"/>
          <w:rFonts w:ascii="Palatino Linotype" w:hAnsi="Palatino Linotype" w:eastAsia="Century Gothic" w:cs="Century Gothic"/>
          <w:color w:val="000000" w:themeColor="text1"/>
        </w:rPr>
        <w:footnoteReference w:id="90"/>
      </w:r>
      <w:r w:rsidRPr="00D51E25">
        <w:rPr>
          <w:rFonts w:ascii="Palatino Linotype" w:hAnsi="Palatino Linotype" w:eastAsia="Century Gothic" w:cs="Century Gothic"/>
          <w:color w:val="000000" w:themeColor="text1"/>
        </w:rPr>
        <w:t xml:space="preserve"> and detailed planned methodologies for tracking and evaluating quantitative impacts from investments through the use of the EPIC Program’s Uniform Impacts Analysis Foundational Principles.</w:t>
      </w:r>
      <w:r w:rsidR="00A038B4">
        <w:rPr>
          <w:rStyle w:val="FootnoteReference"/>
          <w:rFonts w:ascii="Palatino Linotype" w:hAnsi="Palatino Linotype" w:eastAsia="Century Gothic" w:cs="Century Gothic"/>
          <w:color w:val="000000" w:themeColor="text1"/>
        </w:rPr>
        <w:footnoteReference w:id="91"/>
      </w:r>
    </w:p>
    <w:p w:rsidRPr="00EC6E86" w:rsidR="0038786A" w:rsidDel="00167DED" w:rsidP="00440CC9" w:rsidRDefault="0038786A" w14:paraId="28142736" w14:textId="7F19BAD8">
      <w:pPr>
        <w:pStyle w:val="ListParagraph"/>
        <w:numPr>
          <w:ilvl w:val="1"/>
          <w:numId w:val="10"/>
        </w:numPr>
        <w:spacing w:before="240" w:after="0" w:line="276" w:lineRule="auto"/>
        <w:rPr>
          <w:rFonts w:ascii="Palatino Linotype" w:hAnsi="Palatino Linotype" w:eastAsia="Century Gothic" w:cs="Century Gothic"/>
          <w:color w:val="000000" w:themeColor="text1"/>
        </w:rPr>
      </w:pPr>
      <w:r w:rsidRPr="00EC6E86">
        <w:rPr>
          <w:rFonts w:ascii="Palatino Linotype" w:hAnsi="Palatino Linotype" w:eastAsia="Century Gothic" w:cs="Century Gothic"/>
          <w:color w:val="000000" w:themeColor="text1"/>
        </w:rPr>
        <w:t>C</w:t>
      </w:r>
      <w:r w:rsidRPr="00EC6E86" w:rsidDel="00167DED">
        <w:rPr>
          <w:rFonts w:ascii="Palatino Linotype" w:hAnsi="Palatino Linotype" w:eastAsia="Century Gothic" w:cs="Century Gothic"/>
          <w:color w:val="000000" w:themeColor="text1"/>
        </w:rPr>
        <w:t>ost-effectiveness and protection of affordability</w:t>
      </w:r>
      <w:r w:rsidRPr="00EC6E86">
        <w:rPr>
          <w:rFonts w:ascii="Palatino Linotype" w:hAnsi="Palatino Linotype" w:eastAsia="Century Gothic" w:cs="Century Gothic"/>
          <w:color w:val="000000" w:themeColor="text1"/>
        </w:rPr>
        <w:t xml:space="preserve"> to ratepayers.</w:t>
      </w:r>
    </w:p>
    <w:p w:rsidRPr="00DD53F5" w:rsidR="0038786A" w:rsidP="00440CC9" w:rsidRDefault="0038786A" w14:paraId="28311C02" w14:textId="34469C22">
      <w:pPr>
        <w:pStyle w:val="ListParagraph"/>
        <w:numPr>
          <w:ilvl w:val="1"/>
          <w:numId w:val="10"/>
        </w:numPr>
        <w:spacing w:before="240" w:after="0" w:line="276" w:lineRule="auto"/>
        <w:rPr>
          <w:rFonts w:ascii="Palatino Linotype" w:hAnsi="Palatino Linotype" w:eastAsia="Century Gothic" w:cs="Century Gothic"/>
          <w:color w:val="000000" w:themeColor="text1"/>
        </w:rPr>
      </w:pPr>
      <w:r w:rsidRPr="00DD53F5">
        <w:rPr>
          <w:rFonts w:ascii="Palatino Linotype" w:hAnsi="Palatino Linotype" w:eastAsia="Century Gothic" w:cs="Century Gothic"/>
          <w:color w:val="000000" w:themeColor="text1"/>
        </w:rPr>
        <w:lastRenderedPageBreak/>
        <w:t>Promote equity and provide benefits to Environmental &amp; Social Justice (ESJ) communities, informed by consultation with community-based organizations (</w:t>
      </w:r>
      <w:r w:rsidRPr="004B5371">
        <w:rPr>
          <w:rFonts w:ascii="Palatino Linotype" w:hAnsi="Palatino Linotype" w:eastAsia="Century Gothic" w:cs="Century Gothic"/>
          <w:color w:val="000000" w:themeColor="text1"/>
        </w:rPr>
        <w:t xml:space="preserve">CBOs) and the </w:t>
      </w:r>
      <w:r w:rsidR="009E617C">
        <w:rPr>
          <w:rFonts w:ascii="Palatino Linotype" w:hAnsi="Palatino Linotype" w:eastAsia="Century Gothic" w:cs="Century Gothic"/>
          <w:color w:val="000000" w:themeColor="text1"/>
        </w:rPr>
        <w:t xml:space="preserve">Commission’s most current </w:t>
      </w:r>
      <w:r w:rsidRPr="004B5371">
        <w:rPr>
          <w:rFonts w:ascii="Palatino Linotype" w:hAnsi="Palatino Linotype" w:eastAsia="Century Gothic" w:cs="Century Gothic"/>
          <w:color w:val="000000" w:themeColor="text1"/>
        </w:rPr>
        <w:t>ESJ Action Plan</w:t>
      </w:r>
      <w:r w:rsidR="003835F1">
        <w:rPr>
          <w:rFonts w:ascii="Palatino Linotype" w:hAnsi="Palatino Linotype" w:eastAsia="Century Gothic" w:cs="Century Gothic"/>
          <w:color w:val="000000" w:themeColor="text1"/>
        </w:rPr>
        <w:t>.</w:t>
      </w:r>
      <w:r w:rsidR="003835F1">
        <w:rPr>
          <w:rStyle w:val="FootnoteReference"/>
          <w:rFonts w:ascii="Palatino Linotype" w:hAnsi="Palatino Linotype" w:eastAsia="Century Gothic" w:cs="Century Gothic"/>
          <w:color w:val="000000" w:themeColor="text1"/>
        </w:rPr>
        <w:footnoteReference w:id="92"/>
      </w:r>
    </w:p>
    <w:p w:rsidR="0062748F" w:rsidP="00361AB6" w:rsidRDefault="0062748F" w14:paraId="62D2B2E0" w14:textId="76E5BDBE">
      <w:pPr>
        <w:spacing w:after="0" w:line="276" w:lineRule="auto"/>
        <w:rPr>
          <w:rFonts w:ascii="Palatino Linotype" w:hAnsi="Palatino Linotype" w:eastAsia="Palatino Linotype" w:cs="Times New Roman"/>
          <w:i/>
          <w:iCs/>
          <w:color w:val="000000" w:themeColor="text1"/>
          <w:kern w:val="0"/>
          <w14:ligatures w14:val="none"/>
        </w:rPr>
      </w:pPr>
    </w:p>
    <w:p w:rsidRPr="007211B0" w:rsidR="00D154FE" w:rsidP="00361AB6" w:rsidRDefault="00D154FE" w14:paraId="40FDE6FD" w14:textId="65A84D2A">
      <w:pPr>
        <w:spacing w:after="0" w:line="276" w:lineRule="auto"/>
        <w:rPr>
          <w:rFonts w:ascii="Palatino Linotype" w:hAnsi="Palatino Linotype" w:eastAsia="Palatino Linotype" w:cs="Times New Roman"/>
          <w:i/>
          <w:iCs/>
          <w:color w:val="000000" w:themeColor="text1"/>
          <w:kern w:val="0"/>
          <w14:ligatures w14:val="none"/>
        </w:rPr>
      </w:pPr>
      <w:r w:rsidRPr="007211B0">
        <w:rPr>
          <w:rFonts w:ascii="Palatino Linotype" w:hAnsi="Palatino Linotype" w:eastAsia="Palatino Linotype" w:cs="Times New Roman"/>
          <w:i/>
          <w:iCs/>
          <w:color w:val="000000" w:themeColor="text1"/>
          <w:kern w:val="0"/>
          <w14:ligatures w14:val="none"/>
        </w:rPr>
        <w:t>Pre-Submittal Consultation</w:t>
      </w:r>
    </w:p>
    <w:p w:rsidRPr="006257F2" w:rsidR="009D4E83" w:rsidP="00361AB6" w:rsidRDefault="009D4E83" w14:paraId="1039C4DD" w14:textId="74031568">
      <w:pPr>
        <w:spacing w:after="0" w:line="276" w:lineRule="auto"/>
        <w:rPr>
          <w:rFonts w:ascii="Palatino Linotype" w:hAnsi="Palatino Linotype" w:eastAsia="Palatino Linotype" w:cs="Times New Roman"/>
          <w:color w:val="000000" w:themeColor="text1"/>
          <w:kern w:val="0"/>
          <w14:ligatures w14:val="none"/>
        </w:rPr>
      </w:pPr>
    </w:p>
    <w:p w:rsidRPr="00360A1F" w:rsidR="00D154FE" w:rsidP="00360A1F" w:rsidRDefault="00D154FE" w14:paraId="193869FC" w14:textId="2FA6F413">
      <w:pPr>
        <w:pStyle w:val="ListParagraph"/>
        <w:numPr>
          <w:ilvl w:val="0"/>
          <w:numId w:val="1"/>
        </w:numPr>
        <w:spacing w:line="276" w:lineRule="auto"/>
        <w:rPr>
          <w:rFonts w:ascii="Palatino Linotype" w:hAnsi="Palatino Linotype" w:eastAsia="Palatino Linotype" w:cs="Times New Roman"/>
          <w:color w:val="000000" w:themeColor="text1"/>
          <w:kern w:val="0"/>
          <w14:ligatures w14:val="none"/>
        </w:rPr>
      </w:pPr>
      <w:r w:rsidRPr="00360A1F">
        <w:rPr>
          <w:rFonts w:ascii="Palatino Linotype" w:hAnsi="Palatino Linotype" w:eastAsia="Palatino Linotype" w:cs="Times New Roman"/>
          <w:color w:val="000000" w:themeColor="text1"/>
          <w:kern w:val="0"/>
          <w14:ligatures w14:val="none"/>
        </w:rPr>
        <w:t>Intra-Administrator Coordination</w:t>
      </w:r>
    </w:p>
    <w:p w:rsidR="009D21C6" w:rsidP="00AD3759" w:rsidRDefault="4780AE5B" w14:paraId="0961D3F4" w14:textId="1982C146">
      <w:pPr>
        <w:spacing w:after="0" w:line="276" w:lineRule="auto"/>
        <w:ind w:left="720"/>
        <w:rPr>
          <w:rFonts w:ascii="Palatino Linotype" w:hAnsi="Palatino Linotype" w:eastAsia="Palatino Linotype" w:cs="Times New Roman"/>
        </w:rPr>
      </w:pPr>
      <w:r w:rsidRPr="006257F2">
        <w:rPr>
          <w:rFonts w:ascii="Palatino Linotype" w:hAnsi="Palatino Linotype" w:eastAsia="Palatino Linotype" w:cs="Times New Roman"/>
        </w:rPr>
        <w:t>PG&amp;E</w:t>
      </w:r>
      <w:r w:rsidRPr="006257F2" w:rsidR="257FA0FE">
        <w:rPr>
          <w:rFonts w:ascii="Palatino Linotype" w:hAnsi="Palatino Linotype" w:eastAsia="Palatino Linotype" w:cs="Times New Roman"/>
        </w:rPr>
        <w:t xml:space="preserve"> shall be proactive </w:t>
      </w:r>
      <w:r w:rsidR="00A70949">
        <w:rPr>
          <w:rFonts w:ascii="Palatino Linotype" w:hAnsi="Palatino Linotype" w:eastAsia="Palatino Linotype" w:cs="Times New Roman"/>
        </w:rPr>
        <w:t xml:space="preserve">in </w:t>
      </w:r>
      <w:r w:rsidRPr="007D4969" w:rsidR="00A70949">
        <w:rPr>
          <w:rFonts w:ascii="Palatino Linotype" w:hAnsi="Palatino Linotype" w:eastAsia="Palatino Linotype" w:cs="Times New Roman"/>
          <w:color w:val="000000" w:themeColor="text1"/>
        </w:rPr>
        <w:t xml:space="preserve">collaborating </w:t>
      </w:r>
      <w:r w:rsidRPr="007D4969" w:rsidR="257FA0FE">
        <w:rPr>
          <w:rFonts w:ascii="Palatino Linotype" w:hAnsi="Palatino Linotype" w:eastAsia="Palatino Linotype" w:cs="Times New Roman"/>
          <w:color w:val="000000" w:themeColor="text1"/>
        </w:rPr>
        <w:t xml:space="preserve">with </w:t>
      </w:r>
      <w:r w:rsidRPr="007D4969" w:rsidR="01A7F107">
        <w:rPr>
          <w:rFonts w:ascii="Palatino Linotype" w:hAnsi="Palatino Linotype" w:eastAsia="Palatino Linotype" w:cs="Times New Roman"/>
          <w:color w:val="000000" w:themeColor="text1"/>
        </w:rPr>
        <w:t>the other Gas RD&amp;D administrators</w:t>
      </w:r>
      <w:r w:rsidRPr="007D4969" w:rsidR="00710950">
        <w:rPr>
          <w:rFonts w:ascii="Palatino Linotype" w:hAnsi="Palatino Linotype" w:eastAsia="Palatino Linotype" w:cs="Times New Roman"/>
          <w:color w:val="000000" w:themeColor="text1"/>
        </w:rPr>
        <w:t>, the California Energy Commission (CEC) and Southern California Gas (SoCalGas) Company,</w:t>
      </w:r>
      <w:r w:rsidRPr="007D4969" w:rsidR="000403DA">
        <w:rPr>
          <w:rFonts w:ascii="Palatino Linotype" w:hAnsi="Palatino Linotype" w:eastAsia="Palatino Linotype" w:cs="Times New Roman"/>
          <w:color w:val="000000" w:themeColor="text1"/>
        </w:rPr>
        <w:t xml:space="preserve"> to </w:t>
      </w:r>
      <w:r w:rsidRPr="00656F35" w:rsidR="000403DA">
        <w:rPr>
          <w:rFonts w:ascii="Palatino Linotype" w:hAnsi="Palatino Linotype" w:eastAsia="Palatino Linotype" w:cs="Times New Roman"/>
          <w:kern w:val="0"/>
          <w14:ligatures w14:val="none"/>
        </w:rPr>
        <w:t>promot</w:t>
      </w:r>
      <w:r w:rsidR="000403DA">
        <w:rPr>
          <w:rFonts w:ascii="Palatino Linotype" w:hAnsi="Palatino Linotype" w:eastAsia="Palatino Linotype" w:cs="Times New Roman"/>
          <w:kern w:val="0"/>
          <w14:ligatures w14:val="none"/>
        </w:rPr>
        <w:t>e</w:t>
      </w:r>
      <w:r w:rsidRPr="00656F35" w:rsidR="000403DA">
        <w:rPr>
          <w:rFonts w:ascii="Palatino Linotype" w:hAnsi="Palatino Linotype" w:eastAsia="Palatino Linotype" w:cs="Times New Roman"/>
          <w:kern w:val="0"/>
          <w14:ligatures w14:val="none"/>
        </w:rPr>
        <w:t xml:space="preserve"> </w:t>
      </w:r>
      <w:r w:rsidRPr="21EC5BEE" w:rsidR="00D64D0D">
        <w:rPr>
          <w:rFonts w:ascii="Palatino Linotype" w:hAnsi="Palatino Linotype" w:eastAsia="Palatino Linotype" w:cs="Times New Roman"/>
        </w:rPr>
        <w:t xml:space="preserve">and demonstrate </w:t>
      </w:r>
      <w:r w:rsidRPr="00656F35" w:rsidR="000403DA">
        <w:rPr>
          <w:rFonts w:ascii="Palatino Linotype" w:hAnsi="Palatino Linotype" w:eastAsia="Palatino Linotype" w:cs="Times New Roman"/>
          <w:kern w:val="0"/>
          <w14:ligatures w14:val="none"/>
        </w:rPr>
        <w:t>complementary rather than duplicative RD&amp;D activities</w:t>
      </w:r>
      <w:r w:rsidR="000403DA">
        <w:rPr>
          <w:rFonts w:ascii="Palatino Linotype" w:hAnsi="Palatino Linotype" w:eastAsia="Palatino Linotype" w:cs="Times New Roman"/>
          <w:kern w:val="0"/>
          <w14:ligatures w14:val="none"/>
        </w:rPr>
        <w:t>.</w:t>
      </w:r>
      <w:r w:rsidR="005D6F8E">
        <w:rPr>
          <w:rFonts w:ascii="Palatino Linotype" w:hAnsi="Palatino Linotype" w:eastAsia="Palatino Linotype" w:cs="Times New Roman"/>
          <w:kern w:val="0"/>
          <w14:ligatures w14:val="none"/>
        </w:rPr>
        <w:t xml:space="preserve"> </w:t>
      </w:r>
      <w:r w:rsidRPr="0038654A" w:rsidR="005D6F8E">
        <w:rPr>
          <w:rFonts w:ascii="Palatino Linotype" w:hAnsi="Palatino Linotype" w:eastAsia="Palatino Linotype" w:cs="Times New Roman"/>
        </w:rPr>
        <w:t xml:space="preserve">PG&amp;E shall document this coordination in Gas RD&amp;D Plans at the </w:t>
      </w:r>
      <w:r w:rsidRPr="0016550E" w:rsidR="005D6F8E">
        <w:rPr>
          <w:rFonts w:ascii="Palatino Linotype" w:hAnsi="Palatino Linotype" w:eastAsia="Palatino Linotype" w:cs="Times New Roman"/>
          <w:color w:val="000000" w:themeColor="text1"/>
        </w:rPr>
        <w:t>Initiative level</w:t>
      </w:r>
      <w:r w:rsidRPr="0016550E" w:rsidR="005D6F8E">
        <w:rPr>
          <w:rFonts w:ascii="Palatino Linotype" w:hAnsi="Palatino Linotype" w:eastAsia="Palatino Linotype" w:cs="Times New Roman"/>
          <w:color w:val="000000" w:themeColor="text1"/>
          <w:kern w:val="0"/>
          <w14:ligatures w14:val="none"/>
        </w:rPr>
        <w:t xml:space="preserve">, including by </w:t>
      </w:r>
      <w:r w:rsidRPr="0016550E" w:rsidR="000403DA">
        <w:rPr>
          <w:rFonts w:ascii="Palatino Linotype" w:hAnsi="Palatino Linotype" w:eastAsia="Palatino Linotype" w:cs="Times New Roman"/>
          <w:color w:val="000000" w:themeColor="text1"/>
          <w:kern w:val="0"/>
          <w14:ligatures w14:val="none"/>
        </w:rPr>
        <w:t>differentiat</w:t>
      </w:r>
      <w:r w:rsidRPr="0016550E" w:rsidR="005D6F8E">
        <w:rPr>
          <w:rFonts w:ascii="Palatino Linotype" w:hAnsi="Palatino Linotype" w:eastAsia="Palatino Linotype" w:cs="Times New Roman"/>
          <w:color w:val="000000" w:themeColor="text1"/>
          <w:kern w:val="0"/>
          <w14:ligatures w14:val="none"/>
        </w:rPr>
        <w:t>ing</w:t>
      </w:r>
      <w:r w:rsidRPr="0016550E" w:rsidR="000403DA">
        <w:rPr>
          <w:rFonts w:ascii="Palatino Linotype" w:hAnsi="Palatino Linotype" w:eastAsia="Palatino Linotype" w:cs="Times New Roman"/>
          <w:color w:val="000000" w:themeColor="text1"/>
          <w:kern w:val="0"/>
          <w14:ligatures w14:val="none"/>
        </w:rPr>
        <w:t xml:space="preserve"> proposed Initiatives from similar activities</w:t>
      </w:r>
      <w:r w:rsidRPr="0016550E" w:rsidR="00876AD2">
        <w:rPr>
          <w:rFonts w:ascii="Palatino Linotype" w:hAnsi="Palatino Linotype" w:eastAsia="Palatino Linotype" w:cs="Times New Roman"/>
          <w:color w:val="000000" w:themeColor="text1"/>
        </w:rPr>
        <w:t xml:space="preserve">, demonstrating </w:t>
      </w:r>
      <w:r w:rsidRPr="0016550E" w:rsidR="00040896">
        <w:rPr>
          <w:rFonts w:ascii="Palatino Linotype" w:hAnsi="Palatino Linotype" w:eastAsia="Palatino Linotype" w:cs="Times New Roman"/>
          <w:color w:val="000000" w:themeColor="text1"/>
        </w:rPr>
        <w:t xml:space="preserve">how </w:t>
      </w:r>
      <w:r w:rsidRPr="0016550E" w:rsidR="00433405">
        <w:rPr>
          <w:rFonts w:ascii="Palatino Linotype" w:hAnsi="Palatino Linotype" w:eastAsia="Palatino Linotype" w:cs="Times New Roman"/>
          <w:color w:val="000000" w:themeColor="text1"/>
        </w:rPr>
        <w:t>research outcomes</w:t>
      </w:r>
      <w:r w:rsidRPr="0016550E" w:rsidR="002E6357">
        <w:rPr>
          <w:rFonts w:ascii="Palatino Linotype" w:hAnsi="Palatino Linotype" w:eastAsia="Palatino Linotype" w:cs="Times New Roman"/>
          <w:color w:val="000000" w:themeColor="text1"/>
        </w:rPr>
        <w:t xml:space="preserve"> inform future proposals,</w:t>
      </w:r>
      <w:r w:rsidRPr="0016550E" w:rsidR="00CA4183">
        <w:rPr>
          <w:rFonts w:ascii="Palatino Linotype" w:hAnsi="Palatino Linotype" w:eastAsia="Palatino Linotype" w:cs="Times New Roman"/>
          <w:color w:val="000000" w:themeColor="text1"/>
          <w:kern w:val="0"/>
          <w14:ligatures w14:val="none"/>
        </w:rPr>
        <w:t xml:space="preserve"> </w:t>
      </w:r>
      <w:r w:rsidRPr="00CA4183" w:rsidR="00CA4183">
        <w:rPr>
          <w:rFonts w:ascii="Palatino Linotype" w:hAnsi="Palatino Linotype" w:eastAsia="Palatino Linotype" w:cs="Times New Roman"/>
          <w:kern w:val="0"/>
          <w14:ligatures w14:val="none"/>
        </w:rPr>
        <w:t xml:space="preserve">and defining </w:t>
      </w:r>
      <w:r w:rsidR="001E0165">
        <w:rPr>
          <w:rFonts w:ascii="Palatino Linotype" w:hAnsi="Palatino Linotype" w:eastAsia="Palatino Linotype" w:cs="Times New Roman"/>
          <w:kern w:val="0"/>
          <w14:ligatures w14:val="none"/>
        </w:rPr>
        <w:t>PG&amp;E’s</w:t>
      </w:r>
      <w:r w:rsidRPr="00CA4183" w:rsidR="00CA4183">
        <w:rPr>
          <w:rFonts w:ascii="Palatino Linotype" w:hAnsi="Palatino Linotype" w:eastAsia="Palatino Linotype" w:cs="Times New Roman"/>
          <w:kern w:val="0"/>
          <w14:ligatures w14:val="none"/>
        </w:rPr>
        <w:t xml:space="preserve"> </w:t>
      </w:r>
      <w:r w:rsidRPr="00CA4183" w:rsidR="07E74397">
        <w:rPr>
          <w:rFonts w:ascii="Palatino Linotype" w:hAnsi="Palatino Linotype" w:eastAsia="Palatino Linotype" w:cs="Times New Roman"/>
          <w:kern w:val="0"/>
          <w14:ligatures w14:val="none"/>
        </w:rPr>
        <w:t xml:space="preserve">specific </w:t>
      </w:r>
      <w:r w:rsidRPr="00CA4183" w:rsidR="00CA4183">
        <w:rPr>
          <w:rFonts w:ascii="Palatino Linotype" w:hAnsi="Palatino Linotype" w:eastAsia="Palatino Linotype" w:cs="Times New Roman"/>
          <w:kern w:val="0"/>
          <w14:ligatures w14:val="none"/>
        </w:rPr>
        <w:t xml:space="preserve">intended role for each </w:t>
      </w:r>
      <w:r w:rsidR="004515E1">
        <w:rPr>
          <w:rFonts w:ascii="Palatino Linotype" w:hAnsi="Palatino Linotype" w:eastAsia="Palatino Linotype" w:cs="Times New Roman"/>
          <w:kern w:val="0"/>
          <w14:ligatures w14:val="none"/>
        </w:rPr>
        <w:t xml:space="preserve">proposed </w:t>
      </w:r>
      <w:r w:rsidRPr="00CA4183" w:rsidR="00CA4183">
        <w:rPr>
          <w:rFonts w:ascii="Palatino Linotype" w:hAnsi="Palatino Linotype" w:eastAsia="Palatino Linotype" w:cs="Times New Roman"/>
          <w:kern w:val="0"/>
          <w14:ligatures w14:val="none"/>
        </w:rPr>
        <w:t>Initiative</w:t>
      </w:r>
      <w:r w:rsidR="005D6F8E">
        <w:rPr>
          <w:rFonts w:ascii="Palatino Linotype" w:hAnsi="Palatino Linotype" w:eastAsia="Palatino Linotype" w:cs="Times New Roman"/>
          <w:kern w:val="0"/>
          <w14:ligatures w14:val="none"/>
        </w:rPr>
        <w:t>.</w:t>
      </w:r>
      <w:r w:rsidR="00A36AA3">
        <w:rPr>
          <w:rStyle w:val="FootnoteReference"/>
          <w:rFonts w:ascii="Palatino Linotype" w:hAnsi="Palatino Linotype" w:eastAsia="Palatino Linotype" w:cs="Times New Roman"/>
          <w:kern w:val="0"/>
          <w14:ligatures w14:val="none"/>
        </w:rPr>
        <w:footnoteReference w:id="93"/>
      </w:r>
      <w:r w:rsidRPr="21EC5BEE" w:rsidR="002E6357">
        <w:rPr>
          <w:rFonts w:ascii="Palatino Linotype" w:hAnsi="Palatino Linotype" w:eastAsia="Palatino Linotype" w:cs="Times New Roman"/>
        </w:rPr>
        <w:t xml:space="preserve"> </w:t>
      </w:r>
    </w:p>
    <w:p w:rsidRPr="00A70949" w:rsidR="00A70949" w:rsidP="00AD3759" w:rsidRDefault="00A70949" w14:paraId="39BE23D3" w14:textId="77777777">
      <w:pPr>
        <w:spacing w:after="0" w:line="276" w:lineRule="auto"/>
        <w:ind w:left="720"/>
        <w:rPr>
          <w:rFonts w:ascii="Palatino Linotype" w:hAnsi="Palatino Linotype" w:eastAsia="Palatino Linotype" w:cs="Times New Roman"/>
        </w:rPr>
      </w:pPr>
    </w:p>
    <w:p w:rsidRPr="00360A1F" w:rsidR="004007FD" w:rsidP="00360A1F" w:rsidRDefault="6276EE63" w14:paraId="6EE05E60" w14:textId="2BAD3347">
      <w:pPr>
        <w:pStyle w:val="ListParagraph"/>
        <w:numPr>
          <w:ilvl w:val="0"/>
          <w:numId w:val="1"/>
        </w:numPr>
        <w:spacing w:line="276" w:lineRule="auto"/>
        <w:rPr>
          <w:rFonts w:ascii="Palatino Linotype" w:hAnsi="Palatino Linotype" w:eastAsia="Palatino Linotype" w:cs="Times New Roman"/>
          <w:color w:val="000000" w:themeColor="text1"/>
          <w:kern w:val="0"/>
          <w14:ligatures w14:val="none"/>
        </w:rPr>
      </w:pPr>
      <w:r w:rsidRPr="00360A1F">
        <w:rPr>
          <w:rFonts w:ascii="Palatino Linotype" w:hAnsi="Palatino Linotype" w:eastAsia="Palatino Linotype" w:cs="Times New Roman"/>
          <w:color w:val="000000" w:themeColor="text1"/>
          <w:kern w:val="0"/>
          <w14:ligatures w14:val="none"/>
        </w:rPr>
        <w:t>Pre-Submittal</w:t>
      </w:r>
      <w:r w:rsidRPr="00360A1F" w:rsidR="00D154FE">
        <w:rPr>
          <w:rFonts w:ascii="Palatino Linotype" w:hAnsi="Palatino Linotype" w:eastAsia="Palatino Linotype" w:cs="Times New Roman"/>
          <w:color w:val="000000" w:themeColor="text1"/>
          <w:kern w:val="0"/>
          <w14:ligatures w14:val="none"/>
        </w:rPr>
        <w:t xml:space="preserve"> </w:t>
      </w:r>
      <w:r w:rsidRPr="00360A1F" w:rsidR="5BA7310F">
        <w:rPr>
          <w:rFonts w:ascii="Palatino Linotype" w:hAnsi="Palatino Linotype" w:eastAsia="Palatino Linotype" w:cs="Times New Roman"/>
          <w:color w:val="000000" w:themeColor="text1"/>
          <w:kern w:val="0"/>
          <w14:ligatures w14:val="none"/>
        </w:rPr>
        <w:t xml:space="preserve">Consultation with </w:t>
      </w:r>
      <w:r w:rsidRPr="00360A1F" w:rsidR="46542F5A">
        <w:rPr>
          <w:rFonts w:ascii="Palatino Linotype" w:hAnsi="Palatino Linotype" w:eastAsia="Palatino Linotype" w:cs="Times New Roman"/>
          <w:color w:val="000000" w:themeColor="text1"/>
          <w:kern w:val="0"/>
          <w14:ligatures w14:val="none"/>
        </w:rPr>
        <w:t>CPUC</w:t>
      </w:r>
      <w:r w:rsidR="00C32A8A">
        <w:rPr>
          <w:rFonts w:ascii="Palatino Linotype" w:hAnsi="Palatino Linotype" w:eastAsia="Palatino Linotype" w:cs="Times New Roman"/>
          <w:color w:val="000000" w:themeColor="text1"/>
          <w:kern w:val="0"/>
          <w14:ligatures w14:val="none"/>
        </w:rPr>
        <w:t xml:space="preserve"> Subject Matter Experts</w:t>
      </w:r>
    </w:p>
    <w:p w:rsidR="0000635A" w:rsidP="00AD3759" w:rsidRDefault="00B7235D" w14:paraId="7B4DC4BB" w14:textId="25707BA1">
      <w:pPr>
        <w:spacing w:after="0" w:line="276" w:lineRule="auto"/>
        <w:ind w:left="720"/>
        <w:rPr>
          <w:rFonts w:ascii="Palatino Linotype" w:hAnsi="Palatino Linotype" w:eastAsia="Palatino Linotype" w:cs="Times New Roman"/>
        </w:rPr>
      </w:pPr>
      <w:r w:rsidRPr="00B62DAF">
        <w:rPr>
          <w:rFonts w:ascii="Palatino Linotype" w:hAnsi="Palatino Linotype" w:eastAsiaTheme="minorEastAsia"/>
        </w:rPr>
        <w:t xml:space="preserve">PG&amp;E </w:t>
      </w:r>
      <w:r w:rsidRPr="00B62DAF" w:rsidR="31D976E5">
        <w:rPr>
          <w:rFonts w:ascii="Palatino Linotype" w:hAnsi="Palatino Linotype" w:eastAsiaTheme="minorEastAsia"/>
        </w:rPr>
        <w:t xml:space="preserve">shall </w:t>
      </w:r>
      <w:r w:rsidRPr="00B62DAF" w:rsidR="005D30DA">
        <w:rPr>
          <w:rFonts w:ascii="Palatino Linotype" w:hAnsi="Palatino Linotype" w:eastAsiaTheme="minorEastAsia"/>
        </w:rPr>
        <w:t>consult</w:t>
      </w:r>
      <w:r w:rsidRPr="00B62DAF" w:rsidR="31D976E5">
        <w:rPr>
          <w:rFonts w:ascii="Palatino Linotype" w:hAnsi="Palatino Linotype" w:eastAsiaTheme="minorEastAsia"/>
        </w:rPr>
        <w:t xml:space="preserve"> </w:t>
      </w:r>
      <w:r w:rsidRPr="00B62DAF" w:rsidR="005D30DA">
        <w:rPr>
          <w:rFonts w:ascii="Palatino Linotype" w:hAnsi="Palatino Linotype" w:eastAsiaTheme="minorEastAsia"/>
        </w:rPr>
        <w:t xml:space="preserve">with </w:t>
      </w:r>
      <w:r w:rsidR="00F46BC5">
        <w:rPr>
          <w:rFonts w:ascii="Palatino Linotype" w:hAnsi="Palatino Linotype" w:eastAsiaTheme="minorEastAsia"/>
        </w:rPr>
        <w:t>CPUC</w:t>
      </w:r>
      <w:r w:rsidR="008E28CC">
        <w:rPr>
          <w:rFonts w:ascii="Palatino Linotype" w:hAnsi="Palatino Linotype" w:eastAsiaTheme="minorEastAsia"/>
        </w:rPr>
        <w:t xml:space="preserve"> </w:t>
      </w:r>
      <w:r w:rsidR="0032339E">
        <w:rPr>
          <w:rFonts w:ascii="Palatino Linotype" w:hAnsi="Palatino Linotype" w:eastAsiaTheme="minorEastAsia"/>
        </w:rPr>
        <w:t>s</w:t>
      </w:r>
      <w:r w:rsidR="00D17044">
        <w:rPr>
          <w:rFonts w:ascii="Palatino Linotype" w:hAnsi="Palatino Linotype" w:eastAsiaTheme="minorEastAsia"/>
        </w:rPr>
        <w:t>taff</w:t>
      </w:r>
      <w:r w:rsidRPr="00B62DAF" w:rsidR="005D30DA">
        <w:rPr>
          <w:rFonts w:ascii="Palatino Linotype" w:hAnsi="Palatino Linotype" w:eastAsiaTheme="minorEastAsia"/>
        </w:rPr>
        <w:t xml:space="preserve"> </w:t>
      </w:r>
      <w:r w:rsidRPr="00B62DAF" w:rsidR="31D976E5">
        <w:rPr>
          <w:rFonts w:ascii="Palatino Linotype" w:hAnsi="Palatino Linotype" w:eastAsiaTheme="minorEastAsia"/>
        </w:rPr>
        <w:t xml:space="preserve">to seek and integrate feedback </w:t>
      </w:r>
      <w:r w:rsidRPr="00B62DAF" w:rsidR="005D30DA">
        <w:rPr>
          <w:rFonts w:ascii="Palatino Linotype" w:hAnsi="Palatino Linotype" w:eastAsiaTheme="minorEastAsia"/>
        </w:rPr>
        <w:t>prior to Plan submittal</w:t>
      </w:r>
      <w:r w:rsidR="00B2653D">
        <w:rPr>
          <w:rFonts w:ascii="Palatino Linotype" w:hAnsi="Palatino Linotype" w:eastAsiaTheme="minorEastAsia"/>
        </w:rPr>
        <w:t>, and t</w:t>
      </w:r>
      <w:r w:rsidRPr="00032BF6" w:rsidR="00B2653D">
        <w:rPr>
          <w:rFonts w:ascii="Palatino Linotype" w:hAnsi="Palatino Linotype" w:eastAsiaTheme="minorEastAsia"/>
        </w:rPr>
        <w:t>his</w:t>
      </w:r>
      <w:r w:rsidR="00B2653D">
        <w:rPr>
          <w:rFonts w:ascii="Palatino Linotype" w:hAnsi="Palatino Linotype" w:eastAsiaTheme="minorEastAsia"/>
        </w:rPr>
        <w:t xml:space="preserve"> </w:t>
      </w:r>
      <w:r w:rsidRPr="00032BF6" w:rsidR="00B2653D">
        <w:rPr>
          <w:rFonts w:ascii="Palatino Linotype" w:hAnsi="Palatino Linotype" w:eastAsiaTheme="minorEastAsia"/>
        </w:rPr>
        <w:t>consultation shall be documented at the Initiative level</w:t>
      </w:r>
      <w:r w:rsidR="001107AE">
        <w:rPr>
          <w:rFonts w:ascii="Palatino Linotype" w:hAnsi="Palatino Linotype" w:eastAsiaTheme="minorEastAsia"/>
        </w:rPr>
        <w:t xml:space="preserve"> in Plans</w:t>
      </w:r>
      <w:r w:rsidRPr="00B62DAF" w:rsidR="009F2042">
        <w:rPr>
          <w:rFonts w:ascii="Palatino Linotype" w:hAnsi="Palatino Linotype" w:eastAsiaTheme="minorEastAsia"/>
        </w:rPr>
        <w:t>.</w:t>
      </w:r>
      <w:r w:rsidRPr="00032BF6" w:rsidR="008F08A8">
        <w:rPr>
          <w:rFonts w:ascii="Palatino Linotype" w:hAnsi="Palatino Linotype" w:eastAsiaTheme="minorEastAsia"/>
        </w:rPr>
        <w:t xml:space="preserve"> </w:t>
      </w:r>
      <w:r w:rsidRPr="00032BF6" w:rsidR="0091730D">
        <w:rPr>
          <w:rFonts w:ascii="Palatino Linotype" w:hAnsi="Palatino Linotype" w:eastAsiaTheme="minorEastAsia"/>
        </w:rPr>
        <w:t xml:space="preserve">This consultation is </w:t>
      </w:r>
      <w:r w:rsidRPr="007D4969" w:rsidR="0091730D">
        <w:rPr>
          <w:rFonts w:ascii="Palatino Linotype" w:hAnsi="Palatino Linotype" w:eastAsiaTheme="minorEastAsia"/>
          <w:color w:val="000000" w:themeColor="text1"/>
        </w:rPr>
        <w:t xml:space="preserve">intended to </w:t>
      </w:r>
      <w:r w:rsidRPr="007D4969" w:rsidR="000540BA">
        <w:rPr>
          <w:rFonts w:ascii="Palatino Linotype" w:hAnsi="Palatino Linotype" w:eastAsiaTheme="minorEastAsia"/>
          <w:color w:val="000000" w:themeColor="text1"/>
        </w:rPr>
        <w:t xml:space="preserve">promote ratepayer benefit and </w:t>
      </w:r>
      <w:r w:rsidRPr="00032BF6" w:rsidR="0091730D">
        <w:rPr>
          <w:rFonts w:ascii="Palatino Linotype" w:hAnsi="Palatino Linotype" w:eastAsiaTheme="minorEastAsia"/>
        </w:rPr>
        <w:t xml:space="preserve">create efficiencies in </w:t>
      </w:r>
      <w:r w:rsidR="000540BA">
        <w:rPr>
          <w:rFonts w:ascii="Palatino Linotype" w:hAnsi="Palatino Linotype" w:eastAsiaTheme="minorEastAsia"/>
        </w:rPr>
        <w:t xml:space="preserve">the Commission’s </w:t>
      </w:r>
      <w:r w:rsidRPr="00032BF6" w:rsidR="0091730D">
        <w:rPr>
          <w:rFonts w:ascii="Palatino Linotype" w:hAnsi="Palatino Linotype" w:eastAsiaTheme="minorEastAsia"/>
        </w:rPr>
        <w:t xml:space="preserve">Plan review and approval by proactively aligning proposed investments with </w:t>
      </w:r>
      <w:r w:rsidRPr="00032BF6" w:rsidR="0091730D">
        <w:rPr>
          <w:rFonts w:ascii="Palatino Linotype" w:hAnsi="Palatino Linotype" w:eastAsia="Palatino Linotype" w:cs="Times New Roman"/>
        </w:rPr>
        <w:t>priority Gas RD&amp;D-related technology</w:t>
      </w:r>
      <w:r w:rsidR="00FD0710">
        <w:rPr>
          <w:rFonts w:ascii="Palatino Linotype" w:hAnsi="Palatino Linotype" w:eastAsia="Palatino Linotype" w:cs="Times New Roman"/>
        </w:rPr>
        <w:t>,</w:t>
      </w:r>
      <w:r w:rsidRPr="00032BF6" w:rsidR="0091730D">
        <w:rPr>
          <w:rFonts w:ascii="Palatino Linotype" w:hAnsi="Palatino Linotype" w:eastAsia="Palatino Linotype" w:cs="Times New Roman"/>
        </w:rPr>
        <w:t xml:space="preserve"> market needs</w:t>
      </w:r>
      <w:r w:rsidR="00FD0710">
        <w:rPr>
          <w:rFonts w:ascii="Palatino Linotype" w:hAnsi="Palatino Linotype" w:eastAsia="Palatino Linotype" w:cs="Times New Roman"/>
        </w:rPr>
        <w:t>,</w:t>
      </w:r>
      <w:r w:rsidRPr="00032BF6" w:rsidR="0091730D">
        <w:rPr>
          <w:rFonts w:ascii="Palatino Linotype" w:hAnsi="Palatino Linotype" w:eastAsia="Palatino Linotype" w:cs="Times New Roman"/>
        </w:rPr>
        <w:t xml:space="preserve"> and </w:t>
      </w:r>
      <w:r w:rsidRPr="00032BF6" w:rsidR="0091730D">
        <w:rPr>
          <w:rFonts w:ascii="Palatino Linotype" w:hAnsi="Palatino Linotype" w:eastAsiaTheme="minorEastAsia"/>
        </w:rPr>
        <w:t>emerging</w:t>
      </w:r>
      <w:r w:rsidRPr="00032BF6" w:rsidR="0091730D">
        <w:rPr>
          <w:rFonts w:ascii="Palatino Linotype" w:hAnsi="Palatino Linotype" w:eastAsia="Palatino Linotype" w:cs="Times New Roman"/>
        </w:rPr>
        <w:t xml:space="preserve"> opportunities as identified in CPUC </w:t>
      </w:r>
      <w:r w:rsidR="00147C23">
        <w:rPr>
          <w:rFonts w:ascii="Palatino Linotype" w:hAnsi="Palatino Linotype" w:eastAsia="Palatino Linotype" w:cs="Times New Roman"/>
        </w:rPr>
        <w:t>p</w:t>
      </w:r>
      <w:r w:rsidRPr="00032BF6" w:rsidR="0091730D">
        <w:rPr>
          <w:rFonts w:ascii="Palatino Linotype" w:hAnsi="Palatino Linotype" w:eastAsia="Palatino Linotype" w:cs="Times New Roman"/>
        </w:rPr>
        <w:t xml:space="preserve">roceedings </w:t>
      </w:r>
      <w:r w:rsidR="00147C23">
        <w:rPr>
          <w:rFonts w:ascii="Palatino Linotype" w:hAnsi="Palatino Linotype" w:eastAsia="Palatino Linotype" w:cs="Times New Roman"/>
        </w:rPr>
        <w:t>and p</w:t>
      </w:r>
      <w:r w:rsidRPr="00032BF6" w:rsidR="0091730D">
        <w:rPr>
          <w:rFonts w:ascii="Palatino Linotype" w:hAnsi="Palatino Linotype" w:eastAsia="Palatino Linotype" w:cs="Times New Roman"/>
        </w:rPr>
        <w:t>olicies.</w:t>
      </w:r>
      <w:r w:rsidR="00333970">
        <w:rPr>
          <w:rStyle w:val="FootnoteReference"/>
          <w:rFonts w:ascii="Palatino Linotype" w:hAnsi="Palatino Linotype" w:eastAsia="Palatino Linotype" w:cs="Times New Roman"/>
        </w:rPr>
        <w:footnoteReference w:id="94"/>
      </w:r>
      <w:r w:rsidR="005A42B0">
        <w:rPr>
          <w:rFonts w:ascii="Palatino Linotype" w:hAnsi="Palatino Linotype" w:eastAsia="Palatino Linotype" w:cs="Times New Roman"/>
        </w:rPr>
        <w:t xml:space="preserve"> </w:t>
      </w:r>
    </w:p>
    <w:p w:rsidR="0000635A" w:rsidP="00AD3759" w:rsidRDefault="0000635A" w14:paraId="0D7E937A" w14:textId="77777777">
      <w:pPr>
        <w:spacing w:after="0" w:line="276" w:lineRule="auto"/>
        <w:ind w:left="720"/>
        <w:rPr>
          <w:rFonts w:ascii="Palatino Linotype" w:hAnsi="Palatino Linotype" w:eastAsia="Palatino Linotype" w:cs="Times New Roman"/>
        </w:rPr>
      </w:pPr>
    </w:p>
    <w:p w:rsidRPr="00576137" w:rsidR="009F2042" w:rsidP="00305578" w:rsidRDefault="00292671" w14:paraId="2AB130BA" w14:textId="5AE8816C">
      <w:pPr>
        <w:spacing w:after="0" w:line="276" w:lineRule="auto"/>
        <w:ind w:left="720"/>
        <w:rPr>
          <w:rFonts w:ascii="Palatino Linotype" w:hAnsi="Palatino Linotype" w:eastAsia="Palatino Linotype" w:cs="Palatino Linotype"/>
          <w:color w:val="000000" w:themeColor="text1"/>
        </w:rPr>
      </w:pPr>
      <w:r w:rsidRPr="0040026D">
        <w:rPr>
          <w:rFonts w:ascii="Palatino Linotype" w:hAnsi="Palatino Linotype" w:eastAsia="Palatino Linotype" w:cs="Times New Roman"/>
          <w:color w:val="000000" w:themeColor="text1"/>
        </w:rPr>
        <w:t xml:space="preserve">The </w:t>
      </w:r>
      <w:r w:rsidRPr="0040026D">
        <w:rPr>
          <w:rFonts w:ascii="Palatino Linotype" w:hAnsi="Palatino Linotype" w:eastAsiaTheme="minorEastAsia"/>
          <w:color w:val="000000" w:themeColor="text1"/>
        </w:rPr>
        <w:t xml:space="preserve">Electric Program Investment Charge (EPIC) </w:t>
      </w:r>
      <w:r w:rsidRPr="0040026D">
        <w:rPr>
          <w:rFonts w:ascii="Palatino Linotype" w:hAnsi="Palatino Linotype" w:eastAsia="Palatino Linotype" w:cs="Palatino Linotype"/>
          <w:color w:val="000000" w:themeColor="text1"/>
        </w:rPr>
        <w:t xml:space="preserve">Strategic Goal of “Achieving 100% Net-Zero Carbon and the Coordinated Role of Gas” highlights the intrinsic </w:t>
      </w:r>
      <w:r w:rsidRPr="0040026D">
        <w:rPr>
          <w:rFonts w:ascii="Palatino Linotype" w:hAnsi="Palatino Linotype" w:eastAsia="Palatino Linotype" w:cs="Palatino Linotype"/>
          <w:color w:val="000000" w:themeColor="text1"/>
        </w:rPr>
        <w:lastRenderedPageBreak/>
        <w:t>link between gas and electric investment policy and planning</w:t>
      </w:r>
      <w:r w:rsidRPr="0040026D" w:rsidR="007F07BF">
        <w:rPr>
          <w:rFonts w:ascii="Palatino Linotype" w:hAnsi="Palatino Linotype" w:eastAsia="Palatino Linotype" w:cs="Palatino Linotype"/>
          <w:color w:val="000000" w:themeColor="text1"/>
        </w:rPr>
        <w:t>, particularly involving electrification and decarbonization efforts. Greater collaboration among California RD&amp;D programs is needed to identify and scale cost-effective strategies to provide ratepayer benefit and achieve “the last 10 percent of reaching the state’s goal to be carbon neutral by 2045 economy-wide</w:t>
      </w:r>
      <w:r w:rsidRPr="0040026D" w:rsidR="0040026D">
        <w:rPr>
          <w:rFonts w:ascii="Palatino Linotype" w:hAnsi="Palatino Linotype" w:eastAsia="Palatino Linotype" w:cs="Palatino Linotype"/>
          <w:color w:val="000000" w:themeColor="text1"/>
        </w:rPr>
        <w:t>.</w:t>
      </w:r>
      <w:r w:rsidRPr="0040026D" w:rsidR="007F07BF">
        <w:rPr>
          <w:rFonts w:ascii="Palatino Linotype" w:hAnsi="Palatino Linotype" w:eastAsia="Palatino Linotype" w:cs="Palatino Linotype"/>
          <w:color w:val="000000" w:themeColor="text1"/>
        </w:rPr>
        <w:t>"</w:t>
      </w:r>
      <w:r w:rsidRPr="0040026D" w:rsidR="007F07BF">
        <w:rPr>
          <w:rStyle w:val="FootnoteReference"/>
          <w:rFonts w:ascii="Palatino Linotype" w:hAnsi="Palatino Linotype" w:eastAsia="Palatino Linotype" w:cs="Palatino Linotype"/>
          <w:color w:val="000000" w:themeColor="text1"/>
        </w:rPr>
        <w:footnoteReference w:id="95"/>
      </w:r>
      <w:r w:rsidRPr="0040026D" w:rsidR="007F07BF">
        <w:rPr>
          <w:rFonts w:eastAsia="Palatino Linotype" w:cs="Palatino Linotype"/>
          <w:color w:val="000000" w:themeColor="text1"/>
        </w:rPr>
        <w:t xml:space="preserve"> </w:t>
      </w:r>
      <w:r w:rsidRPr="0040026D" w:rsidR="00FA140E">
        <w:rPr>
          <w:rFonts w:ascii="Palatino Linotype" w:hAnsi="Palatino Linotype" w:eastAsia="Palatino Linotype" w:cs="Palatino Linotype"/>
          <w:color w:val="000000" w:themeColor="text1"/>
        </w:rPr>
        <w:t>The</w:t>
      </w:r>
      <w:r w:rsidRPr="0040026D" w:rsidR="007F07BF">
        <w:rPr>
          <w:rFonts w:eastAsia="Palatino Linotype" w:cs="Palatino Linotype"/>
          <w:color w:val="000000" w:themeColor="text1"/>
        </w:rPr>
        <w:t xml:space="preserve"> </w:t>
      </w:r>
      <w:r w:rsidRPr="0040026D" w:rsidR="006E4ACA">
        <w:rPr>
          <w:rFonts w:ascii="Palatino Linotype" w:hAnsi="Palatino Linotype" w:eastAsia="Palatino Linotype" w:cs="Palatino Linotype"/>
          <w:color w:val="000000" w:themeColor="text1"/>
        </w:rPr>
        <w:t xml:space="preserve">CPUC’s Long-Term Gas Proceeding also </w:t>
      </w:r>
      <w:r w:rsidRPr="0040026D" w:rsidR="6557F736">
        <w:rPr>
          <w:rFonts w:ascii="Palatino Linotype" w:hAnsi="Palatino Linotype" w:eastAsia="Palatino Linotype" w:cs="Times New Roman"/>
          <w:color w:val="000000" w:themeColor="text1"/>
        </w:rPr>
        <w:t>concludes</w:t>
      </w:r>
      <w:r w:rsidRPr="0040026D" w:rsidR="00561ABD">
        <w:rPr>
          <w:rFonts w:ascii="Palatino Linotype" w:hAnsi="Palatino Linotype" w:eastAsia="Palatino Linotype" w:cs="Palatino Linotype"/>
          <w:color w:val="000000" w:themeColor="text1"/>
        </w:rPr>
        <w:t xml:space="preserve"> that</w:t>
      </w:r>
      <w:r w:rsidRPr="0040026D" w:rsidR="00064818">
        <w:rPr>
          <w:rFonts w:ascii="Palatino Linotype" w:hAnsi="Palatino Linotype" w:eastAsia="Palatino Linotype" w:cs="Palatino Linotype"/>
          <w:color w:val="000000" w:themeColor="text1"/>
        </w:rPr>
        <w:t>,</w:t>
      </w:r>
      <w:r w:rsidRPr="0040026D" w:rsidR="00561ABD">
        <w:rPr>
          <w:rFonts w:ascii="Palatino Linotype" w:hAnsi="Palatino Linotype" w:eastAsia="Palatino Linotype" w:cs="Palatino Linotype"/>
          <w:color w:val="000000" w:themeColor="text1"/>
        </w:rPr>
        <w:t xml:space="preserve"> “[t]o achieve California’s decarbonization goals and effectuate an equitable gas transition, a coordinated, iterative, and long-term planning process will help the State agencies and utilities align initiatives related to gas system planning efforts and analytics.</w:t>
      </w:r>
      <w:r w:rsidRPr="0040026D" w:rsidR="006775AE">
        <w:rPr>
          <w:rFonts w:ascii="Palatino Linotype" w:hAnsi="Palatino Linotype" w:eastAsia="Palatino Linotype" w:cs="Palatino Linotype"/>
          <w:color w:val="000000" w:themeColor="text1"/>
        </w:rPr>
        <w:t>”</w:t>
      </w:r>
      <w:r w:rsidRPr="0040026D" w:rsidR="00561ABD">
        <w:rPr>
          <w:rStyle w:val="FootnoteReference"/>
          <w:rFonts w:ascii="Palatino Linotype" w:hAnsi="Palatino Linotype" w:eastAsia="Palatino Linotype" w:cs="Palatino Linotype"/>
          <w:color w:val="000000" w:themeColor="text1"/>
        </w:rPr>
        <w:footnoteReference w:id="96"/>
      </w:r>
      <w:r w:rsidRPr="0040026D" w:rsidR="00064818">
        <w:rPr>
          <w:rFonts w:ascii="Palatino Linotype" w:hAnsi="Palatino Linotype" w:eastAsia="Palatino Linotype" w:cs="Palatino Linotype"/>
          <w:color w:val="000000" w:themeColor="text1"/>
        </w:rPr>
        <w:t xml:space="preserve"> Thus pre-submittal consultation with CPUC </w:t>
      </w:r>
      <w:r w:rsidRPr="0040026D" w:rsidR="00101FF3">
        <w:rPr>
          <w:rFonts w:ascii="Palatino Linotype" w:hAnsi="Palatino Linotype" w:eastAsia="Palatino Linotype" w:cs="Palatino Linotype"/>
          <w:color w:val="000000" w:themeColor="text1"/>
        </w:rPr>
        <w:t xml:space="preserve">staff </w:t>
      </w:r>
      <w:r w:rsidRPr="0040026D" w:rsidR="000860FE">
        <w:rPr>
          <w:rFonts w:ascii="Palatino Linotype" w:hAnsi="Palatino Linotype" w:eastAsiaTheme="minorEastAsia"/>
          <w:color w:val="000000" w:themeColor="text1"/>
        </w:rPr>
        <w:t>may</w:t>
      </w:r>
      <w:r w:rsidRPr="0040026D" w:rsidR="009F2042">
        <w:rPr>
          <w:rFonts w:ascii="Palatino Linotype" w:hAnsi="Palatino Linotype" w:eastAsiaTheme="minorEastAsia"/>
          <w:color w:val="000000" w:themeColor="text1"/>
        </w:rPr>
        <w:t xml:space="preserve"> </w:t>
      </w:r>
      <w:r w:rsidRPr="00032BF6" w:rsidR="009F2042">
        <w:rPr>
          <w:rFonts w:ascii="Palatino Linotype" w:hAnsi="Palatino Linotype" w:eastAsiaTheme="minorEastAsia"/>
        </w:rPr>
        <w:t xml:space="preserve">be coordinated with </w:t>
      </w:r>
      <w:r w:rsidR="005C51E8">
        <w:rPr>
          <w:rFonts w:ascii="Palatino Linotype" w:hAnsi="Palatino Linotype" w:eastAsiaTheme="minorEastAsia"/>
        </w:rPr>
        <w:t>other Gas RD&amp;D and</w:t>
      </w:r>
      <w:r w:rsidR="00BA559C">
        <w:rPr>
          <w:rFonts w:ascii="Palatino Linotype" w:hAnsi="Palatino Linotype" w:eastAsiaTheme="minorEastAsia"/>
        </w:rPr>
        <w:t xml:space="preserve"> </w:t>
      </w:r>
      <w:r>
        <w:rPr>
          <w:rFonts w:ascii="Palatino Linotype" w:hAnsi="Palatino Linotype" w:eastAsiaTheme="minorEastAsia"/>
        </w:rPr>
        <w:t xml:space="preserve">EPIC </w:t>
      </w:r>
      <w:r w:rsidR="005C51E8">
        <w:rPr>
          <w:rFonts w:ascii="Palatino Linotype" w:hAnsi="Palatino Linotype" w:eastAsiaTheme="minorEastAsia"/>
        </w:rPr>
        <w:t xml:space="preserve">administrators </w:t>
      </w:r>
      <w:r w:rsidR="0027232A">
        <w:rPr>
          <w:rFonts w:ascii="Palatino Linotype" w:hAnsi="Palatino Linotype" w:eastAsiaTheme="minorEastAsia"/>
        </w:rPr>
        <w:t xml:space="preserve">to </w:t>
      </w:r>
      <w:r w:rsidR="00B21D9D">
        <w:rPr>
          <w:rFonts w:ascii="Palatino Linotype" w:hAnsi="Palatino Linotype" w:eastAsiaTheme="minorEastAsia"/>
        </w:rPr>
        <w:t>promote eff</w:t>
      </w:r>
      <w:r w:rsidR="003E2CE0">
        <w:rPr>
          <w:rFonts w:ascii="Palatino Linotype" w:hAnsi="Palatino Linotype" w:eastAsiaTheme="minorEastAsia"/>
        </w:rPr>
        <w:t xml:space="preserve">iciencies </w:t>
      </w:r>
      <w:r w:rsidR="00C9663F">
        <w:rPr>
          <w:rFonts w:ascii="Palatino Linotype" w:hAnsi="Palatino Linotype" w:eastAsiaTheme="minorEastAsia"/>
        </w:rPr>
        <w:t xml:space="preserve">and strategic, holistic investment planning across programs, thereby </w:t>
      </w:r>
      <w:r w:rsidRPr="002B40F7" w:rsidR="00380CAA">
        <w:rPr>
          <w:rFonts w:ascii="Palatino Linotype" w:hAnsi="Palatino Linotype" w:eastAsiaTheme="minorEastAsia"/>
        </w:rPr>
        <w:t>maximiz</w:t>
      </w:r>
      <w:r w:rsidR="00C9663F">
        <w:rPr>
          <w:rFonts w:ascii="Palatino Linotype" w:hAnsi="Palatino Linotype" w:eastAsiaTheme="minorEastAsia"/>
        </w:rPr>
        <w:t>ing</w:t>
      </w:r>
      <w:r w:rsidRPr="002B40F7" w:rsidR="00380CAA">
        <w:rPr>
          <w:rFonts w:ascii="Palatino Linotype" w:hAnsi="Palatino Linotype" w:eastAsiaTheme="minorEastAsia"/>
        </w:rPr>
        <w:t xml:space="preserve"> the impacts of investments</w:t>
      </w:r>
      <w:r w:rsidR="00C9663F">
        <w:rPr>
          <w:rFonts w:ascii="Palatino Linotype" w:hAnsi="Palatino Linotype" w:eastAsiaTheme="minorEastAsia"/>
        </w:rPr>
        <w:t>.</w:t>
      </w:r>
      <w:r w:rsidRPr="00032BF6" w:rsidR="00032BF6">
        <w:rPr>
          <w:rFonts w:ascii="Palatino Linotype" w:hAnsi="Palatino Linotype" w:eastAsiaTheme="minorEastAsia"/>
        </w:rPr>
        <w:t xml:space="preserve"> </w:t>
      </w:r>
    </w:p>
    <w:p w:rsidRPr="0076125D" w:rsidR="009D4E83" w:rsidP="00AD3759" w:rsidRDefault="009D4E83" w14:paraId="4E6B629F" w14:textId="77777777">
      <w:pPr>
        <w:spacing w:after="0" w:line="276" w:lineRule="auto"/>
        <w:ind w:left="720"/>
        <w:rPr>
          <w:rFonts w:ascii="Palatino Linotype" w:hAnsi="Palatino Linotype" w:eastAsia="Palatino Linotype" w:cs="Times New Roman"/>
          <w:color w:val="808080" w:themeColor="background1" w:themeShade="80"/>
          <w:kern w:val="0"/>
          <w14:ligatures w14:val="none"/>
        </w:rPr>
      </w:pPr>
    </w:p>
    <w:p w:rsidRPr="00576137" w:rsidR="00D154FE" w:rsidP="00360A1F" w:rsidRDefault="00D154FE" w14:paraId="47E5BD6E" w14:textId="465047A3">
      <w:pPr>
        <w:pStyle w:val="ListParagraph"/>
        <w:numPr>
          <w:ilvl w:val="0"/>
          <w:numId w:val="1"/>
        </w:numPr>
        <w:spacing w:line="276" w:lineRule="auto"/>
        <w:rPr>
          <w:rFonts w:ascii="Palatino Linotype" w:hAnsi="Palatino Linotype" w:eastAsia="Palatino Linotype" w:cs="Times New Roman"/>
          <w:color w:val="000000" w:themeColor="text1"/>
          <w:kern w:val="0"/>
          <w14:ligatures w14:val="none"/>
        </w:rPr>
      </w:pPr>
      <w:r w:rsidRPr="00576137">
        <w:rPr>
          <w:rFonts w:ascii="Palatino Linotype" w:hAnsi="Palatino Linotype" w:eastAsia="Palatino Linotype" w:cs="Times New Roman"/>
          <w:color w:val="000000" w:themeColor="text1"/>
          <w:kern w:val="0"/>
          <w14:ligatures w14:val="none"/>
        </w:rPr>
        <w:t xml:space="preserve">Public </w:t>
      </w:r>
      <w:r w:rsidRPr="00576137" w:rsidR="002052DF">
        <w:rPr>
          <w:rFonts w:ascii="Palatino Linotype" w:hAnsi="Palatino Linotype" w:eastAsia="Palatino Linotype" w:cs="Times New Roman"/>
          <w:color w:val="000000" w:themeColor="text1"/>
          <w:kern w:val="0"/>
          <w14:ligatures w14:val="none"/>
        </w:rPr>
        <w:t>Workshop</w:t>
      </w:r>
    </w:p>
    <w:p w:rsidR="0015640E" w:rsidP="00AD3759" w:rsidRDefault="00C47C15" w14:paraId="0C10FAEA" w14:textId="661375E0">
      <w:pPr>
        <w:spacing w:after="0" w:line="276" w:lineRule="auto"/>
        <w:ind w:left="720"/>
        <w:rPr>
          <w:rFonts w:ascii="Palatino Linotype" w:hAnsi="Palatino Linotype" w:eastAsiaTheme="minorEastAsia"/>
          <w:color w:val="0D0D0D" w:themeColor="text1" w:themeTint="F2"/>
        </w:rPr>
      </w:pPr>
      <w:r>
        <w:rPr>
          <w:rFonts w:ascii="Palatino Linotype" w:hAnsi="Palatino Linotype" w:eastAsia="Palatino Linotype" w:cs="Times New Roman"/>
          <w:color w:val="000000" w:themeColor="text1"/>
          <w:kern w:val="0"/>
          <w14:ligatures w14:val="none"/>
        </w:rPr>
        <w:t xml:space="preserve">PG&amp;E shall </w:t>
      </w:r>
      <w:r w:rsidRPr="21EC5BEE" w:rsidR="0006138B">
        <w:rPr>
          <w:rFonts w:ascii="Palatino Linotype" w:hAnsi="Palatino Linotype" w:eastAsia="Palatino Linotype" w:cs="Times New Roman"/>
          <w:color w:val="000000" w:themeColor="text1"/>
        </w:rPr>
        <w:t xml:space="preserve">coordinate with other Gas RD&amp;D administrators to </w:t>
      </w:r>
      <w:r w:rsidR="00E91721">
        <w:rPr>
          <w:rFonts w:ascii="Palatino Linotype" w:hAnsi="Palatino Linotype" w:eastAsia="Palatino Linotype" w:cs="Times New Roman"/>
          <w:color w:val="000000" w:themeColor="text1"/>
          <w:kern w:val="0"/>
          <w14:ligatures w14:val="none"/>
        </w:rPr>
        <w:t xml:space="preserve">hold </w:t>
      </w:r>
      <w:r w:rsidR="0909C629">
        <w:rPr>
          <w:rFonts w:ascii="Palatino Linotype" w:hAnsi="Palatino Linotype" w:eastAsia="Palatino Linotype" w:cs="Times New Roman"/>
          <w:color w:val="000000" w:themeColor="text1"/>
          <w:kern w:val="0"/>
          <w14:ligatures w14:val="none"/>
        </w:rPr>
        <w:t>a</w:t>
      </w:r>
      <w:r w:rsidR="20092929">
        <w:rPr>
          <w:rFonts w:ascii="Palatino Linotype" w:hAnsi="Palatino Linotype" w:eastAsia="Palatino Linotype" w:cs="Times New Roman"/>
          <w:color w:val="000000" w:themeColor="text1"/>
          <w:kern w:val="0"/>
          <w14:ligatures w14:val="none"/>
        </w:rPr>
        <w:t xml:space="preserve">n </w:t>
      </w:r>
      <w:r w:rsidRPr="638FBD9A" w:rsidR="20092929">
        <w:rPr>
          <w:rFonts w:ascii="Palatino Linotype" w:hAnsi="Palatino Linotype" w:eastAsia="Palatino Linotype" w:cs="Times New Roman"/>
          <w:color w:val="000000" w:themeColor="text1"/>
        </w:rPr>
        <w:t>Annual</w:t>
      </w:r>
      <w:r w:rsidRPr="638FBD9A" w:rsidR="0909C629">
        <w:rPr>
          <w:rFonts w:ascii="Palatino Linotype" w:hAnsi="Palatino Linotype" w:eastAsia="Palatino Linotype" w:cs="Times New Roman"/>
          <w:color w:val="000000" w:themeColor="text1"/>
        </w:rPr>
        <w:t xml:space="preserve"> </w:t>
      </w:r>
      <w:r w:rsidR="0909C629">
        <w:rPr>
          <w:rFonts w:ascii="Palatino Linotype" w:hAnsi="Palatino Linotype" w:eastAsia="Palatino Linotype" w:cs="Times New Roman"/>
          <w:color w:val="000000" w:themeColor="text1"/>
          <w:kern w:val="0"/>
          <w14:ligatures w14:val="none"/>
        </w:rPr>
        <w:t>P</w:t>
      </w:r>
      <w:r w:rsidR="00E91721">
        <w:rPr>
          <w:rFonts w:ascii="Palatino Linotype" w:hAnsi="Palatino Linotype" w:eastAsia="Palatino Linotype" w:cs="Times New Roman"/>
          <w:color w:val="000000" w:themeColor="text1"/>
          <w:kern w:val="0"/>
          <w14:ligatures w14:val="none"/>
        </w:rPr>
        <w:t>ublic Workshop</w:t>
      </w:r>
      <w:r w:rsidR="00F328D1">
        <w:rPr>
          <w:rFonts w:ascii="Palatino Linotype" w:hAnsi="Palatino Linotype" w:eastAsia="Palatino Linotype" w:cs="Times New Roman"/>
          <w:color w:val="000000" w:themeColor="text1"/>
          <w:kern w:val="0"/>
          <w14:ligatures w14:val="none"/>
        </w:rPr>
        <w:t xml:space="preserve"> to </w:t>
      </w:r>
      <w:r w:rsidR="00EB69F1">
        <w:rPr>
          <w:rFonts w:ascii="Palatino Linotype" w:hAnsi="Palatino Linotype" w:eastAsia="Palatino Linotype" w:cs="Times New Roman"/>
          <w:color w:val="000000" w:themeColor="text1"/>
          <w:kern w:val="0"/>
          <w14:ligatures w14:val="none"/>
        </w:rPr>
        <w:t xml:space="preserve">obtain </w:t>
      </w:r>
      <w:r w:rsidRPr="21EC5BEE" w:rsidR="0006138B">
        <w:rPr>
          <w:rFonts w:ascii="Palatino Linotype" w:hAnsi="Palatino Linotype" w:eastAsia="Palatino Linotype" w:cs="Times New Roman"/>
          <w:color w:val="000000" w:themeColor="text1"/>
        </w:rPr>
        <w:t xml:space="preserve">broad stakeholder </w:t>
      </w:r>
      <w:r w:rsidR="00EB69F1">
        <w:rPr>
          <w:rFonts w:ascii="Palatino Linotype" w:hAnsi="Palatino Linotype" w:eastAsia="Palatino Linotype" w:cs="Times New Roman"/>
          <w:color w:val="000000" w:themeColor="text1"/>
          <w:kern w:val="0"/>
          <w14:ligatures w14:val="none"/>
        </w:rPr>
        <w:t xml:space="preserve">input regarding proposed </w:t>
      </w:r>
      <w:r w:rsidR="00DE6D25">
        <w:rPr>
          <w:rFonts w:ascii="Palatino Linotype" w:hAnsi="Palatino Linotype" w:eastAsia="Palatino Linotype" w:cs="Times New Roman"/>
          <w:color w:val="000000" w:themeColor="text1"/>
          <w:kern w:val="0"/>
          <w14:ligatures w14:val="none"/>
        </w:rPr>
        <w:t>investments</w:t>
      </w:r>
      <w:r w:rsidR="00EB69F1">
        <w:rPr>
          <w:rFonts w:ascii="Palatino Linotype" w:hAnsi="Palatino Linotype" w:eastAsia="Palatino Linotype" w:cs="Times New Roman"/>
          <w:color w:val="000000" w:themeColor="text1"/>
          <w:kern w:val="0"/>
          <w14:ligatures w14:val="none"/>
        </w:rPr>
        <w:t xml:space="preserve"> for the upcoming year</w:t>
      </w:r>
      <w:r w:rsidR="00DE6D25">
        <w:rPr>
          <w:rFonts w:ascii="Palatino Linotype" w:hAnsi="Palatino Linotype" w:eastAsia="Palatino Linotype" w:cs="Times New Roman"/>
          <w:color w:val="000000" w:themeColor="text1"/>
          <w:kern w:val="0"/>
          <w14:ligatures w14:val="none"/>
        </w:rPr>
        <w:t xml:space="preserve"> prior to Plan submittal</w:t>
      </w:r>
      <w:r w:rsidR="009B607C">
        <w:rPr>
          <w:rFonts w:ascii="Palatino Linotype" w:hAnsi="Palatino Linotype" w:eastAsia="Palatino Linotype" w:cs="Times New Roman"/>
          <w:color w:val="000000" w:themeColor="text1"/>
          <w:kern w:val="0"/>
          <w14:ligatures w14:val="none"/>
        </w:rPr>
        <w:t>,</w:t>
      </w:r>
      <w:r w:rsidR="003E2944">
        <w:rPr>
          <w:rStyle w:val="FootnoteReference"/>
          <w:rFonts w:ascii="Palatino Linotype" w:hAnsi="Palatino Linotype" w:eastAsia="Palatino Linotype" w:cs="Times New Roman"/>
          <w:color w:val="000000" w:themeColor="text1"/>
          <w:kern w:val="0"/>
          <w14:ligatures w14:val="none"/>
        </w:rPr>
        <w:footnoteReference w:id="97"/>
      </w:r>
      <w:r w:rsidR="009B607C">
        <w:rPr>
          <w:rFonts w:ascii="Palatino Linotype" w:hAnsi="Palatino Linotype" w:eastAsia="Palatino Linotype" w:cs="Times New Roman"/>
          <w:color w:val="000000" w:themeColor="text1"/>
          <w:kern w:val="0"/>
          <w14:ligatures w14:val="none"/>
        </w:rPr>
        <w:t xml:space="preserve"> informed by feedback provided by </w:t>
      </w:r>
      <w:r w:rsidRPr="21EC5BEE" w:rsidR="009B607C">
        <w:rPr>
          <w:rFonts w:ascii="Palatino Linotype" w:hAnsi="Palatino Linotype" w:eastAsia="Palatino Linotype" w:cs="Times New Roman"/>
          <w:color w:val="000000" w:themeColor="text1"/>
        </w:rPr>
        <w:t xml:space="preserve">CPUC </w:t>
      </w:r>
      <w:r w:rsidR="00061078">
        <w:rPr>
          <w:rFonts w:ascii="Palatino Linotype" w:hAnsi="Palatino Linotype" w:eastAsia="Palatino Linotype" w:cs="Times New Roman"/>
          <w:color w:val="000000" w:themeColor="text1"/>
        </w:rPr>
        <w:t>s</w:t>
      </w:r>
      <w:r w:rsidR="00D17044">
        <w:rPr>
          <w:rFonts w:ascii="Palatino Linotype" w:hAnsi="Palatino Linotype" w:eastAsia="Palatino Linotype" w:cs="Times New Roman"/>
          <w:color w:val="000000" w:themeColor="text1"/>
          <w:kern w:val="0"/>
          <w14:ligatures w14:val="none"/>
        </w:rPr>
        <w:t>taff</w:t>
      </w:r>
      <w:r w:rsidRPr="21EC5BEE" w:rsidR="00F63901">
        <w:rPr>
          <w:rFonts w:ascii="Palatino Linotype" w:hAnsi="Palatino Linotype" w:eastAsia="Palatino Linotype" w:cs="Times New Roman"/>
          <w:color w:val="000000" w:themeColor="text1"/>
        </w:rPr>
        <w:t>.</w:t>
      </w:r>
      <w:r w:rsidR="00BB313F">
        <w:rPr>
          <w:rStyle w:val="FootnoteReference"/>
          <w:rFonts w:ascii="Palatino Linotype" w:hAnsi="Palatino Linotype" w:eastAsia="Palatino Linotype" w:cs="Times New Roman"/>
          <w:color w:val="000000" w:themeColor="text1"/>
          <w:kern w:val="0"/>
          <w14:ligatures w14:val="none"/>
        </w:rPr>
        <w:footnoteReference w:id="98"/>
      </w:r>
      <w:r w:rsidR="00B44AD3">
        <w:rPr>
          <w:rFonts w:ascii="Palatino Linotype" w:hAnsi="Palatino Linotype" w:eastAsia="Palatino Linotype" w:cs="Times New Roman"/>
          <w:color w:val="000000" w:themeColor="text1"/>
          <w:kern w:val="0"/>
          <w14:ligatures w14:val="none"/>
        </w:rPr>
        <w:t xml:space="preserve"> </w:t>
      </w:r>
      <w:r w:rsidR="004D760C">
        <w:rPr>
          <w:rFonts w:ascii="Palatino Linotype" w:hAnsi="Palatino Linotype" w:eastAsia="Palatino Linotype" w:cs="Times New Roman"/>
          <w:color w:val="000000" w:themeColor="text1"/>
          <w:kern w:val="0"/>
          <w14:ligatures w14:val="none"/>
        </w:rPr>
        <w:t xml:space="preserve">PG&amp;E shall consult </w:t>
      </w:r>
      <w:r w:rsidR="008E28CC">
        <w:rPr>
          <w:rFonts w:ascii="Palatino Linotype" w:hAnsi="Palatino Linotype" w:eastAsia="Palatino Linotype" w:cs="Times New Roman"/>
          <w:color w:val="000000" w:themeColor="text1"/>
          <w:kern w:val="0"/>
          <w14:ligatures w14:val="none"/>
        </w:rPr>
        <w:t>ED</w:t>
      </w:r>
      <w:r w:rsidR="004D760C">
        <w:rPr>
          <w:rFonts w:ascii="Palatino Linotype" w:hAnsi="Palatino Linotype" w:eastAsia="Palatino Linotype" w:cs="Times New Roman"/>
          <w:color w:val="000000" w:themeColor="text1"/>
          <w:kern w:val="0"/>
          <w14:ligatures w14:val="none"/>
        </w:rPr>
        <w:t xml:space="preserve"> </w:t>
      </w:r>
      <w:r w:rsidR="0032339E">
        <w:rPr>
          <w:rFonts w:ascii="Palatino Linotype" w:hAnsi="Palatino Linotype" w:eastAsia="Palatino Linotype" w:cs="Times New Roman"/>
          <w:color w:val="000000" w:themeColor="text1"/>
          <w:kern w:val="0"/>
          <w14:ligatures w14:val="none"/>
        </w:rPr>
        <w:t>s</w:t>
      </w:r>
      <w:r w:rsidR="00D17044">
        <w:rPr>
          <w:rFonts w:ascii="Palatino Linotype" w:hAnsi="Palatino Linotype" w:eastAsia="Palatino Linotype" w:cs="Times New Roman"/>
          <w:color w:val="000000" w:themeColor="text1"/>
          <w:kern w:val="0"/>
          <w14:ligatures w14:val="none"/>
        </w:rPr>
        <w:t>taff</w:t>
      </w:r>
      <w:r w:rsidR="004D760C">
        <w:rPr>
          <w:rFonts w:ascii="Palatino Linotype" w:hAnsi="Palatino Linotype" w:eastAsia="Palatino Linotype" w:cs="Times New Roman"/>
          <w:color w:val="000000" w:themeColor="text1"/>
          <w:kern w:val="0"/>
          <w14:ligatures w14:val="none"/>
        </w:rPr>
        <w:t xml:space="preserve"> </w:t>
      </w:r>
      <w:r w:rsidRPr="21EC5BEE" w:rsidR="0084071B">
        <w:rPr>
          <w:rFonts w:ascii="Palatino Linotype" w:hAnsi="Palatino Linotype" w:eastAsia="Palatino Linotype" w:cs="Times New Roman"/>
          <w:color w:val="000000" w:themeColor="text1"/>
        </w:rPr>
        <w:t xml:space="preserve">on its </w:t>
      </w:r>
      <w:r w:rsidR="0006202A">
        <w:rPr>
          <w:rFonts w:ascii="Palatino Linotype" w:hAnsi="Palatino Linotype" w:eastAsia="Palatino Linotype" w:cs="Times New Roman"/>
          <w:color w:val="000000" w:themeColor="text1"/>
          <w:kern w:val="0"/>
          <w14:ligatures w14:val="none"/>
        </w:rPr>
        <w:t>engage</w:t>
      </w:r>
      <w:r w:rsidRPr="21EC5BEE" w:rsidR="0084071B">
        <w:rPr>
          <w:rFonts w:ascii="Palatino Linotype" w:hAnsi="Palatino Linotype" w:eastAsia="Palatino Linotype" w:cs="Times New Roman"/>
          <w:color w:val="000000" w:themeColor="text1"/>
        </w:rPr>
        <w:t>ment of</w:t>
      </w:r>
      <w:r w:rsidR="0006202A">
        <w:rPr>
          <w:rFonts w:ascii="Palatino Linotype" w:hAnsi="Palatino Linotype" w:eastAsia="Palatino Linotype" w:cs="Times New Roman"/>
          <w:color w:val="000000" w:themeColor="text1"/>
          <w:kern w:val="0"/>
          <w14:ligatures w14:val="none"/>
        </w:rPr>
        <w:t xml:space="preserve"> diverse relevant stakeholders</w:t>
      </w:r>
      <w:r w:rsidR="00893B34">
        <w:rPr>
          <w:rFonts w:ascii="Palatino Linotype" w:hAnsi="Palatino Linotype" w:eastAsia="Palatino Linotype" w:cs="Times New Roman"/>
          <w:color w:val="000000" w:themeColor="text1"/>
          <w:kern w:val="0"/>
          <w14:ligatures w14:val="none"/>
        </w:rPr>
        <w:t>,</w:t>
      </w:r>
      <w:r w:rsidRPr="00E7628C" w:rsidR="00BE4E7B">
        <w:rPr>
          <w:rFonts w:ascii="Palatino Linotype" w:hAnsi="Palatino Linotype" w:eastAsiaTheme="minorEastAsia"/>
          <w:color w:val="000000" w:themeColor="text1"/>
        </w:rPr>
        <w:t xml:space="preserve"> </w:t>
      </w:r>
      <w:r w:rsidRPr="00E7628C" w:rsidR="00E21D7A">
        <w:rPr>
          <w:rFonts w:ascii="Palatino Linotype" w:hAnsi="Palatino Linotype" w:eastAsiaTheme="minorEastAsia"/>
          <w:color w:val="000000" w:themeColor="text1"/>
        </w:rPr>
        <w:t>document feedback from stakeholders</w:t>
      </w:r>
      <w:r w:rsidR="00893B34">
        <w:rPr>
          <w:rFonts w:ascii="Palatino Linotype" w:hAnsi="Palatino Linotype" w:eastAsiaTheme="minorEastAsia"/>
          <w:color w:val="000000" w:themeColor="text1"/>
        </w:rPr>
        <w:t>, and</w:t>
      </w:r>
      <w:r w:rsidRPr="00E7628C" w:rsidR="00E21D7A">
        <w:rPr>
          <w:rFonts w:ascii="Palatino Linotype" w:hAnsi="Palatino Linotype" w:eastAsiaTheme="minorEastAsia"/>
          <w:color w:val="000000" w:themeColor="text1"/>
        </w:rPr>
        <w:t xml:space="preserve"> demonstrate </w:t>
      </w:r>
      <w:r w:rsidR="00D06A25">
        <w:rPr>
          <w:rFonts w:ascii="Palatino Linotype" w:hAnsi="Palatino Linotype" w:eastAsiaTheme="minorEastAsia"/>
          <w:color w:val="000000" w:themeColor="text1"/>
        </w:rPr>
        <w:t xml:space="preserve">how </w:t>
      </w:r>
      <w:r w:rsidR="00893B34">
        <w:rPr>
          <w:rFonts w:ascii="Palatino Linotype" w:hAnsi="Palatino Linotype" w:eastAsiaTheme="minorEastAsia"/>
          <w:color w:val="000000" w:themeColor="text1"/>
        </w:rPr>
        <w:t>feedback</w:t>
      </w:r>
      <w:r w:rsidRPr="00E7628C" w:rsidR="00E21D7A">
        <w:rPr>
          <w:rFonts w:ascii="Palatino Linotype" w:hAnsi="Palatino Linotype" w:eastAsiaTheme="minorEastAsia"/>
          <w:color w:val="000000" w:themeColor="text1"/>
        </w:rPr>
        <w:t xml:space="preserve"> </w:t>
      </w:r>
      <w:r w:rsidR="00C4041E">
        <w:rPr>
          <w:rFonts w:ascii="Palatino Linotype" w:hAnsi="Palatino Linotype" w:eastAsiaTheme="minorEastAsia"/>
          <w:color w:val="000000" w:themeColor="text1"/>
        </w:rPr>
        <w:t>has been incorporated at the Initiative level</w:t>
      </w:r>
      <w:r w:rsidR="00DD5C43">
        <w:rPr>
          <w:rFonts w:ascii="Palatino Linotype" w:hAnsi="Palatino Linotype" w:eastAsiaTheme="minorEastAsia"/>
          <w:color w:val="000000" w:themeColor="text1"/>
        </w:rPr>
        <w:t xml:space="preserve"> in Plans</w:t>
      </w:r>
      <w:r w:rsidR="0084071B">
        <w:rPr>
          <w:rFonts w:ascii="Palatino Linotype" w:hAnsi="Palatino Linotype" w:eastAsiaTheme="minorEastAsia"/>
          <w:color w:val="000000" w:themeColor="text1"/>
        </w:rPr>
        <w:t>, inc</w:t>
      </w:r>
      <w:r w:rsidRPr="002962EF" w:rsidR="0084071B">
        <w:rPr>
          <w:rFonts w:ascii="Palatino Linotype" w:hAnsi="Palatino Linotype" w:eastAsiaTheme="minorEastAsia"/>
          <w:color w:val="000000" w:themeColor="text1"/>
        </w:rPr>
        <w:t>luding f</w:t>
      </w:r>
      <w:r w:rsidRPr="002962EF" w:rsidR="00847591">
        <w:rPr>
          <w:rFonts w:ascii="Palatino Linotype" w:hAnsi="Palatino Linotype" w:eastAsiaTheme="minorEastAsia"/>
          <w:color w:val="000000" w:themeColor="text1"/>
        </w:rPr>
        <w:t>rom</w:t>
      </w:r>
      <w:r w:rsidRPr="002962EF" w:rsidR="0084071B">
        <w:rPr>
          <w:rFonts w:ascii="Palatino Linotype" w:hAnsi="Palatino Linotype" w:eastAsiaTheme="minorEastAsia"/>
          <w:color w:val="000000" w:themeColor="text1"/>
        </w:rPr>
        <w:t xml:space="preserve"> </w:t>
      </w:r>
      <w:r w:rsidRPr="002962EF" w:rsidR="00CD13CF">
        <w:rPr>
          <w:rFonts w:ascii="Palatino Linotype" w:hAnsi="Palatino Linotype" w:eastAsiaTheme="minorEastAsia"/>
          <w:color w:val="000000" w:themeColor="text1"/>
        </w:rPr>
        <w:t>Environmental and Social Justice (</w:t>
      </w:r>
      <w:r w:rsidRPr="002962EF" w:rsidR="0084071B">
        <w:rPr>
          <w:rFonts w:ascii="Palatino Linotype" w:hAnsi="Palatino Linotype" w:eastAsiaTheme="minorEastAsia"/>
          <w:color w:val="000000" w:themeColor="text1"/>
        </w:rPr>
        <w:t>ESJ</w:t>
      </w:r>
      <w:r w:rsidRPr="002962EF" w:rsidR="00CD13CF">
        <w:rPr>
          <w:rFonts w:ascii="Palatino Linotype" w:hAnsi="Palatino Linotype" w:eastAsiaTheme="minorEastAsia"/>
          <w:color w:val="000000" w:themeColor="text1"/>
        </w:rPr>
        <w:t>)</w:t>
      </w:r>
      <w:r w:rsidRPr="002962EF" w:rsidR="0084071B">
        <w:rPr>
          <w:rFonts w:ascii="Palatino Linotype" w:hAnsi="Palatino Linotype" w:eastAsiaTheme="minorEastAsia"/>
          <w:color w:val="000000" w:themeColor="text1"/>
        </w:rPr>
        <w:t xml:space="preserve"> and Tribal communities</w:t>
      </w:r>
      <w:r w:rsidRPr="002962EF" w:rsidR="00E21D7A">
        <w:rPr>
          <w:rFonts w:ascii="Palatino Linotype" w:hAnsi="Palatino Linotype" w:eastAsiaTheme="minorEastAsia"/>
          <w:color w:val="000000" w:themeColor="text1"/>
        </w:rPr>
        <w:t>.</w:t>
      </w:r>
      <w:r w:rsidRPr="002962EF" w:rsidR="00CA177B">
        <w:rPr>
          <w:rStyle w:val="FootnoteReference"/>
          <w:rFonts w:ascii="Palatino Linotype" w:hAnsi="Palatino Linotype" w:eastAsiaTheme="minorEastAsia"/>
          <w:color w:val="000000" w:themeColor="text1"/>
        </w:rPr>
        <w:footnoteReference w:id="99"/>
      </w:r>
      <w:r w:rsidRPr="002962EF" w:rsidR="00E21D7A">
        <w:rPr>
          <w:rFonts w:ascii="Palatino Linotype" w:hAnsi="Palatino Linotype" w:eastAsiaTheme="minorEastAsia"/>
          <w:color w:val="000000" w:themeColor="text1"/>
        </w:rPr>
        <w:t xml:space="preserve"> </w:t>
      </w:r>
      <w:r w:rsidRPr="002962EF" w:rsidR="4DCCB4D8">
        <w:rPr>
          <w:rFonts w:ascii="Palatino Linotype" w:hAnsi="Palatino Linotype" w:eastAsiaTheme="minorEastAsia"/>
          <w:color w:val="000000" w:themeColor="text1"/>
        </w:rPr>
        <w:t>PG&amp;E shall also present on the results</w:t>
      </w:r>
      <w:r w:rsidRPr="002962EF" w:rsidR="00805397">
        <w:rPr>
          <w:rFonts w:ascii="Palatino Linotype" w:hAnsi="Palatino Linotype" w:eastAsiaTheme="minorEastAsia"/>
          <w:color w:val="000000" w:themeColor="text1"/>
        </w:rPr>
        <w:t xml:space="preserve"> </w:t>
      </w:r>
      <w:r w:rsidRPr="002962EF" w:rsidR="00A81E55">
        <w:rPr>
          <w:rFonts w:ascii="Palatino Linotype" w:hAnsi="Palatino Linotype" w:eastAsiaTheme="minorEastAsia"/>
          <w:color w:val="000000" w:themeColor="text1"/>
        </w:rPr>
        <w:t xml:space="preserve">from </w:t>
      </w:r>
      <w:r w:rsidRPr="002962EF" w:rsidR="0010792B">
        <w:rPr>
          <w:rFonts w:ascii="Palatino Linotype" w:hAnsi="Palatino Linotype" w:eastAsiaTheme="minorEastAsia"/>
          <w:color w:val="000000" w:themeColor="text1"/>
        </w:rPr>
        <w:t>its</w:t>
      </w:r>
      <w:r w:rsidRPr="002962EF" w:rsidR="00E80599">
        <w:rPr>
          <w:rFonts w:ascii="Palatino Linotype" w:hAnsi="Palatino Linotype" w:eastAsiaTheme="minorEastAsia"/>
          <w:color w:val="000000" w:themeColor="text1"/>
        </w:rPr>
        <w:t xml:space="preserve"> most recent</w:t>
      </w:r>
      <w:r w:rsidRPr="002962EF" w:rsidR="00A81E55">
        <w:rPr>
          <w:rFonts w:ascii="Palatino Linotype" w:hAnsi="Palatino Linotype" w:eastAsiaTheme="minorEastAsia"/>
          <w:color w:val="000000" w:themeColor="text1"/>
        </w:rPr>
        <w:t xml:space="preserve"> Annual Report </w:t>
      </w:r>
      <w:r w:rsidRPr="002962EF" w:rsidR="00805397">
        <w:rPr>
          <w:rFonts w:ascii="Palatino Linotype" w:hAnsi="Palatino Linotype" w:eastAsiaTheme="minorEastAsia"/>
          <w:color w:val="000000" w:themeColor="text1"/>
        </w:rPr>
        <w:t xml:space="preserve">at the </w:t>
      </w:r>
      <w:r w:rsidR="00805397">
        <w:rPr>
          <w:rFonts w:ascii="Palatino Linotype" w:hAnsi="Palatino Linotype" w:eastAsiaTheme="minorEastAsia"/>
          <w:color w:val="0D0D0D" w:themeColor="text1" w:themeTint="F2"/>
        </w:rPr>
        <w:t>workshop</w:t>
      </w:r>
      <w:r w:rsidRPr="6697FF68" w:rsidR="4DCCB4D8">
        <w:rPr>
          <w:rFonts w:ascii="Palatino Linotype" w:hAnsi="Palatino Linotype" w:eastAsiaTheme="minorEastAsia"/>
          <w:color w:val="0D0D0D" w:themeColor="text1" w:themeTint="F2"/>
        </w:rPr>
        <w:t>.</w:t>
      </w:r>
      <w:r w:rsidRPr="0888A616" w:rsidR="003E00BD">
        <w:rPr>
          <w:rStyle w:val="FootnoteReference"/>
          <w:rFonts w:ascii="Palatino Linotype" w:hAnsi="Palatino Linotype" w:eastAsiaTheme="minorEastAsia"/>
          <w:color w:val="0D0D0D" w:themeColor="text1" w:themeTint="F2"/>
        </w:rPr>
        <w:footnoteReference w:id="100"/>
      </w:r>
    </w:p>
    <w:p w:rsidRPr="0076125D" w:rsidR="00D154FE" w:rsidP="00361AB6" w:rsidRDefault="00D154FE" w14:paraId="7E5B02E8" w14:textId="77777777">
      <w:pPr>
        <w:spacing w:after="0" w:line="276" w:lineRule="auto"/>
        <w:rPr>
          <w:rFonts w:ascii="Palatino Linotype" w:hAnsi="Palatino Linotype" w:eastAsia="Palatino Linotype" w:cs="Times New Roman"/>
          <w:color w:val="808080" w:themeColor="background1" w:themeShade="80"/>
          <w:kern w:val="0"/>
          <w14:ligatures w14:val="none"/>
        </w:rPr>
      </w:pPr>
    </w:p>
    <w:p w:rsidRPr="00144A5B" w:rsidR="00D154FE" w:rsidP="00F175EC" w:rsidRDefault="00D154FE" w14:paraId="048B8C33" w14:textId="4D69A90E">
      <w:pPr>
        <w:keepNext/>
        <w:spacing w:line="276" w:lineRule="auto"/>
        <w:rPr>
          <w:rFonts w:ascii="Palatino Linotype" w:hAnsi="Palatino Linotype" w:eastAsia="Palatino Linotype" w:cs="Times New Roman"/>
          <w:i/>
          <w:iCs/>
          <w:color w:val="000000" w:themeColor="text1"/>
          <w:kern w:val="0"/>
          <w14:ligatures w14:val="none"/>
        </w:rPr>
      </w:pPr>
      <w:r w:rsidRPr="00144A5B">
        <w:rPr>
          <w:rFonts w:ascii="Palatino Linotype" w:hAnsi="Palatino Linotype" w:eastAsia="Palatino Linotype" w:cs="Times New Roman"/>
          <w:i/>
          <w:iCs/>
          <w:color w:val="000000" w:themeColor="text1"/>
          <w:kern w:val="0"/>
          <w14:ligatures w14:val="none"/>
        </w:rPr>
        <w:lastRenderedPageBreak/>
        <w:t>Annual Plan Submittal</w:t>
      </w:r>
      <w:r w:rsidRPr="00144A5B" w:rsidR="006953E5">
        <w:rPr>
          <w:rFonts w:ascii="Palatino Linotype" w:hAnsi="Palatino Linotype" w:eastAsia="Palatino Linotype" w:cs="Times New Roman"/>
          <w:i/>
          <w:iCs/>
          <w:color w:val="000000" w:themeColor="text1"/>
          <w:kern w:val="0"/>
          <w14:ligatures w14:val="none"/>
        </w:rPr>
        <w:t xml:space="preserve"> &amp; Approval</w:t>
      </w:r>
    </w:p>
    <w:p w:rsidRPr="005445B3" w:rsidR="00222DEE" w:rsidP="00F175EC" w:rsidRDefault="0067356B" w14:paraId="124FB4C5" w14:textId="3B5FCED9">
      <w:pPr>
        <w:keepNext/>
        <w:spacing w:after="0" w:line="276" w:lineRule="auto"/>
        <w:rPr>
          <w:rFonts w:ascii="Palatino Linotype" w:hAnsi="Palatino Linotype" w:eastAsia="Palatino Linotype" w:cs="Times New Roman"/>
          <w:color w:val="0070C0"/>
        </w:rPr>
      </w:pPr>
      <w:r w:rsidRPr="002962EF">
        <w:rPr>
          <w:rFonts w:ascii="Palatino Linotype" w:hAnsi="Palatino Linotype" w:eastAsia="Palatino Linotype" w:cs="Times New Roman"/>
          <w:color w:val="000000" w:themeColor="text1"/>
        </w:rPr>
        <w:t xml:space="preserve">PG&amp;E </w:t>
      </w:r>
      <w:r w:rsidRPr="002962EF" w:rsidR="00D6632E">
        <w:rPr>
          <w:rFonts w:ascii="Palatino Linotype" w:hAnsi="Palatino Linotype" w:eastAsia="Palatino Linotype" w:cs="Times New Roman"/>
          <w:color w:val="000000" w:themeColor="text1"/>
        </w:rPr>
        <w:t xml:space="preserve">is required to </w:t>
      </w:r>
      <w:r w:rsidRPr="00A00C5A" w:rsidR="700F3D79">
        <w:rPr>
          <w:rFonts w:ascii="Palatino Linotype" w:hAnsi="Palatino Linotype" w:eastAsia="Palatino Linotype" w:cs="Times New Roman"/>
        </w:rPr>
        <w:t xml:space="preserve">submit proposed </w:t>
      </w:r>
      <w:r w:rsidRPr="00A00C5A">
        <w:rPr>
          <w:rFonts w:ascii="Palatino Linotype" w:hAnsi="Palatino Linotype" w:eastAsia="Palatino Linotype" w:cs="Times New Roman"/>
        </w:rPr>
        <w:t xml:space="preserve">Gas RD&amp;D </w:t>
      </w:r>
      <w:r w:rsidRPr="00A00C5A" w:rsidR="700F3D79">
        <w:rPr>
          <w:rFonts w:ascii="Palatino Linotype" w:hAnsi="Palatino Linotype" w:eastAsia="Palatino Linotype" w:cs="Times New Roman"/>
        </w:rPr>
        <w:t xml:space="preserve">Plans to the Commission via a Tier 3 Advice Letter (AL) </w:t>
      </w:r>
      <w:r w:rsidR="00B052DE">
        <w:rPr>
          <w:rFonts w:ascii="Palatino Linotype" w:hAnsi="Palatino Linotype" w:eastAsia="Palatino Linotype" w:cs="Times New Roman"/>
        </w:rPr>
        <w:t>by</w:t>
      </w:r>
      <w:r w:rsidRPr="00A00C5A" w:rsidR="700F3D79">
        <w:rPr>
          <w:rFonts w:ascii="Palatino Linotype" w:hAnsi="Palatino Linotype" w:eastAsia="Palatino Linotype" w:cs="Times New Roman"/>
        </w:rPr>
        <w:t xml:space="preserve"> </w:t>
      </w:r>
      <w:r w:rsidRPr="00A00C5A">
        <w:rPr>
          <w:rFonts w:ascii="Palatino Linotype" w:hAnsi="Palatino Linotype" w:eastAsia="Palatino Linotype" w:cs="Times New Roman"/>
        </w:rPr>
        <w:t>June 1</w:t>
      </w:r>
      <w:r w:rsidR="006D4B7F">
        <w:rPr>
          <w:rFonts w:ascii="Palatino Linotype" w:hAnsi="Palatino Linotype" w:eastAsia="Palatino Linotype" w:cs="Times New Roman"/>
        </w:rPr>
        <w:t xml:space="preserve"> </w:t>
      </w:r>
      <w:r w:rsidRPr="00A00C5A">
        <w:rPr>
          <w:rFonts w:ascii="Palatino Linotype" w:hAnsi="Palatino Linotype" w:eastAsia="Palatino Linotype" w:cs="Times New Roman"/>
        </w:rPr>
        <w:t>annually</w:t>
      </w:r>
      <w:r w:rsidR="004D4DE1">
        <w:rPr>
          <w:rFonts w:ascii="Palatino Linotype" w:hAnsi="Palatino Linotype" w:eastAsia="Palatino Linotype" w:cs="Times New Roman"/>
        </w:rPr>
        <w:t>.</w:t>
      </w:r>
      <w:r w:rsidR="006D4B7F">
        <w:rPr>
          <w:rStyle w:val="FootnoteReference"/>
          <w:rFonts w:ascii="Palatino Linotype" w:hAnsi="Palatino Linotype" w:eastAsia="Palatino Linotype" w:cs="Times New Roman"/>
        </w:rPr>
        <w:footnoteReference w:id="101"/>
      </w:r>
      <w:r w:rsidRPr="00A00C5A" w:rsidR="006D4B7F">
        <w:rPr>
          <w:rFonts w:ascii="Palatino Linotype" w:hAnsi="Palatino Linotype" w:eastAsia="Palatino Linotype" w:cs="Times New Roman"/>
        </w:rPr>
        <w:t xml:space="preserve"> </w:t>
      </w:r>
      <w:r w:rsidRPr="00571032" w:rsidR="00D266E5">
        <w:rPr>
          <w:rFonts w:ascii="Palatino Linotype" w:hAnsi="Palatino Linotype" w:eastAsia="Palatino Linotype" w:cs="Times New Roman"/>
          <w:color w:val="000000" w:themeColor="text1"/>
        </w:rPr>
        <w:t>PG&amp;E shall justify the total budget amount with specific citations including page numbers referring to Commission policies in which the budget or explicit escalation factor was approved. </w:t>
      </w:r>
      <w:r w:rsidR="00305B83">
        <w:rPr>
          <w:rFonts w:ascii="Palatino Linotype" w:hAnsi="Palatino Linotype" w:eastAsia="Palatino Linotype" w:cs="Times New Roman"/>
        </w:rPr>
        <w:t xml:space="preserve">PG&amp;E </w:t>
      </w:r>
      <w:r w:rsidRPr="00A00C5A" w:rsidR="700F3D79">
        <w:rPr>
          <w:rFonts w:ascii="Palatino Linotype" w:hAnsi="Palatino Linotype" w:eastAsia="Palatino Linotype" w:cs="Times New Roman"/>
        </w:rPr>
        <w:t xml:space="preserve">shall post proposed and approved Investment Plans publicly and </w:t>
      </w:r>
      <w:r w:rsidR="009E37C6">
        <w:rPr>
          <w:rFonts w:ascii="Palatino Linotype" w:hAnsi="Palatino Linotype" w:eastAsia="Palatino Linotype" w:cs="Times New Roman"/>
        </w:rPr>
        <w:t xml:space="preserve">easily </w:t>
      </w:r>
      <w:r w:rsidRPr="00A00C5A" w:rsidR="700F3D79">
        <w:rPr>
          <w:rFonts w:ascii="Palatino Linotype" w:hAnsi="Palatino Linotype" w:eastAsia="Palatino Linotype" w:cs="Times New Roman"/>
        </w:rPr>
        <w:t>accessib</w:t>
      </w:r>
      <w:r w:rsidR="00BA65BB">
        <w:rPr>
          <w:rFonts w:ascii="Palatino Linotype" w:hAnsi="Palatino Linotype" w:eastAsia="Palatino Linotype" w:cs="Times New Roman"/>
        </w:rPr>
        <w:t>le</w:t>
      </w:r>
      <w:r w:rsidRPr="00A00C5A" w:rsidR="700F3D79">
        <w:rPr>
          <w:rFonts w:ascii="Palatino Linotype" w:hAnsi="Palatino Linotype" w:eastAsia="Palatino Linotype" w:cs="Times New Roman"/>
        </w:rPr>
        <w:t xml:space="preserve"> on </w:t>
      </w:r>
      <w:r w:rsidR="008A233C">
        <w:rPr>
          <w:rFonts w:ascii="Palatino Linotype" w:hAnsi="Palatino Linotype" w:eastAsia="Palatino Linotype" w:cs="Times New Roman"/>
        </w:rPr>
        <w:t xml:space="preserve">its </w:t>
      </w:r>
      <w:r w:rsidRPr="00A00C5A" w:rsidR="700F3D79">
        <w:rPr>
          <w:rFonts w:ascii="Palatino Linotype" w:hAnsi="Palatino Linotype" w:eastAsia="Palatino Linotype" w:cs="Times New Roman"/>
        </w:rPr>
        <w:t>website</w:t>
      </w:r>
      <w:r w:rsidRPr="0A08E43A" w:rsidR="4F2E9949">
        <w:rPr>
          <w:rFonts w:ascii="Palatino Linotype" w:hAnsi="Palatino Linotype" w:eastAsia="Palatino Linotype" w:cs="Times New Roman"/>
        </w:rPr>
        <w:t xml:space="preserve"> and notify </w:t>
      </w:r>
      <w:r w:rsidR="00A11C9C">
        <w:rPr>
          <w:rFonts w:ascii="Palatino Linotype" w:hAnsi="Palatino Linotype" w:eastAsia="Palatino Linotype" w:cs="Times New Roman"/>
        </w:rPr>
        <w:t xml:space="preserve">the </w:t>
      </w:r>
      <w:r w:rsidRPr="0A08E43A" w:rsidR="4F2E9949">
        <w:rPr>
          <w:rFonts w:ascii="Palatino Linotype" w:hAnsi="Palatino Linotype" w:eastAsia="Palatino Linotype" w:cs="Times New Roman"/>
        </w:rPr>
        <w:t>CPUC of the web address</w:t>
      </w:r>
      <w:r w:rsidR="00523FD8">
        <w:rPr>
          <w:rFonts w:ascii="Palatino Linotype" w:hAnsi="Palatino Linotype" w:eastAsia="Palatino Linotype" w:cs="Times New Roman"/>
        </w:rPr>
        <w:t xml:space="preserve">; </w:t>
      </w:r>
      <w:r w:rsidR="00305B83">
        <w:rPr>
          <w:rFonts w:ascii="Palatino Linotype" w:hAnsi="Palatino Linotype" w:eastAsia="Palatino Linotype" w:cs="Times New Roman"/>
        </w:rPr>
        <w:t xml:space="preserve">PG&amp;E </w:t>
      </w:r>
      <w:r w:rsidRPr="00A00C5A" w:rsidR="700F3D79">
        <w:rPr>
          <w:rFonts w:ascii="Palatino Linotype" w:hAnsi="Palatino Linotype" w:eastAsia="Palatino Linotype" w:cs="Times New Roman"/>
        </w:rPr>
        <w:t xml:space="preserve">shall also coordinate with </w:t>
      </w:r>
      <w:r w:rsidR="00305B83">
        <w:rPr>
          <w:rFonts w:ascii="Palatino Linotype" w:hAnsi="Palatino Linotype" w:eastAsia="Palatino Linotype" w:cs="Times New Roman"/>
        </w:rPr>
        <w:t xml:space="preserve">other administrators </w:t>
      </w:r>
      <w:r w:rsidRPr="00A00C5A" w:rsidR="700F3D79">
        <w:rPr>
          <w:rFonts w:ascii="Palatino Linotype" w:hAnsi="Palatino Linotype" w:eastAsia="Palatino Linotype" w:cs="Times New Roman"/>
        </w:rPr>
        <w:t xml:space="preserve">to develop service lists of relevant ongoing CPUC Proceedings on which to serve Plans and consult with </w:t>
      </w:r>
      <w:r w:rsidR="00323A5F">
        <w:rPr>
          <w:rFonts w:ascii="Palatino Linotype" w:hAnsi="Palatino Linotype" w:eastAsia="Palatino Linotype" w:cs="Times New Roman"/>
        </w:rPr>
        <w:t xml:space="preserve">ED </w:t>
      </w:r>
      <w:r w:rsidR="00D17044">
        <w:rPr>
          <w:rFonts w:ascii="Palatino Linotype" w:hAnsi="Palatino Linotype" w:eastAsia="Palatino Linotype" w:cs="Times New Roman"/>
        </w:rPr>
        <w:t>staff</w:t>
      </w:r>
      <w:r w:rsidRPr="00A00C5A" w:rsidR="700F3D79">
        <w:rPr>
          <w:rFonts w:ascii="Palatino Linotype" w:hAnsi="Palatino Linotype" w:eastAsia="Palatino Linotype" w:cs="Times New Roman"/>
        </w:rPr>
        <w:t xml:space="preserve"> to ensure these lists are sufficient</w:t>
      </w:r>
      <w:r w:rsidR="003029E7">
        <w:rPr>
          <w:rFonts w:ascii="Palatino Linotype" w:hAnsi="Palatino Linotype" w:eastAsia="Palatino Linotype" w:cs="Times New Roman"/>
        </w:rPr>
        <w:t>.</w:t>
      </w:r>
      <w:r w:rsidR="00CD256A">
        <w:rPr>
          <w:rStyle w:val="FootnoteReference"/>
          <w:rFonts w:ascii="Palatino Linotype" w:hAnsi="Palatino Linotype" w:eastAsia="Palatino Linotype" w:cs="Times New Roman"/>
        </w:rPr>
        <w:footnoteReference w:id="102"/>
      </w:r>
      <w:r w:rsidRPr="003029E7" w:rsidR="700F3D79">
        <w:rPr>
          <w:rFonts w:ascii="Palatino Linotype" w:hAnsi="Palatino Linotype" w:eastAsia="Palatino Linotype" w:cs="Times New Roman"/>
          <w:color w:val="808080" w:themeColor="background1" w:themeShade="80"/>
        </w:rPr>
        <w:t xml:space="preserve"> </w:t>
      </w:r>
      <w:r w:rsidRPr="00A00C5A" w:rsidR="700F3D79">
        <w:rPr>
          <w:rFonts w:ascii="Palatino Linotype" w:hAnsi="Palatino Linotype" w:eastAsia="Palatino Linotype" w:cs="Times New Roman"/>
        </w:rPr>
        <w:t xml:space="preserve">The Plan </w:t>
      </w:r>
      <w:r w:rsidRPr="002962EF" w:rsidR="700F3D79">
        <w:rPr>
          <w:rFonts w:ascii="Palatino Linotype" w:hAnsi="Palatino Linotype" w:eastAsia="Palatino Linotype" w:cs="Times New Roman"/>
          <w:color w:val="000000" w:themeColor="text1"/>
        </w:rPr>
        <w:t xml:space="preserve">shall only become effective when the Commission adopts a </w:t>
      </w:r>
      <w:r w:rsidRPr="002962EF" w:rsidR="006953E5">
        <w:rPr>
          <w:rFonts w:ascii="Palatino Linotype" w:hAnsi="Palatino Linotype" w:eastAsia="Palatino Linotype" w:cs="Times New Roman"/>
          <w:color w:val="000000" w:themeColor="text1"/>
        </w:rPr>
        <w:t>R</w:t>
      </w:r>
      <w:r w:rsidRPr="002962EF" w:rsidR="700F3D79">
        <w:rPr>
          <w:rFonts w:ascii="Palatino Linotype" w:hAnsi="Palatino Linotype" w:eastAsia="Palatino Linotype" w:cs="Times New Roman"/>
          <w:color w:val="000000" w:themeColor="text1"/>
        </w:rPr>
        <w:t>esolution approving the Plan</w:t>
      </w:r>
      <w:r w:rsidR="00980CCF">
        <w:rPr>
          <w:rFonts w:ascii="Palatino Linotype" w:hAnsi="Palatino Linotype" w:eastAsia="Palatino Linotype" w:cs="Times New Roman"/>
          <w:color w:val="000000" w:themeColor="text1"/>
        </w:rPr>
        <w:t>,</w:t>
      </w:r>
      <w:r w:rsidRPr="002962EF" w:rsidR="006953E5">
        <w:rPr>
          <w:rStyle w:val="FootnoteReference"/>
          <w:rFonts w:ascii="Palatino Linotype" w:hAnsi="Palatino Linotype" w:eastAsia="Palatino Linotype" w:cs="Times New Roman"/>
          <w:color w:val="000000" w:themeColor="text1"/>
        </w:rPr>
        <w:footnoteReference w:id="103"/>
      </w:r>
      <w:r w:rsidRPr="002962EF" w:rsidR="00BE6330">
        <w:rPr>
          <w:rFonts w:ascii="Palatino Linotype" w:hAnsi="Palatino Linotype" w:eastAsia="Palatino Linotype" w:cs="Times New Roman"/>
          <w:color w:val="000000" w:themeColor="text1"/>
        </w:rPr>
        <w:t xml:space="preserve"> and </w:t>
      </w:r>
      <w:r w:rsidRPr="002962EF" w:rsidR="00BE6330">
        <w:rPr>
          <w:rFonts w:ascii="Palatino Linotype" w:hAnsi="Palatino Linotype"/>
          <w:color w:val="000000" w:themeColor="text1"/>
        </w:rPr>
        <w:t>PG&amp;E shall not record any Gas RD&amp;D program expenses in a one-way balancing account until an annual Tier 3 Advice Letter outlining its Gas RD&amp;D Budget Plan is approved.</w:t>
      </w:r>
      <w:r w:rsidRPr="002962EF" w:rsidR="00BE6330">
        <w:rPr>
          <w:rStyle w:val="FootnoteReference"/>
          <w:rFonts w:ascii="Palatino Linotype" w:hAnsi="Palatino Linotype"/>
          <w:color w:val="000000" w:themeColor="text1"/>
        </w:rPr>
        <w:footnoteReference w:id="104"/>
      </w:r>
      <w:r w:rsidRPr="002962EF" w:rsidR="00D94E60">
        <w:rPr>
          <w:rFonts w:ascii="Palatino Linotype" w:hAnsi="Palatino Linotype" w:eastAsia="Palatino Linotype" w:cs="Times New Roman"/>
          <w:color w:val="000000" w:themeColor="text1"/>
        </w:rPr>
        <w:t xml:space="preserve"> </w:t>
      </w:r>
      <w:r w:rsidRPr="002962EF" w:rsidR="00222DEE">
        <w:rPr>
          <w:rFonts w:ascii="Palatino Linotype" w:hAnsi="Palatino Linotype" w:eastAsia="Palatino Linotype" w:cs="Times New Roman"/>
          <w:color w:val="000000" w:themeColor="text1"/>
        </w:rPr>
        <w:t>PG</w:t>
      </w:r>
      <w:r w:rsidRPr="00F43E88" w:rsidR="00222DEE">
        <w:rPr>
          <w:rFonts w:ascii="Palatino Linotype" w:hAnsi="Palatino Linotype" w:eastAsia="Palatino Linotype" w:cs="Times New Roman"/>
          <w:color w:val="000000" w:themeColor="text1"/>
        </w:rPr>
        <w:t xml:space="preserve">&amp;E shall continue to consult CPUC </w:t>
      </w:r>
      <w:r w:rsidRPr="0039153B" w:rsidR="00222DEE">
        <w:rPr>
          <w:rFonts w:ascii="Palatino Linotype" w:hAnsi="Palatino Linotype" w:eastAsia="Palatino Linotype" w:cs="Times New Roman"/>
          <w:color w:val="000000" w:themeColor="text1"/>
        </w:rPr>
        <w:t xml:space="preserve">staff </w:t>
      </w:r>
      <w:r w:rsidRPr="0039153B" w:rsidR="00D94E60">
        <w:rPr>
          <w:rFonts w:ascii="Palatino Linotype" w:hAnsi="Palatino Linotype" w:eastAsia="Palatino Linotype" w:cs="Times New Roman"/>
          <w:color w:val="000000" w:themeColor="text1"/>
        </w:rPr>
        <w:t xml:space="preserve">on proposed uses of approved Gas RD&amp;D funds </w:t>
      </w:r>
      <w:r w:rsidRPr="00F43E88" w:rsidR="00222DEE">
        <w:rPr>
          <w:rFonts w:ascii="Palatino Linotype" w:hAnsi="Palatino Linotype" w:eastAsia="Palatino Linotype" w:cs="Times New Roman"/>
          <w:color w:val="000000" w:themeColor="text1"/>
        </w:rPr>
        <w:t xml:space="preserve">during Plan implementation to ensure ongoing </w:t>
      </w:r>
      <w:r w:rsidRPr="00F43E88" w:rsidR="0063339F">
        <w:rPr>
          <w:rFonts w:ascii="Palatino Linotype" w:hAnsi="Palatino Linotype" w:eastAsia="Palatino Linotype" w:cs="Times New Roman"/>
          <w:color w:val="000000" w:themeColor="text1"/>
        </w:rPr>
        <w:t>policy alignment and relevance.</w:t>
      </w:r>
    </w:p>
    <w:p w:rsidR="00B065CE" w:rsidP="00D339CF" w:rsidRDefault="00B065CE" w14:paraId="3CCB2ABE" w14:textId="77777777">
      <w:pPr>
        <w:spacing w:after="0" w:line="276" w:lineRule="auto"/>
        <w:rPr>
          <w:rFonts w:ascii="Palatino Linotype" w:hAnsi="Palatino Linotype" w:eastAsia="Palatino Linotype" w:cs="Times New Roman"/>
        </w:rPr>
      </w:pPr>
    </w:p>
    <w:p w:rsidRPr="00D339CF" w:rsidR="0089143B" w:rsidP="00F175EC" w:rsidRDefault="00FB3CA4" w14:paraId="4471345C" w14:textId="4C9922B0">
      <w:pPr>
        <w:spacing w:line="276" w:lineRule="auto"/>
        <w:rPr>
          <w:rFonts w:ascii="Palatino Linotype" w:hAnsi="Palatino Linotype" w:eastAsia="Palatino Linotype" w:cs="Times New Roman"/>
        </w:rPr>
      </w:pPr>
      <w:r w:rsidRPr="12A50C0D">
        <w:rPr>
          <w:rFonts w:ascii="Palatino Linotype" w:hAnsi="Palatino Linotype" w:eastAsia="Palatino Linotype" w:cs="Times New Roman"/>
        </w:rPr>
        <w:t>Required</w:t>
      </w:r>
      <w:r w:rsidRPr="00D339CF">
        <w:rPr>
          <w:rFonts w:ascii="Palatino Linotype" w:hAnsi="Palatino Linotype" w:eastAsia="Palatino Linotype" w:cs="Times New Roman"/>
        </w:rPr>
        <w:t xml:space="preserve"> i</w:t>
      </w:r>
      <w:r w:rsidRPr="00D339CF" w:rsidR="0032405D">
        <w:rPr>
          <w:rFonts w:ascii="Palatino Linotype" w:hAnsi="Palatino Linotype" w:eastAsia="Palatino Linotype" w:cs="Times New Roman"/>
        </w:rPr>
        <w:t>nformation on funds encumbered, spent, and unspent</w:t>
      </w:r>
      <w:r w:rsidRPr="004C683C" w:rsidR="008A1E43">
        <w:rPr>
          <w:rStyle w:val="FootnoteReference"/>
          <w:rFonts w:ascii="Palatino Linotype" w:hAnsi="Palatino Linotype" w:eastAsia="Palatino Linotype" w:cs="Times New Roman"/>
        </w:rPr>
        <w:footnoteReference w:id="105"/>
      </w:r>
      <w:r w:rsidRPr="00D339CF" w:rsidR="0032405D">
        <w:rPr>
          <w:rFonts w:ascii="Palatino Linotype" w:hAnsi="Palatino Linotype" w:eastAsia="Palatino Linotype" w:cs="Times New Roman"/>
        </w:rPr>
        <w:t xml:space="preserve"> should clearly identify the associated Initiative and approved Investment Plan</w:t>
      </w:r>
      <w:r w:rsidRPr="00D339CF" w:rsidR="005E5757">
        <w:rPr>
          <w:rFonts w:ascii="Palatino Linotype" w:hAnsi="Palatino Linotype" w:eastAsia="Palatino Linotype" w:cs="Times New Roman"/>
        </w:rPr>
        <w:t xml:space="preserve"> and include Program Administrative funds</w:t>
      </w:r>
      <w:r w:rsidRPr="00D339CF" w:rsidR="0032405D">
        <w:rPr>
          <w:rFonts w:ascii="Palatino Linotype" w:hAnsi="Palatino Linotype" w:eastAsia="Palatino Linotype" w:cs="Times New Roman"/>
        </w:rPr>
        <w:t>.</w:t>
      </w:r>
      <w:r w:rsidRPr="00D339CF" w:rsidR="00BA2AC9">
        <w:rPr>
          <w:rFonts w:ascii="Palatino Linotype" w:hAnsi="Palatino Linotype" w:eastAsia="Palatino Linotype" w:cs="Times New Roman"/>
        </w:rPr>
        <w:t xml:space="preserve"> </w:t>
      </w:r>
      <w:r w:rsidR="00323A5F">
        <w:rPr>
          <w:rFonts w:ascii="Palatino Linotype" w:hAnsi="Palatino Linotype" w:eastAsia="Palatino Linotype" w:cs="Times New Roman"/>
        </w:rPr>
        <w:t>ED</w:t>
      </w:r>
      <w:r w:rsidRPr="00D339CF" w:rsidR="003837D0">
        <w:rPr>
          <w:rFonts w:ascii="Palatino Linotype" w:hAnsi="Palatino Linotype" w:eastAsia="Palatino Linotype" w:cs="Times New Roman"/>
        </w:rPr>
        <w:t xml:space="preserve"> </w:t>
      </w:r>
      <w:r w:rsidRPr="12A50C0D" w:rsidR="0032339E">
        <w:rPr>
          <w:rFonts w:ascii="Palatino Linotype" w:hAnsi="Palatino Linotype" w:eastAsia="Palatino Linotype" w:cs="Times New Roman"/>
        </w:rPr>
        <w:t>s</w:t>
      </w:r>
      <w:r w:rsidRPr="00D339CF" w:rsidR="00D17044">
        <w:rPr>
          <w:rFonts w:ascii="Palatino Linotype" w:hAnsi="Palatino Linotype" w:eastAsia="Palatino Linotype" w:cs="Times New Roman"/>
        </w:rPr>
        <w:t>taff</w:t>
      </w:r>
      <w:r w:rsidRPr="00D339CF" w:rsidR="003837D0">
        <w:rPr>
          <w:rFonts w:ascii="Palatino Linotype" w:hAnsi="Palatino Linotype" w:eastAsia="Palatino Linotype" w:cs="Times New Roman"/>
        </w:rPr>
        <w:t xml:space="preserve"> may provide additional guidance </w:t>
      </w:r>
      <w:r w:rsidRPr="00D339CF">
        <w:rPr>
          <w:rFonts w:ascii="Palatino Linotype" w:hAnsi="Palatino Linotype" w:eastAsia="Palatino Linotype" w:cs="Times New Roman"/>
        </w:rPr>
        <w:t xml:space="preserve">to facilitate </w:t>
      </w:r>
      <w:r w:rsidRPr="00D339CF" w:rsidR="00961F10">
        <w:rPr>
          <w:rFonts w:ascii="Palatino Linotype" w:hAnsi="Palatino Linotype" w:eastAsia="Palatino Linotype" w:cs="Times New Roman"/>
        </w:rPr>
        <w:t>effective reporting of this information.</w:t>
      </w:r>
    </w:p>
    <w:p w:rsidR="0097070F" w:rsidP="0097070F" w:rsidRDefault="0097070F" w14:paraId="4F0CC89B" w14:textId="77777777">
      <w:pPr>
        <w:spacing w:after="0" w:line="276" w:lineRule="auto"/>
        <w:rPr>
          <w:rFonts w:ascii="Palatino Linotype" w:hAnsi="Palatino Linotype" w:eastAsia="Palatino Linotype" w:cs="Times New Roman"/>
          <w:color w:val="808080" w:themeColor="background1" w:themeShade="80"/>
        </w:rPr>
      </w:pPr>
    </w:p>
    <w:p w:rsidRPr="00BF3A59" w:rsidR="0097070F" w:rsidP="0097070F" w:rsidRDefault="0097070F" w14:paraId="3878B0AF" w14:textId="46E73F62">
      <w:pPr>
        <w:spacing w:line="276" w:lineRule="auto"/>
        <w:rPr>
          <w:rFonts w:ascii="Palatino Linotype" w:hAnsi="Palatino Linotype" w:eastAsia="Palatino Linotype" w:cs="Times New Roman"/>
          <w:u w:val="single"/>
        </w:rPr>
      </w:pPr>
      <w:r w:rsidRPr="44DB393B">
        <w:rPr>
          <w:rFonts w:ascii="Palatino Linotype" w:hAnsi="Palatino Linotype" w:eastAsia="Palatino Linotype" w:cs="Times New Roman"/>
          <w:u w:val="single"/>
        </w:rPr>
        <w:t>Encumbrance Periods</w:t>
      </w:r>
    </w:p>
    <w:p w:rsidRPr="004A73BF" w:rsidR="0097070F" w:rsidP="00361AB6" w:rsidRDefault="0097070F" w14:paraId="33679EB2" w14:textId="51776D60">
      <w:pPr>
        <w:spacing w:after="0" w:line="276" w:lineRule="auto"/>
        <w:rPr>
          <w:rFonts w:ascii="Palatino Linotype" w:hAnsi="Palatino Linotype" w:eastAsia="Palatino Linotype" w:cs="Times New Roman"/>
        </w:rPr>
      </w:pPr>
      <w:r w:rsidRPr="002962EF">
        <w:rPr>
          <w:rFonts w:ascii="Palatino Linotype" w:hAnsi="Palatino Linotype" w:eastAsia="Palatino Linotype" w:cs="Times New Roman"/>
          <w:color w:val="000000" w:themeColor="text1"/>
        </w:rPr>
        <w:t xml:space="preserve">PG&amp;E </w:t>
      </w:r>
      <w:r w:rsidRPr="002962EF" w:rsidR="00645175">
        <w:rPr>
          <w:rFonts w:ascii="Palatino Linotype" w:hAnsi="Palatino Linotype" w:eastAsia="Palatino Linotype" w:cs="Times New Roman"/>
          <w:color w:val="000000" w:themeColor="text1"/>
        </w:rPr>
        <w:t>must</w:t>
      </w:r>
      <w:r w:rsidRPr="002962EF" w:rsidR="0092345D">
        <w:rPr>
          <w:rFonts w:ascii="Palatino Linotype" w:hAnsi="Palatino Linotype" w:eastAsia="Palatino Linotype" w:cs="Times New Roman"/>
          <w:color w:val="000000" w:themeColor="text1"/>
        </w:rPr>
        <w:t xml:space="preserve"> </w:t>
      </w:r>
      <w:r w:rsidRPr="002962EF">
        <w:rPr>
          <w:rFonts w:ascii="Palatino Linotype" w:hAnsi="Palatino Linotype" w:eastAsia="Palatino Linotype" w:cs="Times New Roman"/>
          <w:color w:val="000000" w:themeColor="text1"/>
        </w:rPr>
        <w:t>return unspent funds</w:t>
      </w:r>
      <w:r w:rsidR="008D05B6">
        <w:rPr>
          <w:rStyle w:val="FootnoteReference"/>
          <w:rFonts w:ascii="Palatino Linotype" w:hAnsi="Palatino Linotype" w:eastAsia="Palatino Linotype" w:cs="Times New Roman"/>
          <w:color w:val="000000" w:themeColor="text1"/>
        </w:rPr>
        <w:footnoteReference w:id="106"/>
      </w:r>
      <w:r w:rsidRPr="002962EF">
        <w:rPr>
          <w:rFonts w:ascii="Palatino Linotype" w:hAnsi="Palatino Linotype" w:eastAsia="Palatino Linotype" w:cs="Times New Roman"/>
          <w:color w:val="000000" w:themeColor="text1"/>
        </w:rPr>
        <w:t xml:space="preserve"> </w:t>
      </w:r>
      <w:r w:rsidRPr="002962EF" w:rsidR="00645175">
        <w:rPr>
          <w:rFonts w:ascii="Palatino Linotype" w:hAnsi="Palatino Linotype" w:eastAsia="Palatino Linotype" w:cs="Times New Roman"/>
          <w:color w:val="000000" w:themeColor="text1"/>
        </w:rPr>
        <w:t xml:space="preserve">in the Gas Research and Development (R&amp;D) and Deployment Balancing Account (GRDDBA) </w:t>
      </w:r>
      <w:r w:rsidRPr="002962EF">
        <w:rPr>
          <w:rFonts w:ascii="Palatino Linotype" w:hAnsi="Palatino Linotype" w:eastAsia="Palatino Linotype" w:cs="Times New Roman"/>
          <w:color w:val="000000" w:themeColor="text1"/>
        </w:rPr>
        <w:t xml:space="preserve">to ratepayers at the close of </w:t>
      </w:r>
      <w:r w:rsidRPr="002962EF" w:rsidR="00645175">
        <w:rPr>
          <w:rFonts w:ascii="Palatino Linotype" w:hAnsi="Palatino Linotype" w:eastAsia="Palatino Linotype" w:cs="Times New Roman"/>
          <w:color w:val="000000" w:themeColor="text1"/>
        </w:rPr>
        <w:t>the 2023</w:t>
      </w:r>
      <w:r w:rsidRPr="002962EF">
        <w:rPr>
          <w:rFonts w:ascii="Palatino Linotype" w:hAnsi="Palatino Linotype" w:eastAsia="Palatino Linotype" w:cs="Times New Roman"/>
          <w:color w:val="000000" w:themeColor="text1"/>
        </w:rPr>
        <w:t xml:space="preserve"> GRC </w:t>
      </w:r>
      <w:r w:rsidRPr="002962EF">
        <w:rPr>
          <w:rFonts w:ascii="Palatino Linotype" w:hAnsi="Palatino Linotype" w:eastAsia="Palatino Linotype" w:cs="Times New Roman"/>
          <w:color w:val="000000" w:themeColor="text1"/>
        </w:rPr>
        <w:lastRenderedPageBreak/>
        <w:t>funding cycle</w:t>
      </w:r>
      <w:r w:rsidR="00DB6937">
        <w:rPr>
          <w:rFonts w:ascii="Palatino Linotype" w:hAnsi="Palatino Linotype" w:eastAsia="Palatino Linotype" w:cs="Times New Roman"/>
          <w:color w:val="000000" w:themeColor="text1"/>
        </w:rPr>
        <w:t xml:space="preserve">, </w:t>
      </w:r>
      <w:r w:rsidR="00DB6937">
        <w:rPr>
          <w:rFonts w:ascii="Palatino Linotype" w:hAnsi="Palatino Linotype" w:eastAsia="Palatino Linotype" w:cs="Palatino Linotype"/>
          <w:color w:val="000000" w:themeColor="text1"/>
        </w:rPr>
        <w:t>by December 31, 2026.</w:t>
      </w:r>
      <w:r w:rsidRPr="002962EF">
        <w:rPr>
          <w:rStyle w:val="FootnoteReference"/>
          <w:rFonts w:ascii="Palatino Linotype" w:hAnsi="Palatino Linotype" w:eastAsia="Palatino Linotype" w:cs="Times New Roman"/>
          <w:color w:val="000000" w:themeColor="text1"/>
        </w:rPr>
        <w:footnoteReference w:id="107"/>
      </w:r>
      <w:r w:rsidRPr="002962EF">
        <w:rPr>
          <w:rFonts w:ascii="Palatino Linotype" w:hAnsi="Palatino Linotype" w:eastAsia="Palatino Linotype" w:cs="Times New Roman"/>
          <w:color w:val="000000" w:themeColor="text1"/>
        </w:rPr>
        <w:t xml:space="preserve"> </w:t>
      </w:r>
      <w:r w:rsidRPr="00BF3A59">
        <w:rPr>
          <w:rFonts w:ascii="Palatino Linotype" w:hAnsi="Palatino Linotype" w:eastAsia="Palatino Linotype" w:cs="Times New Roman"/>
        </w:rPr>
        <w:t xml:space="preserve">Proactive coordination on proposed Plans via pre-submittal Consultation with CPUC </w:t>
      </w:r>
      <w:r w:rsidR="0032339E">
        <w:rPr>
          <w:rFonts w:ascii="Palatino Linotype" w:hAnsi="Palatino Linotype" w:eastAsia="Palatino Linotype" w:cs="Times New Roman"/>
        </w:rPr>
        <w:t>s</w:t>
      </w:r>
      <w:r w:rsidR="00D17044">
        <w:rPr>
          <w:rFonts w:ascii="Palatino Linotype" w:hAnsi="Palatino Linotype" w:eastAsia="Palatino Linotype" w:cs="Times New Roman"/>
        </w:rPr>
        <w:t>taff</w:t>
      </w:r>
      <w:r w:rsidRPr="00BF3A59">
        <w:rPr>
          <w:rFonts w:ascii="Palatino Linotype" w:hAnsi="Palatino Linotype" w:eastAsia="Palatino Linotype" w:cs="Times New Roman"/>
        </w:rPr>
        <w:t xml:space="preserve"> promotes </w:t>
      </w:r>
      <w:r w:rsidRPr="00C615BE">
        <w:rPr>
          <w:rFonts w:ascii="Palatino Linotype" w:hAnsi="Palatino Linotype" w:eastAsia="Palatino Linotype" w:cs="Times New Roman"/>
          <w:color w:val="000000" w:themeColor="text1"/>
        </w:rPr>
        <w:t xml:space="preserve">alignment with </w:t>
      </w:r>
      <w:r w:rsidRPr="00C615BE">
        <w:rPr>
          <w:rFonts w:ascii="Palatino Linotype" w:hAnsi="Palatino Linotype"/>
          <w:color w:val="000000" w:themeColor="text1"/>
        </w:rPr>
        <w:t>CPUC Policies and Proceedings and efficiencies in Plan review and approval to best utilize the permitted encumbrance period</w:t>
      </w:r>
      <w:r w:rsidRPr="00C615BE">
        <w:rPr>
          <w:rFonts w:ascii="Palatino Linotype" w:hAnsi="Palatino Linotype" w:eastAsia="Century Gothic" w:cs="Century Gothic"/>
          <w:color w:val="000000" w:themeColor="text1"/>
        </w:rPr>
        <w:t>.</w:t>
      </w:r>
      <w:r>
        <w:rPr>
          <w:rFonts w:ascii="Palatino Linotype" w:hAnsi="Palatino Linotype"/>
        </w:rPr>
        <w:t xml:space="preserve"> </w:t>
      </w:r>
      <w:r w:rsidRPr="004A73BF">
        <w:rPr>
          <w:rFonts w:ascii="Palatino Linotype" w:hAnsi="Palatino Linotype" w:eastAsia="Palatino Linotype" w:cs="Times New Roman"/>
          <w:color w:val="000000" w:themeColor="text1"/>
        </w:rPr>
        <w:t>Limited encumbrance period</w:t>
      </w:r>
      <w:r w:rsidR="00600AB2">
        <w:rPr>
          <w:rFonts w:ascii="Palatino Linotype" w:hAnsi="Palatino Linotype" w:eastAsia="Palatino Linotype" w:cs="Times New Roman"/>
          <w:color w:val="000000" w:themeColor="text1"/>
        </w:rPr>
        <w:t xml:space="preserve">s </w:t>
      </w:r>
      <w:r w:rsidRPr="004A73BF">
        <w:rPr>
          <w:rFonts w:ascii="Palatino Linotype" w:hAnsi="Palatino Linotype" w:eastAsia="Palatino Linotype" w:cs="Times New Roman"/>
          <w:color w:val="000000" w:themeColor="text1"/>
        </w:rPr>
        <w:t>allow Gas RD&amp;D investments to be responsive to evolving research, technology, and market conditions and needs and promote timely innovation</w:t>
      </w:r>
      <w:r w:rsidR="00BB50C0">
        <w:rPr>
          <w:rFonts w:ascii="Palatino Linotype" w:hAnsi="Palatino Linotype" w:eastAsia="Palatino Linotype" w:cs="Times New Roman"/>
          <w:color w:val="000000" w:themeColor="text1"/>
        </w:rPr>
        <w:t xml:space="preserve"> as well as ratepayer benefit</w:t>
      </w:r>
      <w:r w:rsidRPr="004A73BF">
        <w:rPr>
          <w:rFonts w:ascii="Palatino Linotype" w:hAnsi="Palatino Linotype" w:eastAsia="Palatino Linotype" w:cs="Times New Roman"/>
          <w:color w:val="000000" w:themeColor="text1"/>
        </w:rPr>
        <w:t>.</w:t>
      </w:r>
    </w:p>
    <w:p w:rsidRPr="00DD53F5" w:rsidR="0097070F" w:rsidP="00361AB6" w:rsidRDefault="0097070F" w14:paraId="132790A2" w14:textId="77777777">
      <w:pPr>
        <w:spacing w:after="0" w:line="276" w:lineRule="auto"/>
        <w:rPr>
          <w:rFonts w:ascii="Palatino Linotype" w:hAnsi="Palatino Linotype" w:eastAsia="Palatino Linotype" w:cs="Times New Roman"/>
          <w:i/>
          <w:iCs/>
          <w:color w:val="000000" w:themeColor="text1"/>
        </w:rPr>
      </w:pPr>
    </w:p>
    <w:p w:rsidR="7679E302" w:rsidP="2C86C3FD" w:rsidRDefault="7679E302" w14:paraId="41ACBD3E" w14:textId="6D1E2305">
      <w:pPr>
        <w:spacing w:before="240" w:after="0" w:line="276" w:lineRule="auto"/>
        <w:rPr>
          <w:rFonts w:ascii="Palatino Linotype" w:hAnsi="Palatino Linotype" w:eastAsia="Palatino Linotype" w:cs="Times New Roman"/>
          <w:b/>
          <w:bCs/>
          <w:color w:val="000000" w:themeColor="text1"/>
        </w:rPr>
      </w:pPr>
      <w:r w:rsidRPr="2C86C3FD">
        <w:rPr>
          <w:rFonts w:ascii="Palatino Linotype" w:hAnsi="Palatino Linotype" w:eastAsia="Palatino Linotype" w:cs="Times New Roman"/>
          <w:b/>
          <w:bCs/>
          <w:color w:val="000000" w:themeColor="text1"/>
        </w:rPr>
        <w:t>Additional Program Modifications</w:t>
      </w:r>
    </w:p>
    <w:p w:rsidR="2C86C3FD" w:rsidP="2C86C3FD" w:rsidRDefault="2C86C3FD" w14:paraId="2A9F1E8F" w14:textId="77777777">
      <w:pPr>
        <w:spacing w:after="0" w:line="276" w:lineRule="auto"/>
        <w:rPr>
          <w:rFonts w:ascii="Palatino Linotype" w:hAnsi="Palatino Linotype" w:eastAsia="Palatino Linotype" w:cs="Times New Roman"/>
          <w:i/>
          <w:iCs/>
          <w:color w:val="000000" w:themeColor="text1"/>
        </w:rPr>
      </w:pPr>
    </w:p>
    <w:p w:rsidR="0C288E53" w:rsidP="002953F8" w:rsidRDefault="2A6F3C42" w14:paraId="06DE9FE8" w14:textId="5C030104">
      <w:pPr>
        <w:spacing w:line="276" w:lineRule="auto"/>
        <w:rPr>
          <w:rFonts w:ascii="Palatino Linotype" w:hAnsi="Palatino Linotype" w:eastAsia="Palatino Linotype" w:cs="Times New Roman"/>
          <w:color w:val="000000" w:themeColor="text1"/>
          <w:u w:val="single"/>
        </w:rPr>
      </w:pPr>
      <w:r w:rsidRPr="11A5C642">
        <w:rPr>
          <w:rFonts w:ascii="Palatino Linotype" w:hAnsi="Palatino Linotype" w:eastAsia="Palatino Linotype" w:cs="Times New Roman"/>
          <w:color w:val="000000" w:themeColor="text1"/>
          <w:u w:val="single"/>
        </w:rPr>
        <w:t xml:space="preserve">Oversight </w:t>
      </w:r>
      <w:r w:rsidRPr="0C288E53">
        <w:rPr>
          <w:rFonts w:ascii="Palatino Linotype" w:hAnsi="Palatino Linotype" w:eastAsia="Palatino Linotype" w:cs="Times New Roman"/>
          <w:color w:val="000000" w:themeColor="text1"/>
          <w:u w:val="single"/>
        </w:rPr>
        <w:t>Funds</w:t>
      </w:r>
    </w:p>
    <w:p w:rsidRPr="00B80F1F" w:rsidR="00B80F1F" w:rsidP="00B80F1F" w:rsidRDefault="25D5FF1F" w14:paraId="219EF442" w14:textId="326EFD4B">
      <w:pPr>
        <w:spacing w:after="0" w:line="276" w:lineRule="auto"/>
        <w:rPr>
          <w:rFonts w:ascii="Palatino Linotype" w:hAnsi="Palatino Linotype" w:eastAsia="Palatino Linotype" w:cs="Times New Roman"/>
          <w:color w:val="0070C0"/>
        </w:rPr>
      </w:pPr>
      <w:r w:rsidRPr="5C91342C">
        <w:rPr>
          <w:rFonts w:ascii="Palatino Linotype" w:hAnsi="Palatino Linotype" w:eastAsia="Palatino Linotype" w:cs="Times New Roman"/>
          <w:color w:val="000000" w:themeColor="text1"/>
        </w:rPr>
        <w:t xml:space="preserve">The Commission has directed each </w:t>
      </w:r>
      <w:r w:rsidRPr="5C91342C" w:rsidR="5C85B908">
        <w:rPr>
          <w:rFonts w:ascii="Palatino Linotype" w:hAnsi="Palatino Linotype" w:eastAsia="Palatino Linotype" w:cs="Times New Roman"/>
          <w:color w:val="000000" w:themeColor="text1"/>
        </w:rPr>
        <w:t>Gas RD&amp;D administrator</w:t>
      </w:r>
      <w:r w:rsidR="00C34CB1">
        <w:rPr>
          <w:rFonts w:ascii="Palatino Linotype" w:hAnsi="Palatino Linotype" w:eastAsia="Palatino Linotype" w:cs="Times New Roman"/>
          <w:color w:val="000000" w:themeColor="text1"/>
        </w:rPr>
        <w:t>, including PG&amp;E,</w:t>
      </w:r>
      <w:r w:rsidRPr="5C91342C" w:rsidR="5C85B908">
        <w:rPr>
          <w:rFonts w:ascii="Palatino Linotype" w:hAnsi="Palatino Linotype" w:eastAsia="Palatino Linotype" w:cs="Times New Roman"/>
          <w:color w:val="000000" w:themeColor="text1"/>
        </w:rPr>
        <w:t xml:space="preserve"> to allocate</w:t>
      </w:r>
      <w:r w:rsidRPr="5C91342C" w:rsidR="6853FB67">
        <w:rPr>
          <w:rFonts w:ascii="Palatino Linotype" w:hAnsi="Palatino Linotype" w:eastAsia="Palatino Linotype" w:cs="Times New Roman"/>
          <w:color w:val="000000" w:themeColor="text1"/>
        </w:rPr>
        <w:t xml:space="preserve"> funds </w:t>
      </w:r>
      <w:r w:rsidRPr="00B80F1F" w:rsidR="6853FB67">
        <w:rPr>
          <w:rFonts w:ascii="Palatino Linotype" w:hAnsi="Palatino Linotype" w:eastAsia="Palatino Linotype" w:cs="Times New Roman"/>
          <w:color w:val="000000" w:themeColor="text1"/>
        </w:rPr>
        <w:t xml:space="preserve">towards </w:t>
      </w:r>
      <w:r w:rsidRPr="00B80F1F" w:rsidR="1BBBB205">
        <w:rPr>
          <w:rFonts w:ascii="Palatino Linotype" w:hAnsi="Palatino Linotype" w:eastAsia="Palatino Linotype" w:cs="Times New Roman"/>
          <w:color w:val="000000" w:themeColor="text1"/>
        </w:rPr>
        <w:t>its</w:t>
      </w:r>
      <w:r w:rsidRPr="00B80F1F" w:rsidR="6853FB67">
        <w:rPr>
          <w:rFonts w:ascii="Palatino Linotype" w:hAnsi="Palatino Linotype" w:eastAsia="Palatino Linotype" w:cs="Times New Roman"/>
          <w:color w:val="000000" w:themeColor="text1"/>
        </w:rPr>
        <w:t xml:space="preserve"> proportional share</w:t>
      </w:r>
      <w:r w:rsidRPr="00B80F1F" w:rsidR="00E82239">
        <w:rPr>
          <w:rFonts w:ascii="Palatino Linotype" w:hAnsi="Palatino Linotype" w:eastAsia="Palatino Linotype" w:cs="Times New Roman"/>
          <w:color w:val="000000" w:themeColor="text1"/>
        </w:rPr>
        <w:t xml:space="preserve"> </w:t>
      </w:r>
      <w:r w:rsidRPr="00B80F1F" w:rsidR="6853FB67">
        <w:rPr>
          <w:rFonts w:ascii="Palatino Linotype" w:hAnsi="Palatino Linotype" w:eastAsia="Palatino Linotype" w:cs="Times New Roman"/>
          <w:color w:val="000000" w:themeColor="text1"/>
        </w:rPr>
        <w:t xml:space="preserve">of a </w:t>
      </w:r>
      <w:r w:rsidRPr="00B80F1F" w:rsidR="5EA45F07">
        <w:rPr>
          <w:rFonts w:ascii="Palatino Linotype" w:hAnsi="Palatino Linotype" w:eastAsia="Palatino Linotype" w:cs="Times New Roman"/>
          <w:color w:val="000000" w:themeColor="text1"/>
        </w:rPr>
        <w:t xml:space="preserve">Gas RD&amp;D </w:t>
      </w:r>
      <w:r w:rsidRPr="00B80F1F" w:rsidR="6853FB67">
        <w:rPr>
          <w:rFonts w:ascii="Palatino Linotype" w:hAnsi="Palatino Linotype" w:eastAsia="Palatino Linotype" w:cs="Times New Roman"/>
          <w:color w:val="000000" w:themeColor="text1"/>
        </w:rPr>
        <w:t>Program Evaluation</w:t>
      </w:r>
      <w:r w:rsidRPr="00B80F1F">
        <w:rPr>
          <w:rStyle w:val="FootnoteReference"/>
          <w:rFonts w:ascii="Palatino Linotype" w:hAnsi="Palatino Linotype" w:eastAsia="Palatino Linotype" w:cs="Times New Roman"/>
          <w:color w:val="000000" w:themeColor="text1"/>
        </w:rPr>
        <w:footnoteReference w:id="108"/>
      </w:r>
      <w:r w:rsidRPr="00B80F1F" w:rsidR="6853FB67">
        <w:rPr>
          <w:rFonts w:ascii="Palatino Linotype" w:hAnsi="Palatino Linotype" w:eastAsia="Palatino Linotype" w:cs="Times New Roman"/>
          <w:color w:val="000000" w:themeColor="text1"/>
        </w:rPr>
        <w:t xml:space="preserve"> </w:t>
      </w:r>
      <w:r w:rsidRPr="00B80F1F" w:rsidR="00F8560F">
        <w:rPr>
          <w:rFonts w:ascii="Palatino Linotype" w:hAnsi="Palatino Linotype" w:eastAsia="Palatino Linotype" w:cs="Times New Roman"/>
          <w:color w:val="000000" w:themeColor="text1"/>
        </w:rPr>
        <w:t xml:space="preserve">to </w:t>
      </w:r>
      <w:r w:rsidRPr="00B80F1F" w:rsidR="001C140E">
        <w:rPr>
          <w:rFonts w:ascii="Palatino Linotype" w:hAnsi="Palatino Linotype" w:eastAsia="Palatino Linotype" w:cs="Times New Roman"/>
          <w:color w:val="000000" w:themeColor="text1"/>
        </w:rPr>
        <w:t xml:space="preserve">be implemented by </w:t>
      </w:r>
      <w:r w:rsidRPr="00B80F1F" w:rsidR="00323A5F">
        <w:rPr>
          <w:rFonts w:ascii="Palatino Linotype" w:hAnsi="Palatino Linotype" w:eastAsia="Palatino Linotype" w:cs="Times New Roman"/>
          <w:color w:val="000000" w:themeColor="text1"/>
        </w:rPr>
        <w:t>ED</w:t>
      </w:r>
      <w:r w:rsidRPr="00B80F1F" w:rsidR="005565E1">
        <w:rPr>
          <w:rFonts w:ascii="Palatino Linotype" w:hAnsi="Palatino Linotype" w:eastAsia="Palatino Linotype" w:cs="Times New Roman"/>
          <w:color w:val="000000" w:themeColor="text1"/>
        </w:rPr>
        <w:t xml:space="preserve">. </w:t>
      </w:r>
      <w:r w:rsidRPr="00B80F1F" w:rsidR="00B80F1F">
        <w:rPr>
          <w:rFonts w:ascii="Palatino Linotype" w:hAnsi="Palatino Linotype" w:eastAsia="Palatino Linotype" w:cs="Times New Roman"/>
          <w:color w:val="000000" w:themeColor="text1"/>
        </w:rPr>
        <w:t>ED shall advise PG&amp;E on any reimbursement process to support a consolidated, comprehensive Independent Program Evaluation across all Gas RD&amp;D administrators to create efficiencies and improve transparency regarding the use of ratepayer funds.</w:t>
      </w:r>
    </w:p>
    <w:p w:rsidR="00710DB2" w:rsidP="5C91342C" w:rsidRDefault="00710DB2" w14:paraId="68E9A230" w14:textId="77777777">
      <w:pPr>
        <w:spacing w:after="0" w:line="276" w:lineRule="auto"/>
        <w:rPr>
          <w:rFonts w:ascii="Palatino Linotype" w:hAnsi="Palatino Linotype" w:eastAsia="Palatino Linotype" w:cs="Times New Roman"/>
          <w:color w:val="000000" w:themeColor="text1"/>
        </w:rPr>
      </w:pPr>
    </w:p>
    <w:p w:rsidRPr="00F07F2F" w:rsidR="00423D32" w:rsidP="5C91342C" w:rsidRDefault="00AD5DDE" w14:paraId="51706C33" w14:textId="09905F2A">
      <w:pPr>
        <w:spacing w:after="0" w:line="276" w:lineRule="auto"/>
        <w:rPr>
          <w:rFonts w:ascii="Palatino Linotype" w:hAnsi="Palatino Linotype" w:eastAsia="Palatino Linotype" w:cs="Times New Roman"/>
          <w:color w:val="000000" w:themeColor="text1"/>
        </w:rPr>
      </w:pPr>
      <w:r>
        <w:rPr>
          <w:rFonts w:ascii="Palatino Linotype" w:hAnsi="Palatino Linotype" w:eastAsia="Palatino Linotype" w:cs="Times New Roman"/>
          <w:color w:val="000000" w:themeColor="text1"/>
        </w:rPr>
        <w:t xml:space="preserve">The Commission </w:t>
      </w:r>
      <w:r w:rsidRPr="00B80F1F">
        <w:rPr>
          <w:rFonts w:ascii="Palatino Linotype" w:hAnsi="Palatino Linotype" w:eastAsia="Palatino Linotype" w:cs="Times New Roman"/>
          <w:color w:val="000000" w:themeColor="text1"/>
        </w:rPr>
        <w:t xml:space="preserve">has </w:t>
      </w:r>
      <w:r w:rsidRPr="00B80F1F" w:rsidR="008A57E8">
        <w:rPr>
          <w:rFonts w:ascii="Palatino Linotype" w:hAnsi="Palatino Linotype" w:eastAsia="Palatino Linotype" w:cs="Times New Roman"/>
          <w:color w:val="000000" w:themeColor="text1"/>
        </w:rPr>
        <w:t xml:space="preserve">also directed PG&amp;E </w:t>
      </w:r>
      <w:r w:rsidRPr="00B80F1F">
        <w:rPr>
          <w:rFonts w:ascii="Palatino Linotype" w:hAnsi="Palatino Linotype" w:eastAsia="Palatino Linotype" w:cs="Times New Roman"/>
          <w:color w:val="000000" w:themeColor="text1"/>
        </w:rPr>
        <w:t xml:space="preserve">to </w:t>
      </w:r>
      <w:r w:rsidRPr="5C91342C">
        <w:rPr>
          <w:rFonts w:ascii="Palatino Linotype" w:hAnsi="Palatino Linotype" w:eastAsia="Palatino Linotype" w:cs="Times New Roman"/>
          <w:color w:val="000000" w:themeColor="text1"/>
        </w:rPr>
        <w:t>allocate funds towards its proportional share</w:t>
      </w:r>
      <w:r>
        <w:rPr>
          <w:rFonts w:ascii="Palatino Linotype" w:hAnsi="Palatino Linotype" w:eastAsia="Palatino Linotype" w:cs="Times New Roman"/>
          <w:color w:val="000000" w:themeColor="text1"/>
        </w:rPr>
        <w:t xml:space="preserve"> </w:t>
      </w:r>
      <w:r w:rsidRPr="5C91342C">
        <w:rPr>
          <w:rFonts w:ascii="Palatino Linotype" w:hAnsi="Palatino Linotype" w:eastAsia="Palatino Linotype" w:cs="Times New Roman"/>
          <w:color w:val="000000" w:themeColor="text1"/>
        </w:rPr>
        <w:t xml:space="preserve">of </w:t>
      </w:r>
      <w:r w:rsidR="00427759">
        <w:rPr>
          <w:rFonts w:ascii="Palatino Linotype" w:hAnsi="Palatino Linotype" w:eastAsia="Palatino Linotype" w:cs="Times New Roman"/>
          <w:color w:val="000000" w:themeColor="text1"/>
        </w:rPr>
        <w:t>developing a comprehensive Gas RD&amp;D Database of projects</w:t>
      </w:r>
      <w:r w:rsidR="00CB1312">
        <w:rPr>
          <w:rFonts w:ascii="Palatino Linotype" w:hAnsi="Palatino Linotype" w:eastAsia="Palatino Linotype" w:cs="Times New Roman"/>
          <w:color w:val="000000" w:themeColor="text1"/>
        </w:rPr>
        <w:t>,</w:t>
      </w:r>
      <w:r w:rsidR="00EA2958">
        <w:rPr>
          <w:rStyle w:val="FootnoteReference"/>
          <w:rFonts w:ascii="Palatino Linotype" w:hAnsi="Palatino Linotype" w:eastAsia="Palatino Linotype" w:cs="Times New Roman"/>
          <w:color w:val="000000" w:themeColor="text1"/>
        </w:rPr>
        <w:footnoteReference w:id="109"/>
      </w:r>
      <w:r w:rsidR="00CB1312">
        <w:rPr>
          <w:rFonts w:ascii="Palatino Linotype" w:hAnsi="Palatino Linotype" w:eastAsia="Palatino Linotype" w:cs="Times New Roman"/>
          <w:color w:val="000000" w:themeColor="text1"/>
        </w:rPr>
        <w:t xml:space="preserve"> for which PG&amp;E shall </w:t>
      </w:r>
      <w:r w:rsidRPr="008E2584" w:rsidR="00CB1312">
        <w:rPr>
          <w:rFonts w:ascii="Palatino Linotype" w:hAnsi="Palatino Linotype"/>
          <w:color w:val="0D0D0D" w:themeColor="text1" w:themeTint="F2"/>
        </w:rPr>
        <w:t>allocate $56,987</w:t>
      </w:r>
      <w:r w:rsidR="00CB1312">
        <w:rPr>
          <w:rFonts w:ascii="Palatino Linotype" w:hAnsi="Palatino Linotype"/>
          <w:color w:val="0D0D0D" w:themeColor="text1" w:themeTint="F2"/>
        </w:rPr>
        <w:t>.</w:t>
      </w:r>
      <w:r w:rsidR="001C7EBE">
        <w:rPr>
          <w:rFonts w:ascii="Palatino Linotype" w:hAnsi="Palatino Linotype"/>
          <w:color w:val="0D0D0D" w:themeColor="text1" w:themeTint="F2"/>
        </w:rPr>
        <w:t xml:space="preserve"> </w:t>
      </w:r>
      <w:r w:rsidRPr="00F07F2F" w:rsidR="0064620E">
        <w:rPr>
          <w:rFonts w:ascii="Palatino Linotype" w:hAnsi="Palatino Linotype"/>
          <w:color w:val="000000" w:themeColor="text1"/>
        </w:rPr>
        <w:t>In consu</w:t>
      </w:r>
      <w:r w:rsidRPr="00F07F2F" w:rsidR="003C0E9E">
        <w:rPr>
          <w:rFonts w:ascii="Palatino Linotype" w:hAnsi="Palatino Linotype"/>
          <w:color w:val="000000" w:themeColor="text1"/>
        </w:rPr>
        <w:t xml:space="preserve">ltation with </w:t>
      </w:r>
      <w:r w:rsidR="00323A5F">
        <w:rPr>
          <w:rFonts w:ascii="Palatino Linotype" w:hAnsi="Palatino Linotype"/>
          <w:color w:val="000000" w:themeColor="text1"/>
        </w:rPr>
        <w:t>ED</w:t>
      </w:r>
      <w:r w:rsidRPr="00F07F2F" w:rsidR="00957FE7">
        <w:rPr>
          <w:rFonts w:ascii="Palatino Linotype" w:hAnsi="Palatino Linotype"/>
          <w:color w:val="000000" w:themeColor="text1"/>
        </w:rPr>
        <w:t xml:space="preserve"> </w:t>
      </w:r>
      <w:r w:rsidRPr="00F07F2F" w:rsidR="0032339E">
        <w:rPr>
          <w:rFonts w:ascii="Palatino Linotype" w:hAnsi="Palatino Linotype"/>
          <w:color w:val="000000" w:themeColor="text1"/>
        </w:rPr>
        <w:t>s</w:t>
      </w:r>
      <w:r w:rsidRPr="00F07F2F" w:rsidR="00D17044">
        <w:rPr>
          <w:rFonts w:ascii="Palatino Linotype" w:hAnsi="Palatino Linotype"/>
          <w:color w:val="000000" w:themeColor="text1"/>
        </w:rPr>
        <w:t>taff</w:t>
      </w:r>
      <w:r w:rsidRPr="00F07F2F" w:rsidR="006A6081">
        <w:rPr>
          <w:rFonts w:ascii="Palatino Linotype" w:hAnsi="Palatino Linotype"/>
          <w:color w:val="000000" w:themeColor="text1"/>
        </w:rPr>
        <w:t xml:space="preserve"> </w:t>
      </w:r>
      <w:r w:rsidRPr="00F07F2F" w:rsidR="00957FE7">
        <w:rPr>
          <w:rFonts w:ascii="Palatino Linotype" w:hAnsi="Palatino Linotype"/>
          <w:color w:val="000000" w:themeColor="text1"/>
        </w:rPr>
        <w:t xml:space="preserve">and the </w:t>
      </w:r>
      <w:r w:rsidRPr="00F07F2F" w:rsidR="006A6081">
        <w:rPr>
          <w:rFonts w:ascii="Palatino Linotype" w:hAnsi="Palatino Linotype"/>
          <w:color w:val="000000" w:themeColor="text1"/>
        </w:rPr>
        <w:t>Database administrator</w:t>
      </w:r>
      <w:r w:rsidRPr="00F07F2F" w:rsidR="003C0E9E">
        <w:rPr>
          <w:rFonts w:ascii="Palatino Linotype" w:hAnsi="Palatino Linotype"/>
          <w:color w:val="000000" w:themeColor="text1"/>
        </w:rPr>
        <w:t xml:space="preserve">, </w:t>
      </w:r>
      <w:r w:rsidRPr="00F07F2F" w:rsidR="00154DCF">
        <w:rPr>
          <w:rFonts w:ascii="Palatino Linotype" w:hAnsi="Palatino Linotype"/>
          <w:color w:val="000000" w:themeColor="text1"/>
        </w:rPr>
        <w:t xml:space="preserve">PG&amp;E </w:t>
      </w:r>
      <w:r w:rsidR="0075308E">
        <w:rPr>
          <w:rFonts w:ascii="Palatino Linotype" w:hAnsi="Palatino Linotype"/>
          <w:color w:val="000000" w:themeColor="text1"/>
        </w:rPr>
        <w:t>shall</w:t>
      </w:r>
      <w:r w:rsidRPr="00F07F2F" w:rsidR="00824225">
        <w:rPr>
          <w:rFonts w:ascii="Palatino Linotype" w:hAnsi="Palatino Linotype"/>
          <w:color w:val="000000" w:themeColor="text1"/>
        </w:rPr>
        <w:t xml:space="preserve"> </w:t>
      </w:r>
      <w:r w:rsidRPr="00F07F2F" w:rsidR="00957FE7">
        <w:rPr>
          <w:rFonts w:ascii="Palatino Linotype" w:hAnsi="Palatino Linotype"/>
          <w:color w:val="000000" w:themeColor="text1"/>
        </w:rPr>
        <w:t xml:space="preserve">allocate </w:t>
      </w:r>
      <w:r w:rsidR="001C6A7E">
        <w:rPr>
          <w:rFonts w:ascii="Palatino Linotype" w:hAnsi="Palatino Linotype"/>
          <w:color w:val="000000" w:themeColor="text1"/>
        </w:rPr>
        <w:t>and reimburse</w:t>
      </w:r>
      <w:r w:rsidRPr="00F07F2F" w:rsidR="00957FE7">
        <w:rPr>
          <w:rFonts w:ascii="Palatino Linotype" w:hAnsi="Palatino Linotype"/>
          <w:color w:val="000000" w:themeColor="text1"/>
        </w:rPr>
        <w:t xml:space="preserve"> additional funds in future Plans for </w:t>
      </w:r>
      <w:r w:rsidR="00821F62">
        <w:rPr>
          <w:rFonts w:ascii="Palatino Linotype" w:hAnsi="Palatino Linotype"/>
          <w:color w:val="000000" w:themeColor="text1"/>
        </w:rPr>
        <w:lastRenderedPageBreak/>
        <w:t xml:space="preserve">its proportional share of </w:t>
      </w:r>
      <w:r w:rsidRPr="00F07F2F" w:rsidR="00957FE7">
        <w:rPr>
          <w:rFonts w:ascii="Palatino Linotype" w:hAnsi="Palatino Linotype"/>
          <w:color w:val="000000" w:themeColor="text1"/>
        </w:rPr>
        <w:t xml:space="preserve">the maintenance </w:t>
      </w:r>
      <w:r w:rsidRPr="00F07F2F" w:rsidR="00ED655A">
        <w:rPr>
          <w:rFonts w:ascii="Palatino Linotype" w:hAnsi="Palatino Linotype"/>
          <w:color w:val="000000" w:themeColor="text1"/>
        </w:rPr>
        <w:t xml:space="preserve">and </w:t>
      </w:r>
      <w:r w:rsidR="00821F62">
        <w:rPr>
          <w:rFonts w:ascii="Palatino Linotype" w:hAnsi="Palatino Linotype"/>
          <w:color w:val="000000" w:themeColor="text1"/>
        </w:rPr>
        <w:t xml:space="preserve">operational </w:t>
      </w:r>
      <w:r w:rsidRPr="00F07F2F" w:rsidR="00ED655A">
        <w:rPr>
          <w:rFonts w:ascii="Palatino Linotype" w:hAnsi="Palatino Linotype"/>
          <w:color w:val="000000" w:themeColor="text1"/>
        </w:rPr>
        <w:t xml:space="preserve">needs </w:t>
      </w:r>
      <w:r w:rsidRPr="00F07F2F" w:rsidR="00957FE7">
        <w:rPr>
          <w:rFonts w:ascii="Palatino Linotype" w:hAnsi="Palatino Linotype"/>
          <w:color w:val="000000" w:themeColor="text1"/>
        </w:rPr>
        <w:t>of the Database once established</w:t>
      </w:r>
      <w:r w:rsidRPr="00F07F2F" w:rsidR="00ED655A">
        <w:rPr>
          <w:rFonts w:ascii="Palatino Linotype" w:hAnsi="Palatino Linotype"/>
          <w:color w:val="000000" w:themeColor="text1"/>
        </w:rPr>
        <w:t>.</w:t>
      </w:r>
    </w:p>
    <w:p w:rsidR="0C288E53" w:rsidP="0C288E53" w:rsidRDefault="0C288E53" w14:paraId="4449C503" w14:textId="3F89C27B">
      <w:pPr>
        <w:spacing w:after="0" w:line="276" w:lineRule="auto"/>
        <w:rPr>
          <w:rFonts w:ascii="Palatino Linotype" w:hAnsi="Palatino Linotype" w:eastAsia="Palatino Linotype" w:cs="Times New Roman"/>
          <w:color w:val="000000" w:themeColor="text1"/>
          <w:u w:val="single"/>
        </w:rPr>
      </w:pPr>
    </w:p>
    <w:p w:rsidRPr="002953F8" w:rsidR="2C86C3FD" w:rsidP="002953F8" w:rsidRDefault="7679E302" w14:paraId="11F01B9B" w14:textId="0DA3995D">
      <w:pPr>
        <w:spacing w:line="276" w:lineRule="auto"/>
        <w:rPr>
          <w:rFonts w:ascii="Palatino Linotype" w:hAnsi="Palatino Linotype" w:eastAsia="Palatino Linotype" w:cs="Times New Roman"/>
          <w:color w:val="0070C0"/>
          <w:u w:val="single"/>
        </w:rPr>
      </w:pPr>
      <w:r w:rsidRPr="2C86C3FD">
        <w:rPr>
          <w:rFonts w:ascii="Palatino Linotype" w:hAnsi="Palatino Linotype" w:eastAsia="Palatino Linotype" w:cs="Times New Roman"/>
          <w:color w:val="000000" w:themeColor="text1"/>
          <w:u w:val="single"/>
        </w:rPr>
        <w:t>Modeling EPIC’s Strategic Goals &amp; Objectives</w:t>
      </w:r>
    </w:p>
    <w:p w:rsidRPr="00210EA3" w:rsidR="000750ED" w:rsidP="00210EA3" w:rsidRDefault="00DF64B8" w14:paraId="05CC5EEB" w14:textId="733F5C41">
      <w:pPr>
        <w:spacing w:line="276" w:lineRule="auto"/>
        <w:rPr>
          <w:rFonts w:ascii="Palatino Linotype" w:hAnsi="Palatino Linotype"/>
          <w:color w:val="000000" w:themeColor="text1"/>
        </w:rPr>
      </w:pPr>
      <w:r w:rsidRPr="2C86C3FD">
        <w:rPr>
          <w:rFonts w:ascii="Palatino Linotype" w:hAnsi="Palatino Linotype"/>
          <w:color w:val="000000" w:themeColor="text1"/>
        </w:rPr>
        <w:t>The Commission</w:t>
      </w:r>
      <w:r>
        <w:rPr>
          <w:rFonts w:ascii="Palatino Linotype" w:hAnsi="Palatino Linotype"/>
          <w:color w:val="000000" w:themeColor="text1"/>
        </w:rPr>
        <w:t xml:space="preserve"> guides</w:t>
      </w:r>
      <w:r w:rsidRPr="2C86C3FD">
        <w:rPr>
          <w:rFonts w:ascii="Palatino Linotype" w:hAnsi="Palatino Linotype"/>
          <w:color w:val="000000" w:themeColor="text1"/>
        </w:rPr>
        <w:t xml:space="preserve"> </w:t>
      </w:r>
      <w:r>
        <w:rPr>
          <w:rFonts w:ascii="Palatino Linotype" w:hAnsi="Palatino Linotype"/>
          <w:color w:val="000000" w:themeColor="text1"/>
        </w:rPr>
        <w:t>Gas RD&amp;D</w:t>
      </w:r>
      <w:r w:rsidRPr="2C86C3FD">
        <w:rPr>
          <w:rFonts w:ascii="Palatino Linotype" w:hAnsi="Palatino Linotype"/>
          <w:color w:val="000000" w:themeColor="text1"/>
        </w:rPr>
        <w:t xml:space="preserve"> </w:t>
      </w:r>
      <w:r>
        <w:rPr>
          <w:rFonts w:ascii="Palatino Linotype" w:hAnsi="Palatino Linotype"/>
          <w:color w:val="000000" w:themeColor="text1"/>
        </w:rPr>
        <w:t>P</w:t>
      </w:r>
      <w:r w:rsidRPr="2C86C3FD">
        <w:rPr>
          <w:rFonts w:ascii="Palatino Linotype" w:hAnsi="Palatino Linotype"/>
          <w:color w:val="000000" w:themeColor="text1"/>
        </w:rPr>
        <w:t>rogram</w:t>
      </w:r>
      <w:r>
        <w:rPr>
          <w:rFonts w:ascii="Palatino Linotype" w:hAnsi="Palatino Linotype"/>
          <w:color w:val="000000" w:themeColor="text1"/>
        </w:rPr>
        <w:t xml:space="preserve"> priorities</w:t>
      </w:r>
      <w:r w:rsidRPr="2C86C3FD">
        <w:rPr>
          <w:rFonts w:ascii="Palatino Linotype" w:hAnsi="Palatino Linotype"/>
          <w:color w:val="000000" w:themeColor="text1"/>
        </w:rPr>
        <w:t xml:space="preserve"> via </w:t>
      </w:r>
      <w:r>
        <w:rPr>
          <w:rFonts w:ascii="Palatino Linotype" w:hAnsi="Palatino Linotype"/>
          <w:color w:val="000000" w:themeColor="text1"/>
        </w:rPr>
        <w:t xml:space="preserve">its gas-related </w:t>
      </w:r>
      <w:r w:rsidRPr="2C86C3FD">
        <w:rPr>
          <w:rFonts w:ascii="Palatino Linotype" w:hAnsi="Palatino Linotype"/>
          <w:color w:val="000000" w:themeColor="text1"/>
        </w:rPr>
        <w:t>policies and proceedings</w:t>
      </w:r>
      <w:r w:rsidR="005835A4">
        <w:rPr>
          <w:rFonts w:ascii="Palatino Linotype" w:hAnsi="Palatino Linotype"/>
          <w:color w:val="000000" w:themeColor="text1"/>
        </w:rPr>
        <w:t xml:space="preserve">, which also </w:t>
      </w:r>
      <w:r w:rsidRPr="2C86C3FD" w:rsidR="7679E302">
        <w:rPr>
          <w:rFonts w:ascii="Palatino Linotype" w:hAnsi="Palatino Linotype"/>
          <w:color w:val="000000" w:themeColor="text1"/>
        </w:rPr>
        <w:t xml:space="preserve">align with State-level </w:t>
      </w:r>
      <w:r w:rsidR="005835A4">
        <w:rPr>
          <w:rFonts w:ascii="Palatino Linotype" w:hAnsi="Palatino Linotype"/>
          <w:color w:val="000000" w:themeColor="text1"/>
        </w:rPr>
        <w:t xml:space="preserve">climate and safety </w:t>
      </w:r>
      <w:r w:rsidRPr="2C86C3FD" w:rsidR="7679E302">
        <w:rPr>
          <w:rFonts w:ascii="Palatino Linotype" w:hAnsi="Palatino Linotype"/>
          <w:color w:val="000000" w:themeColor="text1"/>
        </w:rPr>
        <w:t>goals.</w:t>
      </w:r>
      <w:r w:rsidRPr="2C86C3FD" w:rsidR="7679E302">
        <w:rPr>
          <w:rStyle w:val="FootnoteReference"/>
          <w:rFonts w:ascii="Palatino Linotype" w:hAnsi="Palatino Linotype"/>
          <w:color w:val="000000" w:themeColor="text1"/>
        </w:rPr>
        <w:footnoteReference w:id="110"/>
      </w:r>
      <w:r w:rsidRPr="2C86C3FD" w:rsidR="7679E302">
        <w:rPr>
          <w:rFonts w:ascii="Palatino Linotype" w:hAnsi="Palatino Linotype"/>
          <w:color w:val="000000" w:themeColor="text1"/>
        </w:rPr>
        <w:t xml:space="preserve"> </w:t>
      </w:r>
      <w:r w:rsidR="0022489A">
        <w:rPr>
          <w:rFonts w:ascii="Palatino Linotype" w:hAnsi="Palatino Linotype"/>
          <w:color w:val="000000" w:themeColor="text1"/>
        </w:rPr>
        <w:t xml:space="preserve">In the EPIC proceeding, the Commission established </w:t>
      </w:r>
      <w:r w:rsidR="00DC4F05">
        <w:rPr>
          <w:rFonts w:ascii="Palatino Linotype" w:hAnsi="Palatino Linotype"/>
          <w:color w:val="000000" w:themeColor="text1"/>
        </w:rPr>
        <w:t xml:space="preserve">five </w:t>
      </w:r>
      <w:r w:rsidRPr="2C86C3FD" w:rsidR="7679E302">
        <w:rPr>
          <w:rFonts w:ascii="Palatino Linotype" w:hAnsi="Palatino Linotype"/>
          <w:color w:val="000000" w:themeColor="text1"/>
        </w:rPr>
        <w:t>Strategic Goals</w:t>
      </w:r>
      <w:r w:rsidR="006A79C5">
        <w:rPr>
          <w:rFonts w:ascii="Palatino Linotype" w:hAnsi="Palatino Linotype"/>
          <w:color w:val="000000" w:themeColor="text1"/>
        </w:rPr>
        <w:t>,</w:t>
      </w:r>
      <w:r w:rsidRPr="2C86C3FD" w:rsidR="7679E302">
        <w:rPr>
          <w:rFonts w:ascii="Palatino Linotype" w:hAnsi="Palatino Linotype"/>
          <w:color w:val="000000" w:themeColor="text1"/>
        </w:rPr>
        <w:t xml:space="preserve"> </w:t>
      </w:r>
      <w:r w:rsidR="000E04CD">
        <w:rPr>
          <w:rFonts w:ascii="Palatino Linotype" w:hAnsi="Palatino Linotype"/>
          <w:color w:val="000000" w:themeColor="text1"/>
        </w:rPr>
        <w:t xml:space="preserve">including </w:t>
      </w:r>
      <w:r w:rsidRPr="002962EF" w:rsidR="006A79C5">
        <w:rPr>
          <w:rFonts w:ascii="Palatino Linotype" w:hAnsi="Palatino Linotype" w:eastAsia="Palatino Linotype" w:cs="Palatino Linotype"/>
          <w:color w:val="000000" w:themeColor="text1"/>
        </w:rPr>
        <w:t>“Achieving 100% Net-Zero Carbon and the Coordinated Role of Gas</w:t>
      </w:r>
      <w:r w:rsidR="006A79C5">
        <w:rPr>
          <w:rFonts w:ascii="Palatino Linotype" w:hAnsi="Palatino Linotype" w:eastAsia="Palatino Linotype" w:cs="Palatino Linotype"/>
          <w:color w:val="000000" w:themeColor="text1"/>
        </w:rPr>
        <w:t>.</w:t>
      </w:r>
      <w:r w:rsidRPr="002962EF" w:rsidR="006A79C5">
        <w:rPr>
          <w:rFonts w:ascii="Palatino Linotype" w:hAnsi="Palatino Linotype" w:eastAsia="Palatino Linotype" w:cs="Palatino Linotype"/>
          <w:color w:val="000000" w:themeColor="text1"/>
        </w:rPr>
        <w:t>”</w:t>
      </w:r>
      <w:r w:rsidR="00B8598C">
        <w:rPr>
          <w:rStyle w:val="FootnoteReference"/>
          <w:rFonts w:ascii="Palatino Linotype" w:hAnsi="Palatino Linotype" w:eastAsia="Palatino Linotype" w:cs="Palatino Linotype"/>
          <w:color w:val="000000" w:themeColor="text1"/>
        </w:rPr>
        <w:footnoteReference w:id="111"/>
      </w:r>
      <w:r w:rsidR="000E04CD">
        <w:rPr>
          <w:rFonts w:ascii="Palatino Linotype" w:hAnsi="Palatino Linotype"/>
          <w:color w:val="000000" w:themeColor="text1"/>
        </w:rPr>
        <w:t xml:space="preserve"> </w:t>
      </w:r>
      <w:r w:rsidR="00C74239">
        <w:rPr>
          <w:rFonts w:ascii="Palatino Linotype" w:hAnsi="Palatino Linotype"/>
          <w:color w:val="000000" w:themeColor="text1"/>
        </w:rPr>
        <w:t xml:space="preserve">To promote </w:t>
      </w:r>
      <w:r w:rsidR="00E856A8">
        <w:rPr>
          <w:rFonts w:ascii="Palatino Linotype" w:hAnsi="Palatino Linotype"/>
          <w:color w:val="000000" w:themeColor="text1"/>
        </w:rPr>
        <w:t xml:space="preserve">coordination, </w:t>
      </w:r>
      <w:r w:rsidR="00C74239">
        <w:rPr>
          <w:rFonts w:ascii="Palatino Linotype" w:hAnsi="Palatino Linotype"/>
          <w:color w:val="000000" w:themeColor="text1"/>
        </w:rPr>
        <w:t>consistency</w:t>
      </w:r>
      <w:r w:rsidR="00E856A8">
        <w:rPr>
          <w:rFonts w:ascii="Palatino Linotype" w:hAnsi="Palatino Linotype"/>
          <w:color w:val="000000" w:themeColor="text1"/>
        </w:rPr>
        <w:t>,</w:t>
      </w:r>
      <w:r w:rsidR="00624D54">
        <w:rPr>
          <w:rFonts w:ascii="Palatino Linotype" w:hAnsi="Palatino Linotype"/>
          <w:color w:val="000000" w:themeColor="text1"/>
        </w:rPr>
        <w:t xml:space="preserve"> and best practices</w:t>
      </w:r>
      <w:r w:rsidR="00C74239">
        <w:rPr>
          <w:rFonts w:ascii="Palatino Linotype" w:hAnsi="Palatino Linotype"/>
          <w:color w:val="000000" w:themeColor="text1"/>
        </w:rPr>
        <w:t xml:space="preserve"> </w:t>
      </w:r>
      <w:r w:rsidR="007F29A7">
        <w:rPr>
          <w:rFonts w:ascii="Palatino Linotype" w:hAnsi="Palatino Linotype"/>
          <w:color w:val="000000" w:themeColor="text1"/>
        </w:rPr>
        <w:t>across ratepayer-funded RD&amp;D investments</w:t>
      </w:r>
      <w:r w:rsidR="00624D54">
        <w:rPr>
          <w:rFonts w:ascii="Palatino Linotype" w:hAnsi="Palatino Linotype"/>
          <w:color w:val="000000" w:themeColor="text1"/>
        </w:rPr>
        <w:t xml:space="preserve">, </w:t>
      </w:r>
      <w:r w:rsidR="00AC5FC7">
        <w:rPr>
          <w:rFonts w:ascii="Palatino Linotype" w:hAnsi="Palatino Linotype"/>
          <w:color w:val="000000" w:themeColor="text1"/>
        </w:rPr>
        <w:t xml:space="preserve">the Gas RD&amp;D program </w:t>
      </w:r>
      <w:r w:rsidR="00EC20BF">
        <w:rPr>
          <w:rFonts w:ascii="Palatino Linotype" w:hAnsi="Palatino Linotype"/>
          <w:color w:val="000000" w:themeColor="text1"/>
        </w:rPr>
        <w:t xml:space="preserve">may benefit from modeling </w:t>
      </w:r>
      <w:r w:rsidR="00B02D09">
        <w:rPr>
          <w:rFonts w:ascii="Palatino Linotype" w:hAnsi="Palatino Linotype"/>
          <w:color w:val="000000" w:themeColor="text1"/>
        </w:rPr>
        <w:t>EPIC in its</w:t>
      </w:r>
      <w:r w:rsidR="00356CC9">
        <w:rPr>
          <w:rFonts w:ascii="Palatino Linotype" w:hAnsi="Palatino Linotype"/>
          <w:color w:val="000000" w:themeColor="text1"/>
        </w:rPr>
        <w:t xml:space="preserve"> strategic planning and</w:t>
      </w:r>
      <w:r w:rsidR="00B02D09">
        <w:rPr>
          <w:rFonts w:ascii="Palatino Linotype" w:hAnsi="Palatino Linotype"/>
          <w:color w:val="000000" w:themeColor="text1"/>
        </w:rPr>
        <w:t xml:space="preserve"> </w:t>
      </w:r>
      <w:r w:rsidR="00356CC9">
        <w:rPr>
          <w:rFonts w:ascii="Palatino Linotype" w:hAnsi="Palatino Linotype"/>
          <w:color w:val="000000" w:themeColor="text1"/>
        </w:rPr>
        <w:t>identification of Strategic Goals</w:t>
      </w:r>
      <w:r w:rsidR="00B80D78">
        <w:rPr>
          <w:rFonts w:ascii="Palatino Linotype" w:hAnsi="Palatino Linotype"/>
          <w:color w:val="000000" w:themeColor="text1"/>
        </w:rPr>
        <w:t>.</w:t>
      </w:r>
      <w:r w:rsidRPr="2C86C3FD" w:rsidR="00B80D78">
        <w:rPr>
          <w:rStyle w:val="FootnoteReference"/>
          <w:rFonts w:ascii="Palatino Linotype" w:hAnsi="Palatino Linotype"/>
        </w:rPr>
        <w:footnoteReference w:id="112"/>
      </w:r>
      <w:r w:rsidRPr="2C86C3FD" w:rsidR="0151A6D9">
        <w:rPr>
          <w:rFonts w:ascii="Palatino Linotype" w:hAnsi="Palatino Linotype"/>
          <w:color w:val="000000" w:themeColor="text1"/>
        </w:rPr>
        <w:t xml:space="preserve"> </w:t>
      </w:r>
      <w:r w:rsidR="007F5053">
        <w:rPr>
          <w:rFonts w:ascii="Palatino Linotype" w:hAnsi="Palatino Linotype"/>
          <w:color w:val="000000" w:themeColor="text1"/>
        </w:rPr>
        <w:t xml:space="preserve">Given </w:t>
      </w:r>
      <w:r w:rsidRPr="0CADF6DB" w:rsidR="007F5053">
        <w:rPr>
          <w:rFonts w:ascii="Palatino Linotype" w:hAnsi="Palatino Linotype" w:eastAsia="Palatino Linotype" w:cs="Palatino Linotype"/>
          <w:color w:val="000000" w:themeColor="text1"/>
        </w:rPr>
        <w:t xml:space="preserve">the intrinsic </w:t>
      </w:r>
      <w:r w:rsidRPr="0CADF6DB" w:rsidR="0430FC4E">
        <w:rPr>
          <w:rFonts w:ascii="Palatino Linotype" w:hAnsi="Palatino Linotype" w:eastAsia="Palatino Linotype" w:cs="Palatino Linotype"/>
          <w:color w:val="000000" w:themeColor="text1"/>
        </w:rPr>
        <w:t>link between</w:t>
      </w:r>
      <w:r w:rsidRPr="0CADF6DB" w:rsidR="007F5053">
        <w:rPr>
          <w:rFonts w:ascii="Palatino Linotype" w:hAnsi="Palatino Linotype" w:eastAsia="Palatino Linotype" w:cs="Palatino Linotype"/>
          <w:color w:val="000000" w:themeColor="text1"/>
        </w:rPr>
        <w:t xml:space="preserve"> </w:t>
      </w:r>
      <w:r w:rsidRPr="0CADF6DB" w:rsidR="009F739B">
        <w:rPr>
          <w:rFonts w:ascii="Palatino Linotype" w:hAnsi="Palatino Linotype" w:eastAsia="Palatino Linotype" w:cs="Palatino Linotype"/>
          <w:color w:val="000000" w:themeColor="text1"/>
        </w:rPr>
        <w:t xml:space="preserve">gas and electric </w:t>
      </w:r>
      <w:r w:rsidRPr="0CADF6DB" w:rsidR="0430FC4E">
        <w:rPr>
          <w:rFonts w:ascii="Palatino Linotype" w:hAnsi="Palatino Linotype" w:eastAsia="Palatino Linotype" w:cs="Palatino Linotype"/>
          <w:color w:val="000000" w:themeColor="text1"/>
        </w:rPr>
        <w:t xml:space="preserve">investment policy and </w:t>
      </w:r>
      <w:r w:rsidRPr="449F6997" w:rsidR="0430FC4E">
        <w:rPr>
          <w:rFonts w:ascii="Palatino Linotype" w:hAnsi="Palatino Linotype" w:eastAsia="Palatino Linotype" w:cs="Palatino Linotype"/>
          <w:color w:val="000000" w:themeColor="text1"/>
        </w:rPr>
        <w:t>planning in meeting State</w:t>
      </w:r>
      <w:r w:rsidRPr="542F3DB8" w:rsidR="0430FC4E">
        <w:rPr>
          <w:rFonts w:ascii="Palatino Linotype" w:hAnsi="Palatino Linotype" w:eastAsia="Palatino Linotype" w:cs="Palatino Linotype"/>
          <w:color w:val="000000" w:themeColor="text1"/>
        </w:rPr>
        <w:t xml:space="preserve"> goals</w:t>
      </w:r>
      <w:r w:rsidR="009F739B">
        <w:rPr>
          <w:rFonts w:ascii="Palatino Linotype" w:hAnsi="Palatino Linotype"/>
          <w:color w:val="000000" w:themeColor="text1"/>
        </w:rPr>
        <w:t xml:space="preserve">, </w:t>
      </w:r>
      <w:r w:rsidRPr="00A80840" w:rsidR="00323A5F">
        <w:rPr>
          <w:rFonts w:ascii="Palatino Linotype" w:hAnsi="Palatino Linotype"/>
          <w:color w:val="000000" w:themeColor="text1"/>
        </w:rPr>
        <w:t>ED</w:t>
      </w:r>
      <w:r w:rsidRPr="00A80840" w:rsidR="7679E302">
        <w:rPr>
          <w:rFonts w:ascii="Palatino Linotype" w:hAnsi="Palatino Linotype"/>
          <w:color w:val="000000" w:themeColor="text1"/>
        </w:rPr>
        <w:t xml:space="preserve"> </w:t>
      </w:r>
      <w:r w:rsidRPr="00A80840" w:rsidR="0032339E">
        <w:rPr>
          <w:rFonts w:ascii="Palatino Linotype" w:hAnsi="Palatino Linotype"/>
          <w:color w:val="000000" w:themeColor="text1"/>
        </w:rPr>
        <w:t>s</w:t>
      </w:r>
      <w:r w:rsidRPr="00A80840" w:rsidR="00D17044">
        <w:rPr>
          <w:rFonts w:ascii="Palatino Linotype" w:hAnsi="Palatino Linotype"/>
          <w:color w:val="000000" w:themeColor="text1"/>
        </w:rPr>
        <w:t>taff</w:t>
      </w:r>
      <w:r w:rsidRPr="00A80840" w:rsidR="7679E302">
        <w:rPr>
          <w:rFonts w:ascii="Palatino Linotype" w:hAnsi="Palatino Linotype"/>
          <w:color w:val="000000" w:themeColor="text1"/>
        </w:rPr>
        <w:t xml:space="preserve"> </w:t>
      </w:r>
      <w:r w:rsidRPr="00A80840" w:rsidR="3279B5BB">
        <w:rPr>
          <w:rFonts w:ascii="Palatino Linotype" w:hAnsi="Palatino Linotype"/>
          <w:color w:val="000000" w:themeColor="text1"/>
        </w:rPr>
        <w:t xml:space="preserve">may facilitate a similar process </w:t>
      </w:r>
      <w:r w:rsidRPr="2C86C3FD" w:rsidR="7679E302">
        <w:rPr>
          <w:rFonts w:ascii="Palatino Linotype" w:hAnsi="Palatino Linotype"/>
          <w:color w:val="000000" w:themeColor="text1"/>
        </w:rPr>
        <w:t>for the Gas RD&amp;D Progra</w:t>
      </w:r>
      <w:r w:rsidRPr="2C86C3FD" w:rsidR="7679E302">
        <w:rPr>
          <w:rFonts w:ascii="Palatino Linotype" w:hAnsi="Palatino Linotype"/>
        </w:rPr>
        <w:t>m</w:t>
      </w:r>
      <w:r w:rsidR="00B80D78">
        <w:rPr>
          <w:rFonts w:ascii="Palatino Linotype" w:hAnsi="Palatino Linotype"/>
        </w:rPr>
        <w:t xml:space="preserve"> </w:t>
      </w:r>
      <w:r w:rsidRPr="2C86C3FD" w:rsidR="7679E302">
        <w:rPr>
          <w:rFonts w:ascii="Palatino Linotype" w:hAnsi="Palatino Linotype"/>
          <w:color w:val="000000" w:themeColor="text1"/>
        </w:rPr>
        <w:t xml:space="preserve">to promote </w:t>
      </w:r>
      <w:r w:rsidR="00B91528">
        <w:rPr>
          <w:rFonts w:ascii="Palatino Linotype" w:hAnsi="Palatino Linotype"/>
          <w:color w:val="000000" w:themeColor="text1"/>
        </w:rPr>
        <w:t xml:space="preserve">increased effectiveness </w:t>
      </w:r>
      <w:r w:rsidRPr="2C86C3FD" w:rsidR="7679E302">
        <w:rPr>
          <w:rFonts w:ascii="Palatino Linotype" w:hAnsi="Palatino Linotype"/>
          <w:color w:val="000000" w:themeColor="text1"/>
        </w:rPr>
        <w:t>across</w:t>
      </w:r>
      <w:r w:rsidR="00B91528">
        <w:rPr>
          <w:rFonts w:ascii="Palatino Linotype" w:hAnsi="Palatino Linotype"/>
          <w:color w:val="000000" w:themeColor="text1"/>
        </w:rPr>
        <w:t xml:space="preserve"> administrators and</w:t>
      </w:r>
      <w:r w:rsidRPr="2C86C3FD" w:rsidR="7679E302">
        <w:rPr>
          <w:rFonts w:ascii="Palatino Linotype" w:hAnsi="Palatino Linotype"/>
          <w:color w:val="000000" w:themeColor="text1"/>
        </w:rPr>
        <w:t xml:space="preserve"> programs</w:t>
      </w:r>
      <w:r w:rsidRPr="00030759" w:rsidR="7679E302">
        <w:rPr>
          <w:rFonts w:ascii="Palatino Linotype" w:hAnsi="Palatino Linotype"/>
          <w:color w:val="000000" w:themeColor="text1"/>
        </w:rPr>
        <w:t>.</w:t>
      </w:r>
      <w:r w:rsidRPr="00030759" w:rsidR="00030759">
        <w:rPr>
          <w:rFonts w:ascii="Palatino Linotype" w:hAnsi="Palatino Linotype"/>
          <w:color w:val="000000" w:themeColor="text1"/>
        </w:rPr>
        <w:t xml:space="preserve"> ED staff may commence a stakeholder process and implement.</w:t>
      </w:r>
    </w:p>
    <w:p w:rsidR="00B80B03" w:rsidP="00361AB6" w:rsidRDefault="00B80B03" w14:paraId="6E23D38B" w14:textId="77777777">
      <w:pPr>
        <w:spacing w:after="0" w:line="276" w:lineRule="auto"/>
        <w:rPr>
          <w:rFonts w:ascii="Palatino Linotype" w:hAnsi="Palatino Linotype" w:eastAsia="Palatino Linotype" w:cs="Times New Roman"/>
          <w:color w:val="808080" w:themeColor="background1" w:themeShade="80"/>
        </w:rPr>
      </w:pPr>
    </w:p>
    <w:p w:rsidRPr="00644FCA" w:rsidR="00A76F4A" w:rsidP="005F0968" w:rsidRDefault="00A76F4A" w14:paraId="3D85FD64" w14:textId="63A5DED9">
      <w:pPr>
        <w:keepNext/>
        <w:spacing w:after="240" w:line="276"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361AB6" w:rsidRDefault="00A76F4A" w14:paraId="5856CC6E" w14:textId="77777777">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361AB6" w:rsidRDefault="00A76F4A" w14:paraId="14ED6F68" w14:textId="77777777">
      <w:pPr>
        <w:spacing w:after="0" w:line="276" w:lineRule="auto"/>
        <w:rPr>
          <w:rFonts w:ascii="Palatino Linotype" w:hAnsi="Palatino Linotype" w:eastAsia="Palatino Linotype" w:cs="Times New Roman"/>
          <w:kern w:val="0"/>
          <w14:ligatures w14:val="none"/>
        </w:rPr>
      </w:pPr>
    </w:p>
    <w:p w:rsidR="00BA4562" w:rsidP="00361AB6" w:rsidRDefault="00A76F4A" w14:paraId="4AB358CF" w14:textId="3DCFF2BA">
      <w:pPr>
        <w:spacing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w:t>
      </w:r>
      <w:r w:rsidRPr="001942D0" w:rsidR="4A5B79CC">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neither waived nor reduced.  Accordingly, this draft </w:t>
      </w:r>
      <w:r w:rsidRPr="001942D0" w:rsidR="4719407D">
        <w:rPr>
          <w:rFonts w:ascii="Palatino Linotype" w:hAnsi="Palatino Linotype" w:eastAsia="Palatino Linotype" w:cs="Times New Roman"/>
          <w:kern w:val="0"/>
          <w14:ligatures w14:val="none"/>
        </w:rPr>
        <w:t>R</w:t>
      </w:r>
      <w:r w:rsidRPr="001942D0">
        <w:rPr>
          <w:rFonts w:ascii="Palatino Linotype" w:hAnsi="Palatino Linotype" w:eastAsia="Palatino Linotype" w:cs="Times New Roman"/>
          <w:kern w:val="0"/>
          <w14:ligatures w14:val="none"/>
        </w:rPr>
        <w:t xml:space="preserve">esolution was mailed to parties for </w:t>
      </w:r>
      <w:r w:rsidRPr="001942D0" w:rsidR="0A18A800">
        <w:rPr>
          <w:rFonts w:ascii="Palatino Linotype" w:hAnsi="Palatino Linotype" w:eastAsia="Palatino Linotype" w:cs="Times New Roman"/>
          <w:kern w:val="0"/>
          <w14:ligatures w14:val="none"/>
        </w:rPr>
        <w:t>comments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9A393F" w:rsidP="00361AB6" w:rsidRDefault="009A393F" w14:paraId="67904401" w14:textId="77777777">
      <w:pPr>
        <w:spacing w:after="0" w:line="276" w:lineRule="auto"/>
        <w:rPr>
          <w:rFonts w:ascii="Palatino Linotype" w:hAnsi="Palatino Linotype" w:eastAsia="Palatino Linotype" w:cs="Times New Roman"/>
          <w:kern w:val="0"/>
          <w14:ligatures w14:val="none"/>
        </w:rPr>
      </w:pPr>
    </w:p>
    <w:p w:rsidRPr="001942D0" w:rsidR="00A76F4A" w:rsidP="00361AB6" w:rsidRDefault="00A76F4A" w14:paraId="46563B5C" w14:textId="77777777">
      <w:pPr>
        <w:keepNext/>
        <w:spacing w:before="120" w:after="240" w:line="276" w:lineRule="auto"/>
        <w:outlineLvl w:val="0"/>
        <w:rPr>
          <w:rFonts w:ascii="Palatino Linotype" w:hAnsi="Palatino Linotype" w:eastAsia="Palatino Linotype" w:cs="Times New Roman"/>
          <w:b/>
          <w:caps/>
          <w:kern w:val="28"/>
          <w:u w:val="single"/>
          <w14:ligatures w14:val="none"/>
        </w:rPr>
      </w:pPr>
      <w:r w:rsidRPr="006070B4">
        <w:rPr>
          <w:rFonts w:ascii="Palatino Linotype" w:hAnsi="Palatino Linotype" w:eastAsia="Palatino Linotype" w:cs="Times New Roman"/>
          <w:b/>
          <w:caps/>
          <w:kern w:val="28"/>
          <w:u w:val="single"/>
          <w14:ligatures w14:val="none"/>
        </w:rPr>
        <w:t>Findings AND CONCLUSIONS</w:t>
      </w:r>
    </w:p>
    <w:p w:rsidR="00393A08" w:rsidP="00FF1910" w:rsidRDefault="00393A08" w14:paraId="5F45A2B2" w14:textId="248DC271">
      <w:pPr>
        <w:pStyle w:val="ListParagraph"/>
        <w:numPr>
          <w:ilvl w:val="0"/>
          <w:numId w:val="6"/>
        </w:numPr>
        <w:spacing w:line="27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Pacific Gas &amp; Electric Company (PG&amp;E) filed its Calendar Years 2024 </w:t>
      </w:r>
      <w:r w:rsidR="009A393F">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(AL 5077-G-A) and 2025 (AL 5069-G) Gas Research, Development, and Demonstration (RD&amp;D) Investment Plans, pursuant to Decision (D.)23-11-069.</w:t>
      </w:r>
    </w:p>
    <w:p w:rsidR="002260CA" w:rsidP="00FF1910" w:rsidRDefault="0083396B" w14:paraId="02EB20A3" w14:textId="7B8650B0">
      <w:pPr>
        <w:pStyle w:val="ListParagraph"/>
        <w:numPr>
          <w:ilvl w:val="0"/>
          <w:numId w:val="6"/>
        </w:numPr>
        <w:spacing w:line="276" w:lineRule="auto"/>
        <w:rPr>
          <w:rFonts w:ascii="Palatino Linotype" w:hAnsi="Palatino Linotype" w:eastAsia="Palatino Linotype" w:cs="Times New Roman"/>
          <w:kern w:val="0"/>
          <w14:ligatures w14:val="none"/>
        </w:rPr>
      </w:pPr>
      <w:r w:rsidRPr="0083396B">
        <w:rPr>
          <w:rFonts w:ascii="Palatino Linotype" w:hAnsi="Palatino Linotype" w:eastAsia="Palatino Linotype" w:cs="Times New Roman"/>
          <w:kern w:val="0"/>
          <w14:ligatures w14:val="none"/>
        </w:rPr>
        <w:t>PG&amp;E</w:t>
      </w:r>
      <w:r w:rsidR="002260CA">
        <w:rPr>
          <w:rFonts w:ascii="Palatino Linotype" w:hAnsi="Palatino Linotype" w:eastAsia="Palatino Linotype" w:cs="Times New Roman"/>
          <w:kern w:val="0"/>
          <w14:ligatures w14:val="none"/>
        </w:rPr>
        <w:t>’s</w:t>
      </w:r>
      <w:r w:rsidRPr="0083396B">
        <w:rPr>
          <w:rFonts w:ascii="Palatino Linotype" w:hAnsi="Palatino Linotype" w:eastAsia="Palatino Linotype" w:cs="Times New Roman"/>
          <w:kern w:val="0"/>
          <w14:ligatures w14:val="none"/>
        </w:rPr>
        <w:t xml:space="preserve"> request </w:t>
      </w:r>
      <w:r w:rsidR="00475EF3">
        <w:rPr>
          <w:rFonts w:ascii="Palatino Linotype" w:hAnsi="Palatino Linotype" w:eastAsia="Palatino Linotype" w:cs="Times New Roman"/>
          <w:kern w:val="0"/>
          <w14:ligatures w14:val="none"/>
        </w:rPr>
        <w:t>for cost</w:t>
      </w:r>
      <w:r w:rsidRPr="0083396B">
        <w:rPr>
          <w:rFonts w:ascii="Palatino Linotype" w:hAnsi="Palatino Linotype" w:eastAsia="Palatino Linotype" w:cs="Times New Roman"/>
          <w:kern w:val="0"/>
          <w14:ligatures w14:val="none"/>
        </w:rPr>
        <w:t xml:space="preserve"> recover</w:t>
      </w:r>
      <w:r w:rsidR="00475EF3">
        <w:rPr>
          <w:rFonts w:ascii="Palatino Linotype" w:hAnsi="Palatino Linotype" w:eastAsia="Palatino Linotype" w:cs="Times New Roman"/>
          <w:kern w:val="0"/>
          <w14:ligatures w14:val="none"/>
        </w:rPr>
        <w:t>y of</w:t>
      </w:r>
      <w:r w:rsidRPr="0083396B">
        <w:rPr>
          <w:rFonts w:ascii="Palatino Linotype" w:hAnsi="Palatino Linotype" w:eastAsia="Palatino Linotype" w:cs="Times New Roman"/>
          <w:kern w:val="0"/>
          <w14:ligatures w14:val="none"/>
        </w:rPr>
        <w:t xml:space="preserve"> $7,207,712 </w:t>
      </w:r>
      <w:r w:rsidR="00475EF3">
        <w:rPr>
          <w:rFonts w:ascii="Palatino Linotype" w:hAnsi="Palatino Linotype" w:eastAsia="Palatino Linotype" w:cs="Times New Roman"/>
          <w:kern w:val="0"/>
          <w14:ligatures w14:val="none"/>
        </w:rPr>
        <w:t>from CYs 2023 and 2024</w:t>
      </w:r>
      <w:r w:rsidR="002260CA">
        <w:rPr>
          <w:rFonts w:ascii="Palatino Linotype" w:hAnsi="Palatino Linotype" w:eastAsia="Palatino Linotype" w:cs="Times New Roman"/>
          <w:kern w:val="0"/>
          <w14:ligatures w14:val="none"/>
        </w:rPr>
        <w:t xml:space="preserve"> </w:t>
      </w:r>
      <w:r w:rsidR="00B62850">
        <w:rPr>
          <w:rFonts w:ascii="Palatino Linotype" w:hAnsi="Palatino Linotype" w:eastAsia="Palatino Linotype" w:cs="Times New Roman"/>
          <w:kern w:val="0"/>
          <w14:ligatures w14:val="none"/>
        </w:rPr>
        <w:t xml:space="preserve">submitted via Tier 3 AL 5077-G-A </w:t>
      </w:r>
      <w:r w:rsidR="002260CA">
        <w:rPr>
          <w:rFonts w:ascii="Palatino Linotype" w:hAnsi="Palatino Linotype" w:eastAsia="Palatino Linotype" w:cs="Times New Roman"/>
          <w:kern w:val="0"/>
          <w14:ligatures w14:val="none"/>
        </w:rPr>
        <w:t>is not compliant with D.23-11-069.</w:t>
      </w:r>
    </w:p>
    <w:p w:rsidRPr="00AE308C" w:rsidR="005607F9" w:rsidP="5D7FEC20" w:rsidRDefault="002260CA" w14:paraId="29546EA4" w14:textId="6D6927FD">
      <w:pPr>
        <w:pStyle w:val="ListParagraph"/>
        <w:numPr>
          <w:ilvl w:val="0"/>
          <w:numId w:val="6"/>
        </w:numPr>
        <w:spacing w:line="276" w:lineRule="auto"/>
        <w:rPr>
          <w:rFonts w:ascii="Palatino Linotype" w:hAnsi="Palatino Linotype"/>
          <w:kern w:val="0"/>
          <w14:ligatures w14:val="none"/>
        </w:rPr>
      </w:pPr>
      <w:r>
        <w:rPr>
          <w:rFonts w:ascii="Palatino Linotype" w:hAnsi="Palatino Linotype" w:eastAsia="Palatino Linotype" w:cs="Times New Roman"/>
          <w:kern w:val="0"/>
          <w14:ligatures w14:val="none"/>
        </w:rPr>
        <w:t>PG&amp;E</w:t>
      </w:r>
      <w:r w:rsidR="5BEC5E61">
        <w:rPr>
          <w:rFonts w:ascii="Palatino Linotype" w:hAnsi="Palatino Linotype" w:eastAsia="Palatino Linotype" w:cs="Times New Roman"/>
          <w:kern w:val="0"/>
          <w14:ligatures w14:val="none"/>
        </w:rPr>
        <w:t xml:space="preserve"> does not demonstrate compliance </w:t>
      </w:r>
      <w:r w:rsidRPr="5D7FEC20" w:rsidR="5BEC5E61">
        <w:rPr>
          <w:rFonts w:ascii="Palatino Linotype" w:hAnsi="Palatino Linotype" w:eastAsia="Palatino Linotype" w:cs="Times New Roman"/>
        </w:rPr>
        <w:t xml:space="preserve">with the requirements set forth </w:t>
      </w:r>
      <w:r w:rsidRPr="5D7FEC20" w:rsidR="02803689">
        <w:rPr>
          <w:rFonts w:ascii="Palatino Linotype" w:hAnsi="Palatino Linotype" w:eastAsia="Palatino Linotype" w:cs="Times New Roman"/>
        </w:rPr>
        <w:t>by</w:t>
      </w:r>
      <w:r w:rsidRPr="5D7FEC20" w:rsidR="5BEC5E61">
        <w:rPr>
          <w:rFonts w:ascii="Palatino Linotype" w:hAnsi="Palatino Linotype" w:eastAsia="Palatino Linotype" w:cs="Times New Roman"/>
        </w:rPr>
        <w:t xml:space="preserve"> </w:t>
      </w:r>
      <w:r w:rsidR="009A393F">
        <w:rPr>
          <w:rFonts w:ascii="Palatino Linotype" w:hAnsi="Palatino Linotype" w:eastAsia="Palatino Linotype" w:cs="Times New Roman"/>
        </w:rPr>
        <w:br/>
      </w:r>
      <w:r w:rsidRPr="5D7FEC20" w:rsidR="5BEC5E61">
        <w:rPr>
          <w:rFonts w:ascii="Palatino Linotype" w:hAnsi="Palatino Linotype" w:eastAsia="Palatino Linotype" w:cs="Times New Roman"/>
        </w:rPr>
        <w:t xml:space="preserve">D.23-11-069 and Public Utilities Code 740.1 in its </w:t>
      </w:r>
      <w:r>
        <w:rPr>
          <w:rFonts w:ascii="Palatino Linotype" w:hAnsi="Palatino Linotype" w:eastAsia="Palatino Linotype" w:cs="Times New Roman"/>
          <w:kern w:val="0"/>
          <w14:ligatures w14:val="none"/>
        </w:rPr>
        <w:t>proposed 2024 Gas RD&amp;D Investment Plan</w:t>
      </w:r>
      <w:r w:rsidR="00B62850">
        <w:rPr>
          <w:rFonts w:ascii="Palatino Linotype" w:hAnsi="Palatino Linotype" w:eastAsia="Palatino Linotype" w:cs="Times New Roman"/>
          <w:kern w:val="0"/>
          <w14:ligatures w14:val="none"/>
        </w:rPr>
        <w:t xml:space="preserve"> submitted via Tier 3 AL 5077-G-A </w:t>
      </w:r>
      <w:r w:rsidR="00AE308C">
        <w:rPr>
          <w:rFonts w:ascii="Palatino Linotype" w:hAnsi="Palatino Linotype" w:eastAsia="Palatino Linotype" w:cs="Times New Roman"/>
          <w:kern w:val="0"/>
          <w14:ligatures w14:val="none"/>
        </w:rPr>
        <w:t xml:space="preserve">where noted in </w:t>
      </w:r>
      <w:r w:rsidRPr="00AE308C" w:rsidR="00C731C8">
        <w:rPr>
          <w:rFonts w:ascii="Palatino Linotype" w:hAnsi="Palatino Linotype"/>
        </w:rPr>
        <w:t>Appendix</w:t>
      </w:r>
      <w:r w:rsidR="009D09F7">
        <w:rPr>
          <w:rFonts w:ascii="Palatino Linotype" w:hAnsi="Palatino Linotype"/>
        </w:rPr>
        <w:t xml:space="preserve"> </w:t>
      </w:r>
      <w:r w:rsidR="009D7122">
        <w:rPr>
          <w:rFonts w:ascii="Palatino Linotype" w:hAnsi="Palatino Linotype"/>
        </w:rPr>
        <w:t>F</w:t>
      </w:r>
      <w:r w:rsidR="61A1D8D5">
        <w:rPr>
          <w:rFonts w:ascii="Palatino Linotype" w:hAnsi="Palatino Linotype"/>
        </w:rPr>
        <w:t>.</w:t>
      </w:r>
    </w:p>
    <w:p w:rsidRPr="00AE308C" w:rsidR="005607F9" w:rsidP="50EBED96" w:rsidRDefault="11FD3EE0" w14:paraId="24BF19D2" w14:textId="763004ED">
      <w:pPr>
        <w:pStyle w:val="ListParagraph"/>
        <w:numPr>
          <w:ilvl w:val="0"/>
          <w:numId w:val="6"/>
        </w:numPr>
        <w:spacing w:line="276" w:lineRule="auto"/>
        <w:rPr>
          <w:rFonts w:ascii="Palatino Linotype" w:hAnsi="Palatino Linotype"/>
          <w:kern w:val="0"/>
          <w14:ligatures w14:val="none"/>
        </w:rPr>
      </w:pPr>
      <w:r w:rsidRPr="50EBED96">
        <w:rPr>
          <w:rFonts w:ascii="Palatino Linotype" w:hAnsi="Palatino Linotype" w:eastAsia="Palatino Linotype" w:cs="Times New Roman"/>
        </w:rPr>
        <w:t xml:space="preserve">PG&amp;E does not demonstrate compliance with the requirements set forth </w:t>
      </w:r>
      <w:r w:rsidRPr="510D2370" w:rsidR="5D9A8EAA">
        <w:rPr>
          <w:rFonts w:ascii="Palatino Linotype" w:hAnsi="Palatino Linotype" w:eastAsia="Palatino Linotype" w:cs="Times New Roman"/>
        </w:rPr>
        <w:t>by</w:t>
      </w:r>
      <w:r w:rsidRPr="50EBED96">
        <w:rPr>
          <w:rFonts w:ascii="Palatino Linotype" w:hAnsi="Palatino Linotype" w:eastAsia="Palatino Linotype" w:cs="Times New Roman"/>
        </w:rPr>
        <w:t xml:space="preserve"> </w:t>
      </w:r>
      <w:r w:rsidR="009A393F">
        <w:rPr>
          <w:rFonts w:ascii="Palatino Linotype" w:hAnsi="Palatino Linotype" w:eastAsia="Palatino Linotype" w:cs="Times New Roman"/>
        </w:rPr>
        <w:br/>
      </w:r>
      <w:r w:rsidRPr="50EBED96">
        <w:rPr>
          <w:rFonts w:ascii="Palatino Linotype" w:hAnsi="Palatino Linotype" w:eastAsia="Palatino Linotype" w:cs="Times New Roman"/>
        </w:rPr>
        <w:t xml:space="preserve">D.23-11-069 and Public Utilities Code 740.1 in its proposed 2025 Gas RD&amp;D Investment Plan submitted via Tier 3 AL </w:t>
      </w:r>
      <w:r w:rsidRPr="01722827">
        <w:rPr>
          <w:rFonts w:ascii="Palatino Linotype" w:hAnsi="Palatino Linotype" w:eastAsia="Palatino Linotype" w:cs="Times New Roman"/>
        </w:rPr>
        <w:t>5069-G</w:t>
      </w:r>
      <w:r w:rsidRPr="50EBED96">
        <w:rPr>
          <w:rFonts w:ascii="Palatino Linotype" w:hAnsi="Palatino Linotype" w:eastAsia="Palatino Linotype" w:cs="Times New Roman"/>
        </w:rPr>
        <w:t xml:space="preserve"> where noted in </w:t>
      </w:r>
      <w:r w:rsidRPr="50EBED96">
        <w:rPr>
          <w:rFonts w:ascii="Palatino Linotype" w:hAnsi="Palatino Linotype"/>
        </w:rPr>
        <w:t xml:space="preserve">Appendix </w:t>
      </w:r>
      <w:r w:rsidR="009D7122">
        <w:rPr>
          <w:rFonts w:ascii="Palatino Linotype" w:hAnsi="Palatino Linotype"/>
        </w:rPr>
        <w:t>G</w:t>
      </w:r>
      <w:r w:rsidRPr="50EBED96">
        <w:rPr>
          <w:rFonts w:ascii="Palatino Linotype" w:hAnsi="Palatino Linotype"/>
        </w:rPr>
        <w:t>.</w:t>
      </w:r>
    </w:p>
    <w:p w:rsidRPr="0023202E" w:rsidR="00B21A1E" w:rsidP="00FF1910" w:rsidRDefault="00B21A1E" w14:paraId="5859FCC4" w14:textId="432E8389">
      <w:pPr>
        <w:pStyle w:val="ListParagraph"/>
        <w:numPr>
          <w:ilvl w:val="0"/>
          <w:numId w:val="6"/>
        </w:numPr>
        <w:spacing w:line="276" w:lineRule="auto"/>
        <w:rPr>
          <w:kern w:val="0"/>
          <w14:ligatures w14:val="none"/>
        </w:rPr>
      </w:pPr>
      <w:r w:rsidRPr="0023202E">
        <w:rPr>
          <w:rFonts w:ascii="Palatino Linotype" w:hAnsi="Palatino Linotype" w:eastAsia="Palatino Linotype" w:cs="Times New Roman"/>
          <w:color w:val="000000" w:themeColor="text1"/>
          <w:kern w:val="0"/>
          <w14:ligatures w14:val="none"/>
        </w:rPr>
        <w:t xml:space="preserve">PG&amp;E responded to an April 4, 2025, Data Request about </w:t>
      </w:r>
      <w:r w:rsidR="004A722F">
        <w:rPr>
          <w:rFonts w:ascii="Palatino Linotype" w:hAnsi="Palatino Linotype" w:eastAsia="Palatino Linotype" w:cs="Times New Roman"/>
          <w:color w:val="000000" w:themeColor="text1"/>
          <w:kern w:val="0"/>
          <w14:ligatures w14:val="none"/>
        </w:rPr>
        <w:t xml:space="preserve">PG&amp;E’s intended role and </w:t>
      </w:r>
      <w:r w:rsidRPr="0023202E">
        <w:rPr>
          <w:rFonts w:ascii="Palatino Linotype" w:hAnsi="Palatino Linotype" w:eastAsia="Palatino Linotype" w:cs="Times New Roman"/>
          <w:color w:val="000000" w:themeColor="text1"/>
          <w:kern w:val="0"/>
          <w14:ligatures w14:val="none"/>
        </w:rPr>
        <w:t xml:space="preserve">proposed funding mechanisms for </w:t>
      </w:r>
      <w:r w:rsidR="004A722F">
        <w:rPr>
          <w:rFonts w:ascii="Palatino Linotype" w:hAnsi="Palatino Linotype" w:eastAsia="Palatino Linotype" w:cs="Times New Roman"/>
          <w:color w:val="000000" w:themeColor="text1"/>
          <w:kern w:val="0"/>
          <w14:ligatures w14:val="none"/>
        </w:rPr>
        <w:t>I</w:t>
      </w:r>
      <w:r w:rsidRPr="0023202E">
        <w:rPr>
          <w:rFonts w:ascii="Palatino Linotype" w:hAnsi="Palatino Linotype" w:eastAsia="Palatino Linotype" w:cs="Times New Roman"/>
          <w:color w:val="000000" w:themeColor="text1"/>
          <w:kern w:val="0"/>
          <w14:ligatures w14:val="none"/>
        </w:rPr>
        <w:t>nitiatives in its 2024 and 2025 Plans</w:t>
      </w:r>
      <w:r w:rsidRPr="0023202E" w:rsidR="4C8FD343">
        <w:rPr>
          <w:rFonts w:ascii="Palatino Linotype" w:hAnsi="Palatino Linotype" w:eastAsia="Palatino Linotype" w:cs="Times New Roman"/>
          <w:color w:val="000000" w:themeColor="text1"/>
          <w:kern w:val="0"/>
          <w14:ligatures w14:val="none"/>
        </w:rPr>
        <w:t xml:space="preserve">, </w:t>
      </w:r>
      <w:r w:rsidRPr="147DF505" w:rsidR="4C8FD343">
        <w:rPr>
          <w:rFonts w:ascii="Palatino Linotype" w:hAnsi="Palatino Linotype" w:eastAsia="Palatino Linotype" w:cs="Palatino Linotype"/>
          <w:color w:val="000000" w:themeColor="text1"/>
        </w:rPr>
        <w:t>including (1) solely funded by PG&amp;E, (2) funded by several Gas RD&amp;D administrators, or (3) consortia.</w:t>
      </w:r>
    </w:p>
    <w:p w:rsidR="00B21A1E" w:rsidP="007B6D38" w:rsidRDefault="00B21A1E" w14:paraId="3D3F7056" w14:textId="6E1BC091">
      <w:pPr>
        <w:pStyle w:val="ListParagraph"/>
        <w:numPr>
          <w:ilvl w:val="0"/>
          <w:numId w:val="6"/>
        </w:numPr>
        <w:spacing w:after="0" w:line="276" w:lineRule="auto"/>
        <w:rPr>
          <w:rFonts w:ascii="Palatino Linotype" w:hAnsi="Palatino Linotype" w:eastAsia="Palatino Linotype" w:cs="Times New Roman"/>
          <w:color w:val="000000" w:themeColor="text1"/>
          <w:kern w:val="0"/>
          <w14:ligatures w14:val="none"/>
        </w:rPr>
      </w:pPr>
      <w:r w:rsidRPr="0023202E">
        <w:rPr>
          <w:rFonts w:ascii="Palatino Linotype" w:hAnsi="Palatino Linotype" w:eastAsia="Palatino Linotype" w:cs="Times New Roman"/>
          <w:color w:val="000000" w:themeColor="text1"/>
          <w:kern w:val="0"/>
          <w14:ligatures w14:val="none"/>
        </w:rPr>
        <w:t xml:space="preserve">PG&amp;E responded to a September 22, 2025, Data Request about </w:t>
      </w:r>
      <w:r w:rsidRPr="0023202E" w:rsidR="3AC16F87">
        <w:rPr>
          <w:rFonts w:ascii="Palatino Linotype" w:hAnsi="Palatino Linotype" w:eastAsia="Palatino Linotype" w:cs="Times New Roman"/>
          <w:color w:val="000000" w:themeColor="text1"/>
          <w:kern w:val="0"/>
          <w14:ligatures w14:val="none"/>
        </w:rPr>
        <w:t xml:space="preserve">the cost recovery request of </w:t>
      </w:r>
      <w:r w:rsidRPr="0023202E">
        <w:rPr>
          <w:rFonts w:ascii="Palatino Linotype" w:hAnsi="Palatino Linotype" w:eastAsia="Palatino Linotype" w:cs="Times New Roman"/>
          <w:color w:val="000000" w:themeColor="text1"/>
          <w:kern w:val="0"/>
          <w14:ligatures w14:val="none"/>
        </w:rPr>
        <w:t xml:space="preserve">$7,207,712 </w:t>
      </w:r>
      <w:r w:rsidRPr="0023202E" w:rsidR="7E146BF3">
        <w:rPr>
          <w:rFonts w:ascii="Palatino Linotype" w:hAnsi="Palatino Linotype" w:eastAsia="Palatino Linotype" w:cs="Times New Roman"/>
          <w:color w:val="000000" w:themeColor="text1"/>
          <w:kern w:val="0"/>
          <w14:ligatures w14:val="none"/>
        </w:rPr>
        <w:t xml:space="preserve">for </w:t>
      </w:r>
      <w:r w:rsidRPr="0023202E">
        <w:rPr>
          <w:rFonts w:ascii="Palatino Linotype" w:hAnsi="Palatino Linotype" w:eastAsia="Palatino Linotype" w:cs="Times New Roman"/>
          <w:color w:val="000000" w:themeColor="text1"/>
          <w:kern w:val="0"/>
          <w14:ligatures w14:val="none"/>
        </w:rPr>
        <w:t>2023</w:t>
      </w:r>
      <w:r w:rsidRPr="0023202E" w:rsidR="0C9F4AE0">
        <w:rPr>
          <w:rFonts w:ascii="Palatino Linotype" w:hAnsi="Palatino Linotype" w:eastAsia="Palatino Linotype" w:cs="Times New Roman"/>
          <w:color w:val="000000" w:themeColor="text1"/>
          <w:kern w:val="0"/>
          <w14:ligatures w14:val="none"/>
        </w:rPr>
        <w:t xml:space="preserve"> and </w:t>
      </w:r>
      <w:r w:rsidRPr="0023202E">
        <w:rPr>
          <w:rFonts w:ascii="Palatino Linotype" w:hAnsi="Palatino Linotype" w:eastAsia="Palatino Linotype" w:cs="Times New Roman"/>
          <w:color w:val="000000" w:themeColor="text1"/>
          <w:kern w:val="0"/>
          <w14:ligatures w14:val="none"/>
        </w:rPr>
        <w:t>2024 compliance with D.23-11-069.</w:t>
      </w:r>
    </w:p>
    <w:p w:rsidRPr="00FE0D20" w:rsidR="4FD9D2BF" w:rsidP="194E5D05" w:rsidRDefault="4FD9D2BF" w14:paraId="440780FA" w14:textId="2D1028F6">
      <w:pPr>
        <w:pStyle w:val="ListParagraph"/>
        <w:numPr>
          <w:ilvl w:val="0"/>
          <w:numId w:val="6"/>
        </w:numPr>
        <w:spacing w:after="0" w:line="276" w:lineRule="auto"/>
        <w:rPr>
          <w:rFonts w:ascii="Palatino Linotype" w:hAnsi="Palatino Linotype" w:eastAsia="Palatino Linotype" w:cs="Times New Roman"/>
          <w:color w:val="000000" w:themeColor="text1"/>
        </w:rPr>
      </w:pPr>
      <w:r w:rsidRPr="194E5D05">
        <w:rPr>
          <w:rFonts w:ascii="Palatino Linotype" w:hAnsi="Palatino Linotype" w:eastAsia="Palatino Linotype" w:cs="Times New Roman"/>
        </w:rPr>
        <w:t xml:space="preserve">PG&amp;E’s Advanced Leak Detection and Repair and Emission Reduction Activities and </w:t>
      </w:r>
      <w:r w:rsidRPr="00FE0D20">
        <w:rPr>
          <w:rFonts w:ascii="Palatino Linotype" w:hAnsi="Palatino Linotype" w:eastAsia="Palatino Linotype" w:cs="Times New Roman"/>
          <w:color w:val="000000" w:themeColor="text1"/>
        </w:rPr>
        <w:t>Refined Reporting Initiatives are potentially duplicative of activities associated with the Natural Gas Leak Abatement (NGLA) Program.</w:t>
      </w:r>
    </w:p>
    <w:p w:rsidRPr="00FE0D20" w:rsidR="00706458" w:rsidP="194E5D05" w:rsidRDefault="007C0F0F" w14:paraId="66871DCE" w14:textId="531C7363">
      <w:pPr>
        <w:pStyle w:val="ListParagraph"/>
        <w:numPr>
          <w:ilvl w:val="0"/>
          <w:numId w:val="6"/>
        </w:numPr>
        <w:spacing w:after="0" w:line="276" w:lineRule="auto"/>
        <w:rPr>
          <w:rFonts w:ascii="Palatino Linotype" w:hAnsi="Palatino Linotype" w:eastAsia="Palatino Linotype" w:cs="Times New Roman"/>
          <w:color w:val="000000" w:themeColor="text1"/>
        </w:rPr>
      </w:pPr>
      <w:r>
        <w:rPr>
          <w:rFonts w:ascii="Palatino Linotype" w:hAnsi="Palatino Linotype" w:eastAsia="Palatino Linotype" w:cs="Times New Roman"/>
          <w:color w:val="000000" w:themeColor="text1"/>
        </w:rPr>
        <w:t xml:space="preserve">The primary objective of </w:t>
      </w:r>
      <w:r w:rsidRPr="00FE0D20" w:rsidR="00706458">
        <w:rPr>
          <w:rFonts w:ascii="Palatino Linotype" w:hAnsi="Palatino Linotype" w:eastAsia="Palatino Linotype" w:cs="Times New Roman"/>
          <w:color w:val="000000" w:themeColor="text1"/>
        </w:rPr>
        <w:t xml:space="preserve">PG&amp;E’s Emission Reduction Activities and Refined Reporting Initiative </w:t>
      </w:r>
      <w:r w:rsidRPr="00FE0D20" w:rsidR="0061208A">
        <w:rPr>
          <w:rFonts w:ascii="Palatino Linotype" w:hAnsi="Palatino Linotype" w:eastAsia="Palatino Linotype" w:cs="Times New Roman"/>
          <w:color w:val="000000" w:themeColor="text1"/>
        </w:rPr>
        <w:t xml:space="preserve">appears to </w:t>
      </w:r>
      <w:r>
        <w:rPr>
          <w:rFonts w:ascii="Palatino Linotype" w:hAnsi="Palatino Linotype" w:eastAsia="Palatino Linotype" w:cs="Times New Roman"/>
          <w:color w:val="000000" w:themeColor="text1"/>
        </w:rPr>
        <w:t>be</w:t>
      </w:r>
      <w:r w:rsidRPr="00FE0D20" w:rsidR="0061208A">
        <w:rPr>
          <w:rFonts w:ascii="Palatino Linotype" w:hAnsi="Palatino Linotype" w:eastAsia="Palatino Linotype" w:cs="Times New Roman"/>
          <w:color w:val="000000" w:themeColor="text1"/>
        </w:rPr>
        <w:t xml:space="preserve"> meeting regulatory </w:t>
      </w:r>
      <w:r w:rsidRPr="00FE0D20" w:rsidR="007F2C2E">
        <w:rPr>
          <w:rFonts w:ascii="Palatino Linotype" w:hAnsi="Palatino Linotype" w:eastAsia="Palatino Linotype" w:cs="Times New Roman"/>
          <w:color w:val="000000" w:themeColor="text1"/>
        </w:rPr>
        <w:t xml:space="preserve">goals </w:t>
      </w:r>
      <w:r>
        <w:rPr>
          <w:rFonts w:ascii="Palatino Linotype" w:hAnsi="Palatino Linotype" w:eastAsia="Palatino Linotype" w:cs="Times New Roman"/>
          <w:color w:val="000000" w:themeColor="text1"/>
        </w:rPr>
        <w:t xml:space="preserve">as opposed to </w:t>
      </w:r>
      <w:r w:rsidRPr="00FE0D20" w:rsidR="007F2C2E">
        <w:rPr>
          <w:rFonts w:ascii="Palatino Linotype" w:hAnsi="Palatino Linotype" w:eastAsia="Palatino Linotype" w:cs="Times New Roman"/>
          <w:color w:val="000000" w:themeColor="text1"/>
        </w:rPr>
        <w:t>provid</w:t>
      </w:r>
      <w:r w:rsidR="00B539C2">
        <w:rPr>
          <w:rFonts w:ascii="Palatino Linotype" w:hAnsi="Palatino Linotype" w:eastAsia="Palatino Linotype" w:cs="Times New Roman"/>
          <w:color w:val="000000" w:themeColor="text1"/>
        </w:rPr>
        <w:t>ing</w:t>
      </w:r>
      <w:r w:rsidRPr="00FE0D20" w:rsidR="007F2C2E">
        <w:rPr>
          <w:rFonts w:ascii="Palatino Linotype" w:hAnsi="Palatino Linotype" w:eastAsia="Palatino Linotype" w:cs="Times New Roman"/>
          <w:color w:val="000000" w:themeColor="text1"/>
        </w:rPr>
        <w:t xml:space="preserve"> ratepayer benefit.</w:t>
      </w:r>
    </w:p>
    <w:p w:rsidR="007C350C" w:rsidP="00706458" w:rsidRDefault="4FD9D2BF" w14:paraId="42947253" w14:textId="3CB0A9B7">
      <w:pPr>
        <w:pStyle w:val="ListParagraph"/>
        <w:numPr>
          <w:ilvl w:val="0"/>
          <w:numId w:val="6"/>
        </w:numPr>
        <w:spacing w:line="276" w:lineRule="auto"/>
        <w:rPr>
          <w:rFonts w:ascii="Palatino Linotype" w:hAnsi="Palatino Linotype" w:eastAsia="Palatino Linotype" w:cs="Times New Roman"/>
          <w:color w:val="000000" w:themeColor="text1"/>
        </w:rPr>
      </w:pPr>
      <w:r w:rsidRPr="00187F22">
        <w:rPr>
          <w:rFonts w:ascii="Palatino Linotype" w:hAnsi="Palatino Linotype" w:eastAsia="Palatino Linotype" w:cs="Times New Roman"/>
          <w:color w:val="000000" w:themeColor="text1"/>
        </w:rPr>
        <w:t>PG&amp;E’s Clean Fuels Integration Initiative is potentially duplicative of activities associated with the Alliance for Renewable Clean Hydrogen Energy Systems (ARCHES) Program and hydrogen blending pilots.</w:t>
      </w:r>
    </w:p>
    <w:p w:rsidRPr="00F80740" w:rsidR="000A2DC7" w:rsidP="000A2DC7" w:rsidRDefault="000A2DC7" w14:paraId="1B55D9A4" w14:textId="77777777">
      <w:pPr>
        <w:pStyle w:val="ListParagraph"/>
        <w:spacing w:line="276" w:lineRule="auto"/>
        <w:rPr>
          <w:rFonts w:ascii="Palatino Linotype" w:hAnsi="Palatino Linotype" w:eastAsia="Palatino Linotype" w:cs="Times New Roman"/>
          <w:color w:val="000000" w:themeColor="text1"/>
        </w:rPr>
      </w:pPr>
    </w:p>
    <w:p w:rsidRPr="001942D0" w:rsidR="00A76F4A" w:rsidP="00361AB6" w:rsidRDefault="00A76F4A" w14:paraId="215FEFCC" w14:textId="4900AB08">
      <w:pPr>
        <w:keepNext/>
        <w:spacing w:before="120" w:after="240" w:line="276" w:lineRule="auto"/>
        <w:outlineLvl w:val="0"/>
        <w:rPr>
          <w:rFonts w:ascii="Palatino Linotype" w:hAnsi="Palatino Linotype" w:eastAsia="Palatino Linotype" w:cs="Times New Roman"/>
          <w:b/>
          <w:caps/>
          <w:kern w:val="28"/>
          <w:u w:val="single"/>
          <w14:ligatures w14:val="none"/>
        </w:rPr>
      </w:pPr>
      <w:r w:rsidRPr="00971F64">
        <w:rPr>
          <w:rFonts w:ascii="Palatino Linotype" w:hAnsi="Palatino Linotype" w:eastAsia="Palatino Linotype" w:cs="Times New Roman"/>
          <w:b/>
          <w:caps/>
          <w:kern w:val="28"/>
          <w:u w:val="single"/>
          <w14:ligatures w14:val="none"/>
        </w:rPr>
        <w:t>Therefore</w:t>
      </w:r>
      <w:r w:rsidRPr="00971F64" w:rsidR="006E3061">
        <w:rPr>
          <w:rFonts w:ascii="Palatino Linotype" w:hAnsi="Palatino Linotype" w:eastAsia="Palatino Linotype" w:cs="Times New Roman"/>
          <w:b/>
          <w:caps/>
          <w:kern w:val="28"/>
          <w:u w:val="single"/>
          <w14:ligatures w14:val="none"/>
        </w:rPr>
        <w:t>,</w:t>
      </w:r>
      <w:r w:rsidRPr="00971F64">
        <w:rPr>
          <w:rFonts w:ascii="Palatino Linotype" w:hAnsi="Palatino Linotype" w:eastAsia="Palatino Linotype" w:cs="Times New Roman"/>
          <w:b/>
          <w:caps/>
          <w:kern w:val="28"/>
          <w:u w:val="single"/>
          <w14:ligatures w14:val="none"/>
        </w:rPr>
        <w:t xml:space="preserve"> it is ordered that:</w:t>
      </w:r>
    </w:p>
    <w:p w:rsidRPr="00A019B7" w:rsidR="00992041" w:rsidP="00FF1910" w:rsidRDefault="00992041" w14:paraId="658CDDAC" w14:textId="6BE5BD2D">
      <w:pPr>
        <w:pStyle w:val="Default"/>
        <w:numPr>
          <w:ilvl w:val="0"/>
          <w:numId w:val="7"/>
        </w:numPr>
        <w:spacing w:line="276" w:lineRule="auto"/>
        <w:rPr>
          <w:rFonts w:eastAsia="Times New Roman"/>
          <w:color w:val="000000" w:themeColor="text1"/>
        </w:rPr>
      </w:pPr>
      <w:r w:rsidRPr="00DD3496">
        <w:rPr>
          <w:rFonts w:eastAsia="Times New Roman" w:cs="Times New Roman"/>
          <w:color w:val="000000" w:themeColor="text1"/>
          <w:szCs w:val="20"/>
          <w14:ligatures w14:val="none"/>
        </w:rPr>
        <w:t>PG&amp;E</w:t>
      </w:r>
      <w:r w:rsidR="001A06A9">
        <w:rPr>
          <w:rFonts w:eastAsia="Times New Roman" w:cs="Times New Roman"/>
          <w:color w:val="000000" w:themeColor="text1"/>
          <w:szCs w:val="20"/>
          <w14:ligatures w14:val="none"/>
        </w:rPr>
        <w:t>’s request</w:t>
      </w:r>
      <w:r w:rsidRPr="00DD3496">
        <w:rPr>
          <w:rFonts w:eastAsia="Times New Roman" w:cs="Times New Roman"/>
          <w:color w:val="000000" w:themeColor="text1"/>
          <w:szCs w:val="20"/>
          <w14:ligatures w14:val="none"/>
        </w:rPr>
        <w:t xml:space="preserve"> </w:t>
      </w:r>
      <w:r w:rsidR="001A06A9">
        <w:rPr>
          <w:rFonts w:eastAsia="Palatino Linotype" w:cs="Times New Roman"/>
          <w:color w:val="000000" w:themeColor="text1"/>
          <w14:ligatures w14:val="none"/>
        </w:rPr>
        <w:t>to</w:t>
      </w:r>
      <w:r w:rsidRPr="00DD3496">
        <w:rPr>
          <w:rFonts w:eastAsia="Palatino Linotype" w:cs="Times New Roman"/>
          <w:color w:val="000000" w:themeColor="text1"/>
          <w14:ligatures w14:val="none"/>
        </w:rPr>
        <w:t xml:space="preserve"> recover $7,207,712 in expense revenue requirements in </w:t>
      </w:r>
      <w:r w:rsidR="001A06A9">
        <w:rPr>
          <w:rFonts w:eastAsia="Palatino Linotype" w:cs="Times New Roman"/>
          <w:color w:val="000000" w:themeColor="text1"/>
          <w14:ligatures w14:val="none"/>
        </w:rPr>
        <w:t xml:space="preserve">AL 5077-G-A is denied. </w:t>
      </w:r>
    </w:p>
    <w:p w:rsidRPr="00922097" w:rsidR="00861079" w:rsidP="00922097" w:rsidRDefault="00F0359F" w14:paraId="0B6C4082" w14:textId="5B31F65B">
      <w:pPr>
        <w:pStyle w:val="10spHanging05"/>
        <w:numPr>
          <w:ilvl w:val="0"/>
          <w:numId w:val="7"/>
        </w:numPr>
        <w:spacing w:after="0" w:line="276" w:lineRule="auto"/>
        <w:rPr>
          <w:rFonts w:ascii="Palatino Linotype" w:hAnsi="Palatino Linotype"/>
          <w:color w:val="000000" w:themeColor="text1"/>
        </w:rPr>
      </w:pPr>
      <w:r w:rsidRPr="003769EF">
        <w:rPr>
          <w:rFonts w:ascii="Palatino Linotype" w:hAnsi="Palatino Linotype"/>
          <w:color w:val="000000" w:themeColor="text1"/>
        </w:rPr>
        <w:lastRenderedPageBreak/>
        <w:t>PG&amp;E’s Advice Letters 5077-G</w:t>
      </w:r>
      <w:r>
        <w:rPr>
          <w:rFonts w:ascii="Palatino Linotype" w:hAnsi="Palatino Linotype"/>
          <w:color w:val="000000" w:themeColor="text1"/>
        </w:rPr>
        <w:t>-A</w:t>
      </w:r>
      <w:r w:rsidRPr="003769EF">
        <w:rPr>
          <w:rFonts w:ascii="Palatino Linotype" w:hAnsi="Palatino Linotype"/>
          <w:color w:val="000000" w:themeColor="text1"/>
        </w:rPr>
        <w:t xml:space="preserve"> and 5069-G proposing for PG&amp;E to record up to $8,092,000 in Gas RD&amp;D expenses </w:t>
      </w:r>
      <w:r>
        <w:rPr>
          <w:rFonts w:ascii="Palatino Linotype" w:hAnsi="Palatino Linotype"/>
          <w:color w:val="000000" w:themeColor="text1"/>
        </w:rPr>
        <w:t>to implement its Calendar Year</w:t>
      </w:r>
      <w:r w:rsidRPr="003769EF">
        <w:rPr>
          <w:rFonts w:ascii="Palatino Linotype" w:hAnsi="Palatino Linotype"/>
          <w:color w:val="000000" w:themeColor="text1"/>
        </w:rPr>
        <w:t xml:space="preserve"> 2024 </w:t>
      </w:r>
      <w:r>
        <w:rPr>
          <w:rFonts w:ascii="Palatino Linotype" w:hAnsi="Palatino Linotype"/>
          <w:color w:val="000000" w:themeColor="text1"/>
        </w:rPr>
        <w:t xml:space="preserve">Plan </w:t>
      </w:r>
      <w:r w:rsidRPr="003769EF">
        <w:rPr>
          <w:rFonts w:ascii="Palatino Linotype" w:hAnsi="Palatino Linotype"/>
          <w:color w:val="000000" w:themeColor="text1"/>
        </w:rPr>
        <w:t>and $8,267,000 for</w:t>
      </w:r>
      <w:r>
        <w:rPr>
          <w:rFonts w:ascii="Palatino Linotype" w:hAnsi="Palatino Linotype"/>
          <w:color w:val="000000" w:themeColor="text1"/>
        </w:rPr>
        <w:t xml:space="preserve"> its Calendar Year</w:t>
      </w:r>
      <w:r w:rsidRPr="003769EF">
        <w:rPr>
          <w:rFonts w:ascii="Palatino Linotype" w:hAnsi="Palatino Linotype"/>
          <w:color w:val="000000" w:themeColor="text1"/>
        </w:rPr>
        <w:t xml:space="preserve"> 2025 </w:t>
      </w:r>
      <w:r>
        <w:rPr>
          <w:rFonts w:ascii="Palatino Linotype" w:hAnsi="Palatino Linotype"/>
          <w:color w:val="000000" w:themeColor="text1"/>
        </w:rPr>
        <w:t xml:space="preserve">Plan </w:t>
      </w:r>
      <w:r w:rsidRPr="00155A94">
        <w:rPr>
          <w:rFonts w:ascii="Palatino Linotype" w:hAnsi="Palatino Linotype"/>
          <w:color w:val="0D0D0D" w:themeColor="text1" w:themeTint="F2"/>
        </w:rPr>
        <w:t>are denied.</w:t>
      </w:r>
    </w:p>
    <w:p w:rsidRPr="00922097" w:rsidR="00CE38B7" w:rsidP="00922097" w:rsidRDefault="00922097" w14:paraId="796CFF47" w14:textId="1ACF3756">
      <w:pPr>
        <w:pStyle w:val="10spHanging05"/>
        <w:numPr>
          <w:ilvl w:val="0"/>
          <w:numId w:val="7"/>
        </w:numPr>
        <w:spacing w:after="0" w:line="276" w:lineRule="auto"/>
        <w:rPr>
          <w:rFonts w:ascii="Palatino Linotype" w:hAnsi="Palatino Linotype" w:eastAsia="Times New Roman"/>
          <w:color w:val="0D0D0D" w:themeColor="text1" w:themeTint="F2"/>
        </w:rPr>
      </w:pPr>
      <w:r w:rsidRPr="00922097">
        <w:rPr>
          <w:rFonts w:ascii="Palatino Linotype" w:hAnsi="Palatino Linotype" w:eastAsia="Times New Roman"/>
          <w:color w:val="0D0D0D" w:themeColor="text1" w:themeTint="F2"/>
        </w:rPr>
        <w:t>For further consideration of its 2024</w:t>
      </w:r>
      <w:r>
        <w:rPr>
          <w:rFonts w:ascii="Palatino Linotype" w:hAnsi="Palatino Linotype" w:eastAsia="Times New Roman"/>
          <w:color w:val="0D0D0D" w:themeColor="text1" w:themeTint="F2"/>
        </w:rPr>
        <w:t xml:space="preserve"> Gas RD&amp;D Investment Plan, </w:t>
      </w:r>
      <w:r w:rsidRPr="00922097" w:rsidR="00724241">
        <w:rPr>
          <w:rFonts w:ascii="Palatino Linotype" w:hAnsi="Palatino Linotype" w:eastAsia="Times New Roman"/>
          <w:color w:val="0D0D0D" w:themeColor="text1" w:themeTint="F2"/>
        </w:rPr>
        <w:t xml:space="preserve">PG&amp;E shall submit a </w:t>
      </w:r>
      <w:r w:rsidRPr="00922097">
        <w:rPr>
          <w:rFonts w:ascii="Palatino Linotype" w:hAnsi="Palatino Linotype" w:eastAsia="Times New Roman"/>
          <w:color w:val="0D0D0D" w:themeColor="text1" w:themeTint="F2"/>
        </w:rPr>
        <w:t xml:space="preserve">revised </w:t>
      </w:r>
      <w:r w:rsidRPr="00922097" w:rsidR="00724241">
        <w:rPr>
          <w:rFonts w:ascii="Palatino Linotype" w:hAnsi="Palatino Linotype" w:eastAsia="Times New Roman"/>
          <w:color w:val="0D0D0D" w:themeColor="text1" w:themeTint="F2"/>
        </w:rPr>
        <w:t xml:space="preserve">Tier </w:t>
      </w:r>
      <w:r w:rsidRPr="00922097" w:rsidR="00CF4F33">
        <w:rPr>
          <w:rFonts w:ascii="Palatino Linotype" w:hAnsi="Palatino Linotype" w:eastAsia="Times New Roman"/>
          <w:color w:val="0D0D0D" w:themeColor="text1" w:themeTint="F2"/>
        </w:rPr>
        <w:t>3</w:t>
      </w:r>
      <w:r w:rsidRPr="00922097" w:rsidR="00724241">
        <w:rPr>
          <w:rFonts w:ascii="Palatino Linotype" w:hAnsi="Palatino Linotype" w:eastAsia="Times New Roman"/>
          <w:color w:val="0D0D0D" w:themeColor="text1" w:themeTint="F2"/>
        </w:rPr>
        <w:t xml:space="preserve"> AL </w:t>
      </w:r>
      <w:r w:rsidRPr="00922097" w:rsidR="00D067D3">
        <w:rPr>
          <w:rFonts w:ascii="Palatino Linotype" w:hAnsi="Palatino Linotype" w:eastAsia="Times New Roman"/>
          <w:color w:val="0D0D0D" w:themeColor="text1" w:themeTint="F2"/>
        </w:rPr>
        <w:t xml:space="preserve">addressing all compliance issues </w:t>
      </w:r>
      <w:r w:rsidR="0076707E">
        <w:rPr>
          <w:rFonts w:ascii="Palatino Linotype" w:hAnsi="Palatino Linotype" w:eastAsia="Times New Roman"/>
          <w:color w:val="0D0D0D" w:themeColor="text1" w:themeTint="F2"/>
        </w:rPr>
        <w:t xml:space="preserve">outlined </w:t>
      </w:r>
      <w:r w:rsidRPr="00922097" w:rsidR="00D067D3">
        <w:rPr>
          <w:rFonts w:ascii="Palatino Linotype" w:hAnsi="Palatino Linotype" w:eastAsia="Times New Roman"/>
          <w:color w:val="0D0D0D" w:themeColor="text1" w:themeTint="F2"/>
        </w:rPr>
        <w:t xml:space="preserve">in Appendix </w:t>
      </w:r>
      <w:r w:rsidRPr="00922097" w:rsidR="00A937EA">
        <w:rPr>
          <w:rFonts w:ascii="Palatino Linotype" w:hAnsi="Palatino Linotype" w:eastAsia="Times New Roman"/>
          <w:color w:val="0D0D0D" w:themeColor="text1" w:themeTint="F2"/>
        </w:rPr>
        <w:t xml:space="preserve">F </w:t>
      </w:r>
      <w:r w:rsidRPr="00922097" w:rsidR="00D34ECB">
        <w:rPr>
          <w:rFonts w:ascii="Palatino Linotype" w:hAnsi="Palatino Linotype" w:eastAsia="Times New Roman"/>
          <w:color w:val="0D0D0D" w:themeColor="text1" w:themeTint="F2"/>
        </w:rPr>
        <w:t xml:space="preserve">within </w:t>
      </w:r>
      <w:r w:rsidRPr="00922097" w:rsidR="000F0EF0">
        <w:rPr>
          <w:rFonts w:ascii="Palatino Linotype" w:hAnsi="Palatino Linotype" w:eastAsia="Times New Roman"/>
          <w:color w:val="000000" w:themeColor="text1"/>
        </w:rPr>
        <w:t>60</w:t>
      </w:r>
      <w:r w:rsidRPr="00922097" w:rsidR="00D34ECB">
        <w:rPr>
          <w:rFonts w:ascii="Palatino Linotype" w:hAnsi="Palatino Linotype" w:eastAsia="Times New Roman"/>
          <w:color w:val="0D0D0D" w:themeColor="text1" w:themeTint="F2"/>
        </w:rPr>
        <w:t xml:space="preserve"> days </w:t>
      </w:r>
      <w:r w:rsidRPr="00922097" w:rsidR="004F6E62">
        <w:rPr>
          <w:rFonts w:ascii="Palatino Linotype" w:hAnsi="Palatino Linotype" w:eastAsia="Times New Roman"/>
          <w:color w:val="0D0D0D" w:themeColor="text1" w:themeTint="F2"/>
        </w:rPr>
        <w:t xml:space="preserve">and </w:t>
      </w:r>
      <w:r w:rsidRPr="00922097" w:rsidR="00CE38B7">
        <w:rPr>
          <w:rFonts w:ascii="Palatino Linotype" w:hAnsi="Palatino Linotype" w:eastAsia="Times New Roman"/>
          <w:color w:val="0D0D0D" w:themeColor="text1" w:themeTint="F2"/>
        </w:rPr>
        <w:t xml:space="preserve">attach to its Advice Letter: 1) a track-change version of its original Plan; 2) a clean version of its updated Plan; </w:t>
      </w:r>
      <w:r w:rsidRPr="00922097" w:rsidR="000137DA">
        <w:rPr>
          <w:rFonts w:ascii="Palatino Linotype" w:hAnsi="Palatino Linotype" w:eastAsia="Times New Roman"/>
          <w:color w:val="0D0D0D" w:themeColor="text1" w:themeTint="F2"/>
        </w:rPr>
        <w:t xml:space="preserve">and </w:t>
      </w:r>
      <w:r w:rsidRPr="00922097" w:rsidR="00CE38B7">
        <w:rPr>
          <w:rFonts w:ascii="Palatino Linotype" w:hAnsi="Palatino Linotype" w:eastAsia="Times New Roman"/>
          <w:color w:val="0D0D0D" w:themeColor="text1" w:themeTint="F2"/>
        </w:rPr>
        <w:t xml:space="preserve">3) a table describing the </w:t>
      </w:r>
      <w:r w:rsidRPr="00922097" w:rsidR="009C0846">
        <w:rPr>
          <w:rFonts w:ascii="Palatino Linotype" w:hAnsi="Palatino Linotype" w:eastAsia="Times New Roman"/>
          <w:color w:val="0D0D0D" w:themeColor="text1" w:themeTint="F2"/>
        </w:rPr>
        <w:t>modifications made per</w:t>
      </w:r>
      <w:r w:rsidRPr="00922097" w:rsidR="00CE38B7">
        <w:rPr>
          <w:rFonts w:ascii="Palatino Linotype" w:hAnsi="Palatino Linotype" w:eastAsia="Times New Roman"/>
          <w:color w:val="0D0D0D" w:themeColor="text1" w:themeTint="F2"/>
        </w:rPr>
        <w:t xml:space="preserve"> </w:t>
      </w:r>
      <w:r w:rsidRPr="00922097" w:rsidR="000137DA">
        <w:rPr>
          <w:rFonts w:ascii="Palatino Linotype" w:hAnsi="Palatino Linotype" w:eastAsia="Times New Roman"/>
          <w:color w:val="0D0D0D" w:themeColor="text1" w:themeTint="F2"/>
        </w:rPr>
        <w:t>the compliance issues detailed in the appendix of this Resolution</w:t>
      </w:r>
      <w:r w:rsidR="007001C1">
        <w:rPr>
          <w:rFonts w:ascii="Palatino Linotype" w:hAnsi="Palatino Linotype" w:eastAsia="Times New Roman"/>
          <w:color w:val="0D0D0D" w:themeColor="text1" w:themeTint="F2"/>
        </w:rPr>
        <w:t>.</w:t>
      </w:r>
      <w:r w:rsidR="008F35A2">
        <w:rPr>
          <w:rStyle w:val="FootnoteReference"/>
          <w:rFonts w:ascii="Palatino Linotype" w:hAnsi="Palatino Linotype" w:eastAsia="Times New Roman"/>
          <w:color w:val="0D0D0D" w:themeColor="text1" w:themeTint="F2"/>
        </w:rPr>
        <w:footnoteReference w:id="113"/>
      </w:r>
      <w:r w:rsidRPr="00922097" w:rsidR="009C0846">
        <w:rPr>
          <w:rFonts w:ascii="Palatino Linotype" w:hAnsi="Palatino Linotype" w:eastAsia="Times New Roman"/>
          <w:color w:val="0D0D0D" w:themeColor="text1" w:themeTint="F2"/>
        </w:rPr>
        <w:t xml:space="preserve"> </w:t>
      </w:r>
    </w:p>
    <w:p w:rsidR="00B95152" w:rsidP="00FF1910" w:rsidRDefault="007001C1" w14:paraId="00A09F1C" w14:textId="10873246">
      <w:pPr>
        <w:pStyle w:val="10spHanging05"/>
        <w:numPr>
          <w:ilvl w:val="0"/>
          <w:numId w:val="7"/>
        </w:numPr>
        <w:spacing w:after="0" w:line="276" w:lineRule="auto"/>
        <w:rPr>
          <w:rFonts w:ascii="Palatino Linotype" w:hAnsi="Palatino Linotype" w:eastAsia="Times New Roman"/>
          <w:color w:val="0D0D0D" w:themeColor="text1" w:themeTint="F2"/>
        </w:rPr>
      </w:pPr>
      <w:r w:rsidRPr="00922097">
        <w:rPr>
          <w:rFonts w:ascii="Palatino Linotype" w:hAnsi="Palatino Linotype" w:eastAsia="Times New Roman"/>
          <w:color w:val="0D0D0D" w:themeColor="text1" w:themeTint="F2"/>
        </w:rPr>
        <w:t>For further consideration of its 202</w:t>
      </w:r>
      <w:r>
        <w:rPr>
          <w:rFonts w:ascii="Palatino Linotype" w:hAnsi="Palatino Linotype" w:eastAsia="Times New Roman"/>
          <w:color w:val="0D0D0D" w:themeColor="text1" w:themeTint="F2"/>
        </w:rPr>
        <w:t xml:space="preserve">5 Gas RD&amp;D Investment Plan, </w:t>
      </w:r>
      <w:r w:rsidRPr="00B95152" w:rsidR="00B95152">
        <w:rPr>
          <w:rFonts w:ascii="Palatino Linotype" w:hAnsi="Palatino Linotype" w:eastAsia="Times New Roman"/>
          <w:color w:val="0D0D0D" w:themeColor="text1" w:themeTint="F2"/>
        </w:rPr>
        <w:t xml:space="preserve">PG&amp;E shall submit a </w:t>
      </w:r>
      <w:r>
        <w:rPr>
          <w:rFonts w:ascii="Palatino Linotype" w:hAnsi="Palatino Linotype" w:eastAsia="Times New Roman"/>
          <w:color w:val="0D0D0D" w:themeColor="text1" w:themeTint="F2"/>
        </w:rPr>
        <w:t xml:space="preserve">revised </w:t>
      </w:r>
      <w:r w:rsidRPr="00B95152" w:rsidR="00B95152">
        <w:rPr>
          <w:rFonts w:ascii="Palatino Linotype" w:hAnsi="Palatino Linotype" w:eastAsia="Times New Roman"/>
          <w:color w:val="0D0D0D" w:themeColor="text1" w:themeTint="F2"/>
        </w:rPr>
        <w:t xml:space="preserve">Tier </w:t>
      </w:r>
      <w:r w:rsidR="00CF4F33">
        <w:rPr>
          <w:rFonts w:ascii="Palatino Linotype" w:hAnsi="Palatino Linotype" w:eastAsia="Times New Roman"/>
          <w:color w:val="0D0D0D" w:themeColor="text1" w:themeTint="F2"/>
        </w:rPr>
        <w:t>3</w:t>
      </w:r>
      <w:r w:rsidRPr="00B95152" w:rsidR="00B95152">
        <w:rPr>
          <w:rFonts w:ascii="Palatino Linotype" w:hAnsi="Palatino Linotype" w:eastAsia="Times New Roman"/>
          <w:color w:val="0D0D0D" w:themeColor="text1" w:themeTint="F2"/>
        </w:rPr>
        <w:t xml:space="preserve"> AL </w:t>
      </w:r>
      <w:r w:rsidR="00472E94">
        <w:rPr>
          <w:rFonts w:ascii="Palatino Linotype" w:hAnsi="Palatino Linotype" w:eastAsia="Times New Roman"/>
          <w:color w:val="0D0D0D" w:themeColor="text1" w:themeTint="F2"/>
        </w:rPr>
        <w:t>a</w:t>
      </w:r>
      <w:r w:rsidRPr="00922097" w:rsidR="00472E94">
        <w:rPr>
          <w:rFonts w:ascii="Palatino Linotype" w:hAnsi="Palatino Linotype" w:eastAsia="Times New Roman"/>
          <w:color w:val="0D0D0D" w:themeColor="text1" w:themeTint="F2"/>
        </w:rPr>
        <w:t xml:space="preserve">ddressing all compliance issues </w:t>
      </w:r>
      <w:r w:rsidR="00472E94">
        <w:rPr>
          <w:rFonts w:ascii="Palatino Linotype" w:hAnsi="Palatino Linotype" w:eastAsia="Times New Roman"/>
          <w:color w:val="0D0D0D" w:themeColor="text1" w:themeTint="F2"/>
        </w:rPr>
        <w:t xml:space="preserve">outlined </w:t>
      </w:r>
      <w:r w:rsidRPr="00922097" w:rsidR="00472E94">
        <w:rPr>
          <w:rFonts w:ascii="Palatino Linotype" w:hAnsi="Palatino Linotype" w:eastAsia="Times New Roman"/>
          <w:color w:val="0D0D0D" w:themeColor="text1" w:themeTint="F2"/>
        </w:rPr>
        <w:t xml:space="preserve">in Appendix </w:t>
      </w:r>
      <w:r w:rsidR="000C2A69">
        <w:rPr>
          <w:rFonts w:ascii="Palatino Linotype" w:hAnsi="Palatino Linotype" w:eastAsia="Times New Roman"/>
          <w:color w:val="0D0D0D" w:themeColor="text1" w:themeTint="F2"/>
        </w:rPr>
        <w:t>G</w:t>
      </w:r>
      <w:r w:rsidRPr="00922097" w:rsidR="00472E94">
        <w:rPr>
          <w:rFonts w:ascii="Palatino Linotype" w:hAnsi="Palatino Linotype" w:eastAsia="Times New Roman"/>
          <w:color w:val="0D0D0D" w:themeColor="text1" w:themeTint="F2"/>
        </w:rPr>
        <w:t xml:space="preserve"> </w:t>
      </w:r>
      <w:r w:rsidRPr="00B95152" w:rsidR="00B95152">
        <w:rPr>
          <w:rFonts w:ascii="Palatino Linotype" w:hAnsi="Palatino Linotype" w:eastAsia="Times New Roman"/>
          <w:color w:val="0D0D0D" w:themeColor="text1" w:themeTint="F2"/>
        </w:rPr>
        <w:t xml:space="preserve">within </w:t>
      </w:r>
      <w:r w:rsidRPr="007C4AE0" w:rsidR="00852649">
        <w:rPr>
          <w:rFonts w:ascii="Palatino Linotype" w:hAnsi="Palatino Linotype" w:eastAsia="Times New Roman"/>
          <w:color w:val="000000" w:themeColor="text1"/>
        </w:rPr>
        <w:t>60</w:t>
      </w:r>
      <w:r w:rsidRPr="00B95152" w:rsidR="00B95152">
        <w:rPr>
          <w:rFonts w:ascii="Palatino Linotype" w:hAnsi="Palatino Linotype" w:eastAsia="Times New Roman"/>
          <w:color w:val="0D0D0D" w:themeColor="text1" w:themeTint="F2"/>
        </w:rPr>
        <w:t xml:space="preserve"> days </w:t>
      </w:r>
      <w:r w:rsidR="004F6E62">
        <w:rPr>
          <w:rFonts w:ascii="Palatino Linotype" w:hAnsi="Palatino Linotype" w:eastAsia="Times New Roman"/>
          <w:color w:val="0D0D0D" w:themeColor="text1" w:themeTint="F2"/>
        </w:rPr>
        <w:t xml:space="preserve">and </w:t>
      </w:r>
      <w:r w:rsidRPr="00B95152" w:rsidR="00B95152">
        <w:rPr>
          <w:rFonts w:ascii="Palatino Linotype" w:hAnsi="Palatino Linotype" w:eastAsia="Times New Roman"/>
          <w:color w:val="0D0D0D" w:themeColor="text1" w:themeTint="F2"/>
        </w:rPr>
        <w:t xml:space="preserve">attach to its Advice Letter: 1) a track-change version of its original Plan; 2) a clean version of its updated Plan; </w:t>
      </w:r>
      <w:r w:rsidR="000137DA">
        <w:rPr>
          <w:rFonts w:ascii="Palatino Linotype" w:hAnsi="Palatino Linotype" w:eastAsia="Times New Roman"/>
          <w:color w:val="0D0D0D" w:themeColor="text1" w:themeTint="F2"/>
        </w:rPr>
        <w:t xml:space="preserve">and </w:t>
      </w:r>
      <w:r w:rsidRPr="00B95152" w:rsidR="00B95152">
        <w:rPr>
          <w:rFonts w:ascii="Palatino Linotype" w:hAnsi="Palatino Linotype" w:eastAsia="Times New Roman"/>
          <w:color w:val="0D0D0D" w:themeColor="text1" w:themeTint="F2"/>
        </w:rPr>
        <w:t xml:space="preserve">3) </w:t>
      </w:r>
      <w:r w:rsidRPr="00B95152" w:rsidR="000137DA">
        <w:rPr>
          <w:rFonts w:ascii="Palatino Linotype" w:hAnsi="Palatino Linotype" w:eastAsia="Times New Roman"/>
          <w:color w:val="0D0D0D" w:themeColor="text1" w:themeTint="F2"/>
        </w:rPr>
        <w:t xml:space="preserve">a table </w:t>
      </w:r>
      <w:r w:rsidRPr="000137DA" w:rsidR="000137DA">
        <w:rPr>
          <w:rFonts w:ascii="Palatino Linotype" w:hAnsi="Palatino Linotype" w:eastAsia="Times New Roman"/>
          <w:color w:val="0D0D0D" w:themeColor="text1" w:themeTint="F2"/>
        </w:rPr>
        <w:t xml:space="preserve">describing the </w:t>
      </w:r>
      <w:r w:rsidR="009C0846">
        <w:rPr>
          <w:rFonts w:ascii="Palatino Linotype" w:hAnsi="Palatino Linotype" w:eastAsia="Times New Roman"/>
          <w:color w:val="0D0D0D" w:themeColor="text1" w:themeTint="F2"/>
        </w:rPr>
        <w:t>modifications made per</w:t>
      </w:r>
      <w:r w:rsidRPr="000137DA" w:rsidR="009C0846">
        <w:rPr>
          <w:rFonts w:ascii="Palatino Linotype" w:hAnsi="Palatino Linotype" w:eastAsia="Times New Roman"/>
          <w:color w:val="0D0D0D" w:themeColor="text1" w:themeTint="F2"/>
        </w:rPr>
        <w:t xml:space="preserve"> </w:t>
      </w:r>
      <w:r w:rsidRPr="000137DA" w:rsidR="000137DA">
        <w:rPr>
          <w:rFonts w:ascii="Palatino Linotype" w:hAnsi="Palatino Linotype" w:eastAsia="Times New Roman"/>
          <w:color w:val="0D0D0D" w:themeColor="text1" w:themeTint="F2"/>
        </w:rPr>
        <w:t>the compliance issues detailed in the appendi</w:t>
      </w:r>
      <w:r w:rsidR="000137DA">
        <w:rPr>
          <w:rFonts w:ascii="Palatino Linotype" w:hAnsi="Palatino Linotype" w:eastAsia="Times New Roman"/>
          <w:color w:val="0D0D0D" w:themeColor="text1" w:themeTint="F2"/>
        </w:rPr>
        <w:t>x</w:t>
      </w:r>
      <w:r w:rsidRPr="000137DA" w:rsidR="000137DA">
        <w:rPr>
          <w:rFonts w:ascii="Palatino Linotype" w:hAnsi="Palatino Linotype" w:eastAsia="Times New Roman"/>
          <w:color w:val="0D0D0D" w:themeColor="text1" w:themeTint="F2"/>
        </w:rPr>
        <w:t xml:space="preserve"> of this Resolution</w:t>
      </w:r>
      <w:r w:rsidR="003B7903">
        <w:rPr>
          <w:rFonts w:ascii="Palatino Linotype" w:hAnsi="Palatino Linotype" w:eastAsia="Times New Roman"/>
          <w:color w:val="0D0D0D" w:themeColor="text1" w:themeTint="F2"/>
        </w:rPr>
        <w:t>.</w:t>
      </w:r>
      <w:r w:rsidR="001B690F">
        <w:rPr>
          <w:rStyle w:val="FootnoteReference"/>
          <w:rFonts w:ascii="Palatino Linotype" w:hAnsi="Palatino Linotype" w:eastAsia="Times New Roman"/>
          <w:color w:val="0D0D0D" w:themeColor="text1" w:themeTint="F2"/>
        </w:rPr>
        <w:footnoteReference w:id="114"/>
      </w:r>
      <w:r w:rsidR="00F16760">
        <w:rPr>
          <w:rFonts w:ascii="Palatino Linotype" w:hAnsi="Palatino Linotype" w:eastAsia="Times New Roman"/>
          <w:color w:val="0D0D0D" w:themeColor="text1" w:themeTint="F2"/>
        </w:rPr>
        <w:t xml:space="preserve"> </w:t>
      </w:r>
    </w:p>
    <w:p w:rsidRPr="00E556E5" w:rsidR="006B04A8" w:rsidP="003B7903" w:rsidRDefault="006B04A8" w14:paraId="6A73F428" w14:textId="3BC082C0">
      <w:pPr>
        <w:pStyle w:val="10spHanging05"/>
        <w:numPr>
          <w:ilvl w:val="0"/>
          <w:numId w:val="7"/>
        </w:numPr>
        <w:spacing w:after="0" w:line="276" w:lineRule="auto"/>
        <w:rPr>
          <w:rFonts w:ascii="Palatino Linotype" w:hAnsi="Palatino Linotype"/>
          <w:color w:val="0D0D0D" w:themeColor="text1" w:themeTint="F2"/>
        </w:rPr>
      </w:pPr>
      <w:r w:rsidRPr="36C85E4C">
        <w:rPr>
          <w:rFonts w:ascii="Palatino Linotype" w:hAnsi="Palatino Linotype"/>
          <w:color w:val="0D0D0D" w:themeColor="text1" w:themeTint="F2"/>
        </w:rPr>
        <w:t xml:space="preserve">PG&amp;E shall allocate $56,987 toward its proportional share of a comprehensive Gas RD&amp;D Database. </w:t>
      </w:r>
    </w:p>
    <w:p w:rsidRPr="001853D8" w:rsidR="00D42242" w:rsidP="00D42242" w:rsidRDefault="19485EE1" w14:paraId="30757BA2" w14:textId="7061847C">
      <w:pPr>
        <w:pStyle w:val="10spHanging05"/>
        <w:numPr>
          <w:ilvl w:val="0"/>
          <w:numId w:val="7"/>
        </w:numPr>
        <w:spacing w:after="0" w:line="276" w:lineRule="auto"/>
        <w:rPr>
          <w:rFonts w:ascii="Palatino Linotype" w:hAnsi="Palatino Linotype" w:eastAsia="Times New Roman"/>
          <w:color w:val="0D0D0D" w:themeColor="text1" w:themeTint="F2"/>
        </w:rPr>
      </w:pPr>
      <w:r w:rsidRPr="001853D8">
        <w:rPr>
          <w:rFonts w:ascii="Palatino Linotype" w:hAnsi="Palatino Linotype" w:eastAsia="Times New Roman"/>
          <w:color w:val="0D0D0D" w:themeColor="text1" w:themeTint="F2"/>
        </w:rPr>
        <w:t>The</w:t>
      </w:r>
      <w:r w:rsidRPr="001853D8" w:rsidR="4473C335">
        <w:rPr>
          <w:rFonts w:ascii="Palatino Linotype" w:hAnsi="Palatino Linotype" w:eastAsia="Times New Roman"/>
          <w:color w:val="0D0D0D" w:themeColor="text1" w:themeTint="F2"/>
        </w:rPr>
        <w:t xml:space="preserve"> </w:t>
      </w:r>
      <w:r w:rsidRPr="001853D8" w:rsidR="00494FDE">
        <w:rPr>
          <w:rFonts w:ascii="Palatino Linotype" w:hAnsi="Palatino Linotype" w:eastAsia="Times New Roman"/>
          <w:color w:val="0D0D0D" w:themeColor="text1" w:themeTint="F2"/>
        </w:rPr>
        <w:t>schedule described in this Resolution</w:t>
      </w:r>
      <w:r w:rsidRPr="001853D8" w:rsidR="4473C335">
        <w:rPr>
          <w:rFonts w:ascii="Palatino Linotype" w:hAnsi="Palatino Linotype" w:eastAsia="Times New Roman"/>
          <w:color w:val="0D0D0D" w:themeColor="text1" w:themeTint="F2"/>
        </w:rPr>
        <w:t xml:space="preserve"> shall apply for PG&amp;E’s Calendar Year 2026 Gas RD&amp;D Investment Plan and </w:t>
      </w:r>
      <w:r w:rsidRPr="001853D8" w:rsidR="00D72F33">
        <w:rPr>
          <w:rFonts w:ascii="Palatino Linotype" w:hAnsi="Palatino Linotype" w:eastAsia="Times New Roman"/>
          <w:color w:val="0D0D0D" w:themeColor="text1" w:themeTint="F2"/>
        </w:rPr>
        <w:t>beyond</w:t>
      </w:r>
      <w:r w:rsidRPr="001853D8" w:rsidR="009E0C08">
        <w:rPr>
          <w:rFonts w:ascii="Palatino Linotype" w:hAnsi="Palatino Linotype" w:eastAsia="Times New Roman"/>
          <w:color w:val="0D0D0D" w:themeColor="text1" w:themeTint="F2"/>
        </w:rPr>
        <w:t>,</w:t>
      </w:r>
      <w:r w:rsidRPr="001853D8" w:rsidR="00C73E69">
        <w:rPr>
          <w:rFonts w:ascii="Palatino Linotype" w:hAnsi="Palatino Linotype" w:eastAsia="Times New Roman"/>
          <w:color w:val="000000" w:themeColor="text1"/>
        </w:rPr>
        <w:t xml:space="preserve"> </w:t>
      </w:r>
      <w:r w:rsidRPr="001853D8" w:rsidR="00D72F33">
        <w:rPr>
          <w:rFonts w:ascii="Palatino Linotype" w:hAnsi="Palatino Linotype" w:eastAsia="Times New Roman"/>
          <w:color w:val="000000" w:themeColor="text1"/>
        </w:rPr>
        <w:t xml:space="preserve">unless </w:t>
      </w:r>
      <w:r w:rsidRPr="001853D8" w:rsidR="00C73E69">
        <w:rPr>
          <w:rFonts w:ascii="Palatino Linotype" w:hAnsi="Palatino Linotype" w:eastAsia="Times New Roman"/>
          <w:color w:val="000000" w:themeColor="text1"/>
        </w:rPr>
        <w:t xml:space="preserve">otherwise </w:t>
      </w:r>
      <w:r w:rsidRPr="001853D8" w:rsidR="00E067F5">
        <w:rPr>
          <w:rFonts w:ascii="Palatino Linotype" w:hAnsi="Palatino Linotype" w:eastAsia="Times New Roman"/>
          <w:color w:val="000000" w:themeColor="text1"/>
        </w:rPr>
        <w:t>advised</w:t>
      </w:r>
      <w:r w:rsidRPr="001853D8" w:rsidR="00C73E69">
        <w:rPr>
          <w:rFonts w:ascii="Palatino Linotype" w:hAnsi="Palatino Linotype" w:eastAsia="Times New Roman"/>
          <w:color w:val="000000" w:themeColor="text1"/>
        </w:rPr>
        <w:t xml:space="preserve"> b</w:t>
      </w:r>
      <w:r w:rsidRPr="001853D8" w:rsidR="00E64B6E">
        <w:rPr>
          <w:rFonts w:ascii="Palatino Linotype" w:hAnsi="Palatino Linotype" w:eastAsia="Times New Roman"/>
          <w:color w:val="000000" w:themeColor="text1"/>
        </w:rPr>
        <w:t>y E</w:t>
      </w:r>
      <w:r w:rsidR="00820BE9">
        <w:rPr>
          <w:rFonts w:ascii="Palatino Linotype" w:hAnsi="Palatino Linotype" w:eastAsia="Times New Roman"/>
          <w:color w:val="000000" w:themeColor="text1"/>
        </w:rPr>
        <w:t>nergy Division</w:t>
      </w:r>
      <w:r w:rsidRPr="001853D8" w:rsidR="3F9951D5">
        <w:rPr>
          <w:rFonts w:ascii="Palatino Linotype" w:hAnsi="Palatino Linotype" w:eastAsia="Times New Roman"/>
          <w:color w:val="000000" w:themeColor="text1"/>
        </w:rPr>
        <w:t>.</w:t>
      </w:r>
    </w:p>
    <w:p w:rsidRPr="00852024" w:rsidR="4473C335" w:rsidP="00852024" w:rsidRDefault="4473C335" w14:paraId="56247977" w14:textId="03139372">
      <w:pPr>
        <w:pStyle w:val="10spHanging05"/>
        <w:numPr>
          <w:ilvl w:val="0"/>
          <w:numId w:val="7"/>
        </w:numPr>
        <w:spacing w:after="0" w:line="276" w:lineRule="auto"/>
        <w:rPr>
          <w:rFonts w:ascii="Palatino Linotype" w:hAnsi="Palatino Linotype" w:eastAsia="Times New Roman"/>
          <w:color w:val="0D0D0D" w:themeColor="text1" w:themeTint="F2"/>
        </w:rPr>
      </w:pPr>
      <w:r w:rsidRPr="2D2ED5C9">
        <w:rPr>
          <w:rFonts w:ascii="Palatino Linotype" w:hAnsi="Palatino Linotype" w:eastAsia="Times New Roman"/>
          <w:color w:val="0D0D0D" w:themeColor="text1" w:themeTint="F2"/>
        </w:rPr>
        <w:t xml:space="preserve">Consistent with existing Commission guidance, the requirements </w:t>
      </w:r>
      <w:r w:rsidR="00C368AB">
        <w:rPr>
          <w:rFonts w:ascii="Palatino Linotype" w:hAnsi="Palatino Linotype" w:eastAsia="Times New Roman"/>
          <w:color w:val="0D0D0D" w:themeColor="text1" w:themeTint="F2"/>
        </w:rPr>
        <w:t xml:space="preserve">outlined in the </w:t>
      </w:r>
      <w:r w:rsidRPr="00C368AB" w:rsidR="00C368AB">
        <w:rPr>
          <w:rFonts w:ascii="Palatino Linotype" w:hAnsi="Palatino Linotype" w:eastAsia="Times New Roman"/>
          <w:color w:val="0D0D0D" w:themeColor="text1" w:themeTint="F2"/>
        </w:rPr>
        <w:t>2026 Gas RD&amp;D Investment Plan and Beyond</w:t>
      </w:r>
      <w:r w:rsidR="00C368AB">
        <w:rPr>
          <w:rFonts w:ascii="Palatino Linotype" w:hAnsi="Palatino Linotype" w:eastAsia="Times New Roman"/>
          <w:color w:val="0D0D0D" w:themeColor="text1" w:themeTint="F2"/>
        </w:rPr>
        <w:t xml:space="preserve"> section of this Resolution</w:t>
      </w:r>
      <w:r w:rsidR="00C368AB">
        <w:rPr>
          <w:rStyle w:val="FootnoteReference"/>
          <w:rFonts w:ascii="Palatino Linotype" w:hAnsi="Palatino Linotype" w:eastAsia="Times New Roman"/>
          <w:color w:val="0D0D0D" w:themeColor="text1" w:themeTint="F2"/>
        </w:rPr>
        <w:footnoteReference w:id="115"/>
      </w:r>
      <w:r w:rsidR="00852024">
        <w:rPr>
          <w:rFonts w:ascii="Palatino Linotype" w:hAnsi="Palatino Linotype" w:eastAsia="Times New Roman"/>
          <w:color w:val="0D0D0D" w:themeColor="text1" w:themeTint="F2"/>
        </w:rPr>
        <w:t xml:space="preserve"> </w:t>
      </w:r>
      <w:r w:rsidRPr="00852024">
        <w:rPr>
          <w:rFonts w:ascii="Palatino Linotype" w:hAnsi="Palatino Linotype" w:eastAsia="Times New Roman"/>
          <w:color w:val="0D0D0D" w:themeColor="text1" w:themeTint="F2"/>
        </w:rPr>
        <w:t>shall apply</w:t>
      </w:r>
      <w:r w:rsidRPr="00852024" w:rsidR="25E8DCB7">
        <w:rPr>
          <w:rFonts w:ascii="Palatino Linotype" w:hAnsi="Palatino Linotype" w:eastAsia="Times New Roman"/>
          <w:color w:val="0D0D0D" w:themeColor="text1" w:themeTint="F2"/>
        </w:rPr>
        <w:t>.</w:t>
      </w:r>
    </w:p>
    <w:p w:rsidRPr="00877755" w:rsidR="002217CC" w:rsidP="00E44358" w:rsidRDefault="002217CC" w14:paraId="72108F37" w14:textId="0551490C">
      <w:pPr>
        <w:numPr>
          <w:ilvl w:val="0"/>
          <w:numId w:val="7"/>
        </w:numPr>
        <w:spacing w:after="0" w:line="276" w:lineRule="auto"/>
        <w:rPr>
          <w:rFonts w:ascii="Palatino Linotype" w:hAnsi="Palatino Linotype" w:eastAsia="Palatino Linotype" w:cs="Palatino Linotype"/>
          <w:color w:val="000000" w:themeColor="text1"/>
        </w:rPr>
      </w:pPr>
      <w:r w:rsidRPr="00877755">
        <w:rPr>
          <w:rFonts w:ascii="Palatino Linotype" w:hAnsi="Palatino Linotype" w:eastAsia="Palatino Linotype" w:cs="Palatino Linotype"/>
          <w:color w:val="000000" w:themeColor="text1"/>
        </w:rPr>
        <w:t>Unspent Gas RD&amp;D funds shall be returned to ra</w:t>
      </w:r>
      <w:r w:rsidRPr="00877755" w:rsidR="001246E8">
        <w:rPr>
          <w:rFonts w:ascii="Palatino Linotype" w:hAnsi="Palatino Linotype" w:eastAsia="Palatino Linotype" w:cs="Palatino Linotype"/>
          <w:color w:val="000000" w:themeColor="text1"/>
        </w:rPr>
        <w:t>tepayers</w:t>
      </w:r>
      <w:r w:rsidR="00F538B4">
        <w:rPr>
          <w:rFonts w:ascii="Palatino Linotype" w:hAnsi="Palatino Linotype" w:eastAsia="Palatino Linotype" w:cs="Palatino Linotype"/>
          <w:color w:val="000000" w:themeColor="text1"/>
        </w:rPr>
        <w:t xml:space="preserve"> at</w:t>
      </w:r>
      <w:r w:rsidRPr="00877755" w:rsidR="001246E8">
        <w:rPr>
          <w:rFonts w:ascii="Palatino Linotype" w:hAnsi="Palatino Linotype" w:eastAsia="Palatino Linotype" w:cs="Palatino Linotype"/>
          <w:color w:val="000000" w:themeColor="text1"/>
        </w:rPr>
        <w:t xml:space="preserve"> the end of </w:t>
      </w:r>
      <w:r w:rsidR="00E44358">
        <w:rPr>
          <w:rFonts w:ascii="Palatino Linotype" w:hAnsi="Palatino Linotype" w:eastAsia="Palatino Linotype" w:cs="Palatino Linotype"/>
          <w:color w:val="000000" w:themeColor="text1"/>
        </w:rPr>
        <w:t xml:space="preserve">the GRC D.23-11-069 funding </w:t>
      </w:r>
      <w:r w:rsidRPr="00877755" w:rsidR="001246E8">
        <w:rPr>
          <w:rFonts w:ascii="Palatino Linotype" w:hAnsi="Palatino Linotype" w:eastAsia="Palatino Linotype" w:cs="Palatino Linotype"/>
          <w:color w:val="000000" w:themeColor="text1"/>
        </w:rPr>
        <w:t>cycle</w:t>
      </w:r>
      <w:r w:rsidR="00F538B4">
        <w:rPr>
          <w:rFonts w:ascii="Palatino Linotype" w:hAnsi="Palatino Linotype" w:eastAsia="Palatino Linotype" w:cs="Palatino Linotype"/>
          <w:color w:val="000000" w:themeColor="text1"/>
        </w:rPr>
        <w:t>, by December 31, 2026</w:t>
      </w:r>
      <w:r w:rsidRPr="00877755" w:rsidR="001246E8">
        <w:rPr>
          <w:rFonts w:ascii="Palatino Linotype" w:hAnsi="Palatino Linotype" w:eastAsia="Palatino Linotype" w:cs="Palatino Linotype"/>
          <w:color w:val="000000" w:themeColor="text1"/>
        </w:rPr>
        <w:t>.</w:t>
      </w:r>
      <w:r w:rsidR="002949F8">
        <w:rPr>
          <w:rStyle w:val="FootnoteReference"/>
          <w:rFonts w:ascii="Palatino Linotype" w:hAnsi="Palatino Linotype" w:eastAsia="Palatino Linotype" w:cs="Palatino Linotype"/>
          <w:color w:val="000000" w:themeColor="text1"/>
        </w:rPr>
        <w:footnoteReference w:id="116"/>
      </w:r>
    </w:p>
    <w:p w:rsidRPr="001853D8" w:rsidR="00C9352D" w:rsidP="00DD3C74" w:rsidRDefault="00820BE9" w14:paraId="2BBE449A" w14:textId="0B0F233B">
      <w:pPr>
        <w:pStyle w:val="ListParagraph"/>
        <w:numPr>
          <w:ilvl w:val="0"/>
          <w:numId w:val="7"/>
        </w:numPr>
        <w:spacing w:after="0" w:line="276" w:lineRule="auto"/>
        <w:rPr>
          <w:rFonts w:ascii="Palatino Linotype" w:hAnsi="Palatino Linotype" w:eastAsia="Palatino Linotype" w:cs="Times New Roman"/>
          <w:color w:val="000000" w:themeColor="text1"/>
        </w:rPr>
      </w:pPr>
      <w:r w:rsidRPr="001853D8">
        <w:rPr>
          <w:rFonts w:ascii="Palatino Linotype" w:hAnsi="Palatino Linotype" w:eastAsia="Times New Roman"/>
          <w:color w:val="000000" w:themeColor="text1"/>
        </w:rPr>
        <w:t>E</w:t>
      </w:r>
      <w:r>
        <w:rPr>
          <w:rFonts w:ascii="Palatino Linotype" w:hAnsi="Palatino Linotype" w:eastAsia="Times New Roman"/>
          <w:color w:val="000000" w:themeColor="text1"/>
        </w:rPr>
        <w:t>nergy Division</w:t>
      </w:r>
      <w:r w:rsidRPr="001853D8">
        <w:rPr>
          <w:rFonts w:ascii="Palatino Linotype" w:hAnsi="Palatino Linotype" w:eastAsia="Palatino Linotype" w:cs="Times New Roman"/>
          <w:color w:val="000000" w:themeColor="text1"/>
        </w:rPr>
        <w:t xml:space="preserve"> </w:t>
      </w:r>
      <w:r w:rsidRPr="001853D8" w:rsidR="00C110F7">
        <w:rPr>
          <w:rFonts w:ascii="Palatino Linotype" w:hAnsi="Palatino Linotype" w:eastAsia="Palatino Linotype" w:cs="Times New Roman"/>
          <w:color w:val="000000" w:themeColor="text1"/>
        </w:rPr>
        <w:t xml:space="preserve">shall </w:t>
      </w:r>
      <w:r w:rsidRPr="001853D8" w:rsidR="00DD3C74">
        <w:rPr>
          <w:rFonts w:ascii="Palatino Linotype" w:hAnsi="Palatino Linotype" w:eastAsia="Palatino Linotype" w:cs="Times New Roman"/>
          <w:color w:val="000000" w:themeColor="text1"/>
        </w:rPr>
        <w:t xml:space="preserve">advise PG&amp;E on </w:t>
      </w:r>
      <w:r w:rsidRPr="001853D8" w:rsidR="00C110F7">
        <w:rPr>
          <w:rFonts w:ascii="Palatino Linotype" w:hAnsi="Palatino Linotype" w:eastAsia="Palatino Linotype" w:cs="Times New Roman"/>
          <w:color w:val="000000" w:themeColor="text1"/>
        </w:rPr>
        <w:t xml:space="preserve">any </w:t>
      </w:r>
      <w:r w:rsidRPr="001853D8" w:rsidR="00DD3C74">
        <w:rPr>
          <w:rFonts w:ascii="Palatino Linotype" w:hAnsi="Palatino Linotype" w:eastAsia="Palatino Linotype" w:cs="Times New Roman"/>
          <w:color w:val="000000" w:themeColor="text1"/>
        </w:rPr>
        <w:t xml:space="preserve">reimbursement process to support a consolidated, comprehensive </w:t>
      </w:r>
      <w:r w:rsidRPr="001853D8" w:rsidR="00C110F7">
        <w:rPr>
          <w:rFonts w:ascii="Palatino Linotype" w:hAnsi="Palatino Linotype" w:eastAsia="Palatino Linotype" w:cs="Times New Roman"/>
          <w:color w:val="000000" w:themeColor="text1"/>
        </w:rPr>
        <w:t xml:space="preserve">Independent </w:t>
      </w:r>
      <w:r w:rsidRPr="001853D8" w:rsidR="00DD3C74">
        <w:rPr>
          <w:rFonts w:ascii="Palatino Linotype" w:hAnsi="Palatino Linotype" w:eastAsia="Palatino Linotype" w:cs="Times New Roman"/>
          <w:color w:val="000000" w:themeColor="text1"/>
        </w:rPr>
        <w:t>Program Evaluation across all Gas RD&amp;D administrators to create efficiencies and improve transparency regarding the use of ratepayer funds.</w:t>
      </w:r>
    </w:p>
    <w:p w:rsidRPr="001853D8" w:rsidR="00EF426D" w:rsidP="2F8516FA" w:rsidRDefault="00EF426D" w14:paraId="545B7712" w14:textId="119C325F">
      <w:pPr>
        <w:pStyle w:val="10spHanging05"/>
        <w:numPr>
          <w:ilvl w:val="0"/>
          <w:numId w:val="7"/>
        </w:numPr>
        <w:spacing w:after="0" w:line="276" w:lineRule="auto"/>
        <w:rPr>
          <w:rFonts w:ascii="Palatino Linotype" w:hAnsi="Palatino Linotype" w:eastAsia="Palatino Linotype" w:cs="Palatino Linotype"/>
          <w:color w:val="000000" w:themeColor="text1"/>
        </w:rPr>
      </w:pPr>
      <w:r w:rsidRPr="001853D8">
        <w:rPr>
          <w:rFonts w:ascii="Palatino Linotype" w:hAnsi="Palatino Linotype"/>
          <w:color w:val="000000" w:themeColor="text1"/>
        </w:rPr>
        <w:lastRenderedPageBreak/>
        <w:t xml:space="preserve">In consultation with </w:t>
      </w:r>
      <w:r w:rsidRPr="001853D8" w:rsidR="00820BE9">
        <w:rPr>
          <w:rFonts w:ascii="Palatino Linotype" w:hAnsi="Palatino Linotype" w:eastAsia="Times New Roman"/>
          <w:color w:val="000000" w:themeColor="text1"/>
        </w:rPr>
        <w:t>E</w:t>
      </w:r>
      <w:r w:rsidR="00820BE9">
        <w:rPr>
          <w:rFonts w:ascii="Palatino Linotype" w:hAnsi="Palatino Linotype" w:eastAsia="Times New Roman"/>
          <w:color w:val="000000" w:themeColor="text1"/>
        </w:rPr>
        <w:t>nergy Division</w:t>
      </w:r>
      <w:r w:rsidRPr="001853D8">
        <w:rPr>
          <w:rFonts w:ascii="Palatino Linotype" w:hAnsi="Palatino Linotype"/>
          <w:color w:val="000000" w:themeColor="text1"/>
        </w:rPr>
        <w:t xml:space="preserve"> staff and the Database administrator, PG&amp;E shall allocate and reimburse additional funds in future Plans for its proportional share of the maintenance and operational needs of the Database once established.</w:t>
      </w:r>
    </w:p>
    <w:p w:rsidRPr="001853D8" w:rsidR="003F4926" w:rsidP="003F4926" w:rsidRDefault="0092545C" w14:paraId="31C37B82" w14:textId="7E9B3917">
      <w:pPr>
        <w:pStyle w:val="10spHanging05"/>
        <w:numPr>
          <w:ilvl w:val="0"/>
          <w:numId w:val="7"/>
        </w:numPr>
        <w:spacing w:after="0" w:line="276" w:lineRule="auto"/>
        <w:rPr>
          <w:rFonts w:ascii="Palatino Linotype" w:hAnsi="Palatino Linotype"/>
          <w:color w:val="000000" w:themeColor="text1"/>
        </w:rPr>
      </w:pPr>
      <w:r w:rsidRPr="001853D8">
        <w:rPr>
          <w:rFonts w:ascii="Palatino Linotype" w:hAnsi="Palatino Linotype"/>
          <w:color w:val="000000" w:themeColor="text1"/>
        </w:rPr>
        <w:t xml:space="preserve">To promote coordination, consistency, and best practices across ratepayer-funded RD&amp;D investments, </w:t>
      </w:r>
      <w:r w:rsidRPr="001853D8" w:rsidR="00820BE9">
        <w:rPr>
          <w:rFonts w:ascii="Palatino Linotype" w:hAnsi="Palatino Linotype" w:eastAsia="Times New Roman"/>
          <w:color w:val="000000" w:themeColor="text1"/>
        </w:rPr>
        <w:t>E</w:t>
      </w:r>
      <w:r w:rsidR="00820BE9">
        <w:rPr>
          <w:rFonts w:ascii="Palatino Linotype" w:hAnsi="Palatino Linotype" w:eastAsia="Times New Roman"/>
          <w:color w:val="000000" w:themeColor="text1"/>
        </w:rPr>
        <w:t>nergy Division</w:t>
      </w:r>
      <w:r w:rsidRPr="001853D8" w:rsidR="39723C21">
        <w:rPr>
          <w:rFonts w:ascii="Palatino Linotype" w:hAnsi="Palatino Linotype"/>
          <w:color w:val="000000" w:themeColor="text1"/>
        </w:rPr>
        <w:t xml:space="preserve"> </w:t>
      </w:r>
      <w:r w:rsidRPr="001853D8" w:rsidR="0032339E">
        <w:rPr>
          <w:rFonts w:ascii="Palatino Linotype" w:hAnsi="Palatino Linotype"/>
          <w:color w:val="000000" w:themeColor="text1"/>
        </w:rPr>
        <w:t>s</w:t>
      </w:r>
      <w:r w:rsidRPr="001853D8" w:rsidR="00D17044">
        <w:rPr>
          <w:rFonts w:ascii="Palatino Linotype" w:hAnsi="Palatino Linotype"/>
          <w:color w:val="000000" w:themeColor="text1"/>
        </w:rPr>
        <w:t>taff</w:t>
      </w:r>
      <w:r w:rsidRPr="001853D8" w:rsidR="39723C21">
        <w:rPr>
          <w:rFonts w:ascii="Palatino Linotype" w:hAnsi="Palatino Linotype"/>
          <w:color w:val="000000" w:themeColor="text1"/>
        </w:rPr>
        <w:t xml:space="preserve"> may</w:t>
      </w:r>
      <w:r w:rsidRPr="001853D8" w:rsidR="002D573A">
        <w:rPr>
          <w:rFonts w:ascii="Palatino Linotype" w:hAnsi="Palatino Linotype"/>
          <w:color w:val="000000" w:themeColor="text1"/>
        </w:rPr>
        <w:t xml:space="preserve"> </w:t>
      </w:r>
      <w:r w:rsidRPr="001853D8" w:rsidR="006521B6">
        <w:rPr>
          <w:rFonts w:ascii="Palatino Linotype" w:hAnsi="Palatino Linotype"/>
          <w:color w:val="000000" w:themeColor="text1"/>
        </w:rPr>
        <w:t xml:space="preserve">implement improved strategic </w:t>
      </w:r>
      <w:r w:rsidRPr="001853D8" w:rsidR="007323AD">
        <w:rPr>
          <w:rFonts w:ascii="Palatino Linotype" w:hAnsi="Palatino Linotype"/>
          <w:color w:val="000000" w:themeColor="text1"/>
        </w:rPr>
        <w:t xml:space="preserve">planning, including </w:t>
      </w:r>
      <w:r w:rsidRPr="001853D8" w:rsidR="002D573A">
        <w:rPr>
          <w:rFonts w:ascii="Palatino Linotype" w:hAnsi="Palatino Linotype"/>
          <w:color w:val="000000" w:themeColor="text1"/>
        </w:rPr>
        <w:t>m</w:t>
      </w:r>
      <w:r w:rsidRPr="001853D8" w:rsidR="39723C21">
        <w:rPr>
          <w:rFonts w:ascii="Palatino Linotype" w:hAnsi="Palatino Linotype"/>
          <w:color w:val="000000" w:themeColor="text1"/>
        </w:rPr>
        <w:t>odel</w:t>
      </w:r>
      <w:r w:rsidRPr="001853D8" w:rsidR="007323AD">
        <w:rPr>
          <w:rFonts w:ascii="Palatino Linotype" w:hAnsi="Palatino Linotype"/>
          <w:color w:val="000000" w:themeColor="text1"/>
        </w:rPr>
        <w:t>ing</w:t>
      </w:r>
      <w:r w:rsidRPr="001853D8" w:rsidR="39723C21">
        <w:rPr>
          <w:rFonts w:ascii="Palatino Linotype" w:hAnsi="Palatino Linotype"/>
          <w:color w:val="000000" w:themeColor="text1"/>
        </w:rPr>
        <w:t xml:space="preserve"> EPIC’s Strategic Goals and Objectives</w:t>
      </w:r>
      <w:r w:rsidRPr="001853D8" w:rsidR="006A5D0B">
        <w:rPr>
          <w:rFonts w:ascii="Palatino Linotype" w:hAnsi="Palatino Linotype"/>
          <w:color w:val="000000" w:themeColor="text1"/>
        </w:rPr>
        <w:t xml:space="preserve"> </w:t>
      </w:r>
      <w:r w:rsidRPr="001853D8" w:rsidR="39723C21">
        <w:rPr>
          <w:rFonts w:ascii="Palatino Linotype" w:hAnsi="Palatino Linotype"/>
          <w:color w:val="000000" w:themeColor="text1"/>
        </w:rPr>
        <w:t xml:space="preserve">to </w:t>
      </w:r>
      <w:r w:rsidRPr="001853D8" w:rsidR="62852E74">
        <w:rPr>
          <w:rFonts w:ascii="Palatino Linotype" w:hAnsi="Palatino Linotype"/>
          <w:color w:val="000000" w:themeColor="text1"/>
        </w:rPr>
        <w:t>develop Gas RD&amp;D Program equivalents</w:t>
      </w:r>
      <w:r w:rsidRPr="001853D8">
        <w:rPr>
          <w:rFonts w:ascii="Palatino Linotype" w:hAnsi="Palatino Linotype"/>
          <w:color w:val="000000" w:themeColor="text1"/>
        </w:rPr>
        <w:t>.</w:t>
      </w:r>
      <w:r w:rsidRPr="001853D8" w:rsidR="003F4926">
        <w:rPr>
          <w:rFonts w:ascii="Palatino Linotype" w:hAnsi="Palatino Linotype"/>
          <w:color w:val="000000" w:themeColor="text1"/>
        </w:rPr>
        <w:t xml:space="preserve"> </w:t>
      </w:r>
      <w:r w:rsidRPr="001853D8" w:rsidR="00820BE9">
        <w:rPr>
          <w:rFonts w:ascii="Palatino Linotype" w:hAnsi="Palatino Linotype" w:eastAsia="Times New Roman"/>
          <w:color w:val="000000" w:themeColor="text1"/>
        </w:rPr>
        <w:t>E</w:t>
      </w:r>
      <w:r w:rsidR="00820BE9">
        <w:rPr>
          <w:rFonts w:ascii="Palatino Linotype" w:hAnsi="Palatino Linotype" w:eastAsia="Times New Roman"/>
          <w:color w:val="000000" w:themeColor="text1"/>
        </w:rPr>
        <w:t>nergy Division</w:t>
      </w:r>
      <w:r w:rsidRPr="001853D8" w:rsidR="003F4926">
        <w:rPr>
          <w:rFonts w:ascii="Palatino Linotype" w:hAnsi="Palatino Linotype"/>
          <w:color w:val="000000" w:themeColor="text1"/>
        </w:rPr>
        <w:t xml:space="preserve"> staff may commence a stakeholder process and implement.</w:t>
      </w:r>
    </w:p>
    <w:p w:rsidR="00060BE0" w:rsidP="00361AB6" w:rsidRDefault="00060BE0" w14:paraId="08641911" w14:textId="77777777">
      <w:pPr>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Pr="001942D0" w:rsidR="00A76F4A" w:rsidP="00361AB6" w:rsidRDefault="00A76F4A" w14:paraId="6B9B735A" w14:textId="77777777">
      <w:pPr>
        <w:keepNext/>
        <w:tabs>
          <w:tab w:val="left" w:pos="720"/>
          <w:tab w:val="left" w:pos="1296"/>
          <w:tab w:val="left" w:pos="2016"/>
          <w:tab w:val="left" w:pos="2736"/>
          <w:tab w:val="left" w:pos="3456"/>
          <w:tab w:val="left" w:pos="4176"/>
          <w:tab w:val="left" w:pos="5760"/>
        </w:tabs>
        <w:spacing w:before="240" w:after="0" w:line="276"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361AB6" w:rsidRDefault="00A76F4A" w14:paraId="45A541E0"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00361AB6" w:rsidRDefault="00A76F4A" w14:paraId="6FDD03B7"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00361AB6" w:rsidRDefault="00A76F4A" w14:paraId="0CE47F6A"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Pr="00CD2149" w:rsidR="00A76F4A" w:rsidP="00361AB6" w:rsidRDefault="00A76F4A" w14:paraId="34F8C9C5" w14:textId="5CD04D46">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color w:val="808080" w:themeColor="background1" w:themeShade="80"/>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sidRPr="00CD2149" w:rsidR="00CD2149">
        <w:rPr>
          <w:rFonts w:ascii="Palatino Linotype" w:hAnsi="Palatino Linotype" w:eastAsia="Palatino Linotype" w:cs="Times New Roman"/>
          <w:color w:val="808080" w:themeColor="background1" w:themeShade="80"/>
          <w:kern w:val="0"/>
          <w14:ligatures w14:val="none"/>
        </w:rPr>
        <w:t>[</w:t>
      </w:r>
      <w:r w:rsidRPr="00CD2149">
        <w:rPr>
          <w:rFonts w:ascii="Palatino Linotype" w:hAnsi="Palatino Linotype" w:eastAsia="Palatino Linotype" w:cs="Times New Roman"/>
          <w:color w:val="808080" w:themeColor="background1" w:themeShade="80"/>
          <w:kern w:val="0"/>
          <w14:ligatures w14:val="none"/>
        </w:rPr>
        <w:t xml:space="preserve">Commissioner Signature blocks to be added </w:t>
      </w:r>
    </w:p>
    <w:p w:rsidRPr="00CD2149" w:rsidR="00A76F4A" w:rsidP="00361AB6" w:rsidRDefault="00A76F4A" w14:paraId="47615040" w14:textId="7EEFE878">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color w:val="808080" w:themeColor="background1" w:themeShade="80"/>
          <w:kern w:val="0"/>
          <w14:ligatures w14:val="none"/>
        </w:rPr>
      </w:pPr>
      <w:r w:rsidRPr="00CD2149">
        <w:rPr>
          <w:rFonts w:ascii="Palatino Linotype" w:hAnsi="Palatino Linotype" w:eastAsia="Palatino Linotype" w:cs="Times New Roman"/>
          <w:color w:val="808080" w:themeColor="background1" w:themeShade="80"/>
          <w:kern w:val="0"/>
          <w14:ligatures w14:val="none"/>
        </w:rPr>
        <w:tab/>
      </w:r>
      <w:r w:rsidRPr="00CD2149">
        <w:rPr>
          <w:rFonts w:ascii="Palatino Linotype" w:hAnsi="Palatino Linotype" w:eastAsia="Palatino Linotype" w:cs="Times New Roman"/>
          <w:color w:val="808080" w:themeColor="background1" w:themeShade="80"/>
          <w:kern w:val="0"/>
          <w14:ligatures w14:val="none"/>
        </w:rPr>
        <w:tab/>
      </w:r>
      <w:r w:rsidRPr="00CD2149">
        <w:rPr>
          <w:rFonts w:ascii="Palatino Linotype" w:hAnsi="Palatino Linotype" w:eastAsia="Palatino Linotype" w:cs="Times New Roman"/>
          <w:color w:val="808080" w:themeColor="background1" w:themeShade="80"/>
          <w:kern w:val="0"/>
          <w14:ligatures w14:val="none"/>
        </w:rPr>
        <w:tab/>
      </w:r>
      <w:r w:rsidRPr="00CD2149">
        <w:rPr>
          <w:rFonts w:ascii="Palatino Linotype" w:hAnsi="Palatino Linotype" w:eastAsia="Palatino Linotype" w:cs="Times New Roman"/>
          <w:color w:val="808080" w:themeColor="background1" w:themeShade="80"/>
          <w:kern w:val="0"/>
          <w14:ligatures w14:val="none"/>
        </w:rPr>
        <w:tab/>
      </w:r>
      <w:r w:rsidRPr="00CD2149">
        <w:rPr>
          <w:rFonts w:ascii="Palatino Linotype" w:hAnsi="Palatino Linotype" w:eastAsia="Palatino Linotype" w:cs="Times New Roman"/>
          <w:color w:val="808080" w:themeColor="background1" w:themeShade="80"/>
          <w:kern w:val="0"/>
          <w14:ligatures w14:val="none"/>
        </w:rPr>
        <w:tab/>
      </w:r>
      <w:r w:rsidRPr="00CD2149">
        <w:rPr>
          <w:rFonts w:ascii="Palatino Linotype" w:hAnsi="Palatino Linotype" w:eastAsia="Palatino Linotype" w:cs="Times New Roman"/>
          <w:color w:val="808080" w:themeColor="background1" w:themeShade="80"/>
          <w:kern w:val="0"/>
          <w14:ligatures w14:val="none"/>
        </w:rPr>
        <w:tab/>
        <w:t xml:space="preserve">upon adoption of the </w:t>
      </w:r>
      <w:r w:rsidRPr="00CD2149" w:rsidR="7946FEA7">
        <w:rPr>
          <w:rFonts w:ascii="Palatino Linotype" w:hAnsi="Palatino Linotype" w:eastAsia="Palatino Linotype" w:cs="Times New Roman"/>
          <w:color w:val="808080" w:themeColor="background1" w:themeShade="80"/>
          <w:kern w:val="0"/>
          <w14:ligatures w14:val="none"/>
        </w:rPr>
        <w:t>R</w:t>
      </w:r>
      <w:r w:rsidRPr="00CD2149">
        <w:rPr>
          <w:rFonts w:ascii="Palatino Linotype" w:hAnsi="Palatino Linotype" w:eastAsia="Palatino Linotype" w:cs="Times New Roman"/>
          <w:color w:val="808080" w:themeColor="background1" w:themeShade="80"/>
          <w:kern w:val="0"/>
          <w14:ligatures w14:val="none"/>
        </w:rPr>
        <w:t>esolution</w:t>
      </w:r>
      <w:r w:rsidRPr="00CD2149" w:rsidR="00CD2149">
        <w:rPr>
          <w:rFonts w:ascii="Palatino Linotype" w:hAnsi="Palatino Linotype" w:eastAsia="Palatino Linotype" w:cs="Times New Roman"/>
          <w:color w:val="808080" w:themeColor="background1" w:themeShade="80"/>
          <w:kern w:val="0"/>
          <w14:ligatures w14:val="none"/>
        </w:rPr>
        <w:t>.]</w:t>
      </w:r>
      <w:r w:rsidRPr="00CD2149">
        <w:rPr>
          <w:rFonts w:ascii="Palatino Linotype" w:hAnsi="Palatino Linotype" w:eastAsia="Palatino Linotype" w:cs="Times New Roman"/>
          <w:color w:val="808080" w:themeColor="background1" w:themeShade="80"/>
          <w:kern w:val="0"/>
          <w14:ligatures w14:val="none"/>
        </w:rPr>
        <w:t xml:space="preserve"> </w:t>
      </w:r>
    </w:p>
    <w:p w:rsidR="00A76F4A" w:rsidP="00361AB6" w:rsidRDefault="00A76F4A" w14:paraId="7B507E3D"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00361AB6" w:rsidRDefault="00A76F4A" w14:paraId="5A07E5F1"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00A76F4A" w:rsidP="00361AB6" w:rsidRDefault="00A76F4A" w14:paraId="7C0D2B15" w14:textId="77777777">
      <w:pPr>
        <w:keepNext/>
        <w:tabs>
          <w:tab w:val="left" w:pos="720"/>
          <w:tab w:val="left" w:pos="1296"/>
          <w:tab w:val="left" w:pos="2016"/>
          <w:tab w:val="left" w:pos="2736"/>
          <w:tab w:val="left" w:pos="3456"/>
          <w:tab w:val="left" w:pos="4176"/>
          <w:tab w:val="left" w:pos="5760"/>
        </w:tabs>
        <w:spacing w:after="0" w:line="276" w:lineRule="auto"/>
        <w:rPr>
          <w:rFonts w:ascii="Palatino Linotype" w:hAnsi="Palatino Linotype" w:eastAsia="Palatino Linotype" w:cs="Times New Roman"/>
          <w:kern w:val="0"/>
          <w14:ligatures w14:val="none"/>
        </w:rPr>
      </w:pPr>
    </w:p>
    <w:p w:rsidRPr="0051493D" w:rsidR="00A76F4A" w:rsidP="00361AB6" w:rsidRDefault="00A76F4A" w14:paraId="203AD159" w14:textId="3379F461">
      <w:pPr>
        <w:pStyle w:val="10sp0"/>
        <w:spacing w:after="480" w:line="276" w:lineRule="auto"/>
        <w:rPr>
          <w:rFonts w:ascii="Palatino Linotype" w:hAnsi="Palatino Linotype"/>
        </w:rPr>
      </w:pPr>
      <w:r>
        <w:rPr>
          <w:rFonts w:ascii="Palatino Linotype" w:hAnsi="Palatino Linotype"/>
        </w:rPr>
        <w:t>T</w:t>
      </w:r>
      <w:r w:rsidRPr="0051493D">
        <w:rPr>
          <w:rFonts w:ascii="Palatino Linotype" w:hAnsi="Palatino Linotype"/>
        </w:rPr>
        <w:t xml:space="preserve">he foregoing </w:t>
      </w:r>
      <w:r w:rsidRPr="64B651D6" w:rsidR="57A09E5D">
        <w:rPr>
          <w:rFonts w:ascii="Palatino Linotype" w:hAnsi="Palatino Linotype"/>
        </w:rPr>
        <w:t>R</w:t>
      </w:r>
      <w:r w:rsidRPr="64B651D6">
        <w:rPr>
          <w:rFonts w:ascii="Palatino Linotype" w:hAnsi="Palatino Linotype"/>
        </w:rPr>
        <w:t>esolution</w:t>
      </w:r>
      <w:r w:rsidRPr="0051493D">
        <w:rPr>
          <w:rFonts w:ascii="Palatino Linotype" w:hAnsi="Palatino Linotype"/>
        </w:rPr>
        <w:t xml:space="preserve"> was duly introduced, passed and adopted at a conference of the Public Utilities Commission of the State of California held on </w:t>
      </w:r>
      <w:r w:rsidR="00B065CE">
        <w:rPr>
          <w:rFonts w:ascii="Palatino Linotype" w:hAnsi="Palatino Linotype"/>
        </w:rPr>
        <w:t>January 15, 2026;</w:t>
      </w:r>
      <w:r w:rsidRPr="0051493D">
        <w:rPr>
          <w:rFonts w:ascii="Palatino Linotype" w:hAnsi="Palatino Linotype"/>
        </w:rPr>
        <w:t xml:space="preserve"> the following Commissioners voting favorably thereon:</w:t>
      </w:r>
    </w:p>
    <w:p w:rsidRPr="001942D0" w:rsidR="00A76F4A" w:rsidP="00A76F4A" w:rsidRDefault="00A76F4A" w14:paraId="0B7DFB9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7754C" w:rsidR="00BE2EC8" w:rsidP="0017754C" w:rsidRDefault="00A76F4A" w14:paraId="3AC57FC0" w14:textId="14252279">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sidR="00A904DA">
        <w:rPr>
          <w:rFonts w:ascii="Palatino Linotype" w:hAnsi="Palatino Linotype" w:eastAsia="Palatino Linotype" w:cs="Times New Roman"/>
        </w:rPr>
        <w:t>San Francisco,</w:t>
      </w:r>
      <w:r w:rsidRPr="00921E87">
        <w:rPr>
          <w:rFonts w:ascii="Palatino Linotype" w:hAnsi="Palatino Linotype" w:eastAsia="Palatino Linotype" w:cs="Times New Roman"/>
        </w:rPr>
        <w:t xml:space="preserve"> California</w:t>
      </w:r>
      <w:r>
        <w:rPr>
          <w:rFonts w:ascii="Palatino Linotype" w:hAnsi="Palatino Linotype" w:eastAsia="Palatino Linotype" w:cs="Times New Roman"/>
        </w:rP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FB2C82" w:rsidP="0084160F" w:rsidRDefault="0030365C" w14:paraId="37A111D9" w14:textId="77777777">
      <w:pPr>
        <w:sectPr w:rsidR="00FB2C82"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br w:type="page"/>
      </w:r>
    </w:p>
    <w:p w:rsidRPr="004C5DBB" w:rsidR="004C5DBB" w:rsidP="004C5DBB" w:rsidRDefault="004C5DBB" w14:paraId="4D2F042F" w14:textId="77777777">
      <w:pPr>
        <w:rPr>
          <w:rFonts w:ascii="Palatino Linotype" w:hAnsi="Palatino Linotype"/>
          <w:b/>
          <w:bCs/>
        </w:rPr>
      </w:pPr>
      <w:r w:rsidRPr="004C5DBB">
        <w:rPr>
          <w:rFonts w:ascii="Palatino Linotype" w:hAnsi="Palatino Linotype"/>
          <w:b/>
          <w:bCs/>
        </w:rPr>
        <w:lastRenderedPageBreak/>
        <w:t>APPENDIX</w:t>
      </w:r>
      <w:r w:rsidRPr="004C5DBB">
        <w:rPr>
          <w:rFonts w:ascii="Palatino Linotype" w:hAnsi="Palatino Linotype"/>
          <w:b/>
          <w:bCs/>
          <w:color w:val="000000" w:themeColor="text1"/>
        </w:rPr>
        <w:t xml:space="preserve"> A</w:t>
      </w:r>
      <w:r w:rsidRPr="004C5DBB">
        <w:rPr>
          <w:rFonts w:ascii="Palatino Linotype" w:hAnsi="Palatino Linotype"/>
          <w:b/>
          <w:bCs/>
        </w:rPr>
        <w:t>: PG&amp;E’s 2024 &amp; 2025 Plans Proposed Budgets</w:t>
      </w:r>
    </w:p>
    <w:tbl>
      <w:tblPr>
        <w:tblStyle w:val="TableGrid1"/>
        <w:tblW w:w="9355" w:type="dxa"/>
        <w:tblLook w:val="04A0" w:firstRow="1" w:lastRow="0" w:firstColumn="1" w:lastColumn="0" w:noHBand="0" w:noVBand="1"/>
      </w:tblPr>
      <w:tblGrid>
        <w:gridCol w:w="2175"/>
        <w:gridCol w:w="3165"/>
        <w:gridCol w:w="2035"/>
        <w:gridCol w:w="1980"/>
      </w:tblGrid>
      <w:tr w:rsidRPr="004C5DBB" w:rsidR="004C5DBB" w:rsidTr="00853204" w14:paraId="61BEF6CE" w14:textId="77777777">
        <w:trPr>
          <w:trHeight w:val="432"/>
        </w:trPr>
        <w:tc>
          <w:tcPr>
            <w:tcW w:w="2175" w:type="dxa"/>
            <w:tcBorders>
              <w:top w:val="single" w:color="auto" w:sz="4" w:space="0"/>
              <w:left w:val="single" w:color="auto" w:sz="4" w:space="0"/>
              <w:bottom w:val="single" w:color="auto" w:sz="4" w:space="0"/>
              <w:right w:val="single" w:color="auto" w:sz="4" w:space="0"/>
            </w:tcBorders>
            <w:vAlign w:val="center"/>
          </w:tcPr>
          <w:p w:rsidRPr="00853204" w:rsidR="004C5DBB" w:rsidP="2EBB591F" w:rsidRDefault="004C5DBB" w14:paraId="1FC04D27" w14:textId="77777777">
            <w:pPr>
              <w:jc w:val="center"/>
              <w:rPr>
                <w:rFonts w:ascii="Palatino Linotype" w:hAnsi="Palatino Linotype"/>
                <w:b/>
                <w:sz w:val="21"/>
                <w:szCs w:val="21"/>
              </w:rPr>
            </w:pPr>
            <w:r w:rsidRPr="00853204">
              <w:rPr>
                <w:rFonts w:ascii="Palatino Linotype" w:hAnsi="Palatino Linotype"/>
                <w:b/>
                <w:sz w:val="21"/>
                <w:szCs w:val="21"/>
              </w:rPr>
              <w:t>Investment Theme</w:t>
            </w: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2EBB591F" w:rsidRDefault="004C5DBB" w14:paraId="2F5C8EFC" w14:textId="77777777">
            <w:pPr>
              <w:jc w:val="center"/>
              <w:rPr>
                <w:rFonts w:ascii="Palatino Linotype" w:hAnsi="Palatino Linotype"/>
                <w:b/>
                <w:sz w:val="21"/>
                <w:szCs w:val="21"/>
              </w:rPr>
            </w:pPr>
            <w:r w:rsidRPr="00853204">
              <w:rPr>
                <w:rFonts w:ascii="Palatino Linotype" w:hAnsi="Palatino Linotype"/>
                <w:b/>
                <w:sz w:val="21"/>
                <w:szCs w:val="21"/>
              </w:rPr>
              <w:t>Initiative Title</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2EBB591F" w:rsidRDefault="004C5DBB" w14:paraId="0CE62DC5" w14:textId="77777777">
            <w:pPr>
              <w:jc w:val="center"/>
              <w:rPr>
                <w:rFonts w:ascii="Palatino Linotype" w:hAnsi="Palatino Linotype"/>
                <w:b/>
                <w:sz w:val="21"/>
                <w:szCs w:val="21"/>
              </w:rPr>
            </w:pPr>
            <w:r w:rsidRPr="00853204">
              <w:rPr>
                <w:rFonts w:ascii="Palatino Linotype" w:hAnsi="Palatino Linotype"/>
                <w:b/>
                <w:sz w:val="21"/>
                <w:szCs w:val="21"/>
              </w:rPr>
              <w:t>2024 Plan Budget</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2EBB591F" w:rsidRDefault="004C5DBB" w14:paraId="75769855" w14:textId="77777777">
            <w:pPr>
              <w:jc w:val="center"/>
              <w:rPr>
                <w:rFonts w:ascii="Palatino Linotype" w:hAnsi="Palatino Linotype"/>
                <w:b/>
                <w:sz w:val="21"/>
                <w:szCs w:val="21"/>
              </w:rPr>
            </w:pPr>
            <w:r w:rsidRPr="00853204">
              <w:rPr>
                <w:rFonts w:ascii="Palatino Linotype" w:hAnsi="Palatino Linotype"/>
                <w:b/>
                <w:sz w:val="21"/>
                <w:szCs w:val="21"/>
              </w:rPr>
              <w:t>2025 Plan Budget</w:t>
            </w:r>
          </w:p>
        </w:tc>
      </w:tr>
      <w:tr w:rsidRPr="004C5DBB" w:rsidR="004C5DBB" w:rsidTr="00853204" w14:paraId="6B64CAD0" w14:textId="77777777">
        <w:trPr>
          <w:trHeight w:val="432"/>
        </w:trPr>
        <w:tc>
          <w:tcPr>
            <w:tcW w:w="2175" w:type="dxa"/>
            <w:vMerge w:val="restart"/>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760F1579" w14:textId="77777777">
            <w:pPr>
              <w:rPr>
                <w:rFonts w:ascii="Palatino Linotype" w:hAnsi="Palatino Linotype"/>
                <w:sz w:val="21"/>
                <w:szCs w:val="21"/>
              </w:rPr>
            </w:pPr>
            <w:r w:rsidRPr="00853204">
              <w:rPr>
                <w:rFonts w:ascii="Palatino Linotype" w:hAnsi="Palatino Linotype"/>
                <w:sz w:val="21"/>
                <w:szCs w:val="21"/>
              </w:rPr>
              <w:t>Gas System Integrity</w:t>
            </w: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3BB7BE97" w14:textId="77777777">
            <w:pPr>
              <w:rPr>
                <w:rFonts w:ascii="Palatino Linotype" w:hAnsi="Palatino Linotype"/>
                <w:sz w:val="21"/>
                <w:szCs w:val="21"/>
              </w:rPr>
            </w:pPr>
            <w:r w:rsidRPr="00853204">
              <w:rPr>
                <w:rFonts w:ascii="Palatino Linotype" w:hAnsi="Palatino Linotype"/>
                <w:sz w:val="21"/>
                <w:szCs w:val="21"/>
              </w:rPr>
              <w:t>Proactive Geohazard Risk Management</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1317759C" w14:textId="77777777">
            <w:pPr>
              <w:rPr>
                <w:rFonts w:ascii="Palatino Linotype" w:hAnsi="Palatino Linotype"/>
                <w:sz w:val="21"/>
                <w:szCs w:val="21"/>
              </w:rPr>
            </w:pPr>
            <w:r w:rsidRPr="00853204">
              <w:rPr>
                <w:rFonts w:ascii="Palatino Linotype" w:hAnsi="Palatino Linotype"/>
                <w:sz w:val="21"/>
                <w:szCs w:val="21"/>
              </w:rPr>
              <w:t>$594,126</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607917B" w14:textId="77777777">
            <w:pPr>
              <w:rPr>
                <w:rFonts w:ascii="Palatino Linotype" w:hAnsi="Palatino Linotype"/>
                <w:sz w:val="21"/>
                <w:szCs w:val="21"/>
              </w:rPr>
            </w:pPr>
            <w:r w:rsidRPr="00853204">
              <w:rPr>
                <w:rFonts w:ascii="Palatino Linotype" w:hAnsi="Palatino Linotype"/>
                <w:sz w:val="21"/>
                <w:szCs w:val="21"/>
              </w:rPr>
              <w:t>$639,127</w:t>
            </w:r>
          </w:p>
        </w:tc>
      </w:tr>
      <w:tr w:rsidRPr="004C5DBB" w:rsidR="004C5DBB" w:rsidTr="00853204" w14:paraId="218A7122" w14:textId="77777777">
        <w:trPr>
          <w:trHeight w:val="432"/>
        </w:trPr>
        <w:tc>
          <w:tcPr>
            <w:tcW w:w="2175" w:type="dxa"/>
            <w:vMerge/>
            <w:tcBorders>
              <w:top w:val="single" w:color="auto" w:sz="4" w:space="0"/>
              <w:left w:val="single" w:color="auto" w:sz="4" w:space="0"/>
              <w:bottom w:val="single" w:color="auto" w:sz="4" w:space="0"/>
            </w:tcBorders>
          </w:tcPr>
          <w:p w:rsidRPr="004C5DBB" w:rsidR="004C5DBB" w:rsidP="004C5DBB" w:rsidRDefault="004C5DBB" w14:paraId="14C57112" w14:textId="77777777">
            <w:pPr>
              <w:rPr>
                <w:rFonts w:ascii="Palatino Linotype" w:hAnsi="Palatino Linotype"/>
                <w:sz w:val="22"/>
                <w:szCs w:val="22"/>
              </w:rPr>
            </w:pP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758F7B67" w14:textId="77777777">
            <w:pPr>
              <w:rPr>
                <w:rFonts w:ascii="Palatino Linotype" w:hAnsi="Palatino Linotype"/>
                <w:sz w:val="21"/>
                <w:szCs w:val="21"/>
              </w:rPr>
            </w:pPr>
            <w:r w:rsidRPr="00853204">
              <w:rPr>
                <w:rFonts w:ascii="Palatino Linotype" w:hAnsi="Palatino Linotype"/>
                <w:sz w:val="21"/>
                <w:szCs w:val="21"/>
              </w:rPr>
              <w:t>Innovative and Cost-Effective Integrity Management</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1C7E23A5" w14:textId="77777777">
            <w:pPr>
              <w:rPr>
                <w:rFonts w:ascii="Palatino Linotype" w:hAnsi="Palatino Linotype"/>
                <w:sz w:val="21"/>
                <w:szCs w:val="21"/>
              </w:rPr>
            </w:pPr>
            <w:r w:rsidRPr="00853204">
              <w:rPr>
                <w:rFonts w:ascii="Palatino Linotype" w:hAnsi="Palatino Linotype"/>
                <w:sz w:val="21"/>
                <w:szCs w:val="21"/>
              </w:rPr>
              <w:t>$1,398,644</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2E2A22EC" w14:textId="77777777">
            <w:pPr>
              <w:rPr>
                <w:rFonts w:ascii="Palatino Linotype" w:hAnsi="Palatino Linotype"/>
                <w:sz w:val="21"/>
                <w:szCs w:val="21"/>
              </w:rPr>
            </w:pPr>
            <w:r w:rsidRPr="00853204">
              <w:rPr>
                <w:rFonts w:ascii="Palatino Linotype" w:hAnsi="Palatino Linotype"/>
                <w:sz w:val="21"/>
                <w:szCs w:val="21"/>
              </w:rPr>
              <w:t>$1,493,196</w:t>
            </w:r>
          </w:p>
        </w:tc>
      </w:tr>
      <w:tr w:rsidRPr="004C5DBB" w:rsidR="004C5DBB" w:rsidTr="00853204" w14:paraId="7D826379" w14:textId="77777777">
        <w:trPr>
          <w:trHeight w:val="432"/>
        </w:trPr>
        <w:tc>
          <w:tcPr>
            <w:tcW w:w="2175" w:type="dxa"/>
            <w:vMerge/>
            <w:tcBorders>
              <w:top w:val="single" w:color="auto" w:sz="4" w:space="0"/>
              <w:left w:val="single" w:color="auto" w:sz="4" w:space="0"/>
              <w:bottom w:val="single" w:color="auto" w:sz="4" w:space="0"/>
            </w:tcBorders>
          </w:tcPr>
          <w:p w:rsidRPr="004C5DBB" w:rsidR="004C5DBB" w:rsidP="004C5DBB" w:rsidRDefault="004C5DBB" w14:paraId="5722DE12" w14:textId="77777777">
            <w:pPr>
              <w:rPr>
                <w:rFonts w:ascii="Palatino Linotype" w:hAnsi="Palatino Linotype"/>
                <w:sz w:val="22"/>
                <w:szCs w:val="22"/>
              </w:rPr>
            </w:pP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6FAE45A2" w14:textId="77777777">
            <w:pPr>
              <w:rPr>
                <w:rFonts w:ascii="Palatino Linotype" w:hAnsi="Palatino Linotype"/>
                <w:sz w:val="21"/>
                <w:szCs w:val="21"/>
              </w:rPr>
            </w:pPr>
            <w:r w:rsidRPr="00853204">
              <w:rPr>
                <w:rFonts w:ascii="Palatino Linotype" w:hAnsi="Palatino Linotype"/>
                <w:sz w:val="21"/>
                <w:szCs w:val="21"/>
              </w:rPr>
              <w:t>Advanced Leak Detection and Repair</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BB243AD" w14:textId="77777777">
            <w:pPr>
              <w:rPr>
                <w:rFonts w:ascii="Palatino Linotype" w:hAnsi="Palatino Linotype"/>
                <w:sz w:val="21"/>
                <w:szCs w:val="21"/>
              </w:rPr>
            </w:pPr>
            <w:r w:rsidRPr="00853204">
              <w:rPr>
                <w:rFonts w:ascii="Palatino Linotype" w:hAnsi="Palatino Linotype"/>
                <w:sz w:val="21"/>
                <w:szCs w:val="21"/>
              </w:rPr>
              <w:t>$1,819,428</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50DB0602" w14:textId="77777777">
            <w:pPr>
              <w:rPr>
                <w:rFonts w:ascii="Palatino Linotype" w:hAnsi="Palatino Linotype"/>
                <w:sz w:val="21"/>
                <w:szCs w:val="21"/>
              </w:rPr>
            </w:pPr>
            <w:r w:rsidRPr="00853204">
              <w:rPr>
                <w:rFonts w:ascii="Palatino Linotype" w:hAnsi="Palatino Linotype"/>
                <w:sz w:val="21"/>
                <w:szCs w:val="21"/>
              </w:rPr>
              <w:t>$1,923,080</w:t>
            </w:r>
          </w:p>
        </w:tc>
      </w:tr>
      <w:tr w:rsidRPr="004C5DBB" w:rsidR="004C5DBB" w:rsidTr="00853204" w14:paraId="5B770DD3" w14:textId="77777777">
        <w:trPr>
          <w:trHeight w:val="432"/>
        </w:trPr>
        <w:tc>
          <w:tcPr>
            <w:tcW w:w="2175" w:type="dxa"/>
            <w:vMerge/>
            <w:tcBorders>
              <w:top w:val="single" w:color="auto" w:sz="4" w:space="0"/>
              <w:left w:val="single" w:color="auto" w:sz="4" w:space="0"/>
              <w:bottom w:val="single" w:color="auto" w:sz="4" w:space="0"/>
            </w:tcBorders>
          </w:tcPr>
          <w:p w:rsidRPr="004C5DBB" w:rsidR="004C5DBB" w:rsidP="004C5DBB" w:rsidRDefault="004C5DBB" w14:paraId="0E2F169D" w14:textId="77777777">
            <w:pPr>
              <w:rPr>
                <w:rFonts w:ascii="Palatino Linotype" w:hAnsi="Palatino Linotype"/>
                <w:sz w:val="22"/>
                <w:szCs w:val="22"/>
              </w:rPr>
            </w:pP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3F83500A" w14:textId="77777777">
            <w:pPr>
              <w:rPr>
                <w:rFonts w:ascii="Palatino Linotype" w:hAnsi="Palatino Linotype"/>
                <w:sz w:val="21"/>
                <w:szCs w:val="21"/>
              </w:rPr>
            </w:pPr>
            <w:r w:rsidRPr="00853204">
              <w:rPr>
                <w:rFonts w:ascii="Palatino Linotype" w:hAnsi="Palatino Linotype"/>
                <w:sz w:val="21"/>
                <w:szCs w:val="21"/>
              </w:rPr>
              <w:t>Emission Reduction Activities and Refined Reporting</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2BA262A8" w14:textId="77777777">
            <w:pPr>
              <w:rPr>
                <w:rFonts w:ascii="Palatino Linotype" w:hAnsi="Palatino Linotype"/>
                <w:sz w:val="21"/>
                <w:szCs w:val="21"/>
              </w:rPr>
            </w:pPr>
            <w:r w:rsidRPr="00853204">
              <w:rPr>
                <w:rFonts w:ascii="Palatino Linotype" w:hAnsi="Palatino Linotype"/>
                <w:sz w:val="21"/>
                <w:szCs w:val="21"/>
              </w:rPr>
              <w:t>$982,542</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FAF8467" w14:textId="77777777">
            <w:pPr>
              <w:rPr>
                <w:rFonts w:ascii="Palatino Linotype" w:hAnsi="Palatino Linotype"/>
                <w:sz w:val="21"/>
                <w:szCs w:val="21"/>
              </w:rPr>
            </w:pPr>
            <w:r w:rsidRPr="00853204">
              <w:rPr>
                <w:rFonts w:ascii="Palatino Linotype" w:hAnsi="Palatino Linotype"/>
                <w:sz w:val="21"/>
                <w:szCs w:val="21"/>
              </w:rPr>
              <w:t>$1,035,943</w:t>
            </w:r>
          </w:p>
        </w:tc>
      </w:tr>
      <w:tr w:rsidRPr="004C5DBB" w:rsidR="004C5DBB" w:rsidTr="00853204" w14:paraId="7D75D879" w14:textId="77777777">
        <w:trPr>
          <w:trHeight w:val="432"/>
        </w:trPr>
        <w:tc>
          <w:tcPr>
            <w:tcW w:w="2175" w:type="dxa"/>
            <w:vMerge w:val="restart"/>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15A5084" w14:textId="77777777">
            <w:pPr>
              <w:rPr>
                <w:rFonts w:ascii="Palatino Linotype" w:hAnsi="Palatino Linotype"/>
                <w:sz w:val="21"/>
                <w:szCs w:val="21"/>
              </w:rPr>
            </w:pPr>
            <w:r w:rsidRPr="00853204">
              <w:rPr>
                <w:rFonts w:ascii="Palatino Linotype" w:hAnsi="Palatino Linotype"/>
                <w:sz w:val="21"/>
                <w:szCs w:val="21"/>
              </w:rPr>
              <w:t>Decarbonization</w:t>
            </w: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0CF8AE9" w14:textId="77777777">
            <w:pPr>
              <w:rPr>
                <w:rFonts w:ascii="Palatino Linotype" w:hAnsi="Palatino Linotype"/>
                <w:sz w:val="21"/>
                <w:szCs w:val="21"/>
              </w:rPr>
            </w:pPr>
            <w:r w:rsidRPr="00853204">
              <w:rPr>
                <w:rFonts w:ascii="Palatino Linotype" w:hAnsi="Palatino Linotype"/>
                <w:sz w:val="21"/>
                <w:szCs w:val="21"/>
              </w:rPr>
              <w:t>Clean Fuels Integration</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3510AD8A" w14:textId="77777777">
            <w:pPr>
              <w:rPr>
                <w:rFonts w:ascii="Palatino Linotype" w:hAnsi="Palatino Linotype"/>
                <w:sz w:val="21"/>
                <w:szCs w:val="21"/>
              </w:rPr>
            </w:pPr>
            <w:r w:rsidRPr="00853204">
              <w:rPr>
                <w:rFonts w:ascii="Palatino Linotype" w:hAnsi="Palatino Linotype"/>
                <w:sz w:val="21"/>
                <w:szCs w:val="21"/>
              </w:rPr>
              <w:t>$2,191,660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5BDE6281" w14:textId="77777777">
            <w:pPr>
              <w:rPr>
                <w:rFonts w:ascii="Palatino Linotype" w:hAnsi="Palatino Linotype"/>
                <w:sz w:val="21"/>
                <w:szCs w:val="21"/>
              </w:rPr>
            </w:pPr>
            <w:r w:rsidRPr="00853204">
              <w:rPr>
                <w:rFonts w:ascii="Palatino Linotype" w:hAnsi="Palatino Linotype"/>
                <w:sz w:val="21"/>
                <w:szCs w:val="21"/>
              </w:rPr>
              <w:t>$1,703,363</w:t>
            </w:r>
          </w:p>
        </w:tc>
      </w:tr>
      <w:tr w:rsidRPr="004C5DBB" w:rsidR="004C5DBB" w:rsidTr="00853204" w14:paraId="2C812C2C" w14:textId="77777777">
        <w:trPr>
          <w:trHeight w:val="432"/>
        </w:trPr>
        <w:tc>
          <w:tcPr>
            <w:tcW w:w="2175" w:type="dxa"/>
            <w:vMerge/>
            <w:tcBorders>
              <w:top w:val="single" w:color="auto" w:sz="4" w:space="0"/>
              <w:left w:val="single" w:color="auto" w:sz="4" w:space="0"/>
              <w:bottom w:val="single" w:color="auto" w:sz="4" w:space="0"/>
            </w:tcBorders>
          </w:tcPr>
          <w:p w:rsidRPr="004C5DBB" w:rsidR="004C5DBB" w:rsidP="004C5DBB" w:rsidRDefault="004C5DBB" w14:paraId="2CFE87CE" w14:textId="77777777">
            <w:pPr>
              <w:rPr>
                <w:rFonts w:ascii="Palatino Linotype" w:hAnsi="Palatino Linotype"/>
                <w:sz w:val="22"/>
                <w:szCs w:val="22"/>
              </w:rPr>
            </w:pPr>
          </w:p>
        </w:tc>
        <w:tc>
          <w:tcPr>
            <w:tcW w:w="316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3BACA867" w14:textId="77777777">
            <w:pPr>
              <w:rPr>
                <w:rFonts w:ascii="Palatino Linotype" w:hAnsi="Palatino Linotype"/>
                <w:sz w:val="21"/>
                <w:szCs w:val="21"/>
              </w:rPr>
            </w:pPr>
            <w:r w:rsidRPr="00853204">
              <w:rPr>
                <w:rFonts w:ascii="Palatino Linotype" w:hAnsi="Palatino Linotype"/>
                <w:sz w:val="21"/>
                <w:szCs w:val="21"/>
              </w:rPr>
              <w:t>Sustainable Energy Solutions</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69C54498" w14:textId="77777777">
            <w:pPr>
              <w:rPr>
                <w:rFonts w:ascii="Palatino Linotype" w:hAnsi="Palatino Linotype"/>
                <w:sz w:val="21"/>
                <w:szCs w:val="21"/>
              </w:rPr>
            </w:pPr>
            <w:r w:rsidRPr="00853204">
              <w:rPr>
                <w:rFonts w:ascii="Palatino Linotype" w:hAnsi="Palatino Linotype"/>
                <w:sz w:val="21"/>
                <w:szCs w:val="21"/>
              </w:rPr>
              <w:t>$0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4FE55881" w14:textId="77777777">
            <w:pPr>
              <w:rPr>
                <w:rFonts w:ascii="Palatino Linotype" w:hAnsi="Palatino Linotype"/>
                <w:sz w:val="21"/>
                <w:szCs w:val="21"/>
              </w:rPr>
            </w:pPr>
            <w:r w:rsidRPr="00853204">
              <w:rPr>
                <w:rFonts w:ascii="Palatino Linotype" w:hAnsi="Palatino Linotype"/>
                <w:sz w:val="21"/>
                <w:szCs w:val="21"/>
              </w:rPr>
              <w:t>$588,602</w:t>
            </w:r>
          </w:p>
        </w:tc>
      </w:tr>
      <w:tr w:rsidRPr="004C5DBB" w:rsidR="004C5DBB" w:rsidTr="00853204" w14:paraId="60BA7D67" w14:textId="77777777">
        <w:trPr>
          <w:trHeight w:val="432"/>
        </w:trPr>
        <w:tc>
          <w:tcPr>
            <w:tcW w:w="5340" w:type="dxa"/>
            <w:gridSpan w:val="2"/>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72886F9E" w14:textId="77777777">
            <w:pPr>
              <w:rPr>
                <w:rFonts w:ascii="Palatino Linotype" w:hAnsi="Palatino Linotype"/>
                <w:sz w:val="21"/>
                <w:szCs w:val="21"/>
              </w:rPr>
            </w:pPr>
            <w:r w:rsidRPr="00853204">
              <w:rPr>
                <w:rFonts w:ascii="Palatino Linotype" w:hAnsi="Palatino Linotype"/>
                <w:sz w:val="21"/>
                <w:szCs w:val="21"/>
              </w:rPr>
              <w:t>Gas RD&amp;D Database Development</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772F0638" w14:textId="77777777">
            <w:pPr>
              <w:rPr>
                <w:rFonts w:ascii="Palatino Linotype" w:hAnsi="Palatino Linotype"/>
                <w:sz w:val="21"/>
                <w:szCs w:val="21"/>
              </w:rPr>
            </w:pPr>
            <w:r w:rsidRPr="00853204">
              <w:rPr>
                <w:rFonts w:ascii="Palatino Linotype" w:hAnsi="Palatino Linotype"/>
                <w:sz w:val="21"/>
                <w:szCs w:val="21"/>
              </w:rPr>
              <w:t>$0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620E7C11" w14:textId="77777777">
            <w:pPr>
              <w:rPr>
                <w:rFonts w:ascii="Palatino Linotype" w:hAnsi="Palatino Linotype"/>
                <w:sz w:val="21"/>
                <w:szCs w:val="21"/>
              </w:rPr>
            </w:pPr>
            <w:r w:rsidRPr="00853204">
              <w:rPr>
                <w:rFonts w:ascii="Palatino Linotype" w:hAnsi="Palatino Linotype"/>
                <w:sz w:val="21"/>
                <w:szCs w:val="21"/>
              </w:rPr>
              <w:t>$56,987</w:t>
            </w:r>
          </w:p>
        </w:tc>
      </w:tr>
      <w:tr w:rsidRPr="004C5DBB" w:rsidR="004C5DBB" w:rsidTr="00853204" w14:paraId="2E6DBFEC" w14:textId="77777777">
        <w:trPr>
          <w:trHeight w:val="432"/>
        </w:trPr>
        <w:tc>
          <w:tcPr>
            <w:tcW w:w="5340" w:type="dxa"/>
            <w:gridSpan w:val="2"/>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6D69C177" w14:textId="77777777">
            <w:pPr>
              <w:rPr>
                <w:rFonts w:ascii="Palatino Linotype" w:hAnsi="Palatino Linotype"/>
                <w:sz w:val="21"/>
                <w:szCs w:val="21"/>
              </w:rPr>
            </w:pPr>
            <w:r w:rsidRPr="00853204">
              <w:rPr>
                <w:rFonts w:ascii="Palatino Linotype" w:hAnsi="Palatino Linotype"/>
                <w:sz w:val="21"/>
                <w:szCs w:val="21"/>
              </w:rPr>
              <w:t>Program Evaluation</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D2FE566" w14:textId="77777777">
            <w:pPr>
              <w:rPr>
                <w:rFonts w:ascii="Palatino Linotype" w:hAnsi="Palatino Linotype"/>
                <w:sz w:val="21"/>
                <w:szCs w:val="21"/>
              </w:rPr>
            </w:pPr>
            <w:r w:rsidRPr="00853204">
              <w:rPr>
                <w:rFonts w:ascii="Palatino Linotype" w:hAnsi="Palatino Linotype"/>
                <w:sz w:val="21"/>
                <w:szCs w:val="21"/>
              </w:rPr>
              <w:t>$294,400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01803494" w14:textId="77777777">
            <w:pPr>
              <w:rPr>
                <w:rFonts w:ascii="Palatino Linotype" w:hAnsi="Palatino Linotype"/>
                <w:sz w:val="21"/>
                <w:szCs w:val="21"/>
              </w:rPr>
            </w:pPr>
            <w:r w:rsidRPr="00853204">
              <w:rPr>
                <w:rFonts w:ascii="Palatino Linotype" w:hAnsi="Palatino Linotype"/>
                <w:sz w:val="21"/>
                <w:szCs w:val="21"/>
              </w:rPr>
              <w:t>$0</w:t>
            </w:r>
          </w:p>
        </w:tc>
      </w:tr>
      <w:tr w:rsidRPr="004C5DBB" w:rsidR="004C5DBB" w:rsidTr="00853204" w14:paraId="11A99B67" w14:textId="77777777">
        <w:trPr>
          <w:trHeight w:val="432"/>
        </w:trPr>
        <w:tc>
          <w:tcPr>
            <w:tcW w:w="5340" w:type="dxa"/>
            <w:gridSpan w:val="2"/>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43689661" w14:textId="77777777">
            <w:pPr>
              <w:rPr>
                <w:rFonts w:ascii="Palatino Linotype" w:hAnsi="Palatino Linotype"/>
                <w:sz w:val="21"/>
                <w:szCs w:val="21"/>
              </w:rPr>
            </w:pPr>
            <w:r w:rsidRPr="00853204">
              <w:rPr>
                <w:rFonts w:ascii="Palatino Linotype" w:hAnsi="Palatino Linotype"/>
                <w:sz w:val="21"/>
                <w:szCs w:val="21"/>
              </w:rPr>
              <w:t>Administrative</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1E5DDDD2" w14:textId="77777777">
            <w:pPr>
              <w:rPr>
                <w:rFonts w:ascii="Palatino Linotype" w:hAnsi="Palatino Linotype"/>
                <w:sz w:val="21"/>
                <w:szCs w:val="21"/>
              </w:rPr>
            </w:pPr>
            <w:r w:rsidRPr="00853204">
              <w:rPr>
                <w:rFonts w:ascii="Palatino Linotype" w:hAnsi="Palatino Linotype"/>
                <w:sz w:val="21"/>
                <w:szCs w:val="21"/>
              </w:rPr>
              <w:t>$809,200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12138387" w14:textId="77777777">
            <w:pPr>
              <w:rPr>
                <w:rFonts w:ascii="Palatino Linotype" w:hAnsi="Palatino Linotype"/>
                <w:sz w:val="21"/>
                <w:szCs w:val="21"/>
              </w:rPr>
            </w:pPr>
            <w:r w:rsidRPr="00853204">
              <w:rPr>
                <w:rFonts w:ascii="Palatino Linotype" w:hAnsi="Palatino Linotype"/>
                <w:sz w:val="21"/>
                <w:szCs w:val="21"/>
              </w:rPr>
              <w:t>$826,700</w:t>
            </w:r>
          </w:p>
        </w:tc>
      </w:tr>
      <w:tr w:rsidRPr="004C5DBB" w:rsidR="004C5DBB" w:rsidTr="00853204" w14:paraId="3B087B07" w14:textId="77777777">
        <w:trPr>
          <w:trHeight w:val="432"/>
        </w:trPr>
        <w:tc>
          <w:tcPr>
            <w:tcW w:w="5340" w:type="dxa"/>
            <w:gridSpan w:val="2"/>
            <w:tcBorders>
              <w:top w:val="single" w:color="auto" w:sz="4" w:space="0"/>
              <w:left w:val="single" w:color="auto" w:sz="4" w:space="0"/>
              <w:bottom w:val="single" w:color="auto" w:sz="4" w:space="0"/>
              <w:right w:val="single" w:color="auto" w:sz="4" w:space="0"/>
            </w:tcBorders>
            <w:vAlign w:val="center"/>
          </w:tcPr>
          <w:p w:rsidRPr="00853204" w:rsidR="004C5DBB" w:rsidP="2EBB591F" w:rsidRDefault="004C5DBB" w14:paraId="32BB6B3A" w14:textId="77777777">
            <w:pPr>
              <w:rPr>
                <w:rFonts w:ascii="Palatino Linotype" w:hAnsi="Palatino Linotype"/>
                <w:b/>
                <w:sz w:val="21"/>
                <w:szCs w:val="21"/>
              </w:rPr>
            </w:pPr>
            <w:r w:rsidRPr="00853204">
              <w:rPr>
                <w:rFonts w:ascii="Palatino Linotype" w:hAnsi="Palatino Linotype"/>
                <w:b/>
                <w:sz w:val="21"/>
                <w:szCs w:val="21"/>
              </w:rPr>
              <w:t>ANNUAL TOTAL:</w:t>
            </w:r>
          </w:p>
        </w:tc>
        <w:tc>
          <w:tcPr>
            <w:tcW w:w="2035"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5B0D5B5F" w14:textId="77777777">
            <w:pPr>
              <w:rPr>
                <w:rFonts w:ascii="Palatino Linotype" w:hAnsi="Palatino Linotype"/>
                <w:b/>
                <w:sz w:val="21"/>
                <w:szCs w:val="21"/>
              </w:rPr>
            </w:pPr>
            <w:r w:rsidRPr="00853204">
              <w:rPr>
                <w:rFonts w:ascii="Palatino Linotype" w:hAnsi="Palatino Linotype"/>
                <w:b/>
                <w:sz w:val="21"/>
                <w:szCs w:val="21"/>
              </w:rPr>
              <w:t>*$8,092,000</w:t>
            </w:r>
          </w:p>
        </w:tc>
        <w:tc>
          <w:tcPr>
            <w:tcW w:w="1980" w:type="dxa"/>
            <w:tcBorders>
              <w:top w:val="single" w:color="auto" w:sz="4" w:space="0"/>
              <w:left w:val="single" w:color="auto" w:sz="4" w:space="0"/>
              <w:bottom w:val="single" w:color="auto" w:sz="4" w:space="0"/>
              <w:right w:val="single" w:color="auto" w:sz="4" w:space="0"/>
            </w:tcBorders>
            <w:vAlign w:val="center"/>
          </w:tcPr>
          <w:p w:rsidRPr="00853204" w:rsidR="004C5DBB" w:rsidP="004C5DBB" w:rsidRDefault="004C5DBB" w14:paraId="2A773A68" w14:textId="77777777">
            <w:pPr>
              <w:rPr>
                <w:rFonts w:ascii="Palatino Linotype" w:hAnsi="Palatino Linotype"/>
                <w:b/>
                <w:sz w:val="21"/>
                <w:szCs w:val="21"/>
              </w:rPr>
            </w:pPr>
            <w:r w:rsidRPr="00853204">
              <w:rPr>
                <w:rFonts w:ascii="Palatino Linotype" w:hAnsi="Palatino Linotype"/>
                <w:b/>
                <w:sz w:val="21"/>
                <w:szCs w:val="21"/>
              </w:rPr>
              <w:t>**$8,267,000</w:t>
            </w:r>
          </w:p>
        </w:tc>
      </w:tr>
    </w:tbl>
    <w:p w:rsidRPr="004C5DBB" w:rsidR="004C5DBB" w:rsidP="005A4A32" w:rsidRDefault="004C5DBB" w14:paraId="4F648DD0" w14:textId="77777777">
      <w:pPr>
        <w:spacing w:before="240" w:after="0"/>
        <w:rPr>
          <w:rFonts w:ascii="Palatino Linotype" w:hAnsi="Palatino Linotype"/>
          <w:bCs/>
          <w:sz w:val="20"/>
          <w:szCs w:val="20"/>
        </w:rPr>
      </w:pPr>
      <w:r w:rsidRPr="004C5DBB">
        <w:rPr>
          <w:rFonts w:ascii="Palatino Linotype" w:hAnsi="Palatino Linotype"/>
          <w:bCs/>
          <w:i/>
          <w:iCs/>
          <w:sz w:val="20"/>
          <w:szCs w:val="20"/>
        </w:rPr>
        <w:t>*Actual sum of PG&amp;E’s proposed budget allocations is $8,090,000; approved budget amount is $8,092,000.</w:t>
      </w:r>
      <w:r w:rsidRPr="004C5DBB">
        <w:rPr>
          <w:rFonts w:ascii="Palatino Linotype" w:hAnsi="Palatino Linotype"/>
          <w:bCs/>
          <w:sz w:val="20"/>
          <w:szCs w:val="20"/>
        </w:rPr>
        <w:t> </w:t>
      </w:r>
    </w:p>
    <w:p w:rsidRPr="004C5DBB" w:rsidR="004C5DBB" w:rsidP="004C5DBB" w:rsidRDefault="004C5DBB" w14:paraId="5FA14F55" w14:textId="77777777">
      <w:pPr>
        <w:rPr>
          <w:rFonts w:ascii="Palatino Linotype" w:hAnsi="Palatino Linotype"/>
          <w:bCs/>
          <w:sz w:val="20"/>
          <w:szCs w:val="20"/>
        </w:rPr>
      </w:pPr>
      <w:r w:rsidRPr="004C5DBB">
        <w:rPr>
          <w:rFonts w:ascii="Palatino Linotype" w:hAnsi="Palatino Linotype"/>
          <w:bCs/>
          <w:i/>
          <w:iCs/>
          <w:sz w:val="20"/>
          <w:szCs w:val="20"/>
        </w:rPr>
        <w:t>**Actual sum of PG&amp;E’s proposed budget allocations is $8,266,998; approved budget amount is $8,267,000.</w:t>
      </w:r>
      <w:r w:rsidRPr="004C5DBB">
        <w:rPr>
          <w:rFonts w:ascii="Palatino Linotype" w:hAnsi="Palatino Linotype"/>
          <w:bCs/>
          <w:sz w:val="20"/>
          <w:szCs w:val="20"/>
        </w:rPr>
        <w:t> </w:t>
      </w:r>
    </w:p>
    <w:p w:rsidRPr="004C5DBB" w:rsidR="004C5DBB" w:rsidP="004C5DBB" w:rsidRDefault="004C5DBB" w14:paraId="4A6D69DD" w14:textId="77777777">
      <w:pPr>
        <w:spacing w:after="0"/>
        <w:rPr>
          <w:rFonts w:ascii="Palatino Linotype" w:hAnsi="Palatino Linotype"/>
          <w:bCs/>
          <w:sz w:val="20"/>
          <w:szCs w:val="20"/>
        </w:rPr>
      </w:pPr>
    </w:p>
    <w:p w:rsidR="004C5DBB" w:rsidP="004C5DBB" w:rsidRDefault="004C5DBB" w14:paraId="18413541" w14:textId="77777777">
      <w:pPr>
        <w:rPr>
          <w:rFonts w:ascii="Palatino Linotype" w:hAnsi="Palatino Linotype"/>
          <w:b/>
          <w:bCs/>
        </w:rPr>
        <w:sectPr w:rsidR="004C5DBB" w:rsidSect="00750E92">
          <w:headerReference w:type="first" r:id="rId17"/>
          <w:footerReference w:type="first" r:id="rId18"/>
          <w:pgSz w:w="12240" w:h="15840"/>
          <w:pgMar w:top="1440" w:right="1440" w:bottom="1440" w:left="1440" w:header="720" w:footer="720" w:gutter="0"/>
          <w:cols w:space="720"/>
          <w:titlePg/>
          <w:docGrid w:linePitch="360"/>
        </w:sectPr>
      </w:pPr>
    </w:p>
    <w:p w:rsidRPr="004C5DBB" w:rsidR="004C5DBB" w:rsidP="004C5DBB" w:rsidRDefault="004C5DBB" w14:paraId="62831208" w14:textId="77777777">
      <w:pPr>
        <w:rPr>
          <w:rFonts w:ascii="Palatino Linotype" w:hAnsi="Palatino Linotype"/>
          <w:b/>
          <w:bCs/>
        </w:rPr>
      </w:pPr>
      <w:r w:rsidRPr="004C5DBB">
        <w:rPr>
          <w:rFonts w:ascii="Palatino Linotype" w:hAnsi="Palatino Linotype"/>
          <w:b/>
          <w:bCs/>
        </w:rPr>
        <w:lastRenderedPageBreak/>
        <w:t>APPENDIX</w:t>
      </w:r>
      <w:r w:rsidRPr="004C5DBB">
        <w:rPr>
          <w:rFonts w:ascii="Palatino Linotype" w:hAnsi="Palatino Linotype"/>
          <w:b/>
          <w:bCs/>
          <w:color w:val="000000" w:themeColor="text1"/>
        </w:rPr>
        <w:t xml:space="preserve"> B</w:t>
      </w:r>
      <w:r w:rsidRPr="004C5DBB">
        <w:rPr>
          <w:rFonts w:ascii="Palatino Linotype" w:hAnsi="Palatino Linotype"/>
          <w:b/>
          <w:bCs/>
        </w:rPr>
        <w:t>: Administrative Budget Cost Categories</w:t>
      </w:r>
    </w:p>
    <w:tbl>
      <w:tblPr>
        <w:tblStyle w:val="TableGrid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25"/>
        <w:gridCol w:w="2430"/>
      </w:tblGrid>
      <w:tr w:rsidRPr="004C5DBB" w:rsidR="004C5DBB" w:rsidTr="00C13899" w14:paraId="4ABF6F37" w14:textId="77777777">
        <w:trPr>
          <w:trHeight w:val="432"/>
        </w:trPr>
        <w:tc>
          <w:tcPr>
            <w:tcW w:w="6925" w:type="dxa"/>
            <w:vAlign w:val="center"/>
          </w:tcPr>
          <w:p w:rsidRPr="004C5DBB" w:rsidR="004C5DBB" w:rsidP="001562FB" w:rsidRDefault="004C5DBB" w14:paraId="5957B970" w14:textId="77777777">
            <w:pPr>
              <w:spacing w:line="276" w:lineRule="auto"/>
              <w:rPr>
                <w:rFonts w:ascii="Palatino Linotype" w:hAnsi="Palatino Linotype"/>
                <w:b/>
                <w:sz w:val="22"/>
                <w:szCs w:val="22"/>
              </w:rPr>
            </w:pPr>
            <w:r w:rsidRPr="004C5DBB">
              <w:rPr>
                <w:rFonts w:ascii="Palatino Linotype" w:hAnsi="Palatino Linotype"/>
                <w:b/>
                <w:sz w:val="22"/>
                <w:szCs w:val="22"/>
              </w:rPr>
              <w:t>Program Administrative Cost Budget Item</w:t>
            </w:r>
          </w:p>
        </w:tc>
        <w:tc>
          <w:tcPr>
            <w:tcW w:w="2430" w:type="dxa"/>
            <w:vAlign w:val="center"/>
          </w:tcPr>
          <w:p w:rsidRPr="004C5DBB" w:rsidR="004C5DBB" w:rsidP="001562FB" w:rsidRDefault="004C5DBB" w14:paraId="1571D32F" w14:textId="77777777">
            <w:pPr>
              <w:spacing w:line="276" w:lineRule="auto"/>
              <w:rPr>
                <w:rFonts w:ascii="Palatino Linotype" w:hAnsi="Palatino Linotype"/>
                <w:b/>
                <w:sz w:val="22"/>
                <w:szCs w:val="22"/>
              </w:rPr>
            </w:pPr>
            <w:r w:rsidRPr="004C5DBB">
              <w:rPr>
                <w:rFonts w:ascii="Palatino Linotype" w:hAnsi="Palatino Linotype"/>
                <w:b/>
                <w:sz w:val="22"/>
                <w:szCs w:val="22"/>
              </w:rPr>
              <w:t>Calendar Year ($)</w:t>
            </w:r>
          </w:p>
        </w:tc>
      </w:tr>
      <w:tr w:rsidRPr="004C5DBB" w:rsidR="004C5DBB" w:rsidTr="00C13899" w14:paraId="4BEBC983" w14:textId="77777777">
        <w:trPr>
          <w:trHeight w:val="432"/>
        </w:trPr>
        <w:tc>
          <w:tcPr>
            <w:tcW w:w="6925" w:type="dxa"/>
            <w:vAlign w:val="center"/>
          </w:tcPr>
          <w:p w:rsidRPr="004C5DBB" w:rsidR="004C5DBB" w:rsidP="001562FB" w:rsidRDefault="004C5DBB" w14:paraId="2D1A7337" w14:textId="77777777">
            <w:pPr>
              <w:spacing w:line="276" w:lineRule="auto"/>
              <w:rPr>
                <w:rFonts w:ascii="Palatino Linotype" w:hAnsi="Palatino Linotype"/>
                <w:sz w:val="22"/>
                <w:szCs w:val="22"/>
              </w:rPr>
            </w:pPr>
            <w:r w:rsidRPr="004C5DBB">
              <w:rPr>
                <w:rFonts w:ascii="Palatino Linotype" w:hAnsi="Palatino Linotype"/>
                <w:sz w:val="22"/>
                <w:szCs w:val="22"/>
              </w:rPr>
              <w:t>Investment Plan Development</w:t>
            </w:r>
          </w:p>
        </w:tc>
        <w:tc>
          <w:tcPr>
            <w:tcW w:w="2430" w:type="dxa"/>
            <w:vAlign w:val="center"/>
          </w:tcPr>
          <w:p w:rsidRPr="004C5DBB" w:rsidR="004C5DBB" w:rsidP="001562FB" w:rsidRDefault="004C5DBB" w14:paraId="6AC2BD79" w14:textId="77777777">
            <w:pPr>
              <w:spacing w:line="276" w:lineRule="auto"/>
              <w:rPr>
                <w:rFonts w:ascii="Palatino Linotype" w:hAnsi="Palatino Linotype"/>
                <w:b/>
                <w:sz w:val="22"/>
                <w:szCs w:val="22"/>
              </w:rPr>
            </w:pPr>
          </w:p>
        </w:tc>
      </w:tr>
      <w:tr w:rsidRPr="004C5DBB" w:rsidR="004C5DBB" w:rsidTr="00C13899" w14:paraId="1EBC56F1" w14:textId="77777777">
        <w:trPr>
          <w:trHeight w:val="432"/>
        </w:trPr>
        <w:tc>
          <w:tcPr>
            <w:tcW w:w="6925" w:type="dxa"/>
            <w:vAlign w:val="center"/>
          </w:tcPr>
          <w:p w:rsidRPr="004C5DBB" w:rsidR="004C5DBB" w:rsidP="001562FB" w:rsidRDefault="004C5DBB" w14:paraId="2F9E786A" w14:textId="77777777">
            <w:pPr>
              <w:spacing w:line="276" w:lineRule="auto"/>
              <w:rPr>
                <w:rFonts w:ascii="Palatino Linotype" w:hAnsi="Palatino Linotype"/>
                <w:sz w:val="22"/>
                <w:szCs w:val="22"/>
              </w:rPr>
            </w:pPr>
            <w:r w:rsidRPr="004C5DBB">
              <w:rPr>
                <w:rFonts w:ascii="Palatino Linotype" w:hAnsi="Palatino Linotype"/>
                <w:sz w:val="22"/>
                <w:szCs w:val="22"/>
              </w:rPr>
              <w:t xml:space="preserve">Project Planning and Initiation </w:t>
            </w:r>
          </w:p>
        </w:tc>
        <w:tc>
          <w:tcPr>
            <w:tcW w:w="2430" w:type="dxa"/>
            <w:vAlign w:val="center"/>
          </w:tcPr>
          <w:p w:rsidRPr="004C5DBB" w:rsidR="004C5DBB" w:rsidP="001562FB" w:rsidRDefault="004C5DBB" w14:paraId="6D7E3B78" w14:textId="77777777">
            <w:pPr>
              <w:spacing w:line="276" w:lineRule="auto"/>
              <w:rPr>
                <w:rFonts w:ascii="Palatino Linotype" w:hAnsi="Palatino Linotype"/>
                <w:b/>
                <w:sz w:val="22"/>
                <w:szCs w:val="22"/>
              </w:rPr>
            </w:pPr>
          </w:p>
        </w:tc>
      </w:tr>
      <w:tr w:rsidRPr="004C5DBB" w:rsidR="004C5DBB" w:rsidTr="00C13899" w14:paraId="2BFC7FA2" w14:textId="77777777">
        <w:trPr>
          <w:trHeight w:val="432"/>
        </w:trPr>
        <w:tc>
          <w:tcPr>
            <w:tcW w:w="6925" w:type="dxa"/>
            <w:vAlign w:val="center"/>
          </w:tcPr>
          <w:p w:rsidRPr="004C5DBB" w:rsidR="004C5DBB" w:rsidP="001562FB" w:rsidRDefault="004C5DBB" w14:paraId="3A602834" w14:textId="77777777">
            <w:pPr>
              <w:spacing w:line="276" w:lineRule="auto"/>
              <w:rPr>
                <w:rFonts w:ascii="Palatino Linotype" w:hAnsi="Palatino Linotype"/>
                <w:sz w:val="22"/>
                <w:szCs w:val="22"/>
              </w:rPr>
            </w:pPr>
            <w:r w:rsidRPr="004C5DBB">
              <w:rPr>
                <w:rFonts w:ascii="Palatino Linotype" w:hAnsi="Palatino Linotype"/>
                <w:sz w:val="22"/>
                <w:szCs w:val="22"/>
              </w:rPr>
              <w:t>Project Oversight and Governance</w:t>
            </w:r>
          </w:p>
        </w:tc>
        <w:tc>
          <w:tcPr>
            <w:tcW w:w="2430" w:type="dxa"/>
            <w:vAlign w:val="center"/>
          </w:tcPr>
          <w:p w:rsidRPr="004C5DBB" w:rsidR="004C5DBB" w:rsidP="001562FB" w:rsidRDefault="004C5DBB" w14:paraId="15F325C4" w14:textId="77777777">
            <w:pPr>
              <w:spacing w:line="276" w:lineRule="auto"/>
              <w:rPr>
                <w:rFonts w:ascii="Palatino Linotype" w:hAnsi="Palatino Linotype"/>
                <w:b/>
                <w:sz w:val="22"/>
                <w:szCs w:val="22"/>
              </w:rPr>
            </w:pPr>
          </w:p>
        </w:tc>
      </w:tr>
      <w:tr w:rsidRPr="004C5DBB" w:rsidR="004C5DBB" w:rsidTr="00C13899" w14:paraId="774CD30C" w14:textId="77777777">
        <w:trPr>
          <w:trHeight w:val="432"/>
        </w:trPr>
        <w:tc>
          <w:tcPr>
            <w:tcW w:w="6925" w:type="dxa"/>
            <w:vAlign w:val="center"/>
          </w:tcPr>
          <w:p w:rsidRPr="004C5DBB" w:rsidR="004C5DBB" w:rsidP="001562FB" w:rsidRDefault="004C5DBB" w14:paraId="10B942DF" w14:textId="77777777">
            <w:pPr>
              <w:spacing w:line="276" w:lineRule="auto"/>
              <w:rPr>
                <w:rFonts w:ascii="Palatino Linotype" w:hAnsi="Palatino Linotype"/>
                <w:sz w:val="22"/>
                <w:szCs w:val="22"/>
              </w:rPr>
            </w:pPr>
            <w:r w:rsidRPr="004C5DBB">
              <w:rPr>
                <w:rFonts w:ascii="Palatino Linotype" w:hAnsi="Palatino Linotype"/>
                <w:sz w:val="22"/>
                <w:szCs w:val="22"/>
              </w:rPr>
              <w:t>Stakeholder Communication, Engagement, and Outreach</w:t>
            </w:r>
          </w:p>
        </w:tc>
        <w:tc>
          <w:tcPr>
            <w:tcW w:w="2430" w:type="dxa"/>
            <w:vAlign w:val="center"/>
          </w:tcPr>
          <w:p w:rsidRPr="004C5DBB" w:rsidR="004C5DBB" w:rsidP="001562FB" w:rsidRDefault="004C5DBB" w14:paraId="2E471066" w14:textId="77777777">
            <w:pPr>
              <w:spacing w:line="276" w:lineRule="auto"/>
              <w:rPr>
                <w:rFonts w:ascii="Palatino Linotype" w:hAnsi="Palatino Linotype"/>
                <w:b/>
                <w:sz w:val="22"/>
                <w:szCs w:val="22"/>
              </w:rPr>
            </w:pPr>
          </w:p>
        </w:tc>
      </w:tr>
      <w:tr w:rsidRPr="004C5DBB" w:rsidR="004C5DBB" w:rsidTr="00C13899" w14:paraId="3D819BC5" w14:textId="77777777">
        <w:trPr>
          <w:trHeight w:val="432"/>
        </w:trPr>
        <w:tc>
          <w:tcPr>
            <w:tcW w:w="6925" w:type="dxa"/>
            <w:vAlign w:val="center"/>
          </w:tcPr>
          <w:p w:rsidRPr="004C5DBB" w:rsidR="004C5DBB" w:rsidP="001562FB" w:rsidRDefault="004C5DBB" w14:paraId="594963D3" w14:textId="77777777">
            <w:pPr>
              <w:spacing w:line="276" w:lineRule="auto"/>
              <w:rPr>
                <w:rFonts w:ascii="Palatino Linotype" w:hAnsi="Palatino Linotype"/>
                <w:sz w:val="22"/>
                <w:szCs w:val="22"/>
              </w:rPr>
            </w:pPr>
            <w:r w:rsidRPr="004C5DBB">
              <w:rPr>
                <w:rFonts w:ascii="Palatino Linotype" w:hAnsi="Palatino Linotype"/>
                <w:sz w:val="22"/>
                <w:szCs w:val="22"/>
              </w:rPr>
              <w:t>Regulatory Support Compliance</w:t>
            </w:r>
          </w:p>
        </w:tc>
        <w:tc>
          <w:tcPr>
            <w:tcW w:w="2430" w:type="dxa"/>
            <w:vAlign w:val="center"/>
          </w:tcPr>
          <w:p w:rsidRPr="004C5DBB" w:rsidR="004C5DBB" w:rsidP="001562FB" w:rsidRDefault="004C5DBB" w14:paraId="6F878837" w14:textId="77777777">
            <w:pPr>
              <w:spacing w:line="276" w:lineRule="auto"/>
              <w:rPr>
                <w:rFonts w:ascii="Palatino Linotype" w:hAnsi="Palatino Linotype"/>
                <w:b/>
                <w:sz w:val="22"/>
                <w:szCs w:val="22"/>
              </w:rPr>
            </w:pPr>
          </w:p>
        </w:tc>
      </w:tr>
      <w:tr w:rsidRPr="004C5DBB" w:rsidR="004C5DBB" w:rsidTr="00C13899" w14:paraId="35D7A656" w14:textId="77777777">
        <w:trPr>
          <w:trHeight w:val="432"/>
        </w:trPr>
        <w:tc>
          <w:tcPr>
            <w:tcW w:w="6925" w:type="dxa"/>
            <w:vAlign w:val="center"/>
          </w:tcPr>
          <w:p w:rsidRPr="004C5DBB" w:rsidR="004C5DBB" w:rsidP="001562FB" w:rsidRDefault="004C5DBB" w14:paraId="30419CB9" w14:textId="77777777">
            <w:pPr>
              <w:spacing w:line="276" w:lineRule="auto"/>
              <w:rPr>
                <w:rFonts w:ascii="Palatino Linotype" w:hAnsi="Palatino Linotype"/>
                <w:sz w:val="22"/>
                <w:szCs w:val="22"/>
              </w:rPr>
            </w:pPr>
            <w:r w:rsidRPr="004C5DBB">
              <w:rPr>
                <w:rFonts w:ascii="Palatino Linotype" w:hAnsi="Palatino Linotype"/>
                <w:sz w:val="22"/>
                <w:szCs w:val="22"/>
              </w:rPr>
              <w:t>Internal Management Coordination</w:t>
            </w:r>
          </w:p>
        </w:tc>
        <w:tc>
          <w:tcPr>
            <w:tcW w:w="2430" w:type="dxa"/>
            <w:vAlign w:val="center"/>
          </w:tcPr>
          <w:p w:rsidRPr="004C5DBB" w:rsidR="004C5DBB" w:rsidP="001562FB" w:rsidRDefault="004C5DBB" w14:paraId="60263BF9" w14:textId="77777777">
            <w:pPr>
              <w:spacing w:line="276" w:lineRule="auto"/>
              <w:rPr>
                <w:rFonts w:ascii="Palatino Linotype" w:hAnsi="Palatino Linotype"/>
                <w:b/>
                <w:sz w:val="22"/>
                <w:szCs w:val="22"/>
              </w:rPr>
            </w:pPr>
          </w:p>
        </w:tc>
      </w:tr>
      <w:tr w:rsidRPr="004C5DBB" w:rsidR="004C5DBB" w:rsidTr="00C13899" w14:paraId="7AA91D5D" w14:textId="77777777">
        <w:trPr>
          <w:trHeight w:val="432"/>
        </w:trPr>
        <w:tc>
          <w:tcPr>
            <w:tcW w:w="6925" w:type="dxa"/>
            <w:vAlign w:val="center"/>
          </w:tcPr>
          <w:p w:rsidRPr="004C5DBB" w:rsidR="004C5DBB" w:rsidP="001562FB" w:rsidRDefault="004C5DBB" w14:paraId="2D14F3C8" w14:textId="77777777">
            <w:pPr>
              <w:spacing w:line="276" w:lineRule="auto"/>
              <w:rPr>
                <w:rFonts w:ascii="Palatino Linotype" w:hAnsi="Palatino Linotype"/>
                <w:sz w:val="22"/>
                <w:szCs w:val="22"/>
              </w:rPr>
            </w:pPr>
            <w:r w:rsidRPr="004C5DBB">
              <w:rPr>
                <w:rFonts w:ascii="Palatino Linotype" w:hAnsi="Palatino Linotype"/>
                <w:sz w:val="22"/>
                <w:szCs w:val="22"/>
              </w:rPr>
              <w:t>Program and Process Coordination and Improvement</w:t>
            </w:r>
          </w:p>
        </w:tc>
        <w:tc>
          <w:tcPr>
            <w:tcW w:w="2430" w:type="dxa"/>
            <w:vAlign w:val="center"/>
          </w:tcPr>
          <w:p w:rsidRPr="004C5DBB" w:rsidR="004C5DBB" w:rsidP="001562FB" w:rsidRDefault="004C5DBB" w14:paraId="17D8FE86" w14:textId="77777777">
            <w:pPr>
              <w:spacing w:line="276" w:lineRule="auto"/>
              <w:rPr>
                <w:rFonts w:ascii="Palatino Linotype" w:hAnsi="Palatino Linotype"/>
                <w:b/>
                <w:sz w:val="22"/>
                <w:szCs w:val="22"/>
              </w:rPr>
            </w:pPr>
          </w:p>
        </w:tc>
      </w:tr>
      <w:tr w:rsidRPr="004C5DBB" w:rsidR="004C5DBB" w:rsidTr="00C13899" w14:paraId="77083B69" w14:textId="77777777">
        <w:trPr>
          <w:trHeight w:val="432"/>
        </w:trPr>
        <w:tc>
          <w:tcPr>
            <w:tcW w:w="6925" w:type="dxa"/>
            <w:vAlign w:val="center"/>
          </w:tcPr>
          <w:p w:rsidRPr="004C5DBB" w:rsidR="004C5DBB" w:rsidP="001562FB" w:rsidRDefault="004C5DBB" w14:paraId="44D86BF3" w14:textId="77777777">
            <w:pPr>
              <w:spacing w:line="276" w:lineRule="auto"/>
              <w:rPr>
                <w:rFonts w:ascii="Palatino Linotype" w:hAnsi="Palatino Linotype"/>
                <w:sz w:val="22"/>
                <w:szCs w:val="22"/>
              </w:rPr>
            </w:pPr>
            <w:r w:rsidRPr="004C5DBB">
              <w:rPr>
                <w:rFonts w:ascii="Palatino Linotype" w:hAnsi="Palatino Linotype"/>
                <w:sz w:val="22"/>
                <w:szCs w:val="22"/>
              </w:rPr>
              <w:t>Administrative Activities</w:t>
            </w:r>
          </w:p>
        </w:tc>
        <w:tc>
          <w:tcPr>
            <w:tcW w:w="2430" w:type="dxa"/>
            <w:vAlign w:val="center"/>
          </w:tcPr>
          <w:p w:rsidRPr="004C5DBB" w:rsidR="004C5DBB" w:rsidP="001562FB" w:rsidRDefault="004C5DBB" w14:paraId="3DB22A29" w14:textId="77777777">
            <w:pPr>
              <w:spacing w:line="276" w:lineRule="auto"/>
              <w:rPr>
                <w:rFonts w:ascii="Palatino Linotype" w:hAnsi="Palatino Linotype"/>
                <w:b/>
                <w:sz w:val="22"/>
                <w:szCs w:val="22"/>
              </w:rPr>
            </w:pPr>
          </w:p>
        </w:tc>
      </w:tr>
      <w:tr w:rsidRPr="004C5DBB" w:rsidR="004C5DBB" w:rsidTr="00C13899" w14:paraId="5CB600BF" w14:textId="77777777">
        <w:trPr>
          <w:trHeight w:val="432"/>
        </w:trPr>
        <w:tc>
          <w:tcPr>
            <w:tcW w:w="6925" w:type="dxa"/>
            <w:vAlign w:val="center"/>
          </w:tcPr>
          <w:p w:rsidRPr="004C5DBB" w:rsidR="004C5DBB" w:rsidP="001562FB" w:rsidRDefault="004C5DBB" w14:paraId="11DC2727" w14:textId="77777777">
            <w:pPr>
              <w:spacing w:line="276" w:lineRule="auto"/>
              <w:rPr>
                <w:rFonts w:ascii="Palatino Linotype" w:hAnsi="Palatino Linotype"/>
                <w:sz w:val="22"/>
                <w:szCs w:val="22"/>
              </w:rPr>
            </w:pPr>
            <w:r w:rsidRPr="004C5DBB">
              <w:rPr>
                <w:rFonts w:ascii="Palatino Linotype" w:hAnsi="Palatino Linotype"/>
                <w:sz w:val="22"/>
                <w:szCs w:val="22"/>
              </w:rPr>
              <w:t>Supervision and Personnel</w:t>
            </w:r>
          </w:p>
        </w:tc>
        <w:tc>
          <w:tcPr>
            <w:tcW w:w="2430" w:type="dxa"/>
            <w:vAlign w:val="center"/>
          </w:tcPr>
          <w:p w:rsidRPr="004C5DBB" w:rsidR="004C5DBB" w:rsidP="001562FB" w:rsidRDefault="004C5DBB" w14:paraId="45D6CE52" w14:textId="77777777">
            <w:pPr>
              <w:spacing w:line="276" w:lineRule="auto"/>
              <w:rPr>
                <w:rFonts w:ascii="Palatino Linotype" w:hAnsi="Palatino Linotype"/>
                <w:b/>
                <w:sz w:val="22"/>
                <w:szCs w:val="22"/>
              </w:rPr>
            </w:pPr>
          </w:p>
        </w:tc>
      </w:tr>
      <w:tr w:rsidRPr="004C5DBB" w:rsidR="004C5DBB" w:rsidTr="00C13899" w14:paraId="55C5A702" w14:textId="77777777">
        <w:trPr>
          <w:trHeight w:val="432"/>
        </w:trPr>
        <w:tc>
          <w:tcPr>
            <w:tcW w:w="6925" w:type="dxa"/>
            <w:vAlign w:val="center"/>
          </w:tcPr>
          <w:p w:rsidRPr="004C5DBB" w:rsidR="004C5DBB" w:rsidP="001562FB" w:rsidRDefault="004C5DBB" w14:paraId="4D477AE0" w14:textId="77777777">
            <w:pPr>
              <w:spacing w:line="276" w:lineRule="auto"/>
              <w:rPr>
                <w:rFonts w:ascii="Palatino Linotype" w:hAnsi="Palatino Linotype"/>
                <w:sz w:val="22"/>
                <w:szCs w:val="22"/>
              </w:rPr>
            </w:pPr>
            <w:r w:rsidRPr="004C5DBB">
              <w:rPr>
                <w:rFonts w:ascii="Palatino Linotype" w:hAnsi="Palatino Linotype"/>
                <w:sz w:val="22"/>
                <w:szCs w:val="22"/>
              </w:rPr>
              <w:t>Training and Development</w:t>
            </w:r>
          </w:p>
        </w:tc>
        <w:tc>
          <w:tcPr>
            <w:tcW w:w="2430" w:type="dxa"/>
            <w:vAlign w:val="center"/>
          </w:tcPr>
          <w:p w:rsidRPr="004C5DBB" w:rsidR="004C5DBB" w:rsidP="001562FB" w:rsidRDefault="004C5DBB" w14:paraId="4A41B4E6" w14:textId="77777777">
            <w:pPr>
              <w:spacing w:line="276" w:lineRule="auto"/>
              <w:rPr>
                <w:rFonts w:ascii="Palatino Linotype" w:hAnsi="Palatino Linotype"/>
                <w:b/>
                <w:sz w:val="22"/>
                <w:szCs w:val="22"/>
              </w:rPr>
            </w:pPr>
          </w:p>
        </w:tc>
      </w:tr>
      <w:tr w:rsidRPr="004C5DBB" w:rsidR="004C5DBB" w:rsidTr="00C13899" w14:paraId="3DC387A4" w14:textId="77777777">
        <w:trPr>
          <w:trHeight w:val="432"/>
        </w:trPr>
        <w:tc>
          <w:tcPr>
            <w:tcW w:w="6925" w:type="dxa"/>
            <w:vAlign w:val="center"/>
          </w:tcPr>
          <w:p w:rsidRPr="004C5DBB" w:rsidR="004C5DBB" w:rsidP="001562FB" w:rsidRDefault="004C5DBB" w14:paraId="1AA4CE32" w14:textId="77777777">
            <w:pPr>
              <w:spacing w:line="276" w:lineRule="auto"/>
              <w:rPr>
                <w:rFonts w:ascii="Palatino Linotype" w:hAnsi="Palatino Linotype"/>
                <w:b/>
                <w:sz w:val="22"/>
                <w:szCs w:val="22"/>
              </w:rPr>
            </w:pPr>
            <w:r w:rsidRPr="004C5DBB">
              <w:rPr>
                <w:rFonts w:ascii="Palatino Linotype" w:hAnsi="Palatino Linotype"/>
                <w:b/>
                <w:sz w:val="22"/>
                <w:szCs w:val="22"/>
              </w:rPr>
              <w:t>Total</w:t>
            </w:r>
          </w:p>
        </w:tc>
        <w:tc>
          <w:tcPr>
            <w:tcW w:w="2430" w:type="dxa"/>
            <w:vAlign w:val="center"/>
          </w:tcPr>
          <w:p w:rsidRPr="004C5DBB" w:rsidR="004C5DBB" w:rsidP="001562FB" w:rsidRDefault="004C5DBB" w14:paraId="3F871F2B" w14:textId="77777777">
            <w:pPr>
              <w:spacing w:line="276" w:lineRule="auto"/>
              <w:rPr>
                <w:rFonts w:ascii="Palatino Linotype" w:hAnsi="Palatino Linotype"/>
                <w:b/>
                <w:sz w:val="22"/>
                <w:szCs w:val="22"/>
              </w:rPr>
            </w:pPr>
          </w:p>
        </w:tc>
      </w:tr>
    </w:tbl>
    <w:p w:rsidRPr="004C5DBB" w:rsidR="004C5DBB" w:rsidP="001562FB" w:rsidRDefault="004C5DBB" w14:paraId="11378250" w14:textId="77777777">
      <w:pPr>
        <w:spacing w:line="276" w:lineRule="auto"/>
        <w:rPr>
          <w:rFonts w:ascii="Palatino Linotype" w:hAnsi="Palatino Linotype"/>
          <w:b/>
          <w:bCs/>
        </w:rPr>
      </w:pPr>
    </w:p>
    <w:p w:rsidR="004C5DBB" w:rsidP="004C5DBB" w:rsidRDefault="004C5DBB" w14:paraId="18A4B504" w14:textId="77777777">
      <w:pPr>
        <w:rPr>
          <w:rFonts w:ascii="Palatino Linotype" w:hAnsi="Palatino Linotype"/>
          <w:b/>
          <w:bCs/>
          <w:color w:val="000000" w:themeColor="text1"/>
        </w:rPr>
        <w:sectPr w:rsidR="004C5DBB" w:rsidSect="00750E92">
          <w:footerReference w:type="first" r:id="rId19"/>
          <w:pgSz w:w="12240" w:h="15840"/>
          <w:pgMar w:top="1440" w:right="1440" w:bottom="1440" w:left="1440" w:header="720" w:footer="720" w:gutter="0"/>
          <w:cols w:space="720"/>
          <w:titlePg/>
          <w:docGrid w:linePitch="360"/>
        </w:sectPr>
      </w:pPr>
    </w:p>
    <w:p w:rsidR="0005567D" w:rsidP="00C3043F" w:rsidRDefault="004C5DBB" w14:paraId="232C9666" w14:textId="3EC946D3">
      <w:pPr>
        <w:spacing w:after="0"/>
        <w:rPr>
          <w:rFonts w:ascii="Palatino Linotype" w:hAnsi="Palatino Linotype"/>
          <w:b/>
          <w:bCs/>
          <w:color w:val="000000" w:themeColor="text1"/>
        </w:rPr>
      </w:pPr>
      <w:r w:rsidRPr="004C5DBB">
        <w:rPr>
          <w:rFonts w:ascii="Palatino Linotype" w:hAnsi="Palatino Linotype"/>
          <w:b/>
          <w:bCs/>
          <w:color w:val="000000" w:themeColor="text1"/>
        </w:rPr>
        <w:lastRenderedPageBreak/>
        <w:t>APPENDIX C:</w:t>
      </w:r>
      <w:r w:rsidRPr="00E902A1">
        <w:rPr>
          <w:rFonts w:ascii="Palatino Linotype" w:hAnsi="Palatino Linotype"/>
          <w:b/>
          <w:bCs/>
          <w:color w:val="000000" w:themeColor="text1"/>
        </w:rPr>
        <w:t xml:space="preserve"> </w:t>
      </w:r>
      <w:r w:rsidRPr="00E902A1" w:rsidR="0005567D">
        <w:rPr>
          <w:rFonts w:ascii="Palatino Linotype" w:hAnsi="Palatino Linotype"/>
          <w:b/>
          <w:bCs/>
          <w:color w:val="000000" w:themeColor="text1"/>
        </w:rPr>
        <w:t>Guidance on Gas RD&amp;D Plans Provided to PG&amp;E During Pre-Submittal Consultation with CPUC Staff (March 2025)</w:t>
      </w:r>
    </w:p>
    <w:p w:rsidRPr="00F636EA" w:rsidR="00DB6F6E" w:rsidP="00C3043F" w:rsidRDefault="00424DD3" w14:paraId="164829D7" w14:textId="0EB51E0A">
      <w:pPr>
        <w:spacing w:line="240" w:lineRule="auto"/>
        <w:rPr>
          <w:rFonts w:ascii="Palatino Linotype" w:hAnsi="Palatino Linotype"/>
          <w:color w:val="0070C0"/>
        </w:rPr>
      </w:pPr>
      <w:r w:rsidRPr="00831E1B">
        <w:rPr>
          <w:rFonts w:ascii="Palatino Linotype" w:hAnsi="Palatino Linotype"/>
          <w:i/>
          <w:iCs/>
          <w:color w:val="000000" w:themeColor="text1"/>
          <w:sz w:val="20"/>
          <w:szCs w:val="20"/>
        </w:rPr>
        <w:t xml:space="preserve">CPUC staff provided the following guidance to PG&amp;E in advance of </w:t>
      </w:r>
      <w:r w:rsidRPr="00831E1B" w:rsidR="00082DA0">
        <w:rPr>
          <w:rFonts w:ascii="Palatino Linotype" w:hAnsi="Palatino Linotype"/>
          <w:i/>
          <w:iCs/>
          <w:color w:val="000000" w:themeColor="text1"/>
          <w:sz w:val="20"/>
          <w:szCs w:val="20"/>
        </w:rPr>
        <w:t xml:space="preserve">pre-submittal consultation briefings conducted March </w:t>
      </w:r>
      <w:r w:rsidRPr="00831E1B" w:rsidR="00EA1BC3">
        <w:rPr>
          <w:rFonts w:ascii="Palatino Linotype" w:hAnsi="Palatino Linotype"/>
          <w:i/>
          <w:iCs/>
          <w:color w:val="000000" w:themeColor="text1"/>
          <w:sz w:val="20"/>
          <w:szCs w:val="20"/>
        </w:rPr>
        <w:t xml:space="preserve">25 and May </w:t>
      </w:r>
      <w:r w:rsidRPr="00831E1B" w:rsidR="00B94819">
        <w:rPr>
          <w:rFonts w:ascii="Palatino Linotype" w:hAnsi="Palatino Linotype"/>
          <w:i/>
          <w:iCs/>
          <w:color w:val="000000" w:themeColor="text1"/>
          <w:sz w:val="20"/>
          <w:szCs w:val="20"/>
        </w:rPr>
        <w:t>8, 2025</w:t>
      </w:r>
      <w:r w:rsidRPr="00831E1B" w:rsidR="00B94819">
        <w:rPr>
          <w:rFonts w:ascii="Palatino Linotype" w:hAnsi="Palatino Linotype"/>
          <w:color w:val="000000" w:themeColor="text1"/>
        </w:rPr>
        <w:t>.</w:t>
      </w:r>
    </w:p>
    <w:p w:rsidRPr="004C5DBB" w:rsidR="004C5DBB" w:rsidP="001562FB" w:rsidRDefault="004C5DBB" w14:paraId="196CB175" w14:textId="77777777">
      <w:pPr>
        <w:spacing w:after="0" w:line="276" w:lineRule="auto"/>
        <w:rPr>
          <w:rFonts w:ascii="Palatino Linotype" w:hAnsi="Palatino Linotype"/>
          <w:sz w:val="22"/>
          <w:szCs w:val="22"/>
        </w:rPr>
      </w:pPr>
      <w:r w:rsidRPr="004C5DBB">
        <w:rPr>
          <w:rFonts w:ascii="Palatino Linotype" w:hAnsi="Palatino Linotype"/>
          <w:sz w:val="22"/>
          <w:szCs w:val="22"/>
        </w:rPr>
        <w:t>Please address the following Gas RD&amp;D program requirements during proposed budget plan briefings to CPUC SMEs:</w:t>
      </w:r>
    </w:p>
    <w:p w:rsidRPr="004C5DBB" w:rsidR="004C5DBB" w:rsidP="001562FB" w:rsidRDefault="004C5DBB" w14:paraId="79E08874"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 xml:space="preserve">Explain how initiatives maintain and promote affordability for ratepayers. </w:t>
      </w:r>
    </w:p>
    <w:p w:rsidRPr="004C5DBB" w:rsidR="004C5DBB" w:rsidP="001562FB" w:rsidRDefault="00360F55" w14:paraId="35DFB7C3" w14:textId="7903AE4A">
      <w:pPr>
        <w:numPr>
          <w:ilvl w:val="1"/>
          <w:numId w:val="27"/>
        </w:numPr>
        <w:spacing w:after="0" w:line="276" w:lineRule="auto"/>
        <w:contextualSpacing/>
        <w:rPr>
          <w:rFonts w:ascii="Palatino Linotype" w:hAnsi="Palatino Linotype" w:eastAsia="Century Gothic" w:cs="Century Gothic"/>
          <w:i/>
          <w:iCs/>
          <w:sz w:val="22"/>
          <w:szCs w:val="22"/>
        </w:rPr>
      </w:pPr>
      <w:r w:rsidRPr="00360F55">
        <w:rPr>
          <w:rFonts w:ascii="Palatino Linotype" w:hAnsi="Palatino Linotype" w:eastAsia="Century Gothic" w:cs="Century Gothic"/>
          <w:sz w:val="22"/>
          <w:szCs w:val="22"/>
        </w:rPr>
        <w:t>Public Utilities Code 740.1</w:t>
      </w:r>
      <w:r w:rsidRPr="004C5DBB" w:rsidR="004C5DBB">
        <w:rPr>
          <w:rFonts w:ascii="Palatino Linotype" w:hAnsi="Palatino Linotype" w:eastAsia="Century Gothic" w:cs="Century Gothic"/>
          <w:sz w:val="22"/>
          <w:szCs w:val="22"/>
        </w:rPr>
        <w:t xml:space="preserve"> (e)(5)</w:t>
      </w:r>
      <w:r w:rsidRPr="004C5DBB" w:rsidR="004C5DBB">
        <w:rPr>
          <w:rFonts w:ascii="Palatino Linotype" w:hAnsi="Palatino Linotype" w:eastAsia="Century Gothic" w:cs="Century Gothic"/>
          <w:i/>
          <w:iCs/>
          <w:sz w:val="22"/>
          <w:szCs w:val="22"/>
        </w:rPr>
        <w:t xml:space="preserve"> </w:t>
      </w:r>
      <w:r w:rsidRPr="004C5DBB" w:rsidR="004C5DBB">
        <w:rPr>
          <w:rFonts w:ascii="Palatino Linotype" w:hAnsi="Palatino Linotype" w:eastAsia="Century Gothic" w:cs="Century Gothic"/>
          <w:sz w:val="22"/>
          <w:szCs w:val="22"/>
        </w:rPr>
        <w:t>Commission guidelines for evaluating RD&amp;D programs by gas corporations</w:t>
      </w:r>
    </w:p>
    <w:p w:rsidRPr="004C5DBB" w:rsidR="004C5DBB" w:rsidP="0058488A" w:rsidRDefault="4C845A35" w14:paraId="629983C9" w14:textId="77777777">
      <w:pPr>
        <w:numPr>
          <w:ilvl w:val="1"/>
          <w:numId w:val="27"/>
        </w:numPr>
        <w:spacing w:after="0" w:line="276" w:lineRule="auto"/>
        <w:contextualSpacing/>
        <w:rPr>
          <w:rFonts w:ascii="Palatino Linotype" w:hAnsi="Palatino Linotype"/>
          <w:sz w:val="22"/>
          <w:szCs w:val="22"/>
        </w:rPr>
      </w:pPr>
      <w:hyperlink r:id="rId20">
        <w:r w:rsidRPr="61D6D4C1">
          <w:rPr>
            <w:rFonts w:ascii="Palatino Linotype" w:hAnsi="Palatino Linotype"/>
            <w:color w:val="467886"/>
            <w:sz w:val="22"/>
            <w:szCs w:val="22"/>
            <w:u w:val="single"/>
          </w:rPr>
          <w:t>Executive Order (EO) N-5-24</w:t>
        </w:r>
      </w:hyperlink>
      <w:r w:rsidRPr="61D6D4C1">
        <w:rPr>
          <w:rFonts w:ascii="Palatino Linotype" w:hAnsi="Palatino Linotype"/>
          <w:sz w:val="22"/>
          <w:szCs w:val="22"/>
        </w:rPr>
        <w:t xml:space="preserve"> (Newsom, 2024) On reducing rates</w:t>
      </w:r>
    </w:p>
    <w:p w:rsidRPr="004C5DBB" w:rsidR="004C5DBB" w:rsidP="0058488A" w:rsidRDefault="004C5DBB" w14:paraId="3661AEF4"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Demonstrate the explicit anticipated ratepayer benefit from each initiative.</w:t>
      </w:r>
    </w:p>
    <w:p w:rsidRPr="004C5DBB" w:rsidR="004C5DBB" w:rsidP="0058488A" w:rsidRDefault="00360F55" w14:paraId="5C81A6EC" w14:textId="68C8701C">
      <w:pPr>
        <w:numPr>
          <w:ilvl w:val="1"/>
          <w:numId w:val="28"/>
        </w:numPr>
        <w:spacing w:after="0" w:line="276" w:lineRule="auto"/>
        <w:contextualSpacing/>
        <w:rPr>
          <w:rFonts w:ascii="Palatino Linotype" w:hAnsi="Palatino Linotype" w:eastAsia="Century Gothic" w:cs="Century Gothic"/>
          <w:sz w:val="22"/>
          <w:szCs w:val="22"/>
        </w:rPr>
      </w:pPr>
      <w:r w:rsidRPr="00360F55">
        <w:rPr>
          <w:rFonts w:ascii="Palatino Linotype" w:hAnsi="Palatino Linotype" w:eastAsia="Century Gothic" w:cs="Century Gothic"/>
          <w:sz w:val="22"/>
          <w:szCs w:val="22"/>
        </w:rPr>
        <w:t>Public Utilities Code 740.1</w:t>
      </w:r>
      <w:r w:rsidRPr="004C5DBB" w:rsidR="004C5DBB">
        <w:rPr>
          <w:rFonts w:ascii="Palatino Linotype" w:hAnsi="Palatino Linotype" w:eastAsia="Century Gothic" w:cs="Century Gothic"/>
          <w:sz w:val="22"/>
          <w:szCs w:val="22"/>
        </w:rPr>
        <w:t xml:space="preserve"> (a) Commission guidelines for evaluating RD&amp;D programs by gas corporations</w:t>
      </w:r>
    </w:p>
    <w:p w:rsidRPr="004C5DBB" w:rsidR="004C5DBB" w:rsidP="001562FB" w:rsidRDefault="004C5DBB" w14:paraId="74ED953B"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Justify the use of ratepayer funds for each initiative (e.g. why this R&amp;D is not provided by competitive and regulated markets).</w:t>
      </w:r>
    </w:p>
    <w:p w:rsidRPr="004C5DBB" w:rsidR="004C5DBB" w:rsidP="001562FB" w:rsidRDefault="00252EBF" w14:paraId="5982EF0B" w14:textId="11424DF2">
      <w:pPr>
        <w:numPr>
          <w:ilvl w:val="1"/>
          <w:numId w:val="29"/>
        </w:numPr>
        <w:spacing w:after="0" w:line="276" w:lineRule="auto"/>
        <w:contextualSpacing/>
        <w:rPr>
          <w:rFonts w:ascii="Palatino Linotype" w:hAnsi="Palatino Linotype" w:eastAsia="Century Gothic" w:cs="Century Gothic"/>
          <w:sz w:val="22"/>
          <w:szCs w:val="22"/>
        </w:rPr>
      </w:pPr>
      <w:r w:rsidRPr="00252EBF">
        <w:rPr>
          <w:rFonts w:ascii="Palatino Linotype" w:hAnsi="Palatino Linotype" w:eastAsia="Century Gothic" w:cs="Century Gothic"/>
          <w:sz w:val="22"/>
          <w:szCs w:val="22"/>
        </w:rPr>
        <w:t>Public Resources Code 25620.15</w:t>
      </w:r>
      <w:r w:rsidRPr="6721B52B" w:rsidR="004C5DBB">
        <w:rPr>
          <w:rFonts w:ascii="Palatino Linotype" w:hAnsi="Palatino Linotype" w:eastAsia="Century Gothic" w:cs="Century Gothic"/>
          <w:sz w:val="22"/>
          <w:szCs w:val="22"/>
        </w:rPr>
        <w:t xml:space="preserve"> (a) Public Interest Energy Research, Demonstration, and Development Program </w:t>
      </w:r>
    </w:p>
    <w:p w:rsidRPr="004C5DBB" w:rsidR="004C5DBB" w:rsidP="001562FB" w:rsidRDefault="004C5DBB" w14:paraId="0F196785" w14:textId="77777777">
      <w:pPr>
        <w:numPr>
          <w:ilvl w:val="1"/>
          <w:numId w:val="29"/>
        </w:numPr>
        <w:spacing w:after="0" w:line="276" w:lineRule="auto"/>
        <w:contextualSpacing/>
        <w:rPr>
          <w:rFonts w:ascii="Palatino Linotype" w:hAnsi="Palatino Linotype" w:eastAsia="Century Gothic" w:cs="Century Gothic"/>
          <w:i/>
          <w:iCs/>
          <w:sz w:val="22"/>
          <w:szCs w:val="22"/>
        </w:rPr>
      </w:pPr>
      <w:r w:rsidRPr="004C5DBB">
        <w:rPr>
          <w:rFonts w:ascii="Palatino Linotype" w:hAnsi="Palatino Linotype"/>
          <w:sz w:val="22"/>
          <w:szCs w:val="22"/>
        </w:rPr>
        <w:t>CPUC Resolution approving CEC’s FY 2023-2024 Gas R&amp;D Budget Plan (</w:t>
      </w:r>
      <w:hyperlink r:id="rId21">
        <w:r w:rsidRPr="004C5DBB">
          <w:rPr>
            <w:rFonts w:ascii="Palatino Linotype" w:hAnsi="Palatino Linotype" w:eastAsiaTheme="minorEastAsia"/>
            <w:color w:val="467886" w:themeColor="hyperlink"/>
            <w:sz w:val="22"/>
            <w:szCs w:val="22"/>
            <w:u w:val="single"/>
          </w:rPr>
          <w:t>Resolution G-3603</w:t>
        </w:r>
      </w:hyperlink>
      <w:r w:rsidRPr="004C5DBB">
        <w:rPr>
          <w:rFonts w:ascii="Palatino Linotype" w:hAnsi="Palatino Linotype" w:eastAsia="Century Gothic" w:cs="Century Gothic"/>
          <w:sz w:val="22"/>
          <w:szCs w:val="22"/>
        </w:rPr>
        <w:t xml:space="preserve">, </w:t>
      </w:r>
      <w:r w:rsidRPr="004C5DBB">
        <w:rPr>
          <w:rFonts w:ascii="Palatino Linotype" w:hAnsi="Palatino Linotype"/>
          <w:sz w:val="22"/>
          <w:szCs w:val="22"/>
        </w:rPr>
        <w:t>OP 4)</w:t>
      </w:r>
    </w:p>
    <w:p w:rsidRPr="004C5DBB" w:rsidR="004C5DBB" w:rsidP="001562FB" w:rsidRDefault="004C5DBB" w14:paraId="5CA509B8" w14:textId="77777777">
      <w:pPr>
        <w:numPr>
          <w:ilvl w:val="0"/>
          <w:numId w:val="23"/>
        </w:numPr>
        <w:spacing w:after="0" w:line="276" w:lineRule="auto"/>
        <w:textAlignment w:val="baseline"/>
        <w:rPr>
          <w:rFonts w:ascii="Palatino Linotype" w:hAnsi="Palatino Linotype" w:cs="Calibri" w:eastAsiaTheme="majorEastAsia"/>
          <w:kern w:val="0"/>
          <w:sz w:val="22"/>
          <w:szCs w:val="22"/>
          <w14:ligatures w14:val="none"/>
        </w:rPr>
      </w:pPr>
      <w:r w:rsidRPr="004C5DBB">
        <w:rPr>
          <w:rFonts w:ascii="Palatino Linotype" w:hAnsi="Palatino Linotype" w:cs="Calibri" w:eastAsiaTheme="majorEastAsia"/>
          <w:kern w:val="0"/>
          <w:sz w:val="22"/>
          <w:szCs w:val="22"/>
          <w14:ligatures w14:val="none"/>
        </w:rPr>
        <w:t>List and align with specific CPUC policies and proceedings and fill identified research gaps.</w:t>
      </w:r>
    </w:p>
    <w:p w:rsidRPr="004C5DBB" w:rsidR="004C5DBB" w:rsidP="001562FB" w:rsidRDefault="004C5DBB" w14:paraId="4272BEB8" w14:textId="77777777">
      <w:pPr>
        <w:numPr>
          <w:ilvl w:val="0"/>
          <w:numId w:val="30"/>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sz w:val="22"/>
          <w:szCs w:val="22"/>
        </w:rPr>
        <w:t>CPUC Resolution approving CEC’s FY 2023-2024 Gas R&amp;D Budget Plan (</w:t>
      </w:r>
      <w:hyperlink r:id="rId22">
        <w:r w:rsidRPr="004C5DBB">
          <w:rPr>
            <w:rFonts w:ascii="Palatino Linotype" w:hAnsi="Palatino Linotype" w:eastAsiaTheme="minorEastAsia"/>
            <w:color w:val="467886" w:themeColor="hyperlink"/>
            <w:sz w:val="22"/>
            <w:szCs w:val="22"/>
            <w:u w:val="single"/>
          </w:rPr>
          <w:t>Resolution G-3603</w:t>
        </w:r>
      </w:hyperlink>
      <w:r w:rsidRPr="004C5DBB">
        <w:rPr>
          <w:rFonts w:ascii="Palatino Linotype" w:hAnsi="Palatino Linotype" w:eastAsia="Century Gothic" w:cs="Century Gothic"/>
          <w:sz w:val="22"/>
          <w:szCs w:val="22"/>
        </w:rPr>
        <w:t xml:space="preserve">, </w:t>
      </w:r>
      <w:r w:rsidRPr="004C5DBB">
        <w:rPr>
          <w:rFonts w:ascii="Palatino Linotype" w:hAnsi="Palatino Linotype"/>
          <w:sz w:val="22"/>
          <w:szCs w:val="22"/>
        </w:rPr>
        <w:t>OP 4)</w:t>
      </w:r>
    </w:p>
    <w:p w:rsidRPr="004C5DBB" w:rsidR="004C5DBB" w:rsidP="001562FB" w:rsidRDefault="004C5DBB" w14:paraId="470B81BE"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 xml:space="preserve">Document outreach and engagement with diverse stakeholders, including research and academic institutions and disadvantaged communities, and demonstrate integration of feedback. </w:t>
      </w:r>
    </w:p>
    <w:p w:rsidRPr="004C5DBB" w:rsidR="004C5DBB" w:rsidP="001562FB" w:rsidRDefault="004C5DBB" w14:paraId="1F7D3B41" w14:textId="77777777">
      <w:pPr>
        <w:numPr>
          <w:ilvl w:val="1"/>
          <w:numId w:val="26"/>
        </w:numPr>
        <w:spacing w:after="0" w:line="276" w:lineRule="auto"/>
        <w:contextualSpacing/>
        <w:rPr>
          <w:rFonts w:ascii="Palatino Linotype" w:hAnsi="Palatino Linotype" w:eastAsiaTheme="minorEastAsia"/>
          <w:sz w:val="22"/>
          <w:szCs w:val="22"/>
        </w:rPr>
      </w:pPr>
      <w:r w:rsidRPr="004C5DBB">
        <w:rPr>
          <w:rFonts w:ascii="Palatino Linotype" w:hAnsi="Palatino Linotype" w:eastAsiaTheme="minorEastAsia"/>
          <w:sz w:val="22"/>
          <w:szCs w:val="22"/>
        </w:rPr>
        <w:t>CPUC Resolution approving CEC’s FY 2017-2018 Gas R&amp;D Budget Plan (</w:t>
      </w:r>
      <w:hyperlink w:history="1" r:id="rId23">
        <w:r w:rsidRPr="004C5DBB">
          <w:rPr>
            <w:rFonts w:ascii="Palatino Linotype" w:hAnsi="Palatino Linotype" w:eastAsiaTheme="minorEastAsia"/>
            <w:color w:val="467886" w:themeColor="hyperlink"/>
            <w:sz w:val="22"/>
            <w:szCs w:val="22"/>
            <w:u w:val="single"/>
          </w:rPr>
          <w:t>Resolution G-3546</w:t>
        </w:r>
      </w:hyperlink>
      <w:r w:rsidRPr="004C5DBB">
        <w:rPr>
          <w:rFonts w:ascii="Palatino Linotype" w:hAnsi="Palatino Linotype" w:eastAsiaTheme="minorEastAsia"/>
          <w:sz w:val="22"/>
          <w:szCs w:val="22"/>
        </w:rPr>
        <w:t>, OP 6a)</w:t>
      </w:r>
    </w:p>
    <w:p w:rsidRPr="004C5DBB" w:rsidR="004C5DBB" w:rsidP="001562FB" w:rsidRDefault="004C5DBB" w14:paraId="2256EF4D" w14:textId="77777777">
      <w:pPr>
        <w:numPr>
          <w:ilvl w:val="1"/>
          <w:numId w:val="26"/>
        </w:numPr>
        <w:spacing w:after="0" w:line="276" w:lineRule="auto"/>
        <w:contextualSpacing/>
        <w:rPr>
          <w:rFonts w:ascii="Palatino Linotype" w:hAnsi="Palatino Linotype" w:eastAsiaTheme="minorEastAsia"/>
          <w:i/>
          <w:iCs/>
          <w:sz w:val="22"/>
          <w:szCs w:val="22"/>
        </w:rPr>
      </w:pPr>
      <w:r w:rsidRPr="004C5DBB">
        <w:rPr>
          <w:rFonts w:ascii="Palatino Linotype" w:hAnsi="Palatino Linotype"/>
          <w:sz w:val="22"/>
          <w:szCs w:val="22"/>
        </w:rPr>
        <w:t>CPUC Resolution approving CEC’s FY 2018-2019 Gas R&amp;D Budget Plan (</w:t>
      </w:r>
      <w:hyperlink w:history="1" r:id="rId24">
        <w:r w:rsidRPr="004C5DBB">
          <w:rPr>
            <w:rFonts w:ascii="Palatino Linotype" w:hAnsi="Palatino Linotype" w:eastAsiaTheme="minorEastAsia"/>
            <w:color w:val="467886" w:themeColor="hyperlink"/>
            <w:sz w:val="22"/>
            <w:szCs w:val="22"/>
            <w:u w:val="single"/>
          </w:rPr>
          <w:t>Resolution G-3555</w:t>
        </w:r>
      </w:hyperlink>
      <w:r w:rsidRPr="004C5DBB">
        <w:rPr>
          <w:rFonts w:ascii="Palatino Linotype" w:hAnsi="Palatino Linotype" w:eastAsiaTheme="minorEastAsia"/>
          <w:sz w:val="22"/>
          <w:szCs w:val="22"/>
        </w:rPr>
        <w:t>, OP 6a &amp; b)</w:t>
      </w:r>
    </w:p>
    <w:p w:rsidRPr="004C5DBB" w:rsidR="004C5DBB" w:rsidP="001562FB" w:rsidRDefault="004C5DBB" w14:paraId="7C2729C5" w14:textId="77777777">
      <w:pPr>
        <w:numPr>
          <w:ilvl w:val="1"/>
          <w:numId w:val="26"/>
        </w:numPr>
        <w:spacing w:after="0" w:line="276" w:lineRule="auto"/>
        <w:contextualSpacing/>
        <w:rPr>
          <w:rFonts w:ascii="Palatino Linotype" w:hAnsi="Palatino Linotype" w:eastAsiaTheme="minorEastAsia"/>
          <w:sz w:val="22"/>
          <w:szCs w:val="22"/>
        </w:rPr>
      </w:pPr>
      <w:r w:rsidRPr="004C5DBB">
        <w:rPr>
          <w:rFonts w:ascii="Palatino Linotype" w:hAnsi="Palatino Linotype"/>
          <w:sz w:val="22"/>
          <w:szCs w:val="22"/>
        </w:rPr>
        <w:t>CPUC Resolution approving CEC’s FY 2020-2021 Gas R&amp;D Budget Plan (</w:t>
      </w:r>
      <w:hyperlink w:history="1" r:id="rId25">
        <w:r w:rsidRPr="004C5DBB">
          <w:rPr>
            <w:rFonts w:ascii="Palatino Linotype" w:hAnsi="Palatino Linotype" w:eastAsiaTheme="minorEastAsia"/>
            <w:color w:val="467886" w:themeColor="hyperlink"/>
            <w:sz w:val="22"/>
            <w:szCs w:val="22"/>
            <w:u w:val="single"/>
          </w:rPr>
          <w:t>Resolution G-3571</w:t>
        </w:r>
      </w:hyperlink>
      <w:r w:rsidRPr="004C5DBB">
        <w:rPr>
          <w:rFonts w:ascii="Palatino Linotype" w:hAnsi="Palatino Linotype" w:eastAsiaTheme="minorEastAsia"/>
          <w:sz w:val="22"/>
          <w:szCs w:val="22"/>
        </w:rPr>
        <w:t>, OP 8a &amp; b)</w:t>
      </w:r>
    </w:p>
    <w:p w:rsidRPr="004C5DBB" w:rsidR="004C5DBB" w:rsidP="001562FB" w:rsidRDefault="004C5DBB" w14:paraId="057A71BE" w14:textId="77777777">
      <w:pPr>
        <w:numPr>
          <w:ilvl w:val="1"/>
          <w:numId w:val="25"/>
        </w:numPr>
        <w:spacing w:after="0" w:line="276" w:lineRule="auto"/>
        <w:contextualSpacing/>
        <w:rPr>
          <w:rFonts w:ascii="Palatino Linotype" w:hAnsi="Palatino Linotype" w:eastAsiaTheme="minorEastAsia"/>
          <w:sz w:val="22"/>
          <w:szCs w:val="22"/>
        </w:rPr>
      </w:pPr>
      <w:r w:rsidRPr="004C5DBB">
        <w:rPr>
          <w:rFonts w:ascii="Palatino Linotype" w:hAnsi="Palatino Linotype" w:eastAsia="Century Gothic" w:cs="Century Gothic"/>
          <w:color w:val="000000" w:themeColor="text1"/>
          <w:sz w:val="22"/>
          <w:szCs w:val="22"/>
        </w:rPr>
        <w:t>PG&amp;E TY2023 GRC Decision (</w:t>
      </w:r>
      <w:hyperlink w:history="1" r:id="rId26">
        <w:r w:rsidRPr="004C5DBB">
          <w:rPr>
            <w:rFonts w:ascii="Palatino Linotype" w:hAnsi="Palatino Linotype" w:eastAsia="Century Gothic" w:cs="Century Gothic"/>
            <w:color w:val="467886" w:themeColor="hyperlink"/>
            <w:sz w:val="22"/>
            <w:szCs w:val="22"/>
            <w:u w:val="single"/>
          </w:rPr>
          <w:t>D.23-11-069</w:t>
        </w:r>
      </w:hyperlink>
      <w:r w:rsidRPr="004C5DBB">
        <w:rPr>
          <w:rFonts w:ascii="Palatino Linotype" w:hAnsi="Palatino Linotype" w:eastAsia="Century Gothic" w:cs="Century Gothic"/>
          <w:color w:val="000000" w:themeColor="text1"/>
          <w:sz w:val="22"/>
          <w:szCs w:val="22"/>
        </w:rPr>
        <w:t>, (5) &amp; (9) at p. 220-221)</w:t>
      </w:r>
    </w:p>
    <w:p w:rsidRPr="004C5DBB" w:rsidR="004C5DBB" w:rsidP="001562FB" w:rsidRDefault="004C5DBB" w14:paraId="456A2D36"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 xml:space="preserve">Detail outreach and engagement with other Gas R&amp;D Administrators to ensure research complements but does not duplicate existing investments. </w:t>
      </w:r>
    </w:p>
    <w:p w:rsidRPr="004C5DBB" w:rsidR="004C5DBB" w:rsidP="001562FB" w:rsidRDefault="00360F55" w14:paraId="15554A62" w14:textId="24AAA466">
      <w:pPr>
        <w:numPr>
          <w:ilvl w:val="1"/>
          <w:numId w:val="24"/>
        </w:numPr>
        <w:spacing w:after="0" w:line="276" w:lineRule="auto"/>
        <w:contextualSpacing/>
        <w:rPr>
          <w:rFonts w:ascii="Palatino Linotype" w:hAnsi="Palatino Linotype" w:eastAsia="Century Gothic" w:cs="Century Gothic"/>
          <w:sz w:val="22"/>
          <w:szCs w:val="22"/>
        </w:rPr>
      </w:pPr>
      <w:r w:rsidRPr="00360F55">
        <w:rPr>
          <w:rFonts w:ascii="Palatino Linotype" w:hAnsi="Palatino Linotype" w:eastAsia="Century Gothic" w:cs="Century Gothic"/>
          <w:sz w:val="22"/>
          <w:szCs w:val="22"/>
        </w:rPr>
        <w:t>Public Utilities Code 740.1</w:t>
      </w:r>
      <w:r w:rsidRPr="004C5DBB" w:rsidR="004C5DBB">
        <w:rPr>
          <w:rFonts w:ascii="Palatino Linotype" w:hAnsi="Palatino Linotype" w:eastAsia="Century Gothic" w:cs="Century Gothic"/>
          <w:sz w:val="22"/>
          <w:szCs w:val="22"/>
        </w:rPr>
        <w:t xml:space="preserve"> (d) Commission guidelines for evaluating RD&amp;D programs by gas corporations</w:t>
      </w:r>
    </w:p>
    <w:p w:rsidRPr="004C5DBB" w:rsidR="004C5DBB" w:rsidP="001562FB" w:rsidRDefault="004C5DBB" w14:paraId="04135C4F" w14:textId="77777777">
      <w:pPr>
        <w:numPr>
          <w:ilvl w:val="1"/>
          <w:numId w:val="24"/>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sz w:val="22"/>
          <w:szCs w:val="22"/>
        </w:rPr>
        <w:lastRenderedPageBreak/>
        <w:t>CPUC Resolution approving CEC’s FY 2022-2023 Gas R&amp;D Budget Plan (</w:t>
      </w:r>
      <w:hyperlink w:history="1" r:id="rId27">
        <w:r w:rsidRPr="004C5DBB">
          <w:rPr>
            <w:rFonts w:ascii="Palatino Linotype" w:hAnsi="Palatino Linotype" w:eastAsia="Century Gothic" w:cs="Century Gothic"/>
            <w:color w:val="467886" w:themeColor="hyperlink"/>
            <w:sz w:val="22"/>
            <w:szCs w:val="22"/>
            <w:u w:val="single"/>
          </w:rPr>
          <w:t>Resolution G-3592</w:t>
        </w:r>
      </w:hyperlink>
      <w:r w:rsidRPr="004C5DBB">
        <w:rPr>
          <w:rFonts w:ascii="Palatino Linotype" w:hAnsi="Palatino Linotype" w:eastAsia="Century Gothic" w:cs="Century Gothic"/>
          <w:sz w:val="22"/>
          <w:szCs w:val="22"/>
        </w:rPr>
        <w:t>, OP 5c &amp; d)</w:t>
      </w:r>
    </w:p>
    <w:p w:rsidRPr="004C5DBB" w:rsidR="004C5DBB" w:rsidP="001562FB" w:rsidRDefault="004C5DBB" w14:paraId="75C8F9D8" w14:textId="77777777">
      <w:pPr>
        <w:numPr>
          <w:ilvl w:val="1"/>
          <w:numId w:val="24"/>
        </w:numPr>
        <w:spacing w:after="0" w:line="276" w:lineRule="auto"/>
        <w:contextualSpacing/>
        <w:jc w:val="both"/>
        <w:rPr>
          <w:rFonts w:ascii="Palatino Linotype" w:hAnsi="Palatino Linotype" w:eastAsia="Century Gothic" w:cs="Century Gothic"/>
          <w:sz w:val="22"/>
          <w:szCs w:val="22"/>
        </w:rPr>
      </w:pPr>
      <w:r w:rsidRPr="004C5DBB">
        <w:rPr>
          <w:rFonts w:ascii="Palatino Linotype" w:hAnsi="Palatino Linotype"/>
          <w:sz w:val="22"/>
          <w:szCs w:val="22"/>
        </w:rPr>
        <w:t>CPUC Resolution approving CEC’s FY 2023-2024 Gas R&amp;D Budget Plan (</w:t>
      </w:r>
      <w:hyperlink r:id="rId28">
        <w:r w:rsidRPr="004C5DBB">
          <w:rPr>
            <w:rFonts w:ascii="Palatino Linotype" w:hAnsi="Palatino Linotype" w:eastAsiaTheme="minorEastAsia"/>
            <w:color w:val="467886" w:themeColor="hyperlink"/>
            <w:sz w:val="22"/>
            <w:szCs w:val="22"/>
            <w:u w:val="single"/>
          </w:rPr>
          <w:t>Resolution G-3603</w:t>
        </w:r>
      </w:hyperlink>
      <w:r w:rsidRPr="004C5DBB">
        <w:rPr>
          <w:rFonts w:ascii="Palatino Linotype" w:hAnsi="Palatino Linotype" w:eastAsia="Century Gothic" w:cs="Century Gothic"/>
          <w:sz w:val="22"/>
          <w:szCs w:val="22"/>
        </w:rPr>
        <w:t>, OP 4)</w:t>
      </w:r>
    </w:p>
    <w:p w:rsidRPr="004C5DBB" w:rsidR="004C5DBB" w:rsidP="001562FB" w:rsidRDefault="004C5DBB" w14:paraId="3A25C7AF" w14:textId="77777777">
      <w:pPr>
        <w:numPr>
          <w:ilvl w:val="1"/>
          <w:numId w:val="24"/>
        </w:numPr>
        <w:spacing w:after="0" w:line="276" w:lineRule="auto"/>
        <w:contextualSpacing/>
        <w:rPr>
          <w:rFonts w:ascii="Palatino Linotype" w:hAnsi="Palatino Linotype" w:eastAsiaTheme="minorEastAsia"/>
          <w:sz w:val="22"/>
          <w:szCs w:val="22"/>
        </w:rPr>
      </w:pPr>
      <w:r w:rsidRPr="004C5DBB">
        <w:rPr>
          <w:rFonts w:ascii="Palatino Linotype" w:hAnsi="Palatino Linotype" w:eastAsia="Century Gothic" w:cs="Century Gothic"/>
          <w:color w:val="000000" w:themeColor="text1"/>
          <w:sz w:val="22"/>
          <w:szCs w:val="22"/>
        </w:rPr>
        <w:t>PG&amp;E TY2023 GRC Decision (</w:t>
      </w:r>
      <w:hyperlink w:history="1" r:id="rId29">
        <w:r w:rsidRPr="004C5DBB">
          <w:rPr>
            <w:rFonts w:ascii="Palatino Linotype" w:hAnsi="Palatino Linotype" w:eastAsia="Century Gothic" w:cs="Century Gothic"/>
            <w:color w:val="467886" w:themeColor="hyperlink"/>
            <w:sz w:val="22"/>
            <w:szCs w:val="22"/>
            <w:u w:val="single"/>
          </w:rPr>
          <w:t>D.23-11-069</w:t>
        </w:r>
      </w:hyperlink>
      <w:r w:rsidRPr="004C5DBB">
        <w:rPr>
          <w:rFonts w:ascii="Palatino Linotype" w:hAnsi="Palatino Linotype" w:eastAsia="Century Gothic" w:cs="Century Gothic"/>
          <w:color w:val="000000" w:themeColor="text1"/>
          <w:sz w:val="22"/>
          <w:szCs w:val="22"/>
        </w:rPr>
        <w:t>, (5) at p. 220)</w:t>
      </w:r>
    </w:p>
    <w:p w:rsidRPr="004C5DBB" w:rsidR="004C5DBB" w:rsidP="001562FB" w:rsidRDefault="004C5DBB" w14:paraId="566A53EC" w14:textId="77777777">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Utilize the EPIC Uniform Impact Analysis Foundational Principles and detail planned methodologies for tracking and evaluating the quantitative impacts of each initiative.</w:t>
      </w:r>
    </w:p>
    <w:p w:rsidRPr="004C5DBB" w:rsidR="004C5DBB" w:rsidP="001562FB" w:rsidRDefault="004C5DBB" w14:paraId="48226C49" w14:textId="77777777">
      <w:pPr>
        <w:numPr>
          <w:ilvl w:val="0"/>
          <w:numId w:val="31"/>
        </w:numPr>
        <w:spacing w:after="0" w:line="276" w:lineRule="auto"/>
        <w:contextualSpacing/>
        <w:rPr>
          <w:rFonts w:ascii="Palatino Linotype" w:hAnsi="Palatino Linotype"/>
          <w:i/>
          <w:iCs/>
          <w:sz w:val="22"/>
          <w:szCs w:val="22"/>
        </w:rPr>
      </w:pPr>
      <w:r w:rsidRPr="004C5DBB">
        <w:rPr>
          <w:rFonts w:ascii="Palatino Linotype" w:hAnsi="Palatino Linotype"/>
          <w:sz w:val="22"/>
          <w:szCs w:val="22"/>
        </w:rPr>
        <w:t>CPUC Resolution approving CEC’s FY 2022-2023 Gas R&amp;D Budget Plan (</w:t>
      </w:r>
      <w:hyperlink r:id="rId30">
        <w:r w:rsidRPr="004C5DBB">
          <w:rPr>
            <w:rFonts w:ascii="Palatino Linotype" w:hAnsi="Palatino Linotype"/>
            <w:color w:val="467886" w:themeColor="hyperlink"/>
            <w:sz w:val="22"/>
            <w:szCs w:val="22"/>
            <w:u w:val="single"/>
          </w:rPr>
          <w:t>Resolution G-3592</w:t>
        </w:r>
      </w:hyperlink>
      <w:r w:rsidRPr="004C5DBB">
        <w:rPr>
          <w:rFonts w:ascii="Palatino Linotype" w:hAnsi="Palatino Linotype"/>
          <w:sz w:val="22"/>
          <w:szCs w:val="22"/>
        </w:rPr>
        <w:t>, OP 6)</w:t>
      </w:r>
    </w:p>
    <w:p w:rsidRPr="004C5DBB" w:rsidR="004C5DBB" w:rsidP="001562FB" w:rsidRDefault="004C5DBB" w14:paraId="6BA10768" w14:textId="77777777">
      <w:pPr>
        <w:numPr>
          <w:ilvl w:val="0"/>
          <w:numId w:val="31"/>
        </w:numPr>
        <w:spacing w:after="0" w:line="276" w:lineRule="auto"/>
        <w:contextualSpacing/>
        <w:rPr>
          <w:rFonts w:ascii="Palatino Linotype" w:hAnsi="Palatino Linotype"/>
          <w:sz w:val="22"/>
          <w:szCs w:val="22"/>
        </w:rPr>
      </w:pPr>
      <w:r w:rsidRPr="004C5DBB">
        <w:rPr>
          <w:rFonts w:ascii="Palatino Linotype" w:hAnsi="Palatino Linotype"/>
          <w:sz w:val="22"/>
          <w:szCs w:val="22"/>
        </w:rPr>
        <w:t>CPUC Resolution approving CEC’s FY 2023-2024 Gas R&amp;D Budget Plan (</w:t>
      </w:r>
      <w:hyperlink r:id="rId31">
        <w:r w:rsidRPr="004C5DBB">
          <w:rPr>
            <w:rFonts w:ascii="Palatino Linotype" w:hAnsi="Palatino Linotype" w:eastAsia="Century Gothic" w:cs="Century Gothic"/>
            <w:color w:val="467886" w:themeColor="hyperlink"/>
            <w:sz w:val="22"/>
            <w:szCs w:val="22"/>
            <w:u w:val="single"/>
          </w:rPr>
          <w:t>Resolution G-3603</w:t>
        </w:r>
      </w:hyperlink>
      <w:r w:rsidRPr="004C5DBB">
        <w:rPr>
          <w:rFonts w:ascii="Palatino Linotype" w:hAnsi="Palatino Linotype" w:eastAsia="Century Gothic" w:cs="Century Gothic"/>
          <w:sz w:val="22"/>
          <w:szCs w:val="22"/>
        </w:rPr>
        <w:t>, OP 6)</w:t>
      </w:r>
    </w:p>
    <w:p w:rsidRPr="004C5DBB" w:rsidR="004C5DBB" w:rsidP="001562FB" w:rsidRDefault="004C5DBB" w14:paraId="1BA60749" w14:textId="77777777">
      <w:pPr>
        <w:numPr>
          <w:ilvl w:val="0"/>
          <w:numId w:val="31"/>
        </w:numPr>
        <w:spacing w:after="0" w:line="276" w:lineRule="auto"/>
        <w:contextualSpacing/>
        <w:rPr>
          <w:rFonts w:ascii="Palatino Linotype" w:hAnsi="Palatino Linotype" w:eastAsia="Century Gothic" w:cs="Century Gothic"/>
          <w:color w:val="000000" w:themeColor="text1"/>
          <w:sz w:val="22"/>
          <w:szCs w:val="22"/>
        </w:rPr>
      </w:pPr>
      <w:r w:rsidRPr="004C5DBB">
        <w:rPr>
          <w:rFonts w:ascii="Palatino Linotype" w:hAnsi="Palatino Linotype" w:eastAsia="Century Gothic" w:cs="Century Gothic"/>
          <w:color w:val="000000" w:themeColor="text1"/>
          <w:sz w:val="22"/>
          <w:szCs w:val="22"/>
        </w:rPr>
        <w:t>Decision on Phase 2-C of EPIC Charge Rulemaking (</w:t>
      </w:r>
      <w:hyperlink r:id="rId32">
        <w:r w:rsidRPr="004C5DBB">
          <w:rPr>
            <w:rFonts w:ascii="Palatino Linotype" w:hAnsi="Palatino Linotype" w:eastAsia="Century Gothic" w:cs="Century Gothic"/>
            <w:color w:val="467886"/>
            <w:sz w:val="22"/>
            <w:szCs w:val="22"/>
            <w:u w:val="single"/>
          </w:rPr>
          <w:t>D.23-04-042</w:t>
        </w:r>
      </w:hyperlink>
      <w:r w:rsidRPr="004C5DBB">
        <w:rPr>
          <w:rFonts w:ascii="Palatino Linotype" w:hAnsi="Palatino Linotype" w:eastAsia="Century Gothic" w:cs="Century Gothic"/>
          <w:color w:val="000000" w:themeColor="text1"/>
          <w:sz w:val="22"/>
          <w:szCs w:val="22"/>
        </w:rPr>
        <w:t>, Appendix A)</w:t>
      </w:r>
    </w:p>
    <w:p w:rsidRPr="004C5DBB" w:rsidR="004C5DBB" w:rsidP="001562FB" w:rsidRDefault="004C5DBB" w14:paraId="4B724194" w14:textId="4B94EFCD">
      <w:pPr>
        <w:numPr>
          <w:ilvl w:val="0"/>
          <w:numId w:val="23"/>
        </w:numPr>
        <w:spacing w:after="0" w:line="276" w:lineRule="auto"/>
        <w:contextualSpacing/>
        <w:rPr>
          <w:rFonts w:ascii="Palatino Linotype" w:hAnsi="Palatino Linotype" w:eastAsia="Century Gothic" w:cs="Century Gothic"/>
          <w:sz w:val="22"/>
          <w:szCs w:val="22"/>
        </w:rPr>
      </w:pPr>
      <w:r w:rsidRPr="004C5DBB">
        <w:rPr>
          <w:rFonts w:ascii="Palatino Linotype" w:hAnsi="Palatino Linotype" w:eastAsia="Century Gothic" w:cs="Century Gothic"/>
          <w:sz w:val="22"/>
          <w:szCs w:val="22"/>
        </w:rPr>
        <w:t>Present budget broken down by proposed initiatives and delineate administrative costs (capped at 10%) using the EPIC Administrative Budget Template.</w:t>
      </w:r>
    </w:p>
    <w:p w:rsidRPr="004C5DBB" w:rsidR="004C5DBB" w:rsidP="001562FB" w:rsidRDefault="004C5DBB" w14:paraId="794A9E3C" w14:textId="77777777">
      <w:pPr>
        <w:numPr>
          <w:ilvl w:val="1"/>
          <w:numId w:val="32"/>
        </w:numPr>
        <w:spacing w:after="0" w:line="276" w:lineRule="auto"/>
        <w:contextualSpacing/>
        <w:rPr>
          <w:rFonts w:ascii="Palatino Linotype" w:hAnsi="Palatino Linotype" w:eastAsia="Century Gothic" w:cs="Century Gothic"/>
          <w:color w:val="000000" w:themeColor="text1"/>
          <w:sz w:val="22"/>
          <w:szCs w:val="22"/>
        </w:rPr>
      </w:pPr>
      <w:r w:rsidRPr="004C5DBB">
        <w:rPr>
          <w:rFonts w:ascii="Palatino Linotype" w:hAnsi="Palatino Linotype" w:eastAsia="Century Gothic" w:cs="Century Gothic"/>
          <w:sz w:val="22"/>
          <w:szCs w:val="22"/>
        </w:rPr>
        <w:t>CPUC Resolution approving CEC’s FY 2022-2023 Gas R&amp;D Budget Plan (</w:t>
      </w:r>
      <w:hyperlink r:id="rId33">
        <w:r w:rsidRPr="004C5DBB">
          <w:rPr>
            <w:rFonts w:ascii="Palatino Linotype" w:hAnsi="Palatino Linotype" w:eastAsia="Century Gothic" w:cs="Century Gothic"/>
            <w:color w:val="467886"/>
            <w:sz w:val="22"/>
            <w:szCs w:val="22"/>
            <w:u w:val="single"/>
          </w:rPr>
          <w:t>Resolution G-3592</w:t>
        </w:r>
      </w:hyperlink>
      <w:r w:rsidRPr="004C5DBB">
        <w:rPr>
          <w:rFonts w:ascii="Palatino Linotype" w:hAnsi="Palatino Linotype" w:eastAsia="Century Gothic" w:cs="Century Gothic"/>
          <w:color w:val="000000" w:themeColor="text1"/>
          <w:sz w:val="22"/>
          <w:szCs w:val="22"/>
        </w:rPr>
        <w:t>, OP 5e &amp; Appendix A at p. 31)</w:t>
      </w:r>
    </w:p>
    <w:p w:rsidRPr="00B274D7" w:rsidR="004C5DBB" w:rsidP="001562FB" w:rsidRDefault="004C5DBB" w14:paraId="3EA54AF9" w14:textId="77777777">
      <w:pPr>
        <w:numPr>
          <w:ilvl w:val="1"/>
          <w:numId w:val="32"/>
        </w:numPr>
        <w:spacing w:after="0" w:line="276" w:lineRule="auto"/>
        <w:contextualSpacing/>
        <w:rPr>
          <w:rFonts w:ascii="Palatino Linotype" w:hAnsi="Palatino Linotype" w:eastAsia="Century Gothic" w:cs="Century Gothic"/>
          <w:color w:val="000000" w:themeColor="text1"/>
          <w:sz w:val="22"/>
          <w:szCs w:val="22"/>
        </w:rPr>
      </w:pPr>
      <w:r w:rsidRPr="004C5DBB">
        <w:rPr>
          <w:rFonts w:ascii="Palatino Linotype" w:hAnsi="Palatino Linotype"/>
          <w:sz w:val="22"/>
          <w:szCs w:val="22"/>
        </w:rPr>
        <w:t>PG&amp;E TY2023 GRC Decision (</w:t>
      </w:r>
      <w:hyperlink w:history="1" r:id="rId34">
        <w:r w:rsidRPr="004C5DBB">
          <w:rPr>
            <w:rFonts w:ascii="Palatino Linotype" w:hAnsi="Palatino Linotype"/>
            <w:color w:val="467886" w:themeColor="hyperlink"/>
            <w:sz w:val="22"/>
            <w:szCs w:val="22"/>
            <w:u w:val="single"/>
          </w:rPr>
          <w:t>D.23-11-069</w:t>
        </w:r>
      </w:hyperlink>
      <w:r w:rsidRPr="004C5DBB">
        <w:rPr>
          <w:rFonts w:ascii="Palatino Linotype" w:hAnsi="Palatino Linotype"/>
          <w:sz w:val="22"/>
          <w:szCs w:val="22"/>
        </w:rPr>
        <w:t>, (1) &amp; (3) at p. 218-219)</w:t>
      </w:r>
    </w:p>
    <w:p w:rsidR="00B274D7" w:rsidP="00B274D7" w:rsidRDefault="00B274D7" w14:paraId="284DEED4" w14:textId="77777777">
      <w:pPr>
        <w:spacing w:after="0" w:line="276" w:lineRule="auto"/>
        <w:contextualSpacing/>
        <w:rPr>
          <w:rFonts w:ascii="Palatino Linotype" w:hAnsi="Palatino Linotype"/>
          <w:sz w:val="22"/>
          <w:szCs w:val="22"/>
        </w:rPr>
      </w:pPr>
    </w:p>
    <w:p w:rsidR="00B274D7" w:rsidP="00B274D7" w:rsidRDefault="00B274D7" w14:paraId="53C527AD" w14:textId="77777777">
      <w:pPr>
        <w:spacing w:after="0" w:line="276" w:lineRule="auto"/>
        <w:contextualSpacing/>
        <w:rPr>
          <w:rFonts w:ascii="Palatino Linotype" w:hAnsi="Palatino Linotype"/>
          <w:sz w:val="22"/>
          <w:szCs w:val="22"/>
        </w:rPr>
      </w:pPr>
    </w:p>
    <w:p w:rsidR="00B274D7" w:rsidP="00B274D7" w:rsidRDefault="00B274D7" w14:paraId="26D2F7A1" w14:textId="77777777">
      <w:pPr>
        <w:spacing w:after="0" w:line="276" w:lineRule="auto"/>
        <w:contextualSpacing/>
        <w:rPr>
          <w:rFonts w:ascii="Palatino Linotype" w:hAnsi="Palatino Linotype"/>
          <w:sz w:val="22"/>
          <w:szCs w:val="22"/>
        </w:rPr>
      </w:pPr>
    </w:p>
    <w:p w:rsidR="00B274D7" w:rsidP="00B274D7" w:rsidRDefault="00B274D7" w14:paraId="74F75EFC" w14:textId="77777777">
      <w:pPr>
        <w:spacing w:after="0" w:line="276" w:lineRule="auto"/>
        <w:contextualSpacing/>
        <w:rPr>
          <w:rFonts w:ascii="Palatino Linotype" w:hAnsi="Palatino Linotype"/>
          <w:sz w:val="22"/>
          <w:szCs w:val="22"/>
        </w:rPr>
      </w:pPr>
    </w:p>
    <w:p w:rsidR="00B274D7" w:rsidP="00B274D7" w:rsidRDefault="00B274D7" w14:paraId="1C4E11F8" w14:textId="77777777">
      <w:pPr>
        <w:spacing w:after="0" w:line="276" w:lineRule="auto"/>
        <w:contextualSpacing/>
        <w:rPr>
          <w:rFonts w:ascii="Palatino Linotype" w:hAnsi="Palatino Linotype"/>
          <w:sz w:val="22"/>
          <w:szCs w:val="22"/>
        </w:rPr>
      </w:pPr>
    </w:p>
    <w:p w:rsidR="00B274D7" w:rsidP="00B274D7" w:rsidRDefault="00B274D7" w14:paraId="6DE93494" w14:textId="77777777">
      <w:pPr>
        <w:spacing w:after="0" w:line="276" w:lineRule="auto"/>
        <w:contextualSpacing/>
        <w:rPr>
          <w:rFonts w:ascii="Palatino Linotype" w:hAnsi="Palatino Linotype"/>
          <w:sz w:val="22"/>
          <w:szCs w:val="22"/>
        </w:rPr>
      </w:pPr>
    </w:p>
    <w:p w:rsidR="00B274D7" w:rsidP="00B274D7" w:rsidRDefault="00B274D7" w14:paraId="7278B099" w14:textId="77777777">
      <w:pPr>
        <w:spacing w:after="0" w:line="276" w:lineRule="auto"/>
        <w:contextualSpacing/>
        <w:rPr>
          <w:rFonts w:ascii="Palatino Linotype" w:hAnsi="Palatino Linotype"/>
          <w:sz w:val="22"/>
          <w:szCs w:val="22"/>
        </w:rPr>
      </w:pPr>
    </w:p>
    <w:p w:rsidR="00B274D7" w:rsidP="00B274D7" w:rsidRDefault="00B274D7" w14:paraId="14E1F352" w14:textId="77777777">
      <w:pPr>
        <w:spacing w:after="0" w:line="276" w:lineRule="auto"/>
        <w:contextualSpacing/>
        <w:rPr>
          <w:rFonts w:ascii="Palatino Linotype" w:hAnsi="Palatino Linotype"/>
          <w:sz w:val="22"/>
          <w:szCs w:val="22"/>
        </w:rPr>
      </w:pPr>
    </w:p>
    <w:p w:rsidR="00B274D7" w:rsidP="00B274D7" w:rsidRDefault="00B274D7" w14:paraId="2E7BB45D" w14:textId="77777777">
      <w:pPr>
        <w:spacing w:after="0" w:line="276" w:lineRule="auto"/>
        <w:contextualSpacing/>
        <w:rPr>
          <w:rFonts w:ascii="Palatino Linotype" w:hAnsi="Palatino Linotype"/>
          <w:sz w:val="22"/>
          <w:szCs w:val="22"/>
        </w:rPr>
      </w:pPr>
    </w:p>
    <w:p w:rsidR="00B274D7" w:rsidP="00B274D7" w:rsidRDefault="00B274D7" w14:paraId="0B361642" w14:textId="77777777">
      <w:pPr>
        <w:spacing w:after="0" w:line="276" w:lineRule="auto"/>
        <w:contextualSpacing/>
        <w:rPr>
          <w:rFonts w:ascii="Palatino Linotype" w:hAnsi="Palatino Linotype"/>
          <w:sz w:val="22"/>
          <w:szCs w:val="22"/>
        </w:rPr>
      </w:pPr>
    </w:p>
    <w:p w:rsidR="00B274D7" w:rsidP="00B274D7" w:rsidRDefault="00B274D7" w14:paraId="7543D459" w14:textId="77777777">
      <w:pPr>
        <w:spacing w:after="0" w:line="276" w:lineRule="auto"/>
        <w:contextualSpacing/>
        <w:rPr>
          <w:rFonts w:ascii="Palatino Linotype" w:hAnsi="Palatino Linotype"/>
          <w:sz w:val="22"/>
          <w:szCs w:val="22"/>
        </w:rPr>
      </w:pPr>
    </w:p>
    <w:p w:rsidR="00B274D7" w:rsidP="00B274D7" w:rsidRDefault="00B274D7" w14:paraId="2E6169C3" w14:textId="77777777">
      <w:pPr>
        <w:spacing w:after="0" w:line="276" w:lineRule="auto"/>
        <w:contextualSpacing/>
        <w:rPr>
          <w:rFonts w:ascii="Palatino Linotype" w:hAnsi="Palatino Linotype"/>
          <w:sz w:val="22"/>
          <w:szCs w:val="22"/>
        </w:rPr>
      </w:pPr>
    </w:p>
    <w:p w:rsidR="00B274D7" w:rsidP="00B274D7" w:rsidRDefault="00B274D7" w14:paraId="61C31AE9" w14:textId="77777777">
      <w:pPr>
        <w:spacing w:after="0" w:line="276" w:lineRule="auto"/>
        <w:contextualSpacing/>
        <w:rPr>
          <w:rFonts w:ascii="Palatino Linotype" w:hAnsi="Palatino Linotype"/>
          <w:sz w:val="22"/>
          <w:szCs w:val="22"/>
        </w:rPr>
      </w:pPr>
    </w:p>
    <w:p w:rsidR="00B274D7" w:rsidP="00B274D7" w:rsidRDefault="00B274D7" w14:paraId="4779C79F" w14:textId="77777777">
      <w:pPr>
        <w:spacing w:after="0" w:line="276" w:lineRule="auto"/>
        <w:contextualSpacing/>
        <w:rPr>
          <w:rFonts w:ascii="Palatino Linotype" w:hAnsi="Palatino Linotype"/>
          <w:sz w:val="22"/>
          <w:szCs w:val="22"/>
        </w:rPr>
      </w:pPr>
    </w:p>
    <w:p w:rsidR="00B274D7" w:rsidP="00B274D7" w:rsidRDefault="00B274D7" w14:paraId="67A1A9A4" w14:textId="77777777">
      <w:pPr>
        <w:spacing w:after="0" w:line="276" w:lineRule="auto"/>
        <w:contextualSpacing/>
        <w:rPr>
          <w:rFonts w:ascii="Palatino Linotype" w:hAnsi="Palatino Linotype"/>
          <w:sz w:val="22"/>
          <w:szCs w:val="22"/>
        </w:rPr>
      </w:pPr>
    </w:p>
    <w:p w:rsidR="00B274D7" w:rsidP="00B274D7" w:rsidRDefault="00B274D7" w14:paraId="5A3643C0" w14:textId="77777777">
      <w:pPr>
        <w:spacing w:after="0" w:line="276" w:lineRule="auto"/>
        <w:contextualSpacing/>
        <w:rPr>
          <w:rFonts w:ascii="Palatino Linotype" w:hAnsi="Palatino Linotype"/>
          <w:sz w:val="22"/>
          <w:szCs w:val="22"/>
        </w:rPr>
      </w:pPr>
    </w:p>
    <w:p w:rsidR="00B274D7" w:rsidP="00B274D7" w:rsidRDefault="00B274D7" w14:paraId="08E7E548" w14:textId="77777777">
      <w:pPr>
        <w:spacing w:after="0" w:line="276" w:lineRule="auto"/>
        <w:contextualSpacing/>
        <w:rPr>
          <w:rFonts w:ascii="Palatino Linotype" w:hAnsi="Palatino Linotype"/>
          <w:sz w:val="22"/>
          <w:szCs w:val="22"/>
        </w:rPr>
      </w:pPr>
    </w:p>
    <w:p w:rsidR="00B274D7" w:rsidP="00B274D7" w:rsidRDefault="00B274D7" w14:paraId="7A54260F" w14:textId="77777777">
      <w:pPr>
        <w:spacing w:after="0" w:line="276" w:lineRule="auto"/>
        <w:contextualSpacing/>
        <w:rPr>
          <w:rFonts w:ascii="Palatino Linotype" w:hAnsi="Palatino Linotype"/>
          <w:sz w:val="22"/>
          <w:szCs w:val="22"/>
        </w:rPr>
      </w:pPr>
    </w:p>
    <w:p w:rsidR="00B274D7" w:rsidP="00B274D7" w:rsidRDefault="00B274D7" w14:paraId="36832FF0" w14:textId="77777777">
      <w:pPr>
        <w:spacing w:after="0" w:line="276" w:lineRule="auto"/>
        <w:contextualSpacing/>
        <w:rPr>
          <w:rFonts w:ascii="Palatino Linotype" w:hAnsi="Palatino Linotype"/>
          <w:sz w:val="22"/>
          <w:szCs w:val="22"/>
        </w:rPr>
      </w:pPr>
    </w:p>
    <w:p w:rsidR="00B274D7" w:rsidP="00B274D7" w:rsidRDefault="00B274D7" w14:paraId="6FC271E6" w14:textId="77777777">
      <w:pPr>
        <w:spacing w:after="0" w:line="276" w:lineRule="auto"/>
        <w:contextualSpacing/>
        <w:rPr>
          <w:rFonts w:ascii="Palatino Linotype" w:hAnsi="Palatino Linotype"/>
          <w:sz w:val="22"/>
          <w:szCs w:val="22"/>
        </w:rPr>
      </w:pPr>
    </w:p>
    <w:p w:rsidR="00B274D7" w:rsidP="00B274D7" w:rsidRDefault="00B274D7" w14:paraId="1F2D6610" w14:textId="77777777">
      <w:pPr>
        <w:spacing w:after="0" w:line="276" w:lineRule="auto"/>
        <w:contextualSpacing/>
        <w:rPr>
          <w:rFonts w:ascii="Palatino Linotype" w:hAnsi="Palatino Linotype"/>
          <w:sz w:val="22"/>
          <w:szCs w:val="22"/>
        </w:rPr>
      </w:pPr>
    </w:p>
    <w:p w:rsidRPr="004C5DBB" w:rsidR="00B274D7" w:rsidP="00B274D7" w:rsidRDefault="00B274D7" w14:paraId="1565253A" w14:textId="78C8DAD2">
      <w:pPr>
        <w:rPr>
          <w:rFonts w:ascii="Palatino Linotype" w:hAnsi="Palatino Linotype"/>
          <w:b/>
          <w:bCs/>
        </w:rPr>
      </w:pPr>
      <w:r w:rsidRPr="004C5DBB">
        <w:rPr>
          <w:rFonts w:ascii="Palatino Linotype" w:hAnsi="Palatino Linotype"/>
          <w:b/>
          <w:bCs/>
        </w:rPr>
        <w:t xml:space="preserve">APPENDIX </w:t>
      </w:r>
      <w:r w:rsidRPr="00891A31">
        <w:rPr>
          <w:rFonts w:ascii="Palatino Linotype" w:hAnsi="Palatino Linotype"/>
          <w:b/>
          <w:bCs/>
        </w:rPr>
        <w:t>D:</w:t>
      </w:r>
      <w:r w:rsidRPr="004C5DBB">
        <w:rPr>
          <w:rFonts w:ascii="Palatino Linotype" w:hAnsi="Palatino Linotype"/>
          <w:b/>
          <w:bCs/>
        </w:rPr>
        <w:t xml:space="preserve"> Commission Guidance on Gas RD&amp;D Initiative Criteria </w:t>
      </w:r>
    </w:p>
    <w:tbl>
      <w:tblPr>
        <w:tblStyle w:val="TableGrid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35"/>
        <w:gridCol w:w="3415"/>
      </w:tblGrid>
      <w:tr w:rsidRPr="004C5DBB" w:rsidR="00B274D7" w:rsidTr="00824CD7" w14:paraId="6917B804" w14:textId="77777777">
        <w:tc>
          <w:tcPr>
            <w:tcW w:w="5935" w:type="dxa"/>
          </w:tcPr>
          <w:p w:rsidRPr="004C5DBB" w:rsidR="00B274D7" w:rsidRDefault="00B274D7" w14:paraId="6451ED72" w14:textId="77777777">
            <w:pPr>
              <w:rPr>
                <w:rFonts w:ascii="Palatino Linotype" w:hAnsi="Palatino Linotype"/>
                <w:b/>
                <w:sz w:val="22"/>
                <w:szCs w:val="22"/>
              </w:rPr>
            </w:pPr>
            <w:r w:rsidRPr="004C5DBB">
              <w:rPr>
                <w:rFonts w:ascii="Palatino Linotype" w:hAnsi="Palatino Linotype"/>
                <w:b/>
                <w:sz w:val="22"/>
                <w:szCs w:val="22"/>
              </w:rPr>
              <w:t>Commission Guidance</w:t>
            </w:r>
          </w:p>
          <w:p w:rsidRPr="004C5DBB" w:rsidR="00B274D7" w:rsidRDefault="00B274D7" w14:paraId="360F2447" w14:textId="77777777">
            <w:pPr>
              <w:rPr>
                <w:rFonts w:ascii="Palatino Linotype" w:hAnsi="Palatino Linotype"/>
                <w:i/>
                <w:iCs/>
                <w:color w:val="000000" w:themeColor="text1"/>
                <w:sz w:val="20"/>
                <w:szCs w:val="20"/>
              </w:rPr>
            </w:pPr>
            <w:r w:rsidRPr="004C5DBB">
              <w:rPr>
                <w:rFonts w:ascii="Palatino Linotype" w:hAnsi="Palatino Linotype"/>
                <w:i/>
                <w:iCs/>
                <w:sz w:val="20"/>
                <w:szCs w:val="20"/>
              </w:rPr>
              <w:t xml:space="preserve">See </w:t>
            </w:r>
            <w:r w:rsidRPr="004C5DBB">
              <w:rPr>
                <w:rFonts w:ascii="Palatino Linotype" w:hAnsi="Palatino Linotype"/>
                <w:i/>
                <w:iCs/>
                <w:color w:val="000000" w:themeColor="text1"/>
                <w:sz w:val="20"/>
                <w:szCs w:val="20"/>
              </w:rPr>
              <w:t xml:space="preserve">Appendix C: </w:t>
            </w:r>
            <w:r w:rsidRPr="0005567D">
              <w:rPr>
                <w:rFonts w:ascii="Palatino Linotype" w:hAnsi="Palatino Linotype"/>
                <w:i/>
                <w:iCs/>
                <w:color w:val="000000" w:themeColor="text1"/>
                <w:sz w:val="20"/>
                <w:szCs w:val="20"/>
              </w:rPr>
              <w:t>Guidance on Gas RD&amp;D Plans Provided to PG&amp;E During Pre-Submittal Consultation with CPUC Staff (March 2025)</w:t>
            </w:r>
          </w:p>
        </w:tc>
        <w:tc>
          <w:tcPr>
            <w:tcW w:w="3415" w:type="dxa"/>
            <w:vAlign w:val="center"/>
          </w:tcPr>
          <w:p w:rsidRPr="004C5DBB" w:rsidR="00B274D7" w:rsidRDefault="00B274D7" w14:paraId="7DEF86EA" w14:textId="77777777">
            <w:pPr>
              <w:rPr>
                <w:rFonts w:ascii="Palatino Linotype" w:hAnsi="Palatino Linotype"/>
                <w:b/>
                <w:sz w:val="22"/>
                <w:szCs w:val="22"/>
              </w:rPr>
            </w:pPr>
            <w:r w:rsidRPr="004C5DBB">
              <w:rPr>
                <w:rFonts w:ascii="Palatino Linotype" w:hAnsi="Palatino Linotype"/>
                <w:b/>
                <w:sz w:val="22"/>
                <w:szCs w:val="22"/>
              </w:rPr>
              <w:t xml:space="preserve">Initiative Criteria </w:t>
            </w:r>
          </w:p>
        </w:tc>
      </w:tr>
      <w:tr w:rsidRPr="004C5DBB" w:rsidR="00B274D7" w:rsidTr="00824CD7" w14:paraId="25BF6259" w14:textId="77777777">
        <w:tc>
          <w:tcPr>
            <w:tcW w:w="5935" w:type="dxa"/>
          </w:tcPr>
          <w:p w:rsidRPr="004C5DBB" w:rsidR="00B274D7" w:rsidRDefault="00B274D7" w14:paraId="4DFB58C7" w14:textId="77777777">
            <w:pPr>
              <w:rPr>
                <w:rFonts w:ascii="Palatino Linotype" w:hAnsi="Palatino Linotype"/>
                <w:sz w:val="22"/>
                <w:szCs w:val="22"/>
              </w:rPr>
            </w:pPr>
            <w:hyperlink w:history="1" r:id="rId35">
              <w:r w:rsidRPr="004C5DBB">
                <w:rPr>
                  <w:rFonts w:ascii="Palatino Linotype" w:hAnsi="Palatino Linotype" w:eastAsia="Century Gothic" w:cs="Century Gothic"/>
                  <w:color w:val="467886" w:themeColor="hyperlink"/>
                  <w:sz w:val="22"/>
                  <w:szCs w:val="22"/>
                  <w:u w:val="single"/>
                </w:rPr>
                <w:t>D.19-09-051</w:t>
              </w:r>
            </w:hyperlink>
            <w:r w:rsidRPr="004C5DBB">
              <w:rPr>
                <w:rFonts w:ascii="Palatino Linotype" w:hAnsi="Palatino Linotype"/>
                <w:sz w:val="22"/>
                <w:szCs w:val="22"/>
              </w:rPr>
              <w:t xml:space="preserve"> at p. 379.</w:t>
            </w:r>
          </w:p>
          <w:p w:rsidRPr="004C5DBB" w:rsidR="00B274D7" w:rsidRDefault="00B274D7" w14:paraId="3E89B6A4" w14:textId="77777777">
            <w:pPr>
              <w:rPr>
                <w:rFonts w:ascii="Palatino Linotype" w:hAnsi="Palatino Linotype"/>
                <w:sz w:val="22"/>
                <w:szCs w:val="22"/>
              </w:rPr>
            </w:pPr>
            <w:hyperlink w:tgtFrame="_blank" w:history="1" r:id="rId36">
              <w:r w:rsidRPr="004C5DBB">
                <w:rPr>
                  <w:rFonts w:ascii="Palatino Linotype" w:hAnsi="Palatino Linotype"/>
                  <w:color w:val="467886" w:themeColor="hyperlink"/>
                  <w:sz w:val="22"/>
                  <w:szCs w:val="22"/>
                  <w:u w:val="single"/>
                </w:rPr>
                <w:t>Resolution G-3601</w:t>
              </w:r>
            </w:hyperlink>
            <w:r w:rsidRPr="004C5DBB">
              <w:rPr>
                <w:rFonts w:ascii="Palatino Linotype" w:hAnsi="Palatino Linotype"/>
                <w:sz w:val="22"/>
                <w:szCs w:val="22"/>
              </w:rPr>
              <w:t xml:space="preserve"> (2023) at OP 6a.</w:t>
            </w:r>
          </w:p>
          <w:p w:rsidRPr="004C5DBB" w:rsidR="00B274D7" w:rsidRDefault="00B274D7" w14:paraId="44307E14" w14:textId="77777777">
            <w:pPr>
              <w:rPr>
                <w:rFonts w:ascii="Palatino Linotype" w:hAnsi="Palatino Linotype"/>
                <w:sz w:val="22"/>
                <w:szCs w:val="22"/>
              </w:rPr>
            </w:pPr>
            <w:hyperlink w:tgtFrame="_blank" w:history="1" r:id="rId37">
              <w:r w:rsidRPr="004C5DBB">
                <w:rPr>
                  <w:rFonts w:ascii="Palatino Linotype" w:hAnsi="Palatino Linotype"/>
                  <w:color w:val="467886" w:themeColor="hyperlink"/>
                  <w:sz w:val="22"/>
                  <w:szCs w:val="22"/>
                  <w:u w:val="single"/>
                </w:rPr>
                <w:t>Resolution G-3603</w:t>
              </w:r>
            </w:hyperlink>
            <w:r w:rsidRPr="004C5DBB">
              <w:rPr>
                <w:rFonts w:ascii="Palatino Linotype" w:hAnsi="Palatino Linotype"/>
                <w:sz w:val="22"/>
                <w:szCs w:val="22"/>
              </w:rPr>
              <w:t xml:space="preserve"> (2024) at OP 4.</w:t>
            </w:r>
          </w:p>
        </w:tc>
        <w:tc>
          <w:tcPr>
            <w:tcW w:w="3415" w:type="dxa"/>
          </w:tcPr>
          <w:p w:rsidRPr="004C5DBB" w:rsidR="00B274D7" w:rsidRDefault="00B274D7" w14:paraId="1361B091" w14:textId="3C5EEE1A">
            <w:pPr>
              <w:rPr>
                <w:rFonts w:ascii="Palatino Linotype" w:hAnsi="Palatino Linotype"/>
                <w:sz w:val="22"/>
                <w:szCs w:val="22"/>
              </w:rPr>
            </w:pPr>
            <w:r w:rsidRPr="004C5DBB">
              <w:rPr>
                <w:rFonts w:ascii="Palatino Linotype" w:hAnsi="Palatino Linotype"/>
                <w:sz w:val="22"/>
                <w:szCs w:val="22"/>
              </w:rPr>
              <w:t xml:space="preserve">1. </w:t>
            </w:r>
            <w:r w:rsidRPr="00884591">
              <w:rPr>
                <w:rFonts w:ascii="Palatino Linotype" w:hAnsi="Palatino Linotype"/>
                <w:b/>
                <w:bCs w:val="0"/>
                <w:sz w:val="22"/>
                <w:szCs w:val="22"/>
              </w:rPr>
              <w:t>Policy Priority:</w:t>
            </w:r>
            <w:r>
              <w:rPr>
                <w:rFonts w:ascii="Palatino Linotype" w:hAnsi="Palatino Linotype"/>
                <w:sz w:val="22"/>
                <w:szCs w:val="22"/>
              </w:rPr>
              <w:t xml:space="preserve"> </w:t>
            </w:r>
            <w:r w:rsidRPr="004C5DBB">
              <w:rPr>
                <w:rFonts w:ascii="Palatino Linotype" w:hAnsi="Palatino Linotype"/>
                <w:sz w:val="22"/>
                <w:szCs w:val="22"/>
              </w:rPr>
              <w:t>Alignment with and prioritization of critical gaps and needs identified in State goals and specific CPUC Policies and Proceedings</w:t>
            </w:r>
            <w:r w:rsidR="00DD36C6">
              <w:rPr>
                <w:rFonts w:ascii="Palatino Linotype" w:hAnsi="Palatino Linotype"/>
                <w:sz w:val="22"/>
                <w:szCs w:val="22"/>
              </w:rPr>
              <w:t xml:space="preserve"> </w:t>
            </w:r>
            <w:r w:rsidR="00DD36C6">
              <w:rPr>
                <w:rFonts w:ascii="Palatino Linotype" w:hAnsi="Palatino Linotype" w:eastAsia="Century Gothic" w:cs="Century Gothic"/>
                <w:color w:val="000000" w:themeColor="text1"/>
              </w:rPr>
              <w:t>to demonstrate ratepayer benefit</w:t>
            </w:r>
            <w:r w:rsidRPr="004C5DBB">
              <w:rPr>
                <w:rFonts w:ascii="Palatino Linotype" w:hAnsi="Palatino Linotype"/>
                <w:sz w:val="22"/>
                <w:szCs w:val="22"/>
              </w:rPr>
              <w:t xml:space="preserve">, informed by consultation with CPUC Staff. </w:t>
            </w:r>
          </w:p>
        </w:tc>
      </w:tr>
      <w:tr w:rsidRPr="004C5DBB" w:rsidR="00B274D7" w:rsidTr="00824CD7" w14:paraId="59E36653" w14:textId="77777777">
        <w:tc>
          <w:tcPr>
            <w:tcW w:w="5935" w:type="dxa"/>
          </w:tcPr>
          <w:p w:rsidRPr="004C5DBB" w:rsidR="00B274D7" w:rsidRDefault="00B274D7" w14:paraId="3A2CC899" w14:textId="77777777">
            <w:pPr>
              <w:rPr>
                <w:rFonts w:ascii="Palatino Linotype" w:hAnsi="Palatino Linotype"/>
                <w:sz w:val="22"/>
                <w:szCs w:val="22"/>
              </w:rPr>
            </w:pPr>
            <w:hyperlink w:history="1" r:id="rId38">
              <w:r w:rsidRPr="004C5DBB">
                <w:rPr>
                  <w:rFonts w:ascii="Palatino Linotype" w:hAnsi="Palatino Linotype"/>
                  <w:b/>
                  <w:color w:val="467886" w:themeColor="hyperlink"/>
                  <w:sz w:val="22"/>
                  <w:szCs w:val="22"/>
                  <w:u w:val="single"/>
                </w:rPr>
                <w:t>D.23-11-069</w:t>
              </w:r>
            </w:hyperlink>
            <w:r w:rsidRPr="004C5DBB">
              <w:rPr>
                <w:rFonts w:ascii="Palatino Linotype" w:hAnsi="Palatino Linotype"/>
                <w:b/>
                <w:sz w:val="22"/>
                <w:szCs w:val="22"/>
              </w:rPr>
              <w:t xml:space="preserve"> at p. 220.</w:t>
            </w:r>
          </w:p>
          <w:p w:rsidRPr="004C5DBB" w:rsidR="00B274D7" w:rsidRDefault="00D22704" w14:paraId="63186E5F" w14:textId="4AE6C16C">
            <w:pPr>
              <w:rPr>
                <w:rFonts w:ascii="Palatino Linotype" w:hAnsi="Palatino Linotype"/>
                <w:sz w:val="22"/>
                <w:szCs w:val="22"/>
              </w:rPr>
            </w:pPr>
            <w:r w:rsidRPr="00D22704">
              <w:rPr>
                <w:rFonts w:ascii="Palatino Linotype" w:hAnsi="Palatino Linotype"/>
                <w:sz w:val="22"/>
                <w:szCs w:val="22"/>
              </w:rPr>
              <w:t>California Public Utilities Code Section 740.1</w:t>
            </w:r>
            <w:r w:rsidRPr="004C5DBB" w:rsidR="00B274D7">
              <w:rPr>
                <w:rFonts w:ascii="Palatino Linotype" w:hAnsi="Palatino Linotype"/>
                <w:sz w:val="22"/>
                <w:szCs w:val="22"/>
              </w:rPr>
              <w:t xml:space="preserve"> (d)</w:t>
            </w:r>
          </w:p>
          <w:p w:rsidRPr="004C5DBB" w:rsidR="00B274D7" w:rsidRDefault="00B274D7" w14:paraId="3B4F15B8" w14:textId="77777777">
            <w:pPr>
              <w:rPr>
                <w:rFonts w:ascii="Palatino Linotype" w:hAnsi="Palatino Linotype"/>
                <w:sz w:val="22"/>
                <w:szCs w:val="22"/>
              </w:rPr>
            </w:pPr>
            <w:hyperlink w:tgtFrame="_blank" w:history="1" r:id="rId39">
              <w:r w:rsidRPr="004C5DBB">
                <w:rPr>
                  <w:rFonts w:ascii="Palatino Linotype" w:hAnsi="Palatino Linotype"/>
                  <w:color w:val="467886" w:themeColor="hyperlink"/>
                  <w:sz w:val="22"/>
                  <w:szCs w:val="22"/>
                  <w:u w:val="single"/>
                </w:rPr>
                <w:t>Resolution G-3586</w:t>
              </w:r>
            </w:hyperlink>
            <w:r w:rsidRPr="004C5DBB">
              <w:rPr>
                <w:rFonts w:ascii="Palatino Linotype" w:hAnsi="Palatino Linotype"/>
                <w:sz w:val="22"/>
                <w:szCs w:val="22"/>
              </w:rPr>
              <w:t xml:space="preserve"> (2022) at OP 5.</w:t>
            </w:r>
          </w:p>
          <w:p w:rsidRPr="004C5DBB" w:rsidR="00B274D7" w:rsidRDefault="00B274D7" w14:paraId="6400FA33" w14:textId="77777777">
            <w:pPr>
              <w:rPr>
                <w:rFonts w:ascii="Palatino Linotype" w:hAnsi="Palatino Linotype"/>
                <w:sz w:val="22"/>
                <w:szCs w:val="22"/>
              </w:rPr>
            </w:pPr>
            <w:hyperlink w:tgtFrame="_blank" w:history="1" r:id="rId40">
              <w:r w:rsidRPr="004C5DBB">
                <w:rPr>
                  <w:rFonts w:ascii="Palatino Linotype" w:hAnsi="Palatino Linotype"/>
                  <w:color w:val="467886" w:themeColor="hyperlink"/>
                  <w:sz w:val="22"/>
                  <w:szCs w:val="22"/>
                  <w:u w:val="single"/>
                </w:rPr>
                <w:t>Resolution G-3592</w:t>
              </w:r>
            </w:hyperlink>
            <w:r w:rsidRPr="004C5DBB">
              <w:rPr>
                <w:rFonts w:ascii="Palatino Linotype" w:hAnsi="Palatino Linotype"/>
                <w:sz w:val="22"/>
                <w:szCs w:val="22"/>
              </w:rPr>
              <w:t xml:space="preserve"> (2023) at OP 5.</w:t>
            </w:r>
          </w:p>
          <w:p w:rsidRPr="004C5DBB" w:rsidR="00B274D7" w:rsidRDefault="00B274D7" w14:paraId="148B65E0" w14:textId="77777777">
            <w:pPr>
              <w:rPr>
                <w:rFonts w:ascii="Palatino Linotype" w:hAnsi="Palatino Linotype"/>
                <w:sz w:val="22"/>
                <w:szCs w:val="22"/>
              </w:rPr>
            </w:pPr>
            <w:hyperlink w:tgtFrame="_blank" w:history="1" r:id="rId41">
              <w:r w:rsidRPr="004C5DBB">
                <w:rPr>
                  <w:rFonts w:ascii="Palatino Linotype" w:hAnsi="Palatino Linotype"/>
                  <w:color w:val="467886" w:themeColor="hyperlink"/>
                  <w:sz w:val="22"/>
                  <w:szCs w:val="22"/>
                  <w:u w:val="single"/>
                </w:rPr>
                <w:t>Resolution G-3601</w:t>
              </w:r>
            </w:hyperlink>
            <w:r w:rsidRPr="004C5DBB">
              <w:rPr>
                <w:rFonts w:ascii="Palatino Linotype" w:hAnsi="Palatino Linotype"/>
                <w:sz w:val="22"/>
                <w:szCs w:val="22"/>
              </w:rPr>
              <w:t xml:space="preserve"> (2023) at OP 6a &amp; 6i.</w:t>
            </w:r>
          </w:p>
          <w:p w:rsidRPr="004C5DBB" w:rsidR="00B274D7" w:rsidRDefault="00B274D7" w14:paraId="42CFF2B4" w14:textId="77777777">
            <w:pPr>
              <w:rPr>
                <w:rFonts w:ascii="Palatino Linotype" w:hAnsi="Palatino Linotype"/>
                <w:sz w:val="22"/>
                <w:szCs w:val="22"/>
              </w:rPr>
            </w:pPr>
            <w:hyperlink w:tgtFrame="_blank" w:history="1" r:id="rId42">
              <w:r w:rsidRPr="004C5DBB">
                <w:rPr>
                  <w:rFonts w:ascii="Palatino Linotype" w:hAnsi="Palatino Linotype"/>
                  <w:color w:val="467886" w:themeColor="hyperlink"/>
                  <w:sz w:val="22"/>
                  <w:szCs w:val="22"/>
                  <w:u w:val="single"/>
                </w:rPr>
                <w:t>Resolution G-3603</w:t>
              </w:r>
            </w:hyperlink>
            <w:r w:rsidRPr="004C5DBB">
              <w:rPr>
                <w:rFonts w:ascii="Palatino Linotype" w:hAnsi="Palatino Linotype"/>
                <w:sz w:val="22"/>
                <w:szCs w:val="22"/>
              </w:rPr>
              <w:t xml:space="preserve"> (2024) at OP 4.</w:t>
            </w:r>
          </w:p>
          <w:p w:rsidR="003101FD" w:rsidRDefault="00B274D7" w14:paraId="510DB45F" w14:textId="77777777">
            <w:pPr>
              <w:rPr>
                <w:rFonts w:ascii="Palatino Linotype" w:hAnsi="Palatino Linotype"/>
                <w:sz w:val="22"/>
                <w:szCs w:val="22"/>
              </w:rPr>
            </w:pPr>
            <w:hyperlink w:history="1" r:id="rId43">
              <w:r w:rsidRPr="004C5DBB">
                <w:rPr>
                  <w:rFonts w:ascii="Palatino Linotype" w:hAnsi="Palatino Linotype"/>
                  <w:color w:val="467886" w:themeColor="hyperlink"/>
                  <w:sz w:val="22"/>
                  <w:szCs w:val="22"/>
                  <w:u w:val="single"/>
                </w:rPr>
                <w:t>D.23-04-042</w:t>
              </w:r>
            </w:hyperlink>
            <w:r w:rsidRPr="004C5DBB">
              <w:rPr>
                <w:rFonts w:ascii="Palatino Linotype" w:hAnsi="Palatino Linotype"/>
                <w:sz w:val="22"/>
                <w:szCs w:val="22"/>
              </w:rPr>
              <w:t xml:space="preserve"> </w:t>
            </w:r>
            <w:r w:rsidRPr="004C5DBB" w:rsidR="003101FD">
              <w:rPr>
                <w:rFonts w:ascii="Palatino Linotype" w:hAnsi="Palatino Linotype"/>
                <w:sz w:val="22"/>
                <w:szCs w:val="22"/>
              </w:rPr>
              <w:t>at Appendix A.</w:t>
            </w:r>
          </w:p>
          <w:p w:rsidR="00B274D7" w:rsidRDefault="00B274D7" w14:paraId="6BB727A1" w14:textId="789D9944">
            <w:hyperlink w:tgtFrame="_blank" w:history="1" r:id="rId44">
              <w:r w:rsidRPr="004C5DBB">
                <w:rPr>
                  <w:rFonts w:ascii="Palatino Linotype" w:hAnsi="Palatino Linotype"/>
                  <w:color w:val="467886" w:themeColor="hyperlink"/>
                  <w:sz w:val="22"/>
                  <w:szCs w:val="22"/>
                  <w:u w:val="single"/>
                </w:rPr>
                <w:t>D.24-12-074</w:t>
              </w:r>
            </w:hyperlink>
            <w:r w:rsidRPr="004C5DBB">
              <w:rPr>
                <w:rFonts w:ascii="Palatino Linotype" w:hAnsi="Palatino Linotype"/>
                <w:sz w:val="22"/>
                <w:szCs w:val="22"/>
              </w:rPr>
              <w:t xml:space="preserve"> at p. 327.</w:t>
            </w:r>
          </w:p>
        </w:tc>
        <w:tc>
          <w:tcPr>
            <w:tcW w:w="3415" w:type="dxa"/>
          </w:tcPr>
          <w:p w:rsidRPr="004A11B2" w:rsidR="00B274D7" w:rsidRDefault="00B274D7" w14:paraId="6C783057" w14:textId="77777777">
            <w:pPr>
              <w:rPr>
                <w:rFonts w:ascii="Palatino Linotype" w:hAnsi="Palatino Linotype"/>
                <w:color w:val="000000" w:themeColor="text1"/>
                <w:sz w:val="22"/>
                <w:szCs w:val="22"/>
              </w:rPr>
            </w:pPr>
            <w:r>
              <w:rPr>
                <w:rFonts w:ascii="Palatino Linotype" w:hAnsi="Palatino Linotype"/>
                <w:color w:val="000000" w:themeColor="text1"/>
                <w:sz w:val="22"/>
                <w:szCs w:val="22"/>
              </w:rPr>
              <w:t xml:space="preserve">2. </w:t>
            </w:r>
            <w:r w:rsidRPr="004A11B2">
              <w:rPr>
                <w:rFonts w:ascii="Palatino Linotype" w:hAnsi="Palatino Linotype"/>
                <w:b/>
                <w:bCs w:val="0"/>
                <w:color w:val="000000" w:themeColor="text1"/>
                <w:sz w:val="22"/>
                <w:szCs w:val="22"/>
              </w:rPr>
              <w:t xml:space="preserve">Identified Need: </w:t>
            </w:r>
            <w:r w:rsidRPr="004C5DBB">
              <w:rPr>
                <w:rFonts w:ascii="Palatino Linotype" w:hAnsi="Palatino Linotype"/>
                <w:color w:val="000000" w:themeColor="text1"/>
                <w:sz w:val="22"/>
                <w:szCs w:val="22"/>
              </w:rPr>
              <w:t>Innovation and differentiation from existing RD&amp;D activities to support complementary rather than duplicative efforts, informed by specific consultation with other Gas RD&amp;</w:t>
            </w:r>
            <w:r w:rsidRPr="00CC7AE7">
              <w:rPr>
                <w:rFonts w:ascii="Palatino Linotype" w:hAnsi="Palatino Linotype"/>
                <w:color w:val="000000" w:themeColor="text1"/>
                <w:sz w:val="22"/>
                <w:szCs w:val="22"/>
              </w:rPr>
              <w:t>D Administrators. Demonstrate that the Initiative will leverage existing progress while providing distinct additional value.</w:t>
            </w:r>
          </w:p>
        </w:tc>
      </w:tr>
      <w:tr w:rsidRPr="004C5DBB" w:rsidR="00B274D7" w:rsidTr="00824CD7" w14:paraId="7ADEA155" w14:textId="77777777">
        <w:tc>
          <w:tcPr>
            <w:tcW w:w="5935" w:type="dxa"/>
          </w:tcPr>
          <w:p w:rsidRPr="004C5DBB" w:rsidR="00B274D7" w:rsidRDefault="00B274D7" w14:paraId="03D96D93" w14:textId="77777777">
            <w:pPr>
              <w:rPr>
                <w:rFonts w:ascii="Palatino Linotype" w:hAnsi="Palatino Linotype"/>
                <w:sz w:val="22"/>
                <w:szCs w:val="22"/>
              </w:rPr>
            </w:pPr>
            <w:hyperlink w:history="1" r:id="rId45">
              <w:r w:rsidRPr="004C5DBB">
                <w:rPr>
                  <w:rFonts w:ascii="Palatino Linotype" w:hAnsi="Palatino Linotype"/>
                  <w:color w:val="467886" w:themeColor="hyperlink"/>
                  <w:sz w:val="22"/>
                  <w:szCs w:val="22"/>
                  <w:u w:val="single"/>
                </w:rPr>
                <w:t>Resolution G-</w:t>
              </w:r>
              <w:r w:rsidRPr="004C5DBB">
                <w:rPr>
                  <w:rFonts w:ascii="Palatino Linotype" w:hAnsi="Palatino Linotype" w:cs="Arial"/>
                  <w:color w:val="467886" w:themeColor="hyperlink"/>
                  <w:sz w:val="22"/>
                  <w:szCs w:val="22"/>
                  <w:u w:val="single"/>
                </w:rPr>
                <w:t>3573</w:t>
              </w:r>
            </w:hyperlink>
            <w:r w:rsidRPr="004C5DBB">
              <w:rPr>
                <w:rFonts w:ascii="Palatino Linotype" w:hAnsi="Palatino Linotype"/>
                <w:sz w:val="22"/>
                <w:szCs w:val="22"/>
              </w:rPr>
              <w:t xml:space="preserve"> (2021) at OP 3.</w:t>
            </w:r>
          </w:p>
          <w:p w:rsidRPr="004C5DBB" w:rsidR="00B274D7" w:rsidRDefault="00B274D7" w14:paraId="474D57B3" w14:textId="77777777">
            <w:pPr>
              <w:rPr>
                <w:rFonts w:ascii="Palatino Linotype" w:hAnsi="Palatino Linotype"/>
                <w:sz w:val="22"/>
                <w:szCs w:val="22"/>
              </w:rPr>
            </w:pPr>
            <w:hyperlink w:tgtFrame="_blank" w:history="1" r:id="rId46">
              <w:r w:rsidRPr="004C5DBB">
                <w:rPr>
                  <w:rFonts w:ascii="Palatino Linotype" w:hAnsi="Palatino Linotype"/>
                  <w:color w:val="467886" w:themeColor="hyperlink"/>
                  <w:sz w:val="22"/>
                  <w:szCs w:val="22"/>
                  <w:u w:val="single"/>
                </w:rPr>
                <w:t>Resolution G-3601</w:t>
              </w:r>
            </w:hyperlink>
            <w:r w:rsidRPr="004C5DBB">
              <w:rPr>
                <w:rFonts w:ascii="Palatino Linotype" w:hAnsi="Palatino Linotype"/>
                <w:sz w:val="22"/>
                <w:szCs w:val="22"/>
              </w:rPr>
              <w:t xml:space="preserve"> (2023) at OP 6c.</w:t>
            </w:r>
          </w:p>
          <w:p w:rsidR="00B274D7" w:rsidRDefault="00B274D7" w14:paraId="7D2A49D0" w14:textId="0879FF58">
            <w:hyperlink w:history="1" r:id="rId47">
              <w:r w:rsidRPr="004C5DBB">
                <w:rPr>
                  <w:rFonts w:ascii="Palatino Linotype" w:hAnsi="Palatino Linotype"/>
                  <w:color w:val="467886" w:themeColor="hyperlink"/>
                  <w:sz w:val="22"/>
                  <w:szCs w:val="22"/>
                  <w:u w:val="single"/>
                </w:rPr>
                <w:t>D.23-04-042</w:t>
              </w:r>
            </w:hyperlink>
            <w:r w:rsidRPr="004C5DBB">
              <w:rPr>
                <w:rFonts w:ascii="Palatino Linotype" w:hAnsi="Palatino Linotype"/>
                <w:sz w:val="22"/>
                <w:szCs w:val="22"/>
              </w:rPr>
              <w:t xml:space="preserve"> </w:t>
            </w:r>
            <w:r w:rsidRPr="004C5DBB" w:rsidR="003101FD">
              <w:rPr>
                <w:rFonts w:ascii="Palatino Linotype" w:hAnsi="Palatino Linotype"/>
                <w:sz w:val="22"/>
                <w:szCs w:val="22"/>
              </w:rPr>
              <w:t>at Appendix A.</w:t>
            </w:r>
          </w:p>
        </w:tc>
        <w:tc>
          <w:tcPr>
            <w:tcW w:w="3415" w:type="dxa"/>
          </w:tcPr>
          <w:p w:rsidRPr="004C5DBB" w:rsidR="00B274D7" w:rsidRDefault="00B274D7" w14:paraId="5A5E9DF5" w14:textId="77777777">
            <w:pPr>
              <w:rPr>
                <w:rFonts w:ascii="Palatino Linotype" w:hAnsi="Palatino Linotype"/>
                <w:sz w:val="22"/>
                <w:szCs w:val="22"/>
              </w:rPr>
            </w:pPr>
            <w:r>
              <w:rPr>
                <w:rFonts w:ascii="Palatino Linotype" w:hAnsi="Palatino Linotype"/>
                <w:sz w:val="22"/>
                <w:szCs w:val="22"/>
              </w:rPr>
              <w:t xml:space="preserve">3. </w:t>
            </w:r>
            <w:r w:rsidRPr="004A11B2">
              <w:rPr>
                <w:rFonts w:ascii="Palatino Linotype" w:hAnsi="Palatino Linotype"/>
                <w:b/>
                <w:bCs w:val="0"/>
                <w:sz w:val="22"/>
                <w:szCs w:val="22"/>
              </w:rPr>
              <w:t>Proposed Solution</w:t>
            </w:r>
            <w:r>
              <w:rPr>
                <w:rFonts w:ascii="Palatino Linotype" w:hAnsi="Palatino Linotype"/>
                <w:sz w:val="22"/>
                <w:szCs w:val="22"/>
              </w:rPr>
              <w:t>:</w:t>
            </w:r>
            <w:r w:rsidRPr="004C5DBB">
              <w:rPr>
                <w:rFonts w:ascii="Palatino Linotype" w:hAnsi="Palatino Linotype"/>
                <w:sz w:val="22"/>
                <w:szCs w:val="22"/>
              </w:rPr>
              <w:t xml:space="preserve"> </w:t>
            </w:r>
            <w:r w:rsidRPr="00CC7AE7">
              <w:rPr>
                <w:rFonts w:ascii="Palatino Linotype" w:hAnsi="Palatino Linotype"/>
                <w:color w:val="000000" w:themeColor="text1"/>
                <w:sz w:val="22"/>
                <w:szCs w:val="22"/>
              </w:rPr>
              <w:t xml:space="preserve">Describe Research Topics, anticipated near-term project outputs commensurate with the proposed funding level, </w:t>
            </w:r>
            <w:r>
              <w:rPr>
                <w:rFonts w:ascii="Palatino Linotype" w:hAnsi="Palatino Linotype"/>
                <w:color w:val="000000" w:themeColor="text1"/>
                <w:sz w:val="22"/>
                <w:szCs w:val="22"/>
              </w:rPr>
              <w:t xml:space="preserve">and </w:t>
            </w:r>
            <w:r>
              <w:rPr>
                <w:rFonts w:ascii="Palatino Linotype" w:hAnsi="Palatino Linotype" w:eastAsia="Century Gothic" w:cs="Century Gothic"/>
                <w:color w:val="000000" w:themeColor="text1"/>
                <w:sz w:val="22"/>
                <w:szCs w:val="22"/>
              </w:rPr>
              <w:t>i</w:t>
            </w:r>
            <w:r w:rsidRPr="004C5DBB">
              <w:rPr>
                <w:rFonts w:ascii="Palatino Linotype" w:hAnsi="Palatino Linotype" w:eastAsia="Century Gothic" w:cs="Century Gothic"/>
                <w:color w:val="000000" w:themeColor="text1"/>
                <w:sz w:val="22"/>
                <w:szCs w:val="22"/>
              </w:rPr>
              <w:t>ntended pathways to scale, commercialize, and otherwise utilize results from RD&amp;D activities to promote technology transfer and market facilitation.</w:t>
            </w:r>
          </w:p>
        </w:tc>
      </w:tr>
      <w:tr w:rsidRPr="004C5DBB" w:rsidR="00B274D7" w:rsidTr="00824CD7" w14:paraId="34B2EA29" w14:textId="77777777">
        <w:tc>
          <w:tcPr>
            <w:tcW w:w="5935" w:type="dxa"/>
          </w:tcPr>
          <w:p w:rsidRPr="004C5DBB" w:rsidR="00B274D7" w:rsidRDefault="00B274D7" w14:paraId="49E03835" w14:textId="594332DC">
            <w:pPr>
              <w:rPr>
                <w:rFonts w:ascii="Palatino Linotype" w:hAnsi="Palatino Linotype"/>
                <w:b/>
                <w:sz w:val="22"/>
                <w:szCs w:val="22"/>
              </w:rPr>
            </w:pPr>
            <w:r w:rsidRPr="004A11B2">
              <w:rPr>
                <w:rFonts w:ascii="Palatino Linotype" w:hAnsi="Palatino Linotype"/>
              </w:rPr>
              <w:t xml:space="preserve">a. </w:t>
            </w:r>
            <w:hyperlink w:history="1" r:id="rId48">
              <w:r w:rsidRPr="004C5DBB">
                <w:rPr>
                  <w:rFonts w:ascii="Palatino Linotype" w:hAnsi="Palatino Linotype"/>
                  <w:b/>
                  <w:color w:val="467886" w:themeColor="hyperlink"/>
                  <w:sz w:val="22"/>
                  <w:szCs w:val="22"/>
                  <w:u w:val="single"/>
                </w:rPr>
                <w:t>D.23-11-069</w:t>
              </w:r>
            </w:hyperlink>
            <w:r w:rsidRPr="004C5DBB">
              <w:rPr>
                <w:rFonts w:ascii="Palatino Linotype" w:hAnsi="Palatino Linotype"/>
                <w:b/>
                <w:sz w:val="22"/>
                <w:szCs w:val="22"/>
              </w:rPr>
              <w:t xml:space="preserve"> at p. 218 &amp; 220. </w:t>
            </w:r>
          </w:p>
          <w:p w:rsidRPr="004C5DBB" w:rsidR="00B274D7" w:rsidRDefault="00D22704" w14:paraId="39D92CAF" w14:textId="3FC6904F">
            <w:pPr>
              <w:rPr>
                <w:rFonts w:ascii="Palatino Linotype" w:hAnsi="Palatino Linotype" w:eastAsia="Palatino Linotype" w:cs="Palatino Linotype"/>
                <w:color w:val="000000" w:themeColor="text1"/>
                <w:sz w:val="22"/>
                <w:szCs w:val="22"/>
              </w:rPr>
            </w:pPr>
            <w:r w:rsidRPr="00D22704">
              <w:rPr>
                <w:rFonts w:ascii="Palatino Linotype" w:hAnsi="Palatino Linotype" w:eastAsia="Palatino Linotype" w:cs="Palatino Linotype"/>
                <w:color w:val="000000" w:themeColor="text1"/>
                <w:sz w:val="22"/>
                <w:szCs w:val="22"/>
              </w:rPr>
              <w:t>Public Utilities Code 740.1</w:t>
            </w:r>
            <w:r w:rsidRPr="004C5DBB" w:rsidR="00B274D7">
              <w:rPr>
                <w:rFonts w:ascii="Palatino Linotype" w:hAnsi="Palatino Linotype" w:eastAsia="Palatino Linotype" w:cs="Palatino Linotype"/>
                <w:color w:val="000000" w:themeColor="text1"/>
                <w:sz w:val="22"/>
                <w:szCs w:val="22"/>
              </w:rPr>
              <w:t xml:space="preserve"> at (a).</w:t>
            </w:r>
          </w:p>
          <w:p w:rsidRPr="004C5DBB" w:rsidR="00B274D7" w:rsidRDefault="00B274D7" w14:paraId="5B9410D6" w14:textId="77777777">
            <w:pPr>
              <w:rPr>
                <w:rFonts w:ascii="Palatino Linotype" w:hAnsi="Palatino Linotype" w:eastAsia="Palatino Linotype" w:cs="Palatino Linotype"/>
                <w:color w:val="000000" w:themeColor="text1"/>
                <w:sz w:val="22"/>
                <w:szCs w:val="22"/>
              </w:rPr>
            </w:pPr>
            <w:hyperlink r:id="rId49">
              <w:r w:rsidRPr="004C5DBB">
                <w:rPr>
                  <w:rFonts w:ascii="Palatino Linotype" w:hAnsi="Palatino Linotype" w:eastAsia="Palatino Linotype" w:cs="Palatino Linotype"/>
                  <w:color w:val="467886" w:themeColor="hyperlink"/>
                  <w:sz w:val="22"/>
                  <w:szCs w:val="22"/>
                  <w:u w:val="single"/>
                </w:rPr>
                <w:t>D.04-08-010</w:t>
              </w:r>
            </w:hyperlink>
            <w:r w:rsidRPr="004C5DBB">
              <w:rPr>
                <w:rFonts w:ascii="Palatino Linotype" w:hAnsi="Palatino Linotype" w:eastAsia="Palatino Linotype" w:cs="Palatino Linotype"/>
                <w:color w:val="000000" w:themeColor="text1"/>
                <w:sz w:val="22"/>
                <w:szCs w:val="22"/>
              </w:rPr>
              <w:t xml:space="preserve"> at p. 28; FOF 32; &amp; OP 17. </w:t>
            </w:r>
          </w:p>
          <w:p w:rsidRPr="004C5DBB" w:rsidR="00B274D7" w:rsidRDefault="00B274D7" w14:paraId="5A56C4B9" w14:textId="77777777">
            <w:pPr>
              <w:rPr>
                <w:rFonts w:ascii="Palatino Linotype" w:hAnsi="Palatino Linotype"/>
                <w:sz w:val="22"/>
                <w:szCs w:val="22"/>
              </w:rPr>
            </w:pPr>
            <w:hyperlink w:history="1" r:id="rId50">
              <w:r w:rsidRPr="004C5DBB">
                <w:rPr>
                  <w:rFonts w:ascii="Palatino Linotype" w:hAnsi="Palatino Linotype"/>
                  <w:color w:val="467886" w:themeColor="hyperlink"/>
                  <w:sz w:val="22"/>
                  <w:szCs w:val="22"/>
                  <w:u w:val="single"/>
                </w:rPr>
                <w:t>Resolution G-</w:t>
              </w:r>
              <w:r w:rsidRPr="004C5DBB">
                <w:rPr>
                  <w:rFonts w:ascii="Palatino Linotype" w:hAnsi="Palatino Linotype" w:cs="Arial"/>
                  <w:color w:val="467886" w:themeColor="hyperlink"/>
                  <w:sz w:val="22"/>
                  <w:szCs w:val="22"/>
                  <w:u w:val="single"/>
                </w:rPr>
                <w:t>3573</w:t>
              </w:r>
            </w:hyperlink>
            <w:r w:rsidRPr="004C5DBB">
              <w:rPr>
                <w:rFonts w:ascii="Palatino Linotype" w:hAnsi="Palatino Linotype"/>
                <w:sz w:val="22"/>
                <w:szCs w:val="22"/>
              </w:rPr>
              <w:t xml:space="preserve"> (2021) at OP 3.</w:t>
            </w:r>
          </w:p>
          <w:p w:rsidRPr="004C5DBB" w:rsidR="00B274D7" w:rsidRDefault="00B274D7" w14:paraId="4DC5C506" w14:textId="77777777">
            <w:pPr>
              <w:rPr>
                <w:rFonts w:ascii="Palatino Linotype" w:hAnsi="Palatino Linotype"/>
                <w:sz w:val="22"/>
                <w:szCs w:val="22"/>
              </w:rPr>
            </w:pPr>
            <w:hyperlink w:tgtFrame="_blank" w:history="1" r:id="rId51">
              <w:r w:rsidRPr="004C5DBB">
                <w:rPr>
                  <w:rFonts w:ascii="Palatino Linotype" w:hAnsi="Palatino Linotype"/>
                  <w:color w:val="467886" w:themeColor="hyperlink"/>
                  <w:sz w:val="22"/>
                  <w:szCs w:val="22"/>
                  <w:u w:val="single"/>
                </w:rPr>
                <w:t>Resolution G-3586</w:t>
              </w:r>
            </w:hyperlink>
            <w:r w:rsidRPr="004C5DBB">
              <w:rPr>
                <w:rFonts w:ascii="Palatino Linotype" w:hAnsi="Palatino Linotype"/>
                <w:sz w:val="22"/>
                <w:szCs w:val="22"/>
              </w:rPr>
              <w:t xml:space="preserve"> (2022) at OP 4 &amp; 5.</w:t>
            </w:r>
          </w:p>
          <w:p w:rsidRPr="004C5DBB" w:rsidR="00B274D7" w:rsidRDefault="00B274D7" w14:paraId="37244C86" w14:textId="77777777">
            <w:pPr>
              <w:rPr>
                <w:rFonts w:ascii="Palatino Linotype" w:hAnsi="Palatino Linotype"/>
                <w:sz w:val="22"/>
                <w:szCs w:val="22"/>
              </w:rPr>
            </w:pPr>
            <w:hyperlink w:tgtFrame="_blank" w:history="1" r:id="rId52">
              <w:r w:rsidRPr="004C5DBB">
                <w:rPr>
                  <w:rFonts w:ascii="Palatino Linotype" w:hAnsi="Palatino Linotype"/>
                  <w:color w:val="467886" w:themeColor="hyperlink"/>
                  <w:sz w:val="22"/>
                  <w:szCs w:val="22"/>
                  <w:u w:val="single"/>
                </w:rPr>
                <w:t>Resolution G-3592</w:t>
              </w:r>
            </w:hyperlink>
            <w:r w:rsidRPr="004C5DBB">
              <w:rPr>
                <w:rFonts w:ascii="Palatino Linotype" w:hAnsi="Palatino Linotype"/>
                <w:sz w:val="22"/>
                <w:szCs w:val="22"/>
              </w:rPr>
              <w:t xml:space="preserve"> (2023) at OP 6.</w:t>
            </w:r>
          </w:p>
          <w:p w:rsidRPr="004C5DBB" w:rsidR="00B274D7" w:rsidRDefault="00B274D7" w14:paraId="06988640" w14:textId="77777777">
            <w:pPr>
              <w:rPr>
                <w:rFonts w:ascii="Palatino Linotype" w:hAnsi="Palatino Linotype"/>
                <w:sz w:val="22"/>
                <w:szCs w:val="22"/>
              </w:rPr>
            </w:pPr>
            <w:hyperlink w:tgtFrame="_blank" w:history="1" r:id="rId53">
              <w:r w:rsidRPr="004C5DBB">
                <w:rPr>
                  <w:rFonts w:ascii="Palatino Linotype" w:hAnsi="Palatino Linotype"/>
                  <w:color w:val="467886" w:themeColor="hyperlink"/>
                  <w:sz w:val="22"/>
                  <w:szCs w:val="22"/>
                  <w:u w:val="single"/>
                </w:rPr>
                <w:t>Resolution G-3601</w:t>
              </w:r>
            </w:hyperlink>
            <w:r w:rsidRPr="004C5DBB">
              <w:rPr>
                <w:rFonts w:ascii="Palatino Linotype" w:hAnsi="Palatino Linotype"/>
                <w:sz w:val="22"/>
                <w:szCs w:val="22"/>
              </w:rPr>
              <w:t xml:space="preserve"> (2023) at OP 5 &amp; 6b. </w:t>
            </w:r>
          </w:p>
          <w:p w:rsidRPr="004C5DBB" w:rsidR="00B274D7" w:rsidRDefault="00B274D7" w14:paraId="2463095D" w14:textId="77777777">
            <w:pPr>
              <w:rPr>
                <w:rFonts w:ascii="Palatino Linotype" w:hAnsi="Palatino Linotype"/>
                <w:sz w:val="22"/>
                <w:szCs w:val="22"/>
              </w:rPr>
            </w:pPr>
            <w:hyperlink w:tgtFrame="_blank" w:history="1" r:id="rId54">
              <w:r w:rsidRPr="004C5DBB">
                <w:rPr>
                  <w:rFonts w:ascii="Palatino Linotype" w:hAnsi="Palatino Linotype"/>
                  <w:color w:val="467886" w:themeColor="hyperlink"/>
                  <w:sz w:val="22"/>
                  <w:szCs w:val="22"/>
                  <w:u w:val="single"/>
                </w:rPr>
                <w:t>Resolution G-3603</w:t>
              </w:r>
            </w:hyperlink>
            <w:r w:rsidRPr="004C5DBB">
              <w:rPr>
                <w:rFonts w:ascii="Palatino Linotype" w:hAnsi="Palatino Linotype"/>
                <w:sz w:val="22"/>
                <w:szCs w:val="22"/>
              </w:rPr>
              <w:t xml:space="preserve"> (2024) at OP 6.</w:t>
            </w:r>
          </w:p>
          <w:p w:rsidRPr="004C5DBB" w:rsidR="00B274D7" w:rsidRDefault="00B274D7" w14:paraId="066AEC89" w14:textId="77777777">
            <w:pPr>
              <w:rPr>
                <w:rFonts w:ascii="Palatino Linotype" w:hAnsi="Palatino Linotype"/>
                <w:sz w:val="22"/>
                <w:szCs w:val="22"/>
              </w:rPr>
            </w:pPr>
            <w:hyperlink w:history="1" r:id="rId55">
              <w:r w:rsidRPr="004C5DBB">
                <w:rPr>
                  <w:rFonts w:ascii="Palatino Linotype" w:hAnsi="Palatino Linotype"/>
                  <w:color w:val="467886" w:themeColor="hyperlink"/>
                  <w:sz w:val="22"/>
                  <w:szCs w:val="22"/>
                  <w:u w:val="single"/>
                </w:rPr>
                <w:t>D.23-04-042</w:t>
              </w:r>
            </w:hyperlink>
            <w:r w:rsidRPr="004C5DBB">
              <w:rPr>
                <w:rFonts w:ascii="Palatino Linotype" w:hAnsi="Palatino Linotype"/>
                <w:sz w:val="22"/>
                <w:szCs w:val="22"/>
              </w:rPr>
              <w:t xml:space="preserve"> at Appendix A.</w:t>
            </w:r>
          </w:p>
          <w:p w:rsidRPr="004A11B2" w:rsidR="00B274D7" w:rsidRDefault="00B274D7" w14:paraId="4F00FCA4" w14:textId="2C0E82D8">
            <w:pPr>
              <w:rPr>
                <w:rFonts w:ascii="Palatino Linotype" w:hAnsi="Palatino Linotype"/>
                <w:sz w:val="22"/>
                <w:szCs w:val="22"/>
              </w:rPr>
            </w:pPr>
            <w:r w:rsidRPr="004C5DBB">
              <w:rPr>
                <w:rFonts w:ascii="Palatino Linotype" w:hAnsi="Palatino Linotype"/>
                <w:sz w:val="22"/>
                <w:szCs w:val="22"/>
              </w:rPr>
              <w:t xml:space="preserve">See Appendix </w:t>
            </w:r>
            <w:r w:rsidR="00895DB7">
              <w:rPr>
                <w:rFonts w:ascii="Palatino Linotype" w:hAnsi="Palatino Linotype"/>
                <w:sz w:val="22"/>
                <w:szCs w:val="22"/>
              </w:rPr>
              <w:t>E</w:t>
            </w:r>
            <w:r w:rsidRPr="004C5DBB">
              <w:rPr>
                <w:rFonts w:ascii="Palatino Linotype" w:hAnsi="Palatino Linotype"/>
                <w:sz w:val="22"/>
                <w:szCs w:val="22"/>
              </w:rPr>
              <w:t xml:space="preserve">: EPIC Foundational Principles for the Development of a Uniform Impact Analysis Framework. </w:t>
            </w:r>
          </w:p>
          <w:p w:rsidRPr="004C5DBB" w:rsidR="00B274D7" w:rsidP="00F313C3" w:rsidRDefault="00B274D7" w14:paraId="73E8F43F" w14:textId="4BB84328">
            <w:pPr>
              <w:spacing w:before="240"/>
              <w:rPr>
                <w:rFonts w:ascii="Palatino Linotype" w:hAnsi="Palatino Linotype"/>
                <w:b/>
                <w:sz w:val="22"/>
                <w:szCs w:val="22"/>
              </w:rPr>
            </w:pPr>
            <w:r w:rsidRPr="004A11B2">
              <w:rPr>
                <w:rFonts w:ascii="Palatino Linotype" w:hAnsi="Palatino Linotype"/>
                <w:sz w:val="22"/>
                <w:szCs w:val="22"/>
              </w:rPr>
              <w:t xml:space="preserve">b. </w:t>
            </w:r>
            <w:hyperlink w:history="1" r:id="rId56">
              <w:r w:rsidRPr="004C5DBB">
                <w:rPr>
                  <w:rFonts w:ascii="Palatino Linotype" w:hAnsi="Palatino Linotype"/>
                  <w:b/>
                  <w:color w:val="467886" w:themeColor="hyperlink"/>
                  <w:sz w:val="22"/>
                  <w:szCs w:val="22"/>
                  <w:u w:val="single"/>
                </w:rPr>
                <w:t>D.23-11-069</w:t>
              </w:r>
            </w:hyperlink>
            <w:r w:rsidRPr="004C5DBB">
              <w:rPr>
                <w:rFonts w:ascii="Palatino Linotype" w:hAnsi="Palatino Linotype"/>
                <w:b/>
                <w:sz w:val="22"/>
                <w:szCs w:val="22"/>
              </w:rPr>
              <w:t xml:space="preserve"> at p. 218.</w:t>
            </w:r>
          </w:p>
          <w:p w:rsidRPr="004C5DBB" w:rsidR="00B274D7" w:rsidRDefault="00D22704" w14:paraId="4AEEF877" w14:textId="17978009">
            <w:pPr>
              <w:rPr>
                <w:rFonts w:ascii="Palatino Linotype" w:hAnsi="Palatino Linotype"/>
                <w:sz w:val="22"/>
                <w:szCs w:val="22"/>
              </w:rPr>
            </w:pPr>
            <w:r w:rsidRPr="00F313C3">
              <w:rPr>
                <w:rFonts w:ascii="Palatino Linotype" w:hAnsi="Palatino Linotype"/>
                <w:sz w:val="22"/>
                <w:szCs w:val="22"/>
              </w:rPr>
              <w:t>California Public Utilities Code Section 740.1</w:t>
            </w:r>
            <w:r w:rsidRPr="004C5DBB" w:rsidR="00B274D7">
              <w:rPr>
                <w:rFonts w:ascii="Palatino Linotype" w:hAnsi="Palatino Linotype"/>
                <w:sz w:val="22"/>
                <w:szCs w:val="22"/>
              </w:rPr>
              <w:t xml:space="preserve"> (e)(5)</w:t>
            </w:r>
          </w:p>
          <w:p w:rsidRPr="004C5DBB" w:rsidR="00B274D7" w:rsidRDefault="00B274D7" w14:paraId="4CBED681" w14:textId="77777777">
            <w:pPr>
              <w:rPr>
                <w:rFonts w:ascii="Palatino Linotype" w:hAnsi="Palatino Linotype" w:eastAsia="Century Gothic" w:cs="Century Gothic"/>
                <w:sz w:val="22"/>
                <w:szCs w:val="22"/>
              </w:rPr>
            </w:pPr>
            <w:hyperlink w:history="1" r:id="rId57">
              <w:r w:rsidRPr="004C5DBB">
                <w:rPr>
                  <w:rFonts w:ascii="Palatino Linotype" w:hAnsi="Palatino Linotype" w:eastAsia="Century Gothic" w:cs="Century Gothic"/>
                  <w:color w:val="467886" w:themeColor="hyperlink"/>
                  <w:sz w:val="22"/>
                  <w:szCs w:val="22"/>
                  <w:u w:val="single"/>
                </w:rPr>
                <w:t>D.19-09-051</w:t>
              </w:r>
            </w:hyperlink>
            <w:r w:rsidRPr="004C5DBB">
              <w:rPr>
                <w:rFonts w:ascii="Palatino Linotype" w:hAnsi="Palatino Linotype" w:eastAsia="Century Gothic" w:cs="Century Gothic"/>
                <w:sz w:val="22"/>
                <w:szCs w:val="22"/>
              </w:rPr>
              <w:t xml:space="preserve"> at p. 379. </w:t>
            </w:r>
          </w:p>
          <w:p w:rsidRPr="004A11B2" w:rsidR="00B274D7" w:rsidRDefault="00B274D7" w14:paraId="5037F492" w14:textId="77777777">
            <w:pPr>
              <w:rPr>
                <w:rFonts w:ascii="Palatino Linotype" w:hAnsi="Palatino Linotype"/>
                <w:sz w:val="22"/>
                <w:szCs w:val="22"/>
              </w:rPr>
            </w:pPr>
            <w:hyperlink w:history="1" r:id="rId58">
              <w:r w:rsidRPr="004C5DBB">
                <w:rPr>
                  <w:rFonts w:ascii="Palatino Linotype" w:hAnsi="Palatino Linotype"/>
                  <w:color w:val="467886" w:themeColor="hyperlink"/>
                  <w:sz w:val="22"/>
                  <w:szCs w:val="22"/>
                  <w:u w:val="single"/>
                </w:rPr>
                <w:t>Executive Order (EO) N-5-24</w:t>
              </w:r>
            </w:hyperlink>
            <w:r w:rsidRPr="004C5DBB">
              <w:rPr>
                <w:rFonts w:ascii="Palatino Linotype" w:hAnsi="Palatino Linotype"/>
                <w:sz w:val="22"/>
                <w:szCs w:val="22"/>
              </w:rPr>
              <w:t xml:space="preserve"> (Newsom, 2024)</w:t>
            </w:r>
          </w:p>
          <w:p w:rsidRPr="004C5DBB" w:rsidR="00B274D7" w:rsidP="00D22704" w:rsidRDefault="00B274D7" w14:paraId="0DAE597D" w14:textId="05127075">
            <w:pPr>
              <w:spacing w:before="240"/>
              <w:rPr>
                <w:rFonts w:ascii="Palatino Linotype" w:hAnsi="Palatino Linotype"/>
                <w:b/>
                <w:sz w:val="22"/>
                <w:szCs w:val="22"/>
              </w:rPr>
            </w:pPr>
            <w:r>
              <w:rPr>
                <w:rFonts w:ascii="Palatino Linotype" w:hAnsi="Palatino Linotype"/>
                <w:sz w:val="22"/>
                <w:szCs w:val="22"/>
              </w:rPr>
              <w:t>c</w:t>
            </w:r>
            <w:r w:rsidRPr="004A11B2">
              <w:rPr>
                <w:rFonts w:ascii="Palatino Linotype" w:hAnsi="Palatino Linotype"/>
                <w:sz w:val="22"/>
                <w:szCs w:val="22"/>
              </w:rPr>
              <w:t>.</w:t>
            </w:r>
            <w:r>
              <w:rPr>
                <w:sz w:val="22"/>
                <w:szCs w:val="22"/>
              </w:rPr>
              <w:t xml:space="preserve"> </w:t>
            </w:r>
            <w:hyperlink w:history="1" r:id="rId59">
              <w:r w:rsidRPr="004C5DBB">
                <w:rPr>
                  <w:rFonts w:ascii="Palatino Linotype" w:hAnsi="Palatino Linotype"/>
                  <w:b/>
                  <w:color w:val="467886" w:themeColor="hyperlink"/>
                  <w:sz w:val="22"/>
                  <w:szCs w:val="22"/>
                  <w:u w:val="single"/>
                </w:rPr>
                <w:t>D.23-11-069</w:t>
              </w:r>
            </w:hyperlink>
            <w:r w:rsidRPr="004C5DBB">
              <w:rPr>
                <w:rFonts w:ascii="Palatino Linotype" w:hAnsi="Palatino Linotype"/>
                <w:b/>
                <w:sz w:val="22"/>
                <w:szCs w:val="22"/>
              </w:rPr>
              <w:t xml:space="preserve"> at p. 218 &amp; 220-221.</w:t>
            </w:r>
          </w:p>
          <w:p w:rsidRPr="004C5DBB" w:rsidR="00B274D7" w:rsidRDefault="00B274D7" w14:paraId="74ABB8B8" w14:textId="77777777">
            <w:pPr>
              <w:rPr>
                <w:rFonts w:ascii="Palatino Linotype" w:hAnsi="Palatino Linotype"/>
                <w:sz w:val="22"/>
                <w:szCs w:val="22"/>
              </w:rPr>
            </w:pPr>
            <w:hyperlink w:tgtFrame="_blank" w:history="1" r:id="rId60">
              <w:r w:rsidRPr="004C5DBB">
                <w:rPr>
                  <w:rFonts w:ascii="Palatino Linotype" w:hAnsi="Palatino Linotype"/>
                  <w:color w:val="467886" w:themeColor="hyperlink"/>
                  <w:sz w:val="22"/>
                  <w:szCs w:val="22"/>
                  <w:u w:val="single"/>
                </w:rPr>
                <w:t>Resolution G-3555</w:t>
              </w:r>
            </w:hyperlink>
            <w:r w:rsidRPr="004C5DBB">
              <w:rPr>
                <w:rFonts w:ascii="Palatino Linotype" w:hAnsi="Palatino Linotype"/>
                <w:sz w:val="22"/>
                <w:szCs w:val="22"/>
              </w:rPr>
              <w:t xml:space="preserve"> (2019) at OP 6.</w:t>
            </w:r>
          </w:p>
          <w:p w:rsidRPr="004C5DBB" w:rsidR="00B274D7" w:rsidRDefault="00B274D7" w14:paraId="7ADA6067" w14:textId="77777777">
            <w:pPr>
              <w:rPr>
                <w:rFonts w:ascii="Palatino Linotype" w:hAnsi="Palatino Linotype"/>
                <w:sz w:val="22"/>
                <w:szCs w:val="22"/>
              </w:rPr>
            </w:pPr>
            <w:hyperlink w:history="1" r:id="rId61">
              <w:r w:rsidRPr="004C5DBB">
                <w:rPr>
                  <w:rFonts w:ascii="Palatino Linotype" w:hAnsi="Palatino Linotype"/>
                  <w:color w:val="467886" w:themeColor="hyperlink"/>
                  <w:sz w:val="22"/>
                  <w:szCs w:val="22"/>
                  <w:u w:val="single"/>
                </w:rPr>
                <w:t>Resolution G-3571</w:t>
              </w:r>
            </w:hyperlink>
            <w:r w:rsidRPr="004C5DBB">
              <w:rPr>
                <w:rFonts w:ascii="Palatino Linotype" w:hAnsi="Palatino Linotype"/>
                <w:sz w:val="22"/>
                <w:szCs w:val="22"/>
              </w:rPr>
              <w:t xml:space="preserve"> (2020) at OP 8b.</w:t>
            </w:r>
          </w:p>
          <w:p w:rsidRPr="004C5DBB" w:rsidR="00B274D7" w:rsidRDefault="00B274D7" w14:paraId="26B14F79" w14:textId="77777777">
            <w:pPr>
              <w:rPr>
                <w:rFonts w:ascii="Palatino Linotype" w:hAnsi="Palatino Linotype"/>
                <w:sz w:val="22"/>
                <w:szCs w:val="22"/>
              </w:rPr>
            </w:pPr>
            <w:hyperlink w:history="1" r:id="rId62">
              <w:r w:rsidRPr="004C5DBB">
                <w:rPr>
                  <w:rFonts w:ascii="Palatino Linotype" w:hAnsi="Palatino Linotype"/>
                  <w:color w:val="467886" w:themeColor="hyperlink"/>
                  <w:sz w:val="22"/>
                  <w:szCs w:val="22"/>
                  <w:u w:val="single"/>
                </w:rPr>
                <w:t>Resolution G-</w:t>
              </w:r>
              <w:r w:rsidRPr="004C5DBB">
                <w:rPr>
                  <w:rFonts w:ascii="Palatino Linotype" w:hAnsi="Palatino Linotype" w:cs="Arial"/>
                  <w:color w:val="467886" w:themeColor="hyperlink"/>
                  <w:sz w:val="22"/>
                  <w:szCs w:val="22"/>
                  <w:u w:val="single"/>
                </w:rPr>
                <w:t>3573</w:t>
              </w:r>
            </w:hyperlink>
            <w:r w:rsidRPr="004C5DBB">
              <w:rPr>
                <w:rFonts w:ascii="Palatino Linotype" w:hAnsi="Palatino Linotype"/>
                <w:sz w:val="22"/>
                <w:szCs w:val="22"/>
              </w:rPr>
              <w:t xml:space="preserve"> (2021) at OP 3.</w:t>
            </w:r>
          </w:p>
          <w:p w:rsidRPr="004C5DBB" w:rsidR="00B274D7" w:rsidRDefault="00B274D7" w14:paraId="7B4298C4" w14:textId="77777777">
            <w:pPr>
              <w:rPr>
                <w:rFonts w:ascii="Palatino Linotype" w:hAnsi="Palatino Linotype"/>
                <w:sz w:val="22"/>
                <w:szCs w:val="22"/>
              </w:rPr>
            </w:pPr>
            <w:hyperlink w:tgtFrame="_blank" w:history="1" r:id="rId63">
              <w:r w:rsidRPr="004C5DBB">
                <w:rPr>
                  <w:rFonts w:ascii="Palatino Linotype" w:hAnsi="Palatino Linotype"/>
                  <w:color w:val="467886" w:themeColor="hyperlink"/>
                  <w:sz w:val="22"/>
                  <w:szCs w:val="22"/>
                  <w:u w:val="single"/>
                </w:rPr>
                <w:t>Resolution G-3586</w:t>
              </w:r>
            </w:hyperlink>
            <w:r w:rsidRPr="004C5DBB">
              <w:rPr>
                <w:rFonts w:ascii="Palatino Linotype" w:hAnsi="Palatino Linotype"/>
                <w:sz w:val="22"/>
                <w:szCs w:val="22"/>
              </w:rPr>
              <w:t xml:space="preserve"> (2022) at OP 4 &amp; 5.</w:t>
            </w:r>
          </w:p>
          <w:p w:rsidRPr="004C5DBB" w:rsidR="00B274D7" w:rsidRDefault="00B274D7" w14:paraId="44EB7FCE" w14:textId="77777777">
            <w:pPr>
              <w:rPr>
                <w:rFonts w:ascii="Palatino Linotype" w:hAnsi="Palatino Linotype"/>
                <w:sz w:val="22"/>
                <w:szCs w:val="22"/>
              </w:rPr>
            </w:pPr>
            <w:hyperlink w:history="1" r:id="rId64">
              <w:r w:rsidRPr="004C5DBB">
                <w:rPr>
                  <w:rFonts w:ascii="Palatino Linotype" w:hAnsi="Palatino Linotype"/>
                  <w:color w:val="467886" w:themeColor="hyperlink"/>
                  <w:sz w:val="22"/>
                  <w:szCs w:val="22"/>
                  <w:u w:val="single"/>
                </w:rPr>
                <w:t>Environmental &amp; Social Justice (ESJ) Action Plan Version 2.0</w:t>
              </w:r>
            </w:hyperlink>
            <w:r w:rsidRPr="004C5DBB">
              <w:rPr>
                <w:rFonts w:ascii="Palatino Linotype" w:hAnsi="Palatino Linotype"/>
                <w:sz w:val="22"/>
                <w:szCs w:val="22"/>
              </w:rPr>
              <w:t xml:space="preserve"> (2022).</w:t>
            </w:r>
          </w:p>
          <w:p w:rsidRPr="004C5DBB" w:rsidR="00B274D7" w:rsidRDefault="00B274D7" w14:paraId="1992CB32" w14:textId="77777777">
            <w:pPr>
              <w:rPr>
                <w:rFonts w:ascii="Palatino Linotype" w:hAnsi="Palatino Linotype"/>
                <w:sz w:val="22"/>
                <w:szCs w:val="22"/>
              </w:rPr>
            </w:pPr>
            <w:hyperlink w:tgtFrame="_blank" w:history="1" r:id="rId65">
              <w:r w:rsidRPr="004C5DBB">
                <w:rPr>
                  <w:rFonts w:ascii="Palatino Linotype" w:hAnsi="Palatino Linotype"/>
                  <w:color w:val="467886" w:themeColor="hyperlink"/>
                  <w:sz w:val="22"/>
                  <w:szCs w:val="22"/>
                  <w:u w:val="single"/>
                </w:rPr>
                <w:t>Resolution G-3592</w:t>
              </w:r>
            </w:hyperlink>
            <w:r w:rsidRPr="004C5DBB">
              <w:rPr>
                <w:rFonts w:ascii="Palatino Linotype" w:hAnsi="Palatino Linotype"/>
                <w:sz w:val="22"/>
                <w:szCs w:val="22"/>
              </w:rPr>
              <w:t xml:space="preserve"> (2023) at OP 5a.</w:t>
            </w:r>
          </w:p>
          <w:p w:rsidRPr="004C5DBB" w:rsidR="00B274D7" w:rsidRDefault="00B274D7" w14:paraId="2F89E9F9" w14:textId="77777777">
            <w:pPr>
              <w:rPr>
                <w:rFonts w:ascii="Palatino Linotype" w:hAnsi="Palatino Linotype"/>
                <w:sz w:val="22"/>
                <w:szCs w:val="22"/>
              </w:rPr>
            </w:pPr>
            <w:hyperlink w:tgtFrame="_blank" w:history="1" r:id="rId66">
              <w:r w:rsidRPr="004C5DBB">
                <w:rPr>
                  <w:rFonts w:ascii="Palatino Linotype" w:hAnsi="Palatino Linotype"/>
                  <w:color w:val="467886" w:themeColor="hyperlink"/>
                  <w:sz w:val="22"/>
                  <w:szCs w:val="22"/>
                  <w:u w:val="single"/>
                </w:rPr>
                <w:t>Resolution G-3601</w:t>
              </w:r>
            </w:hyperlink>
            <w:r w:rsidRPr="004C5DBB">
              <w:rPr>
                <w:rFonts w:ascii="Palatino Linotype" w:hAnsi="Palatino Linotype"/>
                <w:sz w:val="22"/>
                <w:szCs w:val="22"/>
              </w:rPr>
              <w:t xml:space="preserve"> (2023) at OP 3d &amp; 6.</w:t>
            </w:r>
          </w:p>
        </w:tc>
        <w:tc>
          <w:tcPr>
            <w:tcW w:w="3415" w:type="dxa"/>
          </w:tcPr>
          <w:p w:rsidR="00B274D7" w:rsidRDefault="00B274D7" w14:paraId="58E1C0C2" w14:textId="77777777">
            <w:pPr>
              <w:rPr>
                <w:rFonts w:ascii="Palatino Linotype" w:hAnsi="Palatino Linotype"/>
                <w:sz w:val="22"/>
                <w:szCs w:val="22"/>
              </w:rPr>
            </w:pPr>
            <w:r>
              <w:rPr>
                <w:rFonts w:ascii="Palatino Linotype" w:hAnsi="Palatino Linotype"/>
                <w:sz w:val="22"/>
                <w:szCs w:val="22"/>
              </w:rPr>
              <w:lastRenderedPageBreak/>
              <w:t xml:space="preserve">4. </w:t>
            </w:r>
            <w:r w:rsidRPr="004A11B2">
              <w:rPr>
                <w:rFonts w:ascii="Palatino Linotype" w:hAnsi="Palatino Linotype"/>
                <w:b/>
                <w:bCs w:val="0"/>
                <w:sz w:val="22"/>
                <w:szCs w:val="22"/>
              </w:rPr>
              <w:t>Anticipated Impacts</w:t>
            </w:r>
            <w:r>
              <w:rPr>
                <w:rFonts w:ascii="Palatino Linotype" w:hAnsi="Palatino Linotype"/>
                <w:sz w:val="22"/>
                <w:szCs w:val="22"/>
              </w:rPr>
              <w:t xml:space="preserve">: </w:t>
            </w:r>
            <w:r w:rsidRPr="004C5DBB">
              <w:rPr>
                <w:rFonts w:ascii="Palatino Linotype" w:hAnsi="Palatino Linotype"/>
                <w:sz w:val="22"/>
                <w:szCs w:val="22"/>
              </w:rPr>
              <w:t xml:space="preserve"> </w:t>
            </w:r>
            <w:r>
              <w:rPr>
                <w:rFonts w:ascii="Palatino Linotype" w:hAnsi="Palatino Linotype"/>
                <w:sz w:val="22"/>
                <w:szCs w:val="22"/>
              </w:rPr>
              <w:t xml:space="preserve">    </w:t>
            </w:r>
          </w:p>
          <w:p w:rsidR="00B274D7" w:rsidP="00F313C3" w:rsidRDefault="00B274D7" w14:paraId="67ACC15E" w14:textId="184E5D65">
            <w:pPr>
              <w:spacing w:before="240"/>
              <w:rPr>
                <w:rFonts w:ascii="Palatino Linotype" w:hAnsi="Palatino Linotype" w:eastAsia="Century Gothic" w:cs="Century Gothic"/>
                <w:color w:val="000000" w:themeColor="text1"/>
                <w:sz w:val="22"/>
                <w:szCs w:val="22"/>
              </w:rPr>
            </w:pPr>
            <w:r>
              <w:rPr>
                <w:rFonts w:ascii="Palatino Linotype" w:hAnsi="Palatino Linotype"/>
                <w:sz w:val="22"/>
                <w:szCs w:val="22"/>
              </w:rPr>
              <w:t xml:space="preserve">a. </w:t>
            </w:r>
            <w:r w:rsidRPr="004C5DBB">
              <w:rPr>
                <w:rFonts w:ascii="Palatino Linotype" w:hAnsi="Palatino Linotype" w:eastAsia="Century Gothic" w:cs="Century Gothic"/>
                <w:color w:val="000000" w:themeColor="text1"/>
                <w:sz w:val="22"/>
                <w:szCs w:val="22"/>
              </w:rPr>
              <w:t xml:space="preserve">Reasonable probability of providing California ratepayer benefit by locating projects in </w:t>
            </w:r>
            <w:r w:rsidRPr="004C5DBB">
              <w:rPr>
                <w:rFonts w:ascii="Palatino Linotype" w:hAnsi="Palatino Linotype" w:eastAsia="Century Gothic" w:cs="Century Gothic"/>
                <w:color w:val="000000" w:themeColor="text1"/>
                <w:sz w:val="22"/>
                <w:szCs w:val="22"/>
              </w:rPr>
              <w:lastRenderedPageBreak/>
              <w:t>the State of California</w:t>
            </w:r>
            <w:r w:rsidRPr="004C5DBB">
              <w:rPr>
                <w:rFonts w:ascii="Palatino Linotype" w:hAnsi="Palatino Linotype" w:eastAsia="Century Gothic" w:cs="Century Gothic"/>
                <w:color w:val="000000" w:themeColor="text1"/>
                <w:sz w:val="22"/>
                <w:szCs w:val="22"/>
                <w:vertAlign w:val="superscript"/>
              </w:rPr>
              <w:footnoteReference w:id="117"/>
            </w:r>
            <w:r w:rsidRPr="004C5DBB">
              <w:rPr>
                <w:rFonts w:ascii="Palatino Linotype" w:hAnsi="Palatino Linotype" w:eastAsia="Century Gothic" w:cs="Century Gothic"/>
                <w:color w:val="000000" w:themeColor="text1"/>
                <w:sz w:val="22"/>
                <w:szCs w:val="22"/>
              </w:rPr>
              <w:t xml:space="preserve"> and detailed planned methodologies for tracking and evaluating quantitative impacts from investments through the use of the EPIC Program’s Uniform Impacts Analysis Foundational Principles.</w:t>
            </w:r>
          </w:p>
          <w:p w:rsidR="00B274D7" w:rsidP="00F313C3" w:rsidRDefault="00B274D7" w14:paraId="69832CC1" w14:textId="59A5DB70">
            <w:pPr>
              <w:spacing w:before="240"/>
              <w:rPr>
                <w:rFonts w:ascii="Palatino Linotype" w:hAnsi="Palatino Linotype" w:eastAsia="Century Gothic" w:cs="Century Gothic"/>
                <w:color w:val="000000" w:themeColor="text1"/>
                <w:sz w:val="22"/>
                <w:szCs w:val="22"/>
              </w:rPr>
            </w:pPr>
            <w:r>
              <w:rPr>
                <w:rFonts w:ascii="Palatino Linotype" w:hAnsi="Palatino Linotype" w:eastAsia="Century Gothic" w:cs="Century Gothic"/>
                <w:color w:val="000000" w:themeColor="text1"/>
                <w:sz w:val="22"/>
                <w:szCs w:val="22"/>
              </w:rPr>
              <w:t xml:space="preserve">b. </w:t>
            </w:r>
            <w:r w:rsidRPr="004C5DBB">
              <w:rPr>
                <w:rFonts w:ascii="Palatino Linotype" w:hAnsi="Palatino Linotype" w:eastAsia="Century Gothic" w:cs="Century Gothic"/>
                <w:color w:val="000000" w:themeColor="text1"/>
                <w:sz w:val="22"/>
                <w:szCs w:val="22"/>
              </w:rPr>
              <w:t>Cost-effectiveness and protection of affordability to ratepayers.</w:t>
            </w:r>
          </w:p>
          <w:p w:rsidRPr="004A11B2" w:rsidR="00B274D7" w:rsidP="00F313C3" w:rsidRDefault="00B274D7" w14:paraId="6858E0BF" w14:textId="4AE041EF">
            <w:pPr>
              <w:spacing w:before="240"/>
              <w:rPr>
                <w:rFonts w:ascii="Palatino Linotype" w:hAnsi="Palatino Linotype"/>
                <w:sz w:val="22"/>
                <w:szCs w:val="22"/>
              </w:rPr>
            </w:pPr>
            <w:r>
              <w:rPr>
                <w:rFonts w:ascii="Palatino Linotype" w:hAnsi="Palatino Linotype" w:eastAsia="Century Gothic" w:cs="Century Gothic"/>
                <w:color w:val="000000" w:themeColor="text1"/>
                <w:sz w:val="22"/>
                <w:szCs w:val="22"/>
              </w:rPr>
              <w:t xml:space="preserve">c. </w:t>
            </w:r>
            <w:r w:rsidRPr="004A11B2">
              <w:rPr>
                <w:rFonts w:ascii="Palatino Linotype" w:hAnsi="Palatino Linotype" w:eastAsia="Century Gothic" w:cs="Century Gothic"/>
                <w:color w:val="000000" w:themeColor="text1"/>
                <w:sz w:val="22"/>
                <w:szCs w:val="22"/>
              </w:rPr>
              <w:t>Promote equity and provide benefits to Environmental &amp; Social Justice (ESJ) communities, informed by consultation with community-based organizations (CBOs) and the ESJ Action Plan 2.0.</w:t>
            </w:r>
          </w:p>
        </w:tc>
      </w:tr>
    </w:tbl>
    <w:p w:rsidRPr="004C5DBB" w:rsidR="00B274D7" w:rsidP="00B274D7" w:rsidRDefault="00B274D7" w14:paraId="46F22B68" w14:textId="77777777">
      <w:pPr>
        <w:spacing w:after="0" w:line="276" w:lineRule="auto"/>
        <w:contextualSpacing/>
        <w:rPr>
          <w:rFonts w:ascii="Palatino Linotype" w:hAnsi="Palatino Linotype" w:eastAsia="Century Gothic" w:cs="Century Gothic"/>
          <w:color w:val="000000" w:themeColor="text1"/>
          <w:sz w:val="22"/>
          <w:szCs w:val="22"/>
        </w:rPr>
      </w:pPr>
    </w:p>
    <w:p w:rsidRPr="004C5DBB" w:rsidR="004C5DBB" w:rsidP="004C5DBB" w:rsidRDefault="004C5DBB" w14:paraId="663A10F1" w14:textId="77777777">
      <w:pPr>
        <w:spacing w:after="0" w:line="276" w:lineRule="auto"/>
        <w:rPr>
          <w:rFonts w:ascii="Palatino Linotype" w:hAnsi="Palatino Linotype" w:eastAsia="Century Gothic" w:cs="Century Gothic"/>
          <w:color w:val="000000" w:themeColor="text1"/>
          <w:sz w:val="22"/>
          <w:szCs w:val="22"/>
        </w:rPr>
      </w:pPr>
    </w:p>
    <w:p w:rsidR="00B274D7" w:rsidRDefault="00B274D7" w14:paraId="0294998D" w14:textId="77777777">
      <w:pPr>
        <w:rPr>
          <w:rFonts w:ascii="Palatino Linotype" w:hAnsi="Palatino Linotype"/>
          <w:b/>
          <w:bCs/>
        </w:rPr>
      </w:pPr>
    </w:p>
    <w:p w:rsidR="00B274D7" w:rsidRDefault="00B274D7" w14:paraId="5BADCAAE" w14:textId="77777777">
      <w:pPr>
        <w:rPr>
          <w:rFonts w:ascii="Palatino Linotype" w:hAnsi="Palatino Linotype"/>
          <w:b/>
          <w:bCs/>
        </w:rPr>
      </w:pPr>
    </w:p>
    <w:p w:rsidR="00B274D7" w:rsidRDefault="00B274D7" w14:paraId="75D6DB48" w14:textId="77777777">
      <w:pPr>
        <w:rPr>
          <w:rFonts w:ascii="Palatino Linotype" w:hAnsi="Palatino Linotype"/>
          <w:b/>
          <w:bCs/>
        </w:rPr>
      </w:pPr>
    </w:p>
    <w:p w:rsidR="00B274D7" w:rsidRDefault="00B274D7" w14:paraId="01561BA0" w14:textId="77777777">
      <w:pPr>
        <w:rPr>
          <w:rFonts w:ascii="Palatino Linotype" w:hAnsi="Palatino Linotype"/>
          <w:b/>
          <w:bCs/>
        </w:rPr>
      </w:pPr>
      <w:r>
        <w:rPr>
          <w:rFonts w:ascii="Palatino Linotype" w:hAnsi="Palatino Linotype"/>
          <w:b/>
          <w:bCs/>
        </w:rPr>
        <w:br w:type="page"/>
      </w:r>
    </w:p>
    <w:p w:rsidR="00B274D7" w:rsidP="00B274D7" w:rsidRDefault="00B274D7" w14:paraId="14EE5F98" w14:textId="20C47725">
      <w:pPr>
        <w:rPr>
          <w:rFonts w:ascii="Palatino Linotype" w:hAnsi="Palatino Linotype"/>
          <w:b/>
          <w:bCs/>
        </w:rPr>
      </w:pPr>
      <w:r w:rsidRPr="004C5DBB">
        <w:rPr>
          <w:rFonts w:ascii="Palatino Linotype" w:hAnsi="Palatino Linotype"/>
          <w:b/>
          <w:bCs/>
        </w:rPr>
        <w:lastRenderedPageBreak/>
        <w:t xml:space="preserve">APPENDIX </w:t>
      </w:r>
      <w:r w:rsidRPr="00891A31" w:rsidR="00157B81">
        <w:rPr>
          <w:rFonts w:ascii="Palatino Linotype" w:hAnsi="Palatino Linotype"/>
          <w:b/>
          <w:bCs/>
          <w:color w:val="000000" w:themeColor="text1"/>
        </w:rPr>
        <w:t>E:</w:t>
      </w:r>
      <w:r w:rsidRPr="004C5DBB">
        <w:rPr>
          <w:rFonts w:ascii="Palatino Linotype" w:hAnsi="Palatino Linotype"/>
          <w:b/>
          <w:bCs/>
        </w:rPr>
        <w:t xml:space="preserve"> EPIC Foundational Principles for the Development of a Uniform Impact Analysis Framework</w:t>
      </w:r>
      <w:r>
        <w:rPr>
          <w:rStyle w:val="FootnoteReference"/>
          <w:rFonts w:ascii="Palatino Linotype" w:hAnsi="Palatino Linotype"/>
          <w:b/>
          <w:bCs/>
        </w:rPr>
        <w:footnoteReference w:id="118"/>
      </w:r>
    </w:p>
    <w:p w:rsidRPr="008844BF" w:rsidR="00B274D7" w:rsidP="00B274D7" w:rsidRDefault="00B274D7" w14:paraId="17D61959" w14:textId="77777777">
      <w:pPr>
        <w:spacing w:line="276" w:lineRule="auto"/>
        <w:ind w:firstLine="720"/>
        <w:contextualSpacing/>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This document outlines the Commission’s expectations of Electric Program Investment Charge (EPIC) administrators in developing a uniform impact analysis framework and metrics, enabling the evaluation and tracking of the impacts of all EPIC projects, that complies with D.21-11-028, Ordering Paragraph 12. These foundational principles include:</w:t>
      </w:r>
    </w:p>
    <w:p w:rsidRPr="008844BF" w:rsidR="00B274D7" w:rsidP="00B274D7" w:rsidRDefault="00B274D7" w14:paraId="0B97179E" w14:textId="77777777">
      <w:pPr>
        <w:spacing w:line="276" w:lineRule="auto"/>
        <w:contextualSpacing/>
        <w:rPr>
          <w:rFonts w:ascii="Palatino Linotype" w:hAnsi="Palatino Linotype" w:eastAsia="Calibri" w:cs="Arial"/>
          <w:b/>
          <w:kern w:val="0"/>
          <w14:ligatures w14:val="none"/>
        </w:rPr>
      </w:pPr>
    </w:p>
    <w:p w:rsidRPr="008844BF" w:rsidR="00B274D7" w:rsidP="00B274D7" w:rsidRDefault="00B274D7" w14:paraId="3E71C949"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Purpose</w:t>
      </w:r>
    </w:p>
    <w:p w:rsidRPr="008844BF" w:rsidR="00B274D7" w:rsidP="00B274D7" w:rsidRDefault="00B274D7" w14:paraId="2E43DAE6" w14:textId="77777777">
      <w:pPr>
        <w:pStyle w:val="ListParagraph"/>
        <w:numPr>
          <w:ilvl w:val="0"/>
          <w:numId w:val="42"/>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The mandatory guiding principle of EPIC is to provide ratepayer benefits as related to California's electric system.</w:t>
      </w:r>
      <w:r w:rsidRPr="0060382B">
        <w:rPr>
          <w:vertAlign w:val="superscript"/>
        </w:rPr>
        <w:footnoteReference w:id="119"/>
      </w:r>
    </w:p>
    <w:p w:rsidRPr="008844BF" w:rsidR="00B274D7" w:rsidP="00B274D7" w:rsidRDefault="00B274D7" w14:paraId="7C317A2D" w14:textId="77777777">
      <w:pPr>
        <w:pStyle w:val="ListParagraph"/>
        <w:numPr>
          <w:ilvl w:val="0"/>
          <w:numId w:val="42"/>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The EPIC impacts analysis framework should provide EPIC administrators with a uniform methodology to demonstrate with data the realized and potential impacts to ratepayers from EPIC research, development, and demonstration (RD&amp;D) investment.</w:t>
      </w:r>
    </w:p>
    <w:p w:rsidRPr="008844BF" w:rsidR="00B274D7" w:rsidP="00B274D7" w:rsidRDefault="00B274D7" w14:paraId="1128FB46" w14:textId="77777777">
      <w:pPr>
        <w:spacing w:after="0" w:line="276" w:lineRule="auto"/>
        <w:ind w:left="274"/>
        <w:contextualSpacing/>
        <w:rPr>
          <w:rFonts w:ascii="Palatino Linotype" w:hAnsi="Palatino Linotype" w:eastAsia="Calibri" w:cs="Arial"/>
          <w:kern w:val="0"/>
          <w14:ligatures w14:val="none"/>
        </w:rPr>
      </w:pPr>
    </w:p>
    <w:p w:rsidRPr="008844BF" w:rsidR="00B274D7" w:rsidP="00B274D7" w:rsidRDefault="00B274D7" w14:paraId="6C3C67B2"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Overarching Principles</w:t>
      </w:r>
    </w:p>
    <w:p w:rsidRPr="008844BF" w:rsidR="00B274D7" w:rsidP="00B274D7" w:rsidRDefault="00B274D7" w14:paraId="64630B80" w14:textId="77777777">
      <w:pPr>
        <w:pStyle w:val="ListParagraph"/>
        <w:numPr>
          <w:ilvl w:val="0"/>
          <w:numId w:val="42"/>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In general, each EPIC project should offer a reasonable probability of providing benefits to ratepayers and expenditures on projects which have a low probability for success should be minimized,</w:t>
      </w:r>
      <w:r w:rsidRPr="0060382B">
        <w:rPr>
          <w:vertAlign w:val="superscript"/>
        </w:rPr>
        <w:footnoteReference w:id="120"/>
      </w:r>
      <w:r w:rsidRPr="008844BF">
        <w:rPr>
          <w:rFonts w:ascii="Palatino Linotype" w:hAnsi="Palatino Linotype" w:eastAsia="Calibri" w:cs="Arial"/>
          <w:kern w:val="0"/>
          <w14:ligatures w14:val="none"/>
        </w:rPr>
        <w:t xml:space="preserve"> and the EPIC portfolio as a whole should demonstrably benefit ratepayers.</w:t>
      </w:r>
    </w:p>
    <w:p w:rsidRPr="008844BF" w:rsidR="00B274D7" w:rsidP="00B274D7" w:rsidRDefault="00B274D7" w14:paraId="46BD26CF" w14:textId="77777777">
      <w:pPr>
        <w:pStyle w:val="ListParagraph"/>
        <w:numPr>
          <w:ilvl w:val="0"/>
          <w:numId w:val="42"/>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While in some cases, a targeted group of ratepayers may benefit from an individual project’s output, EPIC investments should result in scalable and replicable innovations that prioritize solutions to address California’s energy and climate goals.</w:t>
      </w:r>
    </w:p>
    <w:p w:rsidRPr="008844BF" w:rsidR="00B274D7" w:rsidP="00B274D7" w:rsidRDefault="00B274D7" w14:paraId="6186AFF5" w14:textId="77777777">
      <w:pPr>
        <w:pStyle w:val="ListParagraph"/>
        <w:numPr>
          <w:ilvl w:val="0"/>
          <w:numId w:val="42"/>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Accurate and precise EPIC project and program impacts reporting is paramount to inform policy, decision making, and formulating EPIC strategic goals. Therefore, impacts resulting from the analytical framework must be defensible and not overstated. </w:t>
      </w:r>
    </w:p>
    <w:p w:rsidRPr="008844BF" w:rsidR="00B274D7" w:rsidP="00B274D7" w:rsidRDefault="00B274D7" w14:paraId="07194544" w14:textId="77777777">
      <w:pPr>
        <w:pStyle w:val="ListParagraph"/>
        <w:numPr>
          <w:ilvl w:val="0"/>
          <w:numId w:val="42"/>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lastRenderedPageBreak/>
        <w:t xml:space="preserve">Clear methods are necessary to calculate past, current, and future EPIC impacts based on published data and reasonable assumptions, such that any party can take the data and assumptions and apply the methodology to recreate the results. Without such foundation, it will be difficult to calculate quantitative impacts of EPIC innovations that lack the market or deployment history to have readily available sufficient data for impacts analysis or project future impacts of pre-commercial innovations. </w:t>
      </w:r>
    </w:p>
    <w:p w:rsidRPr="008844BF" w:rsidR="00B274D7" w:rsidP="00B274D7" w:rsidRDefault="00B274D7" w14:paraId="6F82ED75" w14:textId="77777777">
      <w:pPr>
        <w:spacing w:after="0" w:line="276" w:lineRule="auto"/>
        <w:ind w:left="274"/>
        <w:contextualSpacing/>
        <w:rPr>
          <w:rFonts w:ascii="Palatino Linotype" w:hAnsi="Palatino Linotype" w:eastAsia="Calibri" w:cs="Arial"/>
          <w:kern w:val="0"/>
          <w14:ligatures w14:val="none"/>
        </w:rPr>
      </w:pPr>
    </w:p>
    <w:p w:rsidRPr="008844BF" w:rsidR="00B274D7" w:rsidP="00B274D7" w:rsidRDefault="00B274D7" w14:paraId="0CDCA4B5"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 xml:space="preserve">Net Impacts </w:t>
      </w:r>
    </w:p>
    <w:p w:rsidRPr="008844BF" w:rsidR="00B274D7" w:rsidP="00B274D7" w:rsidRDefault="00B274D7" w14:paraId="07A76955" w14:textId="77777777">
      <w:pPr>
        <w:pStyle w:val="ListParagraph"/>
        <w:numPr>
          <w:ilvl w:val="0"/>
          <w:numId w:val="41"/>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Realized ratepayer benefits must be demonstrated by the incremental, value-added impact of EPIC innovation. </w:t>
      </w:r>
    </w:p>
    <w:p w:rsidRPr="008844BF" w:rsidR="00B274D7" w:rsidP="00B274D7" w:rsidRDefault="00B274D7" w14:paraId="3C80907C" w14:textId="77777777">
      <w:pPr>
        <w:pStyle w:val="ListParagraph"/>
        <w:numPr>
          <w:ilvl w:val="1"/>
          <w:numId w:val="41"/>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For example, if a ratepayer spends $20 to save $30, the ratepayer benefit realized is the net $10 savings, not the gross $30 impact. Thus, the metric by which EPIC investments should be evaluated is </w:t>
      </w:r>
      <w:r w:rsidRPr="008844BF">
        <w:rPr>
          <w:rFonts w:ascii="Palatino Linotype" w:hAnsi="Palatino Linotype" w:eastAsia="Calibri" w:cs="Arial"/>
          <w:i/>
          <w:kern w:val="0"/>
          <w14:ligatures w14:val="none"/>
        </w:rPr>
        <w:t>net</w:t>
      </w:r>
      <w:r w:rsidRPr="008844BF">
        <w:rPr>
          <w:rFonts w:ascii="Palatino Linotype" w:hAnsi="Palatino Linotype" w:eastAsia="Calibri" w:cs="Arial"/>
          <w:kern w:val="0"/>
          <w14:ligatures w14:val="none"/>
        </w:rPr>
        <w:t xml:space="preserve">, not gross, impacts. </w:t>
      </w:r>
    </w:p>
    <w:p w:rsidRPr="008844BF" w:rsidR="00B274D7" w:rsidP="00B274D7" w:rsidRDefault="00B274D7" w14:paraId="2B33BE23" w14:textId="77777777">
      <w:pPr>
        <w:pStyle w:val="ListParagraph"/>
        <w:numPr>
          <w:ilvl w:val="0"/>
          <w:numId w:val="41"/>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Net impacts are required to calculate project or program benefit-cost ratios and rates of return on investment.</w:t>
      </w:r>
    </w:p>
    <w:p w:rsidRPr="008844BF" w:rsidR="00B274D7" w:rsidP="00B274D7" w:rsidRDefault="00B274D7" w14:paraId="7B121D6D" w14:textId="77777777">
      <w:pPr>
        <w:spacing w:after="0" w:line="276" w:lineRule="auto"/>
        <w:rPr>
          <w:rFonts w:ascii="Palatino Linotype" w:hAnsi="Palatino Linotype" w:eastAsia="Calibri" w:cs="Arial"/>
          <w:kern w:val="0"/>
          <w14:ligatures w14:val="none"/>
        </w:rPr>
      </w:pPr>
    </w:p>
    <w:p w:rsidRPr="008844BF" w:rsidR="00B274D7" w:rsidP="00B274D7" w:rsidRDefault="00B274D7" w14:paraId="00FFE134"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Attribution</w:t>
      </w:r>
    </w:p>
    <w:p w:rsidRPr="008844BF" w:rsidR="00B274D7" w:rsidP="00B274D7" w:rsidRDefault="00B274D7" w14:paraId="736F2C14" w14:textId="77777777">
      <w:pPr>
        <w:pStyle w:val="ListParagraph"/>
        <w:numPr>
          <w:ilvl w:val="0"/>
          <w:numId w:val="40"/>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To understand the impact of EPIC accurately and precisely, and therefore, inform continuance or improvements in EPIC strategic goals and strategic objectives, administrators should demonstrate to the CPUC what impacts have or are forecasted to occur that would not have otherwise occurred without EPIC investment (i.e., only these impacts should be attributed to EPIC.)</w:t>
      </w:r>
    </w:p>
    <w:p w:rsidRPr="008844BF" w:rsidR="00B274D7" w:rsidP="00B274D7" w:rsidRDefault="00B274D7" w14:paraId="0AFAF135" w14:textId="77777777">
      <w:pPr>
        <w:pStyle w:val="ListParagraph"/>
        <w:numPr>
          <w:ilvl w:val="0"/>
          <w:numId w:val="40"/>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The portion of the observed change that is only due to EPIC investment must be documented with data, and a set of reasonable and acceptable rules for determining the share of credit attributed to EPIC developed, including attribution for the value of cost-shared, matching, or leveraged funding. </w:t>
      </w:r>
    </w:p>
    <w:p w:rsidRPr="008844BF" w:rsidR="00B274D7" w:rsidP="00B274D7" w:rsidRDefault="00B274D7" w14:paraId="58043985" w14:textId="77777777">
      <w:pPr>
        <w:pStyle w:val="ListParagraph"/>
        <w:numPr>
          <w:ilvl w:val="0"/>
          <w:numId w:val="40"/>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Comparable scenarios should be used to estimate when the market would have produced an innovation had EPIC funding not been available. Where innovation would have eventually occurred without EPIC, impacts should be based on the acceleration in the time to market readiness of the innovation, rather than the lifetime of the technology itself. </w:t>
      </w:r>
    </w:p>
    <w:p w:rsidRPr="008844BF" w:rsidR="00B274D7" w:rsidP="00B274D7" w:rsidRDefault="00B274D7" w14:paraId="351F9728" w14:textId="77777777">
      <w:pPr>
        <w:pStyle w:val="ListParagraph"/>
        <w:numPr>
          <w:ilvl w:val="1"/>
          <w:numId w:val="40"/>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For example, if a deployed EPIC innovation provides impacts for 20 years between 2025 and 2045, and it is determined the innovation would have </w:t>
      </w:r>
      <w:r w:rsidRPr="008844BF">
        <w:rPr>
          <w:rFonts w:ascii="Palatino Linotype" w:hAnsi="Palatino Linotype" w:eastAsia="Calibri" w:cs="Arial"/>
          <w:kern w:val="0"/>
          <w14:ligatures w14:val="none"/>
        </w:rPr>
        <w:lastRenderedPageBreak/>
        <w:t>occurred and been deployed without EPIC in 2030, then the period of market acceleration due to EPIC is five years and EPIC impacts are calculated only for that 5-year period.</w:t>
      </w:r>
    </w:p>
    <w:p w:rsidRPr="008844BF" w:rsidR="00B274D7" w:rsidP="00B274D7" w:rsidRDefault="00B274D7" w14:paraId="17F6AC54" w14:textId="77777777">
      <w:pPr>
        <w:spacing w:line="276" w:lineRule="auto"/>
        <w:contextualSpacing/>
        <w:rPr>
          <w:rFonts w:ascii="Palatino Linotype" w:hAnsi="Palatino Linotype" w:eastAsia="Calibri" w:cs="Arial"/>
          <w:kern w:val="0"/>
          <w14:ligatures w14:val="none"/>
        </w:rPr>
      </w:pPr>
    </w:p>
    <w:p w:rsidRPr="008844BF" w:rsidR="00B274D7" w:rsidP="00B274D7" w:rsidRDefault="00B274D7" w14:paraId="6D3DE156"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Methods</w:t>
      </w:r>
    </w:p>
    <w:p w:rsidRPr="008844BF" w:rsidR="00B274D7" w:rsidP="00B274D7" w:rsidRDefault="00B274D7" w14:paraId="79FAA3BD" w14:textId="77777777">
      <w:pPr>
        <w:pStyle w:val="ListParagraph"/>
        <w:numPr>
          <w:ilvl w:val="0"/>
          <w:numId w:val="39"/>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Administrators should use or adapt existing accepted methodologies where possible for efficiencies of resources, time, cost, and effort.</w:t>
      </w:r>
      <w:r w:rsidRPr="0060382B">
        <w:rPr>
          <w:vertAlign w:val="superscript"/>
        </w:rPr>
        <w:footnoteReference w:id="121"/>
      </w:r>
    </w:p>
    <w:p w:rsidRPr="008844BF" w:rsidR="00B274D7" w:rsidP="00B274D7" w:rsidRDefault="00B274D7" w14:paraId="1F688179" w14:textId="77777777">
      <w:pPr>
        <w:pStyle w:val="ListParagraph"/>
        <w:numPr>
          <w:ilvl w:val="0"/>
          <w:numId w:val="39"/>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The methodology used to calculate benefits should be grounded in theory (i.e., if funding certain small businesses is seen as beneficial, data documentation and impact demonstration of this strategy should be provided).</w:t>
      </w:r>
    </w:p>
    <w:p w:rsidRPr="008844BF" w:rsidR="00B274D7" w:rsidP="00B274D7" w:rsidRDefault="00B274D7" w14:paraId="073BC385" w14:textId="77777777">
      <w:pPr>
        <w:pStyle w:val="ListParagraph"/>
        <w:numPr>
          <w:ilvl w:val="0"/>
          <w:numId w:val="39"/>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Impacts evaluation may involve expert elicitation. Clearly and succinctly framing questions is required to guide experts in obtaining pertinent data. </w:t>
      </w:r>
    </w:p>
    <w:p w:rsidRPr="008844BF" w:rsidR="00B274D7" w:rsidP="00B274D7" w:rsidRDefault="00B274D7" w14:paraId="1AC88083" w14:textId="77777777">
      <w:pPr>
        <w:spacing w:after="0" w:line="276" w:lineRule="auto"/>
        <w:rPr>
          <w:rFonts w:ascii="Palatino Linotype" w:hAnsi="Palatino Linotype" w:eastAsia="Calibri" w:cs="Arial"/>
          <w:kern w:val="0"/>
          <w14:ligatures w14:val="none"/>
        </w:rPr>
      </w:pPr>
    </w:p>
    <w:p w:rsidRPr="008844BF" w:rsidR="00B274D7" w:rsidP="00B274D7" w:rsidRDefault="00B274D7" w14:paraId="18F6E81A"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Metrics</w:t>
      </w:r>
    </w:p>
    <w:p w:rsidRPr="008844BF" w:rsidR="00B274D7" w:rsidP="00B274D7" w:rsidRDefault="00B274D7" w14:paraId="5332DDFF" w14:textId="36728164">
      <w:pPr>
        <w:pStyle w:val="ListParagraph"/>
        <w:numPr>
          <w:ilvl w:val="0"/>
          <w:numId w:val="38"/>
        </w:numPr>
        <w:spacing w:after="120" w:line="276" w:lineRule="auto"/>
        <w:rPr>
          <w:rFonts w:ascii="Palatino Linotype" w:hAnsi="Palatino Linotype" w:eastAsia="Calibri" w:cs="Arial"/>
          <w:kern w:val="0"/>
          <w14:ligatures w14:val="none"/>
        </w:rPr>
      </w:pPr>
      <w:hyperlink w:history="1" r:id="rId67">
        <w:r w:rsidRPr="008844BF">
          <w:rPr>
            <w:rFonts w:ascii="Palatino Linotype" w:hAnsi="Palatino Linotype" w:eastAsia="Calibri" w:cs="Arial"/>
            <w:color w:val="0563C1"/>
            <w:kern w:val="0"/>
            <w:u w:val="single"/>
            <w14:ligatures w14:val="none"/>
          </w:rPr>
          <w:t>D.13-11-025</w:t>
        </w:r>
      </w:hyperlink>
      <w:r w:rsidRPr="008844BF">
        <w:rPr>
          <w:rFonts w:ascii="Palatino Linotype" w:hAnsi="Palatino Linotype" w:eastAsia="Calibri" w:cs="Arial"/>
          <w:kern w:val="0"/>
          <w14:ligatures w14:val="none"/>
        </w:rPr>
        <w:t>, Attachment 4 provides a list of impacts (</w:t>
      </w:r>
      <w:r w:rsidRPr="008844BF">
        <w:rPr>
          <w:rFonts w:ascii="Palatino Linotype" w:hAnsi="Palatino Linotype" w:eastAsia="Calibri" w:cs="Arial"/>
          <w:i/>
          <w:kern w:val="0"/>
          <w14:ligatures w14:val="none"/>
        </w:rPr>
        <w:t xml:space="preserve">Metrics and Potential Areas of Measurement) </w:t>
      </w:r>
      <w:r w:rsidRPr="008844BF">
        <w:rPr>
          <w:rFonts w:ascii="Palatino Linotype" w:hAnsi="Palatino Linotype" w:eastAsia="Calibri" w:cs="Arial"/>
          <w:kern w:val="0"/>
          <w14:ligatures w14:val="none"/>
        </w:rPr>
        <w:t>proposed by the EPIC administrators and approved by the CPUC, which can serve as the basis for discussion of metrics. The list includes 10 impact metric categories and 59 potential areas of measurement. The decision allows creation of new project-specific impact metrics to consider for revisions.</w:t>
      </w:r>
    </w:p>
    <w:p w:rsidRPr="008844BF" w:rsidR="00B274D7" w:rsidP="00B274D7" w:rsidRDefault="00B274D7" w14:paraId="617B7473" w14:textId="77777777">
      <w:pPr>
        <w:pStyle w:val="ListParagraph"/>
        <w:numPr>
          <w:ilvl w:val="0"/>
          <w:numId w:val="38"/>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Because units of measure have not been defined for many of these metrics, additional definitions are required for uniform impact reporting. This impacts metrics list may be modified and updated based on new information and must be used consistently across all administrators. </w:t>
      </w:r>
    </w:p>
    <w:p w:rsidRPr="008844BF" w:rsidR="00B274D7" w:rsidP="00B274D7" w:rsidRDefault="00B274D7" w14:paraId="582F406F" w14:textId="77777777">
      <w:pPr>
        <w:spacing w:after="0" w:line="276" w:lineRule="auto"/>
        <w:rPr>
          <w:rFonts w:ascii="Palatino Linotype" w:hAnsi="Palatino Linotype" w:eastAsia="Calibri" w:cs="Arial"/>
          <w:kern w:val="0"/>
          <w14:ligatures w14:val="none"/>
        </w:rPr>
      </w:pPr>
    </w:p>
    <w:p w:rsidRPr="008844BF" w:rsidR="00B274D7" w:rsidP="00B274D7" w:rsidRDefault="00B274D7" w14:paraId="27C7C84E"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lastRenderedPageBreak/>
        <w:t>Assumptions</w:t>
      </w:r>
    </w:p>
    <w:p w:rsidRPr="008844BF" w:rsidR="00B274D7" w:rsidP="00B274D7" w:rsidRDefault="00B274D7" w14:paraId="365C13FB" w14:textId="77777777">
      <w:pPr>
        <w:pStyle w:val="ListParagraph"/>
        <w:numPr>
          <w:ilvl w:val="0"/>
          <w:numId w:val="37"/>
        </w:numPr>
        <w:spacing w:after="12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To the extent possible, administrators should use the same core data set for basic assumptions, such as the emissions profile of peak power in each service area. If administrators do not use the same data set, they should provide rationale for why not.</w:t>
      </w:r>
    </w:p>
    <w:p w:rsidRPr="008844BF" w:rsidR="00B274D7" w:rsidP="00B274D7" w:rsidRDefault="00B274D7" w14:paraId="05774E24" w14:textId="77777777">
      <w:pPr>
        <w:pStyle w:val="ListParagraph"/>
        <w:numPr>
          <w:ilvl w:val="0"/>
          <w:numId w:val="37"/>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 xml:space="preserve">While market penetration assumptions may vary by innovation, the method by which these assumptions are arrived should be consistent. </w:t>
      </w:r>
    </w:p>
    <w:p w:rsidRPr="008844BF" w:rsidR="00B274D7" w:rsidP="00B274D7" w:rsidRDefault="00B274D7" w14:paraId="4CFD7945" w14:textId="77777777">
      <w:pPr>
        <w:spacing w:after="0" w:line="276" w:lineRule="auto"/>
        <w:ind w:left="274"/>
        <w:contextualSpacing/>
        <w:rPr>
          <w:rFonts w:ascii="Palatino Linotype" w:hAnsi="Palatino Linotype" w:eastAsia="Calibri" w:cs="Arial"/>
          <w:kern w:val="0"/>
          <w14:ligatures w14:val="none"/>
        </w:rPr>
      </w:pPr>
    </w:p>
    <w:p w:rsidRPr="008844BF" w:rsidR="00B274D7" w:rsidP="00B274D7" w:rsidRDefault="00B274D7" w14:paraId="33221CC4" w14:textId="77777777">
      <w:pPr>
        <w:spacing w:before="200"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Impact Reporting</w:t>
      </w:r>
    </w:p>
    <w:p w:rsidRPr="008844BF" w:rsidR="00B274D7" w:rsidP="00B274D7" w:rsidRDefault="00B274D7" w14:paraId="3EB656BB" w14:textId="77777777">
      <w:pPr>
        <w:pStyle w:val="ListParagraph"/>
        <w:numPr>
          <w:ilvl w:val="0"/>
          <w:numId w:val="36"/>
        </w:numPr>
        <w:spacing w:after="0" w:line="276" w:lineRule="auto"/>
        <w:rPr>
          <w:rFonts w:ascii="Palatino Linotype" w:hAnsi="Palatino Linotype" w:eastAsia="Calibri" w:cs="Arial"/>
          <w:kern w:val="0"/>
          <w14:ligatures w14:val="none"/>
        </w:rPr>
      </w:pPr>
      <w:r w:rsidRPr="008844BF">
        <w:rPr>
          <w:rFonts w:ascii="Palatino Linotype" w:hAnsi="Palatino Linotype" w:eastAsia="Calibri" w:cs="Arial"/>
          <w:kern w:val="0"/>
          <w14:ligatures w14:val="none"/>
        </w:rPr>
        <w:t>For clarity of impacts on different economic sectors, direct, indirect, and induced impacts should be disaggregated in reporting.</w:t>
      </w:r>
    </w:p>
    <w:p w:rsidRPr="008844BF" w:rsidR="00B274D7" w:rsidP="00B274D7" w:rsidRDefault="00B274D7" w14:paraId="742A215E" w14:textId="77777777">
      <w:pPr>
        <w:spacing w:after="0" w:line="276" w:lineRule="auto"/>
        <w:ind w:left="274"/>
        <w:contextualSpacing/>
        <w:rPr>
          <w:rFonts w:ascii="Palatino Linotype" w:hAnsi="Palatino Linotype" w:eastAsia="Calibri" w:cs="Arial"/>
          <w:kern w:val="0"/>
          <w14:ligatures w14:val="none"/>
        </w:rPr>
      </w:pPr>
    </w:p>
    <w:p w:rsidRPr="008844BF" w:rsidR="00B274D7" w:rsidP="00B274D7" w:rsidRDefault="00B274D7" w14:paraId="0F4F0066" w14:textId="77777777">
      <w:pPr>
        <w:spacing w:after="0" w:line="276" w:lineRule="auto"/>
        <w:contextualSpacing/>
        <w:rPr>
          <w:rFonts w:ascii="Palatino Linotype" w:hAnsi="Palatino Linotype" w:eastAsia="Calibri" w:cs="Arial"/>
          <w:b/>
          <w:kern w:val="0"/>
          <w14:ligatures w14:val="none"/>
        </w:rPr>
      </w:pPr>
      <w:r w:rsidRPr="008844BF">
        <w:rPr>
          <w:rFonts w:ascii="Palatino Linotype" w:hAnsi="Palatino Linotype" w:eastAsia="Calibri" w:cs="Arial"/>
          <w:b/>
          <w:kern w:val="0"/>
          <w14:ligatures w14:val="none"/>
        </w:rPr>
        <w:t>Iterative Process</w:t>
      </w:r>
    </w:p>
    <w:p w:rsidRPr="008844BF" w:rsidR="00B274D7" w:rsidP="00B274D7" w:rsidRDefault="00B274D7" w14:paraId="64CEF63C" w14:textId="77777777">
      <w:pPr>
        <w:pStyle w:val="ListParagraph"/>
        <w:numPr>
          <w:ilvl w:val="0"/>
          <w:numId w:val="34"/>
        </w:numPr>
        <w:spacing w:after="0" w:line="276" w:lineRule="auto"/>
      </w:pPr>
      <w:r w:rsidRPr="008844BF">
        <w:rPr>
          <w:rFonts w:ascii="Palatino Linotype" w:hAnsi="Palatino Linotype" w:eastAsia="Calibri" w:cs="Arial"/>
          <w:kern w:val="0"/>
          <w14:ligatures w14:val="none"/>
        </w:rPr>
        <w:t>Guidelines may be revised and clarified as the EPIC Impacts Analysis Framework is developed to achieve the goals and principles outlined above.</w:t>
      </w:r>
    </w:p>
    <w:p w:rsidR="004B0BDA" w:rsidP="004C5DBB" w:rsidRDefault="004B0BDA" w14:paraId="49E00F3B" w14:textId="6A34A584">
      <w:pPr>
        <w:rPr>
          <w:rFonts w:ascii="Palatino Linotype" w:hAnsi="Palatino Linotype"/>
          <w:b/>
          <w:bCs/>
        </w:rPr>
        <w:sectPr w:rsidR="004B0BDA" w:rsidSect="00750E92">
          <w:footerReference w:type="first" r:id="rId68"/>
          <w:pgSz w:w="12240" w:h="15840"/>
          <w:pgMar w:top="1440" w:right="1440" w:bottom="1440" w:left="1440" w:header="720" w:footer="720" w:gutter="0"/>
          <w:cols w:space="720"/>
          <w:titlePg/>
          <w:docGrid w:linePitch="360"/>
        </w:sectPr>
      </w:pPr>
    </w:p>
    <w:p w:rsidR="004B0BDA" w:rsidP="008E41E4" w:rsidRDefault="004B0BDA" w14:paraId="00AE9D55" w14:textId="24A5096B">
      <w:pPr>
        <w:spacing w:after="0" w:line="240" w:lineRule="auto"/>
        <w:rPr>
          <w:rFonts w:ascii="Palatino Linotype" w:hAnsi="Palatino Linotype"/>
          <w:b/>
          <w:bCs/>
        </w:rPr>
      </w:pPr>
      <w:r w:rsidRPr="00A679D3">
        <w:rPr>
          <w:rFonts w:ascii="Palatino Linotype" w:hAnsi="Palatino Linotype"/>
          <w:b/>
        </w:rPr>
        <w:lastRenderedPageBreak/>
        <w:t xml:space="preserve">Appendix </w:t>
      </w:r>
      <w:r w:rsidR="00157B81">
        <w:rPr>
          <w:rFonts w:ascii="Palatino Linotype" w:hAnsi="Palatino Linotype"/>
          <w:b/>
        </w:rPr>
        <w:t>F</w:t>
      </w:r>
      <w:r w:rsidRPr="00A679D3">
        <w:rPr>
          <w:rFonts w:ascii="Palatino Linotype" w:hAnsi="Palatino Linotype"/>
          <w:b/>
        </w:rPr>
        <w:t>: Compliance Assessment of A</w:t>
      </w:r>
      <w:r>
        <w:rPr>
          <w:rFonts w:ascii="Palatino Linotype" w:hAnsi="Palatino Linotype"/>
          <w:b/>
        </w:rPr>
        <w:t>dvice Letter</w:t>
      </w:r>
      <w:r w:rsidRPr="00A679D3">
        <w:rPr>
          <w:rFonts w:ascii="Palatino Linotype" w:hAnsi="Palatino Linotype"/>
          <w:b/>
        </w:rPr>
        <w:t xml:space="preserve"> 5077-G-A</w:t>
      </w:r>
    </w:p>
    <w:p w:rsidRPr="002264E3" w:rsidR="004B0BDA" w:rsidP="008E41E4" w:rsidRDefault="004B0BDA" w14:paraId="45D67622" w14:textId="35606D42">
      <w:pPr>
        <w:spacing w:line="240" w:lineRule="auto"/>
        <w:rPr>
          <w:rFonts w:ascii="Palatino Linotype" w:hAnsi="Palatino Linotype"/>
          <w:i/>
          <w:iCs/>
          <w:sz w:val="20"/>
          <w:szCs w:val="20"/>
        </w:rPr>
      </w:pPr>
      <w:r>
        <w:rPr>
          <w:rFonts w:ascii="Palatino Linotype" w:hAnsi="Palatino Linotype"/>
          <w:i/>
          <w:iCs/>
          <w:sz w:val="20"/>
          <w:szCs w:val="20"/>
        </w:rPr>
        <w:t xml:space="preserve">See </w:t>
      </w:r>
      <w:r w:rsidRPr="002264E3">
        <w:rPr>
          <w:rFonts w:ascii="Palatino Linotype" w:hAnsi="Palatino Linotype"/>
          <w:i/>
          <w:iCs/>
          <w:sz w:val="20"/>
          <w:szCs w:val="20"/>
        </w:rPr>
        <w:t xml:space="preserve">Appendix C: Guidance on Gas RD&amp;D Plans Provided to PG&amp;E During Pre-Submittal Consultation with CPUC Staff </w:t>
      </w:r>
      <w:r>
        <w:rPr>
          <w:rFonts w:ascii="Palatino Linotype" w:hAnsi="Palatino Linotype"/>
          <w:i/>
          <w:iCs/>
          <w:sz w:val="20"/>
          <w:szCs w:val="20"/>
        </w:rPr>
        <w:t>in March 2025</w:t>
      </w:r>
    </w:p>
    <w:tbl>
      <w:tblPr>
        <w:tblStyle w:val="TableGrid"/>
        <w:tblW w:w="0" w:type="auto"/>
        <w:tblLook w:val="04A0" w:firstRow="1" w:lastRow="0" w:firstColumn="1" w:lastColumn="0" w:noHBand="0" w:noVBand="1"/>
      </w:tblPr>
      <w:tblGrid>
        <w:gridCol w:w="3865"/>
        <w:gridCol w:w="4770"/>
        <w:gridCol w:w="4140"/>
      </w:tblGrid>
      <w:tr w:rsidR="00534A20" w:rsidTr="00534A20" w14:paraId="6C51D44C" w14:textId="77777777">
        <w:trPr>
          <w:trHeight w:val="638"/>
          <w:tblHeader/>
        </w:trPr>
        <w:tc>
          <w:tcPr>
            <w:tcW w:w="3865" w:type="dxa"/>
            <w:tcBorders>
              <w:top w:val="single" w:color="auto" w:sz="4" w:space="0"/>
              <w:left w:val="single" w:color="auto" w:sz="4" w:space="0"/>
              <w:bottom w:val="single" w:color="auto" w:sz="4" w:space="0"/>
              <w:right w:val="single" w:color="auto" w:sz="4" w:space="0"/>
            </w:tcBorders>
            <w:vAlign w:val="center"/>
          </w:tcPr>
          <w:p w:rsidR="004B0BDA" w:rsidRDefault="004B0BDA" w14:paraId="4F7ECF4B" w14:textId="77777777">
            <w:pPr>
              <w:rPr>
                <w:rFonts w:ascii="Palatino Linotype" w:hAnsi="Palatino Linotype"/>
                <w:b/>
                <w:bCs w:val="0"/>
                <w:sz w:val="20"/>
                <w:szCs w:val="20"/>
              </w:rPr>
            </w:pPr>
            <w:r>
              <w:rPr>
                <w:rFonts w:ascii="Palatino Linotype" w:hAnsi="Palatino Linotype"/>
                <w:b/>
                <w:bCs w:val="0"/>
                <w:sz w:val="20"/>
                <w:szCs w:val="20"/>
              </w:rPr>
              <w:t>CPUC Requirement</w:t>
            </w:r>
          </w:p>
          <w:p w:rsidRPr="003824A3" w:rsidR="004B0BDA" w:rsidRDefault="004B0BDA" w14:paraId="4EE3467D" w14:textId="77777777">
            <w:pPr>
              <w:rPr>
                <w:rFonts w:ascii="Palatino Linotype" w:hAnsi="Palatino Linotype"/>
                <w:i/>
                <w:iCs/>
                <w:sz w:val="20"/>
                <w:szCs w:val="20"/>
              </w:rPr>
            </w:pPr>
            <w:hyperlink w:history="1" r:id="rId69">
              <w:r w:rsidRPr="00E00E3C">
                <w:rPr>
                  <w:rStyle w:val="Hyperlink"/>
                  <w:rFonts w:ascii="Palatino Linotype" w:hAnsi="Palatino Linotype"/>
                  <w:i/>
                  <w:iCs/>
                  <w:sz w:val="20"/>
                  <w:szCs w:val="20"/>
                </w:rPr>
                <w:t>D.23-11-069</w:t>
              </w:r>
            </w:hyperlink>
          </w:p>
        </w:tc>
        <w:tc>
          <w:tcPr>
            <w:tcW w:w="4770" w:type="dxa"/>
            <w:tcBorders>
              <w:top w:val="single" w:color="auto" w:sz="4" w:space="0"/>
              <w:left w:val="single" w:color="auto" w:sz="4" w:space="0"/>
              <w:bottom w:val="single" w:color="auto" w:sz="4" w:space="0"/>
              <w:right w:val="single" w:color="auto" w:sz="4" w:space="0"/>
            </w:tcBorders>
            <w:vAlign w:val="center"/>
          </w:tcPr>
          <w:p w:rsidRPr="00FB1ACE" w:rsidR="004B0BDA" w:rsidRDefault="004B0BDA" w14:paraId="001405E0" w14:textId="77777777">
            <w:pPr>
              <w:rPr>
                <w:rFonts w:ascii="Palatino Linotype" w:hAnsi="Palatino Linotype"/>
                <w:b/>
                <w:bCs w:val="0"/>
                <w:sz w:val="20"/>
                <w:szCs w:val="20"/>
              </w:rPr>
            </w:pPr>
            <w:r>
              <w:rPr>
                <w:rFonts w:ascii="Palatino Linotype" w:hAnsi="Palatino Linotype"/>
                <w:b/>
                <w:bCs w:val="0"/>
                <w:sz w:val="20"/>
                <w:szCs w:val="20"/>
              </w:rPr>
              <w:t xml:space="preserve">PG&amp;E Response in </w:t>
            </w:r>
            <w:r w:rsidRPr="00FB1ACE">
              <w:rPr>
                <w:rFonts w:ascii="Palatino Linotype" w:hAnsi="Palatino Linotype"/>
                <w:b/>
                <w:bCs w:val="0"/>
                <w:sz w:val="20"/>
                <w:szCs w:val="20"/>
              </w:rPr>
              <w:t>AL 5077-G-A</w:t>
            </w:r>
          </w:p>
        </w:tc>
        <w:tc>
          <w:tcPr>
            <w:tcW w:w="4140" w:type="dxa"/>
            <w:tcBorders>
              <w:top w:val="single" w:color="auto" w:sz="8" w:space="0"/>
              <w:left w:val="single" w:color="auto" w:sz="4" w:space="0"/>
              <w:bottom w:val="single" w:color="auto" w:sz="4" w:space="0"/>
              <w:right w:val="single" w:color="auto" w:sz="4" w:space="0"/>
            </w:tcBorders>
            <w:vAlign w:val="center"/>
          </w:tcPr>
          <w:p w:rsidRPr="00FB1ACE" w:rsidR="004B0BDA" w:rsidRDefault="004B0BDA" w14:paraId="1B321B66" w14:textId="77777777">
            <w:pPr>
              <w:rPr>
                <w:rFonts w:ascii="Palatino Linotype" w:hAnsi="Palatino Linotype"/>
                <w:b/>
                <w:bCs w:val="0"/>
                <w:color w:val="EE0000"/>
                <w:sz w:val="20"/>
                <w:szCs w:val="20"/>
              </w:rPr>
            </w:pPr>
            <w:r w:rsidRPr="00496A95">
              <w:rPr>
                <w:rFonts w:ascii="Palatino Linotype" w:hAnsi="Palatino Linotype"/>
                <w:b/>
                <w:bCs w:val="0"/>
                <w:sz w:val="20"/>
                <w:szCs w:val="20"/>
              </w:rPr>
              <w:t>Compliance Assessment</w:t>
            </w:r>
          </w:p>
        </w:tc>
      </w:tr>
      <w:tr w:rsidR="00534A20" w:rsidTr="00534A20" w14:paraId="6CF8A511" w14:textId="77777777">
        <w:tc>
          <w:tcPr>
            <w:tcW w:w="3865" w:type="dxa"/>
            <w:tcBorders>
              <w:top w:val="single" w:color="auto" w:sz="4" w:space="0"/>
              <w:left w:val="single" w:color="auto" w:sz="4" w:space="0"/>
              <w:bottom w:val="single" w:color="auto" w:sz="4" w:space="0"/>
              <w:right w:val="single" w:color="auto" w:sz="4" w:space="0"/>
            </w:tcBorders>
          </w:tcPr>
          <w:p w:rsidR="004B0BDA" w:rsidRDefault="004B0BDA" w14:paraId="1A4A5096" w14:textId="77777777">
            <w:pPr>
              <w:rPr>
                <w:rFonts w:ascii="Palatino Linotype" w:hAnsi="Palatino Linotype"/>
                <w:sz w:val="20"/>
                <w:szCs w:val="20"/>
              </w:rPr>
            </w:pPr>
            <w:r w:rsidRPr="00FB1ACE">
              <w:rPr>
                <w:rFonts w:ascii="Palatino Linotype" w:hAnsi="Palatino Linotype"/>
                <w:i/>
                <w:iCs/>
                <w:sz w:val="20"/>
                <w:szCs w:val="20"/>
              </w:rPr>
              <w:t xml:space="preserve">PG&amp;E shall not record any Gas </w:t>
            </w:r>
            <w:r>
              <w:rPr>
                <w:rFonts w:ascii="Palatino Linotype" w:hAnsi="Palatino Linotype"/>
                <w:i/>
                <w:iCs/>
                <w:sz w:val="20"/>
                <w:szCs w:val="20"/>
              </w:rPr>
              <w:t>[</w:t>
            </w:r>
            <w:r w:rsidRPr="00FB1ACE">
              <w:rPr>
                <w:rFonts w:ascii="Palatino Linotype" w:hAnsi="Palatino Linotype"/>
                <w:i/>
                <w:iCs/>
                <w:sz w:val="20"/>
                <w:szCs w:val="20"/>
              </w:rPr>
              <w:t>R</w:t>
            </w:r>
            <w:r>
              <w:rPr>
                <w:rFonts w:ascii="Palatino Linotype" w:hAnsi="Palatino Linotype"/>
                <w:i/>
                <w:iCs/>
                <w:sz w:val="20"/>
                <w:szCs w:val="20"/>
              </w:rPr>
              <w:t>D</w:t>
            </w:r>
            <w:r w:rsidRPr="00FB1ACE">
              <w:rPr>
                <w:rFonts w:ascii="Palatino Linotype" w:hAnsi="Palatino Linotype"/>
                <w:i/>
                <w:iCs/>
                <w:sz w:val="20"/>
                <w:szCs w:val="20"/>
              </w:rPr>
              <w:t>&amp;D</w:t>
            </w:r>
            <w:r>
              <w:rPr>
                <w:rFonts w:ascii="Palatino Linotype" w:hAnsi="Palatino Linotype"/>
                <w:i/>
                <w:iCs/>
                <w:sz w:val="20"/>
                <w:szCs w:val="20"/>
              </w:rPr>
              <w:t xml:space="preserve">] </w:t>
            </w:r>
            <w:r w:rsidRPr="00FB1ACE">
              <w:rPr>
                <w:rFonts w:ascii="Palatino Linotype" w:hAnsi="Palatino Linotype"/>
                <w:i/>
                <w:iCs/>
                <w:sz w:val="20"/>
                <w:szCs w:val="20"/>
              </w:rPr>
              <w:t xml:space="preserve">program expenses in a one-way balancing account until an annual Tier 3 Advice </w:t>
            </w:r>
            <w:r w:rsidRPr="00BF3879">
              <w:rPr>
                <w:rFonts w:ascii="Palatino Linotype" w:hAnsi="Palatino Linotype"/>
                <w:i/>
                <w:iCs/>
                <w:color w:val="000000" w:themeColor="text1"/>
                <w:sz w:val="20"/>
                <w:szCs w:val="20"/>
              </w:rPr>
              <w:t xml:space="preserve">Letter [AL] </w:t>
            </w:r>
            <w:r w:rsidRPr="00FB1ACE">
              <w:rPr>
                <w:rFonts w:ascii="Palatino Linotype" w:hAnsi="Palatino Linotype"/>
                <w:i/>
                <w:iCs/>
                <w:sz w:val="20"/>
                <w:szCs w:val="20"/>
              </w:rPr>
              <w:t xml:space="preserve">outlining its Gas RD&amp;D budget plan is </w:t>
            </w:r>
            <w:r w:rsidRPr="004A7061">
              <w:rPr>
                <w:rFonts w:ascii="Palatino Linotype" w:hAnsi="Palatino Linotype"/>
                <w:i/>
                <w:iCs/>
                <w:sz w:val="20"/>
                <w:szCs w:val="20"/>
              </w:rPr>
              <w:t>approved</w:t>
            </w:r>
            <w:r>
              <w:rPr>
                <w:rFonts w:ascii="Palatino Linotype" w:hAnsi="Palatino Linotype"/>
                <w:i/>
                <w:iCs/>
                <w:sz w:val="20"/>
                <w:szCs w:val="20"/>
              </w:rPr>
              <w:t>.</w:t>
            </w:r>
            <w:r w:rsidRPr="004A7061">
              <w:rPr>
                <w:rStyle w:val="FootnoteReference"/>
                <w:rFonts w:ascii="Palatino Linotype" w:hAnsi="Palatino Linotype"/>
              </w:rPr>
              <w:footnoteReference w:id="122"/>
            </w:r>
            <w:r w:rsidRPr="004A7061">
              <w:rPr>
                <w:rFonts w:ascii="Palatino Linotype" w:hAnsi="Palatino Linotype"/>
                <w:sz w:val="20"/>
                <w:szCs w:val="20"/>
              </w:rPr>
              <w:t xml:space="preserve"> </w:t>
            </w:r>
          </w:p>
          <w:p w:rsidR="004B0BDA" w:rsidRDefault="004B0BDA" w14:paraId="30025067" w14:textId="77777777">
            <w:pPr>
              <w:rPr>
                <w:rFonts w:ascii="Palatino Linotype" w:hAnsi="Palatino Linotype"/>
                <w:sz w:val="20"/>
                <w:szCs w:val="20"/>
              </w:rPr>
            </w:pPr>
          </w:p>
          <w:p w:rsidRPr="00ED4893" w:rsidR="004B0BDA" w:rsidRDefault="004B0BDA" w14:paraId="63D344F3" w14:textId="77777777">
            <w:pPr>
              <w:rPr>
                <w:rFonts w:ascii="Palatino Linotype" w:hAnsi="Palatino Linotype"/>
                <w:color w:val="000000" w:themeColor="text1"/>
                <w:sz w:val="16"/>
                <w:szCs w:val="16"/>
              </w:rPr>
            </w:pPr>
            <w:r w:rsidRPr="0097414E">
              <w:rPr>
                <w:rFonts w:ascii="Palatino Linotype" w:hAnsi="Palatino Linotype" w:eastAsia="Palatino Linotype" w:cs="Times New Roman"/>
                <w:color w:val="000000" w:themeColor="text1"/>
                <w:sz w:val="20"/>
                <w:szCs w:val="20"/>
              </w:rPr>
              <w:t xml:space="preserve">D.23-11-069 approved a Test Year 2023 Gas RD&amp;D budget </w:t>
            </w:r>
            <w:r>
              <w:rPr>
                <w:rFonts w:ascii="Palatino Linotype" w:hAnsi="Palatino Linotype" w:eastAsia="Palatino Linotype" w:cs="Times New Roman"/>
                <w:color w:val="000000" w:themeColor="text1"/>
                <w:sz w:val="20"/>
                <w:szCs w:val="20"/>
              </w:rPr>
              <w:t xml:space="preserve">of $7.414 million </w:t>
            </w:r>
            <w:r w:rsidRPr="0097414E">
              <w:rPr>
                <w:rFonts w:ascii="Palatino Linotype" w:hAnsi="Palatino Linotype" w:eastAsia="Palatino Linotype" w:cs="Times New Roman"/>
                <w:color w:val="000000" w:themeColor="text1"/>
                <w:sz w:val="20"/>
                <w:szCs w:val="20"/>
              </w:rPr>
              <w:t xml:space="preserve">and escalation factor authorizing </w:t>
            </w:r>
            <w:r w:rsidRPr="009A290C">
              <w:rPr>
                <w:rFonts w:ascii="Palatino Linotype" w:hAnsi="Palatino Linotype" w:eastAsia="Palatino Linotype" w:cs="Times New Roman"/>
                <w:color w:val="000000" w:themeColor="text1"/>
                <w:sz w:val="20"/>
                <w:szCs w:val="20"/>
              </w:rPr>
              <w:t xml:space="preserve">a $8.09 million annual budget for PG&amp;E’s 2024 Plan, </w:t>
            </w:r>
            <w:r w:rsidRPr="00EA0A28">
              <w:rPr>
                <w:rFonts w:ascii="Palatino Linotype" w:hAnsi="Palatino Linotype" w:eastAsia="Palatino Linotype" w:cs="Times New Roman"/>
                <w:color w:val="000000" w:themeColor="text1"/>
                <w:sz w:val="20"/>
                <w:szCs w:val="20"/>
              </w:rPr>
              <w:t>pending Commission approval</w:t>
            </w:r>
            <w:r>
              <w:rPr>
                <w:rFonts w:ascii="Palatino Linotype" w:hAnsi="Palatino Linotype" w:eastAsia="Palatino Linotype" w:cs="Times New Roman"/>
                <w:color w:val="000000" w:themeColor="text1"/>
                <w:sz w:val="20"/>
                <w:szCs w:val="20"/>
              </w:rPr>
              <w:t>.</w:t>
            </w:r>
            <w:r>
              <w:rPr>
                <w:rStyle w:val="FootnoteReference"/>
                <w:rFonts w:ascii="Palatino Linotype" w:hAnsi="Palatino Linotype" w:eastAsia="Palatino Linotype" w:cs="Times New Roman"/>
                <w:color w:val="000000" w:themeColor="text1"/>
                <w:sz w:val="20"/>
                <w:szCs w:val="20"/>
              </w:rPr>
              <w:footnoteReference w:id="123"/>
            </w:r>
            <w:r w:rsidRPr="00EA0A28">
              <w:rPr>
                <w:rFonts w:ascii="Palatino Linotype" w:hAnsi="Palatino Linotype" w:eastAsia="Palatino Linotype" w:cs="Times New Roman"/>
                <w:color w:val="000000" w:themeColor="text1"/>
                <w:sz w:val="20"/>
                <w:szCs w:val="20"/>
              </w:rPr>
              <w:t xml:space="preserve"> </w:t>
            </w:r>
          </w:p>
        </w:tc>
        <w:tc>
          <w:tcPr>
            <w:tcW w:w="4770" w:type="dxa"/>
            <w:tcBorders>
              <w:top w:val="single" w:color="auto" w:sz="4" w:space="0"/>
              <w:left w:val="single" w:color="auto" w:sz="4" w:space="0"/>
              <w:bottom w:val="single" w:color="auto" w:sz="4" w:space="0"/>
              <w:right w:val="single" w:color="auto" w:sz="4" w:space="0"/>
            </w:tcBorders>
          </w:tcPr>
          <w:p w:rsidRPr="009A290C" w:rsidR="004B0BDA" w:rsidRDefault="004B0BDA" w14:paraId="3B090DB2" w14:textId="77777777">
            <w:pPr>
              <w:rPr>
                <w:rFonts w:ascii="Palatino Linotype" w:hAnsi="Palatino Linotype" w:eastAsia="Palatino Linotype" w:cs="Times New Roman"/>
                <w:color w:val="000000" w:themeColor="text1"/>
                <w:sz w:val="20"/>
                <w:szCs w:val="20"/>
              </w:rPr>
            </w:pPr>
            <w:r w:rsidRPr="009A290C">
              <w:rPr>
                <w:rFonts w:ascii="Palatino Linotype" w:hAnsi="Palatino Linotype" w:eastAsia="Palatino Linotype" w:cs="Times New Roman"/>
                <w:color w:val="000000" w:themeColor="text1"/>
                <w:sz w:val="20"/>
                <w:szCs w:val="20"/>
              </w:rPr>
              <w:t>PG&amp;E first submitted a Tier 3 Advice Letter (AL) with its originally proposed 2024 Gas RD&amp;D Plan (“Plan”) on July 1st, 2024. PG&amp;E later withdrew this AL on May 12th, 2025, after consultation with CPUC staff. PG&amp;E resubmitted its 2024 Plan (AL 5077-G) on June 25th, 2025, and a supplement to this Plan (AL 5077-G-A) on August 18th, 2025, with a proposed annual budget of $8.092 million.</w:t>
            </w:r>
            <w:r w:rsidRPr="009A290C">
              <w:rPr>
                <w:rStyle w:val="FootnoteReference"/>
                <w:rFonts w:ascii="Palatino Linotype" w:hAnsi="Palatino Linotype" w:eastAsia="Palatino Linotype" w:cs="Times New Roman"/>
                <w:color w:val="000000" w:themeColor="text1"/>
                <w:sz w:val="20"/>
                <w:szCs w:val="20"/>
              </w:rPr>
              <w:footnoteReference w:id="124"/>
            </w:r>
          </w:p>
          <w:p w:rsidRPr="009A290C" w:rsidR="004B0BDA" w:rsidRDefault="004B0BDA" w14:paraId="655F4353" w14:textId="77777777">
            <w:pPr>
              <w:rPr>
                <w:rFonts w:ascii="Palatino Linotype" w:hAnsi="Palatino Linotype" w:eastAsia="Palatino Linotype" w:cs="Times New Roman"/>
                <w:color w:val="000000" w:themeColor="text1"/>
                <w:sz w:val="20"/>
                <w:szCs w:val="20"/>
              </w:rPr>
            </w:pPr>
          </w:p>
          <w:p w:rsidRPr="009A290C" w:rsidR="004B0BDA" w:rsidRDefault="004B0BDA" w14:paraId="12A6A2F1" w14:textId="77777777">
            <w:pPr>
              <w:rPr>
                <w:rFonts w:ascii="Palatino Linotype" w:hAnsi="Palatino Linotype" w:eastAsia="Palatino Linotype" w:cs="Times New Roman"/>
                <w:color w:val="000000" w:themeColor="text1"/>
                <w:sz w:val="20"/>
                <w:szCs w:val="20"/>
              </w:rPr>
            </w:pPr>
            <w:r w:rsidRPr="009A290C">
              <w:rPr>
                <w:rFonts w:ascii="Palatino Linotype" w:hAnsi="Palatino Linotype" w:eastAsia="Palatino Linotype" w:cs="Times New Roman"/>
                <w:color w:val="000000" w:themeColor="text1"/>
                <w:sz w:val="20"/>
                <w:szCs w:val="20"/>
              </w:rPr>
              <w:t>PG&amp;E requests to recover $7,207,712 in expense revenue requirements in its 2024 Plan, including total actual Gas RD&amp;D (MAT GZA) expenses recorded in Calendar Years (CYs) 2023 ($3,532,835) and 2024 ($3,674,877).</w:t>
            </w:r>
            <w:r w:rsidRPr="009A290C">
              <w:rPr>
                <w:rStyle w:val="FootnoteReference"/>
                <w:rFonts w:ascii="Palatino Linotype" w:hAnsi="Palatino Linotype" w:eastAsia="Palatino Linotype" w:cs="Times New Roman"/>
                <w:color w:val="000000" w:themeColor="text1"/>
                <w:sz w:val="20"/>
                <w:szCs w:val="20"/>
              </w:rPr>
              <w:footnoteReference w:id="125"/>
            </w:r>
            <w:r w:rsidRPr="009A290C">
              <w:rPr>
                <w:rFonts w:ascii="Palatino Linotype" w:hAnsi="Palatino Linotype" w:eastAsia="Palatino Linotype" w:cs="Times New Roman"/>
                <w:color w:val="000000" w:themeColor="text1"/>
                <w:sz w:val="20"/>
                <w:szCs w:val="20"/>
              </w:rPr>
              <w:t xml:space="preserve"> In response to a CPUC Data Request issued in September 2025, PG&amp;E states that its proposed 2024 Plan was the first opportunity for PG&amp;E to submit a request for cost recovery for recorded expenses. </w:t>
            </w:r>
          </w:p>
        </w:tc>
        <w:tc>
          <w:tcPr>
            <w:tcW w:w="4140" w:type="dxa"/>
            <w:tcBorders>
              <w:top w:val="single" w:color="auto" w:sz="4" w:space="0"/>
              <w:left w:val="single" w:color="auto" w:sz="4" w:space="0"/>
              <w:bottom w:val="single" w:color="auto" w:sz="4" w:space="0"/>
              <w:right w:val="single" w:color="auto" w:sz="4" w:space="0"/>
            </w:tcBorders>
          </w:tcPr>
          <w:p w:rsidRPr="0081142C" w:rsidR="004B0BDA" w:rsidRDefault="004B0BDA" w14:paraId="1DC5BE96" w14:textId="3880895C">
            <w:pPr>
              <w:rPr>
                <w:rFonts w:ascii="Palatino Linotype" w:hAnsi="Palatino Linotype"/>
                <w:color w:val="000000" w:themeColor="text1"/>
                <w:sz w:val="20"/>
                <w:szCs w:val="20"/>
              </w:rPr>
            </w:pPr>
            <w:r w:rsidRPr="009A290C">
              <w:rPr>
                <w:rFonts w:ascii="Palatino Linotype" w:hAnsi="Palatino Linotype"/>
                <w:color w:val="000000" w:themeColor="text1"/>
                <w:sz w:val="20"/>
                <w:szCs w:val="20"/>
              </w:rPr>
              <w:t>PG&amp;E’s request for approval of its 2024 Plan via Tier 3 AL with an annual budget of $8.092 million</w:t>
            </w:r>
            <w:r w:rsidRPr="009A290C">
              <w:rPr>
                <w:rFonts w:ascii="Palatino Linotype" w:hAnsi="Palatino Linotype"/>
                <w:b/>
                <w:bCs w:val="0"/>
                <w:color w:val="000000" w:themeColor="text1"/>
                <w:sz w:val="20"/>
                <w:szCs w:val="20"/>
              </w:rPr>
              <w:t xml:space="preserve"> </w:t>
            </w:r>
            <w:r w:rsidRPr="009A290C">
              <w:rPr>
                <w:rFonts w:ascii="Palatino Linotype" w:hAnsi="Palatino Linotype"/>
                <w:color w:val="000000" w:themeColor="text1"/>
                <w:sz w:val="20"/>
                <w:szCs w:val="20"/>
              </w:rPr>
              <w:t xml:space="preserve">is compliant with this </w:t>
            </w:r>
            <w:r w:rsidRPr="0081142C">
              <w:rPr>
                <w:rFonts w:ascii="Palatino Linotype" w:hAnsi="Palatino Linotype"/>
                <w:color w:val="000000" w:themeColor="text1"/>
                <w:sz w:val="20"/>
                <w:szCs w:val="20"/>
              </w:rPr>
              <w:t xml:space="preserve">requirement. </w:t>
            </w:r>
            <w:r w:rsidRPr="0081142C" w:rsidR="43EB444F">
              <w:rPr>
                <w:rFonts w:ascii="Palatino Linotype" w:hAnsi="Palatino Linotype"/>
                <w:color w:val="000000" w:themeColor="text1"/>
                <w:sz w:val="20"/>
                <w:szCs w:val="20"/>
              </w:rPr>
              <w:t>However, the sum of PG&amp;E’s budget allocations do</w:t>
            </w:r>
            <w:r w:rsidRPr="0081142C" w:rsidR="00A64F1A">
              <w:rPr>
                <w:rFonts w:ascii="Palatino Linotype" w:hAnsi="Palatino Linotype"/>
                <w:color w:val="000000" w:themeColor="text1"/>
                <w:sz w:val="20"/>
                <w:szCs w:val="20"/>
              </w:rPr>
              <w:t>es</w:t>
            </w:r>
            <w:r w:rsidRPr="0081142C" w:rsidR="43EB444F">
              <w:rPr>
                <w:rFonts w:ascii="Palatino Linotype" w:hAnsi="Palatino Linotype"/>
                <w:color w:val="000000" w:themeColor="text1"/>
                <w:sz w:val="20"/>
                <w:szCs w:val="20"/>
              </w:rPr>
              <w:t xml:space="preserve"> not equal the total proposed budget. </w:t>
            </w:r>
          </w:p>
          <w:p w:rsidRPr="0081142C" w:rsidR="004B0BDA" w:rsidRDefault="004B0BDA" w14:paraId="462D3B76" w14:textId="77777777">
            <w:pPr>
              <w:rPr>
                <w:rFonts w:ascii="Palatino Linotype" w:hAnsi="Palatino Linotype"/>
                <w:color w:val="000000" w:themeColor="text1"/>
                <w:sz w:val="20"/>
                <w:szCs w:val="20"/>
              </w:rPr>
            </w:pPr>
          </w:p>
          <w:p w:rsidRPr="009A290C" w:rsidR="004B0BDA" w:rsidRDefault="00596AF8" w14:paraId="504EF5D5" w14:textId="1D74784A">
            <w:pPr>
              <w:rPr>
                <w:rFonts w:ascii="Palatino Linotype" w:hAnsi="Palatino Linotype"/>
                <w:b/>
                <w:bCs w:val="0"/>
                <w:color w:val="000000" w:themeColor="text1"/>
                <w:sz w:val="20"/>
                <w:szCs w:val="20"/>
              </w:rPr>
            </w:pPr>
            <w:r w:rsidRPr="0081142C">
              <w:rPr>
                <w:rFonts w:ascii="Palatino Linotype" w:hAnsi="Palatino Linotype"/>
                <w:color w:val="000000" w:themeColor="text1"/>
                <w:sz w:val="20"/>
                <w:szCs w:val="20"/>
              </w:rPr>
              <w:t>PG&amp;E did</w:t>
            </w:r>
            <w:r w:rsidRPr="0081142C" w:rsidR="004B0BDA">
              <w:rPr>
                <w:rFonts w:ascii="Palatino Linotype" w:hAnsi="Palatino Linotype"/>
                <w:color w:val="000000" w:themeColor="text1"/>
                <w:sz w:val="20"/>
                <w:szCs w:val="20"/>
              </w:rPr>
              <w:t xml:space="preserve"> not </w:t>
            </w:r>
            <w:r w:rsidRPr="0081142C">
              <w:rPr>
                <w:rFonts w:ascii="Palatino Linotype" w:hAnsi="Palatino Linotype"/>
                <w:color w:val="000000" w:themeColor="text1"/>
                <w:sz w:val="20"/>
                <w:szCs w:val="20"/>
              </w:rPr>
              <w:t xml:space="preserve">submit a Tier 3 AL </w:t>
            </w:r>
            <w:r w:rsidRPr="0081142C" w:rsidR="00D7424E">
              <w:rPr>
                <w:rFonts w:ascii="Palatino Linotype" w:hAnsi="Palatino Linotype"/>
                <w:color w:val="000000" w:themeColor="text1"/>
                <w:sz w:val="20"/>
                <w:szCs w:val="20"/>
              </w:rPr>
              <w:t>with a</w:t>
            </w:r>
            <w:r w:rsidRPr="0081142C">
              <w:rPr>
                <w:rFonts w:ascii="Palatino Linotype" w:hAnsi="Palatino Linotype"/>
                <w:color w:val="000000" w:themeColor="text1"/>
                <w:sz w:val="20"/>
                <w:szCs w:val="20"/>
              </w:rPr>
              <w:t xml:space="preserve"> Gas RD&amp;D Plan associated with these costs for </w:t>
            </w:r>
            <w:r w:rsidRPr="0081142C" w:rsidR="004B0BDA">
              <w:rPr>
                <w:rFonts w:ascii="Palatino Linotype" w:hAnsi="Palatino Linotype"/>
                <w:color w:val="000000" w:themeColor="text1"/>
                <w:sz w:val="20"/>
                <w:szCs w:val="20"/>
              </w:rPr>
              <w:t>Commission</w:t>
            </w:r>
            <w:r w:rsidRPr="0081142C" w:rsidDel="00596AF8" w:rsidR="004B0BDA">
              <w:rPr>
                <w:rFonts w:ascii="Palatino Linotype" w:hAnsi="Palatino Linotype"/>
                <w:color w:val="000000" w:themeColor="text1"/>
                <w:sz w:val="20"/>
                <w:szCs w:val="20"/>
              </w:rPr>
              <w:t xml:space="preserve"> </w:t>
            </w:r>
            <w:r w:rsidRPr="0081142C" w:rsidR="004B0BDA">
              <w:rPr>
                <w:rFonts w:ascii="Palatino Linotype" w:hAnsi="Palatino Linotype"/>
                <w:color w:val="000000" w:themeColor="text1"/>
                <w:sz w:val="20"/>
                <w:szCs w:val="20"/>
              </w:rPr>
              <w:t>approv</w:t>
            </w:r>
            <w:r w:rsidRPr="0081142C">
              <w:rPr>
                <w:rFonts w:ascii="Palatino Linotype" w:hAnsi="Palatino Linotype"/>
                <w:color w:val="000000" w:themeColor="text1"/>
                <w:sz w:val="20"/>
                <w:szCs w:val="20"/>
              </w:rPr>
              <w:t>al</w:t>
            </w:r>
            <w:r w:rsidRPr="0081142C" w:rsidR="00D7424E">
              <w:rPr>
                <w:rFonts w:ascii="Palatino Linotype" w:hAnsi="Palatino Linotype"/>
                <w:color w:val="000000" w:themeColor="text1"/>
                <w:sz w:val="20"/>
                <w:szCs w:val="20"/>
              </w:rPr>
              <w:t>.</w:t>
            </w:r>
            <w:r w:rsidRPr="0081142C" w:rsidR="004B0BDA">
              <w:rPr>
                <w:rFonts w:ascii="Palatino Linotype" w:hAnsi="Palatino Linotype"/>
                <w:color w:val="000000" w:themeColor="text1"/>
                <w:sz w:val="20"/>
                <w:szCs w:val="20"/>
              </w:rPr>
              <w:t xml:space="preserve"> </w:t>
            </w:r>
            <w:r w:rsidRPr="0081142C" w:rsidR="00E751B1">
              <w:rPr>
                <w:rFonts w:ascii="Palatino Linotype" w:hAnsi="Palatino Linotype"/>
                <w:color w:val="000000" w:themeColor="text1"/>
                <w:sz w:val="20"/>
                <w:szCs w:val="20"/>
              </w:rPr>
              <w:t>T</w:t>
            </w:r>
            <w:r w:rsidRPr="0081142C" w:rsidR="004B0BDA">
              <w:rPr>
                <w:rFonts w:ascii="Palatino Linotype" w:hAnsi="Palatino Linotype"/>
                <w:color w:val="000000" w:themeColor="text1"/>
                <w:sz w:val="20"/>
                <w:szCs w:val="20"/>
              </w:rPr>
              <w:t xml:space="preserve">herefore PG&amp;E </w:t>
            </w:r>
            <w:r w:rsidRPr="0081142C" w:rsidR="00E751B1">
              <w:rPr>
                <w:rFonts w:ascii="Palatino Linotype" w:hAnsi="Palatino Linotype"/>
                <w:color w:val="000000" w:themeColor="text1"/>
                <w:sz w:val="20"/>
                <w:szCs w:val="20"/>
              </w:rPr>
              <w:t>i</w:t>
            </w:r>
            <w:r w:rsidRPr="0081142C" w:rsidR="004B0BDA">
              <w:rPr>
                <w:rFonts w:ascii="Palatino Linotype" w:hAnsi="Palatino Linotype"/>
                <w:color w:val="000000" w:themeColor="text1"/>
                <w:sz w:val="20"/>
                <w:szCs w:val="20"/>
              </w:rPr>
              <w:t xml:space="preserve">s not authorized to record Gas RD&amp;D expenses in a one-way balancing account. </w:t>
            </w:r>
            <w:r w:rsidRPr="009A290C" w:rsidR="004B0BDA">
              <w:rPr>
                <w:rFonts w:ascii="Palatino Linotype" w:hAnsi="Palatino Linotype"/>
                <w:b/>
                <w:bCs w:val="0"/>
                <w:color w:val="000000" w:themeColor="text1"/>
                <w:sz w:val="20"/>
                <w:szCs w:val="20"/>
              </w:rPr>
              <w:t>PG&amp;E’s cost recovery request for $7,207,712</w:t>
            </w:r>
            <w:r w:rsidRPr="009A290C" w:rsidR="004B0BDA">
              <w:rPr>
                <w:rFonts w:ascii="Palatino Linotype" w:hAnsi="Palatino Linotype"/>
                <w:color w:val="000000" w:themeColor="text1"/>
                <w:sz w:val="20"/>
                <w:szCs w:val="20"/>
              </w:rPr>
              <w:t xml:space="preserve"> </w:t>
            </w:r>
            <w:r w:rsidRPr="009A290C" w:rsidR="004B0BDA">
              <w:rPr>
                <w:rFonts w:ascii="Palatino Linotype" w:hAnsi="Palatino Linotype"/>
                <w:b/>
                <w:bCs w:val="0"/>
                <w:color w:val="000000" w:themeColor="text1"/>
                <w:sz w:val="20"/>
                <w:szCs w:val="20"/>
              </w:rPr>
              <w:t>is not compliant with this requirement.</w:t>
            </w:r>
          </w:p>
          <w:p w:rsidRPr="009A290C" w:rsidR="004B0BDA" w:rsidRDefault="004B0BDA" w14:paraId="0039CFAA" w14:textId="77777777">
            <w:pPr>
              <w:rPr>
                <w:rFonts w:ascii="Palatino Linotype" w:hAnsi="Palatino Linotype"/>
                <w:b/>
                <w:bCs w:val="0"/>
                <w:color w:val="000000" w:themeColor="text1"/>
                <w:sz w:val="20"/>
                <w:szCs w:val="20"/>
              </w:rPr>
            </w:pPr>
          </w:p>
          <w:p w:rsidRPr="009A290C" w:rsidR="004B0BDA" w:rsidRDefault="004B0BDA" w14:paraId="44E053B8" w14:textId="77777777">
            <w:pPr>
              <w:rPr>
                <w:rFonts w:ascii="Palatino Linotype" w:hAnsi="Palatino Linotype"/>
                <w:color w:val="000000" w:themeColor="text1"/>
                <w:sz w:val="20"/>
                <w:szCs w:val="20"/>
              </w:rPr>
            </w:pPr>
          </w:p>
        </w:tc>
      </w:tr>
      <w:tr w:rsidR="00534A20" w:rsidTr="00534A20" w14:paraId="3323CC96" w14:textId="77777777">
        <w:tc>
          <w:tcPr>
            <w:tcW w:w="3865" w:type="dxa"/>
            <w:tcBorders>
              <w:top w:val="single" w:color="auto" w:sz="4" w:space="0"/>
              <w:left w:val="single" w:color="auto" w:sz="4" w:space="0"/>
              <w:bottom w:val="single" w:color="auto" w:sz="4" w:space="0"/>
              <w:right w:val="single" w:color="auto" w:sz="4" w:space="0"/>
            </w:tcBorders>
          </w:tcPr>
          <w:p w:rsidRPr="00637336" w:rsidR="004B0BDA" w:rsidRDefault="004B0BDA" w14:paraId="19E162A2" w14:textId="77777777">
            <w:pPr>
              <w:rPr>
                <w:rFonts w:ascii="Palatino Linotype" w:hAnsi="Palatino Linotype"/>
                <w:sz w:val="20"/>
                <w:szCs w:val="20"/>
              </w:rPr>
            </w:pPr>
            <w:r>
              <w:rPr>
                <w:rFonts w:ascii="Palatino Linotype" w:hAnsi="Palatino Linotype"/>
                <w:i/>
                <w:iCs/>
                <w:sz w:val="20"/>
                <w:szCs w:val="20"/>
              </w:rPr>
              <w:t xml:space="preserve">(1) </w:t>
            </w:r>
            <w:r w:rsidRPr="007B0EE4">
              <w:rPr>
                <w:rFonts w:ascii="Palatino Linotype" w:hAnsi="Palatino Linotype"/>
                <w:i/>
                <w:iCs/>
                <w:sz w:val="20"/>
                <w:szCs w:val="20"/>
              </w:rPr>
              <w:t>The annual research plan should detail budgets broken</w:t>
            </w:r>
            <w:r w:rsidRPr="00FB1ACE">
              <w:rPr>
                <w:rFonts w:ascii="Palatino Linotype" w:hAnsi="Palatino Linotype"/>
                <w:i/>
                <w:iCs/>
                <w:sz w:val="20"/>
                <w:szCs w:val="20"/>
              </w:rPr>
              <w:t xml:space="preserve"> </w:t>
            </w:r>
            <w:r w:rsidRPr="007B0EE4">
              <w:rPr>
                <w:rFonts w:ascii="Palatino Linotype" w:hAnsi="Palatino Linotype"/>
                <w:i/>
                <w:iCs/>
                <w:sz w:val="20"/>
                <w:szCs w:val="20"/>
              </w:rPr>
              <w:t>down by research</w:t>
            </w:r>
            <w:r w:rsidRPr="00FB1ACE">
              <w:rPr>
                <w:rFonts w:ascii="Palatino Linotype" w:hAnsi="Palatino Linotype"/>
                <w:i/>
                <w:iCs/>
                <w:sz w:val="20"/>
                <w:szCs w:val="20"/>
              </w:rPr>
              <w:t xml:space="preserve"> </w:t>
            </w:r>
            <w:r w:rsidRPr="007B0EE4">
              <w:rPr>
                <w:rFonts w:ascii="Palatino Linotype" w:hAnsi="Palatino Linotype"/>
                <w:i/>
                <w:iCs/>
                <w:sz w:val="20"/>
                <w:szCs w:val="20"/>
              </w:rPr>
              <w:t>sub-program area and</w:t>
            </w:r>
            <w:r w:rsidRPr="00FB1ACE">
              <w:rPr>
                <w:rFonts w:ascii="Palatino Linotype" w:hAnsi="Palatino Linotype"/>
                <w:i/>
                <w:iCs/>
                <w:sz w:val="20"/>
                <w:szCs w:val="20"/>
              </w:rPr>
              <w:t xml:space="preserve"> </w:t>
            </w:r>
            <w:r w:rsidRPr="007B0EE4">
              <w:rPr>
                <w:rFonts w:ascii="Palatino Linotype" w:hAnsi="Palatino Linotype"/>
                <w:i/>
                <w:iCs/>
                <w:sz w:val="20"/>
                <w:szCs w:val="20"/>
              </w:rPr>
              <w:t>explain how the</w:t>
            </w:r>
            <w:r w:rsidRPr="00FB1ACE">
              <w:rPr>
                <w:rFonts w:ascii="Palatino Linotype" w:hAnsi="Palatino Linotype"/>
                <w:i/>
                <w:iCs/>
                <w:sz w:val="20"/>
                <w:szCs w:val="20"/>
              </w:rPr>
              <w:t xml:space="preserve"> </w:t>
            </w:r>
            <w:r w:rsidRPr="007B0EE4">
              <w:rPr>
                <w:rFonts w:ascii="Palatino Linotype" w:hAnsi="Palatino Linotype"/>
                <w:i/>
                <w:iCs/>
                <w:sz w:val="20"/>
                <w:szCs w:val="20"/>
              </w:rPr>
              <w:t>projects</w:t>
            </w:r>
            <w:r w:rsidRPr="00FB1ACE">
              <w:rPr>
                <w:rFonts w:ascii="Palatino Linotype" w:hAnsi="Palatino Linotype"/>
                <w:i/>
                <w:iCs/>
                <w:sz w:val="20"/>
                <w:szCs w:val="20"/>
              </w:rPr>
              <w:t xml:space="preserve"> </w:t>
            </w:r>
            <w:r w:rsidRPr="007B0EE4">
              <w:rPr>
                <w:rFonts w:ascii="Palatino Linotype" w:hAnsi="Palatino Linotype"/>
                <w:i/>
                <w:iCs/>
                <w:sz w:val="20"/>
                <w:szCs w:val="20"/>
              </w:rPr>
              <w:t>improve reliability, safety,</w:t>
            </w:r>
            <w:r w:rsidRPr="00FB1ACE">
              <w:rPr>
                <w:rFonts w:ascii="Palatino Linotype" w:hAnsi="Palatino Linotype"/>
                <w:i/>
                <w:iCs/>
                <w:sz w:val="20"/>
                <w:szCs w:val="20"/>
              </w:rPr>
              <w:t xml:space="preserve"> </w:t>
            </w:r>
            <w:r w:rsidRPr="007B0EE4">
              <w:rPr>
                <w:rFonts w:ascii="Palatino Linotype" w:hAnsi="Palatino Linotype"/>
                <w:i/>
                <w:iCs/>
                <w:sz w:val="20"/>
                <w:szCs w:val="20"/>
              </w:rPr>
              <w:t>equity,</w:t>
            </w:r>
            <w:r>
              <w:rPr>
                <w:rFonts w:ascii="Palatino Linotype" w:hAnsi="Palatino Linotype"/>
                <w:i/>
                <w:iCs/>
                <w:sz w:val="20"/>
                <w:szCs w:val="20"/>
              </w:rPr>
              <w:t xml:space="preserve"> </w:t>
            </w:r>
            <w:r w:rsidRPr="007B0EE4">
              <w:rPr>
                <w:rFonts w:ascii="Palatino Linotype" w:hAnsi="Palatino Linotype"/>
                <w:i/>
                <w:iCs/>
                <w:sz w:val="20"/>
                <w:szCs w:val="20"/>
              </w:rPr>
              <w:lastRenderedPageBreak/>
              <w:t>affordability,</w:t>
            </w:r>
            <w:r w:rsidRPr="00FB1ACE">
              <w:rPr>
                <w:rFonts w:ascii="Palatino Linotype" w:hAnsi="Palatino Linotype"/>
                <w:i/>
                <w:iCs/>
                <w:sz w:val="20"/>
                <w:szCs w:val="20"/>
              </w:rPr>
              <w:t xml:space="preserve"> </w:t>
            </w:r>
            <w:r w:rsidRPr="007B0EE4">
              <w:rPr>
                <w:rFonts w:ascii="Palatino Linotype" w:hAnsi="Palatino Linotype"/>
                <w:i/>
                <w:iCs/>
                <w:sz w:val="20"/>
                <w:szCs w:val="20"/>
              </w:rPr>
              <w:t>and</w:t>
            </w:r>
            <w:r w:rsidRPr="00FB1ACE">
              <w:rPr>
                <w:rFonts w:ascii="Palatino Linotype" w:hAnsi="Palatino Linotype"/>
                <w:i/>
                <w:iCs/>
                <w:sz w:val="20"/>
                <w:szCs w:val="20"/>
              </w:rPr>
              <w:t xml:space="preserve"> </w:t>
            </w:r>
            <w:r w:rsidRPr="007B0EE4">
              <w:rPr>
                <w:rFonts w:ascii="Palatino Linotype" w:hAnsi="Palatino Linotype"/>
                <w:i/>
                <w:iCs/>
                <w:sz w:val="20"/>
                <w:szCs w:val="20"/>
              </w:rPr>
              <w:t>environmental benefits,</w:t>
            </w:r>
            <w:r w:rsidRPr="00FB1ACE">
              <w:rPr>
                <w:rFonts w:ascii="Palatino Linotype" w:hAnsi="Palatino Linotype"/>
                <w:i/>
                <w:iCs/>
                <w:sz w:val="20"/>
                <w:szCs w:val="20"/>
              </w:rPr>
              <w:t xml:space="preserve"> </w:t>
            </w:r>
            <w:r w:rsidRPr="00554A92">
              <w:rPr>
                <w:rFonts w:ascii="Palatino Linotype" w:hAnsi="Palatino Linotype"/>
                <w:i/>
                <w:iCs/>
                <w:sz w:val="20"/>
                <w:szCs w:val="20"/>
              </w:rPr>
              <w:t>and incorporates input from key stakeholders</w:t>
            </w:r>
            <w:r w:rsidRPr="007B0EE4">
              <w:rPr>
                <w:rFonts w:ascii="Palatino Linotype" w:hAnsi="Palatino Linotype"/>
                <w:i/>
                <w:iCs/>
                <w:sz w:val="20"/>
                <w:szCs w:val="20"/>
              </w:rPr>
              <w:t>,</w:t>
            </w:r>
            <w:r w:rsidRPr="00FB1ACE">
              <w:rPr>
                <w:rFonts w:ascii="Palatino Linotype" w:hAnsi="Palatino Linotype"/>
                <w:i/>
                <w:iCs/>
                <w:sz w:val="20"/>
                <w:szCs w:val="20"/>
              </w:rPr>
              <w:t xml:space="preserve"> </w:t>
            </w:r>
            <w:r w:rsidRPr="007B0EE4">
              <w:rPr>
                <w:rFonts w:ascii="Palatino Linotype" w:hAnsi="Palatino Linotype"/>
                <w:i/>
                <w:iCs/>
                <w:sz w:val="20"/>
                <w:szCs w:val="20"/>
              </w:rPr>
              <w:t>such as the Disadvantaged</w:t>
            </w:r>
            <w:r w:rsidRPr="00FB1ACE">
              <w:rPr>
                <w:rFonts w:ascii="Palatino Linotype" w:hAnsi="Palatino Linotype"/>
                <w:i/>
                <w:iCs/>
                <w:sz w:val="20"/>
                <w:szCs w:val="20"/>
              </w:rPr>
              <w:t xml:space="preserve"> Communities Advisory Group</w:t>
            </w:r>
            <w:r>
              <w:rPr>
                <w:rFonts w:ascii="Palatino Linotype" w:hAnsi="Palatino Linotype"/>
                <w:i/>
                <w:iCs/>
                <w:sz w:val="20"/>
                <w:szCs w:val="20"/>
              </w:rPr>
              <w:t>.</w:t>
            </w:r>
            <w:r>
              <w:rPr>
                <w:rStyle w:val="FootnoteReference"/>
                <w:rFonts w:ascii="Palatino Linotype" w:hAnsi="Palatino Linotype"/>
                <w:i/>
                <w:iCs/>
                <w:sz w:val="20"/>
                <w:szCs w:val="20"/>
              </w:rPr>
              <w:footnoteReference w:id="126"/>
            </w:r>
          </w:p>
        </w:tc>
        <w:tc>
          <w:tcPr>
            <w:tcW w:w="4770" w:type="dxa"/>
            <w:tcBorders>
              <w:top w:val="single" w:color="auto" w:sz="4" w:space="0"/>
              <w:left w:val="single" w:color="auto" w:sz="4" w:space="0"/>
              <w:bottom w:val="single" w:color="auto" w:sz="4" w:space="0"/>
              <w:right w:val="single" w:color="auto" w:sz="4" w:space="0"/>
            </w:tcBorders>
          </w:tcPr>
          <w:p w:rsidRPr="00AB3AB6" w:rsidR="004B0BDA" w:rsidRDefault="004B0BDA" w14:paraId="7691923A" w14:textId="77777777">
            <w:pPr>
              <w:rPr>
                <w:rFonts w:ascii="Palatino Linotype" w:hAnsi="Palatino Linotype"/>
                <w:sz w:val="20"/>
                <w:szCs w:val="20"/>
              </w:rPr>
            </w:pPr>
            <w:r w:rsidRPr="004A6DF8">
              <w:rPr>
                <w:rFonts w:ascii="Palatino Linotype" w:hAnsi="Palatino Linotype"/>
                <w:sz w:val="20"/>
                <w:szCs w:val="20"/>
              </w:rPr>
              <w:lastRenderedPageBreak/>
              <w:t>PG&amp;E proposes budget allocations broken down by Initiatives within each Investment Theme</w:t>
            </w:r>
            <w:r>
              <w:rPr>
                <w:rFonts w:ascii="Palatino Linotype" w:hAnsi="Palatino Linotype"/>
                <w:sz w:val="20"/>
                <w:szCs w:val="20"/>
              </w:rPr>
              <w:t>:</w:t>
            </w:r>
            <w:r>
              <w:rPr>
                <w:rStyle w:val="FootnoteReference"/>
                <w:rFonts w:ascii="Palatino Linotype" w:hAnsi="Palatino Linotype"/>
                <w:sz w:val="20"/>
                <w:szCs w:val="20"/>
              </w:rPr>
              <w:footnoteReference w:id="127"/>
            </w:r>
            <w:r w:rsidRPr="004A6DF8">
              <w:rPr>
                <w:rFonts w:ascii="Palatino Linotype" w:hAnsi="Palatino Linotype"/>
                <w:sz w:val="20"/>
                <w:szCs w:val="20"/>
              </w:rPr>
              <w:t xml:space="preserve"> </w:t>
            </w:r>
            <w:r w:rsidRPr="004A6DF8">
              <w:rPr>
                <w:rFonts w:ascii="Palatino Linotype" w:hAnsi="Palatino Linotype"/>
                <w:sz w:val="20"/>
                <w:szCs w:val="20"/>
              </w:rPr>
              <w:lastRenderedPageBreak/>
              <w:t>Gas System Integrity</w:t>
            </w:r>
            <w:r>
              <w:rPr>
                <w:rStyle w:val="FootnoteReference"/>
                <w:rFonts w:ascii="Palatino Linotype" w:hAnsi="Palatino Linotype"/>
                <w:sz w:val="20"/>
                <w:szCs w:val="20"/>
              </w:rPr>
              <w:footnoteReference w:id="128"/>
            </w:r>
            <w:r w:rsidRPr="004A6DF8">
              <w:rPr>
                <w:rFonts w:ascii="Palatino Linotype" w:hAnsi="Palatino Linotype"/>
                <w:sz w:val="20"/>
                <w:szCs w:val="20"/>
              </w:rPr>
              <w:t xml:space="preserve"> and Decarbonization.</w:t>
            </w:r>
            <w:r>
              <w:rPr>
                <w:rStyle w:val="FootnoteReference"/>
                <w:rFonts w:ascii="Palatino Linotype" w:hAnsi="Palatino Linotype"/>
                <w:sz w:val="20"/>
                <w:szCs w:val="20"/>
              </w:rPr>
              <w:footnoteReference w:id="129"/>
            </w:r>
            <w:r w:rsidRPr="004A6DF8">
              <w:rPr>
                <w:rFonts w:ascii="Palatino Linotype" w:hAnsi="Palatino Linotype"/>
                <w:sz w:val="20"/>
                <w:szCs w:val="20"/>
              </w:rPr>
              <w:t xml:space="preserve"> </w:t>
            </w:r>
            <w:r w:rsidRPr="0023376A">
              <w:rPr>
                <w:rFonts w:ascii="Palatino Linotype" w:hAnsi="Palatino Linotype"/>
                <w:color w:val="000000" w:themeColor="text1"/>
                <w:sz w:val="20"/>
                <w:szCs w:val="20"/>
              </w:rPr>
              <w:t xml:space="preserve">The purpose and content of the provided </w:t>
            </w:r>
            <w:r w:rsidRPr="0023376A">
              <w:rPr>
                <w:rFonts w:ascii="Palatino Linotype" w:hAnsi="Palatino Linotype" w:eastAsia="Palatino Linotype" w:cs="Times New Roman"/>
                <w:color w:val="000000" w:themeColor="text1"/>
                <w:sz w:val="20"/>
                <w:szCs w:val="20"/>
              </w:rPr>
              <w:t>Gas RD&amp;D Project List as it relates to the proposed 2024 Plan is unclear</w:t>
            </w:r>
            <w:r w:rsidRPr="009A290C">
              <w:rPr>
                <w:rFonts w:ascii="Palatino Linotype" w:hAnsi="Palatino Linotype" w:eastAsia="Palatino Linotype" w:cs="Times New Roman"/>
                <w:color w:val="000000" w:themeColor="text1"/>
                <w:sz w:val="20"/>
                <w:szCs w:val="20"/>
              </w:rPr>
              <w:t xml:space="preserve">. </w:t>
            </w:r>
            <w:r w:rsidRPr="009A290C">
              <w:rPr>
                <w:rFonts w:ascii="Palatino Linotype" w:hAnsi="Palatino Linotype"/>
                <w:color w:val="000000" w:themeColor="text1"/>
                <w:sz w:val="20"/>
                <w:szCs w:val="20"/>
              </w:rPr>
              <w:t>PG&amp;E discusses a Sustainable Energy Solutions Initiative and lists 18 associated projects,</w:t>
            </w:r>
            <w:r w:rsidRPr="009A290C">
              <w:rPr>
                <w:rStyle w:val="FootnoteReference"/>
                <w:rFonts w:ascii="Palatino Linotype" w:hAnsi="Palatino Linotype"/>
                <w:color w:val="000000" w:themeColor="text1"/>
                <w:sz w:val="20"/>
                <w:szCs w:val="20"/>
              </w:rPr>
              <w:footnoteReference w:id="130"/>
            </w:r>
            <w:r w:rsidRPr="009A290C">
              <w:rPr>
                <w:rFonts w:ascii="Palatino Linotype" w:hAnsi="Palatino Linotype"/>
                <w:color w:val="000000" w:themeColor="text1"/>
                <w:sz w:val="20"/>
                <w:szCs w:val="20"/>
              </w:rPr>
              <w:t xml:space="preserve"> however, does not allocate funding to this Initiative.</w:t>
            </w:r>
            <w:r w:rsidRPr="009A290C">
              <w:rPr>
                <w:rFonts w:ascii="Palatino Linotype" w:hAnsi="Palatino Linotype" w:eastAsia="Palatino Linotype" w:cs="Times New Roman"/>
                <w:color w:val="000000" w:themeColor="text1"/>
                <w:sz w:val="20"/>
                <w:szCs w:val="20"/>
              </w:rPr>
              <w:t xml:space="preserve"> PG&amp;E proposes to allocate $594,126 to the Proactive Geohazard Risk Management Initiative</w:t>
            </w:r>
            <w:r w:rsidRPr="009A290C">
              <w:rPr>
                <w:rStyle w:val="FootnoteReference"/>
                <w:rFonts w:ascii="Palatino Linotype" w:hAnsi="Palatino Linotype" w:eastAsia="Palatino Linotype" w:cs="Times New Roman"/>
                <w:color w:val="000000" w:themeColor="text1"/>
                <w:sz w:val="20"/>
                <w:szCs w:val="20"/>
              </w:rPr>
              <w:footnoteReference w:id="131"/>
            </w:r>
            <w:r w:rsidRPr="009A290C">
              <w:rPr>
                <w:rFonts w:ascii="Palatino Linotype" w:hAnsi="Palatino Linotype" w:eastAsia="Palatino Linotype" w:cs="Times New Roman"/>
                <w:color w:val="000000" w:themeColor="text1"/>
                <w:sz w:val="20"/>
                <w:szCs w:val="20"/>
              </w:rPr>
              <w:t xml:space="preserve"> but only lists one associated project, which is marked as “Completed” and has $0 proposed for 2024.</w:t>
            </w:r>
            <w:r w:rsidRPr="009A290C">
              <w:rPr>
                <w:rStyle w:val="FootnoteReference"/>
                <w:rFonts w:ascii="Palatino Linotype" w:hAnsi="Palatino Linotype" w:eastAsia="Palatino Linotype" w:cs="Times New Roman"/>
                <w:color w:val="000000" w:themeColor="text1"/>
                <w:sz w:val="20"/>
                <w:szCs w:val="20"/>
              </w:rPr>
              <w:footnoteReference w:id="132"/>
            </w:r>
            <w:r w:rsidRPr="009A290C">
              <w:rPr>
                <w:rFonts w:ascii="Palatino Linotype" w:hAnsi="Palatino Linotype" w:eastAsia="Palatino Linotype" w:cs="Times New Roman"/>
                <w:color w:val="000000" w:themeColor="text1"/>
                <w:sz w:val="20"/>
                <w:szCs w:val="20"/>
              </w:rPr>
              <w:t xml:space="preserve"> </w:t>
            </w:r>
            <w:r w:rsidRPr="009A290C">
              <w:rPr>
                <w:rFonts w:ascii="Palatino Linotype" w:hAnsi="Palatino Linotype"/>
                <w:color w:val="000000" w:themeColor="text1"/>
                <w:sz w:val="20"/>
                <w:szCs w:val="20"/>
              </w:rPr>
              <w:t>PG</w:t>
            </w:r>
            <w:r w:rsidRPr="00965496">
              <w:rPr>
                <w:rFonts w:ascii="Palatino Linotype" w:hAnsi="Palatino Linotype"/>
                <w:color w:val="000000" w:themeColor="text1"/>
                <w:sz w:val="20"/>
                <w:szCs w:val="20"/>
              </w:rPr>
              <w:t>&amp;E describes how it seeks to provide reliability, safety, equity, affordability, and environmental benefits through projects within each Investment Theme</w:t>
            </w:r>
            <w:r w:rsidRPr="00731902">
              <w:rPr>
                <w:rFonts w:ascii="Palatino Linotype" w:hAnsi="Palatino Linotype"/>
                <w:sz w:val="20"/>
                <w:szCs w:val="20"/>
              </w:rPr>
              <w:t>.</w:t>
            </w:r>
            <w:r w:rsidRPr="00731902">
              <w:rPr>
                <w:rStyle w:val="FootnoteReference"/>
                <w:rFonts w:ascii="Palatino Linotype" w:hAnsi="Palatino Linotype"/>
                <w:sz w:val="20"/>
                <w:szCs w:val="20"/>
              </w:rPr>
              <w:footnoteReference w:id="133"/>
            </w:r>
            <w:r w:rsidRPr="00731902">
              <w:rPr>
                <w:rFonts w:ascii="Palatino Linotype" w:hAnsi="Palatino Linotype"/>
                <w:sz w:val="20"/>
                <w:szCs w:val="20"/>
              </w:rPr>
              <w:t xml:space="preserve"> </w:t>
            </w:r>
            <w:r>
              <w:rPr>
                <w:rFonts w:ascii="Palatino Linotype" w:hAnsi="Palatino Linotype"/>
                <w:sz w:val="20"/>
                <w:szCs w:val="20"/>
              </w:rPr>
              <w:t xml:space="preserve">PG&amp;E states that, </w:t>
            </w:r>
            <w:r w:rsidRPr="00C533D0">
              <w:rPr>
                <w:rFonts w:ascii="Palatino Linotype" w:hAnsi="Palatino Linotype"/>
                <w:sz w:val="20"/>
                <w:szCs w:val="20"/>
              </w:rPr>
              <w:t>though not able to secure a meeting with the DACAG in calendar year 2024</w:t>
            </w:r>
            <w:r>
              <w:rPr>
                <w:rFonts w:ascii="Palatino Linotype" w:hAnsi="Palatino Linotype"/>
                <w:sz w:val="20"/>
                <w:szCs w:val="20"/>
              </w:rPr>
              <w:t>,</w:t>
            </w:r>
            <w:r>
              <w:rPr>
                <w:rStyle w:val="FootnoteReference"/>
                <w:rFonts w:ascii="Palatino Linotype" w:hAnsi="Palatino Linotype"/>
                <w:sz w:val="20"/>
                <w:szCs w:val="20"/>
              </w:rPr>
              <w:footnoteReference w:id="134"/>
            </w:r>
            <w:r w:rsidRPr="00C533D0">
              <w:rPr>
                <w:rFonts w:ascii="Palatino Linotype" w:hAnsi="Palatino Linotype"/>
                <w:sz w:val="20"/>
                <w:szCs w:val="20"/>
              </w:rPr>
              <w:t xml:space="preserve"> representatives </w:t>
            </w:r>
            <w:r w:rsidRPr="00C533D0">
              <w:rPr>
                <w:rFonts w:ascii="Palatino Linotype" w:hAnsi="Palatino Linotype"/>
                <w:sz w:val="20"/>
                <w:szCs w:val="20"/>
              </w:rPr>
              <w:lastRenderedPageBreak/>
              <w:t>presented and solicited input on the proposed 2024 Plan on April 18, 2025, and describes two questions posed by the DACAG which the representatives answered verbally</w:t>
            </w:r>
            <w:r w:rsidRPr="003C5841">
              <w:rPr>
                <w:rFonts w:ascii="Palatino Linotype" w:hAnsi="Palatino Linotype"/>
                <w:color w:val="000000" w:themeColor="text1"/>
                <w:sz w:val="20"/>
                <w:szCs w:val="20"/>
              </w:rPr>
              <w:t>.</w:t>
            </w:r>
            <w:r w:rsidRPr="003C5841">
              <w:rPr>
                <w:rStyle w:val="FootnoteReference"/>
                <w:rFonts w:ascii="Palatino Linotype" w:hAnsi="Palatino Linotype"/>
                <w:color w:val="000000" w:themeColor="text1"/>
                <w:sz w:val="20"/>
                <w:szCs w:val="20"/>
              </w:rPr>
              <w:footnoteReference w:id="135"/>
            </w:r>
            <w:r w:rsidRPr="003C5841">
              <w:rPr>
                <w:rFonts w:ascii="Palatino Linotype" w:hAnsi="Palatino Linotype"/>
                <w:color w:val="000000" w:themeColor="text1"/>
                <w:sz w:val="20"/>
                <w:szCs w:val="20"/>
              </w:rPr>
              <w:t xml:space="preserve"> PG&amp;E includes information on Workshop Stakeholder Q&amp;A,</w:t>
            </w:r>
            <w:r w:rsidRPr="003C5841">
              <w:rPr>
                <w:rStyle w:val="FootnoteReference"/>
                <w:rFonts w:ascii="Palatino Linotype" w:hAnsi="Palatino Linotype"/>
                <w:color w:val="000000" w:themeColor="text1"/>
                <w:sz w:val="20"/>
                <w:szCs w:val="20"/>
              </w:rPr>
              <w:footnoteReference w:id="136"/>
            </w:r>
            <w:r w:rsidRPr="003C5841">
              <w:rPr>
                <w:rFonts w:ascii="Palatino Linotype" w:hAnsi="Palatino Linotype"/>
                <w:color w:val="000000" w:themeColor="text1"/>
                <w:sz w:val="20"/>
                <w:szCs w:val="20"/>
              </w:rPr>
              <w:t xml:space="preserve"> high-level summaries from interviews, and incorporation strategies.</w:t>
            </w:r>
            <w:r w:rsidRPr="003C5841">
              <w:rPr>
                <w:rStyle w:val="FootnoteReference"/>
                <w:rFonts w:ascii="Palatino Linotype" w:hAnsi="Palatino Linotype"/>
                <w:color w:val="000000" w:themeColor="text1"/>
                <w:sz w:val="20"/>
                <w:szCs w:val="20"/>
              </w:rPr>
              <w:footnoteReference w:id="137"/>
            </w:r>
            <w:r w:rsidRPr="003C5841">
              <w:rPr>
                <w:rFonts w:ascii="Palatino Linotype" w:hAnsi="Palatino Linotype"/>
                <w:color w:val="000000" w:themeColor="text1"/>
                <w:sz w:val="20"/>
                <w:szCs w:val="20"/>
              </w:rPr>
              <w:t xml:space="preserve"> </w:t>
            </w:r>
            <w:r w:rsidRPr="005652A5">
              <w:rPr>
                <w:rFonts w:ascii="Palatino Linotype" w:hAnsi="Palatino Linotype"/>
                <w:sz w:val="20"/>
                <w:szCs w:val="20"/>
              </w:rPr>
              <w:t xml:space="preserve">PG&amp;E also discusses input sought and integrated from CPUC </w:t>
            </w:r>
            <w:r>
              <w:rPr>
                <w:rFonts w:ascii="Palatino Linotype" w:hAnsi="Palatino Linotype"/>
                <w:sz w:val="20"/>
                <w:szCs w:val="20"/>
              </w:rPr>
              <w:t>s</w:t>
            </w:r>
            <w:r w:rsidRPr="005652A5">
              <w:rPr>
                <w:rFonts w:ascii="Palatino Linotype" w:hAnsi="Palatino Linotype"/>
                <w:sz w:val="20"/>
                <w:szCs w:val="20"/>
              </w:rPr>
              <w:t>taff prior to Plan submittal</w:t>
            </w:r>
            <w:r>
              <w:rPr>
                <w:rFonts w:ascii="Palatino Linotype" w:hAnsi="Palatino Linotype"/>
                <w:sz w:val="20"/>
                <w:szCs w:val="20"/>
              </w:rPr>
              <w:t>.</w:t>
            </w:r>
            <w:r>
              <w:rPr>
                <w:rStyle w:val="FootnoteReference"/>
                <w:rFonts w:ascii="Palatino Linotype" w:hAnsi="Palatino Linotype"/>
                <w:sz w:val="20"/>
                <w:szCs w:val="20"/>
              </w:rPr>
              <w:footnoteReference w:id="138"/>
            </w:r>
          </w:p>
          <w:p w:rsidR="004B0BDA" w:rsidRDefault="004B0BDA" w14:paraId="49A3AFCF" w14:textId="77777777">
            <w:pPr>
              <w:rPr>
                <w:rFonts w:ascii="Palatino Linotype" w:hAnsi="Palatino Linotype"/>
                <w:sz w:val="20"/>
                <w:szCs w:val="20"/>
              </w:rPr>
            </w:pPr>
          </w:p>
          <w:p w:rsidRPr="00FB1ACE" w:rsidR="004B0BDA" w:rsidRDefault="004B0BDA" w14:paraId="375178BA" w14:textId="68CB60DD">
            <w:pPr>
              <w:rPr>
                <w:rFonts w:ascii="Palatino Linotype" w:hAnsi="Palatino Linotype"/>
                <w:sz w:val="20"/>
                <w:szCs w:val="20"/>
              </w:rPr>
            </w:pPr>
            <w:r>
              <w:rPr>
                <w:rFonts w:ascii="Palatino Linotype" w:hAnsi="Palatino Linotype"/>
                <w:sz w:val="20"/>
                <w:szCs w:val="20"/>
              </w:rPr>
              <w:t xml:space="preserve">PG&amp;E </w:t>
            </w:r>
            <w:r w:rsidRPr="00A359BF">
              <w:rPr>
                <w:rFonts w:ascii="Palatino Linotype" w:hAnsi="Palatino Linotype"/>
                <w:sz w:val="20"/>
                <w:szCs w:val="20"/>
              </w:rPr>
              <w:t xml:space="preserve">discusses the Initiatives within the Decarbonization theme in relation to renewable natural gas, renewable hydrogen, and synthetic methane, </w:t>
            </w:r>
            <w:r>
              <w:rPr>
                <w:rFonts w:ascii="Palatino Linotype" w:hAnsi="Palatino Linotype"/>
                <w:sz w:val="20"/>
                <w:szCs w:val="20"/>
              </w:rPr>
              <w:t xml:space="preserve">but also proposes </w:t>
            </w:r>
            <w:r w:rsidRPr="00A359BF">
              <w:rPr>
                <w:rFonts w:ascii="Palatino Linotype" w:hAnsi="Palatino Linotype"/>
                <w:sz w:val="20"/>
                <w:szCs w:val="20"/>
              </w:rPr>
              <w:t>hydrogen-specific activities</w:t>
            </w:r>
            <w:r>
              <w:rPr>
                <w:rFonts w:ascii="Palatino Linotype" w:hAnsi="Palatino Linotype"/>
                <w:sz w:val="20"/>
                <w:szCs w:val="20"/>
              </w:rPr>
              <w:t>.</w:t>
            </w:r>
            <w:r>
              <w:rPr>
                <w:rStyle w:val="FootnoteReference"/>
                <w:rFonts w:ascii="Palatino Linotype" w:hAnsi="Palatino Linotype"/>
                <w:sz w:val="20"/>
                <w:szCs w:val="20"/>
              </w:rPr>
              <w:footnoteReference w:id="139"/>
            </w:r>
          </w:p>
        </w:tc>
        <w:tc>
          <w:tcPr>
            <w:tcW w:w="4140" w:type="dxa"/>
            <w:tcBorders>
              <w:top w:val="single" w:color="auto" w:sz="4" w:space="0"/>
              <w:left w:val="single" w:color="auto" w:sz="4" w:space="0"/>
              <w:bottom w:val="single" w:color="auto" w:sz="4" w:space="0"/>
              <w:right w:val="single" w:color="auto" w:sz="4" w:space="0"/>
            </w:tcBorders>
          </w:tcPr>
          <w:p w:rsidRPr="00667C4F" w:rsidR="004B0BDA" w:rsidRDefault="00575E8C" w14:paraId="79BCE042" w14:textId="08E227AA">
            <w:pPr>
              <w:rPr>
                <w:rFonts w:ascii="Palatino Linotype" w:hAnsi="Palatino Linotype" w:eastAsia="Palatino Linotype" w:cs="Times New Roman"/>
                <w:sz w:val="20"/>
                <w:szCs w:val="20"/>
              </w:rPr>
            </w:pPr>
            <w:r w:rsidRPr="00667C4F">
              <w:rPr>
                <w:rFonts w:ascii="Palatino Linotype" w:hAnsi="Palatino Linotype"/>
                <w:color w:val="0D0D0D" w:themeColor="text1" w:themeTint="F2"/>
                <w:sz w:val="20"/>
                <w:szCs w:val="20"/>
              </w:rPr>
              <w:lastRenderedPageBreak/>
              <w:t>PG&amp;E</w:t>
            </w:r>
            <w:r w:rsidRPr="00667C4F" w:rsidR="0027449B">
              <w:rPr>
                <w:rFonts w:ascii="Palatino Linotype" w:hAnsi="Palatino Linotype"/>
                <w:color w:val="0D0D0D" w:themeColor="text1" w:themeTint="F2"/>
                <w:sz w:val="20"/>
                <w:szCs w:val="20"/>
              </w:rPr>
              <w:t xml:space="preserve"> did not sufficiently </w:t>
            </w:r>
            <w:r w:rsidRPr="00667C4F" w:rsidR="00B80B0C">
              <w:rPr>
                <w:rFonts w:ascii="Palatino Linotype" w:hAnsi="Palatino Linotype"/>
                <w:color w:val="0D0D0D" w:themeColor="text1" w:themeTint="F2"/>
                <w:sz w:val="20"/>
                <w:szCs w:val="20"/>
              </w:rPr>
              <w:t>provide detail on benefits from all</w:t>
            </w:r>
            <w:r w:rsidRPr="00667C4F" w:rsidR="006D535E">
              <w:rPr>
                <w:rFonts w:ascii="Palatino Linotype" w:hAnsi="Palatino Linotype"/>
                <w:color w:val="0D0D0D" w:themeColor="text1" w:themeTint="F2"/>
                <w:sz w:val="20"/>
                <w:szCs w:val="20"/>
              </w:rPr>
              <w:t xml:space="preserve"> projects or </w:t>
            </w:r>
            <w:r w:rsidRPr="00667C4F" w:rsidR="0027449B">
              <w:rPr>
                <w:rFonts w:ascii="Palatino Linotype" w:hAnsi="Palatino Linotype"/>
                <w:color w:val="0D0D0D" w:themeColor="text1" w:themeTint="F2"/>
                <w:sz w:val="20"/>
                <w:szCs w:val="20"/>
              </w:rPr>
              <w:t>incorporate</w:t>
            </w:r>
            <w:r w:rsidRPr="00667C4F" w:rsidR="006B0882">
              <w:rPr>
                <w:rFonts w:ascii="Palatino Linotype" w:hAnsi="Palatino Linotype"/>
                <w:color w:val="0D0D0D" w:themeColor="text1" w:themeTint="F2"/>
                <w:sz w:val="20"/>
                <w:szCs w:val="20"/>
              </w:rPr>
              <w:t xml:space="preserve"> input from key stakeholders, including </w:t>
            </w:r>
            <w:r w:rsidRPr="00667C4F" w:rsidR="006B0882">
              <w:rPr>
                <w:rFonts w:ascii="Palatino Linotype" w:hAnsi="Palatino Linotype"/>
                <w:color w:val="0D0D0D" w:themeColor="text1" w:themeTint="F2"/>
                <w:sz w:val="20"/>
                <w:szCs w:val="20"/>
              </w:rPr>
              <w:lastRenderedPageBreak/>
              <w:t>CPUC</w:t>
            </w:r>
            <w:r w:rsidRPr="00667C4F" w:rsidR="00267903">
              <w:rPr>
                <w:rFonts w:ascii="Palatino Linotype" w:hAnsi="Palatino Linotype"/>
                <w:color w:val="0D0D0D" w:themeColor="text1" w:themeTint="F2"/>
                <w:sz w:val="20"/>
                <w:szCs w:val="20"/>
              </w:rPr>
              <w:t xml:space="preserve"> </w:t>
            </w:r>
            <w:r w:rsidRPr="00667C4F" w:rsidR="009B3926">
              <w:rPr>
                <w:rFonts w:ascii="Palatino Linotype" w:hAnsi="Palatino Linotype"/>
                <w:color w:val="0D0D0D" w:themeColor="text1" w:themeTint="F2"/>
                <w:sz w:val="20"/>
                <w:szCs w:val="20"/>
              </w:rPr>
              <w:t>staff</w:t>
            </w:r>
            <w:r w:rsidRPr="00667C4F" w:rsidR="00267903">
              <w:rPr>
                <w:rFonts w:ascii="Palatino Linotype" w:hAnsi="Palatino Linotype"/>
                <w:color w:val="0D0D0D" w:themeColor="text1" w:themeTint="F2"/>
                <w:sz w:val="20"/>
                <w:szCs w:val="20"/>
              </w:rPr>
              <w:t>.</w:t>
            </w:r>
            <w:r w:rsidRPr="00667C4F" w:rsidR="009B3926">
              <w:rPr>
                <w:rStyle w:val="FootnoteReference"/>
                <w:rFonts w:ascii="Palatino Linotype" w:hAnsi="Palatino Linotype"/>
                <w:sz w:val="20"/>
                <w:szCs w:val="20"/>
              </w:rPr>
              <w:footnoteReference w:id="140"/>
            </w:r>
            <w:r w:rsidRPr="00667C4F" w:rsidR="00267903">
              <w:rPr>
                <w:rFonts w:ascii="Palatino Linotype" w:hAnsi="Palatino Linotype"/>
                <w:color w:val="0D0D0D" w:themeColor="text1" w:themeTint="F2"/>
                <w:sz w:val="20"/>
                <w:szCs w:val="20"/>
              </w:rPr>
              <w:t xml:space="preserve"> </w:t>
            </w:r>
            <w:r w:rsidRPr="00667C4F" w:rsidR="0022111B">
              <w:rPr>
                <w:rFonts w:ascii="Palatino Linotype" w:hAnsi="Palatino Linotype"/>
                <w:color w:val="0D0D0D" w:themeColor="text1" w:themeTint="F2"/>
                <w:sz w:val="20"/>
                <w:szCs w:val="20"/>
              </w:rPr>
              <w:t xml:space="preserve">On </w:t>
            </w:r>
            <w:r w:rsidRPr="00667C4F" w:rsidR="00832DC3">
              <w:rPr>
                <w:rFonts w:ascii="Palatino Linotype" w:hAnsi="Palatino Linotype"/>
                <w:color w:val="0D0D0D" w:themeColor="text1" w:themeTint="F2"/>
                <w:sz w:val="20"/>
                <w:szCs w:val="20"/>
              </w:rPr>
              <w:t xml:space="preserve">the </w:t>
            </w:r>
            <w:r w:rsidRPr="00667C4F" w:rsidR="0022111B">
              <w:rPr>
                <w:rFonts w:ascii="Palatino Linotype" w:hAnsi="Palatino Linotype"/>
                <w:color w:val="0D0D0D" w:themeColor="text1" w:themeTint="F2"/>
                <w:sz w:val="20"/>
                <w:szCs w:val="20"/>
              </w:rPr>
              <w:t xml:space="preserve">one hand, </w:t>
            </w:r>
            <w:r w:rsidRPr="00667C4F" w:rsidR="00762C21">
              <w:rPr>
                <w:rFonts w:ascii="Palatino Linotype" w:hAnsi="Palatino Linotype"/>
                <w:sz w:val="20"/>
                <w:szCs w:val="20"/>
              </w:rPr>
              <w:t xml:space="preserve">PG&amp;E </w:t>
            </w:r>
            <w:r w:rsidRPr="00667C4F" w:rsidR="00592325">
              <w:rPr>
                <w:rFonts w:ascii="Palatino Linotype" w:hAnsi="Palatino Linotype"/>
                <w:sz w:val="20"/>
                <w:szCs w:val="20"/>
              </w:rPr>
              <w:t>provides</w:t>
            </w:r>
            <w:r w:rsidRPr="00667C4F" w:rsidR="00832DC3">
              <w:rPr>
                <w:rFonts w:ascii="Palatino Linotype" w:hAnsi="Palatino Linotype"/>
                <w:sz w:val="20"/>
                <w:szCs w:val="20"/>
              </w:rPr>
              <w:t xml:space="preserve"> sufficient</w:t>
            </w:r>
            <w:r w:rsidRPr="00667C4F" w:rsidR="00592325">
              <w:rPr>
                <w:rFonts w:ascii="Palatino Linotype" w:hAnsi="Palatino Linotype"/>
                <w:sz w:val="20"/>
                <w:szCs w:val="20"/>
              </w:rPr>
              <w:t xml:space="preserve"> detail on</w:t>
            </w:r>
            <w:r w:rsidRPr="00667C4F" w:rsidR="00762C21">
              <w:rPr>
                <w:rFonts w:ascii="Palatino Linotype" w:hAnsi="Palatino Linotype" w:eastAsia="Palatino Linotype" w:cs="Times New Roman"/>
                <w:sz w:val="20"/>
                <w:szCs w:val="20"/>
              </w:rPr>
              <w:t xml:space="preserve"> </w:t>
            </w:r>
            <w:r w:rsidRPr="00667C4F" w:rsidR="00762C21">
              <w:rPr>
                <w:rFonts w:ascii="Palatino Linotype" w:hAnsi="Palatino Linotype"/>
                <w:color w:val="000000" w:themeColor="text1"/>
                <w:sz w:val="20"/>
                <w:szCs w:val="20"/>
              </w:rPr>
              <w:t xml:space="preserve">technoeconomic analysis and comparison of alternatives as part of the </w:t>
            </w:r>
            <w:r w:rsidRPr="00667C4F" w:rsidR="00762C21">
              <w:rPr>
                <w:rFonts w:ascii="Palatino Linotype" w:hAnsi="Palatino Linotype" w:eastAsia="Palatino Linotype" w:cs="Times New Roman"/>
                <w:sz w:val="20"/>
                <w:szCs w:val="20"/>
              </w:rPr>
              <w:t>Proac</w:t>
            </w:r>
            <w:r w:rsidRPr="00667C4F" w:rsidR="00762C21">
              <w:rPr>
                <w:rFonts w:ascii="Palatino Linotype" w:hAnsi="Palatino Linotype" w:eastAsia="Palatino Linotype" w:cs="Palatino Linotype"/>
                <w:sz w:val="20"/>
                <w:szCs w:val="20"/>
              </w:rPr>
              <w:t>ti</w:t>
            </w:r>
            <w:r w:rsidRPr="00667C4F" w:rsidR="00762C21">
              <w:rPr>
                <w:rFonts w:ascii="Palatino Linotype" w:hAnsi="Palatino Linotype" w:eastAsia="Palatino Linotype" w:cs="Times New Roman"/>
                <w:sz w:val="20"/>
                <w:szCs w:val="20"/>
              </w:rPr>
              <w:t>ve Geohazard Risk Management Initiative</w:t>
            </w:r>
            <w:r w:rsidRPr="00667C4F" w:rsidR="00762C21">
              <w:rPr>
                <w:rStyle w:val="FootnoteReference"/>
                <w:rFonts w:ascii="Palatino Linotype" w:hAnsi="Palatino Linotype" w:eastAsia="Palatino Linotype" w:cs="Times New Roman"/>
                <w:sz w:val="20"/>
                <w:szCs w:val="20"/>
              </w:rPr>
              <w:footnoteReference w:id="141"/>
            </w:r>
            <w:r w:rsidRPr="00667C4F" w:rsidR="00762C21">
              <w:rPr>
                <w:rFonts w:ascii="Palatino Linotype" w:hAnsi="Palatino Linotype" w:eastAsia="Palatino Linotype" w:cs="Times New Roman"/>
                <w:sz w:val="20"/>
                <w:szCs w:val="20"/>
              </w:rPr>
              <w:t xml:space="preserve"> </w:t>
            </w:r>
            <w:r w:rsidRPr="00667C4F" w:rsidR="00323F25">
              <w:rPr>
                <w:rFonts w:ascii="Palatino Linotype" w:hAnsi="Palatino Linotype" w:eastAsia="Palatino Linotype" w:cs="Times New Roman"/>
                <w:sz w:val="20"/>
                <w:szCs w:val="20"/>
              </w:rPr>
              <w:t>as well as</w:t>
            </w:r>
            <w:r w:rsidRPr="00667C4F" w:rsidR="00323F25">
              <w:rPr>
                <w:rFonts w:ascii="Palatino Linotype" w:hAnsi="Palatino Linotype"/>
                <w:sz w:val="20"/>
                <w:szCs w:val="20"/>
              </w:rPr>
              <w:t xml:space="preserve"> on</w:t>
            </w:r>
            <w:r w:rsidRPr="00667C4F" w:rsidR="00762C21">
              <w:rPr>
                <w:rFonts w:ascii="Palatino Linotype" w:hAnsi="Palatino Linotype"/>
                <w:sz w:val="20"/>
                <w:szCs w:val="20"/>
              </w:rPr>
              <w:t xml:space="preserve"> the priority technologies under the </w:t>
            </w:r>
            <w:r w:rsidRPr="00787699" w:rsidR="00762C21">
              <w:rPr>
                <w:rFonts w:ascii="Palatino Linotype" w:hAnsi="Palatino Linotype" w:eastAsia="Palatino Linotype" w:cs="Times New Roman"/>
                <w:color w:val="000000" w:themeColor="text1"/>
                <w:sz w:val="20"/>
                <w:szCs w:val="20"/>
              </w:rPr>
              <w:t>Innovative and Cost-Effective Integrity Management Initiative.</w:t>
            </w:r>
            <w:r w:rsidRPr="00787699" w:rsidR="00762C21">
              <w:rPr>
                <w:rStyle w:val="FootnoteReference"/>
                <w:rFonts w:ascii="Palatino Linotype" w:hAnsi="Palatino Linotype" w:eastAsia="Palatino Linotype" w:cs="Times New Roman"/>
                <w:color w:val="000000" w:themeColor="text1"/>
                <w:sz w:val="20"/>
                <w:szCs w:val="20"/>
              </w:rPr>
              <w:footnoteReference w:id="142"/>
            </w:r>
            <w:r w:rsidRPr="00787699" w:rsidR="00762C21">
              <w:rPr>
                <w:rFonts w:ascii="Palatino Linotype" w:hAnsi="Palatino Linotype" w:eastAsia="Palatino Linotype" w:cs="Times New Roman"/>
                <w:color w:val="000000" w:themeColor="text1"/>
                <w:sz w:val="20"/>
                <w:szCs w:val="20"/>
              </w:rPr>
              <w:t xml:space="preserve"> </w:t>
            </w:r>
            <w:r w:rsidRPr="00787699" w:rsidR="00C4687D">
              <w:rPr>
                <w:rFonts w:ascii="Palatino Linotype" w:hAnsi="Palatino Linotype" w:eastAsia="Palatino Linotype" w:cs="Times New Roman"/>
                <w:color w:val="000000" w:themeColor="text1"/>
                <w:sz w:val="20"/>
                <w:szCs w:val="20"/>
              </w:rPr>
              <w:t>On the other hand,</w:t>
            </w:r>
            <w:r w:rsidRPr="00787699" w:rsidR="004B0BDA">
              <w:rPr>
                <w:rFonts w:ascii="Palatino Linotype" w:hAnsi="Palatino Linotype" w:eastAsia="Palatino Linotype" w:cs="Times New Roman"/>
                <w:color w:val="000000" w:themeColor="text1"/>
                <w:sz w:val="20"/>
                <w:szCs w:val="20"/>
              </w:rPr>
              <w:t xml:space="preserve"> </w:t>
            </w:r>
            <w:r w:rsidRPr="00787699" w:rsidR="005C3C1B">
              <w:rPr>
                <w:rFonts w:ascii="Palatino Linotype" w:hAnsi="Palatino Linotype" w:eastAsia="Palatino Linotype" w:cs="Times New Roman"/>
                <w:color w:val="000000" w:themeColor="text1"/>
                <w:sz w:val="20"/>
                <w:szCs w:val="20"/>
              </w:rPr>
              <w:t xml:space="preserve">PG&amp;E does not </w:t>
            </w:r>
            <w:r w:rsidRPr="00787699" w:rsidR="00685B15">
              <w:rPr>
                <w:rFonts w:ascii="Palatino Linotype" w:hAnsi="Palatino Linotype" w:eastAsia="Palatino Linotype" w:cs="Times New Roman"/>
                <w:color w:val="000000" w:themeColor="text1"/>
                <w:sz w:val="20"/>
                <w:szCs w:val="20"/>
              </w:rPr>
              <w:t>justify investment in hydrogen-related RD&amp;D by demonstrating alignment with CPUC proceedings.</w:t>
            </w:r>
            <w:r w:rsidRPr="00787699" w:rsidR="00D955D8">
              <w:rPr>
                <w:rFonts w:ascii="Palatino Linotype" w:hAnsi="Palatino Linotype" w:eastAsia="Palatino Linotype" w:cs="Times New Roman"/>
                <w:color w:val="000000" w:themeColor="text1"/>
                <w:sz w:val="20"/>
                <w:szCs w:val="20"/>
              </w:rPr>
              <w:t xml:space="preserve"> </w:t>
            </w:r>
            <w:r w:rsidRPr="00667C4F" w:rsidR="00685B15">
              <w:rPr>
                <w:rFonts w:ascii="Palatino Linotype" w:hAnsi="Palatino Linotype"/>
                <w:sz w:val="20"/>
                <w:szCs w:val="20"/>
              </w:rPr>
              <w:t>T</w:t>
            </w:r>
            <w:r w:rsidRPr="00667C4F" w:rsidR="004B0BDA">
              <w:rPr>
                <w:rFonts w:ascii="Palatino Linotype" w:hAnsi="Palatino Linotype"/>
                <w:sz w:val="20"/>
                <w:szCs w:val="20"/>
              </w:rPr>
              <w:t xml:space="preserve">he Commission has not provided guidance on the appropriate role of gas ratepayers in funding hydrogen RD&amp;D, particularly as these projects would have further implications for ratepayer funding, </w:t>
            </w:r>
            <w:r w:rsidRPr="00667C4F" w:rsidR="004B0BDA">
              <w:rPr>
                <w:rFonts w:ascii="Palatino Linotype" w:hAnsi="Palatino Linotype"/>
                <w:sz w:val="20"/>
                <w:szCs w:val="20"/>
              </w:rPr>
              <w:lastRenderedPageBreak/>
              <w:t xml:space="preserve">including in future Gas RD&amp;D Plans. </w:t>
            </w:r>
            <w:r w:rsidRPr="00667C4F" w:rsidR="002D66D8">
              <w:rPr>
                <w:rFonts w:ascii="Palatino Linotype" w:hAnsi="Palatino Linotype"/>
                <w:sz w:val="20"/>
                <w:szCs w:val="20"/>
              </w:rPr>
              <w:t>Instead</w:t>
            </w:r>
            <w:r w:rsidRPr="00667C4F" w:rsidR="004B0BDA">
              <w:rPr>
                <w:rFonts w:ascii="Palatino Linotype" w:hAnsi="Palatino Linotype"/>
                <w:sz w:val="20"/>
                <w:szCs w:val="20"/>
              </w:rPr>
              <w:t xml:space="preserve">, the Commission has provided guidance </w:t>
            </w:r>
            <w:r w:rsidRPr="00667C4F" w:rsidR="00B96DCE">
              <w:rPr>
                <w:rFonts w:ascii="Palatino Linotype" w:hAnsi="Palatino Linotype"/>
                <w:sz w:val="20"/>
                <w:szCs w:val="20"/>
              </w:rPr>
              <w:t xml:space="preserve">that making </w:t>
            </w:r>
            <w:r w:rsidRPr="00667C4F" w:rsidR="004B0BDA">
              <w:rPr>
                <w:rFonts w:ascii="Palatino Linotype" w:hAnsi="Palatino Linotype"/>
                <w:sz w:val="20"/>
                <w:szCs w:val="20"/>
              </w:rPr>
              <w:t>renewable natural gas (RNG)</w:t>
            </w:r>
            <w:r w:rsidRPr="00667C4F" w:rsidR="004B0BDA">
              <w:rPr>
                <w:rStyle w:val="FootnoteReference"/>
                <w:rFonts w:ascii="Palatino Linotype" w:hAnsi="Palatino Linotype"/>
                <w:sz w:val="20"/>
                <w:szCs w:val="20"/>
              </w:rPr>
              <w:footnoteReference w:id="143"/>
            </w:r>
            <w:r w:rsidRPr="00667C4F" w:rsidR="004B0BDA">
              <w:rPr>
                <w:rFonts w:ascii="Palatino Linotype" w:hAnsi="Palatino Linotype"/>
                <w:sz w:val="20"/>
                <w:szCs w:val="20"/>
              </w:rPr>
              <w:t xml:space="preserve"> </w:t>
            </w:r>
            <w:r w:rsidRPr="00667C4F" w:rsidR="00B96DCE">
              <w:rPr>
                <w:rFonts w:ascii="Palatino Linotype" w:hAnsi="Palatino Linotype"/>
                <w:sz w:val="20"/>
                <w:szCs w:val="20"/>
              </w:rPr>
              <w:t xml:space="preserve">more affordable for ratepayers is a priority. </w:t>
            </w:r>
            <w:r w:rsidRPr="00667C4F" w:rsidR="0016323F">
              <w:rPr>
                <w:rFonts w:ascii="Palatino Linotype" w:hAnsi="Palatino Linotype"/>
                <w:b/>
                <w:bCs w:val="0"/>
                <w:sz w:val="20"/>
                <w:szCs w:val="20"/>
              </w:rPr>
              <w:t xml:space="preserve">PG&amp;E is </w:t>
            </w:r>
            <w:r w:rsidRPr="00667C4F" w:rsidR="0016323F">
              <w:rPr>
                <w:rFonts w:ascii="Palatino Linotype" w:hAnsi="Palatino Linotype"/>
                <w:b/>
                <w:bCs w:val="0"/>
                <w:color w:val="000000" w:themeColor="text1"/>
                <w:sz w:val="20"/>
                <w:szCs w:val="20"/>
              </w:rPr>
              <w:t>not</w:t>
            </w:r>
            <w:r w:rsidRPr="00667C4F" w:rsidR="0016323F">
              <w:rPr>
                <w:rFonts w:ascii="Palatino Linotype" w:hAnsi="Palatino Linotype"/>
                <w:b/>
                <w:bCs w:val="0"/>
                <w:color w:val="EE0000"/>
                <w:sz w:val="20"/>
                <w:szCs w:val="20"/>
              </w:rPr>
              <w:t xml:space="preserve"> </w:t>
            </w:r>
            <w:r w:rsidRPr="00667C4F" w:rsidR="0016323F">
              <w:rPr>
                <w:rFonts w:ascii="Palatino Linotype" w:hAnsi="Palatino Linotype"/>
                <w:b/>
                <w:bCs w:val="0"/>
                <w:sz w:val="20"/>
                <w:szCs w:val="20"/>
              </w:rPr>
              <w:t>compliant with this requirement.</w:t>
            </w:r>
          </w:p>
          <w:p w:rsidRPr="00667C4F" w:rsidR="003A6140" w:rsidP="003A6140" w:rsidRDefault="003A6140" w14:paraId="29F1A9AF" w14:textId="77777777">
            <w:pPr>
              <w:rPr>
                <w:rFonts w:ascii="Palatino Linotype" w:hAnsi="Palatino Linotype"/>
                <w:color w:val="0D0D0D" w:themeColor="text1" w:themeTint="F2"/>
                <w:sz w:val="20"/>
                <w:szCs w:val="20"/>
              </w:rPr>
            </w:pPr>
          </w:p>
          <w:p w:rsidRPr="00667C4F" w:rsidR="003A6140" w:rsidP="003A6140" w:rsidRDefault="003A6140" w14:paraId="07742CA2" w14:textId="1196F227">
            <w:pPr>
              <w:rPr>
                <w:rFonts w:ascii="Palatino Linotype" w:hAnsi="Palatino Linotype"/>
                <w:color w:val="0070C0"/>
                <w:sz w:val="20"/>
                <w:szCs w:val="20"/>
              </w:rPr>
            </w:pPr>
            <w:r w:rsidRPr="00667C4F">
              <w:rPr>
                <w:rFonts w:ascii="Palatino Linotype" w:hAnsi="Palatino Linotype"/>
                <w:color w:val="0D0D0D" w:themeColor="text1" w:themeTint="F2"/>
                <w:sz w:val="20"/>
                <w:szCs w:val="20"/>
              </w:rPr>
              <w:t xml:space="preserve">PG&amp;E should </w:t>
            </w:r>
            <w:r w:rsidRPr="00667C4F" w:rsidR="005A1574">
              <w:rPr>
                <w:rFonts w:ascii="Palatino Linotype" w:hAnsi="Palatino Linotype"/>
                <w:color w:val="0D0D0D" w:themeColor="text1" w:themeTint="F2"/>
                <w:sz w:val="20"/>
                <w:szCs w:val="20"/>
              </w:rPr>
              <w:t xml:space="preserve">also </w:t>
            </w:r>
            <w:r w:rsidRPr="00667C4F">
              <w:rPr>
                <w:rFonts w:ascii="Palatino Linotype" w:hAnsi="Palatino Linotype"/>
                <w:color w:val="0D0D0D" w:themeColor="text1" w:themeTint="F2"/>
                <w:sz w:val="20"/>
                <w:szCs w:val="20"/>
              </w:rPr>
              <w:t xml:space="preserve">clarify the purpose and content of the Gas RD&amp;D Project list. </w:t>
            </w:r>
          </w:p>
          <w:p w:rsidRPr="00667C4F" w:rsidR="004B0BDA" w:rsidRDefault="004B0BDA" w14:paraId="5DF44B38" w14:textId="77777777">
            <w:pPr>
              <w:rPr>
                <w:rFonts w:ascii="Palatino Linotype" w:hAnsi="Palatino Linotype"/>
                <w:sz w:val="20"/>
                <w:szCs w:val="20"/>
              </w:rPr>
            </w:pPr>
          </w:p>
          <w:p w:rsidRPr="00667C4F" w:rsidR="004B0BDA" w:rsidRDefault="004B0BDA" w14:paraId="7FF69E4C" w14:textId="29658CCD">
            <w:pPr>
              <w:rPr>
                <w:rFonts w:ascii="Palatino Linotype" w:hAnsi="Palatino Linotype"/>
                <w:sz w:val="20"/>
                <w:szCs w:val="20"/>
              </w:rPr>
            </w:pPr>
          </w:p>
        </w:tc>
      </w:tr>
      <w:tr w:rsidR="00534A20" w:rsidTr="00534A20" w14:paraId="68F151E5" w14:textId="77777777">
        <w:tc>
          <w:tcPr>
            <w:tcW w:w="3865" w:type="dxa"/>
            <w:tcBorders>
              <w:top w:val="single" w:color="auto" w:sz="4" w:space="0"/>
              <w:left w:val="single" w:color="auto" w:sz="4" w:space="0"/>
              <w:bottom w:val="single" w:color="auto" w:sz="4" w:space="0"/>
              <w:right w:val="single" w:color="auto" w:sz="4" w:space="0"/>
            </w:tcBorders>
          </w:tcPr>
          <w:p w:rsidRPr="003E1B74" w:rsidR="004B0BDA" w:rsidRDefault="004B0BDA" w14:paraId="7F6C5D72" w14:textId="77777777">
            <w:pPr>
              <w:rPr>
                <w:rFonts w:ascii="Palatino Linotype" w:hAnsi="Palatino Linotype"/>
                <w:i/>
                <w:iCs/>
                <w:sz w:val="20"/>
                <w:szCs w:val="20"/>
              </w:rPr>
            </w:pPr>
            <w:r>
              <w:rPr>
                <w:rFonts w:ascii="Palatino Linotype" w:hAnsi="Palatino Linotype"/>
                <w:i/>
                <w:iCs/>
                <w:sz w:val="20"/>
                <w:szCs w:val="20"/>
              </w:rPr>
              <w:lastRenderedPageBreak/>
              <w:t xml:space="preserve">(2) </w:t>
            </w:r>
            <w:r w:rsidRPr="00347453">
              <w:rPr>
                <w:rFonts w:ascii="Palatino Linotype" w:hAnsi="Palatino Linotype"/>
                <w:i/>
                <w:iCs/>
                <w:sz w:val="20"/>
                <w:szCs w:val="20"/>
              </w:rPr>
              <w:t>The annual research plan should include a proposed</w:t>
            </w:r>
            <w:r w:rsidRPr="00FB1ACE">
              <w:rPr>
                <w:rFonts w:ascii="Palatino Linotype" w:hAnsi="Palatino Linotype"/>
                <w:i/>
                <w:iCs/>
                <w:sz w:val="20"/>
                <w:szCs w:val="20"/>
              </w:rPr>
              <w:t xml:space="preserve"> benefits analysis framework, created in consultation with Energy Division </w:t>
            </w:r>
            <w:r>
              <w:rPr>
                <w:rFonts w:ascii="Palatino Linotype" w:hAnsi="Palatino Linotype"/>
                <w:i/>
                <w:iCs/>
                <w:sz w:val="20"/>
                <w:szCs w:val="20"/>
              </w:rPr>
              <w:t>[</w:t>
            </w:r>
            <w:r w:rsidRPr="003B623F">
              <w:rPr>
                <w:rFonts w:ascii="Palatino Linotype" w:hAnsi="Palatino Linotype"/>
                <w:i/>
                <w:iCs/>
                <w:sz w:val="20"/>
                <w:szCs w:val="20"/>
              </w:rPr>
              <w:t>ED]</w:t>
            </w:r>
            <w:r>
              <w:rPr>
                <w:i/>
                <w:iCs/>
              </w:rPr>
              <w:t xml:space="preserve"> </w:t>
            </w:r>
            <w:r w:rsidRPr="00FB1ACE">
              <w:rPr>
                <w:rFonts w:ascii="Palatino Linotype" w:hAnsi="Palatino Linotype"/>
                <w:i/>
                <w:iCs/>
                <w:sz w:val="20"/>
                <w:szCs w:val="20"/>
              </w:rPr>
              <w:t xml:space="preserve">staff. This framework should provide </w:t>
            </w:r>
            <w:r w:rsidRPr="00347453">
              <w:rPr>
                <w:rFonts w:ascii="Palatino Linotype" w:hAnsi="Palatino Linotype"/>
                <w:i/>
                <w:iCs/>
                <w:sz w:val="20"/>
                <w:szCs w:val="20"/>
              </w:rPr>
              <w:t>sufficient quantitative estimates of potential safety,</w:t>
            </w:r>
            <w:r w:rsidRPr="00FB1ACE">
              <w:rPr>
                <w:rFonts w:ascii="Palatino Linotype" w:hAnsi="Palatino Linotype"/>
                <w:i/>
                <w:iCs/>
                <w:sz w:val="20"/>
                <w:szCs w:val="20"/>
              </w:rPr>
              <w:t xml:space="preserve"> </w:t>
            </w:r>
            <w:r w:rsidRPr="00347453">
              <w:rPr>
                <w:rFonts w:ascii="Palatino Linotype" w:hAnsi="Palatino Linotype"/>
                <w:i/>
                <w:iCs/>
                <w:sz w:val="20"/>
                <w:szCs w:val="20"/>
              </w:rPr>
              <w:t>reliability, operational efficiency, improved</w:t>
            </w:r>
            <w:r w:rsidRPr="00FB1ACE">
              <w:rPr>
                <w:rFonts w:ascii="Palatino Linotype" w:hAnsi="Palatino Linotype"/>
                <w:i/>
                <w:iCs/>
                <w:sz w:val="20"/>
                <w:szCs w:val="20"/>
              </w:rPr>
              <w:t xml:space="preserve"> </w:t>
            </w:r>
            <w:r w:rsidRPr="00347453">
              <w:rPr>
                <w:rFonts w:ascii="Palatino Linotype" w:hAnsi="Palatino Linotype"/>
                <w:i/>
                <w:iCs/>
                <w:sz w:val="20"/>
                <w:szCs w:val="20"/>
              </w:rPr>
              <w:t>affordability,</w:t>
            </w:r>
            <w:r w:rsidRPr="00FB1ACE">
              <w:rPr>
                <w:rFonts w:ascii="Palatino Linotype" w:hAnsi="Palatino Linotype"/>
                <w:i/>
                <w:iCs/>
                <w:sz w:val="20"/>
                <w:szCs w:val="20"/>
              </w:rPr>
              <w:t xml:space="preserve"> </w:t>
            </w:r>
            <w:r w:rsidRPr="00347453">
              <w:rPr>
                <w:rFonts w:ascii="Palatino Linotype" w:hAnsi="Palatino Linotype"/>
                <w:i/>
                <w:iCs/>
                <w:sz w:val="20"/>
                <w:szCs w:val="20"/>
              </w:rPr>
              <w:t>environmental-related benefits, benefits to underserved</w:t>
            </w:r>
            <w:r>
              <w:rPr>
                <w:rFonts w:ascii="Palatino Linotype" w:hAnsi="Palatino Linotype"/>
                <w:i/>
                <w:iCs/>
                <w:sz w:val="20"/>
                <w:szCs w:val="20"/>
              </w:rPr>
              <w:t xml:space="preserve"> </w:t>
            </w:r>
            <w:r w:rsidRPr="00347453">
              <w:rPr>
                <w:rFonts w:ascii="Palatino Linotype" w:hAnsi="Palatino Linotype"/>
                <w:i/>
                <w:iCs/>
                <w:sz w:val="20"/>
                <w:szCs w:val="20"/>
              </w:rPr>
              <w:lastRenderedPageBreak/>
              <w:t>communities, and numeric targets or a specified numeric</w:t>
            </w:r>
            <w:r w:rsidRPr="00FB1ACE">
              <w:rPr>
                <w:rFonts w:ascii="Palatino Linotype" w:hAnsi="Palatino Linotype"/>
                <w:i/>
                <w:iCs/>
                <w:sz w:val="20"/>
                <w:szCs w:val="20"/>
              </w:rPr>
              <w:t xml:space="preserve"> range of potential benefits for projects</w:t>
            </w:r>
            <w:r>
              <w:rPr>
                <w:rFonts w:ascii="Palatino Linotype" w:hAnsi="Palatino Linotype"/>
                <w:i/>
                <w:iCs/>
                <w:sz w:val="20"/>
                <w:szCs w:val="20"/>
              </w:rPr>
              <w:t>.</w:t>
            </w:r>
            <w:r>
              <w:rPr>
                <w:rStyle w:val="FootnoteReference"/>
                <w:rFonts w:ascii="Palatino Linotype" w:hAnsi="Palatino Linotype"/>
                <w:i/>
                <w:iCs/>
                <w:sz w:val="20"/>
                <w:szCs w:val="20"/>
              </w:rPr>
              <w:footnoteReference w:id="144"/>
            </w:r>
            <w:r w:rsidRPr="00FB1ACE">
              <w:rPr>
                <w:rFonts w:ascii="Palatino Linotype" w:hAnsi="Palatino Linotype"/>
                <w:sz w:val="20"/>
                <w:szCs w:val="20"/>
              </w:rPr>
              <w:t xml:space="preserve"> </w:t>
            </w:r>
          </w:p>
        </w:tc>
        <w:tc>
          <w:tcPr>
            <w:tcW w:w="4770" w:type="dxa"/>
            <w:tcBorders>
              <w:top w:val="single" w:color="auto" w:sz="4" w:space="0"/>
              <w:left w:val="single" w:color="auto" w:sz="4" w:space="0"/>
              <w:bottom w:val="single" w:color="auto" w:sz="4" w:space="0"/>
              <w:right w:val="single" w:color="auto" w:sz="4" w:space="0"/>
            </w:tcBorders>
          </w:tcPr>
          <w:p w:rsidR="004B0BDA" w:rsidRDefault="004B0BDA" w14:paraId="7B49DF23" w14:textId="77777777">
            <w:pPr>
              <w:rPr>
                <w:rFonts w:ascii="Palatino Linotype" w:hAnsi="Palatino Linotype" w:eastAsia="Palatino Linotype" w:cs="Times New Roman"/>
                <w:color w:val="0D0D0D" w:themeColor="text1" w:themeTint="F2"/>
                <w:sz w:val="20"/>
                <w:szCs w:val="20"/>
              </w:rPr>
            </w:pPr>
            <w:r w:rsidRPr="00BA05FC">
              <w:rPr>
                <w:rFonts w:ascii="Palatino Linotype" w:hAnsi="Palatino Linotype"/>
                <w:sz w:val="20"/>
                <w:szCs w:val="20"/>
              </w:rPr>
              <w:lastRenderedPageBreak/>
              <w:t xml:space="preserve">PG&amp;E proposes a framework with suggested metrics related to reliability; safety; equity; operational efficiency and improved affordability; reduced </w:t>
            </w:r>
            <w:r>
              <w:rPr>
                <w:rFonts w:ascii="Palatino Linotype" w:hAnsi="Palatino Linotype"/>
                <w:sz w:val="20"/>
                <w:szCs w:val="20"/>
              </w:rPr>
              <w:t>greenhouse gas (GHG)</w:t>
            </w:r>
            <w:r w:rsidRPr="00BA05FC">
              <w:rPr>
                <w:rFonts w:ascii="Palatino Linotype" w:hAnsi="Palatino Linotype"/>
                <w:sz w:val="20"/>
                <w:szCs w:val="20"/>
              </w:rPr>
              <w:t xml:space="preserve"> emissions; improved air quality; effectiveness of information sharing; adoption of Gas RD&amp;D technology; technology development progress; and informed </w:t>
            </w:r>
            <w:r w:rsidRPr="00BA05FC">
              <w:rPr>
                <w:rFonts w:ascii="Palatino Linotype" w:hAnsi="Palatino Linotype"/>
                <w:sz w:val="20"/>
                <w:szCs w:val="20"/>
              </w:rPr>
              <w:lastRenderedPageBreak/>
              <w:t>industry and/or company standards</w:t>
            </w:r>
            <w:r>
              <w:rPr>
                <w:rFonts w:ascii="Palatino Linotype" w:hAnsi="Palatino Linotype"/>
                <w:sz w:val="20"/>
                <w:szCs w:val="20"/>
              </w:rPr>
              <w:t>.</w:t>
            </w:r>
            <w:r>
              <w:rPr>
                <w:rStyle w:val="FootnoteReference"/>
                <w:rFonts w:ascii="Palatino Linotype" w:hAnsi="Palatino Linotype"/>
                <w:sz w:val="20"/>
                <w:szCs w:val="20"/>
              </w:rPr>
              <w:footnoteReference w:id="145"/>
            </w:r>
            <w:r w:rsidRPr="00BA05FC">
              <w:rPr>
                <w:rFonts w:ascii="Palatino Linotype" w:hAnsi="Palatino Linotype"/>
                <w:sz w:val="20"/>
                <w:szCs w:val="20"/>
              </w:rPr>
              <w:t xml:space="preserve"> </w:t>
            </w:r>
            <w:r w:rsidRPr="00E91D6E">
              <w:rPr>
                <w:rFonts w:ascii="Palatino Linotype" w:hAnsi="Palatino Linotype" w:eastAsia="Palatino Linotype" w:cs="Times New Roman"/>
                <w:sz w:val="20"/>
                <w:szCs w:val="20"/>
              </w:rPr>
              <w:t>PG&amp;E describes intended benefits from the Gas System Integrity</w:t>
            </w:r>
            <w:r w:rsidRPr="00E91D6E">
              <w:rPr>
                <w:rStyle w:val="FootnoteReference"/>
                <w:rFonts w:ascii="Palatino Linotype" w:hAnsi="Palatino Linotype" w:eastAsia="Palatino Linotype" w:cs="Times New Roman"/>
                <w:sz w:val="20"/>
                <w:szCs w:val="20"/>
              </w:rPr>
              <w:footnoteReference w:id="146"/>
            </w:r>
            <w:r w:rsidRPr="00E91D6E">
              <w:rPr>
                <w:rFonts w:ascii="Palatino Linotype" w:hAnsi="Palatino Linotype" w:eastAsia="Palatino Linotype" w:cs="Times New Roman"/>
                <w:sz w:val="20"/>
                <w:szCs w:val="20"/>
              </w:rPr>
              <w:t xml:space="preserve"> and Decarbonization Themes,</w:t>
            </w:r>
            <w:r w:rsidRPr="00E91D6E">
              <w:rPr>
                <w:rStyle w:val="FootnoteReference"/>
                <w:rFonts w:ascii="Palatino Linotype" w:hAnsi="Palatino Linotype" w:eastAsia="Palatino Linotype" w:cs="Times New Roman"/>
                <w:sz w:val="20"/>
                <w:szCs w:val="20"/>
              </w:rPr>
              <w:footnoteReference w:id="147"/>
            </w:r>
            <w:r w:rsidRPr="00E91D6E">
              <w:rPr>
                <w:rFonts w:ascii="Palatino Linotype" w:hAnsi="Palatino Linotype" w:eastAsia="Palatino Linotype" w:cs="Times New Roman"/>
                <w:sz w:val="20"/>
                <w:szCs w:val="20"/>
              </w:rPr>
              <w:t xml:space="preserve"> </w:t>
            </w:r>
            <w:r w:rsidRPr="005B62F1">
              <w:rPr>
                <w:rFonts w:ascii="Palatino Linotype" w:hAnsi="Palatino Linotype" w:eastAsia="Palatino Linotype" w:cs="Times New Roman"/>
                <w:color w:val="000000" w:themeColor="text1"/>
                <w:sz w:val="20"/>
                <w:szCs w:val="20"/>
              </w:rPr>
              <w:t xml:space="preserve">as well as specific metrics for assessing ratepayer benefits at the </w:t>
            </w:r>
            <w:r w:rsidRPr="00EB0492">
              <w:rPr>
                <w:rFonts w:ascii="Palatino Linotype" w:hAnsi="Palatino Linotype" w:eastAsia="Palatino Linotype" w:cs="Times New Roman"/>
                <w:color w:val="0D0D0D" w:themeColor="text1" w:themeTint="F2"/>
                <w:sz w:val="20"/>
                <w:szCs w:val="20"/>
              </w:rPr>
              <w:t>Initiative level.</w:t>
            </w:r>
            <w:r w:rsidRPr="00EB0492">
              <w:rPr>
                <w:rStyle w:val="FootnoteReference"/>
                <w:rFonts w:ascii="Palatino Linotype" w:hAnsi="Palatino Linotype" w:eastAsia="Palatino Linotype" w:cs="Times New Roman"/>
                <w:color w:val="0D0D0D" w:themeColor="text1" w:themeTint="F2"/>
                <w:sz w:val="20"/>
                <w:szCs w:val="20"/>
              </w:rPr>
              <w:footnoteReference w:id="148"/>
            </w:r>
            <w:r w:rsidRPr="00EB0492">
              <w:rPr>
                <w:rFonts w:ascii="Palatino Linotype" w:hAnsi="Palatino Linotype" w:eastAsia="Palatino Linotype" w:cs="Times New Roman"/>
                <w:color w:val="0D0D0D" w:themeColor="text1" w:themeTint="F2"/>
                <w:sz w:val="20"/>
                <w:szCs w:val="20"/>
              </w:rPr>
              <w:t xml:space="preserve"> </w:t>
            </w:r>
          </w:p>
          <w:p w:rsidR="004B0BDA" w:rsidRDefault="004B0BDA" w14:paraId="5C024450" w14:textId="77777777">
            <w:pPr>
              <w:rPr>
                <w:rFonts w:ascii="Palatino Linotype" w:hAnsi="Palatino Linotype" w:eastAsia="Palatino Linotype" w:cs="Times New Roman"/>
                <w:color w:val="000000" w:themeColor="text1"/>
                <w:sz w:val="20"/>
                <w:szCs w:val="20"/>
              </w:rPr>
            </w:pPr>
          </w:p>
          <w:p w:rsidRPr="008171B0" w:rsidR="004B0BDA" w:rsidRDefault="004B0BDA" w14:paraId="5E03A1FA" w14:textId="77777777">
            <w:pPr>
              <w:rPr>
                <w:rFonts w:ascii="Palatino Linotype" w:hAnsi="Palatino Linotype" w:eastAsia="Palatino Linotype" w:cs="Times New Roman"/>
                <w:color w:val="000000" w:themeColor="text1"/>
                <w:sz w:val="20"/>
                <w:szCs w:val="20"/>
              </w:rPr>
            </w:pPr>
            <w:r w:rsidRPr="008171B0">
              <w:rPr>
                <w:rFonts w:ascii="Palatino Linotype" w:hAnsi="Palatino Linotype" w:eastAsia="Palatino Linotype" w:cs="Times New Roman"/>
                <w:color w:val="000000" w:themeColor="text1"/>
                <w:sz w:val="20"/>
                <w:szCs w:val="20"/>
              </w:rPr>
              <w:t>Regarding the Emission Reduction Activities and Refined Reporting Initiative, PG&amp;E states that “[m]uch of PG&amp;E’s current reporting still relies on generalized, population based emission factors, which can obscure the company’s actual performance and hinder its ability to demonstrate the impact of its emissions reduction programs… [and meet] internal and regulatory emission reduction goals.”</w:t>
            </w:r>
            <w:r w:rsidRPr="008171B0">
              <w:rPr>
                <w:rStyle w:val="FootnoteReference"/>
                <w:rFonts w:ascii="Palatino Linotype" w:hAnsi="Palatino Linotype" w:eastAsia="Palatino Linotype" w:cs="Times New Roman"/>
                <w:color w:val="000000" w:themeColor="text1"/>
                <w:sz w:val="20"/>
                <w:szCs w:val="20"/>
              </w:rPr>
              <w:footnoteReference w:id="149"/>
            </w:r>
          </w:p>
          <w:p w:rsidR="004B0BDA" w:rsidRDefault="004B0BDA" w14:paraId="4C69E9C2" w14:textId="77777777">
            <w:pPr>
              <w:rPr>
                <w:rFonts w:ascii="Palatino Linotype" w:hAnsi="Palatino Linotype"/>
                <w:color w:val="0D0D0D" w:themeColor="text1" w:themeTint="F2"/>
                <w:sz w:val="20"/>
                <w:szCs w:val="20"/>
              </w:rPr>
            </w:pPr>
          </w:p>
          <w:p w:rsidR="004B0BDA" w:rsidRDefault="004B0BDA" w14:paraId="16398D92" w14:textId="77777777">
            <w:pPr>
              <w:rPr>
                <w:rFonts w:ascii="Palatino Linotype" w:hAnsi="Palatino Linotype" w:eastAsia="Palatino Linotype" w:cs="Times New Roman"/>
                <w:color w:val="000000" w:themeColor="text1"/>
                <w:sz w:val="20"/>
                <w:szCs w:val="20"/>
              </w:rPr>
            </w:pPr>
            <w:r w:rsidRPr="00EB0492">
              <w:rPr>
                <w:rFonts w:ascii="Palatino Linotype" w:hAnsi="Palatino Linotype"/>
                <w:color w:val="0D0D0D" w:themeColor="text1" w:themeTint="F2"/>
                <w:sz w:val="20"/>
                <w:szCs w:val="20"/>
              </w:rPr>
              <w:lastRenderedPageBreak/>
              <w:t xml:space="preserve">PG&amp;E describes plans to select </w:t>
            </w:r>
            <w:r w:rsidRPr="00BA05FC">
              <w:rPr>
                <w:rFonts w:ascii="Palatino Linotype" w:hAnsi="Palatino Linotype"/>
                <w:sz w:val="20"/>
                <w:szCs w:val="20"/>
              </w:rPr>
              <w:t xml:space="preserve">metrics appropriate for specific project scopes and stated objectives and intermittently assessing progress towards the intended goals by </w:t>
            </w:r>
            <w:r w:rsidRPr="002F48F0">
              <w:rPr>
                <w:rFonts w:ascii="Palatino Linotype" w:hAnsi="Palatino Linotype"/>
                <w:color w:val="0D0D0D" w:themeColor="text1" w:themeTint="F2"/>
                <w:sz w:val="20"/>
                <w:szCs w:val="20"/>
              </w:rPr>
              <w:t>measuring the selected metrics if appropriate.</w:t>
            </w:r>
            <w:r w:rsidRPr="002F48F0">
              <w:rPr>
                <w:rStyle w:val="FootnoteReference"/>
                <w:rFonts w:ascii="Palatino Linotype" w:hAnsi="Palatino Linotype"/>
                <w:color w:val="0D0D0D" w:themeColor="text1" w:themeTint="F2"/>
                <w:sz w:val="20"/>
                <w:szCs w:val="20"/>
              </w:rPr>
              <w:footnoteReference w:id="150"/>
            </w:r>
            <w:r w:rsidRPr="002F48F0">
              <w:rPr>
                <w:rFonts w:ascii="Palatino Linotype" w:hAnsi="Palatino Linotype"/>
                <w:color w:val="0D0D0D" w:themeColor="text1" w:themeTint="F2"/>
                <w:sz w:val="20"/>
                <w:szCs w:val="20"/>
              </w:rPr>
              <w:t xml:space="preserve"> </w:t>
            </w:r>
            <w:r w:rsidRPr="000C17B7">
              <w:rPr>
                <w:rFonts w:ascii="Palatino Linotype" w:hAnsi="Palatino Linotype"/>
                <w:color w:val="000000" w:themeColor="text1"/>
                <w:sz w:val="20"/>
                <w:szCs w:val="20"/>
              </w:rPr>
              <w:t>PG&amp;E states in its assumptions that “</w:t>
            </w:r>
            <w:r>
              <w:rPr>
                <w:rFonts w:ascii="Palatino Linotype" w:hAnsi="Palatino Linotype"/>
                <w:color w:val="000000" w:themeColor="text1"/>
                <w:sz w:val="20"/>
                <w:szCs w:val="20"/>
              </w:rPr>
              <w:t>[n]ot</w:t>
            </w:r>
            <w:r w:rsidRPr="000C17B7">
              <w:rPr>
                <w:rFonts w:ascii="Palatino Linotype" w:hAnsi="Palatino Linotype"/>
                <w:color w:val="000000" w:themeColor="text1"/>
                <w:sz w:val="20"/>
                <w:szCs w:val="20"/>
              </w:rPr>
              <w:t xml:space="preserve"> all projects should be required to conduct an impacts analysis [as] smaller projects may be more exploratory in nature, and the effort associated with the analysis may be unduly burdensome.”</w:t>
            </w:r>
            <w:r w:rsidRPr="000C17B7">
              <w:rPr>
                <w:rStyle w:val="FootnoteReference"/>
                <w:rFonts w:ascii="Palatino Linotype" w:hAnsi="Palatino Linotype"/>
                <w:color w:val="000000" w:themeColor="text1"/>
                <w:sz w:val="20"/>
                <w:szCs w:val="20"/>
              </w:rPr>
              <w:footnoteReference w:id="151"/>
            </w:r>
            <w:r w:rsidRPr="008171B0">
              <w:rPr>
                <w:rFonts w:ascii="Palatino Linotype" w:hAnsi="Palatino Linotype" w:eastAsia="Palatino Linotype" w:cs="Times New Roman"/>
                <w:color w:val="000000" w:themeColor="text1"/>
                <w:sz w:val="20"/>
                <w:szCs w:val="20"/>
              </w:rPr>
              <w:t xml:space="preserve"> </w:t>
            </w:r>
          </w:p>
          <w:p w:rsidRPr="00FB1ACE" w:rsidR="004B0BDA" w:rsidRDefault="004B0BDA" w14:paraId="38F8E891" w14:textId="77777777">
            <w:pPr>
              <w:rPr>
                <w:rFonts w:ascii="Palatino Linotype" w:hAnsi="Palatino Linotype"/>
                <w:sz w:val="20"/>
                <w:szCs w:val="20"/>
              </w:rPr>
            </w:pPr>
          </w:p>
        </w:tc>
        <w:tc>
          <w:tcPr>
            <w:tcW w:w="4140" w:type="dxa"/>
            <w:tcBorders>
              <w:top w:val="single" w:color="auto" w:sz="4" w:space="0"/>
              <w:left w:val="single" w:color="auto" w:sz="4" w:space="0"/>
              <w:bottom w:val="single" w:color="auto" w:sz="4" w:space="0"/>
              <w:right w:val="single" w:color="auto" w:sz="4" w:space="0"/>
            </w:tcBorders>
          </w:tcPr>
          <w:p w:rsidRPr="00787699" w:rsidR="00CD2F5F" w:rsidP="00CD2F5F" w:rsidRDefault="00CD2F5F" w14:paraId="7F53F4CE" w14:textId="4409D685">
            <w:pPr>
              <w:contextualSpacing/>
              <w:rPr>
                <w:rFonts w:ascii="Palatino Linotype" w:hAnsi="Palatino Linotype" w:eastAsia="Palatino Linotype" w:cs="Times New Roman"/>
                <w:color w:val="000000" w:themeColor="text1"/>
                <w:sz w:val="20"/>
                <w:szCs w:val="20"/>
              </w:rPr>
            </w:pPr>
            <w:r w:rsidRPr="004E5093">
              <w:rPr>
                <w:rFonts w:ascii="Palatino Linotype" w:hAnsi="Palatino Linotype"/>
                <w:color w:val="000000" w:themeColor="text1"/>
                <w:sz w:val="20"/>
                <w:szCs w:val="20"/>
              </w:rPr>
              <w:lastRenderedPageBreak/>
              <w:t xml:space="preserve">PG&amp;E did not propose an adequate benefits analysis </w:t>
            </w:r>
            <w:r w:rsidRPr="00787699">
              <w:rPr>
                <w:rFonts w:ascii="Palatino Linotype" w:hAnsi="Palatino Linotype"/>
                <w:color w:val="000000" w:themeColor="text1"/>
                <w:sz w:val="20"/>
                <w:szCs w:val="20"/>
              </w:rPr>
              <w:t xml:space="preserve">framework created in consultation with ED staff. </w:t>
            </w:r>
            <w:r w:rsidRPr="00787699">
              <w:rPr>
                <w:rFonts w:ascii="Palatino Linotype" w:hAnsi="Palatino Linotype" w:eastAsia="Palatino Linotype" w:cs="Times New Roman"/>
                <w:color w:val="000000" w:themeColor="text1"/>
                <w:sz w:val="20"/>
                <w:szCs w:val="20"/>
              </w:rPr>
              <w:t>The Commission’s Uniform Impact Analysis Foundational Principles</w:t>
            </w:r>
            <w:r w:rsidRPr="00787699" w:rsidR="00C95B0D">
              <w:rPr>
                <w:rFonts w:ascii="Palatino Linotype" w:hAnsi="Palatino Linotype" w:eastAsia="Palatino Linotype" w:cs="Times New Roman"/>
                <w:color w:val="000000" w:themeColor="text1"/>
                <w:sz w:val="20"/>
                <w:szCs w:val="20"/>
              </w:rPr>
              <w:t>, which w</w:t>
            </w:r>
            <w:r w:rsidRPr="00787699" w:rsidR="00765AF8">
              <w:rPr>
                <w:rFonts w:ascii="Palatino Linotype" w:hAnsi="Palatino Linotype" w:eastAsia="Palatino Linotype" w:cs="Times New Roman"/>
                <w:color w:val="000000" w:themeColor="text1"/>
                <w:sz w:val="20"/>
                <w:szCs w:val="20"/>
              </w:rPr>
              <w:t>ere</w:t>
            </w:r>
            <w:r w:rsidRPr="00787699" w:rsidR="00C95B0D">
              <w:rPr>
                <w:rFonts w:ascii="Palatino Linotype" w:hAnsi="Palatino Linotype" w:eastAsia="Palatino Linotype" w:cs="Times New Roman"/>
                <w:color w:val="000000" w:themeColor="text1"/>
                <w:sz w:val="20"/>
                <w:szCs w:val="20"/>
              </w:rPr>
              <w:t xml:space="preserve"> provided to </w:t>
            </w:r>
            <w:r w:rsidRPr="00787699" w:rsidR="001F2085">
              <w:rPr>
                <w:rFonts w:ascii="Palatino Linotype" w:hAnsi="Palatino Linotype" w:eastAsia="Palatino Linotype" w:cs="Times New Roman"/>
                <w:color w:val="000000" w:themeColor="text1"/>
                <w:sz w:val="20"/>
                <w:szCs w:val="20"/>
              </w:rPr>
              <w:t xml:space="preserve">PG&amp;E by </w:t>
            </w:r>
            <w:r w:rsidRPr="00787699" w:rsidR="00EB72F0">
              <w:rPr>
                <w:rFonts w:ascii="Palatino Linotype" w:hAnsi="Palatino Linotype" w:eastAsia="Palatino Linotype" w:cs="Times New Roman"/>
                <w:color w:val="000000" w:themeColor="text1"/>
                <w:sz w:val="20"/>
                <w:szCs w:val="20"/>
              </w:rPr>
              <w:t xml:space="preserve">CPUC </w:t>
            </w:r>
            <w:r w:rsidRPr="00787699" w:rsidR="001F2085">
              <w:rPr>
                <w:rFonts w:ascii="Palatino Linotype" w:hAnsi="Palatino Linotype" w:eastAsia="Palatino Linotype" w:cs="Times New Roman"/>
                <w:color w:val="000000" w:themeColor="text1"/>
                <w:sz w:val="20"/>
                <w:szCs w:val="20"/>
              </w:rPr>
              <w:t>staff,</w:t>
            </w:r>
            <w:r w:rsidRPr="00787699" w:rsidR="002A7592">
              <w:rPr>
                <w:rStyle w:val="FootnoteReference"/>
                <w:rFonts w:ascii="Palatino Linotype" w:hAnsi="Palatino Linotype" w:eastAsia="Palatino Linotype" w:cs="Times New Roman"/>
                <w:color w:val="000000" w:themeColor="text1"/>
                <w:sz w:val="20"/>
                <w:szCs w:val="20"/>
              </w:rPr>
              <w:footnoteReference w:id="152"/>
            </w:r>
            <w:r w:rsidRPr="00787699">
              <w:rPr>
                <w:rFonts w:ascii="Palatino Linotype" w:hAnsi="Palatino Linotype" w:eastAsia="Palatino Linotype" w:cs="Times New Roman"/>
                <w:color w:val="000000" w:themeColor="text1"/>
                <w:sz w:val="20"/>
                <w:szCs w:val="20"/>
              </w:rPr>
              <w:t xml:space="preserve"> </w:t>
            </w:r>
            <w:r w:rsidRPr="00787699">
              <w:rPr>
                <w:rFonts w:ascii="Palatino Linotype" w:hAnsi="Palatino Linotype"/>
                <w:color w:val="000000" w:themeColor="text1"/>
                <w:sz w:val="20"/>
                <w:szCs w:val="20"/>
              </w:rPr>
              <w:t xml:space="preserve">outline criteria for </w:t>
            </w:r>
            <w:r w:rsidRPr="00787699">
              <w:rPr>
                <w:rFonts w:ascii="Palatino Linotype" w:hAnsi="Palatino Linotype" w:eastAsia="Century Gothic" w:cs="Century Gothic"/>
                <w:color w:val="000000" w:themeColor="text1"/>
                <w:sz w:val="20"/>
                <w:szCs w:val="20"/>
              </w:rPr>
              <w:t xml:space="preserve">demonstrating impacts </w:t>
            </w:r>
            <w:r w:rsidRPr="00787699">
              <w:rPr>
                <w:rFonts w:ascii="Palatino Linotype" w:hAnsi="Palatino Linotype" w:eastAsia="Palatino Linotype" w:cs="Times New Roman"/>
                <w:color w:val="000000" w:themeColor="text1"/>
                <w:sz w:val="20"/>
                <w:szCs w:val="20"/>
              </w:rPr>
              <w:t xml:space="preserve">attributable to each distinct RD&amp;D </w:t>
            </w:r>
            <w:r w:rsidRPr="00787699">
              <w:rPr>
                <w:rFonts w:ascii="Palatino Linotype" w:hAnsi="Palatino Linotype" w:eastAsia="Palatino Linotype" w:cs="Times New Roman"/>
                <w:color w:val="000000" w:themeColor="text1"/>
                <w:sz w:val="20"/>
                <w:szCs w:val="20"/>
              </w:rPr>
              <w:lastRenderedPageBreak/>
              <w:t>investment,</w:t>
            </w:r>
            <w:r w:rsidRPr="00787699">
              <w:rPr>
                <w:rStyle w:val="FootnoteReference"/>
                <w:rFonts w:ascii="Palatino Linotype" w:hAnsi="Palatino Linotype" w:eastAsia="Palatino Linotype" w:cs="Times New Roman"/>
                <w:color w:val="000000" w:themeColor="text1"/>
                <w:sz w:val="20"/>
                <w:szCs w:val="20"/>
              </w:rPr>
              <w:footnoteReference w:id="153"/>
            </w:r>
            <w:r w:rsidRPr="00787699">
              <w:rPr>
                <w:rFonts w:ascii="Palatino Linotype" w:hAnsi="Palatino Linotype" w:eastAsia="Palatino Linotype" w:cs="Times New Roman"/>
                <w:color w:val="000000" w:themeColor="text1"/>
                <w:sz w:val="20"/>
                <w:szCs w:val="20"/>
              </w:rPr>
              <w:t xml:space="preserve"> which must otherwise not be expected to occur.</w:t>
            </w:r>
            <w:r w:rsidRPr="00787699">
              <w:rPr>
                <w:rStyle w:val="FootnoteReference"/>
                <w:rFonts w:ascii="Palatino Linotype" w:hAnsi="Palatino Linotype" w:eastAsia="Palatino Linotype" w:cs="Times New Roman"/>
                <w:color w:val="000000" w:themeColor="text1"/>
                <w:sz w:val="20"/>
                <w:szCs w:val="20"/>
              </w:rPr>
              <w:footnoteReference w:id="154"/>
            </w:r>
            <w:r w:rsidRPr="00787699">
              <w:rPr>
                <w:rFonts w:ascii="Palatino Linotype" w:hAnsi="Palatino Linotype" w:eastAsia="Palatino Linotype" w:cs="Times New Roman"/>
                <w:color w:val="000000" w:themeColor="text1"/>
                <w:sz w:val="20"/>
                <w:szCs w:val="20"/>
              </w:rPr>
              <w:t xml:space="preserve">  </w:t>
            </w:r>
          </w:p>
          <w:p w:rsidRPr="00787699" w:rsidR="00CD2F5F" w:rsidP="00CD2F5F" w:rsidRDefault="00CD2F5F" w14:paraId="52E38BCE" w14:textId="77777777">
            <w:pPr>
              <w:contextualSpacing/>
              <w:rPr>
                <w:rFonts w:ascii="Palatino Linotype" w:hAnsi="Palatino Linotype" w:eastAsia="Palatino Linotype" w:cs="Times New Roman"/>
                <w:color w:val="000000" w:themeColor="text1"/>
                <w:sz w:val="20"/>
                <w:szCs w:val="20"/>
              </w:rPr>
            </w:pPr>
          </w:p>
          <w:p w:rsidRPr="000C17B7" w:rsidR="004B0BDA" w:rsidRDefault="00CD2F5F" w14:paraId="1E8B816F" w14:textId="2980348E">
            <w:pPr>
              <w:contextualSpacing/>
              <w:rPr>
                <w:rFonts w:ascii="Palatino Linotype" w:hAnsi="Palatino Linotype" w:eastAsia="Palatino Linotype" w:cs="Times New Roman"/>
                <w:sz w:val="20"/>
                <w:szCs w:val="20"/>
              </w:rPr>
            </w:pPr>
            <w:r w:rsidRPr="00787699">
              <w:rPr>
                <w:rFonts w:ascii="Palatino Linotype" w:hAnsi="Palatino Linotype" w:eastAsia="Palatino Linotype" w:cs="Times New Roman"/>
                <w:color w:val="000000" w:themeColor="text1"/>
                <w:sz w:val="20"/>
                <w:szCs w:val="20"/>
              </w:rPr>
              <w:t>Specifically, s</w:t>
            </w:r>
            <w:r w:rsidRPr="00787699">
              <w:rPr>
                <w:rFonts w:ascii="Palatino Linotype" w:hAnsi="Palatino Linotype"/>
                <w:color w:val="000000" w:themeColor="text1"/>
                <w:sz w:val="20"/>
                <w:szCs w:val="20"/>
              </w:rPr>
              <w:t>everal of the safety and environmental benefits associated with the Innovative and Cost-Effective Integrity Management Initiative may be more appropriately attributed to impacts from the referenced Pipeline and Hazardous Materials Safety Administration (PHMSA) Mega Rule and mandates from the California Geological Energy Management Division (CalGEM).</w:t>
            </w:r>
            <w:r w:rsidRPr="00787699">
              <w:rPr>
                <w:rStyle w:val="FootnoteReference"/>
                <w:rFonts w:ascii="Palatino Linotype" w:hAnsi="Palatino Linotype"/>
                <w:color w:val="000000" w:themeColor="text1"/>
                <w:sz w:val="20"/>
                <w:szCs w:val="20"/>
              </w:rPr>
              <w:footnoteReference w:id="155"/>
            </w:r>
            <w:r w:rsidRPr="00787699">
              <w:rPr>
                <w:rFonts w:ascii="Palatino Linotype" w:hAnsi="Palatino Linotype"/>
                <w:color w:val="000000" w:themeColor="text1"/>
                <w:sz w:val="20"/>
                <w:szCs w:val="20"/>
              </w:rPr>
              <w:t xml:space="preserve"> The primary objective of </w:t>
            </w:r>
            <w:r w:rsidRPr="00787699">
              <w:rPr>
                <w:rFonts w:ascii="Palatino Linotype" w:hAnsi="Palatino Linotype" w:eastAsia="Palatino Linotype" w:cs="Times New Roman"/>
                <w:color w:val="000000" w:themeColor="text1"/>
                <w:sz w:val="20"/>
                <w:szCs w:val="20"/>
              </w:rPr>
              <w:t>PG&amp;E’s proposed Emission Reduction Activities and Refined Reporting Initiative appears to be meeting regulatory goals</w:t>
            </w:r>
            <w:r w:rsidRPr="00787699" w:rsidR="00AC6777">
              <w:rPr>
                <w:rStyle w:val="FootnoteReference"/>
                <w:rFonts w:ascii="Palatino Linotype" w:hAnsi="Palatino Linotype" w:eastAsia="Palatino Linotype" w:cs="Times New Roman"/>
                <w:color w:val="000000" w:themeColor="text1"/>
                <w:sz w:val="20"/>
                <w:szCs w:val="20"/>
              </w:rPr>
              <w:footnoteReference w:id="156"/>
            </w:r>
            <w:r w:rsidRPr="00787699">
              <w:rPr>
                <w:rFonts w:ascii="Palatino Linotype" w:hAnsi="Palatino Linotype" w:eastAsia="Palatino Linotype" w:cs="Times New Roman"/>
                <w:color w:val="000000" w:themeColor="text1"/>
                <w:sz w:val="20"/>
                <w:szCs w:val="20"/>
              </w:rPr>
              <w:t xml:space="preserve"> rather than providing ratepayer benefit. </w:t>
            </w:r>
            <w:r w:rsidRPr="00787699">
              <w:rPr>
                <w:rFonts w:ascii="Palatino Linotype" w:hAnsi="Palatino Linotype" w:eastAsia="Palatino Linotype" w:cs="Times New Roman"/>
                <w:color w:val="000000" w:themeColor="text1"/>
                <w:sz w:val="20"/>
                <w:szCs w:val="20"/>
              </w:rPr>
              <w:lastRenderedPageBreak/>
              <w:t>PG&amp;E is also not compliant with these requirements in assuming</w:t>
            </w:r>
            <w:r w:rsidRPr="00787699">
              <w:rPr>
                <w:rFonts w:ascii="Palatino Linotype" w:hAnsi="Palatino Linotype"/>
                <w:color w:val="000000" w:themeColor="text1"/>
                <w:sz w:val="20"/>
                <w:szCs w:val="20"/>
              </w:rPr>
              <w:t xml:space="preserve"> </w:t>
            </w:r>
            <w:r w:rsidRPr="000C17B7">
              <w:rPr>
                <w:rFonts w:ascii="Palatino Linotype" w:hAnsi="Palatino Linotype"/>
                <w:color w:val="000000" w:themeColor="text1"/>
                <w:sz w:val="20"/>
                <w:szCs w:val="20"/>
              </w:rPr>
              <w:t>that “</w:t>
            </w:r>
            <w:r>
              <w:rPr>
                <w:rFonts w:ascii="Palatino Linotype" w:hAnsi="Palatino Linotype"/>
                <w:color w:val="000000" w:themeColor="text1"/>
                <w:sz w:val="20"/>
                <w:szCs w:val="20"/>
              </w:rPr>
              <w:t>[n]ot</w:t>
            </w:r>
            <w:r w:rsidRPr="000C17B7">
              <w:rPr>
                <w:rFonts w:ascii="Palatino Linotype" w:hAnsi="Palatino Linotype"/>
                <w:color w:val="000000" w:themeColor="text1"/>
                <w:sz w:val="20"/>
                <w:szCs w:val="20"/>
              </w:rPr>
              <w:t xml:space="preserve"> all projects should be required to conduct an impacts analysis</w:t>
            </w:r>
            <w:r w:rsidR="004E7E27">
              <w:rPr>
                <w:rFonts w:ascii="Palatino Linotype" w:hAnsi="Palatino Linotype"/>
                <w:color w:val="000000" w:themeColor="text1"/>
                <w:sz w:val="20"/>
                <w:szCs w:val="20"/>
              </w:rPr>
              <w:t>.</w:t>
            </w:r>
            <w:r>
              <w:rPr>
                <w:rFonts w:ascii="Palatino Linotype" w:hAnsi="Palatino Linotype"/>
                <w:color w:val="000000" w:themeColor="text1"/>
                <w:sz w:val="20"/>
                <w:szCs w:val="20"/>
              </w:rPr>
              <w:t>”</w:t>
            </w:r>
            <w:r>
              <w:rPr>
                <w:rStyle w:val="FootnoteReference"/>
                <w:rFonts w:ascii="Palatino Linotype" w:hAnsi="Palatino Linotype"/>
                <w:color w:val="000000" w:themeColor="text1"/>
                <w:sz w:val="20"/>
                <w:szCs w:val="20"/>
              </w:rPr>
              <w:footnoteReference w:id="157"/>
            </w:r>
            <w:r>
              <w:rPr>
                <w:rFonts w:ascii="Palatino Linotype" w:hAnsi="Palatino Linotype"/>
                <w:color w:val="000000" w:themeColor="text1"/>
                <w:sz w:val="20"/>
                <w:szCs w:val="20"/>
              </w:rPr>
              <w:t xml:space="preserve"> </w:t>
            </w:r>
            <w:r w:rsidR="004B0BDA">
              <w:rPr>
                <w:rFonts w:ascii="Palatino Linotype" w:hAnsi="Palatino Linotype"/>
                <w:b/>
                <w:bCs w:val="0"/>
                <w:sz w:val="20"/>
                <w:szCs w:val="20"/>
              </w:rPr>
              <w:t>P</w:t>
            </w:r>
            <w:r w:rsidRPr="00712165" w:rsidR="004B0BDA">
              <w:rPr>
                <w:rFonts w:ascii="Palatino Linotype" w:hAnsi="Palatino Linotype"/>
                <w:b/>
                <w:bCs w:val="0"/>
                <w:sz w:val="20"/>
                <w:szCs w:val="20"/>
              </w:rPr>
              <w:t xml:space="preserve">G&amp;E is </w:t>
            </w:r>
            <w:r w:rsidRPr="00712165" w:rsidR="004B0BDA">
              <w:rPr>
                <w:rFonts w:ascii="Palatino Linotype" w:hAnsi="Palatino Linotype"/>
                <w:b/>
                <w:bCs w:val="0"/>
                <w:color w:val="000000" w:themeColor="text1"/>
                <w:sz w:val="20"/>
                <w:szCs w:val="20"/>
              </w:rPr>
              <w:t>not</w:t>
            </w:r>
            <w:r w:rsidRPr="00712165" w:rsidR="004B0BDA">
              <w:rPr>
                <w:rFonts w:ascii="Palatino Linotype" w:hAnsi="Palatino Linotype"/>
                <w:b/>
                <w:bCs w:val="0"/>
                <w:color w:val="EE0000"/>
                <w:sz w:val="20"/>
                <w:szCs w:val="20"/>
              </w:rPr>
              <w:t xml:space="preserve"> </w:t>
            </w:r>
            <w:r w:rsidRPr="00712165" w:rsidR="004B0BDA">
              <w:rPr>
                <w:rFonts w:ascii="Palatino Linotype" w:hAnsi="Palatino Linotype"/>
                <w:b/>
                <w:bCs w:val="0"/>
                <w:sz w:val="20"/>
                <w:szCs w:val="20"/>
              </w:rPr>
              <w:t>compliant with this requirement.</w:t>
            </w:r>
          </w:p>
        </w:tc>
      </w:tr>
      <w:tr w:rsidR="00534A20" w:rsidTr="00534A20" w14:paraId="72170CD1" w14:textId="77777777">
        <w:tc>
          <w:tcPr>
            <w:tcW w:w="3865" w:type="dxa"/>
            <w:tcBorders>
              <w:top w:val="single" w:color="auto" w:sz="4" w:space="0"/>
              <w:left w:val="single" w:color="auto" w:sz="4" w:space="0"/>
              <w:bottom w:val="single" w:color="auto" w:sz="4" w:space="0"/>
              <w:right w:val="single" w:color="auto" w:sz="4" w:space="0"/>
            </w:tcBorders>
          </w:tcPr>
          <w:p w:rsidRPr="00E40BDE" w:rsidR="004B0BDA" w:rsidRDefault="004B0BDA" w14:paraId="0CDF9E7A" w14:textId="77777777">
            <w:pPr>
              <w:rPr>
                <w:rFonts w:ascii="Palatino Linotype" w:hAnsi="Palatino Linotype"/>
                <w:color w:val="EE0000"/>
                <w:sz w:val="20"/>
                <w:szCs w:val="20"/>
              </w:rPr>
            </w:pPr>
            <w:r>
              <w:rPr>
                <w:rFonts w:ascii="Palatino Linotype" w:hAnsi="Palatino Linotype"/>
                <w:i/>
                <w:iCs/>
                <w:sz w:val="20"/>
                <w:szCs w:val="20"/>
              </w:rPr>
              <w:lastRenderedPageBreak/>
              <w:t xml:space="preserve">(3) </w:t>
            </w:r>
            <w:r w:rsidRPr="00DB1752">
              <w:rPr>
                <w:rFonts w:ascii="Palatino Linotype" w:hAnsi="Palatino Linotype"/>
                <w:i/>
                <w:iCs/>
                <w:sz w:val="20"/>
                <w:szCs w:val="20"/>
              </w:rPr>
              <w:t>PG&amp;E should cap its</w:t>
            </w:r>
            <w:r>
              <w:rPr>
                <w:rFonts w:ascii="Palatino Linotype" w:hAnsi="Palatino Linotype"/>
                <w:i/>
                <w:iCs/>
                <w:sz w:val="20"/>
                <w:szCs w:val="20"/>
              </w:rPr>
              <w:t xml:space="preserve"> </w:t>
            </w:r>
            <w:r w:rsidRPr="00DB1752">
              <w:rPr>
                <w:rFonts w:ascii="Palatino Linotype" w:hAnsi="Palatino Linotype"/>
                <w:i/>
                <w:iCs/>
                <w:sz w:val="20"/>
                <w:szCs w:val="20"/>
              </w:rPr>
              <w:t>administrative costs for Gas</w:t>
            </w:r>
            <w:r w:rsidRPr="00FB1ACE">
              <w:rPr>
                <w:rFonts w:ascii="Palatino Linotype" w:hAnsi="Palatino Linotype"/>
                <w:i/>
                <w:iCs/>
                <w:sz w:val="20"/>
                <w:szCs w:val="20"/>
              </w:rPr>
              <w:t xml:space="preserve"> </w:t>
            </w:r>
            <w:r w:rsidRPr="00DB1752">
              <w:rPr>
                <w:rFonts w:ascii="Palatino Linotype" w:hAnsi="Palatino Linotype"/>
                <w:i/>
                <w:iCs/>
                <w:sz w:val="20"/>
                <w:szCs w:val="20"/>
              </w:rPr>
              <w:t>RD&amp;D</w:t>
            </w:r>
            <w:r w:rsidRPr="00FB1ACE">
              <w:rPr>
                <w:rFonts w:ascii="Palatino Linotype" w:hAnsi="Palatino Linotype"/>
                <w:i/>
                <w:iCs/>
                <w:sz w:val="20"/>
                <w:szCs w:val="20"/>
              </w:rPr>
              <w:t xml:space="preserve"> </w:t>
            </w:r>
            <w:r w:rsidRPr="00DB1752">
              <w:rPr>
                <w:rFonts w:ascii="Palatino Linotype" w:hAnsi="Palatino Linotype"/>
                <w:i/>
                <w:iCs/>
                <w:sz w:val="20"/>
                <w:szCs w:val="20"/>
              </w:rPr>
              <w:t>at 10%</w:t>
            </w:r>
            <w:r>
              <w:rPr>
                <w:rFonts w:ascii="Palatino Linotype" w:hAnsi="Palatino Linotype"/>
                <w:i/>
                <w:iCs/>
                <w:sz w:val="20"/>
                <w:szCs w:val="20"/>
              </w:rPr>
              <w:t xml:space="preserve">... </w:t>
            </w:r>
            <w:r w:rsidRPr="00DB1752">
              <w:rPr>
                <w:rFonts w:ascii="Palatino Linotype" w:hAnsi="Palatino Linotype"/>
                <w:i/>
                <w:iCs/>
                <w:sz w:val="20"/>
                <w:szCs w:val="20"/>
              </w:rPr>
              <w:t>PG&amp;E’s annual research plan should provide</w:t>
            </w:r>
            <w:r>
              <w:rPr>
                <w:rFonts w:ascii="Palatino Linotype" w:hAnsi="Palatino Linotype"/>
                <w:i/>
                <w:iCs/>
                <w:sz w:val="20"/>
                <w:szCs w:val="20"/>
              </w:rPr>
              <w:t xml:space="preserve"> </w:t>
            </w:r>
            <w:r w:rsidRPr="00DB1752">
              <w:rPr>
                <w:rFonts w:ascii="Palatino Linotype" w:hAnsi="Palatino Linotype"/>
                <w:i/>
                <w:iCs/>
                <w:sz w:val="20"/>
                <w:szCs w:val="20"/>
              </w:rPr>
              <w:t>detail about administrative costs and require PG&amp;E to</w:t>
            </w:r>
            <w:r w:rsidRPr="00FB1ACE">
              <w:rPr>
                <w:rFonts w:ascii="Palatino Linotype" w:hAnsi="Palatino Linotype"/>
                <w:i/>
                <w:iCs/>
                <w:sz w:val="20"/>
                <w:szCs w:val="20"/>
              </w:rPr>
              <w:t xml:space="preserve"> </w:t>
            </w:r>
            <w:r w:rsidRPr="00DB1752">
              <w:rPr>
                <w:rFonts w:ascii="Palatino Linotype" w:hAnsi="Palatino Linotype"/>
                <w:i/>
                <w:iCs/>
                <w:sz w:val="20"/>
                <w:szCs w:val="20"/>
              </w:rPr>
              <w:t>allocate these cost categories to its administrative budget</w:t>
            </w:r>
            <w:r w:rsidRPr="00FB1ACE">
              <w:rPr>
                <w:rFonts w:ascii="Palatino Linotype" w:hAnsi="Palatino Linotype"/>
                <w:i/>
                <w:iCs/>
                <w:sz w:val="20"/>
                <w:szCs w:val="20"/>
              </w:rPr>
              <w:t xml:space="preserve"> as outlined below</w:t>
            </w:r>
            <w:r>
              <w:rPr>
                <w:rFonts w:ascii="Palatino Linotype" w:hAnsi="Palatino Linotype"/>
                <w:i/>
                <w:iCs/>
                <w:sz w:val="20"/>
                <w:szCs w:val="20"/>
              </w:rPr>
              <w:t>.</w:t>
            </w:r>
            <w:r>
              <w:rPr>
                <w:rStyle w:val="FootnoteReference"/>
                <w:rFonts w:ascii="Palatino Linotype" w:hAnsi="Palatino Linotype"/>
                <w:i/>
                <w:iCs/>
                <w:sz w:val="20"/>
                <w:szCs w:val="20"/>
              </w:rPr>
              <w:footnoteReference w:id="158"/>
            </w:r>
          </w:p>
        </w:tc>
        <w:tc>
          <w:tcPr>
            <w:tcW w:w="4770" w:type="dxa"/>
            <w:tcBorders>
              <w:top w:val="single" w:color="auto" w:sz="4" w:space="0"/>
              <w:left w:val="single" w:color="auto" w:sz="4" w:space="0"/>
              <w:bottom w:val="single" w:color="auto" w:sz="4" w:space="0"/>
              <w:right w:val="single" w:color="auto" w:sz="4" w:space="0"/>
            </w:tcBorders>
          </w:tcPr>
          <w:p w:rsidR="004B0BDA" w:rsidRDefault="004B0BDA" w14:paraId="79CF7174" w14:textId="77777777">
            <w:pPr>
              <w:rPr>
                <w:rFonts w:ascii="Palatino Linotype" w:hAnsi="Palatino Linotype" w:eastAsia="Palatino Linotype" w:cs="Times New Roman"/>
                <w:sz w:val="20"/>
                <w:szCs w:val="20"/>
              </w:rPr>
            </w:pPr>
            <w:r w:rsidRPr="00A05527">
              <w:rPr>
                <w:rFonts w:ascii="Palatino Linotype" w:hAnsi="Palatino Linotype" w:eastAsia="Palatino Linotype" w:cs="Times New Roman"/>
                <w:sz w:val="20"/>
                <w:szCs w:val="20"/>
              </w:rPr>
              <w:t xml:space="preserve">PG&amp;E proposes to allocate ten percent of </w:t>
            </w:r>
            <w:r>
              <w:rPr>
                <w:rFonts w:ascii="Palatino Linotype" w:hAnsi="Palatino Linotype" w:eastAsia="Palatino Linotype" w:cs="Times New Roman"/>
                <w:sz w:val="20"/>
                <w:szCs w:val="20"/>
              </w:rPr>
              <w:t xml:space="preserve">its </w:t>
            </w:r>
            <w:r w:rsidRPr="00A05527">
              <w:rPr>
                <w:rFonts w:ascii="Palatino Linotype" w:hAnsi="Palatino Linotype" w:eastAsia="Palatino Linotype" w:cs="Times New Roman"/>
                <w:sz w:val="20"/>
                <w:szCs w:val="20"/>
              </w:rPr>
              <w:t xml:space="preserve">annual total budget to </w:t>
            </w:r>
            <w:r w:rsidRPr="009A290C">
              <w:rPr>
                <w:rFonts w:ascii="Palatino Linotype" w:hAnsi="Palatino Linotype" w:eastAsia="Palatino Linotype" w:cs="Times New Roman"/>
                <w:color w:val="000000" w:themeColor="text1"/>
                <w:sz w:val="20"/>
                <w:szCs w:val="20"/>
              </w:rPr>
              <w:t>Program Administrative costs, translating to $809,200 in its 2024 Plan</w:t>
            </w:r>
            <w:r w:rsidRPr="00A05527">
              <w:rPr>
                <w:rFonts w:ascii="Palatino Linotype" w:hAnsi="Palatino Linotype" w:eastAsia="Palatino Linotype" w:cs="Times New Roman"/>
                <w:sz w:val="20"/>
                <w:szCs w:val="20"/>
              </w:rPr>
              <w:t>.</w:t>
            </w:r>
            <w:r w:rsidRPr="00A05527">
              <w:rPr>
                <w:rStyle w:val="FootnoteReference"/>
                <w:rFonts w:ascii="Palatino Linotype" w:hAnsi="Palatino Linotype" w:eastAsia="Palatino Linotype" w:cs="Times New Roman"/>
                <w:sz w:val="20"/>
                <w:szCs w:val="20"/>
              </w:rPr>
              <w:footnoteReference w:id="159"/>
            </w:r>
          </w:p>
          <w:p w:rsidR="004B0BDA" w:rsidRDefault="004B0BDA" w14:paraId="264065C1" w14:textId="77777777">
            <w:pPr>
              <w:rPr>
                <w:rFonts w:ascii="Palatino Linotype" w:hAnsi="Palatino Linotype" w:eastAsia="Palatino Linotype" w:cs="Times New Roman"/>
                <w:sz w:val="20"/>
                <w:szCs w:val="20"/>
              </w:rPr>
            </w:pPr>
          </w:p>
          <w:p w:rsidRPr="00FB1ACE" w:rsidR="004B0BDA" w:rsidRDefault="004B0BDA" w14:paraId="0F8C6546" w14:textId="77777777">
            <w:pPr>
              <w:rPr>
                <w:rFonts w:ascii="Palatino Linotype" w:hAnsi="Palatino Linotype"/>
                <w:sz w:val="20"/>
                <w:szCs w:val="20"/>
              </w:rPr>
            </w:pPr>
          </w:p>
        </w:tc>
        <w:tc>
          <w:tcPr>
            <w:tcW w:w="4140" w:type="dxa"/>
            <w:tcBorders>
              <w:top w:val="single" w:color="auto" w:sz="4" w:space="0"/>
              <w:left w:val="single" w:color="auto" w:sz="4" w:space="0"/>
              <w:bottom w:val="single" w:color="auto" w:sz="4" w:space="0"/>
              <w:right w:val="single" w:color="auto" w:sz="4" w:space="0"/>
            </w:tcBorders>
          </w:tcPr>
          <w:p w:rsidRPr="00A21DF1" w:rsidR="004B0BDA" w:rsidRDefault="004B0BDA" w14:paraId="1815DED6" w14:textId="40ED66F4">
            <w:pPr>
              <w:rPr>
                <w:rFonts w:ascii="Palatino Linotype" w:hAnsi="Palatino Linotype"/>
                <w:color w:val="000000" w:themeColor="text1"/>
                <w:sz w:val="20"/>
                <w:szCs w:val="20"/>
              </w:rPr>
            </w:pPr>
            <w:r w:rsidRPr="00A21DF1">
              <w:rPr>
                <w:rFonts w:ascii="Palatino Linotype" w:hAnsi="Palatino Linotype"/>
                <w:color w:val="000000" w:themeColor="text1"/>
                <w:sz w:val="20"/>
                <w:szCs w:val="20"/>
              </w:rPr>
              <w:t xml:space="preserve">PG&amp;E’s request for a Program Administrative budget of 10 percent of its annual Gas RD&amp;D budget is compliant with the Commission’s requirement of a 10 percent cap. </w:t>
            </w:r>
            <w:r w:rsidRPr="00B65AAD" w:rsidR="00B65AAD">
              <w:rPr>
                <w:rFonts w:ascii="Palatino Linotype" w:hAnsi="Palatino Linotype"/>
                <w:b/>
                <w:bCs w:val="0"/>
                <w:color w:val="000000" w:themeColor="text1"/>
                <w:sz w:val="20"/>
                <w:szCs w:val="20"/>
              </w:rPr>
              <w:t>PG&amp;E is compliant with this requirement.</w:t>
            </w:r>
          </w:p>
          <w:p w:rsidRPr="00A21DF1" w:rsidR="004B0BDA" w:rsidRDefault="004B0BDA" w14:paraId="1A127842" w14:textId="77777777">
            <w:pPr>
              <w:rPr>
                <w:rFonts w:ascii="Palatino Linotype" w:hAnsi="Palatino Linotype"/>
                <w:color w:val="000000" w:themeColor="text1"/>
                <w:sz w:val="20"/>
                <w:szCs w:val="20"/>
              </w:rPr>
            </w:pPr>
          </w:p>
          <w:p w:rsidRPr="00DD00B9" w:rsidR="004B0BDA" w:rsidRDefault="004B0BDA" w14:paraId="519C3E83" w14:textId="27DF5972">
            <w:pPr>
              <w:rPr>
                <w:rFonts w:ascii="Palatino Linotype" w:hAnsi="Palatino Linotype"/>
                <w:sz w:val="20"/>
                <w:szCs w:val="20"/>
              </w:rPr>
            </w:pPr>
            <w:r w:rsidRPr="00A21DF1">
              <w:rPr>
                <w:rFonts w:ascii="Palatino Linotype" w:hAnsi="Palatino Linotype"/>
                <w:color w:val="000000" w:themeColor="text1"/>
                <w:sz w:val="20"/>
                <w:szCs w:val="20"/>
              </w:rPr>
              <w:t xml:space="preserve">However, PG&amp;E does not allocate proposed Program Administrative costs to specific categories using the </w:t>
            </w:r>
            <w:r w:rsidR="001179DA">
              <w:rPr>
                <w:rFonts w:ascii="Palatino Linotype" w:hAnsi="Palatino Linotype"/>
                <w:color w:val="000000" w:themeColor="text1"/>
                <w:sz w:val="20"/>
                <w:szCs w:val="20"/>
              </w:rPr>
              <w:t xml:space="preserve">required </w:t>
            </w:r>
            <w:r w:rsidRPr="00A21DF1">
              <w:rPr>
                <w:rFonts w:ascii="Palatino Linotype" w:hAnsi="Palatino Linotype"/>
                <w:color w:val="000000" w:themeColor="text1"/>
                <w:sz w:val="20"/>
                <w:szCs w:val="20"/>
              </w:rPr>
              <w:t>Administrative Budget template</w:t>
            </w:r>
            <w:r w:rsidR="002D770D">
              <w:rPr>
                <w:rFonts w:ascii="Palatino Linotype" w:hAnsi="Palatino Linotype"/>
                <w:color w:val="000000" w:themeColor="text1"/>
                <w:sz w:val="20"/>
                <w:szCs w:val="20"/>
              </w:rPr>
              <w:t>.</w:t>
            </w:r>
            <w:r w:rsidR="002D770D">
              <w:rPr>
                <w:rStyle w:val="FootnoteReference"/>
                <w:rFonts w:ascii="Palatino Linotype" w:hAnsi="Palatino Linotype"/>
                <w:color w:val="000000" w:themeColor="text1"/>
                <w:sz w:val="20"/>
                <w:szCs w:val="20"/>
              </w:rPr>
              <w:footnoteReference w:id="160"/>
            </w:r>
            <w:r w:rsidR="002D770D">
              <w:rPr>
                <w:rStyle w:val="CommentReference"/>
                <w:rFonts w:asciiTheme="minorHAnsi" w:hAnsiTheme="minorHAnsi" w:cstheme="minorBidi"/>
                <w:bCs w:val="0"/>
                <w:kern w:val="2"/>
                <w14:ligatures w14:val="standardContextual"/>
              </w:rPr>
              <w:t xml:space="preserve"> </w:t>
            </w:r>
            <w:r w:rsidRPr="002D770D" w:rsidR="002D770D">
              <w:rPr>
                <w:rStyle w:val="CommentReference"/>
                <w:rFonts w:ascii="Palatino Linotype" w:hAnsi="Palatino Linotype"/>
                <w:b/>
                <w:bCs w:val="0"/>
                <w:sz w:val="20"/>
                <w:szCs w:val="20"/>
              </w:rPr>
              <w:t>P</w:t>
            </w:r>
            <w:r w:rsidRPr="007A291E">
              <w:rPr>
                <w:rFonts w:ascii="Palatino Linotype" w:hAnsi="Palatino Linotype"/>
                <w:b/>
                <w:bCs w:val="0"/>
                <w:color w:val="0D0D0D" w:themeColor="text1" w:themeTint="F2"/>
                <w:sz w:val="20"/>
                <w:szCs w:val="20"/>
              </w:rPr>
              <w:t>G&amp;E is not compliant with this requirement.</w:t>
            </w:r>
          </w:p>
        </w:tc>
      </w:tr>
      <w:tr w:rsidR="00534A20" w:rsidTr="00534A20" w14:paraId="058DE8B4" w14:textId="77777777">
        <w:tc>
          <w:tcPr>
            <w:tcW w:w="3865" w:type="dxa"/>
            <w:tcBorders>
              <w:top w:val="single" w:color="auto" w:sz="4" w:space="0"/>
              <w:left w:val="single" w:color="auto" w:sz="4" w:space="0"/>
              <w:bottom w:val="single" w:color="auto" w:sz="4" w:space="0"/>
              <w:right w:val="single" w:color="auto" w:sz="4" w:space="0"/>
            </w:tcBorders>
          </w:tcPr>
          <w:p w:rsidR="004B0BDA" w:rsidRDefault="004B0BDA" w14:paraId="795396F9" w14:textId="77777777">
            <w:pPr>
              <w:rPr>
                <w:rFonts w:ascii="Palatino Linotype" w:hAnsi="Palatino Linotype"/>
                <w:color w:val="000000" w:themeColor="text1"/>
                <w:sz w:val="20"/>
                <w:szCs w:val="20"/>
              </w:rPr>
            </w:pPr>
            <w:r w:rsidRPr="007B3378">
              <w:rPr>
                <w:rFonts w:ascii="Palatino Linotype" w:hAnsi="Palatino Linotype"/>
                <w:i/>
                <w:iCs/>
                <w:color w:val="000000" w:themeColor="text1"/>
                <w:sz w:val="20"/>
                <w:szCs w:val="20"/>
              </w:rPr>
              <w:lastRenderedPageBreak/>
              <w:t>4) In its annual research plan, PG&amp;E should explain how its proposals for low carbon research projects (rather than zero/no carbon projects) support the State’s aggressive zero-carbon goals</w:t>
            </w:r>
            <w:r w:rsidRPr="007B3378">
              <w:rPr>
                <w:rFonts w:ascii="Palatino Linotype" w:hAnsi="Palatino Linotype"/>
                <w:color w:val="000000" w:themeColor="text1"/>
                <w:sz w:val="20"/>
                <w:szCs w:val="20"/>
              </w:rPr>
              <w:t>.</w:t>
            </w:r>
            <w:r w:rsidRPr="007B3378">
              <w:rPr>
                <w:rStyle w:val="FootnoteReference"/>
                <w:rFonts w:ascii="Palatino Linotype" w:hAnsi="Palatino Linotype"/>
                <w:color w:val="000000" w:themeColor="text1"/>
                <w:sz w:val="20"/>
                <w:szCs w:val="20"/>
              </w:rPr>
              <w:footnoteReference w:id="161"/>
            </w:r>
          </w:p>
          <w:p w:rsidRPr="000F0852" w:rsidR="004B0BDA" w:rsidRDefault="004B0BDA" w14:paraId="16D3C1C6" w14:textId="77777777">
            <w:pPr>
              <w:rPr>
                <w:rFonts w:ascii="Palatino Linotype" w:hAnsi="Palatino Linotype"/>
                <w:b/>
                <w:i/>
                <w:iCs/>
                <w:color w:val="000000" w:themeColor="text1"/>
                <w:sz w:val="20"/>
                <w:szCs w:val="20"/>
              </w:rPr>
            </w:pPr>
          </w:p>
        </w:tc>
        <w:tc>
          <w:tcPr>
            <w:tcW w:w="4770" w:type="dxa"/>
            <w:tcBorders>
              <w:top w:val="single" w:color="auto" w:sz="4" w:space="0"/>
              <w:left w:val="single" w:color="auto" w:sz="4" w:space="0"/>
              <w:bottom w:val="single" w:color="auto" w:sz="4" w:space="0"/>
              <w:right w:val="single" w:color="auto" w:sz="4" w:space="0"/>
            </w:tcBorders>
          </w:tcPr>
          <w:p w:rsidRPr="00B63F6B" w:rsidR="004B0BDA" w:rsidRDefault="004B0BDA" w14:paraId="54BD9162" w14:textId="77777777">
            <w:p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PG&amp;E states that “low</w:t>
            </w:r>
            <w:r w:rsidRPr="00B63F6B">
              <w:rPr>
                <w:rFonts w:ascii="Palatino Linotype" w:hAnsi="Palatino Linotype" w:eastAsia="Palatino Linotype" w:cs="Times New Roman"/>
                <w:sz w:val="20"/>
                <w:szCs w:val="20"/>
              </w:rPr>
              <w:t>-carbon RD&amp;D projects can play a crucial role in supporting California's aggressive zero carbon</w:t>
            </w:r>
            <w:r>
              <w:rPr>
                <w:rFonts w:ascii="Palatino Linotype" w:hAnsi="Palatino Linotype" w:eastAsia="Palatino Linotype" w:cs="Times New Roman"/>
                <w:sz w:val="20"/>
                <w:szCs w:val="20"/>
              </w:rPr>
              <w:t xml:space="preserve"> </w:t>
            </w:r>
            <w:r w:rsidRPr="00B63F6B">
              <w:rPr>
                <w:rFonts w:ascii="Palatino Linotype" w:hAnsi="Palatino Linotype" w:eastAsia="Palatino Linotype" w:cs="Times New Roman"/>
                <w:sz w:val="20"/>
                <w:szCs w:val="20"/>
              </w:rPr>
              <w:t>goals by acting as a transitional bridge between the current energy landscape and a zero- or -low carbon future.</w:t>
            </w:r>
          </w:p>
          <w:p w:rsidRPr="00B63F6B" w:rsidR="004B0BDA" w:rsidRDefault="004B0BDA" w14:paraId="077F4F3F" w14:textId="77777777">
            <w:pPr>
              <w:rPr>
                <w:rFonts w:ascii="Palatino Linotype" w:hAnsi="Palatino Linotype" w:eastAsia="Palatino Linotype" w:cs="Times New Roman"/>
                <w:sz w:val="20"/>
                <w:szCs w:val="20"/>
              </w:rPr>
            </w:pPr>
            <w:r w:rsidRPr="00B63F6B">
              <w:rPr>
                <w:rFonts w:ascii="Palatino Linotype" w:hAnsi="Palatino Linotype" w:eastAsia="Palatino Linotype" w:cs="Times New Roman"/>
                <w:sz w:val="20"/>
                <w:szCs w:val="20"/>
              </w:rPr>
              <w:t>These projects can address immediate emission reductions while laying the groundwork for more comprehensive,</w:t>
            </w:r>
          </w:p>
          <w:p w:rsidR="004B0BDA" w:rsidRDefault="004B0BDA" w14:paraId="3A0FD3EB" w14:textId="77777777">
            <w:pPr>
              <w:rPr>
                <w:rFonts w:ascii="Palatino Linotype" w:hAnsi="Palatino Linotype" w:eastAsia="Palatino Linotype" w:cs="Times New Roman"/>
                <w:sz w:val="20"/>
                <w:szCs w:val="20"/>
              </w:rPr>
            </w:pPr>
            <w:r w:rsidRPr="00B63F6B">
              <w:rPr>
                <w:rFonts w:ascii="Palatino Linotype" w:hAnsi="Palatino Linotype" w:eastAsia="Palatino Linotype" w:cs="Times New Roman"/>
                <w:sz w:val="20"/>
                <w:szCs w:val="20"/>
              </w:rPr>
              <w:t>long-term decarbonization strategies</w:t>
            </w:r>
            <w:r>
              <w:rPr>
                <w:rFonts w:ascii="Palatino Linotype" w:hAnsi="Palatino Linotype" w:eastAsia="Palatino Linotype" w:cs="Times New Roman"/>
                <w:sz w:val="20"/>
                <w:szCs w:val="20"/>
              </w:rPr>
              <w:t>.”</w:t>
            </w:r>
            <w:r>
              <w:rPr>
                <w:rStyle w:val="FootnoteReference"/>
                <w:rFonts w:ascii="Palatino Linotype" w:hAnsi="Palatino Linotype" w:eastAsia="Palatino Linotype" w:cs="Times New Roman"/>
                <w:sz w:val="20"/>
                <w:szCs w:val="20"/>
              </w:rPr>
              <w:footnoteReference w:id="162"/>
            </w:r>
            <w:r>
              <w:rPr>
                <w:rFonts w:ascii="Palatino Linotype" w:hAnsi="Palatino Linotype" w:eastAsia="Palatino Linotype" w:cs="Times New Roman"/>
                <w:sz w:val="20"/>
                <w:szCs w:val="20"/>
              </w:rPr>
              <w:t xml:space="preserve"> PG&amp;E argues that: </w:t>
            </w:r>
          </w:p>
          <w:p w:rsidR="004B0BDA" w:rsidP="004B0BDA" w:rsidRDefault="004B0BDA" w14:paraId="0C41A269" w14:textId="77777777">
            <w:pPr>
              <w:pStyle w:val="ListParagraph"/>
              <w:numPr>
                <w:ilvl w:val="0"/>
                <w:numId w:val="49"/>
              </w:num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 xml:space="preserve">Low-carbon projects </w:t>
            </w:r>
            <w:r w:rsidRPr="0072770C">
              <w:rPr>
                <w:rFonts w:ascii="Palatino Linotype" w:hAnsi="Palatino Linotype" w:eastAsia="Palatino Linotype" w:cs="Times New Roman"/>
                <w:sz w:val="20"/>
                <w:szCs w:val="20"/>
              </w:rPr>
              <w:t>which provide incremental methane emissions reductions from existing gas infrastructure and operations “still represent a substantial improvement over current emission levels.”</w:t>
            </w:r>
          </w:p>
          <w:p w:rsidR="004B0BDA" w:rsidP="004B0BDA" w:rsidRDefault="004B0BDA" w14:paraId="4D0046EC" w14:textId="77777777">
            <w:pPr>
              <w:pStyle w:val="ListParagraph"/>
              <w:numPr>
                <w:ilvl w:val="0"/>
                <w:numId w:val="49"/>
              </w:numPr>
              <w:rPr>
                <w:rFonts w:ascii="Palatino Linotype" w:hAnsi="Palatino Linotype" w:eastAsia="Palatino Linotype" w:cs="Times New Roman"/>
                <w:sz w:val="20"/>
                <w:szCs w:val="20"/>
              </w:rPr>
            </w:pPr>
            <w:r w:rsidRPr="0072770C">
              <w:rPr>
                <w:rFonts w:ascii="Palatino Linotype" w:hAnsi="Palatino Linotype" w:eastAsia="Palatino Linotype" w:cs="Times New Roman"/>
                <w:sz w:val="20"/>
                <w:szCs w:val="20"/>
              </w:rPr>
              <w:t>“</w:t>
            </w:r>
            <w:r>
              <w:rPr>
                <w:rFonts w:ascii="Palatino Linotype" w:hAnsi="Palatino Linotype" w:eastAsia="Palatino Linotype" w:cs="Times New Roman"/>
                <w:sz w:val="20"/>
                <w:szCs w:val="20"/>
              </w:rPr>
              <w:t>L</w:t>
            </w:r>
            <w:r w:rsidRPr="0072770C">
              <w:rPr>
                <w:rFonts w:ascii="Palatino Linotype" w:hAnsi="Palatino Linotype" w:eastAsia="Palatino Linotype" w:cs="Times New Roman"/>
                <w:sz w:val="20"/>
                <w:szCs w:val="20"/>
              </w:rPr>
              <w:t>ow-carbon fuels can be integrated into the existing gas infrastructure, providing an immediate reduction in emissions while maintaining energy reliability and affordability.”</w:t>
            </w:r>
          </w:p>
          <w:p w:rsidR="004B0BDA" w:rsidP="004B0BDA" w:rsidRDefault="004B0BDA" w14:paraId="1EADAF17" w14:textId="77777777">
            <w:pPr>
              <w:pStyle w:val="ListParagraph"/>
              <w:numPr>
                <w:ilvl w:val="0"/>
                <w:numId w:val="49"/>
              </w:numPr>
              <w:rPr>
                <w:rFonts w:ascii="Palatino Linotype" w:hAnsi="Palatino Linotype" w:eastAsia="Palatino Linotype" w:cs="Times New Roman"/>
                <w:sz w:val="20"/>
                <w:szCs w:val="20"/>
              </w:rPr>
            </w:pPr>
            <w:r w:rsidRPr="00AE0FC4">
              <w:rPr>
                <w:rFonts w:ascii="Palatino Linotype" w:hAnsi="Palatino Linotype" w:eastAsia="Palatino Linotype" w:cs="Times New Roman"/>
                <w:sz w:val="20"/>
                <w:szCs w:val="20"/>
              </w:rPr>
              <w:t>“By developing low-carbon solutions that can be implemented within the existing energy framework, utilities can attempt to avoid economic disruption that might accompany a rapid shift to zero-carbon technologies.”</w:t>
            </w:r>
          </w:p>
          <w:p w:rsidR="004B0BDA" w:rsidP="004B0BDA" w:rsidRDefault="004B0BDA" w14:paraId="0822D9A7" w14:textId="77777777">
            <w:pPr>
              <w:pStyle w:val="ListParagraph"/>
              <w:numPr>
                <w:ilvl w:val="0"/>
                <w:numId w:val="49"/>
              </w:num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lastRenderedPageBreak/>
              <w:t>Low-carbon projects can “</w:t>
            </w:r>
            <w:r w:rsidRPr="00766406">
              <w:rPr>
                <w:rFonts w:ascii="Palatino Linotype" w:hAnsi="Palatino Linotype" w:eastAsia="Palatino Linotype" w:cs="Times New Roman"/>
                <w:sz w:val="20"/>
                <w:szCs w:val="20"/>
              </w:rPr>
              <w:t>allow for the gradual adaptation of</w:t>
            </w:r>
            <w:r>
              <w:rPr>
                <w:rFonts w:ascii="Palatino Linotype" w:hAnsi="Palatino Linotype" w:eastAsia="Palatino Linotype" w:cs="Times New Roman"/>
                <w:sz w:val="20"/>
                <w:szCs w:val="20"/>
              </w:rPr>
              <w:t xml:space="preserve"> </w:t>
            </w:r>
            <w:r w:rsidRPr="00766406">
              <w:rPr>
                <w:rFonts w:ascii="Palatino Linotype" w:hAnsi="Palatino Linotype" w:eastAsia="Palatino Linotype" w:cs="Times New Roman"/>
                <w:sz w:val="20"/>
                <w:szCs w:val="20"/>
              </w:rPr>
              <w:t>infrastructure, market mechanisms, and consumer behavior</w:t>
            </w:r>
            <w:r>
              <w:rPr>
                <w:rFonts w:ascii="Palatino Linotype" w:hAnsi="Palatino Linotype" w:eastAsia="Palatino Linotype" w:cs="Times New Roman"/>
                <w:sz w:val="20"/>
                <w:szCs w:val="20"/>
              </w:rPr>
              <w:t>.”</w:t>
            </w:r>
          </w:p>
          <w:p w:rsidRPr="008900E9" w:rsidR="004B0BDA" w:rsidP="004B0BDA" w:rsidRDefault="004B0BDA" w14:paraId="3C049C68" w14:textId="77777777">
            <w:pPr>
              <w:pStyle w:val="ListParagraph"/>
              <w:numPr>
                <w:ilvl w:val="0"/>
                <w:numId w:val="49"/>
              </w:num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w:t>
            </w:r>
            <w:r w:rsidRPr="0069799B">
              <w:rPr>
                <w:rFonts w:ascii="Palatino Linotype" w:hAnsi="Palatino Linotype" w:eastAsia="Palatino Linotype" w:cs="Times New Roman"/>
                <w:sz w:val="20"/>
                <w:szCs w:val="20"/>
              </w:rPr>
              <w:t>Low-carbon R&amp;D projects align with state policies that mandate gradual emission</w:t>
            </w:r>
            <w:r>
              <w:rPr>
                <w:rFonts w:ascii="Palatino Linotype" w:hAnsi="Palatino Linotype" w:eastAsia="Palatino Linotype" w:cs="Times New Roman"/>
                <w:sz w:val="20"/>
                <w:szCs w:val="20"/>
              </w:rPr>
              <w:t xml:space="preserve"> </w:t>
            </w:r>
            <w:r w:rsidRPr="0069799B">
              <w:rPr>
                <w:rFonts w:ascii="Palatino Linotype" w:hAnsi="Palatino Linotype" w:eastAsia="Palatino Linotype" w:cs="Times New Roman"/>
                <w:sz w:val="20"/>
                <w:szCs w:val="20"/>
              </w:rPr>
              <w:t>reductions and support for renewable energy sources</w:t>
            </w:r>
            <w:r>
              <w:rPr>
                <w:rFonts w:ascii="Palatino Linotype" w:hAnsi="Palatino Linotype" w:eastAsia="Palatino Linotype" w:cs="Times New Roman"/>
                <w:sz w:val="20"/>
                <w:szCs w:val="20"/>
              </w:rPr>
              <w:t>.”</w:t>
            </w:r>
            <w:r>
              <w:rPr>
                <w:rStyle w:val="FootnoteReference"/>
                <w:rFonts w:ascii="Palatino Linotype" w:hAnsi="Palatino Linotype" w:eastAsia="Palatino Linotype" w:cs="Times New Roman"/>
                <w:sz w:val="20"/>
                <w:szCs w:val="20"/>
              </w:rPr>
              <w:footnoteReference w:id="163"/>
            </w:r>
          </w:p>
        </w:tc>
        <w:tc>
          <w:tcPr>
            <w:tcW w:w="4140" w:type="dxa"/>
            <w:tcBorders>
              <w:top w:val="single" w:color="auto" w:sz="4" w:space="0"/>
              <w:left w:val="single" w:color="auto" w:sz="4" w:space="0"/>
              <w:bottom w:val="single" w:color="auto" w:sz="4" w:space="0"/>
              <w:right w:val="single" w:color="auto" w:sz="4" w:space="0"/>
            </w:tcBorders>
          </w:tcPr>
          <w:p w:rsidR="004B0BDA" w:rsidRDefault="004B0BDA" w14:paraId="17F1193A" w14:textId="3CBC66B3">
            <w:pPr>
              <w:rPr>
                <w:rFonts w:ascii="Palatino Linotype" w:hAnsi="Palatino Linotype"/>
                <w:b/>
                <w:bCs w:val="0"/>
                <w:color w:val="000000" w:themeColor="text1"/>
                <w:sz w:val="20"/>
                <w:szCs w:val="20"/>
              </w:rPr>
            </w:pPr>
            <w:r w:rsidRPr="00A66CA1">
              <w:rPr>
                <w:rFonts w:ascii="Palatino Linotype" w:hAnsi="Palatino Linotype"/>
                <w:color w:val="000000" w:themeColor="text1"/>
                <w:sz w:val="20"/>
                <w:szCs w:val="20"/>
              </w:rPr>
              <w:lastRenderedPageBreak/>
              <w:t xml:space="preserve">PG&amp;E </w:t>
            </w:r>
            <w:r w:rsidR="00C72F94">
              <w:rPr>
                <w:rFonts w:ascii="Palatino Linotype" w:hAnsi="Palatino Linotype"/>
                <w:color w:val="000000" w:themeColor="text1"/>
                <w:sz w:val="20"/>
                <w:szCs w:val="20"/>
              </w:rPr>
              <w:t>sufficiently</w:t>
            </w:r>
            <w:r w:rsidRPr="00A66CA1">
              <w:rPr>
                <w:rFonts w:ascii="Palatino Linotype" w:hAnsi="Palatino Linotype"/>
                <w:color w:val="000000" w:themeColor="text1"/>
                <w:sz w:val="20"/>
                <w:szCs w:val="20"/>
              </w:rPr>
              <w:t xml:space="preserve"> articulates</w:t>
            </w:r>
            <w:r>
              <w:rPr>
                <w:rFonts w:ascii="Palatino Linotype" w:hAnsi="Palatino Linotype"/>
                <w:color w:val="000000" w:themeColor="text1"/>
                <w:sz w:val="20"/>
                <w:szCs w:val="20"/>
              </w:rPr>
              <w:t xml:space="preserve"> how it seeks to develop low-carbon projects to support California’s zero-carbon goals while providing ratepayer benefit such as reliability and affordability. </w:t>
            </w:r>
            <w:r w:rsidRPr="004E0E0F">
              <w:rPr>
                <w:rFonts w:ascii="Palatino Linotype" w:hAnsi="Palatino Linotype"/>
                <w:b/>
                <w:bCs w:val="0"/>
                <w:color w:val="000000" w:themeColor="text1"/>
                <w:sz w:val="20"/>
                <w:szCs w:val="20"/>
              </w:rPr>
              <w:t>PG&amp;E is compliant with this requirement.</w:t>
            </w:r>
          </w:p>
          <w:p w:rsidR="004B0BDA" w:rsidRDefault="004B0BDA" w14:paraId="17617893" w14:textId="77777777">
            <w:pPr>
              <w:rPr>
                <w:rFonts w:ascii="Palatino Linotype" w:hAnsi="Palatino Linotype"/>
                <w:b/>
                <w:bCs w:val="0"/>
                <w:color w:val="000000" w:themeColor="text1"/>
                <w:sz w:val="20"/>
                <w:szCs w:val="20"/>
              </w:rPr>
            </w:pPr>
          </w:p>
          <w:p w:rsidRPr="00FC657F" w:rsidR="009E2A5C" w:rsidP="009E2A5C" w:rsidRDefault="004B0BDA" w14:paraId="185058E7" w14:textId="668C87D7">
            <w:pPr>
              <w:rPr>
                <w:rFonts w:ascii="Palatino Linotype" w:hAnsi="Palatino Linotype"/>
                <w:color w:val="000000" w:themeColor="text1"/>
                <w:sz w:val="20"/>
                <w:szCs w:val="20"/>
              </w:rPr>
            </w:pPr>
            <w:r w:rsidRPr="00D361A0">
              <w:rPr>
                <w:rFonts w:ascii="Palatino Linotype" w:hAnsi="Palatino Linotype"/>
                <w:color w:val="000000" w:themeColor="text1"/>
                <w:sz w:val="20"/>
                <w:szCs w:val="20"/>
              </w:rPr>
              <w:t>PG&amp;E, however, should strive to focus and prioritize its RD&amp;D budget on developing zero-carbon projects to accelerate progress towards meeting California’s zero-carbon goals, align with Commission policies and proceedings, and optimally benefit ratepayers</w:t>
            </w:r>
            <w:r w:rsidRPr="00B63937">
              <w:rPr>
                <w:rFonts w:ascii="Palatino Linotype" w:hAnsi="Palatino Linotype"/>
                <w:color w:val="000000" w:themeColor="text1"/>
                <w:sz w:val="20"/>
                <w:szCs w:val="20"/>
              </w:rPr>
              <w:t xml:space="preserve">. </w:t>
            </w:r>
            <w:r w:rsidRPr="00B63937" w:rsidR="009E2A5C">
              <w:rPr>
                <w:rFonts w:ascii="Palatino Linotype" w:hAnsi="Palatino Linotype"/>
                <w:color w:val="000000" w:themeColor="text1"/>
                <w:sz w:val="20"/>
                <w:szCs w:val="20"/>
              </w:rPr>
              <w:t xml:space="preserve">Going forward, PG&amp;E should strive to propose zero carbon projects or otherwise justify </w:t>
            </w:r>
            <w:r w:rsidRPr="00B63937" w:rsidR="002D20A0">
              <w:rPr>
                <w:rFonts w:ascii="Palatino Linotype" w:hAnsi="Palatino Linotype"/>
                <w:color w:val="000000" w:themeColor="text1"/>
                <w:sz w:val="20"/>
                <w:szCs w:val="20"/>
              </w:rPr>
              <w:t xml:space="preserve">why zero carbon </w:t>
            </w:r>
            <w:r w:rsidRPr="00B63937" w:rsidR="00D43F05">
              <w:rPr>
                <w:rFonts w:ascii="Palatino Linotype" w:hAnsi="Palatino Linotype"/>
                <w:color w:val="000000" w:themeColor="text1"/>
                <w:sz w:val="20"/>
                <w:szCs w:val="20"/>
              </w:rPr>
              <w:t xml:space="preserve">RD&amp;D projects are not possible and </w:t>
            </w:r>
            <w:r w:rsidRPr="00B63937" w:rsidR="009E2A5C">
              <w:rPr>
                <w:rFonts w:ascii="Palatino Linotype" w:hAnsi="Palatino Linotype"/>
                <w:color w:val="000000" w:themeColor="text1"/>
                <w:sz w:val="20"/>
                <w:szCs w:val="20"/>
              </w:rPr>
              <w:t>how these projects will promote the transition to zero-carbon research and outcomes. </w:t>
            </w:r>
          </w:p>
          <w:p w:rsidRPr="00FC657F" w:rsidR="004B0BDA" w:rsidRDefault="004B0BDA" w14:paraId="79F9F737" w14:textId="5604F2AB">
            <w:pPr>
              <w:rPr>
                <w:rFonts w:ascii="Palatino Linotype" w:hAnsi="Palatino Linotype"/>
                <w:color w:val="000000" w:themeColor="text1"/>
                <w:sz w:val="20"/>
                <w:szCs w:val="20"/>
              </w:rPr>
            </w:pPr>
          </w:p>
        </w:tc>
      </w:tr>
      <w:tr w:rsidR="00534A20" w:rsidTr="00534A20" w14:paraId="3483B4E3" w14:textId="77777777">
        <w:tc>
          <w:tcPr>
            <w:tcW w:w="3865" w:type="dxa"/>
            <w:tcBorders>
              <w:top w:val="single" w:color="auto" w:sz="4" w:space="0"/>
              <w:left w:val="single" w:color="auto" w:sz="4" w:space="0"/>
              <w:bottom w:val="single" w:color="auto" w:sz="4" w:space="0"/>
              <w:right w:val="single" w:color="auto" w:sz="4" w:space="0"/>
            </w:tcBorders>
          </w:tcPr>
          <w:p w:rsidRPr="00E02309" w:rsidR="004B0BDA" w:rsidRDefault="004B0BDA" w14:paraId="3024EE46" w14:textId="77777777">
            <w:pPr>
              <w:rPr>
                <w:rFonts w:ascii="Palatino Linotype" w:hAnsi="Palatino Linotype"/>
                <w:sz w:val="20"/>
                <w:szCs w:val="20"/>
              </w:rPr>
            </w:pPr>
            <w:r>
              <w:rPr>
                <w:rFonts w:ascii="Palatino Linotype" w:hAnsi="Palatino Linotype"/>
                <w:i/>
                <w:iCs/>
                <w:color w:val="000000" w:themeColor="text1"/>
                <w:sz w:val="20"/>
                <w:szCs w:val="20"/>
              </w:rPr>
              <w:t xml:space="preserve">(5) </w:t>
            </w:r>
            <w:r w:rsidRPr="00B97E19">
              <w:rPr>
                <w:rFonts w:ascii="Palatino Linotype" w:hAnsi="Palatino Linotype"/>
                <w:i/>
                <w:iCs/>
                <w:color w:val="000000" w:themeColor="text1"/>
                <w:sz w:val="20"/>
                <w:szCs w:val="20"/>
              </w:rPr>
              <w:t>The annual research plan should include information on funds encumbered, spent, and unspent. The plan should also outline co-funding and collaborative partners and explain how P&amp;GE engages with diverse academic populations. Further, PG&amp;E should describe how its research plan will benefit underserved communities</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164"/>
            </w:r>
            <w:r w:rsidRPr="00FB1ACE">
              <w:rPr>
                <w:rFonts w:ascii="Palatino Linotype" w:hAnsi="Palatino Linotype"/>
                <w:i/>
                <w:iCs/>
                <w:color w:val="EE0000"/>
                <w:sz w:val="20"/>
                <w:szCs w:val="20"/>
              </w:rPr>
              <w:t xml:space="preserve"> </w:t>
            </w:r>
          </w:p>
        </w:tc>
        <w:tc>
          <w:tcPr>
            <w:tcW w:w="4770" w:type="dxa"/>
            <w:tcBorders>
              <w:top w:val="single" w:color="auto" w:sz="4" w:space="0"/>
              <w:left w:val="single" w:color="auto" w:sz="4" w:space="0"/>
              <w:bottom w:val="single" w:color="auto" w:sz="4" w:space="0"/>
              <w:right w:val="single" w:color="auto" w:sz="4" w:space="0"/>
            </w:tcBorders>
          </w:tcPr>
          <w:p w:rsidRPr="00C254A2" w:rsidR="004B0BDA" w:rsidRDefault="004B0BDA" w14:paraId="3EF1E218" w14:textId="4D816813">
            <w:pPr>
              <w:rPr>
                <w:rFonts w:ascii="Palatino Linotype" w:hAnsi="Palatino Linotype" w:eastAsia="Palatino Linotype" w:cs="Times New Roman"/>
                <w:color w:val="000000" w:themeColor="text1"/>
                <w:sz w:val="20"/>
                <w:szCs w:val="20"/>
              </w:rPr>
            </w:pPr>
            <w:r w:rsidRPr="00E91D6E">
              <w:rPr>
                <w:rFonts w:ascii="Palatino Linotype" w:hAnsi="Palatino Linotype" w:eastAsia="Palatino Linotype" w:cs="Times New Roman"/>
                <w:sz w:val="20"/>
                <w:szCs w:val="20"/>
              </w:rPr>
              <w:t xml:space="preserve">PG&amp;E conducted targeted </w:t>
            </w:r>
            <w:r w:rsidRPr="009A290C">
              <w:rPr>
                <w:rFonts w:ascii="Palatino Linotype" w:hAnsi="Palatino Linotype" w:eastAsia="Palatino Linotype" w:cs="Times New Roman"/>
                <w:color w:val="000000" w:themeColor="text1"/>
                <w:sz w:val="20"/>
                <w:szCs w:val="20"/>
              </w:rPr>
              <w:t>interviews with 18 different organizations in 2024, including University of California Riverside, Irvine, Berkeley, and Los Angeles; Stanford; and Colorado State University.</w:t>
            </w:r>
            <w:r w:rsidRPr="009A290C">
              <w:rPr>
                <w:rStyle w:val="FootnoteReference"/>
                <w:rFonts w:ascii="Palatino Linotype" w:hAnsi="Palatino Linotype" w:eastAsia="Palatino Linotype" w:cs="Times New Roman"/>
                <w:color w:val="000000" w:themeColor="text1"/>
                <w:sz w:val="20"/>
                <w:szCs w:val="20"/>
              </w:rPr>
              <w:footnoteReference w:id="165"/>
            </w:r>
            <w:r w:rsidRPr="009A290C">
              <w:rPr>
                <w:rFonts w:ascii="Palatino Linotype" w:hAnsi="Palatino Linotype" w:eastAsia="Palatino Linotype" w:cs="Times New Roman"/>
                <w:color w:val="000000" w:themeColor="text1"/>
                <w:sz w:val="20"/>
                <w:szCs w:val="20"/>
              </w:rPr>
              <w:t xml:space="preserve"> PG&amp;E describes </w:t>
            </w:r>
            <w:r w:rsidRPr="00E91D6E">
              <w:rPr>
                <w:rFonts w:ascii="Palatino Linotype" w:hAnsi="Palatino Linotype" w:eastAsia="Palatino Linotype" w:cs="Times New Roman"/>
                <w:sz w:val="20"/>
                <w:szCs w:val="20"/>
              </w:rPr>
              <w:t>its collaborative partners, including public agencies, research consortia, national laboratories, and universities.</w:t>
            </w:r>
            <w:r w:rsidRPr="00E91D6E">
              <w:rPr>
                <w:rStyle w:val="FootnoteReference"/>
                <w:rFonts w:ascii="Palatino Linotype" w:hAnsi="Palatino Linotype" w:eastAsia="Palatino Linotype" w:cs="Times New Roman"/>
                <w:sz w:val="20"/>
                <w:szCs w:val="20"/>
              </w:rPr>
              <w:footnoteReference w:id="166"/>
            </w:r>
            <w:r w:rsidRPr="00E91D6E">
              <w:rPr>
                <w:rFonts w:ascii="Palatino Linotype" w:hAnsi="Palatino Linotype" w:eastAsia="Palatino Linotype" w:cs="Times New Roman"/>
                <w:sz w:val="20"/>
                <w:szCs w:val="20"/>
              </w:rPr>
              <w:t xml:space="preserve"> </w:t>
            </w:r>
            <w:r w:rsidRPr="00825B81">
              <w:rPr>
                <w:rFonts w:ascii="Palatino Linotype" w:hAnsi="Palatino Linotype"/>
                <w:color w:val="000000" w:themeColor="text1"/>
                <w:sz w:val="20"/>
                <w:szCs w:val="20"/>
              </w:rPr>
              <w:t xml:space="preserve">PG&amp;E provides minimal detail and </w:t>
            </w:r>
            <w:r>
              <w:rPr>
                <w:rFonts w:ascii="Palatino Linotype" w:hAnsi="Palatino Linotype"/>
                <w:color w:val="000000" w:themeColor="text1"/>
                <w:sz w:val="20"/>
                <w:szCs w:val="20"/>
              </w:rPr>
              <w:t xml:space="preserve">largely </w:t>
            </w:r>
            <w:r w:rsidRPr="009F4EBC">
              <w:rPr>
                <w:rFonts w:ascii="Palatino Linotype" w:hAnsi="Palatino Linotype"/>
                <w:color w:val="0D0D0D" w:themeColor="text1" w:themeTint="F2"/>
                <w:sz w:val="20"/>
                <w:szCs w:val="20"/>
              </w:rPr>
              <w:t xml:space="preserve">defines its expected role in each initiative as “[leading] </w:t>
            </w:r>
            <w:r w:rsidRPr="00825B81">
              <w:rPr>
                <w:rFonts w:ascii="Palatino Linotype" w:hAnsi="Palatino Linotype"/>
                <w:color w:val="000000" w:themeColor="text1"/>
                <w:sz w:val="20"/>
                <w:szCs w:val="20"/>
              </w:rPr>
              <w:t>research for the development, evaluation, and field testing of new industry technologies,”</w:t>
            </w:r>
            <w:r w:rsidRPr="00825B81">
              <w:rPr>
                <w:rStyle w:val="FootnoteReference"/>
                <w:rFonts w:ascii="Palatino Linotype" w:hAnsi="Palatino Linotype"/>
                <w:color w:val="000000" w:themeColor="text1"/>
                <w:sz w:val="20"/>
                <w:szCs w:val="20"/>
              </w:rPr>
              <w:footnoteReference w:id="167"/>
            </w:r>
            <w:r w:rsidRPr="00825B81">
              <w:rPr>
                <w:rFonts w:ascii="Palatino Linotype" w:hAnsi="Palatino Linotype"/>
                <w:color w:val="000000" w:themeColor="text1"/>
                <w:sz w:val="20"/>
                <w:szCs w:val="20"/>
              </w:rPr>
              <w:t xml:space="preserve"> citing additional though incomplete information </w:t>
            </w:r>
            <w:r w:rsidRPr="00D02877">
              <w:rPr>
                <w:rFonts w:ascii="Palatino Linotype" w:hAnsi="Palatino Linotype"/>
                <w:color w:val="000000" w:themeColor="text1"/>
                <w:sz w:val="20"/>
                <w:szCs w:val="20"/>
              </w:rPr>
              <w:t xml:space="preserve">in </w:t>
            </w:r>
            <w:r>
              <w:rPr>
                <w:rFonts w:ascii="Palatino Linotype" w:hAnsi="Palatino Linotype"/>
                <w:color w:val="000000" w:themeColor="text1"/>
                <w:sz w:val="20"/>
                <w:szCs w:val="20"/>
              </w:rPr>
              <w:t xml:space="preserve">a </w:t>
            </w:r>
            <w:r w:rsidRPr="00D02877">
              <w:rPr>
                <w:rFonts w:ascii="Palatino Linotype" w:hAnsi="Palatino Linotype" w:eastAsia="Palatino Linotype" w:cs="Times New Roman"/>
                <w:color w:val="000000" w:themeColor="text1"/>
                <w:sz w:val="20"/>
                <w:szCs w:val="20"/>
              </w:rPr>
              <w:t>Gas RD&amp;D Project List.</w:t>
            </w:r>
            <w:r w:rsidRPr="00D02877">
              <w:rPr>
                <w:rStyle w:val="FootnoteReference"/>
                <w:rFonts w:ascii="Palatino Linotype" w:hAnsi="Palatino Linotype" w:eastAsia="Palatino Linotype" w:cs="Times New Roman"/>
                <w:color w:val="000000" w:themeColor="text1"/>
                <w:sz w:val="20"/>
                <w:szCs w:val="20"/>
              </w:rPr>
              <w:footnoteReference w:id="168"/>
            </w:r>
            <w:r w:rsidRPr="00D02877">
              <w:rPr>
                <w:rFonts w:ascii="Palatino Linotype" w:hAnsi="Palatino Linotype" w:eastAsia="Palatino Linotype" w:cs="Times New Roman"/>
                <w:color w:val="000000" w:themeColor="text1"/>
                <w:sz w:val="20"/>
                <w:szCs w:val="20"/>
              </w:rPr>
              <w:t xml:space="preserve"> </w:t>
            </w:r>
            <w:r w:rsidRPr="009C29CC">
              <w:rPr>
                <w:rFonts w:ascii="Palatino Linotype" w:hAnsi="Palatino Linotype" w:eastAsia="Palatino Linotype" w:cs="Times New Roman"/>
                <w:color w:val="000000" w:themeColor="text1"/>
                <w:sz w:val="20"/>
                <w:szCs w:val="20"/>
              </w:rPr>
              <w:t xml:space="preserve">This list includes </w:t>
            </w:r>
            <w:r w:rsidRPr="009A290C">
              <w:rPr>
                <w:rFonts w:ascii="Palatino Linotype" w:hAnsi="Palatino Linotype" w:eastAsia="Palatino Linotype" w:cs="Times New Roman"/>
                <w:color w:val="000000" w:themeColor="text1"/>
                <w:sz w:val="20"/>
                <w:szCs w:val="20"/>
              </w:rPr>
              <w:t xml:space="preserve">information on funds encumbered, spent, and unspent for </w:t>
            </w:r>
            <w:r w:rsidRPr="009A290C">
              <w:rPr>
                <w:rFonts w:ascii="Palatino Linotype" w:hAnsi="Palatino Linotype" w:eastAsia="Palatino Linotype" w:cs="Times New Roman"/>
                <w:color w:val="000000" w:themeColor="text1"/>
                <w:sz w:val="20"/>
                <w:szCs w:val="20"/>
              </w:rPr>
              <w:lastRenderedPageBreak/>
              <w:t>projects that commenced between 2017 and 2024 and those for which the anticipated end date has already passed (“Completed”).</w:t>
            </w:r>
            <w:r w:rsidRPr="009A290C">
              <w:rPr>
                <w:rStyle w:val="FootnoteReference"/>
                <w:rFonts w:ascii="Palatino Linotype" w:hAnsi="Palatino Linotype" w:eastAsia="Palatino Linotype" w:cs="Times New Roman"/>
                <w:color w:val="000000" w:themeColor="text1"/>
                <w:sz w:val="20"/>
                <w:szCs w:val="20"/>
              </w:rPr>
              <w:footnoteReference w:id="169"/>
            </w:r>
            <w:r w:rsidRPr="009A290C">
              <w:rPr>
                <w:rFonts w:ascii="Palatino Linotype" w:hAnsi="Palatino Linotype" w:eastAsia="Palatino Linotype" w:cs="Times New Roman"/>
                <w:color w:val="000000" w:themeColor="text1"/>
                <w:sz w:val="20"/>
                <w:szCs w:val="20"/>
              </w:rPr>
              <w:t xml:space="preserve"> PG&amp;E states that the leveraged co-funding opportunities amounted to every dollar of Gas RD&amp;D funding expended on projects being matched by $21.50 of funding </w:t>
            </w:r>
            <w:r w:rsidRPr="009C29CC">
              <w:rPr>
                <w:rFonts w:ascii="Palatino Linotype" w:hAnsi="Palatino Linotype" w:eastAsia="Palatino Linotype" w:cs="Times New Roman"/>
                <w:color w:val="000000" w:themeColor="text1"/>
                <w:sz w:val="20"/>
                <w:szCs w:val="20"/>
              </w:rPr>
              <w:t>from other sources in calendar year 2023.</w:t>
            </w:r>
            <w:r w:rsidRPr="009C29CC">
              <w:rPr>
                <w:rStyle w:val="FootnoteReference"/>
                <w:rFonts w:ascii="Palatino Linotype" w:hAnsi="Palatino Linotype" w:eastAsia="Palatino Linotype" w:cs="Times New Roman"/>
                <w:color w:val="000000" w:themeColor="text1"/>
                <w:sz w:val="20"/>
                <w:szCs w:val="20"/>
              </w:rPr>
              <w:footnoteReference w:id="170"/>
            </w:r>
            <w:r w:rsidRPr="005C2410">
              <w:rPr>
                <w:rFonts w:ascii="Palatino Linotype" w:hAnsi="Palatino Linotype" w:eastAsia="Palatino Linotype" w:cs="Times New Roman"/>
                <w:color w:val="000000" w:themeColor="text1"/>
                <w:sz w:val="20"/>
                <w:szCs w:val="20"/>
              </w:rPr>
              <w:t xml:space="preserve"> </w:t>
            </w:r>
          </w:p>
        </w:tc>
        <w:tc>
          <w:tcPr>
            <w:tcW w:w="4140" w:type="dxa"/>
            <w:tcBorders>
              <w:top w:val="single" w:color="auto" w:sz="4" w:space="0"/>
              <w:left w:val="single" w:color="auto" w:sz="4" w:space="0"/>
              <w:bottom w:val="single" w:color="auto" w:sz="4" w:space="0"/>
              <w:right w:val="single" w:color="auto" w:sz="4" w:space="0"/>
            </w:tcBorders>
          </w:tcPr>
          <w:p w:rsidRPr="00B41CBB" w:rsidR="004B0BDA" w:rsidRDefault="004B0BDA" w14:paraId="607B8177" w14:textId="2EBB4463">
            <w:pPr>
              <w:rPr>
                <w:rFonts w:ascii="Palatino Linotype" w:hAnsi="Palatino Linotype"/>
                <w:color w:val="000000" w:themeColor="text1"/>
                <w:sz w:val="20"/>
                <w:szCs w:val="20"/>
              </w:rPr>
            </w:pPr>
            <w:r w:rsidRPr="008F388C">
              <w:rPr>
                <w:rFonts w:ascii="Palatino Linotype" w:hAnsi="Palatino Linotype"/>
                <w:color w:val="000000" w:themeColor="text1"/>
                <w:sz w:val="20"/>
                <w:szCs w:val="20"/>
              </w:rPr>
              <w:lastRenderedPageBreak/>
              <w:t xml:space="preserve">PG&amp;E did not provide the necessary detail at the Initiative level. </w:t>
            </w:r>
            <w:r w:rsidR="006264FE">
              <w:rPr>
                <w:rFonts w:ascii="Palatino Linotype" w:hAnsi="Palatino Linotype"/>
                <w:color w:val="000000" w:themeColor="text1"/>
                <w:sz w:val="20"/>
                <w:szCs w:val="20"/>
              </w:rPr>
              <w:t>Additional information</w:t>
            </w:r>
            <w:r w:rsidRPr="00AE33C0" w:rsidR="00B41CBB">
              <w:rPr>
                <w:rFonts w:ascii="Palatino Linotype" w:hAnsi="Palatino Linotype"/>
                <w:color w:val="000000" w:themeColor="text1"/>
                <w:sz w:val="20"/>
                <w:szCs w:val="20"/>
              </w:rPr>
              <w:t xml:space="preserve"> </w:t>
            </w:r>
            <w:r w:rsidRPr="00AE33C0">
              <w:rPr>
                <w:rFonts w:ascii="Palatino Linotype" w:hAnsi="Palatino Linotype"/>
                <w:color w:val="000000" w:themeColor="text1"/>
                <w:sz w:val="20"/>
                <w:szCs w:val="20"/>
              </w:rPr>
              <w:t>is particularly</w:t>
            </w:r>
            <w:r w:rsidR="006264FE">
              <w:rPr>
                <w:rFonts w:ascii="Palatino Linotype" w:hAnsi="Palatino Linotype"/>
                <w:color w:val="000000" w:themeColor="text1"/>
                <w:sz w:val="20"/>
                <w:szCs w:val="20"/>
              </w:rPr>
              <w:t xml:space="preserve"> needed</w:t>
            </w:r>
            <w:r w:rsidRPr="00C870D0">
              <w:rPr>
                <w:rFonts w:ascii="Palatino Linotype" w:hAnsi="Palatino Linotype"/>
                <w:color w:val="000000" w:themeColor="text1"/>
                <w:sz w:val="20"/>
                <w:szCs w:val="20"/>
              </w:rPr>
              <w:t xml:space="preserve"> </w:t>
            </w:r>
            <w:r w:rsidRPr="00595BCA">
              <w:rPr>
                <w:rFonts w:ascii="Palatino Linotype" w:hAnsi="Palatino Linotype"/>
                <w:color w:val="000000" w:themeColor="text1"/>
                <w:sz w:val="20"/>
                <w:szCs w:val="20"/>
              </w:rPr>
              <w:t>for the Clean Fuels Integration</w:t>
            </w:r>
            <w:r w:rsidRPr="00595BCA" w:rsidR="00315957">
              <w:rPr>
                <w:rStyle w:val="FootnoteReference"/>
                <w:rFonts w:ascii="Palatino Linotype" w:hAnsi="Palatino Linotype"/>
                <w:color w:val="000000" w:themeColor="text1"/>
                <w:sz w:val="20"/>
                <w:szCs w:val="20"/>
              </w:rPr>
              <w:footnoteReference w:id="171"/>
            </w:r>
            <w:r w:rsidRPr="00595BCA" w:rsidR="00315957">
              <w:rPr>
                <w:rFonts w:ascii="Palatino Linotype" w:hAnsi="Palatino Linotype"/>
                <w:color w:val="000000" w:themeColor="text1"/>
                <w:sz w:val="20"/>
                <w:szCs w:val="20"/>
              </w:rPr>
              <w:t xml:space="preserve"> Initiative</w:t>
            </w:r>
            <w:r w:rsidRPr="00595BCA">
              <w:rPr>
                <w:rFonts w:ascii="Palatino Linotype" w:hAnsi="Palatino Linotype"/>
                <w:color w:val="000000" w:themeColor="text1"/>
                <w:sz w:val="20"/>
                <w:szCs w:val="20"/>
              </w:rPr>
              <w:t xml:space="preserve"> </w:t>
            </w:r>
            <w:r w:rsidRPr="00C870D0">
              <w:rPr>
                <w:rFonts w:ascii="Palatino Linotype" w:hAnsi="Palatino Linotype"/>
                <w:color w:val="000000" w:themeColor="text1"/>
                <w:sz w:val="20"/>
                <w:szCs w:val="20"/>
              </w:rPr>
              <w:t xml:space="preserve">proposed in collaboration with </w:t>
            </w:r>
            <w:r w:rsidRPr="00162513">
              <w:rPr>
                <w:rFonts w:ascii="Palatino Linotype" w:hAnsi="Palatino Linotype"/>
                <w:color w:val="000000" w:themeColor="text1"/>
                <w:sz w:val="20"/>
                <w:szCs w:val="20"/>
              </w:rPr>
              <w:t>CEC to demonstrate activities are complementary and not duplicative as required.</w:t>
            </w:r>
            <w:r w:rsidRPr="00162513">
              <w:rPr>
                <w:rStyle w:val="FootnoteReference"/>
                <w:rFonts w:ascii="Palatino Linotype" w:hAnsi="Palatino Linotype"/>
                <w:color w:val="000000" w:themeColor="text1"/>
                <w:sz w:val="20"/>
                <w:szCs w:val="20"/>
              </w:rPr>
              <w:footnoteReference w:id="172"/>
            </w:r>
          </w:p>
          <w:p w:rsidR="004B0BDA" w:rsidRDefault="004B0BDA" w14:paraId="7D22AEC2" w14:textId="77777777">
            <w:pPr>
              <w:rPr>
                <w:rFonts w:ascii="Palatino Linotype" w:hAnsi="Palatino Linotype"/>
                <w:color w:val="EE0000"/>
                <w:sz w:val="20"/>
                <w:szCs w:val="20"/>
              </w:rPr>
            </w:pPr>
          </w:p>
          <w:p w:rsidRPr="00B97E19" w:rsidR="004B0BDA" w:rsidRDefault="004B0BDA" w14:paraId="4FB02B8E" w14:textId="0786525E">
            <w:pPr>
              <w:rPr>
                <w:rFonts w:ascii="Palatino Linotype" w:hAnsi="Palatino Linotype"/>
                <w:sz w:val="20"/>
                <w:szCs w:val="20"/>
              </w:rPr>
            </w:pPr>
            <w:r w:rsidRPr="00FD02F3">
              <w:rPr>
                <w:rFonts w:ascii="Palatino Linotype" w:hAnsi="Palatino Linotype"/>
                <w:color w:val="000000" w:themeColor="text1"/>
                <w:sz w:val="20"/>
                <w:szCs w:val="20"/>
              </w:rPr>
              <w:t>For clarity in reporting, PG&amp;E shall indicate which projects have been funded via previous GRC cycles or other funding mechanisms as these are not affiliated with Investment Plans approved within this Gas RD&amp;</w:t>
            </w:r>
            <w:r w:rsidRPr="00F97C85">
              <w:rPr>
                <w:rFonts w:ascii="Palatino Linotype" w:hAnsi="Palatino Linotype"/>
                <w:color w:val="000000" w:themeColor="text1"/>
                <w:sz w:val="20"/>
                <w:szCs w:val="20"/>
              </w:rPr>
              <w:t xml:space="preserve">D Program. </w:t>
            </w:r>
            <w:r w:rsidR="006B209A">
              <w:rPr>
                <w:rFonts w:ascii="Palatino Linotype" w:hAnsi="Palatino Linotype"/>
                <w:color w:val="000000" w:themeColor="text1"/>
                <w:sz w:val="20"/>
                <w:szCs w:val="20"/>
              </w:rPr>
              <w:t xml:space="preserve">This is necessary in </w:t>
            </w:r>
            <w:r w:rsidR="006B209A">
              <w:rPr>
                <w:rFonts w:ascii="Palatino Linotype" w:hAnsi="Palatino Linotype"/>
                <w:color w:val="000000" w:themeColor="text1"/>
                <w:sz w:val="20"/>
                <w:szCs w:val="20"/>
              </w:rPr>
              <w:lastRenderedPageBreak/>
              <w:t xml:space="preserve">understanding </w:t>
            </w:r>
            <w:r w:rsidR="00CD4108">
              <w:rPr>
                <w:rFonts w:ascii="Palatino Linotype" w:hAnsi="Palatino Linotype"/>
                <w:color w:val="000000" w:themeColor="text1"/>
                <w:sz w:val="20"/>
                <w:szCs w:val="20"/>
              </w:rPr>
              <w:t xml:space="preserve">progress, coordination, and attribution. </w:t>
            </w:r>
            <w:r w:rsidRPr="00F97C85">
              <w:rPr>
                <w:rFonts w:ascii="Palatino Linotype" w:hAnsi="Palatino Linotype"/>
                <w:color w:val="000000" w:themeColor="text1"/>
                <w:sz w:val="20"/>
                <w:szCs w:val="20"/>
              </w:rPr>
              <w:t>In future Annual Plans and Reports, PG</w:t>
            </w:r>
            <w:r w:rsidRPr="00FD02F3">
              <w:rPr>
                <w:rFonts w:ascii="Palatino Linotype" w:hAnsi="Palatino Linotype"/>
                <w:color w:val="000000" w:themeColor="text1"/>
                <w:sz w:val="20"/>
                <w:szCs w:val="20"/>
              </w:rPr>
              <w:t>&amp;E shall clearly delineate projects that may be funded within this Gas RD&amp;D Program, including the specific Initiative and approved Investment Plan associated with each project.</w:t>
            </w:r>
            <w:r w:rsidR="00E12CCE">
              <w:rPr>
                <w:rFonts w:ascii="Palatino Linotype" w:hAnsi="Palatino Linotype"/>
                <w:b/>
                <w:bCs w:val="0"/>
                <w:sz w:val="20"/>
                <w:szCs w:val="20"/>
              </w:rPr>
              <w:t xml:space="preserve"> </w:t>
            </w:r>
            <w:r w:rsidRPr="00712165">
              <w:rPr>
                <w:rFonts w:ascii="Palatino Linotype" w:hAnsi="Palatino Linotype"/>
                <w:b/>
                <w:bCs w:val="0"/>
                <w:sz w:val="20"/>
                <w:szCs w:val="20"/>
              </w:rPr>
              <w:t xml:space="preserve">PG&amp;E is </w:t>
            </w:r>
            <w:r w:rsidRPr="00712165">
              <w:rPr>
                <w:rFonts w:ascii="Palatino Linotype" w:hAnsi="Palatino Linotype"/>
                <w:b/>
                <w:bCs w:val="0"/>
                <w:color w:val="000000" w:themeColor="text1"/>
                <w:sz w:val="20"/>
                <w:szCs w:val="20"/>
              </w:rPr>
              <w:t>not</w:t>
            </w:r>
            <w:r w:rsidRPr="00712165">
              <w:rPr>
                <w:rFonts w:ascii="Palatino Linotype" w:hAnsi="Palatino Linotype"/>
                <w:b/>
                <w:bCs w:val="0"/>
                <w:color w:val="EE0000"/>
                <w:sz w:val="20"/>
                <w:szCs w:val="20"/>
              </w:rPr>
              <w:t xml:space="preserve"> </w:t>
            </w:r>
            <w:r w:rsidRPr="00712165">
              <w:rPr>
                <w:rFonts w:ascii="Palatino Linotype" w:hAnsi="Palatino Linotype"/>
                <w:b/>
                <w:bCs w:val="0"/>
                <w:sz w:val="20"/>
                <w:szCs w:val="20"/>
              </w:rPr>
              <w:t>compliant with this requirement</w:t>
            </w:r>
            <w:r>
              <w:rPr>
                <w:rFonts w:ascii="Palatino Linotype" w:hAnsi="Palatino Linotype"/>
                <w:b/>
                <w:bCs w:val="0"/>
                <w:sz w:val="20"/>
                <w:szCs w:val="20"/>
              </w:rPr>
              <w:t>.</w:t>
            </w:r>
          </w:p>
        </w:tc>
      </w:tr>
      <w:tr w:rsidR="00534A20" w:rsidTr="00534A20" w14:paraId="232ECB1C" w14:textId="77777777">
        <w:tc>
          <w:tcPr>
            <w:tcW w:w="3865" w:type="dxa"/>
            <w:tcBorders>
              <w:top w:val="single" w:color="auto" w:sz="4" w:space="0"/>
              <w:left w:val="single" w:color="auto" w:sz="4" w:space="0"/>
              <w:bottom w:val="single" w:color="auto" w:sz="4" w:space="0"/>
              <w:right w:val="single" w:color="auto" w:sz="4" w:space="0"/>
            </w:tcBorders>
          </w:tcPr>
          <w:p w:rsidRPr="00B97E19" w:rsidR="004B0BDA" w:rsidRDefault="004B0BDA" w14:paraId="3BBF3B30"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 xml:space="preserve">(6) </w:t>
            </w:r>
            <w:r w:rsidRPr="00340B6D">
              <w:rPr>
                <w:rFonts w:ascii="Palatino Linotype" w:hAnsi="Palatino Linotype"/>
                <w:i/>
                <w:iCs/>
                <w:color w:val="000000" w:themeColor="text1"/>
                <w:sz w:val="20"/>
                <w:szCs w:val="20"/>
              </w:rPr>
              <w:t>PG&amp;E shall hold an annual workshop prior to submitting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its Tier 3 Advice Letter Annual Gas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Investment</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Plan and shall consult with Energy Division to develop</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the workshop agenda. The annual workshop shall be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held at least 90 days before submitting its annual Gas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research plan to the CPUC to allow sufficient time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to incorporate stakeholder feedback. At these workshops,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PG&amp;E shall present the results of the previous year’s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program and obtain input</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regarding its proposed</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spending for the following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calendar year. The workshop</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shall follow the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guidance of D.19-09-051 Ordering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Paragraph 30</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173"/>
            </w:r>
            <w:r>
              <w:rPr>
                <w:rFonts w:ascii="Palatino Linotype" w:hAnsi="Palatino Linotype"/>
                <w:i/>
                <w:iCs/>
                <w:color w:val="000000" w:themeColor="text1"/>
                <w:sz w:val="20"/>
                <w:szCs w:val="20"/>
              </w:rPr>
              <w:t xml:space="preserve"> </w:t>
            </w:r>
          </w:p>
        </w:tc>
        <w:tc>
          <w:tcPr>
            <w:tcW w:w="4770" w:type="dxa"/>
            <w:tcBorders>
              <w:top w:val="single" w:color="auto" w:sz="4" w:space="0"/>
              <w:left w:val="single" w:color="auto" w:sz="4" w:space="0"/>
              <w:bottom w:val="single" w:color="auto" w:sz="4" w:space="0"/>
              <w:right w:val="single" w:color="auto" w:sz="4" w:space="0"/>
            </w:tcBorders>
          </w:tcPr>
          <w:p w:rsidRPr="0032527A" w:rsidR="004B0BDA" w:rsidRDefault="004B0BDA" w14:paraId="324E684B" w14:textId="77777777">
            <w:pPr>
              <w:rPr>
                <w:rFonts w:ascii="Palatino Linotype" w:hAnsi="Palatino Linotype" w:eastAsia="Palatino Linotype" w:cs="Times New Roman"/>
                <w:sz w:val="20"/>
                <w:szCs w:val="20"/>
              </w:rPr>
            </w:pPr>
            <w:r w:rsidRPr="0032527A">
              <w:rPr>
                <w:rFonts w:ascii="Palatino Linotype" w:hAnsi="Palatino Linotype" w:eastAsia="Palatino Linotype" w:cs="Times New Roman"/>
                <w:sz w:val="20"/>
                <w:szCs w:val="20"/>
              </w:rPr>
              <w:t xml:space="preserve">PG&amp;E held </w:t>
            </w:r>
            <w:r>
              <w:rPr>
                <w:rFonts w:ascii="Palatino Linotype" w:hAnsi="Palatino Linotype" w:eastAsia="Palatino Linotype" w:cs="Times New Roman"/>
                <w:sz w:val="20"/>
                <w:szCs w:val="20"/>
              </w:rPr>
              <w:t xml:space="preserve">an </w:t>
            </w:r>
            <w:r w:rsidRPr="0032527A">
              <w:rPr>
                <w:rFonts w:ascii="Palatino Linotype" w:hAnsi="Palatino Linotype" w:eastAsia="Palatino Linotype" w:cs="Times New Roman"/>
                <w:sz w:val="20"/>
                <w:szCs w:val="20"/>
              </w:rPr>
              <w:t xml:space="preserve">annual </w:t>
            </w:r>
            <w:r w:rsidRPr="009A290C">
              <w:rPr>
                <w:rFonts w:ascii="Palatino Linotype" w:hAnsi="Palatino Linotype" w:eastAsia="Palatino Linotype" w:cs="Times New Roman"/>
                <w:color w:val="000000" w:themeColor="text1"/>
                <w:sz w:val="20"/>
                <w:szCs w:val="20"/>
              </w:rPr>
              <w:t xml:space="preserve">workshop prior to submitting its 2024 Plan on April 29, 2024, presenting </w:t>
            </w:r>
            <w:r w:rsidRPr="0032527A">
              <w:rPr>
                <w:rFonts w:ascii="Palatino Linotype" w:hAnsi="Palatino Linotype" w:eastAsia="Palatino Linotype" w:cs="Times New Roman"/>
                <w:sz w:val="20"/>
                <w:szCs w:val="20"/>
              </w:rPr>
              <w:t xml:space="preserve">the results of the previous year’s program and obtaining input regarding its proposed funding allocations for the following year. </w:t>
            </w:r>
            <w:r w:rsidRPr="00D60F66">
              <w:rPr>
                <w:rFonts w:ascii="Palatino Linotype" w:hAnsi="Palatino Linotype"/>
                <w:color w:val="0D0D0D" w:themeColor="text1" w:themeTint="F2"/>
                <w:sz w:val="20"/>
                <w:szCs w:val="20"/>
              </w:rPr>
              <w:t>PG&amp;E includes information on Workshop Stakeholder Q&amp;A,</w:t>
            </w:r>
            <w:r w:rsidRPr="00D60F66">
              <w:rPr>
                <w:rStyle w:val="FootnoteReference"/>
                <w:rFonts w:ascii="Palatino Linotype" w:hAnsi="Palatino Linotype"/>
                <w:color w:val="0D0D0D" w:themeColor="text1" w:themeTint="F2"/>
                <w:sz w:val="20"/>
                <w:szCs w:val="20"/>
              </w:rPr>
              <w:footnoteReference w:id="174"/>
            </w:r>
            <w:r w:rsidRPr="00D60F66">
              <w:rPr>
                <w:rFonts w:ascii="Palatino Linotype" w:hAnsi="Palatino Linotype"/>
                <w:color w:val="0D0D0D" w:themeColor="text1" w:themeTint="F2"/>
                <w:sz w:val="20"/>
                <w:szCs w:val="20"/>
              </w:rPr>
              <w:t xml:space="preserve"> high-level summaries from interviews, and incorporation strategies.</w:t>
            </w:r>
            <w:r w:rsidRPr="00D60F66">
              <w:rPr>
                <w:rStyle w:val="FootnoteReference"/>
                <w:rFonts w:ascii="Palatino Linotype" w:hAnsi="Palatino Linotype"/>
                <w:color w:val="0D0D0D" w:themeColor="text1" w:themeTint="F2"/>
                <w:sz w:val="20"/>
                <w:szCs w:val="20"/>
              </w:rPr>
              <w:footnoteReference w:id="175"/>
            </w:r>
          </w:p>
        </w:tc>
        <w:tc>
          <w:tcPr>
            <w:tcW w:w="4140" w:type="dxa"/>
            <w:tcBorders>
              <w:top w:val="single" w:color="auto" w:sz="4" w:space="0"/>
              <w:left w:val="single" w:color="auto" w:sz="4" w:space="0"/>
              <w:bottom w:val="single" w:color="auto" w:sz="4" w:space="0"/>
              <w:right w:val="single" w:color="auto" w:sz="4" w:space="0"/>
            </w:tcBorders>
          </w:tcPr>
          <w:p w:rsidRPr="00937739" w:rsidR="004B0BDA" w:rsidRDefault="004B0BDA" w14:paraId="2636E653" w14:textId="3552FFF3">
            <w:pPr>
              <w:contextualSpacing/>
              <w:rPr>
                <w:rFonts w:ascii="Palatino Linotype" w:hAnsi="Palatino Linotype" w:eastAsia="Palatino Linotype" w:cs="Times New Roman"/>
                <w:color w:val="000000" w:themeColor="text1"/>
                <w:sz w:val="20"/>
                <w:szCs w:val="20"/>
              </w:rPr>
            </w:pPr>
            <w:r>
              <w:rPr>
                <w:rFonts w:ascii="Palatino Linotype" w:hAnsi="Palatino Linotype" w:eastAsia="Palatino Linotype" w:cs="Times New Roman"/>
                <w:sz w:val="20"/>
                <w:szCs w:val="20"/>
              </w:rPr>
              <w:t xml:space="preserve">CPUC granted PG&amp;E an extension to hold the workshop less than 90 days in advance of Plan submittal. </w:t>
            </w:r>
            <w:r>
              <w:rPr>
                <w:rFonts w:ascii="Palatino Linotype" w:hAnsi="Palatino Linotype"/>
                <w:b/>
                <w:bCs w:val="0"/>
                <w:sz w:val="20"/>
                <w:szCs w:val="20"/>
              </w:rPr>
              <w:t>P</w:t>
            </w:r>
            <w:r w:rsidRPr="00712165">
              <w:rPr>
                <w:rFonts w:ascii="Palatino Linotype" w:hAnsi="Palatino Linotype"/>
                <w:b/>
                <w:bCs w:val="0"/>
                <w:sz w:val="20"/>
                <w:szCs w:val="20"/>
              </w:rPr>
              <w:t>G&amp;E is compliant with this requirement.</w:t>
            </w:r>
          </w:p>
        </w:tc>
      </w:tr>
      <w:tr w:rsidR="00534A20" w:rsidTr="00534A20" w14:paraId="01AD51DA" w14:textId="77777777">
        <w:tc>
          <w:tcPr>
            <w:tcW w:w="3865" w:type="dxa"/>
            <w:tcBorders>
              <w:top w:val="single" w:color="auto" w:sz="4" w:space="0"/>
              <w:left w:val="single" w:color="auto" w:sz="4" w:space="0"/>
              <w:bottom w:val="single" w:color="auto" w:sz="4" w:space="0"/>
              <w:right w:val="single" w:color="auto" w:sz="4" w:space="0"/>
            </w:tcBorders>
          </w:tcPr>
          <w:p w:rsidR="004B0BDA" w:rsidRDefault="004B0BDA" w14:paraId="5532AA31" w14:textId="77777777">
            <w:pPr>
              <w:rPr>
                <w:rFonts w:ascii="Palatino Linotype" w:hAnsi="Palatino Linotype"/>
                <w:i/>
                <w:iCs/>
                <w:color w:val="000000" w:themeColor="text1"/>
                <w:sz w:val="20"/>
                <w:szCs w:val="20"/>
              </w:rPr>
            </w:pPr>
            <w:r w:rsidRPr="007C6D7D">
              <w:rPr>
                <w:rFonts w:ascii="Palatino Linotype" w:hAnsi="Palatino Linotype"/>
                <w:i/>
                <w:iCs/>
                <w:color w:val="000000" w:themeColor="text1"/>
                <w:sz w:val="20"/>
                <w:szCs w:val="20"/>
              </w:rPr>
              <w:t xml:space="preserve">(7) Prior to the workshop, PG&amp;E should submit its RD&amp;D annual report to Energy </w:t>
            </w:r>
            <w:r w:rsidRPr="007C6D7D">
              <w:rPr>
                <w:rFonts w:ascii="Palatino Linotype" w:hAnsi="Palatino Linotype"/>
                <w:i/>
                <w:iCs/>
                <w:color w:val="000000" w:themeColor="text1"/>
                <w:sz w:val="20"/>
                <w:szCs w:val="20"/>
              </w:rPr>
              <w:lastRenderedPageBreak/>
              <w:t xml:space="preserve">Division staff </w:t>
            </w:r>
            <w:r w:rsidRPr="004C5B53">
              <w:rPr>
                <w:rFonts w:ascii="Palatino Linotype" w:hAnsi="Palatino Linotype"/>
                <w:i/>
                <w:iCs/>
                <w:color w:val="000000" w:themeColor="text1"/>
                <w:sz w:val="20"/>
                <w:szCs w:val="20"/>
              </w:rPr>
              <w:t>describing prior years’ RD&amp;D program including a summary of ongoing and completed projects; funds expended, funding recipients, and leveraged funding;</w:t>
            </w:r>
            <w:r w:rsidRPr="007C6D7D">
              <w:rPr>
                <w:rFonts w:ascii="Palatino Linotype" w:hAnsi="Palatino Linotype"/>
                <w:i/>
                <w:iCs/>
                <w:color w:val="000000" w:themeColor="text1"/>
                <w:sz w:val="20"/>
                <w:szCs w:val="20"/>
              </w:rPr>
              <w:t xml:space="preserve"> and an explanation of the process used for selecting RD&amp;D project areas as well as the structure of PG&amp;E’s RD&amp;D portfoli</w:t>
            </w:r>
            <w:r>
              <w:rPr>
                <w:rFonts w:ascii="Palatino Linotype" w:hAnsi="Palatino Linotype"/>
                <w:i/>
                <w:iCs/>
                <w:color w:val="000000" w:themeColor="text1"/>
                <w:sz w:val="20"/>
                <w:szCs w:val="20"/>
              </w:rPr>
              <w:t>o.</w:t>
            </w:r>
            <w:r>
              <w:rPr>
                <w:rStyle w:val="FootnoteReference"/>
                <w:rFonts w:ascii="Palatino Linotype" w:hAnsi="Palatino Linotype"/>
                <w:i/>
                <w:iCs/>
                <w:color w:val="000000" w:themeColor="text1"/>
                <w:sz w:val="20"/>
                <w:szCs w:val="20"/>
              </w:rPr>
              <w:footnoteReference w:id="176"/>
            </w:r>
          </w:p>
        </w:tc>
        <w:tc>
          <w:tcPr>
            <w:tcW w:w="4770" w:type="dxa"/>
            <w:tcBorders>
              <w:top w:val="single" w:color="auto" w:sz="4" w:space="0"/>
              <w:left w:val="single" w:color="auto" w:sz="4" w:space="0"/>
              <w:bottom w:val="single" w:color="auto" w:sz="4" w:space="0"/>
              <w:right w:val="single" w:color="auto" w:sz="4" w:space="0"/>
            </w:tcBorders>
          </w:tcPr>
          <w:p w:rsidRPr="004C5B53" w:rsidR="004B0BDA" w:rsidRDefault="004B0BDA" w14:paraId="13B7FC69" w14:textId="77777777">
            <w:p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lastRenderedPageBreak/>
              <w:t xml:space="preserve">PG&amp;E </w:t>
            </w:r>
            <w:r w:rsidRPr="009A290C">
              <w:rPr>
                <w:rFonts w:ascii="Palatino Linotype" w:hAnsi="Palatino Linotype" w:eastAsia="Palatino Linotype" w:cs="Times New Roman"/>
                <w:color w:val="000000" w:themeColor="text1"/>
                <w:sz w:val="20"/>
                <w:szCs w:val="20"/>
              </w:rPr>
              <w:t xml:space="preserve">submitted its 2023 Gas RD&amp;D Annual Report on March 28, 2024, prior to holding its </w:t>
            </w:r>
            <w:r w:rsidRPr="009A290C">
              <w:rPr>
                <w:rFonts w:ascii="Palatino Linotype" w:hAnsi="Palatino Linotype" w:eastAsia="Palatino Linotype" w:cs="Times New Roman"/>
                <w:color w:val="000000" w:themeColor="text1"/>
                <w:sz w:val="20"/>
                <w:szCs w:val="20"/>
              </w:rPr>
              <w:lastRenderedPageBreak/>
              <w:t>Annual Workshop on April 29, 2024. PG&amp;E provided a summary of ongoing and completed projects,</w:t>
            </w:r>
            <w:r w:rsidRPr="009A290C">
              <w:rPr>
                <w:rStyle w:val="FootnoteReference"/>
                <w:rFonts w:ascii="Palatino Linotype" w:hAnsi="Palatino Linotype" w:eastAsia="Palatino Linotype" w:cs="Times New Roman"/>
                <w:color w:val="000000" w:themeColor="text1"/>
                <w:sz w:val="20"/>
                <w:szCs w:val="20"/>
              </w:rPr>
              <w:footnoteReference w:id="177"/>
            </w:r>
            <w:r w:rsidRPr="009A290C">
              <w:rPr>
                <w:rFonts w:ascii="Palatino Linotype" w:hAnsi="Palatino Linotype" w:eastAsia="Palatino Linotype" w:cs="Times New Roman"/>
                <w:color w:val="000000" w:themeColor="text1"/>
                <w:sz w:val="20"/>
                <w:szCs w:val="20"/>
              </w:rPr>
              <w:t xml:space="preserve"> detailed $1,159,675 in funds expended,</w:t>
            </w:r>
            <w:r w:rsidRPr="009A290C">
              <w:rPr>
                <w:rStyle w:val="FootnoteReference"/>
                <w:rFonts w:ascii="Palatino Linotype" w:hAnsi="Palatino Linotype" w:eastAsia="Palatino Linotype" w:cs="Times New Roman"/>
                <w:color w:val="000000" w:themeColor="text1"/>
                <w:sz w:val="20"/>
                <w:szCs w:val="20"/>
              </w:rPr>
              <w:footnoteReference w:id="178"/>
            </w:r>
            <w:r w:rsidRPr="009A290C">
              <w:rPr>
                <w:rFonts w:ascii="Palatino Linotype" w:hAnsi="Palatino Linotype" w:eastAsia="Palatino Linotype" w:cs="Times New Roman"/>
                <w:color w:val="000000" w:themeColor="text1"/>
                <w:sz w:val="20"/>
                <w:szCs w:val="20"/>
              </w:rPr>
              <w:t xml:space="preserve"> listed 2023 funding recipients,</w:t>
            </w:r>
            <w:r w:rsidRPr="009A290C">
              <w:rPr>
                <w:rStyle w:val="FootnoteReference"/>
                <w:rFonts w:ascii="Palatino Linotype" w:hAnsi="Palatino Linotype" w:eastAsia="Palatino Linotype" w:cs="Times New Roman"/>
                <w:color w:val="000000" w:themeColor="text1"/>
                <w:sz w:val="20"/>
                <w:szCs w:val="20"/>
              </w:rPr>
              <w:footnoteReference w:id="179"/>
            </w:r>
            <w:r w:rsidRPr="009A290C">
              <w:rPr>
                <w:rFonts w:ascii="Palatino Linotype" w:hAnsi="Palatino Linotype" w:eastAsia="Palatino Linotype" w:cs="Times New Roman"/>
                <w:color w:val="000000" w:themeColor="text1"/>
                <w:sz w:val="20"/>
                <w:szCs w:val="20"/>
              </w:rPr>
              <w:t xml:space="preserve"> and described the process used for selecting projects</w:t>
            </w:r>
            <w:r w:rsidRPr="009A290C">
              <w:rPr>
                <w:rStyle w:val="FootnoteReference"/>
                <w:rFonts w:ascii="Palatino Linotype" w:hAnsi="Palatino Linotype" w:eastAsia="Palatino Linotype" w:cs="Times New Roman"/>
                <w:color w:val="000000" w:themeColor="text1"/>
                <w:sz w:val="20"/>
                <w:szCs w:val="20"/>
              </w:rPr>
              <w:footnoteReference w:id="180"/>
            </w:r>
            <w:r w:rsidRPr="009A290C">
              <w:rPr>
                <w:rFonts w:ascii="Palatino Linotype" w:hAnsi="Palatino Linotype" w:eastAsia="Palatino Linotype" w:cs="Times New Roman"/>
                <w:color w:val="000000" w:themeColor="text1"/>
                <w:sz w:val="20"/>
                <w:szCs w:val="20"/>
              </w:rPr>
              <w:t xml:space="preserve"> and structure of PG&amp;E’s Gas RD&amp;D portfolio.</w:t>
            </w:r>
            <w:r w:rsidRPr="009A290C">
              <w:rPr>
                <w:rStyle w:val="FootnoteReference"/>
                <w:rFonts w:ascii="Palatino Linotype" w:hAnsi="Palatino Linotype" w:eastAsia="Palatino Linotype" w:cs="Times New Roman"/>
                <w:color w:val="000000" w:themeColor="text1"/>
                <w:sz w:val="20"/>
                <w:szCs w:val="20"/>
              </w:rPr>
              <w:footnoteReference w:id="181"/>
            </w:r>
            <w:r w:rsidRPr="009A290C">
              <w:rPr>
                <w:rFonts w:ascii="Palatino Linotype" w:hAnsi="Palatino Linotype" w:eastAsia="Palatino Linotype" w:cs="Times New Roman"/>
                <w:color w:val="000000" w:themeColor="text1"/>
                <w:sz w:val="20"/>
                <w:szCs w:val="20"/>
              </w:rPr>
              <w:t xml:space="preserve"> PG&amp;E stated that “on average, every dollar of Gas R&amp;D funding expended on projects was matched by $20.50 of </w:t>
            </w:r>
            <w:r w:rsidRPr="003B4EF9">
              <w:rPr>
                <w:rFonts w:ascii="Palatino Linotype" w:hAnsi="Palatino Linotype" w:eastAsia="Palatino Linotype" w:cs="Times New Roman"/>
                <w:sz w:val="20"/>
                <w:szCs w:val="20"/>
              </w:rPr>
              <w:t>funding from other sources in 2023.”</w:t>
            </w:r>
            <w:r>
              <w:rPr>
                <w:rStyle w:val="FootnoteReference"/>
                <w:rFonts w:ascii="Palatino Linotype" w:hAnsi="Palatino Linotype" w:eastAsia="Palatino Linotype" w:cs="Times New Roman"/>
                <w:sz w:val="20"/>
                <w:szCs w:val="20"/>
              </w:rPr>
              <w:footnoteReference w:id="182"/>
            </w:r>
            <w:r w:rsidRPr="003B4EF9">
              <w:rPr>
                <w:rFonts w:ascii="Palatino Linotype" w:hAnsi="Palatino Linotype" w:eastAsia="Palatino Linotype" w:cs="Times New Roman"/>
                <w:sz w:val="20"/>
                <w:szCs w:val="20"/>
              </w:rPr>
              <w:t xml:space="preserve"> </w:t>
            </w:r>
          </w:p>
        </w:tc>
        <w:tc>
          <w:tcPr>
            <w:tcW w:w="4140" w:type="dxa"/>
            <w:tcBorders>
              <w:top w:val="single" w:color="auto" w:sz="4" w:space="0"/>
              <w:left w:val="single" w:color="auto" w:sz="4" w:space="0"/>
              <w:bottom w:val="single" w:color="auto" w:sz="4" w:space="0"/>
              <w:right w:val="single" w:color="auto" w:sz="4" w:space="0"/>
            </w:tcBorders>
          </w:tcPr>
          <w:p w:rsidRPr="00787699" w:rsidR="004B0BDA" w:rsidRDefault="00523E5E" w14:paraId="145AFD1F" w14:textId="2F95CB83">
            <w:pPr>
              <w:contextualSpacing/>
              <w:rPr>
                <w:rFonts w:ascii="Palatino Linotype" w:hAnsi="Palatino Linotype" w:eastAsia="Palatino Linotype" w:cs="Times New Roman"/>
                <w:b/>
                <w:bCs w:val="0"/>
                <w:color w:val="000000" w:themeColor="text1"/>
                <w:sz w:val="20"/>
                <w:szCs w:val="20"/>
              </w:rPr>
            </w:pPr>
            <w:r w:rsidRPr="00787699">
              <w:rPr>
                <w:rFonts w:ascii="Palatino Linotype" w:hAnsi="Palatino Linotype" w:eastAsia="Palatino Linotype" w:cs="Times New Roman"/>
                <w:color w:val="000000" w:themeColor="text1"/>
                <w:sz w:val="20"/>
                <w:szCs w:val="20"/>
              </w:rPr>
              <w:lastRenderedPageBreak/>
              <w:t xml:space="preserve">PG&amp;E submitted its 2023 Gas RD&amp;D Annual Report on March 28, 2024, prior to </w:t>
            </w:r>
            <w:r w:rsidRPr="00787699">
              <w:rPr>
                <w:rFonts w:ascii="Palatino Linotype" w:hAnsi="Palatino Linotype" w:eastAsia="Palatino Linotype" w:cs="Times New Roman"/>
                <w:color w:val="000000" w:themeColor="text1"/>
                <w:sz w:val="20"/>
                <w:szCs w:val="20"/>
              </w:rPr>
              <w:lastRenderedPageBreak/>
              <w:t>holding its Annual Workshop on April 29, 2024.</w:t>
            </w:r>
            <w:r w:rsidRPr="00787699" w:rsidR="00E433AB">
              <w:rPr>
                <w:rFonts w:ascii="Palatino Linotype" w:hAnsi="Palatino Linotype" w:eastAsia="Palatino Linotype" w:cs="Times New Roman"/>
                <w:color w:val="000000" w:themeColor="text1"/>
                <w:sz w:val="20"/>
                <w:szCs w:val="20"/>
              </w:rPr>
              <w:t xml:space="preserve"> In its Annual Report, PG&amp;E</w:t>
            </w:r>
            <w:r w:rsidRPr="00787699" w:rsidR="0040376E">
              <w:rPr>
                <w:rFonts w:ascii="Palatino Linotype" w:hAnsi="Palatino Linotype" w:eastAsia="Palatino Linotype" w:cs="Times New Roman"/>
                <w:color w:val="000000" w:themeColor="text1"/>
                <w:sz w:val="20"/>
                <w:szCs w:val="20"/>
              </w:rPr>
              <w:t xml:space="preserve"> summarizes ongoing and completed projects, </w:t>
            </w:r>
            <w:r w:rsidRPr="00787699" w:rsidR="004A34A5">
              <w:rPr>
                <w:rFonts w:ascii="Palatino Linotype" w:hAnsi="Palatino Linotype" w:eastAsia="Palatino Linotype" w:cs="Times New Roman"/>
                <w:color w:val="000000" w:themeColor="text1"/>
                <w:sz w:val="20"/>
                <w:szCs w:val="20"/>
              </w:rPr>
              <w:t>leveraged funding, and its project selection process as required.</w:t>
            </w:r>
            <w:r w:rsidRPr="00787699">
              <w:rPr>
                <w:rFonts w:ascii="Palatino Linotype" w:hAnsi="Palatino Linotype" w:eastAsia="Palatino Linotype" w:cs="Times New Roman"/>
                <w:color w:val="000000" w:themeColor="text1"/>
                <w:sz w:val="20"/>
                <w:szCs w:val="20"/>
              </w:rPr>
              <w:t xml:space="preserve"> </w:t>
            </w:r>
            <w:r w:rsidRPr="00787699" w:rsidR="004B0BDA">
              <w:rPr>
                <w:rFonts w:ascii="Palatino Linotype" w:hAnsi="Palatino Linotype"/>
                <w:b/>
                <w:bCs w:val="0"/>
                <w:color w:val="000000" w:themeColor="text1"/>
                <w:sz w:val="20"/>
                <w:szCs w:val="20"/>
              </w:rPr>
              <w:t>PG&amp;E is compliant with this requirement.</w:t>
            </w:r>
          </w:p>
        </w:tc>
      </w:tr>
      <w:tr w:rsidR="00534A20" w:rsidTr="00534A20" w14:paraId="1B9D3D08" w14:textId="77777777">
        <w:tc>
          <w:tcPr>
            <w:tcW w:w="3865" w:type="dxa"/>
            <w:tcBorders>
              <w:top w:val="single" w:color="auto" w:sz="4" w:space="0"/>
              <w:left w:val="single" w:color="auto" w:sz="4" w:space="0"/>
              <w:bottom w:val="single" w:color="auto" w:sz="4" w:space="0"/>
              <w:right w:val="single" w:color="auto" w:sz="4" w:space="0"/>
            </w:tcBorders>
          </w:tcPr>
          <w:p w:rsidRPr="00E42104" w:rsidR="004B0BDA" w:rsidRDefault="004B0BDA" w14:paraId="7129C586"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 xml:space="preserve">(8) </w:t>
            </w:r>
            <w:r w:rsidRPr="00E42104">
              <w:rPr>
                <w:rFonts w:ascii="Palatino Linotype" w:hAnsi="Palatino Linotype"/>
                <w:i/>
                <w:iCs/>
                <w:color w:val="000000" w:themeColor="text1"/>
                <w:sz w:val="20"/>
                <w:szCs w:val="20"/>
              </w:rPr>
              <w:t>PG&amp;E shall provide Energy Division staff with the</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workshop presentation materials as well as</w:t>
            </w:r>
          </w:p>
          <w:p w:rsidR="004B0BDA" w:rsidRDefault="004B0BDA" w14:paraId="6A8BA1C3" w14:textId="77777777">
            <w:pPr>
              <w:rPr>
                <w:rFonts w:ascii="Palatino Linotype" w:hAnsi="Palatino Linotype"/>
                <w:i/>
                <w:iCs/>
                <w:color w:val="000000" w:themeColor="text1"/>
                <w:sz w:val="20"/>
                <w:szCs w:val="20"/>
              </w:rPr>
            </w:pPr>
            <w:r w:rsidRPr="00E42104">
              <w:rPr>
                <w:rFonts w:ascii="Palatino Linotype" w:hAnsi="Palatino Linotype"/>
                <w:i/>
                <w:iCs/>
                <w:color w:val="000000" w:themeColor="text1"/>
                <w:sz w:val="20"/>
                <w:szCs w:val="20"/>
              </w:rPr>
              <w:t>documentation on stakeholders consulted in the</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development of RD&amp;D projects, both at least one week</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before the worksho</w:t>
            </w:r>
            <w:r>
              <w:rPr>
                <w:rFonts w:ascii="Palatino Linotype" w:hAnsi="Palatino Linotype"/>
                <w:i/>
                <w:iCs/>
                <w:color w:val="000000" w:themeColor="text1"/>
                <w:sz w:val="20"/>
                <w:szCs w:val="20"/>
              </w:rPr>
              <w:t xml:space="preserve">p. </w:t>
            </w:r>
          </w:p>
          <w:p w:rsidR="004B0BDA" w:rsidRDefault="004B0BDA" w14:paraId="09C99EF8" w14:textId="77777777">
            <w:pPr>
              <w:rPr>
                <w:rFonts w:ascii="Palatino Linotype" w:hAnsi="Palatino Linotype"/>
                <w:i/>
                <w:iCs/>
                <w:color w:val="000000" w:themeColor="text1"/>
                <w:sz w:val="20"/>
                <w:szCs w:val="20"/>
              </w:rPr>
            </w:pPr>
          </w:p>
          <w:p w:rsidRPr="00E42104" w:rsidR="004B0BDA" w:rsidRDefault="004B0BDA" w14:paraId="16E43D81" w14:textId="77777777">
            <w:pPr>
              <w:rPr>
                <w:rFonts w:ascii="Palatino Linotype" w:hAnsi="Palatino Linotype"/>
                <w:color w:val="000000"/>
                <w:sz w:val="20"/>
                <w:szCs w:val="20"/>
                <w14:textFill>
                  <w14:solidFill>
                    <w14:srgbClr w14:val="000000">
                      <w14:lumMod w14:val="50000"/>
                    </w14:srgbClr>
                  </w14:solidFill>
                </w14:textFill>
              </w:rPr>
            </w:pPr>
            <w:r>
              <w:rPr>
                <w:rFonts w:ascii="Palatino Linotype" w:hAnsi="Palatino Linotype"/>
                <w:i/>
                <w:iCs/>
                <w:color w:val="000000" w:themeColor="text1"/>
                <w:sz w:val="20"/>
                <w:szCs w:val="20"/>
              </w:rPr>
              <w:t xml:space="preserve">(9) </w:t>
            </w:r>
            <w:r w:rsidRPr="00915C7C">
              <w:rPr>
                <w:rFonts w:ascii="Palatino Linotype" w:hAnsi="Palatino Linotype"/>
                <w:i/>
                <w:iCs/>
                <w:color w:val="000000" w:themeColor="text1"/>
                <w:sz w:val="20"/>
                <w:szCs w:val="20"/>
              </w:rPr>
              <w:t>PG&amp;E shall engage relevant stakeholders to encourage</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their attendance at the workshop, such</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as the California</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Energy Commission, the Disadvantaged Communities</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Advisory Group,</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 xml:space="preserve">the U.S. </w:t>
            </w:r>
            <w:r w:rsidRPr="00915C7C">
              <w:rPr>
                <w:rFonts w:ascii="Palatino Linotype" w:hAnsi="Palatino Linotype"/>
                <w:i/>
                <w:iCs/>
                <w:color w:val="000000" w:themeColor="text1"/>
                <w:sz w:val="20"/>
                <w:szCs w:val="20"/>
              </w:rPr>
              <w:lastRenderedPageBreak/>
              <w:t>Department of Energy, and</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other organizations engaged in gas research and</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development</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183"/>
            </w:r>
          </w:p>
        </w:tc>
        <w:tc>
          <w:tcPr>
            <w:tcW w:w="4770" w:type="dxa"/>
            <w:tcBorders>
              <w:top w:val="single" w:color="auto" w:sz="4" w:space="0"/>
              <w:left w:val="single" w:color="auto" w:sz="4" w:space="0"/>
              <w:bottom w:val="single" w:color="auto" w:sz="4" w:space="0"/>
              <w:right w:val="single" w:color="auto" w:sz="4" w:space="0"/>
            </w:tcBorders>
          </w:tcPr>
          <w:p w:rsidRPr="00BD7EDA" w:rsidR="004B0BDA" w:rsidRDefault="004B0BDA" w14:paraId="4D183430" w14:textId="77777777">
            <w:pPr>
              <w:rPr>
                <w:rFonts w:ascii="Palatino Linotype" w:hAnsi="Palatino Linotype" w:eastAsia="Palatino Linotype" w:cs="Times New Roman"/>
                <w:color w:val="000000" w:themeColor="text1"/>
                <w:sz w:val="20"/>
                <w:szCs w:val="20"/>
              </w:rPr>
            </w:pPr>
            <w:r w:rsidRPr="0032527A">
              <w:rPr>
                <w:rFonts w:ascii="Palatino Linotype" w:hAnsi="Palatino Linotype" w:eastAsia="Palatino Linotype" w:cs="Times New Roman"/>
                <w:sz w:val="20"/>
                <w:szCs w:val="20"/>
              </w:rPr>
              <w:lastRenderedPageBreak/>
              <w:t xml:space="preserve">PG&amp;E </w:t>
            </w:r>
            <w:r>
              <w:rPr>
                <w:rFonts w:ascii="Palatino Linotype" w:hAnsi="Palatino Linotype" w:eastAsia="Palatino Linotype" w:cs="Times New Roman"/>
                <w:sz w:val="20"/>
                <w:szCs w:val="20"/>
              </w:rPr>
              <w:t xml:space="preserve">states that it </w:t>
            </w:r>
            <w:r w:rsidRPr="0032527A">
              <w:rPr>
                <w:rFonts w:ascii="Palatino Linotype" w:hAnsi="Palatino Linotype" w:eastAsia="Palatino Linotype" w:cs="Times New Roman"/>
                <w:sz w:val="20"/>
                <w:szCs w:val="20"/>
              </w:rPr>
              <w:t xml:space="preserve">leveraged its Gas RD&amp;D website, CPUC proceeding service lists, and its </w:t>
            </w:r>
            <w:r w:rsidRPr="0032527A">
              <w:rPr>
                <w:rFonts w:ascii="Palatino Linotype" w:hAnsi="Palatino Linotype" w:eastAsia="Palatino Linotype" w:cs="Times New Roman"/>
                <w:color w:val="000000" w:themeColor="text1"/>
                <w:sz w:val="20"/>
                <w:szCs w:val="20"/>
              </w:rPr>
              <w:t xml:space="preserve">Diversity Equity Inclusion &amp; Belonging (DEIB) team to notice the workshop, ultimately engaging attendees </w:t>
            </w:r>
            <w:r w:rsidRPr="009A290C">
              <w:rPr>
                <w:rFonts w:ascii="Palatino Linotype" w:hAnsi="Palatino Linotype" w:eastAsia="Palatino Linotype" w:cs="Times New Roman"/>
                <w:color w:val="000000" w:themeColor="text1"/>
                <w:sz w:val="20"/>
                <w:szCs w:val="20"/>
              </w:rPr>
              <w:t xml:space="preserve">from 100 different </w:t>
            </w:r>
            <w:r w:rsidRPr="0032527A">
              <w:rPr>
                <w:rFonts w:ascii="Palatino Linotype" w:hAnsi="Palatino Linotype" w:eastAsia="Palatino Linotype" w:cs="Times New Roman"/>
                <w:color w:val="000000" w:themeColor="text1"/>
                <w:sz w:val="20"/>
                <w:szCs w:val="20"/>
              </w:rPr>
              <w:t>organizations in 20</w:t>
            </w:r>
            <w:r w:rsidRPr="00DA2688">
              <w:rPr>
                <w:rFonts w:ascii="Palatino Linotype" w:hAnsi="Palatino Linotype" w:eastAsia="Palatino Linotype" w:cs="Times New Roman"/>
                <w:color w:val="0D0D0D" w:themeColor="text1" w:themeTint="F2"/>
                <w:sz w:val="20"/>
                <w:szCs w:val="20"/>
              </w:rPr>
              <w:t>24.</w:t>
            </w:r>
            <w:r w:rsidRPr="00DA2688">
              <w:rPr>
                <w:rStyle w:val="FootnoteReference"/>
                <w:rFonts w:ascii="Palatino Linotype" w:hAnsi="Palatino Linotype" w:eastAsia="Palatino Linotype" w:cs="Times New Roman"/>
                <w:color w:val="0D0D0D" w:themeColor="text1" w:themeTint="F2"/>
                <w:sz w:val="20"/>
                <w:szCs w:val="20"/>
              </w:rPr>
              <w:footnoteReference w:id="184"/>
            </w:r>
            <w:r w:rsidRPr="00DA2688">
              <w:rPr>
                <w:rFonts w:ascii="Palatino Linotype" w:hAnsi="Palatino Linotype" w:eastAsia="Palatino Linotype" w:cs="Times New Roman"/>
                <w:color w:val="0D0D0D" w:themeColor="text1" w:themeTint="F2"/>
                <w:sz w:val="20"/>
                <w:szCs w:val="20"/>
              </w:rPr>
              <w:t xml:space="preserve"> </w:t>
            </w:r>
            <w:r w:rsidRPr="00DA2688">
              <w:rPr>
                <w:rFonts w:ascii="Palatino Linotype" w:hAnsi="Palatino Linotype"/>
                <w:color w:val="0D0D0D" w:themeColor="text1" w:themeTint="F2"/>
                <w:sz w:val="20"/>
                <w:szCs w:val="20"/>
              </w:rPr>
              <w:t>PG&amp;E includes information on Workshop Stakeholder Q&amp;A</w:t>
            </w:r>
            <w:r w:rsidRPr="00DA2688">
              <w:rPr>
                <w:rStyle w:val="FootnoteReference"/>
                <w:rFonts w:ascii="Palatino Linotype" w:hAnsi="Palatino Linotype"/>
                <w:color w:val="0D0D0D" w:themeColor="text1" w:themeTint="F2"/>
                <w:sz w:val="20"/>
                <w:szCs w:val="20"/>
              </w:rPr>
              <w:footnoteReference w:id="185"/>
            </w:r>
            <w:r w:rsidRPr="00DA2688">
              <w:rPr>
                <w:rFonts w:ascii="Palatino Linotype" w:hAnsi="Palatino Linotype" w:eastAsia="Palatino Linotype" w:cs="Times New Roman"/>
                <w:color w:val="0D0D0D" w:themeColor="text1" w:themeTint="F2"/>
                <w:sz w:val="20"/>
                <w:szCs w:val="20"/>
              </w:rPr>
              <w:t xml:space="preserve"> and </w:t>
            </w:r>
            <w:r>
              <w:rPr>
                <w:rFonts w:ascii="Palatino Linotype" w:hAnsi="Palatino Linotype" w:eastAsia="Palatino Linotype" w:cs="Times New Roman"/>
                <w:color w:val="000000" w:themeColor="text1"/>
                <w:sz w:val="20"/>
                <w:szCs w:val="20"/>
              </w:rPr>
              <w:t>an</w:t>
            </w:r>
            <w:r w:rsidRPr="0032527A">
              <w:rPr>
                <w:rFonts w:ascii="Palatino Linotype" w:hAnsi="Palatino Linotype" w:eastAsia="Palatino Linotype" w:cs="Times New Roman"/>
                <w:color w:val="000000" w:themeColor="text1"/>
                <w:sz w:val="20"/>
                <w:szCs w:val="20"/>
              </w:rPr>
              <w:t xml:space="preserve"> Annual Stakeholder Workshop Attendee Organization List, which include</w:t>
            </w:r>
            <w:r>
              <w:rPr>
                <w:rFonts w:ascii="Palatino Linotype" w:hAnsi="Palatino Linotype" w:eastAsia="Palatino Linotype" w:cs="Times New Roman"/>
                <w:color w:val="000000" w:themeColor="text1"/>
                <w:sz w:val="20"/>
                <w:szCs w:val="20"/>
              </w:rPr>
              <w:t>s</w:t>
            </w:r>
            <w:r w:rsidRPr="0032527A">
              <w:rPr>
                <w:rFonts w:ascii="Palatino Linotype" w:hAnsi="Palatino Linotype" w:eastAsia="Palatino Linotype" w:cs="Times New Roman"/>
                <w:color w:val="000000" w:themeColor="text1"/>
                <w:sz w:val="20"/>
                <w:szCs w:val="20"/>
              </w:rPr>
              <w:t xml:space="preserve"> na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onal laboratories, public agencies, industry organiza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ons, universi</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 xml:space="preserve">es, minority-serving organizations (MSIs), community-based </w:t>
            </w:r>
            <w:r w:rsidRPr="0032527A">
              <w:rPr>
                <w:rFonts w:ascii="Palatino Linotype" w:hAnsi="Palatino Linotype" w:eastAsia="Palatino Linotype" w:cs="Times New Roman"/>
                <w:color w:val="000000" w:themeColor="text1"/>
                <w:sz w:val="20"/>
                <w:szCs w:val="20"/>
              </w:rPr>
              <w:lastRenderedPageBreak/>
              <w:t>organizations (CBOs), Tribal Na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ons, and private companies</w:t>
            </w:r>
            <w:r w:rsidRPr="0032527A">
              <w:rPr>
                <w:rFonts w:ascii="Palatino Linotype" w:hAnsi="Palatino Linotype" w:eastAsia="Palatino Linotype" w:cs="Times New Roman"/>
                <w:sz w:val="20"/>
                <w:szCs w:val="20"/>
              </w:rPr>
              <w:t>.</w:t>
            </w:r>
            <w:r w:rsidRPr="0032527A">
              <w:rPr>
                <w:rStyle w:val="FootnoteReference"/>
                <w:rFonts w:ascii="Palatino Linotype" w:hAnsi="Palatino Linotype" w:eastAsia="Palatino Linotype" w:cs="Times New Roman"/>
                <w:sz w:val="20"/>
                <w:szCs w:val="20"/>
              </w:rPr>
              <w:footnoteReference w:id="186"/>
            </w:r>
          </w:p>
        </w:tc>
        <w:tc>
          <w:tcPr>
            <w:tcW w:w="4140" w:type="dxa"/>
            <w:tcBorders>
              <w:top w:val="single" w:color="auto" w:sz="4" w:space="0"/>
              <w:left w:val="single" w:color="auto" w:sz="4" w:space="0"/>
              <w:bottom w:val="single" w:color="auto" w:sz="4" w:space="0"/>
              <w:right w:val="single" w:color="auto" w:sz="4" w:space="0"/>
            </w:tcBorders>
          </w:tcPr>
          <w:p w:rsidRPr="004442B5" w:rsidR="004B0BDA" w:rsidRDefault="00BD5212" w14:paraId="3496E35D" w14:textId="7A4893F4">
            <w:pPr>
              <w:contextualSpacing/>
              <w:rPr>
                <w:rFonts w:ascii="Palatino Linotype" w:hAnsi="Palatino Linotype" w:eastAsia="Palatino Linotype" w:cs="Times New Roman"/>
                <w:b/>
                <w:bCs w:val="0"/>
                <w:color w:val="0070C0"/>
                <w:sz w:val="20"/>
                <w:szCs w:val="20"/>
              </w:rPr>
            </w:pPr>
            <w:r w:rsidRPr="00787699">
              <w:rPr>
                <w:rFonts w:ascii="Palatino Linotype" w:hAnsi="Palatino Linotype" w:eastAsia="Palatino Linotype" w:cs="Times New Roman"/>
                <w:color w:val="000000" w:themeColor="text1"/>
                <w:sz w:val="20"/>
                <w:szCs w:val="20"/>
              </w:rPr>
              <w:lastRenderedPageBreak/>
              <w:t>PG&amp;E</w:t>
            </w:r>
            <w:r w:rsidRPr="00787699" w:rsidR="006161FD">
              <w:rPr>
                <w:rFonts w:ascii="Palatino Linotype" w:hAnsi="Palatino Linotype" w:eastAsia="Palatino Linotype" w:cs="Times New Roman"/>
                <w:color w:val="000000" w:themeColor="text1"/>
                <w:sz w:val="20"/>
                <w:szCs w:val="20"/>
              </w:rPr>
              <w:t xml:space="preserve"> engaged relevant</w:t>
            </w:r>
            <w:r w:rsidRPr="00787699" w:rsidR="00C43589">
              <w:rPr>
                <w:rFonts w:ascii="Palatino Linotype" w:hAnsi="Palatino Linotype" w:eastAsia="Palatino Linotype" w:cs="Times New Roman"/>
                <w:color w:val="000000" w:themeColor="text1"/>
                <w:sz w:val="20"/>
                <w:szCs w:val="20"/>
              </w:rPr>
              <w:t>, diverse</w:t>
            </w:r>
            <w:r w:rsidRPr="00787699" w:rsidR="006161FD">
              <w:rPr>
                <w:rFonts w:ascii="Palatino Linotype" w:hAnsi="Palatino Linotype" w:eastAsia="Palatino Linotype" w:cs="Times New Roman"/>
                <w:color w:val="000000" w:themeColor="text1"/>
                <w:sz w:val="20"/>
                <w:szCs w:val="20"/>
              </w:rPr>
              <w:t xml:space="preserve"> stakeholders in</w:t>
            </w:r>
            <w:r w:rsidRPr="00787699">
              <w:rPr>
                <w:rFonts w:ascii="Palatino Linotype" w:hAnsi="Palatino Linotype" w:eastAsia="Palatino Linotype" w:cs="Times New Roman"/>
                <w:color w:val="000000" w:themeColor="text1"/>
                <w:sz w:val="20"/>
                <w:szCs w:val="20"/>
              </w:rPr>
              <w:t xml:space="preserve"> its Annual Workshop </w:t>
            </w:r>
            <w:r w:rsidRPr="00787699" w:rsidR="006161FD">
              <w:rPr>
                <w:rFonts w:ascii="Palatino Linotype" w:hAnsi="Palatino Linotype" w:eastAsia="Palatino Linotype" w:cs="Times New Roman"/>
                <w:color w:val="000000" w:themeColor="text1"/>
                <w:sz w:val="20"/>
                <w:szCs w:val="20"/>
              </w:rPr>
              <w:t xml:space="preserve">held </w:t>
            </w:r>
            <w:r w:rsidRPr="00787699">
              <w:rPr>
                <w:rFonts w:ascii="Palatino Linotype" w:hAnsi="Palatino Linotype" w:eastAsia="Palatino Linotype" w:cs="Times New Roman"/>
                <w:color w:val="000000" w:themeColor="text1"/>
                <w:sz w:val="20"/>
                <w:szCs w:val="20"/>
              </w:rPr>
              <w:t>on April 29, 2024</w:t>
            </w:r>
            <w:r w:rsidRPr="00787699" w:rsidR="006161FD">
              <w:rPr>
                <w:rFonts w:ascii="Palatino Linotype" w:hAnsi="Palatino Linotype" w:eastAsia="Palatino Linotype" w:cs="Times New Roman"/>
                <w:color w:val="000000" w:themeColor="text1"/>
                <w:sz w:val="20"/>
                <w:szCs w:val="20"/>
              </w:rPr>
              <w:t>.</w:t>
            </w:r>
            <w:r w:rsidRPr="00787699" w:rsidR="004442B5">
              <w:rPr>
                <w:rFonts w:ascii="Palatino Linotype" w:hAnsi="Palatino Linotype" w:eastAsia="Palatino Linotype" w:cs="Times New Roman"/>
                <w:color w:val="000000" w:themeColor="text1"/>
                <w:sz w:val="20"/>
                <w:szCs w:val="20"/>
              </w:rPr>
              <w:t xml:space="preserve"> </w:t>
            </w:r>
            <w:r w:rsidRPr="00787699" w:rsidR="004B0BDA">
              <w:rPr>
                <w:rFonts w:ascii="Palatino Linotype" w:hAnsi="Palatino Linotype" w:eastAsia="Palatino Linotype" w:cs="Times New Roman"/>
                <w:b/>
                <w:bCs w:val="0"/>
                <w:color w:val="000000" w:themeColor="text1"/>
                <w:sz w:val="20"/>
                <w:szCs w:val="20"/>
              </w:rPr>
              <w:t>PG</w:t>
            </w:r>
            <w:r w:rsidRPr="00B9418D" w:rsidR="004B0BDA">
              <w:rPr>
                <w:rFonts w:ascii="Palatino Linotype" w:hAnsi="Palatino Linotype" w:eastAsia="Palatino Linotype" w:cs="Times New Roman"/>
                <w:b/>
                <w:bCs w:val="0"/>
                <w:color w:val="000000" w:themeColor="text1"/>
                <w:sz w:val="20"/>
                <w:szCs w:val="20"/>
              </w:rPr>
              <w:t>&amp;E is compliant with th</w:t>
            </w:r>
            <w:r w:rsidR="004B0BDA">
              <w:rPr>
                <w:rFonts w:ascii="Palatino Linotype" w:hAnsi="Palatino Linotype" w:eastAsia="Palatino Linotype" w:cs="Times New Roman"/>
                <w:b/>
                <w:bCs w:val="0"/>
                <w:color w:val="000000" w:themeColor="text1"/>
                <w:sz w:val="20"/>
                <w:szCs w:val="20"/>
              </w:rPr>
              <w:t>ese</w:t>
            </w:r>
            <w:r w:rsidRPr="00B9418D" w:rsidR="004B0BDA">
              <w:rPr>
                <w:rFonts w:ascii="Palatino Linotype" w:hAnsi="Palatino Linotype" w:eastAsia="Palatino Linotype" w:cs="Times New Roman"/>
                <w:b/>
                <w:bCs w:val="0"/>
                <w:color w:val="000000" w:themeColor="text1"/>
                <w:sz w:val="20"/>
                <w:szCs w:val="20"/>
              </w:rPr>
              <w:t xml:space="preserve"> requirement</w:t>
            </w:r>
            <w:r w:rsidR="004B0BDA">
              <w:rPr>
                <w:rFonts w:ascii="Palatino Linotype" w:hAnsi="Palatino Linotype" w:eastAsia="Palatino Linotype" w:cs="Times New Roman"/>
                <w:b/>
                <w:bCs w:val="0"/>
                <w:color w:val="000000" w:themeColor="text1"/>
                <w:sz w:val="20"/>
                <w:szCs w:val="20"/>
              </w:rPr>
              <w:t>s</w:t>
            </w:r>
            <w:r w:rsidRPr="00B9418D" w:rsidR="004B0BDA">
              <w:rPr>
                <w:rFonts w:ascii="Palatino Linotype" w:hAnsi="Palatino Linotype" w:eastAsia="Palatino Linotype" w:cs="Times New Roman"/>
                <w:b/>
                <w:bCs w:val="0"/>
                <w:color w:val="000000" w:themeColor="text1"/>
                <w:sz w:val="20"/>
                <w:szCs w:val="20"/>
              </w:rPr>
              <w:t>.</w:t>
            </w:r>
          </w:p>
        </w:tc>
      </w:tr>
      <w:tr w:rsidR="00534A20" w:rsidTr="00534A20" w14:paraId="1690EF7C" w14:textId="77777777">
        <w:tc>
          <w:tcPr>
            <w:tcW w:w="3865" w:type="dxa"/>
            <w:tcBorders>
              <w:top w:val="single" w:color="auto" w:sz="4" w:space="0"/>
              <w:left w:val="single" w:color="auto" w:sz="4" w:space="0"/>
              <w:bottom w:val="single" w:color="auto" w:sz="4" w:space="0"/>
              <w:right w:val="single" w:color="auto" w:sz="4" w:space="0"/>
            </w:tcBorders>
          </w:tcPr>
          <w:p w:rsidRPr="0007571E" w:rsidR="004B0BDA" w:rsidRDefault="004B0BDA" w14:paraId="7A3B1200" w14:textId="77777777">
            <w:pPr>
              <w:rPr>
                <w:rFonts w:ascii="Palatino Linotype" w:hAnsi="Palatino Linotype"/>
                <w:i/>
                <w:iCs/>
                <w:color w:val="0070C0"/>
                <w:sz w:val="20"/>
                <w:szCs w:val="20"/>
              </w:rPr>
            </w:pPr>
            <w:r w:rsidRPr="009A290C">
              <w:rPr>
                <w:rFonts w:ascii="Palatino Linotype" w:hAnsi="Palatino Linotype"/>
                <w:i/>
                <w:iCs/>
                <w:color w:val="000000" w:themeColor="text1"/>
                <w:sz w:val="20"/>
                <w:szCs w:val="20"/>
              </w:rPr>
              <w:t>(10) PG&amp;E’s research plan should allocate approximately $296,400 to an evaluation or audit.</w:t>
            </w:r>
            <w:r w:rsidRPr="009A290C">
              <w:rPr>
                <w:rStyle w:val="FootnoteReference"/>
                <w:rFonts w:ascii="Palatino Linotype" w:hAnsi="Palatino Linotype"/>
                <w:i/>
                <w:iCs/>
                <w:color w:val="000000" w:themeColor="text1"/>
                <w:sz w:val="20"/>
                <w:szCs w:val="20"/>
              </w:rPr>
              <w:footnoteReference w:id="187"/>
            </w:r>
          </w:p>
        </w:tc>
        <w:tc>
          <w:tcPr>
            <w:tcW w:w="4770" w:type="dxa"/>
            <w:tcBorders>
              <w:top w:val="single" w:color="auto" w:sz="4" w:space="0"/>
              <w:left w:val="single" w:color="auto" w:sz="4" w:space="0"/>
              <w:bottom w:val="single" w:color="auto" w:sz="4" w:space="0"/>
              <w:right w:val="single" w:color="auto" w:sz="4" w:space="0"/>
            </w:tcBorders>
          </w:tcPr>
          <w:p w:rsidRPr="009A290C" w:rsidR="004B0BDA" w:rsidRDefault="004B0BDA" w14:paraId="472E8FBF" w14:textId="77777777">
            <w:pPr>
              <w:rPr>
                <w:rFonts w:ascii="Palatino Linotype" w:hAnsi="Palatino Linotype" w:eastAsia="Palatino Linotype" w:cs="Times New Roman"/>
                <w:color w:val="000000" w:themeColor="text1"/>
              </w:rPr>
            </w:pPr>
            <w:r w:rsidRPr="009A290C">
              <w:rPr>
                <w:rFonts w:ascii="Palatino Linotype" w:hAnsi="Palatino Linotype" w:eastAsia="Palatino Linotype" w:cs="Times New Roman"/>
                <w:color w:val="000000" w:themeColor="text1"/>
                <w:sz w:val="20"/>
                <w:szCs w:val="20"/>
              </w:rPr>
              <w:t>PG&amp;E proposes to allocate $294,400 towards its proportional share of a comprehensive Gas RD&amp;D Program Evaluation.</w:t>
            </w:r>
            <w:r w:rsidRPr="009A290C">
              <w:rPr>
                <w:rStyle w:val="FootnoteReference"/>
                <w:rFonts w:ascii="Palatino Linotype" w:hAnsi="Palatino Linotype" w:eastAsia="Palatino Linotype" w:cs="Times New Roman"/>
                <w:color w:val="000000" w:themeColor="text1"/>
                <w:sz w:val="20"/>
                <w:szCs w:val="20"/>
              </w:rPr>
              <w:footnoteReference w:id="188"/>
            </w:r>
            <w:r w:rsidRPr="009A290C">
              <w:rPr>
                <w:rFonts w:ascii="Palatino Linotype" w:hAnsi="Palatino Linotype" w:eastAsia="Palatino Linotype" w:cs="Times New Roman"/>
                <w:color w:val="000000" w:themeColor="text1"/>
                <w:sz w:val="20"/>
                <w:szCs w:val="20"/>
              </w:rPr>
              <w:t xml:space="preserve"> </w:t>
            </w:r>
          </w:p>
        </w:tc>
        <w:tc>
          <w:tcPr>
            <w:tcW w:w="4140" w:type="dxa"/>
            <w:tcBorders>
              <w:top w:val="single" w:color="auto" w:sz="4" w:space="0"/>
              <w:left w:val="single" w:color="auto" w:sz="4" w:space="0"/>
              <w:bottom w:val="single" w:color="auto" w:sz="4" w:space="0"/>
              <w:right w:val="single" w:color="auto" w:sz="4" w:space="0"/>
            </w:tcBorders>
          </w:tcPr>
          <w:p w:rsidRPr="009A290C" w:rsidR="004B0BDA" w:rsidRDefault="008B48F2" w14:paraId="604D7511" w14:textId="18C822CE">
            <w:pPr>
              <w:contextualSpacing/>
              <w:rPr>
                <w:rFonts w:ascii="Palatino Linotype" w:hAnsi="Palatino Linotype" w:eastAsia="Palatino Linotype" w:cs="Times New Roman"/>
                <w:b/>
                <w:bCs w:val="0"/>
                <w:color w:val="000000" w:themeColor="text1"/>
                <w:sz w:val="20"/>
                <w:szCs w:val="20"/>
              </w:rPr>
            </w:pPr>
            <w:r w:rsidRPr="00787699">
              <w:rPr>
                <w:rFonts w:ascii="Palatino Linotype" w:hAnsi="Palatino Linotype" w:eastAsia="Palatino Linotype" w:cs="Times New Roman"/>
                <w:color w:val="000000" w:themeColor="text1"/>
                <w:sz w:val="20"/>
                <w:szCs w:val="20"/>
              </w:rPr>
              <w:t xml:space="preserve">PG&amp;E allocated </w:t>
            </w:r>
            <w:r w:rsidRPr="00787699" w:rsidR="006E799A">
              <w:rPr>
                <w:rFonts w:ascii="Palatino Linotype" w:hAnsi="Palatino Linotype" w:eastAsia="Palatino Linotype" w:cs="Times New Roman"/>
                <w:color w:val="000000" w:themeColor="text1"/>
                <w:sz w:val="20"/>
                <w:szCs w:val="20"/>
              </w:rPr>
              <w:t>$296,400 to a comprehensive Gas RD&amp;D Program Evaluation.</w:t>
            </w:r>
            <w:r w:rsidRPr="00787699" w:rsidR="006E799A">
              <w:rPr>
                <w:rFonts w:ascii="Palatino Linotype" w:hAnsi="Palatino Linotype" w:eastAsia="Palatino Linotype" w:cs="Times New Roman"/>
                <w:b/>
                <w:bCs w:val="0"/>
                <w:color w:val="000000" w:themeColor="text1"/>
                <w:sz w:val="20"/>
                <w:szCs w:val="20"/>
              </w:rPr>
              <w:t xml:space="preserve"> </w:t>
            </w:r>
            <w:r w:rsidRPr="00787699" w:rsidR="004B0BDA">
              <w:rPr>
                <w:rFonts w:ascii="Palatino Linotype" w:hAnsi="Palatino Linotype" w:eastAsia="Palatino Linotype" w:cs="Times New Roman"/>
                <w:b/>
                <w:bCs w:val="0"/>
                <w:color w:val="000000" w:themeColor="text1"/>
                <w:sz w:val="20"/>
                <w:szCs w:val="20"/>
              </w:rPr>
              <w:t>PG</w:t>
            </w:r>
            <w:r w:rsidRPr="009A290C" w:rsidR="004B0BDA">
              <w:rPr>
                <w:rFonts w:ascii="Palatino Linotype" w:hAnsi="Palatino Linotype" w:eastAsia="Palatino Linotype" w:cs="Times New Roman"/>
                <w:b/>
                <w:bCs w:val="0"/>
                <w:color w:val="000000" w:themeColor="text1"/>
                <w:sz w:val="20"/>
                <w:szCs w:val="20"/>
              </w:rPr>
              <w:t>&amp;E is compliant with this requirement.</w:t>
            </w:r>
          </w:p>
        </w:tc>
      </w:tr>
    </w:tbl>
    <w:p w:rsidR="004B0BDA" w:rsidP="004B0BDA" w:rsidRDefault="004B0BDA" w14:paraId="51402783" w14:textId="77777777">
      <w:pPr>
        <w:spacing w:after="0"/>
      </w:pPr>
    </w:p>
    <w:tbl>
      <w:tblPr>
        <w:tblStyle w:val="TableGrid"/>
        <w:tblW w:w="0" w:type="auto"/>
        <w:tblLook w:val="04A0" w:firstRow="1" w:lastRow="0" w:firstColumn="1" w:lastColumn="0" w:noHBand="0" w:noVBand="1"/>
      </w:tblPr>
      <w:tblGrid>
        <w:gridCol w:w="3865"/>
        <w:gridCol w:w="4770"/>
        <w:gridCol w:w="4140"/>
      </w:tblGrid>
      <w:tr w:rsidR="004B0BDA" w:rsidTr="00534A20" w14:paraId="24E9A918" w14:textId="77777777">
        <w:trPr>
          <w:tblHeader/>
        </w:trPr>
        <w:tc>
          <w:tcPr>
            <w:tcW w:w="3865" w:type="dxa"/>
            <w:tcBorders>
              <w:top w:val="single" w:color="auto" w:sz="4" w:space="0"/>
              <w:left w:val="single" w:color="auto" w:sz="4" w:space="0"/>
              <w:bottom w:val="single" w:color="auto" w:sz="4" w:space="0"/>
              <w:right w:val="single" w:color="auto" w:sz="4" w:space="0"/>
            </w:tcBorders>
            <w:vAlign w:val="center"/>
          </w:tcPr>
          <w:p w:rsidR="004B0BDA" w:rsidRDefault="004B0BDA" w14:paraId="2538A0A9" w14:textId="77777777">
            <w:pPr>
              <w:rPr>
                <w:rFonts w:ascii="Palatino Linotype" w:hAnsi="Palatino Linotype"/>
                <w:b/>
                <w:bCs w:val="0"/>
                <w:sz w:val="20"/>
                <w:szCs w:val="20"/>
              </w:rPr>
            </w:pPr>
            <w:r>
              <w:rPr>
                <w:rFonts w:ascii="Palatino Linotype" w:hAnsi="Palatino Linotype"/>
                <w:b/>
                <w:bCs w:val="0"/>
                <w:sz w:val="20"/>
                <w:szCs w:val="20"/>
              </w:rPr>
              <w:t>CPUC Requirement</w:t>
            </w:r>
          </w:p>
          <w:p w:rsidRPr="009E0F19" w:rsidR="004B0BDA" w:rsidRDefault="004B0BDA" w14:paraId="08784598" w14:textId="77777777">
            <w:pPr>
              <w:rPr>
                <w:rFonts w:ascii="Palatino Linotype" w:hAnsi="Palatino Linotype"/>
                <w:i/>
                <w:iCs/>
                <w:sz w:val="20"/>
                <w:szCs w:val="20"/>
              </w:rPr>
            </w:pPr>
            <w:r w:rsidRPr="00CC33B4">
              <w:rPr>
                <w:rFonts w:ascii="Palatino Linotype" w:hAnsi="Palatino Linotype"/>
                <w:i/>
                <w:iCs/>
                <w:sz w:val="20"/>
                <w:szCs w:val="20"/>
              </w:rPr>
              <w:t>Public Utilities Code 740.1</w:t>
            </w:r>
            <w:r>
              <w:rPr>
                <w:rStyle w:val="FootnoteReference"/>
                <w:rFonts w:ascii="Palatino Linotype" w:hAnsi="Palatino Linotype"/>
                <w:i/>
                <w:iCs/>
                <w:sz w:val="20"/>
                <w:szCs w:val="20"/>
              </w:rPr>
              <w:footnoteReference w:id="189"/>
            </w:r>
          </w:p>
        </w:tc>
        <w:tc>
          <w:tcPr>
            <w:tcW w:w="4770" w:type="dxa"/>
            <w:tcBorders>
              <w:top w:val="single" w:color="auto" w:sz="12" w:space="0"/>
              <w:left w:val="single" w:color="auto" w:sz="4" w:space="0"/>
              <w:bottom w:val="single" w:color="auto" w:sz="4" w:space="0"/>
            </w:tcBorders>
            <w:vAlign w:val="center"/>
          </w:tcPr>
          <w:p w:rsidR="004B0BDA" w:rsidRDefault="004B0BDA" w14:paraId="091295AA" w14:textId="77777777">
            <w:r>
              <w:rPr>
                <w:rFonts w:ascii="Palatino Linotype" w:hAnsi="Palatino Linotype"/>
                <w:b/>
                <w:bCs w:val="0"/>
                <w:sz w:val="20"/>
                <w:szCs w:val="20"/>
              </w:rPr>
              <w:t xml:space="preserve">PG&amp;E Response in </w:t>
            </w:r>
            <w:r w:rsidRPr="00FB1ACE">
              <w:rPr>
                <w:rFonts w:ascii="Palatino Linotype" w:hAnsi="Palatino Linotype"/>
                <w:b/>
                <w:bCs w:val="0"/>
                <w:sz w:val="20"/>
                <w:szCs w:val="20"/>
              </w:rPr>
              <w:t>AL 5077-G-A</w:t>
            </w:r>
          </w:p>
        </w:tc>
        <w:tc>
          <w:tcPr>
            <w:tcW w:w="4140" w:type="dxa"/>
            <w:tcBorders>
              <w:top w:val="single" w:color="auto" w:sz="12" w:space="0"/>
              <w:bottom w:val="single" w:color="auto" w:sz="4" w:space="0"/>
            </w:tcBorders>
            <w:vAlign w:val="center"/>
          </w:tcPr>
          <w:p w:rsidR="004B0BDA" w:rsidRDefault="004B0BDA" w14:paraId="29044C23" w14:textId="77777777">
            <w:r w:rsidRPr="00496A95">
              <w:rPr>
                <w:rFonts w:ascii="Palatino Linotype" w:hAnsi="Palatino Linotype"/>
                <w:b/>
                <w:bCs w:val="0"/>
                <w:sz w:val="20"/>
                <w:szCs w:val="20"/>
              </w:rPr>
              <w:t>Compliance</w:t>
            </w:r>
            <w:r w:rsidRPr="00707F27">
              <w:rPr>
                <w:rFonts w:ascii="Palatino Linotype" w:hAnsi="Palatino Linotype"/>
                <w:b/>
                <w:bCs w:val="0"/>
                <w:color w:val="0070C0"/>
                <w:sz w:val="20"/>
                <w:szCs w:val="20"/>
              </w:rPr>
              <w:t xml:space="preserve"> </w:t>
            </w:r>
            <w:r w:rsidRPr="00CD3F71">
              <w:rPr>
                <w:rFonts w:ascii="Palatino Linotype" w:hAnsi="Palatino Linotype"/>
                <w:b/>
                <w:bCs w:val="0"/>
                <w:color w:val="000000" w:themeColor="text1"/>
                <w:sz w:val="20"/>
                <w:szCs w:val="20"/>
              </w:rPr>
              <w:t>Assessment</w:t>
            </w:r>
          </w:p>
        </w:tc>
      </w:tr>
      <w:tr w:rsidR="004B0BDA" w:rsidTr="00534A20" w14:paraId="7CA0F7C9" w14:textId="77777777">
        <w:tc>
          <w:tcPr>
            <w:tcW w:w="3865" w:type="dxa"/>
            <w:tcBorders>
              <w:top w:val="single" w:color="auto" w:sz="4" w:space="0"/>
              <w:left w:val="single" w:color="auto" w:sz="4" w:space="0"/>
              <w:bottom w:val="single" w:color="auto" w:sz="4" w:space="0"/>
              <w:right w:val="single" w:color="auto" w:sz="4" w:space="0"/>
            </w:tcBorders>
          </w:tcPr>
          <w:p w:rsidR="004B0BDA" w:rsidRDefault="004B0BDA" w14:paraId="3308B10C"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t xml:space="preserve">(a) </w:t>
            </w:r>
            <w:r w:rsidRPr="00DE3CB6">
              <w:rPr>
                <w:rFonts w:ascii="Palatino Linotype" w:hAnsi="Palatino Linotype"/>
                <w:i/>
                <w:iCs/>
                <w:color w:val="000000" w:themeColor="text1"/>
                <w:sz w:val="20"/>
                <w:szCs w:val="20"/>
              </w:rPr>
              <w:t>Projects should offer a reasonable probability of providing benefits to ratepayers</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190"/>
            </w:r>
            <w:r>
              <w:rPr>
                <w:rFonts w:ascii="Palatino Linotype" w:hAnsi="Palatino Linotype"/>
                <w:i/>
                <w:iCs/>
                <w:color w:val="000000" w:themeColor="text1"/>
                <w:sz w:val="20"/>
                <w:szCs w:val="20"/>
              </w:rPr>
              <w:t xml:space="preserve"> </w:t>
            </w:r>
          </w:p>
          <w:p w:rsidR="004B0BDA" w:rsidRDefault="004B0BDA" w14:paraId="6F7CDD18" w14:textId="77777777">
            <w:pPr>
              <w:rPr>
                <w:rFonts w:ascii="Palatino Linotype" w:hAnsi="Palatino Linotype"/>
                <w:i/>
                <w:iCs/>
                <w:color w:val="000000" w:themeColor="text1"/>
                <w:sz w:val="20"/>
                <w:szCs w:val="20"/>
              </w:rPr>
            </w:pPr>
          </w:p>
          <w:p w:rsidRPr="002F6A23" w:rsidR="004B0BDA" w:rsidRDefault="004B0BDA" w14:paraId="243AC35A"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 xml:space="preserve">(b) </w:t>
            </w:r>
            <w:r w:rsidRPr="00704498">
              <w:rPr>
                <w:rFonts w:ascii="Palatino Linotype" w:hAnsi="Palatino Linotype"/>
                <w:i/>
                <w:iCs/>
                <w:color w:val="000000" w:themeColor="text1"/>
                <w:sz w:val="20"/>
                <w:szCs w:val="20"/>
              </w:rPr>
              <w:t>Expenditures on projects which have a low probability for success should be minimized.</w:t>
            </w:r>
            <w:r>
              <w:rPr>
                <w:rStyle w:val="FootnoteReference"/>
                <w:rFonts w:ascii="Palatino Linotype" w:hAnsi="Palatino Linotype"/>
                <w:i/>
                <w:iCs/>
                <w:color w:val="000000" w:themeColor="text1"/>
                <w:sz w:val="20"/>
                <w:szCs w:val="20"/>
              </w:rPr>
              <w:footnoteReference w:id="191"/>
            </w:r>
          </w:p>
        </w:tc>
        <w:tc>
          <w:tcPr>
            <w:tcW w:w="4770" w:type="dxa"/>
            <w:tcBorders>
              <w:top w:val="single" w:color="auto" w:sz="4" w:space="0"/>
              <w:left w:val="single" w:color="auto" w:sz="4" w:space="0"/>
              <w:bottom w:val="single" w:color="auto" w:sz="4" w:space="0"/>
              <w:right w:val="single" w:color="auto" w:sz="4" w:space="0"/>
            </w:tcBorders>
          </w:tcPr>
          <w:p w:rsidRPr="004614CB" w:rsidR="004B0BDA" w:rsidRDefault="004B0BDA" w14:paraId="7D65213E" w14:textId="77777777">
            <w:pPr>
              <w:rPr>
                <w:rFonts w:ascii="Palatino Linotype" w:hAnsi="Palatino Linotype"/>
                <w:color w:val="000000" w:themeColor="text1"/>
                <w:sz w:val="20"/>
                <w:szCs w:val="20"/>
              </w:rPr>
            </w:pPr>
            <w:r w:rsidRPr="009A290C">
              <w:rPr>
                <w:rFonts w:ascii="Palatino Linotype" w:hAnsi="Palatino Linotype"/>
                <w:color w:val="000000" w:themeColor="text1"/>
                <w:sz w:val="20"/>
                <w:szCs w:val="20"/>
              </w:rPr>
              <w:lastRenderedPageBreak/>
              <w:t>In calendar 2025, PG&amp;E states that it “plans on renewing its membership in six research consortia to wrap-up research efforts outside of California to comply with CPUC Resolution G-3601.”</w:t>
            </w:r>
            <w:r w:rsidRPr="009A290C">
              <w:rPr>
                <w:rStyle w:val="FootnoteReference"/>
                <w:rFonts w:ascii="Palatino Linotype" w:hAnsi="Palatino Linotype"/>
                <w:color w:val="000000" w:themeColor="text1"/>
                <w:sz w:val="20"/>
                <w:szCs w:val="20"/>
              </w:rPr>
              <w:footnoteReference w:id="192"/>
            </w:r>
            <w:r w:rsidRPr="009A290C">
              <w:rPr>
                <w:rFonts w:ascii="Palatino Linotype" w:hAnsi="Palatino Linotype"/>
                <w:color w:val="000000" w:themeColor="text1"/>
                <w:sz w:val="20"/>
                <w:szCs w:val="20"/>
              </w:rPr>
              <w:t xml:space="preserve"> The proposed dues amount to $1,447,287 in calendar </w:t>
            </w:r>
            <w:r w:rsidRPr="009A290C">
              <w:rPr>
                <w:rFonts w:ascii="Palatino Linotype" w:hAnsi="Palatino Linotype"/>
                <w:color w:val="000000" w:themeColor="text1"/>
                <w:sz w:val="20"/>
                <w:szCs w:val="20"/>
              </w:rPr>
              <w:lastRenderedPageBreak/>
              <w:t>year 2025,</w:t>
            </w:r>
            <w:r w:rsidRPr="009A290C">
              <w:rPr>
                <w:rStyle w:val="FootnoteReference"/>
                <w:rFonts w:ascii="Palatino Linotype" w:hAnsi="Palatino Linotype"/>
                <w:color w:val="000000" w:themeColor="text1"/>
                <w:sz w:val="20"/>
                <w:szCs w:val="20"/>
              </w:rPr>
              <w:footnoteReference w:id="193"/>
            </w:r>
            <w:r w:rsidRPr="009A290C">
              <w:rPr>
                <w:rFonts w:ascii="Palatino Linotype" w:hAnsi="Palatino Linotype"/>
                <w:color w:val="000000" w:themeColor="text1"/>
                <w:sz w:val="20"/>
                <w:szCs w:val="20"/>
              </w:rPr>
              <w:t xml:space="preserve"> though it is unclear if PG&amp;E is requesting funding for this purpose as no associated funds are proposed in its 2024 Plan annual budget allocations.</w:t>
            </w:r>
            <w:r w:rsidRPr="009A290C">
              <w:rPr>
                <w:rStyle w:val="FootnoteReference"/>
                <w:rFonts w:ascii="Palatino Linotype" w:hAnsi="Palatino Linotype"/>
                <w:color w:val="000000" w:themeColor="text1"/>
                <w:sz w:val="20"/>
                <w:szCs w:val="20"/>
              </w:rPr>
              <w:footnoteReference w:id="194"/>
            </w:r>
            <w:r w:rsidRPr="009A290C">
              <w:rPr>
                <w:rFonts w:ascii="Palatino Linotype" w:hAnsi="Palatino Linotype"/>
                <w:color w:val="000000" w:themeColor="text1"/>
                <w:sz w:val="20"/>
                <w:szCs w:val="20"/>
              </w:rPr>
              <w:t xml:space="preserve"> </w:t>
            </w:r>
            <w:r w:rsidRPr="009A290C">
              <w:rPr>
                <w:rFonts w:ascii="Palatino Linotype" w:hAnsi="Palatino Linotype" w:eastAsia="Palatino Linotype" w:cs="Times New Roman"/>
                <w:color w:val="000000" w:themeColor="text1"/>
                <w:sz w:val="20"/>
                <w:szCs w:val="20"/>
              </w:rPr>
              <w:t>PG&amp;E’s Gas RD&amp;D Project List also includes projects which are</w:t>
            </w:r>
            <w:r w:rsidRPr="009A290C">
              <w:rPr>
                <w:rFonts w:ascii="Palatino Linotype" w:hAnsi="Palatino Linotype"/>
                <w:color w:val="000000" w:themeColor="text1"/>
                <w:sz w:val="20"/>
                <w:szCs w:val="20"/>
              </w:rPr>
              <w:t xml:space="preserve"> neither located in the State of California nor affiliated with a federal lab</w:t>
            </w:r>
            <w:r w:rsidRPr="009A290C">
              <w:rPr>
                <w:rFonts w:ascii="Palatino Linotype" w:hAnsi="Palatino Linotype" w:eastAsia="Palatino Linotype" w:cs="Times New Roman"/>
                <w:color w:val="000000" w:themeColor="text1"/>
                <w:sz w:val="20"/>
                <w:szCs w:val="20"/>
              </w:rPr>
              <w:t>.</w:t>
            </w:r>
            <w:r w:rsidRPr="009A290C">
              <w:rPr>
                <w:rStyle w:val="FootnoteReference"/>
                <w:rFonts w:ascii="Palatino Linotype" w:hAnsi="Palatino Linotype" w:eastAsia="Palatino Linotype" w:cs="Times New Roman"/>
                <w:color w:val="000000" w:themeColor="text1"/>
                <w:sz w:val="20"/>
                <w:szCs w:val="20"/>
              </w:rPr>
              <w:footnoteReference w:id="195"/>
            </w:r>
            <w:r w:rsidRPr="009A290C">
              <w:rPr>
                <w:rFonts w:ascii="Palatino Linotype" w:hAnsi="Palatino Linotype" w:eastAsia="Palatino Linotype" w:cs="Times New Roman"/>
                <w:color w:val="000000" w:themeColor="text1"/>
                <w:sz w:val="20"/>
                <w:szCs w:val="20"/>
              </w:rPr>
              <w:t xml:space="preserve"> </w:t>
            </w:r>
          </w:p>
          <w:p w:rsidR="004B0BDA" w:rsidRDefault="004B0BDA" w14:paraId="2BB947A7" w14:textId="77777777">
            <w:pPr>
              <w:pStyle w:val="FootnoteText"/>
              <w:rPr>
                <w:rFonts w:ascii="Palatino Linotype" w:hAnsi="Palatino Linotype"/>
                <w:color w:val="000000" w:themeColor="text1"/>
              </w:rPr>
            </w:pPr>
          </w:p>
          <w:p w:rsidRPr="00461960" w:rsidR="004B0BDA" w:rsidP="00461960" w:rsidRDefault="004B0BDA" w14:paraId="206375F7" w14:textId="40E4BFA2">
            <w:pPr>
              <w:pStyle w:val="FootnoteText"/>
              <w:rPr>
                <w:rFonts w:ascii="Palatino Linotype" w:hAnsi="Palatino Linotype"/>
                <w:bCs w:val="0"/>
                <w:color w:val="000000" w:themeColor="text1"/>
              </w:rPr>
            </w:pPr>
            <w:r w:rsidRPr="00DA7862">
              <w:rPr>
                <w:rFonts w:ascii="Palatino Linotype" w:hAnsi="Palatino Linotype"/>
                <w:color w:val="000000" w:themeColor="text1"/>
              </w:rPr>
              <w:t>In its 2023 Gas RD&amp;D Annual Report, PG&amp;E states that for “projects supported by OTD and UTD, PG&amp;E did not provide direct funding. Instead, PG&amp;E paid annual dues and then determined how these dues were allocated across projects. For projects led by the other consortia and R&amp;D groups, PG&amp;E paid annual dues and/or paid additional funding in support of specific projects.”</w:t>
            </w:r>
            <w:r w:rsidRPr="00DA7862">
              <w:rPr>
                <w:rStyle w:val="FootnoteReference"/>
                <w:rFonts w:ascii="Palatino Linotype" w:hAnsi="Palatino Linotype"/>
                <w:color w:val="000000" w:themeColor="text1"/>
              </w:rPr>
              <w:footnoteReference w:id="196"/>
            </w:r>
          </w:p>
        </w:tc>
        <w:tc>
          <w:tcPr>
            <w:tcW w:w="4140" w:type="dxa"/>
            <w:tcBorders>
              <w:top w:val="single" w:color="auto" w:sz="4" w:space="0"/>
              <w:left w:val="single" w:color="auto" w:sz="4" w:space="0"/>
              <w:bottom w:val="single" w:color="auto" w:sz="4" w:space="0"/>
              <w:right w:val="single" w:color="auto" w:sz="4" w:space="0"/>
            </w:tcBorders>
          </w:tcPr>
          <w:p w:rsidR="004B0BDA" w:rsidRDefault="004B0BDA" w14:paraId="13248F7A" w14:textId="09C645A6">
            <w:r w:rsidRPr="00162513">
              <w:rPr>
                <w:rFonts w:ascii="Palatino Linotype" w:hAnsi="Palatino Linotype"/>
                <w:color w:val="000000" w:themeColor="text1"/>
                <w:sz w:val="20"/>
                <w:szCs w:val="20"/>
              </w:rPr>
              <w:lastRenderedPageBreak/>
              <w:t>PG&amp;E does not provide sufficient detail or propose demonstrably compliant investments</w:t>
            </w:r>
            <w:r w:rsidRPr="00122CEB">
              <w:rPr>
                <w:rFonts w:ascii="Palatino Linotype" w:hAnsi="Palatino Linotype"/>
                <w:color w:val="0070C0"/>
                <w:sz w:val="20"/>
                <w:szCs w:val="20"/>
              </w:rPr>
              <w:t xml:space="preserve">. </w:t>
            </w:r>
            <w:r w:rsidR="00235EC1">
              <w:rPr>
                <w:rFonts w:ascii="Palatino Linotype" w:hAnsi="Palatino Linotype"/>
                <w:color w:val="000000" w:themeColor="text1"/>
                <w:sz w:val="20"/>
                <w:szCs w:val="20"/>
              </w:rPr>
              <w:t>Th</w:t>
            </w:r>
            <w:r w:rsidR="0009602A">
              <w:rPr>
                <w:rFonts w:ascii="Palatino Linotype" w:hAnsi="Palatino Linotype"/>
                <w:color w:val="000000" w:themeColor="text1"/>
                <w:sz w:val="20"/>
                <w:szCs w:val="20"/>
              </w:rPr>
              <w:t>e</w:t>
            </w:r>
            <w:r w:rsidRPr="004A19F2">
              <w:rPr>
                <w:rFonts w:ascii="Palatino Linotype" w:hAnsi="Palatino Linotype"/>
                <w:color w:val="000000" w:themeColor="text1"/>
                <w:sz w:val="20"/>
                <w:szCs w:val="20"/>
              </w:rPr>
              <w:t xml:space="preserve"> Commission </w:t>
            </w:r>
            <w:r w:rsidR="0009602A">
              <w:rPr>
                <w:rFonts w:ascii="Palatino Linotype" w:hAnsi="Palatino Linotype"/>
                <w:color w:val="000000" w:themeColor="text1"/>
                <w:sz w:val="20"/>
                <w:szCs w:val="20"/>
              </w:rPr>
              <w:t xml:space="preserve">has provided </w:t>
            </w:r>
            <w:r w:rsidRPr="004A19F2">
              <w:rPr>
                <w:rFonts w:ascii="Palatino Linotype" w:hAnsi="Palatino Linotype"/>
                <w:color w:val="000000" w:themeColor="text1"/>
                <w:sz w:val="20"/>
                <w:szCs w:val="20"/>
              </w:rPr>
              <w:t xml:space="preserve">guidance that </w:t>
            </w:r>
            <w:r w:rsidR="0009602A">
              <w:rPr>
                <w:rFonts w:ascii="Palatino Linotype" w:hAnsi="Palatino Linotype"/>
                <w:color w:val="000000" w:themeColor="text1"/>
                <w:sz w:val="20"/>
                <w:szCs w:val="20"/>
              </w:rPr>
              <w:t>Gas RD&amp;D</w:t>
            </w:r>
            <w:r w:rsidRPr="004A19F2">
              <w:rPr>
                <w:rFonts w:ascii="Palatino Linotype" w:hAnsi="Palatino Linotype"/>
                <w:color w:val="000000" w:themeColor="text1"/>
                <w:sz w:val="20"/>
                <w:szCs w:val="20"/>
              </w:rPr>
              <w:t xml:space="preserve"> projects shall occur in the State of California with the exception of those affiliated with a federal </w:t>
            </w:r>
            <w:r w:rsidRPr="004A19F2">
              <w:rPr>
                <w:rFonts w:ascii="Palatino Linotype" w:hAnsi="Palatino Linotype"/>
                <w:color w:val="000000" w:themeColor="text1"/>
                <w:sz w:val="20"/>
                <w:szCs w:val="20"/>
              </w:rPr>
              <w:lastRenderedPageBreak/>
              <w:t>lab, and that consortia membership dues are Administrative Activities under Program Administrative costs,</w:t>
            </w:r>
            <w:r w:rsidRPr="004A19F2">
              <w:rPr>
                <w:rStyle w:val="FootnoteReference"/>
                <w:rFonts w:ascii="Palatino Linotype" w:hAnsi="Palatino Linotype"/>
                <w:color w:val="000000" w:themeColor="text1"/>
                <w:sz w:val="20"/>
                <w:szCs w:val="20"/>
              </w:rPr>
              <w:footnoteReference w:id="197"/>
            </w:r>
            <w:r w:rsidRPr="004A19F2">
              <w:rPr>
                <w:rFonts w:ascii="Palatino Linotype" w:hAnsi="Palatino Linotype"/>
                <w:color w:val="000000" w:themeColor="text1"/>
                <w:sz w:val="20"/>
                <w:szCs w:val="20"/>
              </w:rPr>
              <w:t xml:space="preserve"> both of which rely on demonstration of ratepayer benefit. Further, projects costs related to each research consortium should be detailed.</w:t>
            </w:r>
            <w:r w:rsidRPr="004A19F2">
              <w:rPr>
                <w:rStyle w:val="FootnoteReference"/>
                <w:rFonts w:ascii="Palatino Linotype" w:hAnsi="Palatino Linotype"/>
                <w:color w:val="000000" w:themeColor="text1"/>
                <w:sz w:val="20"/>
                <w:szCs w:val="20"/>
              </w:rPr>
              <w:footnoteReference w:id="198"/>
            </w:r>
            <w:r>
              <w:rPr>
                <w:rFonts w:ascii="Palatino Linotype" w:hAnsi="Palatino Linotype"/>
                <w:color w:val="000000" w:themeColor="text1"/>
                <w:sz w:val="20"/>
                <w:szCs w:val="20"/>
              </w:rPr>
              <w:t xml:space="preserve"> </w:t>
            </w:r>
            <w:r>
              <w:rPr>
                <w:rFonts w:ascii="Palatino Linotype" w:hAnsi="Palatino Linotype"/>
                <w:b/>
                <w:bCs w:val="0"/>
                <w:sz w:val="20"/>
                <w:szCs w:val="20"/>
              </w:rPr>
              <w:t>P</w:t>
            </w:r>
            <w:r w:rsidRPr="00712165">
              <w:rPr>
                <w:rFonts w:ascii="Palatino Linotype" w:hAnsi="Palatino Linotype"/>
                <w:b/>
                <w:bCs w:val="0"/>
                <w:sz w:val="20"/>
                <w:szCs w:val="20"/>
              </w:rPr>
              <w:t xml:space="preserve">G&amp;E is </w:t>
            </w:r>
            <w:r>
              <w:rPr>
                <w:rFonts w:ascii="Palatino Linotype" w:hAnsi="Palatino Linotype"/>
                <w:b/>
                <w:bCs w:val="0"/>
                <w:sz w:val="20"/>
                <w:szCs w:val="20"/>
              </w:rPr>
              <w:t xml:space="preserve">not </w:t>
            </w:r>
            <w:r w:rsidRPr="00712165">
              <w:rPr>
                <w:rFonts w:ascii="Palatino Linotype" w:hAnsi="Palatino Linotype"/>
                <w:b/>
                <w:bCs w:val="0"/>
                <w:sz w:val="20"/>
                <w:szCs w:val="20"/>
              </w:rPr>
              <w:t>compliant with th</w:t>
            </w:r>
            <w:r>
              <w:rPr>
                <w:rFonts w:ascii="Palatino Linotype" w:hAnsi="Palatino Linotype"/>
                <w:b/>
                <w:bCs w:val="0"/>
                <w:sz w:val="20"/>
                <w:szCs w:val="20"/>
              </w:rPr>
              <w:t>is</w:t>
            </w:r>
            <w:r w:rsidRPr="00712165">
              <w:rPr>
                <w:rFonts w:ascii="Palatino Linotype" w:hAnsi="Palatino Linotype"/>
                <w:b/>
                <w:bCs w:val="0"/>
                <w:sz w:val="20"/>
                <w:szCs w:val="20"/>
              </w:rPr>
              <w:t xml:space="preserve"> requirement.</w:t>
            </w:r>
          </w:p>
        </w:tc>
      </w:tr>
      <w:tr w:rsidR="004B0BDA" w:rsidTr="00534A20" w14:paraId="24F3E4CF" w14:textId="77777777">
        <w:tc>
          <w:tcPr>
            <w:tcW w:w="3865" w:type="dxa"/>
            <w:tcBorders>
              <w:top w:val="single" w:color="auto" w:sz="4" w:space="0"/>
              <w:left w:val="single" w:color="auto" w:sz="4" w:space="0"/>
              <w:bottom w:val="single" w:color="auto" w:sz="4" w:space="0"/>
              <w:right w:val="single" w:color="auto" w:sz="4" w:space="0"/>
            </w:tcBorders>
          </w:tcPr>
          <w:p w:rsidR="004B0BDA" w:rsidRDefault="004B0BDA" w14:paraId="464ECA43" w14:textId="77777777">
            <w:r>
              <w:rPr>
                <w:rFonts w:ascii="Palatino Linotype" w:hAnsi="Palatino Linotype"/>
                <w:i/>
                <w:iCs/>
                <w:color w:val="000000" w:themeColor="text1"/>
                <w:sz w:val="20"/>
                <w:szCs w:val="20"/>
              </w:rPr>
              <w:lastRenderedPageBreak/>
              <w:t xml:space="preserve">(d) </w:t>
            </w:r>
            <w:r w:rsidRPr="007C534E">
              <w:rPr>
                <w:rFonts w:ascii="Palatino Linotype" w:hAnsi="Palatino Linotype"/>
                <w:i/>
                <w:iCs/>
                <w:color w:val="000000" w:themeColor="text1"/>
                <w:sz w:val="20"/>
                <w:szCs w:val="20"/>
              </w:rPr>
              <w:t xml:space="preserve">Projects should not unnecessarily duplicate research currently, previously, or </w:t>
            </w:r>
            <w:r w:rsidRPr="007C534E">
              <w:rPr>
                <w:rFonts w:ascii="Palatino Linotype" w:hAnsi="Palatino Linotype"/>
                <w:i/>
                <w:iCs/>
                <w:color w:val="000000" w:themeColor="text1"/>
                <w:sz w:val="20"/>
                <w:szCs w:val="20"/>
              </w:rPr>
              <w:lastRenderedPageBreak/>
              <w:t>imminently undertaken by other electrical or gas corporations or research organizatio</w:t>
            </w:r>
            <w:r>
              <w:rPr>
                <w:rFonts w:ascii="Palatino Linotype" w:hAnsi="Palatino Linotype"/>
                <w:i/>
                <w:iCs/>
                <w:color w:val="000000" w:themeColor="text1"/>
                <w:sz w:val="20"/>
                <w:szCs w:val="20"/>
              </w:rPr>
              <w:t>ns</w:t>
            </w:r>
            <w:r w:rsidRPr="007C534E">
              <w:rPr>
                <w:rFonts w:ascii="Palatino Linotype" w:hAnsi="Palatino Linotype"/>
                <w:sz w:val="20"/>
                <w:szCs w:val="20"/>
              </w:rPr>
              <w:t>.</w:t>
            </w:r>
            <w:r>
              <w:rPr>
                <w:rStyle w:val="FootnoteReference"/>
                <w:rFonts w:ascii="Palatino Linotype" w:hAnsi="Palatino Linotype"/>
                <w:sz w:val="20"/>
                <w:szCs w:val="20"/>
              </w:rPr>
              <w:footnoteReference w:id="199"/>
            </w:r>
          </w:p>
        </w:tc>
        <w:tc>
          <w:tcPr>
            <w:tcW w:w="4770" w:type="dxa"/>
            <w:tcBorders>
              <w:top w:val="single" w:color="auto" w:sz="4" w:space="0"/>
              <w:left w:val="single" w:color="auto" w:sz="4" w:space="0"/>
              <w:bottom w:val="single" w:color="auto" w:sz="4" w:space="0"/>
              <w:right w:val="single" w:color="auto" w:sz="4" w:space="0"/>
            </w:tcBorders>
          </w:tcPr>
          <w:p w:rsidRPr="00461960" w:rsidR="004B0BDA" w:rsidRDefault="004B0BDA" w14:paraId="773D1F4D" w14:textId="03633BF6">
            <w:pPr>
              <w:rPr>
                <w:color w:val="000000" w:themeColor="text1"/>
              </w:rPr>
            </w:pPr>
            <w:r w:rsidRPr="000E145D">
              <w:rPr>
                <w:rFonts w:ascii="Palatino Linotype" w:hAnsi="Palatino Linotype"/>
                <w:color w:val="000000" w:themeColor="text1"/>
                <w:sz w:val="20"/>
                <w:szCs w:val="20"/>
              </w:rPr>
              <w:lastRenderedPageBreak/>
              <w:t>PG&amp;E discusses high-level coordination with other Gas RD&amp;D administrators</w:t>
            </w:r>
            <w:r w:rsidRPr="000E145D">
              <w:rPr>
                <w:rStyle w:val="FootnoteReference"/>
                <w:rFonts w:ascii="Palatino Linotype" w:hAnsi="Palatino Linotype"/>
                <w:color w:val="000000" w:themeColor="text1"/>
                <w:sz w:val="20"/>
                <w:szCs w:val="20"/>
              </w:rPr>
              <w:footnoteReference w:id="200"/>
            </w:r>
            <w:r w:rsidRPr="000E145D">
              <w:rPr>
                <w:rFonts w:ascii="Palatino Linotype" w:hAnsi="Palatino Linotype"/>
                <w:color w:val="000000" w:themeColor="text1"/>
                <w:sz w:val="20"/>
                <w:szCs w:val="20"/>
              </w:rPr>
              <w:t xml:space="preserve"> </w:t>
            </w:r>
            <w:r>
              <w:rPr>
                <w:rFonts w:ascii="Palatino Linotype" w:hAnsi="Palatino Linotype"/>
                <w:color w:val="000000" w:themeColor="text1"/>
                <w:sz w:val="20"/>
                <w:szCs w:val="20"/>
              </w:rPr>
              <w:t xml:space="preserve">and </w:t>
            </w:r>
            <w:r w:rsidRPr="00B52C56">
              <w:rPr>
                <w:rFonts w:ascii="Palatino Linotype" w:hAnsi="Palatino Linotype"/>
                <w:color w:val="000000" w:themeColor="text1"/>
                <w:sz w:val="20"/>
                <w:szCs w:val="20"/>
              </w:rPr>
              <w:t xml:space="preserve">states broadly for </w:t>
            </w:r>
            <w:r w:rsidRPr="00B52C56">
              <w:rPr>
                <w:rFonts w:ascii="Palatino Linotype" w:hAnsi="Palatino Linotype"/>
                <w:color w:val="000000" w:themeColor="text1"/>
                <w:sz w:val="20"/>
                <w:szCs w:val="20"/>
              </w:rPr>
              <w:lastRenderedPageBreak/>
              <w:t>each initiative that it plans to “convene regularly with the other Gas R&amp;D Administrators to proactively identify potential areas of overlap and explore opportunities for collaboration and synergy across their respective portfolios.”</w:t>
            </w:r>
            <w:r w:rsidRPr="00B52C56">
              <w:rPr>
                <w:rStyle w:val="FootnoteReference"/>
                <w:rFonts w:ascii="Palatino Linotype" w:hAnsi="Palatino Linotype"/>
                <w:color w:val="000000" w:themeColor="text1"/>
                <w:sz w:val="20"/>
                <w:szCs w:val="20"/>
              </w:rPr>
              <w:footnoteReference w:id="201"/>
            </w:r>
            <w:r w:rsidRPr="00B52C56">
              <w:rPr>
                <w:rFonts w:ascii="Palatino Linotype" w:hAnsi="Palatino Linotype"/>
                <w:color w:val="000000" w:themeColor="text1"/>
                <w:sz w:val="20"/>
                <w:szCs w:val="20"/>
              </w:rPr>
              <w:t xml:space="preserve"> As compared to existing Gas RD&amp;D activities conducted by other administrators, PG&amp;E states that there is no duplication as </w:t>
            </w:r>
            <w:r>
              <w:rPr>
                <w:rFonts w:ascii="Palatino Linotype" w:hAnsi="Palatino Linotype"/>
                <w:color w:val="000000" w:themeColor="text1"/>
                <w:sz w:val="20"/>
                <w:szCs w:val="20"/>
              </w:rPr>
              <w:t>it is</w:t>
            </w:r>
            <w:r w:rsidRPr="00B52C56">
              <w:rPr>
                <w:rFonts w:ascii="Palatino Linotype" w:hAnsi="Palatino Linotype"/>
                <w:color w:val="000000" w:themeColor="text1"/>
                <w:sz w:val="20"/>
                <w:szCs w:val="20"/>
              </w:rPr>
              <w:t xml:space="preserve"> prioritizing the specific needs of PG&amp;E.</w:t>
            </w:r>
            <w:r>
              <w:rPr>
                <w:rStyle w:val="FootnoteReference"/>
                <w:rFonts w:ascii="Palatino Linotype" w:hAnsi="Palatino Linotype"/>
                <w:color w:val="000000" w:themeColor="text1"/>
                <w:sz w:val="20"/>
                <w:szCs w:val="20"/>
              </w:rPr>
              <w:footnoteReference w:id="202"/>
            </w:r>
            <w:r w:rsidRPr="00B52C56">
              <w:rPr>
                <w:color w:val="000000" w:themeColor="text1"/>
              </w:rPr>
              <w:t xml:space="preserve"> </w:t>
            </w:r>
          </w:p>
        </w:tc>
        <w:tc>
          <w:tcPr>
            <w:tcW w:w="4140" w:type="dxa"/>
            <w:tcBorders>
              <w:top w:val="single" w:color="auto" w:sz="4" w:space="0"/>
              <w:left w:val="single" w:color="auto" w:sz="4" w:space="0"/>
              <w:bottom w:val="single" w:color="auto" w:sz="4" w:space="0"/>
              <w:right w:val="single" w:color="auto" w:sz="4" w:space="0"/>
            </w:tcBorders>
          </w:tcPr>
          <w:p w:rsidR="004B0BDA" w:rsidRDefault="004B0BDA" w14:paraId="7D43968F" w14:textId="4489B4AC">
            <w:r>
              <w:rPr>
                <w:rFonts w:ascii="Palatino Linotype" w:hAnsi="Palatino Linotype"/>
                <w:color w:val="000000" w:themeColor="text1"/>
                <w:sz w:val="20"/>
                <w:szCs w:val="20"/>
              </w:rPr>
              <w:lastRenderedPageBreak/>
              <w:t>PG&amp;</w:t>
            </w:r>
            <w:r w:rsidRPr="00DB6B11">
              <w:rPr>
                <w:rFonts w:ascii="Palatino Linotype" w:hAnsi="Palatino Linotype"/>
                <w:color w:val="000000" w:themeColor="text1"/>
                <w:sz w:val="20"/>
                <w:szCs w:val="20"/>
              </w:rPr>
              <w:t xml:space="preserve">E does not demonstrate </w:t>
            </w:r>
            <w:r>
              <w:rPr>
                <w:rFonts w:ascii="Palatino Linotype" w:hAnsi="Palatino Linotype"/>
                <w:color w:val="000000" w:themeColor="text1"/>
                <w:sz w:val="20"/>
                <w:szCs w:val="20"/>
              </w:rPr>
              <w:t xml:space="preserve">that </w:t>
            </w:r>
            <w:r w:rsidRPr="00411D98">
              <w:rPr>
                <w:rFonts w:ascii="Palatino Linotype" w:hAnsi="Palatino Linotype" w:eastAsia="Palatino Linotype" w:cs="Times New Roman"/>
                <w:color w:val="000000" w:themeColor="text1"/>
                <w:sz w:val="20"/>
                <w:szCs w:val="20"/>
              </w:rPr>
              <w:t xml:space="preserve">proposed </w:t>
            </w:r>
            <w:r>
              <w:rPr>
                <w:rFonts w:ascii="Palatino Linotype" w:hAnsi="Palatino Linotype" w:eastAsia="Palatino Linotype" w:cs="Times New Roman"/>
                <w:color w:val="000000" w:themeColor="text1"/>
                <w:sz w:val="20"/>
                <w:szCs w:val="20"/>
              </w:rPr>
              <w:t>investments</w:t>
            </w:r>
            <w:r w:rsidRPr="00411D98">
              <w:rPr>
                <w:rFonts w:ascii="Palatino Linotype" w:hAnsi="Palatino Linotype" w:eastAsia="Palatino Linotype" w:cs="Times New Roman"/>
                <w:color w:val="000000" w:themeColor="text1"/>
                <w:sz w:val="20"/>
                <w:szCs w:val="20"/>
              </w:rPr>
              <w:t xml:space="preserve"> do not unnecessarily duplicate </w:t>
            </w:r>
            <w:r w:rsidRPr="00411D98">
              <w:rPr>
                <w:rFonts w:ascii="Palatino Linotype" w:hAnsi="Palatino Linotype" w:eastAsia="Palatino Linotype" w:cs="Times New Roman"/>
                <w:color w:val="000000" w:themeColor="text1"/>
                <w:sz w:val="20"/>
                <w:szCs w:val="20"/>
              </w:rPr>
              <w:lastRenderedPageBreak/>
              <w:t>research currently, previously, or imminently undertaken</w:t>
            </w:r>
            <w:r>
              <w:rPr>
                <w:rFonts w:ascii="Palatino Linotype" w:hAnsi="Palatino Linotype" w:eastAsia="Palatino Linotype" w:cs="Times New Roman"/>
                <w:color w:val="000000" w:themeColor="text1"/>
                <w:sz w:val="20"/>
                <w:szCs w:val="20"/>
              </w:rPr>
              <w:t xml:space="preserve"> at the Initiative level</w:t>
            </w:r>
            <w:r>
              <w:t>,</w:t>
            </w:r>
            <w:r>
              <w:rPr>
                <w:rFonts w:ascii="Palatino Linotype" w:hAnsi="Palatino Linotype" w:eastAsia="Palatino Linotype" w:cs="Times New Roman"/>
                <w:color w:val="000000" w:themeColor="text1"/>
                <w:sz w:val="20"/>
                <w:szCs w:val="20"/>
              </w:rPr>
              <w:t xml:space="preserve"> including </w:t>
            </w:r>
            <w:r w:rsidRPr="00411D98">
              <w:rPr>
                <w:rFonts w:ascii="Palatino Linotype" w:hAnsi="Palatino Linotype" w:eastAsia="Palatino Linotype" w:cs="Times New Roman"/>
                <w:color w:val="000000" w:themeColor="text1"/>
                <w:sz w:val="20"/>
                <w:szCs w:val="20"/>
              </w:rPr>
              <w:t>activities associated with the Natural Gas Leak Abatement (NGLA) Program; Alliance for Renewable Clean Hydrogen Energy Systems (ARCHES); and hydrogen blending pilots.</w:t>
            </w:r>
            <w:r w:rsidRPr="00411D98">
              <w:rPr>
                <w:rStyle w:val="FootnoteReference"/>
                <w:rFonts w:ascii="Palatino Linotype" w:hAnsi="Palatino Linotype" w:eastAsia="Palatino Linotype" w:cs="Times New Roman"/>
                <w:color w:val="000000" w:themeColor="text1"/>
                <w:sz w:val="20"/>
                <w:szCs w:val="20"/>
              </w:rPr>
              <w:footnoteReference w:id="203"/>
            </w:r>
            <w:r w:rsidR="006E799A">
              <w:rPr>
                <w:rFonts w:ascii="Palatino Linotype" w:hAnsi="Palatino Linotype"/>
                <w:b/>
                <w:bCs w:val="0"/>
                <w:color w:val="000000" w:themeColor="text1"/>
                <w:sz w:val="20"/>
                <w:szCs w:val="20"/>
              </w:rPr>
              <w:t xml:space="preserve"> </w:t>
            </w:r>
            <w:r w:rsidRPr="00B9418D">
              <w:rPr>
                <w:rFonts w:ascii="Palatino Linotype" w:hAnsi="Palatino Linotype"/>
                <w:b/>
                <w:bCs w:val="0"/>
                <w:color w:val="000000" w:themeColor="text1"/>
                <w:sz w:val="20"/>
                <w:szCs w:val="20"/>
              </w:rPr>
              <w:t xml:space="preserve">PG&amp;E </w:t>
            </w:r>
            <w:r w:rsidRPr="00B9418D">
              <w:rPr>
                <w:rFonts w:ascii="Palatino Linotype" w:hAnsi="Palatino Linotype" w:eastAsia="Palatino Linotype" w:cs="Times New Roman"/>
                <w:b/>
                <w:bCs w:val="0"/>
                <w:color w:val="000000" w:themeColor="text1"/>
                <w:sz w:val="20"/>
                <w:szCs w:val="20"/>
              </w:rPr>
              <w:t xml:space="preserve">is not compliant </w:t>
            </w:r>
            <w:r w:rsidRPr="00B9418D">
              <w:rPr>
                <w:rFonts w:ascii="Palatino Linotype" w:hAnsi="Palatino Linotype"/>
                <w:b/>
                <w:bCs w:val="0"/>
                <w:color w:val="000000" w:themeColor="text1"/>
                <w:sz w:val="20"/>
                <w:szCs w:val="20"/>
              </w:rPr>
              <w:t>with this requirement.</w:t>
            </w:r>
          </w:p>
        </w:tc>
      </w:tr>
      <w:tr w:rsidR="004B0BDA" w:rsidTr="00534A20" w14:paraId="5D956AED" w14:textId="77777777">
        <w:tc>
          <w:tcPr>
            <w:tcW w:w="3865" w:type="dxa"/>
            <w:tcBorders>
              <w:top w:val="single" w:color="auto" w:sz="4" w:space="0"/>
              <w:left w:val="single" w:color="auto" w:sz="4" w:space="0"/>
              <w:bottom w:val="single" w:color="auto" w:sz="4" w:space="0"/>
              <w:right w:val="single" w:color="auto" w:sz="4" w:space="0"/>
            </w:tcBorders>
          </w:tcPr>
          <w:p w:rsidRPr="00E21015" w:rsidR="004B0BDA" w:rsidRDefault="004B0BDA" w14:paraId="3B9DB297" w14:textId="77777777">
            <w:pPr>
              <w:rPr>
                <w:rFonts w:ascii="Palatino Linotype" w:hAnsi="Palatino Linotype" w:eastAsia="Palatino Linotype" w:cs="Times New Roman"/>
                <w:bCs w:val="0"/>
                <w:i/>
                <w:iCs/>
                <w:color w:val="000000" w:themeColor="text1"/>
                <w:sz w:val="20"/>
                <w:szCs w:val="20"/>
              </w:rPr>
            </w:pPr>
            <w:r w:rsidRPr="00E21015">
              <w:rPr>
                <w:rFonts w:ascii="Palatino Linotype" w:hAnsi="Palatino Linotype" w:eastAsia="Palatino Linotype" w:cs="Times New Roman"/>
                <w:i/>
                <w:iCs/>
                <w:color w:val="000000" w:themeColor="text1"/>
                <w:sz w:val="20"/>
                <w:szCs w:val="20"/>
              </w:rPr>
              <w:lastRenderedPageBreak/>
              <w:t>(e) Each project should also support one or more of the following objectives:</w:t>
            </w:r>
          </w:p>
          <w:p w:rsidRPr="00E21015" w:rsidR="004B0BDA" w:rsidRDefault="004B0BDA" w14:paraId="2BD91915"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(1) Environmental improvement.</w:t>
            </w:r>
          </w:p>
          <w:p w:rsidRPr="00E21015" w:rsidR="004B0BDA" w:rsidRDefault="004B0BDA" w14:paraId="42A40662"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(2) Public and employee safety.</w:t>
            </w:r>
          </w:p>
          <w:p w:rsidRPr="00E21015" w:rsidR="004B0BDA" w:rsidRDefault="004B0BDA" w14:paraId="2995A995"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(3) Conservation by efficient resource use or by reducing or shifting system load.</w:t>
            </w:r>
          </w:p>
          <w:p w:rsidRPr="00E21015" w:rsidR="004B0BDA" w:rsidRDefault="004B0BDA" w14:paraId="6D9773A5"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(4) Development of new resources and processes, particularly renewable resources and processes which further supply technologies.</w:t>
            </w:r>
          </w:p>
          <w:p w:rsidRPr="00E21015" w:rsidR="004B0BDA" w:rsidRDefault="004B0BDA" w14:paraId="663C7BD2" w14:textId="77777777">
            <w:pPr>
              <w:spacing w:after="60"/>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(5) Improve operating efficiency and reliability or otherwise reduce operating costs.</w:t>
            </w:r>
            <w:r>
              <w:rPr>
                <w:rStyle w:val="FootnoteReference"/>
                <w:rFonts w:ascii="Palatino Linotype" w:hAnsi="Palatino Linotype" w:eastAsia="Palatino Linotype" w:cs="Times New Roman"/>
                <w:i/>
                <w:iCs/>
                <w:color w:val="000000" w:themeColor="text1"/>
                <w:sz w:val="20"/>
                <w:szCs w:val="20"/>
              </w:rPr>
              <w:footnoteReference w:id="204"/>
            </w:r>
          </w:p>
        </w:tc>
        <w:tc>
          <w:tcPr>
            <w:tcW w:w="4770" w:type="dxa"/>
            <w:tcBorders>
              <w:top w:val="single" w:color="auto" w:sz="4" w:space="0"/>
              <w:left w:val="single" w:color="auto" w:sz="4" w:space="0"/>
              <w:bottom w:val="single" w:color="auto" w:sz="4" w:space="0"/>
              <w:right w:val="single" w:color="auto" w:sz="4" w:space="0"/>
            </w:tcBorders>
          </w:tcPr>
          <w:p w:rsidRPr="000E145D" w:rsidR="004B0BDA" w:rsidRDefault="004B0BDA" w14:paraId="3967234C" w14:textId="77777777">
            <w:pPr>
              <w:rPr>
                <w:rFonts w:ascii="Palatino Linotype" w:hAnsi="Palatino Linotype"/>
                <w:color w:val="000000" w:themeColor="text1"/>
                <w:sz w:val="20"/>
                <w:szCs w:val="20"/>
              </w:rPr>
            </w:pPr>
            <w:r w:rsidRPr="004A6DF8">
              <w:rPr>
                <w:rFonts w:ascii="Palatino Linotype" w:hAnsi="Palatino Linotype"/>
                <w:sz w:val="20"/>
                <w:szCs w:val="20"/>
              </w:rPr>
              <w:t>PG&amp;E proposes budget allocations broken down by Initiatives within each Investment Theme</w:t>
            </w:r>
            <w:r>
              <w:rPr>
                <w:rFonts w:ascii="Palatino Linotype" w:hAnsi="Palatino Linotype"/>
                <w:sz w:val="20"/>
                <w:szCs w:val="20"/>
              </w:rPr>
              <w:t>:</w:t>
            </w:r>
            <w:r>
              <w:rPr>
                <w:rStyle w:val="FootnoteReference"/>
                <w:rFonts w:ascii="Palatino Linotype" w:hAnsi="Palatino Linotype"/>
                <w:sz w:val="20"/>
                <w:szCs w:val="20"/>
              </w:rPr>
              <w:footnoteReference w:id="205"/>
            </w:r>
            <w:r w:rsidRPr="004A6DF8">
              <w:rPr>
                <w:rFonts w:ascii="Palatino Linotype" w:hAnsi="Palatino Linotype"/>
                <w:sz w:val="20"/>
                <w:szCs w:val="20"/>
              </w:rPr>
              <w:t xml:space="preserve"> Gas System Integrity</w:t>
            </w:r>
            <w:r>
              <w:rPr>
                <w:rStyle w:val="FootnoteReference"/>
                <w:rFonts w:ascii="Palatino Linotype" w:hAnsi="Palatino Linotype"/>
                <w:sz w:val="20"/>
                <w:szCs w:val="20"/>
              </w:rPr>
              <w:footnoteReference w:id="206"/>
            </w:r>
            <w:r w:rsidRPr="004A6DF8">
              <w:rPr>
                <w:rFonts w:ascii="Palatino Linotype" w:hAnsi="Palatino Linotype"/>
                <w:sz w:val="20"/>
                <w:szCs w:val="20"/>
              </w:rPr>
              <w:t xml:space="preserve"> and Decarbonizat</w:t>
            </w:r>
            <w:r w:rsidRPr="00EE5711">
              <w:rPr>
                <w:rFonts w:ascii="Palatino Linotype" w:hAnsi="Palatino Linotype"/>
                <w:color w:val="000000" w:themeColor="text1"/>
                <w:sz w:val="20"/>
                <w:szCs w:val="20"/>
              </w:rPr>
              <w:t>ion.</w:t>
            </w:r>
            <w:r w:rsidRPr="00EE5711">
              <w:rPr>
                <w:rStyle w:val="FootnoteReference"/>
                <w:rFonts w:ascii="Palatino Linotype" w:hAnsi="Palatino Linotype"/>
                <w:color w:val="000000" w:themeColor="text1"/>
                <w:sz w:val="20"/>
                <w:szCs w:val="20"/>
              </w:rPr>
              <w:footnoteReference w:id="207"/>
            </w:r>
            <w:r w:rsidRPr="00EE5711">
              <w:rPr>
                <w:rFonts w:ascii="Palatino Linotype" w:hAnsi="Palatino Linotype"/>
                <w:color w:val="000000" w:themeColor="text1"/>
                <w:sz w:val="20"/>
                <w:szCs w:val="20"/>
              </w:rPr>
              <w:t xml:space="preserve"> Initiatives within the Gas System Integrity </w:t>
            </w:r>
            <w:r>
              <w:rPr>
                <w:rFonts w:ascii="Palatino Linotype" w:hAnsi="Palatino Linotype"/>
                <w:color w:val="000000" w:themeColor="text1"/>
                <w:sz w:val="20"/>
                <w:szCs w:val="20"/>
              </w:rPr>
              <w:t>T</w:t>
            </w:r>
            <w:r w:rsidRPr="00EE5711">
              <w:rPr>
                <w:rFonts w:ascii="Palatino Linotype" w:hAnsi="Palatino Linotype"/>
                <w:color w:val="000000" w:themeColor="text1"/>
                <w:sz w:val="20"/>
                <w:szCs w:val="20"/>
              </w:rPr>
              <w:t>heme</w:t>
            </w:r>
            <w:r>
              <w:rPr>
                <w:rFonts w:ascii="Palatino Linotype" w:hAnsi="Palatino Linotype"/>
                <w:color w:val="000000" w:themeColor="text1"/>
                <w:sz w:val="20"/>
                <w:szCs w:val="20"/>
              </w:rPr>
              <w:t xml:space="preserve"> include </w:t>
            </w:r>
            <w:r w:rsidRPr="0012185D">
              <w:rPr>
                <w:rFonts w:ascii="Palatino Linotype" w:hAnsi="Palatino Linotype"/>
                <w:color w:val="000000" w:themeColor="text1"/>
                <w:sz w:val="20"/>
                <w:szCs w:val="20"/>
              </w:rPr>
              <w:t>Proactive Geohazard Risk Management</w:t>
            </w:r>
            <w:r>
              <w:rPr>
                <w:rFonts w:ascii="Palatino Linotype" w:hAnsi="Palatino Linotype"/>
                <w:color w:val="000000" w:themeColor="text1"/>
                <w:sz w:val="20"/>
                <w:szCs w:val="20"/>
              </w:rPr>
              <w:t xml:space="preserve">; </w:t>
            </w:r>
            <w:r w:rsidRPr="00985070">
              <w:rPr>
                <w:rFonts w:ascii="Palatino Linotype" w:hAnsi="Palatino Linotype"/>
                <w:color w:val="000000" w:themeColor="text1"/>
                <w:sz w:val="20"/>
                <w:szCs w:val="20"/>
              </w:rPr>
              <w:t>Innovative and Cost-Effective Integrity Management</w:t>
            </w:r>
            <w:r>
              <w:rPr>
                <w:rFonts w:ascii="Palatino Linotype" w:hAnsi="Palatino Linotype"/>
                <w:color w:val="000000" w:themeColor="text1"/>
                <w:sz w:val="20"/>
                <w:szCs w:val="20"/>
              </w:rPr>
              <w:t xml:space="preserve">; </w:t>
            </w:r>
            <w:r w:rsidRPr="00D41688">
              <w:rPr>
                <w:rFonts w:ascii="Palatino Linotype" w:hAnsi="Palatino Linotype"/>
                <w:color w:val="000000" w:themeColor="text1"/>
                <w:sz w:val="20"/>
                <w:szCs w:val="20"/>
              </w:rPr>
              <w:t>Advanced Leak Detection and Repair</w:t>
            </w:r>
            <w:r>
              <w:rPr>
                <w:rFonts w:ascii="Palatino Linotype" w:hAnsi="Palatino Linotype"/>
                <w:color w:val="000000" w:themeColor="text1"/>
                <w:sz w:val="20"/>
                <w:szCs w:val="20"/>
              </w:rPr>
              <w:t xml:space="preserve">; and </w:t>
            </w:r>
            <w:r w:rsidRPr="00CE6B62">
              <w:rPr>
                <w:rFonts w:ascii="Palatino Linotype" w:hAnsi="Palatino Linotype"/>
                <w:color w:val="000000" w:themeColor="text1"/>
                <w:sz w:val="20"/>
                <w:szCs w:val="20"/>
              </w:rPr>
              <w:t>Emission Reduction Activities and Refined Reporting</w:t>
            </w:r>
            <w:r>
              <w:rPr>
                <w:rFonts w:ascii="Palatino Linotype" w:hAnsi="Palatino Linotype"/>
                <w:color w:val="000000" w:themeColor="text1"/>
                <w:sz w:val="20"/>
                <w:szCs w:val="20"/>
              </w:rPr>
              <w:t xml:space="preserve">. PG&amp;E also proposes a </w:t>
            </w:r>
            <w:r w:rsidRPr="009145B4">
              <w:rPr>
                <w:rFonts w:ascii="Palatino Linotype" w:hAnsi="Palatino Linotype"/>
                <w:color w:val="000000" w:themeColor="text1"/>
                <w:sz w:val="20"/>
                <w:szCs w:val="20"/>
              </w:rPr>
              <w:t>Clean Fuels Integration</w:t>
            </w:r>
            <w:r>
              <w:rPr>
                <w:rFonts w:ascii="Palatino Linotype" w:hAnsi="Palatino Linotype"/>
                <w:color w:val="000000" w:themeColor="text1"/>
                <w:sz w:val="20"/>
                <w:szCs w:val="20"/>
              </w:rPr>
              <w:t xml:space="preserve"> Initiative within the Decarbonization Theme. </w:t>
            </w:r>
          </w:p>
        </w:tc>
        <w:tc>
          <w:tcPr>
            <w:tcW w:w="4140" w:type="dxa"/>
            <w:tcBorders>
              <w:top w:val="single" w:color="auto" w:sz="4" w:space="0"/>
              <w:left w:val="single" w:color="auto" w:sz="4" w:space="0"/>
              <w:bottom w:val="single" w:color="auto" w:sz="4" w:space="0"/>
              <w:right w:val="single" w:color="auto" w:sz="4" w:space="0"/>
            </w:tcBorders>
          </w:tcPr>
          <w:p w:rsidRPr="007C1639" w:rsidR="004B0BDA" w:rsidRDefault="006E799A" w14:paraId="44C1E5B0" w14:textId="68D24284">
            <w:pPr>
              <w:rPr>
                <w:rFonts w:ascii="Palatino Linotype" w:hAnsi="Palatino Linotype"/>
                <w:b/>
                <w:bCs w:val="0"/>
                <w:color w:val="000000" w:themeColor="text1"/>
                <w:sz w:val="20"/>
                <w:szCs w:val="20"/>
              </w:rPr>
            </w:pPr>
            <w:r w:rsidRPr="00787699">
              <w:rPr>
                <w:rFonts w:ascii="Palatino Linotype" w:hAnsi="Palatino Linotype"/>
                <w:color w:val="000000" w:themeColor="text1"/>
                <w:sz w:val="20"/>
                <w:szCs w:val="20"/>
              </w:rPr>
              <w:t>Each of PG&amp;E’s proposed Initiatives supports one or more of the required objectives.</w:t>
            </w:r>
            <w:r w:rsidRPr="00787699">
              <w:rPr>
                <w:rFonts w:ascii="Palatino Linotype" w:hAnsi="Palatino Linotype"/>
                <w:b/>
                <w:bCs w:val="0"/>
                <w:color w:val="000000" w:themeColor="text1"/>
                <w:sz w:val="20"/>
                <w:szCs w:val="20"/>
              </w:rPr>
              <w:t xml:space="preserve"> </w:t>
            </w:r>
            <w:r w:rsidRPr="007C1639" w:rsidR="004B0BDA">
              <w:rPr>
                <w:rFonts w:ascii="Palatino Linotype" w:hAnsi="Palatino Linotype"/>
                <w:b/>
                <w:bCs w:val="0"/>
                <w:color w:val="000000" w:themeColor="text1"/>
                <w:sz w:val="20"/>
                <w:szCs w:val="20"/>
              </w:rPr>
              <w:t xml:space="preserve">PG&amp;E is compliant with this requirement. </w:t>
            </w:r>
          </w:p>
        </w:tc>
      </w:tr>
    </w:tbl>
    <w:p w:rsidR="006E799A" w:rsidRDefault="006E799A" w14:paraId="4F3D4F4F" w14:textId="77777777">
      <w:pPr>
        <w:rPr>
          <w:rFonts w:ascii="Palatino Linotype" w:hAnsi="Palatino Linotype"/>
          <w:b/>
        </w:rPr>
      </w:pPr>
      <w:r>
        <w:rPr>
          <w:rFonts w:ascii="Palatino Linotype" w:hAnsi="Palatino Linotype"/>
          <w:b/>
        </w:rPr>
        <w:lastRenderedPageBreak/>
        <w:br w:type="page"/>
      </w:r>
    </w:p>
    <w:p w:rsidR="008019CD" w:rsidP="00157B81" w:rsidRDefault="008019CD" w14:paraId="65F17E8B" w14:textId="4C8067FE">
      <w:pPr>
        <w:spacing w:after="0" w:line="240" w:lineRule="auto"/>
        <w:rPr>
          <w:rFonts w:ascii="Palatino Linotype" w:hAnsi="Palatino Linotype"/>
          <w:b/>
          <w:bCs/>
        </w:rPr>
      </w:pPr>
      <w:r w:rsidRPr="00A679D3">
        <w:rPr>
          <w:rFonts w:ascii="Palatino Linotype" w:hAnsi="Palatino Linotype"/>
          <w:b/>
        </w:rPr>
        <w:lastRenderedPageBreak/>
        <w:t>Appendix</w:t>
      </w:r>
      <w:r w:rsidR="00157B81">
        <w:rPr>
          <w:rFonts w:ascii="Palatino Linotype" w:hAnsi="Palatino Linotype"/>
          <w:b/>
        </w:rPr>
        <w:t xml:space="preserve"> G</w:t>
      </w:r>
      <w:r w:rsidRPr="00A679D3">
        <w:rPr>
          <w:rFonts w:ascii="Palatino Linotype" w:hAnsi="Palatino Linotype"/>
          <w:b/>
        </w:rPr>
        <w:t>: Compliance Assessment of A</w:t>
      </w:r>
      <w:r>
        <w:rPr>
          <w:rFonts w:ascii="Palatino Linotype" w:hAnsi="Palatino Linotype"/>
          <w:b/>
        </w:rPr>
        <w:t>dvice Letter</w:t>
      </w:r>
      <w:r w:rsidRPr="00A679D3">
        <w:rPr>
          <w:rFonts w:ascii="Palatino Linotype" w:hAnsi="Palatino Linotype"/>
          <w:b/>
        </w:rPr>
        <w:t xml:space="preserve"> 50</w:t>
      </w:r>
      <w:r>
        <w:rPr>
          <w:rFonts w:ascii="Palatino Linotype" w:hAnsi="Palatino Linotype"/>
          <w:b/>
        </w:rPr>
        <w:t>69</w:t>
      </w:r>
      <w:r w:rsidRPr="00A679D3">
        <w:rPr>
          <w:rFonts w:ascii="Palatino Linotype" w:hAnsi="Palatino Linotype"/>
          <w:b/>
        </w:rPr>
        <w:t>-G</w:t>
      </w:r>
    </w:p>
    <w:p w:rsidRPr="002D1B1C" w:rsidR="008019CD" w:rsidP="00157B81" w:rsidRDefault="008019CD" w14:paraId="7C9096A6" w14:textId="77777777">
      <w:pPr>
        <w:spacing w:line="240" w:lineRule="auto"/>
        <w:rPr>
          <w:rFonts w:ascii="Palatino Linotype" w:hAnsi="Palatino Linotype"/>
          <w:i/>
          <w:iCs/>
          <w:sz w:val="20"/>
          <w:szCs w:val="20"/>
        </w:rPr>
      </w:pPr>
      <w:r>
        <w:rPr>
          <w:rFonts w:ascii="Palatino Linotype" w:hAnsi="Palatino Linotype"/>
          <w:i/>
          <w:iCs/>
          <w:sz w:val="20"/>
          <w:szCs w:val="20"/>
        </w:rPr>
        <w:t xml:space="preserve">See </w:t>
      </w:r>
      <w:r w:rsidRPr="002264E3">
        <w:rPr>
          <w:rFonts w:ascii="Palatino Linotype" w:hAnsi="Palatino Linotype"/>
          <w:i/>
          <w:iCs/>
          <w:sz w:val="20"/>
          <w:szCs w:val="20"/>
        </w:rPr>
        <w:t xml:space="preserve">Appendix C: Guidance on Gas RD&amp;D Plans Provided to PG&amp;E During Pre-Submittal Consultation with CPUC Staff </w:t>
      </w:r>
      <w:r>
        <w:rPr>
          <w:rFonts w:ascii="Palatino Linotype" w:hAnsi="Palatino Linotype"/>
          <w:i/>
          <w:iCs/>
          <w:sz w:val="20"/>
          <w:szCs w:val="20"/>
        </w:rPr>
        <w:t>in March 2025</w:t>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5"/>
        <w:gridCol w:w="4770"/>
        <w:gridCol w:w="4320"/>
      </w:tblGrid>
      <w:tr w:rsidR="00534A20" w:rsidTr="00534A20" w14:paraId="33EE83D9" w14:textId="77777777">
        <w:trPr>
          <w:tblHeader/>
        </w:trPr>
        <w:tc>
          <w:tcPr>
            <w:tcW w:w="3865" w:type="dxa"/>
            <w:vAlign w:val="center"/>
          </w:tcPr>
          <w:p w:rsidR="008019CD" w:rsidRDefault="008019CD" w14:paraId="51F05DAF" w14:textId="77777777">
            <w:pPr>
              <w:rPr>
                <w:rFonts w:ascii="Palatino Linotype" w:hAnsi="Palatino Linotype"/>
                <w:b/>
                <w:bCs w:val="0"/>
                <w:sz w:val="20"/>
                <w:szCs w:val="20"/>
              </w:rPr>
            </w:pPr>
            <w:r>
              <w:rPr>
                <w:rFonts w:ascii="Palatino Linotype" w:hAnsi="Palatino Linotype"/>
                <w:b/>
                <w:bCs w:val="0"/>
                <w:sz w:val="20"/>
                <w:szCs w:val="20"/>
              </w:rPr>
              <w:t>CPUC Requirement</w:t>
            </w:r>
          </w:p>
          <w:p w:rsidRPr="00FB1ACE" w:rsidR="008019CD" w:rsidRDefault="008019CD" w14:paraId="0D46D453" w14:textId="77777777">
            <w:pPr>
              <w:rPr>
                <w:rFonts w:ascii="Palatino Linotype" w:hAnsi="Palatino Linotype"/>
                <w:b/>
                <w:bCs w:val="0"/>
                <w:sz w:val="20"/>
                <w:szCs w:val="20"/>
              </w:rPr>
            </w:pPr>
            <w:hyperlink w:history="1" r:id="rId70">
              <w:r w:rsidRPr="00E00E3C">
                <w:rPr>
                  <w:rStyle w:val="Hyperlink"/>
                  <w:rFonts w:ascii="Palatino Linotype" w:hAnsi="Palatino Linotype"/>
                  <w:i/>
                  <w:iCs/>
                  <w:sz w:val="20"/>
                  <w:szCs w:val="20"/>
                </w:rPr>
                <w:t>D.23-11-069</w:t>
              </w:r>
            </w:hyperlink>
          </w:p>
        </w:tc>
        <w:tc>
          <w:tcPr>
            <w:tcW w:w="4770" w:type="dxa"/>
            <w:vAlign w:val="center"/>
          </w:tcPr>
          <w:p w:rsidRPr="00FB1ACE" w:rsidR="008019CD" w:rsidRDefault="008019CD" w14:paraId="714C2E25" w14:textId="77777777">
            <w:pPr>
              <w:rPr>
                <w:rFonts w:ascii="Palatino Linotype" w:hAnsi="Palatino Linotype"/>
                <w:b/>
                <w:bCs w:val="0"/>
                <w:sz w:val="20"/>
                <w:szCs w:val="20"/>
              </w:rPr>
            </w:pPr>
            <w:r>
              <w:rPr>
                <w:rFonts w:ascii="Palatino Linotype" w:hAnsi="Palatino Linotype"/>
                <w:b/>
                <w:bCs w:val="0"/>
                <w:sz w:val="20"/>
                <w:szCs w:val="20"/>
              </w:rPr>
              <w:t xml:space="preserve">PG&amp;E Response in </w:t>
            </w:r>
            <w:r w:rsidRPr="00FB1ACE">
              <w:rPr>
                <w:rFonts w:ascii="Palatino Linotype" w:hAnsi="Palatino Linotype"/>
                <w:b/>
                <w:bCs w:val="0"/>
                <w:sz w:val="20"/>
                <w:szCs w:val="20"/>
              </w:rPr>
              <w:t>AL 50</w:t>
            </w:r>
            <w:r>
              <w:rPr>
                <w:rFonts w:ascii="Palatino Linotype" w:hAnsi="Palatino Linotype"/>
                <w:b/>
                <w:bCs w:val="0"/>
                <w:sz w:val="20"/>
                <w:szCs w:val="20"/>
              </w:rPr>
              <w:t>69-G</w:t>
            </w:r>
          </w:p>
        </w:tc>
        <w:tc>
          <w:tcPr>
            <w:tcW w:w="4320" w:type="dxa"/>
            <w:vAlign w:val="center"/>
          </w:tcPr>
          <w:p w:rsidRPr="00FB1ACE" w:rsidR="008019CD" w:rsidRDefault="008019CD" w14:paraId="129331E9" w14:textId="77777777">
            <w:pPr>
              <w:rPr>
                <w:rFonts w:ascii="Palatino Linotype" w:hAnsi="Palatino Linotype"/>
                <w:b/>
                <w:bCs w:val="0"/>
                <w:color w:val="EE0000"/>
                <w:sz w:val="20"/>
                <w:szCs w:val="20"/>
              </w:rPr>
            </w:pPr>
            <w:r>
              <w:rPr>
                <w:rFonts w:ascii="Palatino Linotype" w:hAnsi="Palatino Linotype"/>
                <w:b/>
                <w:bCs w:val="0"/>
                <w:color w:val="000000" w:themeColor="text1"/>
                <w:sz w:val="20"/>
                <w:szCs w:val="20"/>
              </w:rPr>
              <w:t xml:space="preserve">Compliance </w:t>
            </w:r>
            <w:r w:rsidRPr="00CD3F71">
              <w:rPr>
                <w:rFonts w:ascii="Palatino Linotype" w:hAnsi="Palatino Linotype"/>
                <w:b/>
                <w:bCs w:val="0"/>
                <w:color w:val="000000" w:themeColor="text1"/>
                <w:sz w:val="20"/>
                <w:szCs w:val="20"/>
              </w:rPr>
              <w:t>Assessment</w:t>
            </w:r>
          </w:p>
        </w:tc>
      </w:tr>
      <w:tr w:rsidR="00534A20" w:rsidTr="00534A20" w14:paraId="78FF613E" w14:textId="77777777">
        <w:tc>
          <w:tcPr>
            <w:tcW w:w="3865" w:type="dxa"/>
          </w:tcPr>
          <w:p w:rsidRPr="0088466A" w:rsidR="008019CD" w:rsidRDefault="008019CD" w14:paraId="6044EB41" w14:textId="77777777">
            <w:pPr>
              <w:rPr>
                <w:rFonts w:ascii="Palatino Linotype" w:hAnsi="Palatino Linotype"/>
                <w:color w:val="000000" w:themeColor="text1"/>
                <w:sz w:val="20"/>
                <w:szCs w:val="20"/>
              </w:rPr>
            </w:pPr>
            <w:r w:rsidRPr="0088466A">
              <w:rPr>
                <w:rFonts w:ascii="Palatino Linotype" w:hAnsi="Palatino Linotype"/>
                <w:i/>
                <w:iCs/>
                <w:color w:val="000000" w:themeColor="text1"/>
                <w:sz w:val="20"/>
                <w:szCs w:val="20"/>
              </w:rPr>
              <w:t>PG&amp;E shall not record any Gas [RD&amp;D] program expenses in a one-way balancing account until an annual Tier 3 Advice Letter [AL] outlining its Gas RD&amp;D budget plan is approved.</w:t>
            </w:r>
            <w:r w:rsidRPr="0088466A">
              <w:rPr>
                <w:rStyle w:val="FootnoteReference"/>
                <w:rFonts w:ascii="Palatino Linotype" w:hAnsi="Palatino Linotype"/>
                <w:color w:val="000000" w:themeColor="text1"/>
              </w:rPr>
              <w:footnoteReference w:id="208"/>
            </w:r>
            <w:r w:rsidRPr="0088466A">
              <w:rPr>
                <w:rFonts w:ascii="Palatino Linotype" w:hAnsi="Palatino Linotype"/>
                <w:color w:val="000000" w:themeColor="text1"/>
                <w:sz w:val="20"/>
                <w:szCs w:val="20"/>
              </w:rPr>
              <w:t xml:space="preserve"> </w:t>
            </w:r>
          </w:p>
          <w:p w:rsidRPr="0088466A" w:rsidR="008019CD" w:rsidRDefault="008019CD" w14:paraId="4F020B22" w14:textId="77777777">
            <w:pPr>
              <w:rPr>
                <w:rFonts w:ascii="Palatino Linotype" w:hAnsi="Palatino Linotype"/>
                <w:color w:val="000000" w:themeColor="text1"/>
                <w:sz w:val="20"/>
                <w:szCs w:val="20"/>
              </w:rPr>
            </w:pPr>
          </w:p>
          <w:p w:rsidRPr="0088466A" w:rsidR="008019CD" w:rsidRDefault="008019CD" w14:paraId="1C71EE1F" w14:textId="77777777">
            <w:pPr>
              <w:rPr>
                <w:rFonts w:ascii="Palatino Linotype" w:hAnsi="Palatino Linotype"/>
                <w:color w:val="000000" w:themeColor="text1"/>
                <w:sz w:val="20"/>
                <w:szCs w:val="20"/>
              </w:rPr>
            </w:pPr>
            <w:r w:rsidRPr="0088466A">
              <w:rPr>
                <w:rFonts w:ascii="Palatino Linotype" w:hAnsi="Palatino Linotype" w:eastAsia="Palatino Linotype" w:cs="Times New Roman"/>
                <w:color w:val="000000" w:themeColor="text1"/>
                <w:sz w:val="20"/>
                <w:szCs w:val="20"/>
              </w:rPr>
              <w:t>D.23-11-069 approved a Test Year 2023 Gas RD&amp;D budget of $7.414 million and escalation factor authorizing a $8.267 million annual budget for PG&amp;E’s 2025 Plan, pending Commission approval.</w:t>
            </w:r>
            <w:r w:rsidRPr="0088466A">
              <w:rPr>
                <w:rStyle w:val="FootnoteReference"/>
                <w:rFonts w:ascii="Palatino Linotype" w:hAnsi="Palatino Linotype" w:eastAsia="Palatino Linotype" w:cs="Times New Roman"/>
                <w:color w:val="000000" w:themeColor="text1"/>
                <w:sz w:val="20"/>
                <w:szCs w:val="20"/>
              </w:rPr>
              <w:footnoteReference w:id="209"/>
            </w:r>
          </w:p>
        </w:tc>
        <w:tc>
          <w:tcPr>
            <w:tcW w:w="4770" w:type="dxa"/>
          </w:tcPr>
          <w:p w:rsidRPr="0088466A" w:rsidR="008019CD" w:rsidRDefault="008019CD" w14:paraId="59C8DBC6" w14:textId="77777777">
            <w:pPr>
              <w:rPr>
                <w:rFonts w:ascii="Palatino Linotype" w:hAnsi="Palatino Linotype" w:eastAsia="Palatino Linotype" w:cs="Times New Roman"/>
                <w:color w:val="000000" w:themeColor="text1"/>
                <w:sz w:val="20"/>
                <w:szCs w:val="20"/>
              </w:rPr>
            </w:pPr>
            <w:r w:rsidRPr="0088466A">
              <w:rPr>
                <w:rFonts w:ascii="Palatino Linotype" w:hAnsi="Palatino Linotype" w:eastAsia="Palatino Linotype" w:cs="Times New Roman"/>
                <w:color w:val="000000" w:themeColor="text1"/>
                <w:sz w:val="20"/>
                <w:szCs w:val="20"/>
              </w:rPr>
              <w:t>PG&amp;E submitted a Tier 3 Advice Letter (AL) with its proposed 2025 Plan on May 30</w:t>
            </w:r>
            <w:r w:rsidRPr="0088466A">
              <w:rPr>
                <w:rFonts w:ascii="Palatino Linotype" w:hAnsi="Palatino Linotype" w:eastAsia="Palatino Linotype" w:cs="Times New Roman"/>
                <w:color w:val="000000" w:themeColor="text1"/>
                <w:sz w:val="20"/>
                <w:szCs w:val="20"/>
                <w:vertAlign w:val="superscript"/>
              </w:rPr>
              <w:t>th</w:t>
            </w:r>
            <w:r w:rsidRPr="0088466A">
              <w:rPr>
                <w:rFonts w:ascii="Palatino Linotype" w:hAnsi="Palatino Linotype" w:eastAsia="Palatino Linotype" w:cs="Times New Roman"/>
                <w:color w:val="000000" w:themeColor="text1"/>
                <w:sz w:val="20"/>
                <w:szCs w:val="20"/>
              </w:rPr>
              <w:t>, 2025, with a proposed annual budget of $8.267 million.</w:t>
            </w:r>
            <w:r w:rsidRPr="0088466A">
              <w:rPr>
                <w:rStyle w:val="FootnoteReference"/>
                <w:rFonts w:ascii="Palatino Linotype" w:hAnsi="Palatino Linotype" w:eastAsia="Palatino Linotype" w:cs="Times New Roman"/>
                <w:color w:val="000000" w:themeColor="text1"/>
                <w:sz w:val="20"/>
                <w:szCs w:val="20"/>
              </w:rPr>
              <w:footnoteReference w:id="210"/>
            </w:r>
          </w:p>
        </w:tc>
        <w:tc>
          <w:tcPr>
            <w:tcW w:w="4320" w:type="dxa"/>
          </w:tcPr>
          <w:p w:rsidRPr="00AD21BE" w:rsidR="008019CD" w:rsidRDefault="008019CD" w14:paraId="09A423D5" w14:textId="45914F77">
            <w:pPr>
              <w:rPr>
                <w:rFonts w:ascii="Palatino Linotype" w:hAnsi="Palatino Linotype"/>
                <w:color w:val="000000" w:themeColor="text1"/>
                <w:sz w:val="20"/>
                <w:szCs w:val="20"/>
              </w:rPr>
            </w:pPr>
            <w:r w:rsidRPr="00C84382">
              <w:rPr>
                <w:rFonts w:ascii="Palatino Linotype" w:hAnsi="Palatino Linotype"/>
                <w:b/>
                <w:bCs w:val="0"/>
                <w:sz w:val="20"/>
                <w:szCs w:val="20"/>
              </w:rPr>
              <w:t xml:space="preserve">PG&amp;E is compliant with </w:t>
            </w:r>
            <w:r w:rsidRPr="52A93F03">
              <w:rPr>
                <w:rFonts w:ascii="Palatino Linotype" w:hAnsi="Palatino Linotype"/>
                <w:b/>
                <w:sz w:val="20"/>
                <w:szCs w:val="20"/>
              </w:rPr>
              <w:t>this</w:t>
            </w:r>
            <w:r w:rsidRPr="52A93F03" w:rsidR="4677F5D7">
              <w:rPr>
                <w:rFonts w:ascii="Palatino Linotype" w:hAnsi="Palatino Linotype"/>
                <w:b/>
                <w:sz w:val="20"/>
                <w:szCs w:val="20"/>
              </w:rPr>
              <w:t xml:space="preserve"> </w:t>
            </w:r>
            <w:r w:rsidRPr="52A93F03">
              <w:rPr>
                <w:rFonts w:ascii="Palatino Linotype" w:hAnsi="Palatino Linotype"/>
                <w:b/>
                <w:sz w:val="20"/>
                <w:szCs w:val="20"/>
              </w:rPr>
              <w:t>requirement</w:t>
            </w:r>
            <w:r w:rsidRPr="52A93F03">
              <w:rPr>
                <w:rFonts w:ascii="Palatino Linotype" w:hAnsi="Palatino Linotype"/>
                <w:sz w:val="20"/>
                <w:szCs w:val="20"/>
              </w:rPr>
              <w:t>.</w:t>
            </w:r>
            <w:r>
              <w:rPr>
                <w:rFonts w:ascii="Palatino Linotype" w:hAnsi="Palatino Linotype"/>
                <w:sz w:val="20"/>
                <w:szCs w:val="20"/>
              </w:rPr>
              <w:t xml:space="preserve"> </w:t>
            </w:r>
            <w:r w:rsidRPr="0014722B" w:rsidR="4AE041E3">
              <w:rPr>
                <w:rFonts w:ascii="Palatino Linotype" w:hAnsi="Palatino Linotype"/>
                <w:color w:val="000000" w:themeColor="text1"/>
                <w:sz w:val="20"/>
                <w:szCs w:val="20"/>
              </w:rPr>
              <w:t>However, the sum of PG&amp;E’s budget allocations do</w:t>
            </w:r>
            <w:r w:rsidRPr="0014722B" w:rsidR="00461960">
              <w:rPr>
                <w:rFonts w:ascii="Palatino Linotype" w:hAnsi="Palatino Linotype"/>
                <w:color w:val="000000" w:themeColor="text1"/>
                <w:sz w:val="20"/>
                <w:szCs w:val="20"/>
              </w:rPr>
              <w:t>es</w:t>
            </w:r>
            <w:r w:rsidRPr="0014722B" w:rsidR="4AE041E3">
              <w:rPr>
                <w:rFonts w:ascii="Palatino Linotype" w:hAnsi="Palatino Linotype"/>
                <w:color w:val="000000" w:themeColor="text1"/>
                <w:sz w:val="20"/>
                <w:szCs w:val="20"/>
              </w:rPr>
              <w:t xml:space="preserve"> not equal the total proposed budget.</w:t>
            </w:r>
          </w:p>
        </w:tc>
      </w:tr>
      <w:tr w:rsidR="00534A20" w:rsidTr="00534A20" w14:paraId="67CE41E5" w14:textId="77777777">
        <w:tc>
          <w:tcPr>
            <w:tcW w:w="3865" w:type="dxa"/>
          </w:tcPr>
          <w:p w:rsidRPr="00637336" w:rsidR="008019CD" w:rsidRDefault="008019CD" w14:paraId="78427092" w14:textId="77777777">
            <w:pPr>
              <w:rPr>
                <w:rFonts w:ascii="Palatino Linotype" w:hAnsi="Palatino Linotype"/>
                <w:sz w:val="20"/>
                <w:szCs w:val="20"/>
              </w:rPr>
            </w:pPr>
            <w:r>
              <w:rPr>
                <w:rFonts w:ascii="Palatino Linotype" w:hAnsi="Palatino Linotype"/>
                <w:i/>
                <w:iCs/>
                <w:sz w:val="20"/>
                <w:szCs w:val="20"/>
              </w:rPr>
              <w:t xml:space="preserve">(1) </w:t>
            </w:r>
            <w:r w:rsidRPr="007B0EE4">
              <w:rPr>
                <w:rFonts w:ascii="Palatino Linotype" w:hAnsi="Palatino Linotype"/>
                <w:i/>
                <w:iCs/>
                <w:sz w:val="20"/>
                <w:szCs w:val="20"/>
              </w:rPr>
              <w:t>The annual research plan should detail budgets broken</w:t>
            </w:r>
            <w:r w:rsidRPr="00FB1ACE">
              <w:rPr>
                <w:rFonts w:ascii="Palatino Linotype" w:hAnsi="Palatino Linotype"/>
                <w:i/>
                <w:iCs/>
                <w:sz w:val="20"/>
                <w:szCs w:val="20"/>
              </w:rPr>
              <w:t xml:space="preserve"> </w:t>
            </w:r>
            <w:r w:rsidRPr="007B0EE4">
              <w:rPr>
                <w:rFonts w:ascii="Palatino Linotype" w:hAnsi="Palatino Linotype"/>
                <w:i/>
                <w:iCs/>
                <w:sz w:val="20"/>
                <w:szCs w:val="20"/>
              </w:rPr>
              <w:t>down by research</w:t>
            </w:r>
            <w:r w:rsidRPr="00FB1ACE">
              <w:rPr>
                <w:rFonts w:ascii="Palatino Linotype" w:hAnsi="Palatino Linotype"/>
                <w:i/>
                <w:iCs/>
                <w:sz w:val="20"/>
                <w:szCs w:val="20"/>
              </w:rPr>
              <w:t xml:space="preserve"> </w:t>
            </w:r>
            <w:r w:rsidRPr="007B0EE4">
              <w:rPr>
                <w:rFonts w:ascii="Palatino Linotype" w:hAnsi="Palatino Linotype"/>
                <w:i/>
                <w:iCs/>
                <w:sz w:val="20"/>
                <w:szCs w:val="20"/>
              </w:rPr>
              <w:t>sub-program area and</w:t>
            </w:r>
            <w:r w:rsidRPr="00FB1ACE">
              <w:rPr>
                <w:rFonts w:ascii="Palatino Linotype" w:hAnsi="Palatino Linotype"/>
                <w:i/>
                <w:iCs/>
                <w:sz w:val="20"/>
                <w:szCs w:val="20"/>
              </w:rPr>
              <w:t xml:space="preserve"> </w:t>
            </w:r>
            <w:r w:rsidRPr="007B0EE4">
              <w:rPr>
                <w:rFonts w:ascii="Palatino Linotype" w:hAnsi="Palatino Linotype"/>
                <w:i/>
                <w:iCs/>
                <w:sz w:val="20"/>
                <w:szCs w:val="20"/>
              </w:rPr>
              <w:t>explain how the</w:t>
            </w:r>
            <w:r w:rsidRPr="00FB1ACE">
              <w:rPr>
                <w:rFonts w:ascii="Palatino Linotype" w:hAnsi="Palatino Linotype"/>
                <w:i/>
                <w:iCs/>
                <w:sz w:val="20"/>
                <w:szCs w:val="20"/>
              </w:rPr>
              <w:t xml:space="preserve"> </w:t>
            </w:r>
            <w:r w:rsidRPr="007B0EE4">
              <w:rPr>
                <w:rFonts w:ascii="Palatino Linotype" w:hAnsi="Palatino Linotype"/>
                <w:i/>
                <w:iCs/>
                <w:sz w:val="20"/>
                <w:szCs w:val="20"/>
              </w:rPr>
              <w:t>projects</w:t>
            </w:r>
            <w:r w:rsidRPr="00FB1ACE">
              <w:rPr>
                <w:rFonts w:ascii="Palatino Linotype" w:hAnsi="Palatino Linotype"/>
                <w:i/>
                <w:iCs/>
                <w:sz w:val="20"/>
                <w:szCs w:val="20"/>
              </w:rPr>
              <w:t xml:space="preserve"> </w:t>
            </w:r>
            <w:r w:rsidRPr="007B0EE4">
              <w:rPr>
                <w:rFonts w:ascii="Palatino Linotype" w:hAnsi="Palatino Linotype"/>
                <w:i/>
                <w:iCs/>
                <w:sz w:val="20"/>
                <w:szCs w:val="20"/>
              </w:rPr>
              <w:t>improve reliability, safety,</w:t>
            </w:r>
            <w:r w:rsidRPr="00FB1ACE">
              <w:rPr>
                <w:rFonts w:ascii="Palatino Linotype" w:hAnsi="Palatino Linotype"/>
                <w:i/>
                <w:iCs/>
                <w:sz w:val="20"/>
                <w:szCs w:val="20"/>
              </w:rPr>
              <w:t xml:space="preserve"> </w:t>
            </w:r>
            <w:r w:rsidRPr="007B0EE4">
              <w:rPr>
                <w:rFonts w:ascii="Palatino Linotype" w:hAnsi="Palatino Linotype"/>
                <w:i/>
                <w:iCs/>
                <w:sz w:val="20"/>
                <w:szCs w:val="20"/>
              </w:rPr>
              <w:t>equity,</w:t>
            </w:r>
            <w:r>
              <w:rPr>
                <w:rFonts w:ascii="Palatino Linotype" w:hAnsi="Palatino Linotype"/>
                <w:i/>
                <w:iCs/>
                <w:sz w:val="20"/>
                <w:szCs w:val="20"/>
              </w:rPr>
              <w:t xml:space="preserve"> </w:t>
            </w:r>
            <w:r w:rsidRPr="007B0EE4">
              <w:rPr>
                <w:rFonts w:ascii="Palatino Linotype" w:hAnsi="Palatino Linotype"/>
                <w:i/>
                <w:iCs/>
                <w:sz w:val="20"/>
                <w:szCs w:val="20"/>
              </w:rPr>
              <w:t>affordability,</w:t>
            </w:r>
            <w:r w:rsidRPr="00FB1ACE">
              <w:rPr>
                <w:rFonts w:ascii="Palatino Linotype" w:hAnsi="Palatino Linotype"/>
                <w:i/>
                <w:iCs/>
                <w:sz w:val="20"/>
                <w:szCs w:val="20"/>
              </w:rPr>
              <w:t xml:space="preserve"> </w:t>
            </w:r>
            <w:r w:rsidRPr="007B0EE4">
              <w:rPr>
                <w:rFonts w:ascii="Palatino Linotype" w:hAnsi="Palatino Linotype"/>
                <w:i/>
                <w:iCs/>
                <w:sz w:val="20"/>
                <w:szCs w:val="20"/>
              </w:rPr>
              <w:t>and</w:t>
            </w:r>
            <w:r w:rsidRPr="00FB1ACE">
              <w:rPr>
                <w:rFonts w:ascii="Palatino Linotype" w:hAnsi="Palatino Linotype"/>
                <w:i/>
                <w:iCs/>
                <w:sz w:val="20"/>
                <w:szCs w:val="20"/>
              </w:rPr>
              <w:t xml:space="preserve"> </w:t>
            </w:r>
            <w:r w:rsidRPr="007B0EE4">
              <w:rPr>
                <w:rFonts w:ascii="Palatino Linotype" w:hAnsi="Palatino Linotype"/>
                <w:i/>
                <w:iCs/>
                <w:sz w:val="20"/>
                <w:szCs w:val="20"/>
              </w:rPr>
              <w:t>environmental benefits,</w:t>
            </w:r>
            <w:r w:rsidRPr="00FB1ACE">
              <w:rPr>
                <w:rFonts w:ascii="Palatino Linotype" w:hAnsi="Palatino Linotype"/>
                <w:i/>
                <w:iCs/>
                <w:sz w:val="20"/>
                <w:szCs w:val="20"/>
              </w:rPr>
              <w:t xml:space="preserve"> </w:t>
            </w:r>
            <w:r w:rsidRPr="00554A92">
              <w:rPr>
                <w:rFonts w:ascii="Palatino Linotype" w:hAnsi="Palatino Linotype"/>
                <w:i/>
                <w:iCs/>
                <w:sz w:val="20"/>
                <w:szCs w:val="20"/>
              </w:rPr>
              <w:t xml:space="preserve">and incorporates input from key </w:t>
            </w:r>
            <w:r w:rsidRPr="00554A92">
              <w:rPr>
                <w:rFonts w:ascii="Palatino Linotype" w:hAnsi="Palatino Linotype"/>
                <w:i/>
                <w:iCs/>
                <w:sz w:val="20"/>
                <w:szCs w:val="20"/>
              </w:rPr>
              <w:lastRenderedPageBreak/>
              <w:t>stakeholders</w:t>
            </w:r>
            <w:r w:rsidRPr="007B0EE4">
              <w:rPr>
                <w:rFonts w:ascii="Palatino Linotype" w:hAnsi="Palatino Linotype"/>
                <w:i/>
                <w:iCs/>
                <w:sz w:val="20"/>
                <w:szCs w:val="20"/>
              </w:rPr>
              <w:t>,</w:t>
            </w:r>
            <w:r w:rsidRPr="00FB1ACE">
              <w:rPr>
                <w:rFonts w:ascii="Palatino Linotype" w:hAnsi="Palatino Linotype"/>
                <w:i/>
                <w:iCs/>
                <w:sz w:val="20"/>
                <w:szCs w:val="20"/>
              </w:rPr>
              <w:t xml:space="preserve"> </w:t>
            </w:r>
            <w:r w:rsidRPr="007B0EE4">
              <w:rPr>
                <w:rFonts w:ascii="Palatino Linotype" w:hAnsi="Palatino Linotype"/>
                <w:i/>
                <w:iCs/>
                <w:sz w:val="20"/>
                <w:szCs w:val="20"/>
              </w:rPr>
              <w:t>such as the Disadvantaged</w:t>
            </w:r>
            <w:r w:rsidRPr="00FB1ACE">
              <w:rPr>
                <w:rFonts w:ascii="Palatino Linotype" w:hAnsi="Palatino Linotype"/>
                <w:i/>
                <w:iCs/>
                <w:sz w:val="20"/>
                <w:szCs w:val="20"/>
              </w:rPr>
              <w:t xml:space="preserve"> Communities Advisory Group</w:t>
            </w:r>
            <w:r>
              <w:rPr>
                <w:rFonts w:ascii="Palatino Linotype" w:hAnsi="Palatino Linotype"/>
                <w:i/>
                <w:iCs/>
                <w:sz w:val="20"/>
                <w:szCs w:val="20"/>
              </w:rPr>
              <w:t>.</w:t>
            </w:r>
            <w:r>
              <w:rPr>
                <w:rStyle w:val="FootnoteReference"/>
                <w:rFonts w:ascii="Palatino Linotype" w:hAnsi="Palatino Linotype"/>
                <w:i/>
                <w:iCs/>
                <w:sz w:val="20"/>
                <w:szCs w:val="20"/>
              </w:rPr>
              <w:footnoteReference w:id="211"/>
            </w:r>
            <w:r w:rsidRPr="00FB1ACE">
              <w:rPr>
                <w:rFonts w:ascii="Palatino Linotype" w:hAnsi="Palatino Linotype"/>
                <w:sz w:val="20"/>
                <w:szCs w:val="20"/>
              </w:rPr>
              <w:t xml:space="preserve"> </w:t>
            </w:r>
          </w:p>
        </w:tc>
        <w:tc>
          <w:tcPr>
            <w:tcW w:w="4770" w:type="dxa"/>
          </w:tcPr>
          <w:p w:rsidRPr="0088466A" w:rsidR="008019CD" w:rsidRDefault="008019CD" w14:paraId="27E5845B" w14:textId="77777777">
            <w:pPr>
              <w:rPr>
                <w:rFonts w:ascii="Palatino Linotype" w:hAnsi="Palatino Linotype"/>
                <w:color w:val="000000" w:themeColor="text1"/>
                <w:sz w:val="20"/>
                <w:szCs w:val="20"/>
              </w:rPr>
            </w:pPr>
            <w:r w:rsidRPr="0088466A">
              <w:rPr>
                <w:rFonts w:ascii="Palatino Linotype" w:hAnsi="Palatino Linotype"/>
                <w:color w:val="000000" w:themeColor="text1"/>
                <w:sz w:val="20"/>
                <w:szCs w:val="20"/>
              </w:rPr>
              <w:lastRenderedPageBreak/>
              <w:t>PG&amp;E proposes budget allocations broken down by Initiatives within each Investment Theme:</w:t>
            </w:r>
            <w:r w:rsidRPr="0088466A">
              <w:rPr>
                <w:rStyle w:val="FootnoteReference"/>
                <w:rFonts w:ascii="Palatino Linotype" w:hAnsi="Palatino Linotype"/>
                <w:color w:val="000000" w:themeColor="text1"/>
                <w:sz w:val="20"/>
                <w:szCs w:val="20"/>
              </w:rPr>
              <w:footnoteReference w:id="212"/>
            </w:r>
            <w:r w:rsidRPr="0088466A">
              <w:rPr>
                <w:rFonts w:ascii="Palatino Linotype" w:hAnsi="Palatino Linotype"/>
                <w:color w:val="000000" w:themeColor="text1"/>
                <w:sz w:val="20"/>
                <w:szCs w:val="20"/>
              </w:rPr>
              <w:t xml:space="preserve"> Gas System Integrity</w:t>
            </w:r>
            <w:r w:rsidRPr="0088466A">
              <w:rPr>
                <w:rStyle w:val="FootnoteReference"/>
                <w:rFonts w:ascii="Palatino Linotype" w:hAnsi="Palatino Linotype"/>
                <w:color w:val="000000" w:themeColor="text1"/>
                <w:sz w:val="20"/>
                <w:szCs w:val="20"/>
              </w:rPr>
              <w:footnoteReference w:id="213"/>
            </w:r>
            <w:r w:rsidRPr="0088466A">
              <w:rPr>
                <w:rFonts w:ascii="Palatino Linotype" w:hAnsi="Palatino Linotype"/>
                <w:color w:val="000000" w:themeColor="text1"/>
                <w:sz w:val="20"/>
                <w:szCs w:val="20"/>
              </w:rPr>
              <w:t xml:space="preserve"> and Decarbonization.</w:t>
            </w:r>
            <w:r w:rsidRPr="0088466A">
              <w:rPr>
                <w:rStyle w:val="FootnoteReference"/>
                <w:rFonts w:ascii="Palatino Linotype" w:hAnsi="Palatino Linotype"/>
                <w:color w:val="000000" w:themeColor="text1"/>
                <w:sz w:val="20"/>
                <w:szCs w:val="20"/>
              </w:rPr>
              <w:footnoteReference w:id="214"/>
            </w:r>
            <w:r w:rsidRPr="0088466A">
              <w:rPr>
                <w:rFonts w:ascii="Palatino Linotype" w:hAnsi="Palatino Linotype"/>
                <w:color w:val="000000" w:themeColor="text1"/>
                <w:sz w:val="20"/>
                <w:szCs w:val="20"/>
              </w:rPr>
              <w:t xml:space="preserve"> The purpose and content of the provided </w:t>
            </w:r>
            <w:r w:rsidRPr="0088466A">
              <w:rPr>
                <w:rFonts w:ascii="Palatino Linotype" w:hAnsi="Palatino Linotype" w:eastAsia="Palatino Linotype" w:cs="Times New Roman"/>
                <w:color w:val="000000" w:themeColor="text1"/>
                <w:sz w:val="20"/>
                <w:szCs w:val="20"/>
              </w:rPr>
              <w:t xml:space="preserve">Gas RD&amp;D Project List as it relates to the proposed 2025 Plan is unclear: PG&amp;E proposes to allocate $639,127 to the </w:t>
            </w:r>
            <w:r w:rsidRPr="0088466A">
              <w:rPr>
                <w:rFonts w:ascii="Palatino Linotype" w:hAnsi="Palatino Linotype" w:eastAsia="Palatino Linotype" w:cs="Times New Roman"/>
                <w:color w:val="000000" w:themeColor="text1"/>
                <w:sz w:val="20"/>
                <w:szCs w:val="20"/>
              </w:rPr>
              <w:lastRenderedPageBreak/>
              <w:t>Proactive Geohazard Risk Management Initiative</w:t>
            </w:r>
            <w:r w:rsidRPr="0088466A">
              <w:rPr>
                <w:rStyle w:val="FootnoteReference"/>
                <w:rFonts w:ascii="Palatino Linotype" w:hAnsi="Palatino Linotype" w:eastAsia="Palatino Linotype" w:cs="Times New Roman"/>
                <w:color w:val="000000" w:themeColor="text1"/>
                <w:sz w:val="20"/>
                <w:szCs w:val="20"/>
              </w:rPr>
              <w:footnoteReference w:id="215"/>
            </w:r>
            <w:r w:rsidRPr="0088466A">
              <w:rPr>
                <w:rFonts w:ascii="Palatino Linotype" w:hAnsi="Palatino Linotype" w:eastAsia="Palatino Linotype" w:cs="Times New Roman"/>
                <w:color w:val="000000" w:themeColor="text1"/>
                <w:sz w:val="20"/>
                <w:szCs w:val="20"/>
              </w:rPr>
              <w:t xml:space="preserve"> but lists no associated projects.</w:t>
            </w:r>
            <w:r w:rsidRPr="0088466A">
              <w:rPr>
                <w:rStyle w:val="FootnoteReference"/>
                <w:rFonts w:ascii="Palatino Linotype" w:hAnsi="Palatino Linotype" w:eastAsia="Palatino Linotype" w:cs="Times New Roman"/>
                <w:color w:val="000000" w:themeColor="text1"/>
                <w:sz w:val="20"/>
                <w:szCs w:val="20"/>
              </w:rPr>
              <w:footnoteReference w:id="216"/>
            </w:r>
            <w:r w:rsidRPr="0088466A">
              <w:rPr>
                <w:rFonts w:ascii="Palatino Linotype" w:hAnsi="Palatino Linotype"/>
                <w:color w:val="000000" w:themeColor="text1"/>
                <w:sz w:val="20"/>
                <w:szCs w:val="20"/>
              </w:rPr>
              <w:t xml:space="preserve"> PG&amp;E describes how it seeks to provide reliability, safety, equity, affordability, and environmental benefits through projects within each Investment Theme.</w:t>
            </w:r>
            <w:r w:rsidRPr="0088466A">
              <w:rPr>
                <w:rStyle w:val="FootnoteReference"/>
                <w:rFonts w:ascii="Palatino Linotype" w:hAnsi="Palatino Linotype"/>
                <w:color w:val="000000" w:themeColor="text1"/>
                <w:sz w:val="20"/>
                <w:szCs w:val="20"/>
              </w:rPr>
              <w:footnoteReference w:id="217"/>
            </w:r>
            <w:r w:rsidRPr="0088466A">
              <w:rPr>
                <w:rFonts w:ascii="Palatino Linotype" w:hAnsi="Palatino Linotype"/>
                <w:color w:val="000000" w:themeColor="text1"/>
                <w:sz w:val="20"/>
                <w:szCs w:val="20"/>
              </w:rPr>
              <w:t xml:space="preserve"> PG&amp;E states that representatives presented and solicited input on the proposed 2025 Plan on April 18, 2025, and describes two questions posed by the DACAG which the representatives answered verbally.</w:t>
            </w:r>
            <w:r w:rsidRPr="0088466A">
              <w:rPr>
                <w:rStyle w:val="FootnoteReference"/>
                <w:rFonts w:ascii="Palatino Linotype" w:hAnsi="Palatino Linotype"/>
                <w:color w:val="000000" w:themeColor="text1"/>
                <w:sz w:val="20"/>
                <w:szCs w:val="20"/>
              </w:rPr>
              <w:footnoteReference w:id="218"/>
            </w:r>
            <w:r w:rsidRPr="0088466A">
              <w:rPr>
                <w:rFonts w:ascii="Palatino Linotype" w:hAnsi="Palatino Linotype"/>
                <w:color w:val="000000" w:themeColor="text1"/>
                <w:sz w:val="20"/>
                <w:szCs w:val="20"/>
              </w:rPr>
              <w:t xml:space="preserve"> PG&amp;E includes information on Workshop Stakeholder Q&amp;A,</w:t>
            </w:r>
            <w:r w:rsidRPr="0088466A">
              <w:rPr>
                <w:rStyle w:val="FootnoteReference"/>
                <w:rFonts w:ascii="Palatino Linotype" w:hAnsi="Palatino Linotype"/>
                <w:color w:val="000000" w:themeColor="text1"/>
                <w:sz w:val="20"/>
                <w:szCs w:val="20"/>
              </w:rPr>
              <w:footnoteReference w:id="219"/>
            </w:r>
            <w:r w:rsidRPr="0088466A">
              <w:rPr>
                <w:rFonts w:ascii="Palatino Linotype" w:hAnsi="Palatino Linotype"/>
                <w:color w:val="000000" w:themeColor="text1"/>
                <w:sz w:val="20"/>
                <w:szCs w:val="20"/>
              </w:rPr>
              <w:t xml:space="preserve"> high-level summaries from interviews, and incorporation strategies.</w:t>
            </w:r>
            <w:r w:rsidRPr="0088466A">
              <w:rPr>
                <w:rStyle w:val="FootnoteReference"/>
                <w:rFonts w:ascii="Palatino Linotype" w:hAnsi="Palatino Linotype"/>
                <w:color w:val="000000" w:themeColor="text1"/>
                <w:sz w:val="20"/>
                <w:szCs w:val="20"/>
              </w:rPr>
              <w:footnoteReference w:id="220"/>
            </w:r>
            <w:r w:rsidRPr="0088466A">
              <w:rPr>
                <w:rFonts w:ascii="Palatino Linotype" w:hAnsi="Palatino Linotype"/>
                <w:color w:val="000000" w:themeColor="text1"/>
                <w:sz w:val="20"/>
                <w:szCs w:val="20"/>
              </w:rPr>
              <w:t xml:space="preserve"> PG&amp;E also discusses input sought and integrated from CPUC Staff prior to Plan submittal.</w:t>
            </w:r>
            <w:r w:rsidRPr="0088466A">
              <w:rPr>
                <w:rStyle w:val="FootnoteReference"/>
                <w:rFonts w:ascii="Palatino Linotype" w:hAnsi="Palatino Linotype"/>
                <w:color w:val="000000" w:themeColor="text1"/>
                <w:sz w:val="20"/>
                <w:szCs w:val="20"/>
              </w:rPr>
              <w:footnoteReference w:id="221"/>
            </w:r>
          </w:p>
          <w:p w:rsidRPr="0088466A" w:rsidR="008019CD" w:rsidRDefault="008019CD" w14:paraId="2B135F84" w14:textId="77777777">
            <w:pPr>
              <w:rPr>
                <w:rFonts w:ascii="Palatino Linotype" w:hAnsi="Palatino Linotype"/>
                <w:color w:val="000000" w:themeColor="text1"/>
                <w:sz w:val="20"/>
                <w:szCs w:val="20"/>
              </w:rPr>
            </w:pPr>
          </w:p>
          <w:p w:rsidRPr="0088466A" w:rsidR="008019CD" w:rsidP="00A157CC" w:rsidRDefault="008019CD" w14:paraId="3B9CD6DD" w14:textId="17E4DE3E">
            <w:pPr>
              <w:rPr>
                <w:rFonts w:ascii="Palatino Linotype" w:hAnsi="Palatino Linotype"/>
                <w:color w:val="000000" w:themeColor="text1"/>
                <w:sz w:val="20"/>
                <w:szCs w:val="20"/>
              </w:rPr>
            </w:pPr>
            <w:r w:rsidRPr="0088466A">
              <w:rPr>
                <w:rFonts w:ascii="Palatino Linotype" w:hAnsi="Palatino Linotype"/>
                <w:color w:val="000000" w:themeColor="text1"/>
                <w:sz w:val="20"/>
                <w:szCs w:val="20"/>
              </w:rPr>
              <w:t xml:space="preserve">PG&amp;E discusses the Initiatives within the Decarbonization theme in relation to renewable natural gas, renewable hydrogen, and synthetic </w:t>
            </w:r>
            <w:r w:rsidRPr="0088466A">
              <w:rPr>
                <w:rFonts w:ascii="Palatino Linotype" w:hAnsi="Palatino Linotype"/>
                <w:color w:val="000000" w:themeColor="text1"/>
                <w:sz w:val="20"/>
                <w:szCs w:val="20"/>
              </w:rPr>
              <w:lastRenderedPageBreak/>
              <w:t>methane, but also proposes hydrogen-specific activities.</w:t>
            </w:r>
            <w:r w:rsidRPr="0088466A">
              <w:rPr>
                <w:rStyle w:val="FootnoteReference"/>
                <w:rFonts w:ascii="Palatino Linotype" w:hAnsi="Palatino Linotype"/>
                <w:color w:val="000000" w:themeColor="text1"/>
                <w:sz w:val="20"/>
                <w:szCs w:val="20"/>
              </w:rPr>
              <w:footnoteReference w:id="222"/>
            </w:r>
          </w:p>
        </w:tc>
        <w:tc>
          <w:tcPr>
            <w:tcW w:w="4320" w:type="dxa"/>
          </w:tcPr>
          <w:p w:rsidR="003636CD" w:rsidP="38479D53" w:rsidRDefault="2F17B392" w14:paraId="7C106085" w14:textId="77777777">
            <w:pPr>
              <w:rPr>
                <w:rFonts w:ascii="Palatino Linotype" w:hAnsi="Palatino Linotype" w:eastAsia="Palatino Linotype" w:cs="Times New Roman"/>
                <w:color w:val="000000" w:themeColor="text1"/>
                <w:sz w:val="20"/>
                <w:szCs w:val="20"/>
              </w:rPr>
            </w:pPr>
            <w:r w:rsidRPr="0EAB7E9A">
              <w:rPr>
                <w:rFonts w:ascii="Palatino Linotype" w:hAnsi="Palatino Linotype" w:eastAsia="Palatino Linotype" w:cs="Palatino Linotype"/>
                <w:color w:val="0C0C0C"/>
                <w:sz w:val="20"/>
                <w:szCs w:val="20"/>
              </w:rPr>
              <w:lastRenderedPageBreak/>
              <w:t>PG&amp;E did not sufficiently provide detail on benefits from all projects or incorporate input from key stakeholders, including CPUC staff</w:t>
            </w:r>
            <w:r w:rsidRPr="29F4F096" w:rsidR="00C5410F">
              <w:rPr>
                <w:rFonts w:ascii="Palatino Linotype" w:hAnsi="Palatino Linotype"/>
                <w:color w:val="000000" w:themeColor="text1"/>
                <w:sz w:val="20"/>
                <w:szCs w:val="20"/>
              </w:rPr>
              <w:t>.</w:t>
            </w:r>
            <w:r w:rsidRPr="57D0CA65" w:rsidR="002E707C">
              <w:rPr>
                <w:rStyle w:val="FootnoteReference"/>
                <w:rFonts w:ascii="Palatino Linotype" w:hAnsi="Palatino Linotype"/>
                <w:color w:val="000000" w:themeColor="text1"/>
                <w:sz w:val="20"/>
                <w:szCs w:val="20"/>
              </w:rPr>
              <w:footnoteReference w:id="223"/>
            </w:r>
            <w:r w:rsidRPr="22BD9BE2" w:rsidR="008019CD">
              <w:rPr>
                <w:rFonts w:ascii="Palatino Linotype" w:hAnsi="Palatino Linotype"/>
                <w:color w:val="000000" w:themeColor="text1"/>
                <w:sz w:val="20"/>
                <w:szCs w:val="20"/>
              </w:rPr>
              <w:t xml:space="preserve"> </w:t>
            </w:r>
            <w:r w:rsidR="008A56F0">
              <w:rPr>
                <w:rFonts w:ascii="Palatino Linotype" w:hAnsi="Palatino Linotype"/>
                <w:color w:val="000000" w:themeColor="text1"/>
                <w:sz w:val="20"/>
                <w:szCs w:val="20"/>
              </w:rPr>
              <w:t xml:space="preserve">On the one hand, </w:t>
            </w:r>
            <w:r w:rsidRPr="0088466A" w:rsidR="008019CD">
              <w:rPr>
                <w:rFonts w:ascii="Palatino Linotype" w:hAnsi="Palatino Linotype"/>
                <w:color w:val="000000" w:themeColor="text1"/>
                <w:sz w:val="20"/>
                <w:szCs w:val="20"/>
              </w:rPr>
              <w:t xml:space="preserve">PG&amp;E </w:t>
            </w:r>
            <w:r w:rsidRPr="29F4F096" w:rsidR="1C9F34E6">
              <w:rPr>
                <w:rFonts w:ascii="Palatino Linotype" w:hAnsi="Palatino Linotype"/>
                <w:color w:val="000000" w:themeColor="text1"/>
                <w:sz w:val="20"/>
                <w:szCs w:val="20"/>
              </w:rPr>
              <w:t xml:space="preserve">provides </w:t>
            </w:r>
            <w:r w:rsidRPr="29F4F096" w:rsidR="008A56F0">
              <w:rPr>
                <w:rFonts w:ascii="Palatino Linotype" w:hAnsi="Palatino Linotype"/>
                <w:color w:val="000000" w:themeColor="text1"/>
                <w:sz w:val="20"/>
                <w:szCs w:val="20"/>
              </w:rPr>
              <w:t>sufficient</w:t>
            </w:r>
            <w:r w:rsidR="008A56F0">
              <w:rPr>
                <w:rFonts w:ascii="Palatino Linotype" w:hAnsi="Palatino Linotype"/>
                <w:color w:val="000000" w:themeColor="text1"/>
                <w:sz w:val="20"/>
                <w:szCs w:val="20"/>
              </w:rPr>
              <w:t xml:space="preserve"> </w:t>
            </w:r>
            <w:r w:rsidRPr="2F286376" w:rsidR="1BA748B5">
              <w:rPr>
                <w:rFonts w:ascii="Palatino Linotype" w:hAnsi="Palatino Linotype" w:eastAsia="Palatino Linotype" w:cs="Times New Roman"/>
                <w:color w:val="000000" w:themeColor="text1"/>
                <w:sz w:val="20"/>
                <w:szCs w:val="20"/>
              </w:rPr>
              <w:t>detail on</w:t>
            </w:r>
            <w:r w:rsidRPr="0088466A" w:rsidR="008019CD">
              <w:rPr>
                <w:rFonts w:ascii="Palatino Linotype" w:hAnsi="Palatino Linotype" w:eastAsia="Palatino Linotype" w:cs="Times New Roman"/>
                <w:color w:val="000000" w:themeColor="text1"/>
                <w:sz w:val="20"/>
                <w:szCs w:val="20"/>
              </w:rPr>
              <w:t xml:space="preserve"> </w:t>
            </w:r>
            <w:r w:rsidRPr="0088466A" w:rsidR="008019CD">
              <w:rPr>
                <w:rFonts w:ascii="Palatino Linotype" w:hAnsi="Palatino Linotype"/>
                <w:color w:val="000000" w:themeColor="text1"/>
                <w:sz w:val="20"/>
                <w:szCs w:val="20"/>
              </w:rPr>
              <w:t xml:space="preserve">technoeconomic analysis and comparison of alternatives as part of the </w:t>
            </w:r>
            <w:r w:rsidRPr="0088466A" w:rsidR="008019CD">
              <w:rPr>
                <w:rFonts w:ascii="Palatino Linotype" w:hAnsi="Palatino Linotype" w:eastAsia="Palatino Linotype" w:cs="Times New Roman"/>
                <w:color w:val="000000" w:themeColor="text1"/>
                <w:sz w:val="20"/>
                <w:szCs w:val="20"/>
              </w:rPr>
              <w:lastRenderedPageBreak/>
              <w:t>Proac</w:t>
            </w:r>
            <w:r w:rsidRPr="0088466A" w:rsidR="008019CD">
              <w:rPr>
                <w:rFonts w:ascii="Palatino Linotype" w:hAnsi="Palatino Linotype" w:eastAsia="Palatino Linotype" w:cs="Palatino Linotype"/>
                <w:color w:val="000000" w:themeColor="text1"/>
                <w:sz w:val="20"/>
                <w:szCs w:val="20"/>
              </w:rPr>
              <w:t>ti</w:t>
            </w:r>
            <w:r w:rsidRPr="0088466A" w:rsidR="008019CD">
              <w:rPr>
                <w:rFonts w:ascii="Palatino Linotype" w:hAnsi="Palatino Linotype" w:eastAsia="Palatino Linotype" w:cs="Times New Roman"/>
                <w:color w:val="000000" w:themeColor="text1"/>
                <w:sz w:val="20"/>
                <w:szCs w:val="20"/>
              </w:rPr>
              <w:t>ve Geohazard Risk Management Initiative</w:t>
            </w:r>
            <w:r w:rsidRPr="0088466A" w:rsidR="008019CD">
              <w:rPr>
                <w:rStyle w:val="FootnoteReference"/>
                <w:rFonts w:ascii="Palatino Linotype" w:hAnsi="Palatino Linotype" w:eastAsia="Palatino Linotype" w:cs="Times New Roman"/>
                <w:color w:val="000000" w:themeColor="text1"/>
                <w:sz w:val="20"/>
                <w:szCs w:val="20"/>
              </w:rPr>
              <w:footnoteReference w:id="224"/>
            </w:r>
            <w:r w:rsidRPr="0088466A" w:rsidR="008019CD">
              <w:rPr>
                <w:rFonts w:ascii="Palatino Linotype" w:hAnsi="Palatino Linotype" w:eastAsia="Palatino Linotype" w:cs="Times New Roman"/>
                <w:color w:val="000000" w:themeColor="text1"/>
                <w:sz w:val="20"/>
                <w:szCs w:val="20"/>
              </w:rPr>
              <w:t xml:space="preserve"> </w:t>
            </w:r>
            <w:r w:rsidRPr="6857E7C4" w:rsidR="34BB19C0">
              <w:rPr>
                <w:rFonts w:ascii="Palatino Linotype" w:hAnsi="Palatino Linotype" w:eastAsia="Palatino Linotype" w:cs="Times New Roman"/>
                <w:color w:val="000000" w:themeColor="text1"/>
                <w:sz w:val="20"/>
                <w:szCs w:val="20"/>
              </w:rPr>
              <w:t xml:space="preserve">as </w:t>
            </w:r>
            <w:r w:rsidRPr="41E12A19" w:rsidR="34BB19C0">
              <w:rPr>
                <w:rFonts w:ascii="Palatino Linotype" w:hAnsi="Palatino Linotype" w:eastAsia="Palatino Linotype" w:cs="Times New Roman"/>
                <w:color w:val="000000" w:themeColor="text1"/>
                <w:sz w:val="20"/>
                <w:szCs w:val="20"/>
              </w:rPr>
              <w:t xml:space="preserve">well as </w:t>
            </w:r>
            <w:r w:rsidRPr="0088466A" w:rsidR="008019CD">
              <w:rPr>
                <w:rFonts w:ascii="Palatino Linotype" w:hAnsi="Palatino Linotype"/>
                <w:color w:val="000000" w:themeColor="text1"/>
                <w:sz w:val="20"/>
                <w:szCs w:val="20"/>
              </w:rPr>
              <w:t xml:space="preserve">on the priority technologies under the </w:t>
            </w:r>
            <w:r w:rsidRPr="0088466A" w:rsidR="008019CD">
              <w:rPr>
                <w:rFonts w:ascii="Palatino Linotype" w:hAnsi="Palatino Linotype" w:eastAsia="Palatino Linotype" w:cs="Times New Roman"/>
                <w:color w:val="000000" w:themeColor="text1"/>
                <w:sz w:val="20"/>
                <w:szCs w:val="20"/>
              </w:rPr>
              <w:t>Innovative and Cost-Effective Integrity Management Initiative.</w:t>
            </w:r>
            <w:r w:rsidRPr="0088466A" w:rsidR="008019CD">
              <w:rPr>
                <w:rStyle w:val="FootnoteReference"/>
                <w:rFonts w:ascii="Palatino Linotype" w:hAnsi="Palatino Linotype" w:eastAsia="Palatino Linotype" w:cs="Times New Roman"/>
                <w:color w:val="000000" w:themeColor="text1"/>
                <w:sz w:val="20"/>
                <w:szCs w:val="20"/>
              </w:rPr>
              <w:footnoteReference w:id="225"/>
            </w:r>
            <w:r w:rsidRPr="0088466A" w:rsidR="008019CD">
              <w:rPr>
                <w:rFonts w:ascii="Palatino Linotype" w:hAnsi="Palatino Linotype" w:eastAsia="Palatino Linotype" w:cs="Times New Roman"/>
                <w:color w:val="000000" w:themeColor="text1"/>
                <w:sz w:val="20"/>
                <w:szCs w:val="20"/>
              </w:rPr>
              <w:t xml:space="preserve"> </w:t>
            </w:r>
          </w:p>
          <w:p w:rsidR="003636CD" w:rsidP="38479D53" w:rsidRDefault="003636CD" w14:paraId="795AA007" w14:textId="77777777">
            <w:pPr>
              <w:rPr>
                <w:rFonts w:ascii="Palatino Linotype" w:hAnsi="Palatino Linotype" w:eastAsia="Palatino Linotype" w:cs="Times New Roman"/>
                <w:sz w:val="20"/>
                <w:szCs w:val="20"/>
              </w:rPr>
            </w:pPr>
          </w:p>
          <w:p w:rsidRPr="0088466A" w:rsidR="008019CD" w:rsidP="00A157CC" w:rsidRDefault="418DC353" w14:paraId="7ED5B6AF" w14:textId="4A7F5CC4">
            <w:pPr>
              <w:rPr>
                <w:rFonts w:ascii="Palatino Linotype" w:hAnsi="Palatino Linotype"/>
                <w:b/>
                <w:bCs w:val="0"/>
                <w:color w:val="000000" w:themeColor="text1"/>
                <w:sz w:val="20"/>
                <w:szCs w:val="20"/>
              </w:rPr>
            </w:pPr>
            <w:r w:rsidRPr="51B8B7FF">
              <w:rPr>
                <w:rFonts w:ascii="Palatino Linotype" w:hAnsi="Palatino Linotype" w:eastAsia="Palatino Linotype" w:cs="Palatino Linotype"/>
                <w:sz w:val="20"/>
                <w:szCs w:val="20"/>
              </w:rPr>
              <w:t>On the other hand</w:t>
            </w:r>
            <w:r w:rsidRPr="51B8B7FF">
              <w:rPr>
                <w:rFonts w:ascii="Palatino Linotype" w:hAnsi="Palatino Linotype" w:eastAsia="Palatino Linotype" w:cs="Palatino Linotype"/>
                <w:color w:val="000000" w:themeColor="text1"/>
                <w:sz w:val="20"/>
                <w:szCs w:val="20"/>
              </w:rPr>
              <w:t xml:space="preserve">, PG&amp;E does not justify investment in hydrogen-related RD&amp;D by demonstrating alignment with CPUC proceedings. </w:t>
            </w:r>
            <w:r w:rsidRPr="51B8B7FF">
              <w:rPr>
                <w:rFonts w:ascii="Palatino Linotype" w:hAnsi="Palatino Linotype" w:eastAsia="Palatino Linotype" w:cs="Palatino Linotype"/>
                <w:sz w:val="20"/>
                <w:szCs w:val="20"/>
              </w:rPr>
              <w:t xml:space="preserve">The Commission has not provided guidance on the appropriate role of gas ratepayers in funding hydrogen RD&amp;D, particularly as these projects would have further implications for ratepayer funding, including in future Gas RD&amp;D Plans. </w:t>
            </w:r>
            <w:r w:rsidRPr="1CDD0823">
              <w:rPr>
                <w:rFonts w:ascii="Palatino Linotype" w:hAnsi="Palatino Linotype" w:eastAsia="Palatino Linotype" w:cs="Palatino Linotype"/>
                <w:sz w:val="20"/>
                <w:szCs w:val="20"/>
              </w:rPr>
              <w:t>Instead, the Commission has provided guidance that making renewable natural gas</w:t>
            </w:r>
            <w:r w:rsidRPr="6E4B8C34">
              <w:rPr>
                <w:rFonts w:ascii="Palatino Linotype" w:hAnsi="Palatino Linotype" w:eastAsia="Palatino Linotype" w:cs="Palatino Linotype"/>
                <w:sz w:val="20"/>
                <w:szCs w:val="20"/>
              </w:rPr>
              <w:t xml:space="preserve"> </w:t>
            </w:r>
            <w:r w:rsidRPr="4291F8EE">
              <w:rPr>
                <w:rFonts w:ascii="Palatino Linotype" w:hAnsi="Palatino Linotype" w:eastAsia="Palatino Linotype" w:cs="Palatino Linotype"/>
                <w:sz w:val="20"/>
                <w:szCs w:val="20"/>
              </w:rPr>
              <w:t>(RNG)</w:t>
            </w:r>
            <w:r w:rsidRPr="51F27FCA" w:rsidR="008019CD">
              <w:rPr>
                <w:rStyle w:val="FootnoteReference"/>
                <w:rFonts w:ascii="Palatino Linotype" w:hAnsi="Palatino Linotype" w:eastAsia="Palatino Linotype" w:cs="Palatino Linotype"/>
                <w:sz w:val="20"/>
                <w:szCs w:val="20"/>
              </w:rPr>
              <w:footnoteReference w:id="226"/>
            </w:r>
            <w:r w:rsidRPr="4291F8EE">
              <w:rPr>
                <w:rFonts w:ascii="Palatino Linotype" w:hAnsi="Palatino Linotype" w:eastAsia="Palatino Linotype" w:cs="Palatino Linotype"/>
                <w:sz w:val="20"/>
                <w:szCs w:val="20"/>
              </w:rPr>
              <w:t xml:space="preserve"> </w:t>
            </w:r>
            <w:r w:rsidRPr="1E0B0081">
              <w:rPr>
                <w:rFonts w:ascii="Palatino Linotype" w:hAnsi="Palatino Linotype" w:eastAsia="Palatino Linotype" w:cs="Palatino Linotype"/>
                <w:sz w:val="20"/>
                <w:szCs w:val="20"/>
              </w:rPr>
              <w:t>more affordable for ratepayers is a priority.</w:t>
            </w:r>
            <w:r w:rsidR="006E799A">
              <w:rPr>
                <w:rFonts w:ascii="Palatino Linotype" w:hAnsi="Palatino Linotype"/>
                <w:b/>
                <w:bCs w:val="0"/>
                <w:color w:val="000000" w:themeColor="text1"/>
                <w:sz w:val="20"/>
                <w:szCs w:val="20"/>
              </w:rPr>
              <w:t xml:space="preserve"> </w:t>
            </w:r>
            <w:r w:rsidRPr="0088466A" w:rsidR="008019CD">
              <w:rPr>
                <w:rFonts w:ascii="Palatino Linotype" w:hAnsi="Palatino Linotype"/>
                <w:b/>
                <w:bCs w:val="0"/>
                <w:color w:val="000000" w:themeColor="text1"/>
                <w:sz w:val="20"/>
                <w:szCs w:val="20"/>
              </w:rPr>
              <w:t xml:space="preserve">PG&amp;E is not compliant with this requirement. </w:t>
            </w:r>
          </w:p>
        </w:tc>
      </w:tr>
      <w:tr w:rsidR="00534A20" w:rsidTr="00534A20" w14:paraId="11E4B10E" w14:textId="77777777">
        <w:tc>
          <w:tcPr>
            <w:tcW w:w="3865" w:type="dxa"/>
          </w:tcPr>
          <w:p w:rsidRPr="00F36153" w:rsidR="008019CD" w:rsidRDefault="008019CD" w14:paraId="6EC2E4CD" w14:textId="77777777">
            <w:pPr>
              <w:rPr>
                <w:rFonts w:ascii="Palatino Linotype" w:hAnsi="Palatino Linotype"/>
                <w:i/>
                <w:iCs/>
                <w:sz w:val="20"/>
                <w:szCs w:val="20"/>
              </w:rPr>
            </w:pPr>
            <w:r>
              <w:rPr>
                <w:rFonts w:ascii="Palatino Linotype" w:hAnsi="Palatino Linotype"/>
                <w:i/>
                <w:iCs/>
                <w:sz w:val="20"/>
                <w:szCs w:val="20"/>
              </w:rPr>
              <w:lastRenderedPageBreak/>
              <w:t xml:space="preserve">(2) </w:t>
            </w:r>
            <w:r w:rsidRPr="00347453">
              <w:rPr>
                <w:rFonts w:ascii="Palatino Linotype" w:hAnsi="Palatino Linotype"/>
                <w:i/>
                <w:iCs/>
                <w:sz w:val="20"/>
                <w:szCs w:val="20"/>
              </w:rPr>
              <w:t>The annual research plan should include a proposed</w:t>
            </w:r>
            <w:r w:rsidRPr="00FB1ACE">
              <w:rPr>
                <w:rFonts w:ascii="Palatino Linotype" w:hAnsi="Palatino Linotype"/>
                <w:i/>
                <w:iCs/>
                <w:sz w:val="20"/>
                <w:szCs w:val="20"/>
              </w:rPr>
              <w:t xml:space="preserve"> benefits analysis framework, created in consultation with Energy Division staff. This framework should provide </w:t>
            </w:r>
            <w:r w:rsidRPr="00347453">
              <w:rPr>
                <w:rFonts w:ascii="Palatino Linotype" w:hAnsi="Palatino Linotype"/>
                <w:i/>
                <w:iCs/>
                <w:sz w:val="20"/>
                <w:szCs w:val="20"/>
              </w:rPr>
              <w:t>sufficient quantitative estimates of potential safety,</w:t>
            </w:r>
            <w:r w:rsidRPr="00FB1ACE">
              <w:rPr>
                <w:rFonts w:ascii="Palatino Linotype" w:hAnsi="Palatino Linotype"/>
                <w:i/>
                <w:iCs/>
                <w:sz w:val="20"/>
                <w:szCs w:val="20"/>
              </w:rPr>
              <w:t xml:space="preserve"> </w:t>
            </w:r>
            <w:r w:rsidRPr="00347453">
              <w:rPr>
                <w:rFonts w:ascii="Palatino Linotype" w:hAnsi="Palatino Linotype"/>
                <w:i/>
                <w:iCs/>
                <w:sz w:val="20"/>
                <w:szCs w:val="20"/>
              </w:rPr>
              <w:t>reliability, operational efficiency, improved</w:t>
            </w:r>
            <w:r w:rsidRPr="00FB1ACE">
              <w:rPr>
                <w:rFonts w:ascii="Palatino Linotype" w:hAnsi="Palatino Linotype"/>
                <w:i/>
                <w:iCs/>
                <w:sz w:val="20"/>
                <w:szCs w:val="20"/>
              </w:rPr>
              <w:t xml:space="preserve"> </w:t>
            </w:r>
            <w:r w:rsidRPr="00347453">
              <w:rPr>
                <w:rFonts w:ascii="Palatino Linotype" w:hAnsi="Palatino Linotype"/>
                <w:i/>
                <w:iCs/>
                <w:sz w:val="20"/>
                <w:szCs w:val="20"/>
              </w:rPr>
              <w:t>affordability,</w:t>
            </w:r>
            <w:r w:rsidRPr="00FB1ACE">
              <w:rPr>
                <w:rFonts w:ascii="Palatino Linotype" w:hAnsi="Palatino Linotype"/>
                <w:i/>
                <w:iCs/>
                <w:sz w:val="20"/>
                <w:szCs w:val="20"/>
              </w:rPr>
              <w:t xml:space="preserve"> </w:t>
            </w:r>
            <w:r w:rsidRPr="00347453">
              <w:rPr>
                <w:rFonts w:ascii="Palatino Linotype" w:hAnsi="Palatino Linotype"/>
                <w:i/>
                <w:iCs/>
                <w:sz w:val="20"/>
                <w:szCs w:val="20"/>
              </w:rPr>
              <w:t>environmental-related benefits, benefits to underserved</w:t>
            </w:r>
            <w:r>
              <w:rPr>
                <w:rFonts w:ascii="Palatino Linotype" w:hAnsi="Palatino Linotype"/>
                <w:i/>
                <w:iCs/>
                <w:sz w:val="20"/>
                <w:szCs w:val="20"/>
              </w:rPr>
              <w:t xml:space="preserve"> </w:t>
            </w:r>
            <w:r w:rsidRPr="00347453">
              <w:rPr>
                <w:rFonts w:ascii="Palatino Linotype" w:hAnsi="Palatino Linotype"/>
                <w:i/>
                <w:iCs/>
                <w:sz w:val="20"/>
                <w:szCs w:val="20"/>
              </w:rPr>
              <w:t>communities, and numeric targets or a specified numeric</w:t>
            </w:r>
            <w:r w:rsidRPr="00FB1ACE">
              <w:rPr>
                <w:rFonts w:ascii="Palatino Linotype" w:hAnsi="Palatino Linotype"/>
                <w:i/>
                <w:iCs/>
                <w:sz w:val="20"/>
                <w:szCs w:val="20"/>
              </w:rPr>
              <w:t xml:space="preserve"> range of potential benefits for projects</w:t>
            </w:r>
            <w:r>
              <w:rPr>
                <w:rFonts w:ascii="Palatino Linotype" w:hAnsi="Palatino Linotype"/>
                <w:i/>
                <w:iCs/>
                <w:sz w:val="20"/>
                <w:szCs w:val="20"/>
              </w:rPr>
              <w:t>.</w:t>
            </w:r>
            <w:r>
              <w:rPr>
                <w:rStyle w:val="FootnoteReference"/>
                <w:rFonts w:ascii="Palatino Linotype" w:hAnsi="Palatino Linotype"/>
                <w:i/>
                <w:iCs/>
                <w:sz w:val="20"/>
                <w:szCs w:val="20"/>
              </w:rPr>
              <w:t xml:space="preserve"> </w:t>
            </w:r>
            <w:r>
              <w:rPr>
                <w:rStyle w:val="FootnoteReference"/>
                <w:rFonts w:ascii="Palatino Linotype" w:hAnsi="Palatino Linotype"/>
                <w:i/>
                <w:iCs/>
                <w:sz w:val="20"/>
                <w:szCs w:val="20"/>
              </w:rPr>
              <w:footnoteReference w:id="227"/>
            </w:r>
          </w:p>
        </w:tc>
        <w:tc>
          <w:tcPr>
            <w:tcW w:w="4770" w:type="dxa"/>
          </w:tcPr>
          <w:p w:rsidR="008019CD" w:rsidRDefault="008019CD" w14:paraId="45D07AEB" w14:textId="10B0D803">
            <w:pPr>
              <w:rPr>
                <w:rFonts w:ascii="Palatino Linotype" w:hAnsi="Palatino Linotype"/>
                <w:color w:val="0070C0"/>
                <w:sz w:val="20"/>
                <w:szCs w:val="20"/>
              </w:rPr>
            </w:pPr>
            <w:r w:rsidRPr="00BA05FC">
              <w:rPr>
                <w:rFonts w:ascii="Palatino Linotype" w:hAnsi="Palatino Linotype"/>
                <w:sz w:val="20"/>
                <w:szCs w:val="20"/>
              </w:rPr>
              <w:t>PG&amp;E proposes a framework with suggested metrics related to reliability; safety; equity; operational efficiency and improved affordability; reduced GHG emissions; improved air quality; effectiveness of information sharing; adoption of Gas RD&amp;D technology; technology development progress; and informed industry and/or company standards</w:t>
            </w:r>
            <w:r>
              <w:rPr>
                <w:rFonts w:ascii="Palatino Linotype" w:hAnsi="Palatino Linotype"/>
                <w:sz w:val="20"/>
                <w:szCs w:val="20"/>
              </w:rPr>
              <w:t>.</w:t>
            </w:r>
            <w:r>
              <w:rPr>
                <w:rStyle w:val="FootnoteReference"/>
                <w:rFonts w:ascii="Palatino Linotype" w:hAnsi="Palatino Linotype"/>
                <w:sz w:val="20"/>
                <w:szCs w:val="20"/>
              </w:rPr>
              <w:footnoteReference w:id="228"/>
            </w:r>
            <w:r w:rsidRPr="00BA05FC">
              <w:rPr>
                <w:rFonts w:ascii="Palatino Linotype" w:hAnsi="Palatino Linotype"/>
                <w:sz w:val="20"/>
                <w:szCs w:val="20"/>
              </w:rPr>
              <w:t xml:space="preserve"> </w:t>
            </w:r>
            <w:r w:rsidRPr="00DB4534">
              <w:rPr>
                <w:rFonts w:ascii="Palatino Linotype" w:hAnsi="Palatino Linotype" w:eastAsia="Palatino Linotype" w:cs="Times New Roman"/>
                <w:color w:val="000000" w:themeColor="text1"/>
                <w:sz w:val="20"/>
                <w:szCs w:val="20"/>
              </w:rPr>
              <w:t>PG&amp;E describes intended benefits from the Gas System Integrity</w:t>
            </w:r>
            <w:r w:rsidRPr="00DB4534">
              <w:rPr>
                <w:rStyle w:val="FootnoteReference"/>
                <w:rFonts w:ascii="Palatino Linotype" w:hAnsi="Palatino Linotype" w:eastAsia="Palatino Linotype" w:cs="Times New Roman"/>
                <w:color w:val="000000" w:themeColor="text1"/>
                <w:sz w:val="20"/>
                <w:szCs w:val="20"/>
              </w:rPr>
              <w:footnoteReference w:id="229"/>
            </w:r>
            <w:r w:rsidRPr="00DB4534">
              <w:rPr>
                <w:rFonts w:ascii="Palatino Linotype" w:hAnsi="Palatino Linotype" w:eastAsia="Palatino Linotype" w:cs="Times New Roman"/>
                <w:color w:val="000000" w:themeColor="text1"/>
                <w:sz w:val="20"/>
                <w:szCs w:val="20"/>
              </w:rPr>
              <w:t xml:space="preserve"> and Decarbonization</w:t>
            </w:r>
            <w:r>
              <w:rPr>
                <w:rFonts w:ascii="Palatino Linotype" w:hAnsi="Palatino Linotype" w:eastAsia="Palatino Linotype" w:cs="Times New Roman"/>
                <w:color w:val="000000" w:themeColor="text1"/>
                <w:sz w:val="20"/>
                <w:szCs w:val="20"/>
              </w:rPr>
              <w:t xml:space="preserve"> </w:t>
            </w:r>
            <w:r w:rsidRPr="00DB4534">
              <w:rPr>
                <w:rFonts w:ascii="Palatino Linotype" w:hAnsi="Palatino Linotype" w:eastAsia="Palatino Linotype" w:cs="Times New Roman"/>
                <w:color w:val="000000" w:themeColor="text1"/>
                <w:sz w:val="20"/>
                <w:szCs w:val="20"/>
              </w:rPr>
              <w:t>Themes,</w:t>
            </w:r>
            <w:r w:rsidRPr="00DB4534">
              <w:rPr>
                <w:rStyle w:val="FootnoteReference"/>
                <w:rFonts w:ascii="Palatino Linotype" w:hAnsi="Palatino Linotype" w:eastAsia="Palatino Linotype" w:cs="Times New Roman"/>
                <w:color w:val="000000" w:themeColor="text1"/>
                <w:sz w:val="20"/>
                <w:szCs w:val="20"/>
              </w:rPr>
              <w:footnoteReference w:id="230"/>
            </w:r>
            <w:r w:rsidRPr="00DB4534">
              <w:rPr>
                <w:rFonts w:ascii="Palatino Linotype" w:hAnsi="Palatino Linotype" w:eastAsia="Palatino Linotype" w:cs="Times New Roman"/>
                <w:color w:val="000000" w:themeColor="text1"/>
                <w:sz w:val="20"/>
                <w:szCs w:val="20"/>
              </w:rPr>
              <w:t xml:space="preserve"> </w:t>
            </w:r>
            <w:r w:rsidRPr="009C669F">
              <w:rPr>
                <w:rFonts w:ascii="Palatino Linotype" w:hAnsi="Palatino Linotype" w:eastAsia="Palatino Linotype" w:cs="Times New Roman"/>
                <w:color w:val="000000" w:themeColor="text1"/>
                <w:sz w:val="20"/>
                <w:szCs w:val="20"/>
              </w:rPr>
              <w:t>as well as specific metrics for assessing ratepayer benefits at the Initiative level.</w:t>
            </w:r>
            <w:r w:rsidRPr="009C669F">
              <w:rPr>
                <w:rStyle w:val="FootnoteReference"/>
                <w:rFonts w:ascii="Palatino Linotype" w:hAnsi="Palatino Linotype" w:eastAsia="Palatino Linotype" w:cs="Times New Roman"/>
                <w:color w:val="000000" w:themeColor="text1"/>
                <w:sz w:val="20"/>
                <w:szCs w:val="20"/>
              </w:rPr>
              <w:footnoteReference w:id="231"/>
            </w:r>
            <w:r>
              <w:rPr>
                <w:rFonts w:ascii="Palatino Linotype" w:hAnsi="Palatino Linotype" w:eastAsia="Palatino Linotype" w:cs="Times New Roman"/>
                <w:color w:val="000000" w:themeColor="text1"/>
                <w:sz w:val="20"/>
                <w:szCs w:val="20"/>
              </w:rPr>
              <w:t xml:space="preserve"> </w:t>
            </w:r>
            <w:r w:rsidRPr="00BA05FC">
              <w:rPr>
                <w:rFonts w:ascii="Palatino Linotype" w:hAnsi="Palatino Linotype"/>
                <w:sz w:val="20"/>
                <w:szCs w:val="20"/>
              </w:rPr>
              <w:t>PG&amp;E</w:t>
            </w:r>
            <w:r>
              <w:rPr>
                <w:rFonts w:ascii="Palatino Linotype" w:hAnsi="Palatino Linotype"/>
                <w:sz w:val="20"/>
                <w:szCs w:val="20"/>
              </w:rPr>
              <w:t xml:space="preserve"> describes plans </w:t>
            </w:r>
            <w:r w:rsidRPr="00BA05FC">
              <w:rPr>
                <w:rFonts w:ascii="Palatino Linotype" w:hAnsi="Palatino Linotype"/>
                <w:sz w:val="20"/>
                <w:szCs w:val="20"/>
              </w:rPr>
              <w:t xml:space="preserve">to select metrics appropriate for specific project scopes and stated objectives and intermittently assessing </w:t>
            </w:r>
            <w:r w:rsidRPr="00BA05FC">
              <w:rPr>
                <w:rFonts w:ascii="Palatino Linotype" w:hAnsi="Palatino Linotype"/>
                <w:sz w:val="20"/>
                <w:szCs w:val="20"/>
              </w:rPr>
              <w:lastRenderedPageBreak/>
              <w:t>progress towards the intended goals by measuring the selected metrics</w:t>
            </w:r>
            <w:r>
              <w:rPr>
                <w:rFonts w:ascii="Palatino Linotype" w:hAnsi="Palatino Linotype"/>
                <w:sz w:val="20"/>
                <w:szCs w:val="20"/>
              </w:rPr>
              <w:t xml:space="preserve"> if appropriate</w:t>
            </w:r>
            <w:r w:rsidRPr="00BA05FC">
              <w:rPr>
                <w:rFonts w:ascii="Palatino Linotype" w:hAnsi="Palatino Linotype"/>
                <w:sz w:val="20"/>
                <w:szCs w:val="20"/>
              </w:rPr>
              <w:t>.</w:t>
            </w:r>
            <w:r>
              <w:rPr>
                <w:rStyle w:val="FootnoteReference"/>
                <w:rFonts w:ascii="Palatino Linotype" w:hAnsi="Palatino Linotype"/>
                <w:sz w:val="20"/>
                <w:szCs w:val="20"/>
              </w:rPr>
              <w:footnoteReference w:id="232"/>
            </w:r>
            <w:r w:rsidRPr="00BA05FC">
              <w:rPr>
                <w:rFonts w:ascii="Palatino Linotype" w:hAnsi="Palatino Linotype"/>
                <w:sz w:val="20"/>
                <w:szCs w:val="20"/>
              </w:rPr>
              <w:t xml:space="preserve"> </w:t>
            </w:r>
            <w:r w:rsidRPr="00164C5A">
              <w:rPr>
                <w:rFonts w:ascii="Palatino Linotype" w:hAnsi="Palatino Linotype" w:eastAsia="Palatino Linotype" w:cs="Times New Roman"/>
                <w:color w:val="000000" w:themeColor="text1"/>
                <w:sz w:val="20"/>
                <w:szCs w:val="20"/>
              </w:rPr>
              <w:t>PG&amp;E also describes savings estimate methodology</w:t>
            </w:r>
            <w:r w:rsidRPr="00164C5A">
              <w:rPr>
                <w:rFonts w:ascii="Palatino Linotype" w:hAnsi="Palatino Linotype"/>
                <w:color w:val="000000" w:themeColor="text1"/>
                <w:sz w:val="20"/>
                <w:szCs w:val="20"/>
              </w:rPr>
              <w:t xml:space="preserve"> regarding the savings obtainable through RD&amp;D projects</w:t>
            </w:r>
            <w:r w:rsidRPr="00164C5A">
              <w:rPr>
                <w:rFonts w:ascii="Palatino Linotype" w:hAnsi="Palatino Linotype" w:eastAsia="Palatino Linotype" w:cs="Times New Roman"/>
                <w:color w:val="000000" w:themeColor="text1"/>
                <w:sz w:val="20"/>
                <w:szCs w:val="20"/>
              </w:rPr>
              <w:t xml:space="preserve">, including </w:t>
            </w:r>
            <w:r w:rsidRPr="00164C5A">
              <w:rPr>
                <w:rFonts w:ascii="Palatino Linotype" w:hAnsi="Palatino Linotype"/>
                <w:color w:val="000000" w:themeColor="text1"/>
                <w:sz w:val="20"/>
                <w:szCs w:val="20"/>
              </w:rPr>
              <w:t>Total Addressable Market (TAM); Serviceable Addressable Market (SAM); and Serviceable Obtainable Market (SOM) metrics, for use in the interim and to be adjusted upon the uniform impacts assessment framework being finalized.</w:t>
            </w:r>
            <w:r w:rsidRPr="00164C5A">
              <w:rPr>
                <w:rStyle w:val="FootnoteReference"/>
                <w:rFonts w:ascii="Palatino Linotype" w:hAnsi="Palatino Linotype"/>
                <w:color w:val="000000" w:themeColor="text1"/>
                <w:sz w:val="20"/>
                <w:szCs w:val="20"/>
              </w:rPr>
              <w:footnoteReference w:id="233"/>
            </w:r>
            <w:r w:rsidRPr="00164C5A">
              <w:rPr>
                <w:rFonts w:ascii="Palatino Linotype" w:hAnsi="Palatino Linotype"/>
                <w:color w:val="000000" w:themeColor="text1"/>
                <w:sz w:val="20"/>
                <w:szCs w:val="20"/>
              </w:rPr>
              <w:t xml:space="preserve"> </w:t>
            </w:r>
            <w:r w:rsidRPr="00164C5A" w:rsidR="00394E82">
              <w:rPr>
                <w:rFonts w:ascii="Palatino Linotype" w:hAnsi="Palatino Linotype"/>
                <w:color w:val="000000" w:themeColor="text1"/>
                <w:sz w:val="20"/>
                <w:szCs w:val="20"/>
              </w:rPr>
              <w:t>The Initiatives proposed in PG&amp;E’s 2025 Plan are not differentiated from those proposed in PG&amp;E’s 2024 Plan.</w:t>
            </w:r>
          </w:p>
          <w:p w:rsidR="008019CD" w:rsidRDefault="008019CD" w14:paraId="6A085951" w14:textId="77777777">
            <w:pPr>
              <w:rPr>
                <w:rFonts w:ascii="Palatino Linotype" w:hAnsi="Palatino Linotype"/>
                <w:color w:val="0070C0"/>
                <w:sz w:val="20"/>
                <w:szCs w:val="20"/>
              </w:rPr>
            </w:pPr>
          </w:p>
          <w:p w:rsidR="008019CD" w:rsidRDefault="008019CD" w14:paraId="5D57715C" w14:textId="77777777">
            <w:pPr>
              <w:rPr>
                <w:rFonts w:ascii="Palatino Linotype" w:hAnsi="Palatino Linotype"/>
                <w:color w:val="000000" w:themeColor="text1"/>
                <w:sz w:val="20"/>
                <w:szCs w:val="20"/>
              </w:rPr>
            </w:pPr>
            <w:r w:rsidRPr="008171B0">
              <w:rPr>
                <w:rFonts w:ascii="Palatino Linotype" w:hAnsi="Palatino Linotype" w:eastAsia="Palatino Linotype" w:cs="Times New Roman"/>
                <w:color w:val="000000" w:themeColor="text1"/>
                <w:sz w:val="20"/>
                <w:szCs w:val="20"/>
              </w:rPr>
              <w:t>Regarding the Emission Reduction Activities and Refined Reporting Initiative, PG&amp;E states that “[m]uch of PG&amp;E’s current reporting still relies on generalized, population based emission factors, which can obscure the company’s actual performance and hinder its ability to demonstrate</w:t>
            </w:r>
            <w:r>
              <w:rPr>
                <w:rFonts w:ascii="Palatino Linotype" w:hAnsi="Palatino Linotype" w:eastAsia="Palatino Linotype" w:cs="Times New Roman"/>
                <w:color w:val="000000" w:themeColor="text1"/>
                <w:sz w:val="20"/>
                <w:szCs w:val="20"/>
              </w:rPr>
              <w:t xml:space="preserve"> </w:t>
            </w:r>
            <w:r w:rsidRPr="008171B0">
              <w:rPr>
                <w:rFonts w:ascii="Palatino Linotype" w:hAnsi="Palatino Linotype" w:eastAsia="Palatino Linotype" w:cs="Times New Roman"/>
                <w:color w:val="000000" w:themeColor="text1"/>
                <w:sz w:val="20"/>
                <w:szCs w:val="20"/>
              </w:rPr>
              <w:t>the impact of its emissions reduction programs… [and meet] internal and regulatory emission reduction goals.”</w:t>
            </w:r>
            <w:r>
              <w:rPr>
                <w:rStyle w:val="FootnoteReference"/>
                <w:rFonts w:ascii="Palatino Linotype" w:hAnsi="Palatino Linotype" w:eastAsia="Palatino Linotype" w:cs="Times New Roman"/>
                <w:color w:val="000000" w:themeColor="text1"/>
                <w:sz w:val="20"/>
                <w:szCs w:val="20"/>
              </w:rPr>
              <w:footnoteReference w:id="234"/>
            </w:r>
            <w:r w:rsidRPr="000C17B7">
              <w:rPr>
                <w:rFonts w:ascii="Palatino Linotype" w:hAnsi="Palatino Linotype"/>
                <w:color w:val="000000" w:themeColor="text1"/>
                <w:sz w:val="20"/>
                <w:szCs w:val="20"/>
              </w:rPr>
              <w:t xml:space="preserve"> </w:t>
            </w:r>
          </w:p>
          <w:p w:rsidR="008019CD" w:rsidRDefault="008019CD" w14:paraId="7EA4B6B4" w14:textId="77777777">
            <w:pPr>
              <w:rPr>
                <w:rFonts w:ascii="Palatino Linotype" w:hAnsi="Palatino Linotype"/>
                <w:color w:val="000000" w:themeColor="text1"/>
                <w:sz w:val="20"/>
                <w:szCs w:val="20"/>
              </w:rPr>
            </w:pPr>
          </w:p>
          <w:p w:rsidRPr="00AE23BC" w:rsidR="008019CD" w:rsidRDefault="008019CD" w14:paraId="100200E5" w14:textId="249E29AA">
            <w:pPr>
              <w:rPr>
                <w:rFonts w:ascii="Palatino Linotype" w:hAnsi="Palatino Linotype"/>
                <w:sz w:val="20"/>
                <w:szCs w:val="20"/>
              </w:rPr>
            </w:pPr>
            <w:r w:rsidRPr="000C17B7">
              <w:rPr>
                <w:rFonts w:ascii="Palatino Linotype" w:hAnsi="Palatino Linotype"/>
                <w:color w:val="000000" w:themeColor="text1"/>
                <w:sz w:val="20"/>
                <w:szCs w:val="20"/>
              </w:rPr>
              <w:lastRenderedPageBreak/>
              <w:t>PG&amp;E states in its assumptions that “</w:t>
            </w:r>
            <w:r>
              <w:rPr>
                <w:rFonts w:ascii="Palatino Linotype" w:hAnsi="Palatino Linotype"/>
                <w:color w:val="000000" w:themeColor="text1"/>
                <w:sz w:val="20"/>
                <w:szCs w:val="20"/>
              </w:rPr>
              <w:t>[</w:t>
            </w:r>
            <w:r w:rsidRPr="000C17B7">
              <w:rPr>
                <w:rFonts w:ascii="Palatino Linotype" w:hAnsi="Palatino Linotype"/>
                <w:color w:val="000000" w:themeColor="text1"/>
                <w:sz w:val="20"/>
                <w:szCs w:val="20"/>
              </w:rPr>
              <w:t>n</w:t>
            </w:r>
            <w:r>
              <w:rPr>
                <w:rFonts w:ascii="Palatino Linotype" w:hAnsi="Palatino Linotype"/>
                <w:color w:val="000000" w:themeColor="text1"/>
                <w:sz w:val="20"/>
                <w:szCs w:val="20"/>
              </w:rPr>
              <w:t>]</w:t>
            </w:r>
            <w:r w:rsidRPr="000C17B7">
              <w:rPr>
                <w:rFonts w:ascii="Palatino Linotype" w:hAnsi="Palatino Linotype"/>
                <w:color w:val="000000" w:themeColor="text1"/>
                <w:sz w:val="20"/>
                <w:szCs w:val="20"/>
              </w:rPr>
              <w:t xml:space="preserve">ot all projects should be required to conduct an impacts analysis [as] smaller projects may be more exploratory in nature, and the effort </w:t>
            </w:r>
            <w:r w:rsidRPr="00164C5A">
              <w:rPr>
                <w:rFonts w:ascii="Palatino Linotype" w:hAnsi="Palatino Linotype"/>
                <w:color w:val="000000" w:themeColor="text1"/>
                <w:sz w:val="20"/>
                <w:szCs w:val="20"/>
              </w:rPr>
              <w:t>associated with the analysis may be unduly burdensome.”</w:t>
            </w:r>
            <w:r w:rsidRPr="00164C5A">
              <w:rPr>
                <w:rStyle w:val="FootnoteReference"/>
                <w:rFonts w:ascii="Palatino Linotype" w:hAnsi="Palatino Linotype"/>
                <w:color w:val="000000" w:themeColor="text1"/>
                <w:sz w:val="20"/>
                <w:szCs w:val="20"/>
              </w:rPr>
              <w:footnoteReference w:id="235"/>
            </w:r>
            <w:r w:rsidRPr="00164C5A">
              <w:rPr>
                <w:rFonts w:ascii="Palatino Linotype" w:hAnsi="Palatino Linotype"/>
                <w:color w:val="000000" w:themeColor="text1"/>
                <w:sz w:val="20"/>
                <w:szCs w:val="20"/>
              </w:rPr>
              <w:t xml:space="preserve"> </w:t>
            </w:r>
          </w:p>
        </w:tc>
        <w:tc>
          <w:tcPr>
            <w:tcW w:w="4320" w:type="dxa"/>
          </w:tcPr>
          <w:p w:rsidR="00CC1889" w:rsidRDefault="008019CD" w14:paraId="691F0C18" w14:textId="603E77E0">
            <w:pPr>
              <w:contextualSpacing/>
              <w:rPr>
                <w:rFonts w:ascii="Palatino Linotype" w:hAnsi="Palatino Linotype" w:eastAsia="Palatino Linotype" w:cs="Times New Roman"/>
                <w:color w:val="0D0D0D" w:themeColor="text1" w:themeTint="F2"/>
                <w:sz w:val="20"/>
                <w:szCs w:val="20"/>
              </w:rPr>
            </w:pPr>
            <w:r w:rsidRPr="004E5093">
              <w:rPr>
                <w:rFonts w:ascii="Palatino Linotype" w:hAnsi="Palatino Linotype"/>
                <w:color w:val="000000" w:themeColor="text1"/>
                <w:sz w:val="20"/>
                <w:szCs w:val="20"/>
              </w:rPr>
              <w:lastRenderedPageBreak/>
              <w:t>PG&amp;E did not propose an adequate benefits analysis framework created in consultation with ED staff</w:t>
            </w:r>
            <w:r w:rsidRPr="00787699">
              <w:rPr>
                <w:rFonts w:ascii="Palatino Linotype" w:hAnsi="Palatino Linotype"/>
                <w:color w:val="000000" w:themeColor="text1"/>
                <w:sz w:val="20"/>
                <w:szCs w:val="20"/>
              </w:rPr>
              <w:t xml:space="preserve">. </w:t>
            </w:r>
            <w:r w:rsidRPr="00787699" w:rsidR="00385623">
              <w:rPr>
                <w:rFonts w:ascii="Palatino Linotype" w:hAnsi="Palatino Linotype" w:eastAsia="Palatino Linotype" w:cs="Times New Roman"/>
                <w:color w:val="000000" w:themeColor="text1"/>
                <w:sz w:val="20"/>
                <w:szCs w:val="20"/>
              </w:rPr>
              <w:t xml:space="preserve">The </w:t>
            </w:r>
            <w:r w:rsidRPr="00787699" w:rsidR="006C4F52">
              <w:rPr>
                <w:rFonts w:ascii="Palatino Linotype" w:hAnsi="Palatino Linotype" w:eastAsia="Palatino Linotype" w:cs="Times New Roman"/>
                <w:color w:val="000000" w:themeColor="text1"/>
                <w:sz w:val="20"/>
                <w:szCs w:val="20"/>
              </w:rPr>
              <w:t>Commission’s</w:t>
            </w:r>
            <w:r w:rsidRPr="00787699" w:rsidR="00E260D7">
              <w:rPr>
                <w:rFonts w:ascii="Palatino Linotype" w:hAnsi="Palatino Linotype" w:eastAsia="Palatino Linotype" w:cs="Times New Roman"/>
                <w:color w:val="000000" w:themeColor="text1"/>
                <w:sz w:val="20"/>
                <w:szCs w:val="20"/>
              </w:rPr>
              <w:t xml:space="preserve"> Uniform Impact Analysis Foundational Principles</w:t>
            </w:r>
            <w:r w:rsidRPr="00787699" w:rsidR="002A7592">
              <w:rPr>
                <w:rFonts w:ascii="Palatino Linotype" w:hAnsi="Palatino Linotype" w:eastAsia="Palatino Linotype" w:cs="Times New Roman"/>
                <w:color w:val="000000" w:themeColor="text1"/>
                <w:sz w:val="20"/>
                <w:szCs w:val="20"/>
              </w:rPr>
              <w:t>, which were provided to PG&amp;E by CPUC staff,</w:t>
            </w:r>
            <w:r w:rsidRPr="00787699" w:rsidR="002A7592">
              <w:rPr>
                <w:rStyle w:val="FootnoteReference"/>
                <w:rFonts w:ascii="Palatino Linotype" w:hAnsi="Palatino Linotype" w:eastAsia="Palatino Linotype" w:cs="Times New Roman"/>
                <w:color w:val="000000" w:themeColor="text1"/>
                <w:sz w:val="20"/>
                <w:szCs w:val="20"/>
              </w:rPr>
              <w:footnoteReference w:id="236"/>
            </w:r>
            <w:r w:rsidRPr="00787699" w:rsidR="002A7592">
              <w:rPr>
                <w:rFonts w:ascii="Palatino Linotype" w:hAnsi="Palatino Linotype" w:eastAsia="Palatino Linotype" w:cs="Times New Roman"/>
                <w:color w:val="000000" w:themeColor="text1"/>
                <w:sz w:val="20"/>
                <w:szCs w:val="20"/>
              </w:rPr>
              <w:t xml:space="preserve"> </w:t>
            </w:r>
            <w:r w:rsidRPr="00787699" w:rsidR="00034334">
              <w:rPr>
                <w:rFonts w:ascii="Palatino Linotype" w:hAnsi="Palatino Linotype"/>
                <w:color w:val="000000" w:themeColor="text1"/>
                <w:sz w:val="20"/>
                <w:szCs w:val="20"/>
              </w:rPr>
              <w:t xml:space="preserve">outline criteria </w:t>
            </w:r>
            <w:r w:rsidRPr="00787699" w:rsidR="00E260D7">
              <w:rPr>
                <w:rFonts w:ascii="Palatino Linotype" w:hAnsi="Palatino Linotype"/>
                <w:color w:val="000000" w:themeColor="text1"/>
                <w:sz w:val="20"/>
                <w:szCs w:val="20"/>
              </w:rPr>
              <w:t>for</w:t>
            </w:r>
            <w:r w:rsidRPr="00787699" w:rsidR="0002749B">
              <w:rPr>
                <w:rFonts w:ascii="Palatino Linotype" w:hAnsi="Palatino Linotype"/>
                <w:color w:val="000000" w:themeColor="text1"/>
                <w:sz w:val="20"/>
                <w:szCs w:val="20"/>
              </w:rPr>
              <w:t xml:space="preserve"> </w:t>
            </w:r>
            <w:r w:rsidRPr="00787699" w:rsidR="0002749B">
              <w:rPr>
                <w:rFonts w:ascii="Palatino Linotype" w:hAnsi="Palatino Linotype" w:eastAsia="Century Gothic" w:cs="Century Gothic"/>
                <w:color w:val="000000" w:themeColor="text1"/>
                <w:sz w:val="20"/>
                <w:szCs w:val="20"/>
              </w:rPr>
              <w:t xml:space="preserve">demonstrating </w:t>
            </w:r>
            <w:r w:rsidRPr="00787699" w:rsidR="003934F0">
              <w:rPr>
                <w:rFonts w:ascii="Palatino Linotype" w:hAnsi="Palatino Linotype" w:eastAsia="Century Gothic" w:cs="Century Gothic"/>
                <w:color w:val="000000" w:themeColor="text1"/>
                <w:sz w:val="20"/>
                <w:szCs w:val="20"/>
              </w:rPr>
              <w:t xml:space="preserve">impacts </w:t>
            </w:r>
            <w:r w:rsidRPr="00787699">
              <w:rPr>
                <w:rFonts w:ascii="Palatino Linotype" w:hAnsi="Palatino Linotype" w:eastAsia="Palatino Linotype" w:cs="Times New Roman"/>
                <w:color w:val="000000" w:themeColor="text1"/>
                <w:sz w:val="20"/>
                <w:szCs w:val="20"/>
              </w:rPr>
              <w:t xml:space="preserve">attributable to </w:t>
            </w:r>
            <w:r w:rsidRPr="00787699" w:rsidR="003C3AB1">
              <w:rPr>
                <w:rFonts w:ascii="Palatino Linotype" w:hAnsi="Palatino Linotype" w:eastAsia="Palatino Linotype" w:cs="Times New Roman"/>
                <w:color w:val="000000" w:themeColor="text1"/>
                <w:sz w:val="20"/>
                <w:szCs w:val="20"/>
              </w:rPr>
              <w:t>each distinct</w:t>
            </w:r>
            <w:r w:rsidRPr="00787699">
              <w:rPr>
                <w:rFonts w:ascii="Palatino Linotype" w:hAnsi="Palatino Linotype" w:eastAsia="Palatino Linotype" w:cs="Times New Roman"/>
                <w:color w:val="000000" w:themeColor="text1"/>
                <w:sz w:val="20"/>
                <w:szCs w:val="20"/>
              </w:rPr>
              <w:t xml:space="preserve"> RD&amp;D investment</w:t>
            </w:r>
            <w:r w:rsidRPr="00787699" w:rsidR="0044785E">
              <w:rPr>
                <w:rFonts w:ascii="Palatino Linotype" w:hAnsi="Palatino Linotype" w:eastAsia="Palatino Linotype" w:cs="Times New Roman"/>
                <w:color w:val="000000" w:themeColor="text1"/>
                <w:sz w:val="20"/>
                <w:szCs w:val="20"/>
              </w:rPr>
              <w:t>,</w:t>
            </w:r>
            <w:r w:rsidRPr="00787699" w:rsidR="00215FFF">
              <w:rPr>
                <w:rStyle w:val="FootnoteReference"/>
                <w:rFonts w:ascii="Palatino Linotype" w:hAnsi="Palatino Linotype" w:eastAsia="Palatino Linotype" w:cs="Times New Roman"/>
                <w:color w:val="000000" w:themeColor="text1"/>
                <w:sz w:val="20"/>
                <w:szCs w:val="20"/>
              </w:rPr>
              <w:footnoteReference w:id="237"/>
            </w:r>
            <w:r w:rsidRPr="00787699" w:rsidR="0044785E">
              <w:rPr>
                <w:rFonts w:ascii="Palatino Linotype" w:hAnsi="Palatino Linotype" w:eastAsia="Palatino Linotype" w:cs="Times New Roman"/>
                <w:color w:val="000000" w:themeColor="text1"/>
                <w:sz w:val="20"/>
                <w:szCs w:val="20"/>
              </w:rPr>
              <w:t xml:space="preserve"> which </w:t>
            </w:r>
            <w:r w:rsidRPr="00787699">
              <w:rPr>
                <w:rFonts w:ascii="Palatino Linotype" w:hAnsi="Palatino Linotype" w:eastAsia="Palatino Linotype" w:cs="Times New Roman"/>
                <w:color w:val="000000" w:themeColor="text1"/>
                <w:sz w:val="20"/>
                <w:szCs w:val="20"/>
              </w:rPr>
              <w:t>must otherwise not be expected to occur.</w:t>
            </w:r>
            <w:r w:rsidRPr="00787699" w:rsidR="00653BB4">
              <w:rPr>
                <w:rStyle w:val="FootnoteReference"/>
                <w:rFonts w:ascii="Palatino Linotype" w:hAnsi="Palatino Linotype" w:eastAsia="Palatino Linotype" w:cs="Times New Roman"/>
                <w:color w:val="000000" w:themeColor="text1"/>
                <w:sz w:val="20"/>
                <w:szCs w:val="20"/>
              </w:rPr>
              <w:footnoteReference w:id="238"/>
            </w:r>
            <w:r w:rsidRPr="00787699">
              <w:rPr>
                <w:rFonts w:ascii="Palatino Linotype" w:hAnsi="Palatino Linotype" w:eastAsia="Palatino Linotype" w:cs="Times New Roman"/>
                <w:color w:val="000000" w:themeColor="text1"/>
                <w:sz w:val="20"/>
                <w:szCs w:val="20"/>
              </w:rPr>
              <w:t xml:space="preserve"> </w:t>
            </w:r>
            <w:r w:rsidRPr="00787699" w:rsidR="007C23A4">
              <w:rPr>
                <w:rFonts w:ascii="Palatino Linotype" w:hAnsi="Palatino Linotype" w:eastAsia="Palatino Linotype" w:cs="Times New Roman"/>
                <w:color w:val="000000" w:themeColor="text1"/>
                <w:sz w:val="20"/>
                <w:szCs w:val="20"/>
              </w:rPr>
              <w:t xml:space="preserve">Ratepayer </w:t>
            </w:r>
            <w:r w:rsidR="007C23A4">
              <w:rPr>
                <w:rFonts w:ascii="Palatino Linotype" w:hAnsi="Palatino Linotype" w:eastAsia="Palatino Linotype" w:cs="Times New Roman"/>
                <w:color w:val="0D0D0D" w:themeColor="text1" w:themeTint="F2"/>
                <w:sz w:val="20"/>
                <w:szCs w:val="20"/>
              </w:rPr>
              <w:t>b</w:t>
            </w:r>
            <w:r w:rsidRPr="004E5093" w:rsidR="008F159F">
              <w:rPr>
                <w:rFonts w:ascii="Palatino Linotype" w:hAnsi="Palatino Linotype" w:eastAsia="Palatino Linotype" w:cs="Times New Roman"/>
                <w:color w:val="000000" w:themeColor="text1"/>
                <w:sz w:val="20"/>
                <w:szCs w:val="20"/>
              </w:rPr>
              <w:t>enefit must be demonstrated by incremental, value-added impacts</w:t>
            </w:r>
            <w:r w:rsidR="000E6EE4">
              <w:rPr>
                <w:rStyle w:val="FootnoteReference"/>
                <w:rFonts w:ascii="Palatino Linotype" w:hAnsi="Palatino Linotype" w:eastAsia="Palatino Linotype" w:cs="Times New Roman"/>
                <w:color w:val="000000" w:themeColor="text1"/>
                <w:sz w:val="20"/>
                <w:szCs w:val="20"/>
              </w:rPr>
              <w:footnoteReference w:id="239"/>
            </w:r>
            <w:r w:rsidRPr="004E5093" w:rsidR="008F159F">
              <w:rPr>
                <w:rFonts w:ascii="Palatino Linotype" w:hAnsi="Palatino Linotype" w:eastAsia="Palatino Linotype" w:cs="Times New Roman"/>
                <w:color w:val="000000" w:themeColor="text1"/>
                <w:sz w:val="20"/>
                <w:szCs w:val="20"/>
              </w:rPr>
              <w:t xml:space="preserve"> and may not be duplicative of existing RD&amp;D activities,</w:t>
            </w:r>
            <w:r w:rsidRPr="004E5093" w:rsidR="00F51DF5">
              <w:rPr>
                <w:rStyle w:val="FootnoteReference"/>
                <w:rFonts w:ascii="Palatino Linotype" w:hAnsi="Palatino Linotype" w:eastAsia="Palatino Linotype" w:cs="Times New Roman"/>
                <w:color w:val="000000" w:themeColor="text1"/>
                <w:sz w:val="20"/>
                <w:szCs w:val="20"/>
              </w:rPr>
              <w:footnoteReference w:id="240"/>
            </w:r>
            <w:r w:rsidRPr="004E5093" w:rsidR="008F159F">
              <w:rPr>
                <w:rFonts w:ascii="Palatino Linotype" w:hAnsi="Palatino Linotype" w:eastAsia="Palatino Linotype" w:cs="Times New Roman"/>
                <w:color w:val="000000" w:themeColor="text1"/>
                <w:sz w:val="20"/>
                <w:szCs w:val="20"/>
              </w:rPr>
              <w:t xml:space="preserve"> including those conducted by the same administrator</w:t>
            </w:r>
            <w:r w:rsidR="00F51DF5">
              <w:rPr>
                <w:rFonts w:ascii="Palatino Linotype" w:hAnsi="Palatino Linotype" w:eastAsia="Palatino Linotype" w:cs="Times New Roman"/>
                <w:color w:val="000000" w:themeColor="text1"/>
                <w:sz w:val="20"/>
                <w:szCs w:val="20"/>
              </w:rPr>
              <w:t>.</w:t>
            </w:r>
          </w:p>
          <w:p w:rsidR="00CC1889" w:rsidRDefault="00CC1889" w14:paraId="119C8244" w14:textId="77777777">
            <w:pPr>
              <w:contextualSpacing/>
              <w:rPr>
                <w:rFonts w:ascii="Palatino Linotype" w:hAnsi="Palatino Linotype" w:eastAsia="Palatino Linotype" w:cs="Times New Roman"/>
                <w:color w:val="0D0D0D" w:themeColor="text1" w:themeTint="F2"/>
                <w:sz w:val="20"/>
                <w:szCs w:val="20"/>
              </w:rPr>
            </w:pPr>
          </w:p>
          <w:p w:rsidRPr="000C17B7" w:rsidR="008019CD" w:rsidRDefault="00CC1889" w14:paraId="28E91C05" w14:textId="276BF347">
            <w:pPr>
              <w:contextualSpacing/>
              <w:rPr>
                <w:rFonts w:ascii="Palatino Linotype" w:hAnsi="Palatino Linotype" w:eastAsia="Palatino Linotype" w:cs="Times New Roman"/>
                <w:sz w:val="20"/>
                <w:szCs w:val="20"/>
              </w:rPr>
            </w:pPr>
            <w:r w:rsidRPr="000113C8">
              <w:rPr>
                <w:rFonts w:ascii="Palatino Linotype" w:hAnsi="Palatino Linotype" w:eastAsia="Palatino Linotype" w:cs="Times New Roman"/>
                <w:color w:val="000000" w:themeColor="text1"/>
                <w:sz w:val="20"/>
                <w:szCs w:val="20"/>
              </w:rPr>
              <w:lastRenderedPageBreak/>
              <w:t xml:space="preserve">Specifically, </w:t>
            </w:r>
            <w:r w:rsidRPr="000113C8" w:rsidR="00D06CFF">
              <w:rPr>
                <w:rFonts w:ascii="Palatino Linotype" w:hAnsi="Palatino Linotype" w:eastAsia="Palatino Linotype" w:cs="Times New Roman"/>
                <w:color w:val="000000" w:themeColor="text1"/>
                <w:sz w:val="20"/>
                <w:szCs w:val="20"/>
              </w:rPr>
              <w:t>s</w:t>
            </w:r>
            <w:r w:rsidRPr="000113C8" w:rsidR="008019CD">
              <w:rPr>
                <w:rFonts w:ascii="Palatino Linotype" w:hAnsi="Palatino Linotype"/>
                <w:color w:val="000000" w:themeColor="text1"/>
                <w:sz w:val="20"/>
                <w:szCs w:val="20"/>
              </w:rPr>
              <w:t>everal of the safety and environmental benefits associated with the Innovative and Cost-Effective Integrity Management Initiative may be more appropriately attributed to impacts from the referenced Pipeline and Hazardous Materials Safety Administration (PHMSA) Mega Rule and mandates from the California Geological Energy Management Division (CalGEM).</w:t>
            </w:r>
            <w:r w:rsidRPr="000113C8" w:rsidR="008019CD">
              <w:rPr>
                <w:rStyle w:val="FootnoteReference"/>
                <w:rFonts w:ascii="Palatino Linotype" w:hAnsi="Palatino Linotype"/>
                <w:color w:val="000000" w:themeColor="text1"/>
                <w:sz w:val="20"/>
                <w:szCs w:val="20"/>
              </w:rPr>
              <w:footnoteReference w:id="241"/>
            </w:r>
            <w:r w:rsidRPr="000113C8" w:rsidR="0030125D">
              <w:rPr>
                <w:rFonts w:ascii="Palatino Linotype" w:hAnsi="Palatino Linotype"/>
                <w:color w:val="000000" w:themeColor="text1"/>
                <w:sz w:val="20"/>
                <w:szCs w:val="20"/>
              </w:rPr>
              <w:t xml:space="preserve"> The primary objective of </w:t>
            </w:r>
            <w:r w:rsidRPr="000113C8" w:rsidR="008019CD">
              <w:rPr>
                <w:rFonts w:ascii="Palatino Linotype" w:hAnsi="Palatino Linotype" w:eastAsia="Palatino Linotype" w:cs="Times New Roman"/>
                <w:color w:val="000000" w:themeColor="text1"/>
                <w:sz w:val="20"/>
                <w:szCs w:val="20"/>
              </w:rPr>
              <w:t>PG&amp;E’s proposed Emission Reduction Activities and Refined Reporting Initiative</w:t>
            </w:r>
            <w:r w:rsidRPr="000113C8" w:rsidR="0030125D">
              <w:rPr>
                <w:rFonts w:ascii="Palatino Linotype" w:hAnsi="Palatino Linotype" w:eastAsia="Palatino Linotype" w:cs="Times New Roman"/>
                <w:color w:val="000000" w:themeColor="text1"/>
                <w:sz w:val="20"/>
                <w:szCs w:val="20"/>
              </w:rPr>
              <w:t xml:space="preserve"> </w:t>
            </w:r>
            <w:r w:rsidRPr="000113C8" w:rsidR="008019CD">
              <w:rPr>
                <w:rFonts w:ascii="Palatino Linotype" w:hAnsi="Palatino Linotype" w:eastAsia="Palatino Linotype" w:cs="Times New Roman"/>
                <w:color w:val="000000" w:themeColor="text1"/>
                <w:sz w:val="20"/>
                <w:szCs w:val="20"/>
              </w:rPr>
              <w:t>appears to be meeting regulatory goals</w:t>
            </w:r>
            <w:r w:rsidRPr="000113C8">
              <w:rPr>
                <w:rStyle w:val="FootnoteReference"/>
                <w:rFonts w:ascii="Palatino Linotype" w:hAnsi="Palatino Linotype" w:eastAsia="Palatino Linotype" w:cs="Times New Roman"/>
                <w:color w:val="000000" w:themeColor="text1"/>
                <w:sz w:val="20"/>
                <w:szCs w:val="20"/>
              </w:rPr>
              <w:footnoteReference w:id="242"/>
            </w:r>
            <w:r w:rsidRPr="000113C8" w:rsidR="00D43C48">
              <w:rPr>
                <w:rFonts w:ascii="Palatino Linotype" w:hAnsi="Palatino Linotype" w:eastAsia="Palatino Linotype" w:cs="Times New Roman"/>
                <w:color w:val="000000" w:themeColor="text1"/>
                <w:sz w:val="20"/>
                <w:szCs w:val="20"/>
              </w:rPr>
              <w:t xml:space="preserve"> rather than provid</w:t>
            </w:r>
            <w:r w:rsidRPr="000113C8" w:rsidR="007E221D">
              <w:rPr>
                <w:rFonts w:ascii="Palatino Linotype" w:hAnsi="Palatino Linotype" w:eastAsia="Palatino Linotype" w:cs="Times New Roman"/>
                <w:color w:val="000000" w:themeColor="text1"/>
                <w:sz w:val="20"/>
                <w:szCs w:val="20"/>
              </w:rPr>
              <w:t>ing</w:t>
            </w:r>
            <w:r w:rsidRPr="000113C8" w:rsidR="00D43C48">
              <w:rPr>
                <w:rFonts w:ascii="Palatino Linotype" w:hAnsi="Palatino Linotype" w:eastAsia="Palatino Linotype" w:cs="Times New Roman"/>
                <w:color w:val="000000" w:themeColor="text1"/>
                <w:sz w:val="20"/>
                <w:szCs w:val="20"/>
              </w:rPr>
              <w:t xml:space="preserve"> ratepayer benefit</w:t>
            </w:r>
            <w:r w:rsidRPr="000113C8" w:rsidR="0030125D">
              <w:rPr>
                <w:rFonts w:ascii="Palatino Linotype" w:hAnsi="Palatino Linotype" w:eastAsia="Palatino Linotype" w:cs="Times New Roman"/>
                <w:color w:val="000000" w:themeColor="text1"/>
                <w:sz w:val="20"/>
                <w:szCs w:val="20"/>
              </w:rPr>
              <w:t>. PG&amp;E</w:t>
            </w:r>
            <w:r w:rsidRPr="000113C8" w:rsidR="00437676">
              <w:rPr>
                <w:rFonts w:ascii="Palatino Linotype" w:hAnsi="Palatino Linotype" w:eastAsia="Palatino Linotype" w:cs="Times New Roman"/>
                <w:color w:val="000000" w:themeColor="text1"/>
                <w:sz w:val="20"/>
                <w:szCs w:val="20"/>
              </w:rPr>
              <w:t xml:space="preserve"> is</w:t>
            </w:r>
            <w:r w:rsidRPr="000113C8" w:rsidR="007E221D">
              <w:rPr>
                <w:rFonts w:ascii="Palatino Linotype" w:hAnsi="Palatino Linotype" w:eastAsia="Palatino Linotype" w:cs="Times New Roman"/>
                <w:color w:val="000000" w:themeColor="text1"/>
                <w:sz w:val="20"/>
                <w:szCs w:val="20"/>
              </w:rPr>
              <w:t xml:space="preserve"> also</w:t>
            </w:r>
            <w:r w:rsidRPr="000113C8" w:rsidR="00437676">
              <w:rPr>
                <w:rFonts w:ascii="Palatino Linotype" w:hAnsi="Palatino Linotype" w:eastAsia="Palatino Linotype" w:cs="Times New Roman"/>
                <w:color w:val="000000" w:themeColor="text1"/>
                <w:sz w:val="20"/>
                <w:szCs w:val="20"/>
              </w:rPr>
              <w:t xml:space="preserve"> not compliant with these requirements in assuming</w:t>
            </w:r>
            <w:r w:rsidRPr="000113C8" w:rsidR="00437676">
              <w:rPr>
                <w:rFonts w:ascii="Palatino Linotype" w:hAnsi="Palatino Linotype"/>
                <w:color w:val="000000" w:themeColor="text1"/>
                <w:sz w:val="20"/>
                <w:szCs w:val="20"/>
              </w:rPr>
              <w:t xml:space="preserve"> </w:t>
            </w:r>
            <w:r w:rsidRPr="000C17B7" w:rsidR="008019CD">
              <w:rPr>
                <w:rFonts w:ascii="Palatino Linotype" w:hAnsi="Palatino Linotype"/>
                <w:color w:val="000000" w:themeColor="text1"/>
                <w:sz w:val="20"/>
                <w:szCs w:val="20"/>
              </w:rPr>
              <w:t>that “</w:t>
            </w:r>
            <w:r w:rsidR="008019CD">
              <w:rPr>
                <w:rFonts w:ascii="Palatino Linotype" w:hAnsi="Palatino Linotype"/>
                <w:color w:val="000000" w:themeColor="text1"/>
                <w:sz w:val="20"/>
                <w:szCs w:val="20"/>
              </w:rPr>
              <w:t>[n]ot</w:t>
            </w:r>
            <w:r w:rsidRPr="000C17B7" w:rsidR="008019CD">
              <w:rPr>
                <w:rFonts w:ascii="Palatino Linotype" w:hAnsi="Palatino Linotype"/>
                <w:color w:val="000000" w:themeColor="text1"/>
                <w:sz w:val="20"/>
                <w:szCs w:val="20"/>
              </w:rPr>
              <w:t xml:space="preserve"> all projects should be required to conduct an impacts analysis</w:t>
            </w:r>
            <w:r w:rsidRPr="000C17B7" w:rsidR="36EBBD20">
              <w:rPr>
                <w:rFonts w:ascii="Palatino Linotype" w:hAnsi="Palatino Linotype"/>
                <w:color w:val="000000" w:themeColor="text1"/>
                <w:sz w:val="20"/>
                <w:szCs w:val="20"/>
              </w:rPr>
              <w:t>.</w:t>
            </w:r>
            <w:r w:rsidR="008019CD">
              <w:rPr>
                <w:rFonts w:ascii="Palatino Linotype" w:hAnsi="Palatino Linotype"/>
                <w:color w:val="000000" w:themeColor="text1"/>
                <w:sz w:val="20"/>
                <w:szCs w:val="20"/>
              </w:rPr>
              <w:t>”</w:t>
            </w:r>
            <w:r w:rsidR="008019CD">
              <w:rPr>
                <w:rStyle w:val="FootnoteReference"/>
                <w:rFonts w:ascii="Palatino Linotype" w:hAnsi="Palatino Linotype"/>
                <w:color w:val="000000" w:themeColor="text1"/>
                <w:sz w:val="20"/>
                <w:szCs w:val="20"/>
              </w:rPr>
              <w:footnoteReference w:id="243"/>
            </w:r>
            <w:r w:rsidR="008019CD">
              <w:rPr>
                <w:rFonts w:ascii="Palatino Linotype" w:hAnsi="Palatino Linotype"/>
                <w:color w:val="000000" w:themeColor="text1"/>
                <w:sz w:val="20"/>
                <w:szCs w:val="20"/>
              </w:rPr>
              <w:t xml:space="preserve"> </w:t>
            </w:r>
            <w:r w:rsidRPr="00712165" w:rsidR="008019CD">
              <w:rPr>
                <w:rFonts w:ascii="Palatino Linotype" w:hAnsi="Palatino Linotype"/>
                <w:b/>
                <w:bCs w:val="0"/>
                <w:sz w:val="20"/>
                <w:szCs w:val="20"/>
              </w:rPr>
              <w:t xml:space="preserve">PG&amp;E is </w:t>
            </w:r>
            <w:r w:rsidRPr="00712165" w:rsidR="008019CD">
              <w:rPr>
                <w:rFonts w:ascii="Palatino Linotype" w:hAnsi="Palatino Linotype"/>
                <w:b/>
                <w:bCs w:val="0"/>
                <w:color w:val="000000" w:themeColor="text1"/>
                <w:sz w:val="20"/>
                <w:szCs w:val="20"/>
              </w:rPr>
              <w:t>not</w:t>
            </w:r>
            <w:r w:rsidRPr="00712165" w:rsidR="008019CD">
              <w:rPr>
                <w:rFonts w:ascii="Palatino Linotype" w:hAnsi="Palatino Linotype"/>
                <w:b/>
                <w:bCs w:val="0"/>
                <w:color w:val="EE0000"/>
                <w:sz w:val="20"/>
                <w:szCs w:val="20"/>
              </w:rPr>
              <w:t xml:space="preserve"> </w:t>
            </w:r>
            <w:r w:rsidRPr="00712165" w:rsidR="008019CD">
              <w:rPr>
                <w:rFonts w:ascii="Palatino Linotype" w:hAnsi="Palatino Linotype"/>
                <w:b/>
                <w:bCs w:val="0"/>
                <w:sz w:val="20"/>
                <w:szCs w:val="20"/>
              </w:rPr>
              <w:t>compliant with this requirement.</w:t>
            </w:r>
          </w:p>
        </w:tc>
      </w:tr>
      <w:tr w:rsidR="00534A20" w:rsidTr="00534A20" w14:paraId="07946292" w14:textId="77777777">
        <w:tc>
          <w:tcPr>
            <w:tcW w:w="3865" w:type="dxa"/>
          </w:tcPr>
          <w:p w:rsidRPr="00CF6323" w:rsidR="008019CD" w:rsidRDefault="008019CD" w14:paraId="0D691345" w14:textId="77777777">
            <w:pPr>
              <w:rPr>
                <w:rFonts w:ascii="Palatino Linotype" w:hAnsi="Palatino Linotype"/>
                <w:i/>
                <w:iCs/>
                <w:sz w:val="20"/>
                <w:szCs w:val="20"/>
              </w:rPr>
            </w:pPr>
            <w:r>
              <w:rPr>
                <w:rFonts w:ascii="Palatino Linotype" w:hAnsi="Palatino Linotype"/>
                <w:i/>
                <w:iCs/>
                <w:sz w:val="20"/>
                <w:szCs w:val="20"/>
              </w:rPr>
              <w:lastRenderedPageBreak/>
              <w:t xml:space="preserve">(3) </w:t>
            </w:r>
            <w:r w:rsidRPr="00DB1752">
              <w:rPr>
                <w:rFonts w:ascii="Palatino Linotype" w:hAnsi="Palatino Linotype"/>
                <w:i/>
                <w:iCs/>
                <w:sz w:val="20"/>
                <w:szCs w:val="20"/>
              </w:rPr>
              <w:t>PG&amp;E should cap its</w:t>
            </w:r>
            <w:r>
              <w:rPr>
                <w:rFonts w:ascii="Palatino Linotype" w:hAnsi="Palatino Linotype"/>
                <w:i/>
                <w:iCs/>
                <w:sz w:val="20"/>
                <w:szCs w:val="20"/>
              </w:rPr>
              <w:t xml:space="preserve"> </w:t>
            </w:r>
            <w:r w:rsidRPr="00DB1752">
              <w:rPr>
                <w:rFonts w:ascii="Palatino Linotype" w:hAnsi="Palatino Linotype"/>
                <w:i/>
                <w:iCs/>
                <w:sz w:val="20"/>
                <w:szCs w:val="20"/>
              </w:rPr>
              <w:t>administrative costs for Gas</w:t>
            </w:r>
            <w:r w:rsidRPr="00FB1ACE">
              <w:rPr>
                <w:rFonts w:ascii="Palatino Linotype" w:hAnsi="Palatino Linotype"/>
                <w:i/>
                <w:iCs/>
                <w:sz w:val="20"/>
                <w:szCs w:val="20"/>
              </w:rPr>
              <w:t xml:space="preserve"> </w:t>
            </w:r>
            <w:r w:rsidRPr="00DB1752">
              <w:rPr>
                <w:rFonts w:ascii="Palatino Linotype" w:hAnsi="Palatino Linotype"/>
                <w:i/>
                <w:iCs/>
                <w:sz w:val="20"/>
                <w:szCs w:val="20"/>
              </w:rPr>
              <w:t>RD&amp;D</w:t>
            </w:r>
            <w:r w:rsidRPr="00FB1ACE">
              <w:rPr>
                <w:rFonts w:ascii="Palatino Linotype" w:hAnsi="Palatino Linotype"/>
                <w:i/>
                <w:iCs/>
                <w:sz w:val="20"/>
                <w:szCs w:val="20"/>
              </w:rPr>
              <w:t xml:space="preserve"> </w:t>
            </w:r>
            <w:r w:rsidRPr="00DB1752">
              <w:rPr>
                <w:rFonts w:ascii="Palatino Linotype" w:hAnsi="Palatino Linotype"/>
                <w:i/>
                <w:iCs/>
                <w:sz w:val="20"/>
                <w:szCs w:val="20"/>
              </w:rPr>
              <w:t>at 10%</w:t>
            </w:r>
            <w:r>
              <w:rPr>
                <w:rFonts w:ascii="Palatino Linotype" w:hAnsi="Palatino Linotype"/>
                <w:i/>
                <w:iCs/>
                <w:sz w:val="20"/>
                <w:szCs w:val="20"/>
              </w:rPr>
              <w:t xml:space="preserve">... </w:t>
            </w:r>
            <w:r w:rsidRPr="00DB1752">
              <w:rPr>
                <w:rFonts w:ascii="Palatino Linotype" w:hAnsi="Palatino Linotype"/>
                <w:i/>
                <w:iCs/>
                <w:sz w:val="20"/>
                <w:szCs w:val="20"/>
              </w:rPr>
              <w:t>PG&amp;E’s annual research plan should provide</w:t>
            </w:r>
            <w:r>
              <w:rPr>
                <w:rFonts w:ascii="Palatino Linotype" w:hAnsi="Palatino Linotype"/>
                <w:i/>
                <w:iCs/>
                <w:sz w:val="20"/>
                <w:szCs w:val="20"/>
              </w:rPr>
              <w:t xml:space="preserve"> </w:t>
            </w:r>
            <w:r w:rsidRPr="00DB1752">
              <w:rPr>
                <w:rFonts w:ascii="Palatino Linotype" w:hAnsi="Palatino Linotype"/>
                <w:i/>
                <w:iCs/>
                <w:sz w:val="20"/>
                <w:szCs w:val="20"/>
              </w:rPr>
              <w:t>detail about administrative costs and require PG&amp;E to</w:t>
            </w:r>
            <w:r w:rsidRPr="00FB1ACE">
              <w:rPr>
                <w:rFonts w:ascii="Palatino Linotype" w:hAnsi="Palatino Linotype"/>
                <w:i/>
                <w:iCs/>
                <w:sz w:val="20"/>
                <w:szCs w:val="20"/>
              </w:rPr>
              <w:t xml:space="preserve"> </w:t>
            </w:r>
            <w:r w:rsidRPr="00DB1752">
              <w:rPr>
                <w:rFonts w:ascii="Palatino Linotype" w:hAnsi="Palatino Linotype"/>
                <w:i/>
                <w:iCs/>
                <w:sz w:val="20"/>
                <w:szCs w:val="20"/>
              </w:rPr>
              <w:t>allocate these cost categories to its administrative budget</w:t>
            </w:r>
            <w:r w:rsidRPr="00FB1ACE">
              <w:rPr>
                <w:rFonts w:ascii="Palatino Linotype" w:hAnsi="Palatino Linotype"/>
                <w:i/>
                <w:iCs/>
                <w:sz w:val="20"/>
                <w:szCs w:val="20"/>
              </w:rPr>
              <w:t xml:space="preserve"> as outlined below</w:t>
            </w:r>
            <w:r>
              <w:rPr>
                <w:rFonts w:ascii="Palatino Linotype" w:hAnsi="Palatino Linotype"/>
                <w:i/>
                <w:iCs/>
                <w:sz w:val="20"/>
                <w:szCs w:val="20"/>
              </w:rPr>
              <w:t>.</w:t>
            </w:r>
            <w:r>
              <w:rPr>
                <w:rStyle w:val="FootnoteReference"/>
                <w:rFonts w:ascii="Palatino Linotype" w:hAnsi="Palatino Linotype"/>
                <w:i/>
                <w:iCs/>
                <w:sz w:val="20"/>
                <w:szCs w:val="20"/>
              </w:rPr>
              <w:t xml:space="preserve"> </w:t>
            </w:r>
            <w:r>
              <w:rPr>
                <w:rStyle w:val="FootnoteReference"/>
                <w:rFonts w:ascii="Palatino Linotype" w:hAnsi="Palatino Linotype"/>
                <w:i/>
                <w:iCs/>
                <w:sz w:val="20"/>
                <w:szCs w:val="20"/>
              </w:rPr>
              <w:footnoteReference w:id="244"/>
            </w:r>
            <w:r w:rsidRPr="00FB1ACE">
              <w:rPr>
                <w:rFonts w:ascii="Palatino Linotype" w:hAnsi="Palatino Linotype"/>
                <w:i/>
                <w:iCs/>
                <w:sz w:val="20"/>
                <w:szCs w:val="20"/>
              </w:rPr>
              <w:t xml:space="preserve"> </w:t>
            </w:r>
          </w:p>
        </w:tc>
        <w:tc>
          <w:tcPr>
            <w:tcW w:w="4770" w:type="dxa"/>
          </w:tcPr>
          <w:p w:rsidRPr="00164C5A" w:rsidR="008019CD" w:rsidRDefault="008019CD" w14:paraId="131505DA" w14:textId="77777777">
            <w:pPr>
              <w:rPr>
                <w:rFonts w:ascii="Palatino Linotype" w:hAnsi="Palatino Linotype" w:eastAsia="Palatino Linotype" w:cs="Times New Roman"/>
                <w:color w:val="000000" w:themeColor="text1"/>
                <w:sz w:val="20"/>
                <w:szCs w:val="20"/>
              </w:rPr>
            </w:pPr>
            <w:r w:rsidRPr="00A05527">
              <w:rPr>
                <w:rFonts w:ascii="Palatino Linotype" w:hAnsi="Palatino Linotype" w:eastAsia="Palatino Linotype" w:cs="Times New Roman"/>
                <w:sz w:val="20"/>
                <w:szCs w:val="20"/>
              </w:rPr>
              <w:t xml:space="preserve">PG&amp;E proposes to allocate ten percent of </w:t>
            </w:r>
            <w:r>
              <w:rPr>
                <w:rFonts w:ascii="Palatino Linotype" w:hAnsi="Palatino Linotype" w:eastAsia="Palatino Linotype" w:cs="Times New Roman"/>
                <w:sz w:val="20"/>
                <w:szCs w:val="20"/>
              </w:rPr>
              <w:t xml:space="preserve">its </w:t>
            </w:r>
            <w:r w:rsidRPr="00A05527">
              <w:rPr>
                <w:rFonts w:ascii="Palatino Linotype" w:hAnsi="Palatino Linotype" w:eastAsia="Palatino Linotype" w:cs="Times New Roman"/>
                <w:sz w:val="20"/>
                <w:szCs w:val="20"/>
              </w:rPr>
              <w:t>annual total budge</w:t>
            </w:r>
            <w:r w:rsidRPr="00164C5A">
              <w:rPr>
                <w:rFonts w:ascii="Palatino Linotype" w:hAnsi="Palatino Linotype" w:eastAsia="Palatino Linotype" w:cs="Times New Roman"/>
                <w:color w:val="000000" w:themeColor="text1"/>
                <w:sz w:val="20"/>
                <w:szCs w:val="20"/>
              </w:rPr>
              <w:t>t to Program Administrative costs, translating to $826,700 in its 2025 Plan.</w:t>
            </w:r>
            <w:r w:rsidRPr="00164C5A">
              <w:rPr>
                <w:rStyle w:val="FootnoteReference"/>
                <w:rFonts w:ascii="Palatino Linotype" w:hAnsi="Palatino Linotype" w:eastAsia="Palatino Linotype" w:cs="Times New Roman"/>
                <w:color w:val="000000" w:themeColor="text1"/>
                <w:sz w:val="20"/>
                <w:szCs w:val="20"/>
              </w:rPr>
              <w:footnoteReference w:id="245"/>
            </w:r>
          </w:p>
          <w:p w:rsidR="008019CD" w:rsidRDefault="008019CD" w14:paraId="288E301F" w14:textId="77777777">
            <w:pPr>
              <w:rPr>
                <w:rFonts w:ascii="Palatino Linotype" w:hAnsi="Palatino Linotype" w:eastAsia="Palatino Linotype" w:cs="Times New Roman"/>
                <w:sz w:val="20"/>
                <w:szCs w:val="20"/>
              </w:rPr>
            </w:pPr>
          </w:p>
          <w:p w:rsidRPr="00FB1ACE" w:rsidR="008019CD" w:rsidRDefault="008019CD" w14:paraId="71D8EA61" w14:textId="77777777">
            <w:pPr>
              <w:rPr>
                <w:rFonts w:ascii="Palatino Linotype" w:hAnsi="Palatino Linotype"/>
                <w:sz w:val="20"/>
                <w:szCs w:val="20"/>
              </w:rPr>
            </w:pPr>
          </w:p>
        </w:tc>
        <w:tc>
          <w:tcPr>
            <w:tcW w:w="4320" w:type="dxa"/>
          </w:tcPr>
          <w:p w:rsidRPr="003C3088" w:rsidR="008019CD" w:rsidRDefault="008019CD" w14:paraId="29A47244" w14:textId="79A23EDE">
            <w:pPr>
              <w:rPr>
                <w:rFonts w:ascii="Palatino Linotype" w:hAnsi="Palatino Linotype"/>
                <w:color w:val="0D0D0D" w:themeColor="text1" w:themeTint="F2"/>
                <w:sz w:val="20"/>
                <w:szCs w:val="20"/>
              </w:rPr>
            </w:pPr>
            <w:r w:rsidRPr="003C3088">
              <w:rPr>
                <w:rFonts w:ascii="Palatino Linotype" w:hAnsi="Palatino Linotype"/>
                <w:color w:val="0D0D0D" w:themeColor="text1" w:themeTint="F2"/>
                <w:sz w:val="20"/>
                <w:szCs w:val="20"/>
              </w:rPr>
              <w:t xml:space="preserve">PG&amp;E’s request for a Program Administrative budget </w:t>
            </w:r>
            <w:r>
              <w:rPr>
                <w:rFonts w:ascii="Palatino Linotype" w:hAnsi="Palatino Linotype"/>
                <w:color w:val="0D0D0D" w:themeColor="text1" w:themeTint="F2"/>
                <w:sz w:val="20"/>
                <w:szCs w:val="20"/>
              </w:rPr>
              <w:t>of 10</w:t>
            </w:r>
            <w:r w:rsidRPr="003C3088">
              <w:rPr>
                <w:rFonts w:ascii="Palatino Linotype" w:hAnsi="Palatino Linotype"/>
                <w:color w:val="0D0D0D" w:themeColor="text1" w:themeTint="F2"/>
                <w:sz w:val="20"/>
                <w:szCs w:val="20"/>
              </w:rPr>
              <w:t xml:space="preserve"> percent of its annual Gas RD&amp;D budget is compliant with </w:t>
            </w:r>
            <w:r>
              <w:rPr>
                <w:rFonts w:ascii="Palatino Linotype" w:hAnsi="Palatino Linotype"/>
                <w:color w:val="0D0D0D" w:themeColor="text1" w:themeTint="F2"/>
                <w:sz w:val="20"/>
                <w:szCs w:val="20"/>
              </w:rPr>
              <w:t>the Commission’s requirement of a 10 percent cap</w:t>
            </w:r>
            <w:r w:rsidRPr="003C3088">
              <w:rPr>
                <w:rFonts w:ascii="Palatino Linotype" w:hAnsi="Palatino Linotype"/>
                <w:color w:val="0D0D0D" w:themeColor="text1" w:themeTint="F2"/>
                <w:sz w:val="20"/>
                <w:szCs w:val="20"/>
              </w:rPr>
              <w:t xml:space="preserve">. </w:t>
            </w:r>
            <w:r w:rsidRPr="003C3088" w:rsidR="00405798">
              <w:rPr>
                <w:rFonts w:ascii="Palatino Linotype" w:hAnsi="Palatino Linotype"/>
                <w:b/>
                <w:bCs w:val="0"/>
                <w:color w:val="0D0D0D" w:themeColor="text1" w:themeTint="F2"/>
                <w:sz w:val="20"/>
                <w:szCs w:val="20"/>
              </w:rPr>
              <w:t>PG&amp;E is compliant with this requirement.</w:t>
            </w:r>
          </w:p>
          <w:p w:rsidRPr="003C3088" w:rsidR="008019CD" w:rsidRDefault="008019CD" w14:paraId="24C06B41" w14:textId="77777777">
            <w:pPr>
              <w:rPr>
                <w:rFonts w:ascii="Palatino Linotype" w:hAnsi="Palatino Linotype"/>
                <w:color w:val="0D0D0D" w:themeColor="text1" w:themeTint="F2"/>
                <w:sz w:val="20"/>
                <w:szCs w:val="20"/>
              </w:rPr>
            </w:pPr>
          </w:p>
          <w:p w:rsidRPr="00DD00B9" w:rsidR="008019CD" w:rsidRDefault="008019CD" w14:paraId="04DF5A35" w14:textId="7BC4BAB2">
            <w:pPr>
              <w:rPr>
                <w:rFonts w:ascii="Palatino Linotype" w:hAnsi="Palatino Linotype"/>
                <w:sz w:val="20"/>
                <w:szCs w:val="20"/>
              </w:rPr>
            </w:pPr>
            <w:r w:rsidRPr="003C3088">
              <w:rPr>
                <w:rFonts w:ascii="Palatino Linotype" w:hAnsi="Palatino Linotype"/>
                <w:color w:val="0D0D0D" w:themeColor="text1" w:themeTint="F2"/>
                <w:sz w:val="20"/>
                <w:szCs w:val="20"/>
              </w:rPr>
              <w:t xml:space="preserve">However, PG&amp;E does </w:t>
            </w:r>
            <w:r>
              <w:rPr>
                <w:rFonts w:ascii="Palatino Linotype" w:hAnsi="Palatino Linotype"/>
                <w:color w:val="0D0D0D" w:themeColor="text1" w:themeTint="F2"/>
                <w:sz w:val="20"/>
                <w:szCs w:val="20"/>
              </w:rPr>
              <w:t xml:space="preserve">not </w:t>
            </w:r>
            <w:r w:rsidRPr="003C3088">
              <w:rPr>
                <w:rFonts w:ascii="Palatino Linotype" w:hAnsi="Palatino Linotype"/>
                <w:color w:val="0D0D0D" w:themeColor="text1" w:themeTint="F2"/>
                <w:sz w:val="20"/>
                <w:szCs w:val="20"/>
              </w:rPr>
              <w:t>allocate proposed Program Administrative costs to specific categories using the</w:t>
            </w:r>
            <w:r>
              <w:rPr>
                <w:rFonts w:ascii="Palatino Linotype" w:hAnsi="Palatino Linotype"/>
                <w:color w:val="0D0D0D" w:themeColor="text1" w:themeTint="F2"/>
                <w:sz w:val="20"/>
                <w:szCs w:val="20"/>
              </w:rPr>
              <w:t xml:space="preserve"> </w:t>
            </w:r>
            <w:r w:rsidR="00405798">
              <w:rPr>
                <w:rFonts w:ascii="Palatino Linotype" w:hAnsi="Palatino Linotype"/>
                <w:color w:val="0D0D0D" w:themeColor="text1" w:themeTint="F2"/>
                <w:sz w:val="20"/>
                <w:szCs w:val="20"/>
              </w:rPr>
              <w:t xml:space="preserve">required </w:t>
            </w:r>
            <w:r>
              <w:rPr>
                <w:rFonts w:ascii="Palatino Linotype" w:hAnsi="Palatino Linotype"/>
                <w:color w:val="0D0D0D" w:themeColor="text1" w:themeTint="F2"/>
                <w:sz w:val="20"/>
                <w:szCs w:val="20"/>
              </w:rPr>
              <w:t>Administrative Budget</w:t>
            </w:r>
            <w:r w:rsidRPr="003C3088">
              <w:rPr>
                <w:rFonts w:ascii="Palatino Linotype" w:hAnsi="Palatino Linotype"/>
                <w:color w:val="0D0D0D" w:themeColor="text1" w:themeTint="F2"/>
                <w:sz w:val="20"/>
                <w:szCs w:val="20"/>
              </w:rPr>
              <w:t xml:space="preserve"> template</w:t>
            </w:r>
            <w:r w:rsidRPr="48D8D2A8">
              <w:rPr>
                <w:rFonts w:ascii="Palatino Linotype" w:hAnsi="Palatino Linotype"/>
                <w:color w:val="0D0D0D" w:themeColor="text1" w:themeTint="F2"/>
                <w:sz w:val="20"/>
                <w:szCs w:val="20"/>
              </w:rPr>
              <w:t>.</w:t>
            </w:r>
            <w:r w:rsidRPr="1128EAC3">
              <w:rPr>
                <w:rStyle w:val="FootnoteReference"/>
                <w:rFonts w:ascii="Palatino Linotype" w:hAnsi="Palatino Linotype"/>
                <w:color w:val="0D0D0D" w:themeColor="text1" w:themeTint="F2"/>
                <w:sz w:val="20"/>
                <w:szCs w:val="20"/>
              </w:rPr>
              <w:footnoteReference w:id="246"/>
            </w:r>
            <w:r w:rsidRPr="003C3088">
              <w:rPr>
                <w:rFonts w:ascii="Palatino Linotype" w:hAnsi="Palatino Linotype"/>
                <w:color w:val="0D0D0D" w:themeColor="text1" w:themeTint="F2"/>
                <w:sz w:val="20"/>
                <w:szCs w:val="20"/>
              </w:rPr>
              <w:t xml:space="preserve"> </w:t>
            </w:r>
            <w:r w:rsidRPr="003C3088">
              <w:rPr>
                <w:rFonts w:ascii="Palatino Linotype" w:hAnsi="Palatino Linotype"/>
                <w:b/>
                <w:bCs w:val="0"/>
                <w:color w:val="0D0D0D" w:themeColor="text1" w:themeTint="F2"/>
                <w:sz w:val="20"/>
                <w:szCs w:val="20"/>
              </w:rPr>
              <w:t>PG&amp;E is not compliant with this requirement.</w:t>
            </w:r>
          </w:p>
        </w:tc>
      </w:tr>
      <w:tr w:rsidR="00534A20" w:rsidTr="00534A20" w14:paraId="2E786856" w14:textId="77777777">
        <w:tc>
          <w:tcPr>
            <w:tcW w:w="3865" w:type="dxa"/>
          </w:tcPr>
          <w:p w:rsidRPr="00141BD5" w:rsidR="008019CD" w:rsidRDefault="008019CD" w14:paraId="6296412C" w14:textId="77777777">
            <w:pPr>
              <w:rPr>
                <w:rFonts w:ascii="Palatino Linotype" w:hAnsi="Palatino Linotype"/>
                <w:color w:val="000000" w:themeColor="text1"/>
                <w:sz w:val="20"/>
                <w:szCs w:val="20"/>
              </w:rPr>
            </w:pPr>
            <w:r w:rsidRPr="00141BD5">
              <w:rPr>
                <w:rFonts w:ascii="Palatino Linotype" w:hAnsi="Palatino Linotype"/>
                <w:i/>
                <w:iCs/>
                <w:color w:val="000000" w:themeColor="text1"/>
                <w:sz w:val="20"/>
                <w:szCs w:val="20"/>
              </w:rPr>
              <w:t>4) In its annual research plan, PG&amp;E should explain how its proposals for low carbon research projects (rather than zero/no carbon projects) support the State’s aggressive zero-carbon goals</w:t>
            </w:r>
            <w:r w:rsidRPr="00141BD5">
              <w:rPr>
                <w:rFonts w:ascii="Palatino Linotype" w:hAnsi="Palatino Linotype"/>
                <w:color w:val="000000" w:themeColor="text1"/>
                <w:sz w:val="20"/>
                <w:szCs w:val="20"/>
              </w:rPr>
              <w:t>.</w:t>
            </w:r>
            <w:r w:rsidRPr="00141BD5">
              <w:rPr>
                <w:rStyle w:val="FootnoteReference"/>
                <w:rFonts w:ascii="Palatino Linotype" w:hAnsi="Palatino Linotype"/>
                <w:color w:val="000000" w:themeColor="text1"/>
                <w:sz w:val="20"/>
                <w:szCs w:val="20"/>
              </w:rPr>
              <w:footnoteReference w:id="247"/>
            </w:r>
          </w:p>
        </w:tc>
        <w:tc>
          <w:tcPr>
            <w:tcW w:w="4770" w:type="dxa"/>
          </w:tcPr>
          <w:p w:rsidRPr="00B63F6B" w:rsidR="008019CD" w:rsidRDefault="008019CD" w14:paraId="394F0F6C" w14:textId="77777777">
            <w:p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PG&amp;E states that “low</w:t>
            </w:r>
            <w:r w:rsidRPr="00B63F6B">
              <w:rPr>
                <w:rFonts w:ascii="Palatino Linotype" w:hAnsi="Palatino Linotype" w:eastAsia="Palatino Linotype" w:cs="Times New Roman"/>
                <w:sz w:val="20"/>
                <w:szCs w:val="20"/>
              </w:rPr>
              <w:t>-carbon RD&amp;D projects can play a crucial role in supporting California's aggressive zero carbon</w:t>
            </w:r>
            <w:r>
              <w:rPr>
                <w:rFonts w:ascii="Palatino Linotype" w:hAnsi="Palatino Linotype" w:eastAsia="Palatino Linotype" w:cs="Times New Roman"/>
                <w:sz w:val="20"/>
                <w:szCs w:val="20"/>
              </w:rPr>
              <w:t xml:space="preserve"> </w:t>
            </w:r>
            <w:r w:rsidRPr="00B63F6B">
              <w:rPr>
                <w:rFonts w:ascii="Palatino Linotype" w:hAnsi="Palatino Linotype" w:eastAsia="Palatino Linotype" w:cs="Times New Roman"/>
                <w:sz w:val="20"/>
                <w:szCs w:val="20"/>
              </w:rPr>
              <w:t>goals by acting as a transitional bridge between the current energy landscape and a zero- or -low carbon future.</w:t>
            </w:r>
          </w:p>
          <w:p w:rsidRPr="00B63F6B" w:rsidR="008019CD" w:rsidRDefault="008019CD" w14:paraId="290F854B" w14:textId="77777777">
            <w:pPr>
              <w:rPr>
                <w:rFonts w:ascii="Palatino Linotype" w:hAnsi="Palatino Linotype" w:eastAsia="Palatino Linotype" w:cs="Times New Roman"/>
                <w:sz w:val="20"/>
                <w:szCs w:val="20"/>
              </w:rPr>
            </w:pPr>
            <w:r w:rsidRPr="00B63F6B">
              <w:rPr>
                <w:rFonts w:ascii="Palatino Linotype" w:hAnsi="Palatino Linotype" w:eastAsia="Palatino Linotype" w:cs="Times New Roman"/>
                <w:sz w:val="20"/>
                <w:szCs w:val="20"/>
              </w:rPr>
              <w:lastRenderedPageBreak/>
              <w:t>These projects can address immediate emission reductions while laying the groundwork for more comprehensive,</w:t>
            </w:r>
          </w:p>
          <w:p w:rsidR="008019CD" w:rsidRDefault="008019CD" w14:paraId="537946AB" w14:textId="77777777">
            <w:pPr>
              <w:rPr>
                <w:rFonts w:ascii="Palatino Linotype" w:hAnsi="Palatino Linotype" w:eastAsia="Palatino Linotype" w:cs="Times New Roman"/>
                <w:sz w:val="20"/>
                <w:szCs w:val="20"/>
              </w:rPr>
            </w:pPr>
            <w:r w:rsidRPr="00B63F6B">
              <w:rPr>
                <w:rFonts w:ascii="Palatino Linotype" w:hAnsi="Palatino Linotype" w:eastAsia="Palatino Linotype" w:cs="Times New Roman"/>
                <w:sz w:val="20"/>
                <w:szCs w:val="20"/>
              </w:rPr>
              <w:t>long-term decarbonization strategies</w:t>
            </w:r>
            <w:r>
              <w:rPr>
                <w:rFonts w:ascii="Palatino Linotype" w:hAnsi="Palatino Linotype" w:eastAsia="Palatino Linotype" w:cs="Times New Roman"/>
                <w:sz w:val="20"/>
                <w:szCs w:val="20"/>
              </w:rPr>
              <w:t>.”</w:t>
            </w:r>
            <w:r>
              <w:rPr>
                <w:rStyle w:val="FootnoteReference"/>
                <w:rFonts w:ascii="Palatino Linotype" w:hAnsi="Palatino Linotype" w:eastAsia="Palatino Linotype" w:cs="Times New Roman"/>
                <w:sz w:val="20"/>
                <w:szCs w:val="20"/>
              </w:rPr>
              <w:footnoteReference w:id="248"/>
            </w:r>
            <w:r>
              <w:rPr>
                <w:rFonts w:ascii="Palatino Linotype" w:hAnsi="Palatino Linotype" w:eastAsia="Palatino Linotype" w:cs="Times New Roman"/>
                <w:sz w:val="20"/>
                <w:szCs w:val="20"/>
              </w:rPr>
              <w:t xml:space="preserve"> PG&amp;E argues that: </w:t>
            </w:r>
          </w:p>
          <w:p w:rsidR="008019CD" w:rsidP="008019CD" w:rsidRDefault="008019CD" w14:paraId="6E98DF57" w14:textId="77777777">
            <w:pPr>
              <w:pStyle w:val="ListParagraph"/>
              <w:numPr>
                <w:ilvl w:val="0"/>
                <w:numId w:val="50"/>
              </w:num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 xml:space="preserve">Low-carbon projects </w:t>
            </w:r>
            <w:r w:rsidRPr="0072770C">
              <w:rPr>
                <w:rFonts w:ascii="Palatino Linotype" w:hAnsi="Palatino Linotype" w:eastAsia="Palatino Linotype" w:cs="Times New Roman"/>
                <w:sz w:val="20"/>
                <w:szCs w:val="20"/>
              </w:rPr>
              <w:t>which provide incremental methane emissions reductions from existing gas infrastructure and operations “still represent a substantial improvement over current emission levels.”</w:t>
            </w:r>
          </w:p>
          <w:p w:rsidR="008019CD" w:rsidP="008019CD" w:rsidRDefault="008019CD" w14:paraId="79BD08E9" w14:textId="77777777">
            <w:pPr>
              <w:pStyle w:val="ListParagraph"/>
              <w:numPr>
                <w:ilvl w:val="0"/>
                <w:numId w:val="50"/>
              </w:numPr>
              <w:rPr>
                <w:rFonts w:ascii="Palatino Linotype" w:hAnsi="Palatino Linotype" w:eastAsia="Palatino Linotype" w:cs="Times New Roman"/>
                <w:sz w:val="20"/>
                <w:szCs w:val="20"/>
              </w:rPr>
            </w:pPr>
            <w:r w:rsidRPr="0072770C">
              <w:rPr>
                <w:rFonts w:ascii="Palatino Linotype" w:hAnsi="Palatino Linotype" w:eastAsia="Palatino Linotype" w:cs="Times New Roman"/>
                <w:sz w:val="20"/>
                <w:szCs w:val="20"/>
              </w:rPr>
              <w:t>“</w:t>
            </w:r>
            <w:r>
              <w:rPr>
                <w:rFonts w:ascii="Palatino Linotype" w:hAnsi="Palatino Linotype" w:eastAsia="Palatino Linotype" w:cs="Times New Roman"/>
                <w:sz w:val="20"/>
                <w:szCs w:val="20"/>
              </w:rPr>
              <w:t>L</w:t>
            </w:r>
            <w:r w:rsidRPr="0072770C">
              <w:rPr>
                <w:rFonts w:ascii="Palatino Linotype" w:hAnsi="Palatino Linotype" w:eastAsia="Palatino Linotype" w:cs="Times New Roman"/>
                <w:sz w:val="20"/>
                <w:szCs w:val="20"/>
              </w:rPr>
              <w:t>ow-carbon fuels can be integrated into the existing gas infrastructure, providing an immediate reduction in emissions while maintaining energy reliability and affordability.”</w:t>
            </w:r>
          </w:p>
          <w:p w:rsidR="008019CD" w:rsidP="008019CD" w:rsidRDefault="008019CD" w14:paraId="640BB9AB" w14:textId="77777777">
            <w:pPr>
              <w:pStyle w:val="ListParagraph"/>
              <w:numPr>
                <w:ilvl w:val="0"/>
                <w:numId w:val="50"/>
              </w:numPr>
              <w:rPr>
                <w:rFonts w:ascii="Palatino Linotype" w:hAnsi="Palatino Linotype" w:eastAsia="Palatino Linotype" w:cs="Times New Roman"/>
                <w:sz w:val="20"/>
                <w:szCs w:val="20"/>
              </w:rPr>
            </w:pPr>
            <w:r w:rsidRPr="00AE0FC4">
              <w:rPr>
                <w:rFonts w:ascii="Palatino Linotype" w:hAnsi="Palatino Linotype" w:eastAsia="Palatino Linotype" w:cs="Times New Roman"/>
                <w:sz w:val="20"/>
                <w:szCs w:val="20"/>
              </w:rPr>
              <w:t>“By developing low-carbon solutions that can be implemented within the existing energy framework, utilities can attempt to avoid economic disruption that might accompany a rapid shift to zero-carbon technologies.”</w:t>
            </w:r>
          </w:p>
          <w:p w:rsidR="008019CD" w:rsidP="008019CD" w:rsidRDefault="008019CD" w14:paraId="30DECC09" w14:textId="77777777">
            <w:pPr>
              <w:pStyle w:val="ListParagraph"/>
              <w:numPr>
                <w:ilvl w:val="0"/>
                <w:numId w:val="50"/>
              </w:numPr>
              <w:rPr>
                <w:rFonts w:ascii="Palatino Linotype" w:hAnsi="Palatino Linotype" w:eastAsia="Palatino Linotype" w:cs="Times New Roman"/>
                <w:sz w:val="20"/>
                <w:szCs w:val="20"/>
              </w:rPr>
            </w:pPr>
            <w:r>
              <w:rPr>
                <w:rFonts w:ascii="Palatino Linotype" w:hAnsi="Palatino Linotype" w:eastAsia="Palatino Linotype" w:cs="Times New Roman"/>
                <w:sz w:val="20"/>
                <w:szCs w:val="20"/>
              </w:rPr>
              <w:t>Low-carbon projects can “</w:t>
            </w:r>
            <w:r w:rsidRPr="00766406">
              <w:rPr>
                <w:rFonts w:ascii="Palatino Linotype" w:hAnsi="Palatino Linotype" w:eastAsia="Palatino Linotype" w:cs="Times New Roman"/>
                <w:sz w:val="20"/>
                <w:szCs w:val="20"/>
              </w:rPr>
              <w:t>allow for the gradual adaptation of</w:t>
            </w:r>
            <w:r>
              <w:rPr>
                <w:rFonts w:ascii="Palatino Linotype" w:hAnsi="Palatino Linotype" w:eastAsia="Palatino Linotype" w:cs="Times New Roman"/>
                <w:sz w:val="20"/>
                <w:szCs w:val="20"/>
              </w:rPr>
              <w:t xml:space="preserve"> </w:t>
            </w:r>
            <w:r w:rsidRPr="00766406">
              <w:rPr>
                <w:rFonts w:ascii="Palatino Linotype" w:hAnsi="Palatino Linotype" w:eastAsia="Palatino Linotype" w:cs="Times New Roman"/>
                <w:sz w:val="20"/>
                <w:szCs w:val="20"/>
              </w:rPr>
              <w:t>infrastructure, market mechanisms, and consumer behavior</w:t>
            </w:r>
            <w:r>
              <w:rPr>
                <w:rFonts w:ascii="Palatino Linotype" w:hAnsi="Palatino Linotype" w:eastAsia="Palatino Linotype" w:cs="Times New Roman"/>
                <w:sz w:val="20"/>
                <w:szCs w:val="20"/>
              </w:rPr>
              <w:t>.”</w:t>
            </w:r>
          </w:p>
          <w:p w:rsidRPr="004C42F0" w:rsidR="008019CD" w:rsidP="008019CD" w:rsidRDefault="008019CD" w14:paraId="6E4632DC" w14:textId="77777777">
            <w:pPr>
              <w:pStyle w:val="ListParagraph"/>
              <w:numPr>
                <w:ilvl w:val="0"/>
                <w:numId w:val="50"/>
              </w:numPr>
              <w:rPr>
                <w:rFonts w:ascii="Palatino Linotype" w:hAnsi="Palatino Linotype" w:eastAsia="Palatino Linotype" w:cs="Times New Roman"/>
                <w:sz w:val="20"/>
                <w:szCs w:val="20"/>
              </w:rPr>
            </w:pPr>
            <w:r w:rsidRPr="004C42F0">
              <w:rPr>
                <w:rFonts w:ascii="Palatino Linotype" w:hAnsi="Palatino Linotype" w:eastAsia="Palatino Linotype" w:cs="Times New Roman"/>
                <w:sz w:val="20"/>
                <w:szCs w:val="20"/>
              </w:rPr>
              <w:t xml:space="preserve">“Low-carbon R&amp;D projects align with state policies that mandate gradual emission </w:t>
            </w:r>
            <w:r w:rsidRPr="004C42F0">
              <w:rPr>
                <w:rFonts w:ascii="Palatino Linotype" w:hAnsi="Palatino Linotype" w:eastAsia="Palatino Linotype" w:cs="Times New Roman"/>
                <w:sz w:val="20"/>
                <w:szCs w:val="20"/>
              </w:rPr>
              <w:lastRenderedPageBreak/>
              <w:t>reductions and support for renewable energy sources.”</w:t>
            </w:r>
            <w:r>
              <w:rPr>
                <w:rStyle w:val="FootnoteReference"/>
                <w:rFonts w:ascii="Palatino Linotype" w:hAnsi="Palatino Linotype" w:eastAsia="Palatino Linotype" w:cs="Times New Roman"/>
                <w:sz w:val="20"/>
                <w:szCs w:val="20"/>
              </w:rPr>
              <w:footnoteReference w:id="249"/>
            </w:r>
          </w:p>
        </w:tc>
        <w:tc>
          <w:tcPr>
            <w:tcW w:w="4320" w:type="dxa"/>
          </w:tcPr>
          <w:p w:rsidR="008019CD" w:rsidRDefault="008019CD" w14:paraId="161A079A" w14:textId="00AD3C2C">
            <w:pPr>
              <w:rPr>
                <w:rFonts w:ascii="Palatino Linotype" w:hAnsi="Palatino Linotype"/>
                <w:b/>
                <w:bCs w:val="0"/>
                <w:color w:val="000000" w:themeColor="text1"/>
                <w:sz w:val="20"/>
                <w:szCs w:val="20"/>
              </w:rPr>
            </w:pPr>
            <w:r w:rsidRPr="00A66CA1">
              <w:rPr>
                <w:rFonts w:ascii="Palatino Linotype" w:hAnsi="Palatino Linotype"/>
                <w:color w:val="000000" w:themeColor="text1"/>
                <w:sz w:val="20"/>
                <w:szCs w:val="20"/>
              </w:rPr>
              <w:lastRenderedPageBreak/>
              <w:t xml:space="preserve">PG&amp;E </w:t>
            </w:r>
            <w:r w:rsidR="004447F1">
              <w:rPr>
                <w:rFonts w:ascii="Palatino Linotype" w:hAnsi="Palatino Linotype"/>
                <w:color w:val="000000" w:themeColor="text1"/>
                <w:sz w:val="20"/>
                <w:szCs w:val="20"/>
              </w:rPr>
              <w:t>sufficiently</w:t>
            </w:r>
            <w:r w:rsidRPr="00A66CA1">
              <w:rPr>
                <w:rFonts w:ascii="Palatino Linotype" w:hAnsi="Palatino Linotype"/>
                <w:color w:val="000000" w:themeColor="text1"/>
                <w:sz w:val="20"/>
                <w:szCs w:val="20"/>
              </w:rPr>
              <w:t xml:space="preserve"> articulates</w:t>
            </w:r>
            <w:r>
              <w:rPr>
                <w:rFonts w:ascii="Palatino Linotype" w:hAnsi="Palatino Linotype"/>
                <w:color w:val="000000" w:themeColor="text1"/>
                <w:sz w:val="20"/>
                <w:szCs w:val="20"/>
              </w:rPr>
              <w:t xml:space="preserve"> how it seeks to develop low-carbon projects to support California’s zero-carbon goals while providing ratepayer benefit such as reliability and affordability. </w:t>
            </w:r>
            <w:r w:rsidRPr="004E0E0F">
              <w:rPr>
                <w:rFonts w:ascii="Palatino Linotype" w:hAnsi="Palatino Linotype"/>
                <w:b/>
                <w:bCs w:val="0"/>
                <w:color w:val="000000" w:themeColor="text1"/>
                <w:sz w:val="20"/>
                <w:szCs w:val="20"/>
              </w:rPr>
              <w:t>PG&amp;E is compliant with this requirement.</w:t>
            </w:r>
          </w:p>
          <w:p w:rsidR="008019CD" w:rsidRDefault="008019CD" w14:paraId="7FA26526" w14:textId="77777777">
            <w:pPr>
              <w:rPr>
                <w:rFonts w:ascii="Palatino Linotype" w:hAnsi="Palatino Linotype"/>
                <w:b/>
                <w:bCs w:val="0"/>
                <w:color w:val="000000" w:themeColor="text1"/>
                <w:sz w:val="20"/>
                <w:szCs w:val="20"/>
              </w:rPr>
            </w:pPr>
          </w:p>
          <w:p w:rsidRPr="00AD0E0A" w:rsidR="008019CD" w:rsidRDefault="008019CD" w14:paraId="140F6A94" w14:textId="00EFFC72">
            <w:pPr>
              <w:rPr>
                <w:rFonts w:ascii="Palatino Linotype" w:hAnsi="Palatino Linotype"/>
                <w:color w:val="0070C0"/>
                <w:sz w:val="20"/>
                <w:szCs w:val="20"/>
              </w:rPr>
            </w:pPr>
            <w:r w:rsidRPr="00AD0E0A">
              <w:rPr>
                <w:rFonts w:ascii="Palatino Linotype" w:hAnsi="Palatino Linotype"/>
                <w:color w:val="000000" w:themeColor="text1"/>
                <w:sz w:val="20"/>
                <w:szCs w:val="20"/>
              </w:rPr>
              <w:lastRenderedPageBreak/>
              <w:t xml:space="preserve">PG&amp;E, however, should strive to focus and prioritize its RD&amp;D budget on developing zero-carbon projects to accelerate progress towards meeting California’s zero-carbon goals, align with Commission policies and proceedings, and optimally benefit ratepayers. </w:t>
            </w:r>
            <w:r w:rsidRPr="000113C8">
              <w:rPr>
                <w:rFonts w:ascii="Palatino Linotype" w:hAnsi="Palatino Linotype"/>
                <w:color w:val="000000" w:themeColor="text1"/>
                <w:sz w:val="20"/>
                <w:szCs w:val="20"/>
              </w:rPr>
              <w:t xml:space="preserve">Going forward, PG&amp;E </w:t>
            </w:r>
            <w:r w:rsidRPr="000113C8" w:rsidR="1BF8A1B0">
              <w:rPr>
                <w:rFonts w:ascii="Palatino Linotype" w:hAnsi="Palatino Linotype"/>
                <w:color w:val="000000" w:themeColor="text1"/>
                <w:sz w:val="20"/>
                <w:szCs w:val="20"/>
              </w:rPr>
              <w:t>should</w:t>
            </w:r>
            <w:r w:rsidRPr="000113C8" w:rsidR="187BB874">
              <w:rPr>
                <w:rFonts w:ascii="Palatino Linotype" w:hAnsi="Palatino Linotype"/>
                <w:color w:val="000000" w:themeColor="text1"/>
                <w:sz w:val="20"/>
                <w:szCs w:val="20"/>
              </w:rPr>
              <w:t xml:space="preserve"> </w:t>
            </w:r>
            <w:r w:rsidRPr="000113C8" w:rsidR="00B35EA5">
              <w:rPr>
                <w:rFonts w:ascii="Palatino Linotype" w:hAnsi="Palatino Linotype"/>
                <w:color w:val="000000" w:themeColor="text1"/>
                <w:sz w:val="20"/>
                <w:szCs w:val="20"/>
              </w:rPr>
              <w:t>strive to propose zero carbon projects or</w:t>
            </w:r>
            <w:r w:rsidRPr="000113C8">
              <w:rPr>
                <w:rFonts w:ascii="Palatino Linotype" w:hAnsi="Palatino Linotype"/>
                <w:color w:val="000000" w:themeColor="text1"/>
                <w:sz w:val="20"/>
                <w:szCs w:val="20"/>
              </w:rPr>
              <w:t xml:space="preserve"> </w:t>
            </w:r>
            <w:r w:rsidRPr="000113C8" w:rsidR="5642EB10">
              <w:rPr>
                <w:rFonts w:ascii="Palatino Linotype" w:hAnsi="Palatino Linotype"/>
                <w:color w:val="000000" w:themeColor="text1"/>
                <w:sz w:val="20"/>
                <w:szCs w:val="20"/>
              </w:rPr>
              <w:t>otherwise</w:t>
            </w:r>
            <w:r w:rsidRPr="000113C8">
              <w:rPr>
                <w:rFonts w:ascii="Palatino Linotype" w:hAnsi="Palatino Linotype"/>
                <w:color w:val="000000" w:themeColor="text1"/>
                <w:sz w:val="20"/>
                <w:szCs w:val="20"/>
              </w:rPr>
              <w:t xml:space="preserve"> </w:t>
            </w:r>
            <w:r w:rsidRPr="000113C8" w:rsidR="00B8097E">
              <w:rPr>
                <w:rFonts w:ascii="Palatino Linotype" w:hAnsi="Palatino Linotype"/>
                <w:color w:val="000000" w:themeColor="text1"/>
                <w:sz w:val="20"/>
                <w:szCs w:val="20"/>
              </w:rPr>
              <w:t>justify</w:t>
            </w:r>
            <w:r w:rsidRPr="000113C8" w:rsidR="00253CFB">
              <w:rPr>
                <w:rFonts w:ascii="Palatino Linotype" w:hAnsi="Palatino Linotype"/>
                <w:color w:val="000000" w:themeColor="text1"/>
                <w:sz w:val="20"/>
                <w:szCs w:val="20"/>
              </w:rPr>
              <w:t xml:space="preserve"> why zero carbon RD&amp;D projects are not possible and</w:t>
            </w:r>
            <w:r w:rsidRPr="000113C8">
              <w:rPr>
                <w:rFonts w:ascii="Palatino Linotype" w:hAnsi="Palatino Linotype"/>
                <w:color w:val="000000" w:themeColor="text1"/>
                <w:sz w:val="20"/>
                <w:szCs w:val="20"/>
              </w:rPr>
              <w:t xml:space="preserve"> how these projects will promote the transition to zero-carbon research and outcomes. </w:t>
            </w:r>
          </w:p>
        </w:tc>
      </w:tr>
      <w:tr w:rsidR="00534A20" w:rsidTr="00534A20" w14:paraId="546D9BE9" w14:textId="77777777">
        <w:tc>
          <w:tcPr>
            <w:tcW w:w="3865" w:type="dxa"/>
          </w:tcPr>
          <w:p w:rsidRPr="00C91C0D" w:rsidR="008019CD" w:rsidRDefault="008019CD" w14:paraId="5C478A66" w14:textId="77777777">
            <w:pPr>
              <w:rPr>
                <w:rFonts w:ascii="Palatino Linotype" w:hAnsi="Palatino Linotype"/>
                <w:sz w:val="20"/>
                <w:szCs w:val="20"/>
              </w:rPr>
            </w:pPr>
            <w:r>
              <w:rPr>
                <w:rFonts w:ascii="Palatino Linotype" w:hAnsi="Palatino Linotype"/>
                <w:i/>
                <w:iCs/>
                <w:color w:val="000000" w:themeColor="text1"/>
                <w:sz w:val="20"/>
                <w:szCs w:val="20"/>
              </w:rPr>
              <w:lastRenderedPageBreak/>
              <w:t xml:space="preserve">(5) </w:t>
            </w:r>
            <w:r w:rsidRPr="00B97E19">
              <w:rPr>
                <w:rFonts w:ascii="Palatino Linotype" w:hAnsi="Palatino Linotype"/>
                <w:i/>
                <w:iCs/>
                <w:color w:val="000000" w:themeColor="text1"/>
                <w:sz w:val="20"/>
                <w:szCs w:val="20"/>
              </w:rPr>
              <w:t>The annual research plan should include information on funds encumbered, spent, and unspent. The plan should also outline co-funding and collaborative partners and explain how P&amp;GE engages with diverse academic populations. Further, PG&amp;E should describe how its research plan will benefit underserved communities</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250"/>
            </w:r>
          </w:p>
        </w:tc>
        <w:tc>
          <w:tcPr>
            <w:tcW w:w="4770" w:type="dxa"/>
          </w:tcPr>
          <w:p w:rsidRPr="00221DB9" w:rsidR="008019CD" w:rsidRDefault="008019CD" w14:paraId="1A047B69" w14:textId="497FEE41">
            <w:pPr>
              <w:rPr>
                <w:rFonts w:ascii="Palatino Linotype" w:hAnsi="Palatino Linotype" w:eastAsia="Palatino Linotype" w:cs="Times New Roman"/>
                <w:color w:val="0070C0"/>
                <w:sz w:val="20"/>
                <w:szCs w:val="20"/>
              </w:rPr>
            </w:pPr>
            <w:r w:rsidRPr="00E91D6E">
              <w:rPr>
                <w:rFonts w:ascii="Palatino Linotype" w:hAnsi="Palatino Linotype" w:eastAsia="Palatino Linotype" w:cs="Times New Roman"/>
                <w:sz w:val="20"/>
                <w:szCs w:val="20"/>
              </w:rPr>
              <w:t xml:space="preserve">PG&amp;E conducted targeted interviews </w:t>
            </w:r>
            <w:r w:rsidRPr="00164C5A">
              <w:rPr>
                <w:rFonts w:ascii="Palatino Linotype" w:hAnsi="Palatino Linotype" w:eastAsia="Palatino Linotype" w:cs="Times New Roman"/>
                <w:color w:val="000000" w:themeColor="text1"/>
                <w:sz w:val="20"/>
                <w:szCs w:val="20"/>
              </w:rPr>
              <w:t xml:space="preserve">with six different </w:t>
            </w:r>
            <w:r w:rsidRPr="00E91D6E">
              <w:rPr>
                <w:rFonts w:ascii="Palatino Linotype" w:hAnsi="Palatino Linotype" w:eastAsia="Palatino Linotype" w:cs="Times New Roman"/>
                <w:sz w:val="20"/>
                <w:szCs w:val="20"/>
              </w:rPr>
              <w:t>organization</w:t>
            </w:r>
            <w:r>
              <w:rPr>
                <w:rFonts w:ascii="Palatino Linotype" w:hAnsi="Palatino Linotype" w:eastAsia="Palatino Linotype" w:cs="Times New Roman"/>
                <w:sz w:val="20"/>
                <w:szCs w:val="20"/>
              </w:rPr>
              <w:t>s</w:t>
            </w:r>
            <w:r w:rsidRPr="00E91D6E">
              <w:rPr>
                <w:rFonts w:ascii="Palatino Linotype" w:hAnsi="Palatino Linotype" w:eastAsia="Palatino Linotype" w:cs="Times New Roman"/>
                <w:sz w:val="20"/>
                <w:szCs w:val="20"/>
              </w:rPr>
              <w:t xml:space="preserve"> in 202</w:t>
            </w:r>
            <w:r>
              <w:rPr>
                <w:rFonts w:ascii="Palatino Linotype" w:hAnsi="Palatino Linotype" w:eastAsia="Palatino Linotype" w:cs="Times New Roman"/>
                <w:sz w:val="20"/>
                <w:szCs w:val="20"/>
              </w:rPr>
              <w:t>5</w:t>
            </w:r>
            <w:r w:rsidRPr="00E91D6E">
              <w:rPr>
                <w:rFonts w:ascii="Palatino Linotype" w:hAnsi="Palatino Linotype" w:eastAsia="Palatino Linotype" w:cs="Times New Roman"/>
                <w:sz w:val="20"/>
                <w:szCs w:val="20"/>
              </w:rPr>
              <w:t>, including University of California Riverside</w:t>
            </w:r>
            <w:r>
              <w:rPr>
                <w:rFonts w:ascii="Palatino Linotype" w:hAnsi="Palatino Linotype" w:eastAsia="Palatino Linotype" w:cs="Times New Roman"/>
                <w:sz w:val="20"/>
                <w:szCs w:val="20"/>
              </w:rPr>
              <w:t xml:space="preserve"> and </w:t>
            </w:r>
            <w:r w:rsidRPr="00E91D6E">
              <w:rPr>
                <w:rFonts w:ascii="Palatino Linotype" w:hAnsi="Palatino Linotype" w:eastAsia="Palatino Linotype" w:cs="Times New Roman"/>
                <w:sz w:val="20"/>
                <w:szCs w:val="20"/>
              </w:rPr>
              <w:t>Irvine.</w:t>
            </w:r>
            <w:r w:rsidRPr="00E91D6E">
              <w:rPr>
                <w:rStyle w:val="FootnoteReference"/>
                <w:rFonts w:ascii="Palatino Linotype" w:hAnsi="Palatino Linotype" w:eastAsia="Palatino Linotype" w:cs="Times New Roman"/>
                <w:sz w:val="20"/>
                <w:szCs w:val="20"/>
              </w:rPr>
              <w:footnoteReference w:id="251"/>
            </w:r>
            <w:r>
              <w:rPr>
                <w:rFonts w:ascii="Palatino Linotype" w:hAnsi="Palatino Linotype" w:eastAsia="Palatino Linotype" w:cs="Times New Roman"/>
                <w:sz w:val="20"/>
                <w:szCs w:val="20"/>
              </w:rPr>
              <w:t xml:space="preserve"> </w:t>
            </w:r>
            <w:r w:rsidRPr="00E91D6E">
              <w:rPr>
                <w:rFonts w:ascii="Palatino Linotype" w:hAnsi="Palatino Linotype" w:eastAsia="Palatino Linotype" w:cs="Times New Roman"/>
                <w:sz w:val="20"/>
                <w:szCs w:val="20"/>
              </w:rPr>
              <w:t>PG&amp;E describe</w:t>
            </w:r>
            <w:r>
              <w:rPr>
                <w:rFonts w:ascii="Palatino Linotype" w:hAnsi="Palatino Linotype" w:eastAsia="Palatino Linotype" w:cs="Times New Roman"/>
                <w:sz w:val="20"/>
                <w:szCs w:val="20"/>
              </w:rPr>
              <w:t>s</w:t>
            </w:r>
            <w:r w:rsidRPr="00E91D6E">
              <w:rPr>
                <w:rFonts w:ascii="Palatino Linotype" w:hAnsi="Palatino Linotype" w:eastAsia="Palatino Linotype" w:cs="Times New Roman"/>
                <w:sz w:val="20"/>
                <w:szCs w:val="20"/>
              </w:rPr>
              <w:t xml:space="preserve"> its collaborative partners, including public agencies, research consortia, national laboratories, and universities.</w:t>
            </w:r>
            <w:r w:rsidRPr="00E91D6E">
              <w:rPr>
                <w:rStyle w:val="FootnoteReference"/>
                <w:rFonts w:ascii="Palatino Linotype" w:hAnsi="Palatino Linotype" w:eastAsia="Palatino Linotype" w:cs="Times New Roman"/>
                <w:sz w:val="20"/>
                <w:szCs w:val="20"/>
              </w:rPr>
              <w:footnoteReference w:id="252"/>
            </w:r>
            <w:r w:rsidRPr="00E91D6E">
              <w:rPr>
                <w:rFonts w:ascii="Palatino Linotype" w:hAnsi="Palatino Linotype" w:eastAsia="Palatino Linotype" w:cs="Times New Roman"/>
                <w:sz w:val="20"/>
                <w:szCs w:val="20"/>
              </w:rPr>
              <w:t xml:space="preserve"> </w:t>
            </w:r>
            <w:r w:rsidRPr="00701127">
              <w:rPr>
                <w:rFonts w:ascii="Palatino Linotype" w:hAnsi="Palatino Linotype"/>
                <w:color w:val="000000" w:themeColor="text1"/>
                <w:sz w:val="20"/>
                <w:szCs w:val="20"/>
              </w:rPr>
              <w:t xml:space="preserve">PG&amp;E provides minimal detail and </w:t>
            </w:r>
            <w:r>
              <w:rPr>
                <w:rFonts w:ascii="Palatino Linotype" w:hAnsi="Palatino Linotype"/>
                <w:color w:val="000000" w:themeColor="text1"/>
                <w:sz w:val="20"/>
                <w:szCs w:val="20"/>
              </w:rPr>
              <w:t>largely</w:t>
            </w:r>
            <w:r w:rsidRPr="00701127">
              <w:rPr>
                <w:rFonts w:ascii="Palatino Linotype" w:hAnsi="Palatino Linotype"/>
                <w:color w:val="000000" w:themeColor="text1"/>
                <w:sz w:val="20"/>
                <w:szCs w:val="20"/>
              </w:rPr>
              <w:t xml:space="preserve"> defines its expected role in each initiative as </w:t>
            </w:r>
            <w:r>
              <w:rPr>
                <w:rFonts w:ascii="Palatino Linotype" w:hAnsi="Palatino Linotype"/>
                <w:color w:val="000000" w:themeColor="text1"/>
                <w:sz w:val="20"/>
                <w:szCs w:val="20"/>
              </w:rPr>
              <w:t>“[</w:t>
            </w:r>
            <w:r w:rsidRPr="00701127">
              <w:rPr>
                <w:rFonts w:ascii="Palatino Linotype" w:hAnsi="Palatino Linotype"/>
                <w:color w:val="000000" w:themeColor="text1"/>
                <w:sz w:val="20"/>
                <w:szCs w:val="20"/>
              </w:rPr>
              <w:t>leading</w:t>
            </w:r>
            <w:r>
              <w:rPr>
                <w:rFonts w:ascii="Palatino Linotype" w:hAnsi="Palatino Linotype"/>
                <w:color w:val="000000" w:themeColor="text1"/>
                <w:sz w:val="20"/>
                <w:szCs w:val="20"/>
              </w:rPr>
              <w:t xml:space="preserve">] </w:t>
            </w:r>
            <w:r w:rsidRPr="00701127">
              <w:rPr>
                <w:rFonts w:ascii="Palatino Linotype" w:hAnsi="Palatino Linotype"/>
                <w:color w:val="000000" w:themeColor="text1"/>
                <w:sz w:val="20"/>
                <w:szCs w:val="20"/>
              </w:rPr>
              <w:t>research for the development, evaluation, and field testing of new industry technologies,”</w:t>
            </w:r>
            <w:r w:rsidRPr="00701127">
              <w:rPr>
                <w:rStyle w:val="FootnoteReference"/>
                <w:rFonts w:ascii="Palatino Linotype" w:hAnsi="Palatino Linotype"/>
                <w:color w:val="000000" w:themeColor="text1"/>
                <w:sz w:val="20"/>
                <w:szCs w:val="20"/>
              </w:rPr>
              <w:footnoteReference w:id="253"/>
            </w:r>
            <w:r w:rsidRPr="00701127">
              <w:rPr>
                <w:rFonts w:ascii="Palatino Linotype" w:hAnsi="Palatino Linotype"/>
                <w:color w:val="000000" w:themeColor="text1"/>
                <w:sz w:val="20"/>
                <w:szCs w:val="20"/>
              </w:rPr>
              <w:t xml:space="preserve"> citing additional though incomplete information in </w:t>
            </w:r>
            <w:r>
              <w:rPr>
                <w:rFonts w:ascii="Palatino Linotype" w:hAnsi="Palatino Linotype"/>
                <w:color w:val="000000" w:themeColor="text1"/>
                <w:sz w:val="20"/>
                <w:szCs w:val="20"/>
              </w:rPr>
              <w:t xml:space="preserve">a </w:t>
            </w:r>
            <w:r w:rsidRPr="005723D1">
              <w:rPr>
                <w:rFonts w:ascii="Palatino Linotype" w:hAnsi="Palatino Linotype"/>
                <w:color w:val="000000" w:themeColor="text1"/>
                <w:sz w:val="20"/>
                <w:szCs w:val="20"/>
              </w:rPr>
              <w:t>Gas RD&amp;D Project List.</w:t>
            </w:r>
            <w:r w:rsidRPr="005723D1">
              <w:rPr>
                <w:rStyle w:val="FootnoteReference"/>
                <w:rFonts w:ascii="Palatino Linotype" w:hAnsi="Palatino Linotype"/>
                <w:color w:val="000000" w:themeColor="text1"/>
                <w:sz w:val="20"/>
                <w:szCs w:val="20"/>
              </w:rPr>
              <w:footnoteReference w:id="254"/>
            </w:r>
            <w:r w:rsidRPr="005723D1">
              <w:rPr>
                <w:rFonts w:ascii="Palatino Linotype" w:hAnsi="Palatino Linotype"/>
                <w:color w:val="000000" w:themeColor="text1"/>
                <w:sz w:val="20"/>
                <w:szCs w:val="20"/>
              </w:rPr>
              <w:t xml:space="preserve"> This list </w:t>
            </w:r>
            <w:r w:rsidRPr="005723D1">
              <w:rPr>
                <w:rFonts w:ascii="Palatino Linotype" w:hAnsi="Palatino Linotype" w:eastAsia="Palatino Linotype" w:cs="Times New Roman"/>
                <w:color w:val="000000" w:themeColor="text1"/>
                <w:sz w:val="20"/>
                <w:szCs w:val="20"/>
              </w:rPr>
              <w:t xml:space="preserve">includes information on funds encumbered, spent, and unspent for projects that commenced or are anticipated to </w:t>
            </w:r>
            <w:r w:rsidRPr="00164C5A">
              <w:rPr>
                <w:rFonts w:ascii="Palatino Linotype" w:hAnsi="Palatino Linotype" w:eastAsia="Palatino Linotype" w:cs="Times New Roman"/>
                <w:color w:val="000000" w:themeColor="text1"/>
                <w:sz w:val="20"/>
                <w:szCs w:val="20"/>
              </w:rPr>
              <w:t>commence between 2021 and 2025.</w:t>
            </w:r>
            <w:r w:rsidRPr="00164C5A">
              <w:rPr>
                <w:rStyle w:val="FootnoteReference"/>
                <w:rFonts w:ascii="Palatino Linotype" w:hAnsi="Palatino Linotype" w:eastAsia="Palatino Linotype" w:cs="Times New Roman"/>
                <w:color w:val="000000" w:themeColor="text1"/>
                <w:sz w:val="20"/>
                <w:szCs w:val="20"/>
              </w:rPr>
              <w:footnoteReference w:id="255"/>
            </w:r>
            <w:r w:rsidRPr="00164C5A">
              <w:rPr>
                <w:rFonts w:ascii="Palatino Linotype" w:hAnsi="Palatino Linotype" w:eastAsia="Palatino Linotype" w:cs="Times New Roman"/>
                <w:color w:val="000000" w:themeColor="text1"/>
                <w:sz w:val="20"/>
                <w:szCs w:val="20"/>
              </w:rPr>
              <w:t xml:space="preserve"> PG&amp;E states that the leveraged co-funding opportunities amounted to every dollar of Gas RD&amp;D funding expended on projects being matched by $22 of </w:t>
            </w:r>
            <w:r w:rsidRPr="00164C5A">
              <w:rPr>
                <w:rFonts w:ascii="Palatino Linotype" w:hAnsi="Palatino Linotype" w:eastAsia="Palatino Linotype" w:cs="Times New Roman"/>
                <w:color w:val="000000" w:themeColor="text1"/>
                <w:sz w:val="20"/>
                <w:szCs w:val="20"/>
              </w:rPr>
              <w:lastRenderedPageBreak/>
              <w:t>funding from other sources in calendar year 2024.</w:t>
            </w:r>
            <w:r w:rsidRPr="00164C5A">
              <w:rPr>
                <w:rStyle w:val="FootnoteReference"/>
                <w:rFonts w:ascii="Palatino Linotype" w:hAnsi="Palatino Linotype" w:eastAsia="Palatino Linotype" w:cs="Times New Roman"/>
                <w:color w:val="000000" w:themeColor="text1"/>
                <w:sz w:val="20"/>
                <w:szCs w:val="20"/>
              </w:rPr>
              <w:footnoteReference w:id="256"/>
            </w:r>
            <w:r w:rsidRPr="00164C5A">
              <w:rPr>
                <w:rFonts w:ascii="Palatino Linotype" w:hAnsi="Palatino Linotype" w:eastAsia="Palatino Linotype" w:cs="Times New Roman"/>
                <w:color w:val="000000" w:themeColor="text1"/>
                <w:sz w:val="20"/>
                <w:szCs w:val="20"/>
              </w:rPr>
              <w:t xml:space="preserve"> </w:t>
            </w:r>
          </w:p>
        </w:tc>
        <w:tc>
          <w:tcPr>
            <w:tcW w:w="4320" w:type="dxa"/>
          </w:tcPr>
          <w:p w:rsidR="008019CD" w:rsidRDefault="008019CD" w14:paraId="38FF230B" w14:textId="5359CC9E">
            <w:pPr>
              <w:rPr>
                <w:rFonts w:ascii="Palatino Linotype" w:hAnsi="Palatino Linotype"/>
                <w:color w:val="000000" w:themeColor="text1"/>
                <w:sz w:val="20"/>
                <w:szCs w:val="20"/>
              </w:rPr>
            </w:pPr>
            <w:r w:rsidRPr="005F1235">
              <w:rPr>
                <w:rFonts w:ascii="Palatino Linotype" w:hAnsi="Palatino Linotype"/>
                <w:color w:val="000000" w:themeColor="text1"/>
                <w:sz w:val="20"/>
                <w:szCs w:val="20"/>
              </w:rPr>
              <w:lastRenderedPageBreak/>
              <w:t>PG&amp;E did not provide the necessary detail at the Initiative level.</w:t>
            </w:r>
            <w:r w:rsidRPr="00C870D0">
              <w:rPr>
                <w:rFonts w:ascii="Palatino Linotype" w:hAnsi="Palatino Linotype"/>
                <w:color w:val="000000" w:themeColor="text1"/>
                <w:sz w:val="20"/>
                <w:szCs w:val="20"/>
              </w:rPr>
              <w:t xml:space="preserve"> </w:t>
            </w:r>
            <w:r w:rsidRPr="00C870D0" w:rsidR="29884988">
              <w:rPr>
                <w:rFonts w:ascii="Palatino Linotype" w:hAnsi="Palatino Linotype"/>
                <w:color w:val="000000" w:themeColor="text1"/>
                <w:sz w:val="20"/>
                <w:szCs w:val="20"/>
              </w:rPr>
              <w:t>Additional information</w:t>
            </w:r>
            <w:r w:rsidRPr="00C870D0" w:rsidR="1DF2412F">
              <w:rPr>
                <w:rFonts w:ascii="Palatino Linotype" w:hAnsi="Palatino Linotype"/>
                <w:color w:val="000000" w:themeColor="text1"/>
                <w:sz w:val="20"/>
                <w:szCs w:val="20"/>
              </w:rPr>
              <w:t xml:space="preserve"> </w:t>
            </w:r>
            <w:r w:rsidRPr="00C870D0">
              <w:rPr>
                <w:rFonts w:ascii="Palatino Linotype" w:hAnsi="Palatino Linotype"/>
                <w:color w:val="000000" w:themeColor="text1"/>
                <w:sz w:val="20"/>
                <w:szCs w:val="20"/>
              </w:rPr>
              <w:t xml:space="preserve">is </w:t>
            </w:r>
            <w:r w:rsidRPr="00B27CCA">
              <w:rPr>
                <w:rFonts w:ascii="Palatino Linotype" w:hAnsi="Palatino Linotype"/>
                <w:color w:val="000000" w:themeColor="text1"/>
                <w:sz w:val="20"/>
                <w:szCs w:val="20"/>
              </w:rPr>
              <w:t xml:space="preserve">particularly </w:t>
            </w:r>
            <w:r w:rsidRPr="00B27CCA" w:rsidR="3D089AF8">
              <w:rPr>
                <w:rFonts w:ascii="Palatino Linotype" w:hAnsi="Palatino Linotype"/>
                <w:color w:val="000000" w:themeColor="text1"/>
                <w:sz w:val="20"/>
                <w:szCs w:val="20"/>
              </w:rPr>
              <w:t>needed</w:t>
            </w:r>
            <w:r w:rsidRPr="00B27CCA">
              <w:rPr>
                <w:rFonts w:ascii="Palatino Linotype" w:hAnsi="Palatino Linotype"/>
                <w:color w:val="000000" w:themeColor="text1"/>
                <w:sz w:val="20"/>
                <w:szCs w:val="20"/>
              </w:rPr>
              <w:t xml:space="preserve"> for the Clean Fuels Integration</w:t>
            </w:r>
            <w:r w:rsidR="00502124">
              <w:rPr>
                <w:rStyle w:val="FootnoteReference"/>
                <w:rFonts w:ascii="Palatino Linotype" w:hAnsi="Palatino Linotype"/>
                <w:color w:val="000000" w:themeColor="text1"/>
                <w:sz w:val="20"/>
                <w:szCs w:val="20"/>
              </w:rPr>
              <w:footnoteReference w:id="257"/>
            </w:r>
            <w:r w:rsidRPr="00B27CCA">
              <w:rPr>
                <w:rFonts w:ascii="Palatino Linotype" w:hAnsi="Palatino Linotype"/>
                <w:color w:val="000000" w:themeColor="text1"/>
                <w:sz w:val="20"/>
                <w:szCs w:val="20"/>
              </w:rPr>
              <w:t xml:space="preserve"> and Sustainable Energy Solutions</w:t>
            </w:r>
            <w:r w:rsidRPr="00B27CCA">
              <w:rPr>
                <w:rStyle w:val="FootnoteReference"/>
                <w:rFonts w:ascii="Palatino Linotype" w:hAnsi="Palatino Linotype"/>
                <w:color w:val="000000" w:themeColor="text1"/>
                <w:sz w:val="20"/>
                <w:szCs w:val="20"/>
              </w:rPr>
              <w:footnoteReference w:id="258"/>
            </w:r>
            <w:r w:rsidRPr="00B27CCA">
              <w:rPr>
                <w:rFonts w:ascii="Palatino Linotype" w:hAnsi="Palatino Linotype"/>
                <w:color w:val="000000" w:themeColor="text1"/>
                <w:sz w:val="20"/>
                <w:szCs w:val="20"/>
              </w:rPr>
              <w:t xml:space="preserve"> Initiatives proposed in collaboration </w:t>
            </w:r>
            <w:r w:rsidRPr="00CA64CE">
              <w:rPr>
                <w:rFonts w:ascii="Palatino Linotype" w:hAnsi="Palatino Linotype"/>
                <w:color w:val="000000" w:themeColor="text1"/>
                <w:sz w:val="20"/>
                <w:szCs w:val="20"/>
              </w:rPr>
              <w:t>with CEC to demonstrate activities are complementary and not duplicative as required.</w:t>
            </w:r>
            <w:r w:rsidRPr="00CA64CE">
              <w:rPr>
                <w:rStyle w:val="FootnoteReference"/>
                <w:rFonts w:ascii="Palatino Linotype" w:hAnsi="Palatino Linotype"/>
                <w:color w:val="000000" w:themeColor="text1"/>
                <w:sz w:val="20"/>
                <w:szCs w:val="20"/>
              </w:rPr>
              <w:footnoteReference w:id="259"/>
            </w:r>
            <w:r w:rsidRPr="00CA64CE">
              <w:rPr>
                <w:rFonts w:ascii="Palatino Linotype" w:hAnsi="Palatino Linotype"/>
                <w:color w:val="000000" w:themeColor="text1"/>
                <w:sz w:val="20"/>
                <w:szCs w:val="20"/>
              </w:rPr>
              <w:t xml:space="preserve"> </w:t>
            </w:r>
          </w:p>
          <w:p w:rsidR="008019CD" w:rsidRDefault="008019CD" w14:paraId="2EF023CE" w14:textId="77777777">
            <w:pPr>
              <w:rPr>
                <w:rFonts w:ascii="Palatino Linotype" w:hAnsi="Palatino Linotype"/>
                <w:color w:val="000000" w:themeColor="text1"/>
                <w:sz w:val="20"/>
                <w:szCs w:val="20"/>
              </w:rPr>
            </w:pPr>
          </w:p>
          <w:p w:rsidRPr="00B97E19" w:rsidR="008019CD" w:rsidRDefault="008019CD" w14:paraId="00017EE4" w14:textId="022D87A7">
            <w:pPr>
              <w:rPr>
                <w:rFonts w:ascii="Palatino Linotype" w:hAnsi="Palatino Linotype"/>
                <w:sz w:val="20"/>
                <w:szCs w:val="20"/>
              </w:rPr>
            </w:pPr>
            <w:r w:rsidRPr="0001641D">
              <w:rPr>
                <w:rFonts w:ascii="Palatino Linotype" w:hAnsi="Palatino Linotype"/>
                <w:color w:val="000000" w:themeColor="text1"/>
                <w:sz w:val="20"/>
                <w:szCs w:val="20"/>
              </w:rPr>
              <w:t xml:space="preserve">For clarity in reporting, PG&amp;E shall indicate which projects have been funded via previous GRC cycles or other funding mechanisms as these are not affiliated with Investment Plans approved within this Gas RD&amp;D Program. </w:t>
            </w:r>
            <w:r w:rsidR="000E343B">
              <w:rPr>
                <w:rFonts w:ascii="Palatino Linotype" w:hAnsi="Palatino Linotype"/>
                <w:color w:val="000000" w:themeColor="text1"/>
                <w:sz w:val="20"/>
                <w:szCs w:val="20"/>
              </w:rPr>
              <w:t xml:space="preserve">This is necessary in understanding progress, coordination, and attribution. </w:t>
            </w:r>
            <w:r w:rsidRPr="0001641D">
              <w:rPr>
                <w:rFonts w:ascii="Palatino Linotype" w:hAnsi="Palatino Linotype"/>
                <w:color w:val="000000" w:themeColor="text1"/>
                <w:sz w:val="20"/>
                <w:szCs w:val="20"/>
              </w:rPr>
              <w:t xml:space="preserve">In future </w:t>
            </w:r>
            <w:r>
              <w:rPr>
                <w:rFonts w:ascii="Palatino Linotype" w:hAnsi="Palatino Linotype"/>
                <w:color w:val="000000" w:themeColor="text1"/>
                <w:sz w:val="20"/>
                <w:szCs w:val="20"/>
              </w:rPr>
              <w:t>Annual Plans and Reports</w:t>
            </w:r>
            <w:r w:rsidRPr="0001641D">
              <w:rPr>
                <w:rFonts w:ascii="Palatino Linotype" w:hAnsi="Palatino Linotype"/>
                <w:color w:val="000000" w:themeColor="text1"/>
                <w:sz w:val="20"/>
                <w:szCs w:val="20"/>
              </w:rPr>
              <w:t xml:space="preserve">, PG&amp;E shall clearly delineate projects that may be funded within </w:t>
            </w:r>
            <w:r w:rsidRPr="0001641D">
              <w:rPr>
                <w:rFonts w:ascii="Palatino Linotype" w:hAnsi="Palatino Linotype"/>
                <w:color w:val="000000" w:themeColor="text1"/>
                <w:sz w:val="20"/>
                <w:szCs w:val="20"/>
              </w:rPr>
              <w:lastRenderedPageBreak/>
              <w:t>this Gas RD&amp;D Program, including the specific Initiative and approved Investment Plan associated with each project.</w:t>
            </w:r>
            <w:r w:rsidR="00E12CCE">
              <w:rPr>
                <w:rFonts w:ascii="Palatino Linotype" w:hAnsi="Palatino Linotype"/>
                <w:color w:val="000000" w:themeColor="text1"/>
                <w:sz w:val="20"/>
                <w:szCs w:val="20"/>
              </w:rPr>
              <w:t xml:space="preserve"> </w:t>
            </w:r>
            <w:r w:rsidRPr="00712165">
              <w:rPr>
                <w:rFonts w:ascii="Palatino Linotype" w:hAnsi="Palatino Linotype"/>
                <w:b/>
                <w:bCs w:val="0"/>
                <w:sz w:val="20"/>
                <w:szCs w:val="20"/>
              </w:rPr>
              <w:t xml:space="preserve">PG&amp;E is </w:t>
            </w:r>
            <w:r w:rsidRPr="00712165">
              <w:rPr>
                <w:rFonts w:ascii="Palatino Linotype" w:hAnsi="Palatino Linotype"/>
                <w:b/>
                <w:bCs w:val="0"/>
                <w:color w:val="000000" w:themeColor="text1"/>
                <w:sz w:val="20"/>
                <w:szCs w:val="20"/>
              </w:rPr>
              <w:t>not</w:t>
            </w:r>
            <w:r w:rsidRPr="00712165">
              <w:rPr>
                <w:rFonts w:ascii="Palatino Linotype" w:hAnsi="Palatino Linotype"/>
                <w:b/>
                <w:bCs w:val="0"/>
                <w:color w:val="EE0000"/>
                <w:sz w:val="20"/>
                <w:szCs w:val="20"/>
              </w:rPr>
              <w:t xml:space="preserve"> </w:t>
            </w:r>
            <w:r w:rsidRPr="00712165">
              <w:rPr>
                <w:rFonts w:ascii="Palatino Linotype" w:hAnsi="Palatino Linotype"/>
                <w:b/>
                <w:bCs w:val="0"/>
                <w:sz w:val="20"/>
                <w:szCs w:val="20"/>
              </w:rPr>
              <w:t>compliant with this requirement</w:t>
            </w:r>
            <w:r>
              <w:rPr>
                <w:rFonts w:ascii="Palatino Linotype" w:hAnsi="Palatino Linotype"/>
                <w:b/>
                <w:bCs w:val="0"/>
                <w:sz w:val="20"/>
                <w:szCs w:val="20"/>
              </w:rPr>
              <w:t>.</w:t>
            </w:r>
          </w:p>
        </w:tc>
      </w:tr>
      <w:tr w:rsidR="00534A20" w:rsidTr="00534A20" w14:paraId="63FB6FB7" w14:textId="77777777">
        <w:tc>
          <w:tcPr>
            <w:tcW w:w="3865" w:type="dxa"/>
          </w:tcPr>
          <w:p w:rsidRPr="00B97E19" w:rsidR="008019CD" w:rsidRDefault="008019CD" w14:paraId="0C03247F"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 xml:space="preserve">(6) </w:t>
            </w:r>
            <w:r w:rsidRPr="00340B6D">
              <w:rPr>
                <w:rFonts w:ascii="Palatino Linotype" w:hAnsi="Palatino Linotype"/>
                <w:i/>
                <w:iCs/>
                <w:color w:val="000000" w:themeColor="text1"/>
                <w:sz w:val="20"/>
                <w:szCs w:val="20"/>
              </w:rPr>
              <w:t>PG&amp;E shall hold an annual workshop prior to submitting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its Tier 3 Advice Letter Annual Gas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Investment</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Plan and shall consult with Energy Division to develop</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the workshop agenda. The annual workshop shall be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held at least 90 days before submitting its annual Gas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research plan to the CPUC to allow sufficient time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to incorporate stakeholder feedback. At these workshops,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PG&amp;E shall present the results of the previous year’s</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RD&amp;D program and obtain input</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regarding its proposed</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spending for the following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calendar year. The workshop</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shall follow the</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guidance of D.19-09-051 Ordering</w:t>
            </w:r>
            <w:r>
              <w:rPr>
                <w:rFonts w:ascii="Palatino Linotype" w:hAnsi="Palatino Linotype"/>
                <w:i/>
                <w:iCs/>
                <w:color w:val="000000" w:themeColor="text1"/>
                <w:sz w:val="20"/>
                <w:szCs w:val="20"/>
              </w:rPr>
              <w:t xml:space="preserve"> </w:t>
            </w:r>
            <w:r w:rsidRPr="00340B6D">
              <w:rPr>
                <w:rFonts w:ascii="Palatino Linotype" w:hAnsi="Palatino Linotype"/>
                <w:i/>
                <w:iCs/>
                <w:color w:val="000000" w:themeColor="text1"/>
                <w:sz w:val="20"/>
                <w:szCs w:val="20"/>
              </w:rPr>
              <w:t>Paragraph 30</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t xml:space="preserve"> </w:t>
            </w:r>
            <w:r>
              <w:rPr>
                <w:rStyle w:val="FootnoteReference"/>
                <w:rFonts w:ascii="Palatino Linotype" w:hAnsi="Palatino Linotype"/>
                <w:i/>
                <w:iCs/>
                <w:color w:val="000000" w:themeColor="text1"/>
                <w:sz w:val="20"/>
                <w:szCs w:val="20"/>
              </w:rPr>
              <w:footnoteReference w:id="260"/>
            </w:r>
          </w:p>
        </w:tc>
        <w:tc>
          <w:tcPr>
            <w:tcW w:w="4770" w:type="dxa"/>
          </w:tcPr>
          <w:p w:rsidRPr="0032527A" w:rsidR="008019CD" w:rsidRDefault="008019CD" w14:paraId="6F9BDE39" w14:textId="77777777">
            <w:pPr>
              <w:rPr>
                <w:rFonts w:ascii="Palatino Linotype" w:hAnsi="Palatino Linotype" w:eastAsia="Palatino Linotype" w:cs="Times New Roman"/>
                <w:sz w:val="20"/>
                <w:szCs w:val="20"/>
              </w:rPr>
            </w:pPr>
            <w:r w:rsidRPr="0032527A">
              <w:rPr>
                <w:rFonts w:ascii="Palatino Linotype" w:hAnsi="Palatino Linotype" w:eastAsia="Palatino Linotype" w:cs="Times New Roman"/>
                <w:sz w:val="20"/>
                <w:szCs w:val="20"/>
              </w:rPr>
              <w:t xml:space="preserve">PG&amp;E held </w:t>
            </w:r>
            <w:r>
              <w:rPr>
                <w:rFonts w:ascii="Palatino Linotype" w:hAnsi="Palatino Linotype" w:eastAsia="Palatino Linotype" w:cs="Times New Roman"/>
                <w:sz w:val="20"/>
                <w:szCs w:val="20"/>
              </w:rPr>
              <w:t xml:space="preserve">an </w:t>
            </w:r>
            <w:r w:rsidRPr="00164C5A">
              <w:rPr>
                <w:rFonts w:ascii="Palatino Linotype" w:hAnsi="Palatino Linotype" w:eastAsia="Palatino Linotype" w:cs="Times New Roman"/>
                <w:color w:val="000000" w:themeColor="text1"/>
                <w:sz w:val="20"/>
                <w:szCs w:val="20"/>
              </w:rPr>
              <w:t xml:space="preserve">annual workshop prior to submitting its 2025 Plan on April 15, 2025, presenting </w:t>
            </w:r>
            <w:r w:rsidRPr="0032527A">
              <w:rPr>
                <w:rFonts w:ascii="Palatino Linotype" w:hAnsi="Palatino Linotype" w:eastAsia="Palatino Linotype" w:cs="Times New Roman"/>
                <w:sz w:val="20"/>
                <w:szCs w:val="20"/>
              </w:rPr>
              <w:t>the results of the previous year’s program and obtaining input regarding its proposed funding allocations for the following year.</w:t>
            </w:r>
            <w:r w:rsidRPr="008D213B">
              <w:rPr>
                <w:rFonts w:ascii="Palatino Linotype" w:hAnsi="Palatino Linotype"/>
                <w:color w:val="000000" w:themeColor="text1"/>
                <w:sz w:val="20"/>
                <w:szCs w:val="20"/>
              </w:rPr>
              <w:t xml:space="preserve"> PG&amp;E includes information on Workshop Stakeholder Q&amp;A,</w:t>
            </w:r>
            <w:r w:rsidRPr="008D213B">
              <w:rPr>
                <w:rStyle w:val="FootnoteReference"/>
                <w:rFonts w:ascii="Palatino Linotype" w:hAnsi="Palatino Linotype"/>
                <w:color w:val="000000" w:themeColor="text1"/>
                <w:sz w:val="20"/>
                <w:szCs w:val="20"/>
              </w:rPr>
              <w:footnoteReference w:id="261"/>
            </w:r>
            <w:r w:rsidRPr="008D213B">
              <w:rPr>
                <w:rFonts w:ascii="Palatino Linotype" w:hAnsi="Palatino Linotype"/>
                <w:color w:val="000000" w:themeColor="text1"/>
                <w:sz w:val="20"/>
                <w:szCs w:val="20"/>
              </w:rPr>
              <w:t xml:space="preserve"> high-level summaries from interviews, and incorporation strategies</w:t>
            </w:r>
            <w:r w:rsidRPr="005925C3">
              <w:rPr>
                <w:rFonts w:ascii="Palatino Linotype" w:hAnsi="Palatino Linotype"/>
                <w:sz w:val="20"/>
                <w:szCs w:val="20"/>
              </w:rPr>
              <w:t>.</w:t>
            </w:r>
            <w:r>
              <w:rPr>
                <w:rStyle w:val="FootnoteReference"/>
                <w:rFonts w:ascii="Palatino Linotype" w:hAnsi="Palatino Linotype"/>
                <w:sz w:val="20"/>
                <w:szCs w:val="20"/>
              </w:rPr>
              <w:footnoteReference w:id="262"/>
            </w:r>
          </w:p>
        </w:tc>
        <w:tc>
          <w:tcPr>
            <w:tcW w:w="4320" w:type="dxa"/>
          </w:tcPr>
          <w:p w:rsidRPr="00937739" w:rsidR="008019CD" w:rsidRDefault="008019CD" w14:paraId="3BF5E914" w14:textId="4A9AA669">
            <w:pPr>
              <w:contextualSpacing/>
              <w:rPr>
                <w:rFonts w:ascii="Palatino Linotype" w:hAnsi="Palatino Linotype" w:eastAsia="Palatino Linotype" w:cs="Times New Roman"/>
                <w:color w:val="000000" w:themeColor="text1"/>
                <w:sz w:val="20"/>
                <w:szCs w:val="20"/>
              </w:rPr>
            </w:pPr>
            <w:r w:rsidRPr="00AB1F45">
              <w:rPr>
                <w:rFonts w:ascii="Palatino Linotype" w:hAnsi="Palatino Linotype" w:eastAsia="Palatino Linotype" w:cs="Times New Roman"/>
                <w:color w:val="000000" w:themeColor="text1"/>
                <w:sz w:val="20"/>
                <w:szCs w:val="20"/>
              </w:rPr>
              <w:t xml:space="preserve">CPUC granted PG&amp;E an extension to hold the workshop less than 90 days in advance of Plan </w:t>
            </w:r>
            <w:r w:rsidRPr="003A6676">
              <w:rPr>
                <w:rFonts w:ascii="Palatino Linotype" w:hAnsi="Palatino Linotype" w:eastAsia="Palatino Linotype" w:cs="Times New Roman"/>
                <w:color w:val="000000" w:themeColor="text1"/>
                <w:sz w:val="20"/>
                <w:szCs w:val="20"/>
              </w:rPr>
              <w:t xml:space="preserve">submittal. </w:t>
            </w:r>
            <w:r w:rsidRPr="003A6676" w:rsidR="0096252C">
              <w:rPr>
                <w:rFonts w:ascii="Palatino Linotype" w:hAnsi="Palatino Linotype" w:eastAsia="Palatino Linotype" w:cs="Times New Roman"/>
                <w:color w:val="000000" w:themeColor="text1"/>
                <w:sz w:val="20"/>
                <w:szCs w:val="20"/>
              </w:rPr>
              <w:t>PG&amp;E engaged relevant, diverse stakeholders in its Annual Workshop held on March 31, 2025.</w:t>
            </w:r>
            <w:r w:rsidRPr="003A6676" w:rsidR="00E12CCE">
              <w:rPr>
                <w:rFonts w:ascii="Palatino Linotype" w:hAnsi="Palatino Linotype" w:eastAsia="Palatino Linotype" w:cs="Times New Roman"/>
                <w:color w:val="000000" w:themeColor="text1"/>
                <w:sz w:val="20"/>
                <w:szCs w:val="20"/>
              </w:rPr>
              <w:t xml:space="preserve"> </w:t>
            </w:r>
            <w:r w:rsidRPr="003A6676">
              <w:rPr>
                <w:rFonts w:ascii="Palatino Linotype" w:hAnsi="Palatino Linotype"/>
                <w:b/>
                <w:bCs w:val="0"/>
                <w:color w:val="000000" w:themeColor="text1"/>
                <w:sz w:val="20"/>
                <w:szCs w:val="20"/>
              </w:rPr>
              <w:t>PG</w:t>
            </w:r>
            <w:r w:rsidRPr="00712165">
              <w:rPr>
                <w:rFonts w:ascii="Palatino Linotype" w:hAnsi="Palatino Linotype"/>
                <w:b/>
                <w:bCs w:val="0"/>
                <w:sz w:val="20"/>
                <w:szCs w:val="20"/>
              </w:rPr>
              <w:t>&amp;E is compliant with this requirement.</w:t>
            </w:r>
          </w:p>
        </w:tc>
      </w:tr>
      <w:tr w:rsidR="00534A20" w:rsidTr="00534A20" w14:paraId="62735A0A" w14:textId="77777777">
        <w:tc>
          <w:tcPr>
            <w:tcW w:w="3865" w:type="dxa"/>
          </w:tcPr>
          <w:p w:rsidR="008019CD" w:rsidRDefault="008019CD" w14:paraId="3FF9BC50" w14:textId="77777777">
            <w:pPr>
              <w:rPr>
                <w:rFonts w:ascii="Palatino Linotype" w:hAnsi="Palatino Linotype"/>
                <w:i/>
                <w:iCs/>
                <w:color w:val="000000" w:themeColor="text1"/>
                <w:sz w:val="20"/>
                <w:szCs w:val="20"/>
              </w:rPr>
            </w:pPr>
            <w:r w:rsidRPr="00DE44B1">
              <w:rPr>
                <w:rFonts w:ascii="Palatino Linotype" w:hAnsi="Palatino Linotype"/>
                <w:i/>
                <w:iCs/>
                <w:color w:val="000000" w:themeColor="text1"/>
                <w:sz w:val="20"/>
                <w:szCs w:val="20"/>
              </w:rPr>
              <w:t xml:space="preserve">(7) Prior to the workshop, PG&amp;E should submit its RD&amp;D annual report to Energy Division staff describing prior years’ RD&amp;D program including a summary of ongoing and completed projects; funds expended, funding recipients, and leveraged funding; </w:t>
            </w:r>
            <w:r w:rsidRPr="00DE44B1">
              <w:rPr>
                <w:rFonts w:ascii="Palatino Linotype" w:hAnsi="Palatino Linotype"/>
                <w:i/>
                <w:iCs/>
                <w:color w:val="000000" w:themeColor="text1"/>
                <w:sz w:val="20"/>
                <w:szCs w:val="20"/>
              </w:rPr>
              <w:lastRenderedPageBreak/>
              <w:t>and an explanation of the process used for selecting RD&amp;D project areas as well as the structure of PG&amp;E’s RD&amp;D portfolio.</w:t>
            </w:r>
            <w:r w:rsidRPr="00DE44B1">
              <w:rPr>
                <w:rStyle w:val="FootnoteReference"/>
                <w:rFonts w:ascii="Palatino Linotype" w:hAnsi="Palatino Linotype"/>
                <w:i/>
                <w:iCs/>
                <w:color w:val="000000" w:themeColor="text1"/>
                <w:sz w:val="20"/>
                <w:szCs w:val="20"/>
              </w:rPr>
              <w:footnoteReference w:id="263"/>
            </w:r>
          </w:p>
        </w:tc>
        <w:tc>
          <w:tcPr>
            <w:tcW w:w="4770" w:type="dxa"/>
          </w:tcPr>
          <w:p w:rsidRPr="003A6676" w:rsidR="008019CD" w:rsidRDefault="008019CD" w14:paraId="6ABA1410" w14:textId="77777777">
            <w:pPr>
              <w:rPr>
                <w:rFonts w:ascii="Palatino Linotype" w:hAnsi="Palatino Linotype" w:eastAsia="Palatino Linotype" w:cs="Times New Roman"/>
                <w:color w:val="000000" w:themeColor="text1"/>
                <w:sz w:val="20"/>
                <w:szCs w:val="20"/>
              </w:rPr>
            </w:pPr>
            <w:r w:rsidRPr="003A6676">
              <w:rPr>
                <w:rFonts w:ascii="Palatino Linotype" w:hAnsi="Palatino Linotype" w:eastAsia="Palatino Linotype" w:cs="Times New Roman"/>
                <w:color w:val="000000" w:themeColor="text1"/>
                <w:sz w:val="20"/>
                <w:szCs w:val="20"/>
              </w:rPr>
              <w:lastRenderedPageBreak/>
              <w:t>PG&amp;E submitted its 2024 Gas RD&amp;D Annual Report on March 31, 2025, prior to holding its Annual Workshop on April 15, 2025. PG&amp;E provided a summary of ongoing and completed projects,</w:t>
            </w:r>
            <w:r w:rsidRPr="003A6676">
              <w:rPr>
                <w:rStyle w:val="FootnoteReference"/>
                <w:rFonts w:ascii="Palatino Linotype" w:hAnsi="Palatino Linotype" w:eastAsia="Palatino Linotype" w:cs="Times New Roman"/>
                <w:color w:val="000000" w:themeColor="text1"/>
                <w:sz w:val="20"/>
                <w:szCs w:val="20"/>
              </w:rPr>
              <w:footnoteReference w:id="264"/>
            </w:r>
            <w:r w:rsidRPr="003A6676">
              <w:rPr>
                <w:rFonts w:ascii="Palatino Linotype" w:hAnsi="Palatino Linotype" w:eastAsia="Palatino Linotype" w:cs="Times New Roman"/>
                <w:color w:val="000000" w:themeColor="text1"/>
                <w:sz w:val="20"/>
                <w:szCs w:val="20"/>
              </w:rPr>
              <w:t xml:space="preserve"> detailed $1,863,639 in funds </w:t>
            </w:r>
            <w:r w:rsidRPr="003A6676">
              <w:rPr>
                <w:rFonts w:ascii="Palatino Linotype" w:hAnsi="Palatino Linotype" w:eastAsia="Palatino Linotype" w:cs="Times New Roman"/>
                <w:color w:val="000000" w:themeColor="text1"/>
                <w:sz w:val="20"/>
                <w:szCs w:val="20"/>
              </w:rPr>
              <w:lastRenderedPageBreak/>
              <w:t>expended,</w:t>
            </w:r>
            <w:r w:rsidRPr="003A6676">
              <w:rPr>
                <w:rStyle w:val="FootnoteReference"/>
                <w:rFonts w:ascii="Palatino Linotype" w:hAnsi="Palatino Linotype" w:eastAsia="Palatino Linotype" w:cs="Times New Roman"/>
                <w:color w:val="000000" w:themeColor="text1"/>
                <w:sz w:val="20"/>
                <w:szCs w:val="20"/>
              </w:rPr>
              <w:footnoteReference w:id="265"/>
            </w:r>
            <w:r w:rsidRPr="003A6676">
              <w:rPr>
                <w:rFonts w:ascii="Palatino Linotype" w:hAnsi="Palatino Linotype" w:eastAsia="Palatino Linotype" w:cs="Times New Roman"/>
                <w:color w:val="000000" w:themeColor="text1"/>
                <w:sz w:val="20"/>
                <w:szCs w:val="20"/>
              </w:rPr>
              <w:t xml:space="preserve"> listed 2024 funding recipients,</w:t>
            </w:r>
            <w:r w:rsidRPr="003A6676">
              <w:rPr>
                <w:rStyle w:val="FootnoteReference"/>
                <w:rFonts w:ascii="Palatino Linotype" w:hAnsi="Palatino Linotype" w:eastAsia="Palatino Linotype" w:cs="Times New Roman"/>
                <w:color w:val="000000" w:themeColor="text1"/>
                <w:sz w:val="20"/>
                <w:szCs w:val="20"/>
              </w:rPr>
              <w:footnoteReference w:id="266"/>
            </w:r>
            <w:r w:rsidRPr="003A6676">
              <w:rPr>
                <w:rFonts w:ascii="Palatino Linotype" w:hAnsi="Palatino Linotype" w:eastAsia="Palatino Linotype" w:cs="Times New Roman"/>
                <w:color w:val="000000" w:themeColor="text1"/>
                <w:sz w:val="20"/>
                <w:szCs w:val="20"/>
              </w:rPr>
              <w:t xml:space="preserve"> and described the process used for selecting projects</w:t>
            </w:r>
            <w:r w:rsidRPr="003A6676">
              <w:rPr>
                <w:rStyle w:val="FootnoteReference"/>
                <w:rFonts w:ascii="Palatino Linotype" w:hAnsi="Palatino Linotype" w:eastAsia="Palatino Linotype" w:cs="Times New Roman"/>
                <w:color w:val="000000" w:themeColor="text1"/>
                <w:sz w:val="20"/>
                <w:szCs w:val="20"/>
              </w:rPr>
              <w:footnoteReference w:id="267"/>
            </w:r>
            <w:r w:rsidRPr="003A6676">
              <w:rPr>
                <w:rFonts w:ascii="Palatino Linotype" w:hAnsi="Palatino Linotype" w:eastAsia="Palatino Linotype" w:cs="Times New Roman"/>
                <w:color w:val="000000" w:themeColor="text1"/>
                <w:sz w:val="20"/>
                <w:szCs w:val="20"/>
              </w:rPr>
              <w:t xml:space="preserve"> and structure of PG&amp;E’s Gas RD&amp;D portfolio.</w:t>
            </w:r>
            <w:r w:rsidRPr="003A6676">
              <w:rPr>
                <w:rStyle w:val="FootnoteReference"/>
                <w:rFonts w:ascii="Palatino Linotype" w:hAnsi="Palatino Linotype" w:eastAsia="Palatino Linotype" w:cs="Times New Roman"/>
                <w:color w:val="000000" w:themeColor="text1"/>
                <w:sz w:val="20"/>
                <w:szCs w:val="20"/>
              </w:rPr>
              <w:footnoteReference w:id="268"/>
            </w:r>
            <w:r w:rsidRPr="003A6676">
              <w:rPr>
                <w:rFonts w:ascii="Palatino Linotype" w:hAnsi="Palatino Linotype" w:eastAsia="Palatino Linotype" w:cs="Times New Roman"/>
                <w:color w:val="000000" w:themeColor="text1"/>
                <w:sz w:val="20"/>
                <w:szCs w:val="20"/>
              </w:rPr>
              <w:t xml:space="preserve"> PG&amp;E stated that “on average, every dollar of Gas RD&amp;D funding expended on projects is matched by $22 of funding from other sources.”</w:t>
            </w:r>
            <w:r w:rsidRPr="003A6676">
              <w:rPr>
                <w:rStyle w:val="FootnoteReference"/>
                <w:rFonts w:ascii="Palatino Linotype" w:hAnsi="Palatino Linotype" w:eastAsia="Palatino Linotype" w:cs="Times New Roman"/>
                <w:color w:val="000000" w:themeColor="text1"/>
                <w:sz w:val="20"/>
                <w:szCs w:val="20"/>
              </w:rPr>
              <w:footnoteReference w:id="269"/>
            </w:r>
          </w:p>
          <w:p w:rsidRPr="003A6676" w:rsidR="008019CD" w:rsidRDefault="008019CD" w14:paraId="7FA0A331" w14:textId="77777777">
            <w:pPr>
              <w:rPr>
                <w:rFonts w:ascii="Palatino Linotype" w:hAnsi="Palatino Linotype" w:eastAsia="Palatino Linotype" w:cs="Times New Roman"/>
                <w:color w:val="000000" w:themeColor="text1"/>
                <w:sz w:val="20"/>
                <w:szCs w:val="20"/>
              </w:rPr>
            </w:pPr>
          </w:p>
        </w:tc>
        <w:tc>
          <w:tcPr>
            <w:tcW w:w="4320" w:type="dxa"/>
          </w:tcPr>
          <w:p w:rsidRPr="003A6676" w:rsidR="008019CD" w:rsidRDefault="0096252C" w14:paraId="50A198E5" w14:textId="3CC28197">
            <w:pPr>
              <w:contextualSpacing/>
              <w:rPr>
                <w:rFonts w:ascii="Palatino Linotype" w:hAnsi="Palatino Linotype" w:eastAsia="Palatino Linotype" w:cs="Times New Roman"/>
                <w:color w:val="000000" w:themeColor="text1"/>
                <w:sz w:val="20"/>
                <w:szCs w:val="20"/>
              </w:rPr>
            </w:pPr>
            <w:r w:rsidRPr="003A6676">
              <w:rPr>
                <w:rFonts w:ascii="Palatino Linotype" w:hAnsi="Palatino Linotype" w:eastAsia="Palatino Linotype" w:cs="Times New Roman"/>
                <w:color w:val="000000" w:themeColor="text1"/>
                <w:sz w:val="20"/>
                <w:szCs w:val="20"/>
              </w:rPr>
              <w:lastRenderedPageBreak/>
              <w:t xml:space="preserve">PG&amp;E submitted its 2024 Gas RD&amp;D Annual Report on March 31, 2025, prior to holding its Annual Workshop on April 15, 2025. In its Annual Report, PG&amp;E summarizes ongoing and completed projects, leveraged funding, </w:t>
            </w:r>
            <w:r w:rsidRPr="003A6676">
              <w:rPr>
                <w:rFonts w:ascii="Palatino Linotype" w:hAnsi="Palatino Linotype" w:eastAsia="Palatino Linotype" w:cs="Times New Roman"/>
                <w:color w:val="000000" w:themeColor="text1"/>
                <w:sz w:val="20"/>
                <w:szCs w:val="20"/>
              </w:rPr>
              <w:lastRenderedPageBreak/>
              <w:t xml:space="preserve">and its project selection process as required. </w:t>
            </w:r>
            <w:r w:rsidRPr="003A6676" w:rsidR="008019CD">
              <w:rPr>
                <w:rFonts w:ascii="Palatino Linotype" w:hAnsi="Palatino Linotype"/>
                <w:b/>
                <w:bCs w:val="0"/>
                <w:color w:val="000000" w:themeColor="text1"/>
                <w:sz w:val="20"/>
                <w:szCs w:val="20"/>
              </w:rPr>
              <w:t>PG&amp;E is compliant with this requirement.</w:t>
            </w:r>
          </w:p>
        </w:tc>
      </w:tr>
      <w:tr w:rsidR="00534A20" w:rsidTr="00534A20" w14:paraId="2C416D88" w14:textId="77777777">
        <w:tc>
          <w:tcPr>
            <w:tcW w:w="3865" w:type="dxa"/>
          </w:tcPr>
          <w:p w:rsidRPr="00E42104" w:rsidR="008019CD" w:rsidRDefault="008019CD" w14:paraId="7E520B18"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lastRenderedPageBreak/>
              <w:t xml:space="preserve">(8) </w:t>
            </w:r>
            <w:r w:rsidRPr="00E42104">
              <w:rPr>
                <w:rFonts w:ascii="Palatino Linotype" w:hAnsi="Palatino Linotype"/>
                <w:i/>
                <w:iCs/>
                <w:color w:val="000000" w:themeColor="text1"/>
                <w:sz w:val="20"/>
                <w:szCs w:val="20"/>
              </w:rPr>
              <w:t>PG&amp;E shall provide Energy Division staff with the</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workshop presentation materials as well as</w:t>
            </w:r>
          </w:p>
          <w:p w:rsidR="008019CD" w:rsidRDefault="008019CD" w14:paraId="2C809347" w14:textId="77777777">
            <w:pPr>
              <w:rPr>
                <w:rFonts w:ascii="Palatino Linotype" w:hAnsi="Palatino Linotype"/>
                <w:i/>
                <w:iCs/>
                <w:color w:val="000000" w:themeColor="text1"/>
                <w:sz w:val="20"/>
                <w:szCs w:val="20"/>
              </w:rPr>
            </w:pPr>
            <w:r w:rsidRPr="00E42104">
              <w:rPr>
                <w:rFonts w:ascii="Palatino Linotype" w:hAnsi="Palatino Linotype"/>
                <w:i/>
                <w:iCs/>
                <w:color w:val="000000" w:themeColor="text1"/>
                <w:sz w:val="20"/>
                <w:szCs w:val="20"/>
              </w:rPr>
              <w:t>documentation on stakeholders consulted in the</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development of RD&amp;D projects, both at least one week</w:t>
            </w:r>
            <w:r>
              <w:rPr>
                <w:rFonts w:ascii="Palatino Linotype" w:hAnsi="Palatino Linotype"/>
                <w:i/>
                <w:iCs/>
                <w:color w:val="000000" w:themeColor="text1"/>
                <w:sz w:val="20"/>
                <w:szCs w:val="20"/>
              </w:rPr>
              <w:t xml:space="preserve"> </w:t>
            </w:r>
            <w:r w:rsidRPr="00E42104">
              <w:rPr>
                <w:rFonts w:ascii="Palatino Linotype" w:hAnsi="Palatino Linotype"/>
                <w:i/>
                <w:iCs/>
                <w:color w:val="000000" w:themeColor="text1"/>
                <w:sz w:val="20"/>
                <w:szCs w:val="20"/>
              </w:rPr>
              <w:t>before the worksho</w:t>
            </w:r>
            <w:r>
              <w:rPr>
                <w:rFonts w:ascii="Palatino Linotype" w:hAnsi="Palatino Linotype"/>
                <w:i/>
                <w:iCs/>
                <w:color w:val="000000" w:themeColor="text1"/>
                <w:sz w:val="20"/>
                <w:szCs w:val="20"/>
              </w:rPr>
              <w:t>p.</w:t>
            </w:r>
          </w:p>
          <w:p w:rsidR="008019CD" w:rsidRDefault="008019CD" w14:paraId="5B9ED27F" w14:textId="77777777">
            <w:pPr>
              <w:rPr>
                <w:rFonts w:ascii="Palatino Linotype" w:hAnsi="Palatino Linotype"/>
                <w:i/>
                <w:iCs/>
                <w:color w:val="000000" w:themeColor="text1"/>
                <w:sz w:val="20"/>
                <w:szCs w:val="20"/>
              </w:rPr>
            </w:pPr>
          </w:p>
          <w:p w:rsidRPr="00E42104" w:rsidR="008019CD" w:rsidRDefault="008019CD" w14:paraId="76FE4BD1" w14:textId="77777777">
            <w:pPr>
              <w:rPr>
                <w:rFonts w:ascii="Palatino Linotype" w:hAnsi="Palatino Linotype"/>
                <w:color w:val="000000"/>
                <w:sz w:val="20"/>
                <w:szCs w:val="20"/>
                <w14:textFill>
                  <w14:solidFill>
                    <w14:srgbClr w14:val="000000">
                      <w14:lumMod w14:val="50000"/>
                    </w14:srgbClr>
                  </w14:solidFill>
                </w14:textFill>
              </w:rPr>
            </w:pPr>
            <w:r>
              <w:rPr>
                <w:rFonts w:ascii="Palatino Linotype" w:hAnsi="Palatino Linotype"/>
                <w:i/>
                <w:iCs/>
                <w:color w:val="000000" w:themeColor="text1"/>
                <w:sz w:val="20"/>
                <w:szCs w:val="20"/>
              </w:rPr>
              <w:t xml:space="preserve">(9) </w:t>
            </w:r>
            <w:r w:rsidRPr="00915C7C">
              <w:rPr>
                <w:rFonts w:ascii="Palatino Linotype" w:hAnsi="Palatino Linotype"/>
                <w:i/>
                <w:iCs/>
                <w:color w:val="000000" w:themeColor="text1"/>
                <w:sz w:val="20"/>
                <w:szCs w:val="20"/>
              </w:rPr>
              <w:t>PG&amp;E shall engage relevant stakeholders to encourage</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their attendance at the workshop, such</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as the California</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Energy Commission, the Disadvantaged Communities</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Advisory Group,</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the U.S. Department of Energy, and</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 xml:space="preserve">other </w:t>
            </w:r>
            <w:r w:rsidRPr="00915C7C">
              <w:rPr>
                <w:rFonts w:ascii="Palatino Linotype" w:hAnsi="Palatino Linotype"/>
                <w:i/>
                <w:iCs/>
                <w:color w:val="000000" w:themeColor="text1"/>
                <w:sz w:val="20"/>
                <w:szCs w:val="20"/>
              </w:rPr>
              <w:lastRenderedPageBreak/>
              <w:t>organizations engaged in gas research and</w:t>
            </w:r>
            <w:r>
              <w:rPr>
                <w:rFonts w:ascii="Palatino Linotype" w:hAnsi="Palatino Linotype"/>
                <w:i/>
                <w:iCs/>
                <w:color w:val="000000" w:themeColor="text1"/>
                <w:sz w:val="20"/>
                <w:szCs w:val="20"/>
              </w:rPr>
              <w:t xml:space="preserve"> </w:t>
            </w:r>
            <w:r w:rsidRPr="00915C7C">
              <w:rPr>
                <w:rFonts w:ascii="Palatino Linotype" w:hAnsi="Palatino Linotype"/>
                <w:i/>
                <w:iCs/>
                <w:color w:val="000000" w:themeColor="text1"/>
                <w:sz w:val="20"/>
                <w:szCs w:val="20"/>
              </w:rPr>
              <w:t>development</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footnoteReference w:id="270"/>
            </w:r>
          </w:p>
        </w:tc>
        <w:tc>
          <w:tcPr>
            <w:tcW w:w="4770" w:type="dxa"/>
          </w:tcPr>
          <w:p w:rsidRPr="00B97E19" w:rsidR="008019CD" w:rsidRDefault="008019CD" w14:paraId="14AF9088" w14:textId="77777777">
            <w:pPr>
              <w:rPr>
                <w:rFonts w:ascii="Palatino Linotype" w:hAnsi="Palatino Linotype"/>
                <w:color w:val="000000" w:themeColor="text1"/>
                <w:sz w:val="20"/>
                <w:szCs w:val="20"/>
              </w:rPr>
            </w:pPr>
            <w:r w:rsidRPr="0032527A">
              <w:rPr>
                <w:rFonts w:ascii="Palatino Linotype" w:hAnsi="Palatino Linotype" w:eastAsia="Palatino Linotype" w:cs="Times New Roman"/>
                <w:sz w:val="20"/>
                <w:szCs w:val="20"/>
              </w:rPr>
              <w:lastRenderedPageBreak/>
              <w:t xml:space="preserve">PG&amp;E </w:t>
            </w:r>
            <w:r>
              <w:rPr>
                <w:rFonts w:ascii="Palatino Linotype" w:hAnsi="Palatino Linotype" w:eastAsia="Palatino Linotype" w:cs="Times New Roman"/>
                <w:sz w:val="20"/>
                <w:szCs w:val="20"/>
              </w:rPr>
              <w:t xml:space="preserve">states that it </w:t>
            </w:r>
            <w:r w:rsidRPr="0032527A">
              <w:rPr>
                <w:rFonts w:ascii="Palatino Linotype" w:hAnsi="Palatino Linotype" w:eastAsia="Palatino Linotype" w:cs="Times New Roman"/>
                <w:sz w:val="20"/>
                <w:szCs w:val="20"/>
              </w:rPr>
              <w:t xml:space="preserve">leveraged its Gas RD&amp;D website, CPUC proceeding service lists, and its </w:t>
            </w:r>
            <w:r w:rsidRPr="0032527A">
              <w:rPr>
                <w:rFonts w:ascii="Palatino Linotype" w:hAnsi="Palatino Linotype" w:eastAsia="Palatino Linotype" w:cs="Times New Roman"/>
                <w:color w:val="000000" w:themeColor="text1"/>
                <w:sz w:val="20"/>
                <w:szCs w:val="20"/>
              </w:rPr>
              <w:t>Diversity Equity Inclusion &amp; Belonging (DEIB) team to notice the workshop, ultimately engaging attendees from</w:t>
            </w:r>
            <w:r w:rsidRPr="00164C5A">
              <w:rPr>
                <w:rFonts w:ascii="Palatino Linotype" w:hAnsi="Palatino Linotype" w:eastAsia="Palatino Linotype" w:cs="Times New Roman"/>
                <w:color w:val="000000" w:themeColor="text1"/>
                <w:sz w:val="20"/>
                <w:szCs w:val="20"/>
              </w:rPr>
              <w:t xml:space="preserve"> 39 </w:t>
            </w:r>
            <w:r w:rsidRPr="0032527A">
              <w:rPr>
                <w:rFonts w:ascii="Palatino Linotype" w:hAnsi="Palatino Linotype" w:eastAsia="Palatino Linotype" w:cs="Times New Roman"/>
                <w:color w:val="000000" w:themeColor="text1"/>
                <w:sz w:val="20"/>
                <w:szCs w:val="20"/>
              </w:rPr>
              <w:t>different organizations in 202</w:t>
            </w:r>
            <w:r>
              <w:rPr>
                <w:rFonts w:ascii="Palatino Linotype" w:hAnsi="Palatino Linotype" w:eastAsia="Palatino Linotype" w:cs="Times New Roman"/>
                <w:color w:val="000000" w:themeColor="text1"/>
                <w:sz w:val="20"/>
                <w:szCs w:val="20"/>
              </w:rPr>
              <w:t>5</w:t>
            </w:r>
            <w:r w:rsidRPr="0032527A">
              <w:rPr>
                <w:rFonts w:ascii="Palatino Linotype" w:hAnsi="Palatino Linotype" w:eastAsia="Palatino Linotype" w:cs="Times New Roman"/>
                <w:color w:val="000000" w:themeColor="text1"/>
                <w:sz w:val="20"/>
                <w:szCs w:val="20"/>
              </w:rPr>
              <w:t>.</w:t>
            </w:r>
            <w:r>
              <w:rPr>
                <w:rStyle w:val="FootnoteReference"/>
                <w:rFonts w:ascii="Palatino Linotype" w:hAnsi="Palatino Linotype" w:eastAsia="Palatino Linotype" w:cs="Times New Roman"/>
                <w:color w:val="000000" w:themeColor="text1"/>
                <w:sz w:val="20"/>
                <w:szCs w:val="20"/>
              </w:rPr>
              <w:footnoteReference w:id="271"/>
            </w:r>
            <w:r w:rsidRPr="0032527A">
              <w:rPr>
                <w:rFonts w:ascii="Palatino Linotype" w:hAnsi="Palatino Linotype" w:eastAsia="Palatino Linotype" w:cs="Times New Roman"/>
                <w:color w:val="000000" w:themeColor="text1"/>
                <w:sz w:val="20"/>
                <w:szCs w:val="20"/>
              </w:rPr>
              <w:t xml:space="preserve"> </w:t>
            </w:r>
            <w:r w:rsidRPr="008D213B">
              <w:rPr>
                <w:rFonts w:ascii="Palatino Linotype" w:hAnsi="Palatino Linotype"/>
                <w:color w:val="000000" w:themeColor="text1"/>
                <w:sz w:val="20"/>
                <w:szCs w:val="20"/>
              </w:rPr>
              <w:t>PG&amp;E includes information on Workshop Stakeholder Q&amp;A</w:t>
            </w:r>
            <w:r w:rsidRPr="008D213B">
              <w:rPr>
                <w:rStyle w:val="FootnoteReference"/>
                <w:rFonts w:ascii="Palatino Linotype" w:hAnsi="Palatino Linotype"/>
                <w:color w:val="000000" w:themeColor="text1"/>
                <w:sz w:val="20"/>
                <w:szCs w:val="20"/>
              </w:rPr>
              <w:footnoteReference w:id="272"/>
            </w:r>
            <w:r w:rsidRPr="008D213B">
              <w:rPr>
                <w:rFonts w:ascii="Palatino Linotype" w:hAnsi="Palatino Linotype"/>
                <w:color w:val="000000" w:themeColor="text1"/>
                <w:sz w:val="20"/>
                <w:szCs w:val="20"/>
              </w:rPr>
              <w:t xml:space="preserve"> </w:t>
            </w:r>
            <w:r>
              <w:rPr>
                <w:rFonts w:ascii="Palatino Linotype" w:hAnsi="Palatino Linotype" w:eastAsia="Palatino Linotype" w:cs="Times New Roman"/>
                <w:sz w:val="20"/>
                <w:szCs w:val="20"/>
              </w:rPr>
              <w:t xml:space="preserve">and </w:t>
            </w:r>
            <w:r>
              <w:rPr>
                <w:rFonts w:ascii="Palatino Linotype" w:hAnsi="Palatino Linotype" w:eastAsia="Palatino Linotype" w:cs="Times New Roman"/>
                <w:color w:val="000000" w:themeColor="text1"/>
                <w:sz w:val="20"/>
                <w:szCs w:val="20"/>
              </w:rPr>
              <w:t>an</w:t>
            </w:r>
            <w:r w:rsidRPr="0032527A">
              <w:rPr>
                <w:rFonts w:ascii="Palatino Linotype" w:hAnsi="Palatino Linotype" w:eastAsia="Palatino Linotype" w:cs="Times New Roman"/>
                <w:color w:val="000000" w:themeColor="text1"/>
                <w:sz w:val="20"/>
                <w:szCs w:val="20"/>
              </w:rPr>
              <w:t xml:space="preserve"> Annual Stakeholder Workshop Attendee Organization List, which include</w:t>
            </w:r>
            <w:r>
              <w:rPr>
                <w:rFonts w:ascii="Palatino Linotype" w:hAnsi="Palatino Linotype" w:eastAsia="Palatino Linotype" w:cs="Times New Roman"/>
                <w:color w:val="000000" w:themeColor="text1"/>
                <w:sz w:val="20"/>
                <w:szCs w:val="20"/>
              </w:rPr>
              <w:t>s</w:t>
            </w:r>
            <w:r w:rsidRPr="0032527A">
              <w:rPr>
                <w:rFonts w:ascii="Palatino Linotype" w:hAnsi="Palatino Linotype" w:eastAsia="Palatino Linotype" w:cs="Times New Roman"/>
                <w:color w:val="000000" w:themeColor="text1"/>
                <w:sz w:val="20"/>
                <w:szCs w:val="20"/>
              </w:rPr>
              <w:t xml:space="preserve"> na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onal laboratories, public agencies, industry organiza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ons, universi</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es, minority-serving organizations (MSIs), community-based organizations (CBOs), Tribal Na</w:t>
            </w:r>
            <w:r w:rsidRPr="0032527A">
              <w:rPr>
                <w:rFonts w:ascii="Palatino Linotype" w:hAnsi="Palatino Linotype" w:eastAsia="Palatino Linotype" w:cs="Palatino Linotype"/>
                <w:color w:val="000000" w:themeColor="text1"/>
                <w:sz w:val="20"/>
                <w:szCs w:val="20"/>
              </w:rPr>
              <w:t>ti</w:t>
            </w:r>
            <w:r w:rsidRPr="0032527A">
              <w:rPr>
                <w:rFonts w:ascii="Palatino Linotype" w:hAnsi="Palatino Linotype" w:eastAsia="Palatino Linotype" w:cs="Times New Roman"/>
                <w:color w:val="000000" w:themeColor="text1"/>
                <w:sz w:val="20"/>
                <w:szCs w:val="20"/>
              </w:rPr>
              <w:t>ons, and private companies</w:t>
            </w:r>
            <w:r w:rsidRPr="0032527A">
              <w:rPr>
                <w:rFonts w:ascii="Palatino Linotype" w:hAnsi="Palatino Linotype" w:eastAsia="Palatino Linotype" w:cs="Times New Roman"/>
                <w:sz w:val="20"/>
                <w:szCs w:val="20"/>
              </w:rPr>
              <w:t>.</w:t>
            </w:r>
            <w:r w:rsidRPr="0032527A">
              <w:rPr>
                <w:rStyle w:val="FootnoteReference"/>
                <w:rFonts w:ascii="Palatino Linotype" w:hAnsi="Palatino Linotype" w:eastAsia="Palatino Linotype" w:cs="Times New Roman"/>
                <w:sz w:val="20"/>
                <w:szCs w:val="20"/>
              </w:rPr>
              <w:footnoteReference w:id="273"/>
            </w:r>
            <w:r w:rsidRPr="0032527A">
              <w:rPr>
                <w:rFonts w:ascii="Palatino Linotype" w:hAnsi="Palatino Linotype" w:eastAsia="Palatino Linotype" w:cs="Times New Roman"/>
                <w:sz w:val="20"/>
                <w:szCs w:val="20"/>
              </w:rPr>
              <w:t xml:space="preserve"> </w:t>
            </w:r>
          </w:p>
        </w:tc>
        <w:tc>
          <w:tcPr>
            <w:tcW w:w="4320" w:type="dxa"/>
          </w:tcPr>
          <w:p w:rsidRPr="003A6676" w:rsidR="008019CD" w:rsidRDefault="00554950" w14:paraId="2E4871C5" w14:textId="328A1EB6">
            <w:pPr>
              <w:contextualSpacing/>
              <w:rPr>
                <w:rFonts w:ascii="Palatino Linotype" w:hAnsi="Palatino Linotype" w:eastAsia="Palatino Linotype" w:cs="Times New Roman"/>
                <w:color w:val="000000" w:themeColor="text1"/>
                <w:sz w:val="20"/>
                <w:szCs w:val="20"/>
                <w:highlight w:val="yellow"/>
              </w:rPr>
            </w:pPr>
            <w:r w:rsidRPr="003A6676">
              <w:rPr>
                <w:rFonts w:ascii="Palatino Linotype" w:hAnsi="Palatino Linotype" w:eastAsia="Palatino Linotype" w:cs="Times New Roman"/>
                <w:color w:val="000000" w:themeColor="text1"/>
                <w:sz w:val="20"/>
                <w:szCs w:val="20"/>
              </w:rPr>
              <w:t>PG&amp;E engaged relevant, diverse stakeholders in its Annual Workshop held on April 15, 2025.</w:t>
            </w:r>
            <w:r w:rsidRPr="003A6676" w:rsidR="00E12CCE">
              <w:rPr>
                <w:rFonts w:ascii="Palatino Linotype" w:hAnsi="Palatino Linotype" w:eastAsia="Palatino Linotype" w:cs="Times New Roman"/>
                <w:color w:val="000000" w:themeColor="text1"/>
                <w:sz w:val="20"/>
                <w:szCs w:val="20"/>
              </w:rPr>
              <w:t xml:space="preserve"> </w:t>
            </w:r>
            <w:r w:rsidRPr="003A6676" w:rsidR="008019CD">
              <w:rPr>
                <w:rFonts w:ascii="Palatino Linotype" w:hAnsi="Palatino Linotype"/>
                <w:b/>
                <w:bCs w:val="0"/>
                <w:color w:val="000000" w:themeColor="text1"/>
                <w:sz w:val="20"/>
                <w:szCs w:val="20"/>
              </w:rPr>
              <w:t>PG&amp;E is compliant with these requirements.</w:t>
            </w:r>
          </w:p>
        </w:tc>
      </w:tr>
      <w:tr w:rsidR="00534A20" w:rsidTr="00534A20" w14:paraId="78C84623" w14:textId="77777777">
        <w:tc>
          <w:tcPr>
            <w:tcW w:w="3865" w:type="dxa"/>
          </w:tcPr>
          <w:p w:rsidRPr="00164C5A" w:rsidR="008019CD" w:rsidRDefault="008019CD" w14:paraId="6513C183" w14:textId="77777777">
            <w:pPr>
              <w:rPr>
                <w:rFonts w:ascii="Palatino Linotype" w:hAnsi="Palatino Linotype"/>
                <w:i/>
                <w:iCs/>
                <w:color w:val="000000" w:themeColor="text1"/>
                <w:sz w:val="20"/>
                <w:szCs w:val="20"/>
              </w:rPr>
            </w:pPr>
            <w:r w:rsidRPr="00164C5A">
              <w:rPr>
                <w:rFonts w:ascii="Palatino Linotype" w:hAnsi="Palatino Linotype"/>
                <w:i/>
                <w:iCs/>
                <w:color w:val="000000" w:themeColor="text1"/>
                <w:sz w:val="20"/>
                <w:szCs w:val="20"/>
              </w:rPr>
              <w:t>(11) PG&amp;E’s research plan may separately allocate and track funds for gas research development and deployment in one database that tracks all ratepayer-funded R&amp;D and Development projects across these industries.</w:t>
            </w:r>
            <w:r w:rsidRPr="00164C5A">
              <w:rPr>
                <w:rStyle w:val="FootnoteReference"/>
                <w:rFonts w:ascii="Palatino Linotype" w:hAnsi="Palatino Linotype"/>
                <w:i/>
                <w:iCs/>
                <w:color w:val="000000" w:themeColor="text1"/>
                <w:sz w:val="20"/>
                <w:szCs w:val="20"/>
              </w:rPr>
              <w:footnoteReference w:id="274"/>
            </w:r>
            <w:r w:rsidRPr="00164C5A">
              <w:rPr>
                <w:rFonts w:ascii="Palatino Linotype" w:hAnsi="Palatino Linotype"/>
                <w:i/>
                <w:iCs/>
                <w:color w:val="000000" w:themeColor="text1"/>
                <w:sz w:val="20"/>
                <w:szCs w:val="20"/>
              </w:rPr>
              <w:t xml:space="preserve"> </w:t>
            </w:r>
          </w:p>
        </w:tc>
        <w:tc>
          <w:tcPr>
            <w:tcW w:w="4770" w:type="dxa"/>
          </w:tcPr>
          <w:p w:rsidRPr="00164C5A" w:rsidR="008019CD" w:rsidRDefault="008019CD" w14:paraId="41F3A6E4" w14:textId="77777777">
            <w:pPr>
              <w:rPr>
                <w:rFonts w:ascii="Palatino Linotype" w:hAnsi="Palatino Linotype" w:eastAsia="Palatino Linotype" w:cs="Times New Roman"/>
                <w:bCs w:val="0"/>
                <w:color w:val="000000" w:themeColor="text1"/>
                <w:sz w:val="20"/>
                <w:szCs w:val="20"/>
              </w:rPr>
            </w:pPr>
            <w:r w:rsidRPr="00164C5A">
              <w:rPr>
                <w:rFonts w:ascii="Palatino Linotype" w:hAnsi="Palatino Linotype" w:eastAsia="Palatino Linotype" w:cs="Times New Roman"/>
                <w:color w:val="000000" w:themeColor="text1"/>
                <w:sz w:val="20"/>
                <w:szCs w:val="20"/>
              </w:rPr>
              <w:t>PG&amp;E proposes to allocate $56,987 towards its proportional share of developing a comprehensive Gas RD&amp;D Database.</w:t>
            </w:r>
            <w:r w:rsidRPr="00164C5A">
              <w:rPr>
                <w:rStyle w:val="FootnoteReference"/>
                <w:rFonts w:ascii="Palatino Linotype" w:hAnsi="Palatino Linotype" w:eastAsia="Palatino Linotype" w:cs="Times New Roman"/>
                <w:color w:val="000000" w:themeColor="text1"/>
                <w:sz w:val="20"/>
                <w:szCs w:val="20"/>
              </w:rPr>
              <w:footnoteReference w:id="275"/>
            </w:r>
            <w:r w:rsidRPr="00164C5A">
              <w:rPr>
                <w:rFonts w:ascii="Palatino Linotype" w:hAnsi="Palatino Linotype" w:eastAsia="Palatino Linotype" w:cs="Times New Roman"/>
                <w:color w:val="000000" w:themeColor="text1"/>
                <w:sz w:val="20"/>
                <w:szCs w:val="20"/>
              </w:rPr>
              <w:t xml:space="preserve"> </w:t>
            </w:r>
          </w:p>
        </w:tc>
        <w:tc>
          <w:tcPr>
            <w:tcW w:w="4320" w:type="dxa"/>
          </w:tcPr>
          <w:p w:rsidRPr="003A6676" w:rsidR="008019CD" w:rsidRDefault="00554950" w14:paraId="3B564CAC" w14:textId="392C623A">
            <w:pPr>
              <w:rPr>
                <w:rFonts w:ascii="Palatino Linotype" w:hAnsi="Palatino Linotype"/>
                <w:b/>
                <w:bCs w:val="0"/>
                <w:color w:val="000000" w:themeColor="text1"/>
                <w:sz w:val="20"/>
                <w:szCs w:val="20"/>
              </w:rPr>
            </w:pPr>
            <w:r w:rsidRPr="003A6676">
              <w:rPr>
                <w:rFonts w:ascii="Palatino Linotype" w:hAnsi="Palatino Linotype"/>
                <w:color w:val="000000" w:themeColor="text1"/>
                <w:sz w:val="20"/>
                <w:szCs w:val="20"/>
              </w:rPr>
              <w:t>PG&amp;E allocate</w:t>
            </w:r>
            <w:r w:rsidRPr="003A6676" w:rsidR="00F31483">
              <w:rPr>
                <w:rFonts w:ascii="Palatino Linotype" w:hAnsi="Palatino Linotype"/>
                <w:color w:val="000000" w:themeColor="text1"/>
                <w:sz w:val="20"/>
                <w:szCs w:val="20"/>
              </w:rPr>
              <w:t>d</w:t>
            </w:r>
            <w:r w:rsidRPr="003A6676">
              <w:rPr>
                <w:rFonts w:ascii="Palatino Linotype" w:hAnsi="Palatino Linotype"/>
                <w:color w:val="000000" w:themeColor="text1"/>
                <w:sz w:val="20"/>
                <w:szCs w:val="20"/>
              </w:rPr>
              <w:t xml:space="preserve"> </w:t>
            </w:r>
            <w:r w:rsidRPr="003A6676" w:rsidR="007D597D">
              <w:rPr>
                <w:rFonts w:ascii="Palatino Linotype" w:hAnsi="Palatino Linotype"/>
                <w:color w:val="000000" w:themeColor="text1"/>
                <w:sz w:val="20"/>
                <w:szCs w:val="20"/>
              </w:rPr>
              <w:t xml:space="preserve">funds for </w:t>
            </w:r>
            <w:r w:rsidRPr="003A6676" w:rsidR="00B77D94">
              <w:rPr>
                <w:rFonts w:ascii="Palatino Linotype" w:hAnsi="Palatino Linotype"/>
                <w:color w:val="000000" w:themeColor="text1"/>
                <w:sz w:val="20"/>
                <w:szCs w:val="20"/>
              </w:rPr>
              <w:t>a Gas RD&amp;D Database</w:t>
            </w:r>
            <w:r w:rsidRPr="003A6676" w:rsidR="00B22DDC">
              <w:rPr>
                <w:rFonts w:ascii="Palatino Linotype" w:hAnsi="Palatino Linotype"/>
                <w:color w:val="000000" w:themeColor="text1"/>
                <w:sz w:val="20"/>
                <w:szCs w:val="20"/>
              </w:rPr>
              <w:t>.</w:t>
            </w:r>
            <w:r w:rsidRPr="003A6676" w:rsidR="00E12CCE">
              <w:rPr>
                <w:rFonts w:ascii="Palatino Linotype" w:hAnsi="Palatino Linotype"/>
                <w:b/>
                <w:bCs w:val="0"/>
                <w:color w:val="000000" w:themeColor="text1"/>
                <w:sz w:val="20"/>
                <w:szCs w:val="20"/>
              </w:rPr>
              <w:t xml:space="preserve"> </w:t>
            </w:r>
            <w:r w:rsidRPr="003A6676" w:rsidR="008019CD">
              <w:rPr>
                <w:rFonts w:ascii="Palatino Linotype" w:hAnsi="Palatino Linotype"/>
                <w:b/>
                <w:bCs w:val="0"/>
                <w:color w:val="000000" w:themeColor="text1"/>
                <w:sz w:val="20"/>
                <w:szCs w:val="20"/>
              </w:rPr>
              <w:t>PG&amp;E is compliant with this requirement.</w:t>
            </w:r>
          </w:p>
        </w:tc>
      </w:tr>
    </w:tbl>
    <w:p w:rsidR="008019CD" w:rsidP="008019CD" w:rsidRDefault="008019CD" w14:paraId="36379CE2" w14:textId="77777777">
      <w:pPr>
        <w:spacing w:after="0"/>
      </w:pPr>
    </w:p>
    <w:tbl>
      <w:tblPr>
        <w:tblStyle w:val="TableGrid"/>
        <w:tblW w:w="12950" w:type="dxa"/>
        <w:tblLook w:val="04A0" w:firstRow="1" w:lastRow="0" w:firstColumn="1" w:lastColumn="0" w:noHBand="0" w:noVBand="1"/>
      </w:tblPr>
      <w:tblGrid>
        <w:gridCol w:w="3865"/>
        <w:gridCol w:w="4755"/>
        <w:gridCol w:w="4330"/>
      </w:tblGrid>
      <w:tr w:rsidR="004149F1" w:rsidTr="5F588C09" w14:paraId="25C567D4" w14:textId="77777777">
        <w:tc>
          <w:tcPr>
            <w:tcW w:w="3865" w:type="dxa"/>
            <w:tcBorders>
              <w:top w:val="single" w:color="auto" w:sz="4" w:space="0"/>
              <w:left w:val="single" w:color="auto" w:sz="4" w:space="0"/>
              <w:bottom w:val="single" w:color="auto" w:sz="4" w:space="0"/>
              <w:right w:val="single" w:color="auto" w:sz="4" w:space="0"/>
            </w:tcBorders>
            <w:vAlign w:val="center"/>
          </w:tcPr>
          <w:p w:rsidR="008019CD" w:rsidRDefault="008019CD" w14:paraId="0E8A60CC" w14:textId="77777777">
            <w:pPr>
              <w:rPr>
                <w:rFonts w:ascii="Palatino Linotype" w:hAnsi="Palatino Linotype"/>
                <w:b/>
                <w:bCs w:val="0"/>
                <w:sz w:val="20"/>
                <w:szCs w:val="20"/>
              </w:rPr>
            </w:pPr>
            <w:r>
              <w:rPr>
                <w:rFonts w:ascii="Palatino Linotype" w:hAnsi="Palatino Linotype"/>
                <w:b/>
                <w:bCs w:val="0"/>
                <w:sz w:val="20"/>
                <w:szCs w:val="20"/>
              </w:rPr>
              <w:t>CPUC Requirement</w:t>
            </w:r>
          </w:p>
          <w:p w:rsidR="008019CD" w:rsidRDefault="008019CD" w14:paraId="6DB02BA7" w14:textId="77777777">
            <w:r w:rsidRPr="004A58ED">
              <w:rPr>
                <w:rFonts w:ascii="Palatino Linotype" w:hAnsi="Palatino Linotype"/>
                <w:i/>
                <w:iCs/>
                <w:sz w:val="20"/>
                <w:szCs w:val="20"/>
              </w:rPr>
              <w:t>Public Utilities Code 740.1</w:t>
            </w:r>
            <w:r>
              <w:rPr>
                <w:rStyle w:val="FootnoteReference"/>
                <w:rFonts w:ascii="Palatino Linotype" w:hAnsi="Palatino Linotype"/>
                <w:i/>
                <w:iCs/>
                <w:sz w:val="20"/>
                <w:szCs w:val="20"/>
              </w:rPr>
              <w:footnoteReference w:id="276"/>
            </w:r>
          </w:p>
        </w:tc>
        <w:tc>
          <w:tcPr>
            <w:tcW w:w="4755" w:type="dxa"/>
            <w:tcBorders>
              <w:top w:val="single" w:color="auto" w:sz="4" w:space="0"/>
              <w:left w:val="single" w:color="auto" w:sz="4" w:space="0"/>
              <w:bottom w:val="single" w:color="auto" w:sz="4" w:space="0"/>
              <w:right w:val="single" w:color="auto" w:sz="4" w:space="0"/>
            </w:tcBorders>
            <w:vAlign w:val="center"/>
          </w:tcPr>
          <w:p w:rsidR="008019CD" w:rsidRDefault="008019CD" w14:paraId="1A8792B1" w14:textId="77777777">
            <w:r>
              <w:rPr>
                <w:rFonts w:ascii="Palatino Linotype" w:hAnsi="Palatino Linotype"/>
                <w:b/>
                <w:bCs w:val="0"/>
                <w:sz w:val="20"/>
                <w:szCs w:val="20"/>
              </w:rPr>
              <w:t xml:space="preserve">PG&amp;E Response in </w:t>
            </w:r>
            <w:r w:rsidRPr="00FB1ACE">
              <w:rPr>
                <w:rFonts w:ascii="Palatino Linotype" w:hAnsi="Palatino Linotype"/>
                <w:b/>
                <w:bCs w:val="0"/>
                <w:sz w:val="20"/>
                <w:szCs w:val="20"/>
              </w:rPr>
              <w:t>AL 50</w:t>
            </w:r>
            <w:r>
              <w:rPr>
                <w:rFonts w:ascii="Palatino Linotype" w:hAnsi="Palatino Linotype"/>
                <w:b/>
                <w:bCs w:val="0"/>
                <w:sz w:val="20"/>
                <w:szCs w:val="20"/>
              </w:rPr>
              <w:t>69-G</w:t>
            </w:r>
          </w:p>
        </w:tc>
        <w:tc>
          <w:tcPr>
            <w:tcW w:w="4330" w:type="dxa"/>
            <w:tcBorders>
              <w:top w:val="single" w:color="auto" w:sz="4" w:space="0"/>
              <w:left w:val="single" w:color="auto" w:sz="4" w:space="0"/>
              <w:bottom w:val="single" w:color="auto" w:sz="4" w:space="0"/>
              <w:right w:val="single" w:color="auto" w:sz="4" w:space="0"/>
            </w:tcBorders>
            <w:vAlign w:val="center"/>
          </w:tcPr>
          <w:p w:rsidR="008019CD" w:rsidRDefault="008019CD" w14:paraId="5E134EDD" w14:textId="77777777">
            <w:r w:rsidRPr="00587EAF">
              <w:rPr>
                <w:rFonts w:ascii="Palatino Linotype" w:hAnsi="Palatino Linotype"/>
                <w:b/>
                <w:bCs w:val="0"/>
                <w:sz w:val="20"/>
                <w:szCs w:val="20"/>
              </w:rPr>
              <w:t>Compliance</w:t>
            </w:r>
            <w:r w:rsidRPr="00707F27">
              <w:rPr>
                <w:rFonts w:ascii="Palatino Linotype" w:hAnsi="Palatino Linotype"/>
                <w:b/>
                <w:bCs w:val="0"/>
                <w:color w:val="0070C0"/>
                <w:sz w:val="20"/>
                <w:szCs w:val="20"/>
              </w:rPr>
              <w:t xml:space="preserve"> </w:t>
            </w:r>
            <w:r w:rsidRPr="00CD3F71">
              <w:rPr>
                <w:rFonts w:ascii="Palatino Linotype" w:hAnsi="Palatino Linotype"/>
                <w:b/>
                <w:bCs w:val="0"/>
                <w:color w:val="000000" w:themeColor="text1"/>
                <w:sz w:val="20"/>
                <w:szCs w:val="20"/>
              </w:rPr>
              <w:t>Assessment</w:t>
            </w:r>
          </w:p>
        </w:tc>
      </w:tr>
      <w:tr w:rsidR="004149F1" w:rsidTr="5F588C09" w14:paraId="630E4B3B" w14:textId="77777777">
        <w:tc>
          <w:tcPr>
            <w:tcW w:w="3865" w:type="dxa"/>
            <w:tcBorders>
              <w:top w:val="single" w:color="auto" w:sz="4" w:space="0"/>
              <w:left w:val="single" w:color="auto" w:sz="4" w:space="0"/>
              <w:bottom w:val="single" w:color="auto" w:sz="4" w:space="0"/>
              <w:right w:val="single" w:color="auto" w:sz="4" w:space="0"/>
            </w:tcBorders>
          </w:tcPr>
          <w:p w:rsidR="008019CD" w:rsidRDefault="008019CD" w14:paraId="212CE6F1" w14:textId="77777777">
            <w:pPr>
              <w:rPr>
                <w:rFonts w:ascii="Palatino Linotype" w:hAnsi="Palatino Linotype"/>
                <w:i/>
                <w:iCs/>
                <w:color w:val="000000" w:themeColor="text1"/>
                <w:sz w:val="20"/>
                <w:szCs w:val="20"/>
              </w:rPr>
            </w:pPr>
            <w:r>
              <w:rPr>
                <w:rFonts w:ascii="Palatino Linotype" w:hAnsi="Palatino Linotype"/>
                <w:i/>
                <w:iCs/>
                <w:color w:val="000000" w:themeColor="text1"/>
                <w:sz w:val="20"/>
                <w:szCs w:val="20"/>
              </w:rPr>
              <w:t xml:space="preserve">(a) </w:t>
            </w:r>
            <w:r w:rsidRPr="00DE3CB6">
              <w:rPr>
                <w:rFonts w:ascii="Palatino Linotype" w:hAnsi="Palatino Linotype"/>
                <w:i/>
                <w:iCs/>
                <w:color w:val="000000" w:themeColor="text1"/>
                <w:sz w:val="20"/>
                <w:szCs w:val="20"/>
              </w:rPr>
              <w:t>Projects should offer a reasonable probability of providing benefits to ratepayers</w:t>
            </w:r>
            <w:r>
              <w:rPr>
                <w:rFonts w:ascii="Palatino Linotype" w:hAnsi="Palatino Linotype"/>
                <w:i/>
                <w:iCs/>
                <w:color w:val="000000" w:themeColor="text1"/>
                <w:sz w:val="20"/>
                <w:szCs w:val="20"/>
              </w:rPr>
              <w:t>.</w:t>
            </w:r>
            <w:r>
              <w:rPr>
                <w:rStyle w:val="FootnoteReference"/>
                <w:rFonts w:ascii="Palatino Linotype" w:hAnsi="Palatino Linotype"/>
                <w:i/>
                <w:iCs/>
                <w:color w:val="000000" w:themeColor="text1"/>
                <w:sz w:val="20"/>
                <w:szCs w:val="20"/>
              </w:rPr>
              <w:t xml:space="preserve"> </w:t>
            </w:r>
            <w:r>
              <w:rPr>
                <w:rStyle w:val="FootnoteReference"/>
                <w:rFonts w:ascii="Palatino Linotype" w:hAnsi="Palatino Linotype"/>
                <w:i/>
                <w:iCs/>
                <w:color w:val="000000" w:themeColor="text1"/>
                <w:sz w:val="20"/>
                <w:szCs w:val="20"/>
              </w:rPr>
              <w:footnoteReference w:id="277"/>
            </w:r>
            <w:r w:rsidRPr="00DE3CB6">
              <w:rPr>
                <w:rFonts w:ascii="Palatino Linotype" w:hAnsi="Palatino Linotype"/>
                <w:i/>
                <w:iCs/>
                <w:color w:val="000000" w:themeColor="text1"/>
                <w:sz w:val="20"/>
                <w:szCs w:val="20"/>
              </w:rPr>
              <w:t xml:space="preserve"> </w:t>
            </w:r>
          </w:p>
          <w:p w:rsidR="008019CD" w:rsidRDefault="008019CD" w14:paraId="52A4647F" w14:textId="77777777"/>
          <w:p w:rsidR="008019CD" w:rsidRDefault="008019CD" w14:paraId="07B037C7" w14:textId="77777777">
            <w:r>
              <w:rPr>
                <w:rFonts w:ascii="Palatino Linotype" w:hAnsi="Palatino Linotype"/>
                <w:i/>
                <w:iCs/>
                <w:color w:val="000000" w:themeColor="text1"/>
                <w:sz w:val="20"/>
                <w:szCs w:val="20"/>
              </w:rPr>
              <w:t xml:space="preserve">(b) </w:t>
            </w:r>
            <w:r w:rsidRPr="00704498">
              <w:rPr>
                <w:rFonts w:ascii="Palatino Linotype" w:hAnsi="Palatino Linotype"/>
                <w:i/>
                <w:iCs/>
                <w:color w:val="000000" w:themeColor="text1"/>
                <w:sz w:val="20"/>
                <w:szCs w:val="20"/>
              </w:rPr>
              <w:t>Expenditures on projects which have a low probability for success should be minimized.</w:t>
            </w:r>
            <w:r>
              <w:rPr>
                <w:rStyle w:val="FootnoteReference"/>
                <w:rFonts w:ascii="Palatino Linotype" w:hAnsi="Palatino Linotype"/>
                <w:i/>
                <w:iCs/>
                <w:color w:val="000000" w:themeColor="text1"/>
                <w:sz w:val="20"/>
                <w:szCs w:val="20"/>
              </w:rPr>
              <w:footnoteReference w:id="278"/>
            </w:r>
          </w:p>
        </w:tc>
        <w:tc>
          <w:tcPr>
            <w:tcW w:w="4755" w:type="dxa"/>
            <w:tcBorders>
              <w:top w:val="single" w:color="auto" w:sz="4" w:space="0"/>
              <w:left w:val="single" w:color="auto" w:sz="4" w:space="0"/>
              <w:bottom w:val="single" w:color="auto" w:sz="4" w:space="0"/>
              <w:right w:val="single" w:color="auto" w:sz="4" w:space="0"/>
            </w:tcBorders>
          </w:tcPr>
          <w:p w:rsidR="008019CD" w:rsidRDefault="008019CD" w14:paraId="0E588664" w14:textId="77777777">
            <w:pPr>
              <w:contextualSpacing/>
              <w:rPr>
                <w:rFonts w:ascii="Palatino Linotype" w:hAnsi="Palatino Linotype" w:eastAsia="Palatino Linotype" w:cs="Times New Roman"/>
                <w:color w:val="0070C0"/>
                <w:sz w:val="20"/>
                <w:szCs w:val="20"/>
              </w:rPr>
            </w:pPr>
            <w:r w:rsidRPr="00BC669D">
              <w:rPr>
                <w:rFonts w:ascii="Palatino Linotype" w:hAnsi="Palatino Linotype" w:eastAsia="Palatino Linotype" w:cs="Times New Roman"/>
                <w:color w:val="000000" w:themeColor="text1"/>
                <w:sz w:val="20"/>
                <w:szCs w:val="20"/>
              </w:rPr>
              <w:t>PG&amp;E states that it plans to renew its membership in three research consortia</w:t>
            </w:r>
            <w:r w:rsidRPr="00164C5A">
              <w:rPr>
                <w:rFonts w:ascii="Palatino Linotype" w:hAnsi="Palatino Linotype" w:eastAsia="Palatino Linotype" w:cs="Times New Roman"/>
                <w:color w:val="000000" w:themeColor="text1"/>
                <w:sz w:val="20"/>
                <w:szCs w:val="20"/>
              </w:rPr>
              <w:t>, with estimated dues amounting to $364,868 in calendar year 2026,</w:t>
            </w:r>
            <w:r w:rsidRPr="00164C5A">
              <w:rPr>
                <w:rStyle w:val="FootnoteReference"/>
                <w:rFonts w:ascii="Palatino Linotype" w:hAnsi="Palatino Linotype" w:eastAsia="Palatino Linotype" w:cs="Times New Roman"/>
                <w:color w:val="000000" w:themeColor="text1"/>
                <w:sz w:val="20"/>
                <w:szCs w:val="20"/>
              </w:rPr>
              <w:footnoteReference w:id="279"/>
            </w:r>
            <w:r w:rsidRPr="00164C5A">
              <w:rPr>
                <w:rFonts w:ascii="Palatino Linotype" w:hAnsi="Palatino Linotype" w:eastAsia="Palatino Linotype" w:cs="Times New Roman"/>
                <w:color w:val="000000" w:themeColor="text1"/>
                <w:sz w:val="20"/>
                <w:szCs w:val="20"/>
              </w:rPr>
              <w:t xml:space="preserve"> </w:t>
            </w:r>
            <w:r w:rsidRPr="00164C5A">
              <w:rPr>
                <w:rFonts w:ascii="Palatino Linotype" w:hAnsi="Palatino Linotype"/>
                <w:color w:val="000000" w:themeColor="text1"/>
                <w:sz w:val="20"/>
                <w:szCs w:val="20"/>
              </w:rPr>
              <w:t>though it is unclear if PG&amp;E is requesting funding for this purpose as no associated funds are proposed in its 2025 Plan annual budget allocations.</w:t>
            </w:r>
            <w:r w:rsidRPr="00164C5A">
              <w:rPr>
                <w:rStyle w:val="FootnoteReference"/>
                <w:rFonts w:ascii="Palatino Linotype" w:hAnsi="Palatino Linotype"/>
                <w:color w:val="000000" w:themeColor="text1"/>
                <w:sz w:val="20"/>
                <w:szCs w:val="20"/>
              </w:rPr>
              <w:footnoteReference w:id="280"/>
            </w:r>
            <w:r w:rsidRPr="00164C5A">
              <w:rPr>
                <w:rFonts w:ascii="Palatino Linotype" w:hAnsi="Palatino Linotype"/>
                <w:color w:val="000000" w:themeColor="text1"/>
                <w:sz w:val="20"/>
                <w:szCs w:val="20"/>
              </w:rPr>
              <w:t xml:space="preserve"> </w:t>
            </w:r>
            <w:r w:rsidRPr="00164C5A">
              <w:rPr>
                <w:rFonts w:ascii="Palatino Linotype" w:hAnsi="Palatino Linotype" w:eastAsia="Palatino Linotype" w:cs="Times New Roman"/>
                <w:color w:val="000000" w:themeColor="text1"/>
                <w:sz w:val="20"/>
                <w:szCs w:val="20"/>
              </w:rPr>
              <w:t xml:space="preserve">PG&amp;E includes two projects under the </w:t>
            </w:r>
            <w:r w:rsidRPr="00164C5A">
              <w:rPr>
                <w:rFonts w:ascii="Palatino Linotype" w:hAnsi="Palatino Linotype"/>
                <w:color w:val="000000" w:themeColor="text1"/>
                <w:sz w:val="20"/>
                <w:szCs w:val="20"/>
              </w:rPr>
              <w:t xml:space="preserve">Innovative and Cost-Effective Integrity </w:t>
            </w:r>
            <w:r w:rsidRPr="00164C5A">
              <w:rPr>
                <w:rFonts w:ascii="Palatino Linotype" w:hAnsi="Palatino Linotype"/>
                <w:color w:val="000000" w:themeColor="text1"/>
                <w:sz w:val="20"/>
                <w:szCs w:val="20"/>
              </w:rPr>
              <w:lastRenderedPageBreak/>
              <w:t xml:space="preserve">Management Initiative </w:t>
            </w:r>
            <w:r w:rsidRPr="00164C5A">
              <w:rPr>
                <w:rFonts w:ascii="Palatino Linotype" w:hAnsi="Palatino Linotype" w:eastAsia="Palatino Linotype" w:cs="Times New Roman"/>
                <w:color w:val="000000" w:themeColor="text1"/>
                <w:sz w:val="20"/>
                <w:szCs w:val="20"/>
              </w:rPr>
              <w:t>on its Gas RD&amp;D Project List classified as “Funded by Membership Fee</w:t>
            </w:r>
            <w:r w:rsidRPr="008A3437">
              <w:rPr>
                <w:rFonts w:ascii="Palatino Linotype" w:hAnsi="Palatino Linotype" w:eastAsia="Palatino Linotype" w:cs="Times New Roman"/>
                <w:color w:val="0070C0"/>
                <w:sz w:val="20"/>
                <w:szCs w:val="20"/>
              </w:rPr>
              <w:t>.”</w:t>
            </w:r>
          </w:p>
          <w:p w:rsidR="008019CD" w:rsidRDefault="008019CD" w14:paraId="75286D89" w14:textId="77777777">
            <w:pPr>
              <w:contextualSpacing/>
              <w:rPr>
                <w:rFonts w:ascii="Palatino Linotype" w:hAnsi="Palatino Linotype" w:eastAsia="Palatino Linotype" w:cs="Times New Roman"/>
                <w:color w:val="0070C0"/>
                <w:sz w:val="20"/>
                <w:szCs w:val="20"/>
              </w:rPr>
            </w:pPr>
          </w:p>
          <w:p w:rsidRPr="00221DB9" w:rsidR="008019CD" w:rsidP="00221DB9" w:rsidRDefault="008019CD" w14:paraId="56A3CB34" w14:textId="72DB4D02">
            <w:pPr>
              <w:pStyle w:val="FootnoteText"/>
              <w:rPr>
                <w:rFonts w:ascii="Palatino Linotype" w:hAnsi="Palatino Linotype"/>
                <w:bCs w:val="0"/>
                <w:color w:val="000000" w:themeColor="text1"/>
              </w:rPr>
            </w:pPr>
            <w:r w:rsidRPr="00502BF7">
              <w:rPr>
                <w:rFonts w:ascii="Palatino Linotype" w:hAnsi="Palatino Linotype" w:eastAsia="Palatino Linotype" w:cs="Times New Roman"/>
                <w:color w:val="000000" w:themeColor="text1"/>
              </w:rPr>
              <w:t xml:space="preserve">In its 2024 </w:t>
            </w:r>
            <w:r w:rsidRPr="00502BF7">
              <w:rPr>
                <w:rFonts w:ascii="Palatino Linotype" w:hAnsi="Palatino Linotype"/>
                <w:color w:val="000000" w:themeColor="text1"/>
              </w:rPr>
              <w:t>Gas RD&amp;D Annual Report, PG&amp;E states that for “projects supported by OTD and UTD, PG&amp;E did not provide direct funding. Instead, PG&amp;E paid annual dues and then determined how these dues were allocated across projects. For projects led by the other consortia and R&amp;D groups, PG&amp;E paid annual dues and/or paid additional funding in support of specific projects.”</w:t>
            </w:r>
            <w:r w:rsidRPr="00502BF7">
              <w:rPr>
                <w:rStyle w:val="FootnoteReference"/>
                <w:rFonts w:ascii="Palatino Linotype" w:hAnsi="Palatino Linotype"/>
                <w:color w:val="000000" w:themeColor="text1"/>
              </w:rPr>
              <w:footnoteReference w:id="281"/>
            </w:r>
          </w:p>
        </w:tc>
        <w:tc>
          <w:tcPr>
            <w:tcW w:w="4330" w:type="dxa"/>
            <w:tcBorders>
              <w:top w:val="single" w:color="auto" w:sz="4" w:space="0"/>
              <w:left w:val="single" w:color="auto" w:sz="4" w:space="0"/>
              <w:bottom w:val="single" w:color="auto" w:sz="4" w:space="0"/>
              <w:right w:val="single" w:color="auto" w:sz="4" w:space="0"/>
            </w:tcBorders>
          </w:tcPr>
          <w:p w:rsidR="008019CD" w:rsidRDefault="008019CD" w14:paraId="440731CC" w14:textId="0B82A794">
            <w:r>
              <w:rPr>
                <w:rFonts w:ascii="Palatino Linotype" w:hAnsi="Palatino Linotype"/>
                <w:color w:val="000000" w:themeColor="text1"/>
                <w:sz w:val="20"/>
                <w:szCs w:val="20"/>
              </w:rPr>
              <w:lastRenderedPageBreak/>
              <w:t xml:space="preserve">PG&amp;E does not provide sufficient detail or propose demonstrably compliant investments. </w:t>
            </w:r>
            <w:r w:rsidRPr="004A19F2" w:rsidR="046E8731">
              <w:rPr>
                <w:rFonts w:ascii="Palatino Linotype" w:hAnsi="Palatino Linotype"/>
                <w:color w:val="000000" w:themeColor="text1"/>
                <w:sz w:val="20"/>
                <w:szCs w:val="20"/>
              </w:rPr>
              <w:t>The</w:t>
            </w:r>
            <w:r w:rsidRPr="004A19F2">
              <w:rPr>
                <w:rFonts w:ascii="Palatino Linotype" w:hAnsi="Palatino Linotype"/>
                <w:color w:val="000000" w:themeColor="text1"/>
                <w:sz w:val="20"/>
                <w:szCs w:val="20"/>
              </w:rPr>
              <w:t xml:space="preserve"> Commission </w:t>
            </w:r>
            <w:r w:rsidRPr="004A19F2" w:rsidR="599A9033">
              <w:rPr>
                <w:rFonts w:ascii="Palatino Linotype" w:hAnsi="Palatino Linotype"/>
                <w:color w:val="000000" w:themeColor="text1"/>
                <w:sz w:val="20"/>
                <w:szCs w:val="20"/>
              </w:rPr>
              <w:t>has provided</w:t>
            </w:r>
            <w:r w:rsidRPr="004A19F2">
              <w:rPr>
                <w:rFonts w:ascii="Palatino Linotype" w:hAnsi="Palatino Linotype"/>
                <w:color w:val="000000" w:themeColor="text1"/>
                <w:sz w:val="20"/>
                <w:szCs w:val="20"/>
              </w:rPr>
              <w:t xml:space="preserve"> guidance dictates that </w:t>
            </w:r>
            <w:r w:rsidRPr="004A19F2" w:rsidR="43890939">
              <w:rPr>
                <w:rFonts w:ascii="Palatino Linotype" w:hAnsi="Palatino Linotype"/>
                <w:color w:val="000000" w:themeColor="text1"/>
                <w:sz w:val="20"/>
                <w:szCs w:val="20"/>
              </w:rPr>
              <w:t>Gas RD&amp;D</w:t>
            </w:r>
            <w:r w:rsidRPr="004A19F2">
              <w:rPr>
                <w:rFonts w:ascii="Palatino Linotype" w:hAnsi="Palatino Linotype"/>
                <w:color w:val="000000" w:themeColor="text1"/>
                <w:sz w:val="20"/>
                <w:szCs w:val="20"/>
              </w:rPr>
              <w:t xml:space="preserve"> projects shall occur in the State of California with the exception of those affiliated with a federal lab,</w:t>
            </w:r>
            <w:r w:rsidR="00683422">
              <w:rPr>
                <w:rStyle w:val="FootnoteReference"/>
                <w:rFonts w:ascii="Palatino Linotype" w:hAnsi="Palatino Linotype"/>
                <w:color w:val="000000" w:themeColor="text1"/>
                <w:sz w:val="20"/>
                <w:szCs w:val="20"/>
              </w:rPr>
              <w:footnoteReference w:id="282"/>
            </w:r>
            <w:r w:rsidRPr="004A19F2">
              <w:rPr>
                <w:rFonts w:ascii="Palatino Linotype" w:hAnsi="Palatino Linotype"/>
                <w:color w:val="000000" w:themeColor="text1"/>
                <w:sz w:val="20"/>
                <w:szCs w:val="20"/>
              </w:rPr>
              <w:t xml:space="preserve"> and that consortia membership dues are Administrative Activities under Program </w:t>
            </w:r>
            <w:r w:rsidRPr="004A19F2">
              <w:rPr>
                <w:rFonts w:ascii="Palatino Linotype" w:hAnsi="Palatino Linotype"/>
                <w:color w:val="000000" w:themeColor="text1"/>
                <w:sz w:val="20"/>
                <w:szCs w:val="20"/>
              </w:rPr>
              <w:lastRenderedPageBreak/>
              <w:t>Administrative costs,</w:t>
            </w:r>
            <w:r w:rsidRPr="004A19F2">
              <w:rPr>
                <w:rStyle w:val="FootnoteReference"/>
                <w:rFonts w:ascii="Palatino Linotype" w:hAnsi="Palatino Linotype"/>
                <w:color w:val="000000" w:themeColor="text1"/>
                <w:sz w:val="20"/>
                <w:szCs w:val="20"/>
              </w:rPr>
              <w:footnoteReference w:id="283"/>
            </w:r>
            <w:r w:rsidRPr="004A19F2">
              <w:rPr>
                <w:rFonts w:ascii="Palatino Linotype" w:hAnsi="Palatino Linotype"/>
                <w:color w:val="000000" w:themeColor="text1"/>
                <w:sz w:val="20"/>
                <w:szCs w:val="20"/>
              </w:rPr>
              <w:t xml:space="preserve"> both of which rely on demonstration of ratepayer benefit.</w:t>
            </w:r>
            <w:r w:rsidRPr="483F709E">
              <w:rPr>
                <w:rStyle w:val="FootnoteReference"/>
                <w:rFonts w:ascii="Palatino Linotype" w:hAnsi="Palatino Linotype"/>
                <w:color w:val="000000" w:themeColor="text1"/>
                <w:sz w:val="20"/>
                <w:szCs w:val="20"/>
              </w:rPr>
              <w:footnoteReference w:id="284"/>
            </w:r>
            <w:r w:rsidRPr="004A19F2">
              <w:rPr>
                <w:rFonts w:ascii="Palatino Linotype" w:hAnsi="Palatino Linotype"/>
                <w:color w:val="000000" w:themeColor="text1"/>
                <w:sz w:val="20"/>
                <w:szCs w:val="20"/>
              </w:rPr>
              <w:t xml:space="preserve"> Further, projects costs related to each research consortium should be detailed.</w:t>
            </w:r>
            <w:r w:rsidRPr="004A19F2">
              <w:rPr>
                <w:rStyle w:val="FootnoteReference"/>
                <w:rFonts w:ascii="Palatino Linotype" w:hAnsi="Palatino Linotype"/>
                <w:color w:val="000000" w:themeColor="text1"/>
                <w:sz w:val="20"/>
                <w:szCs w:val="20"/>
              </w:rPr>
              <w:footnoteReference w:id="285"/>
            </w:r>
            <w:r>
              <w:rPr>
                <w:rFonts w:ascii="Palatino Linotype" w:hAnsi="Palatino Linotype"/>
                <w:color w:val="000000" w:themeColor="text1"/>
                <w:sz w:val="20"/>
                <w:szCs w:val="20"/>
              </w:rPr>
              <w:t xml:space="preserve"> </w:t>
            </w:r>
            <w:r>
              <w:rPr>
                <w:rFonts w:ascii="Palatino Linotype" w:hAnsi="Palatino Linotype"/>
                <w:b/>
                <w:bCs w:val="0"/>
                <w:sz w:val="20"/>
                <w:szCs w:val="20"/>
              </w:rPr>
              <w:t>P</w:t>
            </w:r>
            <w:r w:rsidRPr="00712165">
              <w:rPr>
                <w:rFonts w:ascii="Palatino Linotype" w:hAnsi="Palatino Linotype"/>
                <w:b/>
                <w:bCs w:val="0"/>
                <w:sz w:val="20"/>
                <w:szCs w:val="20"/>
              </w:rPr>
              <w:t xml:space="preserve">G&amp;E is </w:t>
            </w:r>
            <w:r>
              <w:rPr>
                <w:rFonts w:ascii="Palatino Linotype" w:hAnsi="Palatino Linotype"/>
                <w:b/>
                <w:bCs w:val="0"/>
                <w:sz w:val="20"/>
                <w:szCs w:val="20"/>
              </w:rPr>
              <w:t xml:space="preserve">not </w:t>
            </w:r>
            <w:r w:rsidRPr="00712165">
              <w:rPr>
                <w:rFonts w:ascii="Palatino Linotype" w:hAnsi="Palatino Linotype"/>
                <w:b/>
                <w:bCs w:val="0"/>
                <w:sz w:val="20"/>
                <w:szCs w:val="20"/>
              </w:rPr>
              <w:t>compliant with th</w:t>
            </w:r>
            <w:r>
              <w:rPr>
                <w:rFonts w:ascii="Palatino Linotype" w:hAnsi="Palatino Linotype"/>
                <w:b/>
                <w:bCs w:val="0"/>
                <w:sz w:val="20"/>
                <w:szCs w:val="20"/>
              </w:rPr>
              <w:t>is</w:t>
            </w:r>
            <w:r w:rsidRPr="00712165">
              <w:rPr>
                <w:rFonts w:ascii="Palatino Linotype" w:hAnsi="Palatino Linotype"/>
                <w:b/>
                <w:bCs w:val="0"/>
                <w:sz w:val="20"/>
                <w:szCs w:val="20"/>
              </w:rPr>
              <w:t xml:space="preserve"> requirement.</w:t>
            </w:r>
          </w:p>
        </w:tc>
      </w:tr>
      <w:tr w:rsidR="004149F1" w:rsidTr="5F588C09" w14:paraId="2C1283DE" w14:textId="77777777">
        <w:tc>
          <w:tcPr>
            <w:tcW w:w="3865" w:type="dxa"/>
            <w:tcBorders>
              <w:top w:val="single" w:color="auto" w:sz="4" w:space="0"/>
              <w:left w:val="single" w:color="auto" w:sz="4" w:space="0"/>
              <w:bottom w:val="single" w:color="auto" w:sz="4" w:space="0"/>
              <w:right w:val="single" w:color="auto" w:sz="4" w:space="0"/>
            </w:tcBorders>
          </w:tcPr>
          <w:p w:rsidR="008019CD" w:rsidRDefault="008019CD" w14:paraId="3668F465" w14:textId="77777777">
            <w:r>
              <w:rPr>
                <w:rFonts w:ascii="Palatino Linotype" w:hAnsi="Palatino Linotype"/>
                <w:i/>
                <w:iCs/>
                <w:color w:val="000000" w:themeColor="text1"/>
                <w:sz w:val="20"/>
                <w:szCs w:val="20"/>
              </w:rPr>
              <w:lastRenderedPageBreak/>
              <w:t xml:space="preserve">(d) </w:t>
            </w:r>
            <w:r w:rsidRPr="007C534E">
              <w:rPr>
                <w:rFonts w:ascii="Palatino Linotype" w:hAnsi="Palatino Linotype"/>
                <w:i/>
                <w:iCs/>
                <w:color w:val="000000" w:themeColor="text1"/>
                <w:sz w:val="20"/>
                <w:szCs w:val="20"/>
              </w:rPr>
              <w:t>Projects should not unnecessarily duplicate research currently, previously, or imminently undertaken by other electrical or gas corporations or research organizations</w:t>
            </w:r>
            <w:r>
              <w:rPr>
                <w:rFonts w:ascii="Palatino Linotype" w:hAnsi="Palatino Linotype"/>
                <w:i/>
                <w:iCs/>
                <w:color w:val="000000" w:themeColor="text1"/>
                <w:sz w:val="20"/>
                <w:szCs w:val="20"/>
              </w:rPr>
              <w:t>.</w:t>
            </w:r>
            <w:r>
              <w:rPr>
                <w:rStyle w:val="FootnoteReference"/>
                <w:rFonts w:ascii="Palatino Linotype" w:hAnsi="Palatino Linotype"/>
                <w:sz w:val="20"/>
                <w:szCs w:val="20"/>
              </w:rPr>
              <w:footnoteReference w:id="286"/>
            </w:r>
            <w:r w:rsidRPr="007C534E">
              <w:rPr>
                <w:rFonts w:ascii="Palatino Linotype" w:hAnsi="Palatino Linotype"/>
                <w:color w:val="000000" w:themeColor="text1"/>
                <w:sz w:val="20"/>
                <w:szCs w:val="20"/>
              </w:rPr>
              <w:t xml:space="preserve"> </w:t>
            </w:r>
          </w:p>
        </w:tc>
        <w:tc>
          <w:tcPr>
            <w:tcW w:w="4755" w:type="dxa"/>
            <w:tcBorders>
              <w:top w:val="single" w:color="auto" w:sz="4" w:space="0"/>
              <w:left w:val="single" w:color="auto" w:sz="4" w:space="0"/>
              <w:bottom w:val="single" w:color="auto" w:sz="4" w:space="0"/>
              <w:right w:val="single" w:color="auto" w:sz="4" w:space="0"/>
            </w:tcBorders>
          </w:tcPr>
          <w:p w:rsidRPr="00221DB9" w:rsidR="008019CD" w:rsidRDefault="008019CD" w14:paraId="6907D81E" w14:textId="6580DFBC">
            <w:pPr>
              <w:rPr>
                <w:rFonts w:ascii="Palatino Linotype" w:hAnsi="Palatino Linotype"/>
                <w:sz w:val="20"/>
                <w:szCs w:val="20"/>
              </w:rPr>
            </w:pPr>
            <w:r w:rsidRPr="000E145D">
              <w:rPr>
                <w:rFonts w:ascii="Palatino Linotype" w:hAnsi="Palatino Linotype"/>
                <w:color w:val="000000" w:themeColor="text1"/>
                <w:sz w:val="20"/>
                <w:szCs w:val="20"/>
              </w:rPr>
              <w:t>PG&amp;E discusses high-level coordination with other Gas RD&amp;D administrators</w:t>
            </w:r>
            <w:r>
              <w:rPr>
                <w:rStyle w:val="FootnoteReference"/>
                <w:rFonts w:ascii="Palatino Linotype" w:hAnsi="Palatino Linotype"/>
                <w:color w:val="000000" w:themeColor="text1"/>
                <w:sz w:val="20"/>
                <w:szCs w:val="20"/>
              </w:rPr>
              <w:footnoteReference w:id="287"/>
            </w:r>
            <w:r w:rsidRPr="00E91D6E">
              <w:rPr>
                <w:rFonts w:ascii="Palatino Linotype" w:hAnsi="Palatino Linotype"/>
                <w:color w:val="000000" w:themeColor="text1"/>
                <w:sz w:val="20"/>
                <w:szCs w:val="20"/>
              </w:rPr>
              <w:t xml:space="preserve"> </w:t>
            </w:r>
            <w:r>
              <w:rPr>
                <w:rFonts w:ascii="Palatino Linotype" w:hAnsi="Palatino Linotype"/>
                <w:color w:val="000000" w:themeColor="text1"/>
                <w:sz w:val="20"/>
                <w:szCs w:val="20"/>
              </w:rPr>
              <w:t xml:space="preserve">and </w:t>
            </w:r>
            <w:r w:rsidRPr="00E91D6E">
              <w:rPr>
                <w:rFonts w:ascii="Palatino Linotype" w:hAnsi="Palatino Linotype"/>
                <w:color w:val="000000" w:themeColor="text1"/>
                <w:sz w:val="20"/>
                <w:szCs w:val="20"/>
              </w:rPr>
              <w:t xml:space="preserve">states broadly for each initiative that it </w:t>
            </w:r>
            <w:r>
              <w:rPr>
                <w:rFonts w:ascii="Palatino Linotype" w:hAnsi="Palatino Linotype"/>
                <w:color w:val="000000" w:themeColor="text1"/>
                <w:sz w:val="20"/>
                <w:szCs w:val="20"/>
              </w:rPr>
              <w:t xml:space="preserve">plans to </w:t>
            </w:r>
            <w:r w:rsidRPr="00E91D6E">
              <w:rPr>
                <w:rFonts w:ascii="Palatino Linotype" w:hAnsi="Palatino Linotype"/>
                <w:color w:val="000000" w:themeColor="text1"/>
                <w:sz w:val="20"/>
                <w:szCs w:val="20"/>
              </w:rPr>
              <w:t>“convene regularly with the other Gas R&amp;D Administrators to proactively identify potential areas of overlap and explore opportunities for collaboration and synergy across their respective portfolios.”</w:t>
            </w:r>
            <w:r>
              <w:rPr>
                <w:rStyle w:val="FootnoteReference"/>
                <w:rFonts w:ascii="Palatino Linotype" w:hAnsi="Palatino Linotype"/>
                <w:color w:val="000000" w:themeColor="text1"/>
                <w:sz w:val="20"/>
                <w:szCs w:val="20"/>
              </w:rPr>
              <w:footnoteReference w:id="288"/>
            </w:r>
            <w:r w:rsidRPr="00E91D6E">
              <w:rPr>
                <w:rFonts w:ascii="Palatino Linotype" w:hAnsi="Palatino Linotype"/>
                <w:color w:val="000000" w:themeColor="text1"/>
                <w:sz w:val="20"/>
                <w:szCs w:val="20"/>
              </w:rPr>
              <w:t xml:space="preserve"> </w:t>
            </w:r>
            <w:r w:rsidRPr="0045052A">
              <w:rPr>
                <w:rFonts w:ascii="Palatino Linotype" w:hAnsi="Palatino Linotype"/>
                <w:color w:val="000000" w:themeColor="text1"/>
                <w:sz w:val="20"/>
                <w:szCs w:val="20"/>
              </w:rPr>
              <w:t xml:space="preserve">As compared to existing Gas RD&amp;D activities conducted by other administrators, PG&amp;E states that there is no duplication as </w:t>
            </w:r>
            <w:r>
              <w:rPr>
                <w:rFonts w:ascii="Palatino Linotype" w:hAnsi="Palatino Linotype"/>
                <w:color w:val="000000" w:themeColor="text1"/>
                <w:sz w:val="20"/>
                <w:szCs w:val="20"/>
              </w:rPr>
              <w:t>it is</w:t>
            </w:r>
            <w:r w:rsidRPr="0045052A">
              <w:rPr>
                <w:rFonts w:ascii="Palatino Linotype" w:hAnsi="Palatino Linotype"/>
                <w:color w:val="000000" w:themeColor="text1"/>
                <w:sz w:val="20"/>
                <w:szCs w:val="20"/>
              </w:rPr>
              <w:t xml:space="preserve"> prioritizing the specific needs of </w:t>
            </w:r>
            <w:r w:rsidRPr="00164C5A">
              <w:rPr>
                <w:rFonts w:ascii="Palatino Linotype" w:hAnsi="Palatino Linotype"/>
                <w:color w:val="000000" w:themeColor="text1"/>
                <w:sz w:val="20"/>
                <w:szCs w:val="20"/>
              </w:rPr>
              <w:t>PG&amp;E.</w:t>
            </w:r>
            <w:r w:rsidRPr="00164C5A">
              <w:rPr>
                <w:rStyle w:val="FootnoteReference"/>
                <w:rFonts w:ascii="Palatino Linotype" w:hAnsi="Palatino Linotype"/>
                <w:color w:val="000000" w:themeColor="text1"/>
                <w:sz w:val="20"/>
                <w:szCs w:val="20"/>
              </w:rPr>
              <w:footnoteReference w:id="289"/>
            </w:r>
            <w:r w:rsidRPr="00164C5A">
              <w:rPr>
                <w:rFonts w:ascii="Palatino Linotype" w:hAnsi="Palatino Linotype"/>
                <w:color w:val="000000" w:themeColor="text1"/>
                <w:sz w:val="20"/>
                <w:szCs w:val="20"/>
              </w:rPr>
              <w:t xml:space="preserve"> The Initiatives proposed </w:t>
            </w:r>
            <w:r w:rsidRPr="00164C5A">
              <w:rPr>
                <w:rFonts w:ascii="Palatino Linotype" w:hAnsi="Palatino Linotype"/>
                <w:color w:val="000000" w:themeColor="text1"/>
                <w:sz w:val="20"/>
                <w:szCs w:val="20"/>
              </w:rPr>
              <w:lastRenderedPageBreak/>
              <w:t>in PG&amp;E’s 2025 Plan are not differentiated from those proposed in PG&amp;E’s 2024 Plan.</w:t>
            </w:r>
          </w:p>
        </w:tc>
        <w:tc>
          <w:tcPr>
            <w:tcW w:w="4330" w:type="dxa"/>
            <w:tcBorders>
              <w:top w:val="single" w:color="auto" w:sz="4" w:space="0"/>
              <w:left w:val="single" w:color="auto" w:sz="4" w:space="0"/>
              <w:bottom w:val="single" w:color="auto" w:sz="4" w:space="0"/>
              <w:right w:val="single" w:color="auto" w:sz="4" w:space="0"/>
            </w:tcBorders>
          </w:tcPr>
          <w:p w:rsidR="008019CD" w:rsidRDefault="008019CD" w14:paraId="4D1EA7A7" w14:textId="6452C6D2">
            <w:r>
              <w:rPr>
                <w:rFonts w:ascii="Palatino Linotype" w:hAnsi="Palatino Linotype"/>
                <w:color w:val="000000" w:themeColor="text1"/>
                <w:sz w:val="20"/>
                <w:szCs w:val="20"/>
              </w:rPr>
              <w:lastRenderedPageBreak/>
              <w:t>PG&amp;E does</w:t>
            </w:r>
            <w:r w:rsidRPr="00411D98">
              <w:rPr>
                <w:rFonts w:ascii="Palatino Linotype" w:hAnsi="Palatino Linotype"/>
                <w:color w:val="000000" w:themeColor="text1"/>
                <w:sz w:val="20"/>
                <w:szCs w:val="20"/>
              </w:rPr>
              <w:t xml:space="preserve"> not demonstrate </w:t>
            </w:r>
            <w:r>
              <w:rPr>
                <w:rFonts w:ascii="Palatino Linotype" w:hAnsi="Palatino Linotype"/>
                <w:color w:val="000000" w:themeColor="text1"/>
                <w:sz w:val="20"/>
                <w:szCs w:val="20"/>
              </w:rPr>
              <w:t xml:space="preserve">that </w:t>
            </w:r>
            <w:r w:rsidRPr="00411D98">
              <w:rPr>
                <w:rFonts w:ascii="Palatino Linotype" w:hAnsi="Palatino Linotype" w:eastAsia="Palatino Linotype" w:cs="Times New Roman"/>
                <w:color w:val="000000" w:themeColor="text1"/>
                <w:sz w:val="20"/>
                <w:szCs w:val="20"/>
              </w:rPr>
              <w:t xml:space="preserve">proposed </w:t>
            </w:r>
            <w:r>
              <w:rPr>
                <w:rFonts w:ascii="Palatino Linotype" w:hAnsi="Palatino Linotype" w:eastAsia="Palatino Linotype" w:cs="Times New Roman"/>
                <w:color w:val="000000" w:themeColor="text1"/>
                <w:sz w:val="20"/>
                <w:szCs w:val="20"/>
              </w:rPr>
              <w:t>investments</w:t>
            </w:r>
            <w:r w:rsidRPr="00411D98">
              <w:rPr>
                <w:rFonts w:ascii="Palatino Linotype" w:hAnsi="Palatino Linotype" w:eastAsia="Palatino Linotype" w:cs="Times New Roman"/>
                <w:color w:val="000000" w:themeColor="text1"/>
                <w:sz w:val="20"/>
                <w:szCs w:val="20"/>
              </w:rPr>
              <w:t xml:space="preserve"> do not unnecessarily duplicate research currently, previously, or imminently undertaken</w:t>
            </w:r>
            <w:r>
              <w:rPr>
                <w:rFonts w:ascii="Palatino Linotype" w:hAnsi="Palatino Linotype" w:eastAsia="Palatino Linotype" w:cs="Times New Roman"/>
                <w:color w:val="000000" w:themeColor="text1"/>
                <w:sz w:val="20"/>
                <w:szCs w:val="20"/>
              </w:rPr>
              <w:t xml:space="preserve"> at the Initiative level</w:t>
            </w:r>
            <w:r>
              <w:t>,</w:t>
            </w:r>
            <w:r>
              <w:rPr>
                <w:rFonts w:ascii="Palatino Linotype" w:hAnsi="Palatino Linotype" w:eastAsia="Palatino Linotype" w:cs="Times New Roman"/>
                <w:color w:val="000000" w:themeColor="text1"/>
                <w:sz w:val="20"/>
                <w:szCs w:val="20"/>
              </w:rPr>
              <w:t xml:space="preserve"> including </w:t>
            </w:r>
            <w:r w:rsidRPr="00411D98">
              <w:rPr>
                <w:rFonts w:ascii="Palatino Linotype" w:hAnsi="Palatino Linotype" w:eastAsia="Palatino Linotype" w:cs="Times New Roman"/>
                <w:color w:val="000000" w:themeColor="text1"/>
                <w:sz w:val="20"/>
                <w:szCs w:val="20"/>
              </w:rPr>
              <w:t>activities associated with the Natural Gas Leak Abatement (NGLA) Program; Alliance for</w:t>
            </w:r>
            <w:r>
              <w:rPr>
                <w:rFonts w:ascii="Palatino Linotype" w:hAnsi="Palatino Linotype" w:eastAsia="Palatino Linotype" w:cs="Times New Roman"/>
                <w:color w:val="000000" w:themeColor="text1"/>
                <w:sz w:val="20"/>
                <w:szCs w:val="20"/>
              </w:rPr>
              <w:t xml:space="preserve"> </w:t>
            </w:r>
            <w:r w:rsidRPr="00411D98">
              <w:rPr>
                <w:rFonts w:ascii="Palatino Linotype" w:hAnsi="Palatino Linotype" w:eastAsia="Palatino Linotype" w:cs="Times New Roman"/>
                <w:color w:val="000000" w:themeColor="text1"/>
                <w:sz w:val="20"/>
                <w:szCs w:val="20"/>
              </w:rPr>
              <w:t>Renewable Clean Hydrogen Energy Systems (ARCHES); and hydrogen blending pilots.</w:t>
            </w:r>
            <w:r w:rsidRPr="00411D98">
              <w:rPr>
                <w:rStyle w:val="FootnoteReference"/>
                <w:rFonts w:ascii="Palatino Linotype" w:hAnsi="Palatino Linotype" w:eastAsia="Palatino Linotype" w:cs="Times New Roman"/>
                <w:color w:val="000000" w:themeColor="text1"/>
                <w:sz w:val="20"/>
                <w:szCs w:val="20"/>
              </w:rPr>
              <w:footnoteReference w:id="290"/>
            </w:r>
            <w:r w:rsidR="00E12CCE">
              <w:rPr>
                <w:rFonts w:ascii="Palatino Linotype" w:hAnsi="Palatino Linotype"/>
                <w:color w:val="000000" w:themeColor="text1"/>
                <w:sz w:val="20"/>
                <w:szCs w:val="20"/>
              </w:rPr>
              <w:t xml:space="preserve"> </w:t>
            </w:r>
            <w:r>
              <w:rPr>
                <w:rFonts w:ascii="Palatino Linotype" w:hAnsi="Palatino Linotype"/>
                <w:b/>
                <w:bCs w:val="0"/>
                <w:sz w:val="20"/>
                <w:szCs w:val="20"/>
              </w:rPr>
              <w:t>P</w:t>
            </w:r>
            <w:r w:rsidRPr="00712165">
              <w:rPr>
                <w:rFonts w:ascii="Palatino Linotype" w:hAnsi="Palatino Linotype"/>
                <w:b/>
                <w:bCs w:val="0"/>
                <w:sz w:val="20"/>
                <w:szCs w:val="20"/>
              </w:rPr>
              <w:t>G&amp;E is</w:t>
            </w:r>
            <w:r>
              <w:rPr>
                <w:rFonts w:ascii="Palatino Linotype" w:hAnsi="Palatino Linotype"/>
                <w:b/>
                <w:bCs w:val="0"/>
                <w:sz w:val="20"/>
                <w:szCs w:val="20"/>
              </w:rPr>
              <w:t xml:space="preserve"> not</w:t>
            </w:r>
            <w:r w:rsidRPr="00712165">
              <w:rPr>
                <w:rFonts w:ascii="Palatino Linotype" w:hAnsi="Palatino Linotype"/>
                <w:b/>
                <w:bCs w:val="0"/>
                <w:sz w:val="20"/>
                <w:szCs w:val="20"/>
              </w:rPr>
              <w:t xml:space="preserve"> compliant with this requirement.</w:t>
            </w:r>
          </w:p>
        </w:tc>
      </w:tr>
      <w:tr w:rsidR="004149F1" w:rsidTr="5F588C09" w14:paraId="05250209" w14:textId="77777777">
        <w:tc>
          <w:tcPr>
            <w:tcW w:w="3865" w:type="dxa"/>
            <w:tcBorders>
              <w:top w:val="single" w:color="auto" w:sz="4" w:space="0"/>
              <w:left w:val="single" w:color="auto" w:sz="4" w:space="0"/>
              <w:bottom w:val="single" w:color="auto" w:sz="4" w:space="0"/>
              <w:right w:val="single" w:color="auto" w:sz="4" w:space="0"/>
            </w:tcBorders>
          </w:tcPr>
          <w:p w:rsidRPr="00E21015" w:rsidR="008019CD" w:rsidRDefault="008019CD" w14:paraId="5D599917" w14:textId="77777777">
            <w:pPr>
              <w:rPr>
                <w:rFonts w:ascii="Palatino Linotype" w:hAnsi="Palatino Linotype" w:eastAsia="Palatino Linotype" w:cs="Times New Roman"/>
                <w:bCs w:val="0"/>
                <w:i/>
                <w:iCs/>
                <w:color w:val="000000" w:themeColor="text1"/>
                <w:sz w:val="20"/>
                <w:szCs w:val="20"/>
              </w:rPr>
            </w:pPr>
            <w:r w:rsidRPr="00E21015">
              <w:rPr>
                <w:rFonts w:ascii="Palatino Linotype" w:hAnsi="Palatino Linotype" w:eastAsia="Palatino Linotype" w:cs="Times New Roman"/>
                <w:i/>
                <w:iCs/>
                <w:color w:val="000000" w:themeColor="text1"/>
                <w:sz w:val="20"/>
                <w:szCs w:val="20"/>
              </w:rPr>
              <w:t>(e) Each project should also support one or more of the following objectives:</w:t>
            </w:r>
          </w:p>
          <w:p w:rsidRPr="00E21015" w:rsidR="008019CD" w:rsidRDefault="008019CD" w14:paraId="5152DF19"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(1) Environmental improvement.</w:t>
            </w:r>
          </w:p>
          <w:p w:rsidRPr="00E21015" w:rsidR="008019CD" w:rsidRDefault="008019CD" w14:paraId="73459074"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(2) Public and employee safety.</w:t>
            </w:r>
          </w:p>
          <w:p w:rsidRPr="00E21015" w:rsidR="008019CD" w:rsidRDefault="008019CD" w14:paraId="4EC3B231"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(3) Conservation by efficient resource use or by reducing or shifting system load.</w:t>
            </w:r>
          </w:p>
          <w:p w:rsidRPr="00E21015" w:rsidR="008019CD" w:rsidRDefault="008019CD" w14:paraId="4497EBF9" w14:textId="77777777">
            <w:pPr>
              <w:rPr>
                <w:rFonts w:ascii="Palatino Linotype" w:hAnsi="Palatino Linotype" w:eastAsia="Palatino Linotype" w:cs="Times New Roman"/>
                <w:bCs w:val="0"/>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(4) Development of new resources and processes, particularly renewable resources and processes which further supply technologies.</w:t>
            </w:r>
          </w:p>
          <w:p w:rsidR="008019CD" w:rsidRDefault="008019CD" w14:paraId="1344980F" w14:textId="77777777">
            <w:pPr>
              <w:rPr>
                <w:rFonts w:ascii="Palatino Linotype" w:hAnsi="Palatino Linotype"/>
                <w:i/>
                <w:iCs/>
                <w:color w:val="000000" w:themeColor="text1"/>
                <w:sz w:val="20"/>
                <w:szCs w:val="20"/>
              </w:rPr>
            </w:pPr>
            <w:r>
              <w:rPr>
                <w:rFonts w:ascii="Palatino Linotype" w:hAnsi="Palatino Linotype" w:eastAsia="Palatino Linotype" w:cs="Times New Roman"/>
                <w:i/>
                <w:iCs/>
                <w:color w:val="000000" w:themeColor="text1"/>
                <w:sz w:val="20"/>
                <w:szCs w:val="20"/>
              </w:rPr>
              <w:t xml:space="preserve">  </w:t>
            </w:r>
            <w:r w:rsidRPr="00E21015">
              <w:rPr>
                <w:rFonts w:ascii="Palatino Linotype" w:hAnsi="Palatino Linotype" w:eastAsia="Palatino Linotype" w:cs="Times New Roman"/>
                <w:i/>
                <w:iCs/>
                <w:color w:val="000000" w:themeColor="text1"/>
                <w:sz w:val="20"/>
                <w:szCs w:val="20"/>
              </w:rPr>
              <w:t>(5) Improve operating efficiency and reliability or otherwise reduce operating costs.</w:t>
            </w:r>
            <w:r>
              <w:rPr>
                <w:rStyle w:val="FootnoteReference"/>
                <w:rFonts w:ascii="Palatino Linotype" w:hAnsi="Palatino Linotype" w:eastAsia="Palatino Linotype" w:cs="Times New Roman"/>
                <w:i/>
                <w:iCs/>
                <w:color w:val="000000" w:themeColor="text1"/>
                <w:sz w:val="20"/>
                <w:szCs w:val="20"/>
              </w:rPr>
              <w:footnoteReference w:id="291"/>
            </w:r>
          </w:p>
        </w:tc>
        <w:tc>
          <w:tcPr>
            <w:tcW w:w="4755" w:type="dxa"/>
            <w:tcBorders>
              <w:top w:val="single" w:color="auto" w:sz="4" w:space="0"/>
              <w:left w:val="single" w:color="auto" w:sz="4" w:space="0"/>
              <w:bottom w:val="single" w:color="auto" w:sz="4" w:space="0"/>
              <w:right w:val="single" w:color="auto" w:sz="4" w:space="0"/>
            </w:tcBorders>
          </w:tcPr>
          <w:p w:rsidRPr="000E145D" w:rsidR="008019CD" w:rsidRDefault="008019CD" w14:paraId="498A40CE" w14:textId="77777777">
            <w:pPr>
              <w:rPr>
                <w:rFonts w:ascii="Palatino Linotype" w:hAnsi="Palatino Linotype"/>
                <w:color w:val="000000" w:themeColor="text1"/>
                <w:sz w:val="20"/>
                <w:szCs w:val="20"/>
              </w:rPr>
            </w:pPr>
            <w:r w:rsidRPr="004A6DF8">
              <w:rPr>
                <w:rFonts w:ascii="Palatino Linotype" w:hAnsi="Palatino Linotype"/>
                <w:sz w:val="20"/>
                <w:szCs w:val="20"/>
              </w:rPr>
              <w:t>PG&amp;E proposes budget allocations broken down by Initiatives within each Investment Theme</w:t>
            </w:r>
            <w:r>
              <w:rPr>
                <w:rFonts w:ascii="Palatino Linotype" w:hAnsi="Palatino Linotype"/>
                <w:sz w:val="20"/>
                <w:szCs w:val="20"/>
              </w:rPr>
              <w:t>:</w:t>
            </w:r>
            <w:r>
              <w:rPr>
                <w:rStyle w:val="FootnoteReference"/>
                <w:rFonts w:ascii="Palatino Linotype" w:hAnsi="Palatino Linotype"/>
                <w:sz w:val="20"/>
                <w:szCs w:val="20"/>
              </w:rPr>
              <w:footnoteReference w:id="292"/>
            </w:r>
            <w:r w:rsidRPr="004A6DF8">
              <w:rPr>
                <w:rFonts w:ascii="Palatino Linotype" w:hAnsi="Palatino Linotype"/>
                <w:sz w:val="20"/>
                <w:szCs w:val="20"/>
              </w:rPr>
              <w:t xml:space="preserve"> Gas System Integrity</w:t>
            </w:r>
            <w:r>
              <w:rPr>
                <w:rStyle w:val="FootnoteReference"/>
                <w:rFonts w:ascii="Palatino Linotype" w:hAnsi="Palatino Linotype"/>
                <w:sz w:val="20"/>
                <w:szCs w:val="20"/>
              </w:rPr>
              <w:footnoteReference w:id="293"/>
            </w:r>
            <w:r w:rsidRPr="004A6DF8">
              <w:rPr>
                <w:rFonts w:ascii="Palatino Linotype" w:hAnsi="Palatino Linotype"/>
                <w:sz w:val="20"/>
                <w:szCs w:val="20"/>
              </w:rPr>
              <w:t xml:space="preserve"> and </w:t>
            </w:r>
            <w:r w:rsidRPr="00C668F3">
              <w:rPr>
                <w:rFonts w:ascii="Palatino Linotype" w:hAnsi="Palatino Linotype"/>
                <w:color w:val="000000" w:themeColor="text1"/>
                <w:sz w:val="20"/>
                <w:szCs w:val="20"/>
              </w:rPr>
              <w:t>Decarbonization.</w:t>
            </w:r>
            <w:r w:rsidRPr="00C668F3">
              <w:rPr>
                <w:rStyle w:val="FootnoteReference"/>
                <w:rFonts w:ascii="Palatino Linotype" w:hAnsi="Palatino Linotype"/>
                <w:color w:val="000000" w:themeColor="text1"/>
                <w:sz w:val="20"/>
                <w:szCs w:val="20"/>
              </w:rPr>
              <w:footnoteReference w:id="294"/>
            </w:r>
            <w:r w:rsidRPr="00C668F3">
              <w:rPr>
                <w:rFonts w:ascii="Palatino Linotype" w:hAnsi="Palatino Linotype"/>
                <w:color w:val="000000" w:themeColor="text1"/>
                <w:sz w:val="20"/>
                <w:szCs w:val="20"/>
              </w:rPr>
              <w:t xml:space="preserve"> </w:t>
            </w:r>
            <w:r w:rsidRPr="00EE5711">
              <w:rPr>
                <w:rFonts w:ascii="Palatino Linotype" w:hAnsi="Palatino Linotype"/>
                <w:color w:val="000000" w:themeColor="text1"/>
                <w:sz w:val="20"/>
                <w:szCs w:val="20"/>
              </w:rPr>
              <w:t xml:space="preserve">Initiatives within the Gas System Integrity </w:t>
            </w:r>
            <w:r>
              <w:rPr>
                <w:rFonts w:ascii="Palatino Linotype" w:hAnsi="Palatino Linotype"/>
                <w:color w:val="000000" w:themeColor="text1"/>
                <w:sz w:val="20"/>
                <w:szCs w:val="20"/>
              </w:rPr>
              <w:t>T</w:t>
            </w:r>
            <w:r w:rsidRPr="00EE5711">
              <w:rPr>
                <w:rFonts w:ascii="Palatino Linotype" w:hAnsi="Palatino Linotype"/>
                <w:color w:val="000000" w:themeColor="text1"/>
                <w:sz w:val="20"/>
                <w:szCs w:val="20"/>
              </w:rPr>
              <w:t>heme</w:t>
            </w:r>
            <w:r>
              <w:rPr>
                <w:rFonts w:ascii="Palatino Linotype" w:hAnsi="Palatino Linotype"/>
                <w:color w:val="000000" w:themeColor="text1"/>
                <w:sz w:val="20"/>
                <w:szCs w:val="20"/>
              </w:rPr>
              <w:t xml:space="preserve"> include </w:t>
            </w:r>
            <w:r w:rsidRPr="0012185D">
              <w:rPr>
                <w:rFonts w:ascii="Palatino Linotype" w:hAnsi="Palatino Linotype"/>
                <w:color w:val="000000" w:themeColor="text1"/>
                <w:sz w:val="20"/>
                <w:szCs w:val="20"/>
              </w:rPr>
              <w:t>Proactive Geohazard Risk Management</w:t>
            </w:r>
            <w:r>
              <w:rPr>
                <w:rFonts w:ascii="Palatino Linotype" w:hAnsi="Palatino Linotype"/>
                <w:color w:val="000000" w:themeColor="text1"/>
                <w:sz w:val="20"/>
                <w:szCs w:val="20"/>
              </w:rPr>
              <w:t xml:space="preserve">; </w:t>
            </w:r>
            <w:r w:rsidRPr="00985070">
              <w:rPr>
                <w:rFonts w:ascii="Palatino Linotype" w:hAnsi="Palatino Linotype"/>
                <w:color w:val="000000" w:themeColor="text1"/>
                <w:sz w:val="20"/>
                <w:szCs w:val="20"/>
              </w:rPr>
              <w:t>Innovative and Cost-Effective Integrity Management</w:t>
            </w:r>
            <w:r>
              <w:rPr>
                <w:rFonts w:ascii="Palatino Linotype" w:hAnsi="Palatino Linotype"/>
                <w:color w:val="000000" w:themeColor="text1"/>
                <w:sz w:val="20"/>
                <w:szCs w:val="20"/>
              </w:rPr>
              <w:t xml:space="preserve">; </w:t>
            </w:r>
            <w:r w:rsidRPr="00D41688">
              <w:rPr>
                <w:rFonts w:ascii="Palatino Linotype" w:hAnsi="Palatino Linotype"/>
                <w:color w:val="000000" w:themeColor="text1"/>
                <w:sz w:val="20"/>
                <w:szCs w:val="20"/>
              </w:rPr>
              <w:t>Advanced Leak Detection and Repair</w:t>
            </w:r>
            <w:r>
              <w:rPr>
                <w:rFonts w:ascii="Palatino Linotype" w:hAnsi="Palatino Linotype"/>
                <w:color w:val="000000" w:themeColor="text1"/>
                <w:sz w:val="20"/>
                <w:szCs w:val="20"/>
              </w:rPr>
              <w:t xml:space="preserve">; and </w:t>
            </w:r>
            <w:r w:rsidRPr="00CE6B62">
              <w:rPr>
                <w:rFonts w:ascii="Palatino Linotype" w:hAnsi="Palatino Linotype"/>
                <w:color w:val="000000" w:themeColor="text1"/>
                <w:sz w:val="20"/>
                <w:szCs w:val="20"/>
              </w:rPr>
              <w:t>Emission Reduction Activities and Refined Reporting</w:t>
            </w:r>
            <w:r>
              <w:rPr>
                <w:rFonts w:ascii="Palatino Linotype" w:hAnsi="Palatino Linotype"/>
                <w:color w:val="000000" w:themeColor="text1"/>
                <w:sz w:val="20"/>
                <w:szCs w:val="20"/>
              </w:rPr>
              <w:t xml:space="preserve">. Initiatives within the Decarbonization Theme </w:t>
            </w:r>
            <w:r w:rsidRPr="00164C5A">
              <w:rPr>
                <w:rFonts w:ascii="Palatino Linotype" w:hAnsi="Palatino Linotype"/>
                <w:color w:val="000000" w:themeColor="text1"/>
                <w:sz w:val="20"/>
                <w:szCs w:val="20"/>
              </w:rPr>
              <w:t xml:space="preserve">include Clean Fuels Integration and Sustainable Energy Solutions. </w:t>
            </w:r>
          </w:p>
        </w:tc>
        <w:tc>
          <w:tcPr>
            <w:tcW w:w="4330" w:type="dxa"/>
            <w:tcBorders>
              <w:top w:val="single" w:color="auto" w:sz="4" w:space="0"/>
              <w:left w:val="single" w:color="auto" w:sz="4" w:space="0"/>
              <w:bottom w:val="single" w:color="auto" w:sz="4" w:space="0"/>
              <w:right w:val="single" w:color="auto" w:sz="4" w:space="0"/>
            </w:tcBorders>
          </w:tcPr>
          <w:p w:rsidRPr="00411D98" w:rsidR="008019CD" w:rsidRDefault="00F31483" w14:paraId="57E4F201" w14:textId="6EB43EB6">
            <w:pPr>
              <w:rPr>
                <w:rFonts w:ascii="Palatino Linotype" w:hAnsi="Palatino Linotype"/>
                <w:color w:val="000000" w:themeColor="text1"/>
                <w:sz w:val="20"/>
                <w:szCs w:val="20"/>
              </w:rPr>
            </w:pPr>
            <w:r w:rsidRPr="003A6676">
              <w:rPr>
                <w:rFonts w:ascii="Palatino Linotype" w:hAnsi="Palatino Linotype"/>
                <w:color w:val="000000" w:themeColor="text1"/>
                <w:sz w:val="20"/>
                <w:szCs w:val="20"/>
              </w:rPr>
              <w:t>Each of PG&amp;E’s proposed Initiatives supports one or more of the required objectives.</w:t>
            </w:r>
            <w:r w:rsidRPr="003A6676">
              <w:rPr>
                <w:rFonts w:ascii="Palatino Linotype" w:hAnsi="Palatino Linotype"/>
                <w:b/>
                <w:bCs w:val="0"/>
                <w:color w:val="000000" w:themeColor="text1"/>
                <w:sz w:val="20"/>
                <w:szCs w:val="20"/>
              </w:rPr>
              <w:t xml:space="preserve"> </w:t>
            </w:r>
            <w:r w:rsidRPr="007C1639" w:rsidR="008019CD">
              <w:rPr>
                <w:rFonts w:ascii="Palatino Linotype" w:hAnsi="Palatino Linotype"/>
                <w:b/>
                <w:bCs w:val="0"/>
                <w:color w:val="000000" w:themeColor="text1"/>
                <w:sz w:val="20"/>
                <w:szCs w:val="20"/>
              </w:rPr>
              <w:t xml:space="preserve">PG&amp;E is compliant with this requirement. </w:t>
            </w:r>
          </w:p>
        </w:tc>
      </w:tr>
    </w:tbl>
    <w:p w:rsidR="008019CD" w:rsidP="008019CD" w:rsidRDefault="008019CD" w14:paraId="77CBB56F" w14:textId="77777777"/>
    <w:p w:rsidRPr="004C5DBB" w:rsidR="004C5DBB" w:rsidP="004C5DBB" w:rsidRDefault="004C5DBB" w14:paraId="5B1F159F" w14:textId="77777777">
      <w:pPr>
        <w:rPr>
          <w:rFonts w:ascii="Palatino Linotype" w:hAnsi="Palatino Linotype"/>
          <w:b/>
          <w:bCs/>
        </w:rPr>
      </w:pPr>
    </w:p>
    <w:p w:rsidRPr="00B274D7" w:rsidR="00A76F4A" w:rsidP="0084160F" w:rsidRDefault="00A76F4A" w14:paraId="67363D20" w14:textId="19CE1B67">
      <w:pPr>
        <w:rPr>
          <w:rFonts w:ascii="Palatino Linotype" w:hAnsi="Palatino Linotype"/>
          <w:b/>
          <w:bCs/>
        </w:rPr>
      </w:pPr>
    </w:p>
    <w:sectPr w:rsidRPr="00B274D7" w:rsidR="00A76F4A" w:rsidSect="004B0BDA">
      <w:headerReference w:type="default" r:id="rId71"/>
      <w:headerReference w:type="first" r:id="rId72"/>
      <w:footerReference w:type="first" r:id="rId7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575B" w14:textId="77777777" w:rsidR="00E42CC7" w:rsidRDefault="00E42CC7" w:rsidP="00A76F4A">
      <w:pPr>
        <w:spacing w:after="0" w:line="240" w:lineRule="auto"/>
      </w:pPr>
      <w:r>
        <w:separator/>
      </w:r>
    </w:p>
  </w:endnote>
  <w:endnote w:type="continuationSeparator" w:id="0">
    <w:p w14:paraId="25C6AD8A" w14:textId="77777777" w:rsidR="00E42CC7" w:rsidRDefault="00E42CC7"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Palatino">
    <w:panose1 w:val="00000000000000000000"/>
    <w:charset w:val="00"/>
    <w:family w:val="auto"/>
    <w:pitch w:val="variable"/>
    <w:sig w:usb0="20000A87" w:usb1="08000000" w:usb2="00000008" w:usb3="00000000" w:csb0="0000011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7AB4" w14:textId="77777777" w:rsidR="00046CAB" w:rsidRDefault="0004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495273077"/>
      <w:docPartObj>
        <w:docPartGallery w:val="Page Numbers (Bottom of Page)"/>
        <w:docPartUnique/>
      </w:docPartObj>
    </w:sdtPr>
    <w:sdtEndPr>
      <w:rPr>
        <w:noProof/>
        <w:sz w:val="24"/>
        <w:szCs w:val="24"/>
      </w:rPr>
    </w:sdtEndPr>
    <w:sdtContent>
      <w:p w14:paraId="0D8786F3" w14:textId="5C6D8969" w:rsidR="002514A5" w:rsidRPr="00017288" w:rsidRDefault="002514A5">
        <w:pPr>
          <w:pStyle w:val="Footer"/>
          <w:jc w:val="center"/>
          <w:rPr>
            <w:rFonts w:ascii="Palatino Linotype" w:hAnsi="Palatino Linotype"/>
          </w:rPr>
        </w:pPr>
        <w:r w:rsidRPr="00017288">
          <w:rPr>
            <w:rFonts w:ascii="Palatino Linotype" w:hAnsi="Palatino Linotype"/>
          </w:rPr>
          <w:fldChar w:fldCharType="begin"/>
        </w:r>
        <w:r w:rsidRPr="00017288">
          <w:rPr>
            <w:rFonts w:ascii="Palatino Linotype" w:hAnsi="Palatino Linotype"/>
          </w:rPr>
          <w:instrText xml:space="preserve"> PAGE   \* MERGEFORMAT </w:instrText>
        </w:r>
        <w:r w:rsidRPr="00017288">
          <w:rPr>
            <w:rFonts w:ascii="Palatino Linotype" w:hAnsi="Palatino Linotype"/>
          </w:rPr>
          <w:fldChar w:fldCharType="separate"/>
        </w:r>
        <w:r w:rsidRPr="00017288">
          <w:rPr>
            <w:rFonts w:ascii="Palatino Linotype" w:hAnsi="Palatino Linotype"/>
            <w:noProof/>
          </w:rPr>
          <w:t>2</w:t>
        </w:r>
        <w:r w:rsidRPr="00017288">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DAD43AF" w:rsidR="004A7A4C" w:rsidRPr="004A7A4C" w:rsidRDefault="00046CAB" w:rsidP="004A7A4C">
        <w:pPr>
          <w:pStyle w:val="Footer"/>
          <w:rPr>
            <w:rFonts w:ascii="Palatino Linotype" w:hAnsi="Palatino Linotype"/>
          </w:rPr>
        </w:pPr>
        <w:r w:rsidRPr="00046CAB">
          <w:rPr>
            <w:rFonts w:ascii="Tahoma" w:hAnsi="Tahoma" w:cs="Tahoma"/>
            <w:sz w:val="18"/>
          </w:rPr>
          <w:t>590877312</w:t>
        </w:r>
        <w:r>
          <w:rPr>
            <w:rFonts w:ascii="Tahoma" w:hAnsi="Tahoma" w:cs="Tahoma"/>
            <w:sz w:val="18"/>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760066384"/>
      <w:docPartObj>
        <w:docPartGallery w:val="Page Numbers (Bottom of Page)"/>
        <w:docPartUnique/>
      </w:docPartObj>
    </w:sdtPr>
    <w:sdtEndPr>
      <w:rPr>
        <w:noProof/>
      </w:rPr>
    </w:sdtEndPr>
    <w:sdtContent>
      <w:p w14:paraId="0EC9FA14" w14:textId="758B7DD8" w:rsidR="00B444F9" w:rsidRPr="004A7A4C" w:rsidRDefault="00B444F9" w:rsidP="004A7A4C">
        <w:pPr>
          <w:pStyle w:val="Footer"/>
          <w:rPr>
            <w:rFonts w:ascii="Palatino Linotype" w:hAnsi="Palatino Linotype"/>
          </w:rPr>
        </w:pPr>
        <w:r>
          <w:rPr>
            <w:rFonts w:ascii="Palatino Linotype" w:hAnsi="Palatino Linotype"/>
          </w:rPr>
          <w:tab/>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213327845"/>
      <w:docPartObj>
        <w:docPartGallery w:val="Page Numbers (Bottom of Page)"/>
        <w:docPartUnique/>
      </w:docPartObj>
    </w:sdtPr>
    <w:sdtEndPr>
      <w:rPr>
        <w:noProof/>
      </w:rPr>
    </w:sdtEndPr>
    <w:sdtContent>
      <w:p w14:paraId="7A01A7C6" w14:textId="708313E0" w:rsidR="00B444F9" w:rsidRPr="004A7A4C" w:rsidRDefault="00B444F9" w:rsidP="004A7A4C">
        <w:pPr>
          <w:pStyle w:val="Footer"/>
          <w:rPr>
            <w:rFonts w:ascii="Palatino Linotype" w:hAnsi="Palatino Linotype"/>
          </w:rPr>
        </w:pPr>
        <w:r>
          <w:rPr>
            <w:rFonts w:ascii="Palatino Linotype" w:hAnsi="Palatino Linotype"/>
          </w:rPr>
          <w:tab/>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091007235"/>
      <w:docPartObj>
        <w:docPartGallery w:val="Page Numbers (Bottom of Page)"/>
        <w:docPartUnique/>
      </w:docPartObj>
    </w:sdtPr>
    <w:sdtEndPr>
      <w:rPr>
        <w:noProof/>
      </w:rPr>
    </w:sdtEndPr>
    <w:sdtContent>
      <w:p w14:paraId="1982F218" w14:textId="24A18D8E" w:rsidR="00B444F9" w:rsidRPr="004A7A4C" w:rsidRDefault="00B444F9" w:rsidP="004A7A4C">
        <w:pPr>
          <w:pStyle w:val="Footer"/>
          <w:rPr>
            <w:rFonts w:ascii="Palatino Linotype" w:hAnsi="Palatino Linotype"/>
          </w:rPr>
        </w:pPr>
        <w:r>
          <w:rPr>
            <w:rFonts w:ascii="Palatino Linotype" w:hAnsi="Palatino Linotype"/>
          </w:rPr>
          <w:tab/>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28631550"/>
      <w:docPartObj>
        <w:docPartGallery w:val="Page Numbers (Bottom of Page)"/>
        <w:docPartUnique/>
      </w:docPartObj>
    </w:sdtPr>
    <w:sdtEndPr>
      <w:rPr>
        <w:noProof/>
      </w:rPr>
    </w:sdtEndPr>
    <w:sdtContent>
      <w:p w14:paraId="0F234834" w14:textId="77777777" w:rsidR="005C6682" w:rsidRPr="004A7A4C" w:rsidRDefault="005C6682" w:rsidP="005C6682">
        <w:pPr>
          <w:pStyle w:val="Footer"/>
          <w:tabs>
            <w:tab w:val="clear" w:pos="4680"/>
            <w:tab w:val="clear" w:pos="9360"/>
            <w:tab w:val="center" w:pos="6210"/>
            <w:tab w:val="right" w:pos="10710"/>
          </w:tabs>
          <w:rPr>
            <w:rFonts w:ascii="Palatino Linotype" w:hAnsi="Palatino Linotype"/>
          </w:rPr>
        </w:pPr>
        <w:r>
          <w:rPr>
            <w:rFonts w:ascii="Palatino Linotype" w:hAnsi="Palatino Linotype"/>
          </w:rPr>
          <w:tab/>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7E1E" w14:textId="77777777" w:rsidR="00E42CC7" w:rsidRDefault="00E42CC7" w:rsidP="00A76F4A">
      <w:pPr>
        <w:spacing w:after="0" w:line="240" w:lineRule="auto"/>
      </w:pPr>
      <w:r>
        <w:separator/>
      </w:r>
    </w:p>
  </w:footnote>
  <w:footnote w:type="continuationSeparator" w:id="0">
    <w:p w14:paraId="6800F578" w14:textId="77777777" w:rsidR="00E42CC7" w:rsidRDefault="00E42CC7" w:rsidP="00A76F4A">
      <w:pPr>
        <w:spacing w:after="0" w:line="240" w:lineRule="auto"/>
      </w:pPr>
      <w:r>
        <w:continuationSeparator/>
      </w:r>
    </w:p>
  </w:footnote>
  <w:footnote w:id="1">
    <w:p w14:paraId="79827157" w14:textId="7E648B17" w:rsidR="00EC4768" w:rsidRDefault="00EC4768">
      <w:pPr>
        <w:pStyle w:val="FootnoteText"/>
      </w:pPr>
      <w:r>
        <w:rPr>
          <w:rStyle w:val="FootnoteReference"/>
        </w:rPr>
        <w:footnoteRef/>
      </w:r>
      <w:r>
        <w:t xml:space="preserve"> </w:t>
      </w:r>
      <w:hyperlink r:id="rId1" w:history="1">
        <w:r>
          <w:rPr>
            <w:rStyle w:val="Hyperlink"/>
            <w:rFonts w:ascii="Palatino Linotype" w:hAnsi="Palatino Linotype"/>
            <w:szCs w:val="16"/>
          </w:rPr>
          <w:t>D</w:t>
        </w:r>
        <w:r w:rsidRPr="00FB6840">
          <w:rPr>
            <w:rStyle w:val="Hyperlink"/>
            <w:rFonts w:ascii="Palatino Linotype" w:hAnsi="Palatino Linotype"/>
            <w:szCs w:val="16"/>
          </w:rPr>
          <w:t>.23-11-069</w:t>
        </w:r>
      </w:hyperlink>
      <w:r w:rsidR="00CD2603">
        <w:rPr>
          <w:rFonts w:ascii="Palatino Linotype" w:hAnsi="Palatino Linotype"/>
          <w:szCs w:val="16"/>
        </w:rPr>
        <w:t>:</w:t>
      </w:r>
      <w:r w:rsidRPr="00FB6840">
        <w:rPr>
          <w:rFonts w:ascii="Palatino Linotype" w:hAnsi="Palatino Linotype"/>
          <w:szCs w:val="16"/>
        </w:rPr>
        <w:t xml:space="preserve"> Decision on Test Year 2023 General Rate Case</w:t>
      </w:r>
      <w:r w:rsidR="00B703D2">
        <w:rPr>
          <w:rFonts w:ascii="Palatino Linotype" w:hAnsi="Palatino Linotype"/>
          <w:szCs w:val="16"/>
        </w:rPr>
        <w:t xml:space="preserve"> (GRC)</w:t>
      </w:r>
      <w:r w:rsidRPr="00FB6840">
        <w:rPr>
          <w:rFonts w:ascii="Palatino Linotype" w:hAnsi="Palatino Linotype"/>
          <w:szCs w:val="16"/>
        </w:rPr>
        <w:t xml:space="preserve"> for Pacific Gas and Electric Company</w:t>
      </w:r>
      <w:r>
        <w:rPr>
          <w:rFonts w:ascii="Palatino Linotype" w:hAnsi="Palatino Linotype"/>
          <w:szCs w:val="16"/>
        </w:rPr>
        <w:t>.</w:t>
      </w:r>
    </w:p>
  </w:footnote>
  <w:footnote w:id="2">
    <w:p w14:paraId="6D4EB40E" w14:textId="3860941F" w:rsidR="00CC2B38" w:rsidRDefault="00CC2B38">
      <w:pPr>
        <w:pStyle w:val="FootnoteText"/>
      </w:pPr>
      <w:r>
        <w:rPr>
          <w:rStyle w:val="FootnoteReference"/>
        </w:rPr>
        <w:footnoteRef/>
      </w:r>
      <w:r>
        <w:t xml:space="preserve"> </w:t>
      </w:r>
      <w:r w:rsidR="00B7366C" w:rsidRPr="00B7366C">
        <w:rPr>
          <w:rFonts w:ascii="Palatino Linotype" w:hAnsi="Palatino Linotype"/>
        </w:rPr>
        <w:t xml:space="preserve">See </w:t>
      </w:r>
      <w:r w:rsidR="00C42186">
        <w:rPr>
          <w:rFonts w:ascii="Palatino Linotype" w:hAnsi="Palatino Linotype"/>
        </w:rPr>
        <w:t>Resolution G-</w:t>
      </w:r>
      <w:r w:rsidR="0037675C">
        <w:rPr>
          <w:rFonts w:ascii="Palatino Linotype" w:hAnsi="Palatino Linotype"/>
        </w:rPr>
        <w:t xml:space="preserve">3618 at </w:t>
      </w:r>
      <w:r w:rsidRPr="00CC2B38">
        <w:rPr>
          <w:rFonts w:ascii="Palatino Linotype" w:hAnsi="Palatino Linotype"/>
        </w:rPr>
        <w:t>Appendix A: PG&amp;E’s 2024 &amp; 2025 Plans Proposed Budgets.</w:t>
      </w:r>
    </w:p>
  </w:footnote>
  <w:footnote w:id="3">
    <w:p w14:paraId="0AF7C1E0" w14:textId="67286A65" w:rsidR="008A4743" w:rsidRPr="005F6432" w:rsidRDefault="008A4743" w:rsidP="00311A22">
      <w:pPr>
        <w:pStyle w:val="FootnoteText"/>
      </w:pPr>
      <w:r w:rsidRPr="005F6432">
        <w:rPr>
          <w:rStyle w:val="FootnoteReference"/>
          <w:rFonts w:ascii="Palatino Linotype" w:eastAsia="Palatino Linotype" w:hAnsi="Palatino Linotype" w:cs="Palatino Linotype"/>
        </w:rPr>
        <w:footnoteRef/>
      </w:r>
      <w:r w:rsidRPr="005F6432">
        <w:rPr>
          <w:rFonts w:ascii="Palatino Linotype" w:eastAsia="Palatino Linotype" w:hAnsi="Palatino Linotype" w:cs="Palatino Linotype"/>
        </w:rPr>
        <w:t xml:space="preserve"> Consistent with </w:t>
      </w:r>
      <w:hyperlink r:id="rId2">
        <w:r w:rsidRPr="005F6432">
          <w:rPr>
            <w:rStyle w:val="Hyperlink"/>
            <w:rFonts w:ascii="Palatino Linotype" w:eastAsia="Palatino Linotype" w:hAnsi="Palatino Linotype" w:cs="Palatino Linotype"/>
            <w:color w:val="467886"/>
          </w:rPr>
          <w:t>Resolution G-3571</w:t>
        </w:r>
      </w:hyperlink>
      <w:r w:rsidRPr="005F6432">
        <w:rPr>
          <w:rFonts w:ascii="Palatino Linotype" w:eastAsia="Palatino Linotype" w:hAnsi="Palatino Linotype" w:cs="Palatino Linotype"/>
        </w:rPr>
        <w:t xml:space="preserve"> (2020)</w:t>
      </w:r>
      <w:r>
        <w:rPr>
          <w:rFonts w:ascii="Palatino Linotype" w:eastAsia="Palatino Linotype" w:hAnsi="Palatino Linotype" w:cs="Palatino Linotype"/>
        </w:rPr>
        <w:t xml:space="preserve">: </w:t>
      </w:r>
      <w:r w:rsidRPr="00481902">
        <w:rPr>
          <w:rFonts w:ascii="Palatino Linotype" w:eastAsia="Palatino Linotype" w:hAnsi="Palatino Linotype" w:cs="Palatino Linotype"/>
        </w:rPr>
        <w:t>A</w:t>
      </w:r>
      <w:r w:rsidRPr="00481902">
        <w:rPr>
          <w:rFonts w:ascii="Palatino Linotype" w:hAnsi="Palatino Linotype"/>
        </w:rPr>
        <w:t xml:space="preserve">pproving </w:t>
      </w:r>
      <w:r>
        <w:rPr>
          <w:rFonts w:ascii="Palatino Linotype" w:hAnsi="Palatino Linotype"/>
        </w:rPr>
        <w:t xml:space="preserve">the </w:t>
      </w:r>
      <w:r w:rsidRPr="00481902">
        <w:rPr>
          <w:rFonts w:ascii="Palatino Linotype" w:hAnsi="Palatino Linotype"/>
        </w:rPr>
        <w:t>California Energy Commissio</w:t>
      </w:r>
      <w:r>
        <w:rPr>
          <w:rFonts w:ascii="Palatino Linotype" w:hAnsi="Palatino Linotype"/>
        </w:rPr>
        <w:t>n</w:t>
      </w:r>
      <w:r w:rsidRPr="00481902">
        <w:rPr>
          <w:rFonts w:ascii="Palatino Linotype" w:hAnsi="Palatino Linotype"/>
        </w:rPr>
        <w:t xml:space="preserve"> (CEC) FY 2020-2021 Gas RD&amp;D Plan</w:t>
      </w:r>
      <w:r w:rsidRPr="005F6432">
        <w:rPr>
          <w:rFonts w:ascii="Palatino Linotype" w:eastAsia="Palatino Linotype" w:hAnsi="Palatino Linotype" w:cs="Palatino Linotype"/>
        </w:rPr>
        <w:t xml:space="preserve"> at O</w:t>
      </w:r>
      <w:r>
        <w:rPr>
          <w:rFonts w:ascii="Palatino Linotype" w:eastAsia="Palatino Linotype" w:hAnsi="Palatino Linotype" w:cs="Palatino Linotype"/>
        </w:rPr>
        <w:t xml:space="preserve">rdering </w:t>
      </w:r>
      <w:r w:rsidRPr="005F6432">
        <w:rPr>
          <w:rFonts w:ascii="Palatino Linotype" w:eastAsia="Palatino Linotype" w:hAnsi="Palatino Linotype" w:cs="Palatino Linotype"/>
        </w:rPr>
        <w:t>P</w:t>
      </w:r>
      <w:r>
        <w:rPr>
          <w:rFonts w:ascii="Palatino Linotype" w:eastAsia="Palatino Linotype" w:hAnsi="Palatino Linotype" w:cs="Palatino Linotype"/>
        </w:rPr>
        <w:t>aragraph (OP)</w:t>
      </w:r>
      <w:r w:rsidRPr="005F6432">
        <w:rPr>
          <w:rFonts w:ascii="Palatino Linotype" w:eastAsia="Palatino Linotype" w:hAnsi="Palatino Linotype" w:cs="Palatino Linotype"/>
        </w:rPr>
        <w:t xml:space="preserve"> 5a. </w:t>
      </w:r>
      <w:r w:rsidR="00903658" w:rsidRPr="00903658">
        <w:rPr>
          <w:rFonts w:ascii="Palatino Linotype" w:eastAsia="Palatino Linotype" w:hAnsi="Palatino Linotype" w:cs="Palatino Linotype"/>
        </w:rPr>
        <w:t>“</w:t>
      </w:r>
      <w:r w:rsidRPr="00903658">
        <w:rPr>
          <w:rFonts w:ascii="Palatino Linotype" w:eastAsia="Palatino Linotype" w:hAnsi="Palatino Linotype" w:cs="Palatino Linotype"/>
        </w:rPr>
        <w:t>At least three weeks in advance of the public workshop on the proposed budget plan, coordinate with CPUC staff on development of the Draft Plan.</w:t>
      </w:r>
      <w:r w:rsidR="00903658" w:rsidRPr="00903658">
        <w:rPr>
          <w:rFonts w:ascii="Palatino Linotype" w:eastAsia="Palatino Linotype" w:hAnsi="Palatino Linotype" w:cs="Palatino Linotype"/>
        </w:rPr>
        <w:t>”</w:t>
      </w:r>
    </w:p>
  </w:footnote>
  <w:footnote w:id="4">
    <w:p w14:paraId="2B423C8A" w14:textId="77777777" w:rsidR="002E5F7D" w:rsidRDefault="002E5F7D" w:rsidP="002E5F7D">
      <w:pPr>
        <w:pStyle w:val="FootnoteText"/>
      </w:pPr>
      <w:r>
        <w:rPr>
          <w:rStyle w:val="FootnoteReference"/>
        </w:rPr>
        <w:footnoteRef/>
      </w:r>
      <w:r>
        <w:t xml:space="preserve"> </w:t>
      </w:r>
      <w:hyperlink r:id="rId3"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 xml:space="preserve">20. “(7) </w:t>
      </w:r>
      <w:r w:rsidRPr="00E63DFE">
        <w:rPr>
          <w:rFonts w:ascii="Palatino Linotype" w:hAnsi="Palatino Linotype"/>
        </w:rPr>
        <w:t>Prior to the</w:t>
      </w:r>
      <w:r w:rsidRPr="00E63DFE" w:rsidDel="00DA0BE5">
        <w:rPr>
          <w:rFonts w:ascii="Palatino Linotype" w:hAnsi="Palatino Linotype"/>
        </w:rPr>
        <w:t xml:space="preserve"> </w:t>
      </w:r>
      <w:r w:rsidRPr="00E63DFE">
        <w:rPr>
          <w:rFonts w:ascii="Palatino Linotype" w:hAnsi="Palatino Linotype"/>
        </w:rPr>
        <w:t xml:space="preserve">workshop, PG&amp;E should submit its RD&amp;D annual report to Energy Division </w:t>
      </w:r>
      <w:r>
        <w:rPr>
          <w:rFonts w:ascii="Palatino Linotype" w:hAnsi="Palatino Linotype"/>
        </w:rPr>
        <w:t>staff…”</w:t>
      </w:r>
    </w:p>
  </w:footnote>
  <w:footnote w:id="5">
    <w:p w14:paraId="67DE974E" w14:textId="3B2CD7A5" w:rsidR="008A4743" w:rsidRPr="005F6432" w:rsidRDefault="008A4743" w:rsidP="00311A22">
      <w:pPr>
        <w:pStyle w:val="FootnoteText"/>
        <w:rPr>
          <w:rFonts w:ascii="Palatino Linotype" w:hAnsi="Palatino Linotype"/>
        </w:rPr>
      </w:pPr>
      <w:r w:rsidRPr="005F6432">
        <w:rPr>
          <w:rStyle w:val="FootnoteReference"/>
        </w:rPr>
        <w:footnoteRef/>
      </w:r>
      <w:r w:rsidRPr="005F6432">
        <w:t xml:space="preserve"> </w:t>
      </w:r>
      <w:hyperlink r:id="rId4" w:history="1">
        <w:r w:rsidRPr="005F6432">
          <w:rPr>
            <w:rStyle w:val="Hyperlink"/>
            <w:rFonts w:ascii="Palatino Linotype" w:hAnsi="Palatino Linotype"/>
          </w:rPr>
          <w:t>D.23-11-069</w:t>
        </w:r>
      </w:hyperlink>
      <w:r w:rsidRPr="005F6432">
        <w:rPr>
          <w:rFonts w:ascii="Palatino Linotype" w:hAnsi="Palatino Linotype"/>
        </w:rPr>
        <w:t xml:space="preserve"> at p. 22</w:t>
      </w:r>
      <w:r>
        <w:rPr>
          <w:rFonts w:ascii="Palatino Linotype" w:hAnsi="Palatino Linotype"/>
        </w:rPr>
        <w:t>0</w:t>
      </w:r>
      <w:r w:rsidRPr="005F6432">
        <w:rPr>
          <w:rFonts w:ascii="Palatino Linotype" w:hAnsi="Palatino Linotype"/>
        </w:rPr>
        <w:t xml:space="preserve">. </w:t>
      </w:r>
      <w:r w:rsidR="00903658" w:rsidRPr="00903658">
        <w:rPr>
          <w:rFonts w:ascii="Palatino Linotype" w:hAnsi="Palatino Linotype"/>
        </w:rPr>
        <w:t>“</w:t>
      </w:r>
      <w:r w:rsidRPr="00903658">
        <w:rPr>
          <w:rFonts w:ascii="Palatino Linotype" w:hAnsi="Palatino Linotype"/>
        </w:rPr>
        <w:t>PG&amp;E shall hold an annual workshop prior to submitting its Tier 3 Advice Letter Annual Gas RD&amp;D Investment Plan and shall consult with Energy Division to develop the workshop agenda. The annual workshop shall be held at least 90 days before submitting its annual Gas RD&amp;D research plan to the CPUC to allow sufficient time to incorporate stakeholder feedback.</w:t>
      </w:r>
      <w:r w:rsidR="00903658" w:rsidRPr="00903658">
        <w:rPr>
          <w:rFonts w:ascii="Palatino Linotype" w:hAnsi="Palatino Linotype"/>
        </w:rPr>
        <w:t>”</w:t>
      </w:r>
    </w:p>
  </w:footnote>
  <w:footnote w:id="6">
    <w:p w14:paraId="7FF4F421" w14:textId="77D23AE8" w:rsidR="008A4743" w:rsidRDefault="008A4743">
      <w:pPr>
        <w:pStyle w:val="FootnoteText"/>
      </w:pPr>
      <w:r w:rsidRPr="005F6432">
        <w:rPr>
          <w:rStyle w:val="FootnoteReference"/>
        </w:rPr>
        <w:footnoteRef/>
      </w:r>
      <w:r w:rsidRPr="005F6432">
        <w:t xml:space="preserve"> </w:t>
      </w:r>
      <w:hyperlink r:id="rId5" w:history="1">
        <w:r w:rsidRPr="005F6432">
          <w:rPr>
            <w:rStyle w:val="Hyperlink"/>
            <w:rFonts w:ascii="Palatino Linotype" w:hAnsi="Palatino Linotype"/>
          </w:rPr>
          <w:t>D.23-11-069</w:t>
        </w:r>
      </w:hyperlink>
      <w:r w:rsidRPr="005F6432">
        <w:rPr>
          <w:rFonts w:ascii="Palatino Linotype" w:hAnsi="Palatino Linotype"/>
        </w:rPr>
        <w:t xml:space="preserve"> at p. 218.</w:t>
      </w:r>
    </w:p>
  </w:footnote>
  <w:footnote w:id="7">
    <w:p w14:paraId="4379F76E" w14:textId="2E282B3E" w:rsidR="00C90AF8" w:rsidRPr="00960D65" w:rsidRDefault="00C90AF8" w:rsidP="00C90AF8">
      <w:pPr>
        <w:pStyle w:val="FootnoteText"/>
        <w:rPr>
          <w:b/>
          <w:bCs/>
        </w:rPr>
      </w:pPr>
      <w:r w:rsidRPr="00A40394">
        <w:rPr>
          <w:rStyle w:val="FootnoteReference"/>
        </w:rPr>
        <w:footnoteRef/>
      </w:r>
      <w:r w:rsidRPr="00A40394">
        <w:rPr>
          <w:rStyle w:val="FootnoteReference"/>
        </w:rPr>
        <w:t xml:space="preserve"> </w:t>
      </w:r>
      <w:r w:rsidR="00D92D9C" w:rsidRPr="000C20B9">
        <w:rPr>
          <w:rFonts w:ascii="Palatino Linotype" w:hAnsi="Palatino Linotype"/>
        </w:rPr>
        <w:t>California Public Utilities Code Section 740.1</w:t>
      </w:r>
      <w:r w:rsidRPr="000C20B9">
        <w:rPr>
          <w:rFonts w:ascii="Palatino Linotype" w:hAnsi="Palatino Linotype"/>
        </w:rPr>
        <w:t>.</w:t>
      </w:r>
      <w:r>
        <w:rPr>
          <w:rFonts w:ascii="Palatino Linotype" w:hAnsi="Palatino Linotype"/>
        </w:rPr>
        <w:t xml:space="preserve"> </w:t>
      </w:r>
    </w:p>
  </w:footnote>
  <w:footnote w:id="8">
    <w:p w14:paraId="0A6E5689" w14:textId="52CB1907" w:rsidR="00E55728" w:rsidRDefault="00E55728">
      <w:pPr>
        <w:pStyle w:val="FootnoteText"/>
      </w:pPr>
      <w:r>
        <w:rPr>
          <w:rStyle w:val="FootnoteReference"/>
        </w:rPr>
        <w:footnoteRef/>
      </w:r>
      <w:r>
        <w:t xml:space="preserve"> </w:t>
      </w:r>
      <w:r w:rsidR="00635ACB">
        <w:rPr>
          <w:rFonts w:ascii="Palatino Linotype" w:hAnsi="Palatino Linotype"/>
          <w:color w:val="000000" w:themeColor="text1"/>
        </w:rPr>
        <w:t xml:space="preserve">See </w:t>
      </w:r>
      <w:r w:rsidR="0070323F">
        <w:rPr>
          <w:rFonts w:ascii="Palatino Linotype" w:hAnsi="Palatino Linotype"/>
          <w:bCs/>
        </w:rPr>
        <w:t xml:space="preserve">Resolution G-3618 at </w:t>
      </w:r>
      <w:r w:rsidR="00635ACB" w:rsidRPr="00635ACB">
        <w:rPr>
          <w:rFonts w:ascii="Palatino Linotype" w:hAnsi="Palatino Linotype"/>
          <w:color w:val="000000" w:themeColor="text1"/>
        </w:rPr>
        <w:t xml:space="preserve">Appendix C: </w:t>
      </w:r>
      <w:r w:rsidR="00BB40DB" w:rsidRPr="00BB40DB">
        <w:rPr>
          <w:rFonts w:ascii="Palatino Linotype" w:hAnsi="Palatino Linotype"/>
          <w:color w:val="000000" w:themeColor="text1"/>
        </w:rPr>
        <w:t xml:space="preserve">Guidance on Gas RD&amp;D Plans Provided to PG&amp;E During </w:t>
      </w:r>
      <w:r w:rsidR="00A17C2D">
        <w:rPr>
          <w:rFonts w:ascii="Palatino Linotype" w:hAnsi="Palatino Linotype"/>
          <w:color w:val="000000" w:themeColor="text1"/>
        </w:rPr>
        <w:br/>
      </w:r>
      <w:r w:rsidR="00BB40DB" w:rsidRPr="00BB40DB">
        <w:rPr>
          <w:rFonts w:ascii="Palatino Linotype" w:hAnsi="Palatino Linotype"/>
          <w:color w:val="000000" w:themeColor="text1"/>
        </w:rPr>
        <w:t>Pre-Submittal Consultation with CPUC Staff (March 2025)</w:t>
      </w:r>
      <w:r w:rsidR="00BB40DB">
        <w:rPr>
          <w:rFonts w:ascii="Palatino Linotype" w:hAnsi="Palatino Linotype"/>
          <w:color w:val="000000" w:themeColor="text1"/>
        </w:rPr>
        <w:t xml:space="preserve"> </w:t>
      </w:r>
      <w:r w:rsidRPr="00635ACB">
        <w:rPr>
          <w:rFonts w:ascii="Palatino Linotype" w:hAnsi="Palatino Linotype"/>
          <w:color w:val="000000" w:themeColor="text1"/>
        </w:rPr>
        <w:t>at (1); (2); &amp; (3).</w:t>
      </w:r>
    </w:p>
  </w:footnote>
  <w:footnote w:id="9">
    <w:p w14:paraId="0AB222B3" w14:textId="7517F41B" w:rsidR="00036840" w:rsidRDefault="00036840">
      <w:pPr>
        <w:pStyle w:val="FootnoteText"/>
        <w:rPr>
          <w:rFonts w:ascii="Palatino Linotype" w:hAnsi="Palatino Linotype"/>
        </w:rPr>
      </w:pPr>
      <w:r>
        <w:rPr>
          <w:rStyle w:val="FootnoteReference"/>
        </w:rPr>
        <w:footnoteRef/>
      </w:r>
      <w:r>
        <w:t xml:space="preserve"> </w:t>
      </w:r>
      <w:r w:rsidR="00862266">
        <w:rPr>
          <w:rFonts w:ascii="Palatino Linotype" w:hAnsi="Palatino Linotype"/>
        </w:rPr>
        <w:t xml:space="preserve">The Commission’s compliance assessment of this requirement is captured in the compliance assessment of AL 5077-G-A and AL 5069-G with </w:t>
      </w:r>
      <w:hyperlink r:id="rId6" w:history="1">
        <w:r w:rsidR="00862266" w:rsidRPr="06F49983">
          <w:rPr>
            <w:rStyle w:val="Hyperlink"/>
            <w:rFonts w:ascii="Palatino Linotype" w:hAnsi="Palatino Linotype"/>
          </w:rPr>
          <w:t>D.23-11-069</w:t>
        </w:r>
      </w:hyperlink>
      <w:r w:rsidR="00862266" w:rsidRPr="06F49983">
        <w:rPr>
          <w:rFonts w:ascii="Palatino Linotype" w:hAnsi="Palatino Linotype"/>
        </w:rPr>
        <w:t xml:space="preserve"> at </w:t>
      </w:r>
      <w:r w:rsidR="00920656" w:rsidRPr="06F49983">
        <w:rPr>
          <w:rFonts w:ascii="Palatino Linotype" w:hAnsi="Palatino Linotype"/>
        </w:rPr>
        <w:t>(2)</w:t>
      </w:r>
      <w:r w:rsidR="00BD7A81" w:rsidRPr="06F49983">
        <w:rPr>
          <w:rFonts w:ascii="Palatino Linotype" w:hAnsi="Palatino Linotype"/>
        </w:rPr>
        <w:t xml:space="preserve"> and (4) listed below.</w:t>
      </w:r>
      <w:r w:rsidR="06F49983" w:rsidRPr="06F49983">
        <w:rPr>
          <w:rFonts w:ascii="Palatino Linotype" w:hAnsi="Palatino Linotype"/>
        </w:rPr>
        <w:t xml:space="preserve"> See below fns. 50 and 7</w:t>
      </w:r>
      <w:r w:rsidR="008E28CC">
        <w:rPr>
          <w:rFonts w:ascii="Palatino Linotype" w:hAnsi="Palatino Linotype"/>
        </w:rPr>
        <w:t>0</w:t>
      </w:r>
      <w:r w:rsidR="06F49983" w:rsidRPr="06F49983">
        <w:rPr>
          <w:rFonts w:ascii="Palatino Linotype" w:hAnsi="Palatino Linotype"/>
        </w:rPr>
        <w:t>.</w:t>
      </w:r>
    </w:p>
  </w:footnote>
  <w:footnote w:id="10">
    <w:p w14:paraId="753C21F8" w14:textId="7E722C6D" w:rsidR="00E008FF" w:rsidRPr="008962E4" w:rsidRDefault="00260A9F" w:rsidP="00AF121B">
      <w:pPr>
        <w:pStyle w:val="FootnoteText"/>
        <w:rPr>
          <w:rFonts w:ascii="Palatino Linotype" w:hAnsi="Palatino Linotype"/>
          <w:color w:val="000000" w:themeColor="text1"/>
        </w:rPr>
      </w:pPr>
      <w:r>
        <w:rPr>
          <w:rStyle w:val="FootnoteReference"/>
        </w:rPr>
        <w:footnoteRef/>
      </w:r>
      <w:r>
        <w:t xml:space="preserve"> </w:t>
      </w:r>
      <w:r w:rsidR="00D35FB3" w:rsidRPr="00D35FB3">
        <w:rPr>
          <w:rFonts w:ascii="Palatino Linotype" w:hAnsi="Palatino Linotype"/>
        </w:rPr>
        <w:t>Consistent with</w:t>
      </w:r>
      <w:r>
        <w:t xml:space="preserve"> </w:t>
      </w:r>
      <w:hyperlink r:id="rId7">
        <w:r w:rsidR="00B00A14" w:rsidRPr="00B00A14">
          <w:rPr>
            <w:rStyle w:val="Hyperlink"/>
            <w:rFonts w:ascii="Palatino Linotype" w:hAnsi="Palatino Linotype"/>
          </w:rPr>
          <w:t>D.23-11-069</w:t>
        </w:r>
      </w:hyperlink>
      <w:r w:rsidR="00B00A14" w:rsidRPr="00B00A14">
        <w:rPr>
          <w:rFonts w:ascii="Palatino Linotype" w:hAnsi="Palatino Linotype"/>
        </w:rPr>
        <w:t xml:space="preserve"> at p. 217-</w:t>
      </w:r>
      <w:r w:rsidR="00B00A14" w:rsidRPr="008962E4">
        <w:rPr>
          <w:rFonts w:ascii="Palatino Linotype" w:hAnsi="Palatino Linotype"/>
        </w:rPr>
        <w:t xml:space="preserve">218. </w:t>
      </w:r>
      <w:r w:rsidR="008962E4" w:rsidRPr="008962E4">
        <w:rPr>
          <w:rFonts w:ascii="Palatino Linotype" w:hAnsi="Palatino Linotype"/>
        </w:rPr>
        <w:t>See</w:t>
      </w:r>
      <w:r w:rsidR="008962E4">
        <w:rPr>
          <w:rFonts w:ascii="Palatino Linotype" w:hAnsi="Palatino Linotype"/>
          <w:sz w:val="24"/>
          <w:szCs w:val="24"/>
        </w:rPr>
        <w:t xml:space="preserve"> </w:t>
      </w:r>
      <w:r w:rsidR="0070323F">
        <w:rPr>
          <w:rFonts w:ascii="Palatino Linotype" w:hAnsi="Palatino Linotype"/>
          <w:bCs/>
        </w:rPr>
        <w:t xml:space="preserve">Resolution G-3618 at </w:t>
      </w:r>
      <w:r w:rsidR="008962E4" w:rsidRPr="00635ACB">
        <w:rPr>
          <w:rFonts w:ascii="Palatino Linotype" w:hAnsi="Palatino Linotype"/>
          <w:color w:val="000000" w:themeColor="text1"/>
        </w:rPr>
        <w:t>Appendix C:</w:t>
      </w:r>
      <w:r w:rsidR="00BB40DB">
        <w:rPr>
          <w:rFonts w:ascii="Palatino Linotype" w:hAnsi="Palatino Linotype"/>
          <w:color w:val="000000" w:themeColor="text1"/>
        </w:rPr>
        <w:t xml:space="preserve"> </w:t>
      </w:r>
      <w:r w:rsidR="00BB40DB" w:rsidRPr="000C20B9">
        <w:rPr>
          <w:rFonts w:ascii="Palatino Linotype" w:hAnsi="Palatino Linotype"/>
          <w:color w:val="000000" w:themeColor="text1"/>
        </w:rPr>
        <w:t>Guidance on Gas RD&amp;D Plans Provided to PG&amp;E During Pre-Submittal Consultation with CPUC Staff (March 2025)</w:t>
      </w:r>
      <w:r w:rsidR="008962E4" w:rsidRPr="00635ACB">
        <w:rPr>
          <w:rFonts w:ascii="Palatino Linotype" w:hAnsi="Palatino Linotype"/>
          <w:color w:val="000000" w:themeColor="text1"/>
        </w:rPr>
        <w:t xml:space="preserve"> at</w:t>
      </w:r>
      <w:r w:rsidR="008962E4">
        <w:rPr>
          <w:rFonts w:ascii="Palatino Linotype" w:hAnsi="Palatino Linotype"/>
          <w:color w:val="000000" w:themeColor="text1"/>
        </w:rPr>
        <w:t xml:space="preserve"> </w:t>
      </w:r>
      <w:r w:rsidR="008962E4" w:rsidRPr="00635ACB">
        <w:rPr>
          <w:rFonts w:ascii="Palatino Linotype" w:hAnsi="Palatino Linotype"/>
          <w:color w:val="000000" w:themeColor="text1"/>
        </w:rPr>
        <w:t>(5) &amp; (6).</w:t>
      </w:r>
      <w:r w:rsidR="008962E4">
        <w:rPr>
          <w:rFonts w:ascii="Palatino Linotype" w:hAnsi="Palatino Linotype"/>
          <w:color w:val="000000" w:themeColor="text1"/>
        </w:rPr>
        <w:t xml:space="preserve"> </w:t>
      </w:r>
    </w:p>
  </w:footnote>
  <w:footnote w:id="11">
    <w:p w14:paraId="5D13F325" w14:textId="2100078C" w:rsidR="00C90AF8" w:rsidRDefault="00C90AF8">
      <w:pPr>
        <w:pStyle w:val="FootnoteText"/>
      </w:pPr>
      <w:r>
        <w:rPr>
          <w:rStyle w:val="FootnoteReference"/>
        </w:rPr>
        <w:footnoteRef/>
      </w:r>
      <w:r>
        <w:t xml:space="preserve"> </w:t>
      </w:r>
      <w:r>
        <w:rPr>
          <w:rFonts w:ascii="Palatino Linotype" w:hAnsi="Palatino Linotype"/>
        </w:rPr>
        <w:t xml:space="preserve">Consistent with </w:t>
      </w:r>
      <w:hyperlink r:id="rId8" w:history="1">
        <w:r w:rsidRPr="0084476C">
          <w:rPr>
            <w:rStyle w:val="Hyperlink"/>
            <w:rFonts w:ascii="Palatino Linotype" w:hAnsi="Palatino Linotype"/>
          </w:rPr>
          <w:t>Executive Order (EO) N-5-24</w:t>
        </w:r>
      </w:hyperlink>
      <w:r w:rsidRPr="00960D65">
        <w:rPr>
          <w:rFonts w:ascii="Palatino Linotype" w:hAnsi="Palatino Linotype"/>
        </w:rPr>
        <w:t xml:space="preserve"> (Newsom, 2024) </w:t>
      </w:r>
      <w:r w:rsidR="00232459">
        <w:rPr>
          <w:rFonts w:ascii="Palatino Linotype" w:hAnsi="Palatino Linotype"/>
        </w:rPr>
        <w:t>O</w:t>
      </w:r>
      <w:r w:rsidRPr="00960D65">
        <w:rPr>
          <w:rFonts w:ascii="Palatino Linotype" w:hAnsi="Palatino Linotype"/>
        </w:rPr>
        <w:t>n reducing rates</w:t>
      </w:r>
      <w:r>
        <w:rPr>
          <w:rFonts w:ascii="Palatino Linotype" w:hAnsi="Palatino Linotype"/>
        </w:rPr>
        <w:t>.</w:t>
      </w:r>
    </w:p>
  </w:footnote>
  <w:footnote w:id="12">
    <w:p w14:paraId="12344FCE" w14:textId="4344B46D" w:rsidR="00462458" w:rsidRDefault="00462458" w:rsidP="00462458">
      <w:pPr>
        <w:pStyle w:val="FootnoteText"/>
      </w:pPr>
      <w:r w:rsidRPr="00D35FB3">
        <w:rPr>
          <w:rStyle w:val="FootnoteReference"/>
        </w:rPr>
        <w:footnoteRef/>
      </w:r>
      <w:r w:rsidRPr="00D35FB3">
        <w:rPr>
          <w:rStyle w:val="FootnoteReference"/>
        </w:rPr>
        <w:t xml:space="preserve"> </w:t>
      </w:r>
      <w:hyperlink r:id="rId9" w:history="1">
        <w:r>
          <w:rPr>
            <w:rStyle w:val="Hyperlink"/>
            <w:rFonts w:ascii="Palatino Linotype" w:hAnsi="Palatino Linotype"/>
            <w:szCs w:val="16"/>
          </w:rPr>
          <w:t>D</w:t>
        </w:r>
        <w:r w:rsidRPr="00FB6840">
          <w:rPr>
            <w:rStyle w:val="Hyperlink"/>
            <w:rFonts w:ascii="Palatino Linotype" w:hAnsi="Palatino Linotype"/>
            <w:szCs w:val="16"/>
          </w:rPr>
          <w:t>.23-11-069</w:t>
        </w:r>
      </w:hyperlink>
      <w:r w:rsidRPr="00FB6840">
        <w:rPr>
          <w:rFonts w:ascii="Palatino Linotype" w:hAnsi="Palatino Linotype"/>
          <w:szCs w:val="16"/>
        </w:rPr>
        <w:t xml:space="preserve"> at p. 21</w:t>
      </w:r>
      <w:r>
        <w:rPr>
          <w:rFonts w:ascii="Palatino Linotype" w:hAnsi="Palatino Linotype"/>
          <w:szCs w:val="16"/>
        </w:rPr>
        <w:t>7.</w:t>
      </w:r>
    </w:p>
  </w:footnote>
  <w:footnote w:id="13">
    <w:p w14:paraId="7BE64FE0" w14:textId="3DCA8773" w:rsidR="00462458" w:rsidRDefault="00462458" w:rsidP="00462458">
      <w:pPr>
        <w:pStyle w:val="FootnoteText"/>
      </w:pPr>
      <w:r>
        <w:rPr>
          <w:rStyle w:val="FootnoteReference"/>
        </w:rPr>
        <w:footnoteRef/>
      </w:r>
      <w:r>
        <w:t xml:space="preserve"> </w:t>
      </w:r>
      <w:hyperlink r:id="rId10" w:history="1">
        <w:r w:rsidRPr="00FB6840">
          <w:rPr>
            <w:rStyle w:val="Hyperlink"/>
            <w:rFonts w:ascii="Palatino Linotype" w:hAnsi="Palatino Linotype"/>
            <w:szCs w:val="16"/>
          </w:rPr>
          <w:t>D.23-11-069</w:t>
        </w:r>
      </w:hyperlink>
      <w:r w:rsidRPr="00FB6840">
        <w:rPr>
          <w:rFonts w:ascii="Palatino Linotype" w:hAnsi="Palatino Linotype"/>
          <w:szCs w:val="16"/>
        </w:rPr>
        <w:t xml:space="preserve"> </w:t>
      </w:r>
      <w:r>
        <w:rPr>
          <w:rFonts w:ascii="Palatino Linotype" w:hAnsi="Palatino Linotype"/>
          <w:szCs w:val="16"/>
        </w:rPr>
        <w:t>at p. 740.</w:t>
      </w:r>
    </w:p>
  </w:footnote>
  <w:footnote w:id="14">
    <w:p w14:paraId="1BB23D83" w14:textId="57517C96" w:rsidR="00F2303C" w:rsidRDefault="00F2303C" w:rsidP="00F2303C">
      <w:pPr>
        <w:pStyle w:val="FootnoteText"/>
      </w:pPr>
      <w:r>
        <w:rPr>
          <w:rStyle w:val="FootnoteReference"/>
        </w:rPr>
        <w:footnoteRef/>
      </w:r>
      <w:r>
        <w:t xml:space="preserve"> </w:t>
      </w:r>
      <w:hyperlink r:id="rId11" w:history="1">
        <w:r w:rsidRPr="00FB6840">
          <w:rPr>
            <w:rStyle w:val="Hyperlink"/>
            <w:rFonts w:ascii="Palatino Linotype" w:hAnsi="Palatino Linotype"/>
            <w:szCs w:val="16"/>
          </w:rPr>
          <w:t>D.23-11-069</w:t>
        </w:r>
      </w:hyperlink>
      <w:r w:rsidRPr="00FB6840">
        <w:rPr>
          <w:rFonts w:ascii="Palatino Linotype" w:hAnsi="Palatino Linotype"/>
          <w:szCs w:val="16"/>
        </w:rPr>
        <w:t xml:space="preserve"> </w:t>
      </w:r>
      <w:r>
        <w:rPr>
          <w:rFonts w:ascii="Palatino Linotype" w:hAnsi="Palatino Linotype"/>
          <w:szCs w:val="16"/>
        </w:rPr>
        <w:t xml:space="preserve">at p. 217-218. </w:t>
      </w:r>
    </w:p>
  </w:footnote>
  <w:footnote w:id="15">
    <w:p w14:paraId="5295B532" w14:textId="31903785" w:rsidR="61D6D4C1" w:rsidRDefault="61D6D4C1" w:rsidP="00333C0E">
      <w:pPr>
        <w:pStyle w:val="FootnoteText"/>
      </w:pPr>
      <w:r w:rsidRPr="61D6D4C1">
        <w:rPr>
          <w:rStyle w:val="FootnoteReference"/>
        </w:rPr>
        <w:footnoteRef/>
      </w:r>
      <w:r>
        <w:t xml:space="preserve"> </w:t>
      </w:r>
      <w:hyperlink r:id="rId12" w:history="1">
        <w:r w:rsidR="00472595">
          <w:rPr>
            <w:rStyle w:val="Hyperlink"/>
            <w:rFonts w:ascii="Palatino Linotype" w:hAnsi="Palatino Linotype"/>
            <w:szCs w:val="16"/>
          </w:rPr>
          <w:t>D</w:t>
        </w:r>
        <w:r w:rsidR="00472595" w:rsidRPr="00FB6840">
          <w:rPr>
            <w:rStyle w:val="Hyperlink"/>
            <w:rFonts w:ascii="Palatino Linotype" w:hAnsi="Palatino Linotype"/>
            <w:szCs w:val="16"/>
          </w:rPr>
          <w:t>.23-11-069</w:t>
        </w:r>
      </w:hyperlink>
      <w:r w:rsidR="00472595" w:rsidRPr="00FB6840">
        <w:rPr>
          <w:rFonts w:ascii="Palatino Linotype" w:hAnsi="Palatino Linotype"/>
          <w:szCs w:val="16"/>
        </w:rPr>
        <w:t xml:space="preserve"> at p. 21</w:t>
      </w:r>
      <w:r w:rsidR="00472595">
        <w:rPr>
          <w:rFonts w:ascii="Palatino Linotype" w:hAnsi="Palatino Linotype"/>
          <w:szCs w:val="16"/>
        </w:rPr>
        <w:t>8-221.</w:t>
      </w:r>
    </w:p>
  </w:footnote>
  <w:footnote w:id="16">
    <w:p w14:paraId="4C5FF16C" w14:textId="7F4DB5D3" w:rsidR="002204D2" w:rsidRPr="00394E55" w:rsidRDefault="002204D2" w:rsidP="00394E55">
      <w:pPr>
        <w:pStyle w:val="FootnoteText"/>
        <w:rPr>
          <w:rFonts w:ascii="Palatino Linotype" w:hAnsi="Palatino Linotype"/>
          <w:color w:val="000000" w:themeColor="text1"/>
        </w:rPr>
      </w:pPr>
      <w:r>
        <w:rPr>
          <w:rStyle w:val="FootnoteReference"/>
        </w:rPr>
        <w:footnoteRef/>
      </w:r>
      <w:r>
        <w:t xml:space="preserve"> </w:t>
      </w:r>
      <w:hyperlink r:id="rId13" w:history="1">
        <w:r w:rsidR="00AD6BCB">
          <w:rPr>
            <w:rStyle w:val="Hyperlink"/>
            <w:rFonts w:ascii="Palatino Linotype" w:hAnsi="Palatino Linotype"/>
            <w:szCs w:val="16"/>
          </w:rPr>
          <w:t>D</w:t>
        </w:r>
        <w:r w:rsidR="00AD6BCB" w:rsidRPr="00FB6840">
          <w:rPr>
            <w:rStyle w:val="Hyperlink"/>
            <w:rFonts w:ascii="Palatino Linotype" w:hAnsi="Palatino Linotype"/>
            <w:szCs w:val="16"/>
          </w:rPr>
          <w:t>.23-11-069</w:t>
        </w:r>
      </w:hyperlink>
      <w:r w:rsidR="00AD6BCB" w:rsidRPr="00FB6840">
        <w:rPr>
          <w:rFonts w:ascii="Palatino Linotype" w:hAnsi="Palatino Linotype"/>
          <w:szCs w:val="16"/>
        </w:rPr>
        <w:t xml:space="preserve"> at p. 21</w:t>
      </w:r>
      <w:r w:rsidR="00AD6BCB">
        <w:rPr>
          <w:rFonts w:ascii="Palatino Linotype" w:hAnsi="Palatino Linotype"/>
          <w:szCs w:val="16"/>
        </w:rPr>
        <w:t xml:space="preserve">8. </w:t>
      </w:r>
    </w:p>
  </w:footnote>
  <w:footnote w:id="17">
    <w:p w14:paraId="3301ED73" w14:textId="6A9DB19F" w:rsidR="002204D2" w:rsidRPr="00CE7562" w:rsidRDefault="002204D2" w:rsidP="00CE7562">
      <w:pPr>
        <w:pStyle w:val="FootnoteText"/>
        <w:rPr>
          <w:rFonts w:ascii="Palatino Linotype" w:hAnsi="Palatino Linotype"/>
        </w:rPr>
      </w:pPr>
      <w:r>
        <w:rPr>
          <w:rStyle w:val="FootnoteReference"/>
        </w:rPr>
        <w:footnoteRef/>
      </w:r>
      <w:r>
        <w:t xml:space="preserve"> </w:t>
      </w:r>
      <w:hyperlink r:id="rId14" w:history="1">
        <w:r w:rsidR="00891130">
          <w:rPr>
            <w:rStyle w:val="Hyperlink"/>
            <w:rFonts w:ascii="Palatino Linotype" w:hAnsi="Palatino Linotype"/>
            <w:szCs w:val="16"/>
          </w:rPr>
          <w:t>D</w:t>
        </w:r>
        <w:r w:rsidR="00891130" w:rsidRPr="00FB6840">
          <w:rPr>
            <w:rStyle w:val="Hyperlink"/>
            <w:rFonts w:ascii="Palatino Linotype" w:hAnsi="Palatino Linotype"/>
            <w:szCs w:val="16"/>
          </w:rPr>
          <w:t>.23-11-069</w:t>
        </w:r>
      </w:hyperlink>
      <w:r w:rsidR="00891130" w:rsidRPr="00FB6840">
        <w:rPr>
          <w:rFonts w:ascii="Palatino Linotype" w:hAnsi="Palatino Linotype"/>
          <w:szCs w:val="16"/>
        </w:rPr>
        <w:t xml:space="preserve"> at p. 21</w:t>
      </w:r>
      <w:r w:rsidR="00891130">
        <w:rPr>
          <w:rFonts w:ascii="Palatino Linotype" w:hAnsi="Palatino Linotype"/>
          <w:szCs w:val="16"/>
        </w:rPr>
        <w:t xml:space="preserve">8-219. </w:t>
      </w:r>
    </w:p>
  </w:footnote>
  <w:footnote w:id="18">
    <w:p w14:paraId="339A473B" w14:textId="338D3F4F" w:rsidR="002204D2" w:rsidRPr="0018677A" w:rsidRDefault="002204D2" w:rsidP="00E34C85">
      <w:pPr>
        <w:spacing w:after="0" w:line="240" w:lineRule="auto"/>
        <w:rPr>
          <w:rFonts w:ascii="Palatino Linotype" w:hAnsi="Palatino Linotype"/>
          <w:sz w:val="20"/>
          <w:szCs w:val="20"/>
        </w:rPr>
      </w:pPr>
      <w:r w:rsidRPr="00F37D81">
        <w:rPr>
          <w:rStyle w:val="FootnoteReference"/>
          <w:sz w:val="20"/>
          <w:szCs w:val="20"/>
        </w:rPr>
        <w:footnoteRef/>
      </w:r>
      <w:r w:rsidR="001F76EF" w:rsidRPr="00F37D81">
        <w:rPr>
          <w:rStyle w:val="FootnoteReference"/>
        </w:rPr>
        <w:t xml:space="preserve"> </w:t>
      </w:r>
      <w:hyperlink r:id="rId15" w:history="1">
        <w:r w:rsidR="007004A4" w:rsidRPr="00333C0E">
          <w:rPr>
            <w:rStyle w:val="Hyperlink"/>
            <w:rFonts w:ascii="Palatino Linotype" w:hAnsi="Palatino Linotype"/>
            <w:sz w:val="20"/>
            <w:szCs w:val="20"/>
          </w:rPr>
          <w:t>D.23-11-069</w:t>
        </w:r>
      </w:hyperlink>
      <w:r w:rsidR="007004A4" w:rsidRPr="00333C0E">
        <w:rPr>
          <w:rFonts w:ascii="Palatino Linotype" w:hAnsi="Palatino Linotype"/>
          <w:sz w:val="20"/>
          <w:szCs w:val="20"/>
        </w:rPr>
        <w:t xml:space="preserve"> at p. 219.</w:t>
      </w:r>
      <w:r w:rsidR="007004A4">
        <w:rPr>
          <w:rFonts w:ascii="Palatino Linotype" w:hAnsi="Palatino Linotype"/>
          <w:szCs w:val="16"/>
        </w:rPr>
        <w:t xml:space="preserve"> </w:t>
      </w:r>
      <w:r w:rsidR="001F76EF" w:rsidRPr="008A243A">
        <w:rPr>
          <w:rFonts w:ascii="Palatino Linotype" w:hAnsi="Palatino Linotype"/>
          <w:sz w:val="20"/>
          <w:szCs w:val="20"/>
        </w:rPr>
        <w:t xml:space="preserve">See </w:t>
      </w:r>
      <w:r w:rsidR="00733744" w:rsidRPr="00333C0E">
        <w:rPr>
          <w:rFonts w:ascii="Palatino Linotype" w:hAnsi="Palatino Linotype"/>
          <w:sz w:val="20"/>
          <w:szCs w:val="20"/>
        </w:rPr>
        <w:t>Resolution G-3618 at</w:t>
      </w:r>
      <w:r w:rsidR="00733744">
        <w:rPr>
          <w:rFonts w:ascii="Palatino Linotype" w:hAnsi="Palatino Linotype"/>
        </w:rPr>
        <w:t xml:space="preserve"> </w:t>
      </w:r>
      <w:r w:rsidR="001F76EF" w:rsidRPr="008A243A">
        <w:rPr>
          <w:rFonts w:ascii="Palatino Linotype" w:hAnsi="Palatino Linotype"/>
          <w:sz w:val="20"/>
          <w:szCs w:val="20"/>
        </w:rPr>
        <w:t>Appendix B: Administrative Budget Cost Categories</w:t>
      </w:r>
      <w:r w:rsidR="00805607">
        <w:rPr>
          <w:rFonts w:ascii="Palatino Linotype" w:hAnsi="Palatino Linotype"/>
          <w:bCs/>
          <w:sz w:val="20"/>
          <w:szCs w:val="20"/>
        </w:rPr>
        <w:t>.</w:t>
      </w:r>
    </w:p>
  </w:footnote>
  <w:footnote w:id="19">
    <w:p w14:paraId="4AFC7784" w14:textId="23CCBD88" w:rsidR="007004A4" w:rsidRDefault="007004A4">
      <w:pPr>
        <w:pStyle w:val="FootnoteText"/>
      </w:pPr>
      <w:r>
        <w:rPr>
          <w:rStyle w:val="FootnoteReference"/>
        </w:rPr>
        <w:footnoteRef/>
      </w:r>
      <w:r>
        <w:t xml:space="preserve"> </w:t>
      </w:r>
      <w:hyperlink r:id="rId16" w:history="1">
        <w:r w:rsidRPr="002C0BDC">
          <w:rPr>
            <w:rStyle w:val="Hyperlink"/>
            <w:rFonts w:ascii="Palatino Linotype" w:hAnsi="Palatino Linotype"/>
          </w:rPr>
          <w:t>D.23-11-069</w:t>
        </w:r>
      </w:hyperlink>
      <w:r w:rsidRPr="002C0BDC">
        <w:rPr>
          <w:rFonts w:ascii="Palatino Linotype" w:hAnsi="Palatino Linotype"/>
        </w:rPr>
        <w:t xml:space="preserve"> at p. 219</w:t>
      </w:r>
      <w:r w:rsidR="00C5125E">
        <w:rPr>
          <w:rFonts w:ascii="Palatino Linotype" w:hAnsi="Palatino Linotype"/>
        </w:rPr>
        <w:t>-220.</w:t>
      </w:r>
    </w:p>
  </w:footnote>
  <w:footnote w:id="20">
    <w:p w14:paraId="40AB7F0C" w14:textId="65FFEA35" w:rsidR="002204D2" w:rsidRPr="006A116F" w:rsidRDefault="002204D2" w:rsidP="0084342E">
      <w:pPr>
        <w:pStyle w:val="FootnoteText"/>
        <w:rPr>
          <w:rFonts w:ascii="Palatino Linotype" w:hAnsi="Palatino Linotype"/>
          <w:szCs w:val="16"/>
        </w:rPr>
      </w:pPr>
      <w:r>
        <w:rPr>
          <w:rStyle w:val="FootnoteReference"/>
        </w:rPr>
        <w:footnoteRef/>
      </w:r>
      <w:r>
        <w:t xml:space="preserve"> </w:t>
      </w:r>
      <w:hyperlink r:id="rId17" w:history="1">
        <w:r w:rsidR="004A5470" w:rsidRPr="002C0BDC">
          <w:rPr>
            <w:rStyle w:val="Hyperlink"/>
            <w:rFonts w:ascii="Palatino Linotype" w:hAnsi="Palatino Linotype"/>
          </w:rPr>
          <w:t>D.23-11-069</w:t>
        </w:r>
      </w:hyperlink>
      <w:r w:rsidR="004A5470" w:rsidRPr="002C0BDC">
        <w:rPr>
          <w:rFonts w:ascii="Palatino Linotype" w:hAnsi="Palatino Linotype"/>
        </w:rPr>
        <w:t xml:space="preserve"> at p. 2</w:t>
      </w:r>
      <w:r w:rsidR="00414F67">
        <w:rPr>
          <w:rFonts w:ascii="Palatino Linotype" w:hAnsi="Palatino Linotype"/>
        </w:rPr>
        <w:t xml:space="preserve">20. </w:t>
      </w:r>
    </w:p>
  </w:footnote>
  <w:footnote w:id="21">
    <w:p w14:paraId="0E35B652" w14:textId="209FDEA3" w:rsidR="002204D2" w:rsidRDefault="002204D2" w:rsidP="002204D2">
      <w:pPr>
        <w:pStyle w:val="FootnoteText"/>
      </w:pPr>
      <w:r>
        <w:rPr>
          <w:rStyle w:val="FootnoteReference"/>
        </w:rPr>
        <w:footnoteRef/>
      </w:r>
      <w:r>
        <w:t xml:space="preserve"> </w:t>
      </w:r>
      <w:hyperlink r:id="rId18" w:history="1">
        <w:r w:rsidR="00414F67" w:rsidRPr="002C0BDC">
          <w:rPr>
            <w:rStyle w:val="Hyperlink"/>
            <w:rFonts w:ascii="Palatino Linotype" w:hAnsi="Palatino Linotype"/>
          </w:rPr>
          <w:t>D.23-11-069</w:t>
        </w:r>
      </w:hyperlink>
      <w:r w:rsidR="00414F67" w:rsidRPr="002C0BDC">
        <w:rPr>
          <w:rFonts w:ascii="Palatino Linotype" w:hAnsi="Palatino Linotype"/>
        </w:rPr>
        <w:t xml:space="preserve"> at p. 2</w:t>
      </w:r>
      <w:r w:rsidR="006765E5">
        <w:rPr>
          <w:rFonts w:ascii="Palatino Linotype" w:hAnsi="Palatino Linotype"/>
        </w:rPr>
        <w:t>20.</w:t>
      </w:r>
    </w:p>
  </w:footnote>
  <w:footnote w:id="22">
    <w:p w14:paraId="1B0EF9B0" w14:textId="0360846B" w:rsidR="006765E5" w:rsidRDefault="006765E5">
      <w:pPr>
        <w:pStyle w:val="FootnoteText"/>
      </w:pPr>
      <w:r>
        <w:rPr>
          <w:rStyle w:val="FootnoteReference"/>
        </w:rPr>
        <w:footnoteRef/>
      </w:r>
      <w:r>
        <w:t xml:space="preserve"> </w:t>
      </w:r>
      <w:hyperlink r:id="rId19" w:history="1">
        <w:r w:rsidRPr="002C0BDC">
          <w:rPr>
            <w:rStyle w:val="Hyperlink"/>
            <w:rFonts w:ascii="Palatino Linotype" w:hAnsi="Palatino Linotype"/>
          </w:rPr>
          <w:t>D.23-11-069</w:t>
        </w:r>
      </w:hyperlink>
      <w:r w:rsidRPr="002C0BDC">
        <w:rPr>
          <w:rFonts w:ascii="Palatino Linotype" w:hAnsi="Palatino Linotype"/>
        </w:rPr>
        <w:t xml:space="preserve"> at p. 2</w:t>
      </w:r>
      <w:r w:rsidR="00E27AE1">
        <w:rPr>
          <w:rFonts w:ascii="Palatino Linotype" w:hAnsi="Palatino Linotype"/>
        </w:rPr>
        <w:t>20.</w:t>
      </w:r>
    </w:p>
  </w:footnote>
  <w:footnote w:id="23">
    <w:p w14:paraId="443E0A0B" w14:textId="1FE55253" w:rsidR="00E27AE1" w:rsidRDefault="00E27AE1">
      <w:pPr>
        <w:pStyle w:val="FootnoteText"/>
      </w:pPr>
      <w:r>
        <w:rPr>
          <w:rStyle w:val="FootnoteReference"/>
        </w:rPr>
        <w:footnoteRef/>
      </w:r>
      <w:r>
        <w:t xml:space="preserve"> </w:t>
      </w:r>
      <w:hyperlink r:id="rId20"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20-221.</w:t>
      </w:r>
    </w:p>
  </w:footnote>
  <w:footnote w:id="24">
    <w:p w14:paraId="1534160D" w14:textId="23FE2E68" w:rsidR="002D6A72" w:rsidRDefault="002D6A72">
      <w:pPr>
        <w:pStyle w:val="FootnoteText"/>
      </w:pPr>
      <w:r>
        <w:rPr>
          <w:rStyle w:val="FootnoteReference"/>
        </w:rPr>
        <w:footnoteRef/>
      </w:r>
      <w:r>
        <w:t xml:space="preserve"> </w:t>
      </w:r>
      <w:hyperlink r:id="rId21"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21.</w:t>
      </w:r>
    </w:p>
  </w:footnote>
  <w:footnote w:id="25">
    <w:p w14:paraId="23BF0CC0" w14:textId="5F9316D7" w:rsidR="002D6A72" w:rsidRDefault="002D6A72">
      <w:pPr>
        <w:pStyle w:val="FootnoteText"/>
      </w:pPr>
      <w:r>
        <w:rPr>
          <w:rStyle w:val="FootnoteReference"/>
        </w:rPr>
        <w:footnoteRef/>
      </w:r>
      <w:r>
        <w:t xml:space="preserve"> </w:t>
      </w:r>
      <w:hyperlink r:id="rId22"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21.</w:t>
      </w:r>
    </w:p>
  </w:footnote>
  <w:footnote w:id="26">
    <w:p w14:paraId="0D690624" w14:textId="4A4B5F8C" w:rsidR="00D1546E" w:rsidRDefault="00D1546E">
      <w:pPr>
        <w:pStyle w:val="FootnoteText"/>
      </w:pPr>
      <w:r>
        <w:rPr>
          <w:rStyle w:val="FootnoteReference"/>
        </w:rPr>
        <w:footnoteRef/>
      </w:r>
      <w:r>
        <w:t xml:space="preserve"> </w:t>
      </w:r>
      <w:hyperlink r:id="rId23"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21.</w:t>
      </w:r>
    </w:p>
  </w:footnote>
  <w:footnote w:id="27">
    <w:p w14:paraId="6C242A16" w14:textId="77777777" w:rsidR="00913581" w:rsidRDefault="00913581" w:rsidP="00913581">
      <w:pPr>
        <w:pStyle w:val="FootnoteText"/>
      </w:pPr>
      <w:r>
        <w:rPr>
          <w:rStyle w:val="FootnoteReference"/>
        </w:rPr>
        <w:footnoteRef/>
      </w:r>
      <w:r>
        <w:t xml:space="preserve"> </w:t>
      </w:r>
      <w:r w:rsidRPr="007138E7">
        <w:rPr>
          <w:rFonts w:ascii="Palatino Linotype" w:hAnsi="Palatino Linotype"/>
        </w:rPr>
        <w:t>AL 5077-G-A at p. 61.</w:t>
      </w:r>
    </w:p>
  </w:footnote>
  <w:footnote w:id="28">
    <w:p w14:paraId="03E742A6" w14:textId="77777777" w:rsidR="003F24E0" w:rsidRDefault="003F24E0" w:rsidP="003F24E0">
      <w:pPr>
        <w:pStyle w:val="FootnoteText"/>
      </w:pPr>
      <w:r>
        <w:rPr>
          <w:rStyle w:val="FootnoteReference"/>
        </w:rPr>
        <w:footnoteRef/>
      </w:r>
      <w:r>
        <w:t xml:space="preserve"> </w:t>
      </w:r>
      <w:r w:rsidRPr="003D5261">
        <w:rPr>
          <w:rFonts w:ascii="Palatino Linotype" w:hAnsi="Palatino Linotype"/>
          <w:szCs w:val="16"/>
        </w:rPr>
        <w:t xml:space="preserve">AL </w:t>
      </w:r>
      <w:r>
        <w:rPr>
          <w:rFonts w:ascii="Palatino Linotype" w:hAnsi="Palatino Linotype"/>
          <w:szCs w:val="16"/>
        </w:rPr>
        <w:t>5077-G-A</w:t>
      </w:r>
      <w:r w:rsidRPr="003D5261">
        <w:rPr>
          <w:rFonts w:ascii="Palatino Linotype" w:hAnsi="Palatino Linotype"/>
          <w:szCs w:val="16"/>
        </w:rPr>
        <w:t xml:space="preserve"> at p.</w:t>
      </w:r>
      <w:r w:rsidRPr="00B04430">
        <w:rPr>
          <w:rFonts w:ascii="Palatino Linotype" w:hAnsi="Palatino Linotype"/>
          <w:szCs w:val="16"/>
        </w:rPr>
        <w:t xml:space="preserve"> 47.</w:t>
      </w:r>
    </w:p>
  </w:footnote>
  <w:footnote w:id="29">
    <w:p w14:paraId="1DA97340" w14:textId="281D334C" w:rsidR="002E2942" w:rsidRDefault="002E2942">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sidR="00301161" w:rsidRPr="00301161">
        <w:rPr>
          <w:rFonts w:ascii="Palatino Linotype" w:hAnsi="Palatino Linotype"/>
          <w:szCs w:val="16"/>
        </w:rPr>
        <w:t>47</w:t>
      </w:r>
      <w:r w:rsidRPr="002E2942">
        <w:rPr>
          <w:rFonts w:ascii="Palatino Linotype" w:hAnsi="Palatino Linotype"/>
          <w:szCs w:val="16"/>
        </w:rPr>
        <w:t>.</w:t>
      </w:r>
    </w:p>
  </w:footnote>
  <w:footnote w:id="30">
    <w:p w14:paraId="06D7C6FE" w14:textId="665174E9" w:rsidR="00301161" w:rsidRDefault="00301161">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4</w:t>
      </w:r>
      <w:r>
        <w:rPr>
          <w:rFonts w:ascii="Palatino Linotype" w:hAnsi="Palatino Linotype"/>
          <w:szCs w:val="16"/>
        </w:rPr>
        <w:t>8-50</w:t>
      </w:r>
      <w:r w:rsidR="008E2D93">
        <w:rPr>
          <w:rFonts w:ascii="Palatino Linotype" w:hAnsi="Palatino Linotype"/>
          <w:szCs w:val="16"/>
        </w:rPr>
        <w:t>.</w:t>
      </w:r>
    </w:p>
  </w:footnote>
  <w:footnote w:id="31">
    <w:p w14:paraId="3FCBAC74" w14:textId="4876F2ED" w:rsidR="00224DE3" w:rsidRDefault="00224DE3">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Pr>
          <w:rFonts w:ascii="Palatino Linotype" w:hAnsi="Palatino Linotype"/>
          <w:szCs w:val="16"/>
        </w:rPr>
        <w:t>50-52</w:t>
      </w:r>
      <w:r w:rsidR="00F94A52">
        <w:rPr>
          <w:rFonts w:ascii="Palatino Linotype" w:hAnsi="Palatino Linotype"/>
          <w:szCs w:val="16"/>
        </w:rPr>
        <w:t>.</w:t>
      </w:r>
    </w:p>
  </w:footnote>
  <w:footnote w:id="32">
    <w:p w14:paraId="2232C3C9" w14:textId="7501F574" w:rsidR="00E20BFA" w:rsidRDefault="00E20BFA">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Pr>
          <w:rFonts w:ascii="Palatino Linotype" w:hAnsi="Palatino Linotype"/>
          <w:szCs w:val="16"/>
        </w:rPr>
        <w:t>52-54</w:t>
      </w:r>
      <w:r w:rsidR="00C84080">
        <w:rPr>
          <w:rFonts w:ascii="Palatino Linotype" w:hAnsi="Palatino Linotype"/>
          <w:szCs w:val="16"/>
        </w:rPr>
        <w:t>.</w:t>
      </w:r>
    </w:p>
  </w:footnote>
  <w:footnote w:id="33">
    <w:p w14:paraId="41205FFA" w14:textId="3B96651B" w:rsidR="001C541D" w:rsidRDefault="001C541D">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Pr>
          <w:rFonts w:ascii="Palatino Linotype" w:hAnsi="Palatino Linotype"/>
          <w:szCs w:val="16"/>
        </w:rPr>
        <w:t>54-55</w:t>
      </w:r>
      <w:r w:rsidR="00C84080">
        <w:rPr>
          <w:rFonts w:ascii="Palatino Linotype" w:hAnsi="Palatino Linotype"/>
          <w:szCs w:val="16"/>
        </w:rPr>
        <w:t>.</w:t>
      </w:r>
    </w:p>
  </w:footnote>
  <w:footnote w:id="34">
    <w:p w14:paraId="639B6630" w14:textId="7609665D" w:rsidR="00EF229B" w:rsidRDefault="00EF229B">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Pr>
          <w:rFonts w:ascii="Palatino Linotype" w:hAnsi="Palatino Linotype"/>
          <w:szCs w:val="16"/>
        </w:rPr>
        <w:t>55-56</w:t>
      </w:r>
      <w:r w:rsidR="004235AA">
        <w:rPr>
          <w:rFonts w:ascii="Palatino Linotype" w:hAnsi="Palatino Linotype"/>
          <w:szCs w:val="16"/>
        </w:rPr>
        <w:t>.</w:t>
      </w:r>
    </w:p>
  </w:footnote>
  <w:footnote w:id="35">
    <w:p w14:paraId="6B03E4CE" w14:textId="3A4FBC88" w:rsidR="00AB3D8E" w:rsidRDefault="00AB3D8E">
      <w:pPr>
        <w:pStyle w:val="FootnoteText"/>
      </w:pPr>
      <w:r>
        <w:rPr>
          <w:rStyle w:val="FootnoteReference"/>
        </w:rPr>
        <w:footnoteRef/>
      </w:r>
      <w:r>
        <w:t xml:space="preserve"> </w:t>
      </w:r>
      <w:r w:rsidRPr="00301161">
        <w:rPr>
          <w:rFonts w:ascii="Palatino Linotype" w:hAnsi="Palatino Linotype"/>
          <w:szCs w:val="16"/>
        </w:rPr>
        <w:t xml:space="preserve">AL </w:t>
      </w:r>
      <w:r w:rsidR="00E763AD">
        <w:rPr>
          <w:rFonts w:ascii="Palatino Linotype" w:hAnsi="Palatino Linotype"/>
          <w:szCs w:val="16"/>
        </w:rPr>
        <w:t>5077-G-A</w:t>
      </w:r>
      <w:r w:rsidRPr="00301161">
        <w:rPr>
          <w:rFonts w:ascii="Palatino Linotype" w:hAnsi="Palatino Linotype"/>
          <w:szCs w:val="16"/>
        </w:rPr>
        <w:t xml:space="preserve"> at p. </w:t>
      </w:r>
      <w:r>
        <w:rPr>
          <w:rFonts w:ascii="Palatino Linotype" w:hAnsi="Palatino Linotype"/>
          <w:szCs w:val="16"/>
        </w:rPr>
        <w:t>56-58</w:t>
      </w:r>
      <w:r w:rsidR="004235AA">
        <w:rPr>
          <w:rFonts w:ascii="Palatino Linotype" w:hAnsi="Palatino Linotype"/>
          <w:szCs w:val="16"/>
        </w:rPr>
        <w:t>.</w:t>
      </w:r>
    </w:p>
  </w:footnote>
  <w:footnote w:id="36">
    <w:p w14:paraId="775ADD31" w14:textId="5DC6FC0F" w:rsidR="00706900" w:rsidRDefault="00706900">
      <w:pPr>
        <w:pStyle w:val="FootnoteText"/>
      </w:pPr>
      <w:r>
        <w:rPr>
          <w:rStyle w:val="FootnoteReference"/>
        </w:rPr>
        <w:footnoteRef/>
      </w:r>
      <w:r>
        <w:t xml:space="preserve"> </w:t>
      </w:r>
      <w:r w:rsidRPr="00706900">
        <w:rPr>
          <w:rFonts w:ascii="Palatino Linotype" w:hAnsi="Palatino Linotype"/>
          <w:szCs w:val="16"/>
        </w:rPr>
        <w:t xml:space="preserve">AL </w:t>
      </w:r>
      <w:r w:rsidR="00E763AD">
        <w:rPr>
          <w:rFonts w:ascii="Palatino Linotype" w:hAnsi="Palatino Linotype"/>
          <w:szCs w:val="16"/>
        </w:rPr>
        <w:t>5077-G-A</w:t>
      </w:r>
      <w:r w:rsidRPr="00706900">
        <w:rPr>
          <w:rFonts w:ascii="Palatino Linotype" w:hAnsi="Palatino Linotype"/>
          <w:szCs w:val="16"/>
        </w:rPr>
        <w:t xml:space="preserve"> at</w:t>
      </w:r>
      <w:r w:rsidR="00A61E8A">
        <w:rPr>
          <w:rFonts w:ascii="Palatino Linotype" w:hAnsi="Palatino Linotype"/>
          <w:szCs w:val="16"/>
        </w:rPr>
        <w:t xml:space="preserve"> p.</w:t>
      </w:r>
      <w:r w:rsidRPr="00706900">
        <w:rPr>
          <w:rFonts w:ascii="Palatino Linotype" w:hAnsi="Palatino Linotype"/>
          <w:szCs w:val="16"/>
        </w:rPr>
        <w:t xml:space="preserve"> 47</w:t>
      </w:r>
      <w:r w:rsidR="004235AA">
        <w:rPr>
          <w:rFonts w:ascii="Palatino Linotype" w:hAnsi="Palatino Linotype"/>
          <w:szCs w:val="16"/>
        </w:rPr>
        <w:t>.</w:t>
      </w:r>
    </w:p>
  </w:footnote>
  <w:footnote w:id="37">
    <w:p w14:paraId="7303D348" w14:textId="74569662" w:rsidR="00904DA9" w:rsidRDefault="00904DA9">
      <w:pPr>
        <w:pStyle w:val="FootnoteText"/>
      </w:pPr>
      <w:r>
        <w:rPr>
          <w:rStyle w:val="FootnoteReference"/>
        </w:rPr>
        <w:footnoteRef/>
      </w:r>
      <w:r>
        <w:t xml:space="preserve"> </w:t>
      </w:r>
      <w:r w:rsidRPr="00706900">
        <w:rPr>
          <w:rFonts w:ascii="Palatino Linotype" w:hAnsi="Palatino Linotype"/>
          <w:szCs w:val="16"/>
        </w:rPr>
        <w:t xml:space="preserve">AL </w:t>
      </w:r>
      <w:r w:rsidR="00E763AD">
        <w:rPr>
          <w:rFonts w:ascii="Palatino Linotype" w:hAnsi="Palatino Linotype"/>
          <w:szCs w:val="16"/>
        </w:rPr>
        <w:t>5077-G-A</w:t>
      </w:r>
      <w:r w:rsidRPr="00706900">
        <w:rPr>
          <w:rFonts w:ascii="Palatino Linotype" w:hAnsi="Palatino Linotype"/>
          <w:szCs w:val="16"/>
        </w:rPr>
        <w:t xml:space="preserve"> at</w:t>
      </w:r>
      <w:r w:rsidR="00A61E8A">
        <w:rPr>
          <w:rFonts w:ascii="Palatino Linotype" w:hAnsi="Palatino Linotype"/>
          <w:szCs w:val="16"/>
        </w:rPr>
        <w:t xml:space="preserve"> p.</w:t>
      </w:r>
      <w:r w:rsidRPr="00706900">
        <w:rPr>
          <w:rFonts w:ascii="Palatino Linotype" w:hAnsi="Palatino Linotype"/>
          <w:szCs w:val="16"/>
        </w:rPr>
        <w:t xml:space="preserve"> 47</w:t>
      </w:r>
      <w:r w:rsidR="0042656C">
        <w:rPr>
          <w:rFonts w:ascii="Palatino Linotype" w:hAnsi="Palatino Linotype"/>
          <w:szCs w:val="16"/>
        </w:rPr>
        <w:t>.</w:t>
      </w:r>
    </w:p>
  </w:footnote>
  <w:footnote w:id="38">
    <w:p w14:paraId="16650991" w14:textId="77777777" w:rsidR="003F24E0" w:rsidRDefault="003F24E0" w:rsidP="003F24E0">
      <w:pPr>
        <w:pStyle w:val="FootnoteText"/>
      </w:pPr>
      <w:r>
        <w:rPr>
          <w:rStyle w:val="FootnoteReference"/>
        </w:rPr>
        <w:footnoteRef/>
      </w:r>
      <w:r>
        <w:t xml:space="preserve"> </w:t>
      </w:r>
      <w:r w:rsidRPr="002E2942">
        <w:rPr>
          <w:rFonts w:ascii="Palatino Linotype" w:hAnsi="Palatino Linotype"/>
          <w:szCs w:val="16"/>
        </w:rPr>
        <w:t>AL 5069-G at p. 54.</w:t>
      </w:r>
    </w:p>
  </w:footnote>
  <w:footnote w:id="39">
    <w:p w14:paraId="07721FDF" w14:textId="211B50FD" w:rsidR="00912614" w:rsidRDefault="00912614" w:rsidP="00912614">
      <w:pPr>
        <w:pStyle w:val="FootnoteText"/>
      </w:pPr>
      <w:r>
        <w:rPr>
          <w:rStyle w:val="FootnoteReference"/>
        </w:rPr>
        <w:footnoteRef/>
      </w:r>
      <w:r>
        <w:t xml:space="preserve"> </w:t>
      </w:r>
      <w:r w:rsidRPr="002E2942">
        <w:rPr>
          <w:rFonts w:ascii="Palatino Linotype" w:hAnsi="Palatino Linotype"/>
          <w:szCs w:val="16"/>
        </w:rPr>
        <w:t>AL 5069-G at p. 54.</w:t>
      </w:r>
    </w:p>
  </w:footnote>
  <w:footnote w:id="40">
    <w:p w14:paraId="403D6F46" w14:textId="5D8FC41C" w:rsidR="00912614" w:rsidRDefault="00912614" w:rsidP="00912614">
      <w:pPr>
        <w:pStyle w:val="FootnoteText"/>
      </w:pPr>
      <w:r>
        <w:rPr>
          <w:rStyle w:val="FootnoteReference"/>
        </w:rPr>
        <w:footnoteRef/>
      </w:r>
      <w:r>
        <w:t xml:space="preserve"> </w:t>
      </w:r>
      <w:r w:rsidRPr="002E2942">
        <w:rPr>
          <w:rFonts w:ascii="Palatino Linotype" w:hAnsi="Palatino Linotype"/>
          <w:szCs w:val="16"/>
        </w:rPr>
        <w:t>AL 5069-G at p. 5</w:t>
      </w:r>
      <w:r>
        <w:rPr>
          <w:rFonts w:ascii="Palatino Linotype" w:hAnsi="Palatino Linotype"/>
          <w:szCs w:val="16"/>
        </w:rPr>
        <w:t>5-57</w:t>
      </w:r>
      <w:r w:rsidRPr="002E2942">
        <w:rPr>
          <w:rFonts w:ascii="Palatino Linotype" w:hAnsi="Palatino Linotype"/>
          <w:szCs w:val="16"/>
        </w:rPr>
        <w:t>.</w:t>
      </w:r>
    </w:p>
  </w:footnote>
  <w:footnote w:id="41">
    <w:p w14:paraId="0FE2B24A" w14:textId="0AEC6A37" w:rsidR="00912614" w:rsidRDefault="00912614" w:rsidP="00912614">
      <w:pPr>
        <w:pStyle w:val="FootnoteText"/>
      </w:pPr>
      <w:r>
        <w:rPr>
          <w:rStyle w:val="FootnoteReference"/>
        </w:rPr>
        <w:footnoteRef/>
      </w:r>
      <w:r>
        <w:t xml:space="preserve"> </w:t>
      </w:r>
      <w:r w:rsidRPr="002E2942">
        <w:rPr>
          <w:rFonts w:ascii="Palatino Linotype" w:hAnsi="Palatino Linotype"/>
          <w:szCs w:val="16"/>
        </w:rPr>
        <w:t>AL 5069-G at p. 5</w:t>
      </w:r>
      <w:r>
        <w:rPr>
          <w:rFonts w:ascii="Palatino Linotype" w:hAnsi="Palatino Linotype"/>
          <w:szCs w:val="16"/>
        </w:rPr>
        <w:t>7-59</w:t>
      </w:r>
      <w:r w:rsidRPr="002E2942">
        <w:rPr>
          <w:rFonts w:ascii="Palatino Linotype" w:hAnsi="Palatino Linotype"/>
          <w:szCs w:val="16"/>
        </w:rPr>
        <w:t>.</w:t>
      </w:r>
    </w:p>
  </w:footnote>
  <w:footnote w:id="42">
    <w:p w14:paraId="06DE7CE7" w14:textId="25A3FEBD" w:rsidR="00912614" w:rsidRDefault="00912614" w:rsidP="00912614">
      <w:pPr>
        <w:pStyle w:val="FootnoteText"/>
      </w:pPr>
      <w:r>
        <w:rPr>
          <w:rStyle w:val="FootnoteReference"/>
        </w:rPr>
        <w:footnoteRef/>
      </w:r>
      <w:r>
        <w:t xml:space="preserve"> </w:t>
      </w:r>
      <w:r w:rsidRPr="002E2942">
        <w:rPr>
          <w:rFonts w:ascii="Palatino Linotype" w:hAnsi="Palatino Linotype"/>
          <w:szCs w:val="16"/>
        </w:rPr>
        <w:t>AL 5069-G at p. 5</w:t>
      </w:r>
      <w:r>
        <w:rPr>
          <w:rFonts w:ascii="Palatino Linotype" w:hAnsi="Palatino Linotype"/>
          <w:szCs w:val="16"/>
        </w:rPr>
        <w:t>9-60</w:t>
      </w:r>
      <w:r w:rsidRPr="002E2942">
        <w:rPr>
          <w:rFonts w:ascii="Palatino Linotype" w:hAnsi="Palatino Linotype"/>
          <w:szCs w:val="16"/>
        </w:rPr>
        <w:t>.</w:t>
      </w:r>
    </w:p>
  </w:footnote>
  <w:footnote w:id="43">
    <w:p w14:paraId="206A705A" w14:textId="35FCC028" w:rsidR="00912614" w:rsidRDefault="00912614" w:rsidP="00912614">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61-62</w:t>
      </w:r>
      <w:r w:rsidRPr="002E2942">
        <w:rPr>
          <w:rFonts w:ascii="Palatino Linotype" w:hAnsi="Palatino Linotype"/>
          <w:szCs w:val="16"/>
        </w:rPr>
        <w:t>.</w:t>
      </w:r>
    </w:p>
  </w:footnote>
  <w:footnote w:id="44">
    <w:p w14:paraId="2E64FCA5" w14:textId="3C64A1F6" w:rsidR="00912614" w:rsidRDefault="00912614" w:rsidP="00912614">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62-63</w:t>
      </w:r>
      <w:r w:rsidRPr="002E2942">
        <w:rPr>
          <w:rFonts w:ascii="Palatino Linotype" w:hAnsi="Palatino Linotype"/>
          <w:szCs w:val="16"/>
        </w:rPr>
        <w:t>.</w:t>
      </w:r>
    </w:p>
  </w:footnote>
  <w:footnote w:id="45">
    <w:p w14:paraId="733D1882" w14:textId="7BA635A0" w:rsidR="00912614" w:rsidRDefault="00912614" w:rsidP="00912614">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63-65</w:t>
      </w:r>
      <w:r w:rsidRPr="002E2942">
        <w:rPr>
          <w:rFonts w:ascii="Palatino Linotype" w:hAnsi="Palatino Linotype"/>
          <w:szCs w:val="16"/>
        </w:rPr>
        <w:t>.</w:t>
      </w:r>
    </w:p>
  </w:footnote>
  <w:footnote w:id="46">
    <w:p w14:paraId="69E737B5" w14:textId="77777777" w:rsidR="00912614" w:rsidRDefault="00912614" w:rsidP="00912614">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65-67</w:t>
      </w:r>
      <w:r w:rsidRPr="002E2942">
        <w:rPr>
          <w:rFonts w:ascii="Palatino Linotype" w:hAnsi="Palatino Linotype"/>
          <w:szCs w:val="16"/>
        </w:rPr>
        <w:t>.</w:t>
      </w:r>
    </w:p>
  </w:footnote>
  <w:footnote w:id="47">
    <w:p w14:paraId="09E239E0" w14:textId="13862744" w:rsidR="00912614" w:rsidRDefault="00912614" w:rsidP="00912614">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54.</w:t>
      </w:r>
    </w:p>
  </w:footnote>
  <w:footnote w:id="48">
    <w:p w14:paraId="2CAFDFB6" w14:textId="77777777" w:rsidR="00311637" w:rsidRDefault="00311637" w:rsidP="00311637">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54.</w:t>
      </w:r>
    </w:p>
  </w:footnote>
  <w:footnote w:id="49">
    <w:p w14:paraId="14308DB6" w14:textId="36AF59DF" w:rsidR="47984FA7" w:rsidRDefault="47984FA7" w:rsidP="47984FA7">
      <w:pPr>
        <w:pStyle w:val="FootnoteText"/>
        <w:rPr>
          <w:rFonts w:ascii="Palatino Linotype" w:hAnsi="Palatino Linotype"/>
        </w:rPr>
      </w:pPr>
      <w:r w:rsidRPr="47984FA7">
        <w:rPr>
          <w:rStyle w:val="FootnoteReference"/>
        </w:rPr>
        <w:footnoteRef/>
      </w:r>
      <w:r w:rsidR="17A89E36">
        <w:t xml:space="preserve"> </w:t>
      </w:r>
      <w:r w:rsidR="6C8E5DB8" w:rsidRPr="0A43624D">
        <w:rPr>
          <w:rFonts w:ascii="Palatino Linotype" w:eastAsia="Palatino Linotype" w:hAnsi="Palatino Linotype" w:cs="Palatino Linotype"/>
        </w:rPr>
        <w:t xml:space="preserve">See </w:t>
      </w:r>
      <w:r w:rsidR="00C72795">
        <w:rPr>
          <w:rFonts w:ascii="Palatino Linotype" w:eastAsia="Palatino Linotype" w:hAnsi="Palatino Linotype" w:cs="Palatino Linotype"/>
        </w:rPr>
        <w:t xml:space="preserve">Resolution G-3618 at </w:t>
      </w:r>
      <w:r w:rsidR="6C8E5DB8" w:rsidRPr="0A43624D">
        <w:rPr>
          <w:rFonts w:ascii="Palatino Linotype" w:eastAsia="Palatino Linotype" w:hAnsi="Palatino Linotype" w:cs="Palatino Linotype"/>
        </w:rPr>
        <w:t>A</w:t>
      </w:r>
      <w:r w:rsidR="6C8E5DB8" w:rsidRPr="6C8E5DB8">
        <w:rPr>
          <w:rFonts w:ascii="Palatino Linotype" w:hAnsi="Palatino Linotype"/>
        </w:rPr>
        <w:t>ppen</w:t>
      </w:r>
      <w:r w:rsidR="6C8E5DB8" w:rsidRPr="6C8E5DB8">
        <w:rPr>
          <w:rFonts w:ascii="Palatino Linotype" w:hAnsi="Palatino Linotype"/>
          <w:color w:val="000000" w:themeColor="text1"/>
        </w:rPr>
        <w:t xml:space="preserve">dix </w:t>
      </w:r>
      <w:r w:rsidR="009D7122">
        <w:rPr>
          <w:rFonts w:ascii="Palatino Linotype" w:hAnsi="Palatino Linotype"/>
          <w:color w:val="000000" w:themeColor="text1"/>
        </w:rPr>
        <w:t>F</w:t>
      </w:r>
      <w:r w:rsidR="7CE89F34" w:rsidRPr="7CE89F34">
        <w:rPr>
          <w:rFonts w:ascii="Palatino Linotype" w:hAnsi="Palatino Linotype"/>
          <w:color w:val="000000" w:themeColor="text1"/>
        </w:rPr>
        <w:t>:</w:t>
      </w:r>
      <w:r w:rsidR="17A89E36" w:rsidRPr="17A89E36">
        <w:rPr>
          <w:rFonts w:ascii="Palatino Linotype" w:hAnsi="Palatino Linotype"/>
          <w:color w:val="000000" w:themeColor="text1"/>
        </w:rPr>
        <w:t xml:space="preserve"> Compliance Assessment of AL 5077-G-A</w:t>
      </w:r>
      <w:r w:rsidR="7CE89F34" w:rsidRPr="7CE89F34">
        <w:rPr>
          <w:rFonts w:ascii="Palatino Linotype" w:hAnsi="Palatino Linotype"/>
          <w:color w:val="000000" w:themeColor="text1"/>
        </w:rPr>
        <w:t>.</w:t>
      </w:r>
    </w:p>
  </w:footnote>
  <w:footnote w:id="50">
    <w:p w14:paraId="11E87053" w14:textId="773EF64C" w:rsidR="00117268" w:rsidRPr="00C870D4" w:rsidRDefault="00117268" w:rsidP="005E5657">
      <w:pPr>
        <w:spacing w:after="0" w:line="240" w:lineRule="auto"/>
        <w:jc w:val="both"/>
        <w:rPr>
          <w:color w:val="0070C0"/>
          <w:sz w:val="22"/>
          <w:szCs w:val="22"/>
        </w:rPr>
      </w:pPr>
      <w:r w:rsidRPr="009D17D2">
        <w:rPr>
          <w:rStyle w:val="FootnoteReference"/>
          <w:sz w:val="20"/>
          <w:szCs w:val="20"/>
        </w:rPr>
        <w:footnoteRef/>
      </w:r>
      <w:r w:rsidR="009D17D2" w:rsidRPr="005E5657">
        <w:rPr>
          <w:rStyle w:val="FootnoteReference"/>
        </w:rPr>
        <w:t xml:space="preserve"> </w:t>
      </w:r>
      <w:r w:rsidR="00C870D4" w:rsidRPr="005E5657">
        <w:rPr>
          <w:rFonts w:ascii="Palatino Linotype" w:hAnsi="Palatino Linotype"/>
          <w:sz w:val="20"/>
          <w:szCs w:val="20"/>
        </w:rPr>
        <w:t xml:space="preserve">The Commission’s compliance assessment of </w:t>
      </w:r>
      <w:r w:rsidR="002D19C6">
        <w:rPr>
          <w:rFonts w:ascii="Palatino Linotype" w:hAnsi="Palatino Linotype"/>
          <w:sz w:val="20"/>
          <w:szCs w:val="20"/>
        </w:rPr>
        <w:t>California Public Utilities Code 740.1 at (c)</w:t>
      </w:r>
      <w:r w:rsidR="00C870D4" w:rsidRPr="005E5657">
        <w:rPr>
          <w:rFonts w:ascii="Palatino Linotype" w:hAnsi="Palatino Linotype"/>
          <w:sz w:val="20"/>
          <w:szCs w:val="20"/>
        </w:rPr>
        <w:t xml:space="preserve"> is captured in the compliance assessment of AL 5077-G-A and AL 5069-G with </w:t>
      </w:r>
      <w:hyperlink r:id="rId24" w:history="1">
        <w:r w:rsidR="00C870D4" w:rsidRPr="00C870D4">
          <w:rPr>
            <w:rStyle w:val="Hyperlink"/>
            <w:rFonts w:ascii="Palatino Linotype" w:hAnsi="Palatino Linotype"/>
            <w:sz w:val="20"/>
            <w:szCs w:val="20"/>
          </w:rPr>
          <w:t>D.23-11-069</w:t>
        </w:r>
      </w:hyperlink>
      <w:r w:rsidR="00C870D4" w:rsidRPr="00C870D4">
        <w:rPr>
          <w:rFonts w:ascii="Palatino Linotype" w:hAnsi="Palatino Linotype"/>
          <w:sz w:val="20"/>
          <w:szCs w:val="20"/>
        </w:rPr>
        <w:t xml:space="preserve"> at (2) and (4).</w:t>
      </w:r>
    </w:p>
  </w:footnote>
  <w:footnote w:id="51">
    <w:p w14:paraId="15A99C80" w14:textId="08BFD857" w:rsidR="00F643D1" w:rsidRDefault="00720F90" w:rsidP="00EF2D61">
      <w:pPr>
        <w:pStyle w:val="FootnoteText"/>
      </w:pPr>
      <w:r w:rsidRPr="00917958">
        <w:rPr>
          <w:rStyle w:val="FootnoteReference"/>
        </w:rPr>
        <w:footnoteRef/>
      </w:r>
      <w:r w:rsidRPr="00917958">
        <w:t xml:space="preserve"> </w:t>
      </w:r>
      <w:hyperlink r:id="rId25" w:history="1">
        <w:r w:rsidR="00ED6B17" w:rsidRPr="61D6D4C1">
          <w:rPr>
            <w:rStyle w:val="Hyperlink"/>
            <w:rFonts w:ascii="Palatino Linotype" w:hAnsi="Palatino Linotype"/>
          </w:rPr>
          <w:t>D.23-11-069</w:t>
        </w:r>
      </w:hyperlink>
      <w:r w:rsidR="00ED6B17" w:rsidRPr="61D6D4C1">
        <w:rPr>
          <w:rFonts w:ascii="Palatino Linotype" w:hAnsi="Palatino Linotype"/>
        </w:rPr>
        <w:t xml:space="preserve"> at p. 218</w:t>
      </w:r>
      <w:r w:rsidR="002959A7" w:rsidRPr="61D6D4C1">
        <w:rPr>
          <w:rFonts w:ascii="Palatino Linotype" w:hAnsi="Palatino Linotype"/>
        </w:rPr>
        <w:t>:</w:t>
      </w:r>
      <w:r w:rsidR="61D6D4C1" w:rsidRPr="61D6D4C1">
        <w:rPr>
          <w:rFonts w:ascii="Palatino Linotype" w:hAnsi="Palatino Linotype"/>
          <w:i/>
          <w:iCs/>
        </w:rPr>
        <w:t xml:space="preserve"> ”</w:t>
      </w:r>
      <w:r w:rsidR="002959A7" w:rsidRPr="61D6D4C1">
        <w:rPr>
          <w:rFonts w:ascii="Palatino Linotype" w:hAnsi="Palatino Linotype"/>
        </w:rPr>
        <w:t>Consistent with prior Commission decisions and resolutions approving other gas R&amp;D and Development Programs, PG&amp;E shall submit an annual R&amp;D and Development research plan for Commission approval</w:t>
      </w:r>
      <w:r w:rsidR="00EF2D61">
        <w:rPr>
          <w:rFonts w:ascii="Palatino Linotype" w:hAnsi="Palatino Linotype"/>
        </w:rPr>
        <w:t>.</w:t>
      </w:r>
      <w:r w:rsidR="61D6D4C1" w:rsidRPr="61D6D4C1">
        <w:rPr>
          <w:rFonts w:ascii="Palatino Linotype" w:hAnsi="Palatino Linotype"/>
        </w:rPr>
        <w:t>”</w:t>
      </w:r>
      <w:r w:rsidR="00EF2D61">
        <w:rPr>
          <w:rFonts w:ascii="Palatino Linotype" w:hAnsi="Palatino Linotype"/>
        </w:rPr>
        <w:t xml:space="preserve"> </w:t>
      </w:r>
      <w:r w:rsidR="00F643D1" w:rsidRPr="00F643D1">
        <w:rPr>
          <w:rFonts w:ascii="Palatino Linotype" w:hAnsi="Palatino Linotype"/>
          <w:bCs/>
        </w:rPr>
        <w:t xml:space="preserve">See </w:t>
      </w:r>
      <w:r w:rsidR="00BB11C7">
        <w:rPr>
          <w:rFonts w:ascii="Palatino Linotype" w:hAnsi="Palatino Linotype"/>
          <w:bCs/>
        </w:rPr>
        <w:t xml:space="preserve">Resolution G-3618 at </w:t>
      </w:r>
      <w:r w:rsidR="00F643D1" w:rsidRPr="00F643D1">
        <w:rPr>
          <w:rFonts w:ascii="Palatino Linotype" w:hAnsi="Palatino Linotype"/>
          <w:color w:val="000000" w:themeColor="text1"/>
        </w:rPr>
        <w:t xml:space="preserve">Appendix C: </w:t>
      </w:r>
      <w:r w:rsidR="00BB40DB" w:rsidRPr="00EF2D61">
        <w:rPr>
          <w:rFonts w:ascii="Palatino Linotype" w:hAnsi="Palatino Linotype"/>
          <w:color w:val="000000" w:themeColor="text1"/>
        </w:rPr>
        <w:t>Guidance on Gas RD&amp;D Plans Provided to PG&amp;E During Pre-Submittal Consultation with CPUC Staff (March 2025)</w:t>
      </w:r>
      <w:r w:rsidR="00EF2D61">
        <w:rPr>
          <w:rFonts w:ascii="Palatino Linotype" w:hAnsi="Palatino Linotype"/>
          <w:color w:val="000000" w:themeColor="text1"/>
        </w:rPr>
        <w:t xml:space="preserve"> &amp; </w:t>
      </w:r>
      <w:r w:rsidR="00F643D1" w:rsidRPr="00F643D1">
        <w:rPr>
          <w:rFonts w:ascii="Palatino Linotype" w:hAnsi="Palatino Linotype"/>
          <w:color w:val="000000" w:themeColor="text1"/>
        </w:rPr>
        <w:t xml:space="preserve">Appendix </w:t>
      </w:r>
      <w:r w:rsidR="00E964A4">
        <w:rPr>
          <w:rFonts w:ascii="Palatino Linotype" w:hAnsi="Palatino Linotype"/>
          <w:color w:val="000000" w:themeColor="text1"/>
        </w:rPr>
        <w:t>E</w:t>
      </w:r>
      <w:r w:rsidR="00F643D1" w:rsidRPr="00F643D1">
        <w:rPr>
          <w:rFonts w:ascii="Palatino Linotype" w:hAnsi="Palatino Linotype"/>
          <w:color w:val="000000" w:themeColor="text1"/>
        </w:rPr>
        <w:t xml:space="preserve">: </w:t>
      </w:r>
      <w:r w:rsidR="00BA559C">
        <w:rPr>
          <w:rFonts w:ascii="Palatino Linotype" w:hAnsi="Palatino Linotype"/>
          <w:color w:val="000000" w:themeColor="text1"/>
        </w:rPr>
        <w:t>Electric Program Investment Charge (</w:t>
      </w:r>
      <w:r w:rsidR="00F643D1" w:rsidRPr="00F643D1">
        <w:rPr>
          <w:rFonts w:ascii="Palatino Linotype" w:hAnsi="Palatino Linotype"/>
          <w:color w:val="000000" w:themeColor="text1"/>
        </w:rPr>
        <w:t>EPIC</w:t>
      </w:r>
      <w:r w:rsidR="00BA559C">
        <w:rPr>
          <w:rFonts w:ascii="Palatino Linotype" w:hAnsi="Palatino Linotype"/>
          <w:color w:val="000000" w:themeColor="text1"/>
        </w:rPr>
        <w:t>)</w:t>
      </w:r>
      <w:r w:rsidR="00F643D1" w:rsidRPr="00F643D1">
        <w:rPr>
          <w:rFonts w:ascii="Palatino Linotype" w:hAnsi="Palatino Linotype"/>
          <w:color w:val="000000" w:themeColor="text1"/>
        </w:rPr>
        <w:t xml:space="preserve"> Foundational Principles for the Development of a Uniform Impact Analysis Framework</w:t>
      </w:r>
      <w:r w:rsidR="00F643D1">
        <w:rPr>
          <w:rFonts w:ascii="Palatino Linotype" w:hAnsi="Palatino Linotype"/>
          <w:color w:val="000000" w:themeColor="text1"/>
        </w:rPr>
        <w:t>.</w:t>
      </w:r>
    </w:p>
  </w:footnote>
  <w:footnote w:id="52">
    <w:p w14:paraId="70EDA4C9" w14:textId="6B86814C" w:rsidR="00326E24" w:rsidRDefault="00326E24" w:rsidP="00955E79">
      <w:pPr>
        <w:pStyle w:val="FootnoteText"/>
      </w:pPr>
      <w:r>
        <w:rPr>
          <w:rStyle w:val="FootnoteReference"/>
        </w:rPr>
        <w:footnoteRef/>
      </w:r>
      <w:r>
        <w:t xml:space="preserve"> </w:t>
      </w:r>
      <w:r w:rsidRPr="007138E7">
        <w:rPr>
          <w:rFonts w:ascii="Palatino Linotype" w:hAnsi="Palatino Linotype"/>
        </w:rPr>
        <w:t>AL 5077-G-A at p. 61.</w:t>
      </w:r>
    </w:p>
  </w:footnote>
  <w:footnote w:id="53">
    <w:p w14:paraId="2C701BE9" w14:textId="051C9B04" w:rsidR="005B203A" w:rsidRDefault="005B203A">
      <w:pPr>
        <w:pStyle w:val="FootnoteText"/>
      </w:pPr>
      <w:r>
        <w:rPr>
          <w:rStyle w:val="FootnoteReference"/>
        </w:rPr>
        <w:footnoteRef/>
      </w:r>
      <w:r>
        <w:t xml:space="preserve"> </w:t>
      </w:r>
      <w:hyperlink r:id="rId26" w:history="1">
        <w:r w:rsidR="00955707" w:rsidRPr="004A7061">
          <w:rPr>
            <w:rStyle w:val="Hyperlink"/>
            <w:rFonts w:ascii="Palatino Linotype" w:hAnsi="Palatino Linotype"/>
          </w:rPr>
          <w:t>D.23-11-069</w:t>
        </w:r>
      </w:hyperlink>
      <w:r w:rsidR="00955707">
        <w:t xml:space="preserve"> </w:t>
      </w:r>
      <w:r w:rsidR="00955707" w:rsidRPr="00DF7BCE">
        <w:rPr>
          <w:rFonts w:ascii="Palatino Linotype" w:hAnsi="Palatino Linotype"/>
          <w:color w:val="000000" w:themeColor="text1"/>
        </w:rPr>
        <w:t>at p. 217</w:t>
      </w:r>
      <w:r w:rsidR="00955707">
        <w:rPr>
          <w:rFonts w:ascii="Palatino Linotype" w:hAnsi="Palatino Linotype"/>
          <w:color w:val="000000" w:themeColor="text1"/>
        </w:rPr>
        <w:t>-218.</w:t>
      </w:r>
    </w:p>
  </w:footnote>
  <w:footnote w:id="54">
    <w:p w14:paraId="3190E963" w14:textId="79E05038" w:rsidR="00AD2647" w:rsidRDefault="00AD2647">
      <w:pPr>
        <w:pStyle w:val="FootnoteText"/>
      </w:pPr>
      <w:r>
        <w:rPr>
          <w:rStyle w:val="FootnoteReference"/>
        </w:rPr>
        <w:footnoteRef/>
      </w:r>
      <w:r>
        <w:t xml:space="preserve"> </w:t>
      </w:r>
      <w:hyperlink r:id="rId27"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218-219 &amp; California Public Utilities Code 740.1 at (a).</w:t>
      </w:r>
    </w:p>
  </w:footnote>
  <w:footnote w:id="55">
    <w:p w14:paraId="3A93BA8D" w14:textId="77777777" w:rsidR="00E328DF" w:rsidRDefault="00E328DF" w:rsidP="00E328DF">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5077-G-A</w:t>
      </w:r>
      <w:r w:rsidRPr="00267EB3">
        <w:rPr>
          <w:rFonts w:ascii="Palatino Linotype" w:hAnsi="Palatino Linotype"/>
          <w:color w:val="000000" w:themeColor="text1"/>
        </w:rPr>
        <w:t xml:space="preserve"> at p. 39</w:t>
      </w:r>
      <w:r>
        <w:rPr>
          <w:rFonts w:ascii="Palatino Linotype" w:hAnsi="Palatino Linotype"/>
          <w:color w:val="000000" w:themeColor="text1"/>
        </w:rPr>
        <w:t>.</w:t>
      </w:r>
    </w:p>
  </w:footnote>
  <w:footnote w:id="56">
    <w:p w14:paraId="7D5B8810" w14:textId="77777777" w:rsidR="00EA19F1" w:rsidRDefault="00EA19F1" w:rsidP="00EA19F1">
      <w:pPr>
        <w:pStyle w:val="FootnoteText"/>
      </w:pPr>
      <w:r>
        <w:rPr>
          <w:rStyle w:val="FootnoteReference"/>
        </w:rPr>
        <w:footnoteRef/>
      </w:r>
      <w:r>
        <w:t xml:space="preserve"> </w:t>
      </w:r>
      <w:hyperlink r:id="rId28">
        <w:r w:rsidRPr="00BB0258">
          <w:rPr>
            <w:rStyle w:val="Hyperlink"/>
            <w:rFonts w:ascii="Palatino Linotype" w:hAnsi="Palatino Linotype"/>
          </w:rPr>
          <w:t>D.23-04-042</w:t>
        </w:r>
      </w:hyperlink>
      <w:r>
        <w:t xml:space="preserve">: </w:t>
      </w:r>
      <w:r w:rsidRPr="00BB0258">
        <w:rPr>
          <w:rFonts w:ascii="Palatino Linotype" w:hAnsi="Palatino Linotype"/>
        </w:rPr>
        <w:t>OIR on the Commission’s Own Motion to Consider Renewal of the EPIC Program</w:t>
      </w:r>
      <w:r w:rsidRPr="00BB0258">
        <w:rPr>
          <w:rFonts w:ascii="Palatino Linotype" w:hAnsi="Palatino Linotype"/>
          <w:b/>
          <w:bCs/>
        </w:rPr>
        <w:t xml:space="preserve"> </w:t>
      </w:r>
      <w:r w:rsidRPr="00BB0258">
        <w:rPr>
          <w:rFonts w:ascii="Palatino Linotype" w:hAnsi="Palatino Linotype"/>
        </w:rPr>
        <w:t xml:space="preserve">at </w:t>
      </w:r>
      <w:r>
        <w:rPr>
          <w:rFonts w:ascii="Palatino Linotype" w:hAnsi="Palatino Linotype"/>
        </w:rPr>
        <w:t>Appendix A.</w:t>
      </w:r>
    </w:p>
  </w:footnote>
  <w:footnote w:id="57">
    <w:p w14:paraId="3B7FBA16" w14:textId="77777777" w:rsidR="00EA19F1" w:rsidRDefault="00EA19F1" w:rsidP="00EA19F1">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5077-G-A</w:t>
      </w:r>
      <w:r w:rsidRPr="00267EB3">
        <w:rPr>
          <w:rFonts w:ascii="Palatino Linotype" w:hAnsi="Palatino Linotype"/>
          <w:color w:val="000000" w:themeColor="text1"/>
        </w:rPr>
        <w:t xml:space="preserve"> at p. </w:t>
      </w:r>
      <w:r>
        <w:rPr>
          <w:rFonts w:ascii="Palatino Linotype" w:hAnsi="Palatino Linotype"/>
          <w:color w:val="000000" w:themeColor="text1"/>
        </w:rPr>
        <w:t>50-52.</w:t>
      </w:r>
    </w:p>
  </w:footnote>
  <w:footnote w:id="58">
    <w:p w14:paraId="63EFCA8F" w14:textId="77777777" w:rsidR="000303C3" w:rsidRDefault="000303C3" w:rsidP="000303C3">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54.</w:t>
      </w:r>
    </w:p>
  </w:footnote>
  <w:footnote w:id="59">
    <w:p w14:paraId="726D9A91" w14:textId="778E7CE5" w:rsidR="00B63E55" w:rsidRPr="00A30BA5" w:rsidRDefault="00B63E55" w:rsidP="00B63E55">
      <w:pPr>
        <w:spacing w:after="0" w:line="240" w:lineRule="auto"/>
        <w:rPr>
          <w:rFonts w:ascii="Palatino Linotype" w:hAnsi="Palatino Linotype"/>
          <w:color w:val="000000" w:themeColor="text1"/>
          <w:sz w:val="20"/>
          <w:szCs w:val="20"/>
        </w:rPr>
      </w:pPr>
      <w:r w:rsidRPr="00C9518C">
        <w:rPr>
          <w:rStyle w:val="FootnoteReference"/>
          <w:sz w:val="20"/>
          <w:szCs w:val="20"/>
        </w:rPr>
        <w:footnoteRef/>
      </w:r>
      <w:r w:rsidRPr="00C9518C">
        <w:rPr>
          <w:rStyle w:val="FootnoteReference"/>
        </w:rPr>
        <w:t xml:space="preserve"> </w:t>
      </w:r>
      <w:r w:rsidRPr="00A30BA5">
        <w:rPr>
          <w:rFonts w:ascii="Palatino Linotype" w:hAnsi="Palatino Linotype"/>
          <w:sz w:val="20"/>
          <w:szCs w:val="20"/>
        </w:rPr>
        <w:t>See</w:t>
      </w:r>
      <w:r>
        <w:t xml:space="preserve"> </w:t>
      </w:r>
      <w:r w:rsidRPr="00A30BA5">
        <w:rPr>
          <w:rFonts w:ascii="Palatino Linotype" w:hAnsi="Palatino Linotype"/>
          <w:sz w:val="20"/>
          <w:szCs w:val="20"/>
        </w:rPr>
        <w:t xml:space="preserve">Resolution G-3618 at </w:t>
      </w:r>
      <w:r w:rsidRPr="00A30BA5">
        <w:rPr>
          <w:rFonts w:ascii="Palatino Linotype" w:hAnsi="Palatino Linotype"/>
          <w:color w:val="000000" w:themeColor="text1"/>
          <w:sz w:val="20"/>
          <w:szCs w:val="20"/>
        </w:rPr>
        <w:t xml:space="preserve">Appendix C: Guidance on Gas RD&amp;D Plans Provided to PG&amp;E During </w:t>
      </w:r>
      <w:r w:rsidR="003F7BD9">
        <w:rPr>
          <w:rFonts w:ascii="Palatino Linotype" w:hAnsi="Palatino Linotype"/>
          <w:color w:val="000000" w:themeColor="text1"/>
          <w:sz w:val="20"/>
          <w:szCs w:val="20"/>
        </w:rPr>
        <w:br/>
      </w:r>
      <w:r w:rsidRPr="00A30BA5">
        <w:rPr>
          <w:rFonts w:ascii="Palatino Linotype" w:hAnsi="Palatino Linotype"/>
          <w:color w:val="000000" w:themeColor="text1"/>
          <w:sz w:val="20"/>
          <w:szCs w:val="20"/>
        </w:rPr>
        <w:t xml:space="preserve">Pre-Submittal Consultation with CPUC Staff (March 2025). References </w:t>
      </w:r>
      <w:hyperlink r:id="rId29">
        <w:r w:rsidRPr="00CB08EB">
          <w:rPr>
            <w:rStyle w:val="Hyperlink"/>
            <w:rFonts w:ascii="Palatino Linotype" w:hAnsi="Palatino Linotype"/>
            <w:sz w:val="20"/>
            <w:szCs w:val="20"/>
          </w:rPr>
          <w:t>Resolution G-3601</w:t>
        </w:r>
      </w:hyperlink>
      <w:r w:rsidRPr="00CB08EB">
        <w:rPr>
          <w:rFonts w:ascii="Palatino Linotype" w:hAnsi="Palatino Linotype"/>
          <w:sz w:val="20"/>
          <w:szCs w:val="20"/>
        </w:rPr>
        <w:t xml:space="preserve"> </w:t>
      </w:r>
      <w:r w:rsidRPr="00CB08EB">
        <w:rPr>
          <w:rFonts w:ascii="Palatino Linotype" w:hAnsi="Palatino Linotype"/>
          <w:color w:val="000000" w:themeColor="text1"/>
          <w:sz w:val="20"/>
          <w:szCs w:val="20"/>
        </w:rPr>
        <w:t xml:space="preserve">(2023): Approving </w:t>
      </w:r>
      <w:r w:rsidR="00DD0FC0" w:rsidRPr="00FA3C39">
        <w:rPr>
          <w:rFonts w:ascii="Palatino Linotype" w:hAnsi="Palatino Linotype"/>
          <w:color w:val="000000" w:themeColor="text1"/>
          <w:sz w:val="20"/>
          <w:szCs w:val="20"/>
        </w:rPr>
        <w:t>Southern California Gas</w:t>
      </w:r>
      <w:r w:rsidR="00D92F38">
        <w:rPr>
          <w:rFonts w:ascii="Palatino Linotype" w:hAnsi="Palatino Linotype"/>
          <w:color w:val="000000" w:themeColor="text1"/>
          <w:sz w:val="20"/>
          <w:szCs w:val="20"/>
        </w:rPr>
        <w:t xml:space="preserve"> Company’s</w:t>
      </w:r>
      <w:r w:rsidR="00DD0FC0" w:rsidRPr="00FA3C39">
        <w:rPr>
          <w:rFonts w:ascii="Palatino Linotype" w:hAnsi="Palatino Linotype"/>
          <w:color w:val="000000" w:themeColor="text1"/>
          <w:sz w:val="20"/>
          <w:szCs w:val="20"/>
        </w:rPr>
        <w:t xml:space="preserve"> (SoCalGas</w:t>
      </w:r>
      <w:r w:rsidR="00D92F38">
        <w:rPr>
          <w:rFonts w:ascii="Palatino Linotype" w:hAnsi="Palatino Linotype"/>
          <w:color w:val="000000" w:themeColor="text1"/>
          <w:sz w:val="20"/>
          <w:szCs w:val="20"/>
        </w:rPr>
        <w:t>’</w:t>
      </w:r>
      <w:r w:rsidR="00DD0FC0" w:rsidRPr="00FA3C39">
        <w:rPr>
          <w:rFonts w:ascii="Palatino Linotype" w:hAnsi="Palatino Linotype"/>
          <w:color w:val="000000" w:themeColor="text1"/>
          <w:sz w:val="20"/>
          <w:szCs w:val="20"/>
        </w:rPr>
        <w:t xml:space="preserve">) </w:t>
      </w:r>
      <w:r w:rsidRPr="00FA3C39">
        <w:rPr>
          <w:rFonts w:ascii="Palatino Linotype" w:hAnsi="Palatino Linotype"/>
          <w:color w:val="000000" w:themeColor="text1"/>
          <w:sz w:val="20"/>
          <w:szCs w:val="20"/>
        </w:rPr>
        <w:t>2023</w:t>
      </w:r>
      <w:r w:rsidRPr="00CB08EB">
        <w:rPr>
          <w:rFonts w:ascii="Palatino Linotype" w:hAnsi="Palatino Linotype"/>
          <w:color w:val="000000" w:themeColor="text1"/>
          <w:sz w:val="20"/>
          <w:szCs w:val="20"/>
        </w:rPr>
        <w:t xml:space="preserve"> Gas RD&amp;D Budget Plan at</w:t>
      </w:r>
      <w:r w:rsidRPr="00CB08EB">
        <w:rPr>
          <w:rFonts w:ascii="Palatino Linotype" w:hAnsi="Palatino Linotype"/>
          <w:bCs/>
          <w:color w:val="000000" w:themeColor="text1"/>
          <w:sz w:val="20"/>
          <w:szCs w:val="20"/>
        </w:rPr>
        <w:t xml:space="preserve"> OP 5. “</w:t>
      </w:r>
      <w:r w:rsidRPr="008E543D">
        <w:rPr>
          <w:rFonts w:ascii="Palatino Linotype" w:hAnsi="Palatino Linotype"/>
          <w:bCs/>
          <w:color w:val="000000" w:themeColor="text1"/>
          <w:sz w:val="20"/>
          <w:szCs w:val="20"/>
        </w:rPr>
        <w:t>All of SoCalGas’ new and future RD&amp;D projects shall occur in the State of California. The only exception may be made for projects with out of state federal labs. In this case, SoCalGas shall explicitly justify benefits to its gas ratepayers of an out-of-state project in its Tier 3 Advice Letter (AL) annual plan.”</w:t>
      </w:r>
    </w:p>
  </w:footnote>
  <w:footnote w:id="60">
    <w:p w14:paraId="71CFAAB4" w14:textId="77777777" w:rsidR="00B63E55" w:rsidRDefault="00B63E55" w:rsidP="00B63E55">
      <w:pPr>
        <w:pStyle w:val="FootnoteText"/>
      </w:pPr>
      <w:r>
        <w:rPr>
          <w:rStyle w:val="FootnoteReference"/>
        </w:rPr>
        <w:footnoteRef/>
      </w:r>
      <w:r>
        <w:t xml:space="preserve"> </w:t>
      </w:r>
      <w:r w:rsidRPr="61D6D4C1">
        <w:rPr>
          <w:rFonts w:ascii="Palatino Linotype" w:hAnsi="Palatino Linotype"/>
        </w:rPr>
        <w:t xml:space="preserve">AL 5077-G-A at </w:t>
      </w:r>
      <w:r w:rsidRPr="00CB08EB">
        <w:rPr>
          <w:rFonts w:ascii="Palatino Linotype" w:hAnsi="Palatino Linotype"/>
        </w:rPr>
        <w:t>Appendix B</w:t>
      </w:r>
      <w:r>
        <w:rPr>
          <w:rFonts w:ascii="Palatino Linotype" w:hAnsi="Palatino Linotype"/>
        </w:rPr>
        <w:t xml:space="preserve">: </w:t>
      </w:r>
      <w:r w:rsidRPr="001C0C68">
        <w:rPr>
          <w:rFonts w:ascii="Palatino Linotype" w:eastAsia="Times New Roman" w:hAnsi="Palatino Linotype"/>
          <w:color w:val="000000" w:themeColor="text1"/>
        </w:rPr>
        <w:t>Gas RD&amp;D Project List</w:t>
      </w:r>
      <w:r>
        <w:rPr>
          <w:rFonts w:ascii="Palatino Linotype" w:hAnsi="Palatino Linotype"/>
        </w:rPr>
        <w:t>.</w:t>
      </w:r>
    </w:p>
  </w:footnote>
  <w:footnote w:id="61">
    <w:p w14:paraId="3BD80489" w14:textId="77777777" w:rsidR="00C9518C" w:rsidRDefault="00C9518C" w:rsidP="00C9518C">
      <w:pPr>
        <w:pStyle w:val="FootnoteText"/>
      </w:pPr>
      <w:r>
        <w:rPr>
          <w:rStyle w:val="FootnoteReference"/>
        </w:rPr>
        <w:footnoteRef/>
      </w:r>
      <w:r>
        <w:t xml:space="preserve"> </w:t>
      </w:r>
      <w:r>
        <w:rPr>
          <w:rFonts w:ascii="Palatino Linotype" w:hAnsi="Palatino Linotype"/>
          <w:color w:val="000000" w:themeColor="text1"/>
        </w:rPr>
        <w:t>California Public Utilities Code 740.1 at (d).</w:t>
      </w:r>
    </w:p>
  </w:footnote>
  <w:footnote w:id="62">
    <w:p w14:paraId="6932DD19" w14:textId="77777777" w:rsidR="00C9518C" w:rsidRDefault="00C9518C" w:rsidP="00C9518C">
      <w:pPr>
        <w:pStyle w:val="FootnoteText"/>
      </w:pPr>
      <w:r>
        <w:rPr>
          <w:rStyle w:val="FootnoteReference"/>
        </w:rPr>
        <w:footnoteRef/>
      </w:r>
      <w:r>
        <w:t xml:space="preserve"> </w:t>
      </w:r>
      <w:hyperlink r:id="rId30" w:history="1">
        <w:r>
          <w:rPr>
            <w:rStyle w:val="Hyperlink"/>
            <w:rFonts w:ascii="Palatino Linotype" w:hAnsi="Palatino Linotype"/>
          </w:rPr>
          <w:t>D.22-12-057</w:t>
        </w:r>
      </w:hyperlink>
      <w:r w:rsidRPr="00840E38">
        <w:rPr>
          <w:rFonts w:ascii="Palatino Linotype" w:hAnsi="Palatino Linotype"/>
        </w:rPr>
        <w:t xml:space="preserve">: Decision Directing Biomethane Reporting </w:t>
      </w:r>
      <w:r>
        <w:rPr>
          <w:rFonts w:ascii="Palatino Linotype" w:hAnsi="Palatino Linotype"/>
        </w:rPr>
        <w:t>a</w:t>
      </w:r>
      <w:r w:rsidRPr="00840E38">
        <w:rPr>
          <w:rFonts w:ascii="Palatino Linotype" w:hAnsi="Palatino Linotype"/>
        </w:rPr>
        <w:t>nd Directing Pilot</w:t>
      </w:r>
      <w:r>
        <w:rPr>
          <w:rFonts w:ascii="Palatino Linotype" w:hAnsi="Palatino Linotype"/>
        </w:rPr>
        <w:t xml:space="preserve"> </w:t>
      </w:r>
      <w:r w:rsidRPr="00840E38">
        <w:rPr>
          <w:rFonts w:ascii="Palatino Linotype" w:hAnsi="Palatino Linotype"/>
        </w:rPr>
        <w:t xml:space="preserve">Projects </w:t>
      </w:r>
      <w:r>
        <w:rPr>
          <w:rFonts w:ascii="Palatino Linotype" w:hAnsi="Palatino Linotype"/>
        </w:rPr>
        <w:t>t</w:t>
      </w:r>
      <w:r w:rsidRPr="00840E38">
        <w:rPr>
          <w:rFonts w:ascii="Palatino Linotype" w:hAnsi="Palatino Linotype"/>
        </w:rPr>
        <w:t>o Further</w:t>
      </w:r>
      <w:r>
        <w:rPr>
          <w:rFonts w:ascii="Palatino Linotype" w:hAnsi="Palatino Linotype"/>
        </w:rPr>
        <w:t xml:space="preserve"> </w:t>
      </w:r>
      <w:r w:rsidRPr="00840E38">
        <w:rPr>
          <w:rFonts w:ascii="Palatino Linotype" w:hAnsi="Palatino Linotype"/>
        </w:rPr>
        <w:t xml:space="preserve">Evaluate </w:t>
      </w:r>
      <w:r>
        <w:rPr>
          <w:rFonts w:ascii="Palatino Linotype" w:hAnsi="Palatino Linotype"/>
        </w:rPr>
        <w:t>a</w:t>
      </w:r>
      <w:r w:rsidRPr="00840E38">
        <w:rPr>
          <w:rFonts w:ascii="Palatino Linotype" w:hAnsi="Palatino Linotype"/>
        </w:rPr>
        <w:t>nd Establish Pipeline</w:t>
      </w:r>
      <w:r>
        <w:rPr>
          <w:rFonts w:ascii="Palatino Linotype" w:hAnsi="Palatino Linotype"/>
        </w:rPr>
        <w:t xml:space="preserve"> </w:t>
      </w:r>
      <w:r w:rsidRPr="00840E38">
        <w:rPr>
          <w:rFonts w:ascii="Palatino Linotype" w:hAnsi="Palatino Linotype"/>
        </w:rPr>
        <w:t xml:space="preserve">Injection Standards </w:t>
      </w:r>
      <w:r>
        <w:rPr>
          <w:rFonts w:ascii="Palatino Linotype" w:hAnsi="Palatino Linotype"/>
        </w:rPr>
        <w:t>f</w:t>
      </w:r>
      <w:r w:rsidRPr="00840E38">
        <w:rPr>
          <w:rFonts w:ascii="Palatino Linotype" w:hAnsi="Palatino Linotype"/>
        </w:rPr>
        <w:t>or Clean Renewable Hydrogen</w:t>
      </w:r>
      <w:r>
        <w:rPr>
          <w:rFonts w:ascii="Palatino Linotype" w:hAnsi="Palatino Linotype"/>
        </w:rPr>
        <w:t>.</w:t>
      </w:r>
    </w:p>
  </w:footnote>
  <w:footnote w:id="63">
    <w:p w14:paraId="547FD29A" w14:textId="77777777" w:rsidR="0032769F" w:rsidRDefault="0032769F" w:rsidP="0032769F">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at </w:t>
      </w:r>
      <w:r>
        <w:rPr>
          <w:rFonts w:ascii="Palatino Linotype" w:hAnsi="Palatino Linotype"/>
          <w:szCs w:val="16"/>
        </w:rPr>
        <w:t xml:space="preserve">p. </w:t>
      </w:r>
      <w:r w:rsidRPr="00706900">
        <w:rPr>
          <w:rFonts w:ascii="Palatino Linotype" w:hAnsi="Palatino Linotype"/>
          <w:szCs w:val="16"/>
        </w:rPr>
        <w:t>47</w:t>
      </w:r>
      <w:r>
        <w:rPr>
          <w:rFonts w:ascii="Palatino Linotype" w:hAnsi="Palatino Linotype"/>
          <w:szCs w:val="16"/>
        </w:rPr>
        <w:t xml:space="preserve"> &amp; 60.</w:t>
      </w:r>
    </w:p>
  </w:footnote>
  <w:footnote w:id="64">
    <w:p w14:paraId="46BF2F9E" w14:textId="77777777" w:rsidR="0032769F" w:rsidRDefault="0032769F" w:rsidP="0032769F">
      <w:pPr>
        <w:pStyle w:val="FootnoteText"/>
      </w:pPr>
      <w:r>
        <w:rPr>
          <w:rStyle w:val="FootnoteReference"/>
        </w:rPr>
        <w:footnoteRef/>
      </w:r>
      <w:r>
        <w:t xml:space="preserve"> </w:t>
      </w:r>
      <w:hyperlink r:id="rId31"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219. </w:t>
      </w:r>
      <w:r w:rsidRPr="008A243A">
        <w:rPr>
          <w:rFonts w:ascii="Palatino Linotype" w:hAnsi="Palatino Linotype"/>
        </w:rPr>
        <w:t xml:space="preserve">See </w:t>
      </w:r>
      <w:r>
        <w:rPr>
          <w:rFonts w:ascii="Palatino Linotype" w:hAnsi="Palatino Linotype"/>
        </w:rPr>
        <w:t xml:space="preserve">Resolution G-3618 at </w:t>
      </w:r>
      <w:r w:rsidRPr="008A243A">
        <w:rPr>
          <w:rFonts w:ascii="Palatino Linotype" w:hAnsi="Palatino Linotype"/>
        </w:rPr>
        <w:t>Appendix B: Administrative Budget Cost Categories</w:t>
      </w:r>
      <w:r>
        <w:rPr>
          <w:rFonts w:ascii="Palatino Linotype" w:hAnsi="Palatino Linotype"/>
        </w:rPr>
        <w:t>.</w:t>
      </w:r>
    </w:p>
  </w:footnote>
  <w:footnote w:id="65">
    <w:p w14:paraId="317F5B9F" w14:textId="3732C4F2" w:rsidR="007848EF" w:rsidRDefault="007848EF">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5</w:t>
      </w:r>
      <w:r w:rsidR="0084591F">
        <w:rPr>
          <w:rFonts w:ascii="Palatino Linotype" w:hAnsi="Palatino Linotype"/>
          <w:szCs w:val="16"/>
        </w:rPr>
        <w:t>5</w:t>
      </w:r>
      <w:r>
        <w:rPr>
          <w:rFonts w:ascii="Palatino Linotype" w:hAnsi="Palatino Linotype"/>
          <w:szCs w:val="16"/>
        </w:rPr>
        <w:t>-58.</w:t>
      </w:r>
    </w:p>
  </w:footnote>
  <w:footnote w:id="66">
    <w:p w14:paraId="427BAA2E" w14:textId="1A22FFF2" w:rsidR="00460589" w:rsidRPr="00460589" w:rsidRDefault="00460589" w:rsidP="00460589">
      <w:pPr>
        <w:spacing w:after="0" w:line="240" w:lineRule="auto"/>
        <w:rPr>
          <w:rFonts w:ascii="Palatino Linotype" w:hAnsi="Palatino Linotype"/>
          <w:b/>
          <w:bCs/>
          <w:color w:val="000000" w:themeColor="text1"/>
        </w:rPr>
      </w:pPr>
      <w:r w:rsidRPr="0032769F">
        <w:rPr>
          <w:rStyle w:val="FootnoteReference"/>
          <w:sz w:val="20"/>
          <w:szCs w:val="20"/>
        </w:rPr>
        <w:footnoteRef/>
      </w:r>
      <w:r w:rsidRPr="0032769F">
        <w:rPr>
          <w:rStyle w:val="FootnoteReference"/>
          <w:sz w:val="20"/>
          <w:szCs w:val="20"/>
        </w:rPr>
        <w:t xml:space="preserve"> </w:t>
      </w:r>
      <w:r w:rsidRPr="00460589">
        <w:rPr>
          <w:rFonts w:ascii="Palatino Linotype" w:hAnsi="Palatino Linotype"/>
          <w:sz w:val="20"/>
          <w:szCs w:val="20"/>
        </w:rPr>
        <w:t xml:space="preserve">See </w:t>
      </w:r>
      <w:r w:rsidR="00146B36">
        <w:rPr>
          <w:rFonts w:ascii="Palatino Linotype" w:hAnsi="Palatino Linotype"/>
          <w:sz w:val="20"/>
          <w:szCs w:val="20"/>
        </w:rPr>
        <w:t xml:space="preserve">Resolution G-3618 at </w:t>
      </w:r>
      <w:r w:rsidRPr="00460589">
        <w:rPr>
          <w:rFonts w:ascii="Palatino Linotype" w:hAnsi="Palatino Linotype"/>
          <w:color w:val="000000" w:themeColor="text1"/>
          <w:sz w:val="20"/>
          <w:szCs w:val="20"/>
        </w:rPr>
        <w:t>A</w:t>
      </w:r>
      <w:r>
        <w:rPr>
          <w:rFonts w:ascii="Palatino Linotype" w:hAnsi="Palatino Linotype"/>
          <w:color w:val="000000" w:themeColor="text1"/>
          <w:sz w:val="20"/>
          <w:szCs w:val="20"/>
        </w:rPr>
        <w:t>ppendix</w:t>
      </w:r>
      <w:r w:rsidRPr="00460589">
        <w:rPr>
          <w:rFonts w:ascii="Palatino Linotype" w:hAnsi="Palatino Linotype"/>
          <w:color w:val="000000" w:themeColor="text1"/>
          <w:sz w:val="20"/>
          <w:szCs w:val="20"/>
        </w:rPr>
        <w:t xml:space="preserve"> C: </w:t>
      </w:r>
      <w:r w:rsidR="00BB40DB" w:rsidRPr="00BF7B69">
        <w:rPr>
          <w:rFonts w:ascii="Palatino Linotype" w:hAnsi="Palatino Linotype"/>
          <w:color w:val="000000" w:themeColor="text1"/>
          <w:sz w:val="20"/>
          <w:szCs w:val="20"/>
        </w:rPr>
        <w:t>Guidance on Gas RD&amp;D Plans Provided to PG&amp;E During Pre-Submittal Consultation with CPUC Staff (March 2025).</w:t>
      </w:r>
    </w:p>
  </w:footnote>
  <w:footnote w:id="67">
    <w:p w14:paraId="3611594E" w14:textId="1F98B031" w:rsidR="00142D9A" w:rsidRDefault="00142D9A">
      <w:pPr>
        <w:pStyle w:val="FootnoteText"/>
      </w:pPr>
      <w:r>
        <w:rPr>
          <w:rStyle w:val="FootnoteReference"/>
        </w:rPr>
        <w:footnoteRef/>
      </w:r>
      <w:r>
        <w:t xml:space="preserve"> </w:t>
      </w:r>
      <w:hyperlink r:id="rId32"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w:t>
      </w:r>
    </w:p>
  </w:footnote>
  <w:footnote w:id="68">
    <w:p w14:paraId="538CC3AC" w14:textId="221D4CE6" w:rsidR="0030309F" w:rsidRDefault="0030309F">
      <w:pPr>
        <w:pStyle w:val="FootnoteText"/>
      </w:pPr>
      <w:r>
        <w:rPr>
          <w:rStyle w:val="FootnoteReference"/>
        </w:rPr>
        <w:footnoteRef/>
      </w:r>
      <w:r>
        <w:t xml:space="preserve"> </w:t>
      </w:r>
      <w:r w:rsidRPr="0030309F">
        <w:rPr>
          <w:rFonts w:ascii="Palatino Linotype" w:hAnsi="Palatino Linotype"/>
        </w:rPr>
        <w:t>See</w:t>
      </w:r>
      <w:r w:rsidRPr="0030309F">
        <w:rPr>
          <w:rFonts w:ascii="Times New Roman" w:hAnsi="Times New Roman" w:cs="Times New Roman"/>
        </w:rPr>
        <w:t> </w:t>
      </w:r>
      <w:r w:rsidRPr="0030309F">
        <w:rPr>
          <w:rFonts w:ascii="Palatino Linotype" w:hAnsi="Palatino Linotype"/>
        </w:rPr>
        <w:t xml:space="preserve">Appendix </w:t>
      </w:r>
      <w:r w:rsidR="009D7122">
        <w:rPr>
          <w:rFonts w:ascii="Palatino Linotype" w:hAnsi="Palatino Linotype"/>
        </w:rPr>
        <w:t>F</w:t>
      </w:r>
      <w:r w:rsidRPr="0030309F">
        <w:rPr>
          <w:rFonts w:ascii="Palatino Linotype" w:hAnsi="Palatino Linotype"/>
        </w:rPr>
        <w:t>:</w:t>
      </w:r>
      <w:r w:rsidRPr="0030309F">
        <w:rPr>
          <w:rFonts w:ascii="Times New Roman" w:hAnsi="Times New Roman" w:cs="Times New Roman"/>
        </w:rPr>
        <w:t> </w:t>
      </w:r>
      <w:r w:rsidRPr="0030309F">
        <w:rPr>
          <w:rFonts w:ascii="Palatino Linotype" w:hAnsi="Palatino Linotype"/>
        </w:rPr>
        <w:t>Compliance Assessment of AL 5077-G-A.</w:t>
      </w:r>
    </w:p>
  </w:footnote>
  <w:footnote w:id="69">
    <w:p w14:paraId="48CEEF53" w14:textId="3997421C" w:rsidR="00527781" w:rsidRDefault="00527781" w:rsidP="00527781">
      <w:pPr>
        <w:pStyle w:val="FootnoteText"/>
        <w:rPr>
          <w:rFonts w:ascii="Palatino Linotype" w:hAnsi="Palatino Linotype"/>
        </w:rPr>
      </w:pPr>
      <w:r w:rsidRPr="2F1CE98E">
        <w:rPr>
          <w:rStyle w:val="FootnoteReference"/>
        </w:rPr>
        <w:footnoteRef/>
      </w:r>
      <w:r w:rsidRPr="06BB6474">
        <w:rPr>
          <w:rFonts w:ascii="Palatino Linotype" w:eastAsia="Palatino Linotype" w:hAnsi="Palatino Linotype" w:cs="Palatino Linotype"/>
        </w:rPr>
        <w:t xml:space="preserve"> See Appen</w:t>
      </w:r>
      <w:r w:rsidRPr="06BB6474">
        <w:rPr>
          <w:rFonts w:ascii="Palatino Linotype" w:eastAsia="Palatino Linotype" w:hAnsi="Palatino Linotype" w:cs="Palatino Linotype"/>
          <w:color w:val="000000" w:themeColor="text1"/>
        </w:rPr>
        <w:t xml:space="preserve">dix </w:t>
      </w:r>
      <w:r w:rsidR="009D7122">
        <w:rPr>
          <w:rFonts w:ascii="Palatino Linotype" w:eastAsia="Palatino Linotype" w:hAnsi="Palatino Linotype" w:cs="Palatino Linotype"/>
          <w:color w:val="000000" w:themeColor="text1"/>
        </w:rPr>
        <w:t>G</w:t>
      </w:r>
      <w:r w:rsidRPr="06BB6474">
        <w:rPr>
          <w:rFonts w:ascii="Palatino Linotype" w:eastAsia="Palatino Linotype" w:hAnsi="Palatino Linotype" w:cs="Palatino Linotype"/>
          <w:color w:val="000000" w:themeColor="text1"/>
        </w:rPr>
        <w:t>: Compliance Assessment of AL 5069-G.</w:t>
      </w:r>
    </w:p>
  </w:footnote>
  <w:footnote w:id="70">
    <w:p w14:paraId="1715DB23" w14:textId="685CDDF9" w:rsidR="00A736D6" w:rsidRPr="00793913" w:rsidRDefault="00A736D6" w:rsidP="00793913">
      <w:pPr>
        <w:spacing w:after="0" w:line="240" w:lineRule="auto"/>
        <w:jc w:val="both"/>
        <w:rPr>
          <w:color w:val="0070C0"/>
          <w:sz w:val="22"/>
          <w:szCs w:val="22"/>
        </w:rPr>
      </w:pPr>
      <w:r w:rsidRPr="00F75AC2">
        <w:rPr>
          <w:rStyle w:val="FootnoteReference"/>
          <w:sz w:val="20"/>
          <w:szCs w:val="20"/>
        </w:rPr>
        <w:footnoteRef/>
      </w:r>
      <w:r w:rsidRPr="00F75AC2">
        <w:rPr>
          <w:rStyle w:val="FootnoteReference"/>
          <w:sz w:val="20"/>
          <w:szCs w:val="20"/>
        </w:rPr>
        <w:t xml:space="preserve"> </w:t>
      </w:r>
      <w:r w:rsidRPr="005E5657">
        <w:rPr>
          <w:rFonts w:ascii="Palatino Linotype" w:hAnsi="Palatino Linotype"/>
          <w:sz w:val="20"/>
          <w:szCs w:val="20"/>
        </w:rPr>
        <w:t xml:space="preserve">The Commission’s compliance assessment of </w:t>
      </w:r>
      <w:r>
        <w:rPr>
          <w:rFonts w:ascii="Palatino Linotype" w:hAnsi="Palatino Linotype"/>
          <w:sz w:val="20"/>
          <w:szCs w:val="20"/>
        </w:rPr>
        <w:t>California Public Utilities Code 740.1 at (c)</w:t>
      </w:r>
      <w:r w:rsidRPr="005E5657">
        <w:rPr>
          <w:rFonts w:ascii="Palatino Linotype" w:hAnsi="Palatino Linotype"/>
          <w:sz w:val="20"/>
          <w:szCs w:val="20"/>
        </w:rPr>
        <w:t xml:space="preserve"> is captured in the compliance assessment of AL 5077-G-A and AL 5069-G with </w:t>
      </w:r>
      <w:hyperlink r:id="rId33" w:history="1">
        <w:r w:rsidRPr="00C870D4">
          <w:rPr>
            <w:rStyle w:val="Hyperlink"/>
            <w:rFonts w:ascii="Palatino Linotype" w:hAnsi="Palatino Linotype"/>
            <w:sz w:val="20"/>
            <w:szCs w:val="20"/>
          </w:rPr>
          <w:t>D.23-11-069</w:t>
        </w:r>
      </w:hyperlink>
      <w:r w:rsidRPr="00C870D4">
        <w:rPr>
          <w:rFonts w:ascii="Palatino Linotype" w:hAnsi="Palatino Linotype"/>
          <w:sz w:val="20"/>
          <w:szCs w:val="20"/>
        </w:rPr>
        <w:t xml:space="preserve"> at (2) and (4).</w:t>
      </w:r>
    </w:p>
  </w:footnote>
  <w:footnote w:id="71">
    <w:p w14:paraId="0A438154" w14:textId="78825CEB" w:rsidR="00527781" w:rsidRDefault="00527781" w:rsidP="00E77952">
      <w:pPr>
        <w:pStyle w:val="FootnoteText"/>
      </w:pPr>
      <w:r w:rsidRPr="00917958">
        <w:rPr>
          <w:rStyle w:val="FootnoteReference"/>
        </w:rPr>
        <w:footnoteRef/>
      </w:r>
      <w:r w:rsidRPr="00917958">
        <w:t xml:space="preserve"> </w:t>
      </w:r>
      <w:hyperlink r:id="rId34" w:history="1">
        <w:r w:rsidRPr="00917958">
          <w:rPr>
            <w:rStyle w:val="Hyperlink"/>
            <w:rFonts w:ascii="Palatino Linotype" w:hAnsi="Palatino Linotype"/>
            <w:szCs w:val="16"/>
          </w:rPr>
          <w:t>D.23-11-069</w:t>
        </w:r>
      </w:hyperlink>
      <w:r w:rsidRPr="00917958">
        <w:rPr>
          <w:rFonts w:ascii="Palatino Linotype" w:hAnsi="Palatino Linotype"/>
          <w:szCs w:val="16"/>
        </w:rPr>
        <w:t xml:space="preserve"> at p. 218:</w:t>
      </w:r>
      <w:r w:rsidRPr="00917958">
        <w:rPr>
          <w:rFonts w:ascii="Palatino Linotype" w:hAnsi="Palatino Linotype"/>
          <w:bCs/>
          <w:i/>
          <w:iCs/>
        </w:rPr>
        <w:t xml:space="preserve"> </w:t>
      </w:r>
      <w:r w:rsidR="00146B36" w:rsidRPr="00146B36">
        <w:rPr>
          <w:rFonts w:ascii="Palatino Linotype" w:hAnsi="Palatino Linotype"/>
          <w:bCs/>
        </w:rPr>
        <w:t>“</w:t>
      </w:r>
      <w:r w:rsidRPr="00146B36">
        <w:rPr>
          <w:rFonts w:ascii="Palatino Linotype" w:hAnsi="Palatino Linotype"/>
          <w:bCs/>
        </w:rPr>
        <w:t>Consistent with prior Commission decisions and resolutions approving other gas R&amp;D and Development Programs, PG&amp;E shall submit an annual R&amp;D and Development research plan for Commission approval.</w:t>
      </w:r>
      <w:r w:rsidR="00146B36" w:rsidRPr="00146B36">
        <w:rPr>
          <w:rFonts w:ascii="Palatino Linotype" w:hAnsi="Palatino Linotype"/>
          <w:bCs/>
        </w:rPr>
        <w:t>”</w:t>
      </w:r>
      <w:r w:rsidRPr="00146B36">
        <w:rPr>
          <w:rFonts w:ascii="Palatino Linotype" w:hAnsi="Palatino Linotype"/>
          <w:bCs/>
        </w:rPr>
        <w:t xml:space="preserve"> </w:t>
      </w:r>
      <w:r w:rsidRPr="00F643D1">
        <w:rPr>
          <w:rFonts w:ascii="Palatino Linotype" w:hAnsi="Palatino Linotype"/>
          <w:bCs/>
        </w:rPr>
        <w:t>See</w:t>
      </w:r>
      <w:r w:rsidR="00E77952">
        <w:rPr>
          <w:rFonts w:ascii="Palatino Linotype" w:hAnsi="Palatino Linotype"/>
          <w:bCs/>
        </w:rPr>
        <w:t xml:space="preserve"> </w:t>
      </w:r>
      <w:r w:rsidR="0070323F">
        <w:rPr>
          <w:rFonts w:ascii="Palatino Linotype" w:hAnsi="Palatino Linotype"/>
          <w:bCs/>
        </w:rPr>
        <w:t xml:space="preserve">Resolution G-3618 at </w:t>
      </w:r>
      <w:r w:rsidRPr="00F643D1">
        <w:rPr>
          <w:rFonts w:ascii="Palatino Linotype" w:hAnsi="Palatino Linotype"/>
          <w:color w:val="000000" w:themeColor="text1"/>
        </w:rPr>
        <w:t xml:space="preserve">Appendix C: </w:t>
      </w:r>
      <w:r w:rsidR="00BB40DB" w:rsidRPr="00BB40DB">
        <w:rPr>
          <w:rFonts w:ascii="Palatino Linotype" w:hAnsi="Palatino Linotype"/>
          <w:color w:val="000000" w:themeColor="text1"/>
        </w:rPr>
        <w:t>Guidance on Gas RD&amp;D Plans Provided to PG&amp;E During Pre-Submittal Consultation with CPUC Staff (March 2025)</w:t>
      </w:r>
      <w:r w:rsidR="00E77952">
        <w:rPr>
          <w:rFonts w:ascii="Palatino Linotype" w:hAnsi="Palatino Linotype"/>
          <w:color w:val="000000" w:themeColor="text1"/>
        </w:rPr>
        <w:t xml:space="preserve"> &amp; </w:t>
      </w:r>
      <w:r w:rsidRPr="00F643D1">
        <w:rPr>
          <w:rFonts w:ascii="Palatino Linotype" w:hAnsi="Palatino Linotype"/>
          <w:color w:val="000000" w:themeColor="text1"/>
        </w:rPr>
        <w:t xml:space="preserve">Appendix </w:t>
      </w:r>
      <w:r w:rsidR="00895DB7">
        <w:rPr>
          <w:rFonts w:ascii="Palatino Linotype" w:hAnsi="Palatino Linotype"/>
          <w:color w:val="000000" w:themeColor="text1"/>
        </w:rPr>
        <w:t>E</w:t>
      </w:r>
      <w:r w:rsidRPr="00F643D1">
        <w:rPr>
          <w:rFonts w:ascii="Palatino Linotype" w:hAnsi="Palatino Linotype"/>
          <w:color w:val="000000" w:themeColor="text1"/>
        </w:rPr>
        <w:t>: EPIC Foundational Principles for the Development of a Uniform Impact Analysis Framework</w:t>
      </w:r>
      <w:r>
        <w:rPr>
          <w:rFonts w:ascii="Palatino Linotype" w:hAnsi="Palatino Linotype"/>
          <w:color w:val="000000" w:themeColor="text1"/>
        </w:rPr>
        <w:t>.</w:t>
      </w:r>
    </w:p>
  </w:footnote>
  <w:footnote w:id="72">
    <w:p w14:paraId="01FC1D8D" w14:textId="1E4CEEAF" w:rsidR="00641E3D" w:rsidRDefault="00641E3D">
      <w:pPr>
        <w:pStyle w:val="FootnoteText"/>
      </w:pPr>
      <w:r>
        <w:rPr>
          <w:rStyle w:val="FootnoteReference"/>
        </w:rPr>
        <w:footnoteRef/>
      </w:r>
      <w:r>
        <w:t xml:space="preserve"> </w:t>
      </w:r>
      <w:r w:rsidRPr="00731BCE">
        <w:rPr>
          <w:rFonts w:ascii="Palatino Linotype" w:hAnsi="Palatino Linotype"/>
        </w:rPr>
        <w:t>With the exception of the Sustainable Energy Solutions proposed within the Decarbonization Investment Theme</w:t>
      </w:r>
      <w:r>
        <w:rPr>
          <w:rFonts w:ascii="Palatino Linotype" w:hAnsi="Palatino Linotype"/>
        </w:rPr>
        <w:t xml:space="preserve"> in PG&amp;E’s 2025 Plan.</w:t>
      </w:r>
    </w:p>
  </w:footnote>
  <w:footnote w:id="73">
    <w:p w14:paraId="7FD237FD" w14:textId="77777777" w:rsidR="00C710D8" w:rsidRDefault="00C710D8" w:rsidP="00C710D8">
      <w:pPr>
        <w:pStyle w:val="FootnoteText"/>
      </w:pPr>
      <w:r>
        <w:rPr>
          <w:rStyle w:val="FootnoteReference"/>
        </w:rPr>
        <w:footnoteRef/>
      </w:r>
      <w:r>
        <w:t xml:space="preserve"> </w:t>
      </w:r>
      <w:hyperlink r:id="rId35"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218-219 &amp; California Public Utilities Code 740.1 at (a).</w:t>
      </w:r>
    </w:p>
  </w:footnote>
  <w:footnote w:id="74">
    <w:p w14:paraId="57224159" w14:textId="648F7134" w:rsidR="00CE4528" w:rsidRDefault="00CE4528" w:rsidP="00CE4528">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5069-G</w:t>
      </w:r>
      <w:r w:rsidRPr="00267EB3">
        <w:rPr>
          <w:rFonts w:ascii="Palatino Linotype" w:hAnsi="Palatino Linotype"/>
          <w:color w:val="000000" w:themeColor="text1"/>
        </w:rPr>
        <w:t xml:space="preserve"> at p. </w:t>
      </w:r>
      <w:r>
        <w:rPr>
          <w:rFonts w:ascii="Palatino Linotype" w:hAnsi="Palatino Linotype"/>
          <w:color w:val="000000" w:themeColor="text1"/>
        </w:rPr>
        <w:t>47.</w:t>
      </w:r>
    </w:p>
  </w:footnote>
  <w:footnote w:id="75">
    <w:p w14:paraId="60ED292D" w14:textId="2F06C4AC" w:rsidR="00DA379D" w:rsidRDefault="00DA379D">
      <w:pPr>
        <w:pStyle w:val="FootnoteText"/>
      </w:pPr>
      <w:r>
        <w:rPr>
          <w:rStyle w:val="FootnoteReference"/>
        </w:rPr>
        <w:footnoteRef/>
      </w:r>
      <w:r>
        <w:t xml:space="preserve"> </w:t>
      </w:r>
      <w:hyperlink r:id="rId36">
        <w:r w:rsidRPr="00BB0258">
          <w:rPr>
            <w:rStyle w:val="Hyperlink"/>
            <w:rFonts w:ascii="Palatino Linotype" w:hAnsi="Palatino Linotype"/>
          </w:rPr>
          <w:t>D.23-04-042</w:t>
        </w:r>
      </w:hyperlink>
      <w:r w:rsidRPr="00BB0258">
        <w:rPr>
          <w:rFonts w:ascii="Palatino Linotype" w:hAnsi="Palatino Linotype"/>
        </w:rPr>
        <w:t xml:space="preserve"> at </w:t>
      </w:r>
      <w:r>
        <w:rPr>
          <w:rFonts w:ascii="Palatino Linotype" w:hAnsi="Palatino Linotype"/>
        </w:rPr>
        <w:t>Appendix A.</w:t>
      </w:r>
    </w:p>
  </w:footnote>
  <w:footnote w:id="76">
    <w:p w14:paraId="59A2B011" w14:textId="36CFA836" w:rsidR="004A1DDA" w:rsidRDefault="004A1DDA">
      <w:pPr>
        <w:pStyle w:val="FootnoteText"/>
      </w:pPr>
      <w:r>
        <w:rPr>
          <w:rStyle w:val="FootnoteReference"/>
        </w:rPr>
        <w:footnoteRef/>
      </w:r>
      <w:r>
        <w:t xml:space="preserve"> </w:t>
      </w:r>
      <w:r w:rsidRPr="00267EB3">
        <w:rPr>
          <w:rFonts w:ascii="Palatino Linotype" w:hAnsi="Palatino Linotype"/>
          <w:color w:val="000000" w:themeColor="text1"/>
        </w:rPr>
        <w:t xml:space="preserve">AL 5069-G at p. </w:t>
      </w:r>
      <w:r>
        <w:rPr>
          <w:rFonts w:ascii="Palatino Linotype" w:hAnsi="Palatino Linotype"/>
          <w:color w:val="000000" w:themeColor="text1"/>
        </w:rPr>
        <w:t>57-59</w:t>
      </w:r>
      <w:r w:rsidRPr="00267EB3">
        <w:rPr>
          <w:rFonts w:ascii="Palatino Linotype" w:hAnsi="Palatino Linotype"/>
          <w:color w:val="000000" w:themeColor="text1"/>
        </w:rPr>
        <w:t>.</w:t>
      </w:r>
    </w:p>
  </w:footnote>
  <w:footnote w:id="77">
    <w:p w14:paraId="30CD7275" w14:textId="77777777" w:rsidR="008713AD" w:rsidRDefault="008713AD" w:rsidP="008713AD">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5069-G at p. 61.</w:t>
      </w:r>
    </w:p>
  </w:footnote>
  <w:footnote w:id="78">
    <w:p w14:paraId="1785000F" w14:textId="77777777" w:rsidR="00C710D8" w:rsidRDefault="00C710D8" w:rsidP="00C710D8">
      <w:pPr>
        <w:pStyle w:val="FootnoteText"/>
      </w:pPr>
      <w:r>
        <w:rPr>
          <w:rStyle w:val="FootnoteReference"/>
        </w:rPr>
        <w:footnoteRef/>
      </w:r>
      <w:r>
        <w:t xml:space="preserve"> </w:t>
      </w:r>
      <w:r>
        <w:rPr>
          <w:rFonts w:ascii="Palatino Linotype" w:hAnsi="Palatino Linotype"/>
          <w:color w:val="000000" w:themeColor="text1"/>
        </w:rPr>
        <w:t>California Public Utilities Code 740.1 at (d).</w:t>
      </w:r>
    </w:p>
  </w:footnote>
  <w:footnote w:id="79">
    <w:p w14:paraId="645FFF5C" w14:textId="77777777" w:rsidR="00C710D8" w:rsidRDefault="00C710D8" w:rsidP="00C710D8">
      <w:pPr>
        <w:pStyle w:val="FootnoteText"/>
      </w:pPr>
      <w:r>
        <w:rPr>
          <w:rStyle w:val="FootnoteReference"/>
        </w:rPr>
        <w:footnoteRef/>
      </w:r>
      <w:r>
        <w:t xml:space="preserve"> </w:t>
      </w:r>
      <w:r w:rsidRPr="00636C15">
        <w:rPr>
          <w:rFonts w:ascii="Palatino Linotype" w:hAnsi="Palatino Linotype"/>
        </w:rPr>
        <w:t>With the exception of the Sustainable Energy Solutions Initiative specific to the 2025 Plan.</w:t>
      </w:r>
    </w:p>
  </w:footnote>
  <w:footnote w:id="80">
    <w:p w14:paraId="51D46A4D" w14:textId="54DF7A5A" w:rsidR="00C710D8" w:rsidRDefault="00C710D8" w:rsidP="00C710D8">
      <w:pPr>
        <w:pStyle w:val="FootnoteText"/>
      </w:pPr>
      <w:r>
        <w:rPr>
          <w:rStyle w:val="FootnoteReference"/>
        </w:rPr>
        <w:footnoteRef/>
      </w:r>
      <w:r>
        <w:t xml:space="preserve"> </w:t>
      </w:r>
      <w:hyperlink r:id="rId37" w:history="1">
        <w:r>
          <w:rPr>
            <w:rStyle w:val="Hyperlink"/>
            <w:rFonts w:ascii="Palatino Linotype" w:hAnsi="Palatino Linotype"/>
          </w:rPr>
          <w:t>D.22-12-057</w:t>
        </w:r>
      </w:hyperlink>
      <w:r w:rsidR="003E7E60">
        <w:rPr>
          <w:rFonts w:ascii="Palatino Linotype" w:hAnsi="Palatino Linotype"/>
        </w:rPr>
        <w:t>.</w:t>
      </w:r>
    </w:p>
  </w:footnote>
  <w:footnote w:id="81">
    <w:p w14:paraId="2E5AAB1E" w14:textId="77ECA9A1" w:rsidR="00D150BB" w:rsidRDefault="00D150BB">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54 &amp; 67.</w:t>
      </w:r>
    </w:p>
  </w:footnote>
  <w:footnote w:id="82">
    <w:p w14:paraId="43B360F1" w14:textId="114490CB" w:rsidR="00D150BB" w:rsidRDefault="00D150BB">
      <w:pPr>
        <w:pStyle w:val="FootnoteText"/>
        <w:rPr>
          <w:rFonts w:ascii="Palatino Linotype" w:eastAsia="Palatino Linotype" w:hAnsi="Palatino Linotype" w:cs="Palatino Linotype"/>
        </w:rPr>
      </w:pPr>
      <w:r>
        <w:rPr>
          <w:rStyle w:val="FootnoteReference"/>
        </w:rPr>
        <w:footnoteRef/>
      </w:r>
      <w:r w:rsidR="4DA989DA">
        <w:t xml:space="preserve"> </w:t>
      </w:r>
      <w:hyperlink r:id="rId38" w:history="1">
        <w:r w:rsidR="4DA989DA" w:rsidRPr="4DA989DA">
          <w:rPr>
            <w:rStyle w:val="Hyperlink"/>
            <w:rFonts w:ascii="Palatino Linotype" w:eastAsia="Palatino Linotype" w:hAnsi="Palatino Linotype" w:cs="Palatino Linotype"/>
            <w:color w:val="467886"/>
          </w:rPr>
          <w:t>D.23-11-069</w:t>
        </w:r>
      </w:hyperlink>
      <w:r w:rsidR="4DA989DA" w:rsidRPr="4DA989DA">
        <w:rPr>
          <w:rFonts w:ascii="Aptos" w:eastAsia="Aptos" w:hAnsi="Aptos" w:cs="Aptos"/>
        </w:rPr>
        <w:t xml:space="preserve"> </w:t>
      </w:r>
      <w:r w:rsidR="4DA989DA" w:rsidRPr="4DA989DA">
        <w:rPr>
          <w:rFonts w:ascii="Palatino Linotype" w:eastAsia="Palatino Linotype" w:hAnsi="Palatino Linotype" w:cs="Palatino Linotype"/>
          <w:color w:val="000000" w:themeColor="text1"/>
        </w:rPr>
        <w:t xml:space="preserve">at p. 219. </w:t>
      </w:r>
      <w:r w:rsidR="4DA989DA" w:rsidRPr="4DA989DA">
        <w:rPr>
          <w:rFonts w:ascii="Palatino Linotype" w:eastAsia="Palatino Linotype" w:hAnsi="Palatino Linotype" w:cs="Palatino Linotype"/>
        </w:rPr>
        <w:t xml:space="preserve">See </w:t>
      </w:r>
      <w:r w:rsidR="00E77EA1">
        <w:rPr>
          <w:rFonts w:ascii="Palatino Linotype" w:eastAsia="Palatino Linotype" w:hAnsi="Palatino Linotype" w:cs="Palatino Linotype"/>
        </w:rPr>
        <w:t xml:space="preserve">Resolution G-3618 at </w:t>
      </w:r>
      <w:r w:rsidR="4DA989DA" w:rsidRPr="4DA989DA">
        <w:rPr>
          <w:rFonts w:ascii="Palatino Linotype" w:eastAsia="Palatino Linotype" w:hAnsi="Palatino Linotype" w:cs="Palatino Linotype"/>
        </w:rPr>
        <w:t>Appendix B: Administrative Budget Cost Categories.</w:t>
      </w:r>
    </w:p>
  </w:footnote>
  <w:footnote w:id="83">
    <w:p w14:paraId="7FE5AACF" w14:textId="77777777" w:rsidR="00C710D8" w:rsidRDefault="00C710D8" w:rsidP="00C710D8">
      <w:pPr>
        <w:pStyle w:val="FootnoteText"/>
      </w:pPr>
      <w:r>
        <w:rPr>
          <w:rStyle w:val="FootnoteReference"/>
        </w:rPr>
        <w:footnoteRef/>
      </w:r>
      <w:r>
        <w:t xml:space="preserve"> </w:t>
      </w:r>
      <w:r w:rsidRPr="002E2942">
        <w:rPr>
          <w:rFonts w:ascii="Palatino Linotype" w:hAnsi="Palatino Linotype"/>
          <w:szCs w:val="16"/>
        </w:rPr>
        <w:t>AL 5069-G at p.</w:t>
      </w:r>
      <w:r>
        <w:rPr>
          <w:rFonts w:ascii="Palatino Linotype" w:hAnsi="Palatino Linotype"/>
          <w:szCs w:val="16"/>
        </w:rPr>
        <w:t xml:space="preserve"> 62-65.</w:t>
      </w:r>
    </w:p>
  </w:footnote>
  <w:footnote w:id="84">
    <w:p w14:paraId="28D6D198" w14:textId="49819A44" w:rsidR="00C710D8" w:rsidRDefault="00C710D8" w:rsidP="00C710D8">
      <w:pPr>
        <w:pStyle w:val="FootnoteText"/>
      </w:pPr>
      <w:r w:rsidRPr="21EC5BEE">
        <w:rPr>
          <w:rStyle w:val="FootnoteReference"/>
        </w:rPr>
        <w:footnoteRef/>
      </w:r>
      <w:r>
        <w:t xml:space="preserve"> </w:t>
      </w:r>
      <w:r w:rsidRPr="41D87394">
        <w:rPr>
          <w:rFonts w:ascii="Palatino Linotype" w:eastAsia="Palatino Linotype" w:hAnsi="Palatino Linotype" w:cs="Palatino Linotype"/>
        </w:rPr>
        <w:t xml:space="preserve">See </w:t>
      </w:r>
      <w:r>
        <w:rPr>
          <w:rFonts w:ascii="Palatino Linotype" w:eastAsia="Palatino Linotype" w:hAnsi="Palatino Linotype" w:cs="Palatino Linotype"/>
        </w:rPr>
        <w:t xml:space="preserve">Resolution G-3618 at </w:t>
      </w:r>
      <w:r w:rsidRPr="41D87394">
        <w:rPr>
          <w:rFonts w:ascii="Palatino Linotype" w:eastAsia="Palatino Linotype" w:hAnsi="Palatino Linotype" w:cs="Palatino Linotype"/>
          <w:color w:val="000000" w:themeColor="text1"/>
        </w:rPr>
        <w:t xml:space="preserve">Appendix C: </w:t>
      </w:r>
      <w:r w:rsidRPr="00BB40DB">
        <w:rPr>
          <w:rFonts w:ascii="Palatino Linotype" w:eastAsia="Palatino Linotype" w:hAnsi="Palatino Linotype" w:cs="Palatino Linotype"/>
          <w:color w:val="000000" w:themeColor="text1"/>
        </w:rPr>
        <w:t xml:space="preserve">Guidance on Gas RD&amp;D Plans Provided to PG&amp;E During </w:t>
      </w:r>
      <w:r w:rsidR="00A6152A">
        <w:rPr>
          <w:rFonts w:ascii="Palatino Linotype" w:eastAsia="Palatino Linotype" w:hAnsi="Palatino Linotype" w:cs="Palatino Linotype"/>
          <w:color w:val="000000" w:themeColor="text1"/>
        </w:rPr>
        <w:br/>
      </w:r>
      <w:r w:rsidRPr="00BB40DB">
        <w:rPr>
          <w:rFonts w:ascii="Palatino Linotype" w:eastAsia="Palatino Linotype" w:hAnsi="Palatino Linotype" w:cs="Palatino Linotype"/>
          <w:color w:val="000000" w:themeColor="text1"/>
        </w:rPr>
        <w:t>Pre-Submittal Consultation with CPUC Staff (March 2025)</w:t>
      </w:r>
      <w:r>
        <w:rPr>
          <w:rFonts w:ascii="Palatino Linotype" w:eastAsia="Palatino Linotype" w:hAnsi="Palatino Linotype" w:cs="Palatino Linotype"/>
          <w:color w:val="000000" w:themeColor="text1"/>
        </w:rPr>
        <w:t xml:space="preserve">. </w:t>
      </w:r>
    </w:p>
  </w:footnote>
  <w:footnote w:id="85">
    <w:p w14:paraId="6BDADB2D" w14:textId="778A9B49" w:rsidR="00142D9A" w:rsidRDefault="00142D9A">
      <w:pPr>
        <w:pStyle w:val="FootnoteText"/>
      </w:pPr>
      <w:r>
        <w:rPr>
          <w:rStyle w:val="FootnoteReference"/>
        </w:rPr>
        <w:footnoteRef/>
      </w:r>
      <w:r>
        <w:t xml:space="preserve"> </w:t>
      </w:r>
      <w:hyperlink r:id="rId39"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w:t>
      </w:r>
    </w:p>
  </w:footnote>
  <w:footnote w:id="86">
    <w:p w14:paraId="53EA1F0D" w14:textId="1880BE67" w:rsidR="0030309F" w:rsidRDefault="0030309F" w:rsidP="0030309F">
      <w:pPr>
        <w:pStyle w:val="FootnoteText"/>
      </w:pPr>
      <w:r>
        <w:rPr>
          <w:rStyle w:val="FootnoteReference"/>
        </w:rPr>
        <w:footnoteRef/>
      </w:r>
      <w:r>
        <w:t xml:space="preserve"> </w:t>
      </w:r>
      <w:r w:rsidRPr="00E77EA1">
        <w:rPr>
          <w:rFonts w:ascii="Palatino Linotype" w:hAnsi="Palatino Linotype"/>
        </w:rPr>
        <w:t>See</w:t>
      </w:r>
      <w:r w:rsidRPr="00E77EA1">
        <w:rPr>
          <w:rFonts w:ascii="Times New Roman" w:hAnsi="Times New Roman" w:cs="Times New Roman"/>
        </w:rPr>
        <w:t> </w:t>
      </w:r>
      <w:r w:rsidR="00E77EA1" w:rsidRPr="00E77EA1">
        <w:rPr>
          <w:rFonts w:ascii="Palatino Linotype" w:hAnsi="Palatino Linotype" w:cs="Times New Roman"/>
        </w:rPr>
        <w:t>Resolution G-3618 at</w:t>
      </w:r>
      <w:r w:rsidR="00E77EA1">
        <w:rPr>
          <w:rFonts w:ascii="Times New Roman" w:hAnsi="Times New Roman" w:cs="Times New Roman"/>
        </w:rPr>
        <w:t xml:space="preserve"> </w:t>
      </w:r>
      <w:r w:rsidRPr="0030309F">
        <w:rPr>
          <w:rFonts w:ascii="Palatino Linotype" w:hAnsi="Palatino Linotype"/>
        </w:rPr>
        <w:t xml:space="preserve">Appendix </w:t>
      </w:r>
      <w:r w:rsidR="009D7122">
        <w:rPr>
          <w:rFonts w:ascii="Palatino Linotype" w:hAnsi="Palatino Linotype"/>
        </w:rPr>
        <w:t>G</w:t>
      </w:r>
      <w:r w:rsidRPr="0030309F">
        <w:rPr>
          <w:rFonts w:ascii="Palatino Linotype" w:hAnsi="Palatino Linotype"/>
        </w:rPr>
        <w:t>:</w:t>
      </w:r>
      <w:r w:rsidRPr="0030309F">
        <w:rPr>
          <w:rFonts w:ascii="Times New Roman" w:hAnsi="Times New Roman" w:cs="Times New Roman"/>
        </w:rPr>
        <w:t> </w:t>
      </w:r>
      <w:r w:rsidRPr="0030309F">
        <w:rPr>
          <w:rFonts w:ascii="Palatino Linotype" w:hAnsi="Palatino Linotype"/>
        </w:rPr>
        <w:t>Compliance Assessment of AL 50</w:t>
      </w:r>
      <w:r>
        <w:rPr>
          <w:rFonts w:ascii="Palatino Linotype" w:hAnsi="Palatino Linotype"/>
        </w:rPr>
        <w:t>69-G</w:t>
      </w:r>
      <w:r w:rsidRPr="0030309F">
        <w:rPr>
          <w:rFonts w:ascii="Palatino Linotype" w:hAnsi="Palatino Linotype"/>
        </w:rPr>
        <w:t>.</w:t>
      </w:r>
    </w:p>
  </w:footnote>
  <w:footnote w:id="87">
    <w:p w14:paraId="4C144347" w14:textId="5E4F25DC" w:rsidR="00C95C25" w:rsidRDefault="00C95C25">
      <w:pPr>
        <w:pStyle w:val="FootnoteText"/>
      </w:pPr>
      <w:r>
        <w:rPr>
          <w:rStyle w:val="FootnoteReference"/>
        </w:rPr>
        <w:footnoteRef/>
      </w:r>
      <w:r>
        <w:t xml:space="preserve"> </w:t>
      </w:r>
      <w:hyperlink r:id="rId40" w:history="1">
        <w:r w:rsidRPr="002C0BDC">
          <w:rPr>
            <w:rStyle w:val="Hyperlink"/>
            <w:rFonts w:ascii="Palatino Linotype" w:hAnsi="Palatino Linotype"/>
          </w:rPr>
          <w:t>D.23-11-069</w:t>
        </w:r>
      </w:hyperlink>
      <w:r w:rsidRPr="002C0BDC">
        <w:rPr>
          <w:rFonts w:ascii="Palatino Linotype" w:hAnsi="Palatino Linotype"/>
        </w:rPr>
        <w:t xml:space="preserve"> at p. 2</w:t>
      </w:r>
      <w:r>
        <w:rPr>
          <w:rFonts w:ascii="Palatino Linotype" w:hAnsi="Palatino Linotype"/>
        </w:rPr>
        <w:t xml:space="preserve">20. “(7) </w:t>
      </w:r>
      <w:r w:rsidRPr="00E63DFE">
        <w:rPr>
          <w:rFonts w:ascii="Palatino Linotype" w:hAnsi="Palatino Linotype"/>
        </w:rPr>
        <w:t>Prior to the</w:t>
      </w:r>
      <w:r w:rsidRPr="00E63DFE" w:rsidDel="00DA0BE5">
        <w:rPr>
          <w:rFonts w:ascii="Palatino Linotype" w:hAnsi="Palatino Linotype"/>
        </w:rPr>
        <w:t xml:space="preserve"> </w:t>
      </w:r>
      <w:r w:rsidRPr="00E63DFE">
        <w:rPr>
          <w:rFonts w:ascii="Palatino Linotype" w:hAnsi="Palatino Linotype"/>
        </w:rPr>
        <w:t xml:space="preserve">workshop, PG&amp;E should submit its RD&amp;D annual report to Energy Division </w:t>
      </w:r>
      <w:r>
        <w:rPr>
          <w:rFonts w:ascii="Palatino Linotype" w:hAnsi="Palatino Linotype"/>
        </w:rPr>
        <w:t>staff…”</w:t>
      </w:r>
    </w:p>
  </w:footnote>
  <w:footnote w:id="88">
    <w:p w14:paraId="1A32EA9B" w14:textId="188C566F" w:rsidR="00EE05EE" w:rsidRPr="004A4627" w:rsidRDefault="00EE05EE" w:rsidP="00EE05EE">
      <w:pPr>
        <w:pStyle w:val="FootnoteText"/>
      </w:pPr>
      <w:r>
        <w:rPr>
          <w:rStyle w:val="FootnoteReference"/>
        </w:rPr>
        <w:footnoteRef/>
      </w:r>
      <w:r>
        <w:t xml:space="preserve"> </w:t>
      </w:r>
      <w:r w:rsidR="00474952" w:rsidRPr="00EF74BD">
        <w:rPr>
          <w:rFonts w:ascii="Palatino Linotype" w:hAnsi="Palatino Linotype"/>
        </w:rPr>
        <w:t>Public Resources Code 25620.8</w:t>
      </w:r>
      <w:r w:rsidRPr="00AF6C99">
        <w:rPr>
          <w:rFonts w:ascii="Palatino Linotype" w:hAnsi="Palatino Linotype"/>
        </w:rPr>
        <w:t xml:space="preserve"> at (a)</w:t>
      </w:r>
      <w:r>
        <w:rPr>
          <w:rFonts w:ascii="Palatino Linotype" w:hAnsi="Palatino Linotype"/>
        </w:rPr>
        <w:t>(6).</w:t>
      </w:r>
    </w:p>
  </w:footnote>
  <w:footnote w:id="89">
    <w:p w14:paraId="33FAE829" w14:textId="4D1A62E3" w:rsidR="00461587" w:rsidRPr="00460658" w:rsidRDefault="00461587" w:rsidP="003835F1">
      <w:pPr>
        <w:pStyle w:val="FootnoteText"/>
        <w:rPr>
          <w:b/>
          <w:bCs/>
        </w:rPr>
      </w:pPr>
      <w:r>
        <w:rPr>
          <w:rStyle w:val="FootnoteReference"/>
        </w:rPr>
        <w:footnoteRef/>
      </w:r>
      <w:r>
        <w:t xml:space="preserve"> </w:t>
      </w:r>
      <w:r w:rsidRPr="00950D1D">
        <w:rPr>
          <w:rFonts w:ascii="Palatino Linotype" w:hAnsi="Palatino Linotype"/>
        </w:rPr>
        <w:t xml:space="preserve">See </w:t>
      </w:r>
      <w:r w:rsidR="00E77EA1" w:rsidRPr="00E77EA1">
        <w:rPr>
          <w:rFonts w:ascii="Palatino Linotype" w:hAnsi="Palatino Linotype" w:cs="Times New Roman"/>
        </w:rPr>
        <w:t>Resolution G-3618 at</w:t>
      </w:r>
      <w:r w:rsidR="00E77EA1">
        <w:rPr>
          <w:rFonts w:ascii="Times New Roman" w:hAnsi="Times New Roman" w:cs="Times New Roman"/>
        </w:rPr>
        <w:t xml:space="preserve"> </w:t>
      </w:r>
      <w:r w:rsidRPr="00950D1D">
        <w:rPr>
          <w:rFonts w:ascii="Palatino Linotype" w:hAnsi="Palatino Linotype"/>
        </w:rPr>
        <w:t xml:space="preserve">Appendix </w:t>
      </w:r>
      <w:r w:rsidR="009D7122">
        <w:rPr>
          <w:rFonts w:ascii="Palatino Linotype" w:hAnsi="Palatino Linotype"/>
        </w:rPr>
        <w:t>D</w:t>
      </w:r>
      <w:r w:rsidRPr="00950D1D">
        <w:rPr>
          <w:rFonts w:ascii="Palatino Linotype" w:hAnsi="Palatino Linotype"/>
        </w:rPr>
        <w:t xml:space="preserve">: Commission Guidance on Gas RD&amp;D Initiative Criteria. </w:t>
      </w:r>
      <w:r w:rsidR="009A7055">
        <w:rPr>
          <w:rFonts w:ascii="Palatino Linotype" w:hAnsi="Palatino Linotype"/>
        </w:rPr>
        <w:br/>
      </w:r>
      <w:hyperlink r:id="rId41" w:history="1">
        <w:r w:rsidRPr="00950D1D">
          <w:rPr>
            <w:rStyle w:val="Hyperlink"/>
            <w:rFonts w:ascii="Palatino Linotype" w:hAnsi="Palatino Linotype"/>
            <w:szCs w:val="16"/>
          </w:rPr>
          <w:t>D.23-11-069</w:t>
        </w:r>
      </w:hyperlink>
      <w:r w:rsidRPr="00950D1D">
        <w:rPr>
          <w:rFonts w:ascii="Palatino Linotype" w:hAnsi="Palatino Linotype"/>
          <w:szCs w:val="16"/>
        </w:rPr>
        <w:t xml:space="preserve"> at p. 218:</w:t>
      </w:r>
      <w:r w:rsidRPr="00950D1D">
        <w:rPr>
          <w:rFonts w:ascii="Palatino Linotype" w:hAnsi="Palatino Linotype"/>
          <w:i/>
          <w:iCs/>
        </w:rPr>
        <w:t xml:space="preserve"> </w:t>
      </w:r>
      <w:r w:rsidR="00E77EA1" w:rsidRPr="00E77EA1">
        <w:rPr>
          <w:rFonts w:ascii="Palatino Linotype" w:hAnsi="Palatino Linotype"/>
        </w:rPr>
        <w:t>“</w:t>
      </w:r>
      <w:r w:rsidRPr="00E77EA1">
        <w:rPr>
          <w:rFonts w:ascii="Palatino Linotype" w:hAnsi="Palatino Linotype"/>
        </w:rPr>
        <w:t>Consistent with prior Commission decisions and Resolutions approving other gas R&amp;D and Development Programs, PG&amp;E shall submit an annual R&amp;D and Development research plan for Commission approval.</w:t>
      </w:r>
      <w:r w:rsidR="00E77EA1" w:rsidRPr="00E77EA1">
        <w:rPr>
          <w:rFonts w:ascii="Palatino Linotype" w:hAnsi="Palatino Linotype"/>
        </w:rPr>
        <w:t>”</w:t>
      </w:r>
    </w:p>
  </w:footnote>
  <w:footnote w:id="90">
    <w:p w14:paraId="74F39142" w14:textId="030C770B" w:rsidR="00816E01" w:rsidRPr="00A437CA" w:rsidRDefault="00816E01">
      <w:pPr>
        <w:pStyle w:val="FootnoteText"/>
        <w:rPr>
          <w:color w:val="000000" w:themeColor="text1"/>
        </w:rPr>
      </w:pPr>
      <w:r w:rsidRPr="00A437CA">
        <w:rPr>
          <w:rStyle w:val="FootnoteReference"/>
          <w:color w:val="000000" w:themeColor="text1"/>
        </w:rPr>
        <w:footnoteRef/>
      </w:r>
      <w:r w:rsidRPr="00A437CA">
        <w:rPr>
          <w:color w:val="000000" w:themeColor="text1"/>
        </w:rPr>
        <w:t xml:space="preserve"> </w:t>
      </w:r>
      <w:hyperlink r:id="rId42">
        <w:r w:rsidR="002D374C" w:rsidRPr="00A437CA">
          <w:rPr>
            <w:rStyle w:val="Hyperlink"/>
            <w:rFonts w:ascii="Palatino Linotype" w:hAnsi="Palatino Linotype"/>
            <w:szCs w:val="16"/>
          </w:rPr>
          <w:t>Resolution G-3601</w:t>
        </w:r>
      </w:hyperlink>
      <w:r w:rsidR="002D374C" w:rsidRPr="00A437CA">
        <w:rPr>
          <w:rFonts w:ascii="Palatino Linotype" w:hAnsi="Palatino Linotype"/>
          <w:color w:val="000000" w:themeColor="text1"/>
        </w:rPr>
        <w:t xml:space="preserve"> (2023) </w:t>
      </w:r>
      <w:r w:rsidR="005B4FAF" w:rsidRPr="00A437CA">
        <w:rPr>
          <w:rFonts w:ascii="Palatino Linotype" w:hAnsi="Palatino Linotype"/>
          <w:color w:val="000000" w:themeColor="text1"/>
        </w:rPr>
        <w:t xml:space="preserve">at OP </w:t>
      </w:r>
      <w:r w:rsidR="00A437CA" w:rsidRPr="00A437CA">
        <w:rPr>
          <w:rFonts w:ascii="Palatino Linotype" w:hAnsi="Palatino Linotype"/>
          <w:color w:val="000000" w:themeColor="text1"/>
        </w:rPr>
        <w:t>5. “</w:t>
      </w:r>
      <w:r w:rsidR="00AF10B0" w:rsidRPr="00A437CA">
        <w:rPr>
          <w:rFonts w:ascii="Palatino Linotype" w:hAnsi="Palatino Linotype"/>
          <w:color w:val="000000" w:themeColor="text1"/>
        </w:rPr>
        <w:t>The only exception made is for projects affiliated with out-of-state federal labs, in which case Administrators shall explicitly justify benefits to California ratepayers.”</w:t>
      </w:r>
    </w:p>
  </w:footnote>
  <w:footnote w:id="91">
    <w:p w14:paraId="2D3E49B0" w14:textId="0850857F" w:rsidR="00A038B4" w:rsidRPr="00230B46" w:rsidRDefault="00A038B4" w:rsidP="00230B46">
      <w:pPr>
        <w:spacing w:after="0" w:line="240" w:lineRule="auto"/>
        <w:rPr>
          <w:rFonts w:ascii="Palatino Linotype" w:hAnsi="Palatino Linotype"/>
          <w:sz w:val="20"/>
          <w:szCs w:val="20"/>
        </w:rPr>
      </w:pPr>
      <w:r w:rsidRPr="00230B46">
        <w:rPr>
          <w:rStyle w:val="FootnoteReference"/>
          <w:rFonts w:ascii="Palatino Linotype" w:hAnsi="Palatino Linotype"/>
          <w:sz w:val="20"/>
          <w:szCs w:val="20"/>
        </w:rPr>
        <w:footnoteRef/>
      </w:r>
      <w:r w:rsidRPr="00230B46">
        <w:rPr>
          <w:rFonts w:ascii="Palatino Linotype" w:hAnsi="Palatino Linotype"/>
          <w:sz w:val="20"/>
          <w:szCs w:val="20"/>
        </w:rPr>
        <w:t xml:space="preserve"> </w:t>
      </w:r>
      <w:hyperlink r:id="rId43" w:history="1">
        <w:r w:rsidR="00230B46" w:rsidRPr="00230B46">
          <w:rPr>
            <w:rFonts w:ascii="Palatino Linotype" w:hAnsi="Palatino Linotype"/>
            <w:color w:val="467886" w:themeColor="hyperlink"/>
            <w:sz w:val="20"/>
            <w:szCs w:val="20"/>
            <w:u w:val="single"/>
          </w:rPr>
          <w:t>D.23-04-042</w:t>
        </w:r>
      </w:hyperlink>
      <w:r w:rsidR="00230B46" w:rsidRPr="00230B46">
        <w:rPr>
          <w:rFonts w:ascii="Palatino Linotype" w:hAnsi="Palatino Linotype"/>
          <w:sz w:val="20"/>
          <w:szCs w:val="20"/>
        </w:rPr>
        <w:t xml:space="preserve"> at Appendix A. </w:t>
      </w:r>
      <w:r w:rsidRPr="00230B46">
        <w:rPr>
          <w:rFonts w:ascii="Palatino Linotype" w:hAnsi="Palatino Linotype"/>
          <w:sz w:val="20"/>
          <w:szCs w:val="20"/>
        </w:rPr>
        <w:t xml:space="preserve">Consistent with </w:t>
      </w:r>
      <w:hyperlink r:id="rId44">
        <w:r w:rsidRPr="00230B46">
          <w:rPr>
            <w:rFonts w:ascii="Palatino Linotype" w:eastAsia="Century Gothic" w:hAnsi="Palatino Linotype" w:cs="Century Gothic"/>
            <w:color w:val="467886" w:themeColor="hyperlink"/>
            <w:sz w:val="20"/>
            <w:szCs w:val="20"/>
            <w:u w:val="single"/>
          </w:rPr>
          <w:t>Resolution G-3603</w:t>
        </w:r>
      </w:hyperlink>
      <w:r w:rsidR="00E13718" w:rsidRPr="00230B46">
        <w:rPr>
          <w:rFonts w:ascii="Palatino Linotype" w:hAnsi="Palatino Linotype"/>
          <w:sz w:val="20"/>
          <w:szCs w:val="20"/>
        </w:rPr>
        <w:t xml:space="preserve"> (</w:t>
      </w:r>
      <w:r w:rsidR="00BF3E04" w:rsidRPr="00230B46">
        <w:rPr>
          <w:rFonts w:ascii="Palatino Linotype" w:hAnsi="Palatino Linotype"/>
          <w:sz w:val="20"/>
          <w:szCs w:val="20"/>
        </w:rPr>
        <w:t xml:space="preserve">2024): Approving the CEC </w:t>
      </w:r>
      <w:r w:rsidR="009A7055">
        <w:rPr>
          <w:rFonts w:ascii="Palatino Linotype" w:hAnsi="Palatino Linotype"/>
          <w:sz w:val="20"/>
          <w:szCs w:val="20"/>
        </w:rPr>
        <w:br/>
      </w:r>
      <w:r w:rsidR="00BF3E04" w:rsidRPr="00230B46">
        <w:rPr>
          <w:rFonts w:ascii="Palatino Linotype" w:hAnsi="Palatino Linotype"/>
          <w:sz w:val="20"/>
          <w:szCs w:val="20"/>
        </w:rPr>
        <w:t>FY 2023-2024 Gas RD&amp;D Plan</w:t>
      </w:r>
      <w:r w:rsidR="00E13718" w:rsidRPr="00230B46">
        <w:rPr>
          <w:rFonts w:ascii="Palatino Linotype" w:hAnsi="Palatino Linotype"/>
          <w:sz w:val="20"/>
          <w:szCs w:val="20"/>
        </w:rPr>
        <w:t xml:space="preserve"> at</w:t>
      </w:r>
      <w:r w:rsidR="00E13718" w:rsidRPr="00230B46">
        <w:rPr>
          <w:rFonts w:ascii="Palatino Linotype" w:eastAsia="Century Gothic" w:hAnsi="Palatino Linotype" w:cs="Century Gothic"/>
          <w:sz w:val="20"/>
          <w:szCs w:val="20"/>
        </w:rPr>
        <w:t xml:space="preserve"> OP 6. </w:t>
      </w:r>
    </w:p>
  </w:footnote>
  <w:footnote w:id="92">
    <w:p w14:paraId="2B98D7BE" w14:textId="4222C6EB" w:rsidR="003835F1" w:rsidRDefault="003835F1" w:rsidP="00BF3E04">
      <w:pPr>
        <w:spacing w:after="0" w:line="240" w:lineRule="auto"/>
      </w:pPr>
      <w:r w:rsidRPr="00BF3E04">
        <w:rPr>
          <w:rStyle w:val="FootnoteReference"/>
          <w:rFonts w:ascii="Palatino Linotype" w:hAnsi="Palatino Linotype"/>
          <w:sz w:val="20"/>
          <w:szCs w:val="20"/>
        </w:rPr>
        <w:footnoteRef/>
      </w:r>
      <w:r w:rsidRPr="00BF3E04">
        <w:rPr>
          <w:rStyle w:val="FootnoteReference"/>
          <w:rFonts w:ascii="Palatino Linotype" w:hAnsi="Palatino Linotype"/>
          <w:sz w:val="20"/>
          <w:szCs w:val="20"/>
        </w:rPr>
        <w:t xml:space="preserve"> </w:t>
      </w:r>
      <w:hyperlink r:id="rId45">
        <w:r w:rsidRPr="00A437CA">
          <w:rPr>
            <w:rStyle w:val="Hyperlink"/>
            <w:rFonts w:ascii="Palatino Linotype" w:hAnsi="Palatino Linotype"/>
            <w:sz w:val="20"/>
            <w:szCs w:val="16"/>
          </w:rPr>
          <w:t>Environmental &amp; Social Justice (ESJ) Action Plan Version 2.0</w:t>
        </w:r>
      </w:hyperlink>
      <w:r w:rsidRPr="00294B9E">
        <w:rPr>
          <w:rFonts w:ascii="Palatino Linotype" w:hAnsi="Palatino Linotype"/>
          <w:color w:val="000000" w:themeColor="text1"/>
          <w:sz w:val="20"/>
          <w:szCs w:val="20"/>
        </w:rPr>
        <w:t xml:space="preserve"> (2022).</w:t>
      </w:r>
    </w:p>
  </w:footnote>
  <w:footnote w:id="93">
    <w:p w14:paraId="31D15B50" w14:textId="2BF689AB" w:rsidR="00A36AA3" w:rsidRPr="00461BD5" w:rsidRDefault="00A36AA3" w:rsidP="00461BD5">
      <w:pPr>
        <w:spacing w:after="0" w:line="240" w:lineRule="auto"/>
        <w:rPr>
          <w:rFonts w:ascii="Palatino Linotype" w:hAnsi="Palatino Linotype"/>
          <w:b/>
          <w:bCs/>
          <w:sz w:val="20"/>
          <w:szCs w:val="20"/>
        </w:rPr>
      </w:pPr>
      <w:r w:rsidRPr="000C66E1">
        <w:rPr>
          <w:rStyle w:val="FootnoteReference"/>
          <w:sz w:val="20"/>
          <w:szCs w:val="20"/>
        </w:rPr>
        <w:footnoteRef/>
      </w:r>
      <w:r w:rsidRPr="000C66E1">
        <w:rPr>
          <w:rStyle w:val="FootnoteReference"/>
          <w:sz w:val="20"/>
          <w:szCs w:val="20"/>
        </w:rPr>
        <w:t xml:space="preserve"> </w:t>
      </w:r>
      <w:hyperlink r:id="rId46" w:history="1">
        <w:r w:rsidR="008903A9" w:rsidRPr="00143A31">
          <w:rPr>
            <w:rStyle w:val="Hyperlink"/>
            <w:rFonts w:ascii="Palatino Linotype" w:hAnsi="Palatino Linotype"/>
            <w:sz w:val="20"/>
            <w:szCs w:val="20"/>
          </w:rPr>
          <w:t>D.23-11-069</w:t>
        </w:r>
      </w:hyperlink>
      <w:r w:rsidR="008903A9" w:rsidRPr="00143A31">
        <w:rPr>
          <w:rFonts w:ascii="Palatino Linotype" w:hAnsi="Palatino Linotype"/>
          <w:sz w:val="20"/>
          <w:szCs w:val="20"/>
        </w:rPr>
        <w:t xml:space="preserve"> at p. 220. </w:t>
      </w:r>
      <w:r w:rsidR="00143A31" w:rsidRPr="00143A31">
        <w:rPr>
          <w:rFonts w:ascii="Palatino Linotype" w:hAnsi="Palatino Linotype"/>
          <w:sz w:val="20"/>
          <w:szCs w:val="20"/>
        </w:rPr>
        <w:t>See</w:t>
      </w:r>
      <w:r w:rsidR="00AA3412">
        <w:rPr>
          <w:rFonts w:ascii="Palatino Linotype" w:hAnsi="Palatino Linotype"/>
          <w:sz w:val="20"/>
          <w:szCs w:val="20"/>
        </w:rPr>
        <w:t xml:space="preserve"> Resolution G-3618 at </w:t>
      </w:r>
      <w:r w:rsidR="00143A31" w:rsidRPr="00143A31">
        <w:rPr>
          <w:rFonts w:ascii="Palatino Linotype" w:hAnsi="Palatino Linotype"/>
          <w:sz w:val="20"/>
          <w:szCs w:val="20"/>
        </w:rPr>
        <w:t xml:space="preserve">Appendix </w:t>
      </w:r>
      <w:r w:rsidR="009D7122">
        <w:rPr>
          <w:rFonts w:ascii="Palatino Linotype" w:hAnsi="Palatino Linotype"/>
          <w:sz w:val="20"/>
          <w:szCs w:val="20"/>
        </w:rPr>
        <w:t>D</w:t>
      </w:r>
      <w:r w:rsidR="00143A31" w:rsidRPr="00143A31">
        <w:rPr>
          <w:rFonts w:ascii="Palatino Linotype" w:hAnsi="Palatino Linotype"/>
          <w:sz w:val="20"/>
          <w:szCs w:val="20"/>
        </w:rPr>
        <w:t xml:space="preserve">: Commission Guidance on Gas RD&amp;D Initiative Criteria at </w:t>
      </w:r>
      <w:r w:rsidR="00295D60">
        <w:rPr>
          <w:rFonts w:ascii="Palatino Linotype" w:hAnsi="Palatino Linotype"/>
          <w:sz w:val="20"/>
          <w:szCs w:val="20"/>
        </w:rPr>
        <w:t>2</w:t>
      </w:r>
      <w:r w:rsidR="00143A31" w:rsidRPr="00143A31">
        <w:rPr>
          <w:rFonts w:ascii="Palatino Linotype" w:hAnsi="Palatino Linotype"/>
          <w:sz w:val="20"/>
          <w:szCs w:val="20"/>
        </w:rPr>
        <w:t>.</w:t>
      </w:r>
      <w:r w:rsidR="00143A31" w:rsidRPr="00143A31">
        <w:rPr>
          <w:rFonts w:ascii="Palatino Linotype" w:hAnsi="Palatino Linotype"/>
          <w:b/>
          <w:bCs/>
          <w:sz w:val="20"/>
          <w:szCs w:val="20"/>
        </w:rPr>
        <w:t xml:space="preserve"> </w:t>
      </w:r>
    </w:p>
  </w:footnote>
  <w:footnote w:id="94">
    <w:p w14:paraId="70C70E5A" w14:textId="3B4E588E" w:rsidR="00333970" w:rsidRPr="0064129A" w:rsidRDefault="00333970" w:rsidP="007E5FBF">
      <w:pPr>
        <w:pStyle w:val="FootnoteText"/>
        <w:rPr>
          <w:rFonts w:ascii="Palatino Linotype" w:hAnsi="Palatino Linotype"/>
        </w:rPr>
      </w:pPr>
      <w:r w:rsidRPr="00890AE4">
        <w:rPr>
          <w:rStyle w:val="FootnoteReference"/>
        </w:rPr>
        <w:footnoteRef/>
      </w:r>
      <w:r w:rsidRPr="00890AE4">
        <w:t xml:space="preserve"> </w:t>
      </w:r>
      <w:r w:rsidR="00C53D0B" w:rsidRPr="00143A31">
        <w:rPr>
          <w:rFonts w:ascii="Palatino Linotype" w:hAnsi="Palatino Linotype"/>
        </w:rPr>
        <w:t>See</w:t>
      </w:r>
      <w:r w:rsidR="00AA3412">
        <w:rPr>
          <w:rFonts w:ascii="Palatino Linotype" w:hAnsi="Palatino Linotype"/>
        </w:rPr>
        <w:t xml:space="preserve"> Resolution G-3618 at </w:t>
      </w:r>
      <w:r w:rsidR="00C53D0B" w:rsidRPr="00143A31">
        <w:rPr>
          <w:rFonts w:ascii="Palatino Linotype" w:hAnsi="Palatino Linotype"/>
        </w:rPr>
        <w:t xml:space="preserve">Appendix </w:t>
      </w:r>
      <w:r w:rsidR="009D7122">
        <w:rPr>
          <w:rFonts w:ascii="Palatino Linotype" w:hAnsi="Palatino Linotype"/>
        </w:rPr>
        <w:t>D</w:t>
      </w:r>
      <w:r w:rsidR="00C53D0B" w:rsidRPr="00143A31">
        <w:rPr>
          <w:rFonts w:ascii="Palatino Linotype" w:hAnsi="Palatino Linotype"/>
        </w:rPr>
        <w:t>: Commission Guidance on Gas RD&amp;D Initiative Criteria at</w:t>
      </w:r>
      <w:r w:rsidR="00C53D0B">
        <w:rPr>
          <w:rFonts w:ascii="Palatino Linotype" w:hAnsi="Palatino Linotype"/>
        </w:rPr>
        <w:t xml:space="preserve"> 1. </w:t>
      </w:r>
      <w:r w:rsidRPr="00890AE4">
        <w:rPr>
          <w:rFonts w:ascii="Palatino Linotype" w:hAnsi="Palatino Linotype"/>
        </w:rPr>
        <w:t>Consistent with</w:t>
      </w:r>
      <w:r w:rsidR="00397C16" w:rsidRPr="00890AE4">
        <w:rPr>
          <w:rFonts w:ascii="Palatino Linotype" w:hAnsi="Palatino Linotype"/>
        </w:rPr>
        <w:t xml:space="preserve"> </w:t>
      </w:r>
      <w:hyperlink r:id="rId47" w:tgtFrame="_blank" w:history="1">
        <w:r w:rsidR="0064129A" w:rsidRPr="00890AE4">
          <w:rPr>
            <w:rStyle w:val="Hyperlink"/>
            <w:rFonts w:ascii="Palatino Linotype" w:hAnsi="Palatino Linotype"/>
          </w:rPr>
          <w:t>Resolution G-3603</w:t>
        </w:r>
      </w:hyperlink>
      <w:r w:rsidR="0064129A" w:rsidRPr="00890AE4">
        <w:rPr>
          <w:rFonts w:ascii="Palatino Linotype" w:hAnsi="Palatino Linotype"/>
        </w:rPr>
        <w:t xml:space="preserve"> (2024)</w:t>
      </w:r>
      <w:r w:rsidR="00BF3E04">
        <w:rPr>
          <w:rFonts w:ascii="Palatino Linotype" w:hAnsi="Palatino Linotype"/>
        </w:rPr>
        <w:t xml:space="preserve"> </w:t>
      </w:r>
      <w:r w:rsidRPr="00890AE4">
        <w:rPr>
          <w:rFonts w:ascii="Palatino Linotype" w:hAnsi="Palatino Linotype"/>
        </w:rPr>
        <w:t xml:space="preserve">at OP </w:t>
      </w:r>
      <w:r w:rsidR="00397C16" w:rsidRPr="00890AE4">
        <w:rPr>
          <w:rFonts w:ascii="Palatino Linotype" w:hAnsi="Palatino Linotype"/>
        </w:rPr>
        <w:t>4</w:t>
      </w:r>
      <w:r w:rsidRPr="00890AE4">
        <w:rPr>
          <w:rFonts w:ascii="Palatino Linotype" w:hAnsi="Palatino Linotype"/>
        </w:rPr>
        <w:t>.</w:t>
      </w:r>
    </w:p>
  </w:footnote>
  <w:footnote w:id="95">
    <w:p w14:paraId="0AADC7C4" w14:textId="0F48985F" w:rsidR="007F07BF" w:rsidRPr="008B7933" w:rsidRDefault="007F07BF" w:rsidP="007F07BF">
      <w:pPr>
        <w:pStyle w:val="FootnoteText"/>
        <w:rPr>
          <w:rFonts w:ascii="Century Gothic" w:hAnsi="Century Gothic"/>
        </w:rPr>
      </w:pPr>
      <w:r w:rsidRPr="00576137">
        <w:rPr>
          <w:rStyle w:val="FootnoteReference"/>
        </w:rPr>
        <w:footnoteRef/>
      </w:r>
      <w:r w:rsidRPr="00576137">
        <w:rPr>
          <w:rStyle w:val="FootnoteReference"/>
        </w:rPr>
        <w:t xml:space="preserve"> </w:t>
      </w:r>
      <w:hyperlink r:id="rId48" w:tgtFrame="_blank" w:history="1">
        <w:r w:rsidRPr="0032595A">
          <w:rPr>
            <w:rStyle w:val="Hyperlink"/>
            <w:rFonts w:ascii="Palatino Linotype" w:hAnsi="Palatino Linotype" w:cs="Palatino"/>
          </w:rPr>
          <w:t>D.24-03-007</w:t>
        </w:r>
      </w:hyperlink>
      <w:r w:rsidRPr="0032595A">
        <w:rPr>
          <w:rFonts w:ascii="Palatino Linotype" w:hAnsi="Palatino Linotype"/>
        </w:rPr>
        <w:t xml:space="preserve">: </w:t>
      </w:r>
      <w:r w:rsidR="005C109A" w:rsidRPr="006C1CA6">
        <w:rPr>
          <w:rFonts w:ascii="Palatino Linotype" w:hAnsi="Palatino Linotype" w:cs="Palatino"/>
        </w:rPr>
        <w:t xml:space="preserve">Order Instituting Rulemaking </w:t>
      </w:r>
      <w:r w:rsidR="005C109A">
        <w:rPr>
          <w:rFonts w:ascii="Palatino Linotype" w:hAnsi="Palatino Linotype" w:cs="Palatino"/>
        </w:rPr>
        <w:t>(OIR)</w:t>
      </w:r>
      <w:r w:rsidRPr="0032595A">
        <w:rPr>
          <w:rFonts w:ascii="Palatino Linotype" w:hAnsi="Palatino Linotype"/>
        </w:rPr>
        <w:t xml:space="preserve"> on the Commission’s Own Motion to Consider Renewal of the EPIC Program</w:t>
      </w:r>
      <w:r w:rsidRPr="0032595A">
        <w:rPr>
          <w:rFonts w:ascii="Palatino Linotype" w:hAnsi="Palatino Linotype"/>
          <w:b/>
        </w:rPr>
        <w:t xml:space="preserve"> </w:t>
      </w:r>
      <w:r w:rsidRPr="0032595A">
        <w:rPr>
          <w:rFonts w:ascii="Palatino Linotype" w:hAnsi="Palatino Linotype"/>
        </w:rPr>
        <w:t>at p. 19-20.</w:t>
      </w:r>
    </w:p>
  </w:footnote>
  <w:footnote w:id="96">
    <w:p w14:paraId="359903AA" w14:textId="77777777" w:rsidR="00561ABD" w:rsidRPr="008B7933" w:rsidRDefault="00561ABD" w:rsidP="00561ABD">
      <w:pPr>
        <w:pStyle w:val="paragraph"/>
        <w:spacing w:before="0" w:beforeAutospacing="0" w:after="0" w:afterAutospacing="0"/>
        <w:textAlignment w:val="baseline"/>
        <w:rPr>
          <w:rFonts w:ascii="Century Gothic" w:hAnsi="Century Gothic"/>
          <w:bCs/>
          <w:i/>
          <w:iCs/>
          <w:sz w:val="20"/>
          <w:szCs w:val="20"/>
        </w:rPr>
      </w:pPr>
      <w:r w:rsidRPr="006D02C1">
        <w:rPr>
          <w:rStyle w:val="FootnoteReference"/>
          <w:rFonts w:asciiTheme="minorHAnsi" w:eastAsiaTheme="minorHAnsi" w:hAnsiTheme="minorHAnsi" w:cstheme="minorBidi"/>
          <w:kern w:val="2"/>
          <w:sz w:val="20"/>
          <w:szCs w:val="20"/>
          <w14:ligatures w14:val="standardContextual"/>
        </w:rPr>
        <w:footnoteRef/>
      </w:r>
      <w:r w:rsidRPr="006D02C1">
        <w:rPr>
          <w:rStyle w:val="FootnoteReference"/>
          <w:rFonts w:asciiTheme="minorHAnsi" w:eastAsiaTheme="minorHAnsi" w:hAnsiTheme="minorHAnsi" w:cstheme="minorBidi"/>
          <w:kern w:val="2"/>
          <w14:ligatures w14:val="standardContextual"/>
        </w:rPr>
        <w:t xml:space="preserve"> </w:t>
      </w:r>
      <w:hyperlink r:id="rId49" w:history="1">
        <w:r w:rsidRPr="006D02C1">
          <w:rPr>
            <w:rStyle w:val="Hyperlink"/>
            <w:rFonts w:ascii="Palatino Linotype" w:eastAsiaTheme="majorEastAsia" w:hAnsi="Palatino Linotype"/>
            <w:sz w:val="20"/>
            <w:szCs w:val="20"/>
          </w:rPr>
          <w:t>D.24-09-012</w:t>
        </w:r>
      </w:hyperlink>
      <w:r w:rsidRPr="00576137">
        <w:rPr>
          <w:rFonts w:ascii="Palatino Linotype" w:hAnsi="Palatino Linotype"/>
          <w:sz w:val="20"/>
          <w:szCs w:val="20"/>
        </w:rPr>
        <w:t xml:space="preserve">: </w:t>
      </w:r>
      <w:r w:rsidRPr="00576137">
        <w:rPr>
          <w:rFonts w:ascii="Palatino Linotype" w:hAnsi="Palatino Linotype"/>
          <w:bCs/>
          <w:sz w:val="20"/>
          <w:szCs w:val="20"/>
        </w:rPr>
        <w:t>OIR to Establish Policies, Processes, and Rules to Ensure Safe and Reliable Gas Systems in California and Perform Long-Term Gas System Planning at p. 6.</w:t>
      </w:r>
    </w:p>
  </w:footnote>
  <w:footnote w:id="97">
    <w:p w14:paraId="3F6DE51C" w14:textId="0C1A02BA" w:rsidR="009C3E60" w:rsidRPr="00AD402D" w:rsidRDefault="003E2944" w:rsidP="009C3E60">
      <w:pPr>
        <w:pStyle w:val="FootnoteText"/>
      </w:pPr>
      <w:r>
        <w:rPr>
          <w:rStyle w:val="FootnoteReference"/>
        </w:rPr>
        <w:footnoteRef/>
      </w:r>
      <w:r>
        <w:t xml:space="preserve"> </w:t>
      </w:r>
      <w:hyperlink r:id="rId50" w:history="1">
        <w:r w:rsidRPr="00143A31">
          <w:rPr>
            <w:rStyle w:val="Hyperlink"/>
            <w:rFonts w:ascii="Palatino Linotype" w:hAnsi="Palatino Linotype"/>
          </w:rPr>
          <w:t>D.23-11-069</w:t>
        </w:r>
      </w:hyperlink>
      <w:r w:rsidRPr="00143A31">
        <w:rPr>
          <w:rFonts w:ascii="Palatino Linotype" w:hAnsi="Palatino Linotype"/>
        </w:rPr>
        <w:t xml:space="preserve"> at p. 220.</w:t>
      </w:r>
      <w:r w:rsidR="009C3E60">
        <w:rPr>
          <w:rFonts w:ascii="Palatino Linotype" w:hAnsi="Palatino Linotype"/>
        </w:rPr>
        <w:t xml:space="preserve"> Consistent with </w:t>
      </w:r>
      <w:hyperlink r:id="rId51" w:history="1">
        <w:r w:rsidR="009C3E60" w:rsidRPr="009C3E60">
          <w:rPr>
            <w:rStyle w:val="Hyperlink"/>
            <w:rFonts w:ascii="Palatino Linotype" w:eastAsia="Century Gothic" w:hAnsi="Palatino Linotype" w:cs="Century Gothic"/>
          </w:rPr>
          <w:t>D.19-09-051</w:t>
        </w:r>
      </w:hyperlink>
      <w:r w:rsidR="00707924">
        <w:t xml:space="preserve">: </w:t>
      </w:r>
      <w:r w:rsidR="00DD0FC0">
        <w:rPr>
          <w:rFonts w:ascii="Palatino Linotype" w:hAnsi="Palatino Linotype"/>
          <w:color w:val="000000" w:themeColor="text1"/>
        </w:rPr>
        <w:t xml:space="preserve">SoCalGas </w:t>
      </w:r>
      <w:r w:rsidR="00707924">
        <w:rPr>
          <w:rFonts w:ascii="Palatino Linotype" w:hAnsi="Palatino Linotype"/>
          <w:color w:val="000000" w:themeColor="text1"/>
        </w:rPr>
        <w:t>2019 GRC Decision</w:t>
      </w:r>
      <w:r w:rsidR="009C3E60" w:rsidRPr="009C3E60">
        <w:rPr>
          <w:rFonts w:ascii="Palatino Linotype" w:hAnsi="Palatino Linotype"/>
        </w:rPr>
        <w:t xml:space="preserve"> at </w:t>
      </w:r>
      <w:r w:rsidR="009C3E60">
        <w:rPr>
          <w:rFonts w:ascii="Palatino Linotype" w:hAnsi="Palatino Linotype"/>
        </w:rPr>
        <w:t>OP 30.</w:t>
      </w:r>
    </w:p>
  </w:footnote>
  <w:footnote w:id="98">
    <w:p w14:paraId="7BC7660C" w14:textId="3F442B7E" w:rsidR="00BB313F" w:rsidRPr="00BB313F" w:rsidRDefault="00BB313F">
      <w:pPr>
        <w:pStyle w:val="FootnoteText"/>
        <w:rPr>
          <w:rFonts w:ascii="Palatino Linotype" w:hAnsi="Palatino Linotype"/>
          <w:sz w:val="22"/>
          <w:szCs w:val="22"/>
        </w:rPr>
      </w:pPr>
      <w:r>
        <w:rPr>
          <w:rStyle w:val="FootnoteReference"/>
        </w:rPr>
        <w:footnoteRef/>
      </w:r>
      <w:r>
        <w:t xml:space="preserve"> </w:t>
      </w:r>
      <w:r w:rsidRPr="00492ADC">
        <w:rPr>
          <w:rFonts w:ascii="Palatino Linotype" w:hAnsi="Palatino Linotype"/>
        </w:rPr>
        <w:t xml:space="preserve">Consistent with </w:t>
      </w:r>
      <w:hyperlink r:id="rId52" w:history="1">
        <w:r w:rsidRPr="00492ADC">
          <w:rPr>
            <w:rStyle w:val="Hyperlink"/>
            <w:rFonts w:ascii="Palatino Linotype" w:hAnsi="Palatino Linotype"/>
          </w:rPr>
          <w:t>Resolution G-3571</w:t>
        </w:r>
      </w:hyperlink>
      <w:r w:rsidRPr="00492ADC">
        <w:rPr>
          <w:rFonts w:ascii="Palatino Linotype" w:hAnsi="Palatino Linotype"/>
        </w:rPr>
        <w:t xml:space="preserve"> (2020) at OP 5</w:t>
      </w:r>
      <w:r w:rsidR="00492ADC" w:rsidRPr="00492ADC">
        <w:rPr>
          <w:rFonts w:ascii="Palatino Linotype" w:hAnsi="Palatino Linotype"/>
        </w:rPr>
        <w:t>a.</w:t>
      </w:r>
    </w:p>
  </w:footnote>
  <w:footnote w:id="99">
    <w:p w14:paraId="772757E5" w14:textId="2A78DBE5" w:rsidR="00CA177B" w:rsidRPr="00103BB8" w:rsidRDefault="00CA177B" w:rsidP="004C2281">
      <w:pPr>
        <w:pStyle w:val="FootnoteText"/>
        <w:rPr>
          <w:rFonts w:ascii="Palatino Linotype" w:hAnsi="Palatino Linotype"/>
        </w:rPr>
      </w:pPr>
      <w:r>
        <w:rPr>
          <w:rStyle w:val="FootnoteReference"/>
        </w:rPr>
        <w:footnoteRef/>
      </w:r>
      <w:r>
        <w:t xml:space="preserve"> </w:t>
      </w:r>
      <w:hyperlink r:id="rId53" w:history="1">
        <w:r w:rsidR="00BE4E7B" w:rsidRPr="00143A31">
          <w:rPr>
            <w:rStyle w:val="Hyperlink"/>
            <w:rFonts w:ascii="Palatino Linotype" w:hAnsi="Palatino Linotype"/>
          </w:rPr>
          <w:t>D.23-11-069</w:t>
        </w:r>
      </w:hyperlink>
      <w:r w:rsidR="00BE4E7B" w:rsidRPr="00143A31">
        <w:rPr>
          <w:rFonts w:ascii="Palatino Linotype" w:hAnsi="Palatino Linotype"/>
        </w:rPr>
        <w:t xml:space="preserve"> at p. 2</w:t>
      </w:r>
      <w:r w:rsidR="00BE4E7B">
        <w:rPr>
          <w:rFonts w:ascii="Palatino Linotype" w:hAnsi="Palatino Linotype"/>
        </w:rPr>
        <w:t xml:space="preserve">20-221. </w:t>
      </w:r>
      <w:r w:rsidR="00BE4E7B" w:rsidRPr="00143A31">
        <w:rPr>
          <w:rFonts w:ascii="Palatino Linotype" w:hAnsi="Palatino Linotype"/>
        </w:rPr>
        <w:t>See</w:t>
      </w:r>
      <w:r w:rsidR="008B3472">
        <w:rPr>
          <w:rFonts w:ascii="Palatino Linotype" w:hAnsi="Palatino Linotype"/>
        </w:rPr>
        <w:t xml:space="preserve"> Resolution G-3618 at </w:t>
      </w:r>
      <w:r w:rsidR="00BE4E7B" w:rsidRPr="00143A31">
        <w:rPr>
          <w:rFonts w:ascii="Palatino Linotype" w:hAnsi="Palatino Linotype"/>
        </w:rPr>
        <w:t xml:space="preserve">Appendix </w:t>
      </w:r>
      <w:r w:rsidR="009D7122">
        <w:rPr>
          <w:rFonts w:ascii="Palatino Linotype" w:hAnsi="Palatino Linotype"/>
        </w:rPr>
        <w:t>D</w:t>
      </w:r>
      <w:r w:rsidR="00BE4E7B" w:rsidRPr="00143A31">
        <w:rPr>
          <w:rFonts w:ascii="Palatino Linotype" w:hAnsi="Palatino Linotype"/>
        </w:rPr>
        <w:t xml:space="preserve">: Commission Guidance on Gas RD&amp;D Initiative Criteria at </w:t>
      </w:r>
      <w:r w:rsidR="00A45258">
        <w:rPr>
          <w:rFonts w:ascii="Palatino Linotype" w:hAnsi="Palatino Linotype"/>
        </w:rPr>
        <w:t>4</w:t>
      </w:r>
      <w:r w:rsidR="00BE4E7B" w:rsidRPr="00143A31">
        <w:rPr>
          <w:rFonts w:ascii="Palatino Linotype" w:hAnsi="Palatino Linotype"/>
        </w:rPr>
        <w:t>.</w:t>
      </w:r>
      <w:r w:rsidR="00BE4E7B" w:rsidRPr="00143A31">
        <w:rPr>
          <w:rFonts w:ascii="Palatino Linotype" w:hAnsi="Palatino Linotype"/>
          <w:b/>
          <w:bCs/>
        </w:rPr>
        <w:t xml:space="preserve"> </w:t>
      </w:r>
      <w:r w:rsidR="00103BB8" w:rsidRPr="00103BB8">
        <w:rPr>
          <w:rFonts w:ascii="Palatino Linotype" w:hAnsi="Palatino Linotype"/>
        </w:rPr>
        <w:t xml:space="preserve">Consistent with: </w:t>
      </w:r>
      <w:hyperlink r:id="rId54" w:history="1">
        <w:r w:rsidR="00103BB8" w:rsidRPr="00630A4E">
          <w:rPr>
            <w:rStyle w:val="Hyperlink"/>
            <w:rFonts w:ascii="Palatino Linotype" w:eastAsia="Century Gothic" w:hAnsi="Palatino Linotype" w:cs="Century Gothic"/>
          </w:rPr>
          <w:t>D.19-09-051</w:t>
        </w:r>
      </w:hyperlink>
      <w:r w:rsidR="00103BB8" w:rsidRPr="00630A4E">
        <w:rPr>
          <w:rFonts w:ascii="Palatino Linotype" w:hAnsi="Palatino Linotype"/>
        </w:rPr>
        <w:t xml:space="preserve"> at p. 379.</w:t>
      </w:r>
    </w:p>
  </w:footnote>
  <w:footnote w:id="100">
    <w:p w14:paraId="07502489" w14:textId="127AC09F" w:rsidR="003E00BD" w:rsidRDefault="003E00BD">
      <w:pPr>
        <w:pStyle w:val="FootnoteText"/>
      </w:pPr>
      <w:r>
        <w:rPr>
          <w:rStyle w:val="FootnoteReference"/>
        </w:rPr>
        <w:footnoteRef/>
      </w:r>
      <w:r>
        <w:t xml:space="preserve"> </w:t>
      </w:r>
      <w:hyperlink r:id="rId55" w:history="1">
        <w:r w:rsidRPr="00143A31">
          <w:rPr>
            <w:rStyle w:val="Hyperlink"/>
            <w:rFonts w:ascii="Palatino Linotype" w:hAnsi="Palatino Linotype"/>
          </w:rPr>
          <w:t>D.23-11-069</w:t>
        </w:r>
      </w:hyperlink>
      <w:r w:rsidRPr="00143A31">
        <w:rPr>
          <w:rFonts w:ascii="Palatino Linotype" w:hAnsi="Palatino Linotype"/>
        </w:rPr>
        <w:t xml:space="preserve"> at p. 220</w:t>
      </w:r>
      <w:r w:rsidR="009A4692">
        <w:rPr>
          <w:rFonts w:ascii="Palatino Linotype" w:hAnsi="Palatino Linotype"/>
        </w:rPr>
        <w:t>.</w:t>
      </w:r>
    </w:p>
  </w:footnote>
  <w:footnote w:id="101">
    <w:p w14:paraId="0D21772B" w14:textId="5AA77872" w:rsidR="006D4B7F" w:rsidRDefault="006D4B7F" w:rsidP="006D4B7F">
      <w:pPr>
        <w:pStyle w:val="FootnoteText"/>
      </w:pPr>
      <w:r>
        <w:rPr>
          <w:rStyle w:val="FootnoteReference"/>
        </w:rPr>
        <w:footnoteRef/>
      </w:r>
      <w:r>
        <w:t xml:space="preserve"> </w:t>
      </w:r>
      <w:hyperlink r:id="rId56" w:history="1">
        <w:r w:rsidRPr="00FB6840">
          <w:rPr>
            <w:rStyle w:val="Hyperlink"/>
            <w:rFonts w:ascii="Palatino Linotype" w:hAnsi="Palatino Linotype"/>
            <w:szCs w:val="16"/>
          </w:rPr>
          <w:t>D.23-11-069</w:t>
        </w:r>
      </w:hyperlink>
      <w:r>
        <w:rPr>
          <w:rFonts w:ascii="Palatino Linotype" w:hAnsi="Palatino Linotype"/>
          <w:szCs w:val="16"/>
        </w:rPr>
        <w:t xml:space="preserve"> at p. 218.</w:t>
      </w:r>
    </w:p>
  </w:footnote>
  <w:footnote w:id="102">
    <w:p w14:paraId="3812F022" w14:textId="55447888" w:rsidR="00CD256A" w:rsidRDefault="00CD256A">
      <w:pPr>
        <w:pStyle w:val="FootnoteText"/>
      </w:pPr>
      <w:r>
        <w:rPr>
          <w:rStyle w:val="FootnoteReference"/>
        </w:rPr>
        <w:footnoteRef/>
      </w:r>
      <w:r>
        <w:t xml:space="preserve"> </w:t>
      </w:r>
      <w:r w:rsidRPr="006856A6">
        <w:rPr>
          <w:rFonts w:ascii="Palatino Linotype" w:hAnsi="Palatino Linotype"/>
        </w:rPr>
        <w:t xml:space="preserve">Consistent with </w:t>
      </w:r>
      <w:hyperlink r:id="rId57" w:history="1">
        <w:r w:rsidRPr="006856A6">
          <w:rPr>
            <w:rStyle w:val="Hyperlink"/>
            <w:rFonts w:ascii="Palatino Linotype" w:hAnsi="Palatino Linotype"/>
          </w:rPr>
          <w:t>Resolution G-3571</w:t>
        </w:r>
      </w:hyperlink>
      <w:r w:rsidRPr="006856A6">
        <w:rPr>
          <w:rFonts w:ascii="Palatino Linotype" w:hAnsi="Palatino Linotype"/>
        </w:rPr>
        <w:t xml:space="preserve"> (2020) at OP </w:t>
      </w:r>
      <w:r w:rsidR="006856A6" w:rsidRPr="006856A6">
        <w:rPr>
          <w:rFonts w:ascii="Palatino Linotype" w:hAnsi="Palatino Linotype"/>
        </w:rPr>
        <w:t>5</w:t>
      </w:r>
      <w:r w:rsidR="00FB27CE">
        <w:rPr>
          <w:rFonts w:ascii="Palatino Linotype" w:hAnsi="Palatino Linotype"/>
        </w:rPr>
        <w:t>c &amp; 5d</w:t>
      </w:r>
      <w:r w:rsidR="006856A6" w:rsidRPr="006856A6">
        <w:rPr>
          <w:rFonts w:ascii="Palatino Linotype" w:hAnsi="Palatino Linotype"/>
        </w:rPr>
        <w:t>.</w:t>
      </w:r>
    </w:p>
  </w:footnote>
  <w:footnote w:id="103">
    <w:p w14:paraId="1395CD90" w14:textId="77777777" w:rsidR="006953E5" w:rsidRDefault="006953E5">
      <w:pPr>
        <w:pStyle w:val="FootnoteText"/>
      </w:pPr>
      <w:r>
        <w:rPr>
          <w:rStyle w:val="FootnoteReference"/>
        </w:rPr>
        <w:footnoteRef/>
      </w:r>
      <w:r>
        <w:t xml:space="preserve"> </w:t>
      </w:r>
      <w:hyperlink r:id="rId58" w:anchor="page=17" w:history="1">
        <w:r w:rsidRPr="003029E7">
          <w:rPr>
            <w:rStyle w:val="Hyperlink"/>
            <w:rFonts w:ascii="Palatino Linotype" w:hAnsi="Palatino Linotype"/>
          </w:rPr>
          <w:t>General Order 96-B</w:t>
        </w:r>
      </w:hyperlink>
      <w:r>
        <w:rPr>
          <w:rFonts w:ascii="Palatino Linotype" w:hAnsi="Palatino Linotype"/>
        </w:rPr>
        <w:t xml:space="preserve"> Rule 7.3.5 at PDF p. 19.</w:t>
      </w:r>
    </w:p>
  </w:footnote>
  <w:footnote w:id="104">
    <w:p w14:paraId="1A80A09D" w14:textId="77777777" w:rsidR="00BE6330" w:rsidRDefault="00BE6330" w:rsidP="00BE6330">
      <w:pPr>
        <w:pStyle w:val="FootnoteText"/>
      </w:pPr>
      <w:r>
        <w:rPr>
          <w:rStyle w:val="FootnoteReference"/>
        </w:rPr>
        <w:footnoteRef/>
      </w:r>
      <w:r>
        <w:t xml:space="preserve"> </w:t>
      </w:r>
      <w:hyperlink r:id="rId59" w:history="1">
        <w:r w:rsidRPr="00FB6840">
          <w:rPr>
            <w:rStyle w:val="Hyperlink"/>
            <w:rFonts w:ascii="Palatino Linotype" w:hAnsi="Palatino Linotype"/>
            <w:szCs w:val="16"/>
          </w:rPr>
          <w:t>D.23-11-069</w:t>
        </w:r>
      </w:hyperlink>
      <w:r w:rsidRPr="00FB6840">
        <w:rPr>
          <w:rFonts w:ascii="Palatino Linotype" w:hAnsi="Palatino Linotype"/>
          <w:szCs w:val="16"/>
        </w:rPr>
        <w:t xml:space="preserve"> </w:t>
      </w:r>
      <w:r>
        <w:rPr>
          <w:rFonts w:ascii="Palatino Linotype" w:hAnsi="Palatino Linotype"/>
          <w:szCs w:val="16"/>
        </w:rPr>
        <w:t xml:space="preserve">at p. 217-218. </w:t>
      </w:r>
    </w:p>
  </w:footnote>
  <w:footnote w:id="105">
    <w:p w14:paraId="0F16B08F" w14:textId="47F6034E" w:rsidR="008A1E43" w:rsidRDefault="008A1E43">
      <w:pPr>
        <w:pStyle w:val="FootnoteText"/>
      </w:pPr>
      <w:r>
        <w:rPr>
          <w:rStyle w:val="FootnoteReference"/>
        </w:rPr>
        <w:footnoteRef/>
      </w:r>
      <w:r>
        <w:t xml:space="preserve"> </w:t>
      </w:r>
      <w:hyperlink r:id="rId60" w:history="1">
        <w:r w:rsidRPr="00FB6840">
          <w:rPr>
            <w:rStyle w:val="Hyperlink"/>
            <w:rFonts w:ascii="Palatino Linotype" w:hAnsi="Palatino Linotype"/>
            <w:szCs w:val="16"/>
          </w:rPr>
          <w:t>D.23-11-069</w:t>
        </w:r>
      </w:hyperlink>
      <w:r>
        <w:rPr>
          <w:rFonts w:ascii="Palatino Linotype" w:hAnsi="Palatino Linotype"/>
          <w:szCs w:val="16"/>
        </w:rPr>
        <w:t xml:space="preserve"> at p. 2</w:t>
      </w:r>
      <w:r w:rsidR="0025291C">
        <w:rPr>
          <w:rFonts w:ascii="Palatino Linotype" w:hAnsi="Palatino Linotype"/>
          <w:szCs w:val="16"/>
        </w:rPr>
        <w:t>20.</w:t>
      </w:r>
    </w:p>
  </w:footnote>
  <w:footnote w:id="106">
    <w:p w14:paraId="6DABD377" w14:textId="1C4B8CB0" w:rsidR="008D05B6" w:rsidRDefault="008D05B6">
      <w:pPr>
        <w:pStyle w:val="FootnoteText"/>
      </w:pPr>
      <w:r>
        <w:rPr>
          <w:rStyle w:val="FootnoteReference"/>
        </w:rPr>
        <w:footnoteRef/>
      </w:r>
      <w:r>
        <w:t xml:space="preserve"> </w:t>
      </w:r>
      <w:r w:rsidRPr="003262FD">
        <w:rPr>
          <w:rFonts w:ascii="Palatino Linotype" w:hAnsi="Palatino Linotype"/>
        </w:rPr>
        <w:t xml:space="preserve">Funds which PG&amp;E has </w:t>
      </w:r>
      <w:r w:rsidR="00985C08" w:rsidRPr="003262FD">
        <w:rPr>
          <w:rFonts w:ascii="Palatino Linotype" w:hAnsi="Palatino Linotype"/>
        </w:rPr>
        <w:t>committed</w:t>
      </w:r>
      <w:r w:rsidR="0074021A">
        <w:rPr>
          <w:rFonts w:ascii="Palatino Linotype" w:hAnsi="Palatino Linotype"/>
        </w:rPr>
        <w:t xml:space="preserve">, </w:t>
      </w:r>
      <w:r w:rsidR="00377305" w:rsidRPr="003262FD">
        <w:rPr>
          <w:rFonts w:ascii="Palatino Linotype" w:hAnsi="Palatino Linotype"/>
        </w:rPr>
        <w:t>contracte</w:t>
      </w:r>
      <w:r w:rsidR="00377305">
        <w:rPr>
          <w:rFonts w:ascii="Palatino Linotype" w:hAnsi="Palatino Linotype"/>
        </w:rPr>
        <w:t>d out</w:t>
      </w:r>
      <w:r w:rsidR="0074021A">
        <w:rPr>
          <w:rFonts w:ascii="Palatino Linotype" w:hAnsi="Palatino Linotype"/>
        </w:rPr>
        <w:t>, or otherwise encumbered</w:t>
      </w:r>
      <w:r w:rsidR="007376C2">
        <w:rPr>
          <w:rFonts w:ascii="Palatino Linotype" w:hAnsi="Palatino Linotype"/>
        </w:rPr>
        <w:t xml:space="preserve"> shall not be returned at the close of the GRC cycle</w:t>
      </w:r>
      <w:r w:rsidR="0074021A">
        <w:rPr>
          <w:rFonts w:ascii="Palatino Linotype" w:hAnsi="Palatino Linotype"/>
        </w:rPr>
        <w:t xml:space="preserve"> to allow for the completion of work in progress.</w:t>
      </w:r>
      <w:r w:rsidR="000D0669">
        <w:rPr>
          <w:rFonts w:ascii="Palatino Linotype" w:hAnsi="Palatino Linotype"/>
        </w:rPr>
        <w:t xml:space="preserve"> If contracts are terminated after the close of the GRC cycle, uncommitted or disencumbered funds shall be returned to ratepayers.</w:t>
      </w:r>
    </w:p>
  </w:footnote>
  <w:footnote w:id="107">
    <w:p w14:paraId="43CC16FF" w14:textId="5A156766" w:rsidR="0097070F" w:rsidRPr="004A4627" w:rsidRDefault="0097070F" w:rsidP="0097070F">
      <w:pPr>
        <w:pStyle w:val="FootnoteText"/>
      </w:pPr>
      <w:r w:rsidRPr="004A4627">
        <w:rPr>
          <w:rStyle w:val="FootnoteReference"/>
        </w:rPr>
        <w:footnoteRef/>
      </w:r>
      <w:r w:rsidR="00645175" w:rsidRPr="004A4627">
        <w:t xml:space="preserve"> </w:t>
      </w:r>
      <w:hyperlink r:id="rId61" w:history="1">
        <w:r w:rsidR="00A83E2A" w:rsidRPr="004A4627">
          <w:rPr>
            <w:rStyle w:val="Hyperlink"/>
            <w:rFonts w:ascii="Palatino Linotype" w:hAnsi="Palatino Linotype"/>
          </w:rPr>
          <w:t>PG&amp;E Gas Preliminary Statement Part GA (AL 4835-G)</w:t>
        </w:r>
      </w:hyperlink>
      <w:r w:rsidR="00912666" w:rsidRPr="004A4627">
        <w:rPr>
          <w:rFonts w:ascii="Palatino Linotype" w:hAnsi="Palatino Linotype"/>
        </w:rPr>
        <w:t xml:space="preserve"> </w:t>
      </w:r>
      <w:r w:rsidR="00645175" w:rsidRPr="004A4627">
        <w:rPr>
          <w:rFonts w:ascii="Palatino Linotype" w:hAnsi="Palatino Linotype"/>
        </w:rPr>
        <w:t xml:space="preserve">at </w:t>
      </w:r>
      <w:r w:rsidR="00556F27" w:rsidRPr="004A4627">
        <w:rPr>
          <w:rFonts w:ascii="Palatino Linotype" w:hAnsi="Palatino Linotype"/>
        </w:rPr>
        <w:t>Section 3</w:t>
      </w:r>
      <w:r w:rsidR="00645175" w:rsidRPr="004A4627">
        <w:rPr>
          <w:rFonts w:ascii="Palatino Linotype" w:hAnsi="Palatino Linotype"/>
        </w:rPr>
        <w:t xml:space="preserve">: </w:t>
      </w:r>
      <w:r w:rsidR="004A4627" w:rsidRPr="004A4627">
        <w:rPr>
          <w:rFonts w:ascii="Palatino Linotype" w:hAnsi="Palatino Linotype"/>
        </w:rPr>
        <w:t>“</w:t>
      </w:r>
      <w:r w:rsidR="00645175" w:rsidRPr="004A4627">
        <w:rPr>
          <w:rFonts w:ascii="Palatino Linotype" w:hAnsi="Palatino Linotype"/>
        </w:rPr>
        <w:t>At the end of the GRC cycle, if the total balance in all three subaccounts (Distribution Subaccount plus Main Transmission Subaccount plus LT Subaccount) in the account is less than the 2023-2026 adopted amounts at the end of the rate case cycle, it will be returned to customers.</w:t>
      </w:r>
      <w:r w:rsidR="004A4627" w:rsidRPr="004A4627">
        <w:rPr>
          <w:rFonts w:ascii="Palatino Linotype" w:hAnsi="Palatino Linotype"/>
        </w:rPr>
        <w:t>”</w:t>
      </w:r>
      <w:r w:rsidR="00645175" w:rsidRPr="004A4627">
        <w:rPr>
          <w:rFonts w:ascii="Palatino Linotype" w:hAnsi="Palatino Linotype"/>
        </w:rPr>
        <w:t xml:space="preserve"> </w:t>
      </w:r>
      <w:r w:rsidR="00645175" w:rsidRPr="004A4627">
        <w:rPr>
          <w:rFonts w:ascii="Palatino Linotype" w:hAnsi="Palatino Linotype"/>
          <w:color w:val="000000" w:themeColor="text1"/>
        </w:rPr>
        <w:t xml:space="preserve">Consistent with: </w:t>
      </w:r>
    </w:p>
    <w:p w14:paraId="079B03D7" w14:textId="6321BD14" w:rsidR="0097070F" w:rsidRPr="004A4627" w:rsidRDefault="0097070F" w:rsidP="002C73AF">
      <w:pPr>
        <w:pStyle w:val="FootnoteText"/>
        <w:rPr>
          <w:rFonts w:ascii="Palatino Linotype" w:eastAsia="Century Gothic" w:hAnsi="Palatino Linotype" w:cs="Century Gothic"/>
          <w:color w:val="000000" w:themeColor="text1"/>
        </w:rPr>
      </w:pPr>
      <w:hyperlink r:id="rId62" w:history="1">
        <w:r w:rsidRPr="004A4627">
          <w:rPr>
            <w:rStyle w:val="Hyperlink"/>
            <w:rFonts w:ascii="Palatino Linotype" w:hAnsi="Palatino Linotype"/>
          </w:rPr>
          <w:t>D.19-09-051</w:t>
        </w:r>
      </w:hyperlink>
      <w:r w:rsidRPr="004A4627">
        <w:rPr>
          <w:rFonts w:ascii="Palatino Linotype" w:eastAsia="Century Gothic" w:hAnsi="Palatino Linotype" w:cs="Century Gothic"/>
          <w:color w:val="EE0000"/>
        </w:rPr>
        <w:t xml:space="preserve"> </w:t>
      </w:r>
      <w:r w:rsidRPr="004A4627">
        <w:rPr>
          <w:rFonts w:ascii="Palatino Linotype" w:eastAsia="Century Gothic" w:hAnsi="Palatino Linotype" w:cs="Century Gothic"/>
          <w:color w:val="000000" w:themeColor="text1"/>
        </w:rPr>
        <w:t xml:space="preserve">at Conclusions of Law (CoL) 66. </w:t>
      </w:r>
      <w:r w:rsidR="004A4627" w:rsidRPr="004A4627">
        <w:rPr>
          <w:rFonts w:ascii="Palatino Linotype" w:eastAsia="Century Gothic" w:hAnsi="Palatino Linotype" w:cs="Century Gothic"/>
          <w:color w:val="000000" w:themeColor="text1"/>
        </w:rPr>
        <w:t>“</w:t>
      </w:r>
      <w:r w:rsidRPr="004A4627">
        <w:rPr>
          <w:rFonts w:ascii="Palatino Linotype" w:eastAsia="Century Gothic" w:hAnsi="Palatino Linotype" w:cs="Century Gothic"/>
          <w:color w:val="000000" w:themeColor="text1"/>
        </w:rPr>
        <w:t>Approval of the funding for the RD&amp;D program should be subject to a one-way balancing account treatment and unspent funds should be returned to ratepayers at the end of each GRC cycle.</w:t>
      </w:r>
      <w:r w:rsidR="004A4627" w:rsidRPr="004A4627">
        <w:rPr>
          <w:rFonts w:ascii="Palatino Linotype" w:eastAsia="Century Gothic" w:hAnsi="Palatino Linotype" w:cs="Century Gothic"/>
          <w:color w:val="000000" w:themeColor="text1"/>
        </w:rPr>
        <w:t>”</w:t>
      </w:r>
      <w:r w:rsidRPr="004A4627">
        <w:rPr>
          <w:rFonts w:ascii="Palatino Linotype" w:eastAsia="Century Gothic" w:hAnsi="Palatino Linotype" w:cs="Century Gothic"/>
          <w:color w:val="000000" w:themeColor="text1"/>
        </w:rPr>
        <w:t xml:space="preserve"> </w:t>
      </w:r>
    </w:p>
    <w:p w14:paraId="60EF025B" w14:textId="763C5D85" w:rsidR="0097070F" w:rsidRPr="00950D1D" w:rsidRDefault="0097070F" w:rsidP="002C73AF">
      <w:pPr>
        <w:pStyle w:val="FootnoteText"/>
      </w:pPr>
      <w:hyperlink r:id="rId63" w:history="1">
        <w:r w:rsidRPr="004A4627">
          <w:rPr>
            <w:rStyle w:val="Hyperlink"/>
            <w:rFonts w:ascii="Palatino Linotype" w:eastAsia="Century Gothic" w:hAnsi="Palatino Linotype" w:cs="Century Gothic"/>
          </w:rPr>
          <w:t>D.24-12-074</w:t>
        </w:r>
      </w:hyperlink>
      <w:r w:rsidR="008E255B" w:rsidRPr="004A4627">
        <w:t xml:space="preserve">: </w:t>
      </w:r>
      <w:r w:rsidR="008E255B" w:rsidRPr="004A4627">
        <w:rPr>
          <w:rFonts w:ascii="Palatino Linotype" w:hAnsi="Palatino Linotype"/>
          <w:color w:val="000000" w:themeColor="text1"/>
        </w:rPr>
        <w:t>SoCalGas 2024 GRC Decision</w:t>
      </w:r>
      <w:r w:rsidRPr="004A4627">
        <w:rPr>
          <w:rFonts w:ascii="Palatino Linotype" w:eastAsia="Century Gothic" w:hAnsi="Palatino Linotype" w:cs="Century Gothic"/>
          <w:color w:val="000000" w:themeColor="text1"/>
        </w:rPr>
        <w:t xml:space="preserve"> at p. 330. </w:t>
      </w:r>
      <w:r w:rsidR="004A4627" w:rsidRPr="004A4627">
        <w:rPr>
          <w:rFonts w:ascii="Palatino Linotype" w:eastAsia="Century Gothic" w:hAnsi="Palatino Linotype" w:cs="Century Gothic"/>
          <w:color w:val="000000" w:themeColor="text1"/>
        </w:rPr>
        <w:t>“</w:t>
      </w:r>
      <w:r w:rsidRPr="004A4627">
        <w:rPr>
          <w:rFonts w:ascii="Palatino Linotype" w:eastAsia="Century Gothic" w:hAnsi="Palatino Linotype" w:cs="Century Gothic"/>
          <w:color w:val="000000" w:themeColor="text1"/>
        </w:rPr>
        <w:t>Unspent funds shall be returned to ratepayers at the end of each GRC cycle.</w:t>
      </w:r>
      <w:r w:rsidR="004A4627" w:rsidRPr="004A4627">
        <w:rPr>
          <w:rFonts w:ascii="Palatino Linotype" w:eastAsia="Century Gothic" w:hAnsi="Palatino Linotype" w:cs="Century Gothic"/>
          <w:color w:val="000000" w:themeColor="text1"/>
        </w:rPr>
        <w:t>”</w:t>
      </w:r>
    </w:p>
  </w:footnote>
  <w:footnote w:id="108">
    <w:p w14:paraId="22C73D75" w14:textId="714D2C98" w:rsidR="00180883" w:rsidRPr="00180883" w:rsidRDefault="5C91342C" w:rsidP="0012448C">
      <w:pPr>
        <w:pStyle w:val="FootnoteText"/>
        <w:rPr>
          <w:rFonts w:ascii="Palatino Linotype" w:hAnsi="Palatino Linotype"/>
          <w:color w:val="000000" w:themeColor="text1"/>
        </w:rPr>
      </w:pPr>
      <w:r w:rsidRPr="00950D1D">
        <w:rPr>
          <w:rStyle w:val="FootnoteReference"/>
        </w:rPr>
        <w:footnoteRef/>
      </w:r>
      <w:r w:rsidRPr="00950D1D">
        <w:t xml:space="preserve"> </w:t>
      </w:r>
      <w:hyperlink r:id="rId64" w:history="1">
        <w:r w:rsidR="00E82239" w:rsidRPr="00950D1D">
          <w:rPr>
            <w:rStyle w:val="Hyperlink"/>
            <w:rFonts w:ascii="Palatino Linotype" w:hAnsi="Palatino Linotype"/>
            <w:szCs w:val="16"/>
          </w:rPr>
          <w:t>D.23-11-069</w:t>
        </w:r>
      </w:hyperlink>
      <w:r w:rsidR="00E82239" w:rsidRPr="00950D1D">
        <w:rPr>
          <w:rFonts w:ascii="Palatino Linotype" w:hAnsi="Palatino Linotype"/>
          <w:szCs w:val="16"/>
        </w:rPr>
        <w:t xml:space="preserve"> at p. 221</w:t>
      </w:r>
      <w:r w:rsidR="00082C34" w:rsidRPr="00950D1D">
        <w:rPr>
          <w:rFonts w:ascii="Palatino Linotype" w:hAnsi="Palatino Linotype"/>
          <w:szCs w:val="16"/>
        </w:rPr>
        <w:t xml:space="preserve">: </w:t>
      </w:r>
      <w:r w:rsidR="0019250A" w:rsidRPr="0019250A">
        <w:rPr>
          <w:rFonts w:ascii="Palatino Linotype" w:hAnsi="Palatino Linotype"/>
          <w:szCs w:val="16"/>
        </w:rPr>
        <w:t>“</w:t>
      </w:r>
      <w:r w:rsidR="00082C34" w:rsidRPr="0019250A">
        <w:rPr>
          <w:rFonts w:ascii="Palatino Linotype" w:hAnsi="Palatino Linotype"/>
          <w:szCs w:val="16"/>
        </w:rPr>
        <w:t>PG&amp;E’s research plan should allocate approximately $296,400 to an evaluation or audit.</w:t>
      </w:r>
      <w:r w:rsidR="0019250A" w:rsidRPr="0019250A">
        <w:rPr>
          <w:rFonts w:ascii="Palatino Linotype" w:hAnsi="Palatino Linotype"/>
          <w:szCs w:val="16"/>
        </w:rPr>
        <w:t>”</w:t>
      </w:r>
      <w:r w:rsidR="00082C34" w:rsidRPr="0019250A">
        <w:rPr>
          <w:rFonts w:ascii="Palatino Linotype" w:hAnsi="Palatino Linotype"/>
          <w:szCs w:val="16"/>
        </w:rPr>
        <w:t xml:space="preserve"> </w:t>
      </w:r>
      <w:r w:rsidR="00E82239" w:rsidRPr="775F7D12">
        <w:rPr>
          <w:rFonts w:ascii="Palatino Linotype" w:hAnsi="Palatino Linotype"/>
        </w:rPr>
        <w:t xml:space="preserve">Consistent with: </w:t>
      </w:r>
      <w:hyperlink r:id="rId65">
        <w:r w:rsidR="00E82239" w:rsidRPr="00950D1D">
          <w:rPr>
            <w:rStyle w:val="Hyperlink"/>
            <w:rFonts w:ascii="Palatino Linotype" w:hAnsi="Palatino Linotype"/>
          </w:rPr>
          <w:t>Resolution G-3601</w:t>
        </w:r>
      </w:hyperlink>
      <w:r w:rsidR="00E82239" w:rsidRPr="00950D1D">
        <w:rPr>
          <w:rFonts w:ascii="Palatino Linotype" w:hAnsi="Palatino Linotype"/>
        </w:rPr>
        <w:t xml:space="preserve"> </w:t>
      </w:r>
      <w:r w:rsidR="00E82239" w:rsidRPr="00950D1D">
        <w:rPr>
          <w:rFonts w:ascii="Palatino Linotype" w:hAnsi="Palatino Linotype"/>
          <w:color w:val="000000" w:themeColor="text1"/>
        </w:rPr>
        <w:t>(2023</w:t>
      </w:r>
      <w:r w:rsidR="00E82239" w:rsidRPr="00BE6650">
        <w:rPr>
          <w:rFonts w:ascii="Palatino Linotype" w:hAnsi="Palatino Linotype"/>
          <w:color w:val="000000" w:themeColor="text1"/>
        </w:rPr>
        <w:t>)</w:t>
      </w:r>
      <w:r w:rsidR="001A51EC">
        <w:rPr>
          <w:rFonts w:ascii="Palatino Linotype" w:hAnsi="Palatino Linotype"/>
          <w:color w:val="000000" w:themeColor="text1"/>
        </w:rPr>
        <w:t xml:space="preserve"> </w:t>
      </w:r>
      <w:r w:rsidR="00E82239" w:rsidRPr="00BE6650">
        <w:rPr>
          <w:rFonts w:ascii="Palatino Linotype" w:hAnsi="Palatino Linotype"/>
          <w:color w:val="000000" w:themeColor="text1"/>
        </w:rPr>
        <w:t>at</w:t>
      </w:r>
      <w:r w:rsidR="00E82239" w:rsidRPr="00950D1D">
        <w:rPr>
          <w:rFonts w:ascii="Palatino Linotype" w:hAnsi="Palatino Linotype"/>
          <w:color w:val="000000" w:themeColor="text1"/>
        </w:rPr>
        <w:t xml:space="preserve"> OP </w:t>
      </w:r>
      <w:r w:rsidR="003A1D04" w:rsidRPr="00950D1D">
        <w:rPr>
          <w:rFonts w:ascii="Palatino Linotype" w:hAnsi="Palatino Linotype"/>
          <w:color w:val="000000" w:themeColor="text1"/>
        </w:rPr>
        <w:t xml:space="preserve">4 &amp; </w:t>
      </w:r>
      <w:hyperlink r:id="rId66">
        <w:r w:rsidR="775F7D12" w:rsidRPr="775F7D12">
          <w:rPr>
            <w:rStyle w:val="Hyperlink"/>
            <w:rFonts w:ascii="Palatino Linotype" w:hAnsi="Palatino Linotype"/>
          </w:rPr>
          <w:t>Resolution G-3592</w:t>
        </w:r>
      </w:hyperlink>
      <w:r w:rsidR="000A0F48" w:rsidRPr="00950D1D">
        <w:rPr>
          <w:rFonts w:ascii="Palatino Linotype" w:hAnsi="Palatino Linotype"/>
          <w:color w:val="000000" w:themeColor="text1"/>
        </w:rPr>
        <w:t xml:space="preserve"> (</w:t>
      </w:r>
      <w:r w:rsidR="004B359B" w:rsidRPr="00950D1D">
        <w:rPr>
          <w:rFonts w:ascii="Palatino Linotype" w:hAnsi="Palatino Linotype"/>
          <w:color w:val="000000" w:themeColor="text1"/>
        </w:rPr>
        <w:t>2023</w:t>
      </w:r>
      <w:r w:rsidR="004B359B" w:rsidRPr="00180883">
        <w:rPr>
          <w:rFonts w:ascii="Palatino Linotype" w:hAnsi="Palatino Linotype"/>
          <w:color w:val="000000" w:themeColor="text1"/>
        </w:rPr>
        <w:t>)</w:t>
      </w:r>
      <w:r w:rsidR="00180883" w:rsidRPr="00180883">
        <w:rPr>
          <w:rFonts w:ascii="Palatino Linotype" w:hAnsi="Palatino Linotype"/>
          <w:color w:val="000000" w:themeColor="text1"/>
        </w:rPr>
        <w:t xml:space="preserve">: </w:t>
      </w:r>
      <w:r w:rsidR="00180883" w:rsidRPr="00180883">
        <w:rPr>
          <w:rFonts w:ascii="Palatino Linotype" w:hAnsi="Palatino Linotype"/>
        </w:rPr>
        <w:t>Approving the CEC FY 2022-2023 Gas RD&amp;D Plan</w:t>
      </w:r>
      <w:r w:rsidR="00180883" w:rsidRPr="00180883">
        <w:rPr>
          <w:rFonts w:ascii="Palatino Linotype" w:hAnsi="Palatino Linotype"/>
          <w:color w:val="000000" w:themeColor="text1"/>
        </w:rPr>
        <w:t xml:space="preserve"> at OP 3.</w:t>
      </w:r>
    </w:p>
  </w:footnote>
  <w:footnote w:id="109">
    <w:p w14:paraId="021BD094" w14:textId="22DAC296" w:rsidR="00EA2958" w:rsidRDefault="00EA2958">
      <w:pPr>
        <w:pStyle w:val="FootnoteText"/>
      </w:pPr>
      <w:r w:rsidRPr="00950D1D">
        <w:rPr>
          <w:rStyle w:val="FootnoteReference"/>
        </w:rPr>
        <w:footnoteRef/>
      </w:r>
      <w:r w:rsidRPr="00950D1D">
        <w:t xml:space="preserve"> </w:t>
      </w:r>
      <w:hyperlink r:id="rId67" w:history="1">
        <w:r w:rsidR="0040704B" w:rsidRPr="00950D1D">
          <w:rPr>
            <w:rStyle w:val="Hyperlink"/>
            <w:rFonts w:ascii="Palatino Linotype" w:hAnsi="Palatino Linotype"/>
            <w:szCs w:val="16"/>
          </w:rPr>
          <w:t>D.23-11-069</w:t>
        </w:r>
      </w:hyperlink>
      <w:r w:rsidR="0040704B" w:rsidRPr="00950D1D">
        <w:rPr>
          <w:rFonts w:ascii="Palatino Linotype" w:hAnsi="Palatino Linotype"/>
          <w:szCs w:val="16"/>
        </w:rPr>
        <w:t xml:space="preserve"> at p. 221</w:t>
      </w:r>
      <w:r w:rsidR="00EC786C" w:rsidRPr="00950D1D">
        <w:rPr>
          <w:rFonts w:ascii="Palatino Linotype" w:hAnsi="Palatino Linotype"/>
          <w:szCs w:val="16"/>
        </w:rPr>
        <w:t xml:space="preserve">. Consistent with: </w:t>
      </w:r>
      <w:hyperlink r:id="rId68">
        <w:r w:rsidR="00EC786C" w:rsidRPr="00950D1D">
          <w:rPr>
            <w:rStyle w:val="Hyperlink"/>
            <w:rFonts w:ascii="Palatino Linotype" w:hAnsi="Palatino Linotype"/>
          </w:rPr>
          <w:t>Resolution G-3601</w:t>
        </w:r>
      </w:hyperlink>
      <w:r w:rsidR="00EC786C" w:rsidRPr="00950D1D">
        <w:rPr>
          <w:rFonts w:ascii="Palatino Linotype" w:hAnsi="Palatino Linotype"/>
        </w:rPr>
        <w:t xml:space="preserve"> </w:t>
      </w:r>
      <w:r w:rsidR="00EC786C" w:rsidRPr="00950D1D">
        <w:rPr>
          <w:rFonts w:ascii="Palatino Linotype" w:hAnsi="Palatino Linotype"/>
          <w:color w:val="000000" w:themeColor="text1"/>
        </w:rPr>
        <w:t xml:space="preserve">(2023) at OP </w:t>
      </w:r>
      <w:r w:rsidR="00224F16" w:rsidRPr="00950D1D">
        <w:rPr>
          <w:rFonts w:ascii="Palatino Linotype" w:hAnsi="Palatino Linotype"/>
          <w:color w:val="000000" w:themeColor="text1"/>
        </w:rPr>
        <w:t>3a.</w:t>
      </w:r>
    </w:p>
  </w:footnote>
  <w:footnote w:id="110">
    <w:p w14:paraId="5EBAECC3" w14:textId="536EDF34" w:rsidR="2C86C3FD" w:rsidRPr="00D80AE5" w:rsidRDefault="2C86C3FD" w:rsidP="2C86C3FD">
      <w:pPr>
        <w:pStyle w:val="FootnoteText"/>
        <w:rPr>
          <w:rFonts w:ascii="Palatino Linotype" w:hAnsi="Palatino Linotype"/>
          <w:b/>
          <w:bCs/>
        </w:rPr>
      </w:pPr>
      <w:r w:rsidRPr="2C86C3FD">
        <w:rPr>
          <w:rStyle w:val="FootnoteReference"/>
          <w:rFonts w:ascii="Palatino Linotype" w:hAnsi="Palatino Linotype"/>
        </w:rPr>
        <w:footnoteRef/>
      </w:r>
      <w:r w:rsidRPr="2C86C3FD">
        <w:rPr>
          <w:rStyle w:val="FootnoteReference"/>
          <w:rFonts w:ascii="Palatino Linotype" w:hAnsi="Palatino Linotype"/>
        </w:rPr>
        <w:t xml:space="preserve"> </w:t>
      </w:r>
      <w:r w:rsidR="00846351">
        <w:rPr>
          <w:rFonts w:ascii="Palatino Linotype" w:hAnsi="Palatino Linotype"/>
        </w:rPr>
        <w:t xml:space="preserve">Consistent with: </w:t>
      </w:r>
      <w:hyperlink r:id="rId69">
        <w:r w:rsidR="00B43083" w:rsidRPr="006C1CA6">
          <w:rPr>
            <w:rStyle w:val="Hyperlink"/>
            <w:rFonts w:ascii="Palatino Linotype" w:hAnsi="Palatino Linotype" w:cs="Palatino"/>
          </w:rPr>
          <w:t>D.04-08-010:</w:t>
        </w:r>
      </w:hyperlink>
      <w:r w:rsidR="00B43083" w:rsidRPr="006C1CA6">
        <w:rPr>
          <w:rFonts w:ascii="Palatino Linotype" w:hAnsi="Palatino Linotype" w:cs="Palatino"/>
        </w:rPr>
        <w:t xml:space="preserve"> </w:t>
      </w:r>
      <w:r w:rsidR="005C109A">
        <w:rPr>
          <w:rFonts w:ascii="Palatino Linotype" w:hAnsi="Palatino Linotype" w:cs="Palatino"/>
        </w:rPr>
        <w:t xml:space="preserve">OIR </w:t>
      </w:r>
      <w:r w:rsidR="00B43083" w:rsidRPr="006C1CA6">
        <w:rPr>
          <w:rFonts w:ascii="Palatino Linotype" w:hAnsi="Palatino Linotype" w:cs="Palatino"/>
        </w:rPr>
        <w:t>on the Establishment of a PPP Surcharge Pursuant to AB 1002</w:t>
      </w:r>
      <w:r w:rsidRPr="2C86C3FD">
        <w:rPr>
          <w:rFonts w:ascii="Palatino Linotype" w:hAnsi="Palatino Linotype"/>
          <w:b/>
          <w:bCs/>
        </w:rPr>
        <w:t xml:space="preserve"> </w:t>
      </w:r>
      <w:r w:rsidRPr="00846351">
        <w:rPr>
          <w:rFonts w:ascii="Palatino Linotype" w:hAnsi="Palatino Linotype"/>
        </w:rPr>
        <w:t>at Findings of Fact (32</w:t>
      </w:r>
      <w:r w:rsidRPr="00D80AE5">
        <w:rPr>
          <w:rFonts w:ascii="Palatino Linotype" w:hAnsi="Palatino Linotype"/>
        </w:rPr>
        <w:t>)</w:t>
      </w:r>
      <w:r w:rsidR="00846351" w:rsidRPr="00D80AE5">
        <w:rPr>
          <w:rFonts w:ascii="Palatino Linotype" w:hAnsi="Palatino Linotype"/>
        </w:rPr>
        <w:t xml:space="preserve">; </w:t>
      </w:r>
      <w:hyperlink r:id="rId70">
        <w:r w:rsidR="00D5564A">
          <w:rPr>
            <w:rStyle w:val="Hyperlink"/>
            <w:rFonts w:ascii="Palatino Linotype" w:hAnsi="Palatino Linotype"/>
          </w:rPr>
          <w:t>Resolution G-3573</w:t>
        </w:r>
      </w:hyperlink>
      <w:r w:rsidRPr="00D80AE5">
        <w:rPr>
          <w:rFonts w:ascii="Palatino Linotype" w:hAnsi="Palatino Linotype"/>
        </w:rPr>
        <w:t xml:space="preserve"> </w:t>
      </w:r>
      <w:r w:rsidR="00846351" w:rsidRPr="00D80AE5">
        <w:rPr>
          <w:rFonts w:ascii="Palatino Linotype" w:hAnsi="Palatino Linotype"/>
        </w:rPr>
        <w:t>(</w:t>
      </w:r>
      <w:r w:rsidR="00D80AE5" w:rsidRPr="00D80AE5">
        <w:rPr>
          <w:rFonts w:ascii="Palatino Linotype" w:hAnsi="Palatino Linotype"/>
        </w:rPr>
        <w:t xml:space="preserve">2021): </w:t>
      </w:r>
      <w:r w:rsidR="00846351" w:rsidRPr="00D80AE5">
        <w:rPr>
          <w:rFonts w:ascii="Palatino Linotype" w:hAnsi="Palatino Linotype"/>
        </w:rPr>
        <w:t>A</w:t>
      </w:r>
      <w:r w:rsidRPr="00D80AE5">
        <w:rPr>
          <w:rFonts w:ascii="Palatino Linotype" w:hAnsi="Palatino Linotype"/>
        </w:rPr>
        <w:t xml:space="preserve">pproving </w:t>
      </w:r>
      <w:r w:rsidR="00846351" w:rsidRPr="00D80AE5">
        <w:rPr>
          <w:rFonts w:ascii="Palatino Linotype" w:hAnsi="Palatino Linotype"/>
        </w:rPr>
        <w:t xml:space="preserve">the </w:t>
      </w:r>
      <w:r w:rsidRPr="00D80AE5">
        <w:rPr>
          <w:rFonts w:ascii="Palatino Linotype" w:hAnsi="Palatino Linotype"/>
        </w:rPr>
        <w:t>SoCalGas 2021 Gas R&amp;D Plan</w:t>
      </w:r>
      <w:r w:rsidR="00846351" w:rsidRPr="00D80AE5">
        <w:rPr>
          <w:rFonts w:ascii="Palatino Linotype" w:hAnsi="Palatino Linotype"/>
        </w:rPr>
        <w:t xml:space="preserve"> at OP 3</w:t>
      </w:r>
      <w:r w:rsidR="00D80AE5">
        <w:rPr>
          <w:rFonts w:ascii="Palatino Linotype" w:hAnsi="Palatino Linotype"/>
        </w:rPr>
        <w:t xml:space="preserve">; and </w:t>
      </w:r>
      <w:hyperlink r:id="rId71">
        <w:r w:rsidRPr="006403AA">
          <w:rPr>
            <w:rStyle w:val="Hyperlink"/>
            <w:rFonts w:ascii="Palatino Linotype" w:hAnsi="Palatino Linotype"/>
          </w:rPr>
          <w:t>Resolution G-3586</w:t>
        </w:r>
      </w:hyperlink>
      <w:r w:rsidRPr="006403AA">
        <w:rPr>
          <w:rFonts w:ascii="Palatino Linotype" w:hAnsi="Palatino Linotype"/>
        </w:rPr>
        <w:t xml:space="preserve"> (2022</w:t>
      </w:r>
      <w:r w:rsidRPr="00A40394">
        <w:rPr>
          <w:rFonts w:ascii="Palatino Linotype" w:hAnsi="Palatino Linotype"/>
        </w:rPr>
        <w:t>)</w:t>
      </w:r>
      <w:r w:rsidR="00A40394" w:rsidRPr="00A40394">
        <w:rPr>
          <w:rFonts w:ascii="Palatino Linotype" w:hAnsi="Palatino Linotype"/>
          <w:bCs/>
        </w:rPr>
        <w:t>: Approving the SoCalGas 2022 Gas RD&amp;D Plan</w:t>
      </w:r>
      <w:r w:rsidRPr="006403AA">
        <w:rPr>
          <w:rFonts w:ascii="Palatino Linotype" w:hAnsi="Palatino Linotype"/>
        </w:rPr>
        <w:t xml:space="preserve"> at OP 5.</w:t>
      </w:r>
    </w:p>
  </w:footnote>
  <w:footnote w:id="111">
    <w:p w14:paraId="466734C9" w14:textId="51B17959" w:rsidR="00B8598C" w:rsidRDefault="00B8598C">
      <w:pPr>
        <w:pStyle w:val="FootnoteText"/>
      </w:pPr>
      <w:r>
        <w:rPr>
          <w:rStyle w:val="FootnoteReference"/>
        </w:rPr>
        <w:footnoteRef/>
      </w:r>
      <w:r>
        <w:t xml:space="preserve"> </w:t>
      </w:r>
      <w:hyperlink r:id="rId72" w:tgtFrame="_blank" w:history="1">
        <w:r w:rsidRPr="0032595A">
          <w:rPr>
            <w:rStyle w:val="Hyperlink"/>
            <w:rFonts w:ascii="Palatino Linotype" w:hAnsi="Palatino Linotype" w:cs="Palatino"/>
          </w:rPr>
          <w:t>D.24-03-007</w:t>
        </w:r>
      </w:hyperlink>
      <w:r>
        <w:rPr>
          <w:rFonts w:ascii="Palatino Linotype" w:hAnsi="Palatino Linotype"/>
        </w:rPr>
        <w:t>.</w:t>
      </w:r>
    </w:p>
  </w:footnote>
  <w:footnote w:id="112">
    <w:p w14:paraId="1B69EAD7" w14:textId="6DE50B88" w:rsidR="00B80D78" w:rsidRDefault="00B80D78" w:rsidP="00B80D78">
      <w:pPr>
        <w:pStyle w:val="FootnoteText"/>
        <w:rPr>
          <w:rFonts w:ascii="Palatino Linotype" w:hAnsi="Palatino Linotype"/>
        </w:rPr>
      </w:pPr>
      <w:r w:rsidRPr="2C86C3FD">
        <w:rPr>
          <w:rStyle w:val="FootnoteReference"/>
          <w:rFonts w:ascii="Palatino Linotype" w:hAnsi="Palatino Linotype"/>
        </w:rPr>
        <w:footnoteRef/>
      </w:r>
      <w:r w:rsidRPr="00BB0258">
        <w:rPr>
          <w:rStyle w:val="FootnoteReference"/>
          <w:rFonts w:ascii="Palatino Linotype" w:hAnsi="Palatino Linotype"/>
        </w:rPr>
        <w:t xml:space="preserve"> </w:t>
      </w:r>
      <w:hyperlink r:id="rId73">
        <w:r w:rsidRPr="00BB0258">
          <w:rPr>
            <w:rStyle w:val="Hyperlink"/>
            <w:rFonts w:ascii="Palatino Linotype" w:hAnsi="Palatino Linotype"/>
          </w:rPr>
          <w:t>D.23-04-042</w:t>
        </w:r>
      </w:hyperlink>
      <w:r w:rsidRPr="00BB0258">
        <w:rPr>
          <w:rFonts w:ascii="Palatino Linotype" w:hAnsi="Palatino Linotype"/>
          <w:b/>
          <w:bCs/>
        </w:rPr>
        <w:t xml:space="preserve"> </w:t>
      </w:r>
      <w:r w:rsidRPr="00BB0258">
        <w:rPr>
          <w:rFonts w:ascii="Palatino Linotype" w:hAnsi="Palatino Linotype"/>
        </w:rPr>
        <w:t>at OP 3.</w:t>
      </w:r>
    </w:p>
  </w:footnote>
  <w:footnote w:id="113">
    <w:p w14:paraId="2F80783F" w14:textId="1C36201F" w:rsidR="008F35A2" w:rsidRDefault="008F35A2">
      <w:pPr>
        <w:pStyle w:val="FootnoteText"/>
      </w:pPr>
      <w:r>
        <w:rPr>
          <w:rStyle w:val="FootnoteReference"/>
        </w:rPr>
        <w:footnoteRef/>
      </w:r>
      <w:r>
        <w:t xml:space="preserve"> </w:t>
      </w:r>
      <w:r w:rsidR="00A807B8" w:rsidRPr="00A807B8">
        <w:rPr>
          <w:rFonts w:ascii="Palatino Linotype" w:hAnsi="Palatino Linotype"/>
        </w:rPr>
        <w:t>See </w:t>
      </w:r>
      <w:r w:rsidR="00523D9C">
        <w:rPr>
          <w:rFonts w:ascii="Palatino Linotype" w:hAnsi="Palatino Linotype"/>
        </w:rPr>
        <w:t xml:space="preserve">Resolution G-3618 at </w:t>
      </w:r>
      <w:r w:rsidR="00A807B8" w:rsidRPr="00A807B8">
        <w:rPr>
          <w:rFonts w:ascii="Palatino Linotype" w:hAnsi="Palatino Linotype"/>
        </w:rPr>
        <w:t xml:space="preserve">Appendix </w:t>
      </w:r>
      <w:r w:rsidR="009D7122">
        <w:rPr>
          <w:rFonts w:ascii="Palatino Linotype" w:hAnsi="Palatino Linotype"/>
        </w:rPr>
        <w:t>F</w:t>
      </w:r>
      <w:r w:rsidR="00A807B8" w:rsidRPr="00A807B8">
        <w:rPr>
          <w:rFonts w:ascii="Palatino Linotype" w:hAnsi="Palatino Linotype"/>
        </w:rPr>
        <w:t>: Compliance Assessment of AL 5077-G-A.</w:t>
      </w:r>
    </w:p>
  </w:footnote>
  <w:footnote w:id="114">
    <w:p w14:paraId="6BED6F4D" w14:textId="30947F69" w:rsidR="001B690F" w:rsidRDefault="001B690F">
      <w:pPr>
        <w:pStyle w:val="FootnoteText"/>
      </w:pPr>
      <w:r>
        <w:rPr>
          <w:rStyle w:val="FootnoteReference"/>
        </w:rPr>
        <w:footnoteRef/>
      </w:r>
      <w:r>
        <w:t xml:space="preserve"> </w:t>
      </w:r>
      <w:r w:rsidRPr="001B690F">
        <w:t> </w:t>
      </w:r>
      <w:r w:rsidRPr="001B690F">
        <w:rPr>
          <w:rFonts w:ascii="Palatino Linotype" w:hAnsi="Palatino Linotype"/>
        </w:rPr>
        <w:t>See </w:t>
      </w:r>
      <w:r w:rsidR="00292102" w:rsidRPr="00292102">
        <w:rPr>
          <w:rFonts w:ascii="Palatino Linotype" w:hAnsi="Palatino Linotype"/>
        </w:rPr>
        <w:t>Resolution G-3618 at</w:t>
      </w:r>
      <w:r w:rsidR="00292102">
        <w:t xml:space="preserve"> </w:t>
      </w:r>
      <w:r w:rsidRPr="001B690F">
        <w:rPr>
          <w:rFonts w:ascii="Palatino Linotype" w:hAnsi="Palatino Linotype"/>
        </w:rPr>
        <w:t>Appendix </w:t>
      </w:r>
      <w:r w:rsidR="009D7122">
        <w:rPr>
          <w:rFonts w:ascii="Palatino Linotype" w:hAnsi="Palatino Linotype"/>
        </w:rPr>
        <w:t>G</w:t>
      </w:r>
      <w:r w:rsidRPr="001B690F">
        <w:rPr>
          <w:rFonts w:ascii="Palatino Linotype" w:hAnsi="Palatino Linotype"/>
        </w:rPr>
        <w:t>: Compliance Assessment of AL 5069-G.</w:t>
      </w:r>
    </w:p>
  </w:footnote>
  <w:footnote w:id="115">
    <w:p w14:paraId="67683C0D" w14:textId="140B8D5F" w:rsidR="00C368AB" w:rsidRDefault="00C368AB">
      <w:pPr>
        <w:pStyle w:val="FootnoteText"/>
      </w:pPr>
      <w:r>
        <w:rPr>
          <w:rStyle w:val="FootnoteReference"/>
        </w:rPr>
        <w:footnoteRef/>
      </w:r>
      <w:r>
        <w:t xml:space="preserve"> </w:t>
      </w:r>
      <w:r w:rsidRPr="00482197">
        <w:rPr>
          <w:rFonts w:ascii="Palatino Linotype" w:hAnsi="Palatino Linotype"/>
        </w:rPr>
        <w:t>Resolution G-3618 at p</w:t>
      </w:r>
      <w:r w:rsidR="00482197" w:rsidRPr="00482197">
        <w:rPr>
          <w:rFonts w:ascii="Palatino Linotype" w:hAnsi="Palatino Linotype"/>
        </w:rPr>
        <w:t>. 1</w:t>
      </w:r>
      <w:r w:rsidR="00482197">
        <w:rPr>
          <w:rFonts w:ascii="Palatino Linotype" w:hAnsi="Palatino Linotype"/>
        </w:rPr>
        <w:t>9</w:t>
      </w:r>
      <w:r w:rsidR="00482197" w:rsidRPr="00482197">
        <w:rPr>
          <w:rFonts w:ascii="Palatino Linotype" w:hAnsi="Palatino Linotype"/>
        </w:rPr>
        <w:t>-2</w:t>
      </w:r>
      <w:r w:rsidR="00482197">
        <w:rPr>
          <w:rFonts w:ascii="Palatino Linotype" w:hAnsi="Palatino Linotype"/>
        </w:rPr>
        <w:t>3</w:t>
      </w:r>
      <w:r w:rsidR="00482197" w:rsidRPr="00482197">
        <w:rPr>
          <w:rFonts w:ascii="Palatino Linotype" w:hAnsi="Palatino Linotype"/>
        </w:rPr>
        <w:t>.</w:t>
      </w:r>
      <w:r w:rsidR="00482197">
        <w:t xml:space="preserve"> </w:t>
      </w:r>
    </w:p>
  </w:footnote>
  <w:footnote w:id="116">
    <w:p w14:paraId="61B5351C" w14:textId="7165F232" w:rsidR="002949F8" w:rsidRDefault="002949F8">
      <w:pPr>
        <w:pStyle w:val="FootnoteText"/>
      </w:pPr>
      <w:r>
        <w:rPr>
          <w:rStyle w:val="FootnoteReference"/>
        </w:rPr>
        <w:footnoteRef/>
      </w:r>
      <w:r>
        <w:t xml:space="preserve"> </w:t>
      </w:r>
      <w:hyperlink r:id="rId74" w:history="1">
        <w:r>
          <w:rPr>
            <w:rStyle w:val="Hyperlink"/>
            <w:rFonts w:ascii="Palatino Linotype" w:hAnsi="Palatino Linotype"/>
          </w:rPr>
          <w:t>PG&amp;E Gas Preliminary Statement Part GA (AL 4835-G)</w:t>
        </w:r>
      </w:hyperlink>
      <w:r w:rsidRPr="00326A62">
        <w:rPr>
          <w:rFonts w:ascii="Palatino Linotype" w:hAnsi="Palatino Linotype"/>
        </w:rPr>
        <w:t xml:space="preserve"> at </w:t>
      </w:r>
      <w:r>
        <w:rPr>
          <w:rFonts w:ascii="Palatino Linotype" w:hAnsi="Palatino Linotype"/>
        </w:rPr>
        <w:t>Section 3</w:t>
      </w:r>
      <w:r w:rsidR="00B716F1">
        <w:rPr>
          <w:rFonts w:ascii="Palatino Linotype" w:hAnsi="Palatino Linotype"/>
        </w:rPr>
        <w:t>.</w:t>
      </w:r>
    </w:p>
  </w:footnote>
  <w:footnote w:id="117">
    <w:p w14:paraId="29FC1E72" w14:textId="77777777" w:rsidR="00B274D7" w:rsidRDefault="00B274D7" w:rsidP="00B274D7">
      <w:pPr>
        <w:pStyle w:val="FootnoteText"/>
      </w:pPr>
      <w:r>
        <w:rPr>
          <w:rStyle w:val="FootnoteReference"/>
        </w:rPr>
        <w:footnoteRef/>
      </w:r>
      <w:r>
        <w:t xml:space="preserve"> </w:t>
      </w:r>
      <w:hyperlink r:id="rId75" w:tgtFrame="_blank" w:history="1">
        <w:r w:rsidRPr="00C65F36">
          <w:rPr>
            <w:rStyle w:val="Hyperlink"/>
            <w:rFonts w:ascii="Palatino Linotype" w:hAnsi="Palatino Linotype"/>
          </w:rPr>
          <w:t>Resolution G-3601</w:t>
        </w:r>
      </w:hyperlink>
      <w:r w:rsidRPr="00C65F36">
        <w:rPr>
          <w:rFonts w:ascii="Palatino Linotype" w:hAnsi="Palatino Linotype"/>
        </w:rPr>
        <w:t xml:space="preserve"> (2023)</w:t>
      </w:r>
      <w:r>
        <w:rPr>
          <w:rFonts w:ascii="Palatino Linotype" w:hAnsi="Palatino Linotype"/>
        </w:rPr>
        <w:t xml:space="preserve"> at: </w:t>
      </w:r>
    </w:p>
    <w:p w14:paraId="4828B88E" w14:textId="77777777" w:rsidR="00B274D7" w:rsidRPr="0060232D" w:rsidRDefault="00B274D7" w:rsidP="00B274D7">
      <w:pPr>
        <w:pStyle w:val="FootnoteText"/>
        <w:ind w:left="720"/>
        <w:rPr>
          <w:rFonts w:ascii="Palatino Linotype" w:hAnsi="Palatino Linotype"/>
        </w:rPr>
      </w:pPr>
      <w:r w:rsidRPr="0060232D">
        <w:rPr>
          <w:rFonts w:ascii="Palatino Linotype" w:hAnsi="Palatino Linotype"/>
        </w:rPr>
        <w:t>OP 5. “All of [SoCalGas’] new and future [RD&amp;D] projects shall occur in the State of California. The only exception may be made for projects with out of state federal labs. In this case, SoCalGas shall explicitly justify benefits to its gas ratepayers of an out-of-state project in its Tier 3 Advice Letter annual plan.”</w:t>
      </w:r>
    </w:p>
    <w:p w14:paraId="5D3D01D1" w14:textId="77777777" w:rsidR="00B274D7" w:rsidRDefault="00B274D7" w:rsidP="00B274D7">
      <w:pPr>
        <w:pStyle w:val="FootnoteText"/>
        <w:ind w:left="720"/>
      </w:pPr>
      <w:r w:rsidRPr="0060232D">
        <w:rPr>
          <w:rFonts w:ascii="Palatino Linotype" w:hAnsi="Palatino Linotype"/>
        </w:rPr>
        <w:t>OP 6. “[SoCalGas shall] b. Explicitly justify how all consortia dues benefit gas ratepayers.”</w:t>
      </w:r>
    </w:p>
  </w:footnote>
  <w:footnote w:id="118">
    <w:p w14:paraId="7290194C" w14:textId="77777777" w:rsidR="00B274D7" w:rsidRPr="00F1520D" w:rsidRDefault="00B274D7" w:rsidP="00B274D7">
      <w:pPr>
        <w:spacing w:after="0" w:line="240" w:lineRule="auto"/>
        <w:rPr>
          <w:rFonts w:ascii="Palatino Linotype" w:hAnsi="Palatino Linotype"/>
          <w:sz w:val="22"/>
          <w:szCs w:val="22"/>
        </w:rPr>
      </w:pPr>
      <w:r w:rsidRPr="00BC4F63">
        <w:rPr>
          <w:rStyle w:val="FootnoteReference"/>
          <w:sz w:val="20"/>
          <w:szCs w:val="20"/>
        </w:rPr>
        <w:footnoteRef/>
      </w:r>
      <w:r>
        <w:t xml:space="preserve"> </w:t>
      </w:r>
      <w:hyperlink r:id="rId76" w:history="1">
        <w:r w:rsidRPr="00F1520D">
          <w:rPr>
            <w:rFonts w:ascii="Palatino Linotype" w:hAnsi="Palatino Linotype"/>
            <w:color w:val="467886" w:themeColor="hyperlink"/>
            <w:sz w:val="20"/>
            <w:szCs w:val="20"/>
            <w:u w:val="single"/>
          </w:rPr>
          <w:t>D.23-04-042</w:t>
        </w:r>
      </w:hyperlink>
      <w:r w:rsidRPr="00F1520D">
        <w:rPr>
          <w:rFonts w:ascii="Palatino Linotype" w:hAnsi="Palatino Linotype"/>
          <w:sz w:val="20"/>
          <w:szCs w:val="20"/>
        </w:rPr>
        <w:t xml:space="preserve"> at Appendix A.</w:t>
      </w:r>
    </w:p>
  </w:footnote>
  <w:footnote w:id="119">
    <w:p w14:paraId="1D27669B" w14:textId="77777777" w:rsidR="00B274D7" w:rsidRDefault="00B274D7" w:rsidP="00B274D7">
      <w:pPr>
        <w:pStyle w:val="FootnoteText"/>
        <w:rPr>
          <w:rFonts w:ascii="Calibri" w:hAnsi="Calibri" w:cs="Arial"/>
        </w:rPr>
      </w:pPr>
      <w:r>
        <w:rPr>
          <w:rStyle w:val="FootnoteReference"/>
        </w:rPr>
        <w:footnoteRef/>
      </w:r>
      <w:r>
        <w:t xml:space="preserve"> </w:t>
      </w:r>
      <w:hyperlink r:id="rId77" w:history="1">
        <w:r w:rsidRPr="00F1520D">
          <w:rPr>
            <w:rStyle w:val="Hyperlink"/>
            <w:rFonts w:ascii="Palatino Linotype" w:hAnsi="Palatino Linotype"/>
            <w:color w:val="4B8090" w:themeColor="hyperlink" w:themeTint="F2"/>
          </w:rPr>
          <w:t>D.12-05-037</w:t>
        </w:r>
      </w:hyperlink>
      <w:r w:rsidRPr="00F1520D">
        <w:rPr>
          <w:rFonts w:ascii="Palatino Linotype" w:hAnsi="Palatino Linotype"/>
          <w:color w:val="0D0D0D" w:themeColor="text1" w:themeTint="F2"/>
        </w:rPr>
        <w:t>: OIR on the Commission's Own Motion to Determine the Impact on Public Benefits Associated with the Expiration of Ratepayer Charges Pursuant to Public Utilities Code Section 399.8.</w:t>
      </w:r>
    </w:p>
  </w:footnote>
  <w:footnote w:id="120">
    <w:p w14:paraId="0B9814AA" w14:textId="77777777" w:rsidR="00B274D7" w:rsidRDefault="00B274D7" w:rsidP="00B274D7">
      <w:pPr>
        <w:pStyle w:val="FootnoteText"/>
      </w:pPr>
      <w:r>
        <w:rPr>
          <w:rStyle w:val="FootnoteReference"/>
        </w:rPr>
        <w:footnoteRef/>
      </w:r>
      <w:r>
        <w:t xml:space="preserve"> </w:t>
      </w:r>
      <w:hyperlink r:id="rId78" w:history="1">
        <w:r w:rsidRPr="00A87B06">
          <w:rPr>
            <w:rStyle w:val="Hyperlink"/>
            <w:rFonts w:ascii="Palatino Linotype" w:hAnsi="Palatino Linotype"/>
          </w:rPr>
          <w:t>California Public Utilities Code Section 740.1</w:t>
        </w:r>
      </w:hyperlink>
      <w:r>
        <w:rPr>
          <w:rFonts w:ascii="Palatino Linotype" w:hAnsi="Palatino Linotype"/>
        </w:rPr>
        <w:t xml:space="preserve"> at </w:t>
      </w:r>
      <w:r w:rsidRPr="004137D6">
        <w:rPr>
          <w:rFonts w:ascii="Palatino Linotype" w:hAnsi="Palatino Linotype"/>
        </w:rPr>
        <w:t>(a) and (b).</w:t>
      </w:r>
    </w:p>
  </w:footnote>
  <w:footnote w:id="121">
    <w:p w14:paraId="645D74C1" w14:textId="77777777" w:rsidR="00B274D7" w:rsidRDefault="00B274D7" w:rsidP="00B274D7">
      <w:pPr>
        <w:pStyle w:val="FootnoteText"/>
      </w:pPr>
      <w:r>
        <w:rPr>
          <w:rStyle w:val="FootnoteReference"/>
        </w:rPr>
        <w:footnoteRef/>
      </w:r>
      <w:r>
        <w:t xml:space="preserve"> </w:t>
      </w:r>
      <w:r w:rsidRPr="003C3753">
        <w:rPr>
          <w:rFonts w:ascii="Palatino Linotype" w:hAnsi="Palatino Linotype"/>
        </w:rPr>
        <w:t>Including for example, but not limited to, the following works and other works by their respective authors: An Investigation of Innovative Energy Technologies Entering the Market between 2009-2015, Enabled by EERE-funded R&amp;D. PNNL-31895. Pacific Northwest National Laboratories. August 2021; Metrics for an Equitable and Just Energy System. Pacific Northwest National Laboratories. June 2021; Evaluating Realized Impacts of DOE/EERE R&amp;D Programs Standard Impact Evaluation Method. DOE/EE-1117. August 2014; A Framework for Evaluating R&amp;D Impacts and Supply Chain Dynamics Early in a Product Life Cycle. DOE/EE-1096. June 2014; A Proposed Methodology to Determine the Leverage Impacts of Technology Deployment Programs. James L. Wolf. Prepared for US DOE/EERE. June 2008; Impact Evaluation Framework for Technology Deployment Programs. Sandia National Laboratories. Prepared for US DOE/EERE. July 2007; and Prospective Evaluation of Applied Energy Research and Development at DOE (Phase Two). National Research Council. The National Academies Press. 2007.</w:t>
      </w:r>
    </w:p>
  </w:footnote>
  <w:footnote w:id="122">
    <w:p w14:paraId="438AC849" w14:textId="73039D86" w:rsidR="004B0BDA" w:rsidRPr="00A32AF2" w:rsidRDefault="004B0BDA" w:rsidP="004B0BDA">
      <w:pPr>
        <w:pStyle w:val="FootnoteText"/>
        <w:rPr>
          <w:rFonts w:ascii="Palatino Linotype" w:hAnsi="Palatino Linotype"/>
        </w:rPr>
      </w:pPr>
      <w:r>
        <w:rPr>
          <w:rStyle w:val="FootnoteReference"/>
        </w:rPr>
        <w:footnoteRef/>
      </w:r>
      <w:r>
        <w:t xml:space="preserve"> </w:t>
      </w:r>
      <w:hyperlink r:id="rId79" w:history="1">
        <w:r w:rsidRPr="004A7061">
          <w:rPr>
            <w:rStyle w:val="Hyperlink"/>
            <w:rFonts w:ascii="Palatino Linotype" w:hAnsi="Palatino Linotype"/>
          </w:rPr>
          <w:t>D.23-11-069</w:t>
        </w:r>
      </w:hyperlink>
      <w:r w:rsidR="00891A31">
        <w:rPr>
          <w:rFonts w:ascii="Palatino Linotype" w:hAnsi="Palatino Linotype"/>
        </w:rPr>
        <w:t xml:space="preserve"> at </w:t>
      </w:r>
      <w:r>
        <w:rPr>
          <w:rFonts w:ascii="Palatino Linotype" w:hAnsi="Palatino Linotype"/>
        </w:rPr>
        <w:t xml:space="preserve">p. 217-218. </w:t>
      </w:r>
      <w:r w:rsidRPr="00ED4893">
        <w:rPr>
          <w:rFonts w:ascii="Palatino Linotype" w:hAnsi="Palatino Linotype"/>
          <w:color w:val="000000" w:themeColor="text1"/>
        </w:rPr>
        <w:t xml:space="preserve">Consistent with </w:t>
      </w:r>
      <w:hyperlink r:id="rId80" w:history="1">
        <w:r w:rsidRPr="00ED4893">
          <w:rPr>
            <w:rStyle w:val="Hyperlink"/>
            <w:rFonts w:ascii="Palatino Linotype" w:hAnsi="Palatino Linotype"/>
          </w:rPr>
          <w:t>D.19-09-051</w:t>
        </w:r>
      </w:hyperlink>
      <w:r w:rsidR="00707924">
        <w:rPr>
          <w:rFonts w:ascii="Palatino Linotype" w:hAnsi="Palatino Linotype"/>
          <w:color w:val="000000" w:themeColor="text1"/>
        </w:rPr>
        <w:t xml:space="preserve"> </w:t>
      </w:r>
      <w:r w:rsidRPr="00ED4893">
        <w:rPr>
          <w:rFonts w:ascii="Palatino Linotype" w:hAnsi="Palatino Linotype"/>
          <w:color w:val="000000" w:themeColor="text1"/>
        </w:rPr>
        <w:t xml:space="preserve">at </w:t>
      </w:r>
      <w:r>
        <w:rPr>
          <w:rFonts w:ascii="Palatino Linotype" w:hAnsi="Palatino Linotype"/>
          <w:color w:val="000000" w:themeColor="text1"/>
        </w:rPr>
        <w:t xml:space="preserve">p. </w:t>
      </w:r>
      <w:r w:rsidRPr="00ED4893">
        <w:rPr>
          <w:rFonts w:ascii="Palatino Linotype" w:hAnsi="Palatino Linotype"/>
          <w:color w:val="000000" w:themeColor="text1"/>
        </w:rPr>
        <w:t>379.</w:t>
      </w:r>
    </w:p>
  </w:footnote>
  <w:footnote w:id="123">
    <w:p w14:paraId="3E32726F" w14:textId="77777777" w:rsidR="004B0BDA" w:rsidRDefault="004B0BDA" w:rsidP="004B0BDA">
      <w:pPr>
        <w:pStyle w:val="FootnoteText"/>
      </w:pPr>
      <w:r>
        <w:rPr>
          <w:rStyle w:val="FootnoteReference"/>
        </w:rPr>
        <w:footnoteRef/>
      </w:r>
      <w:r>
        <w:t xml:space="preserve"> </w:t>
      </w:r>
      <w:hyperlink r:id="rId81"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 217 &amp; 740.</w:t>
      </w:r>
    </w:p>
  </w:footnote>
  <w:footnote w:id="124">
    <w:p w14:paraId="305CE4F7"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3 at p. </w:t>
      </w:r>
      <w:r w:rsidRPr="00706900">
        <w:rPr>
          <w:rFonts w:ascii="Palatino Linotype" w:hAnsi="Palatino Linotype"/>
          <w:szCs w:val="16"/>
        </w:rPr>
        <w:t>47</w:t>
      </w:r>
      <w:r>
        <w:rPr>
          <w:rFonts w:ascii="Palatino Linotype" w:hAnsi="Palatino Linotype"/>
          <w:szCs w:val="16"/>
        </w:rPr>
        <w:t>.</w:t>
      </w:r>
    </w:p>
  </w:footnote>
  <w:footnote w:id="125">
    <w:p w14:paraId="76C8ACFF" w14:textId="77777777" w:rsidR="004B0BDA" w:rsidRDefault="004B0BDA" w:rsidP="004B0BDA">
      <w:pPr>
        <w:pStyle w:val="FootnoteText"/>
      </w:pPr>
      <w:r>
        <w:rPr>
          <w:rStyle w:val="FootnoteReference"/>
        </w:rPr>
        <w:footnoteRef/>
      </w:r>
      <w:r>
        <w:t xml:space="preserve"> </w:t>
      </w:r>
      <w:r w:rsidRPr="007138E7">
        <w:rPr>
          <w:rFonts w:ascii="Palatino Linotype" w:hAnsi="Palatino Linotype"/>
        </w:rPr>
        <w:t>AL 5077-G-A at p. 61.</w:t>
      </w:r>
    </w:p>
  </w:footnote>
  <w:footnote w:id="126">
    <w:p w14:paraId="0BA1A79A" w14:textId="77777777" w:rsidR="004B0BDA" w:rsidRPr="00A32AF2" w:rsidRDefault="004B0BDA" w:rsidP="004B0BDA">
      <w:pPr>
        <w:pStyle w:val="FootnoteText"/>
        <w:rPr>
          <w:rFonts w:ascii="Palatino Linotype" w:hAnsi="Palatino Linotype"/>
          <w:color w:val="000000" w:themeColor="text1"/>
        </w:rPr>
      </w:pPr>
      <w:r>
        <w:rPr>
          <w:rStyle w:val="FootnoteReference"/>
        </w:rPr>
        <w:footnoteRef/>
      </w:r>
      <w:r>
        <w:t xml:space="preserve"> </w:t>
      </w:r>
      <w:hyperlink r:id="rId82"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218-219. </w:t>
      </w:r>
      <w:r w:rsidRPr="00ED4893">
        <w:rPr>
          <w:rFonts w:ascii="Palatino Linotype" w:hAnsi="Palatino Linotype"/>
          <w:color w:val="000000" w:themeColor="text1"/>
        </w:rPr>
        <w:t>Consistent with</w:t>
      </w:r>
      <w:r>
        <w:rPr>
          <w:rFonts w:ascii="Palatino Linotype" w:hAnsi="Palatino Linotype"/>
          <w:color w:val="000000" w:themeColor="text1"/>
        </w:rPr>
        <w:t xml:space="preserve"> </w:t>
      </w:r>
      <w:hyperlink r:id="rId83" w:history="1">
        <w:r w:rsidRPr="00ED4893">
          <w:rPr>
            <w:rStyle w:val="Hyperlink"/>
            <w:rFonts w:ascii="Palatino Linotype" w:hAnsi="Palatino Linotype"/>
          </w:rPr>
          <w:t>D.19-09-051</w:t>
        </w:r>
      </w:hyperlink>
      <w:r>
        <w:rPr>
          <w:rFonts w:ascii="Palatino Linotype" w:hAnsi="Palatino Linotype"/>
          <w:color w:val="000000" w:themeColor="text1"/>
        </w:rPr>
        <w:t xml:space="preserve"> at p. 379.</w:t>
      </w:r>
    </w:p>
  </w:footnote>
  <w:footnote w:id="127">
    <w:p w14:paraId="53A78740"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3 at p. </w:t>
      </w:r>
      <w:r w:rsidRPr="00706900">
        <w:rPr>
          <w:rFonts w:ascii="Palatino Linotype" w:hAnsi="Palatino Linotype"/>
          <w:szCs w:val="16"/>
        </w:rPr>
        <w:t>47</w:t>
      </w:r>
      <w:r>
        <w:rPr>
          <w:rFonts w:ascii="Palatino Linotype" w:hAnsi="Palatino Linotype"/>
          <w:szCs w:val="16"/>
        </w:rPr>
        <w:t>.</w:t>
      </w:r>
    </w:p>
  </w:footnote>
  <w:footnote w:id="128">
    <w:p w14:paraId="5CFC86F4"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4 </w:t>
      </w:r>
      <w:r w:rsidRPr="00706900">
        <w:rPr>
          <w:rFonts w:ascii="Palatino Linotype" w:hAnsi="Palatino Linotype"/>
          <w:szCs w:val="16"/>
        </w:rPr>
        <w:t xml:space="preserve">at </w:t>
      </w:r>
      <w:r>
        <w:rPr>
          <w:rFonts w:ascii="Palatino Linotype" w:hAnsi="Palatino Linotype"/>
          <w:szCs w:val="16"/>
        </w:rPr>
        <w:t xml:space="preserve">p. </w:t>
      </w:r>
      <w:r w:rsidRPr="00706900">
        <w:rPr>
          <w:rFonts w:ascii="Palatino Linotype" w:hAnsi="Palatino Linotype"/>
          <w:szCs w:val="16"/>
        </w:rPr>
        <w:t>47</w:t>
      </w:r>
      <w:r>
        <w:rPr>
          <w:rFonts w:ascii="Palatino Linotype" w:hAnsi="Palatino Linotype"/>
          <w:szCs w:val="16"/>
        </w:rPr>
        <w:t>.</w:t>
      </w:r>
    </w:p>
  </w:footnote>
  <w:footnote w:id="129">
    <w:p w14:paraId="5ED21D46"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9 </w:t>
      </w:r>
      <w:r w:rsidRPr="00706900">
        <w:rPr>
          <w:rFonts w:ascii="Palatino Linotype" w:hAnsi="Palatino Linotype"/>
          <w:szCs w:val="16"/>
        </w:rPr>
        <w:t xml:space="preserve">at </w:t>
      </w:r>
      <w:r>
        <w:rPr>
          <w:rFonts w:ascii="Palatino Linotype" w:hAnsi="Palatino Linotype"/>
          <w:szCs w:val="16"/>
        </w:rPr>
        <w:t>p. 55.</w:t>
      </w:r>
    </w:p>
  </w:footnote>
  <w:footnote w:id="130">
    <w:p w14:paraId="3DB9F014" w14:textId="77777777" w:rsidR="004B0BDA" w:rsidRDefault="004B0BDA" w:rsidP="004B0BDA">
      <w:pPr>
        <w:pStyle w:val="FootnoteText"/>
      </w:pPr>
      <w:r>
        <w:rPr>
          <w:rStyle w:val="FootnoteReference"/>
        </w:rPr>
        <w:footnoteRef/>
      </w:r>
      <w:r>
        <w:t xml:space="preserve"> </w:t>
      </w:r>
      <w:r w:rsidRPr="00E47887">
        <w:rPr>
          <w:rFonts w:ascii="Palatino Linotype" w:hAnsi="Palatino Linotype"/>
        </w:rPr>
        <w:t>AL 5077-G-A at p. 8; 29-30</w:t>
      </w:r>
      <w:r>
        <w:rPr>
          <w:rFonts w:ascii="Palatino Linotype" w:hAnsi="Palatino Linotype"/>
        </w:rPr>
        <w:t>; 34; 55-56; 58-60; &amp; Appendix B.</w:t>
      </w:r>
    </w:p>
  </w:footnote>
  <w:footnote w:id="131">
    <w:p w14:paraId="213C0D74"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4 </w:t>
      </w:r>
      <w:r w:rsidRPr="00706900">
        <w:rPr>
          <w:rFonts w:ascii="Palatino Linotype" w:hAnsi="Palatino Linotype"/>
          <w:szCs w:val="16"/>
        </w:rPr>
        <w:t xml:space="preserve">at </w:t>
      </w:r>
      <w:r>
        <w:rPr>
          <w:rFonts w:ascii="Palatino Linotype" w:hAnsi="Palatino Linotype"/>
          <w:szCs w:val="16"/>
        </w:rPr>
        <w:t xml:space="preserve">p. </w:t>
      </w:r>
      <w:r w:rsidRPr="00706900">
        <w:rPr>
          <w:rFonts w:ascii="Palatino Linotype" w:hAnsi="Palatino Linotype"/>
          <w:szCs w:val="16"/>
        </w:rPr>
        <w:t>47</w:t>
      </w:r>
      <w:r>
        <w:rPr>
          <w:rFonts w:ascii="Palatino Linotype" w:hAnsi="Palatino Linotype"/>
          <w:szCs w:val="16"/>
        </w:rPr>
        <w:t>.</w:t>
      </w:r>
    </w:p>
  </w:footnote>
  <w:footnote w:id="132">
    <w:p w14:paraId="17DCDAFB"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w:t>
      </w:r>
      <w:r>
        <w:rPr>
          <w:rFonts w:ascii="Palatino Linotype" w:hAnsi="Palatino Linotype"/>
          <w:szCs w:val="16"/>
        </w:rPr>
        <w:t>Appendix B.</w:t>
      </w:r>
    </w:p>
  </w:footnote>
  <w:footnote w:id="133">
    <w:p w14:paraId="0EC99FBC"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35-37.</w:t>
      </w:r>
    </w:p>
  </w:footnote>
  <w:footnote w:id="134">
    <w:p w14:paraId="6801ACE3" w14:textId="77777777" w:rsidR="004B0BDA" w:rsidRDefault="004B0BDA" w:rsidP="004B0BDA">
      <w:pPr>
        <w:pStyle w:val="FootnoteText"/>
      </w:pPr>
      <w:r>
        <w:rPr>
          <w:rStyle w:val="FootnoteReference"/>
        </w:rPr>
        <w:footnoteRef/>
      </w:r>
      <w:r>
        <w:t xml:space="preserve"> </w:t>
      </w:r>
      <w:r w:rsidRPr="000C501E">
        <w:rPr>
          <w:rFonts w:ascii="Palatino Linotype" w:hAnsi="Palatino Linotype"/>
          <w:szCs w:val="16"/>
        </w:rPr>
        <w:t xml:space="preserve">AL </w:t>
      </w:r>
      <w:r>
        <w:rPr>
          <w:rFonts w:ascii="Palatino Linotype" w:hAnsi="Palatino Linotype"/>
          <w:szCs w:val="16"/>
        </w:rPr>
        <w:t>5077-G-A</w:t>
      </w:r>
      <w:r w:rsidRPr="000C501E">
        <w:rPr>
          <w:rFonts w:ascii="Palatino Linotype" w:hAnsi="Palatino Linotype"/>
          <w:szCs w:val="16"/>
        </w:rPr>
        <w:t xml:space="preserve"> at p. 13.</w:t>
      </w:r>
    </w:p>
  </w:footnote>
  <w:footnote w:id="135">
    <w:p w14:paraId="23526625" w14:textId="77777777" w:rsidR="004B0BDA" w:rsidRDefault="004B0BDA" w:rsidP="004B0BDA">
      <w:pPr>
        <w:pStyle w:val="FootnoteText"/>
      </w:pPr>
      <w:r>
        <w:rPr>
          <w:rStyle w:val="FootnoteReference"/>
        </w:rPr>
        <w:footnoteRef/>
      </w:r>
      <w:r>
        <w:t xml:space="preserve"> </w:t>
      </w:r>
      <w:r w:rsidRPr="0057276E">
        <w:rPr>
          <w:rFonts w:ascii="Palatino Linotype" w:hAnsi="Palatino Linotype"/>
          <w:szCs w:val="16"/>
        </w:rPr>
        <w:t>AL 5069-G at p. 14.</w:t>
      </w:r>
    </w:p>
  </w:footnote>
  <w:footnote w:id="136">
    <w:p w14:paraId="2B255F93" w14:textId="77777777" w:rsidR="004B0BDA" w:rsidRDefault="004B0BDA" w:rsidP="004B0BDA">
      <w:pPr>
        <w:pStyle w:val="FootnoteText"/>
      </w:pPr>
      <w:r>
        <w:rPr>
          <w:rStyle w:val="FootnoteReference"/>
        </w:rPr>
        <w:footnoteRef/>
      </w:r>
      <w:r>
        <w:t xml:space="preserve"> </w:t>
      </w:r>
      <w:r w:rsidRPr="00FB34E1">
        <w:rPr>
          <w:rFonts w:ascii="Palatino Linotype" w:hAnsi="Palatino Linotype"/>
        </w:rPr>
        <w:t xml:space="preserve">AL 5077-G-A </w:t>
      </w:r>
      <w:r w:rsidRPr="00FB34E1">
        <w:rPr>
          <w:rFonts w:ascii="Palatino Linotype" w:hAnsi="Palatino Linotype"/>
          <w:szCs w:val="16"/>
        </w:rPr>
        <w:t>at</w:t>
      </w:r>
      <w:r>
        <w:rPr>
          <w:rFonts w:ascii="Palatino Linotype" w:hAnsi="Palatino Linotype"/>
          <w:szCs w:val="16"/>
        </w:rPr>
        <w:t xml:space="preserve"> Appendix A.</w:t>
      </w:r>
    </w:p>
  </w:footnote>
  <w:footnote w:id="137">
    <w:p w14:paraId="53D064D7"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10-21.</w:t>
      </w:r>
    </w:p>
  </w:footnote>
  <w:footnote w:id="138">
    <w:p w14:paraId="7CB96F28"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 xml:space="preserve">p. </w:t>
      </w:r>
      <w:r w:rsidRPr="007E3B84">
        <w:rPr>
          <w:rFonts w:ascii="Palatino Linotype" w:hAnsi="Palatino Linotype"/>
          <w:color w:val="0D0D0D" w:themeColor="text1" w:themeTint="F2"/>
          <w:szCs w:val="16"/>
        </w:rPr>
        <w:t>5; 8; &amp; 33.</w:t>
      </w:r>
    </w:p>
  </w:footnote>
  <w:footnote w:id="139">
    <w:p w14:paraId="70EA56AD"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56-58.</w:t>
      </w:r>
    </w:p>
  </w:footnote>
  <w:footnote w:id="140">
    <w:p w14:paraId="5818C0BD" w14:textId="77777777" w:rsidR="009B3926" w:rsidRDefault="009B3926" w:rsidP="009B3926">
      <w:pPr>
        <w:pStyle w:val="FootnoteText"/>
      </w:pPr>
      <w:r>
        <w:rPr>
          <w:rStyle w:val="FootnoteReference"/>
        </w:rPr>
        <w:footnoteRef/>
      </w:r>
      <w:r>
        <w:t xml:space="preserve"> </w:t>
      </w:r>
      <w:r w:rsidRPr="00E664EA">
        <w:rPr>
          <w:rFonts w:ascii="Palatino Linotype" w:hAnsi="Palatino Linotype"/>
          <w:color w:val="000000" w:themeColor="text1"/>
        </w:rPr>
        <w:t>Resolution G-3618 at Appendix C: Guidance on Gas RD&amp;D Plans Provided to PG&amp;E During Pre-Submittal Consultation with CPUC Staff (March 2025) details guidance</w:t>
      </w:r>
      <w:r>
        <w:rPr>
          <w:rFonts w:ascii="Palatino Linotype" w:hAnsi="Palatino Linotype"/>
          <w:color w:val="000000" w:themeColor="text1"/>
        </w:rPr>
        <w:t xml:space="preserve"> </w:t>
      </w:r>
      <w:r w:rsidRPr="00E664EA">
        <w:rPr>
          <w:rFonts w:ascii="Palatino Linotype" w:hAnsi="Palatino Linotype"/>
          <w:color w:val="000000" w:themeColor="text1"/>
        </w:rPr>
        <w:t xml:space="preserve">ED staff provided to PG&amp;E in advance of pre-submittal consultation briefings conducted March 25 and May 8, 2025, with CPUC subject matter experts (SMEs). ED staff provided additional guidance throughout Plan development regarding program requirements, including during meetings held March 11, April 8, and May 5, 2025. </w:t>
      </w:r>
    </w:p>
  </w:footnote>
  <w:footnote w:id="141">
    <w:p w14:paraId="1EF0BF49" w14:textId="77777777" w:rsidR="00762C21" w:rsidRDefault="00762C21" w:rsidP="00762C21">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49.</w:t>
      </w:r>
    </w:p>
  </w:footnote>
  <w:footnote w:id="142">
    <w:p w14:paraId="14E71130" w14:textId="77777777" w:rsidR="00762C21" w:rsidRDefault="00762C21" w:rsidP="00762C21">
      <w:pPr>
        <w:pStyle w:val="FootnoteText"/>
      </w:pPr>
      <w:r>
        <w:rPr>
          <w:rStyle w:val="FootnoteReference"/>
        </w:rPr>
        <w:footnoteRef/>
      </w:r>
      <w:r>
        <w:t xml:space="preserve"> </w:t>
      </w:r>
      <w:r w:rsidRPr="006A34C4">
        <w:rPr>
          <w:rFonts w:ascii="Palatino Linotype" w:hAnsi="Palatino Linotype"/>
          <w:szCs w:val="16"/>
        </w:rPr>
        <w:t xml:space="preserve">AL </w:t>
      </w:r>
      <w:r>
        <w:rPr>
          <w:rFonts w:ascii="Palatino Linotype" w:hAnsi="Palatino Linotype"/>
          <w:szCs w:val="16"/>
        </w:rPr>
        <w:t>5077-G-A</w:t>
      </w:r>
      <w:r w:rsidRPr="006A34C4">
        <w:rPr>
          <w:rFonts w:ascii="Palatino Linotype" w:hAnsi="Palatino Linotype"/>
          <w:szCs w:val="16"/>
        </w:rPr>
        <w:t xml:space="preserve"> at p. 5</w:t>
      </w:r>
      <w:r>
        <w:rPr>
          <w:rFonts w:ascii="Palatino Linotype" w:hAnsi="Palatino Linotype"/>
          <w:szCs w:val="16"/>
        </w:rPr>
        <w:t>0-51.</w:t>
      </w:r>
    </w:p>
  </w:footnote>
  <w:footnote w:id="143">
    <w:p w14:paraId="730DEDA0" w14:textId="727D9B8F" w:rsidR="004B0BDA" w:rsidRPr="00D72150" w:rsidRDefault="004B0BDA" w:rsidP="004B0BDA">
      <w:pPr>
        <w:spacing w:after="0" w:line="240" w:lineRule="auto"/>
        <w:rPr>
          <w:rFonts w:ascii="Palatino Linotype" w:hAnsi="Palatino Linotype"/>
          <w:sz w:val="20"/>
          <w:szCs w:val="20"/>
        </w:rPr>
      </w:pPr>
      <w:r w:rsidRPr="0056499F">
        <w:rPr>
          <w:rStyle w:val="FootnoteReference"/>
          <w:sz w:val="20"/>
          <w:szCs w:val="20"/>
        </w:rPr>
        <w:footnoteRef/>
      </w:r>
      <w:r w:rsidRPr="0056499F">
        <w:rPr>
          <w:rStyle w:val="FootnoteReference"/>
        </w:rPr>
        <w:t xml:space="preserve"> </w:t>
      </w:r>
      <w:hyperlink r:id="rId84">
        <w:r w:rsidRPr="00623D73">
          <w:rPr>
            <w:rStyle w:val="Hyperlink"/>
            <w:rFonts w:ascii="Palatino Linotype" w:hAnsi="Palatino Linotype"/>
            <w:sz w:val="20"/>
            <w:szCs w:val="20"/>
          </w:rPr>
          <w:t>R.13-02-008</w:t>
        </w:r>
      </w:hyperlink>
      <w:r w:rsidRPr="00623D73">
        <w:rPr>
          <w:rFonts w:ascii="Palatino Linotype" w:hAnsi="Palatino Linotype"/>
          <w:sz w:val="20"/>
          <w:szCs w:val="20"/>
        </w:rPr>
        <w:t xml:space="preserve">: </w:t>
      </w:r>
      <w:r w:rsidR="003101FD">
        <w:rPr>
          <w:rFonts w:ascii="Palatino Linotype" w:hAnsi="Palatino Linotype"/>
          <w:sz w:val="20"/>
          <w:szCs w:val="20"/>
        </w:rPr>
        <w:t>OIR</w:t>
      </w:r>
      <w:r>
        <w:rPr>
          <w:rFonts w:ascii="Palatino Linotype" w:hAnsi="Palatino Linotype"/>
          <w:sz w:val="20"/>
          <w:szCs w:val="20"/>
        </w:rPr>
        <w:t xml:space="preserve"> </w:t>
      </w:r>
      <w:r w:rsidRPr="00623D73">
        <w:rPr>
          <w:rFonts w:ascii="Palatino Linotype" w:hAnsi="Palatino Linotype"/>
          <w:sz w:val="20"/>
          <w:szCs w:val="20"/>
        </w:rPr>
        <w:t>to Adopt Biomethane Standards and Requirements, Pipeline Open Access Rules, and Related Enforcement Provisions.</w:t>
      </w:r>
    </w:p>
  </w:footnote>
  <w:footnote w:id="144">
    <w:p w14:paraId="78621772" w14:textId="4F539FB3" w:rsidR="004B0BDA" w:rsidRPr="00F25BF3" w:rsidRDefault="004B0BDA" w:rsidP="004B0BDA">
      <w:pPr>
        <w:pStyle w:val="FootnoteText"/>
        <w:rPr>
          <w:rFonts w:ascii="Palatino Linotype" w:hAnsi="Palatino Linotype"/>
          <w:color w:val="000000" w:themeColor="text1"/>
        </w:rPr>
      </w:pPr>
      <w:r>
        <w:rPr>
          <w:rStyle w:val="FootnoteReference"/>
        </w:rPr>
        <w:footnoteRef/>
      </w:r>
      <w:r>
        <w:t xml:space="preserve"> </w:t>
      </w:r>
      <w:hyperlink r:id="rId85"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218-219. </w:t>
      </w:r>
      <w:r w:rsidRPr="00EA1BDD">
        <w:rPr>
          <w:rFonts w:ascii="Palatino Linotype" w:hAnsi="Palatino Linotype"/>
        </w:rPr>
        <w:t xml:space="preserve">Consistent with </w:t>
      </w:r>
      <w:hyperlink r:id="rId86" w:tgtFrame="_blank" w:history="1">
        <w:r w:rsidRPr="00C333D3">
          <w:rPr>
            <w:rStyle w:val="Hyperlink"/>
            <w:rFonts w:ascii="Palatino Linotype" w:hAnsi="Palatino Linotype" w:cs="Times New Roman"/>
            <w:bCs/>
          </w:rPr>
          <w:t>Resolution G-3586</w:t>
        </w:r>
        <w:r>
          <w:rPr>
            <w:rStyle w:val="Hyperlink"/>
            <w:rFonts w:ascii="Times New Roman" w:hAnsi="Times New Roman" w:cs="Times New Roman"/>
            <w:bCs/>
          </w:rPr>
          <w:t> </w:t>
        </w:r>
      </w:hyperlink>
      <w:r w:rsidRPr="00EA1BDD">
        <w:rPr>
          <w:rFonts w:ascii="Palatino Linotype" w:hAnsi="Palatino Linotype"/>
          <w:bCs/>
        </w:rPr>
        <w:t>(2022</w:t>
      </w:r>
      <w:r w:rsidR="007E1B1E">
        <w:rPr>
          <w:rFonts w:ascii="Palatino Linotype" w:hAnsi="Palatino Linotype"/>
          <w:bCs/>
        </w:rPr>
        <w:t>)</w:t>
      </w:r>
      <w:r>
        <w:rPr>
          <w:rFonts w:ascii="Palatino Linotype" w:hAnsi="Palatino Linotype"/>
          <w:bCs/>
        </w:rPr>
        <w:t xml:space="preserve"> at OP 5.</w:t>
      </w:r>
    </w:p>
  </w:footnote>
  <w:footnote w:id="145">
    <w:p w14:paraId="662A6839" w14:textId="77777777" w:rsidR="004B0BDA" w:rsidRDefault="004B0BDA" w:rsidP="004B0BDA">
      <w:pPr>
        <w:pStyle w:val="FootnoteText"/>
      </w:pPr>
      <w:r>
        <w:rPr>
          <w:rStyle w:val="FootnoteReference"/>
        </w:rPr>
        <w:footnoteRef/>
      </w:r>
      <w:r>
        <w:t xml:space="preserve"> </w:t>
      </w:r>
      <w:r w:rsidRPr="00AC22DE">
        <w:rPr>
          <w:rFonts w:ascii="Palatino Linotype" w:hAnsi="Palatino Linotype"/>
          <w:color w:val="000000" w:themeColor="text1"/>
        </w:rPr>
        <w:t xml:space="preserve">AL </w:t>
      </w:r>
      <w:r>
        <w:rPr>
          <w:rFonts w:ascii="Palatino Linotype" w:hAnsi="Palatino Linotype"/>
          <w:color w:val="000000" w:themeColor="text1"/>
        </w:rPr>
        <w:t>5077-G-A</w:t>
      </w:r>
      <w:r w:rsidRPr="00AC22DE">
        <w:rPr>
          <w:rFonts w:ascii="Palatino Linotype" w:hAnsi="Palatino Linotype"/>
          <w:color w:val="000000" w:themeColor="text1"/>
        </w:rPr>
        <w:t xml:space="preserve"> at p. 39-40</w:t>
      </w:r>
      <w:r>
        <w:rPr>
          <w:rFonts w:ascii="Palatino Linotype" w:hAnsi="Palatino Linotype"/>
          <w:color w:val="000000" w:themeColor="text1"/>
        </w:rPr>
        <w:t>.</w:t>
      </w:r>
    </w:p>
  </w:footnote>
  <w:footnote w:id="146">
    <w:p w14:paraId="03ED3DA2"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35-36.</w:t>
      </w:r>
    </w:p>
  </w:footnote>
  <w:footnote w:id="147">
    <w:p w14:paraId="3F622B0C"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36-37.</w:t>
      </w:r>
    </w:p>
  </w:footnote>
  <w:footnote w:id="148">
    <w:p w14:paraId="341A31DE"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49-59.</w:t>
      </w:r>
    </w:p>
  </w:footnote>
  <w:footnote w:id="149">
    <w:p w14:paraId="6BF7E890"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54.</w:t>
      </w:r>
    </w:p>
  </w:footnote>
  <w:footnote w:id="150">
    <w:p w14:paraId="20A1D121" w14:textId="77777777" w:rsidR="004B0BDA" w:rsidRDefault="004B0BDA" w:rsidP="004B0BDA">
      <w:pPr>
        <w:pStyle w:val="FootnoteText"/>
      </w:pPr>
      <w:r>
        <w:rPr>
          <w:rStyle w:val="FootnoteReference"/>
        </w:rPr>
        <w:footnoteRef/>
      </w:r>
      <w:r>
        <w:t xml:space="preserve"> </w:t>
      </w:r>
      <w:r w:rsidRPr="004D4B3B">
        <w:rPr>
          <w:rFonts w:ascii="Palatino Linotype" w:hAnsi="Palatino Linotype"/>
          <w:color w:val="000000" w:themeColor="text1"/>
        </w:rPr>
        <w:t xml:space="preserve">AL </w:t>
      </w:r>
      <w:r>
        <w:rPr>
          <w:rFonts w:ascii="Palatino Linotype" w:hAnsi="Palatino Linotype"/>
          <w:color w:val="000000" w:themeColor="text1"/>
        </w:rPr>
        <w:t>5077-G-A</w:t>
      </w:r>
      <w:r w:rsidRPr="004D4B3B">
        <w:rPr>
          <w:rFonts w:ascii="Palatino Linotype" w:hAnsi="Palatino Linotype"/>
          <w:color w:val="000000" w:themeColor="text1"/>
        </w:rPr>
        <w:t xml:space="preserve"> at p. 38</w:t>
      </w:r>
      <w:r>
        <w:rPr>
          <w:rFonts w:ascii="Palatino Linotype" w:hAnsi="Palatino Linotype"/>
          <w:color w:val="000000" w:themeColor="text1"/>
        </w:rPr>
        <w:t>.</w:t>
      </w:r>
    </w:p>
  </w:footnote>
  <w:footnote w:id="151">
    <w:p w14:paraId="7AE0995B" w14:textId="77777777" w:rsidR="004B0BDA" w:rsidRDefault="004B0BDA" w:rsidP="004B0BDA">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5077-G-A</w:t>
      </w:r>
      <w:r w:rsidRPr="00267EB3">
        <w:rPr>
          <w:rFonts w:ascii="Palatino Linotype" w:hAnsi="Palatino Linotype"/>
          <w:color w:val="000000" w:themeColor="text1"/>
        </w:rPr>
        <w:t xml:space="preserve"> at p. 39</w:t>
      </w:r>
      <w:r>
        <w:rPr>
          <w:rFonts w:ascii="Palatino Linotype" w:hAnsi="Palatino Linotype"/>
          <w:color w:val="000000" w:themeColor="text1"/>
        </w:rPr>
        <w:t>.</w:t>
      </w:r>
    </w:p>
  </w:footnote>
  <w:footnote w:id="152">
    <w:p w14:paraId="48779464" w14:textId="4DC06763" w:rsidR="002A7592" w:rsidRDefault="002A7592">
      <w:pPr>
        <w:pStyle w:val="FootnoteText"/>
      </w:pPr>
      <w:r>
        <w:rPr>
          <w:rStyle w:val="FootnoteReference"/>
        </w:rPr>
        <w:footnoteRef/>
      </w:r>
      <w:r>
        <w:t xml:space="preserve"> </w:t>
      </w:r>
      <w:r w:rsidRPr="004C25CF">
        <w:rPr>
          <w:rFonts w:ascii="Palatino Linotype" w:hAnsi="Palatino Linotype"/>
        </w:rPr>
        <w:t>See Appendix C: Guidance on Gas RD&amp;D Plans Provided to PG&amp;E During Pre-Submittal Consultation with CPUC Staff in March 2025</w:t>
      </w:r>
      <w:r>
        <w:t>.</w:t>
      </w:r>
    </w:p>
  </w:footnote>
  <w:footnote w:id="153">
    <w:p w14:paraId="140DAA4C" w14:textId="77777777" w:rsidR="00CD2F5F" w:rsidRDefault="00CD2F5F" w:rsidP="00CD2F5F">
      <w:pPr>
        <w:pStyle w:val="FootnoteText"/>
      </w:pPr>
      <w:r>
        <w:rPr>
          <w:rStyle w:val="FootnoteReference"/>
        </w:rPr>
        <w:footnoteRef/>
      </w:r>
      <w:r>
        <w:t xml:space="preserve"> </w:t>
      </w:r>
      <w:r w:rsidRPr="00215FFF">
        <w:rPr>
          <w:rFonts w:ascii="Palatino Linotype" w:hAnsi="Palatino Linotype"/>
        </w:rPr>
        <w:t>Required by California Public Utilities Code Section 740.1 at (a).</w:t>
      </w:r>
    </w:p>
  </w:footnote>
  <w:footnote w:id="154">
    <w:p w14:paraId="6B4AD0EA" w14:textId="77777777" w:rsidR="00CD2F5F" w:rsidRPr="00E1674B" w:rsidRDefault="00CD2F5F" w:rsidP="00CD2F5F">
      <w:pPr>
        <w:spacing w:after="0" w:line="240" w:lineRule="auto"/>
        <w:rPr>
          <w:rFonts w:ascii="Palatino Linotype" w:eastAsia="Century Gothic" w:hAnsi="Palatino Linotype" w:cs="Century Gothic"/>
          <w:sz w:val="20"/>
          <w:szCs w:val="20"/>
        </w:rPr>
      </w:pPr>
      <w:r w:rsidRPr="00657690">
        <w:rPr>
          <w:rStyle w:val="FootnoteReference"/>
          <w:rFonts w:ascii="Palatino Linotype" w:hAnsi="Palatino Linotype"/>
          <w:sz w:val="20"/>
          <w:szCs w:val="20"/>
        </w:rPr>
        <w:footnoteRef/>
      </w:r>
      <w:r w:rsidRPr="00657690">
        <w:rPr>
          <w:rFonts w:ascii="Palatino Linotype" w:hAnsi="Palatino Linotype"/>
          <w:sz w:val="20"/>
          <w:szCs w:val="20"/>
        </w:rPr>
        <w:t xml:space="preserve"> </w:t>
      </w:r>
      <w:hyperlink r:id="rId87" w:history="1">
        <w:r w:rsidRPr="00657690">
          <w:rPr>
            <w:rStyle w:val="Hyperlink"/>
            <w:rFonts w:ascii="Palatino Linotype" w:hAnsi="Palatino Linotype"/>
            <w:sz w:val="20"/>
            <w:szCs w:val="12"/>
          </w:rPr>
          <w:t>D.23-04-042</w:t>
        </w:r>
      </w:hyperlink>
      <w:r>
        <w:rPr>
          <w:rFonts w:ascii="Palatino Linotype" w:hAnsi="Palatino Linotype"/>
          <w:sz w:val="20"/>
          <w:szCs w:val="12"/>
        </w:rPr>
        <w:t xml:space="preserve"> </w:t>
      </w:r>
      <w:r w:rsidRPr="00657690">
        <w:rPr>
          <w:rFonts w:ascii="Palatino Linotype" w:hAnsi="Palatino Linotype"/>
          <w:sz w:val="20"/>
          <w:szCs w:val="12"/>
        </w:rPr>
        <w:t xml:space="preserve">at Appendix A. See </w:t>
      </w:r>
      <w:r>
        <w:rPr>
          <w:rFonts w:ascii="Palatino Linotype" w:hAnsi="Palatino Linotype"/>
          <w:sz w:val="20"/>
          <w:szCs w:val="12"/>
        </w:rPr>
        <w:t xml:space="preserve">Resolution G-3618 at </w:t>
      </w:r>
      <w:r w:rsidRPr="00657690">
        <w:rPr>
          <w:rFonts w:ascii="Palatino Linotype" w:hAnsi="Palatino Linotype"/>
          <w:sz w:val="20"/>
          <w:szCs w:val="20"/>
        </w:rPr>
        <w:t>A</w:t>
      </w:r>
      <w:r>
        <w:rPr>
          <w:rFonts w:ascii="Palatino Linotype" w:hAnsi="Palatino Linotype"/>
          <w:sz w:val="20"/>
          <w:szCs w:val="20"/>
        </w:rPr>
        <w:t>ppendix</w:t>
      </w:r>
      <w:r w:rsidRPr="00657690">
        <w:rPr>
          <w:rFonts w:ascii="Palatino Linotype" w:hAnsi="Palatino Linotype"/>
          <w:sz w:val="20"/>
          <w:szCs w:val="20"/>
        </w:rPr>
        <w:t xml:space="preserve"> </w:t>
      </w:r>
      <w:r>
        <w:rPr>
          <w:rFonts w:ascii="Palatino Linotype" w:hAnsi="Palatino Linotype"/>
          <w:color w:val="000000" w:themeColor="text1"/>
          <w:sz w:val="20"/>
          <w:szCs w:val="20"/>
        </w:rPr>
        <w:t>E</w:t>
      </w:r>
      <w:r w:rsidRPr="00657690">
        <w:rPr>
          <w:rFonts w:ascii="Palatino Linotype" w:hAnsi="Palatino Linotype"/>
          <w:sz w:val="20"/>
          <w:szCs w:val="20"/>
        </w:rPr>
        <w:t>: EPIC Foundational Principles for the Development of a Uniform Impact Analysis Framework.</w:t>
      </w:r>
      <w:r>
        <w:rPr>
          <w:rFonts w:ascii="Palatino Linotype" w:hAnsi="Palatino Linotype"/>
          <w:sz w:val="20"/>
          <w:szCs w:val="20"/>
        </w:rPr>
        <w:t xml:space="preserve"> </w:t>
      </w:r>
      <w:r w:rsidRPr="00230B46">
        <w:rPr>
          <w:rFonts w:ascii="Palatino Linotype" w:hAnsi="Palatino Linotype"/>
          <w:sz w:val="20"/>
          <w:szCs w:val="20"/>
        </w:rPr>
        <w:t xml:space="preserve">Consistent with </w:t>
      </w:r>
      <w:hyperlink r:id="rId88">
        <w:r w:rsidRPr="00230B46">
          <w:rPr>
            <w:rFonts w:ascii="Palatino Linotype" w:eastAsia="Century Gothic" w:hAnsi="Palatino Linotype" w:cs="Century Gothic"/>
            <w:color w:val="467886" w:themeColor="hyperlink"/>
            <w:sz w:val="20"/>
            <w:szCs w:val="20"/>
            <w:u w:val="single"/>
          </w:rPr>
          <w:t>Resolution G-3603</w:t>
        </w:r>
      </w:hyperlink>
      <w:r w:rsidRPr="00230B46">
        <w:rPr>
          <w:rFonts w:ascii="Palatino Linotype" w:hAnsi="Palatino Linotype"/>
          <w:sz w:val="20"/>
          <w:szCs w:val="20"/>
        </w:rPr>
        <w:t xml:space="preserve"> (2024)</w:t>
      </w:r>
      <w:r>
        <w:rPr>
          <w:rFonts w:ascii="Palatino Linotype" w:hAnsi="Palatino Linotype"/>
          <w:sz w:val="20"/>
          <w:szCs w:val="20"/>
        </w:rPr>
        <w:t xml:space="preserve"> </w:t>
      </w:r>
      <w:r w:rsidRPr="00230B46">
        <w:rPr>
          <w:rFonts w:ascii="Palatino Linotype" w:hAnsi="Palatino Linotype"/>
          <w:sz w:val="20"/>
          <w:szCs w:val="20"/>
        </w:rPr>
        <w:t>at</w:t>
      </w:r>
      <w:r w:rsidRPr="00230B46">
        <w:rPr>
          <w:rFonts w:ascii="Palatino Linotype" w:eastAsia="Century Gothic" w:hAnsi="Palatino Linotype" w:cs="Century Gothic"/>
          <w:sz w:val="20"/>
          <w:szCs w:val="20"/>
        </w:rPr>
        <w:t xml:space="preserve"> OP 6</w:t>
      </w:r>
      <w:r>
        <w:rPr>
          <w:rFonts w:ascii="Palatino Linotype" w:eastAsia="Century Gothic" w:hAnsi="Palatino Linotype" w:cs="Century Gothic"/>
          <w:sz w:val="20"/>
          <w:szCs w:val="20"/>
        </w:rPr>
        <w:t>: “</w:t>
      </w:r>
      <w:r w:rsidRPr="00E1674B">
        <w:rPr>
          <w:rFonts w:ascii="Palatino Linotype" w:eastAsia="Century Gothic" w:hAnsi="Palatino Linotype" w:cs="Century Gothic"/>
          <w:sz w:val="20"/>
          <w:szCs w:val="20"/>
        </w:rPr>
        <w:t>Once the</w:t>
      </w:r>
      <w:r>
        <w:rPr>
          <w:rFonts w:ascii="Palatino Linotype" w:eastAsia="Century Gothic" w:hAnsi="Palatino Linotype" w:cs="Century Gothic"/>
          <w:sz w:val="20"/>
          <w:szCs w:val="20"/>
        </w:rPr>
        <w:t xml:space="preserve"> [</w:t>
      </w:r>
      <w:r w:rsidRPr="00E1674B">
        <w:rPr>
          <w:rFonts w:ascii="Palatino Linotype" w:eastAsia="Century Gothic" w:hAnsi="Palatino Linotype" w:cs="Century Gothic"/>
          <w:sz w:val="20"/>
          <w:szCs w:val="20"/>
        </w:rPr>
        <w:t>EPIC</w:t>
      </w:r>
      <w:r>
        <w:rPr>
          <w:rFonts w:ascii="Palatino Linotype" w:eastAsia="Century Gothic" w:hAnsi="Palatino Linotype" w:cs="Century Gothic"/>
          <w:sz w:val="20"/>
          <w:szCs w:val="20"/>
        </w:rPr>
        <w:t>]</w:t>
      </w:r>
      <w:r w:rsidRPr="00E1674B">
        <w:rPr>
          <w:rFonts w:ascii="Palatino Linotype" w:eastAsia="Century Gothic" w:hAnsi="Palatino Linotype" w:cs="Century Gothic"/>
          <w:sz w:val="20"/>
          <w:szCs w:val="20"/>
        </w:rPr>
        <w:t xml:space="preserve"> program’s Uniform Impact</w:t>
      </w:r>
      <w:r>
        <w:rPr>
          <w:rFonts w:ascii="Palatino Linotype" w:eastAsia="Century Gothic" w:hAnsi="Palatino Linotype" w:cs="Century Gothic"/>
          <w:sz w:val="20"/>
          <w:szCs w:val="20"/>
        </w:rPr>
        <w:t xml:space="preserve"> </w:t>
      </w:r>
      <w:r w:rsidRPr="00E1674B">
        <w:rPr>
          <w:rFonts w:ascii="Palatino Linotype" w:eastAsia="Century Gothic" w:hAnsi="Palatino Linotype" w:cs="Century Gothic"/>
          <w:sz w:val="20"/>
          <w:szCs w:val="20"/>
        </w:rPr>
        <w:t>Analysis framework is approved by the Commission, the California Energy</w:t>
      </w:r>
      <w:r>
        <w:rPr>
          <w:rFonts w:ascii="Palatino Linotype" w:eastAsia="Century Gothic" w:hAnsi="Palatino Linotype" w:cs="Century Gothic"/>
          <w:sz w:val="20"/>
          <w:szCs w:val="20"/>
        </w:rPr>
        <w:t xml:space="preserve"> </w:t>
      </w:r>
      <w:r w:rsidRPr="00E1674B">
        <w:rPr>
          <w:rFonts w:ascii="Palatino Linotype" w:eastAsia="Century Gothic" w:hAnsi="Palatino Linotype" w:cs="Century Gothic"/>
          <w:sz w:val="20"/>
          <w:szCs w:val="20"/>
        </w:rPr>
        <w:t>Commission shall use this framework to demonstrate outcomes of achieving its</w:t>
      </w:r>
      <w:r>
        <w:rPr>
          <w:rFonts w:ascii="Palatino Linotype" w:eastAsia="Century Gothic" w:hAnsi="Palatino Linotype" w:cs="Century Gothic"/>
          <w:sz w:val="20"/>
          <w:szCs w:val="20"/>
        </w:rPr>
        <w:t xml:space="preserve"> </w:t>
      </w:r>
      <w:r w:rsidRPr="00E1674B">
        <w:rPr>
          <w:rFonts w:ascii="Palatino Linotype" w:eastAsia="Century Gothic" w:hAnsi="Palatino Linotype" w:cs="Century Gothic"/>
          <w:sz w:val="20"/>
          <w:szCs w:val="20"/>
        </w:rPr>
        <w:t>proposed benefits for all current and future research projects including through</w:t>
      </w:r>
      <w:r>
        <w:rPr>
          <w:rFonts w:ascii="Palatino Linotype" w:eastAsia="Century Gothic" w:hAnsi="Palatino Linotype" w:cs="Century Gothic"/>
          <w:sz w:val="20"/>
          <w:szCs w:val="20"/>
        </w:rPr>
        <w:t xml:space="preserve"> </w:t>
      </w:r>
      <w:r w:rsidRPr="00E1674B">
        <w:rPr>
          <w:rFonts w:ascii="Palatino Linotype" w:eastAsia="Century Gothic" w:hAnsi="Palatino Linotype" w:cs="Century Gothic"/>
          <w:sz w:val="20"/>
          <w:szCs w:val="20"/>
        </w:rPr>
        <w:t>quantitative methodologies</w:t>
      </w:r>
      <w:r>
        <w:rPr>
          <w:rFonts w:ascii="Palatino Linotype" w:eastAsia="Century Gothic" w:hAnsi="Palatino Linotype" w:cs="Century Gothic"/>
          <w:sz w:val="20"/>
          <w:szCs w:val="20"/>
        </w:rPr>
        <w:t>.”</w:t>
      </w:r>
    </w:p>
  </w:footnote>
  <w:footnote w:id="155">
    <w:p w14:paraId="75E362CC" w14:textId="334B72DE" w:rsidR="00CD2F5F" w:rsidRDefault="00CD2F5F" w:rsidP="00CD2F5F">
      <w:pPr>
        <w:pStyle w:val="FootnoteText"/>
      </w:pPr>
      <w:r>
        <w:rPr>
          <w:rStyle w:val="FootnoteReference"/>
        </w:rPr>
        <w:footnoteRef/>
      </w:r>
      <w:r>
        <w:rPr>
          <w:rFonts w:ascii="Palatino Linotype" w:hAnsi="Palatino Linotype"/>
          <w:color w:val="000000" w:themeColor="text1"/>
        </w:rPr>
        <w:t xml:space="preserve"> </w:t>
      </w:r>
      <w:r w:rsidR="007D39AF" w:rsidRPr="00267EB3">
        <w:rPr>
          <w:rFonts w:ascii="Palatino Linotype" w:hAnsi="Palatino Linotype"/>
          <w:color w:val="000000" w:themeColor="text1"/>
        </w:rPr>
        <w:t xml:space="preserve">AL </w:t>
      </w:r>
      <w:r w:rsidR="007D39AF">
        <w:rPr>
          <w:rFonts w:ascii="Palatino Linotype" w:hAnsi="Palatino Linotype"/>
          <w:color w:val="000000" w:themeColor="text1"/>
        </w:rPr>
        <w:t>5077-G-A</w:t>
      </w:r>
      <w:r w:rsidR="007D39AF" w:rsidRPr="00267EB3">
        <w:rPr>
          <w:rFonts w:ascii="Palatino Linotype" w:hAnsi="Palatino Linotype"/>
          <w:color w:val="000000" w:themeColor="text1"/>
        </w:rPr>
        <w:t xml:space="preserve"> at p. </w:t>
      </w:r>
      <w:r w:rsidR="007D39AF">
        <w:rPr>
          <w:rFonts w:ascii="Palatino Linotype" w:hAnsi="Palatino Linotype"/>
          <w:color w:val="000000" w:themeColor="text1"/>
        </w:rPr>
        <w:t>50-52.</w:t>
      </w:r>
    </w:p>
  </w:footnote>
  <w:footnote w:id="156">
    <w:p w14:paraId="783E5A6F" w14:textId="237B3111" w:rsidR="00AC6777" w:rsidRDefault="00AC6777">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5077-G-A</w:t>
      </w:r>
      <w:r w:rsidRPr="00267EB3">
        <w:rPr>
          <w:rFonts w:ascii="Palatino Linotype" w:hAnsi="Palatino Linotype"/>
          <w:color w:val="000000" w:themeColor="text1"/>
        </w:rPr>
        <w:t xml:space="preserve"> at p. </w:t>
      </w:r>
      <w:r>
        <w:rPr>
          <w:rFonts w:ascii="Palatino Linotype" w:hAnsi="Palatino Linotype"/>
          <w:color w:val="000000" w:themeColor="text1"/>
        </w:rPr>
        <w:t>54-55.</w:t>
      </w:r>
    </w:p>
  </w:footnote>
  <w:footnote w:id="157">
    <w:p w14:paraId="2F521A55" w14:textId="77777777" w:rsidR="00CD2F5F" w:rsidRDefault="00CD2F5F" w:rsidP="00CD2F5F">
      <w:pPr>
        <w:pStyle w:val="FootnoteText"/>
      </w:pPr>
      <w:r>
        <w:rPr>
          <w:rStyle w:val="FootnoteReference"/>
        </w:rPr>
        <w:footnoteRef/>
      </w:r>
      <w:r>
        <w:t xml:space="preserve"> </w:t>
      </w:r>
      <w:r w:rsidRPr="00267EB3">
        <w:rPr>
          <w:rFonts w:ascii="Palatino Linotype" w:hAnsi="Palatino Linotype"/>
          <w:color w:val="000000" w:themeColor="text1"/>
        </w:rPr>
        <w:t xml:space="preserve">AL </w:t>
      </w:r>
      <w:r>
        <w:rPr>
          <w:rFonts w:ascii="Palatino Linotype" w:hAnsi="Palatino Linotype"/>
          <w:color w:val="000000" w:themeColor="text1"/>
        </w:rPr>
        <w:t>5077-G-A</w:t>
      </w:r>
      <w:r w:rsidRPr="00267EB3">
        <w:rPr>
          <w:rFonts w:ascii="Palatino Linotype" w:hAnsi="Palatino Linotype"/>
          <w:color w:val="000000" w:themeColor="text1"/>
        </w:rPr>
        <w:t xml:space="preserve"> at p. 39</w:t>
      </w:r>
      <w:r>
        <w:rPr>
          <w:rFonts w:ascii="Palatino Linotype" w:hAnsi="Palatino Linotype"/>
          <w:color w:val="000000" w:themeColor="text1"/>
        </w:rPr>
        <w:t>.</w:t>
      </w:r>
    </w:p>
  </w:footnote>
  <w:footnote w:id="158">
    <w:p w14:paraId="5A0D9CF8" w14:textId="77777777" w:rsidR="004B0BDA" w:rsidRPr="007B2D2D" w:rsidRDefault="004B0BDA" w:rsidP="004B0BDA">
      <w:pPr>
        <w:pStyle w:val="FootnoteText"/>
        <w:rPr>
          <w:rFonts w:ascii="Palatino Linotype" w:hAnsi="Palatino Linotype"/>
          <w:bCs/>
        </w:rPr>
      </w:pPr>
      <w:r>
        <w:rPr>
          <w:rStyle w:val="FootnoteReference"/>
        </w:rPr>
        <w:footnoteRef/>
      </w:r>
      <w:r>
        <w:t xml:space="preserve"> </w:t>
      </w:r>
      <w:hyperlink r:id="rId89"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219. </w:t>
      </w:r>
      <w:r w:rsidRPr="008A243A">
        <w:rPr>
          <w:rFonts w:ascii="Palatino Linotype" w:hAnsi="Palatino Linotype"/>
        </w:rPr>
        <w:t xml:space="preserve">See </w:t>
      </w:r>
      <w:r>
        <w:rPr>
          <w:rFonts w:ascii="Palatino Linotype" w:hAnsi="Palatino Linotype"/>
          <w:szCs w:val="12"/>
        </w:rPr>
        <w:t xml:space="preserve">Resolution G-3618 at </w:t>
      </w:r>
      <w:r w:rsidRPr="008A243A">
        <w:rPr>
          <w:rFonts w:ascii="Palatino Linotype" w:hAnsi="Palatino Linotype"/>
        </w:rPr>
        <w:t>Appendix B: Administrative Budget Cost Categories</w:t>
      </w:r>
      <w:r>
        <w:rPr>
          <w:rFonts w:ascii="Palatino Linotype" w:hAnsi="Palatino Linotype"/>
        </w:rPr>
        <w:t xml:space="preserve">. </w:t>
      </w:r>
      <w:r w:rsidRPr="00EA1BDD">
        <w:rPr>
          <w:rFonts w:ascii="Palatino Linotype" w:hAnsi="Palatino Linotype"/>
        </w:rPr>
        <w:t xml:space="preserve">Consistent with </w:t>
      </w:r>
      <w:hyperlink r:id="rId90" w:tgtFrame="_blank" w:history="1">
        <w:r w:rsidRPr="00E2662A">
          <w:rPr>
            <w:rStyle w:val="Hyperlink"/>
            <w:rFonts w:ascii="Palatino Linotype" w:hAnsi="Palatino Linotype" w:cs="Times New Roman"/>
            <w:bCs/>
          </w:rPr>
          <w:t>Resolution G-3586</w:t>
        </w:r>
        <w:r w:rsidRPr="00E2662A">
          <w:rPr>
            <w:rStyle w:val="Hyperlink"/>
            <w:rFonts w:ascii="Times New Roman" w:hAnsi="Times New Roman" w:cs="Times New Roman"/>
            <w:bCs/>
          </w:rPr>
          <w:t> </w:t>
        </w:r>
      </w:hyperlink>
      <w:r w:rsidRPr="00EA1BDD">
        <w:rPr>
          <w:rFonts w:ascii="Palatino Linotype" w:hAnsi="Palatino Linotype"/>
          <w:bCs/>
        </w:rPr>
        <w:t>(2022)</w:t>
      </w:r>
      <w:r>
        <w:rPr>
          <w:rFonts w:ascii="Palatino Linotype" w:hAnsi="Palatino Linotype"/>
          <w:bCs/>
        </w:rPr>
        <w:t xml:space="preserve"> at OP 4.</w:t>
      </w:r>
    </w:p>
  </w:footnote>
  <w:footnote w:id="159">
    <w:p w14:paraId="574BC2D0"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at </w:t>
      </w:r>
      <w:r>
        <w:rPr>
          <w:rFonts w:ascii="Palatino Linotype" w:hAnsi="Palatino Linotype"/>
          <w:szCs w:val="16"/>
        </w:rPr>
        <w:t xml:space="preserve">p. </w:t>
      </w:r>
      <w:r w:rsidRPr="00706900">
        <w:rPr>
          <w:rFonts w:ascii="Palatino Linotype" w:hAnsi="Palatino Linotype"/>
          <w:szCs w:val="16"/>
        </w:rPr>
        <w:t>47</w:t>
      </w:r>
      <w:r>
        <w:rPr>
          <w:rFonts w:ascii="Palatino Linotype" w:hAnsi="Palatino Linotype"/>
          <w:szCs w:val="16"/>
        </w:rPr>
        <w:t xml:space="preserve"> &amp; 60.</w:t>
      </w:r>
    </w:p>
  </w:footnote>
  <w:footnote w:id="160">
    <w:p w14:paraId="599851A6" w14:textId="006B1EB1" w:rsidR="002D770D" w:rsidRDefault="002D770D">
      <w:pPr>
        <w:pStyle w:val="FootnoteText"/>
      </w:pPr>
      <w:r>
        <w:rPr>
          <w:rStyle w:val="FootnoteReference"/>
        </w:rPr>
        <w:footnoteRef/>
      </w:r>
      <w:r>
        <w:t xml:space="preserve"> </w:t>
      </w:r>
      <w:r w:rsidRPr="002D770D">
        <w:rPr>
          <w:rFonts w:ascii="Palatino Linotype" w:hAnsi="Palatino Linotype"/>
        </w:rPr>
        <w:t xml:space="preserve">See </w:t>
      </w:r>
      <w:r>
        <w:rPr>
          <w:rFonts w:ascii="Palatino Linotype" w:hAnsi="Palatino Linotype"/>
          <w:szCs w:val="12"/>
        </w:rPr>
        <w:t xml:space="preserve">Resolution G-3618 at </w:t>
      </w:r>
      <w:r w:rsidRPr="008A243A">
        <w:rPr>
          <w:rFonts w:ascii="Palatino Linotype" w:hAnsi="Palatino Linotype"/>
        </w:rPr>
        <w:t>Appendix B: Administrative Budget Cost Categories</w:t>
      </w:r>
      <w:r>
        <w:rPr>
          <w:rFonts w:ascii="Palatino Linotype" w:hAnsi="Palatino Linotype"/>
        </w:rPr>
        <w:t>.</w:t>
      </w:r>
    </w:p>
  </w:footnote>
  <w:footnote w:id="161">
    <w:p w14:paraId="107D94E9" w14:textId="77777777" w:rsidR="004B0BDA" w:rsidRDefault="004B0BDA" w:rsidP="004B0BDA">
      <w:pPr>
        <w:pStyle w:val="FootnoteText"/>
      </w:pPr>
      <w:r>
        <w:rPr>
          <w:rStyle w:val="FootnoteReference"/>
        </w:rPr>
        <w:footnoteRef/>
      </w:r>
      <w:r>
        <w:t xml:space="preserve"> </w:t>
      </w:r>
      <w:hyperlink r:id="rId91"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219-220. Reference to </w:t>
      </w:r>
      <w:hyperlink r:id="rId92" w:tgtFrame="_blank" w:history="1">
        <w:r w:rsidRPr="00E2662A">
          <w:rPr>
            <w:rStyle w:val="Hyperlink"/>
            <w:rFonts w:ascii="Palatino Linotype" w:hAnsi="Palatino Linotype" w:cs="Times New Roman"/>
            <w:bCs/>
          </w:rPr>
          <w:t>Resolution G-3586</w:t>
        </w:r>
        <w:r w:rsidRPr="00E2662A">
          <w:rPr>
            <w:rStyle w:val="Hyperlink"/>
            <w:rFonts w:ascii="Times New Roman" w:hAnsi="Times New Roman" w:cs="Times New Roman"/>
            <w:bCs/>
          </w:rPr>
          <w:t> </w:t>
        </w:r>
      </w:hyperlink>
      <w:r w:rsidRPr="00EA1BDD">
        <w:rPr>
          <w:rFonts w:ascii="Palatino Linotype" w:hAnsi="Palatino Linotype"/>
          <w:bCs/>
        </w:rPr>
        <w:t>(2022)</w:t>
      </w:r>
      <w:r>
        <w:rPr>
          <w:rFonts w:ascii="Palatino Linotype" w:hAnsi="Palatino Linotype"/>
          <w:bCs/>
        </w:rPr>
        <w:t xml:space="preserve"> at p. 20-21. </w:t>
      </w:r>
      <w:r w:rsidRPr="001524E1">
        <w:rPr>
          <w:rFonts w:ascii="Palatino Linotype" w:hAnsi="Palatino Linotype"/>
          <w:bCs/>
        </w:rPr>
        <w:t>“</w:t>
      </w:r>
      <w:r w:rsidRPr="001524E1">
        <w:rPr>
          <w:rFonts w:ascii="Palatino Linotype" w:hAnsi="Palatino Linotype" w:cs="Segoe UI"/>
          <w:bCs/>
          <w:kern w:val="0"/>
          <w:sz w:val="18"/>
          <w:szCs w:val="18"/>
          <w14:ligatures w14:val="none"/>
        </w:rPr>
        <w:t>I</w:t>
      </w:r>
      <w:r w:rsidRPr="001524E1">
        <w:rPr>
          <w:rFonts w:ascii="Palatino Linotype" w:hAnsi="Palatino Linotype"/>
          <w:bCs/>
        </w:rPr>
        <w:t>n future Plans, SoCalGas should align its RD&amp;D investments with evolving state energy policies.”</w:t>
      </w:r>
    </w:p>
  </w:footnote>
  <w:footnote w:id="162">
    <w:p w14:paraId="3CC65EF9"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at </w:t>
      </w:r>
      <w:r>
        <w:rPr>
          <w:rFonts w:ascii="Palatino Linotype" w:hAnsi="Palatino Linotype"/>
          <w:szCs w:val="16"/>
        </w:rPr>
        <w:t>p. 41.</w:t>
      </w:r>
    </w:p>
  </w:footnote>
  <w:footnote w:id="163">
    <w:p w14:paraId="2136565E"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at </w:t>
      </w:r>
      <w:r>
        <w:rPr>
          <w:rFonts w:ascii="Palatino Linotype" w:hAnsi="Palatino Linotype"/>
          <w:szCs w:val="16"/>
        </w:rPr>
        <w:t>p. 41-42.</w:t>
      </w:r>
    </w:p>
  </w:footnote>
  <w:footnote w:id="164">
    <w:p w14:paraId="3C9C1ACE" w14:textId="77777777" w:rsidR="004B0BDA" w:rsidRDefault="004B0BDA" w:rsidP="004B0BDA">
      <w:pPr>
        <w:pStyle w:val="FootnoteText"/>
      </w:pPr>
      <w:r>
        <w:rPr>
          <w:rStyle w:val="FootnoteReference"/>
        </w:rPr>
        <w:footnoteRef/>
      </w:r>
      <w:r>
        <w:t xml:space="preserve"> </w:t>
      </w:r>
      <w:hyperlink r:id="rId93"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 </w:t>
      </w:r>
    </w:p>
  </w:footnote>
  <w:footnote w:id="165">
    <w:p w14:paraId="4BBD35B0"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10.</w:t>
      </w:r>
    </w:p>
  </w:footnote>
  <w:footnote w:id="166">
    <w:p w14:paraId="34C18D82"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43-46.</w:t>
      </w:r>
    </w:p>
  </w:footnote>
  <w:footnote w:id="167">
    <w:p w14:paraId="005E95A3"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50; 52; 53; 55; 58; &amp; 60.</w:t>
      </w:r>
    </w:p>
  </w:footnote>
  <w:footnote w:id="168">
    <w:p w14:paraId="479F46C9"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w:t>
      </w:r>
      <w:r>
        <w:rPr>
          <w:rFonts w:ascii="Palatino Linotype" w:hAnsi="Palatino Linotype"/>
          <w:szCs w:val="16"/>
        </w:rPr>
        <w:t>Appendix B.</w:t>
      </w:r>
    </w:p>
  </w:footnote>
  <w:footnote w:id="169">
    <w:p w14:paraId="446B6C2E"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w:t>
      </w:r>
      <w:r>
        <w:rPr>
          <w:rFonts w:ascii="Palatino Linotype" w:hAnsi="Palatino Linotype"/>
          <w:szCs w:val="16"/>
        </w:rPr>
        <w:t>Appendix B.</w:t>
      </w:r>
    </w:p>
  </w:footnote>
  <w:footnote w:id="170">
    <w:p w14:paraId="6821FCCC"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60.</w:t>
      </w:r>
    </w:p>
  </w:footnote>
  <w:footnote w:id="171">
    <w:p w14:paraId="126616AC" w14:textId="77777777" w:rsidR="00315957" w:rsidRDefault="00315957" w:rsidP="00315957">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57-58.</w:t>
      </w:r>
    </w:p>
  </w:footnote>
  <w:footnote w:id="172">
    <w:p w14:paraId="6BBDAE82" w14:textId="77777777" w:rsidR="004B0BDA" w:rsidRDefault="004B0BDA" w:rsidP="004B0BDA">
      <w:pPr>
        <w:pStyle w:val="FootnoteText"/>
      </w:pPr>
      <w:r>
        <w:rPr>
          <w:rStyle w:val="FootnoteReference"/>
        </w:rPr>
        <w:footnoteRef/>
      </w:r>
      <w:r>
        <w:t xml:space="preserve"> </w:t>
      </w:r>
      <w:r w:rsidRPr="00CC33B4">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d</w:t>
      </w:r>
      <w:r w:rsidRPr="00DE3CB6">
        <w:rPr>
          <w:rFonts w:ascii="Palatino Linotype" w:hAnsi="Palatino Linotype"/>
        </w:rPr>
        <w:t>)</w:t>
      </w:r>
      <w:r>
        <w:rPr>
          <w:rFonts w:ascii="Palatino Linotype" w:hAnsi="Palatino Linotype"/>
        </w:rPr>
        <w:t>.</w:t>
      </w:r>
    </w:p>
  </w:footnote>
  <w:footnote w:id="173">
    <w:p w14:paraId="66DCB3C0" w14:textId="77777777" w:rsidR="004B0BDA" w:rsidRPr="007B2D2D" w:rsidRDefault="004B0BDA" w:rsidP="004B0BDA">
      <w:pPr>
        <w:pStyle w:val="FootnoteText"/>
        <w:rPr>
          <w:rFonts w:ascii="Palatino Linotype" w:hAnsi="Palatino Linotype"/>
          <w:color w:val="000000" w:themeColor="text1"/>
        </w:rPr>
      </w:pPr>
      <w:r>
        <w:rPr>
          <w:rStyle w:val="FootnoteReference"/>
        </w:rPr>
        <w:footnoteRef/>
      </w:r>
      <w:r>
        <w:t xml:space="preserve"> </w:t>
      </w:r>
      <w:hyperlink r:id="rId94"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 </w:t>
      </w:r>
      <w:r w:rsidRPr="00ED4893">
        <w:rPr>
          <w:rFonts w:ascii="Palatino Linotype" w:hAnsi="Palatino Linotype"/>
          <w:color w:val="000000" w:themeColor="text1"/>
        </w:rPr>
        <w:t>Consistent with</w:t>
      </w:r>
      <w:r>
        <w:rPr>
          <w:rFonts w:ascii="Palatino Linotype" w:hAnsi="Palatino Linotype"/>
          <w:color w:val="000000" w:themeColor="text1"/>
        </w:rPr>
        <w:t xml:space="preserve"> </w:t>
      </w:r>
      <w:hyperlink r:id="rId95" w:history="1">
        <w:r w:rsidRPr="00ED4893">
          <w:rPr>
            <w:rStyle w:val="Hyperlink"/>
            <w:rFonts w:ascii="Palatino Linotype" w:hAnsi="Palatino Linotype"/>
          </w:rPr>
          <w:t>D.19-09-051</w:t>
        </w:r>
      </w:hyperlink>
      <w:r>
        <w:rPr>
          <w:rFonts w:ascii="Palatino Linotype" w:hAnsi="Palatino Linotype"/>
          <w:color w:val="000000" w:themeColor="text1"/>
        </w:rPr>
        <w:t>.</w:t>
      </w:r>
    </w:p>
  </w:footnote>
  <w:footnote w:id="174">
    <w:p w14:paraId="3BE8B6C6" w14:textId="77777777" w:rsidR="004B0BDA" w:rsidRDefault="004B0BDA" w:rsidP="004B0BDA">
      <w:pPr>
        <w:pStyle w:val="FootnoteText"/>
      </w:pPr>
      <w:r>
        <w:rPr>
          <w:rStyle w:val="FootnoteReference"/>
        </w:rPr>
        <w:footnoteRef/>
      </w:r>
      <w:r>
        <w:t xml:space="preserve"> </w:t>
      </w:r>
      <w:r w:rsidRPr="00FB34E1">
        <w:rPr>
          <w:rFonts w:ascii="Palatino Linotype" w:hAnsi="Palatino Linotype"/>
        </w:rPr>
        <w:t xml:space="preserve">AL 5077-G-A </w:t>
      </w:r>
      <w:r w:rsidRPr="00FB34E1">
        <w:rPr>
          <w:rFonts w:ascii="Palatino Linotype" w:hAnsi="Palatino Linotype"/>
          <w:szCs w:val="16"/>
        </w:rPr>
        <w:t>at</w:t>
      </w:r>
      <w:r>
        <w:rPr>
          <w:rFonts w:ascii="Palatino Linotype" w:hAnsi="Palatino Linotype"/>
          <w:szCs w:val="16"/>
        </w:rPr>
        <w:t xml:space="preserve"> Appendix A.</w:t>
      </w:r>
    </w:p>
  </w:footnote>
  <w:footnote w:id="175">
    <w:p w14:paraId="69B8A497"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at</w:t>
      </w:r>
      <w:r w:rsidRPr="00706900">
        <w:rPr>
          <w:rFonts w:ascii="Palatino Linotype" w:hAnsi="Palatino Linotype"/>
          <w:szCs w:val="16"/>
        </w:rPr>
        <w:t xml:space="preserve"> </w:t>
      </w:r>
      <w:r>
        <w:rPr>
          <w:rFonts w:ascii="Palatino Linotype" w:hAnsi="Palatino Linotype"/>
          <w:szCs w:val="16"/>
        </w:rPr>
        <w:t>p. 10-21.</w:t>
      </w:r>
    </w:p>
  </w:footnote>
  <w:footnote w:id="176">
    <w:p w14:paraId="6B8F2CD0" w14:textId="77777777" w:rsidR="004B0BDA" w:rsidRDefault="004B0BDA" w:rsidP="004B0BDA">
      <w:pPr>
        <w:pStyle w:val="FootnoteText"/>
      </w:pPr>
      <w:r>
        <w:rPr>
          <w:rStyle w:val="FootnoteReference"/>
        </w:rPr>
        <w:footnoteRef/>
      </w:r>
      <w:r>
        <w:t xml:space="preserve"> </w:t>
      </w:r>
      <w:hyperlink r:id="rId96"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w:t>
      </w:r>
    </w:p>
  </w:footnote>
  <w:footnote w:id="177">
    <w:p w14:paraId="6EB72058" w14:textId="77777777" w:rsidR="004B0BDA" w:rsidRDefault="004B0BDA" w:rsidP="004B0BDA">
      <w:pPr>
        <w:pStyle w:val="FootnoteText"/>
      </w:pPr>
      <w:r>
        <w:rPr>
          <w:rStyle w:val="FootnoteReference"/>
        </w:rPr>
        <w:footnoteRef/>
      </w:r>
      <w:r>
        <w:t xml:space="preserve"> </w:t>
      </w:r>
      <w:hyperlink r:id="rId97"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43-124.</w:t>
      </w:r>
    </w:p>
  </w:footnote>
  <w:footnote w:id="178">
    <w:p w14:paraId="0260C8AF" w14:textId="77777777" w:rsidR="004B0BDA" w:rsidRDefault="004B0BDA" w:rsidP="004B0BDA">
      <w:pPr>
        <w:pStyle w:val="FootnoteText"/>
      </w:pPr>
      <w:r>
        <w:rPr>
          <w:rStyle w:val="FootnoteReference"/>
        </w:rPr>
        <w:footnoteRef/>
      </w:r>
      <w:r>
        <w:t xml:space="preserve"> </w:t>
      </w:r>
      <w:hyperlink r:id="rId98"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9.</w:t>
      </w:r>
    </w:p>
  </w:footnote>
  <w:footnote w:id="179">
    <w:p w14:paraId="55FF86AA" w14:textId="77777777" w:rsidR="004B0BDA" w:rsidRDefault="004B0BDA" w:rsidP="004B0BDA">
      <w:pPr>
        <w:pStyle w:val="FootnoteText"/>
      </w:pPr>
      <w:r>
        <w:rPr>
          <w:rStyle w:val="FootnoteReference"/>
        </w:rPr>
        <w:footnoteRef/>
      </w:r>
      <w:r>
        <w:t xml:space="preserve"> </w:t>
      </w:r>
      <w:hyperlink r:id="rId99"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13.</w:t>
      </w:r>
    </w:p>
  </w:footnote>
  <w:footnote w:id="180">
    <w:p w14:paraId="46DDFE3A" w14:textId="77777777" w:rsidR="004B0BDA" w:rsidRDefault="004B0BDA" w:rsidP="004B0BDA">
      <w:pPr>
        <w:pStyle w:val="FootnoteText"/>
      </w:pPr>
      <w:r>
        <w:rPr>
          <w:rStyle w:val="FootnoteReference"/>
        </w:rPr>
        <w:footnoteRef/>
      </w:r>
      <w:r>
        <w:t xml:space="preserve"> </w:t>
      </w:r>
      <w:hyperlink r:id="rId100"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22-26.</w:t>
      </w:r>
    </w:p>
  </w:footnote>
  <w:footnote w:id="181">
    <w:p w14:paraId="4D6ED913" w14:textId="77777777" w:rsidR="004B0BDA" w:rsidRDefault="004B0BDA" w:rsidP="004B0BDA">
      <w:pPr>
        <w:pStyle w:val="FootnoteText"/>
      </w:pPr>
      <w:r>
        <w:rPr>
          <w:rStyle w:val="FootnoteReference"/>
        </w:rPr>
        <w:footnoteRef/>
      </w:r>
      <w:r>
        <w:t xml:space="preserve"> </w:t>
      </w:r>
      <w:hyperlink r:id="rId101"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27-38.</w:t>
      </w:r>
    </w:p>
  </w:footnote>
  <w:footnote w:id="182">
    <w:p w14:paraId="308A9E39" w14:textId="77777777" w:rsidR="004B0BDA" w:rsidRDefault="004B0BDA" w:rsidP="004B0BDA">
      <w:pPr>
        <w:pStyle w:val="FootnoteText"/>
      </w:pPr>
      <w:r>
        <w:rPr>
          <w:rStyle w:val="FootnoteReference"/>
        </w:rPr>
        <w:footnoteRef/>
      </w:r>
      <w:r>
        <w:t xml:space="preserve"> </w:t>
      </w:r>
      <w:hyperlink r:id="rId102" w:history="1">
        <w:r w:rsidRPr="00FA2A2E">
          <w:rPr>
            <w:rStyle w:val="Hyperlink"/>
            <w:rFonts w:ascii="Palatino Linotype" w:eastAsia="Palatino Linotype" w:hAnsi="Palatino Linotype" w:cs="Times New Roman"/>
          </w:rPr>
          <w:t>2023 Gas RD&amp;D Annual Report</w:t>
        </w:r>
      </w:hyperlink>
      <w:r>
        <w:rPr>
          <w:rFonts w:ascii="Palatino Linotype" w:eastAsia="Palatino Linotype" w:hAnsi="Palatino Linotype" w:cs="Times New Roman"/>
        </w:rPr>
        <w:t xml:space="preserve"> at p. 10.</w:t>
      </w:r>
    </w:p>
  </w:footnote>
  <w:footnote w:id="183">
    <w:p w14:paraId="50E4AEE6" w14:textId="77777777" w:rsidR="004B0BDA" w:rsidRDefault="004B0BDA" w:rsidP="004B0BDA">
      <w:pPr>
        <w:pStyle w:val="FootnoteText"/>
      </w:pPr>
      <w:r>
        <w:rPr>
          <w:rStyle w:val="FootnoteReference"/>
        </w:rPr>
        <w:footnoteRef/>
      </w:r>
      <w:r>
        <w:t xml:space="preserve"> </w:t>
      </w:r>
      <w:hyperlink r:id="rId103"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220-221.</w:t>
      </w:r>
    </w:p>
  </w:footnote>
  <w:footnote w:id="184">
    <w:p w14:paraId="70167E40" w14:textId="77777777" w:rsidR="004B0BDA" w:rsidRDefault="004B0BDA" w:rsidP="004B0BDA">
      <w:pPr>
        <w:pStyle w:val="FootnoteText"/>
      </w:pPr>
      <w:r>
        <w:rPr>
          <w:rStyle w:val="FootnoteReference"/>
        </w:rPr>
        <w:footnoteRef/>
      </w:r>
      <w:r>
        <w:t xml:space="preserve"> </w:t>
      </w:r>
      <w:r w:rsidRPr="007B6388">
        <w:rPr>
          <w:rFonts w:ascii="Palatino Linotype" w:hAnsi="Palatino Linotype"/>
        </w:rPr>
        <w:t>AL 5077-G-A at p. 12.</w:t>
      </w:r>
    </w:p>
  </w:footnote>
  <w:footnote w:id="185">
    <w:p w14:paraId="29F64F25" w14:textId="77777777" w:rsidR="004B0BDA" w:rsidRDefault="004B0BDA" w:rsidP="004B0BDA">
      <w:pPr>
        <w:pStyle w:val="FootnoteText"/>
      </w:pPr>
      <w:r>
        <w:rPr>
          <w:rStyle w:val="FootnoteReference"/>
        </w:rPr>
        <w:footnoteRef/>
      </w:r>
      <w:r>
        <w:t xml:space="preserve"> </w:t>
      </w:r>
      <w:r w:rsidRPr="00FB34E1">
        <w:rPr>
          <w:rFonts w:ascii="Palatino Linotype" w:hAnsi="Palatino Linotype"/>
        </w:rPr>
        <w:t xml:space="preserve">AL 5077-G-A </w:t>
      </w:r>
      <w:r w:rsidRPr="00FB34E1">
        <w:rPr>
          <w:rFonts w:ascii="Palatino Linotype" w:hAnsi="Palatino Linotype"/>
          <w:szCs w:val="16"/>
        </w:rPr>
        <w:t>at</w:t>
      </w:r>
      <w:r>
        <w:rPr>
          <w:rFonts w:ascii="Palatino Linotype" w:hAnsi="Palatino Linotype"/>
          <w:szCs w:val="16"/>
        </w:rPr>
        <w:t xml:space="preserve"> Appendix A.</w:t>
      </w:r>
    </w:p>
  </w:footnote>
  <w:footnote w:id="186">
    <w:p w14:paraId="6946F583"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 1</w:t>
      </w:r>
      <w:r>
        <w:rPr>
          <w:rFonts w:ascii="Palatino Linotype" w:hAnsi="Palatino Linotype"/>
          <w:szCs w:val="16"/>
        </w:rPr>
        <w:t>0-13.</w:t>
      </w:r>
    </w:p>
  </w:footnote>
  <w:footnote w:id="187">
    <w:p w14:paraId="62458FD5" w14:textId="77777777" w:rsidR="004B0BDA" w:rsidRDefault="004B0BDA" w:rsidP="004B0BDA">
      <w:pPr>
        <w:pStyle w:val="FootnoteText"/>
      </w:pPr>
      <w:r>
        <w:rPr>
          <w:rStyle w:val="FootnoteReference"/>
        </w:rPr>
        <w:footnoteRef/>
      </w:r>
      <w:r>
        <w:t xml:space="preserve"> </w:t>
      </w:r>
      <w:hyperlink r:id="rId104"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221.</w:t>
      </w:r>
    </w:p>
  </w:footnote>
  <w:footnote w:id="188">
    <w:p w14:paraId="21ABD824"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at</w:t>
      </w:r>
      <w:r>
        <w:rPr>
          <w:rFonts w:ascii="Palatino Linotype" w:hAnsi="Palatino Linotype"/>
          <w:szCs w:val="16"/>
        </w:rPr>
        <w:t xml:space="preserve"> p.</w:t>
      </w:r>
      <w:r w:rsidRPr="00706900">
        <w:rPr>
          <w:rFonts w:ascii="Palatino Linotype" w:hAnsi="Palatino Linotype"/>
          <w:szCs w:val="16"/>
        </w:rPr>
        <w:t xml:space="preserve"> </w:t>
      </w:r>
      <w:r w:rsidRPr="00A4204F">
        <w:rPr>
          <w:rFonts w:ascii="Palatino Linotype" w:hAnsi="Palatino Linotype"/>
          <w:color w:val="000000" w:themeColor="text1"/>
          <w:szCs w:val="16"/>
        </w:rPr>
        <w:t>47 &amp; 60.</w:t>
      </w:r>
    </w:p>
  </w:footnote>
  <w:footnote w:id="189">
    <w:p w14:paraId="588F96EC" w14:textId="77777777" w:rsidR="004B0BDA" w:rsidRDefault="004B0BDA" w:rsidP="004B0BDA">
      <w:pPr>
        <w:pStyle w:val="FootnoteText"/>
      </w:pPr>
      <w:r>
        <w:rPr>
          <w:rStyle w:val="FootnoteReference"/>
        </w:rPr>
        <w:footnoteRef/>
      </w:r>
      <w:r>
        <w:t xml:space="preserve"> </w:t>
      </w:r>
      <w:r>
        <w:rPr>
          <w:rFonts w:ascii="Palatino Linotype" w:hAnsi="Palatino Linotype"/>
        </w:rPr>
        <w:t>The Commission’s compliance assessment of California Public Utilities Code 740.1 at (c)</w:t>
      </w:r>
      <w:r w:rsidRPr="005E5657">
        <w:rPr>
          <w:rFonts w:ascii="Palatino Linotype" w:hAnsi="Palatino Linotype"/>
        </w:rPr>
        <w:t xml:space="preserve"> </w:t>
      </w:r>
      <w:r>
        <w:rPr>
          <w:rFonts w:ascii="Palatino Linotype" w:hAnsi="Palatino Linotype"/>
        </w:rPr>
        <w:t xml:space="preserve">is captured in the compliance assessment of AL 5077-G-A with </w:t>
      </w:r>
      <w:hyperlink r:id="rId105" w:history="1">
        <w:r w:rsidRPr="06F49983">
          <w:rPr>
            <w:rStyle w:val="Hyperlink"/>
            <w:rFonts w:ascii="Palatino Linotype" w:hAnsi="Palatino Linotype"/>
          </w:rPr>
          <w:t>D.23-11-069</w:t>
        </w:r>
      </w:hyperlink>
      <w:r w:rsidRPr="06F49983">
        <w:rPr>
          <w:rFonts w:ascii="Palatino Linotype" w:hAnsi="Palatino Linotype"/>
        </w:rPr>
        <w:t xml:space="preserve"> at (2) and (4) </w:t>
      </w:r>
      <w:r>
        <w:rPr>
          <w:rFonts w:ascii="Palatino Linotype" w:hAnsi="Palatino Linotype"/>
        </w:rPr>
        <w:t>above.</w:t>
      </w:r>
    </w:p>
  </w:footnote>
  <w:footnote w:id="190">
    <w:p w14:paraId="179DBE45" w14:textId="77777777" w:rsidR="004B0BDA" w:rsidRPr="001A2FAB" w:rsidRDefault="004B0BDA" w:rsidP="004B0BDA">
      <w:pPr>
        <w:spacing w:after="0" w:line="240" w:lineRule="auto"/>
        <w:rPr>
          <w:rFonts w:ascii="Palatino Linotype" w:hAnsi="Palatino Linotype"/>
          <w:sz w:val="20"/>
          <w:szCs w:val="20"/>
        </w:rPr>
      </w:pPr>
      <w:r w:rsidRPr="001A2FAB">
        <w:rPr>
          <w:rStyle w:val="FootnoteReference"/>
          <w:sz w:val="20"/>
          <w:szCs w:val="20"/>
        </w:rPr>
        <w:footnoteRef/>
      </w:r>
      <w:r w:rsidRPr="001A2FAB">
        <w:rPr>
          <w:rStyle w:val="FootnoteReference"/>
          <w:sz w:val="20"/>
          <w:szCs w:val="20"/>
        </w:rPr>
        <w:t xml:space="preserve"> </w:t>
      </w:r>
      <w:r w:rsidRPr="00CC33B4">
        <w:rPr>
          <w:rFonts w:ascii="Palatino Linotype" w:hAnsi="Palatino Linotype"/>
          <w:sz w:val="20"/>
          <w:szCs w:val="20"/>
        </w:rPr>
        <w:t>California Public Utilities Code Section 740.1</w:t>
      </w:r>
      <w:r w:rsidRPr="00DE3CB6">
        <w:rPr>
          <w:rFonts w:ascii="Palatino Linotype" w:hAnsi="Palatino Linotype"/>
          <w:sz w:val="20"/>
          <w:szCs w:val="20"/>
        </w:rPr>
        <w:t xml:space="preserve"> at (a)</w:t>
      </w:r>
      <w:r>
        <w:rPr>
          <w:rFonts w:ascii="Palatino Linotype" w:hAnsi="Palatino Linotype"/>
          <w:sz w:val="20"/>
          <w:szCs w:val="20"/>
        </w:rPr>
        <w:t xml:space="preserve">. </w:t>
      </w:r>
    </w:p>
  </w:footnote>
  <w:footnote w:id="191">
    <w:p w14:paraId="19990B13" w14:textId="77777777" w:rsidR="004B0BDA" w:rsidRDefault="004B0BDA" w:rsidP="004B0BDA">
      <w:pPr>
        <w:pStyle w:val="FootnoteText"/>
      </w:pPr>
      <w:r>
        <w:rPr>
          <w:rStyle w:val="FootnoteReference"/>
        </w:rPr>
        <w:footnoteRef/>
      </w:r>
      <w:r>
        <w:t xml:space="preserve"> </w:t>
      </w:r>
      <w:r w:rsidRPr="00CC33B4">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(b).</w:t>
      </w:r>
    </w:p>
  </w:footnote>
  <w:footnote w:id="192">
    <w:p w14:paraId="1F4A9F9C" w14:textId="6BAF8A65" w:rsidR="004B0BDA" w:rsidRDefault="004B0BDA" w:rsidP="004B0BDA">
      <w:pPr>
        <w:pStyle w:val="FootnoteText"/>
        <w:rPr>
          <w:rFonts w:ascii="Palatino Linotype" w:hAnsi="Palatino Linotype"/>
          <w:bCs/>
          <w:color w:val="000000" w:themeColor="text1"/>
        </w:rPr>
      </w:pPr>
      <w:r>
        <w:rPr>
          <w:rStyle w:val="FootnoteReference"/>
        </w:rPr>
        <w:footnoteRef/>
      </w:r>
      <w:r>
        <w:t xml:space="preserve"> </w:t>
      </w:r>
      <w:r w:rsidRPr="00CB26EF">
        <w:rPr>
          <w:rFonts w:ascii="Palatino Linotype" w:hAnsi="Palatino Linotype"/>
          <w:szCs w:val="16"/>
        </w:rPr>
        <w:t>AL 5077-G-A at p. 61.</w:t>
      </w:r>
      <w:r>
        <w:rPr>
          <w:rFonts w:ascii="Palatino Linotype" w:hAnsi="Palatino Linotype"/>
          <w:szCs w:val="16"/>
        </w:rPr>
        <w:t xml:space="preserve"> </w:t>
      </w:r>
      <w:hyperlink r:id="rId106">
        <w:r>
          <w:rPr>
            <w:rStyle w:val="Hyperlink"/>
            <w:rFonts w:ascii="Palatino Linotype" w:hAnsi="Palatino Linotype"/>
          </w:rPr>
          <w:t>Resolution G-3601</w:t>
        </w:r>
      </w:hyperlink>
      <w:r w:rsidRPr="001002DE">
        <w:rPr>
          <w:rFonts w:ascii="Palatino Linotype" w:hAnsi="Palatino Linotype"/>
        </w:rPr>
        <w:t xml:space="preserve"> </w:t>
      </w:r>
      <w:r w:rsidRPr="00002CE8">
        <w:rPr>
          <w:rFonts w:ascii="Palatino Linotype" w:hAnsi="Palatino Linotype"/>
          <w:color w:val="000000" w:themeColor="text1"/>
        </w:rPr>
        <w:t>(2023)</w:t>
      </w:r>
      <w:r w:rsidR="001A51EC">
        <w:rPr>
          <w:rFonts w:ascii="Palatino Linotype" w:hAnsi="Palatino Linotype"/>
          <w:color w:val="000000" w:themeColor="text1"/>
        </w:rPr>
        <w:t xml:space="preserve"> </w:t>
      </w:r>
      <w:r w:rsidRPr="00002CE8">
        <w:rPr>
          <w:rFonts w:ascii="Palatino Linotype" w:hAnsi="Palatino Linotype"/>
          <w:color w:val="000000" w:themeColor="text1"/>
        </w:rPr>
        <w:t>a</w:t>
      </w:r>
      <w:r>
        <w:rPr>
          <w:rFonts w:ascii="Palatino Linotype" w:hAnsi="Palatino Linotype"/>
          <w:color w:val="000000" w:themeColor="text1"/>
        </w:rPr>
        <w:t>t</w:t>
      </w:r>
      <w:r>
        <w:rPr>
          <w:rFonts w:ascii="Palatino Linotype" w:hAnsi="Palatino Linotype"/>
          <w:bCs/>
          <w:color w:val="000000" w:themeColor="text1"/>
        </w:rPr>
        <w:t xml:space="preserve">: </w:t>
      </w:r>
    </w:p>
    <w:p w14:paraId="0CD9F6FF" w14:textId="77777777" w:rsidR="004B0BDA" w:rsidRPr="00CB26EF" w:rsidRDefault="004B0BDA" w:rsidP="004B0BDA">
      <w:pPr>
        <w:pStyle w:val="FootnoteText"/>
        <w:ind w:left="720"/>
        <w:rPr>
          <w:rFonts w:ascii="Palatino Linotype" w:hAnsi="Palatino Linotype"/>
          <w:bCs/>
          <w:color w:val="000000" w:themeColor="text1"/>
        </w:rPr>
      </w:pPr>
      <w:r>
        <w:rPr>
          <w:rFonts w:ascii="Palatino Linotype" w:hAnsi="Palatino Linotype"/>
          <w:bCs/>
          <w:color w:val="000000" w:themeColor="text1"/>
        </w:rPr>
        <w:t xml:space="preserve">OP </w:t>
      </w:r>
      <w:r w:rsidRPr="00002CE8">
        <w:rPr>
          <w:rFonts w:ascii="Palatino Linotype" w:hAnsi="Palatino Linotype"/>
          <w:bCs/>
          <w:color w:val="000000" w:themeColor="text1"/>
        </w:rPr>
        <w:t>5</w:t>
      </w:r>
      <w:r w:rsidRPr="00CB26EF">
        <w:rPr>
          <w:rFonts w:ascii="Palatino Linotype" w:hAnsi="Palatino Linotype"/>
          <w:bCs/>
          <w:color w:val="000000" w:themeColor="text1"/>
        </w:rPr>
        <w:t>. “All of SoCalGas’ new and future RD&amp;D projects shall occur in the State of California. The only exception may be made for projects with out of state federal labs. In this case, SoCalGas shall explicitly justify benefits to its gas ratepayers of an out-of-state project in its Tier 3 Advice Letter (AL) annual plan.”</w:t>
      </w:r>
    </w:p>
    <w:p w14:paraId="20E54784" w14:textId="77777777" w:rsidR="004B0BDA" w:rsidRPr="00CB26EF" w:rsidRDefault="004B0BDA" w:rsidP="004B0BDA">
      <w:pPr>
        <w:pStyle w:val="FootnoteText"/>
        <w:ind w:left="720"/>
      </w:pPr>
      <w:r w:rsidRPr="00CB26EF">
        <w:rPr>
          <w:rFonts w:ascii="Palatino Linotype" w:hAnsi="Palatino Linotype"/>
          <w:bCs/>
          <w:color w:val="000000" w:themeColor="text1"/>
        </w:rPr>
        <w:t>OP 6. “In its 2024 Gas [RD&amp;D] Research Plan and beyond, Southern California Gas Company (SoCalGas) shall: b. Explicitly justify how all consortia dues benefit gas ratepayers.”</w:t>
      </w:r>
    </w:p>
  </w:footnote>
  <w:footnote w:id="193">
    <w:p w14:paraId="16F5533F" w14:textId="77777777" w:rsidR="004B0BDA" w:rsidRPr="00CB26EF" w:rsidRDefault="004B0BDA" w:rsidP="004B0BDA">
      <w:pPr>
        <w:pStyle w:val="FootnoteText"/>
      </w:pPr>
      <w:r w:rsidRPr="00CB26EF">
        <w:rPr>
          <w:rStyle w:val="FootnoteReference"/>
        </w:rPr>
        <w:footnoteRef/>
      </w:r>
      <w:r w:rsidRPr="00CB26EF">
        <w:t xml:space="preserve"> </w:t>
      </w:r>
      <w:r w:rsidRPr="00CB26EF">
        <w:rPr>
          <w:rFonts w:ascii="Palatino Linotype" w:hAnsi="Palatino Linotype"/>
          <w:szCs w:val="16"/>
        </w:rPr>
        <w:t>AL 5077-G-A at p. 61.</w:t>
      </w:r>
    </w:p>
  </w:footnote>
  <w:footnote w:id="194">
    <w:p w14:paraId="5C874584" w14:textId="77777777" w:rsidR="004B0BDA" w:rsidRPr="00CB26EF" w:rsidRDefault="004B0BDA" w:rsidP="004B0BDA">
      <w:pPr>
        <w:pStyle w:val="FootnoteText"/>
      </w:pPr>
      <w:r w:rsidRPr="00CB26EF">
        <w:rPr>
          <w:rStyle w:val="FootnoteReference"/>
        </w:rPr>
        <w:footnoteRef/>
      </w:r>
      <w:r w:rsidRPr="00CB26EF">
        <w:t xml:space="preserve"> </w:t>
      </w:r>
      <w:r w:rsidRPr="00CB26EF">
        <w:rPr>
          <w:rFonts w:ascii="Palatino Linotype" w:hAnsi="Palatino Linotype"/>
          <w:szCs w:val="16"/>
        </w:rPr>
        <w:t>AL 5077-G-A Table 3 at p. 47.</w:t>
      </w:r>
    </w:p>
  </w:footnote>
  <w:footnote w:id="195">
    <w:p w14:paraId="4C82CA8B" w14:textId="77777777" w:rsidR="004B0BDA" w:rsidRPr="00CB26EF" w:rsidRDefault="004B0BDA" w:rsidP="004B0BDA">
      <w:pPr>
        <w:pStyle w:val="FootnoteText"/>
      </w:pPr>
      <w:r w:rsidRPr="00CB26EF">
        <w:rPr>
          <w:rStyle w:val="FootnoteReference"/>
        </w:rPr>
        <w:footnoteRef/>
      </w:r>
      <w:r w:rsidRPr="00CB26EF">
        <w:t xml:space="preserve"> </w:t>
      </w:r>
      <w:r w:rsidRPr="00CB26EF">
        <w:rPr>
          <w:rFonts w:ascii="Palatino Linotype" w:hAnsi="Palatino Linotype"/>
          <w:szCs w:val="16"/>
        </w:rPr>
        <w:t>AL 5077-G-A at Appendix B.</w:t>
      </w:r>
    </w:p>
  </w:footnote>
  <w:footnote w:id="196">
    <w:p w14:paraId="50A11E6C" w14:textId="77777777" w:rsidR="004B0BDA" w:rsidRPr="00CB26EF" w:rsidRDefault="004B0BDA" w:rsidP="004B0BDA">
      <w:pPr>
        <w:pStyle w:val="FootnoteText"/>
      </w:pPr>
      <w:r w:rsidRPr="00CB26EF">
        <w:rPr>
          <w:rStyle w:val="FootnoteReference"/>
        </w:rPr>
        <w:footnoteRef/>
      </w:r>
      <w:r w:rsidRPr="00CB26EF">
        <w:t xml:space="preserve"> </w:t>
      </w:r>
      <w:hyperlink r:id="rId107" w:history="1">
        <w:r w:rsidRPr="00CB26EF">
          <w:rPr>
            <w:rStyle w:val="Hyperlink"/>
            <w:rFonts w:ascii="Palatino Linotype" w:eastAsia="Palatino Linotype" w:hAnsi="Palatino Linotype" w:cs="Times New Roman"/>
          </w:rPr>
          <w:t>2023 Gas RD&amp;D Annual Report</w:t>
        </w:r>
      </w:hyperlink>
      <w:r w:rsidRPr="00CB26EF">
        <w:rPr>
          <w:rFonts w:ascii="Palatino Linotype" w:eastAsia="Palatino Linotype" w:hAnsi="Palatino Linotype" w:cs="Times New Roman"/>
        </w:rPr>
        <w:t xml:space="preserve"> at p. 12.</w:t>
      </w:r>
    </w:p>
  </w:footnote>
  <w:footnote w:id="197">
    <w:p w14:paraId="5018EC9A" w14:textId="759EF353" w:rsidR="004B0BDA" w:rsidRPr="00CB26EF" w:rsidRDefault="004B0BDA" w:rsidP="004B0BDA">
      <w:pPr>
        <w:pStyle w:val="FootnoteText"/>
      </w:pPr>
      <w:r w:rsidRPr="00CB26EF">
        <w:rPr>
          <w:rStyle w:val="FootnoteReference"/>
        </w:rPr>
        <w:footnoteRef/>
      </w:r>
      <w:r w:rsidRPr="00CB26EF">
        <w:t xml:space="preserve"> </w:t>
      </w:r>
      <w:hyperlink r:id="rId108" w:history="1">
        <w:r w:rsidRPr="00CB26EF">
          <w:rPr>
            <w:rStyle w:val="Hyperlink"/>
            <w:rFonts w:ascii="Palatino Linotype" w:hAnsi="Palatino Linotype"/>
          </w:rPr>
          <w:t>D.15-04-020</w:t>
        </w:r>
        <w:r w:rsidR="4774292B" w:rsidRPr="00CB26EF">
          <w:rPr>
            <w:rStyle w:val="Hyperlink"/>
            <w:rFonts w:ascii="Palatino Linotype" w:hAnsi="Palatino Linotype"/>
          </w:rPr>
          <w:t>:</w:t>
        </w:r>
      </w:hyperlink>
      <w:r w:rsidR="635C088A" w:rsidRPr="635C088A">
        <w:rPr>
          <w:rFonts w:ascii="Palatino Linotype" w:hAnsi="Palatino Linotype"/>
        </w:rPr>
        <w:t xml:space="preserve"> </w:t>
      </w:r>
      <w:r w:rsidR="635C088A" w:rsidRPr="635C088A">
        <w:rPr>
          <w:rFonts w:ascii="Palatino Linotype" w:eastAsia="Palatino Linotype" w:hAnsi="Palatino Linotype" w:cs="Palatino Linotype"/>
        </w:rPr>
        <w:t>Decision Addressing Applications of CEC, PG&amp;E, SDG&amp;E, and SCE for Approval of their Triennial Investment Plans for the EPIC Program for the Years 2015 Through 2017</w:t>
      </w:r>
      <w:r w:rsidR="635C088A" w:rsidRPr="635C088A">
        <w:rPr>
          <w:rFonts w:ascii="Palatino Linotype" w:hAnsi="Palatino Linotype"/>
        </w:rPr>
        <w:t xml:space="preserve"> </w:t>
      </w:r>
      <w:r w:rsidR="635C088A" w:rsidRPr="00CB26EF">
        <w:rPr>
          <w:rFonts w:ascii="Palatino Linotype" w:hAnsi="Palatino Linotype"/>
        </w:rPr>
        <w:t>at OP 16.</w:t>
      </w:r>
      <w:r w:rsidRPr="00CB26EF">
        <w:rPr>
          <w:rFonts w:ascii="Palatino Linotype" w:hAnsi="Palatino Linotype"/>
        </w:rPr>
        <w:t xml:space="preserve"> “Project management and oversight, research consortia membership fees, reporting, and internal coordination are all administrative activities and shall count towards the administrative caps…”</w:t>
      </w:r>
    </w:p>
  </w:footnote>
  <w:footnote w:id="198">
    <w:p w14:paraId="6739A1D7" w14:textId="77777777" w:rsidR="004B0BDA" w:rsidRDefault="004B0BDA" w:rsidP="004B0BDA">
      <w:pPr>
        <w:pStyle w:val="FootnoteText"/>
      </w:pPr>
      <w:r w:rsidRPr="00CB26EF">
        <w:rPr>
          <w:rStyle w:val="FootnoteReference"/>
        </w:rPr>
        <w:footnoteRef/>
      </w:r>
      <w:r w:rsidRPr="00CB26EF">
        <w:t xml:space="preserve"> </w:t>
      </w:r>
      <w:hyperlink r:id="rId109" w:tgtFrame="_blank" w:history="1">
        <w:r w:rsidRPr="00CB26EF">
          <w:rPr>
            <w:rStyle w:val="Hyperlink"/>
            <w:rFonts w:ascii="Palatino Linotype" w:hAnsi="Palatino Linotype" w:cs="Times New Roman"/>
            <w:bCs/>
          </w:rPr>
          <w:t>Resolution G-3586</w:t>
        </w:r>
        <w:r w:rsidRPr="00CB26EF">
          <w:rPr>
            <w:rStyle w:val="Hyperlink"/>
            <w:rFonts w:ascii="Times New Roman" w:hAnsi="Times New Roman" w:cs="Times New Roman"/>
            <w:bCs/>
          </w:rPr>
          <w:t> </w:t>
        </w:r>
      </w:hyperlink>
      <w:r w:rsidRPr="00CB26EF">
        <w:rPr>
          <w:rFonts w:ascii="Palatino Linotype" w:hAnsi="Palatino Linotype"/>
          <w:bCs/>
        </w:rPr>
        <w:t>(2022) at OP 5. “</w:t>
      </w:r>
      <w:r w:rsidRPr="00CB26EF">
        <w:rPr>
          <w:rFonts w:ascii="Palatino Linotype" w:hAnsi="Palatino Linotype"/>
          <w:bCs/>
          <w:color w:val="000000" w:themeColor="text1"/>
        </w:rPr>
        <w:t>Provide detail quantifying research funding allocations by research consortium, as well as project costs related to each consortium.”</w:t>
      </w:r>
      <w:r w:rsidRPr="0013476E">
        <w:rPr>
          <w:rFonts w:ascii="Palatino Linotype" w:hAnsi="Palatino Linotype"/>
          <w:bCs/>
          <w:i/>
          <w:iCs/>
          <w:color w:val="000000" w:themeColor="text1"/>
        </w:rPr>
        <w:t>  </w:t>
      </w:r>
    </w:p>
  </w:footnote>
  <w:footnote w:id="199">
    <w:p w14:paraId="2902A367" w14:textId="48391583" w:rsidR="004B0BDA" w:rsidRPr="00885C42" w:rsidRDefault="004B0BDA" w:rsidP="004B0BDA">
      <w:pPr>
        <w:pStyle w:val="FootnoteText"/>
        <w:rPr>
          <w:rFonts w:ascii="Palatino Linotype" w:hAnsi="Palatino Linotype"/>
        </w:rPr>
      </w:pPr>
      <w:r>
        <w:rPr>
          <w:rStyle w:val="FootnoteReference"/>
        </w:rPr>
        <w:footnoteRef/>
      </w:r>
      <w:r>
        <w:t xml:space="preserve"> </w:t>
      </w:r>
      <w:r w:rsidRPr="00CC33B4">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d</w:t>
      </w:r>
      <w:r w:rsidRPr="00DE3CB6">
        <w:rPr>
          <w:rFonts w:ascii="Palatino Linotype" w:hAnsi="Palatino Linotype"/>
        </w:rPr>
        <w:t>)</w:t>
      </w:r>
      <w:r>
        <w:rPr>
          <w:rFonts w:ascii="Palatino Linotype" w:hAnsi="Palatino Linotype"/>
        </w:rPr>
        <w:t>.</w:t>
      </w:r>
      <w:r w:rsidRPr="001A2FAB">
        <w:rPr>
          <w:rFonts w:ascii="Palatino Linotype" w:hAnsi="Palatino Linotype"/>
        </w:rPr>
        <w:t xml:space="preserve"> </w:t>
      </w:r>
      <w:r w:rsidRPr="004E05C1">
        <w:rPr>
          <w:rFonts w:ascii="Palatino Linotype" w:hAnsi="Palatino Linotype"/>
        </w:rPr>
        <w:t>Consistent with</w:t>
      </w:r>
      <w:r>
        <w:rPr>
          <w:rFonts w:ascii="Palatino Linotype" w:hAnsi="Palatino Linotype"/>
        </w:rPr>
        <w:t>:</w:t>
      </w:r>
      <w:r w:rsidRPr="004E05C1">
        <w:rPr>
          <w:rFonts w:ascii="Palatino Linotype" w:hAnsi="Palatino Linotype"/>
        </w:rPr>
        <w:t xml:space="preserve"> </w:t>
      </w:r>
      <w:hyperlink r:id="rId110">
        <w:r w:rsidRPr="004E05C1">
          <w:rPr>
            <w:rStyle w:val="Hyperlink"/>
            <w:rFonts w:ascii="Palatino Linotype" w:hAnsi="Palatino Linotype"/>
          </w:rPr>
          <w:t>Resolution G-3603</w:t>
        </w:r>
      </w:hyperlink>
      <w:r w:rsidRPr="004E05C1">
        <w:rPr>
          <w:rFonts w:ascii="Palatino Linotype" w:hAnsi="Palatino Linotype"/>
        </w:rPr>
        <w:t xml:space="preserve"> </w:t>
      </w:r>
      <w:r w:rsidRPr="004E05C1">
        <w:rPr>
          <w:rFonts w:ascii="Palatino Linotype" w:hAnsi="Palatino Linotype"/>
          <w:color w:val="000000" w:themeColor="text1"/>
        </w:rPr>
        <w:t>(2024) at OP 4</w:t>
      </w:r>
      <w:r>
        <w:rPr>
          <w:rFonts w:ascii="Palatino Linotype" w:hAnsi="Palatino Linotype"/>
          <w:color w:val="000000" w:themeColor="text1"/>
        </w:rPr>
        <w:t xml:space="preserve"> &amp; </w:t>
      </w:r>
      <w:hyperlink r:id="rId111" w:history="1">
        <w:r w:rsidRPr="002E4238">
          <w:rPr>
            <w:rStyle w:val="Hyperlink"/>
            <w:rFonts w:ascii="Palatino Linotype" w:hAnsi="Palatino Linotype"/>
          </w:rPr>
          <w:t>D.24-12-074</w:t>
        </w:r>
      </w:hyperlink>
      <w:r w:rsidR="00DC21AF">
        <w:rPr>
          <w:rFonts w:ascii="Palatino Linotype" w:hAnsi="Palatino Linotype"/>
          <w:color w:val="000000" w:themeColor="text1"/>
        </w:rPr>
        <w:t xml:space="preserve"> at </w:t>
      </w:r>
      <w:r>
        <w:rPr>
          <w:rFonts w:ascii="Palatino Linotype" w:hAnsi="Palatino Linotype"/>
          <w:color w:val="000000" w:themeColor="text1"/>
        </w:rPr>
        <w:t xml:space="preserve">p. </w:t>
      </w:r>
      <w:r w:rsidRPr="00ED4893">
        <w:rPr>
          <w:rFonts w:ascii="Palatino Linotype" w:hAnsi="Palatino Linotype"/>
          <w:color w:val="000000" w:themeColor="text1"/>
        </w:rPr>
        <w:t>3</w:t>
      </w:r>
      <w:r>
        <w:rPr>
          <w:rFonts w:ascii="Palatino Linotype" w:hAnsi="Palatino Linotype"/>
          <w:color w:val="000000" w:themeColor="text1"/>
        </w:rPr>
        <w:t>27</w:t>
      </w:r>
      <w:r w:rsidRPr="00ED4893">
        <w:rPr>
          <w:rFonts w:ascii="Palatino Linotype" w:hAnsi="Palatino Linotype"/>
          <w:color w:val="000000" w:themeColor="text1"/>
        </w:rPr>
        <w:t>.</w:t>
      </w:r>
    </w:p>
  </w:footnote>
  <w:footnote w:id="200">
    <w:p w14:paraId="65436847" w14:textId="77777777" w:rsidR="004B0BDA" w:rsidRDefault="004B0BDA" w:rsidP="004B0BDA">
      <w:pPr>
        <w:pStyle w:val="FootnoteText"/>
      </w:pPr>
      <w:r>
        <w:rPr>
          <w:rStyle w:val="FootnoteReference"/>
        </w:rPr>
        <w:footnoteRef/>
      </w:r>
      <w:r>
        <w:t xml:space="preserve"> </w:t>
      </w:r>
      <w:r w:rsidRPr="00956F14">
        <w:rPr>
          <w:rFonts w:ascii="Palatino Linotype" w:hAnsi="Palatino Linotype"/>
        </w:rPr>
        <w:t>AL 5077-G-A at p. 13.</w:t>
      </w:r>
    </w:p>
  </w:footnote>
  <w:footnote w:id="201">
    <w:p w14:paraId="66045F08"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50; 52; 54; 55; 58; &amp; 60.</w:t>
      </w:r>
    </w:p>
  </w:footnote>
  <w:footnote w:id="202">
    <w:p w14:paraId="50BE9DAE" w14:textId="77777777" w:rsidR="004B0BDA" w:rsidRDefault="004B0BDA" w:rsidP="004B0BDA">
      <w:pPr>
        <w:pStyle w:val="FootnoteText"/>
      </w:pPr>
      <w:r>
        <w:rPr>
          <w:rStyle w:val="FootnoteReference"/>
        </w:rPr>
        <w:footnoteRef/>
      </w:r>
      <w:r>
        <w:t xml:space="preserve"> </w:t>
      </w:r>
      <w:r w:rsidRPr="00C41867">
        <w:rPr>
          <w:rFonts w:ascii="Palatino Linotype" w:hAnsi="Palatino Linotype"/>
          <w:szCs w:val="16"/>
        </w:rPr>
        <w:t xml:space="preserve">AL </w:t>
      </w:r>
      <w:r>
        <w:rPr>
          <w:rFonts w:ascii="Palatino Linotype" w:hAnsi="Palatino Linotype"/>
          <w:szCs w:val="16"/>
        </w:rPr>
        <w:t>5077-G-A</w:t>
      </w:r>
      <w:r w:rsidRPr="00C41867">
        <w:rPr>
          <w:rFonts w:ascii="Palatino Linotype" w:hAnsi="Palatino Linotype"/>
          <w:szCs w:val="16"/>
        </w:rPr>
        <w:t xml:space="preserve"> at p.</w:t>
      </w:r>
      <w:r>
        <w:rPr>
          <w:rFonts w:ascii="Palatino Linotype" w:hAnsi="Palatino Linotype"/>
          <w:szCs w:val="16"/>
        </w:rPr>
        <w:t xml:space="preserve"> 50; 52; 53; 55; 58; &amp; 60.</w:t>
      </w:r>
    </w:p>
  </w:footnote>
  <w:footnote w:id="203">
    <w:p w14:paraId="3BB40C01" w14:textId="49DDD6C7" w:rsidR="004B0BDA" w:rsidRPr="00840E38" w:rsidRDefault="004B0BDA" w:rsidP="004B0BDA">
      <w:pPr>
        <w:pStyle w:val="FootnoteText"/>
        <w:rPr>
          <w:rFonts w:ascii="Palatino Linotype" w:hAnsi="Palatino Linotype"/>
        </w:rPr>
      </w:pPr>
      <w:r>
        <w:rPr>
          <w:rStyle w:val="FootnoteReference"/>
        </w:rPr>
        <w:footnoteRef/>
      </w:r>
      <w:r>
        <w:t xml:space="preserve"> </w:t>
      </w:r>
      <w:hyperlink r:id="rId112" w:history="1">
        <w:r>
          <w:rPr>
            <w:rStyle w:val="Hyperlink"/>
            <w:rFonts w:ascii="Palatino Linotype" w:hAnsi="Palatino Linotype"/>
          </w:rPr>
          <w:t>D.22-12-057</w:t>
        </w:r>
      </w:hyperlink>
      <w:r w:rsidR="004E7D14">
        <w:rPr>
          <w:rFonts w:ascii="Palatino Linotype" w:hAnsi="Palatino Linotype"/>
        </w:rPr>
        <w:t>.</w:t>
      </w:r>
    </w:p>
  </w:footnote>
  <w:footnote w:id="204">
    <w:p w14:paraId="053D5C82" w14:textId="77777777" w:rsidR="004B0BDA" w:rsidRDefault="004B0BDA" w:rsidP="004B0BDA">
      <w:pPr>
        <w:pStyle w:val="FootnoteText"/>
      </w:pPr>
      <w:r>
        <w:rPr>
          <w:rStyle w:val="FootnoteReference"/>
        </w:rPr>
        <w:footnoteRef/>
      </w:r>
      <w:r>
        <w:t xml:space="preserve"> </w:t>
      </w:r>
      <w:r w:rsidRPr="003476EB">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e).</w:t>
      </w:r>
    </w:p>
  </w:footnote>
  <w:footnote w:id="205">
    <w:p w14:paraId="1E12880C"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3 at p. </w:t>
      </w:r>
      <w:r w:rsidRPr="00706900">
        <w:rPr>
          <w:rFonts w:ascii="Palatino Linotype" w:hAnsi="Palatino Linotype"/>
          <w:szCs w:val="16"/>
        </w:rPr>
        <w:t>47</w:t>
      </w:r>
      <w:r>
        <w:rPr>
          <w:rFonts w:ascii="Palatino Linotype" w:hAnsi="Palatino Linotype"/>
          <w:szCs w:val="16"/>
        </w:rPr>
        <w:t>.</w:t>
      </w:r>
    </w:p>
  </w:footnote>
  <w:footnote w:id="206">
    <w:p w14:paraId="47F9FD44"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4 </w:t>
      </w:r>
      <w:r w:rsidRPr="00706900">
        <w:rPr>
          <w:rFonts w:ascii="Palatino Linotype" w:hAnsi="Palatino Linotype"/>
          <w:szCs w:val="16"/>
        </w:rPr>
        <w:t xml:space="preserve">at </w:t>
      </w:r>
      <w:r>
        <w:rPr>
          <w:rFonts w:ascii="Palatino Linotype" w:hAnsi="Palatino Linotype"/>
          <w:szCs w:val="16"/>
        </w:rPr>
        <w:t xml:space="preserve">p. </w:t>
      </w:r>
      <w:r w:rsidRPr="00706900">
        <w:rPr>
          <w:rFonts w:ascii="Palatino Linotype" w:hAnsi="Palatino Linotype"/>
          <w:szCs w:val="16"/>
        </w:rPr>
        <w:t>47</w:t>
      </w:r>
      <w:r>
        <w:rPr>
          <w:rFonts w:ascii="Palatino Linotype" w:hAnsi="Palatino Linotype"/>
          <w:szCs w:val="16"/>
        </w:rPr>
        <w:t>.</w:t>
      </w:r>
    </w:p>
  </w:footnote>
  <w:footnote w:id="207">
    <w:p w14:paraId="5C75E96D" w14:textId="77777777" w:rsidR="004B0BDA" w:rsidRDefault="004B0BDA" w:rsidP="004B0BDA">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5077-G-A</w:t>
      </w:r>
      <w:r w:rsidRPr="00706900">
        <w:rPr>
          <w:rFonts w:ascii="Palatino Linotype" w:hAnsi="Palatino Linotype"/>
          <w:szCs w:val="16"/>
        </w:rPr>
        <w:t xml:space="preserve"> </w:t>
      </w:r>
      <w:r>
        <w:rPr>
          <w:rFonts w:ascii="Palatino Linotype" w:hAnsi="Palatino Linotype"/>
          <w:szCs w:val="16"/>
        </w:rPr>
        <w:t xml:space="preserve">Table 9 </w:t>
      </w:r>
      <w:r w:rsidRPr="00706900">
        <w:rPr>
          <w:rFonts w:ascii="Palatino Linotype" w:hAnsi="Palatino Linotype"/>
          <w:szCs w:val="16"/>
        </w:rPr>
        <w:t xml:space="preserve">at </w:t>
      </w:r>
      <w:r>
        <w:rPr>
          <w:rFonts w:ascii="Palatino Linotype" w:hAnsi="Palatino Linotype"/>
          <w:szCs w:val="16"/>
        </w:rPr>
        <w:t>p. 55.</w:t>
      </w:r>
    </w:p>
  </w:footnote>
  <w:footnote w:id="208">
    <w:p w14:paraId="1A50F7B2" w14:textId="47BECEC1" w:rsidR="008019CD" w:rsidRPr="00EC7D00" w:rsidRDefault="008019CD" w:rsidP="008019CD">
      <w:pPr>
        <w:pStyle w:val="FootnoteText"/>
        <w:rPr>
          <w:rFonts w:ascii="Palatino Linotype" w:hAnsi="Palatino Linotype"/>
        </w:rPr>
      </w:pPr>
      <w:r>
        <w:rPr>
          <w:rStyle w:val="FootnoteReference"/>
        </w:rPr>
        <w:footnoteRef/>
      </w:r>
      <w:r>
        <w:t xml:space="preserve"> </w:t>
      </w:r>
      <w:hyperlink r:id="rId113" w:history="1">
        <w:r w:rsidRPr="004A7061">
          <w:rPr>
            <w:rStyle w:val="Hyperlink"/>
            <w:rFonts w:ascii="Palatino Linotype" w:hAnsi="Palatino Linotype"/>
          </w:rPr>
          <w:t>D.23-11-069</w:t>
        </w:r>
      </w:hyperlink>
      <w:r w:rsidR="00707924">
        <w:rPr>
          <w:rFonts w:ascii="Palatino Linotype" w:hAnsi="Palatino Linotype"/>
        </w:rPr>
        <w:t xml:space="preserve"> </w:t>
      </w:r>
      <w:r>
        <w:rPr>
          <w:rFonts w:ascii="Palatino Linotype" w:hAnsi="Palatino Linotype"/>
        </w:rPr>
        <w:t xml:space="preserve">p. 217-218. </w:t>
      </w:r>
      <w:r w:rsidRPr="00ED4893">
        <w:rPr>
          <w:rFonts w:ascii="Palatino Linotype" w:hAnsi="Palatino Linotype"/>
          <w:color w:val="000000" w:themeColor="text1"/>
        </w:rPr>
        <w:t xml:space="preserve">Consistent with </w:t>
      </w:r>
      <w:hyperlink r:id="rId114" w:history="1">
        <w:r w:rsidRPr="00ED4893">
          <w:rPr>
            <w:rStyle w:val="Hyperlink"/>
            <w:rFonts w:ascii="Palatino Linotype" w:hAnsi="Palatino Linotype"/>
          </w:rPr>
          <w:t>D.19-09-051</w:t>
        </w:r>
      </w:hyperlink>
      <w:r w:rsidR="00DD0FC0">
        <w:rPr>
          <w:rFonts w:ascii="Palatino Linotype" w:hAnsi="Palatino Linotype"/>
          <w:color w:val="000000" w:themeColor="text1"/>
        </w:rPr>
        <w:t xml:space="preserve"> </w:t>
      </w:r>
      <w:r w:rsidRPr="00ED4893">
        <w:rPr>
          <w:rFonts w:ascii="Palatino Linotype" w:hAnsi="Palatino Linotype"/>
          <w:color w:val="000000" w:themeColor="text1"/>
        </w:rPr>
        <w:t xml:space="preserve">at </w:t>
      </w:r>
      <w:r>
        <w:rPr>
          <w:rFonts w:ascii="Palatino Linotype" w:hAnsi="Palatino Linotype"/>
          <w:color w:val="000000" w:themeColor="text1"/>
        </w:rPr>
        <w:t xml:space="preserve">p. </w:t>
      </w:r>
      <w:r w:rsidRPr="00ED4893">
        <w:rPr>
          <w:rFonts w:ascii="Palatino Linotype" w:hAnsi="Palatino Linotype"/>
          <w:color w:val="000000" w:themeColor="text1"/>
        </w:rPr>
        <w:t>379.</w:t>
      </w:r>
    </w:p>
  </w:footnote>
  <w:footnote w:id="209">
    <w:p w14:paraId="2F3B2748" w14:textId="77777777" w:rsidR="008019CD" w:rsidRDefault="008019CD" w:rsidP="008019CD">
      <w:pPr>
        <w:pStyle w:val="FootnoteText"/>
      </w:pPr>
      <w:r>
        <w:rPr>
          <w:rStyle w:val="FootnoteReference"/>
        </w:rPr>
        <w:footnoteRef/>
      </w:r>
      <w:r>
        <w:t xml:space="preserve"> </w:t>
      </w:r>
      <w:hyperlink r:id="rId115"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 217 &amp; 740.</w:t>
      </w:r>
    </w:p>
  </w:footnote>
  <w:footnote w:id="210">
    <w:p w14:paraId="0B5EB0CD"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5 </w:t>
      </w:r>
      <w:r w:rsidRPr="002E2942">
        <w:rPr>
          <w:rFonts w:ascii="Palatino Linotype" w:hAnsi="Palatino Linotype"/>
          <w:szCs w:val="16"/>
        </w:rPr>
        <w:t xml:space="preserve">at p. </w:t>
      </w:r>
      <w:r>
        <w:rPr>
          <w:rFonts w:ascii="Palatino Linotype" w:hAnsi="Palatino Linotype"/>
          <w:szCs w:val="16"/>
        </w:rPr>
        <w:t>54.</w:t>
      </w:r>
    </w:p>
  </w:footnote>
  <w:footnote w:id="211">
    <w:p w14:paraId="4AB1726D" w14:textId="77777777" w:rsidR="008019CD" w:rsidRPr="00B21CEE" w:rsidRDefault="008019CD" w:rsidP="008019CD">
      <w:pPr>
        <w:pStyle w:val="FootnoteText"/>
        <w:rPr>
          <w:rFonts w:ascii="Palatino Linotype" w:hAnsi="Palatino Linotype"/>
          <w:color w:val="000000" w:themeColor="text1"/>
        </w:rPr>
      </w:pPr>
      <w:r>
        <w:rPr>
          <w:rStyle w:val="FootnoteReference"/>
        </w:rPr>
        <w:footnoteRef/>
      </w:r>
      <w:r>
        <w:t xml:space="preserve"> </w:t>
      </w:r>
      <w:hyperlink r:id="rId116"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 </w:t>
      </w:r>
      <w:r w:rsidRPr="00ED4893">
        <w:rPr>
          <w:rFonts w:ascii="Palatino Linotype" w:hAnsi="Palatino Linotype"/>
          <w:color w:val="000000" w:themeColor="text1"/>
        </w:rPr>
        <w:t>Consistent with</w:t>
      </w:r>
      <w:r>
        <w:rPr>
          <w:rFonts w:ascii="Palatino Linotype" w:hAnsi="Palatino Linotype"/>
          <w:color w:val="000000" w:themeColor="text1"/>
        </w:rPr>
        <w:t xml:space="preserve"> </w:t>
      </w:r>
      <w:hyperlink r:id="rId117" w:history="1">
        <w:r w:rsidRPr="00ED4893">
          <w:rPr>
            <w:rStyle w:val="Hyperlink"/>
            <w:rFonts w:ascii="Palatino Linotype" w:hAnsi="Palatino Linotype"/>
          </w:rPr>
          <w:t>D.19-09-051</w:t>
        </w:r>
      </w:hyperlink>
      <w:r>
        <w:rPr>
          <w:rFonts w:ascii="Palatino Linotype" w:hAnsi="Palatino Linotype"/>
          <w:color w:val="000000" w:themeColor="text1"/>
        </w:rPr>
        <w:t xml:space="preserve"> at p. 379.</w:t>
      </w:r>
    </w:p>
  </w:footnote>
  <w:footnote w:id="212">
    <w:p w14:paraId="147FA428"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5 </w:t>
      </w:r>
      <w:r w:rsidRPr="002E2942">
        <w:rPr>
          <w:rFonts w:ascii="Palatino Linotype" w:hAnsi="Palatino Linotype"/>
          <w:szCs w:val="16"/>
        </w:rPr>
        <w:t xml:space="preserve">at p. </w:t>
      </w:r>
      <w:r>
        <w:rPr>
          <w:rFonts w:ascii="Palatino Linotype" w:hAnsi="Palatino Linotype"/>
          <w:szCs w:val="16"/>
        </w:rPr>
        <w:t>54.</w:t>
      </w:r>
    </w:p>
  </w:footnote>
  <w:footnote w:id="213">
    <w:p w14:paraId="7FC93CDD"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6 </w:t>
      </w:r>
      <w:r w:rsidRPr="002E2942">
        <w:rPr>
          <w:rFonts w:ascii="Palatino Linotype" w:hAnsi="Palatino Linotype"/>
          <w:szCs w:val="16"/>
        </w:rPr>
        <w:t xml:space="preserve">at p. </w:t>
      </w:r>
      <w:r>
        <w:rPr>
          <w:rFonts w:ascii="Palatino Linotype" w:hAnsi="Palatino Linotype"/>
          <w:szCs w:val="16"/>
        </w:rPr>
        <w:t>54.</w:t>
      </w:r>
    </w:p>
  </w:footnote>
  <w:footnote w:id="214">
    <w:p w14:paraId="6630DC2D"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11 </w:t>
      </w:r>
      <w:r w:rsidRPr="002E2942">
        <w:rPr>
          <w:rFonts w:ascii="Palatino Linotype" w:hAnsi="Palatino Linotype"/>
          <w:szCs w:val="16"/>
        </w:rPr>
        <w:t xml:space="preserve">at p. </w:t>
      </w:r>
      <w:r>
        <w:rPr>
          <w:rFonts w:ascii="Palatino Linotype" w:hAnsi="Palatino Linotype"/>
          <w:szCs w:val="16"/>
        </w:rPr>
        <w:t>62.</w:t>
      </w:r>
    </w:p>
  </w:footnote>
  <w:footnote w:id="215">
    <w:p w14:paraId="7B7B87C8"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6 </w:t>
      </w:r>
      <w:r w:rsidRPr="002E2942">
        <w:rPr>
          <w:rFonts w:ascii="Palatino Linotype" w:hAnsi="Palatino Linotype"/>
          <w:szCs w:val="16"/>
        </w:rPr>
        <w:t xml:space="preserve">at p. </w:t>
      </w:r>
      <w:r>
        <w:rPr>
          <w:rFonts w:ascii="Palatino Linotype" w:hAnsi="Palatino Linotype"/>
          <w:szCs w:val="16"/>
        </w:rPr>
        <w:t>54.</w:t>
      </w:r>
    </w:p>
  </w:footnote>
  <w:footnote w:id="216">
    <w:p w14:paraId="4D14F0E7" w14:textId="77777777" w:rsidR="008019CD" w:rsidRDefault="008019CD" w:rsidP="008019CD">
      <w:pPr>
        <w:pStyle w:val="FootnoteText"/>
      </w:pPr>
      <w:r>
        <w:rPr>
          <w:rStyle w:val="FootnoteReference"/>
        </w:rPr>
        <w:footnoteRef/>
      </w:r>
      <w:r>
        <w:t xml:space="preserve"> </w:t>
      </w:r>
      <w:r w:rsidRPr="00EE1132">
        <w:rPr>
          <w:rFonts w:ascii="Palatino Linotype" w:hAnsi="Palatino Linotype"/>
          <w:color w:val="000000" w:themeColor="text1"/>
          <w:szCs w:val="16"/>
        </w:rPr>
        <w:t>AL 5069-G at Appendix C.</w:t>
      </w:r>
    </w:p>
  </w:footnote>
  <w:footnote w:id="217">
    <w:p w14:paraId="376AA177"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42-44.</w:t>
      </w:r>
    </w:p>
  </w:footnote>
  <w:footnote w:id="218">
    <w:p w14:paraId="10C11A04" w14:textId="77777777" w:rsidR="008019CD" w:rsidRDefault="008019CD" w:rsidP="008019CD">
      <w:pPr>
        <w:pStyle w:val="FootnoteText"/>
      </w:pPr>
      <w:r>
        <w:rPr>
          <w:rStyle w:val="FootnoteReference"/>
        </w:rPr>
        <w:footnoteRef/>
      </w:r>
      <w:r>
        <w:t xml:space="preserve"> </w:t>
      </w:r>
      <w:r w:rsidRPr="0057276E">
        <w:rPr>
          <w:rFonts w:ascii="Palatino Linotype" w:hAnsi="Palatino Linotype"/>
          <w:szCs w:val="16"/>
        </w:rPr>
        <w:t>AL 5069-G at p. 14.</w:t>
      </w:r>
    </w:p>
  </w:footnote>
  <w:footnote w:id="219">
    <w:p w14:paraId="5B0FBF61" w14:textId="77777777" w:rsidR="008019CD" w:rsidRDefault="008019CD" w:rsidP="008019CD">
      <w:pPr>
        <w:pStyle w:val="FootnoteText"/>
      </w:pPr>
      <w:r>
        <w:rPr>
          <w:rStyle w:val="FootnoteReference"/>
        </w:rPr>
        <w:footnoteRef/>
      </w:r>
      <w:r>
        <w:t xml:space="preserve"> </w:t>
      </w:r>
      <w:r w:rsidRPr="00FB34E1">
        <w:rPr>
          <w:rFonts w:ascii="Palatino Linotype" w:hAnsi="Palatino Linotype"/>
        </w:rPr>
        <w:t>AL 50</w:t>
      </w:r>
      <w:r>
        <w:rPr>
          <w:rFonts w:ascii="Palatino Linotype" w:hAnsi="Palatino Linotype"/>
        </w:rPr>
        <w:t>69-G</w:t>
      </w:r>
      <w:r w:rsidRPr="00FB34E1">
        <w:rPr>
          <w:rFonts w:ascii="Palatino Linotype" w:hAnsi="Palatino Linotype"/>
        </w:rPr>
        <w:t xml:space="preserve"> </w:t>
      </w:r>
      <w:r w:rsidRPr="00FB34E1">
        <w:rPr>
          <w:rFonts w:ascii="Palatino Linotype" w:hAnsi="Palatino Linotype"/>
          <w:szCs w:val="16"/>
        </w:rPr>
        <w:t>at</w:t>
      </w:r>
      <w:r>
        <w:rPr>
          <w:rFonts w:ascii="Palatino Linotype" w:hAnsi="Palatino Linotype"/>
          <w:szCs w:val="16"/>
        </w:rPr>
        <w:t xml:space="preserve"> Appendix A.</w:t>
      </w:r>
    </w:p>
  </w:footnote>
  <w:footnote w:id="220">
    <w:p w14:paraId="062DC15C" w14:textId="77777777" w:rsidR="008019CD" w:rsidRPr="00561527" w:rsidRDefault="008019CD" w:rsidP="008019CD">
      <w:pPr>
        <w:pStyle w:val="FootnoteText"/>
        <w:rPr>
          <w:color w:val="EE0000"/>
        </w:rPr>
      </w:pPr>
      <w:r w:rsidRPr="00865C6E">
        <w:rPr>
          <w:rStyle w:val="FootnoteReference"/>
          <w:color w:val="000000" w:themeColor="text1"/>
        </w:rPr>
        <w:footnoteRef/>
      </w:r>
      <w:r w:rsidRPr="00865C6E">
        <w:rPr>
          <w:color w:val="000000" w:themeColor="text1"/>
        </w:rPr>
        <w:t xml:space="preserve"> </w:t>
      </w:r>
      <w:r w:rsidRPr="00865C6E">
        <w:rPr>
          <w:rFonts w:ascii="Palatino Linotype" w:hAnsi="Palatino Linotype"/>
          <w:color w:val="000000" w:themeColor="text1"/>
          <w:szCs w:val="16"/>
        </w:rPr>
        <w:t>AL 5069-G at p. 1</w:t>
      </w:r>
      <w:r>
        <w:rPr>
          <w:rFonts w:ascii="Palatino Linotype" w:hAnsi="Palatino Linotype"/>
          <w:color w:val="000000" w:themeColor="text1"/>
          <w:szCs w:val="16"/>
        </w:rPr>
        <w:t>0</w:t>
      </w:r>
      <w:r w:rsidRPr="00865C6E">
        <w:rPr>
          <w:rFonts w:ascii="Palatino Linotype" w:hAnsi="Palatino Linotype"/>
          <w:color w:val="000000" w:themeColor="text1"/>
          <w:szCs w:val="16"/>
        </w:rPr>
        <w:t>-28.</w:t>
      </w:r>
    </w:p>
  </w:footnote>
  <w:footnote w:id="221">
    <w:p w14:paraId="245FA716" w14:textId="77777777" w:rsidR="008019CD" w:rsidRDefault="008019CD" w:rsidP="008019CD">
      <w:pPr>
        <w:pStyle w:val="FootnoteText"/>
      </w:pPr>
      <w:r w:rsidRPr="00A54D6C">
        <w:rPr>
          <w:rStyle w:val="FootnoteReference"/>
          <w:color w:val="000000" w:themeColor="text1"/>
        </w:rPr>
        <w:footnoteRef/>
      </w:r>
      <w:r w:rsidRPr="00A54D6C">
        <w:rPr>
          <w:color w:val="000000" w:themeColor="text1"/>
        </w:rPr>
        <w:t xml:space="preserve"> </w:t>
      </w:r>
      <w:r w:rsidRPr="00A54D6C">
        <w:rPr>
          <w:rFonts w:ascii="Palatino Linotype" w:hAnsi="Palatino Linotype"/>
          <w:color w:val="000000" w:themeColor="text1"/>
          <w:szCs w:val="16"/>
        </w:rPr>
        <w:t xml:space="preserve">AL 5069-G at p. </w:t>
      </w:r>
      <w:r w:rsidRPr="00FD2783">
        <w:rPr>
          <w:rFonts w:ascii="Palatino Linotype" w:hAnsi="Palatino Linotype"/>
          <w:color w:val="000000" w:themeColor="text1"/>
          <w:szCs w:val="16"/>
        </w:rPr>
        <w:t>6; 9; 14-15; &amp; 40.</w:t>
      </w:r>
    </w:p>
  </w:footnote>
  <w:footnote w:id="222">
    <w:p w14:paraId="0499C778"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AL 5069-G at p.</w:t>
      </w:r>
      <w:r>
        <w:rPr>
          <w:rFonts w:ascii="Palatino Linotype" w:hAnsi="Palatino Linotype"/>
          <w:szCs w:val="16"/>
        </w:rPr>
        <w:t xml:space="preserve"> 62-64.</w:t>
      </w:r>
    </w:p>
  </w:footnote>
  <w:footnote w:id="223">
    <w:p w14:paraId="1A85FD38" w14:textId="2538BBCF" w:rsidR="57D0CA65" w:rsidRDefault="57D0CA65" w:rsidP="57D0CA65">
      <w:pPr>
        <w:pStyle w:val="FootnoteText"/>
      </w:pPr>
      <w:r w:rsidRPr="57D0CA65">
        <w:rPr>
          <w:rStyle w:val="FootnoteReference"/>
        </w:rPr>
        <w:footnoteRef/>
      </w:r>
      <w:r>
        <w:t xml:space="preserve"> </w:t>
      </w:r>
      <w:r w:rsidRPr="57D0CA65">
        <w:rPr>
          <w:rFonts w:ascii="Palatino Linotype" w:hAnsi="Palatino Linotype"/>
          <w:color w:val="000000" w:themeColor="text1"/>
        </w:rPr>
        <w:t>Resolution G-3618 at Appendix C: Guidance on Gas RD&amp;D Plans Provided to PG&amp;E During Pre-Submittal Consultation with CPUC Staff (March 2025) details guidance ED staff provided to PG&amp;E in advance of pre-submittal consultation briefings conducted March 25 and May 8, 2025, with CPUC subject matter experts (SMEs). ED staff provided additional guidance throughout Plan development regarding program requirements, including during meetings held March 11, April 8, and May 5, 2025.</w:t>
      </w:r>
    </w:p>
  </w:footnote>
  <w:footnote w:id="224">
    <w:p w14:paraId="215010C8" w14:textId="77777777" w:rsidR="008019CD" w:rsidRDefault="008019CD" w:rsidP="008019CD">
      <w:pPr>
        <w:pStyle w:val="FootnoteText"/>
      </w:pPr>
      <w:r>
        <w:rPr>
          <w:rStyle w:val="FootnoteReference"/>
        </w:rPr>
        <w:footnoteRef/>
      </w:r>
      <w:r>
        <w:t xml:space="preserve"> </w:t>
      </w:r>
      <w:r w:rsidRPr="006A34C4">
        <w:rPr>
          <w:rFonts w:ascii="Palatino Linotype" w:hAnsi="Palatino Linotype"/>
          <w:szCs w:val="16"/>
        </w:rPr>
        <w:t>AL 5069-G at p. 5</w:t>
      </w:r>
      <w:r>
        <w:rPr>
          <w:rFonts w:ascii="Palatino Linotype" w:hAnsi="Palatino Linotype"/>
          <w:szCs w:val="16"/>
        </w:rPr>
        <w:t>6-57.</w:t>
      </w:r>
    </w:p>
  </w:footnote>
  <w:footnote w:id="225">
    <w:p w14:paraId="17A08E6B"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AL 5069-G at p.</w:t>
      </w:r>
      <w:r>
        <w:rPr>
          <w:rFonts w:ascii="Palatino Linotype" w:hAnsi="Palatino Linotype"/>
          <w:szCs w:val="16"/>
        </w:rPr>
        <w:t xml:space="preserve"> 57-59.</w:t>
      </w:r>
    </w:p>
  </w:footnote>
  <w:footnote w:id="226">
    <w:p w14:paraId="7DEFEA78" w14:textId="17DE1818" w:rsidR="51F27FCA" w:rsidRDefault="51F27FCA" w:rsidP="51F27FCA">
      <w:pPr>
        <w:pStyle w:val="FootnoteText"/>
        <w:rPr>
          <w:rFonts w:ascii="Palatino Linotype" w:eastAsia="Palatino Linotype" w:hAnsi="Palatino Linotype" w:cs="Palatino Linotype"/>
        </w:rPr>
      </w:pPr>
      <w:r w:rsidRPr="51F27FCA">
        <w:rPr>
          <w:rStyle w:val="FootnoteReference"/>
        </w:rPr>
        <w:footnoteRef/>
      </w:r>
      <w:r>
        <w:t xml:space="preserve"> </w:t>
      </w:r>
      <w:hyperlink r:id="rId118">
        <w:r w:rsidRPr="51F27FCA">
          <w:rPr>
            <w:rStyle w:val="Hyperlink"/>
            <w:rFonts w:ascii="Palatino Linotype" w:eastAsia="Palatino Linotype" w:hAnsi="Palatino Linotype" w:cs="Palatino Linotype"/>
            <w:color w:val="467886"/>
          </w:rPr>
          <w:t>R.13-02-008.</w:t>
        </w:r>
      </w:hyperlink>
    </w:p>
  </w:footnote>
  <w:footnote w:id="227">
    <w:p w14:paraId="40F60AE4" w14:textId="59F86B9D" w:rsidR="008019CD" w:rsidRPr="004F3255" w:rsidRDefault="008019CD" w:rsidP="008019CD">
      <w:pPr>
        <w:pStyle w:val="FootnoteText"/>
        <w:rPr>
          <w:rFonts w:ascii="Palatino Linotype" w:hAnsi="Palatino Linotype"/>
          <w:color w:val="000000" w:themeColor="text1"/>
        </w:rPr>
      </w:pPr>
      <w:r>
        <w:rPr>
          <w:rStyle w:val="FootnoteReference"/>
        </w:rPr>
        <w:footnoteRef/>
      </w:r>
      <w:r>
        <w:t xml:space="preserve"> </w:t>
      </w:r>
      <w:hyperlink r:id="rId119"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218-219. </w:t>
      </w:r>
      <w:r w:rsidRPr="00EA1BDD">
        <w:rPr>
          <w:rFonts w:ascii="Palatino Linotype" w:hAnsi="Palatino Linotype"/>
        </w:rPr>
        <w:t xml:space="preserve">Consistent with </w:t>
      </w:r>
      <w:hyperlink r:id="rId120" w:tgtFrame="_blank" w:history="1">
        <w:r w:rsidRPr="00C333D3">
          <w:rPr>
            <w:rStyle w:val="Hyperlink"/>
            <w:rFonts w:ascii="Palatino Linotype" w:hAnsi="Palatino Linotype" w:cs="Times New Roman"/>
            <w:bCs/>
          </w:rPr>
          <w:t>Resolution G-3586</w:t>
        </w:r>
        <w:r>
          <w:rPr>
            <w:rStyle w:val="Hyperlink"/>
            <w:rFonts w:ascii="Times New Roman" w:hAnsi="Times New Roman" w:cs="Times New Roman"/>
            <w:bCs/>
          </w:rPr>
          <w:t> </w:t>
        </w:r>
      </w:hyperlink>
      <w:r w:rsidRPr="00EA1BDD">
        <w:rPr>
          <w:rFonts w:ascii="Palatino Linotype" w:hAnsi="Palatino Linotype"/>
          <w:bCs/>
        </w:rPr>
        <w:t>(2022)</w:t>
      </w:r>
      <w:r w:rsidR="00F73192">
        <w:rPr>
          <w:rFonts w:ascii="Palatino Linotype" w:hAnsi="Palatino Linotype"/>
          <w:bCs/>
        </w:rPr>
        <w:t xml:space="preserve"> </w:t>
      </w:r>
      <w:r>
        <w:rPr>
          <w:rFonts w:ascii="Palatino Linotype" w:hAnsi="Palatino Linotype"/>
          <w:bCs/>
        </w:rPr>
        <w:t xml:space="preserve">at </w:t>
      </w:r>
      <w:r w:rsidR="00CA7A5E">
        <w:rPr>
          <w:rFonts w:ascii="Palatino Linotype" w:hAnsi="Palatino Linotype"/>
          <w:bCs/>
        </w:rPr>
        <w:t>OP</w:t>
      </w:r>
      <w:r>
        <w:rPr>
          <w:rFonts w:ascii="Palatino Linotype" w:hAnsi="Palatino Linotype"/>
          <w:bCs/>
        </w:rPr>
        <w:t xml:space="preserve"> 5.</w:t>
      </w:r>
    </w:p>
  </w:footnote>
  <w:footnote w:id="228">
    <w:p w14:paraId="3A0CA9BD" w14:textId="77777777" w:rsidR="008019CD" w:rsidRPr="00561527" w:rsidRDefault="008019CD" w:rsidP="008019CD">
      <w:pPr>
        <w:pStyle w:val="FootnoteText"/>
        <w:rPr>
          <w:color w:val="EE0000"/>
        </w:rPr>
      </w:pPr>
      <w:r w:rsidRPr="005160D9">
        <w:rPr>
          <w:rStyle w:val="FootnoteReference"/>
          <w:color w:val="000000" w:themeColor="text1"/>
        </w:rPr>
        <w:footnoteRef/>
      </w:r>
      <w:r w:rsidRPr="005160D9">
        <w:rPr>
          <w:color w:val="000000" w:themeColor="text1"/>
        </w:rPr>
        <w:t xml:space="preserve"> </w:t>
      </w:r>
      <w:r w:rsidRPr="005160D9">
        <w:rPr>
          <w:rFonts w:ascii="Palatino Linotype" w:hAnsi="Palatino Linotype"/>
          <w:color w:val="000000" w:themeColor="text1"/>
        </w:rPr>
        <w:t>AL 5069</w:t>
      </w:r>
      <w:r w:rsidRPr="00AC22DE">
        <w:rPr>
          <w:rFonts w:ascii="Palatino Linotype" w:hAnsi="Palatino Linotype"/>
          <w:color w:val="000000" w:themeColor="text1"/>
        </w:rPr>
        <w:t>-G at p. 47-48</w:t>
      </w:r>
      <w:r>
        <w:rPr>
          <w:rFonts w:ascii="Palatino Linotype" w:hAnsi="Palatino Linotype"/>
          <w:color w:val="000000" w:themeColor="text1"/>
        </w:rPr>
        <w:t>.</w:t>
      </w:r>
    </w:p>
  </w:footnote>
  <w:footnote w:id="229">
    <w:p w14:paraId="12D89A7E"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42-43.</w:t>
      </w:r>
    </w:p>
  </w:footnote>
  <w:footnote w:id="230">
    <w:p w14:paraId="1AAB9DA8" w14:textId="77777777" w:rsidR="008019CD" w:rsidRPr="00561527" w:rsidRDefault="008019CD" w:rsidP="008019CD">
      <w:pPr>
        <w:pStyle w:val="FootnoteText"/>
        <w:rPr>
          <w:color w:val="EE0000"/>
        </w:rPr>
      </w:pPr>
      <w:r w:rsidRPr="00DB4534">
        <w:rPr>
          <w:rStyle w:val="FootnoteReference"/>
          <w:color w:val="000000" w:themeColor="text1"/>
        </w:rPr>
        <w:footnoteRef/>
      </w:r>
      <w:r w:rsidRPr="00DB4534">
        <w:rPr>
          <w:color w:val="000000" w:themeColor="text1"/>
        </w:rPr>
        <w:t xml:space="preserve"> </w:t>
      </w:r>
      <w:r w:rsidRPr="0057276E">
        <w:rPr>
          <w:rFonts w:ascii="Palatino Linotype" w:hAnsi="Palatino Linotype"/>
          <w:szCs w:val="16"/>
        </w:rPr>
        <w:t xml:space="preserve">AL 5069-G at p. </w:t>
      </w:r>
      <w:r>
        <w:rPr>
          <w:rFonts w:ascii="Palatino Linotype" w:hAnsi="Palatino Linotype"/>
          <w:szCs w:val="16"/>
        </w:rPr>
        <w:t>43-44.</w:t>
      </w:r>
    </w:p>
  </w:footnote>
  <w:footnote w:id="231">
    <w:p w14:paraId="44CBED41" w14:textId="77777777" w:rsidR="008019CD" w:rsidRDefault="008019CD" w:rsidP="008019CD">
      <w:pPr>
        <w:pStyle w:val="FootnoteText"/>
      </w:pPr>
      <w:r w:rsidRPr="00A114DB">
        <w:rPr>
          <w:rStyle w:val="FootnoteReference"/>
          <w:color w:val="000000" w:themeColor="text1"/>
        </w:rPr>
        <w:footnoteRef/>
      </w:r>
      <w:r w:rsidRPr="00A114DB">
        <w:rPr>
          <w:color w:val="000000" w:themeColor="text1"/>
        </w:rPr>
        <w:t xml:space="preserve"> </w:t>
      </w:r>
      <w:r w:rsidRPr="00A114DB">
        <w:rPr>
          <w:rFonts w:ascii="Palatino Linotype" w:hAnsi="Palatino Linotype"/>
          <w:color w:val="000000" w:themeColor="text1"/>
          <w:szCs w:val="16"/>
        </w:rPr>
        <w:t>AL 5069-G at p. 56-66.</w:t>
      </w:r>
    </w:p>
  </w:footnote>
  <w:footnote w:id="232">
    <w:p w14:paraId="5E59AB6E" w14:textId="77777777" w:rsidR="008019CD" w:rsidRPr="00561527" w:rsidRDefault="008019CD" w:rsidP="008019CD">
      <w:pPr>
        <w:pStyle w:val="FootnoteText"/>
        <w:rPr>
          <w:color w:val="EE0000"/>
        </w:rPr>
      </w:pPr>
      <w:r w:rsidRPr="007F7651">
        <w:rPr>
          <w:rStyle w:val="FootnoteReference"/>
          <w:color w:val="000000" w:themeColor="text1"/>
        </w:rPr>
        <w:footnoteRef/>
      </w:r>
      <w:r w:rsidRPr="007F7651">
        <w:rPr>
          <w:color w:val="000000" w:themeColor="text1"/>
        </w:rPr>
        <w:t xml:space="preserve"> </w:t>
      </w:r>
      <w:r w:rsidRPr="007F7651">
        <w:rPr>
          <w:rFonts w:ascii="Palatino Linotype" w:hAnsi="Palatino Linotype"/>
          <w:color w:val="000000" w:themeColor="text1"/>
        </w:rPr>
        <w:t xml:space="preserve">AL </w:t>
      </w:r>
      <w:r w:rsidRPr="004D4B3B">
        <w:rPr>
          <w:rFonts w:ascii="Palatino Linotype" w:hAnsi="Palatino Linotype"/>
          <w:color w:val="000000" w:themeColor="text1"/>
        </w:rPr>
        <w:t>5069-G at p. 46</w:t>
      </w:r>
      <w:r>
        <w:rPr>
          <w:rFonts w:ascii="Palatino Linotype" w:hAnsi="Palatino Linotype"/>
          <w:color w:val="000000" w:themeColor="text1"/>
        </w:rPr>
        <w:t>.</w:t>
      </w:r>
    </w:p>
  </w:footnote>
  <w:footnote w:id="233">
    <w:p w14:paraId="31128C7B" w14:textId="77777777" w:rsidR="008019CD" w:rsidRDefault="008019CD" w:rsidP="008019CD">
      <w:pPr>
        <w:pStyle w:val="FootnoteText"/>
      </w:pPr>
      <w:r>
        <w:rPr>
          <w:rStyle w:val="FootnoteReference"/>
        </w:rPr>
        <w:footnoteRef/>
      </w:r>
      <w:r>
        <w:t xml:space="preserve"> </w:t>
      </w:r>
      <w:r w:rsidRPr="005E4F24">
        <w:rPr>
          <w:rFonts w:ascii="Palatino Linotype" w:hAnsi="Palatino Linotype"/>
          <w:color w:val="000000" w:themeColor="text1"/>
        </w:rPr>
        <w:t>AL 5069-G at p. 44</w:t>
      </w:r>
      <w:r>
        <w:rPr>
          <w:rFonts w:ascii="Palatino Linotype" w:hAnsi="Palatino Linotype"/>
          <w:color w:val="000000" w:themeColor="text1"/>
        </w:rPr>
        <w:t>-45</w:t>
      </w:r>
      <w:r w:rsidRPr="005E4F24">
        <w:rPr>
          <w:rFonts w:ascii="Palatino Linotype" w:hAnsi="Palatino Linotype"/>
          <w:color w:val="000000" w:themeColor="text1"/>
        </w:rPr>
        <w:t>.</w:t>
      </w:r>
    </w:p>
  </w:footnote>
  <w:footnote w:id="234">
    <w:p w14:paraId="2FA40547" w14:textId="77777777" w:rsidR="008019CD" w:rsidRDefault="008019CD" w:rsidP="008019CD">
      <w:pPr>
        <w:pStyle w:val="FootnoteText"/>
      </w:pPr>
      <w:r>
        <w:rPr>
          <w:rStyle w:val="FootnoteReference"/>
        </w:rPr>
        <w:footnoteRef/>
      </w:r>
      <w:r>
        <w:t xml:space="preserve"> </w:t>
      </w:r>
      <w:r w:rsidRPr="00D44273">
        <w:rPr>
          <w:rFonts w:ascii="Palatino Linotype" w:hAnsi="Palatino Linotype"/>
        </w:rPr>
        <w:t>AL 5069-G at p. 61.</w:t>
      </w:r>
    </w:p>
  </w:footnote>
  <w:footnote w:id="235">
    <w:p w14:paraId="426B5048" w14:textId="77777777" w:rsidR="008019CD" w:rsidRDefault="008019CD" w:rsidP="008019CD">
      <w:pPr>
        <w:pStyle w:val="FootnoteText"/>
      </w:pPr>
      <w:r w:rsidRPr="00CF5A76">
        <w:rPr>
          <w:rStyle w:val="FootnoteReference"/>
          <w:color w:val="000000" w:themeColor="text1"/>
        </w:rPr>
        <w:footnoteRef/>
      </w:r>
      <w:r w:rsidRPr="00CF5A76">
        <w:rPr>
          <w:color w:val="000000" w:themeColor="text1"/>
        </w:rPr>
        <w:t xml:space="preserve"> </w:t>
      </w:r>
      <w:r w:rsidRPr="00CF5A76">
        <w:rPr>
          <w:rFonts w:ascii="Palatino Linotype" w:hAnsi="Palatino Linotype"/>
          <w:color w:val="000000" w:themeColor="text1"/>
        </w:rPr>
        <w:t xml:space="preserve">AL </w:t>
      </w:r>
      <w:r w:rsidRPr="00267EB3">
        <w:rPr>
          <w:rFonts w:ascii="Palatino Linotype" w:hAnsi="Palatino Linotype"/>
          <w:color w:val="000000" w:themeColor="text1"/>
        </w:rPr>
        <w:t>5069-G at p. 47.</w:t>
      </w:r>
    </w:p>
  </w:footnote>
  <w:footnote w:id="236">
    <w:p w14:paraId="70A556DA" w14:textId="77777777" w:rsidR="002A7592" w:rsidRDefault="002A7592" w:rsidP="002A7592">
      <w:pPr>
        <w:pStyle w:val="FootnoteText"/>
      </w:pPr>
      <w:r>
        <w:rPr>
          <w:rStyle w:val="FootnoteReference"/>
        </w:rPr>
        <w:footnoteRef/>
      </w:r>
      <w:r>
        <w:t xml:space="preserve"> </w:t>
      </w:r>
      <w:r w:rsidRPr="00B3646B">
        <w:rPr>
          <w:rFonts w:ascii="Palatino Linotype" w:hAnsi="Palatino Linotype"/>
        </w:rPr>
        <w:t>See Appendix C: Guidance on Gas RD&amp;D Plans Provided to PG&amp;E During Pre-Submittal Consultation with CPUC Staff in March 2025</w:t>
      </w:r>
      <w:r>
        <w:t>.</w:t>
      </w:r>
    </w:p>
  </w:footnote>
  <w:footnote w:id="237">
    <w:p w14:paraId="5A1E2B96" w14:textId="1676DEE2" w:rsidR="00215FFF" w:rsidRDefault="00215FFF">
      <w:pPr>
        <w:pStyle w:val="FootnoteText"/>
      </w:pPr>
      <w:r>
        <w:rPr>
          <w:rStyle w:val="FootnoteReference"/>
        </w:rPr>
        <w:footnoteRef/>
      </w:r>
      <w:r>
        <w:t xml:space="preserve"> </w:t>
      </w:r>
      <w:r w:rsidRPr="00215FFF">
        <w:rPr>
          <w:rFonts w:ascii="Palatino Linotype" w:hAnsi="Palatino Linotype"/>
        </w:rPr>
        <w:t>Required by California Public Utilities Code Section 740.1 at (a).</w:t>
      </w:r>
    </w:p>
  </w:footnote>
  <w:footnote w:id="238">
    <w:p w14:paraId="70B0223E" w14:textId="54DFA0BA" w:rsidR="00653BB4" w:rsidRPr="00E1674B" w:rsidRDefault="00653BB4" w:rsidP="00E1674B">
      <w:pPr>
        <w:spacing w:after="0" w:line="240" w:lineRule="auto"/>
        <w:rPr>
          <w:rFonts w:ascii="Palatino Linotype" w:eastAsia="Century Gothic" w:hAnsi="Palatino Linotype" w:cs="Century Gothic"/>
          <w:sz w:val="20"/>
          <w:szCs w:val="20"/>
        </w:rPr>
      </w:pPr>
      <w:r w:rsidRPr="00657690">
        <w:rPr>
          <w:rStyle w:val="FootnoteReference"/>
          <w:rFonts w:ascii="Palatino Linotype" w:hAnsi="Palatino Linotype"/>
          <w:sz w:val="20"/>
          <w:szCs w:val="20"/>
        </w:rPr>
        <w:footnoteRef/>
      </w:r>
      <w:r w:rsidRPr="00657690">
        <w:rPr>
          <w:rFonts w:ascii="Palatino Linotype" w:hAnsi="Palatino Linotype"/>
          <w:sz w:val="20"/>
          <w:szCs w:val="20"/>
        </w:rPr>
        <w:t xml:space="preserve"> </w:t>
      </w:r>
      <w:hyperlink r:id="rId121" w:history="1">
        <w:r w:rsidRPr="00657690">
          <w:rPr>
            <w:rStyle w:val="Hyperlink"/>
            <w:rFonts w:ascii="Palatino Linotype" w:hAnsi="Palatino Linotype"/>
            <w:sz w:val="20"/>
            <w:szCs w:val="12"/>
          </w:rPr>
          <w:t>D.23-04-042</w:t>
        </w:r>
      </w:hyperlink>
      <w:r>
        <w:rPr>
          <w:rFonts w:ascii="Palatino Linotype" w:hAnsi="Palatino Linotype"/>
          <w:sz w:val="20"/>
          <w:szCs w:val="12"/>
        </w:rPr>
        <w:t xml:space="preserve"> </w:t>
      </w:r>
      <w:r w:rsidRPr="00657690">
        <w:rPr>
          <w:rFonts w:ascii="Palatino Linotype" w:hAnsi="Palatino Linotype"/>
          <w:sz w:val="20"/>
          <w:szCs w:val="12"/>
        </w:rPr>
        <w:t xml:space="preserve">at Appendix A. See </w:t>
      </w:r>
      <w:r>
        <w:rPr>
          <w:rFonts w:ascii="Palatino Linotype" w:hAnsi="Palatino Linotype"/>
          <w:sz w:val="20"/>
          <w:szCs w:val="12"/>
        </w:rPr>
        <w:t xml:space="preserve">Resolution G-3618 at </w:t>
      </w:r>
      <w:r w:rsidRPr="00657690">
        <w:rPr>
          <w:rFonts w:ascii="Palatino Linotype" w:hAnsi="Palatino Linotype"/>
          <w:sz w:val="20"/>
          <w:szCs w:val="20"/>
        </w:rPr>
        <w:t>A</w:t>
      </w:r>
      <w:r>
        <w:rPr>
          <w:rFonts w:ascii="Palatino Linotype" w:hAnsi="Palatino Linotype"/>
          <w:sz w:val="20"/>
          <w:szCs w:val="20"/>
        </w:rPr>
        <w:t>ppendix</w:t>
      </w:r>
      <w:r w:rsidRPr="00657690">
        <w:rPr>
          <w:rFonts w:ascii="Palatino Linotype" w:hAnsi="Palatino Linotype"/>
          <w:sz w:val="20"/>
          <w:szCs w:val="20"/>
        </w:rPr>
        <w:t xml:space="preserve"> </w:t>
      </w:r>
      <w:r>
        <w:rPr>
          <w:rFonts w:ascii="Palatino Linotype" w:hAnsi="Palatino Linotype"/>
          <w:color w:val="000000" w:themeColor="text1"/>
          <w:sz w:val="20"/>
          <w:szCs w:val="20"/>
        </w:rPr>
        <w:t>E</w:t>
      </w:r>
      <w:r w:rsidRPr="00657690">
        <w:rPr>
          <w:rFonts w:ascii="Palatino Linotype" w:hAnsi="Palatino Linotype"/>
          <w:sz w:val="20"/>
          <w:szCs w:val="20"/>
        </w:rPr>
        <w:t>: EPIC Foundational Principles for the Development of a Uniform Impact Analysis Framework.</w:t>
      </w:r>
      <w:r w:rsidR="007857EE">
        <w:rPr>
          <w:rFonts w:ascii="Palatino Linotype" w:hAnsi="Palatino Linotype"/>
          <w:sz w:val="20"/>
          <w:szCs w:val="20"/>
        </w:rPr>
        <w:t xml:space="preserve"> </w:t>
      </w:r>
      <w:r w:rsidR="007857EE" w:rsidRPr="00230B46">
        <w:rPr>
          <w:rFonts w:ascii="Palatino Linotype" w:hAnsi="Palatino Linotype"/>
          <w:sz w:val="20"/>
          <w:szCs w:val="20"/>
        </w:rPr>
        <w:t xml:space="preserve">Consistent with </w:t>
      </w:r>
      <w:hyperlink r:id="rId122">
        <w:r w:rsidR="007857EE" w:rsidRPr="00230B46">
          <w:rPr>
            <w:rFonts w:ascii="Palatino Linotype" w:eastAsia="Century Gothic" w:hAnsi="Palatino Linotype" w:cs="Century Gothic"/>
            <w:color w:val="467886" w:themeColor="hyperlink"/>
            <w:sz w:val="20"/>
            <w:szCs w:val="20"/>
            <w:u w:val="single"/>
          </w:rPr>
          <w:t>Resolution G-3603</w:t>
        </w:r>
      </w:hyperlink>
      <w:r w:rsidR="007857EE" w:rsidRPr="00230B46">
        <w:rPr>
          <w:rFonts w:ascii="Palatino Linotype" w:hAnsi="Palatino Linotype"/>
          <w:sz w:val="20"/>
          <w:szCs w:val="20"/>
        </w:rPr>
        <w:t xml:space="preserve"> (2024)</w:t>
      </w:r>
      <w:r w:rsidR="00E1674B">
        <w:rPr>
          <w:rFonts w:ascii="Palatino Linotype" w:hAnsi="Palatino Linotype"/>
          <w:sz w:val="20"/>
          <w:szCs w:val="20"/>
        </w:rPr>
        <w:t xml:space="preserve"> </w:t>
      </w:r>
      <w:r w:rsidR="007857EE" w:rsidRPr="00230B46">
        <w:rPr>
          <w:rFonts w:ascii="Palatino Linotype" w:hAnsi="Palatino Linotype"/>
          <w:sz w:val="20"/>
          <w:szCs w:val="20"/>
        </w:rPr>
        <w:t>at</w:t>
      </w:r>
      <w:r w:rsidR="007857EE" w:rsidRPr="00230B46">
        <w:rPr>
          <w:rFonts w:ascii="Palatino Linotype" w:eastAsia="Century Gothic" w:hAnsi="Palatino Linotype" w:cs="Century Gothic"/>
          <w:sz w:val="20"/>
          <w:szCs w:val="20"/>
        </w:rPr>
        <w:t xml:space="preserve"> OP 6</w:t>
      </w:r>
      <w:r w:rsidR="00E1674B">
        <w:rPr>
          <w:rFonts w:ascii="Palatino Linotype" w:eastAsia="Century Gothic" w:hAnsi="Palatino Linotype" w:cs="Century Gothic"/>
          <w:sz w:val="20"/>
          <w:szCs w:val="20"/>
        </w:rPr>
        <w:t>: “</w:t>
      </w:r>
      <w:r w:rsidR="00E1674B" w:rsidRPr="00E1674B">
        <w:rPr>
          <w:rFonts w:ascii="Palatino Linotype" w:eastAsia="Century Gothic" w:hAnsi="Palatino Linotype" w:cs="Century Gothic"/>
          <w:sz w:val="20"/>
          <w:szCs w:val="20"/>
        </w:rPr>
        <w:t>Once the</w:t>
      </w:r>
      <w:r w:rsidR="007C3398">
        <w:rPr>
          <w:rFonts w:ascii="Palatino Linotype" w:eastAsia="Century Gothic" w:hAnsi="Palatino Linotype" w:cs="Century Gothic"/>
          <w:sz w:val="20"/>
          <w:szCs w:val="20"/>
        </w:rPr>
        <w:t xml:space="preserve"> [</w:t>
      </w:r>
      <w:r w:rsidR="00E1674B" w:rsidRPr="00E1674B">
        <w:rPr>
          <w:rFonts w:ascii="Palatino Linotype" w:eastAsia="Century Gothic" w:hAnsi="Palatino Linotype" w:cs="Century Gothic"/>
          <w:sz w:val="20"/>
          <w:szCs w:val="20"/>
        </w:rPr>
        <w:t>EPIC</w:t>
      </w:r>
      <w:r w:rsidR="007C3398">
        <w:rPr>
          <w:rFonts w:ascii="Palatino Linotype" w:eastAsia="Century Gothic" w:hAnsi="Palatino Linotype" w:cs="Century Gothic"/>
          <w:sz w:val="20"/>
          <w:szCs w:val="20"/>
        </w:rPr>
        <w:t>]</w:t>
      </w:r>
      <w:r w:rsidR="00E1674B" w:rsidRPr="00E1674B">
        <w:rPr>
          <w:rFonts w:ascii="Palatino Linotype" w:eastAsia="Century Gothic" w:hAnsi="Palatino Linotype" w:cs="Century Gothic"/>
          <w:sz w:val="20"/>
          <w:szCs w:val="20"/>
        </w:rPr>
        <w:t xml:space="preserve"> program’s Uniform Impact</w:t>
      </w:r>
      <w:r w:rsidR="00E1674B">
        <w:rPr>
          <w:rFonts w:ascii="Palatino Linotype" w:eastAsia="Century Gothic" w:hAnsi="Palatino Linotype" w:cs="Century Gothic"/>
          <w:sz w:val="20"/>
          <w:szCs w:val="20"/>
        </w:rPr>
        <w:t xml:space="preserve"> </w:t>
      </w:r>
      <w:r w:rsidR="00E1674B" w:rsidRPr="00E1674B">
        <w:rPr>
          <w:rFonts w:ascii="Palatino Linotype" w:eastAsia="Century Gothic" w:hAnsi="Palatino Linotype" w:cs="Century Gothic"/>
          <w:sz w:val="20"/>
          <w:szCs w:val="20"/>
        </w:rPr>
        <w:t>Analysis framework is approved by the Commission, the California Energy</w:t>
      </w:r>
      <w:r w:rsidR="00E1674B">
        <w:rPr>
          <w:rFonts w:ascii="Palatino Linotype" w:eastAsia="Century Gothic" w:hAnsi="Palatino Linotype" w:cs="Century Gothic"/>
          <w:sz w:val="20"/>
          <w:szCs w:val="20"/>
        </w:rPr>
        <w:t xml:space="preserve"> </w:t>
      </w:r>
      <w:r w:rsidR="00E1674B" w:rsidRPr="00E1674B">
        <w:rPr>
          <w:rFonts w:ascii="Palatino Linotype" w:eastAsia="Century Gothic" w:hAnsi="Palatino Linotype" w:cs="Century Gothic"/>
          <w:sz w:val="20"/>
          <w:szCs w:val="20"/>
        </w:rPr>
        <w:t>Commission shall use this framework to demonstrate outcomes of achieving its</w:t>
      </w:r>
      <w:r w:rsidR="00E1674B">
        <w:rPr>
          <w:rFonts w:ascii="Palatino Linotype" w:eastAsia="Century Gothic" w:hAnsi="Palatino Linotype" w:cs="Century Gothic"/>
          <w:sz w:val="20"/>
          <w:szCs w:val="20"/>
        </w:rPr>
        <w:t xml:space="preserve"> </w:t>
      </w:r>
      <w:r w:rsidR="00E1674B" w:rsidRPr="00E1674B">
        <w:rPr>
          <w:rFonts w:ascii="Palatino Linotype" w:eastAsia="Century Gothic" w:hAnsi="Palatino Linotype" w:cs="Century Gothic"/>
          <w:sz w:val="20"/>
          <w:szCs w:val="20"/>
        </w:rPr>
        <w:t>proposed benefits for all current and future research projects including through</w:t>
      </w:r>
      <w:r w:rsidR="00E1674B">
        <w:rPr>
          <w:rFonts w:ascii="Palatino Linotype" w:eastAsia="Century Gothic" w:hAnsi="Palatino Linotype" w:cs="Century Gothic"/>
          <w:sz w:val="20"/>
          <w:szCs w:val="20"/>
        </w:rPr>
        <w:t xml:space="preserve"> </w:t>
      </w:r>
      <w:r w:rsidR="00E1674B" w:rsidRPr="00E1674B">
        <w:rPr>
          <w:rFonts w:ascii="Palatino Linotype" w:eastAsia="Century Gothic" w:hAnsi="Palatino Linotype" w:cs="Century Gothic"/>
          <w:sz w:val="20"/>
          <w:szCs w:val="20"/>
        </w:rPr>
        <w:t>quantitative methodologies</w:t>
      </w:r>
      <w:r w:rsidR="00E1674B">
        <w:rPr>
          <w:rFonts w:ascii="Palatino Linotype" w:eastAsia="Century Gothic" w:hAnsi="Palatino Linotype" w:cs="Century Gothic"/>
          <w:sz w:val="20"/>
          <w:szCs w:val="20"/>
        </w:rPr>
        <w:t>.”</w:t>
      </w:r>
    </w:p>
  </w:footnote>
  <w:footnote w:id="239">
    <w:p w14:paraId="70148BB8" w14:textId="1A1C713A" w:rsidR="000E6EE4" w:rsidRDefault="000E6EE4">
      <w:pPr>
        <w:pStyle w:val="FootnoteText"/>
      </w:pPr>
      <w:r>
        <w:rPr>
          <w:rStyle w:val="FootnoteReference"/>
        </w:rPr>
        <w:footnoteRef/>
      </w:r>
      <w:r>
        <w:t xml:space="preserve"> </w:t>
      </w:r>
      <w:hyperlink r:id="rId123" w:history="1">
        <w:r w:rsidR="004B7CBB" w:rsidRPr="00657690">
          <w:rPr>
            <w:rStyle w:val="Hyperlink"/>
            <w:rFonts w:ascii="Palatino Linotype" w:hAnsi="Palatino Linotype"/>
            <w:szCs w:val="12"/>
          </w:rPr>
          <w:t>D.23-04-042</w:t>
        </w:r>
      </w:hyperlink>
      <w:r w:rsidR="004B7CBB">
        <w:rPr>
          <w:rFonts w:ascii="Palatino Linotype" w:hAnsi="Palatino Linotype"/>
          <w:szCs w:val="12"/>
        </w:rPr>
        <w:t xml:space="preserve"> </w:t>
      </w:r>
      <w:r w:rsidR="004B7CBB" w:rsidRPr="00657690">
        <w:rPr>
          <w:rFonts w:ascii="Palatino Linotype" w:hAnsi="Palatino Linotype"/>
          <w:szCs w:val="12"/>
        </w:rPr>
        <w:t>at</w:t>
      </w:r>
      <w:r w:rsidR="004B7CBB">
        <w:rPr>
          <w:rFonts w:ascii="Palatino Linotype" w:hAnsi="Palatino Linotype"/>
          <w:szCs w:val="12"/>
        </w:rPr>
        <w:t xml:space="preserve"> A-2.</w:t>
      </w:r>
    </w:p>
  </w:footnote>
  <w:footnote w:id="240">
    <w:p w14:paraId="01437A24" w14:textId="721CB94C" w:rsidR="00F51DF5" w:rsidRPr="004F3255" w:rsidRDefault="00F51DF5" w:rsidP="00F51DF5">
      <w:pPr>
        <w:pStyle w:val="FootnoteText"/>
        <w:rPr>
          <w:rFonts w:ascii="Palatino Linotype" w:hAnsi="Palatino Linotype"/>
          <w:color w:val="000000" w:themeColor="text1"/>
        </w:rPr>
      </w:pPr>
      <w:r>
        <w:rPr>
          <w:rStyle w:val="FootnoteReference"/>
        </w:rPr>
        <w:footnoteRef/>
      </w:r>
      <w:r>
        <w:t xml:space="preserve"> </w:t>
      </w:r>
      <w:r w:rsidRPr="004F3255">
        <w:rPr>
          <w:rFonts w:ascii="Palatino Linotype" w:hAnsi="Palatino Linotype"/>
        </w:rPr>
        <w:t xml:space="preserve">California Public Utilities Code Section 740.1 </w:t>
      </w:r>
      <w:r w:rsidR="00A506C3">
        <w:rPr>
          <w:rFonts w:ascii="Palatino Linotype" w:hAnsi="Palatino Linotype"/>
        </w:rPr>
        <w:t>(d). Consistent with</w:t>
      </w:r>
      <w:r w:rsidRPr="004F3255">
        <w:rPr>
          <w:rFonts w:ascii="Palatino Linotype" w:hAnsi="Palatino Linotype"/>
        </w:rPr>
        <w:t xml:space="preserve"> </w:t>
      </w:r>
      <w:hyperlink r:id="rId124" w:history="1">
        <w:r w:rsidRPr="00E613DD">
          <w:rPr>
            <w:rStyle w:val="Hyperlink"/>
            <w:rFonts w:ascii="Palatino Linotype" w:hAnsi="Palatino Linotype"/>
          </w:rPr>
          <w:t>D.24-12-074</w:t>
        </w:r>
      </w:hyperlink>
      <w:r>
        <w:rPr>
          <w:rFonts w:ascii="Palatino Linotype" w:hAnsi="Palatino Linotype"/>
        </w:rPr>
        <w:t xml:space="preserve"> at p. 327.</w:t>
      </w:r>
    </w:p>
  </w:footnote>
  <w:footnote w:id="241">
    <w:p w14:paraId="040DFDAB" w14:textId="77777777" w:rsidR="008019CD" w:rsidRDefault="008019CD" w:rsidP="008019CD">
      <w:pPr>
        <w:pStyle w:val="FootnoteText"/>
      </w:pPr>
      <w:r>
        <w:rPr>
          <w:rStyle w:val="FootnoteReference"/>
        </w:rPr>
        <w:footnoteRef/>
      </w:r>
      <w:r>
        <w:rPr>
          <w:rFonts w:ascii="Palatino Linotype" w:hAnsi="Palatino Linotype"/>
          <w:color w:val="000000" w:themeColor="text1"/>
        </w:rPr>
        <w:t xml:space="preserve"> </w:t>
      </w:r>
      <w:r w:rsidRPr="00267EB3">
        <w:rPr>
          <w:rFonts w:ascii="Palatino Linotype" w:hAnsi="Palatino Linotype"/>
          <w:color w:val="000000" w:themeColor="text1"/>
        </w:rPr>
        <w:t xml:space="preserve">AL 5069-G at p. </w:t>
      </w:r>
      <w:r>
        <w:rPr>
          <w:rFonts w:ascii="Palatino Linotype" w:hAnsi="Palatino Linotype"/>
          <w:color w:val="000000" w:themeColor="text1"/>
        </w:rPr>
        <w:t>57-59</w:t>
      </w:r>
      <w:r w:rsidRPr="00267EB3">
        <w:rPr>
          <w:rFonts w:ascii="Palatino Linotype" w:hAnsi="Palatino Linotype"/>
          <w:color w:val="000000" w:themeColor="text1"/>
        </w:rPr>
        <w:t>.</w:t>
      </w:r>
    </w:p>
  </w:footnote>
  <w:footnote w:id="242">
    <w:p w14:paraId="29507785" w14:textId="542018F9" w:rsidR="053C7DD7" w:rsidRDefault="053C7DD7" w:rsidP="053C7DD7">
      <w:pPr>
        <w:pStyle w:val="FootnoteText"/>
      </w:pPr>
      <w:r w:rsidRPr="053C7DD7">
        <w:rPr>
          <w:rStyle w:val="FootnoteReference"/>
        </w:rPr>
        <w:footnoteRef/>
      </w:r>
      <w:r w:rsidR="0716745F">
        <w:t xml:space="preserve"> </w:t>
      </w:r>
      <w:r w:rsidR="0716745F" w:rsidRPr="672208C5">
        <w:rPr>
          <w:rFonts w:ascii="Palatino Linotype" w:eastAsia="Palatino Linotype" w:hAnsi="Palatino Linotype" w:cs="Palatino Linotype"/>
        </w:rPr>
        <w:t>AL 5069-G</w:t>
      </w:r>
      <w:r w:rsidR="62B2F745" w:rsidRPr="672208C5">
        <w:rPr>
          <w:rFonts w:ascii="Palatino Linotype" w:eastAsia="Palatino Linotype" w:hAnsi="Palatino Linotype" w:cs="Palatino Linotype"/>
        </w:rPr>
        <w:t xml:space="preserve"> at </w:t>
      </w:r>
      <w:r w:rsidR="2AE50152" w:rsidRPr="672208C5">
        <w:rPr>
          <w:rFonts w:ascii="Palatino Linotype" w:eastAsia="Palatino Linotype" w:hAnsi="Palatino Linotype" w:cs="Palatino Linotype"/>
        </w:rPr>
        <w:t xml:space="preserve">p. </w:t>
      </w:r>
      <w:r w:rsidR="672208C5" w:rsidRPr="672208C5">
        <w:rPr>
          <w:rFonts w:ascii="Palatino Linotype" w:eastAsia="Palatino Linotype" w:hAnsi="Palatino Linotype" w:cs="Palatino Linotype"/>
        </w:rPr>
        <w:t>61-62.</w:t>
      </w:r>
    </w:p>
  </w:footnote>
  <w:footnote w:id="243">
    <w:p w14:paraId="6DA53112" w14:textId="0A9A2B48" w:rsidR="008019CD" w:rsidRDefault="008019CD" w:rsidP="008019CD">
      <w:pPr>
        <w:pStyle w:val="FootnoteText"/>
      </w:pPr>
      <w:r>
        <w:rPr>
          <w:rStyle w:val="FootnoteReference"/>
        </w:rPr>
        <w:footnoteRef/>
      </w:r>
      <w:r>
        <w:t xml:space="preserve"> </w:t>
      </w:r>
      <w:r w:rsidRPr="00267EB3">
        <w:rPr>
          <w:rFonts w:ascii="Palatino Linotype" w:hAnsi="Palatino Linotype"/>
          <w:color w:val="000000" w:themeColor="text1"/>
        </w:rPr>
        <w:t xml:space="preserve">AL </w:t>
      </w:r>
      <w:r w:rsidR="286D8E1C">
        <w:rPr>
          <w:rFonts w:ascii="Palatino Linotype" w:hAnsi="Palatino Linotype"/>
          <w:color w:val="000000" w:themeColor="text1"/>
        </w:rPr>
        <w:t>5069</w:t>
      </w:r>
      <w:r>
        <w:rPr>
          <w:rFonts w:ascii="Palatino Linotype" w:hAnsi="Palatino Linotype"/>
          <w:color w:val="000000" w:themeColor="text1"/>
        </w:rPr>
        <w:t>-G</w:t>
      </w:r>
      <w:r w:rsidRPr="00267EB3">
        <w:rPr>
          <w:rFonts w:ascii="Palatino Linotype" w:hAnsi="Palatino Linotype"/>
          <w:color w:val="000000" w:themeColor="text1"/>
        </w:rPr>
        <w:t xml:space="preserve"> at p. </w:t>
      </w:r>
      <w:r w:rsidR="286D8E1C" w:rsidRPr="00267EB3">
        <w:rPr>
          <w:rFonts w:ascii="Palatino Linotype" w:hAnsi="Palatino Linotype"/>
          <w:color w:val="000000" w:themeColor="text1"/>
        </w:rPr>
        <w:t>47</w:t>
      </w:r>
      <w:r>
        <w:rPr>
          <w:rFonts w:ascii="Palatino Linotype" w:hAnsi="Palatino Linotype"/>
          <w:color w:val="000000" w:themeColor="text1"/>
        </w:rPr>
        <w:t>.</w:t>
      </w:r>
    </w:p>
  </w:footnote>
  <w:footnote w:id="244">
    <w:p w14:paraId="5E23D976" w14:textId="77777777" w:rsidR="008019CD" w:rsidRPr="004F3255" w:rsidRDefault="008019CD" w:rsidP="008019CD">
      <w:pPr>
        <w:pStyle w:val="FootnoteText"/>
        <w:rPr>
          <w:rFonts w:ascii="Palatino Linotype" w:hAnsi="Palatino Linotype"/>
          <w:bCs/>
        </w:rPr>
      </w:pPr>
      <w:r>
        <w:rPr>
          <w:rStyle w:val="FootnoteReference"/>
        </w:rPr>
        <w:footnoteRef/>
      </w:r>
      <w:r>
        <w:t xml:space="preserve"> </w:t>
      </w:r>
      <w:hyperlink r:id="rId125"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219. </w:t>
      </w:r>
      <w:r w:rsidRPr="008A243A">
        <w:rPr>
          <w:rFonts w:ascii="Palatino Linotype" w:hAnsi="Palatino Linotype"/>
        </w:rPr>
        <w:t xml:space="preserve">See </w:t>
      </w:r>
      <w:r>
        <w:rPr>
          <w:rFonts w:ascii="Palatino Linotype" w:hAnsi="Palatino Linotype"/>
          <w:szCs w:val="12"/>
        </w:rPr>
        <w:t>Resolution G-3618 at</w:t>
      </w:r>
      <w:r w:rsidRPr="008A243A">
        <w:rPr>
          <w:rFonts w:ascii="Palatino Linotype" w:hAnsi="Palatino Linotype"/>
        </w:rPr>
        <w:t xml:space="preserve"> Appendix B: Administrative Budget Cost Categories</w:t>
      </w:r>
      <w:r>
        <w:rPr>
          <w:rFonts w:ascii="Palatino Linotype" w:hAnsi="Palatino Linotype"/>
        </w:rPr>
        <w:t>.</w:t>
      </w:r>
      <w:r>
        <w:rPr>
          <w:rFonts w:ascii="Palatino Linotype" w:hAnsi="Palatino Linotype"/>
          <w:bCs/>
        </w:rPr>
        <w:t xml:space="preserve"> </w:t>
      </w:r>
      <w:r w:rsidRPr="00EA1BDD">
        <w:rPr>
          <w:rFonts w:ascii="Palatino Linotype" w:hAnsi="Palatino Linotype"/>
        </w:rPr>
        <w:t xml:space="preserve">Consistent with </w:t>
      </w:r>
      <w:hyperlink r:id="rId126" w:tgtFrame="_blank" w:history="1">
        <w:r w:rsidRPr="00E2662A">
          <w:rPr>
            <w:rStyle w:val="Hyperlink"/>
            <w:rFonts w:ascii="Palatino Linotype" w:hAnsi="Palatino Linotype" w:cs="Times New Roman"/>
            <w:bCs/>
          </w:rPr>
          <w:t>Resolution G-3586</w:t>
        </w:r>
        <w:r w:rsidRPr="00E2662A">
          <w:rPr>
            <w:rStyle w:val="Hyperlink"/>
            <w:rFonts w:ascii="Times New Roman" w:hAnsi="Times New Roman" w:cs="Times New Roman"/>
            <w:bCs/>
          </w:rPr>
          <w:t> </w:t>
        </w:r>
      </w:hyperlink>
      <w:r w:rsidRPr="00EA1BDD">
        <w:rPr>
          <w:rFonts w:ascii="Palatino Linotype" w:hAnsi="Palatino Linotype"/>
          <w:bCs/>
        </w:rPr>
        <w:t>(2022)</w:t>
      </w:r>
      <w:r>
        <w:rPr>
          <w:rFonts w:ascii="Palatino Linotype" w:hAnsi="Palatino Linotype"/>
          <w:bCs/>
        </w:rPr>
        <w:t xml:space="preserve"> at OP 4.</w:t>
      </w:r>
    </w:p>
  </w:footnote>
  <w:footnote w:id="245">
    <w:p w14:paraId="205A7B15"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54 &amp; 67.</w:t>
      </w:r>
    </w:p>
  </w:footnote>
  <w:footnote w:id="246">
    <w:p w14:paraId="128BDB89" w14:textId="5EED6596" w:rsidR="1128EAC3" w:rsidRDefault="1128EAC3" w:rsidP="1128EAC3">
      <w:pPr>
        <w:pStyle w:val="FootnoteText"/>
      </w:pPr>
      <w:r w:rsidRPr="1128EAC3">
        <w:rPr>
          <w:rStyle w:val="FootnoteReference"/>
        </w:rPr>
        <w:footnoteRef/>
      </w:r>
      <w:r>
        <w:t xml:space="preserve"> </w:t>
      </w:r>
      <w:r w:rsidRPr="0ADA25F2">
        <w:rPr>
          <w:rFonts w:ascii="Palatino Linotype" w:eastAsia="Palatino Linotype" w:hAnsi="Palatino Linotype" w:cs="Palatino Linotype"/>
        </w:rPr>
        <w:t>See Resolution G-3618 at Appendix B: Administrative Budget Cost Categories.</w:t>
      </w:r>
    </w:p>
  </w:footnote>
  <w:footnote w:id="247">
    <w:p w14:paraId="4A3087BB" w14:textId="77777777" w:rsidR="008019CD" w:rsidRDefault="008019CD" w:rsidP="008019CD">
      <w:pPr>
        <w:pStyle w:val="FootnoteText"/>
      </w:pPr>
      <w:r>
        <w:rPr>
          <w:rStyle w:val="FootnoteReference"/>
        </w:rPr>
        <w:footnoteRef/>
      </w:r>
      <w:r>
        <w:t xml:space="preserve"> </w:t>
      </w:r>
      <w:hyperlink r:id="rId127"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219-220. Reference to </w:t>
      </w:r>
      <w:hyperlink r:id="rId128" w:tgtFrame="_blank" w:history="1">
        <w:r w:rsidRPr="00E2662A">
          <w:rPr>
            <w:rStyle w:val="Hyperlink"/>
            <w:rFonts w:ascii="Palatino Linotype" w:hAnsi="Palatino Linotype" w:cs="Times New Roman"/>
            <w:bCs/>
          </w:rPr>
          <w:t>Resolution G-3586</w:t>
        </w:r>
        <w:r w:rsidRPr="00E2662A">
          <w:rPr>
            <w:rStyle w:val="Hyperlink"/>
            <w:rFonts w:ascii="Times New Roman" w:hAnsi="Times New Roman" w:cs="Times New Roman"/>
            <w:bCs/>
          </w:rPr>
          <w:t> </w:t>
        </w:r>
      </w:hyperlink>
      <w:r w:rsidRPr="00EA1BDD">
        <w:rPr>
          <w:rFonts w:ascii="Palatino Linotype" w:hAnsi="Palatino Linotype"/>
          <w:bCs/>
        </w:rPr>
        <w:t>(2022)</w:t>
      </w:r>
      <w:r>
        <w:rPr>
          <w:rFonts w:ascii="Palatino Linotype" w:hAnsi="Palatino Linotype"/>
          <w:bCs/>
        </w:rPr>
        <w:t xml:space="preserve"> at p. 20-21. </w:t>
      </w:r>
      <w:r w:rsidRPr="004A58ED">
        <w:rPr>
          <w:rFonts w:ascii="Palatino Linotype" w:hAnsi="Palatino Linotype"/>
          <w:bCs/>
        </w:rPr>
        <w:t>“</w:t>
      </w:r>
      <w:r w:rsidRPr="004A58ED">
        <w:rPr>
          <w:rFonts w:ascii="Palatino Linotype" w:hAnsi="Palatino Linotype" w:cs="Segoe UI"/>
          <w:bCs/>
          <w:kern w:val="0"/>
          <w:sz w:val="18"/>
          <w:szCs w:val="18"/>
          <w14:ligatures w14:val="none"/>
        </w:rPr>
        <w:t>I</w:t>
      </w:r>
      <w:r w:rsidRPr="004A58ED">
        <w:rPr>
          <w:rFonts w:ascii="Palatino Linotype" w:hAnsi="Palatino Linotype"/>
          <w:bCs/>
        </w:rPr>
        <w:t>n future Plans, SoCalGas should align its RD&amp;D investments with evolving state energy policies.”</w:t>
      </w:r>
    </w:p>
  </w:footnote>
  <w:footnote w:id="248">
    <w:p w14:paraId="42D3E621" w14:textId="77777777" w:rsidR="008019CD" w:rsidRDefault="008019CD" w:rsidP="008019CD">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5069-G</w:t>
      </w:r>
      <w:r w:rsidRPr="00706900">
        <w:rPr>
          <w:rFonts w:ascii="Palatino Linotype" w:hAnsi="Palatino Linotype"/>
          <w:szCs w:val="16"/>
        </w:rPr>
        <w:t xml:space="preserve"> at </w:t>
      </w:r>
      <w:r>
        <w:rPr>
          <w:rFonts w:ascii="Palatino Linotype" w:hAnsi="Palatino Linotype"/>
          <w:szCs w:val="16"/>
        </w:rPr>
        <w:t>p. 49.</w:t>
      </w:r>
    </w:p>
  </w:footnote>
  <w:footnote w:id="249">
    <w:p w14:paraId="5630479E" w14:textId="77777777" w:rsidR="008019CD" w:rsidRDefault="008019CD" w:rsidP="008019CD">
      <w:pPr>
        <w:pStyle w:val="FootnoteText"/>
      </w:pPr>
      <w:r>
        <w:rPr>
          <w:rStyle w:val="FootnoteReference"/>
        </w:rPr>
        <w:footnoteRef/>
      </w:r>
      <w:r>
        <w:t xml:space="preserve"> </w:t>
      </w:r>
      <w:r w:rsidRPr="00706900">
        <w:rPr>
          <w:rFonts w:ascii="Palatino Linotype" w:hAnsi="Palatino Linotype"/>
          <w:szCs w:val="16"/>
        </w:rPr>
        <w:t xml:space="preserve">AL </w:t>
      </w:r>
      <w:r>
        <w:rPr>
          <w:rFonts w:ascii="Palatino Linotype" w:hAnsi="Palatino Linotype"/>
          <w:szCs w:val="16"/>
        </w:rPr>
        <w:t>5069-G</w:t>
      </w:r>
      <w:r w:rsidRPr="00706900">
        <w:rPr>
          <w:rFonts w:ascii="Palatino Linotype" w:hAnsi="Palatino Linotype"/>
          <w:szCs w:val="16"/>
        </w:rPr>
        <w:t xml:space="preserve"> at </w:t>
      </w:r>
      <w:r>
        <w:rPr>
          <w:rFonts w:ascii="Palatino Linotype" w:hAnsi="Palatino Linotype"/>
          <w:szCs w:val="16"/>
        </w:rPr>
        <w:t>p. 49-50.</w:t>
      </w:r>
    </w:p>
  </w:footnote>
  <w:footnote w:id="250">
    <w:p w14:paraId="15386B1E" w14:textId="77777777" w:rsidR="008019CD" w:rsidRDefault="008019CD" w:rsidP="008019CD">
      <w:pPr>
        <w:pStyle w:val="FootnoteText"/>
      </w:pPr>
      <w:r>
        <w:rPr>
          <w:rStyle w:val="FootnoteReference"/>
        </w:rPr>
        <w:footnoteRef/>
      </w:r>
      <w:r>
        <w:t xml:space="preserve"> </w:t>
      </w:r>
      <w:hyperlink r:id="rId129"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 </w:t>
      </w:r>
    </w:p>
  </w:footnote>
  <w:footnote w:id="251">
    <w:p w14:paraId="307214E6" w14:textId="77777777" w:rsidR="008019CD" w:rsidRPr="00561527" w:rsidRDefault="008019CD" w:rsidP="008019CD">
      <w:pPr>
        <w:pStyle w:val="FootnoteText"/>
        <w:rPr>
          <w:color w:val="EE0000"/>
        </w:rPr>
      </w:pPr>
      <w:r w:rsidRPr="00C70514">
        <w:rPr>
          <w:rStyle w:val="FootnoteReference"/>
          <w:color w:val="000000" w:themeColor="text1"/>
        </w:rPr>
        <w:footnoteRef/>
      </w:r>
      <w:r w:rsidRPr="00C70514">
        <w:rPr>
          <w:color w:val="000000" w:themeColor="text1"/>
        </w:rPr>
        <w:t xml:space="preserve"> </w:t>
      </w:r>
      <w:r w:rsidRPr="00C41867">
        <w:rPr>
          <w:rFonts w:ascii="Palatino Linotype" w:hAnsi="Palatino Linotype"/>
          <w:szCs w:val="16"/>
        </w:rPr>
        <w:t>AL 5069-G at p</w:t>
      </w:r>
      <w:r>
        <w:rPr>
          <w:rFonts w:ascii="Palatino Linotype" w:hAnsi="Palatino Linotype"/>
          <w:szCs w:val="16"/>
        </w:rPr>
        <w:t>. 11.</w:t>
      </w:r>
    </w:p>
  </w:footnote>
  <w:footnote w:id="252">
    <w:p w14:paraId="23987B78" w14:textId="6A37B777" w:rsidR="008019CD" w:rsidRPr="00561527" w:rsidRDefault="008019CD" w:rsidP="008019CD">
      <w:pPr>
        <w:pStyle w:val="FootnoteText"/>
        <w:rPr>
          <w:color w:val="EE0000"/>
        </w:rPr>
      </w:pPr>
      <w:r w:rsidRPr="0069410B">
        <w:rPr>
          <w:rStyle w:val="FootnoteReference"/>
          <w:color w:val="000000" w:themeColor="text1"/>
        </w:rPr>
        <w:footnoteRef/>
      </w:r>
      <w:r w:rsidRPr="0069410B">
        <w:rPr>
          <w:color w:val="000000" w:themeColor="text1"/>
        </w:rPr>
        <w:t xml:space="preserve"> </w:t>
      </w:r>
      <w:r w:rsidRPr="00C41867">
        <w:rPr>
          <w:rFonts w:ascii="Palatino Linotype" w:hAnsi="Palatino Linotype"/>
          <w:szCs w:val="16"/>
        </w:rPr>
        <w:t>AL 5069-G at p</w:t>
      </w:r>
      <w:r w:rsidR="00502124">
        <w:rPr>
          <w:rFonts w:ascii="Palatino Linotype" w:hAnsi="Palatino Linotype"/>
          <w:szCs w:val="16"/>
        </w:rPr>
        <w:t>.</w:t>
      </w:r>
      <w:r>
        <w:rPr>
          <w:rFonts w:ascii="Palatino Linotype" w:hAnsi="Palatino Linotype"/>
          <w:szCs w:val="16"/>
        </w:rPr>
        <w:t xml:space="preserve"> 51-53</w:t>
      </w:r>
      <w:r w:rsidRPr="00C41867">
        <w:rPr>
          <w:rFonts w:ascii="Palatino Linotype" w:hAnsi="Palatino Linotype"/>
          <w:szCs w:val="16"/>
        </w:rPr>
        <w:t>.</w:t>
      </w:r>
    </w:p>
  </w:footnote>
  <w:footnote w:id="253">
    <w:p w14:paraId="2BC5821D" w14:textId="77777777" w:rsidR="008019CD" w:rsidRPr="00561527" w:rsidRDefault="008019CD" w:rsidP="008019CD">
      <w:pPr>
        <w:pStyle w:val="FootnoteText"/>
        <w:rPr>
          <w:color w:val="EE0000"/>
        </w:rPr>
      </w:pPr>
      <w:r w:rsidRPr="002B6CF0">
        <w:rPr>
          <w:rStyle w:val="FootnoteReference"/>
          <w:color w:val="000000" w:themeColor="text1"/>
        </w:rPr>
        <w:footnoteRef/>
      </w:r>
      <w:r w:rsidRPr="002B6CF0">
        <w:rPr>
          <w:color w:val="000000" w:themeColor="text1"/>
        </w:rPr>
        <w:t xml:space="preserve"> </w:t>
      </w:r>
      <w:r w:rsidRPr="002B6CF0">
        <w:rPr>
          <w:rFonts w:ascii="Palatino Linotype" w:hAnsi="Palatino Linotype"/>
          <w:color w:val="000000" w:themeColor="text1"/>
          <w:szCs w:val="16"/>
        </w:rPr>
        <w:t xml:space="preserve">AL 5069-G at p. 57; 59; 60; 62; </w:t>
      </w:r>
      <w:r w:rsidRPr="0074019B">
        <w:rPr>
          <w:rFonts w:ascii="Palatino Linotype" w:hAnsi="Palatino Linotype"/>
          <w:color w:val="000000" w:themeColor="text1"/>
          <w:szCs w:val="16"/>
        </w:rPr>
        <w:t xml:space="preserve">65; </w:t>
      </w:r>
      <w:r w:rsidRPr="002B6CF0">
        <w:rPr>
          <w:rFonts w:ascii="Palatino Linotype" w:hAnsi="Palatino Linotype"/>
          <w:color w:val="000000" w:themeColor="text1"/>
          <w:szCs w:val="16"/>
        </w:rPr>
        <w:t>&amp; 6</w:t>
      </w:r>
      <w:r>
        <w:rPr>
          <w:rFonts w:ascii="Palatino Linotype" w:hAnsi="Palatino Linotype"/>
          <w:color w:val="000000" w:themeColor="text1"/>
          <w:szCs w:val="16"/>
        </w:rPr>
        <w:t>7</w:t>
      </w:r>
      <w:r w:rsidRPr="002B6CF0">
        <w:rPr>
          <w:rFonts w:ascii="Palatino Linotype" w:hAnsi="Palatino Linotype"/>
          <w:color w:val="000000" w:themeColor="text1"/>
          <w:szCs w:val="16"/>
        </w:rPr>
        <w:t>.</w:t>
      </w:r>
    </w:p>
  </w:footnote>
  <w:footnote w:id="254">
    <w:p w14:paraId="531D4C01" w14:textId="77777777" w:rsidR="008019CD" w:rsidRDefault="008019CD" w:rsidP="008019CD">
      <w:pPr>
        <w:pStyle w:val="FootnoteText"/>
      </w:pPr>
      <w:r w:rsidRPr="00DE3E05">
        <w:rPr>
          <w:rStyle w:val="FootnoteReference"/>
          <w:color w:val="000000" w:themeColor="text1"/>
        </w:rPr>
        <w:footnoteRef/>
      </w:r>
      <w:r w:rsidRPr="00DE3E05">
        <w:rPr>
          <w:color w:val="000000" w:themeColor="text1"/>
        </w:rPr>
        <w:t xml:space="preserve"> </w:t>
      </w:r>
      <w:r w:rsidRPr="00DE3E05">
        <w:rPr>
          <w:rFonts w:ascii="Palatino Linotype" w:hAnsi="Palatino Linotype"/>
          <w:color w:val="000000" w:themeColor="text1"/>
          <w:szCs w:val="16"/>
        </w:rPr>
        <w:t xml:space="preserve">AL 5069-G at Appendix C. </w:t>
      </w:r>
    </w:p>
  </w:footnote>
  <w:footnote w:id="255">
    <w:p w14:paraId="25F9A86B" w14:textId="77777777" w:rsidR="008019CD" w:rsidRPr="00561527" w:rsidRDefault="008019CD" w:rsidP="008019CD">
      <w:pPr>
        <w:pStyle w:val="FootnoteText"/>
        <w:rPr>
          <w:color w:val="EE0000"/>
        </w:rPr>
      </w:pPr>
      <w:r w:rsidRPr="00EE1132">
        <w:rPr>
          <w:rStyle w:val="FootnoteReference"/>
          <w:color w:val="000000" w:themeColor="text1"/>
        </w:rPr>
        <w:footnoteRef/>
      </w:r>
      <w:r w:rsidRPr="00EE1132">
        <w:rPr>
          <w:color w:val="000000" w:themeColor="text1"/>
        </w:rPr>
        <w:t xml:space="preserve"> </w:t>
      </w:r>
      <w:r w:rsidRPr="00EE1132">
        <w:rPr>
          <w:rFonts w:ascii="Palatino Linotype" w:hAnsi="Palatino Linotype"/>
          <w:color w:val="000000" w:themeColor="text1"/>
          <w:szCs w:val="16"/>
        </w:rPr>
        <w:t>AL 5069-G at Appendix C.</w:t>
      </w:r>
    </w:p>
  </w:footnote>
  <w:footnote w:id="256">
    <w:p w14:paraId="75BED37B" w14:textId="77777777" w:rsidR="008019CD" w:rsidRDefault="008019CD" w:rsidP="008019CD">
      <w:pPr>
        <w:pStyle w:val="FootnoteText"/>
      </w:pPr>
      <w:r w:rsidRPr="00FB4489">
        <w:rPr>
          <w:rStyle w:val="FootnoteReference"/>
          <w:color w:val="000000" w:themeColor="text1"/>
        </w:rPr>
        <w:footnoteRef/>
      </w:r>
      <w:r w:rsidRPr="00FB4489">
        <w:rPr>
          <w:color w:val="000000" w:themeColor="text1"/>
        </w:rPr>
        <w:t xml:space="preserve"> </w:t>
      </w:r>
      <w:r w:rsidRPr="00C41867">
        <w:rPr>
          <w:rFonts w:ascii="Palatino Linotype" w:hAnsi="Palatino Linotype"/>
          <w:szCs w:val="16"/>
        </w:rPr>
        <w:t>AL 5069-G at p</w:t>
      </w:r>
      <w:r>
        <w:rPr>
          <w:rFonts w:ascii="Palatino Linotype" w:hAnsi="Palatino Linotype"/>
          <w:szCs w:val="16"/>
        </w:rPr>
        <w:t>. 67</w:t>
      </w:r>
      <w:r w:rsidRPr="00C41867">
        <w:rPr>
          <w:rFonts w:ascii="Palatino Linotype" w:hAnsi="Palatino Linotype"/>
          <w:szCs w:val="16"/>
        </w:rPr>
        <w:t>.</w:t>
      </w:r>
    </w:p>
  </w:footnote>
  <w:footnote w:id="257">
    <w:p w14:paraId="23249DFD" w14:textId="53811C29" w:rsidR="00502124" w:rsidRDefault="00502124">
      <w:pPr>
        <w:pStyle w:val="FootnoteText"/>
      </w:pPr>
      <w:r>
        <w:rPr>
          <w:rStyle w:val="FootnoteReference"/>
        </w:rPr>
        <w:footnoteRef/>
      </w:r>
      <w:r>
        <w:t xml:space="preserve"> </w:t>
      </w:r>
      <w:r w:rsidRPr="00C41867">
        <w:rPr>
          <w:rFonts w:ascii="Palatino Linotype" w:hAnsi="Palatino Linotype"/>
          <w:szCs w:val="16"/>
        </w:rPr>
        <w:t>AL 5069-G at p</w:t>
      </w:r>
      <w:r>
        <w:rPr>
          <w:rFonts w:ascii="Palatino Linotype" w:hAnsi="Palatino Linotype"/>
          <w:szCs w:val="16"/>
        </w:rPr>
        <w:t xml:space="preserve">. </w:t>
      </w:r>
      <w:r w:rsidR="007C0366">
        <w:rPr>
          <w:rFonts w:ascii="Palatino Linotype" w:hAnsi="Palatino Linotype"/>
          <w:szCs w:val="16"/>
        </w:rPr>
        <w:t>63-65.</w:t>
      </w:r>
    </w:p>
  </w:footnote>
  <w:footnote w:id="258">
    <w:p w14:paraId="47DEE24C"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AL 5069-G at p.</w:t>
      </w:r>
      <w:r>
        <w:rPr>
          <w:rFonts w:ascii="Palatino Linotype" w:hAnsi="Palatino Linotype"/>
          <w:szCs w:val="16"/>
        </w:rPr>
        <w:t xml:space="preserve"> 65-67.</w:t>
      </w:r>
    </w:p>
  </w:footnote>
  <w:footnote w:id="259">
    <w:p w14:paraId="4C9C5AE5" w14:textId="77777777" w:rsidR="008019CD" w:rsidRDefault="008019CD" w:rsidP="008019CD">
      <w:pPr>
        <w:pStyle w:val="FootnoteText"/>
      </w:pPr>
      <w:r>
        <w:rPr>
          <w:rStyle w:val="FootnoteReference"/>
        </w:rPr>
        <w:footnoteRef/>
      </w:r>
      <w:r>
        <w:t xml:space="preserve"> </w:t>
      </w:r>
      <w:r w:rsidRPr="00CC33B4">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d</w:t>
      </w:r>
      <w:r w:rsidRPr="00DE3CB6">
        <w:rPr>
          <w:rFonts w:ascii="Palatino Linotype" w:hAnsi="Palatino Linotype"/>
        </w:rPr>
        <w:t>)</w:t>
      </w:r>
      <w:r>
        <w:rPr>
          <w:rFonts w:ascii="Palatino Linotype" w:hAnsi="Palatino Linotype"/>
        </w:rPr>
        <w:t>.</w:t>
      </w:r>
    </w:p>
  </w:footnote>
  <w:footnote w:id="260">
    <w:p w14:paraId="2557E281" w14:textId="77777777" w:rsidR="008019CD" w:rsidRPr="004A58ED" w:rsidRDefault="008019CD" w:rsidP="008019CD">
      <w:pPr>
        <w:pStyle w:val="FootnoteText"/>
        <w:rPr>
          <w:rFonts w:ascii="Palatino Linotype" w:hAnsi="Palatino Linotype"/>
          <w:color w:val="000000" w:themeColor="text1"/>
        </w:rPr>
      </w:pPr>
      <w:r>
        <w:rPr>
          <w:rStyle w:val="FootnoteReference"/>
        </w:rPr>
        <w:footnoteRef/>
      </w:r>
      <w:r>
        <w:t xml:space="preserve"> </w:t>
      </w:r>
      <w:hyperlink r:id="rId130"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 </w:t>
      </w:r>
      <w:r w:rsidRPr="00ED4893">
        <w:rPr>
          <w:rFonts w:ascii="Palatino Linotype" w:hAnsi="Palatino Linotype"/>
          <w:color w:val="000000" w:themeColor="text1"/>
        </w:rPr>
        <w:t>Consistent with</w:t>
      </w:r>
      <w:r>
        <w:rPr>
          <w:rFonts w:ascii="Palatino Linotype" w:hAnsi="Palatino Linotype"/>
          <w:color w:val="000000" w:themeColor="text1"/>
        </w:rPr>
        <w:t xml:space="preserve"> </w:t>
      </w:r>
      <w:hyperlink r:id="rId131" w:history="1">
        <w:r w:rsidRPr="00ED4893">
          <w:rPr>
            <w:rStyle w:val="Hyperlink"/>
            <w:rFonts w:ascii="Palatino Linotype" w:hAnsi="Palatino Linotype"/>
          </w:rPr>
          <w:t>D.19-09-051</w:t>
        </w:r>
      </w:hyperlink>
      <w:r>
        <w:rPr>
          <w:rFonts w:ascii="Palatino Linotype" w:hAnsi="Palatino Linotype"/>
          <w:color w:val="000000" w:themeColor="text1"/>
        </w:rPr>
        <w:t>.</w:t>
      </w:r>
    </w:p>
  </w:footnote>
  <w:footnote w:id="261">
    <w:p w14:paraId="37992423" w14:textId="77777777" w:rsidR="008019CD" w:rsidRDefault="008019CD" w:rsidP="008019CD">
      <w:pPr>
        <w:pStyle w:val="FootnoteText"/>
      </w:pPr>
      <w:r>
        <w:rPr>
          <w:rStyle w:val="FootnoteReference"/>
        </w:rPr>
        <w:footnoteRef/>
      </w:r>
      <w:r>
        <w:t xml:space="preserve"> </w:t>
      </w:r>
      <w:r w:rsidRPr="00FB34E1">
        <w:rPr>
          <w:rFonts w:ascii="Palatino Linotype" w:hAnsi="Palatino Linotype"/>
        </w:rPr>
        <w:t>AL 50</w:t>
      </w:r>
      <w:r>
        <w:rPr>
          <w:rFonts w:ascii="Palatino Linotype" w:hAnsi="Palatino Linotype"/>
        </w:rPr>
        <w:t>69-G</w:t>
      </w:r>
      <w:r w:rsidRPr="00FB34E1">
        <w:rPr>
          <w:rFonts w:ascii="Palatino Linotype" w:hAnsi="Palatino Linotype"/>
        </w:rPr>
        <w:t xml:space="preserve"> </w:t>
      </w:r>
      <w:r w:rsidRPr="00FB34E1">
        <w:rPr>
          <w:rFonts w:ascii="Palatino Linotype" w:hAnsi="Palatino Linotype"/>
          <w:szCs w:val="16"/>
        </w:rPr>
        <w:t>at</w:t>
      </w:r>
      <w:r>
        <w:rPr>
          <w:rFonts w:ascii="Palatino Linotype" w:hAnsi="Palatino Linotype"/>
          <w:szCs w:val="16"/>
        </w:rPr>
        <w:t xml:space="preserve"> Appendix A.</w:t>
      </w:r>
    </w:p>
  </w:footnote>
  <w:footnote w:id="262">
    <w:p w14:paraId="090C322D" w14:textId="77777777" w:rsidR="008019CD" w:rsidRPr="00561527" w:rsidRDefault="008019CD" w:rsidP="008019CD">
      <w:pPr>
        <w:pStyle w:val="FootnoteText"/>
        <w:rPr>
          <w:color w:val="EE0000"/>
        </w:rPr>
      </w:pPr>
      <w:r w:rsidRPr="00865C6E">
        <w:rPr>
          <w:rStyle w:val="FootnoteReference"/>
          <w:color w:val="000000" w:themeColor="text1"/>
        </w:rPr>
        <w:footnoteRef/>
      </w:r>
      <w:r w:rsidRPr="00865C6E">
        <w:rPr>
          <w:color w:val="000000" w:themeColor="text1"/>
        </w:rPr>
        <w:t xml:space="preserve"> </w:t>
      </w:r>
      <w:r w:rsidRPr="00865C6E">
        <w:rPr>
          <w:rFonts w:ascii="Palatino Linotype" w:hAnsi="Palatino Linotype"/>
          <w:color w:val="000000" w:themeColor="text1"/>
          <w:szCs w:val="16"/>
        </w:rPr>
        <w:t>AL 5069-G at p. 1</w:t>
      </w:r>
      <w:r>
        <w:rPr>
          <w:rFonts w:ascii="Palatino Linotype" w:hAnsi="Palatino Linotype"/>
          <w:color w:val="000000" w:themeColor="text1"/>
          <w:szCs w:val="16"/>
        </w:rPr>
        <w:t>0</w:t>
      </w:r>
      <w:r w:rsidRPr="00865C6E">
        <w:rPr>
          <w:rFonts w:ascii="Palatino Linotype" w:hAnsi="Palatino Linotype"/>
          <w:color w:val="000000" w:themeColor="text1"/>
          <w:szCs w:val="16"/>
        </w:rPr>
        <w:t>-28.</w:t>
      </w:r>
    </w:p>
  </w:footnote>
  <w:footnote w:id="263">
    <w:p w14:paraId="33EDAB8F" w14:textId="77777777" w:rsidR="008019CD" w:rsidRDefault="008019CD" w:rsidP="008019CD">
      <w:pPr>
        <w:pStyle w:val="FootnoteText"/>
      </w:pPr>
      <w:r>
        <w:rPr>
          <w:rStyle w:val="FootnoteReference"/>
        </w:rPr>
        <w:footnoteRef/>
      </w:r>
      <w:r>
        <w:t xml:space="preserve"> </w:t>
      </w:r>
      <w:hyperlink r:id="rId132"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w:t>
      </w:r>
    </w:p>
  </w:footnote>
  <w:footnote w:id="264">
    <w:p w14:paraId="3FDB642B" w14:textId="77777777" w:rsidR="008019CD" w:rsidRDefault="008019CD" w:rsidP="008019CD">
      <w:pPr>
        <w:pStyle w:val="FootnoteText"/>
      </w:pPr>
      <w:r>
        <w:rPr>
          <w:rStyle w:val="FootnoteReference"/>
        </w:rPr>
        <w:footnoteRef/>
      </w:r>
      <w:r>
        <w:t xml:space="preserve"> </w:t>
      </w:r>
      <w:hyperlink r:id="rId133"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Appendix 7.5 Project Summaries: Gas System Integrity &amp; Appendix 7.6 Project Summaries: Decarbonization.</w:t>
      </w:r>
    </w:p>
  </w:footnote>
  <w:footnote w:id="265">
    <w:p w14:paraId="5E9E8994" w14:textId="77777777" w:rsidR="008019CD" w:rsidRDefault="008019CD" w:rsidP="008019CD">
      <w:pPr>
        <w:pStyle w:val="FootnoteText"/>
      </w:pPr>
      <w:r>
        <w:rPr>
          <w:rStyle w:val="FootnoteReference"/>
        </w:rPr>
        <w:footnoteRef/>
      </w:r>
      <w:r>
        <w:t xml:space="preserve"> </w:t>
      </w:r>
      <w:hyperlink r:id="rId134"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 10.</w:t>
      </w:r>
    </w:p>
  </w:footnote>
  <w:footnote w:id="266">
    <w:p w14:paraId="0310E94E" w14:textId="77777777" w:rsidR="008019CD" w:rsidRDefault="008019CD" w:rsidP="008019CD">
      <w:pPr>
        <w:pStyle w:val="FootnoteText"/>
      </w:pPr>
      <w:r>
        <w:rPr>
          <w:rStyle w:val="FootnoteReference"/>
        </w:rPr>
        <w:footnoteRef/>
      </w:r>
      <w:r>
        <w:t xml:space="preserve"> </w:t>
      </w:r>
      <w:hyperlink r:id="rId135"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 15.</w:t>
      </w:r>
    </w:p>
  </w:footnote>
  <w:footnote w:id="267">
    <w:p w14:paraId="3AD31673" w14:textId="77777777" w:rsidR="008019CD" w:rsidRDefault="008019CD" w:rsidP="008019CD">
      <w:pPr>
        <w:pStyle w:val="FootnoteText"/>
      </w:pPr>
      <w:r>
        <w:rPr>
          <w:rStyle w:val="FootnoteReference"/>
        </w:rPr>
        <w:footnoteRef/>
      </w:r>
      <w:r>
        <w:t xml:space="preserve"> </w:t>
      </w:r>
      <w:hyperlink r:id="rId136"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 22-24.</w:t>
      </w:r>
    </w:p>
  </w:footnote>
  <w:footnote w:id="268">
    <w:p w14:paraId="4F110DB3" w14:textId="77777777" w:rsidR="008019CD" w:rsidRDefault="008019CD" w:rsidP="008019CD">
      <w:pPr>
        <w:pStyle w:val="FootnoteText"/>
      </w:pPr>
      <w:r>
        <w:rPr>
          <w:rStyle w:val="FootnoteReference"/>
        </w:rPr>
        <w:footnoteRef/>
      </w:r>
      <w:r>
        <w:t xml:space="preserve"> </w:t>
      </w:r>
      <w:hyperlink r:id="rId137"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 25-33.</w:t>
      </w:r>
    </w:p>
  </w:footnote>
  <w:footnote w:id="269">
    <w:p w14:paraId="5C47674A" w14:textId="77777777" w:rsidR="008019CD" w:rsidRDefault="008019CD" w:rsidP="008019CD">
      <w:pPr>
        <w:pStyle w:val="FootnoteText"/>
      </w:pPr>
      <w:r>
        <w:rPr>
          <w:rStyle w:val="FootnoteReference"/>
        </w:rPr>
        <w:footnoteRef/>
      </w:r>
      <w:r>
        <w:t xml:space="preserve"> </w:t>
      </w:r>
      <w:hyperlink r:id="rId138"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p.10-11.</w:t>
      </w:r>
    </w:p>
  </w:footnote>
  <w:footnote w:id="270">
    <w:p w14:paraId="3A5264DD" w14:textId="77777777" w:rsidR="008019CD" w:rsidRDefault="008019CD" w:rsidP="008019CD">
      <w:pPr>
        <w:pStyle w:val="FootnoteText"/>
      </w:pPr>
      <w:r>
        <w:rPr>
          <w:rStyle w:val="FootnoteReference"/>
        </w:rPr>
        <w:footnoteRef/>
      </w:r>
      <w:r>
        <w:t xml:space="preserve"> </w:t>
      </w:r>
      <w:hyperlink r:id="rId139"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220-221.</w:t>
      </w:r>
    </w:p>
  </w:footnote>
  <w:footnote w:id="271">
    <w:p w14:paraId="05F44A1B" w14:textId="77777777" w:rsidR="008019CD" w:rsidRDefault="008019CD" w:rsidP="008019CD">
      <w:pPr>
        <w:pStyle w:val="FootnoteText"/>
      </w:pPr>
      <w:r>
        <w:rPr>
          <w:rStyle w:val="FootnoteReference"/>
        </w:rPr>
        <w:footnoteRef/>
      </w:r>
      <w:r>
        <w:t xml:space="preserve"> </w:t>
      </w:r>
      <w:r w:rsidRPr="0015339E">
        <w:rPr>
          <w:rFonts w:ascii="Palatino Linotype" w:hAnsi="Palatino Linotype"/>
        </w:rPr>
        <w:t>A</w:t>
      </w:r>
      <w:r>
        <w:rPr>
          <w:rFonts w:ascii="Palatino Linotype" w:hAnsi="Palatino Linotype"/>
        </w:rPr>
        <w:t>L</w:t>
      </w:r>
      <w:r w:rsidRPr="0015339E">
        <w:rPr>
          <w:rFonts w:ascii="Palatino Linotype" w:hAnsi="Palatino Linotype"/>
        </w:rPr>
        <w:t xml:space="preserve"> 5069-G at p. 12.</w:t>
      </w:r>
    </w:p>
  </w:footnote>
  <w:footnote w:id="272">
    <w:p w14:paraId="07CB9CCB" w14:textId="77777777" w:rsidR="008019CD" w:rsidRDefault="008019CD" w:rsidP="008019CD">
      <w:pPr>
        <w:pStyle w:val="FootnoteText"/>
      </w:pPr>
      <w:r>
        <w:rPr>
          <w:rStyle w:val="FootnoteReference"/>
        </w:rPr>
        <w:footnoteRef/>
      </w:r>
      <w:r>
        <w:t xml:space="preserve"> </w:t>
      </w:r>
      <w:r w:rsidRPr="00FB34E1">
        <w:rPr>
          <w:rFonts w:ascii="Palatino Linotype" w:hAnsi="Palatino Linotype"/>
        </w:rPr>
        <w:t>AL 50</w:t>
      </w:r>
      <w:r>
        <w:rPr>
          <w:rFonts w:ascii="Palatino Linotype" w:hAnsi="Palatino Linotype"/>
        </w:rPr>
        <w:t>69-G</w:t>
      </w:r>
      <w:r w:rsidRPr="00FB34E1">
        <w:rPr>
          <w:rFonts w:ascii="Palatino Linotype" w:hAnsi="Palatino Linotype"/>
        </w:rPr>
        <w:t xml:space="preserve"> </w:t>
      </w:r>
      <w:r w:rsidRPr="00FB34E1">
        <w:rPr>
          <w:rFonts w:ascii="Palatino Linotype" w:hAnsi="Palatino Linotype"/>
          <w:szCs w:val="16"/>
        </w:rPr>
        <w:t>at</w:t>
      </w:r>
      <w:r>
        <w:rPr>
          <w:rFonts w:ascii="Palatino Linotype" w:hAnsi="Palatino Linotype"/>
          <w:szCs w:val="16"/>
        </w:rPr>
        <w:t xml:space="preserve"> Appendix A.</w:t>
      </w:r>
    </w:p>
  </w:footnote>
  <w:footnote w:id="273">
    <w:p w14:paraId="294AC6F4" w14:textId="77777777" w:rsidR="008019CD" w:rsidRPr="00561527" w:rsidRDefault="008019CD" w:rsidP="008019CD">
      <w:pPr>
        <w:pStyle w:val="FootnoteText"/>
        <w:rPr>
          <w:color w:val="EE0000"/>
        </w:rPr>
      </w:pPr>
      <w:r w:rsidRPr="005B1EB8">
        <w:rPr>
          <w:rStyle w:val="FootnoteReference"/>
          <w:color w:val="000000" w:themeColor="text1"/>
        </w:rPr>
        <w:footnoteRef/>
      </w:r>
      <w:r w:rsidRPr="005B1EB8">
        <w:rPr>
          <w:color w:val="000000" w:themeColor="text1"/>
        </w:rPr>
        <w:t xml:space="preserve"> </w:t>
      </w:r>
      <w:r w:rsidRPr="00C41867">
        <w:rPr>
          <w:rFonts w:ascii="Palatino Linotype" w:hAnsi="Palatino Linotype"/>
          <w:szCs w:val="16"/>
        </w:rPr>
        <w:t>AL 5069-G at p. 1</w:t>
      </w:r>
      <w:r>
        <w:rPr>
          <w:rFonts w:ascii="Palatino Linotype" w:hAnsi="Palatino Linotype"/>
          <w:szCs w:val="16"/>
        </w:rPr>
        <w:t>0-13</w:t>
      </w:r>
      <w:r w:rsidRPr="00C41867">
        <w:rPr>
          <w:rFonts w:ascii="Palatino Linotype" w:hAnsi="Palatino Linotype"/>
          <w:szCs w:val="16"/>
        </w:rPr>
        <w:t>.</w:t>
      </w:r>
    </w:p>
  </w:footnote>
  <w:footnote w:id="274">
    <w:p w14:paraId="34BF42C0" w14:textId="77777777" w:rsidR="008019CD" w:rsidRDefault="008019CD" w:rsidP="008019CD">
      <w:pPr>
        <w:pStyle w:val="FootnoteText"/>
      </w:pPr>
      <w:r>
        <w:rPr>
          <w:rStyle w:val="FootnoteReference"/>
        </w:rPr>
        <w:footnoteRef/>
      </w:r>
      <w:r>
        <w:t xml:space="preserve"> </w:t>
      </w:r>
      <w:hyperlink r:id="rId140" w:history="1">
        <w:r w:rsidRPr="004A7061">
          <w:rPr>
            <w:rStyle w:val="Hyperlink"/>
            <w:rFonts w:ascii="Palatino Linotype" w:hAnsi="Palatino Linotype"/>
          </w:rPr>
          <w:t>D.23-11-069</w:t>
        </w:r>
      </w:hyperlink>
      <w:r>
        <w:t xml:space="preserve"> </w:t>
      </w:r>
      <w:r w:rsidRPr="00DF7BCE">
        <w:rPr>
          <w:rFonts w:ascii="Palatino Linotype" w:hAnsi="Palatino Linotype"/>
          <w:color w:val="000000" w:themeColor="text1"/>
        </w:rPr>
        <w:t>at p.</w:t>
      </w:r>
      <w:r>
        <w:rPr>
          <w:rFonts w:ascii="Palatino Linotype" w:hAnsi="Palatino Linotype"/>
          <w:color w:val="000000" w:themeColor="text1"/>
        </w:rPr>
        <w:t xml:space="preserve"> 221.</w:t>
      </w:r>
    </w:p>
  </w:footnote>
  <w:footnote w:id="275">
    <w:p w14:paraId="28709DDD"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at p. </w:t>
      </w:r>
      <w:r>
        <w:rPr>
          <w:rFonts w:ascii="Palatino Linotype" w:hAnsi="Palatino Linotype"/>
          <w:szCs w:val="16"/>
        </w:rPr>
        <w:t>54 &amp; 67.</w:t>
      </w:r>
    </w:p>
  </w:footnote>
  <w:footnote w:id="276">
    <w:p w14:paraId="0364E029" w14:textId="77777777" w:rsidR="008019CD" w:rsidRDefault="008019CD" w:rsidP="008019CD">
      <w:pPr>
        <w:pStyle w:val="FootnoteText"/>
      </w:pPr>
      <w:r>
        <w:rPr>
          <w:rStyle w:val="FootnoteReference"/>
        </w:rPr>
        <w:footnoteRef/>
      </w:r>
      <w:r>
        <w:t xml:space="preserve"> </w:t>
      </w:r>
      <w:r>
        <w:rPr>
          <w:rFonts w:ascii="Palatino Linotype" w:hAnsi="Palatino Linotype"/>
        </w:rPr>
        <w:t>The Commission’s compliance assessment of California Public Utilities Code 740.1 at (c)</w:t>
      </w:r>
      <w:r w:rsidRPr="005E5657">
        <w:rPr>
          <w:rFonts w:ascii="Palatino Linotype" w:hAnsi="Palatino Linotype"/>
        </w:rPr>
        <w:t xml:space="preserve"> </w:t>
      </w:r>
      <w:r>
        <w:rPr>
          <w:rFonts w:ascii="Palatino Linotype" w:hAnsi="Palatino Linotype"/>
        </w:rPr>
        <w:t xml:space="preserve">is captured in the compliance assessment of AL 5069-G with </w:t>
      </w:r>
      <w:hyperlink r:id="rId141" w:history="1">
        <w:r w:rsidRPr="06F49983">
          <w:rPr>
            <w:rStyle w:val="Hyperlink"/>
            <w:rFonts w:ascii="Palatino Linotype" w:hAnsi="Palatino Linotype"/>
          </w:rPr>
          <w:t>D.23-11-069</w:t>
        </w:r>
      </w:hyperlink>
      <w:r w:rsidRPr="06F49983">
        <w:rPr>
          <w:rFonts w:ascii="Palatino Linotype" w:hAnsi="Palatino Linotype"/>
        </w:rPr>
        <w:t xml:space="preserve"> at (2) and (4) </w:t>
      </w:r>
      <w:r>
        <w:rPr>
          <w:rFonts w:ascii="Palatino Linotype" w:hAnsi="Palatino Linotype"/>
        </w:rPr>
        <w:t>above.</w:t>
      </w:r>
    </w:p>
  </w:footnote>
  <w:footnote w:id="277">
    <w:p w14:paraId="4FF83333" w14:textId="77777777" w:rsidR="008019CD" w:rsidRPr="001A2FAB" w:rsidRDefault="008019CD" w:rsidP="008019CD">
      <w:pPr>
        <w:spacing w:after="0" w:line="240" w:lineRule="auto"/>
        <w:rPr>
          <w:rFonts w:ascii="Palatino Linotype" w:hAnsi="Palatino Linotype"/>
          <w:sz w:val="20"/>
          <w:szCs w:val="20"/>
        </w:rPr>
      </w:pPr>
      <w:r w:rsidRPr="001A2FAB">
        <w:rPr>
          <w:rStyle w:val="FootnoteReference"/>
          <w:sz w:val="20"/>
          <w:szCs w:val="20"/>
        </w:rPr>
        <w:footnoteRef/>
      </w:r>
      <w:r w:rsidRPr="001A2FAB">
        <w:rPr>
          <w:rStyle w:val="FootnoteReference"/>
          <w:sz w:val="20"/>
          <w:szCs w:val="20"/>
        </w:rPr>
        <w:t xml:space="preserve"> </w:t>
      </w:r>
      <w:r w:rsidRPr="004A58ED">
        <w:rPr>
          <w:rFonts w:ascii="Palatino Linotype" w:hAnsi="Palatino Linotype"/>
          <w:sz w:val="20"/>
          <w:szCs w:val="20"/>
        </w:rPr>
        <w:t>California Public Utilities Code Section 740.1</w:t>
      </w:r>
      <w:r w:rsidRPr="00DE3CB6">
        <w:rPr>
          <w:rFonts w:ascii="Palatino Linotype" w:hAnsi="Palatino Linotype"/>
          <w:sz w:val="20"/>
          <w:szCs w:val="20"/>
        </w:rPr>
        <w:t xml:space="preserve"> at (a)</w:t>
      </w:r>
      <w:r>
        <w:rPr>
          <w:rFonts w:ascii="Palatino Linotype" w:hAnsi="Palatino Linotype"/>
          <w:sz w:val="20"/>
          <w:szCs w:val="20"/>
        </w:rPr>
        <w:t>.</w:t>
      </w:r>
      <w:r w:rsidRPr="001A2FAB">
        <w:rPr>
          <w:rFonts w:ascii="Palatino Linotype" w:hAnsi="Palatino Linotype"/>
          <w:sz w:val="20"/>
          <w:szCs w:val="20"/>
        </w:rPr>
        <w:t xml:space="preserve"> </w:t>
      </w:r>
    </w:p>
  </w:footnote>
  <w:footnote w:id="278">
    <w:p w14:paraId="7FD10F1A" w14:textId="77777777" w:rsidR="008019CD" w:rsidRDefault="008019CD" w:rsidP="008019CD">
      <w:pPr>
        <w:pStyle w:val="FootnoteText"/>
      </w:pPr>
      <w:r>
        <w:rPr>
          <w:rStyle w:val="FootnoteReference"/>
        </w:rPr>
        <w:footnoteRef/>
      </w:r>
      <w:r>
        <w:t xml:space="preserve"> </w:t>
      </w:r>
      <w:r w:rsidRPr="0001404D">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(b).</w:t>
      </w:r>
    </w:p>
  </w:footnote>
  <w:footnote w:id="279">
    <w:p w14:paraId="123D6803" w14:textId="77777777" w:rsidR="008019CD" w:rsidRDefault="008019CD" w:rsidP="008019CD">
      <w:pPr>
        <w:pStyle w:val="FootnoteText"/>
      </w:pPr>
      <w:r>
        <w:rPr>
          <w:rStyle w:val="FootnoteReference"/>
        </w:rPr>
        <w:footnoteRef/>
      </w:r>
      <w:r>
        <w:t xml:space="preserve"> </w:t>
      </w:r>
      <w:r w:rsidRPr="009740E8">
        <w:rPr>
          <w:rFonts w:ascii="Palatino Linotype" w:hAnsi="Palatino Linotype"/>
          <w:szCs w:val="16"/>
        </w:rPr>
        <w:t>AL 5069-G at p. 68.</w:t>
      </w:r>
    </w:p>
  </w:footnote>
  <w:footnote w:id="280">
    <w:p w14:paraId="58CBEF77"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5 </w:t>
      </w:r>
      <w:r w:rsidRPr="002E2942">
        <w:rPr>
          <w:rFonts w:ascii="Palatino Linotype" w:hAnsi="Palatino Linotype"/>
          <w:szCs w:val="16"/>
        </w:rPr>
        <w:t xml:space="preserve">at p. </w:t>
      </w:r>
      <w:r>
        <w:rPr>
          <w:rFonts w:ascii="Palatino Linotype" w:hAnsi="Palatino Linotype"/>
          <w:szCs w:val="16"/>
        </w:rPr>
        <w:t>54.</w:t>
      </w:r>
    </w:p>
  </w:footnote>
  <w:footnote w:id="281">
    <w:p w14:paraId="22AE80CC" w14:textId="77777777" w:rsidR="008019CD" w:rsidRDefault="008019CD" w:rsidP="008019CD">
      <w:pPr>
        <w:pStyle w:val="FootnoteText"/>
      </w:pPr>
      <w:r>
        <w:rPr>
          <w:rStyle w:val="FootnoteReference"/>
        </w:rPr>
        <w:footnoteRef/>
      </w:r>
      <w:r>
        <w:t xml:space="preserve"> </w:t>
      </w:r>
      <w:hyperlink r:id="rId142" w:history="1">
        <w:r>
          <w:rPr>
            <w:rStyle w:val="Hyperlink"/>
            <w:rFonts w:ascii="Palatino Linotype" w:eastAsia="Palatino Linotype" w:hAnsi="Palatino Linotype" w:cs="Times New Roman"/>
          </w:rPr>
          <w:t>2024 Gas RD&amp;D Annual Report</w:t>
        </w:r>
      </w:hyperlink>
      <w:r>
        <w:rPr>
          <w:rFonts w:ascii="Palatino Linotype" w:eastAsia="Palatino Linotype" w:hAnsi="Palatino Linotype" w:cs="Times New Roman"/>
        </w:rPr>
        <w:t xml:space="preserve"> at p. 19.</w:t>
      </w:r>
    </w:p>
  </w:footnote>
  <w:footnote w:id="282">
    <w:p w14:paraId="4B6E267D" w14:textId="590EFE25" w:rsidR="00683422" w:rsidRDefault="00683422">
      <w:pPr>
        <w:pStyle w:val="FootnoteText"/>
        <w:rPr>
          <w:rFonts w:ascii="Palatino Linotype" w:hAnsi="Palatino Linotype"/>
          <w:color w:val="000000" w:themeColor="text1"/>
        </w:rPr>
      </w:pPr>
      <w:r>
        <w:rPr>
          <w:rStyle w:val="FootnoteReference"/>
        </w:rPr>
        <w:footnoteRef/>
      </w:r>
      <w:r w:rsidR="5046288A">
        <w:t xml:space="preserve"> </w:t>
      </w:r>
      <w:hyperlink r:id="rId143">
        <w:r w:rsidR="5046288A" w:rsidRPr="5046288A">
          <w:rPr>
            <w:rStyle w:val="Hyperlink"/>
            <w:rFonts w:ascii="Palatino Linotype" w:hAnsi="Palatino Linotype"/>
          </w:rPr>
          <w:t>Resolution G-3601</w:t>
        </w:r>
      </w:hyperlink>
      <w:r w:rsidR="5046288A" w:rsidRPr="5046288A">
        <w:rPr>
          <w:rFonts w:ascii="Palatino Linotype" w:hAnsi="Palatino Linotype"/>
        </w:rPr>
        <w:t xml:space="preserve"> </w:t>
      </w:r>
      <w:r w:rsidR="5046288A" w:rsidRPr="5046288A">
        <w:rPr>
          <w:rFonts w:ascii="Palatino Linotype" w:hAnsi="Palatino Linotype"/>
          <w:color w:val="000000" w:themeColor="text1"/>
        </w:rPr>
        <w:t>(2023) at</w:t>
      </w:r>
      <w:r w:rsidR="574863C1" w:rsidRPr="574863C1">
        <w:rPr>
          <w:rFonts w:ascii="Palatino Linotype" w:hAnsi="Palatino Linotype"/>
          <w:color w:val="000000" w:themeColor="text1"/>
        </w:rPr>
        <w:t xml:space="preserve"> OP 5</w:t>
      </w:r>
      <w:r w:rsidR="65359C32" w:rsidRPr="65359C32">
        <w:rPr>
          <w:rFonts w:ascii="Palatino Linotype" w:hAnsi="Palatino Linotype"/>
          <w:color w:val="000000" w:themeColor="text1"/>
        </w:rPr>
        <w:t>.</w:t>
      </w:r>
    </w:p>
  </w:footnote>
  <w:footnote w:id="283">
    <w:p w14:paraId="79A0EEDD" w14:textId="33492925" w:rsidR="008019CD" w:rsidRDefault="008019CD" w:rsidP="008019CD">
      <w:pPr>
        <w:pStyle w:val="FootnoteText"/>
        <w:rPr>
          <w:rFonts w:ascii="Palatino Linotype" w:hAnsi="Palatino Linotype"/>
        </w:rPr>
      </w:pPr>
      <w:r>
        <w:rPr>
          <w:rStyle w:val="FootnoteReference"/>
        </w:rPr>
        <w:footnoteRef/>
      </w:r>
      <w:r>
        <w:t xml:space="preserve"> </w:t>
      </w:r>
      <w:hyperlink r:id="rId144" w:history="1">
        <w:r w:rsidRPr="00BF345F">
          <w:rPr>
            <w:rStyle w:val="Hyperlink"/>
            <w:rFonts w:ascii="Palatino Linotype" w:hAnsi="Palatino Linotype"/>
          </w:rPr>
          <w:t>D.15-04-020</w:t>
        </w:r>
      </w:hyperlink>
      <w:r w:rsidRPr="00BF345F">
        <w:rPr>
          <w:rFonts w:ascii="Palatino Linotype" w:hAnsi="Palatino Linotype"/>
        </w:rPr>
        <w:t xml:space="preserve"> at </w:t>
      </w:r>
      <w:r>
        <w:rPr>
          <w:rFonts w:ascii="Palatino Linotype" w:hAnsi="Palatino Linotype"/>
        </w:rPr>
        <w:t>OP 16.</w:t>
      </w:r>
    </w:p>
  </w:footnote>
  <w:footnote w:id="284">
    <w:p w14:paraId="20D742BE" w14:textId="6FEFA5D3" w:rsidR="483F709E" w:rsidRDefault="483F709E" w:rsidP="483F709E">
      <w:pPr>
        <w:pStyle w:val="FootnoteText"/>
        <w:rPr>
          <w:rFonts w:ascii="Palatino Linotype" w:hAnsi="Palatino Linotype"/>
          <w:color w:val="000000" w:themeColor="text1"/>
        </w:rPr>
      </w:pPr>
      <w:r w:rsidRPr="483F709E">
        <w:rPr>
          <w:rStyle w:val="FootnoteReference"/>
        </w:rPr>
        <w:footnoteRef/>
      </w:r>
      <w:r>
        <w:t xml:space="preserve"> </w:t>
      </w:r>
      <w:hyperlink r:id="rId145">
        <w:r w:rsidRPr="483F709E">
          <w:rPr>
            <w:rStyle w:val="Hyperlink"/>
            <w:rFonts w:ascii="Palatino Linotype" w:hAnsi="Palatino Linotype"/>
          </w:rPr>
          <w:t>Resolution G-3601</w:t>
        </w:r>
      </w:hyperlink>
      <w:r w:rsidRPr="483F709E">
        <w:rPr>
          <w:rFonts w:ascii="Palatino Linotype" w:hAnsi="Palatino Linotype"/>
        </w:rPr>
        <w:t xml:space="preserve"> </w:t>
      </w:r>
      <w:r w:rsidRPr="483F709E">
        <w:rPr>
          <w:rFonts w:ascii="Palatino Linotype" w:hAnsi="Palatino Linotype"/>
          <w:color w:val="000000" w:themeColor="text1"/>
        </w:rPr>
        <w:t xml:space="preserve">(2023) at OP </w:t>
      </w:r>
      <w:r w:rsidR="5E10FC42" w:rsidRPr="5E10FC42">
        <w:rPr>
          <w:rFonts w:ascii="Palatino Linotype" w:hAnsi="Palatino Linotype"/>
          <w:color w:val="000000" w:themeColor="text1"/>
        </w:rPr>
        <w:t>6b.</w:t>
      </w:r>
    </w:p>
  </w:footnote>
  <w:footnote w:id="285">
    <w:p w14:paraId="2DF88282" w14:textId="77777777" w:rsidR="008019CD" w:rsidRDefault="008019CD" w:rsidP="008019CD">
      <w:pPr>
        <w:pStyle w:val="FootnoteText"/>
        <w:rPr>
          <w:rFonts w:ascii="Palatino Linotype" w:hAnsi="Palatino Linotype"/>
          <w:i/>
          <w:color w:val="000000" w:themeColor="text1"/>
        </w:rPr>
      </w:pPr>
      <w:r>
        <w:rPr>
          <w:rStyle w:val="FootnoteReference"/>
        </w:rPr>
        <w:footnoteRef/>
      </w:r>
      <w:r>
        <w:t xml:space="preserve"> </w:t>
      </w:r>
      <w:hyperlink r:id="rId146" w:tgtFrame="_blank" w:history="1">
        <w:r w:rsidRPr="00C333D3">
          <w:rPr>
            <w:rStyle w:val="Hyperlink"/>
            <w:rFonts w:ascii="Palatino Linotype" w:hAnsi="Palatino Linotype" w:cs="Times New Roman"/>
            <w:bCs/>
          </w:rPr>
          <w:t>Resolution G-</w:t>
        </w:r>
        <w:r w:rsidR="75905851" w:rsidRPr="75905851">
          <w:rPr>
            <w:rStyle w:val="Hyperlink"/>
            <w:rFonts w:ascii="Palatino Linotype" w:hAnsi="Palatino Linotype" w:cs="Times New Roman"/>
          </w:rPr>
          <w:t>3586</w:t>
        </w:r>
        <w:r w:rsidR="75905851" w:rsidRPr="75905851">
          <w:rPr>
            <w:rStyle w:val="Hyperlink"/>
            <w:rFonts w:ascii="Times New Roman" w:hAnsi="Times New Roman" w:cs="Times New Roman"/>
          </w:rPr>
          <w:t> </w:t>
        </w:r>
      </w:hyperlink>
      <w:r w:rsidR="75905851" w:rsidRPr="75905851">
        <w:rPr>
          <w:rFonts w:ascii="Palatino Linotype" w:hAnsi="Palatino Linotype"/>
        </w:rPr>
        <w:t>(2022) at OP 5.</w:t>
      </w:r>
    </w:p>
  </w:footnote>
  <w:footnote w:id="286">
    <w:p w14:paraId="31B37032" w14:textId="471977B7" w:rsidR="008019CD" w:rsidRPr="0001404D" w:rsidRDefault="008019CD" w:rsidP="008019CD">
      <w:pPr>
        <w:pStyle w:val="FootnoteText"/>
        <w:rPr>
          <w:rFonts w:ascii="Palatino Linotype" w:hAnsi="Palatino Linotype"/>
        </w:rPr>
      </w:pPr>
      <w:r>
        <w:rPr>
          <w:rStyle w:val="FootnoteReference"/>
        </w:rPr>
        <w:footnoteRef/>
      </w:r>
      <w:r>
        <w:t xml:space="preserve"> </w:t>
      </w:r>
      <w:r w:rsidRPr="0001404D">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d</w:t>
      </w:r>
      <w:r w:rsidRPr="00DE3CB6">
        <w:rPr>
          <w:rFonts w:ascii="Palatino Linotype" w:hAnsi="Palatino Linotype"/>
        </w:rPr>
        <w:t>)</w:t>
      </w:r>
      <w:r>
        <w:rPr>
          <w:rFonts w:ascii="Palatino Linotype" w:hAnsi="Palatino Linotype"/>
        </w:rPr>
        <w:t>.</w:t>
      </w:r>
      <w:r>
        <w:rPr>
          <w:rFonts w:ascii="Palatino Linotype" w:hAnsi="Palatino Linotype"/>
          <w:bCs/>
        </w:rPr>
        <w:t xml:space="preserve"> </w:t>
      </w:r>
      <w:r w:rsidRPr="004E05C1">
        <w:rPr>
          <w:rFonts w:ascii="Palatino Linotype" w:hAnsi="Palatino Linotype"/>
        </w:rPr>
        <w:t>Consistent with</w:t>
      </w:r>
      <w:r>
        <w:rPr>
          <w:rFonts w:ascii="Palatino Linotype" w:hAnsi="Palatino Linotype"/>
        </w:rPr>
        <w:t>:</w:t>
      </w:r>
      <w:r w:rsidRPr="004E05C1">
        <w:rPr>
          <w:rFonts w:ascii="Palatino Linotype" w:hAnsi="Palatino Linotype"/>
        </w:rPr>
        <w:t xml:space="preserve"> </w:t>
      </w:r>
      <w:hyperlink r:id="rId147">
        <w:r w:rsidRPr="004E05C1">
          <w:rPr>
            <w:rStyle w:val="Hyperlink"/>
            <w:rFonts w:ascii="Palatino Linotype" w:hAnsi="Palatino Linotype"/>
          </w:rPr>
          <w:t>Resolution G-3603</w:t>
        </w:r>
      </w:hyperlink>
      <w:r w:rsidRPr="004E05C1">
        <w:rPr>
          <w:rFonts w:ascii="Palatino Linotype" w:hAnsi="Palatino Linotype"/>
        </w:rPr>
        <w:t xml:space="preserve"> </w:t>
      </w:r>
      <w:r w:rsidRPr="004E05C1">
        <w:rPr>
          <w:rFonts w:ascii="Palatino Linotype" w:hAnsi="Palatino Linotype"/>
          <w:color w:val="000000" w:themeColor="text1"/>
        </w:rPr>
        <w:t>(2024) at OP 4</w:t>
      </w:r>
      <w:r>
        <w:rPr>
          <w:rFonts w:ascii="Palatino Linotype" w:hAnsi="Palatino Linotype"/>
          <w:color w:val="000000" w:themeColor="text1"/>
        </w:rPr>
        <w:t xml:space="preserve"> &amp; </w:t>
      </w:r>
      <w:hyperlink r:id="rId148" w:history="1">
        <w:r w:rsidRPr="002E4238">
          <w:rPr>
            <w:rStyle w:val="Hyperlink"/>
            <w:rFonts w:ascii="Palatino Linotype" w:hAnsi="Palatino Linotype"/>
          </w:rPr>
          <w:t>D.24-12-074</w:t>
        </w:r>
      </w:hyperlink>
      <w:r w:rsidR="00DC21AF">
        <w:rPr>
          <w:rFonts w:ascii="Palatino Linotype" w:hAnsi="Palatino Linotype"/>
          <w:color w:val="000000" w:themeColor="text1"/>
        </w:rPr>
        <w:t xml:space="preserve"> at</w:t>
      </w:r>
      <w:r w:rsidRPr="00ED4893">
        <w:rPr>
          <w:rFonts w:ascii="Palatino Linotype" w:hAnsi="Palatino Linotype"/>
          <w:color w:val="000000" w:themeColor="text1"/>
        </w:rPr>
        <w:t xml:space="preserve"> </w:t>
      </w:r>
      <w:r>
        <w:rPr>
          <w:rFonts w:ascii="Palatino Linotype" w:hAnsi="Palatino Linotype"/>
          <w:color w:val="000000" w:themeColor="text1"/>
        </w:rPr>
        <w:t xml:space="preserve">p. </w:t>
      </w:r>
      <w:r w:rsidRPr="00ED4893">
        <w:rPr>
          <w:rFonts w:ascii="Palatino Linotype" w:hAnsi="Palatino Linotype"/>
          <w:color w:val="000000" w:themeColor="text1"/>
        </w:rPr>
        <w:t>3</w:t>
      </w:r>
      <w:r>
        <w:rPr>
          <w:rFonts w:ascii="Palatino Linotype" w:hAnsi="Palatino Linotype"/>
          <w:color w:val="000000" w:themeColor="text1"/>
        </w:rPr>
        <w:t>27</w:t>
      </w:r>
      <w:r w:rsidRPr="00ED4893">
        <w:rPr>
          <w:rFonts w:ascii="Palatino Linotype" w:hAnsi="Palatino Linotype"/>
          <w:color w:val="000000" w:themeColor="text1"/>
        </w:rPr>
        <w:t>.</w:t>
      </w:r>
    </w:p>
  </w:footnote>
  <w:footnote w:id="287">
    <w:p w14:paraId="4BE40621" w14:textId="77777777" w:rsidR="008019CD" w:rsidRDefault="008019CD" w:rsidP="008019CD">
      <w:pPr>
        <w:pStyle w:val="FootnoteText"/>
      </w:pPr>
      <w:r>
        <w:rPr>
          <w:rStyle w:val="FootnoteReference"/>
        </w:rPr>
        <w:footnoteRef/>
      </w:r>
      <w:r>
        <w:t xml:space="preserve"> </w:t>
      </w:r>
      <w:r w:rsidRPr="00C20A78">
        <w:rPr>
          <w:rFonts w:ascii="Palatino Linotype" w:hAnsi="Palatino Linotype"/>
        </w:rPr>
        <w:t>AL 5069-G at p. 13-14.</w:t>
      </w:r>
    </w:p>
  </w:footnote>
  <w:footnote w:id="288">
    <w:p w14:paraId="05CC0346" w14:textId="77777777" w:rsidR="008019CD" w:rsidRPr="00561527" w:rsidRDefault="008019CD" w:rsidP="008019CD">
      <w:pPr>
        <w:pStyle w:val="FootnoteText"/>
        <w:rPr>
          <w:color w:val="EE0000"/>
        </w:rPr>
      </w:pPr>
      <w:r w:rsidRPr="00826631">
        <w:rPr>
          <w:rStyle w:val="FootnoteReference"/>
          <w:color w:val="000000" w:themeColor="text1"/>
        </w:rPr>
        <w:footnoteRef/>
      </w:r>
      <w:r w:rsidRPr="00826631">
        <w:rPr>
          <w:color w:val="000000" w:themeColor="text1"/>
        </w:rPr>
        <w:t xml:space="preserve"> </w:t>
      </w:r>
      <w:r w:rsidRPr="00826631">
        <w:rPr>
          <w:rFonts w:ascii="Palatino Linotype" w:hAnsi="Palatino Linotype"/>
          <w:color w:val="000000" w:themeColor="text1"/>
          <w:szCs w:val="16"/>
        </w:rPr>
        <w:t>AL 50</w:t>
      </w:r>
      <w:r>
        <w:rPr>
          <w:rFonts w:ascii="Palatino Linotype" w:hAnsi="Palatino Linotype"/>
          <w:color w:val="000000" w:themeColor="text1"/>
          <w:szCs w:val="16"/>
        </w:rPr>
        <w:t>69-G</w:t>
      </w:r>
      <w:r w:rsidRPr="00826631">
        <w:rPr>
          <w:rFonts w:ascii="Palatino Linotype" w:hAnsi="Palatino Linotype"/>
          <w:color w:val="000000" w:themeColor="text1"/>
          <w:szCs w:val="16"/>
        </w:rPr>
        <w:t xml:space="preserve"> at p. 57; 59; 60; 62; 65; &amp; 67.</w:t>
      </w:r>
    </w:p>
  </w:footnote>
  <w:footnote w:id="289">
    <w:p w14:paraId="7EA63B64" w14:textId="77777777" w:rsidR="008019CD" w:rsidRDefault="008019CD" w:rsidP="008019CD">
      <w:pPr>
        <w:pStyle w:val="FootnoteText"/>
      </w:pPr>
      <w:r>
        <w:rPr>
          <w:rStyle w:val="FootnoteReference"/>
        </w:rPr>
        <w:footnoteRef/>
      </w:r>
      <w:r>
        <w:t xml:space="preserve"> </w:t>
      </w:r>
      <w:r w:rsidRPr="002B6CF0">
        <w:rPr>
          <w:rFonts w:ascii="Palatino Linotype" w:hAnsi="Palatino Linotype"/>
          <w:color w:val="000000" w:themeColor="text1"/>
          <w:szCs w:val="16"/>
        </w:rPr>
        <w:t xml:space="preserve">AL 5069-G at p. 57; 59; 60; 62; </w:t>
      </w:r>
      <w:r w:rsidRPr="0074019B">
        <w:rPr>
          <w:rFonts w:ascii="Palatino Linotype" w:hAnsi="Palatino Linotype"/>
          <w:color w:val="000000" w:themeColor="text1"/>
          <w:szCs w:val="16"/>
        </w:rPr>
        <w:t xml:space="preserve">65; </w:t>
      </w:r>
      <w:r w:rsidRPr="002B6CF0">
        <w:rPr>
          <w:rFonts w:ascii="Palatino Linotype" w:hAnsi="Palatino Linotype"/>
          <w:color w:val="000000" w:themeColor="text1"/>
          <w:szCs w:val="16"/>
        </w:rPr>
        <w:t>&amp; 6</w:t>
      </w:r>
      <w:r>
        <w:rPr>
          <w:rFonts w:ascii="Palatino Linotype" w:hAnsi="Palatino Linotype"/>
          <w:color w:val="000000" w:themeColor="text1"/>
          <w:szCs w:val="16"/>
        </w:rPr>
        <w:t>7</w:t>
      </w:r>
      <w:r w:rsidRPr="002B6CF0">
        <w:rPr>
          <w:rFonts w:ascii="Palatino Linotype" w:hAnsi="Palatino Linotype"/>
          <w:color w:val="000000" w:themeColor="text1"/>
          <w:szCs w:val="16"/>
        </w:rPr>
        <w:t>.</w:t>
      </w:r>
    </w:p>
  </w:footnote>
  <w:footnote w:id="290">
    <w:p w14:paraId="4A41568D" w14:textId="175BCFB4" w:rsidR="008019CD" w:rsidRPr="00840E38" w:rsidRDefault="008019CD" w:rsidP="008019CD">
      <w:pPr>
        <w:pStyle w:val="FootnoteText"/>
        <w:rPr>
          <w:rFonts w:ascii="Palatino Linotype" w:hAnsi="Palatino Linotype"/>
        </w:rPr>
      </w:pPr>
      <w:r>
        <w:rPr>
          <w:rStyle w:val="FootnoteReference"/>
        </w:rPr>
        <w:footnoteRef/>
      </w:r>
      <w:r>
        <w:t xml:space="preserve"> </w:t>
      </w:r>
      <w:hyperlink r:id="rId149" w:history="1">
        <w:r>
          <w:rPr>
            <w:rStyle w:val="Hyperlink"/>
            <w:rFonts w:ascii="Palatino Linotype" w:hAnsi="Palatino Linotype"/>
          </w:rPr>
          <w:t>D.22-12-057</w:t>
        </w:r>
      </w:hyperlink>
      <w:r w:rsidR="004E7D14">
        <w:rPr>
          <w:rFonts w:ascii="Palatino Linotype" w:hAnsi="Palatino Linotype"/>
        </w:rPr>
        <w:t>.</w:t>
      </w:r>
    </w:p>
  </w:footnote>
  <w:footnote w:id="291">
    <w:p w14:paraId="47A2365D" w14:textId="77777777" w:rsidR="008019CD" w:rsidRDefault="008019CD" w:rsidP="008019CD">
      <w:pPr>
        <w:pStyle w:val="FootnoteText"/>
      </w:pPr>
      <w:r>
        <w:rPr>
          <w:rStyle w:val="FootnoteReference"/>
        </w:rPr>
        <w:footnoteRef/>
      </w:r>
      <w:r>
        <w:t xml:space="preserve"> </w:t>
      </w:r>
      <w:r w:rsidRPr="00B24E30">
        <w:rPr>
          <w:rFonts w:ascii="Palatino Linotype" w:hAnsi="Palatino Linotype"/>
        </w:rPr>
        <w:t>California Public Utilities Code Section 740.1</w:t>
      </w:r>
      <w:r w:rsidRPr="00DE3CB6">
        <w:rPr>
          <w:rFonts w:ascii="Palatino Linotype" w:hAnsi="Palatino Linotype"/>
        </w:rPr>
        <w:t xml:space="preserve"> at (</w:t>
      </w:r>
      <w:r>
        <w:rPr>
          <w:rFonts w:ascii="Palatino Linotype" w:hAnsi="Palatino Linotype"/>
        </w:rPr>
        <w:t>e).</w:t>
      </w:r>
    </w:p>
  </w:footnote>
  <w:footnote w:id="292">
    <w:p w14:paraId="350C7124"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5 </w:t>
      </w:r>
      <w:r w:rsidRPr="002E2942">
        <w:rPr>
          <w:rFonts w:ascii="Palatino Linotype" w:hAnsi="Palatino Linotype"/>
          <w:szCs w:val="16"/>
        </w:rPr>
        <w:t xml:space="preserve">at p. </w:t>
      </w:r>
      <w:r>
        <w:rPr>
          <w:rFonts w:ascii="Palatino Linotype" w:hAnsi="Palatino Linotype"/>
          <w:szCs w:val="16"/>
        </w:rPr>
        <w:t>54.</w:t>
      </w:r>
    </w:p>
  </w:footnote>
  <w:footnote w:id="293">
    <w:p w14:paraId="395D4660"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6 </w:t>
      </w:r>
      <w:r w:rsidRPr="002E2942">
        <w:rPr>
          <w:rFonts w:ascii="Palatino Linotype" w:hAnsi="Palatino Linotype"/>
          <w:szCs w:val="16"/>
        </w:rPr>
        <w:t xml:space="preserve">at p. </w:t>
      </w:r>
      <w:r>
        <w:rPr>
          <w:rFonts w:ascii="Palatino Linotype" w:hAnsi="Palatino Linotype"/>
          <w:szCs w:val="16"/>
        </w:rPr>
        <w:t>54.</w:t>
      </w:r>
    </w:p>
  </w:footnote>
  <w:footnote w:id="294">
    <w:p w14:paraId="4A61919D" w14:textId="77777777" w:rsidR="008019CD" w:rsidRDefault="008019CD" w:rsidP="008019CD">
      <w:pPr>
        <w:pStyle w:val="FootnoteText"/>
      </w:pPr>
      <w:r>
        <w:rPr>
          <w:rStyle w:val="FootnoteReference"/>
        </w:rPr>
        <w:footnoteRef/>
      </w:r>
      <w:r>
        <w:t xml:space="preserve"> </w:t>
      </w:r>
      <w:r w:rsidRPr="002E2942">
        <w:rPr>
          <w:rFonts w:ascii="Palatino Linotype" w:hAnsi="Palatino Linotype"/>
          <w:szCs w:val="16"/>
        </w:rPr>
        <w:t xml:space="preserve">AL 5069-G </w:t>
      </w:r>
      <w:r>
        <w:rPr>
          <w:rFonts w:ascii="Palatino Linotype" w:hAnsi="Palatino Linotype"/>
          <w:szCs w:val="16"/>
        </w:rPr>
        <w:t xml:space="preserve">Table 11 </w:t>
      </w:r>
      <w:r w:rsidRPr="002E2942">
        <w:rPr>
          <w:rFonts w:ascii="Palatino Linotype" w:hAnsi="Palatino Linotype"/>
          <w:szCs w:val="16"/>
        </w:rPr>
        <w:t xml:space="preserve">at p. </w:t>
      </w:r>
      <w:r>
        <w:rPr>
          <w:rFonts w:ascii="Palatino Linotype" w:hAnsi="Palatino Linotype"/>
          <w:szCs w:val="16"/>
        </w:rPr>
        <w:t>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4C31" w14:textId="77777777" w:rsidR="00046CAB" w:rsidRDefault="0004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05E79D6" w:rsidR="00A76F4A" w:rsidRPr="00AF0202" w:rsidRDefault="635CE793">
    <w:pPr>
      <w:pStyle w:val="Header"/>
      <w:rPr>
        <w:rFonts w:ascii="Palatino Linotype" w:hAnsi="Palatino Linotype"/>
      </w:rPr>
    </w:pPr>
    <w:r w:rsidRPr="00AF0202">
      <w:rPr>
        <w:rFonts w:ascii="Palatino Linotype" w:hAnsi="Palatino Linotype"/>
      </w:rPr>
      <w:t>E</w:t>
    </w:r>
    <w:r w:rsidR="00AF0202">
      <w:rPr>
        <w:rFonts w:ascii="Palatino Linotype" w:hAnsi="Palatino Linotype"/>
      </w:rPr>
      <w:t>D</w:t>
    </w:r>
    <w:r w:rsidRPr="00AF0202">
      <w:rPr>
        <w:rFonts w:ascii="Palatino Linotype" w:hAnsi="Palatino Linotype"/>
      </w:rPr>
      <w:t>/Resolution G-3618</w:t>
    </w:r>
    <w:r w:rsidR="009635A3">
      <w:rPr>
        <w:rFonts w:ascii="Palatino Linotype" w:hAnsi="Palatino Linotype"/>
      </w:rPr>
      <w:tab/>
    </w:r>
    <w:r w:rsidR="00AF0202" w:rsidRPr="00AF0202">
      <w:rPr>
        <w:rFonts w:ascii="Palatino Linotype" w:hAnsi="Palatino Linotype"/>
      </w:rPr>
      <w:t>DRAFT</w:t>
    </w:r>
    <w:r w:rsidR="009635A3">
      <w:rPr>
        <w:rFonts w:ascii="Palatino Linotype" w:hAnsi="Palatino Linotype"/>
      </w:rPr>
      <w:tab/>
    </w:r>
    <w:r w:rsidRPr="00AF0202">
      <w:rPr>
        <w:rFonts w:ascii="Palatino Linotype" w:hAnsi="Palatino Linotype"/>
      </w:rPr>
      <w:t xml:space="preserve">January </w:t>
    </w:r>
    <w:r w:rsidR="72843060" w:rsidRPr="00AF0202">
      <w:rPr>
        <w:rFonts w:ascii="Palatino Linotype" w:hAnsi="Palatino Linotype"/>
      </w:rPr>
      <w:t>15</w:t>
    </w:r>
    <w:r w:rsidRPr="00AF0202">
      <w:rPr>
        <w:rFonts w:ascii="Palatino Linotype" w:hAnsi="Palatino Linotype"/>
      </w:rPr>
      <w:t>, 2026</w:t>
    </w:r>
  </w:p>
  <w:p w14:paraId="39E35C4E" w14:textId="30A1776B" w:rsidR="00CD2149" w:rsidRDefault="009A27D6">
    <w:pPr>
      <w:pStyle w:val="Header"/>
      <w:rPr>
        <w:rFonts w:ascii="Palatino Linotype" w:hAnsi="Palatino Linotype"/>
      </w:rPr>
    </w:pPr>
    <w:r w:rsidRPr="00AF0202">
      <w:rPr>
        <w:rFonts w:ascii="Palatino Linotype" w:hAnsi="Palatino Linotype"/>
      </w:rPr>
      <w:t xml:space="preserve">PG&amp;E </w:t>
    </w:r>
    <w:r w:rsidR="008213BB" w:rsidRPr="00AF0202">
      <w:rPr>
        <w:rFonts w:ascii="Palatino Linotype" w:hAnsi="Palatino Linotype"/>
      </w:rPr>
      <w:t>AL</w:t>
    </w:r>
    <w:r w:rsidR="00CD2149" w:rsidRPr="00AF0202">
      <w:rPr>
        <w:rFonts w:ascii="Palatino Linotype" w:hAnsi="Palatino Linotype"/>
      </w:rPr>
      <w:t xml:space="preserve"> </w:t>
    </w:r>
    <w:r w:rsidRPr="00AF0202">
      <w:rPr>
        <w:rFonts w:ascii="Palatino Linotype" w:hAnsi="Palatino Linotype"/>
      </w:rPr>
      <w:t xml:space="preserve">5077-G-A and </w:t>
    </w:r>
    <w:r w:rsidR="00711D56" w:rsidRPr="00AF0202">
      <w:rPr>
        <w:rFonts w:ascii="Palatino Linotype" w:hAnsi="Palatino Linotype"/>
      </w:rPr>
      <w:t xml:space="preserve">AL </w:t>
    </w:r>
    <w:r w:rsidRPr="00AF0202">
      <w:rPr>
        <w:rFonts w:ascii="Palatino Linotype" w:hAnsi="Palatino Linotype"/>
      </w:rPr>
      <w:t>5069-G</w:t>
    </w:r>
    <w:r w:rsidR="00565F65" w:rsidRPr="00AF0202">
      <w:rPr>
        <w:rFonts w:ascii="Palatino Linotype" w:hAnsi="Palatino Linotype"/>
      </w:rPr>
      <w:t>/</w:t>
    </w:r>
    <w:r w:rsidR="00CD2149" w:rsidRPr="00AF0202">
      <w:rPr>
        <w:rFonts w:ascii="Palatino Linotype" w:hAnsi="Palatino Linotype"/>
      </w:rPr>
      <w:t>EM9</w:t>
    </w:r>
  </w:p>
  <w:p w14:paraId="25DF21AA" w14:textId="77777777" w:rsidR="0014722D" w:rsidRPr="00AF0202" w:rsidRDefault="0014722D">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E8C9" w14:textId="097B30FE" w:rsidR="00B444F9" w:rsidRPr="00AF0202" w:rsidRDefault="00B444F9" w:rsidP="00B444F9">
    <w:pPr>
      <w:pStyle w:val="Header"/>
      <w:rPr>
        <w:rFonts w:ascii="Palatino Linotype" w:hAnsi="Palatino Linotype"/>
      </w:rPr>
    </w:pPr>
    <w:r>
      <w:rPr>
        <w:rFonts w:ascii="Palatino Linotype" w:hAnsi="Palatino Linotype"/>
      </w:rPr>
      <w:tab/>
    </w:r>
    <w:r w:rsidRPr="00AF0202">
      <w:rPr>
        <w:rFonts w:ascii="Palatino Linotype" w:hAnsi="Palatino Linotype"/>
      </w:rPr>
      <w:t>DRAFT</w:t>
    </w:r>
    <w:r>
      <w:rPr>
        <w:rFonts w:ascii="Palatino Linotype" w:hAnsi="Palatino Linotype"/>
      </w:rPr>
      <w:tab/>
    </w:r>
  </w:p>
  <w:p w14:paraId="52E21BBB" w14:textId="37CD3779" w:rsidR="00750E92" w:rsidRPr="00B444F9" w:rsidRDefault="00750E92" w:rsidP="00B444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C3A4" w14:textId="77777777" w:rsidR="001653E4" w:rsidRPr="00AF0202" w:rsidRDefault="001653E4" w:rsidP="001653E4">
    <w:pPr>
      <w:pStyle w:val="Header"/>
      <w:rPr>
        <w:rFonts w:ascii="Palatino Linotype" w:hAnsi="Palatino Linotype"/>
      </w:rPr>
    </w:pPr>
    <w:r w:rsidRPr="00AF0202">
      <w:rPr>
        <w:rFonts w:ascii="Palatino Linotype" w:hAnsi="Palatino Linotype"/>
      </w:rPr>
      <w:t>E</w:t>
    </w:r>
    <w:r>
      <w:rPr>
        <w:rFonts w:ascii="Palatino Linotype" w:hAnsi="Palatino Linotype"/>
      </w:rPr>
      <w:t>D</w:t>
    </w:r>
    <w:r w:rsidRPr="00AF0202">
      <w:rPr>
        <w:rFonts w:ascii="Palatino Linotype" w:hAnsi="Palatino Linotype"/>
      </w:rPr>
      <w:t>/Resolution G-3618</w:t>
    </w:r>
    <w:r>
      <w:rPr>
        <w:rFonts w:ascii="Palatino Linotype" w:hAnsi="Palatino Linotype"/>
      </w:rPr>
      <w:tab/>
    </w:r>
    <w:r w:rsidRPr="00AF0202">
      <w:rPr>
        <w:rFonts w:ascii="Palatino Linotype" w:hAnsi="Palatino Linotype"/>
      </w:rPr>
      <w:t>DRAFT</w:t>
    </w:r>
    <w:r>
      <w:rPr>
        <w:rFonts w:ascii="Palatino Linotype" w:hAnsi="Palatino Linotype"/>
      </w:rPr>
      <w:tab/>
    </w:r>
    <w:r w:rsidRPr="00AF0202">
      <w:rPr>
        <w:rFonts w:ascii="Palatino Linotype" w:hAnsi="Palatino Linotype"/>
      </w:rPr>
      <w:t>January 15, 2026</w:t>
    </w:r>
  </w:p>
  <w:p w14:paraId="47C1349B" w14:textId="77777777" w:rsidR="001653E4" w:rsidRDefault="001653E4" w:rsidP="001653E4">
    <w:pPr>
      <w:pStyle w:val="Header"/>
      <w:rPr>
        <w:rFonts w:ascii="Palatino Linotype" w:hAnsi="Palatino Linotype"/>
      </w:rPr>
    </w:pPr>
    <w:r w:rsidRPr="00AF0202">
      <w:rPr>
        <w:rFonts w:ascii="Palatino Linotype" w:hAnsi="Palatino Linotype"/>
      </w:rPr>
      <w:t>PG&amp;E AL 5077-G-A and AL 5069-G/EM9</w:t>
    </w:r>
  </w:p>
  <w:p w14:paraId="1FC3C0DA" w14:textId="77777777" w:rsidR="001653E4" w:rsidRPr="00B444F9" w:rsidRDefault="001653E4" w:rsidP="00B44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C324" w14:textId="77777777" w:rsidR="001653E4" w:rsidRPr="00AF0202" w:rsidRDefault="001653E4" w:rsidP="001653E4">
    <w:pPr>
      <w:pStyle w:val="Header"/>
      <w:tabs>
        <w:tab w:val="clear" w:pos="4680"/>
        <w:tab w:val="clear" w:pos="9360"/>
        <w:tab w:val="center" w:pos="6480"/>
        <w:tab w:val="right" w:pos="11790"/>
      </w:tabs>
      <w:rPr>
        <w:rFonts w:ascii="Palatino Linotype" w:hAnsi="Palatino Linotype"/>
      </w:rPr>
    </w:pPr>
    <w:r w:rsidRPr="00AF0202">
      <w:rPr>
        <w:rFonts w:ascii="Palatino Linotype" w:hAnsi="Palatino Linotype"/>
      </w:rPr>
      <w:t>E</w:t>
    </w:r>
    <w:r>
      <w:rPr>
        <w:rFonts w:ascii="Palatino Linotype" w:hAnsi="Palatino Linotype"/>
      </w:rPr>
      <w:t>D</w:t>
    </w:r>
    <w:r w:rsidRPr="00AF0202">
      <w:rPr>
        <w:rFonts w:ascii="Palatino Linotype" w:hAnsi="Palatino Linotype"/>
      </w:rPr>
      <w:t>/Resolution G-3618</w:t>
    </w:r>
    <w:r>
      <w:rPr>
        <w:rFonts w:ascii="Palatino Linotype" w:hAnsi="Palatino Linotype"/>
      </w:rPr>
      <w:tab/>
    </w:r>
    <w:r w:rsidRPr="00AF0202">
      <w:rPr>
        <w:rFonts w:ascii="Palatino Linotype" w:hAnsi="Palatino Linotype"/>
      </w:rPr>
      <w:t>DRAFT</w:t>
    </w:r>
    <w:r>
      <w:rPr>
        <w:rFonts w:ascii="Palatino Linotype" w:hAnsi="Palatino Linotype"/>
      </w:rPr>
      <w:tab/>
    </w:r>
    <w:r w:rsidRPr="00AF0202">
      <w:rPr>
        <w:rFonts w:ascii="Palatino Linotype" w:hAnsi="Palatino Linotype"/>
      </w:rPr>
      <w:t>January 15, 2026</w:t>
    </w:r>
  </w:p>
  <w:p w14:paraId="5539E271" w14:textId="77777777" w:rsidR="001653E4" w:rsidRDefault="001653E4">
    <w:pPr>
      <w:pStyle w:val="Header"/>
      <w:rPr>
        <w:rFonts w:ascii="Palatino Linotype" w:hAnsi="Palatino Linotype"/>
      </w:rPr>
    </w:pPr>
    <w:r w:rsidRPr="00AF0202">
      <w:rPr>
        <w:rFonts w:ascii="Palatino Linotype" w:hAnsi="Palatino Linotype"/>
      </w:rPr>
      <w:t>PG&amp;E AL 5077-G-A and AL 5069-G/EM9</w:t>
    </w:r>
  </w:p>
  <w:p w14:paraId="28B0E2E4" w14:textId="77777777" w:rsidR="001653E4" w:rsidRPr="00AF0202" w:rsidRDefault="001653E4">
    <w:pPr>
      <w:pStyle w:val="Header"/>
      <w:rPr>
        <w:rFonts w:ascii="Palatino Linotype" w:hAnsi="Palatino Linotyp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7F06" w14:textId="77777777" w:rsidR="005C6682" w:rsidRPr="00AF0202" w:rsidRDefault="005C6682" w:rsidP="001653E4">
    <w:pPr>
      <w:pStyle w:val="Header"/>
      <w:tabs>
        <w:tab w:val="clear" w:pos="4680"/>
        <w:tab w:val="clear" w:pos="9360"/>
        <w:tab w:val="center" w:pos="6480"/>
        <w:tab w:val="right" w:pos="11700"/>
      </w:tabs>
      <w:rPr>
        <w:rFonts w:ascii="Palatino Linotype" w:hAnsi="Palatino Linotype"/>
      </w:rPr>
    </w:pPr>
    <w:r w:rsidRPr="00AF0202">
      <w:rPr>
        <w:rFonts w:ascii="Palatino Linotype" w:hAnsi="Palatino Linotype"/>
      </w:rPr>
      <w:t>E</w:t>
    </w:r>
    <w:r>
      <w:rPr>
        <w:rFonts w:ascii="Palatino Linotype" w:hAnsi="Palatino Linotype"/>
      </w:rPr>
      <w:t>D</w:t>
    </w:r>
    <w:r w:rsidRPr="00AF0202">
      <w:rPr>
        <w:rFonts w:ascii="Palatino Linotype" w:hAnsi="Palatino Linotype"/>
      </w:rPr>
      <w:t>/Resolution G-3618</w:t>
    </w:r>
    <w:r>
      <w:rPr>
        <w:rFonts w:ascii="Palatino Linotype" w:hAnsi="Palatino Linotype"/>
      </w:rPr>
      <w:tab/>
    </w:r>
    <w:r w:rsidRPr="00AF0202">
      <w:rPr>
        <w:rFonts w:ascii="Palatino Linotype" w:hAnsi="Palatino Linotype"/>
      </w:rPr>
      <w:t>DRAFT</w:t>
    </w:r>
    <w:r>
      <w:rPr>
        <w:rFonts w:ascii="Palatino Linotype" w:hAnsi="Palatino Linotype"/>
      </w:rPr>
      <w:tab/>
    </w:r>
    <w:r w:rsidRPr="00AF0202">
      <w:rPr>
        <w:rFonts w:ascii="Palatino Linotype" w:hAnsi="Palatino Linotype"/>
      </w:rPr>
      <w:t>January 15, 2026</w:t>
    </w:r>
  </w:p>
  <w:p w14:paraId="0CD7DB28" w14:textId="77777777" w:rsidR="005C6682" w:rsidRDefault="005C6682" w:rsidP="00B444F9">
    <w:pPr>
      <w:pStyle w:val="Header"/>
      <w:rPr>
        <w:rFonts w:ascii="Palatino Linotype" w:hAnsi="Palatino Linotype"/>
      </w:rPr>
    </w:pPr>
    <w:r w:rsidRPr="00AF0202">
      <w:rPr>
        <w:rFonts w:ascii="Palatino Linotype" w:hAnsi="Palatino Linotype"/>
      </w:rPr>
      <w:t>PG&amp;E AL 5077-G-A and AL 5069-G/EM9</w:t>
    </w:r>
  </w:p>
  <w:p w14:paraId="4FFF3611" w14:textId="77777777" w:rsidR="005C6682" w:rsidRPr="00B444F9" w:rsidRDefault="005C6682" w:rsidP="00B4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07"/>
    <w:multiLevelType w:val="hybridMultilevel"/>
    <w:tmpl w:val="57C46110"/>
    <w:lvl w:ilvl="0" w:tplc="1B5E544C">
      <w:start w:val="1"/>
      <w:numFmt w:val="decimal"/>
      <w:lvlText w:val="%1."/>
      <w:lvlJc w:val="left"/>
      <w:pPr>
        <w:ind w:left="720" w:hanging="360"/>
      </w:pPr>
    </w:lvl>
    <w:lvl w:ilvl="1" w:tplc="66A89C98">
      <w:start w:val="1"/>
      <w:numFmt w:val="decimal"/>
      <w:lvlText w:val="%2."/>
      <w:lvlJc w:val="left"/>
      <w:pPr>
        <w:ind w:left="720" w:hanging="360"/>
      </w:pPr>
    </w:lvl>
    <w:lvl w:ilvl="2" w:tplc="05B6911C">
      <w:start w:val="1"/>
      <w:numFmt w:val="decimal"/>
      <w:lvlText w:val="%3."/>
      <w:lvlJc w:val="left"/>
      <w:pPr>
        <w:ind w:left="720" w:hanging="360"/>
      </w:pPr>
    </w:lvl>
    <w:lvl w:ilvl="3" w:tplc="5A7E1900">
      <w:start w:val="1"/>
      <w:numFmt w:val="decimal"/>
      <w:lvlText w:val="%4."/>
      <w:lvlJc w:val="left"/>
      <w:pPr>
        <w:ind w:left="720" w:hanging="360"/>
      </w:pPr>
    </w:lvl>
    <w:lvl w:ilvl="4" w:tplc="7974D550">
      <w:start w:val="1"/>
      <w:numFmt w:val="decimal"/>
      <w:lvlText w:val="%5."/>
      <w:lvlJc w:val="left"/>
      <w:pPr>
        <w:ind w:left="720" w:hanging="360"/>
      </w:pPr>
    </w:lvl>
    <w:lvl w:ilvl="5" w:tplc="0A06F080">
      <w:start w:val="1"/>
      <w:numFmt w:val="decimal"/>
      <w:lvlText w:val="%6."/>
      <w:lvlJc w:val="left"/>
      <w:pPr>
        <w:ind w:left="720" w:hanging="360"/>
      </w:pPr>
    </w:lvl>
    <w:lvl w:ilvl="6" w:tplc="1A4C3E24">
      <w:start w:val="1"/>
      <w:numFmt w:val="decimal"/>
      <w:lvlText w:val="%7."/>
      <w:lvlJc w:val="left"/>
      <w:pPr>
        <w:ind w:left="720" w:hanging="360"/>
      </w:pPr>
    </w:lvl>
    <w:lvl w:ilvl="7" w:tplc="65E0D9BA">
      <w:start w:val="1"/>
      <w:numFmt w:val="decimal"/>
      <w:lvlText w:val="%8."/>
      <w:lvlJc w:val="left"/>
      <w:pPr>
        <w:ind w:left="720" w:hanging="360"/>
      </w:pPr>
    </w:lvl>
    <w:lvl w:ilvl="8" w:tplc="2DAA6250">
      <w:start w:val="1"/>
      <w:numFmt w:val="decimal"/>
      <w:lvlText w:val="%9."/>
      <w:lvlJc w:val="left"/>
      <w:pPr>
        <w:ind w:left="720" w:hanging="360"/>
      </w:pPr>
    </w:lvl>
  </w:abstractNum>
  <w:abstractNum w:abstractNumId="1" w15:restartNumberingAfterBreak="0">
    <w:nsid w:val="016650B8"/>
    <w:multiLevelType w:val="multilevel"/>
    <w:tmpl w:val="DE3C24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302CE5"/>
    <w:multiLevelType w:val="multilevel"/>
    <w:tmpl w:val="329E40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2B3FB5"/>
    <w:multiLevelType w:val="hybridMultilevel"/>
    <w:tmpl w:val="4CE084DE"/>
    <w:lvl w:ilvl="0" w:tplc="DC3C832A">
      <w:start w:val="1"/>
      <w:numFmt w:val="decimal"/>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08FF"/>
    <w:multiLevelType w:val="hybridMultilevel"/>
    <w:tmpl w:val="C1C2B8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20A2B"/>
    <w:multiLevelType w:val="hybridMultilevel"/>
    <w:tmpl w:val="A13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757AA"/>
    <w:multiLevelType w:val="hybridMultilevel"/>
    <w:tmpl w:val="FC36376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51D62"/>
    <w:multiLevelType w:val="hybridMultilevel"/>
    <w:tmpl w:val="DC2C3EAC"/>
    <w:lvl w:ilvl="0" w:tplc="9B20B5FA">
      <w:start w:val="1"/>
      <w:numFmt w:val="decimal"/>
      <w:lvlText w:val="%1)"/>
      <w:lvlJc w:val="left"/>
      <w:pPr>
        <w:ind w:left="1020" w:hanging="360"/>
      </w:pPr>
    </w:lvl>
    <w:lvl w:ilvl="1" w:tplc="B964E54C">
      <w:start w:val="1"/>
      <w:numFmt w:val="decimal"/>
      <w:lvlText w:val="%2)"/>
      <w:lvlJc w:val="left"/>
      <w:pPr>
        <w:ind w:left="1020" w:hanging="360"/>
      </w:pPr>
    </w:lvl>
    <w:lvl w:ilvl="2" w:tplc="37622FEC">
      <w:start w:val="1"/>
      <w:numFmt w:val="decimal"/>
      <w:lvlText w:val="%3)"/>
      <w:lvlJc w:val="left"/>
      <w:pPr>
        <w:ind w:left="1020" w:hanging="360"/>
      </w:pPr>
    </w:lvl>
    <w:lvl w:ilvl="3" w:tplc="DF4E6FB0">
      <w:start w:val="1"/>
      <w:numFmt w:val="decimal"/>
      <w:lvlText w:val="%4)"/>
      <w:lvlJc w:val="left"/>
      <w:pPr>
        <w:ind w:left="1020" w:hanging="360"/>
      </w:pPr>
    </w:lvl>
    <w:lvl w:ilvl="4" w:tplc="208E4C8A">
      <w:start w:val="1"/>
      <w:numFmt w:val="decimal"/>
      <w:lvlText w:val="%5)"/>
      <w:lvlJc w:val="left"/>
      <w:pPr>
        <w:ind w:left="1020" w:hanging="360"/>
      </w:pPr>
    </w:lvl>
    <w:lvl w:ilvl="5" w:tplc="C436DB10">
      <w:start w:val="1"/>
      <w:numFmt w:val="decimal"/>
      <w:lvlText w:val="%6)"/>
      <w:lvlJc w:val="left"/>
      <w:pPr>
        <w:ind w:left="1020" w:hanging="360"/>
      </w:pPr>
    </w:lvl>
    <w:lvl w:ilvl="6" w:tplc="AEB008BA">
      <w:start w:val="1"/>
      <w:numFmt w:val="decimal"/>
      <w:lvlText w:val="%7)"/>
      <w:lvlJc w:val="left"/>
      <w:pPr>
        <w:ind w:left="1020" w:hanging="360"/>
      </w:pPr>
    </w:lvl>
    <w:lvl w:ilvl="7" w:tplc="2E62ADC2">
      <w:start w:val="1"/>
      <w:numFmt w:val="decimal"/>
      <w:lvlText w:val="%8)"/>
      <w:lvlJc w:val="left"/>
      <w:pPr>
        <w:ind w:left="1020" w:hanging="360"/>
      </w:pPr>
    </w:lvl>
    <w:lvl w:ilvl="8" w:tplc="94B69FEE">
      <w:start w:val="1"/>
      <w:numFmt w:val="decimal"/>
      <w:lvlText w:val="%9)"/>
      <w:lvlJc w:val="left"/>
      <w:pPr>
        <w:ind w:left="1020" w:hanging="360"/>
      </w:pPr>
    </w:lvl>
  </w:abstractNum>
  <w:abstractNum w:abstractNumId="8" w15:restartNumberingAfterBreak="0">
    <w:nsid w:val="20DB1825"/>
    <w:multiLevelType w:val="hybridMultilevel"/>
    <w:tmpl w:val="D14C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F6C43"/>
    <w:multiLevelType w:val="hybridMultilevel"/>
    <w:tmpl w:val="81EA614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3842C59"/>
    <w:multiLevelType w:val="hybridMultilevel"/>
    <w:tmpl w:val="EF486464"/>
    <w:lvl w:ilvl="0" w:tplc="A9F6DAAE">
      <w:start w:val="4"/>
      <w:numFmt w:val="bullet"/>
      <w:lvlText w:val="-"/>
      <w:lvlJc w:val="left"/>
      <w:pPr>
        <w:ind w:left="720" w:hanging="360"/>
      </w:pPr>
      <w:rPr>
        <w:rFonts w:ascii="Palatino Linotype" w:eastAsia="SimSu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81321"/>
    <w:multiLevelType w:val="hybridMultilevel"/>
    <w:tmpl w:val="FC0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8414F"/>
    <w:multiLevelType w:val="hybridMultilevel"/>
    <w:tmpl w:val="F1945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23B0E"/>
    <w:multiLevelType w:val="hybridMultilevel"/>
    <w:tmpl w:val="A7B2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D0D43"/>
    <w:multiLevelType w:val="hybridMultilevel"/>
    <w:tmpl w:val="060EC5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771D85"/>
    <w:multiLevelType w:val="multilevel"/>
    <w:tmpl w:val="426CA4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E3E48AF"/>
    <w:multiLevelType w:val="hybridMultilevel"/>
    <w:tmpl w:val="E61C7D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B708E5"/>
    <w:multiLevelType w:val="hybridMultilevel"/>
    <w:tmpl w:val="E2627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5557E2"/>
    <w:multiLevelType w:val="hybridMultilevel"/>
    <w:tmpl w:val="EEBA16FE"/>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9512AD2"/>
    <w:multiLevelType w:val="hybridMultilevel"/>
    <w:tmpl w:val="28964612"/>
    <w:lvl w:ilvl="0" w:tplc="D5781E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F4A88"/>
    <w:multiLevelType w:val="hybridMultilevel"/>
    <w:tmpl w:val="D83E64B4"/>
    <w:lvl w:ilvl="0" w:tplc="DDA6DF22">
      <w:start w:val="1"/>
      <w:numFmt w:val="decimal"/>
      <w:lvlText w:val="%1."/>
      <w:lvlJc w:val="left"/>
      <w:pPr>
        <w:ind w:left="720" w:hanging="360"/>
      </w:pPr>
      <w:rPr>
        <w:rFonts w:eastAsia="Palatino Linotyp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F2540"/>
    <w:multiLevelType w:val="hybridMultilevel"/>
    <w:tmpl w:val="E262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E7DDF"/>
    <w:multiLevelType w:val="hybridMultilevel"/>
    <w:tmpl w:val="F24C0230"/>
    <w:lvl w:ilvl="0" w:tplc="2A3ED80A">
      <w:start w:val="1"/>
      <w:numFmt w:val="decimal"/>
      <w:lvlText w:val="%1."/>
      <w:lvlJc w:val="left"/>
      <w:pPr>
        <w:ind w:left="720" w:hanging="360"/>
      </w:pPr>
    </w:lvl>
    <w:lvl w:ilvl="1" w:tplc="70A62C00">
      <w:start w:val="1"/>
      <w:numFmt w:val="lowerLetter"/>
      <w:lvlText w:val="%2."/>
      <w:lvlJc w:val="left"/>
      <w:pPr>
        <w:ind w:left="1440" w:hanging="360"/>
      </w:pPr>
    </w:lvl>
    <w:lvl w:ilvl="2" w:tplc="6AE8B54A">
      <w:start w:val="1"/>
      <w:numFmt w:val="lowerRoman"/>
      <w:lvlText w:val="%3."/>
      <w:lvlJc w:val="right"/>
      <w:pPr>
        <w:ind w:left="2160" w:hanging="180"/>
      </w:pPr>
    </w:lvl>
    <w:lvl w:ilvl="3" w:tplc="80BAD950">
      <w:start w:val="1"/>
      <w:numFmt w:val="decimal"/>
      <w:lvlText w:val="%4."/>
      <w:lvlJc w:val="left"/>
      <w:pPr>
        <w:ind w:left="2880" w:hanging="360"/>
      </w:pPr>
    </w:lvl>
    <w:lvl w:ilvl="4" w:tplc="56A44F06">
      <w:start w:val="1"/>
      <w:numFmt w:val="lowerLetter"/>
      <w:lvlText w:val="%5."/>
      <w:lvlJc w:val="left"/>
      <w:pPr>
        <w:ind w:left="3600" w:hanging="360"/>
      </w:pPr>
    </w:lvl>
    <w:lvl w:ilvl="5" w:tplc="0994F682">
      <w:start w:val="1"/>
      <w:numFmt w:val="lowerRoman"/>
      <w:lvlText w:val="%6."/>
      <w:lvlJc w:val="right"/>
      <w:pPr>
        <w:ind w:left="4320" w:hanging="180"/>
      </w:pPr>
    </w:lvl>
    <w:lvl w:ilvl="6" w:tplc="8B280AC4">
      <w:start w:val="1"/>
      <w:numFmt w:val="decimal"/>
      <w:lvlText w:val="%7."/>
      <w:lvlJc w:val="left"/>
      <w:pPr>
        <w:ind w:left="5040" w:hanging="360"/>
      </w:pPr>
    </w:lvl>
    <w:lvl w:ilvl="7" w:tplc="5DD061F6">
      <w:start w:val="1"/>
      <w:numFmt w:val="lowerLetter"/>
      <w:lvlText w:val="%8."/>
      <w:lvlJc w:val="left"/>
      <w:pPr>
        <w:ind w:left="5760" w:hanging="360"/>
      </w:pPr>
    </w:lvl>
    <w:lvl w:ilvl="8" w:tplc="7BA84F3C">
      <w:start w:val="1"/>
      <w:numFmt w:val="lowerRoman"/>
      <w:lvlText w:val="%9."/>
      <w:lvlJc w:val="right"/>
      <w:pPr>
        <w:ind w:left="6480" w:hanging="180"/>
      </w:pPr>
    </w:lvl>
  </w:abstractNum>
  <w:abstractNum w:abstractNumId="23" w15:restartNumberingAfterBreak="0">
    <w:nsid w:val="3E336A36"/>
    <w:multiLevelType w:val="hybridMultilevel"/>
    <w:tmpl w:val="F30C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66319"/>
    <w:multiLevelType w:val="hybridMultilevel"/>
    <w:tmpl w:val="0BF2BEA4"/>
    <w:lvl w:ilvl="0" w:tplc="2698E532">
      <w:start w:val="1"/>
      <w:numFmt w:val="decimal"/>
      <w:lvlText w:val="%1."/>
      <w:lvlJc w:val="left"/>
      <w:pPr>
        <w:ind w:left="1020" w:hanging="360"/>
      </w:pPr>
    </w:lvl>
    <w:lvl w:ilvl="1" w:tplc="6848FB94">
      <w:start w:val="1"/>
      <w:numFmt w:val="decimal"/>
      <w:lvlText w:val="%2."/>
      <w:lvlJc w:val="left"/>
      <w:pPr>
        <w:ind w:left="1020" w:hanging="360"/>
      </w:pPr>
    </w:lvl>
    <w:lvl w:ilvl="2" w:tplc="10DE819C">
      <w:start w:val="1"/>
      <w:numFmt w:val="decimal"/>
      <w:lvlText w:val="%3."/>
      <w:lvlJc w:val="left"/>
      <w:pPr>
        <w:ind w:left="1020" w:hanging="360"/>
      </w:pPr>
    </w:lvl>
    <w:lvl w:ilvl="3" w:tplc="CC22C56E">
      <w:start w:val="1"/>
      <w:numFmt w:val="decimal"/>
      <w:lvlText w:val="%4."/>
      <w:lvlJc w:val="left"/>
      <w:pPr>
        <w:ind w:left="1020" w:hanging="360"/>
      </w:pPr>
    </w:lvl>
    <w:lvl w:ilvl="4" w:tplc="C442D3A2">
      <w:start w:val="1"/>
      <w:numFmt w:val="decimal"/>
      <w:lvlText w:val="%5."/>
      <w:lvlJc w:val="left"/>
      <w:pPr>
        <w:ind w:left="1020" w:hanging="360"/>
      </w:pPr>
    </w:lvl>
    <w:lvl w:ilvl="5" w:tplc="A6488AF2">
      <w:start w:val="1"/>
      <w:numFmt w:val="decimal"/>
      <w:lvlText w:val="%6."/>
      <w:lvlJc w:val="left"/>
      <w:pPr>
        <w:ind w:left="1020" w:hanging="360"/>
      </w:pPr>
    </w:lvl>
    <w:lvl w:ilvl="6" w:tplc="DAD24D32">
      <w:start w:val="1"/>
      <w:numFmt w:val="decimal"/>
      <w:lvlText w:val="%7."/>
      <w:lvlJc w:val="left"/>
      <w:pPr>
        <w:ind w:left="1020" w:hanging="360"/>
      </w:pPr>
    </w:lvl>
    <w:lvl w:ilvl="7" w:tplc="0E38FCCC">
      <w:start w:val="1"/>
      <w:numFmt w:val="decimal"/>
      <w:lvlText w:val="%8."/>
      <w:lvlJc w:val="left"/>
      <w:pPr>
        <w:ind w:left="1020" w:hanging="360"/>
      </w:pPr>
    </w:lvl>
    <w:lvl w:ilvl="8" w:tplc="B76E6E8C">
      <w:start w:val="1"/>
      <w:numFmt w:val="decimal"/>
      <w:lvlText w:val="%9."/>
      <w:lvlJc w:val="left"/>
      <w:pPr>
        <w:ind w:left="1020" w:hanging="360"/>
      </w:pPr>
    </w:lvl>
  </w:abstractNum>
  <w:abstractNum w:abstractNumId="25" w15:restartNumberingAfterBreak="0">
    <w:nsid w:val="44F0E703"/>
    <w:multiLevelType w:val="multilevel"/>
    <w:tmpl w:val="871CB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1B2FD1"/>
    <w:multiLevelType w:val="hybridMultilevel"/>
    <w:tmpl w:val="4EEE5B2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7645D4"/>
    <w:multiLevelType w:val="hybridMultilevel"/>
    <w:tmpl w:val="55E2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673CA"/>
    <w:multiLevelType w:val="multilevel"/>
    <w:tmpl w:val="DD0CBE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BF655E7"/>
    <w:multiLevelType w:val="hybridMultilevel"/>
    <w:tmpl w:val="9AC6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6B7D0A"/>
    <w:multiLevelType w:val="hybridMultilevel"/>
    <w:tmpl w:val="843C54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8A057F"/>
    <w:multiLevelType w:val="multilevel"/>
    <w:tmpl w:val="F2E86F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CEE1372"/>
    <w:multiLevelType w:val="hybridMultilevel"/>
    <w:tmpl w:val="520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D63F5"/>
    <w:multiLevelType w:val="hybridMultilevel"/>
    <w:tmpl w:val="7AEE804C"/>
    <w:lvl w:ilvl="0" w:tplc="7332EA38">
      <w:start w:val="1"/>
      <w:numFmt w:val="decimal"/>
      <w:lvlText w:val="(%1)"/>
      <w:lvlJc w:val="left"/>
      <w:pPr>
        <w:ind w:left="720" w:hanging="360"/>
      </w:pPr>
    </w:lvl>
    <w:lvl w:ilvl="1" w:tplc="1E364F32">
      <w:start w:val="1"/>
      <w:numFmt w:val="lowerLetter"/>
      <w:lvlText w:val="%2."/>
      <w:lvlJc w:val="left"/>
      <w:pPr>
        <w:ind w:left="1440" w:hanging="360"/>
      </w:pPr>
    </w:lvl>
    <w:lvl w:ilvl="2" w:tplc="BAB09442">
      <w:start w:val="1"/>
      <w:numFmt w:val="lowerRoman"/>
      <w:lvlText w:val="%3."/>
      <w:lvlJc w:val="right"/>
      <w:pPr>
        <w:ind w:left="2160" w:hanging="180"/>
      </w:pPr>
    </w:lvl>
    <w:lvl w:ilvl="3" w:tplc="0E0EA248">
      <w:start w:val="1"/>
      <w:numFmt w:val="decimal"/>
      <w:lvlText w:val="%4."/>
      <w:lvlJc w:val="left"/>
      <w:pPr>
        <w:ind w:left="2880" w:hanging="360"/>
      </w:pPr>
    </w:lvl>
    <w:lvl w:ilvl="4" w:tplc="3C2A7D74">
      <w:start w:val="1"/>
      <w:numFmt w:val="lowerLetter"/>
      <w:lvlText w:val="%5."/>
      <w:lvlJc w:val="left"/>
      <w:pPr>
        <w:ind w:left="3600" w:hanging="360"/>
      </w:pPr>
    </w:lvl>
    <w:lvl w:ilvl="5" w:tplc="72FA698E">
      <w:start w:val="1"/>
      <w:numFmt w:val="lowerRoman"/>
      <w:lvlText w:val="%6."/>
      <w:lvlJc w:val="right"/>
      <w:pPr>
        <w:ind w:left="4320" w:hanging="180"/>
      </w:pPr>
    </w:lvl>
    <w:lvl w:ilvl="6" w:tplc="CFE08040">
      <w:start w:val="1"/>
      <w:numFmt w:val="decimal"/>
      <w:lvlText w:val="%7."/>
      <w:lvlJc w:val="left"/>
      <w:pPr>
        <w:ind w:left="5040" w:hanging="360"/>
      </w:pPr>
    </w:lvl>
    <w:lvl w:ilvl="7" w:tplc="9F8EA418">
      <w:start w:val="1"/>
      <w:numFmt w:val="lowerLetter"/>
      <w:lvlText w:val="%8."/>
      <w:lvlJc w:val="left"/>
      <w:pPr>
        <w:ind w:left="5760" w:hanging="360"/>
      </w:pPr>
    </w:lvl>
    <w:lvl w:ilvl="8" w:tplc="A268FBA4">
      <w:start w:val="1"/>
      <w:numFmt w:val="lowerRoman"/>
      <w:lvlText w:val="%9."/>
      <w:lvlJc w:val="right"/>
      <w:pPr>
        <w:ind w:left="6480" w:hanging="180"/>
      </w:pPr>
    </w:lvl>
  </w:abstractNum>
  <w:abstractNum w:abstractNumId="34" w15:restartNumberingAfterBreak="0">
    <w:nsid w:val="52967E2A"/>
    <w:multiLevelType w:val="hybridMultilevel"/>
    <w:tmpl w:val="9E54A1DE"/>
    <w:lvl w:ilvl="0" w:tplc="953A5CEE">
      <w:start w:val="4"/>
      <w:numFmt w:val="bullet"/>
      <w:lvlText w:val="-"/>
      <w:lvlJc w:val="left"/>
      <w:pPr>
        <w:ind w:left="720" w:hanging="360"/>
      </w:pPr>
      <w:rPr>
        <w:rFonts w:ascii="Palatino Linotype" w:eastAsia="Palatino Linotype"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9F6811"/>
    <w:multiLevelType w:val="hybridMultilevel"/>
    <w:tmpl w:val="D7A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A63B4"/>
    <w:multiLevelType w:val="hybridMultilevel"/>
    <w:tmpl w:val="72C46640"/>
    <w:lvl w:ilvl="0" w:tplc="2F285DAC">
      <w:start w:val="1"/>
      <w:numFmt w:val="bullet"/>
      <w:lvlText w:val=""/>
      <w:lvlJc w:val="left"/>
      <w:pPr>
        <w:ind w:left="720" w:hanging="360"/>
      </w:pPr>
      <w:rPr>
        <w:rFonts w:ascii="Symbol" w:hAnsi="Symbol" w:hint="default"/>
      </w:rPr>
    </w:lvl>
    <w:lvl w:ilvl="1" w:tplc="118EDA54">
      <w:start w:val="1"/>
      <w:numFmt w:val="bullet"/>
      <w:lvlText w:val="o"/>
      <w:lvlJc w:val="left"/>
      <w:pPr>
        <w:ind w:left="1440" w:hanging="360"/>
      </w:pPr>
      <w:rPr>
        <w:rFonts w:ascii="Courier New" w:hAnsi="Courier New" w:hint="default"/>
      </w:rPr>
    </w:lvl>
    <w:lvl w:ilvl="2" w:tplc="653C1972">
      <w:start w:val="1"/>
      <w:numFmt w:val="bullet"/>
      <w:lvlText w:val=""/>
      <w:lvlJc w:val="left"/>
      <w:pPr>
        <w:ind w:left="2160" w:hanging="360"/>
      </w:pPr>
      <w:rPr>
        <w:rFonts w:ascii="Wingdings" w:hAnsi="Wingdings" w:hint="default"/>
      </w:rPr>
    </w:lvl>
    <w:lvl w:ilvl="3" w:tplc="8F2402BE">
      <w:start w:val="1"/>
      <w:numFmt w:val="bullet"/>
      <w:lvlText w:val=""/>
      <w:lvlJc w:val="left"/>
      <w:pPr>
        <w:ind w:left="2880" w:hanging="360"/>
      </w:pPr>
      <w:rPr>
        <w:rFonts w:ascii="Symbol" w:hAnsi="Symbol" w:hint="default"/>
      </w:rPr>
    </w:lvl>
    <w:lvl w:ilvl="4" w:tplc="AC4C628C">
      <w:start w:val="1"/>
      <w:numFmt w:val="bullet"/>
      <w:lvlText w:val="o"/>
      <w:lvlJc w:val="left"/>
      <w:pPr>
        <w:ind w:left="3600" w:hanging="360"/>
      </w:pPr>
      <w:rPr>
        <w:rFonts w:ascii="Courier New" w:hAnsi="Courier New" w:hint="default"/>
      </w:rPr>
    </w:lvl>
    <w:lvl w:ilvl="5" w:tplc="234EEAA2">
      <w:start w:val="1"/>
      <w:numFmt w:val="bullet"/>
      <w:lvlText w:val=""/>
      <w:lvlJc w:val="left"/>
      <w:pPr>
        <w:ind w:left="4320" w:hanging="360"/>
      </w:pPr>
      <w:rPr>
        <w:rFonts w:ascii="Wingdings" w:hAnsi="Wingdings" w:hint="default"/>
      </w:rPr>
    </w:lvl>
    <w:lvl w:ilvl="6" w:tplc="E44E25B2">
      <w:start w:val="1"/>
      <w:numFmt w:val="bullet"/>
      <w:lvlText w:val=""/>
      <w:lvlJc w:val="left"/>
      <w:pPr>
        <w:ind w:left="5040" w:hanging="360"/>
      </w:pPr>
      <w:rPr>
        <w:rFonts w:ascii="Symbol" w:hAnsi="Symbol" w:hint="default"/>
      </w:rPr>
    </w:lvl>
    <w:lvl w:ilvl="7" w:tplc="82CC316C">
      <w:start w:val="1"/>
      <w:numFmt w:val="bullet"/>
      <w:lvlText w:val="o"/>
      <w:lvlJc w:val="left"/>
      <w:pPr>
        <w:ind w:left="5760" w:hanging="360"/>
      </w:pPr>
      <w:rPr>
        <w:rFonts w:ascii="Courier New" w:hAnsi="Courier New" w:hint="default"/>
      </w:rPr>
    </w:lvl>
    <w:lvl w:ilvl="8" w:tplc="70644DFE">
      <w:start w:val="1"/>
      <w:numFmt w:val="bullet"/>
      <w:lvlText w:val=""/>
      <w:lvlJc w:val="left"/>
      <w:pPr>
        <w:ind w:left="6480" w:hanging="360"/>
      </w:pPr>
      <w:rPr>
        <w:rFonts w:ascii="Wingdings" w:hAnsi="Wingdings" w:hint="default"/>
      </w:rPr>
    </w:lvl>
  </w:abstractNum>
  <w:abstractNum w:abstractNumId="37" w15:restartNumberingAfterBreak="0">
    <w:nsid w:val="569B4B64"/>
    <w:multiLevelType w:val="hybridMultilevel"/>
    <w:tmpl w:val="E996AF8A"/>
    <w:lvl w:ilvl="0" w:tplc="FDE4A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7354F4"/>
    <w:multiLevelType w:val="hybridMultilevel"/>
    <w:tmpl w:val="BE903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A634D"/>
    <w:multiLevelType w:val="hybridMultilevel"/>
    <w:tmpl w:val="A1467C70"/>
    <w:lvl w:ilvl="0" w:tplc="C2A490F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05DCF"/>
    <w:multiLevelType w:val="hybridMultilevel"/>
    <w:tmpl w:val="2A64C4E6"/>
    <w:lvl w:ilvl="0" w:tplc="5338EC20">
      <w:start w:val="1"/>
      <w:numFmt w:val="decimal"/>
      <w:lvlText w:val="%1."/>
      <w:lvlJc w:val="left"/>
      <w:pPr>
        <w:ind w:left="1020" w:hanging="360"/>
      </w:pPr>
    </w:lvl>
    <w:lvl w:ilvl="1" w:tplc="2DB62080">
      <w:start w:val="1"/>
      <w:numFmt w:val="decimal"/>
      <w:lvlText w:val="%2."/>
      <w:lvlJc w:val="left"/>
      <w:pPr>
        <w:ind w:left="1020" w:hanging="360"/>
      </w:pPr>
    </w:lvl>
    <w:lvl w:ilvl="2" w:tplc="0E6ED778">
      <w:start w:val="1"/>
      <w:numFmt w:val="decimal"/>
      <w:lvlText w:val="%3."/>
      <w:lvlJc w:val="left"/>
      <w:pPr>
        <w:ind w:left="1020" w:hanging="360"/>
      </w:pPr>
    </w:lvl>
    <w:lvl w:ilvl="3" w:tplc="A03E05F0">
      <w:start w:val="1"/>
      <w:numFmt w:val="decimal"/>
      <w:lvlText w:val="%4."/>
      <w:lvlJc w:val="left"/>
      <w:pPr>
        <w:ind w:left="1020" w:hanging="360"/>
      </w:pPr>
    </w:lvl>
    <w:lvl w:ilvl="4" w:tplc="1E1EA98A">
      <w:start w:val="1"/>
      <w:numFmt w:val="decimal"/>
      <w:lvlText w:val="%5."/>
      <w:lvlJc w:val="left"/>
      <w:pPr>
        <w:ind w:left="1020" w:hanging="360"/>
      </w:pPr>
    </w:lvl>
    <w:lvl w:ilvl="5" w:tplc="A5BCB6B4">
      <w:start w:val="1"/>
      <w:numFmt w:val="decimal"/>
      <w:lvlText w:val="%6."/>
      <w:lvlJc w:val="left"/>
      <w:pPr>
        <w:ind w:left="1020" w:hanging="360"/>
      </w:pPr>
    </w:lvl>
    <w:lvl w:ilvl="6" w:tplc="C7CC7B8C">
      <w:start w:val="1"/>
      <w:numFmt w:val="decimal"/>
      <w:lvlText w:val="%7."/>
      <w:lvlJc w:val="left"/>
      <w:pPr>
        <w:ind w:left="1020" w:hanging="360"/>
      </w:pPr>
    </w:lvl>
    <w:lvl w:ilvl="7" w:tplc="0ADA9E92">
      <w:start w:val="1"/>
      <w:numFmt w:val="decimal"/>
      <w:lvlText w:val="%8."/>
      <w:lvlJc w:val="left"/>
      <w:pPr>
        <w:ind w:left="1020" w:hanging="360"/>
      </w:pPr>
    </w:lvl>
    <w:lvl w:ilvl="8" w:tplc="B95C7C22">
      <w:start w:val="1"/>
      <w:numFmt w:val="decimal"/>
      <w:lvlText w:val="%9."/>
      <w:lvlJc w:val="left"/>
      <w:pPr>
        <w:ind w:left="1020" w:hanging="360"/>
      </w:pPr>
    </w:lvl>
  </w:abstractNum>
  <w:abstractNum w:abstractNumId="41" w15:restartNumberingAfterBreak="0">
    <w:nsid w:val="6346510E"/>
    <w:multiLevelType w:val="hybridMultilevel"/>
    <w:tmpl w:val="9D125DF4"/>
    <w:lvl w:ilvl="0" w:tplc="D5723086">
      <w:start w:val="1"/>
      <w:numFmt w:val="decimal"/>
      <w:lvlText w:val="%1."/>
      <w:lvlJc w:val="left"/>
      <w:pPr>
        <w:ind w:left="720" w:hanging="360"/>
      </w:pPr>
    </w:lvl>
    <w:lvl w:ilvl="1" w:tplc="D2CA3CC4">
      <w:start w:val="1"/>
      <w:numFmt w:val="decimal"/>
      <w:lvlText w:val="%2."/>
      <w:lvlJc w:val="left"/>
      <w:pPr>
        <w:ind w:left="720" w:hanging="360"/>
      </w:pPr>
    </w:lvl>
    <w:lvl w:ilvl="2" w:tplc="96B07708">
      <w:start w:val="1"/>
      <w:numFmt w:val="decimal"/>
      <w:lvlText w:val="%3."/>
      <w:lvlJc w:val="left"/>
      <w:pPr>
        <w:ind w:left="720" w:hanging="360"/>
      </w:pPr>
    </w:lvl>
    <w:lvl w:ilvl="3" w:tplc="FCFC0432">
      <w:start w:val="1"/>
      <w:numFmt w:val="decimal"/>
      <w:lvlText w:val="%4."/>
      <w:lvlJc w:val="left"/>
      <w:pPr>
        <w:ind w:left="720" w:hanging="360"/>
      </w:pPr>
    </w:lvl>
    <w:lvl w:ilvl="4" w:tplc="5A8C177A">
      <w:start w:val="1"/>
      <w:numFmt w:val="decimal"/>
      <w:lvlText w:val="%5."/>
      <w:lvlJc w:val="left"/>
      <w:pPr>
        <w:ind w:left="720" w:hanging="360"/>
      </w:pPr>
    </w:lvl>
    <w:lvl w:ilvl="5" w:tplc="206E7F4E">
      <w:start w:val="1"/>
      <w:numFmt w:val="decimal"/>
      <w:lvlText w:val="%6."/>
      <w:lvlJc w:val="left"/>
      <w:pPr>
        <w:ind w:left="720" w:hanging="360"/>
      </w:pPr>
    </w:lvl>
    <w:lvl w:ilvl="6" w:tplc="74BCA9B4">
      <w:start w:val="1"/>
      <w:numFmt w:val="decimal"/>
      <w:lvlText w:val="%7."/>
      <w:lvlJc w:val="left"/>
      <w:pPr>
        <w:ind w:left="720" w:hanging="360"/>
      </w:pPr>
    </w:lvl>
    <w:lvl w:ilvl="7" w:tplc="EAB6D678">
      <w:start w:val="1"/>
      <w:numFmt w:val="decimal"/>
      <w:lvlText w:val="%8."/>
      <w:lvlJc w:val="left"/>
      <w:pPr>
        <w:ind w:left="720" w:hanging="360"/>
      </w:pPr>
    </w:lvl>
    <w:lvl w:ilvl="8" w:tplc="5C7EE954">
      <w:start w:val="1"/>
      <w:numFmt w:val="decimal"/>
      <w:lvlText w:val="%9."/>
      <w:lvlJc w:val="left"/>
      <w:pPr>
        <w:ind w:left="720" w:hanging="360"/>
      </w:pPr>
    </w:lvl>
  </w:abstractNum>
  <w:abstractNum w:abstractNumId="42" w15:restartNumberingAfterBreak="0">
    <w:nsid w:val="64D469FA"/>
    <w:multiLevelType w:val="hybridMultilevel"/>
    <w:tmpl w:val="E2E039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0029B6"/>
    <w:multiLevelType w:val="hybridMultilevel"/>
    <w:tmpl w:val="FFFFFFFF"/>
    <w:lvl w:ilvl="0" w:tplc="21BEC6AE">
      <w:start w:val="1"/>
      <w:numFmt w:val="bullet"/>
      <w:lvlText w:val="-"/>
      <w:lvlJc w:val="left"/>
      <w:pPr>
        <w:ind w:left="720" w:hanging="360"/>
      </w:pPr>
      <w:rPr>
        <w:rFonts w:ascii="Aptos" w:hAnsi="Aptos" w:hint="default"/>
      </w:rPr>
    </w:lvl>
    <w:lvl w:ilvl="1" w:tplc="B9D847A4">
      <w:start w:val="1"/>
      <w:numFmt w:val="bullet"/>
      <w:lvlText w:val="o"/>
      <w:lvlJc w:val="left"/>
      <w:pPr>
        <w:ind w:left="1440" w:hanging="360"/>
      </w:pPr>
      <w:rPr>
        <w:rFonts w:ascii="Courier New" w:hAnsi="Courier New" w:hint="default"/>
      </w:rPr>
    </w:lvl>
    <w:lvl w:ilvl="2" w:tplc="C27A70F4">
      <w:start w:val="1"/>
      <w:numFmt w:val="bullet"/>
      <w:lvlText w:val=""/>
      <w:lvlJc w:val="left"/>
      <w:pPr>
        <w:ind w:left="2160" w:hanging="360"/>
      </w:pPr>
      <w:rPr>
        <w:rFonts w:ascii="Wingdings" w:hAnsi="Wingdings" w:hint="default"/>
      </w:rPr>
    </w:lvl>
    <w:lvl w:ilvl="3" w:tplc="A61037FA">
      <w:start w:val="1"/>
      <w:numFmt w:val="bullet"/>
      <w:lvlText w:val=""/>
      <w:lvlJc w:val="left"/>
      <w:pPr>
        <w:ind w:left="2880" w:hanging="360"/>
      </w:pPr>
      <w:rPr>
        <w:rFonts w:ascii="Symbol" w:hAnsi="Symbol" w:hint="default"/>
      </w:rPr>
    </w:lvl>
    <w:lvl w:ilvl="4" w:tplc="E1B2EFC6">
      <w:start w:val="1"/>
      <w:numFmt w:val="bullet"/>
      <w:lvlText w:val="o"/>
      <w:lvlJc w:val="left"/>
      <w:pPr>
        <w:ind w:left="3600" w:hanging="360"/>
      </w:pPr>
      <w:rPr>
        <w:rFonts w:ascii="Courier New" w:hAnsi="Courier New" w:hint="default"/>
      </w:rPr>
    </w:lvl>
    <w:lvl w:ilvl="5" w:tplc="07B4DDD2">
      <w:start w:val="1"/>
      <w:numFmt w:val="bullet"/>
      <w:lvlText w:val=""/>
      <w:lvlJc w:val="left"/>
      <w:pPr>
        <w:ind w:left="4320" w:hanging="360"/>
      </w:pPr>
      <w:rPr>
        <w:rFonts w:ascii="Wingdings" w:hAnsi="Wingdings" w:hint="default"/>
      </w:rPr>
    </w:lvl>
    <w:lvl w:ilvl="6" w:tplc="843A4DC4">
      <w:start w:val="1"/>
      <w:numFmt w:val="bullet"/>
      <w:lvlText w:val=""/>
      <w:lvlJc w:val="left"/>
      <w:pPr>
        <w:ind w:left="5040" w:hanging="360"/>
      </w:pPr>
      <w:rPr>
        <w:rFonts w:ascii="Symbol" w:hAnsi="Symbol" w:hint="default"/>
      </w:rPr>
    </w:lvl>
    <w:lvl w:ilvl="7" w:tplc="E5FC89DC">
      <w:start w:val="1"/>
      <w:numFmt w:val="bullet"/>
      <w:lvlText w:val="o"/>
      <w:lvlJc w:val="left"/>
      <w:pPr>
        <w:ind w:left="5760" w:hanging="360"/>
      </w:pPr>
      <w:rPr>
        <w:rFonts w:ascii="Courier New" w:hAnsi="Courier New" w:hint="default"/>
      </w:rPr>
    </w:lvl>
    <w:lvl w:ilvl="8" w:tplc="2C9A883E">
      <w:start w:val="1"/>
      <w:numFmt w:val="bullet"/>
      <w:lvlText w:val=""/>
      <w:lvlJc w:val="left"/>
      <w:pPr>
        <w:ind w:left="6480" w:hanging="360"/>
      </w:pPr>
      <w:rPr>
        <w:rFonts w:ascii="Wingdings" w:hAnsi="Wingdings" w:hint="default"/>
      </w:rPr>
    </w:lvl>
  </w:abstractNum>
  <w:abstractNum w:abstractNumId="4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802757"/>
    <w:multiLevelType w:val="hybridMultilevel"/>
    <w:tmpl w:val="D7EE56A4"/>
    <w:lvl w:ilvl="0" w:tplc="43349138">
      <w:start w:val="1"/>
      <w:numFmt w:val="decimal"/>
      <w:lvlText w:val="%1."/>
      <w:lvlJc w:val="left"/>
      <w:pPr>
        <w:ind w:left="1020" w:hanging="360"/>
      </w:pPr>
    </w:lvl>
    <w:lvl w:ilvl="1" w:tplc="91A4A8C6">
      <w:start w:val="1"/>
      <w:numFmt w:val="decimal"/>
      <w:lvlText w:val="%2."/>
      <w:lvlJc w:val="left"/>
      <w:pPr>
        <w:ind w:left="1020" w:hanging="360"/>
      </w:pPr>
    </w:lvl>
    <w:lvl w:ilvl="2" w:tplc="59EAB9F2">
      <w:start w:val="1"/>
      <w:numFmt w:val="decimal"/>
      <w:lvlText w:val="%3."/>
      <w:lvlJc w:val="left"/>
      <w:pPr>
        <w:ind w:left="1020" w:hanging="360"/>
      </w:pPr>
    </w:lvl>
    <w:lvl w:ilvl="3" w:tplc="1F3A5B12">
      <w:start w:val="1"/>
      <w:numFmt w:val="decimal"/>
      <w:lvlText w:val="%4."/>
      <w:lvlJc w:val="left"/>
      <w:pPr>
        <w:ind w:left="1020" w:hanging="360"/>
      </w:pPr>
    </w:lvl>
    <w:lvl w:ilvl="4" w:tplc="5AC25ABC">
      <w:start w:val="1"/>
      <w:numFmt w:val="decimal"/>
      <w:lvlText w:val="%5."/>
      <w:lvlJc w:val="left"/>
      <w:pPr>
        <w:ind w:left="1020" w:hanging="360"/>
      </w:pPr>
    </w:lvl>
    <w:lvl w:ilvl="5" w:tplc="4DB8E07A">
      <w:start w:val="1"/>
      <w:numFmt w:val="decimal"/>
      <w:lvlText w:val="%6."/>
      <w:lvlJc w:val="left"/>
      <w:pPr>
        <w:ind w:left="1020" w:hanging="360"/>
      </w:pPr>
    </w:lvl>
    <w:lvl w:ilvl="6" w:tplc="2ED89670">
      <w:start w:val="1"/>
      <w:numFmt w:val="decimal"/>
      <w:lvlText w:val="%7."/>
      <w:lvlJc w:val="left"/>
      <w:pPr>
        <w:ind w:left="1020" w:hanging="360"/>
      </w:pPr>
    </w:lvl>
    <w:lvl w:ilvl="7" w:tplc="CA5019C2">
      <w:start w:val="1"/>
      <w:numFmt w:val="decimal"/>
      <w:lvlText w:val="%8."/>
      <w:lvlJc w:val="left"/>
      <w:pPr>
        <w:ind w:left="1020" w:hanging="360"/>
      </w:pPr>
    </w:lvl>
    <w:lvl w:ilvl="8" w:tplc="6D306D68">
      <w:start w:val="1"/>
      <w:numFmt w:val="decimal"/>
      <w:lvlText w:val="%9."/>
      <w:lvlJc w:val="left"/>
      <w:pPr>
        <w:ind w:left="1020" w:hanging="360"/>
      </w:pPr>
    </w:lvl>
  </w:abstractNum>
  <w:abstractNum w:abstractNumId="46" w15:restartNumberingAfterBreak="0">
    <w:nsid w:val="6EED44C0"/>
    <w:multiLevelType w:val="hybridMultilevel"/>
    <w:tmpl w:val="9238DCC6"/>
    <w:lvl w:ilvl="0" w:tplc="01B6E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48" w15:restartNumberingAfterBreak="0">
    <w:nsid w:val="7A3A545B"/>
    <w:multiLevelType w:val="hybridMultilevel"/>
    <w:tmpl w:val="CBF2A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620235">
    <w:abstractNumId w:val="12"/>
  </w:num>
  <w:num w:numId="2" w16cid:durableId="969365539">
    <w:abstractNumId w:val="44"/>
  </w:num>
  <w:num w:numId="3" w16cid:durableId="426273653">
    <w:abstractNumId w:val="47"/>
  </w:num>
  <w:num w:numId="4" w16cid:durableId="1901943406">
    <w:abstractNumId w:val="19"/>
  </w:num>
  <w:num w:numId="5" w16cid:durableId="244657654">
    <w:abstractNumId w:val="37"/>
  </w:num>
  <w:num w:numId="6" w16cid:durableId="785195994">
    <w:abstractNumId w:val="16"/>
  </w:num>
  <w:num w:numId="7" w16cid:durableId="1126043910">
    <w:abstractNumId w:val="30"/>
  </w:num>
  <w:num w:numId="8" w16cid:durableId="1178546138">
    <w:abstractNumId w:val="46"/>
  </w:num>
  <w:num w:numId="9" w16cid:durableId="1923877090">
    <w:abstractNumId w:val="25"/>
  </w:num>
  <w:num w:numId="10" w16cid:durableId="1483504008">
    <w:abstractNumId w:val="22"/>
  </w:num>
  <w:num w:numId="11" w16cid:durableId="2074618198">
    <w:abstractNumId w:val="7"/>
  </w:num>
  <w:num w:numId="12" w16cid:durableId="1318536027">
    <w:abstractNumId w:val="43"/>
  </w:num>
  <w:num w:numId="13" w16cid:durableId="1563298134">
    <w:abstractNumId w:val="34"/>
  </w:num>
  <w:num w:numId="14" w16cid:durableId="809135383">
    <w:abstractNumId w:val="24"/>
  </w:num>
  <w:num w:numId="15" w16cid:durableId="2078551618">
    <w:abstractNumId w:val="10"/>
  </w:num>
  <w:num w:numId="16" w16cid:durableId="1582518300">
    <w:abstractNumId w:val="40"/>
  </w:num>
  <w:num w:numId="17" w16cid:durableId="1489832580">
    <w:abstractNumId w:val="45"/>
  </w:num>
  <w:num w:numId="18" w16cid:durableId="1459714495">
    <w:abstractNumId w:val="3"/>
  </w:num>
  <w:num w:numId="19" w16cid:durableId="1896698561">
    <w:abstractNumId w:val="20"/>
  </w:num>
  <w:num w:numId="20" w16cid:durableId="35740533">
    <w:abstractNumId w:val="35"/>
  </w:num>
  <w:num w:numId="21" w16cid:durableId="1995639627">
    <w:abstractNumId w:val="41"/>
  </w:num>
  <w:num w:numId="22" w16cid:durableId="1660962569">
    <w:abstractNumId w:val="36"/>
  </w:num>
  <w:num w:numId="23" w16cid:durableId="174271918">
    <w:abstractNumId w:val="33"/>
  </w:num>
  <w:num w:numId="24" w16cid:durableId="1373460395">
    <w:abstractNumId w:val="6"/>
  </w:num>
  <w:num w:numId="25" w16cid:durableId="2130276458">
    <w:abstractNumId w:val="38"/>
  </w:num>
  <w:num w:numId="26" w16cid:durableId="1709527385">
    <w:abstractNumId w:val="4"/>
  </w:num>
  <w:num w:numId="27" w16cid:durableId="408623063">
    <w:abstractNumId w:val="9"/>
  </w:num>
  <w:num w:numId="28" w16cid:durableId="1868450356">
    <w:abstractNumId w:val="48"/>
  </w:num>
  <w:num w:numId="29" w16cid:durableId="1201358912">
    <w:abstractNumId w:val="18"/>
  </w:num>
  <w:num w:numId="30" w16cid:durableId="2109740425">
    <w:abstractNumId w:val="42"/>
  </w:num>
  <w:num w:numId="31" w16cid:durableId="55856927">
    <w:abstractNumId w:val="14"/>
  </w:num>
  <w:num w:numId="32" w16cid:durableId="852962095">
    <w:abstractNumId w:val="39"/>
  </w:num>
  <w:num w:numId="33" w16cid:durableId="259408332">
    <w:abstractNumId w:val="0"/>
  </w:num>
  <w:num w:numId="34" w16cid:durableId="1509707999">
    <w:abstractNumId w:val="26"/>
  </w:num>
  <w:num w:numId="35" w16cid:durableId="1553272737">
    <w:abstractNumId w:val="26"/>
  </w:num>
  <w:num w:numId="36" w16cid:durableId="1533415376">
    <w:abstractNumId w:val="27"/>
  </w:num>
  <w:num w:numId="37" w16cid:durableId="628173806">
    <w:abstractNumId w:val="5"/>
  </w:num>
  <w:num w:numId="38" w16cid:durableId="1579244243">
    <w:abstractNumId w:val="11"/>
  </w:num>
  <w:num w:numId="39" w16cid:durableId="2021002017">
    <w:abstractNumId w:val="8"/>
  </w:num>
  <w:num w:numId="40" w16cid:durableId="210964838">
    <w:abstractNumId w:val="13"/>
  </w:num>
  <w:num w:numId="41" w16cid:durableId="35473544">
    <w:abstractNumId w:val="29"/>
  </w:num>
  <w:num w:numId="42" w16cid:durableId="1533150403">
    <w:abstractNumId w:val="32"/>
  </w:num>
  <w:num w:numId="43" w16cid:durableId="23869675">
    <w:abstractNumId w:val="23"/>
  </w:num>
  <w:num w:numId="44" w16cid:durableId="405036015">
    <w:abstractNumId w:val="2"/>
  </w:num>
  <w:num w:numId="45" w16cid:durableId="1367564984">
    <w:abstractNumId w:val="15"/>
  </w:num>
  <w:num w:numId="46" w16cid:durableId="736366687">
    <w:abstractNumId w:val="1"/>
  </w:num>
  <w:num w:numId="47" w16cid:durableId="548617578">
    <w:abstractNumId w:val="31"/>
  </w:num>
  <w:num w:numId="48" w16cid:durableId="1333022053">
    <w:abstractNumId w:val="28"/>
  </w:num>
  <w:num w:numId="49" w16cid:durableId="1786735345">
    <w:abstractNumId w:val="21"/>
  </w:num>
  <w:num w:numId="50" w16cid:durableId="209226467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C57"/>
    <w:rsid w:val="00000EB7"/>
    <w:rsid w:val="00001E3B"/>
    <w:rsid w:val="00001EE6"/>
    <w:rsid w:val="00002132"/>
    <w:rsid w:val="00002154"/>
    <w:rsid w:val="000022E2"/>
    <w:rsid w:val="000023D4"/>
    <w:rsid w:val="00002534"/>
    <w:rsid w:val="000025E4"/>
    <w:rsid w:val="000026F4"/>
    <w:rsid w:val="000034F1"/>
    <w:rsid w:val="00003BE4"/>
    <w:rsid w:val="00003D8A"/>
    <w:rsid w:val="00003E9E"/>
    <w:rsid w:val="000044C0"/>
    <w:rsid w:val="00004971"/>
    <w:rsid w:val="00004AC0"/>
    <w:rsid w:val="0000502B"/>
    <w:rsid w:val="00005C91"/>
    <w:rsid w:val="00006337"/>
    <w:rsid w:val="0000635A"/>
    <w:rsid w:val="0000640B"/>
    <w:rsid w:val="0000658C"/>
    <w:rsid w:val="0000667D"/>
    <w:rsid w:val="00006C0C"/>
    <w:rsid w:val="000070C2"/>
    <w:rsid w:val="0000714B"/>
    <w:rsid w:val="0000736B"/>
    <w:rsid w:val="00007C14"/>
    <w:rsid w:val="00007E45"/>
    <w:rsid w:val="00007F22"/>
    <w:rsid w:val="0001013B"/>
    <w:rsid w:val="0001042D"/>
    <w:rsid w:val="00010442"/>
    <w:rsid w:val="000113C8"/>
    <w:rsid w:val="0001150F"/>
    <w:rsid w:val="00011AC5"/>
    <w:rsid w:val="00011ACD"/>
    <w:rsid w:val="00011BAB"/>
    <w:rsid w:val="00011E30"/>
    <w:rsid w:val="00011FFC"/>
    <w:rsid w:val="00012601"/>
    <w:rsid w:val="00012625"/>
    <w:rsid w:val="0001316B"/>
    <w:rsid w:val="000135F3"/>
    <w:rsid w:val="000137DA"/>
    <w:rsid w:val="0001382D"/>
    <w:rsid w:val="000139DB"/>
    <w:rsid w:val="00013E95"/>
    <w:rsid w:val="00014E08"/>
    <w:rsid w:val="000155CD"/>
    <w:rsid w:val="00016022"/>
    <w:rsid w:val="000162AB"/>
    <w:rsid w:val="0001650E"/>
    <w:rsid w:val="00016A57"/>
    <w:rsid w:val="00016B00"/>
    <w:rsid w:val="00016CE3"/>
    <w:rsid w:val="00017288"/>
    <w:rsid w:val="0002052B"/>
    <w:rsid w:val="00020BDE"/>
    <w:rsid w:val="00020CA8"/>
    <w:rsid w:val="00020EB8"/>
    <w:rsid w:val="00020FED"/>
    <w:rsid w:val="000212D3"/>
    <w:rsid w:val="0002168F"/>
    <w:rsid w:val="000216E4"/>
    <w:rsid w:val="00021B1C"/>
    <w:rsid w:val="00021E59"/>
    <w:rsid w:val="000220FF"/>
    <w:rsid w:val="00022419"/>
    <w:rsid w:val="000226FA"/>
    <w:rsid w:val="00023625"/>
    <w:rsid w:val="000238AE"/>
    <w:rsid w:val="0002395D"/>
    <w:rsid w:val="00023D46"/>
    <w:rsid w:val="00023F8E"/>
    <w:rsid w:val="00023F93"/>
    <w:rsid w:val="000243D1"/>
    <w:rsid w:val="000244F8"/>
    <w:rsid w:val="00024AC6"/>
    <w:rsid w:val="0002508C"/>
    <w:rsid w:val="00025404"/>
    <w:rsid w:val="0002555D"/>
    <w:rsid w:val="00025A77"/>
    <w:rsid w:val="00025FD5"/>
    <w:rsid w:val="00026059"/>
    <w:rsid w:val="000261E4"/>
    <w:rsid w:val="00026760"/>
    <w:rsid w:val="0002680C"/>
    <w:rsid w:val="0002703F"/>
    <w:rsid w:val="0002749B"/>
    <w:rsid w:val="0002779B"/>
    <w:rsid w:val="00027DDB"/>
    <w:rsid w:val="000303C3"/>
    <w:rsid w:val="0003046C"/>
    <w:rsid w:val="00030759"/>
    <w:rsid w:val="00030797"/>
    <w:rsid w:val="0003098E"/>
    <w:rsid w:val="00030F3E"/>
    <w:rsid w:val="00030F3F"/>
    <w:rsid w:val="00031004"/>
    <w:rsid w:val="0003119B"/>
    <w:rsid w:val="00031E4B"/>
    <w:rsid w:val="00032363"/>
    <w:rsid w:val="00032A2E"/>
    <w:rsid w:val="00032BF6"/>
    <w:rsid w:val="00032C27"/>
    <w:rsid w:val="00032DCB"/>
    <w:rsid w:val="0003305D"/>
    <w:rsid w:val="0003320E"/>
    <w:rsid w:val="0003350A"/>
    <w:rsid w:val="0003366A"/>
    <w:rsid w:val="0003427E"/>
    <w:rsid w:val="00034334"/>
    <w:rsid w:val="00034408"/>
    <w:rsid w:val="000344F6"/>
    <w:rsid w:val="000345D5"/>
    <w:rsid w:val="00034BDA"/>
    <w:rsid w:val="00034DD0"/>
    <w:rsid w:val="00034E90"/>
    <w:rsid w:val="00034F9B"/>
    <w:rsid w:val="00034FC4"/>
    <w:rsid w:val="00035478"/>
    <w:rsid w:val="00035701"/>
    <w:rsid w:val="0003598B"/>
    <w:rsid w:val="00035BE4"/>
    <w:rsid w:val="000363B4"/>
    <w:rsid w:val="00036415"/>
    <w:rsid w:val="00036555"/>
    <w:rsid w:val="00036633"/>
    <w:rsid w:val="000366C5"/>
    <w:rsid w:val="00036840"/>
    <w:rsid w:val="00036859"/>
    <w:rsid w:val="00036884"/>
    <w:rsid w:val="00036B3F"/>
    <w:rsid w:val="00036FDA"/>
    <w:rsid w:val="00037409"/>
    <w:rsid w:val="000379AB"/>
    <w:rsid w:val="000403DA"/>
    <w:rsid w:val="00040744"/>
    <w:rsid w:val="000407E1"/>
    <w:rsid w:val="00040896"/>
    <w:rsid w:val="00040E25"/>
    <w:rsid w:val="00041090"/>
    <w:rsid w:val="00041628"/>
    <w:rsid w:val="000416C0"/>
    <w:rsid w:val="00041809"/>
    <w:rsid w:val="00041C70"/>
    <w:rsid w:val="00041DD1"/>
    <w:rsid w:val="0004208A"/>
    <w:rsid w:val="000420F7"/>
    <w:rsid w:val="00042291"/>
    <w:rsid w:val="00042646"/>
    <w:rsid w:val="000426D6"/>
    <w:rsid w:val="00042A2D"/>
    <w:rsid w:val="00042CBA"/>
    <w:rsid w:val="00042D5E"/>
    <w:rsid w:val="00042E13"/>
    <w:rsid w:val="00043C99"/>
    <w:rsid w:val="00043F0A"/>
    <w:rsid w:val="00044C38"/>
    <w:rsid w:val="00045595"/>
    <w:rsid w:val="00045939"/>
    <w:rsid w:val="00045C87"/>
    <w:rsid w:val="000460BA"/>
    <w:rsid w:val="000460C2"/>
    <w:rsid w:val="00046CAB"/>
    <w:rsid w:val="00046E8D"/>
    <w:rsid w:val="00047093"/>
    <w:rsid w:val="000475A8"/>
    <w:rsid w:val="00047C63"/>
    <w:rsid w:val="00047DC6"/>
    <w:rsid w:val="00047F44"/>
    <w:rsid w:val="00047FCD"/>
    <w:rsid w:val="00050595"/>
    <w:rsid w:val="00050DAE"/>
    <w:rsid w:val="0005140B"/>
    <w:rsid w:val="000515E5"/>
    <w:rsid w:val="0005185D"/>
    <w:rsid w:val="00051C77"/>
    <w:rsid w:val="00051E8D"/>
    <w:rsid w:val="000521B5"/>
    <w:rsid w:val="0005221C"/>
    <w:rsid w:val="00052381"/>
    <w:rsid w:val="000523CF"/>
    <w:rsid w:val="000525DA"/>
    <w:rsid w:val="00052770"/>
    <w:rsid w:val="000529F0"/>
    <w:rsid w:val="00052A59"/>
    <w:rsid w:val="00052A72"/>
    <w:rsid w:val="00053022"/>
    <w:rsid w:val="000531DE"/>
    <w:rsid w:val="0005326C"/>
    <w:rsid w:val="00053327"/>
    <w:rsid w:val="00053328"/>
    <w:rsid w:val="0005355D"/>
    <w:rsid w:val="000538B6"/>
    <w:rsid w:val="00053C5E"/>
    <w:rsid w:val="00054054"/>
    <w:rsid w:val="000540BA"/>
    <w:rsid w:val="000541AA"/>
    <w:rsid w:val="00054313"/>
    <w:rsid w:val="000547FB"/>
    <w:rsid w:val="00054A39"/>
    <w:rsid w:val="00054D09"/>
    <w:rsid w:val="00054D11"/>
    <w:rsid w:val="00054FA8"/>
    <w:rsid w:val="00055557"/>
    <w:rsid w:val="0005567D"/>
    <w:rsid w:val="00055878"/>
    <w:rsid w:val="000558A1"/>
    <w:rsid w:val="00055A11"/>
    <w:rsid w:val="00055B1C"/>
    <w:rsid w:val="00055D72"/>
    <w:rsid w:val="000569B6"/>
    <w:rsid w:val="00056AE1"/>
    <w:rsid w:val="00056EAE"/>
    <w:rsid w:val="00057029"/>
    <w:rsid w:val="00057C29"/>
    <w:rsid w:val="00057CE2"/>
    <w:rsid w:val="00057D34"/>
    <w:rsid w:val="00057DDB"/>
    <w:rsid w:val="000607C8"/>
    <w:rsid w:val="00060BC7"/>
    <w:rsid w:val="00060BE0"/>
    <w:rsid w:val="00060D2B"/>
    <w:rsid w:val="00061078"/>
    <w:rsid w:val="00061150"/>
    <w:rsid w:val="00061170"/>
    <w:rsid w:val="0006138B"/>
    <w:rsid w:val="00061551"/>
    <w:rsid w:val="0006159F"/>
    <w:rsid w:val="000616BE"/>
    <w:rsid w:val="0006171F"/>
    <w:rsid w:val="00061B80"/>
    <w:rsid w:val="00061DCA"/>
    <w:rsid w:val="00061EB9"/>
    <w:rsid w:val="0006202A"/>
    <w:rsid w:val="0006211C"/>
    <w:rsid w:val="00062121"/>
    <w:rsid w:val="00062900"/>
    <w:rsid w:val="00062D56"/>
    <w:rsid w:val="00063165"/>
    <w:rsid w:val="000631CB"/>
    <w:rsid w:val="00063918"/>
    <w:rsid w:val="00063AB6"/>
    <w:rsid w:val="00064818"/>
    <w:rsid w:val="00064B2C"/>
    <w:rsid w:val="00065487"/>
    <w:rsid w:val="00065768"/>
    <w:rsid w:val="00065D08"/>
    <w:rsid w:val="000662CD"/>
    <w:rsid w:val="00066500"/>
    <w:rsid w:val="000665FF"/>
    <w:rsid w:val="000666A2"/>
    <w:rsid w:val="00066940"/>
    <w:rsid w:val="000669A9"/>
    <w:rsid w:val="00066B58"/>
    <w:rsid w:val="00066C65"/>
    <w:rsid w:val="00066E32"/>
    <w:rsid w:val="00066E68"/>
    <w:rsid w:val="0006721F"/>
    <w:rsid w:val="00067591"/>
    <w:rsid w:val="00067ABF"/>
    <w:rsid w:val="00067D85"/>
    <w:rsid w:val="0007007D"/>
    <w:rsid w:val="000700C6"/>
    <w:rsid w:val="0007012C"/>
    <w:rsid w:val="00070B26"/>
    <w:rsid w:val="00071C6D"/>
    <w:rsid w:val="00072614"/>
    <w:rsid w:val="000726AA"/>
    <w:rsid w:val="0007285E"/>
    <w:rsid w:val="00072D89"/>
    <w:rsid w:val="00073159"/>
    <w:rsid w:val="00073189"/>
    <w:rsid w:val="000731FB"/>
    <w:rsid w:val="000735EA"/>
    <w:rsid w:val="00073DB8"/>
    <w:rsid w:val="0007429E"/>
    <w:rsid w:val="00074C92"/>
    <w:rsid w:val="00074E47"/>
    <w:rsid w:val="000750ED"/>
    <w:rsid w:val="000751FC"/>
    <w:rsid w:val="000753A9"/>
    <w:rsid w:val="0007542C"/>
    <w:rsid w:val="0007549B"/>
    <w:rsid w:val="000755EF"/>
    <w:rsid w:val="00075C7F"/>
    <w:rsid w:val="00075E8A"/>
    <w:rsid w:val="00076181"/>
    <w:rsid w:val="00076569"/>
    <w:rsid w:val="00076932"/>
    <w:rsid w:val="00076C71"/>
    <w:rsid w:val="00076E01"/>
    <w:rsid w:val="00076EDE"/>
    <w:rsid w:val="00077579"/>
    <w:rsid w:val="000776D6"/>
    <w:rsid w:val="0007777D"/>
    <w:rsid w:val="000777CB"/>
    <w:rsid w:val="0007788F"/>
    <w:rsid w:val="00077AF0"/>
    <w:rsid w:val="00080109"/>
    <w:rsid w:val="00080281"/>
    <w:rsid w:val="0008078E"/>
    <w:rsid w:val="000818F7"/>
    <w:rsid w:val="000819BB"/>
    <w:rsid w:val="00081A22"/>
    <w:rsid w:val="00081AC2"/>
    <w:rsid w:val="00082726"/>
    <w:rsid w:val="00082838"/>
    <w:rsid w:val="00082C34"/>
    <w:rsid w:val="00082DA0"/>
    <w:rsid w:val="00082E75"/>
    <w:rsid w:val="00083005"/>
    <w:rsid w:val="000832A3"/>
    <w:rsid w:val="00083573"/>
    <w:rsid w:val="00083798"/>
    <w:rsid w:val="00083837"/>
    <w:rsid w:val="00083A0C"/>
    <w:rsid w:val="00083A84"/>
    <w:rsid w:val="00083BE0"/>
    <w:rsid w:val="00083E97"/>
    <w:rsid w:val="00084247"/>
    <w:rsid w:val="00084C19"/>
    <w:rsid w:val="00084F1A"/>
    <w:rsid w:val="000850EA"/>
    <w:rsid w:val="00085174"/>
    <w:rsid w:val="00085469"/>
    <w:rsid w:val="0008569B"/>
    <w:rsid w:val="00085D98"/>
    <w:rsid w:val="000860FE"/>
    <w:rsid w:val="00086587"/>
    <w:rsid w:val="000866D9"/>
    <w:rsid w:val="00086AF8"/>
    <w:rsid w:val="000873A9"/>
    <w:rsid w:val="00087427"/>
    <w:rsid w:val="000874DA"/>
    <w:rsid w:val="000877E3"/>
    <w:rsid w:val="00087CEB"/>
    <w:rsid w:val="00087EDF"/>
    <w:rsid w:val="00087EFE"/>
    <w:rsid w:val="0009028A"/>
    <w:rsid w:val="00090916"/>
    <w:rsid w:val="00090B49"/>
    <w:rsid w:val="00090F80"/>
    <w:rsid w:val="000913D0"/>
    <w:rsid w:val="000913FE"/>
    <w:rsid w:val="000915A2"/>
    <w:rsid w:val="00091C1F"/>
    <w:rsid w:val="00091EF9"/>
    <w:rsid w:val="000922AA"/>
    <w:rsid w:val="00092380"/>
    <w:rsid w:val="000923D6"/>
    <w:rsid w:val="000928D5"/>
    <w:rsid w:val="00092C27"/>
    <w:rsid w:val="00093510"/>
    <w:rsid w:val="00093894"/>
    <w:rsid w:val="00093899"/>
    <w:rsid w:val="00093C3D"/>
    <w:rsid w:val="00094086"/>
    <w:rsid w:val="00094C06"/>
    <w:rsid w:val="00094F03"/>
    <w:rsid w:val="00095224"/>
    <w:rsid w:val="0009552C"/>
    <w:rsid w:val="000955D4"/>
    <w:rsid w:val="000955F3"/>
    <w:rsid w:val="0009563D"/>
    <w:rsid w:val="00095859"/>
    <w:rsid w:val="00095953"/>
    <w:rsid w:val="00095A46"/>
    <w:rsid w:val="0009602A"/>
    <w:rsid w:val="0009630A"/>
    <w:rsid w:val="00096538"/>
    <w:rsid w:val="00096800"/>
    <w:rsid w:val="00096970"/>
    <w:rsid w:val="0009718F"/>
    <w:rsid w:val="000978C1"/>
    <w:rsid w:val="00097F67"/>
    <w:rsid w:val="000A0045"/>
    <w:rsid w:val="000A029A"/>
    <w:rsid w:val="000A04EF"/>
    <w:rsid w:val="000A05AE"/>
    <w:rsid w:val="000A0A52"/>
    <w:rsid w:val="000A0AAC"/>
    <w:rsid w:val="000A0F48"/>
    <w:rsid w:val="000A12E3"/>
    <w:rsid w:val="000A1E54"/>
    <w:rsid w:val="000A209B"/>
    <w:rsid w:val="000A2DC7"/>
    <w:rsid w:val="000A2E91"/>
    <w:rsid w:val="000A36A3"/>
    <w:rsid w:val="000A36EA"/>
    <w:rsid w:val="000A3A46"/>
    <w:rsid w:val="000A3AF2"/>
    <w:rsid w:val="000A3B73"/>
    <w:rsid w:val="000A3DBC"/>
    <w:rsid w:val="000A4385"/>
    <w:rsid w:val="000A482E"/>
    <w:rsid w:val="000A48E8"/>
    <w:rsid w:val="000A4AC5"/>
    <w:rsid w:val="000A5174"/>
    <w:rsid w:val="000A5323"/>
    <w:rsid w:val="000A5E93"/>
    <w:rsid w:val="000A5FAD"/>
    <w:rsid w:val="000A6133"/>
    <w:rsid w:val="000A6287"/>
    <w:rsid w:val="000A641A"/>
    <w:rsid w:val="000A694B"/>
    <w:rsid w:val="000A697A"/>
    <w:rsid w:val="000A697F"/>
    <w:rsid w:val="000A69CA"/>
    <w:rsid w:val="000A6AD7"/>
    <w:rsid w:val="000A72E0"/>
    <w:rsid w:val="000A7973"/>
    <w:rsid w:val="000A7C37"/>
    <w:rsid w:val="000A7DDE"/>
    <w:rsid w:val="000A7EC3"/>
    <w:rsid w:val="000B0667"/>
    <w:rsid w:val="000B0A6F"/>
    <w:rsid w:val="000B0A7F"/>
    <w:rsid w:val="000B0CAC"/>
    <w:rsid w:val="000B0CDF"/>
    <w:rsid w:val="000B1352"/>
    <w:rsid w:val="000B1353"/>
    <w:rsid w:val="000B14E0"/>
    <w:rsid w:val="000B1937"/>
    <w:rsid w:val="000B1ABD"/>
    <w:rsid w:val="000B24A3"/>
    <w:rsid w:val="000B24C3"/>
    <w:rsid w:val="000B2763"/>
    <w:rsid w:val="000B2835"/>
    <w:rsid w:val="000B34ED"/>
    <w:rsid w:val="000B3623"/>
    <w:rsid w:val="000B3E83"/>
    <w:rsid w:val="000B3FF9"/>
    <w:rsid w:val="000B41C5"/>
    <w:rsid w:val="000B450C"/>
    <w:rsid w:val="000B46B4"/>
    <w:rsid w:val="000B47B3"/>
    <w:rsid w:val="000B4A85"/>
    <w:rsid w:val="000B503F"/>
    <w:rsid w:val="000B5BD5"/>
    <w:rsid w:val="000B5CAA"/>
    <w:rsid w:val="000B5D14"/>
    <w:rsid w:val="000B6127"/>
    <w:rsid w:val="000B6755"/>
    <w:rsid w:val="000B68B1"/>
    <w:rsid w:val="000B68F0"/>
    <w:rsid w:val="000B6FDA"/>
    <w:rsid w:val="000B748B"/>
    <w:rsid w:val="000B76A0"/>
    <w:rsid w:val="000B7AC3"/>
    <w:rsid w:val="000C03C8"/>
    <w:rsid w:val="000C047D"/>
    <w:rsid w:val="000C091F"/>
    <w:rsid w:val="000C0CB9"/>
    <w:rsid w:val="000C0D7E"/>
    <w:rsid w:val="000C1B0F"/>
    <w:rsid w:val="000C1D5B"/>
    <w:rsid w:val="000C20B9"/>
    <w:rsid w:val="000C2404"/>
    <w:rsid w:val="000C245F"/>
    <w:rsid w:val="000C291C"/>
    <w:rsid w:val="000C2A69"/>
    <w:rsid w:val="000C2AE4"/>
    <w:rsid w:val="000C3060"/>
    <w:rsid w:val="000C366E"/>
    <w:rsid w:val="000C4015"/>
    <w:rsid w:val="000C4410"/>
    <w:rsid w:val="000C4493"/>
    <w:rsid w:val="000C501E"/>
    <w:rsid w:val="000C566C"/>
    <w:rsid w:val="000C5703"/>
    <w:rsid w:val="000C5992"/>
    <w:rsid w:val="000C5A8B"/>
    <w:rsid w:val="000C5FE4"/>
    <w:rsid w:val="000C66E1"/>
    <w:rsid w:val="000C6AF2"/>
    <w:rsid w:val="000C7071"/>
    <w:rsid w:val="000C7EF4"/>
    <w:rsid w:val="000C848E"/>
    <w:rsid w:val="000D049C"/>
    <w:rsid w:val="000D0669"/>
    <w:rsid w:val="000D09E3"/>
    <w:rsid w:val="000D0C3A"/>
    <w:rsid w:val="000D0E64"/>
    <w:rsid w:val="000D1243"/>
    <w:rsid w:val="000D1281"/>
    <w:rsid w:val="000D1924"/>
    <w:rsid w:val="000D19C6"/>
    <w:rsid w:val="000D1AC7"/>
    <w:rsid w:val="000D1AEA"/>
    <w:rsid w:val="000D2460"/>
    <w:rsid w:val="000D3F9C"/>
    <w:rsid w:val="000D4120"/>
    <w:rsid w:val="000D4428"/>
    <w:rsid w:val="000D4C87"/>
    <w:rsid w:val="000D5198"/>
    <w:rsid w:val="000D5535"/>
    <w:rsid w:val="000D58F4"/>
    <w:rsid w:val="000D5A6D"/>
    <w:rsid w:val="000D6084"/>
    <w:rsid w:val="000D6113"/>
    <w:rsid w:val="000D64E0"/>
    <w:rsid w:val="000D692B"/>
    <w:rsid w:val="000D6A11"/>
    <w:rsid w:val="000D6A4C"/>
    <w:rsid w:val="000D709E"/>
    <w:rsid w:val="000D7221"/>
    <w:rsid w:val="000D7587"/>
    <w:rsid w:val="000D76D1"/>
    <w:rsid w:val="000D786B"/>
    <w:rsid w:val="000D7D6A"/>
    <w:rsid w:val="000E0139"/>
    <w:rsid w:val="000E025E"/>
    <w:rsid w:val="000E0484"/>
    <w:rsid w:val="000E04CD"/>
    <w:rsid w:val="000E0881"/>
    <w:rsid w:val="000E08D1"/>
    <w:rsid w:val="000E1431"/>
    <w:rsid w:val="000E147E"/>
    <w:rsid w:val="000E14A8"/>
    <w:rsid w:val="000E164E"/>
    <w:rsid w:val="000E1864"/>
    <w:rsid w:val="000E18C8"/>
    <w:rsid w:val="000E1EC8"/>
    <w:rsid w:val="000E24CE"/>
    <w:rsid w:val="000E2E11"/>
    <w:rsid w:val="000E2F95"/>
    <w:rsid w:val="000E301F"/>
    <w:rsid w:val="000E3142"/>
    <w:rsid w:val="000E343B"/>
    <w:rsid w:val="000E397D"/>
    <w:rsid w:val="000E3C83"/>
    <w:rsid w:val="000E4005"/>
    <w:rsid w:val="000E44BC"/>
    <w:rsid w:val="000E477C"/>
    <w:rsid w:val="000E48AA"/>
    <w:rsid w:val="000E4A2E"/>
    <w:rsid w:val="000E4BB9"/>
    <w:rsid w:val="000E5AC6"/>
    <w:rsid w:val="000E66EE"/>
    <w:rsid w:val="000E6940"/>
    <w:rsid w:val="000E6A10"/>
    <w:rsid w:val="000E6CC4"/>
    <w:rsid w:val="000E6EE4"/>
    <w:rsid w:val="000E75C2"/>
    <w:rsid w:val="000E7D65"/>
    <w:rsid w:val="000E7DC6"/>
    <w:rsid w:val="000E7DCA"/>
    <w:rsid w:val="000E7EC8"/>
    <w:rsid w:val="000E7FB2"/>
    <w:rsid w:val="000F00BE"/>
    <w:rsid w:val="000F0207"/>
    <w:rsid w:val="000F0960"/>
    <w:rsid w:val="000F0EF0"/>
    <w:rsid w:val="000F0F50"/>
    <w:rsid w:val="000F1723"/>
    <w:rsid w:val="000F177C"/>
    <w:rsid w:val="000F1967"/>
    <w:rsid w:val="000F235C"/>
    <w:rsid w:val="000F27BA"/>
    <w:rsid w:val="000F2AF1"/>
    <w:rsid w:val="000F3132"/>
    <w:rsid w:val="000F3211"/>
    <w:rsid w:val="000F35B9"/>
    <w:rsid w:val="000F37E3"/>
    <w:rsid w:val="000F540F"/>
    <w:rsid w:val="000F5B34"/>
    <w:rsid w:val="000F5BFD"/>
    <w:rsid w:val="000F682E"/>
    <w:rsid w:val="000F697A"/>
    <w:rsid w:val="000F702D"/>
    <w:rsid w:val="000F7390"/>
    <w:rsid w:val="000F7F37"/>
    <w:rsid w:val="0010021D"/>
    <w:rsid w:val="001003A9"/>
    <w:rsid w:val="001004C6"/>
    <w:rsid w:val="00100529"/>
    <w:rsid w:val="00101492"/>
    <w:rsid w:val="00101568"/>
    <w:rsid w:val="00101682"/>
    <w:rsid w:val="00101812"/>
    <w:rsid w:val="00101A05"/>
    <w:rsid w:val="00101ED2"/>
    <w:rsid w:val="00101FF3"/>
    <w:rsid w:val="001022A0"/>
    <w:rsid w:val="001026F4"/>
    <w:rsid w:val="001031B1"/>
    <w:rsid w:val="00103AD0"/>
    <w:rsid w:val="00103AD5"/>
    <w:rsid w:val="00103BB8"/>
    <w:rsid w:val="0010435C"/>
    <w:rsid w:val="00104594"/>
    <w:rsid w:val="0010501A"/>
    <w:rsid w:val="00105AA6"/>
    <w:rsid w:val="00105C82"/>
    <w:rsid w:val="00105F82"/>
    <w:rsid w:val="001061D1"/>
    <w:rsid w:val="001062AF"/>
    <w:rsid w:val="001065C5"/>
    <w:rsid w:val="00106731"/>
    <w:rsid w:val="00106E35"/>
    <w:rsid w:val="00107017"/>
    <w:rsid w:val="00107055"/>
    <w:rsid w:val="00107182"/>
    <w:rsid w:val="0010792B"/>
    <w:rsid w:val="0010798D"/>
    <w:rsid w:val="0011042E"/>
    <w:rsid w:val="001107AE"/>
    <w:rsid w:val="00110ABB"/>
    <w:rsid w:val="00111170"/>
    <w:rsid w:val="0011120B"/>
    <w:rsid w:val="00111EDB"/>
    <w:rsid w:val="00111FD5"/>
    <w:rsid w:val="00112040"/>
    <w:rsid w:val="0011221E"/>
    <w:rsid w:val="001125C7"/>
    <w:rsid w:val="00113102"/>
    <w:rsid w:val="00113236"/>
    <w:rsid w:val="00113716"/>
    <w:rsid w:val="00114103"/>
    <w:rsid w:val="00114382"/>
    <w:rsid w:val="001145F7"/>
    <w:rsid w:val="001145FF"/>
    <w:rsid w:val="00114E87"/>
    <w:rsid w:val="00115895"/>
    <w:rsid w:val="00115F89"/>
    <w:rsid w:val="001166C3"/>
    <w:rsid w:val="00116B5C"/>
    <w:rsid w:val="00117268"/>
    <w:rsid w:val="001179DA"/>
    <w:rsid w:val="00120224"/>
    <w:rsid w:val="00120531"/>
    <w:rsid w:val="0012073F"/>
    <w:rsid w:val="00120890"/>
    <w:rsid w:val="00120999"/>
    <w:rsid w:val="00120C14"/>
    <w:rsid w:val="00120C2D"/>
    <w:rsid w:val="00120E6D"/>
    <w:rsid w:val="00121083"/>
    <w:rsid w:val="001211EC"/>
    <w:rsid w:val="00121590"/>
    <w:rsid w:val="001217D0"/>
    <w:rsid w:val="00121D5D"/>
    <w:rsid w:val="00121E18"/>
    <w:rsid w:val="001222C5"/>
    <w:rsid w:val="00122366"/>
    <w:rsid w:val="00122DA2"/>
    <w:rsid w:val="00122FE8"/>
    <w:rsid w:val="00123984"/>
    <w:rsid w:val="001239E8"/>
    <w:rsid w:val="0012448C"/>
    <w:rsid w:val="0012469B"/>
    <w:rsid w:val="001246E8"/>
    <w:rsid w:val="00124833"/>
    <w:rsid w:val="001248D3"/>
    <w:rsid w:val="00125F36"/>
    <w:rsid w:val="00126094"/>
    <w:rsid w:val="0012657A"/>
    <w:rsid w:val="00126612"/>
    <w:rsid w:val="001268D4"/>
    <w:rsid w:val="00126B46"/>
    <w:rsid w:val="0012721C"/>
    <w:rsid w:val="00127376"/>
    <w:rsid w:val="0012775E"/>
    <w:rsid w:val="00127E19"/>
    <w:rsid w:val="00130223"/>
    <w:rsid w:val="00130283"/>
    <w:rsid w:val="00130568"/>
    <w:rsid w:val="00130F7C"/>
    <w:rsid w:val="00130FDB"/>
    <w:rsid w:val="001313E2"/>
    <w:rsid w:val="001317EC"/>
    <w:rsid w:val="00131A0C"/>
    <w:rsid w:val="00131E90"/>
    <w:rsid w:val="00131EB6"/>
    <w:rsid w:val="00132012"/>
    <w:rsid w:val="001321AA"/>
    <w:rsid w:val="001322D7"/>
    <w:rsid w:val="001326C2"/>
    <w:rsid w:val="0013280E"/>
    <w:rsid w:val="00132D0B"/>
    <w:rsid w:val="00132D77"/>
    <w:rsid w:val="001336D9"/>
    <w:rsid w:val="00133934"/>
    <w:rsid w:val="00133E8E"/>
    <w:rsid w:val="0013409C"/>
    <w:rsid w:val="00134703"/>
    <w:rsid w:val="00134BB7"/>
    <w:rsid w:val="00134D62"/>
    <w:rsid w:val="001353C8"/>
    <w:rsid w:val="0013657B"/>
    <w:rsid w:val="0013699A"/>
    <w:rsid w:val="00136E6A"/>
    <w:rsid w:val="00136E88"/>
    <w:rsid w:val="00137271"/>
    <w:rsid w:val="0013775E"/>
    <w:rsid w:val="00137773"/>
    <w:rsid w:val="001379B8"/>
    <w:rsid w:val="00137F39"/>
    <w:rsid w:val="0014018C"/>
    <w:rsid w:val="00140212"/>
    <w:rsid w:val="0014092A"/>
    <w:rsid w:val="00141281"/>
    <w:rsid w:val="00141661"/>
    <w:rsid w:val="00141869"/>
    <w:rsid w:val="00141BDC"/>
    <w:rsid w:val="00141D54"/>
    <w:rsid w:val="001421CB"/>
    <w:rsid w:val="001424E5"/>
    <w:rsid w:val="0014252E"/>
    <w:rsid w:val="00142543"/>
    <w:rsid w:val="00142679"/>
    <w:rsid w:val="00142787"/>
    <w:rsid w:val="001427FC"/>
    <w:rsid w:val="00142A7A"/>
    <w:rsid w:val="00142AE5"/>
    <w:rsid w:val="00142D9A"/>
    <w:rsid w:val="0014310F"/>
    <w:rsid w:val="001431F2"/>
    <w:rsid w:val="0014335F"/>
    <w:rsid w:val="001437BF"/>
    <w:rsid w:val="0014397B"/>
    <w:rsid w:val="00143A31"/>
    <w:rsid w:val="00143C2C"/>
    <w:rsid w:val="00143ECC"/>
    <w:rsid w:val="00143FC1"/>
    <w:rsid w:val="0014410B"/>
    <w:rsid w:val="00144684"/>
    <w:rsid w:val="001449B0"/>
    <w:rsid w:val="00144A5B"/>
    <w:rsid w:val="00144B20"/>
    <w:rsid w:val="00144CE7"/>
    <w:rsid w:val="00144DA0"/>
    <w:rsid w:val="00144F69"/>
    <w:rsid w:val="0014524F"/>
    <w:rsid w:val="001456E7"/>
    <w:rsid w:val="001458B8"/>
    <w:rsid w:val="00145D8F"/>
    <w:rsid w:val="00145FE2"/>
    <w:rsid w:val="00146933"/>
    <w:rsid w:val="00146B36"/>
    <w:rsid w:val="00146E3E"/>
    <w:rsid w:val="0014722B"/>
    <w:rsid w:val="0014722D"/>
    <w:rsid w:val="0014726F"/>
    <w:rsid w:val="0014727D"/>
    <w:rsid w:val="0014745A"/>
    <w:rsid w:val="00147631"/>
    <w:rsid w:val="00147825"/>
    <w:rsid w:val="00147C23"/>
    <w:rsid w:val="00147D2F"/>
    <w:rsid w:val="00147D74"/>
    <w:rsid w:val="00147DDE"/>
    <w:rsid w:val="00150235"/>
    <w:rsid w:val="00150506"/>
    <w:rsid w:val="001505B3"/>
    <w:rsid w:val="0015067B"/>
    <w:rsid w:val="00150A05"/>
    <w:rsid w:val="00150B6E"/>
    <w:rsid w:val="00150D1E"/>
    <w:rsid w:val="001510A2"/>
    <w:rsid w:val="001510E7"/>
    <w:rsid w:val="0015159A"/>
    <w:rsid w:val="00151AEC"/>
    <w:rsid w:val="00151C05"/>
    <w:rsid w:val="00151C38"/>
    <w:rsid w:val="00151CBC"/>
    <w:rsid w:val="00151D2F"/>
    <w:rsid w:val="00151D98"/>
    <w:rsid w:val="001520F7"/>
    <w:rsid w:val="0015217B"/>
    <w:rsid w:val="001521F5"/>
    <w:rsid w:val="00152771"/>
    <w:rsid w:val="00152D15"/>
    <w:rsid w:val="001536B1"/>
    <w:rsid w:val="001537D5"/>
    <w:rsid w:val="00153982"/>
    <w:rsid w:val="00153B2C"/>
    <w:rsid w:val="00153F38"/>
    <w:rsid w:val="00154166"/>
    <w:rsid w:val="00154348"/>
    <w:rsid w:val="00154676"/>
    <w:rsid w:val="001546E9"/>
    <w:rsid w:val="001549CE"/>
    <w:rsid w:val="00154DCF"/>
    <w:rsid w:val="0015507E"/>
    <w:rsid w:val="00155082"/>
    <w:rsid w:val="00155A94"/>
    <w:rsid w:val="001562FB"/>
    <w:rsid w:val="00156300"/>
    <w:rsid w:val="0015640E"/>
    <w:rsid w:val="0015655D"/>
    <w:rsid w:val="001566BC"/>
    <w:rsid w:val="0015698D"/>
    <w:rsid w:val="00156BF9"/>
    <w:rsid w:val="00156C68"/>
    <w:rsid w:val="00156CF3"/>
    <w:rsid w:val="00156EC6"/>
    <w:rsid w:val="00156F5C"/>
    <w:rsid w:val="00157305"/>
    <w:rsid w:val="0015731B"/>
    <w:rsid w:val="0015770E"/>
    <w:rsid w:val="00157765"/>
    <w:rsid w:val="001577D5"/>
    <w:rsid w:val="001578C2"/>
    <w:rsid w:val="00157B81"/>
    <w:rsid w:val="0015E4D6"/>
    <w:rsid w:val="00160421"/>
    <w:rsid w:val="00160539"/>
    <w:rsid w:val="00160777"/>
    <w:rsid w:val="0016091C"/>
    <w:rsid w:val="00160B79"/>
    <w:rsid w:val="00160CC4"/>
    <w:rsid w:val="00160F06"/>
    <w:rsid w:val="001610A9"/>
    <w:rsid w:val="001613B2"/>
    <w:rsid w:val="0016144D"/>
    <w:rsid w:val="0016149E"/>
    <w:rsid w:val="00161657"/>
    <w:rsid w:val="001619EF"/>
    <w:rsid w:val="00161D22"/>
    <w:rsid w:val="00162513"/>
    <w:rsid w:val="001628B0"/>
    <w:rsid w:val="00162AF7"/>
    <w:rsid w:val="00162C97"/>
    <w:rsid w:val="00162D6C"/>
    <w:rsid w:val="00162F9A"/>
    <w:rsid w:val="0016323F"/>
    <w:rsid w:val="001632BC"/>
    <w:rsid w:val="00163B48"/>
    <w:rsid w:val="00163B6E"/>
    <w:rsid w:val="00164367"/>
    <w:rsid w:val="001643BA"/>
    <w:rsid w:val="00164826"/>
    <w:rsid w:val="0016500C"/>
    <w:rsid w:val="001653E4"/>
    <w:rsid w:val="0016550E"/>
    <w:rsid w:val="0016599B"/>
    <w:rsid w:val="00166107"/>
    <w:rsid w:val="00166744"/>
    <w:rsid w:val="001668CA"/>
    <w:rsid w:val="001668EC"/>
    <w:rsid w:val="00166BF8"/>
    <w:rsid w:val="00166DAA"/>
    <w:rsid w:val="00166F66"/>
    <w:rsid w:val="00166F97"/>
    <w:rsid w:val="001672C7"/>
    <w:rsid w:val="001673D9"/>
    <w:rsid w:val="00167DED"/>
    <w:rsid w:val="00167F82"/>
    <w:rsid w:val="0017081D"/>
    <w:rsid w:val="00170FAB"/>
    <w:rsid w:val="00171C1B"/>
    <w:rsid w:val="00171F4C"/>
    <w:rsid w:val="00172F65"/>
    <w:rsid w:val="0017308C"/>
    <w:rsid w:val="00173583"/>
    <w:rsid w:val="0017385C"/>
    <w:rsid w:val="001738FD"/>
    <w:rsid w:val="00173A62"/>
    <w:rsid w:val="00173B0E"/>
    <w:rsid w:val="00173DFF"/>
    <w:rsid w:val="00174141"/>
    <w:rsid w:val="001744AD"/>
    <w:rsid w:val="00174645"/>
    <w:rsid w:val="00174C2B"/>
    <w:rsid w:val="00174D99"/>
    <w:rsid w:val="00174E7D"/>
    <w:rsid w:val="00174FE3"/>
    <w:rsid w:val="0017536D"/>
    <w:rsid w:val="00175598"/>
    <w:rsid w:val="00175BCD"/>
    <w:rsid w:val="00175D4F"/>
    <w:rsid w:val="00175DBE"/>
    <w:rsid w:val="00176C18"/>
    <w:rsid w:val="0017713A"/>
    <w:rsid w:val="0017754C"/>
    <w:rsid w:val="00177837"/>
    <w:rsid w:val="00177C28"/>
    <w:rsid w:val="00177DB2"/>
    <w:rsid w:val="00180425"/>
    <w:rsid w:val="00180448"/>
    <w:rsid w:val="001806C6"/>
    <w:rsid w:val="001807CD"/>
    <w:rsid w:val="00180883"/>
    <w:rsid w:val="001808A2"/>
    <w:rsid w:val="00180A37"/>
    <w:rsid w:val="00180DA2"/>
    <w:rsid w:val="00180FF3"/>
    <w:rsid w:val="0018106A"/>
    <w:rsid w:val="001812C5"/>
    <w:rsid w:val="001815C0"/>
    <w:rsid w:val="0018176E"/>
    <w:rsid w:val="0018178C"/>
    <w:rsid w:val="001818C5"/>
    <w:rsid w:val="0018196D"/>
    <w:rsid w:val="00181D42"/>
    <w:rsid w:val="00181E28"/>
    <w:rsid w:val="00181E3F"/>
    <w:rsid w:val="00181E4F"/>
    <w:rsid w:val="00182214"/>
    <w:rsid w:val="001823CD"/>
    <w:rsid w:val="00182508"/>
    <w:rsid w:val="001826FB"/>
    <w:rsid w:val="0018294E"/>
    <w:rsid w:val="00183605"/>
    <w:rsid w:val="001836C6"/>
    <w:rsid w:val="00183912"/>
    <w:rsid w:val="00183935"/>
    <w:rsid w:val="00183A19"/>
    <w:rsid w:val="00183CD5"/>
    <w:rsid w:val="00183CF3"/>
    <w:rsid w:val="00183D6E"/>
    <w:rsid w:val="00183E4C"/>
    <w:rsid w:val="001843DD"/>
    <w:rsid w:val="001845AD"/>
    <w:rsid w:val="00184638"/>
    <w:rsid w:val="00184BF0"/>
    <w:rsid w:val="00184C0C"/>
    <w:rsid w:val="00184DE9"/>
    <w:rsid w:val="001853D8"/>
    <w:rsid w:val="00185718"/>
    <w:rsid w:val="001857B6"/>
    <w:rsid w:val="00185C06"/>
    <w:rsid w:val="00185EFB"/>
    <w:rsid w:val="00186341"/>
    <w:rsid w:val="00186421"/>
    <w:rsid w:val="001866E8"/>
    <w:rsid w:val="00186724"/>
    <w:rsid w:val="0018677A"/>
    <w:rsid w:val="00186ADB"/>
    <w:rsid w:val="001871F8"/>
    <w:rsid w:val="00187434"/>
    <w:rsid w:val="00187468"/>
    <w:rsid w:val="00187A88"/>
    <w:rsid w:val="00187CAD"/>
    <w:rsid w:val="00187DA9"/>
    <w:rsid w:val="00187F0C"/>
    <w:rsid w:val="00187F22"/>
    <w:rsid w:val="00191292"/>
    <w:rsid w:val="001914EB"/>
    <w:rsid w:val="00191586"/>
    <w:rsid w:val="00191692"/>
    <w:rsid w:val="00192381"/>
    <w:rsid w:val="0019250A"/>
    <w:rsid w:val="00192582"/>
    <w:rsid w:val="00192591"/>
    <w:rsid w:val="0019273A"/>
    <w:rsid w:val="0019283D"/>
    <w:rsid w:val="0019299D"/>
    <w:rsid w:val="00192ACE"/>
    <w:rsid w:val="00192F26"/>
    <w:rsid w:val="00193357"/>
    <w:rsid w:val="0019354B"/>
    <w:rsid w:val="001937D8"/>
    <w:rsid w:val="00193908"/>
    <w:rsid w:val="00193995"/>
    <w:rsid w:val="00194097"/>
    <w:rsid w:val="00194228"/>
    <w:rsid w:val="0019460C"/>
    <w:rsid w:val="001946BF"/>
    <w:rsid w:val="00194B01"/>
    <w:rsid w:val="00194DF3"/>
    <w:rsid w:val="00195926"/>
    <w:rsid w:val="00195A01"/>
    <w:rsid w:val="00195F23"/>
    <w:rsid w:val="001960C0"/>
    <w:rsid w:val="0019646B"/>
    <w:rsid w:val="0019697D"/>
    <w:rsid w:val="0019731E"/>
    <w:rsid w:val="001975E6"/>
    <w:rsid w:val="0019766F"/>
    <w:rsid w:val="00197BF6"/>
    <w:rsid w:val="00197EE4"/>
    <w:rsid w:val="001A06A9"/>
    <w:rsid w:val="001A087A"/>
    <w:rsid w:val="001A0B8B"/>
    <w:rsid w:val="001A17AE"/>
    <w:rsid w:val="001A19C2"/>
    <w:rsid w:val="001A1F91"/>
    <w:rsid w:val="001A20B5"/>
    <w:rsid w:val="001A27B5"/>
    <w:rsid w:val="001A3240"/>
    <w:rsid w:val="001A33C2"/>
    <w:rsid w:val="001A3A43"/>
    <w:rsid w:val="001A3CAB"/>
    <w:rsid w:val="001A3F56"/>
    <w:rsid w:val="001A3F67"/>
    <w:rsid w:val="001A4093"/>
    <w:rsid w:val="001A429A"/>
    <w:rsid w:val="001A46A8"/>
    <w:rsid w:val="001A4EEC"/>
    <w:rsid w:val="001A51EC"/>
    <w:rsid w:val="001A58E6"/>
    <w:rsid w:val="001A65B7"/>
    <w:rsid w:val="001A670D"/>
    <w:rsid w:val="001A6867"/>
    <w:rsid w:val="001A6C0D"/>
    <w:rsid w:val="001A6C9D"/>
    <w:rsid w:val="001A6E53"/>
    <w:rsid w:val="001A764A"/>
    <w:rsid w:val="001A79F1"/>
    <w:rsid w:val="001A7D25"/>
    <w:rsid w:val="001B03C4"/>
    <w:rsid w:val="001B0700"/>
    <w:rsid w:val="001B0C0C"/>
    <w:rsid w:val="001B101E"/>
    <w:rsid w:val="001B1267"/>
    <w:rsid w:val="001B131C"/>
    <w:rsid w:val="001B1649"/>
    <w:rsid w:val="001B1775"/>
    <w:rsid w:val="001B1B35"/>
    <w:rsid w:val="001B25FD"/>
    <w:rsid w:val="001B26FF"/>
    <w:rsid w:val="001B2B24"/>
    <w:rsid w:val="001B2C69"/>
    <w:rsid w:val="001B3444"/>
    <w:rsid w:val="001B3593"/>
    <w:rsid w:val="001B4191"/>
    <w:rsid w:val="001B42ED"/>
    <w:rsid w:val="001B480C"/>
    <w:rsid w:val="001B481D"/>
    <w:rsid w:val="001B4B66"/>
    <w:rsid w:val="001B50A2"/>
    <w:rsid w:val="001B5584"/>
    <w:rsid w:val="001B5776"/>
    <w:rsid w:val="001B6068"/>
    <w:rsid w:val="001B668C"/>
    <w:rsid w:val="001B6866"/>
    <w:rsid w:val="001B690F"/>
    <w:rsid w:val="001B6C07"/>
    <w:rsid w:val="001B73F9"/>
    <w:rsid w:val="001B756C"/>
    <w:rsid w:val="001B765E"/>
    <w:rsid w:val="001B7760"/>
    <w:rsid w:val="001B7761"/>
    <w:rsid w:val="001B780A"/>
    <w:rsid w:val="001B7D84"/>
    <w:rsid w:val="001B7F57"/>
    <w:rsid w:val="001C0C68"/>
    <w:rsid w:val="001C117C"/>
    <w:rsid w:val="001C140E"/>
    <w:rsid w:val="001C16A5"/>
    <w:rsid w:val="001C18EA"/>
    <w:rsid w:val="001C1D86"/>
    <w:rsid w:val="001C21EF"/>
    <w:rsid w:val="001C2378"/>
    <w:rsid w:val="001C288B"/>
    <w:rsid w:val="001C29EB"/>
    <w:rsid w:val="001C390E"/>
    <w:rsid w:val="001C3DB5"/>
    <w:rsid w:val="001C3E3E"/>
    <w:rsid w:val="001C3FC7"/>
    <w:rsid w:val="001C44F7"/>
    <w:rsid w:val="001C457C"/>
    <w:rsid w:val="001C49F1"/>
    <w:rsid w:val="001C4A58"/>
    <w:rsid w:val="001C4B7D"/>
    <w:rsid w:val="001C4E18"/>
    <w:rsid w:val="001C53DD"/>
    <w:rsid w:val="001C53ED"/>
    <w:rsid w:val="001C541D"/>
    <w:rsid w:val="001C5D12"/>
    <w:rsid w:val="001C640B"/>
    <w:rsid w:val="001C69F7"/>
    <w:rsid w:val="001C6A7E"/>
    <w:rsid w:val="001C73D0"/>
    <w:rsid w:val="001C776C"/>
    <w:rsid w:val="001C7887"/>
    <w:rsid w:val="001C7988"/>
    <w:rsid w:val="001C7B38"/>
    <w:rsid w:val="001C7BDC"/>
    <w:rsid w:val="001C7D51"/>
    <w:rsid w:val="001C7EBE"/>
    <w:rsid w:val="001D005E"/>
    <w:rsid w:val="001D04F0"/>
    <w:rsid w:val="001D0635"/>
    <w:rsid w:val="001D0D0C"/>
    <w:rsid w:val="001D0DA6"/>
    <w:rsid w:val="001D11AB"/>
    <w:rsid w:val="001D14E3"/>
    <w:rsid w:val="001D1B7D"/>
    <w:rsid w:val="001D1BA4"/>
    <w:rsid w:val="001D1FE8"/>
    <w:rsid w:val="001D3646"/>
    <w:rsid w:val="001D3922"/>
    <w:rsid w:val="001D39BF"/>
    <w:rsid w:val="001D3AF5"/>
    <w:rsid w:val="001D3CE9"/>
    <w:rsid w:val="001D3EF7"/>
    <w:rsid w:val="001D40A8"/>
    <w:rsid w:val="001D424D"/>
    <w:rsid w:val="001D4298"/>
    <w:rsid w:val="001D46EA"/>
    <w:rsid w:val="001D4C79"/>
    <w:rsid w:val="001D4E81"/>
    <w:rsid w:val="001D4E8E"/>
    <w:rsid w:val="001D5200"/>
    <w:rsid w:val="001D52A3"/>
    <w:rsid w:val="001D5409"/>
    <w:rsid w:val="001D5676"/>
    <w:rsid w:val="001D57DE"/>
    <w:rsid w:val="001D5ADB"/>
    <w:rsid w:val="001D5BA1"/>
    <w:rsid w:val="001D60C8"/>
    <w:rsid w:val="001D623E"/>
    <w:rsid w:val="001D6302"/>
    <w:rsid w:val="001D63E4"/>
    <w:rsid w:val="001D650C"/>
    <w:rsid w:val="001D66EA"/>
    <w:rsid w:val="001D6901"/>
    <w:rsid w:val="001D6EA2"/>
    <w:rsid w:val="001D75F4"/>
    <w:rsid w:val="001D78FB"/>
    <w:rsid w:val="001D79D2"/>
    <w:rsid w:val="001D7A91"/>
    <w:rsid w:val="001D7F14"/>
    <w:rsid w:val="001E0145"/>
    <w:rsid w:val="001E0165"/>
    <w:rsid w:val="001E0890"/>
    <w:rsid w:val="001E0DE6"/>
    <w:rsid w:val="001E1077"/>
    <w:rsid w:val="001E10E8"/>
    <w:rsid w:val="001E11D6"/>
    <w:rsid w:val="001E12AF"/>
    <w:rsid w:val="001E1437"/>
    <w:rsid w:val="001E2121"/>
    <w:rsid w:val="001E24FB"/>
    <w:rsid w:val="001E2B25"/>
    <w:rsid w:val="001E2FD4"/>
    <w:rsid w:val="001E340A"/>
    <w:rsid w:val="001E3468"/>
    <w:rsid w:val="001E3496"/>
    <w:rsid w:val="001E3856"/>
    <w:rsid w:val="001E3AAA"/>
    <w:rsid w:val="001E404A"/>
    <w:rsid w:val="001E4544"/>
    <w:rsid w:val="001E457C"/>
    <w:rsid w:val="001E470E"/>
    <w:rsid w:val="001E4BDC"/>
    <w:rsid w:val="001E4D93"/>
    <w:rsid w:val="001E4E8E"/>
    <w:rsid w:val="001E526C"/>
    <w:rsid w:val="001E53E1"/>
    <w:rsid w:val="001E542F"/>
    <w:rsid w:val="001E54AB"/>
    <w:rsid w:val="001E5596"/>
    <w:rsid w:val="001E56CE"/>
    <w:rsid w:val="001E577E"/>
    <w:rsid w:val="001E596E"/>
    <w:rsid w:val="001E5A88"/>
    <w:rsid w:val="001E5BF5"/>
    <w:rsid w:val="001E5CA9"/>
    <w:rsid w:val="001E6B66"/>
    <w:rsid w:val="001E6C62"/>
    <w:rsid w:val="001E7123"/>
    <w:rsid w:val="001E7178"/>
    <w:rsid w:val="001E72DA"/>
    <w:rsid w:val="001E7687"/>
    <w:rsid w:val="001E7DC6"/>
    <w:rsid w:val="001E7FFA"/>
    <w:rsid w:val="001F01ED"/>
    <w:rsid w:val="001F07D5"/>
    <w:rsid w:val="001F0A9A"/>
    <w:rsid w:val="001F0E21"/>
    <w:rsid w:val="001F0FE4"/>
    <w:rsid w:val="001F11AC"/>
    <w:rsid w:val="001F12DF"/>
    <w:rsid w:val="001F1326"/>
    <w:rsid w:val="001F148C"/>
    <w:rsid w:val="001F14D1"/>
    <w:rsid w:val="001F16A2"/>
    <w:rsid w:val="001F2085"/>
    <w:rsid w:val="001F2397"/>
    <w:rsid w:val="001F27E8"/>
    <w:rsid w:val="001F2AA1"/>
    <w:rsid w:val="001F2B3F"/>
    <w:rsid w:val="001F391F"/>
    <w:rsid w:val="001F395F"/>
    <w:rsid w:val="001F3967"/>
    <w:rsid w:val="001F3C89"/>
    <w:rsid w:val="001F47AC"/>
    <w:rsid w:val="001F4BBC"/>
    <w:rsid w:val="001F4D70"/>
    <w:rsid w:val="001F5217"/>
    <w:rsid w:val="001F5463"/>
    <w:rsid w:val="001F567E"/>
    <w:rsid w:val="001F5AE5"/>
    <w:rsid w:val="001F63FB"/>
    <w:rsid w:val="001F7108"/>
    <w:rsid w:val="001F728E"/>
    <w:rsid w:val="001F7588"/>
    <w:rsid w:val="001F76EF"/>
    <w:rsid w:val="001F7F9A"/>
    <w:rsid w:val="002004C1"/>
    <w:rsid w:val="002006DF"/>
    <w:rsid w:val="00200721"/>
    <w:rsid w:val="00200A8F"/>
    <w:rsid w:val="00200C63"/>
    <w:rsid w:val="00200DF2"/>
    <w:rsid w:val="002010AA"/>
    <w:rsid w:val="002014DA"/>
    <w:rsid w:val="00201884"/>
    <w:rsid w:val="002019EE"/>
    <w:rsid w:val="00201A93"/>
    <w:rsid w:val="00201B10"/>
    <w:rsid w:val="00202148"/>
    <w:rsid w:val="002022E9"/>
    <w:rsid w:val="00202360"/>
    <w:rsid w:val="0020263A"/>
    <w:rsid w:val="0020284A"/>
    <w:rsid w:val="00202953"/>
    <w:rsid w:val="00202B5A"/>
    <w:rsid w:val="002037AF"/>
    <w:rsid w:val="00203878"/>
    <w:rsid w:val="002039A8"/>
    <w:rsid w:val="00203A8B"/>
    <w:rsid w:val="00203A92"/>
    <w:rsid w:val="00203B9F"/>
    <w:rsid w:val="00203F3D"/>
    <w:rsid w:val="00203FA1"/>
    <w:rsid w:val="002040A0"/>
    <w:rsid w:val="00204B1B"/>
    <w:rsid w:val="002052DF"/>
    <w:rsid w:val="00205303"/>
    <w:rsid w:val="0020576E"/>
    <w:rsid w:val="0020589C"/>
    <w:rsid w:val="00205F29"/>
    <w:rsid w:val="002060A0"/>
    <w:rsid w:val="0020679F"/>
    <w:rsid w:val="00206923"/>
    <w:rsid w:val="00206A52"/>
    <w:rsid w:val="002072E1"/>
    <w:rsid w:val="00207530"/>
    <w:rsid w:val="0020A3E4"/>
    <w:rsid w:val="0021005E"/>
    <w:rsid w:val="002102C7"/>
    <w:rsid w:val="002106A7"/>
    <w:rsid w:val="002109C5"/>
    <w:rsid w:val="00210BD1"/>
    <w:rsid w:val="00210D1B"/>
    <w:rsid w:val="00210D6E"/>
    <w:rsid w:val="00210E02"/>
    <w:rsid w:val="00210EA3"/>
    <w:rsid w:val="00210F16"/>
    <w:rsid w:val="0021125A"/>
    <w:rsid w:val="00211670"/>
    <w:rsid w:val="00211904"/>
    <w:rsid w:val="00211A20"/>
    <w:rsid w:val="00211C3D"/>
    <w:rsid w:val="0021267A"/>
    <w:rsid w:val="00212ED4"/>
    <w:rsid w:val="00213ABE"/>
    <w:rsid w:val="002141DB"/>
    <w:rsid w:val="0021475E"/>
    <w:rsid w:val="002148C2"/>
    <w:rsid w:val="00214A08"/>
    <w:rsid w:val="00214D3D"/>
    <w:rsid w:val="00214DCA"/>
    <w:rsid w:val="00214DF0"/>
    <w:rsid w:val="00215024"/>
    <w:rsid w:val="002150E8"/>
    <w:rsid w:val="00215666"/>
    <w:rsid w:val="00215877"/>
    <w:rsid w:val="002158C6"/>
    <w:rsid w:val="00215FFF"/>
    <w:rsid w:val="00216EAC"/>
    <w:rsid w:val="00217046"/>
    <w:rsid w:val="002174E6"/>
    <w:rsid w:val="0021757E"/>
    <w:rsid w:val="0021767E"/>
    <w:rsid w:val="00217727"/>
    <w:rsid w:val="0021796B"/>
    <w:rsid w:val="002204D2"/>
    <w:rsid w:val="0022052C"/>
    <w:rsid w:val="00220703"/>
    <w:rsid w:val="00220749"/>
    <w:rsid w:val="00220B13"/>
    <w:rsid w:val="00220B43"/>
    <w:rsid w:val="00220DB6"/>
    <w:rsid w:val="00220F08"/>
    <w:rsid w:val="0022111B"/>
    <w:rsid w:val="00221717"/>
    <w:rsid w:val="002217CC"/>
    <w:rsid w:val="00221DB9"/>
    <w:rsid w:val="002220A7"/>
    <w:rsid w:val="002220EA"/>
    <w:rsid w:val="0022240F"/>
    <w:rsid w:val="002225D8"/>
    <w:rsid w:val="002225DA"/>
    <w:rsid w:val="00222DEE"/>
    <w:rsid w:val="00222E8A"/>
    <w:rsid w:val="00222FE8"/>
    <w:rsid w:val="00223983"/>
    <w:rsid w:val="00223E9F"/>
    <w:rsid w:val="00223FB1"/>
    <w:rsid w:val="002242DF"/>
    <w:rsid w:val="00224642"/>
    <w:rsid w:val="0022489A"/>
    <w:rsid w:val="00224DE3"/>
    <w:rsid w:val="00224E38"/>
    <w:rsid w:val="00224F16"/>
    <w:rsid w:val="0022505D"/>
    <w:rsid w:val="00225407"/>
    <w:rsid w:val="002254C4"/>
    <w:rsid w:val="0022551C"/>
    <w:rsid w:val="00225597"/>
    <w:rsid w:val="00225E69"/>
    <w:rsid w:val="002260CA"/>
    <w:rsid w:val="002260FA"/>
    <w:rsid w:val="00226105"/>
    <w:rsid w:val="0022611F"/>
    <w:rsid w:val="00226140"/>
    <w:rsid w:val="00226227"/>
    <w:rsid w:val="0022627B"/>
    <w:rsid w:val="0022638F"/>
    <w:rsid w:val="002263A0"/>
    <w:rsid w:val="00226450"/>
    <w:rsid w:val="002264A6"/>
    <w:rsid w:val="002264C7"/>
    <w:rsid w:val="00226EFE"/>
    <w:rsid w:val="00227162"/>
    <w:rsid w:val="002276C7"/>
    <w:rsid w:val="002278C8"/>
    <w:rsid w:val="0022796B"/>
    <w:rsid w:val="00227B7D"/>
    <w:rsid w:val="00227DD4"/>
    <w:rsid w:val="00230303"/>
    <w:rsid w:val="002308F1"/>
    <w:rsid w:val="00230B46"/>
    <w:rsid w:val="00230B51"/>
    <w:rsid w:val="00230D65"/>
    <w:rsid w:val="002312B0"/>
    <w:rsid w:val="0023196B"/>
    <w:rsid w:val="00231A01"/>
    <w:rsid w:val="00231B6C"/>
    <w:rsid w:val="0023202E"/>
    <w:rsid w:val="0023217C"/>
    <w:rsid w:val="00232459"/>
    <w:rsid w:val="00232E0D"/>
    <w:rsid w:val="00233D52"/>
    <w:rsid w:val="00233DAE"/>
    <w:rsid w:val="00233EA3"/>
    <w:rsid w:val="002345FC"/>
    <w:rsid w:val="00234B21"/>
    <w:rsid w:val="00234E98"/>
    <w:rsid w:val="0023503A"/>
    <w:rsid w:val="0023520F"/>
    <w:rsid w:val="002356D4"/>
    <w:rsid w:val="0023575F"/>
    <w:rsid w:val="00235EC1"/>
    <w:rsid w:val="002361DC"/>
    <w:rsid w:val="002368A1"/>
    <w:rsid w:val="00236968"/>
    <w:rsid w:val="00236A19"/>
    <w:rsid w:val="00236B70"/>
    <w:rsid w:val="00236D2A"/>
    <w:rsid w:val="0023732F"/>
    <w:rsid w:val="00237533"/>
    <w:rsid w:val="002375DD"/>
    <w:rsid w:val="0023772F"/>
    <w:rsid w:val="00237903"/>
    <w:rsid w:val="00237C30"/>
    <w:rsid w:val="00237EE4"/>
    <w:rsid w:val="002404B0"/>
    <w:rsid w:val="0024052C"/>
    <w:rsid w:val="00240A6D"/>
    <w:rsid w:val="00240CCB"/>
    <w:rsid w:val="00240F93"/>
    <w:rsid w:val="0024145D"/>
    <w:rsid w:val="00241524"/>
    <w:rsid w:val="0024184B"/>
    <w:rsid w:val="00241C0F"/>
    <w:rsid w:val="002423B9"/>
    <w:rsid w:val="00242554"/>
    <w:rsid w:val="00242BCA"/>
    <w:rsid w:val="00242C7E"/>
    <w:rsid w:val="002430CE"/>
    <w:rsid w:val="00243A49"/>
    <w:rsid w:val="00243C36"/>
    <w:rsid w:val="002448F4"/>
    <w:rsid w:val="002450BE"/>
    <w:rsid w:val="002451B5"/>
    <w:rsid w:val="002462BB"/>
    <w:rsid w:val="002463AB"/>
    <w:rsid w:val="00246E77"/>
    <w:rsid w:val="00247574"/>
    <w:rsid w:val="00247DF2"/>
    <w:rsid w:val="00247EEF"/>
    <w:rsid w:val="002502DD"/>
    <w:rsid w:val="00250777"/>
    <w:rsid w:val="00250814"/>
    <w:rsid w:val="00250DF3"/>
    <w:rsid w:val="0025146E"/>
    <w:rsid w:val="002514A5"/>
    <w:rsid w:val="00251D4E"/>
    <w:rsid w:val="00251DD6"/>
    <w:rsid w:val="0025291C"/>
    <w:rsid w:val="00252C98"/>
    <w:rsid w:val="00252EBF"/>
    <w:rsid w:val="00253011"/>
    <w:rsid w:val="00253039"/>
    <w:rsid w:val="002530D7"/>
    <w:rsid w:val="00253185"/>
    <w:rsid w:val="0025377B"/>
    <w:rsid w:val="00253C22"/>
    <w:rsid w:val="00253CFB"/>
    <w:rsid w:val="002543F1"/>
    <w:rsid w:val="00254C8B"/>
    <w:rsid w:val="00254FC0"/>
    <w:rsid w:val="00255715"/>
    <w:rsid w:val="00255AD3"/>
    <w:rsid w:val="0025619C"/>
    <w:rsid w:val="0025647A"/>
    <w:rsid w:val="002566D6"/>
    <w:rsid w:val="00256783"/>
    <w:rsid w:val="002569E3"/>
    <w:rsid w:val="002578A4"/>
    <w:rsid w:val="00257AA3"/>
    <w:rsid w:val="00257CA0"/>
    <w:rsid w:val="00257E35"/>
    <w:rsid w:val="00260A9F"/>
    <w:rsid w:val="00260BA1"/>
    <w:rsid w:val="00260D1C"/>
    <w:rsid w:val="00261579"/>
    <w:rsid w:val="0026163D"/>
    <w:rsid w:val="00261BA9"/>
    <w:rsid w:val="00261E11"/>
    <w:rsid w:val="002625FD"/>
    <w:rsid w:val="00262721"/>
    <w:rsid w:val="00262804"/>
    <w:rsid w:val="0026292D"/>
    <w:rsid w:val="00262CA2"/>
    <w:rsid w:val="002634A6"/>
    <w:rsid w:val="002634BF"/>
    <w:rsid w:val="00263E61"/>
    <w:rsid w:val="0026401F"/>
    <w:rsid w:val="002644E9"/>
    <w:rsid w:val="00264EE5"/>
    <w:rsid w:val="00265088"/>
    <w:rsid w:val="002651D3"/>
    <w:rsid w:val="0026520D"/>
    <w:rsid w:val="00265689"/>
    <w:rsid w:val="002656AD"/>
    <w:rsid w:val="002658C1"/>
    <w:rsid w:val="00265C56"/>
    <w:rsid w:val="00265CAB"/>
    <w:rsid w:val="002660B5"/>
    <w:rsid w:val="0026626A"/>
    <w:rsid w:val="00266356"/>
    <w:rsid w:val="00266F26"/>
    <w:rsid w:val="00266FEE"/>
    <w:rsid w:val="002670B0"/>
    <w:rsid w:val="00267212"/>
    <w:rsid w:val="002674B9"/>
    <w:rsid w:val="00267810"/>
    <w:rsid w:val="0026786B"/>
    <w:rsid w:val="00267903"/>
    <w:rsid w:val="002679E1"/>
    <w:rsid w:val="00267C52"/>
    <w:rsid w:val="00267EB3"/>
    <w:rsid w:val="00267F3B"/>
    <w:rsid w:val="0027022F"/>
    <w:rsid w:val="00270723"/>
    <w:rsid w:val="00270881"/>
    <w:rsid w:val="00270D50"/>
    <w:rsid w:val="00270DE8"/>
    <w:rsid w:val="00271182"/>
    <w:rsid w:val="0027159B"/>
    <w:rsid w:val="00271D90"/>
    <w:rsid w:val="00271EE4"/>
    <w:rsid w:val="0027232A"/>
    <w:rsid w:val="00272477"/>
    <w:rsid w:val="002727C7"/>
    <w:rsid w:val="00272A00"/>
    <w:rsid w:val="00273194"/>
    <w:rsid w:val="00273298"/>
    <w:rsid w:val="0027354E"/>
    <w:rsid w:val="00273949"/>
    <w:rsid w:val="00273A2D"/>
    <w:rsid w:val="00273C9A"/>
    <w:rsid w:val="00273D5D"/>
    <w:rsid w:val="00274188"/>
    <w:rsid w:val="0027449B"/>
    <w:rsid w:val="0027475E"/>
    <w:rsid w:val="00275490"/>
    <w:rsid w:val="00275903"/>
    <w:rsid w:val="0027598A"/>
    <w:rsid w:val="00275A88"/>
    <w:rsid w:val="00275C27"/>
    <w:rsid w:val="00275CB0"/>
    <w:rsid w:val="00275D5A"/>
    <w:rsid w:val="00275D63"/>
    <w:rsid w:val="00276325"/>
    <w:rsid w:val="002763B0"/>
    <w:rsid w:val="002764B7"/>
    <w:rsid w:val="0027684F"/>
    <w:rsid w:val="00276882"/>
    <w:rsid w:val="00277077"/>
    <w:rsid w:val="00277129"/>
    <w:rsid w:val="00277478"/>
    <w:rsid w:val="00277663"/>
    <w:rsid w:val="00277995"/>
    <w:rsid w:val="00277BA3"/>
    <w:rsid w:val="00277CD9"/>
    <w:rsid w:val="00277E01"/>
    <w:rsid w:val="0028010B"/>
    <w:rsid w:val="002801E1"/>
    <w:rsid w:val="00280375"/>
    <w:rsid w:val="002805D0"/>
    <w:rsid w:val="002808C0"/>
    <w:rsid w:val="00280DF3"/>
    <w:rsid w:val="0028122E"/>
    <w:rsid w:val="0028191C"/>
    <w:rsid w:val="00281A7C"/>
    <w:rsid w:val="00281C2E"/>
    <w:rsid w:val="00281C92"/>
    <w:rsid w:val="00281DC1"/>
    <w:rsid w:val="00281E6E"/>
    <w:rsid w:val="00281FF8"/>
    <w:rsid w:val="002821FB"/>
    <w:rsid w:val="00282A6B"/>
    <w:rsid w:val="00282AC7"/>
    <w:rsid w:val="00282B5B"/>
    <w:rsid w:val="002832F3"/>
    <w:rsid w:val="00283315"/>
    <w:rsid w:val="0028333D"/>
    <w:rsid w:val="002833FE"/>
    <w:rsid w:val="00283854"/>
    <w:rsid w:val="00283ACD"/>
    <w:rsid w:val="00283E72"/>
    <w:rsid w:val="0028443C"/>
    <w:rsid w:val="00284866"/>
    <w:rsid w:val="00284B3B"/>
    <w:rsid w:val="002851B9"/>
    <w:rsid w:val="00285890"/>
    <w:rsid w:val="00285CC4"/>
    <w:rsid w:val="00285D3C"/>
    <w:rsid w:val="00286014"/>
    <w:rsid w:val="00286061"/>
    <w:rsid w:val="0028620B"/>
    <w:rsid w:val="00286D77"/>
    <w:rsid w:val="002879C7"/>
    <w:rsid w:val="00287B15"/>
    <w:rsid w:val="00287E21"/>
    <w:rsid w:val="00290343"/>
    <w:rsid w:val="0029034D"/>
    <w:rsid w:val="00290472"/>
    <w:rsid w:val="002904FC"/>
    <w:rsid w:val="002905BF"/>
    <w:rsid w:val="00290843"/>
    <w:rsid w:val="002908C3"/>
    <w:rsid w:val="00290B8E"/>
    <w:rsid w:val="00291505"/>
    <w:rsid w:val="0029165D"/>
    <w:rsid w:val="00291CD6"/>
    <w:rsid w:val="00291CDB"/>
    <w:rsid w:val="00291F50"/>
    <w:rsid w:val="00292102"/>
    <w:rsid w:val="00292352"/>
    <w:rsid w:val="002923BB"/>
    <w:rsid w:val="00292671"/>
    <w:rsid w:val="00293053"/>
    <w:rsid w:val="002930A1"/>
    <w:rsid w:val="002933C6"/>
    <w:rsid w:val="002939B5"/>
    <w:rsid w:val="00293D2E"/>
    <w:rsid w:val="00293F3F"/>
    <w:rsid w:val="00294088"/>
    <w:rsid w:val="0029415C"/>
    <w:rsid w:val="002944C9"/>
    <w:rsid w:val="002945E7"/>
    <w:rsid w:val="002949F8"/>
    <w:rsid w:val="00294B9E"/>
    <w:rsid w:val="00294BCD"/>
    <w:rsid w:val="00294E79"/>
    <w:rsid w:val="002953F8"/>
    <w:rsid w:val="00295856"/>
    <w:rsid w:val="002958F7"/>
    <w:rsid w:val="00295952"/>
    <w:rsid w:val="002959A7"/>
    <w:rsid w:val="00295D3F"/>
    <w:rsid w:val="00295D60"/>
    <w:rsid w:val="00295F63"/>
    <w:rsid w:val="002961FF"/>
    <w:rsid w:val="002962EF"/>
    <w:rsid w:val="002966C7"/>
    <w:rsid w:val="00297435"/>
    <w:rsid w:val="0029780A"/>
    <w:rsid w:val="0029793D"/>
    <w:rsid w:val="00297BCA"/>
    <w:rsid w:val="002A0119"/>
    <w:rsid w:val="002A03F7"/>
    <w:rsid w:val="002A118B"/>
    <w:rsid w:val="002A1213"/>
    <w:rsid w:val="002A13D2"/>
    <w:rsid w:val="002A16C0"/>
    <w:rsid w:val="002A17F5"/>
    <w:rsid w:val="002A1929"/>
    <w:rsid w:val="002A195F"/>
    <w:rsid w:val="002A1B59"/>
    <w:rsid w:val="002A1F9B"/>
    <w:rsid w:val="002A1FE9"/>
    <w:rsid w:val="002A260E"/>
    <w:rsid w:val="002A2793"/>
    <w:rsid w:val="002A28F1"/>
    <w:rsid w:val="002A31FB"/>
    <w:rsid w:val="002A3514"/>
    <w:rsid w:val="002A3669"/>
    <w:rsid w:val="002A3776"/>
    <w:rsid w:val="002A3F9B"/>
    <w:rsid w:val="002A4B83"/>
    <w:rsid w:val="002A4D39"/>
    <w:rsid w:val="002A5B65"/>
    <w:rsid w:val="002A5DF6"/>
    <w:rsid w:val="002A6D51"/>
    <w:rsid w:val="002A71F3"/>
    <w:rsid w:val="002A7592"/>
    <w:rsid w:val="002A78B2"/>
    <w:rsid w:val="002A7C29"/>
    <w:rsid w:val="002A7EA0"/>
    <w:rsid w:val="002B0528"/>
    <w:rsid w:val="002B080C"/>
    <w:rsid w:val="002B0A02"/>
    <w:rsid w:val="002B0A59"/>
    <w:rsid w:val="002B0F2F"/>
    <w:rsid w:val="002B107A"/>
    <w:rsid w:val="002B1155"/>
    <w:rsid w:val="002B130B"/>
    <w:rsid w:val="002B1ADC"/>
    <w:rsid w:val="002B1B09"/>
    <w:rsid w:val="002B1D1D"/>
    <w:rsid w:val="002B20DC"/>
    <w:rsid w:val="002B24F0"/>
    <w:rsid w:val="002B2771"/>
    <w:rsid w:val="002B2C05"/>
    <w:rsid w:val="002B2E73"/>
    <w:rsid w:val="002B2EBF"/>
    <w:rsid w:val="002B33CF"/>
    <w:rsid w:val="002B3892"/>
    <w:rsid w:val="002B3B87"/>
    <w:rsid w:val="002B40CF"/>
    <w:rsid w:val="002B40F7"/>
    <w:rsid w:val="002B4132"/>
    <w:rsid w:val="002B419B"/>
    <w:rsid w:val="002B4445"/>
    <w:rsid w:val="002B46DA"/>
    <w:rsid w:val="002B4756"/>
    <w:rsid w:val="002B4986"/>
    <w:rsid w:val="002B4ACF"/>
    <w:rsid w:val="002B4F9E"/>
    <w:rsid w:val="002B50F3"/>
    <w:rsid w:val="002B563E"/>
    <w:rsid w:val="002B5706"/>
    <w:rsid w:val="002B59F5"/>
    <w:rsid w:val="002B5E70"/>
    <w:rsid w:val="002B5F2A"/>
    <w:rsid w:val="002B608E"/>
    <w:rsid w:val="002B6577"/>
    <w:rsid w:val="002B6A3B"/>
    <w:rsid w:val="002B6F82"/>
    <w:rsid w:val="002B70CB"/>
    <w:rsid w:val="002B7160"/>
    <w:rsid w:val="002B7227"/>
    <w:rsid w:val="002B736C"/>
    <w:rsid w:val="002B753E"/>
    <w:rsid w:val="002B777A"/>
    <w:rsid w:val="002B7858"/>
    <w:rsid w:val="002B7A7E"/>
    <w:rsid w:val="002B7F05"/>
    <w:rsid w:val="002B7F3B"/>
    <w:rsid w:val="002C0063"/>
    <w:rsid w:val="002C037E"/>
    <w:rsid w:val="002C0642"/>
    <w:rsid w:val="002C0C2A"/>
    <w:rsid w:val="002C0CC5"/>
    <w:rsid w:val="002C0EB1"/>
    <w:rsid w:val="002C10EB"/>
    <w:rsid w:val="002C1191"/>
    <w:rsid w:val="002C1648"/>
    <w:rsid w:val="002C169A"/>
    <w:rsid w:val="002C1730"/>
    <w:rsid w:val="002C1863"/>
    <w:rsid w:val="002C20B0"/>
    <w:rsid w:val="002C21A1"/>
    <w:rsid w:val="002C2384"/>
    <w:rsid w:val="002C26A2"/>
    <w:rsid w:val="002C3102"/>
    <w:rsid w:val="002C374A"/>
    <w:rsid w:val="002C3909"/>
    <w:rsid w:val="002C46FB"/>
    <w:rsid w:val="002C4A89"/>
    <w:rsid w:val="002C4FA2"/>
    <w:rsid w:val="002C50A4"/>
    <w:rsid w:val="002C58A6"/>
    <w:rsid w:val="002C5AC0"/>
    <w:rsid w:val="002C5F56"/>
    <w:rsid w:val="002C6587"/>
    <w:rsid w:val="002C6ABF"/>
    <w:rsid w:val="002C6B16"/>
    <w:rsid w:val="002C6F2E"/>
    <w:rsid w:val="002C7154"/>
    <w:rsid w:val="002C73AF"/>
    <w:rsid w:val="002C7482"/>
    <w:rsid w:val="002D0686"/>
    <w:rsid w:val="002D06E2"/>
    <w:rsid w:val="002D0AE4"/>
    <w:rsid w:val="002D0E91"/>
    <w:rsid w:val="002D129C"/>
    <w:rsid w:val="002D1382"/>
    <w:rsid w:val="002D1495"/>
    <w:rsid w:val="002D1653"/>
    <w:rsid w:val="002D1806"/>
    <w:rsid w:val="002D19C6"/>
    <w:rsid w:val="002D1C39"/>
    <w:rsid w:val="002D1C8B"/>
    <w:rsid w:val="002D1CEB"/>
    <w:rsid w:val="002D1F3F"/>
    <w:rsid w:val="002D205F"/>
    <w:rsid w:val="002D20A0"/>
    <w:rsid w:val="002D267F"/>
    <w:rsid w:val="002D26DB"/>
    <w:rsid w:val="002D2821"/>
    <w:rsid w:val="002D2824"/>
    <w:rsid w:val="002D29D1"/>
    <w:rsid w:val="002D2BA1"/>
    <w:rsid w:val="002D3066"/>
    <w:rsid w:val="002D3296"/>
    <w:rsid w:val="002D343B"/>
    <w:rsid w:val="002D374C"/>
    <w:rsid w:val="002D3C8F"/>
    <w:rsid w:val="002D3DC3"/>
    <w:rsid w:val="002D3DDF"/>
    <w:rsid w:val="002D40C3"/>
    <w:rsid w:val="002D40FA"/>
    <w:rsid w:val="002D4116"/>
    <w:rsid w:val="002D4219"/>
    <w:rsid w:val="002D4401"/>
    <w:rsid w:val="002D45B4"/>
    <w:rsid w:val="002D486A"/>
    <w:rsid w:val="002D48DA"/>
    <w:rsid w:val="002D4ADC"/>
    <w:rsid w:val="002D5047"/>
    <w:rsid w:val="002D573A"/>
    <w:rsid w:val="002D5837"/>
    <w:rsid w:val="002D5E44"/>
    <w:rsid w:val="002D60CB"/>
    <w:rsid w:val="002D66D8"/>
    <w:rsid w:val="002D6993"/>
    <w:rsid w:val="002D6A72"/>
    <w:rsid w:val="002D6EB3"/>
    <w:rsid w:val="002D718C"/>
    <w:rsid w:val="002D71C3"/>
    <w:rsid w:val="002D721F"/>
    <w:rsid w:val="002D770D"/>
    <w:rsid w:val="002D782E"/>
    <w:rsid w:val="002D78EE"/>
    <w:rsid w:val="002D7E94"/>
    <w:rsid w:val="002E02D9"/>
    <w:rsid w:val="002E0522"/>
    <w:rsid w:val="002E05F9"/>
    <w:rsid w:val="002E07F2"/>
    <w:rsid w:val="002E0967"/>
    <w:rsid w:val="002E09ED"/>
    <w:rsid w:val="002E0BC5"/>
    <w:rsid w:val="002E1042"/>
    <w:rsid w:val="002E136C"/>
    <w:rsid w:val="002E1814"/>
    <w:rsid w:val="002E19EF"/>
    <w:rsid w:val="002E1C21"/>
    <w:rsid w:val="002E1D07"/>
    <w:rsid w:val="002E1E6D"/>
    <w:rsid w:val="002E1F91"/>
    <w:rsid w:val="002E222C"/>
    <w:rsid w:val="002E2576"/>
    <w:rsid w:val="002E25C0"/>
    <w:rsid w:val="002E2942"/>
    <w:rsid w:val="002E2B15"/>
    <w:rsid w:val="002E2CEF"/>
    <w:rsid w:val="002E2CF3"/>
    <w:rsid w:val="002E32EB"/>
    <w:rsid w:val="002E39DD"/>
    <w:rsid w:val="002E39EB"/>
    <w:rsid w:val="002E3A44"/>
    <w:rsid w:val="002E3DAE"/>
    <w:rsid w:val="002E4534"/>
    <w:rsid w:val="002E471B"/>
    <w:rsid w:val="002E48AC"/>
    <w:rsid w:val="002E4ED1"/>
    <w:rsid w:val="002E4F0C"/>
    <w:rsid w:val="002E56F6"/>
    <w:rsid w:val="002E5900"/>
    <w:rsid w:val="002E5F7D"/>
    <w:rsid w:val="002E5FB6"/>
    <w:rsid w:val="002E6192"/>
    <w:rsid w:val="002E61FF"/>
    <w:rsid w:val="002E6357"/>
    <w:rsid w:val="002E65B3"/>
    <w:rsid w:val="002E68C7"/>
    <w:rsid w:val="002E6C30"/>
    <w:rsid w:val="002E6C93"/>
    <w:rsid w:val="002E6FFF"/>
    <w:rsid w:val="002E707C"/>
    <w:rsid w:val="002E7239"/>
    <w:rsid w:val="002E7BC4"/>
    <w:rsid w:val="002E7D53"/>
    <w:rsid w:val="002E7E29"/>
    <w:rsid w:val="002F0051"/>
    <w:rsid w:val="002F02BE"/>
    <w:rsid w:val="002F0CD0"/>
    <w:rsid w:val="002F0D64"/>
    <w:rsid w:val="002F1006"/>
    <w:rsid w:val="002F19E3"/>
    <w:rsid w:val="002F2183"/>
    <w:rsid w:val="002F237F"/>
    <w:rsid w:val="002F265F"/>
    <w:rsid w:val="002F2A72"/>
    <w:rsid w:val="002F2A90"/>
    <w:rsid w:val="002F2DC3"/>
    <w:rsid w:val="002F32C2"/>
    <w:rsid w:val="002F3860"/>
    <w:rsid w:val="002F3D19"/>
    <w:rsid w:val="002F3DB4"/>
    <w:rsid w:val="002F4044"/>
    <w:rsid w:val="002F420C"/>
    <w:rsid w:val="002F46AE"/>
    <w:rsid w:val="002F492E"/>
    <w:rsid w:val="002F4ADB"/>
    <w:rsid w:val="002F4C02"/>
    <w:rsid w:val="002F547D"/>
    <w:rsid w:val="002F5BF9"/>
    <w:rsid w:val="002F60B9"/>
    <w:rsid w:val="002F6153"/>
    <w:rsid w:val="002F63CD"/>
    <w:rsid w:val="002F63F5"/>
    <w:rsid w:val="002F658C"/>
    <w:rsid w:val="002F6F54"/>
    <w:rsid w:val="002F72E1"/>
    <w:rsid w:val="002F7406"/>
    <w:rsid w:val="002F77FF"/>
    <w:rsid w:val="002F78E9"/>
    <w:rsid w:val="002F7A31"/>
    <w:rsid w:val="002F7DC9"/>
    <w:rsid w:val="0030030C"/>
    <w:rsid w:val="00300806"/>
    <w:rsid w:val="00300CB1"/>
    <w:rsid w:val="00301161"/>
    <w:rsid w:val="0030125D"/>
    <w:rsid w:val="0030174F"/>
    <w:rsid w:val="003019A3"/>
    <w:rsid w:val="00301C4D"/>
    <w:rsid w:val="003020FD"/>
    <w:rsid w:val="00302106"/>
    <w:rsid w:val="003021D6"/>
    <w:rsid w:val="003029E7"/>
    <w:rsid w:val="00302FD8"/>
    <w:rsid w:val="0030309F"/>
    <w:rsid w:val="0030332A"/>
    <w:rsid w:val="0030365C"/>
    <w:rsid w:val="00303D6F"/>
    <w:rsid w:val="00303DE2"/>
    <w:rsid w:val="00303F9D"/>
    <w:rsid w:val="003046D3"/>
    <w:rsid w:val="00304B7C"/>
    <w:rsid w:val="00304DC9"/>
    <w:rsid w:val="00304F19"/>
    <w:rsid w:val="00305079"/>
    <w:rsid w:val="00305578"/>
    <w:rsid w:val="003055DF"/>
    <w:rsid w:val="00305B83"/>
    <w:rsid w:val="00305CCF"/>
    <w:rsid w:val="003065A6"/>
    <w:rsid w:val="0030667C"/>
    <w:rsid w:val="0030691C"/>
    <w:rsid w:val="00306DFD"/>
    <w:rsid w:val="00306EAF"/>
    <w:rsid w:val="00306F11"/>
    <w:rsid w:val="00307C35"/>
    <w:rsid w:val="00307C91"/>
    <w:rsid w:val="00307FEF"/>
    <w:rsid w:val="003101FD"/>
    <w:rsid w:val="0031033C"/>
    <w:rsid w:val="00310BC9"/>
    <w:rsid w:val="00310D58"/>
    <w:rsid w:val="00310EC2"/>
    <w:rsid w:val="00311637"/>
    <w:rsid w:val="00311A22"/>
    <w:rsid w:val="00311B35"/>
    <w:rsid w:val="00311D18"/>
    <w:rsid w:val="00312157"/>
    <w:rsid w:val="0031215C"/>
    <w:rsid w:val="0031239B"/>
    <w:rsid w:val="003123B7"/>
    <w:rsid w:val="0031247C"/>
    <w:rsid w:val="00312506"/>
    <w:rsid w:val="00312CD2"/>
    <w:rsid w:val="00312E68"/>
    <w:rsid w:val="00312F97"/>
    <w:rsid w:val="003134EE"/>
    <w:rsid w:val="0031365B"/>
    <w:rsid w:val="0031373D"/>
    <w:rsid w:val="00313881"/>
    <w:rsid w:val="00313C80"/>
    <w:rsid w:val="00313D87"/>
    <w:rsid w:val="00313FDA"/>
    <w:rsid w:val="00314175"/>
    <w:rsid w:val="0031439D"/>
    <w:rsid w:val="00314C73"/>
    <w:rsid w:val="00314FE2"/>
    <w:rsid w:val="00315595"/>
    <w:rsid w:val="003156B3"/>
    <w:rsid w:val="003157D3"/>
    <w:rsid w:val="00315957"/>
    <w:rsid w:val="00315A52"/>
    <w:rsid w:val="00315C06"/>
    <w:rsid w:val="00315CB7"/>
    <w:rsid w:val="00315F5A"/>
    <w:rsid w:val="003161D4"/>
    <w:rsid w:val="0031632E"/>
    <w:rsid w:val="00316745"/>
    <w:rsid w:val="003168CA"/>
    <w:rsid w:val="00316AF9"/>
    <w:rsid w:val="00316EB0"/>
    <w:rsid w:val="003170DB"/>
    <w:rsid w:val="00317339"/>
    <w:rsid w:val="00317706"/>
    <w:rsid w:val="003179D6"/>
    <w:rsid w:val="00317AA2"/>
    <w:rsid w:val="00317AF1"/>
    <w:rsid w:val="00317B4C"/>
    <w:rsid w:val="00320805"/>
    <w:rsid w:val="00320B80"/>
    <w:rsid w:val="00320DD3"/>
    <w:rsid w:val="00321288"/>
    <w:rsid w:val="003216C0"/>
    <w:rsid w:val="003216C2"/>
    <w:rsid w:val="00321702"/>
    <w:rsid w:val="0032189C"/>
    <w:rsid w:val="0032196F"/>
    <w:rsid w:val="00321B1A"/>
    <w:rsid w:val="00321D7E"/>
    <w:rsid w:val="0032228B"/>
    <w:rsid w:val="00322444"/>
    <w:rsid w:val="0032312B"/>
    <w:rsid w:val="00323298"/>
    <w:rsid w:val="0032339E"/>
    <w:rsid w:val="003234B4"/>
    <w:rsid w:val="003235FF"/>
    <w:rsid w:val="0032369B"/>
    <w:rsid w:val="00323780"/>
    <w:rsid w:val="00323A5F"/>
    <w:rsid w:val="00323AA0"/>
    <w:rsid w:val="00323F25"/>
    <w:rsid w:val="00323F4C"/>
    <w:rsid w:val="0032405D"/>
    <w:rsid w:val="00324425"/>
    <w:rsid w:val="00324D5E"/>
    <w:rsid w:val="003251A3"/>
    <w:rsid w:val="00325342"/>
    <w:rsid w:val="00325513"/>
    <w:rsid w:val="0032595A"/>
    <w:rsid w:val="00325A51"/>
    <w:rsid w:val="00325A59"/>
    <w:rsid w:val="00325DE2"/>
    <w:rsid w:val="00325FC1"/>
    <w:rsid w:val="003262FD"/>
    <w:rsid w:val="0032636A"/>
    <w:rsid w:val="00326646"/>
    <w:rsid w:val="003266BE"/>
    <w:rsid w:val="00326BF1"/>
    <w:rsid w:val="00326E24"/>
    <w:rsid w:val="00327292"/>
    <w:rsid w:val="003272C1"/>
    <w:rsid w:val="0032740F"/>
    <w:rsid w:val="0032769F"/>
    <w:rsid w:val="003276FA"/>
    <w:rsid w:val="0033083E"/>
    <w:rsid w:val="003317A6"/>
    <w:rsid w:val="00331C26"/>
    <w:rsid w:val="003320AB"/>
    <w:rsid w:val="00332535"/>
    <w:rsid w:val="003327F4"/>
    <w:rsid w:val="003329B6"/>
    <w:rsid w:val="0033341D"/>
    <w:rsid w:val="0033380F"/>
    <w:rsid w:val="00333970"/>
    <w:rsid w:val="00333C0E"/>
    <w:rsid w:val="00333E0A"/>
    <w:rsid w:val="00333EFB"/>
    <w:rsid w:val="00334049"/>
    <w:rsid w:val="00334427"/>
    <w:rsid w:val="003344C9"/>
    <w:rsid w:val="003344F1"/>
    <w:rsid w:val="0033484A"/>
    <w:rsid w:val="003348C6"/>
    <w:rsid w:val="0033542A"/>
    <w:rsid w:val="0033572B"/>
    <w:rsid w:val="003357B0"/>
    <w:rsid w:val="00335946"/>
    <w:rsid w:val="00335CDD"/>
    <w:rsid w:val="0033633D"/>
    <w:rsid w:val="0033672F"/>
    <w:rsid w:val="00336DC5"/>
    <w:rsid w:val="00336EC3"/>
    <w:rsid w:val="00336EFA"/>
    <w:rsid w:val="00336F71"/>
    <w:rsid w:val="00337054"/>
    <w:rsid w:val="00337236"/>
    <w:rsid w:val="003373D5"/>
    <w:rsid w:val="003374C7"/>
    <w:rsid w:val="00337A11"/>
    <w:rsid w:val="003408EC"/>
    <w:rsid w:val="00340C6E"/>
    <w:rsid w:val="00340DE3"/>
    <w:rsid w:val="00340EE6"/>
    <w:rsid w:val="00340F50"/>
    <w:rsid w:val="0034100C"/>
    <w:rsid w:val="003411C4"/>
    <w:rsid w:val="003414CB"/>
    <w:rsid w:val="00341588"/>
    <w:rsid w:val="00341600"/>
    <w:rsid w:val="00341946"/>
    <w:rsid w:val="00341D9D"/>
    <w:rsid w:val="00342B80"/>
    <w:rsid w:val="00343029"/>
    <w:rsid w:val="003430E5"/>
    <w:rsid w:val="003433A7"/>
    <w:rsid w:val="0034388B"/>
    <w:rsid w:val="00343B11"/>
    <w:rsid w:val="00343FA2"/>
    <w:rsid w:val="00344076"/>
    <w:rsid w:val="00344758"/>
    <w:rsid w:val="00344776"/>
    <w:rsid w:val="00344CA4"/>
    <w:rsid w:val="00344CDF"/>
    <w:rsid w:val="00344E8B"/>
    <w:rsid w:val="0034560A"/>
    <w:rsid w:val="00345A7B"/>
    <w:rsid w:val="00345BC9"/>
    <w:rsid w:val="00346268"/>
    <w:rsid w:val="0034640A"/>
    <w:rsid w:val="00346649"/>
    <w:rsid w:val="0034682D"/>
    <w:rsid w:val="00346946"/>
    <w:rsid w:val="00346DBB"/>
    <w:rsid w:val="00347997"/>
    <w:rsid w:val="00347CC3"/>
    <w:rsid w:val="00347E91"/>
    <w:rsid w:val="00347EE2"/>
    <w:rsid w:val="003503A0"/>
    <w:rsid w:val="0035067F"/>
    <w:rsid w:val="0035092B"/>
    <w:rsid w:val="00350D98"/>
    <w:rsid w:val="00350EC0"/>
    <w:rsid w:val="00350F5B"/>
    <w:rsid w:val="003510E0"/>
    <w:rsid w:val="00351385"/>
    <w:rsid w:val="003518AC"/>
    <w:rsid w:val="00352A53"/>
    <w:rsid w:val="00352A85"/>
    <w:rsid w:val="00353027"/>
    <w:rsid w:val="003536AB"/>
    <w:rsid w:val="00353A80"/>
    <w:rsid w:val="00353CFF"/>
    <w:rsid w:val="003540D9"/>
    <w:rsid w:val="00354B82"/>
    <w:rsid w:val="00354DD3"/>
    <w:rsid w:val="00355016"/>
    <w:rsid w:val="00355304"/>
    <w:rsid w:val="00355F57"/>
    <w:rsid w:val="003563B6"/>
    <w:rsid w:val="00356583"/>
    <w:rsid w:val="0035666A"/>
    <w:rsid w:val="00356707"/>
    <w:rsid w:val="00356B7F"/>
    <w:rsid w:val="00356BE2"/>
    <w:rsid w:val="00356CC9"/>
    <w:rsid w:val="0035700A"/>
    <w:rsid w:val="003571E4"/>
    <w:rsid w:val="00357A8C"/>
    <w:rsid w:val="00357C20"/>
    <w:rsid w:val="00357CE8"/>
    <w:rsid w:val="003602FE"/>
    <w:rsid w:val="0036061B"/>
    <w:rsid w:val="0036063D"/>
    <w:rsid w:val="00360A1F"/>
    <w:rsid w:val="00360F55"/>
    <w:rsid w:val="00361538"/>
    <w:rsid w:val="00361AB6"/>
    <w:rsid w:val="00361CAF"/>
    <w:rsid w:val="00361E3D"/>
    <w:rsid w:val="00361FDE"/>
    <w:rsid w:val="00362051"/>
    <w:rsid w:val="00362145"/>
    <w:rsid w:val="0036237A"/>
    <w:rsid w:val="00362619"/>
    <w:rsid w:val="00362BC5"/>
    <w:rsid w:val="00363503"/>
    <w:rsid w:val="003636CD"/>
    <w:rsid w:val="003639C5"/>
    <w:rsid w:val="00363B9D"/>
    <w:rsid w:val="00363F20"/>
    <w:rsid w:val="003648FA"/>
    <w:rsid w:val="00364C7E"/>
    <w:rsid w:val="003657D9"/>
    <w:rsid w:val="00365B78"/>
    <w:rsid w:val="00365C04"/>
    <w:rsid w:val="00365DD7"/>
    <w:rsid w:val="00366520"/>
    <w:rsid w:val="00366B81"/>
    <w:rsid w:val="00367249"/>
    <w:rsid w:val="0036778E"/>
    <w:rsid w:val="00367820"/>
    <w:rsid w:val="00367860"/>
    <w:rsid w:val="0036789B"/>
    <w:rsid w:val="003702BF"/>
    <w:rsid w:val="00370852"/>
    <w:rsid w:val="003711BB"/>
    <w:rsid w:val="00371337"/>
    <w:rsid w:val="003716A2"/>
    <w:rsid w:val="00371837"/>
    <w:rsid w:val="00372287"/>
    <w:rsid w:val="00372973"/>
    <w:rsid w:val="00372AF9"/>
    <w:rsid w:val="00372CA0"/>
    <w:rsid w:val="00372CC7"/>
    <w:rsid w:val="00373202"/>
    <w:rsid w:val="003734D3"/>
    <w:rsid w:val="00373A4A"/>
    <w:rsid w:val="00373CC1"/>
    <w:rsid w:val="00373D9A"/>
    <w:rsid w:val="00374545"/>
    <w:rsid w:val="0037472F"/>
    <w:rsid w:val="003749A6"/>
    <w:rsid w:val="00374AEA"/>
    <w:rsid w:val="00374D7C"/>
    <w:rsid w:val="00375173"/>
    <w:rsid w:val="00375519"/>
    <w:rsid w:val="003756B9"/>
    <w:rsid w:val="00375D87"/>
    <w:rsid w:val="00375EAB"/>
    <w:rsid w:val="003765DD"/>
    <w:rsid w:val="00376609"/>
    <w:rsid w:val="0037675C"/>
    <w:rsid w:val="003769EF"/>
    <w:rsid w:val="00376B0C"/>
    <w:rsid w:val="00377305"/>
    <w:rsid w:val="00377594"/>
    <w:rsid w:val="003776B6"/>
    <w:rsid w:val="003776EA"/>
    <w:rsid w:val="00377F09"/>
    <w:rsid w:val="003800B7"/>
    <w:rsid w:val="003804F9"/>
    <w:rsid w:val="00380A3A"/>
    <w:rsid w:val="00380CAA"/>
    <w:rsid w:val="00381055"/>
    <w:rsid w:val="00381252"/>
    <w:rsid w:val="003815DA"/>
    <w:rsid w:val="00381A6A"/>
    <w:rsid w:val="00381E6F"/>
    <w:rsid w:val="00382907"/>
    <w:rsid w:val="00382EDE"/>
    <w:rsid w:val="003833D4"/>
    <w:rsid w:val="00383492"/>
    <w:rsid w:val="003834AA"/>
    <w:rsid w:val="0038359E"/>
    <w:rsid w:val="003835F1"/>
    <w:rsid w:val="003837D0"/>
    <w:rsid w:val="00383975"/>
    <w:rsid w:val="00383B43"/>
    <w:rsid w:val="00384D1C"/>
    <w:rsid w:val="00385623"/>
    <w:rsid w:val="00385768"/>
    <w:rsid w:val="00385A65"/>
    <w:rsid w:val="00386128"/>
    <w:rsid w:val="0038650D"/>
    <w:rsid w:val="0038654A"/>
    <w:rsid w:val="003865DB"/>
    <w:rsid w:val="0038684E"/>
    <w:rsid w:val="0038686F"/>
    <w:rsid w:val="0038694F"/>
    <w:rsid w:val="00386980"/>
    <w:rsid w:val="003869C2"/>
    <w:rsid w:val="003876E9"/>
    <w:rsid w:val="00387739"/>
    <w:rsid w:val="0038786A"/>
    <w:rsid w:val="00387BA4"/>
    <w:rsid w:val="0039052C"/>
    <w:rsid w:val="00390846"/>
    <w:rsid w:val="0039097C"/>
    <w:rsid w:val="00390C45"/>
    <w:rsid w:val="0039109F"/>
    <w:rsid w:val="00391341"/>
    <w:rsid w:val="00391395"/>
    <w:rsid w:val="00391533"/>
    <w:rsid w:val="0039153B"/>
    <w:rsid w:val="00391C2E"/>
    <w:rsid w:val="00392218"/>
    <w:rsid w:val="00392BBB"/>
    <w:rsid w:val="00392CDE"/>
    <w:rsid w:val="00392F44"/>
    <w:rsid w:val="00392F75"/>
    <w:rsid w:val="00393101"/>
    <w:rsid w:val="003934F0"/>
    <w:rsid w:val="00393A08"/>
    <w:rsid w:val="00394647"/>
    <w:rsid w:val="00394705"/>
    <w:rsid w:val="0039482A"/>
    <w:rsid w:val="00394BF6"/>
    <w:rsid w:val="00394DAA"/>
    <w:rsid w:val="00394E55"/>
    <w:rsid w:val="00394E82"/>
    <w:rsid w:val="00394F60"/>
    <w:rsid w:val="00395900"/>
    <w:rsid w:val="00395ACC"/>
    <w:rsid w:val="00395F77"/>
    <w:rsid w:val="00396FA7"/>
    <w:rsid w:val="00396FFE"/>
    <w:rsid w:val="00397205"/>
    <w:rsid w:val="0039735F"/>
    <w:rsid w:val="003973BB"/>
    <w:rsid w:val="00397805"/>
    <w:rsid w:val="00397A79"/>
    <w:rsid w:val="00397C16"/>
    <w:rsid w:val="00397CEE"/>
    <w:rsid w:val="00397D79"/>
    <w:rsid w:val="00397FFD"/>
    <w:rsid w:val="003A013E"/>
    <w:rsid w:val="003A041E"/>
    <w:rsid w:val="003A0B17"/>
    <w:rsid w:val="003A0BE0"/>
    <w:rsid w:val="003A0FB6"/>
    <w:rsid w:val="003A1877"/>
    <w:rsid w:val="003A1C36"/>
    <w:rsid w:val="003A1D04"/>
    <w:rsid w:val="003A222C"/>
    <w:rsid w:val="003A236D"/>
    <w:rsid w:val="003A28ED"/>
    <w:rsid w:val="003A2D8B"/>
    <w:rsid w:val="003A2E75"/>
    <w:rsid w:val="003A318E"/>
    <w:rsid w:val="003A3330"/>
    <w:rsid w:val="003A3731"/>
    <w:rsid w:val="003A3820"/>
    <w:rsid w:val="003A4371"/>
    <w:rsid w:val="003A45F1"/>
    <w:rsid w:val="003A46D9"/>
    <w:rsid w:val="003A4C39"/>
    <w:rsid w:val="003A542B"/>
    <w:rsid w:val="003A54BC"/>
    <w:rsid w:val="003A55C9"/>
    <w:rsid w:val="003A566D"/>
    <w:rsid w:val="003A5D53"/>
    <w:rsid w:val="003A603F"/>
    <w:rsid w:val="003A6140"/>
    <w:rsid w:val="003A628F"/>
    <w:rsid w:val="003A6676"/>
    <w:rsid w:val="003A66EC"/>
    <w:rsid w:val="003A6763"/>
    <w:rsid w:val="003A720B"/>
    <w:rsid w:val="003A789E"/>
    <w:rsid w:val="003A7930"/>
    <w:rsid w:val="003A7960"/>
    <w:rsid w:val="003A7A65"/>
    <w:rsid w:val="003A7CB3"/>
    <w:rsid w:val="003B0220"/>
    <w:rsid w:val="003B04D8"/>
    <w:rsid w:val="003B0741"/>
    <w:rsid w:val="003B0BFE"/>
    <w:rsid w:val="003B12D9"/>
    <w:rsid w:val="003B13BD"/>
    <w:rsid w:val="003B14D9"/>
    <w:rsid w:val="003B190A"/>
    <w:rsid w:val="003B1B80"/>
    <w:rsid w:val="003B1F2C"/>
    <w:rsid w:val="003B21AB"/>
    <w:rsid w:val="003B222B"/>
    <w:rsid w:val="003B246C"/>
    <w:rsid w:val="003B24D6"/>
    <w:rsid w:val="003B2529"/>
    <w:rsid w:val="003B25DA"/>
    <w:rsid w:val="003B2C51"/>
    <w:rsid w:val="003B2D28"/>
    <w:rsid w:val="003B2E6A"/>
    <w:rsid w:val="003B3034"/>
    <w:rsid w:val="003B3407"/>
    <w:rsid w:val="003B347D"/>
    <w:rsid w:val="003B36E1"/>
    <w:rsid w:val="003B3CA3"/>
    <w:rsid w:val="003B466E"/>
    <w:rsid w:val="003B5197"/>
    <w:rsid w:val="003B51A5"/>
    <w:rsid w:val="003B555F"/>
    <w:rsid w:val="003B57EE"/>
    <w:rsid w:val="003B58E1"/>
    <w:rsid w:val="003B5933"/>
    <w:rsid w:val="003B5AB5"/>
    <w:rsid w:val="003B5BD6"/>
    <w:rsid w:val="003B66D4"/>
    <w:rsid w:val="003B67FD"/>
    <w:rsid w:val="003B6852"/>
    <w:rsid w:val="003B6B4C"/>
    <w:rsid w:val="003B6C0F"/>
    <w:rsid w:val="003B6EF1"/>
    <w:rsid w:val="003B7042"/>
    <w:rsid w:val="003B7474"/>
    <w:rsid w:val="003B7482"/>
    <w:rsid w:val="003B7637"/>
    <w:rsid w:val="003B7903"/>
    <w:rsid w:val="003C0012"/>
    <w:rsid w:val="003C0048"/>
    <w:rsid w:val="003C0740"/>
    <w:rsid w:val="003C0784"/>
    <w:rsid w:val="003C08E8"/>
    <w:rsid w:val="003C0BB2"/>
    <w:rsid w:val="003C0CCD"/>
    <w:rsid w:val="003C0E9E"/>
    <w:rsid w:val="003C1619"/>
    <w:rsid w:val="003C176A"/>
    <w:rsid w:val="003C19D8"/>
    <w:rsid w:val="003C1C35"/>
    <w:rsid w:val="003C2385"/>
    <w:rsid w:val="003C2A96"/>
    <w:rsid w:val="003C31CF"/>
    <w:rsid w:val="003C325F"/>
    <w:rsid w:val="003C3558"/>
    <w:rsid w:val="003C3753"/>
    <w:rsid w:val="003C3AB1"/>
    <w:rsid w:val="003C3C63"/>
    <w:rsid w:val="003C3D72"/>
    <w:rsid w:val="003C3E76"/>
    <w:rsid w:val="003C4516"/>
    <w:rsid w:val="003C4CCD"/>
    <w:rsid w:val="003C4FC7"/>
    <w:rsid w:val="003C52B3"/>
    <w:rsid w:val="003C56CE"/>
    <w:rsid w:val="003C56F9"/>
    <w:rsid w:val="003C5F9C"/>
    <w:rsid w:val="003C5FA7"/>
    <w:rsid w:val="003C5FB4"/>
    <w:rsid w:val="003C63E3"/>
    <w:rsid w:val="003C6A35"/>
    <w:rsid w:val="003C6A7F"/>
    <w:rsid w:val="003C6DAA"/>
    <w:rsid w:val="003C7070"/>
    <w:rsid w:val="003C71FE"/>
    <w:rsid w:val="003C7336"/>
    <w:rsid w:val="003C7F12"/>
    <w:rsid w:val="003D065E"/>
    <w:rsid w:val="003D082A"/>
    <w:rsid w:val="003D0A76"/>
    <w:rsid w:val="003D0DC1"/>
    <w:rsid w:val="003D13C6"/>
    <w:rsid w:val="003D1E8C"/>
    <w:rsid w:val="003D260D"/>
    <w:rsid w:val="003D2E98"/>
    <w:rsid w:val="003D3028"/>
    <w:rsid w:val="003D4154"/>
    <w:rsid w:val="003D427B"/>
    <w:rsid w:val="003D44C8"/>
    <w:rsid w:val="003D4797"/>
    <w:rsid w:val="003D47D3"/>
    <w:rsid w:val="003D482C"/>
    <w:rsid w:val="003D4980"/>
    <w:rsid w:val="003D5261"/>
    <w:rsid w:val="003D5685"/>
    <w:rsid w:val="003D5B85"/>
    <w:rsid w:val="003D5EEB"/>
    <w:rsid w:val="003D60EB"/>
    <w:rsid w:val="003D63C2"/>
    <w:rsid w:val="003D6433"/>
    <w:rsid w:val="003D68C5"/>
    <w:rsid w:val="003D69F1"/>
    <w:rsid w:val="003D6D80"/>
    <w:rsid w:val="003D7177"/>
    <w:rsid w:val="003D724A"/>
    <w:rsid w:val="003D77EB"/>
    <w:rsid w:val="003D7D00"/>
    <w:rsid w:val="003D7FED"/>
    <w:rsid w:val="003E00BD"/>
    <w:rsid w:val="003E05C7"/>
    <w:rsid w:val="003E0760"/>
    <w:rsid w:val="003E0852"/>
    <w:rsid w:val="003E1171"/>
    <w:rsid w:val="003E1754"/>
    <w:rsid w:val="003E1F12"/>
    <w:rsid w:val="003E2612"/>
    <w:rsid w:val="003E263B"/>
    <w:rsid w:val="003E28F9"/>
    <w:rsid w:val="003E2944"/>
    <w:rsid w:val="003E296F"/>
    <w:rsid w:val="003E2A41"/>
    <w:rsid w:val="003E2A59"/>
    <w:rsid w:val="003E2BF6"/>
    <w:rsid w:val="003E2CE0"/>
    <w:rsid w:val="003E313A"/>
    <w:rsid w:val="003E3262"/>
    <w:rsid w:val="003E32CB"/>
    <w:rsid w:val="003E3421"/>
    <w:rsid w:val="003E3A7C"/>
    <w:rsid w:val="003E418A"/>
    <w:rsid w:val="003E4904"/>
    <w:rsid w:val="003E4A5D"/>
    <w:rsid w:val="003E4BB9"/>
    <w:rsid w:val="003E4C70"/>
    <w:rsid w:val="003E4D49"/>
    <w:rsid w:val="003E4E95"/>
    <w:rsid w:val="003E4EB4"/>
    <w:rsid w:val="003E4F5B"/>
    <w:rsid w:val="003E4FD0"/>
    <w:rsid w:val="003E5447"/>
    <w:rsid w:val="003E55CB"/>
    <w:rsid w:val="003E5FD7"/>
    <w:rsid w:val="003E6800"/>
    <w:rsid w:val="003E6B6A"/>
    <w:rsid w:val="003E6D8C"/>
    <w:rsid w:val="003E7E60"/>
    <w:rsid w:val="003F055A"/>
    <w:rsid w:val="003F05B3"/>
    <w:rsid w:val="003F0F2B"/>
    <w:rsid w:val="003F1019"/>
    <w:rsid w:val="003F147E"/>
    <w:rsid w:val="003F1521"/>
    <w:rsid w:val="003F188F"/>
    <w:rsid w:val="003F1BB8"/>
    <w:rsid w:val="003F1CDE"/>
    <w:rsid w:val="003F21F2"/>
    <w:rsid w:val="003F229A"/>
    <w:rsid w:val="003F2312"/>
    <w:rsid w:val="003F24E0"/>
    <w:rsid w:val="003F39B1"/>
    <w:rsid w:val="003F3D7E"/>
    <w:rsid w:val="003F431B"/>
    <w:rsid w:val="003F46D4"/>
    <w:rsid w:val="003F4926"/>
    <w:rsid w:val="003F4BDB"/>
    <w:rsid w:val="003F5809"/>
    <w:rsid w:val="003F599E"/>
    <w:rsid w:val="003F59DF"/>
    <w:rsid w:val="003F5ABD"/>
    <w:rsid w:val="003F5C90"/>
    <w:rsid w:val="003F63B4"/>
    <w:rsid w:val="003F6458"/>
    <w:rsid w:val="003F650B"/>
    <w:rsid w:val="003F6803"/>
    <w:rsid w:val="003F6CCF"/>
    <w:rsid w:val="003F7365"/>
    <w:rsid w:val="003F771B"/>
    <w:rsid w:val="003F7BD9"/>
    <w:rsid w:val="0040026D"/>
    <w:rsid w:val="00400758"/>
    <w:rsid w:val="004007FD"/>
    <w:rsid w:val="00400806"/>
    <w:rsid w:val="00400C95"/>
    <w:rsid w:val="00402079"/>
    <w:rsid w:val="0040213B"/>
    <w:rsid w:val="00402141"/>
    <w:rsid w:val="004024CD"/>
    <w:rsid w:val="004028D1"/>
    <w:rsid w:val="00402A40"/>
    <w:rsid w:val="00402A41"/>
    <w:rsid w:val="00402E38"/>
    <w:rsid w:val="004030B9"/>
    <w:rsid w:val="0040376E"/>
    <w:rsid w:val="00403B75"/>
    <w:rsid w:val="00403BCD"/>
    <w:rsid w:val="00403BF1"/>
    <w:rsid w:val="00403C31"/>
    <w:rsid w:val="00403FF2"/>
    <w:rsid w:val="00404058"/>
    <w:rsid w:val="00404574"/>
    <w:rsid w:val="0040480F"/>
    <w:rsid w:val="00404AE0"/>
    <w:rsid w:val="00404BD9"/>
    <w:rsid w:val="00405219"/>
    <w:rsid w:val="004052F9"/>
    <w:rsid w:val="0040546F"/>
    <w:rsid w:val="00405798"/>
    <w:rsid w:val="004058DF"/>
    <w:rsid w:val="00405E1B"/>
    <w:rsid w:val="004061C6"/>
    <w:rsid w:val="004064DC"/>
    <w:rsid w:val="0040667B"/>
    <w:rsid w:val="00406721"/>
    <w:rsid w:val="0040675A"/>
    <w:rsid w:val="00406AF5"/>
    <w:rsid w:val="0040704B"/>
    <w:rsid w:val="004074F8"/>
    <w:rsid w:val="004076E9"/>
    <w:rsid w:val="004103CC"/>
    <w:rsid w:val="0041041D"/>
    <w:rsid w:val="004108FB"/>
    <w:rsid w:val="0041092B"/>
    <w:rsid w:val="00410BD5"/>
    <w:rsid w:val="004115A9"/>
    <w:rsid w:val="00411B42"/>
    <w:rsid w:val="00411CC1"/>
    <w:rsid w:val="004124BD"/>
    <w:rsid w:val="004126F7"/>
    <w:rsid w:val="00412864"/>
    <w:rsid w:val="0041294A"/>
    <w:rsid w:val="004129A1"/>
    <w:rsid w:val="00412AC5"/>
    <w:rsid w:val="00412D24"/>
    <w:rsid w:val="00412D78"/>
    <w:rsid w:val="00412E15"/>
    <w:rsid w:val="0041335C"/>
    <w:rsid w:val="004135E3"/>
    <w:rsid w:val="004137D6"/>
    <w:rsid w:val="00414948"/>
    <w:rsid w:val="004149A9"/>
    <w:rsid w:val="004149F1"/>
    <w:rsid w:val="00414F0C"/>
    <w:rsid w:val="00414F67"/>
    <w:rsid w:val="00415181"/>
    <w:rsid w:val="00415341"/>
    <w:rsid w:val="004156F2"/>
    <w:rsid w:val="004158CD"/>
    <w:rsid w:val="00415B2C"/>
    <w:rsid w:val="00415E6B"/>
    <w:rsid w:val="0041600C"/>
    <w:rsid w:val="00416176"/>
    <w:rsid w:val="00416486"/>
    <w:rsid w:val="0041674F"/>
    <w:rsid w:val="004168E1"/>
    <w:rsid w:val="00416E3B"/>
    <w:rsid w:val="00416F73"/>
    <w:rsid w:val="00417169"/>
    <w:rsid w:val="00417793"/>
    <w:rsid w:val="004177A2"/>
    <w:rsid w:val="00417CB8"/>
    <w:rsid w:val="00420386"/>
    <w:rsid w:val="004206D6"/>
    <w:rsid w:val="004208E5"/>
    <w:rsid w:val="00420C5A"/>
    <w:rsid w:val="00420FE1"/>
    <w:rsid w:val="00422000"/>
    <w:rsid w:val="0042262F"/>
    <w:rsid w:val="00422887"/>
    <w:rsid w:val="00422912"/>
    <w:rsid w:val="00423007"/>
    <w:rsid w:val="004231C8"/>
    <w:rsid w:val="004235AA"/>
    <w:rsid w:val="004235AC"/>
    <w:rsid w:val="00423878"/>
    <w:rsid w:val="00423B87"/>
    <w:rsid w:val="00423D32"/>
    <w:rsid w:val="00424561"/>
    <w:rsid w:val="00424BF3"/>
    <w:rsid w:val="00424C29"/>
    <w:rsid w:val="00424DD3"/>
    <w:rsid w:val="004255F8"/>
    <w:rsid w:val="0042585B"/>
    <w:rsid w:val="00425C9F"/>
    <w:rsid w:val="00425F39"/>
    <w:rsid w:val="00426080"/>
    <w:rsid w:val="00426106"/>
    <w:rsid w:val="00426472"/>
    <w:rsid w:val="0042656C"/>
    <w:rsid w:val="00426919"/>
    <w:rsid w:val="00426933"/>
    <w:rsid w:val="004269AF"/>
    <w:rsid w:val="00426E2F"/>
    <w:rsid w:val="00427759"/>
    <w:rsid w:val="00427DB0"/>
    <w:rsid w:val="00430ACF"/>
    <w:rsid w:val="00430B72"/>
    <w:rsid w:val="00430CC8"/>
    <w:rsid w:val="00430ED2"/>
    <w:rsid w:val="00430F67"/>
    <w:rsid w:val="00431097"/>
    <w:rsid w:val="00431214"/>
    <w:rsid w:val="004317FA"/>
    <w:rsid w:val="00431AD6"/>
    <w:rsid w:val="00431F4F"/>
    <w:rsid w:val="0043251E"/>
    <w:rsid w:val="00433306"/>
    <w:rsid w:val="00433405"/>
    <w:rsid w:val="00433CF5"/>
    <w:rsid w:val="004343DC"/>
    <w:rsid w:val="00434816"/>
    <w:rsid w:val="004349E3"/>
    <w:rsid w:val="0043502A"/>
    <w:rsid w:val="00435227"/>
    <w:rsid w:val="004355AF"/>
    <w:rsid w:val="00435CE8"/>
    <w:rsid w:val="004369CC"/>
    <w:rsid w:val="00436C61"/>
    <w:rsid w:val="00436C74"/>
    <w:rsid w:val="004370A8"/>
    <w:rsid w:val="004370F4"/>
    <w:rsid w:val="00437676"/>
    <w:rsid w:val="0043795D"/>
    <w:rsid w:val="00437B18"/>
    <w:rsid w:val="00437D03"/>
    <w:rsid w:val="00437DAA"/>
    <w:rsid w:val="00440447"/>
    <w:rsid w:val="00440CC7"/>
    <w:rsid w:val="00440CC9"/>
    <w:rsid w:val="00440D8D"/>
    <w:rsid w:val="00441FD3"/>
    <w:rsid w:val="004423D4"/>
    <w:rsid w:val="00442EE3"/>
    <w:rsid w:val="004431B9"/>
    <w:rsid w:val="00443295"/>
    <w:rsid w:val="0044332C"/>
    <w:rsid w:val="004435BC"/>
    <w:rsid w:val="0044368B"/>
    <w:rsid w:val="00443AD0"/>
    <w:rsid w:val="00443B74"/>
    <w:rsid w:val="00443DBA"/>
    <w:rsid w:val="00443F97"/>
    <w:rsid w:val="004442B5"/>
    <w:rsid w:val="00444488"/>
    <w:rsid w:val="004447F1"/>
    <w:rsid w:val="00444E3A"/>
    <w:rsid w:val="004459A8"/>
    <w:rsid w:val="004459DD"/>
    <w:rsid w:val="00446028"/>
    <w:rsid w:val="004464B8"/>
    <w:rsid w:val="0044652D"/>
    <w:rsid w:val="004469C3"/>
    <w:rsid w:val="00446DC7"/>
    <w:rsid w:val="00446E91"/>
    <w:rsid w:val="00447179"/>
    <w:rsid w:val="0044785E"/>
    <w:rsid w:val="00447963"/>
    <w:rsid w:val="0044796D"/>
    <w:rsid w:val="004479FC"/>
    <w:rsid w:val="00447D61"/>
    <w:rsid w:val="004502AE"/>
    <w:rsid w:val="00450487"/>
    <w:rsid w:val="004505BE"/>
    <w:rsid w:val="0045112E"/>
    <w:rsid w:val="004514E3"/>
    <w:rsid w:val="004515E1"/>
    <w:rsid w:val="004517F1"/>
    <w:rsid w:val="0045190A"/>
    <w:rsid w:val="00451A88"/>
    <w:rsid w:val="00451B09"/>
    <w:rsid w:val="0045207E"/>
    <w:rsid w:val="00452198"/>
    <w:rsid w:val="004522E7"/>
    <w:rsid w:val="004523BC"/>
    <w:rsid w:val="004523C4"/>
    <w:rsid w:val="004529DC"/>
    <w:rsid w:val="00452C1A"/>
    <w:rsid w:val="00452FCB"/>
    <w:rsid w:val="00452FF1"/>
    <w:rsid w:val="00453115"/>
    <w:rsid w:val="0045354D"/>
    <w:rsid w:val="0045363F"/>
    <w:rsid w:val="004540C3"/>
    <w:rsid w:val="004540FE"/>
    <w:rsid w:val="00454471"/>
    <w:rsid w:val="00454A88"/>
    <w:rsid w:val="00455320"/>
    <w:rsid w:val="00455429"/>
    <w:rsid w:val="0045579A"/>
    <w:rsid w:val="004558D7"/>
    <w:rsid w:val="00455AE6"/>
    <w:rsid w:val="00455CC1"/>
    <w:rsid w:val="00455E9A"/>
    <w:rsid w:val="00456170"/>
    <w:rsid w:val="0045646C"/>
    <w:rsid w:val="00456512"/>
    <w:rsid w:val="00456745"/>
    <w:rsid w:val="00456C4D"/>
    <w:rsid w:val="00456D12"/>
    <w:rsid w:val="004572D3"/>
    <w:rsid w:val="00457F8C"/>
    <w:rsid w:val="00460187"/>
    <w:rsid w:val="00460563"/>
    <w:rsid w:val="00460589"/>
    <w:rsid w:val="004605D0"/>
    <w:rsid w:val="00460658"/>
    <w:rsid w:val="0046071C"/>
    <w:rsid w:val="004608AF"/>
    <w:rsid w:val="00460BF6"/>
    <w:rsid w:val="00460C53"/>
    <w:rsid w:val="00460E70"/>
    <w:rsid w:val="00460EA1"/>
    <w:rsid w:val="00461182"/>
    <w:rsid w:val="004611B9"/>
    <w:rsid w:val="0046143E"/>
    <w:rsid w:val="00461587"/>
    <w:rsid w:val="00461960"/>
    <w:rsid w:val="00461A3A"/>
    <w:rsid w:val="00461BD5"/>
    <w:rsid w:val="00461D16"/>
    <w:rsid w:val="00461D82"/>
    <w:rsid w:val="00461D84"/>
    <w:rsid w:val="00461E33"/>
    <w:rsid w:val="00462135"/>
    <w:rsid w:val="004623AF"/>
    <w:rsid w:val="004623E2"/>
    <w:rsid w:val="00462458"/>
    <w:rsid w:val="004629F9"/>
    <w:rsid w:val="00462D55"/>
    <w:rsid w:val="00462E9F"/>
    <w:rsid w:val="00462F93"/>
    <w:rsid w:val="00463021"/>
    <w:rsid w:val="00463298"/>
    <w:rsid w:val="00463435"/>
    <w:rsid w:val="004634BD"/>
    <w:rsid w:val="00464931"/>
    <w:rsid w:val="00464960"/>
    <w:rsid w:val="00464A98"/>
    <w:rsid w:val="00464D5B"/>
    <w:rsid w:val="004652B7"/>
    <w:rsid w:val="00465AF4"/>
    <w:rsid w:val="004660AF"/>
    <w:rsid w:val="004665C1"/>
    <w:rsid w:val="00466627"/>
    <w:rsid w:val="00466FBB"/>
    <w:rsid w:val="0046795C"/>
    <w:rsid w:val="00467975"/>
    <w:rsid w:val="00467BA5"/>
    <w:rsid w:val="00467EDA"/>
    <w:rsid w:val="00467FA0"/>
    <w:rsid w:val="0047030E"/>
    <w:rsid w:val="00470FAA"/>
    <w:rsid w:val="0047110D"/>
    <w:rsid w:val="0047118E"/>
    <w:rsid w:val="00471AAB"/>
    <w:rsid w:val="00471EAC"/>
    <w:rsid w:val="00472232"/>
    <w:rsid w:val="00472595"/>
    <w:rsid w:val="0047266D"/>
    <w:rsid w:val="00472A97"/>
    <w:rsid w:val="00472D4A"/>
    <w:rsid w:val="00472DE8"/>
    <w:rsid w:val="00472E94"/>
    <w:rsid w:val="00473945"/>
    <w:rsid w:val="00473DFD"/>
    <w:rsid w:val="00473E85"/>
    <w:rsid w:val="00473EC5"/>
    <w:rsid w:val="0047436A"/>
    <w:rsid w:val="004743E7"/>
    <w:rsid w:val="004746CA"/>
    <w:rsid w:val="00474952"/>
    <w:rsid w:val="00474B99"/>
    <w:rsid w:val="00474CBB"/>
    <w:rsid w:val="00474D1F"/>
    <w:rsid w:val="00474DC3"/>
    <w:rsid w:val="00474DF6"/>
    <w:rsid w:val="0047566D"/>
    <w:rsid w:val="004756B4"/>
    <w:rsid w:val="004759F9"/>
    <w:rsid w:val="00475EF3"/>
    <w:rsid w:val="0047720F"/>
    <w:rsid w:val="004774AB"/>
    <w:rsid w:val="0048086F"/>
    <w:rsid w:val="00480C66"/>
    <w:rsid w:val="00480DC4"/>
    <w:rsid w:val="00480E39"/>
    <w:rsid w:val="00480E46"/>
    <w:rsid w:val="004816E1"/>
    <w:rsid w:val="00481738"/>
    <w:rsid w:val="00481888"/>
    <w:rsid w:val="00481902"/>
    <w:rsid w:val="00481C15"/>
    <w:rsid w:val="00482197"/>
    <w:rsid w:val="004827FB"/>
    <w:rsid w:val="004829E5"/>
    <w:rsid w:val="00482DA8"/>
    <w:rsid w:val="00482E90"/>
    <w:rsid w:val="004835E4"/>
    <w:rsid w:val="00483679"/>
    <w:rsid w:val="004839A0"/>
    <w:rsid w:val="00485626"/>
    <w:rsid w:val="00485CEF"/>
    <w:rsid w:val="004860D4"/>
    <w:rsid w:val="0048719D"/>
    <w:rsid w:val="00487F4C"/>
    <w:rsid w:val="004901AB"/>
    <w:rsid w:val="00490957"/>
    <w:rsid w:val="004909A9"/>
    <w:rsid w:val="0049148E"/>
    <w:rsid w:val="00491A56"/>
    <w:rsid w:val="00492477"/>
    <w:rsid w:val="004928C3"/>
    <w:rsid w:val="00492ADC"/>
    <w:rsid w:val="00492EE1"/>
    <w:rsid w:val="0049307D"/>
    <w:rsid w:val="004931B6"/>
    <w:rsid w:val="004931F9"/>
    <w:rsid w:val="00493470"/>
    <w:rsid w:val="004934A7"/>
    <w:rsid w:val="00493A4D"/>
    <w:rsid w:val="00493AEB"/>
    <w:rsid w:val="00493C3A"/>
    <w:rsid w:val="00493FD8"/>
    <w:rsid w:val="00493FFE"/>
    <w:rsid w:val="0049411E"/>
    <w:rsid w:val="004946BB"/>
    <w:rsid w:val="004947E8"/>
    <w:rsid w:val="004948DE"/>
    <w:rsid w:val="004948E7"/>
    <w:rsid w:val="00494C7C"/>
    <w:rsid w:val="00494FDE"/>
    <w:rsid w:val="00495025"/>
    <w:rsid w:val="004956CA"/>
    <w:rsid w:val="00495D78"/>
    <w:rsid w:val="00495EE3"/>
    <w:rsid w:val="00495F3D"/>
    <w:rsid w:val="004966F4"/>
    <w:rsid w:val="00496B8E"/>
    <w:rsid w:val="00496D0F"/>
    <w:rsid w:val="00496EA4"/>
    <w:rsid w:val="0049703E"/>
    <w:rsid w:val="0049720F"/>
    <w:rsid w:val="00497576"/>
    <w:rsid w:val="004A02B6"/>
    <w:rsid w:val="004A0421"/>
    <w:rsid w:val="004A06C6"/>
    <w:rsid w:val="004A075D"/>
    <w:rsid w:val="004A0944"/>
    <w:rsid w:val="004A0F04"/>
    <w:rsid w:val="004A11B2"/>
    <w:rsid w:val="004A16AE"/>
    <w:rsid w:val="004A1B7C"/>
    <w:rsid w:val="004A1C95"/>
    <w:rsid w:val="004A1DDA"/>
    <w:rsid w:val="004A2B90"/>
    <w:rsid w:val="004A2D66"/>
    <w:rsid w:val="004A2DE7"/>
    <w:rsid w:val="004A319C"/>
    <w:rsid w:val="004A34A5"/>
    <w:rsid w:val="004A3799"/>
    <w:rsid w:val="004A41D3"/>
    <w:rsid w:val="004A4627"/>
    <w:rsid w:val="004A4EE3"/>
    <w:rsid w:val="004A5340"/>
    <w:rsid w:val="004A5470"/>
    <w:rsid w:val="004A5C01"/>
    <w:rsid w:val="004A605F"/>
    <w:rsid w:val="004A61DA"/>
    <w:rsid w:val="004A6222"/>
    <w:rsid w:val="004A6808"/>
    <w:rsid w:val="004A7097"/>
    <w:rsid w:val="004A722F"/>
    <w:rsid w:val="004A73BF"/>
    <w:rsid w:val="004A7A4C"/>
    <w:rsid w:val="004A7C72"/>
    <w:rsid w:val="004B0146"/>
    <w:rsid w:val="004B0B3E"/>
    <w:rsid w:val="004B0BDA"/>
    <w:rsid w:val="004B0DB6"/>
    <w:rsid w:val="004B10FF"/>
    <w:rsid w:val="004B121B"/>
    <w:rsid w:val="004B1CEF"/>
    <w:rsid w:val="004B1F2D"/>
    <w:rsid w:val="004B248C"/>
    <w:rsid w:val="004B2550"/>
    <w:rsid w:val="004B2730"/>
    <w:rsid w:val="004B28F7"/>
    <w:rsid w:val="004B2908"/>
    <w:rsid w:val="004B29BE"/>
    <w:rsid w:val="004B2BC9"/>
    <w:rsid w:val="004B2F0E"/>
    <w:rsid w:val="004B359B"/>
    <w:rsid w:val="004B3CC8"/>
    <w:rsid w:val="004B3F9C"/>
    <w:rsid w:val="004B46DD"/>
    <w:rsid w:val="004B4774"/>
    <w:rsid w:val="004B47AF"/>
    <w:rsid w:val="004B4952"/>
    <w:rsid w:val="004B4C2D"/>
    <w:rsid w:val="004B4E9C"/>
    <w:rsid w:val="004B5100"/>
    <w:rsid w:val="004B52BC"/>
    <w:rsid w:val="004B5371"/>
    <w:rsid w:val="004B552F"/>
    <w:rsid w:val="004B59C5"/>
    <w:rsid w:val="004B5C75"/>
    <w:rsid w:val="004B5CBA"/>
    <w:rsid w:val="004B5E22"/>
    <w:rsid w:val="004B5F69"/>
    <w:rsid w:val="004B5FE1"/>
    <w:rsid w:val="004B6087"/>
    <w:rsid w:val="004B62F4"/>
    <w:rsid w:val="004B6659"/>
    <w:rsid w:val="004B6D53"/>
    <w:rsid w:val="004B6DBA"/>
    <w:rsid w:val="004B7452"/>
    <w:rsid w:val="004B752B"/>
    <w:rsid w:val="004B7660"/>
    <w:rsid w:val="004B7B0B"/>
    <w:rsid w:val="004B7B0D"/>
    <w:rsid w:val="004B7CBB"/>
    <w:rsid w:val="004B7FF7"/>
    <w:rsid w:val="004C0EC5"/>
    <w:rsid w:val="004C1100"/>
    <w:rsid w:val="004C12F6"/>
    <w:rsid w:val="004C12FA"/>
    <w:rsid w:val="004C188D"/>
    <w:rsid w:val="004C18D8"/>
    <w:rsid w:val="004C1A64"/>
    <w:rsid w:val="004C1A85"/>
    <w:rsid w:val="004C1E19"/>
    <w:rsid w:val="004C2281"/>
    <w:rsid w:val="004C2494"/>
    <w:rsid w:val="004C25CF"/>
    <w:rsid w:val="004C2B09"/>
    <w:rsid w:val="004C2B9D"/>
    <w:rsid w:val="004C3419"/>
    <w:rsid w:val="004C3516"/>
    <w:rsid w:val="004C3658"/>
    <w:rsid w:val="004C39C8"/>
    <w:rsid w:val="004C3A10"/>
    <w:rsid w:val="004C3DC7"/>
    <w:rsid w:val="004C432C"/>
    <w:rsid w:val="004C46B5"/>
    <w:rsid w:val="004C4A23"/>
    <w:rsid w:val="004C4D8F"/>
    <w:rsid w:val="004C51E2"/>
    <w:rsid w:val="004C5439"/>
    <w:rsid w:val="004C57B4"/>
    <w:rsid w:val="004C5C6B"/>
    <w:rsid w:val="004C5D3E"/>
    <w:rsid w:val="004C5DBB"/>
    <w:rsid w:val="004C5F9A"/>
    <w:rsid w:val="004C683C"/>
    <w:rsid w:val="004C68A3"/>
    <w:rsid w:val="004C6A38"/>
    <w:rsid w:val="004C6DD8"/>
    <w:rsid w:val="004C732C"/>
    <w:rsid w:val="004C7403"/>
    <w:rsid w:val="004C7AE3"/>
    <w:rsid w:val="004C7B5B"/>
    <w:rsid w:val="004C7F1E"/>
    <w:rsid w:val="004D0364"/>
    <w:rsid w:val="004D03CB"/>
    <w:rsid w:val="004D0441"/>
    <w:rsid w:val="004D0514"/>
    <w:rsid w:val="004D0AF8"/>
    <w:rsid w:val="004D0B1E"/>
    <w:rsid w:val="004D0D66"/>
    <w:rsid w:val="004D11E9"/>
    <w:rsid w:val="004D1D54"/>
    <w:rsid w:val="004D1F2B"/>
    <w:rsid w:val="004D2623"/>
    <w:rsid w:val="004D274E"/>
    <w:rsid w:val="004D3083"/>
    <w:rsid w:val="004D3472"/>
    <w:rsid w:val="004D36D5"/>
    <w:rsid w:val="004D388B"/>
    <w:rsid w:val="004D3CE0"/>
    <w:rsid w:val="004D4075"/>
    <w:rsid w:val="004D4609"/>
    <w:rsid w:val="004D4B3B"/>
    <w:rsid w:val="004D4B40"/>
    <w:rsid w:val="004D4DE1"/>
    <w:rsid w:val="004D4FB9"/>
    <w:rsid w:val="004D511B"/>
    <w:rsid w:val="004D5248"/>
    <w:rsid w:val="004D5AC3"/>
    <w:rsid w:val="004D5DF7"/>
    <w:rsid w:val="004D6108"/>
    <w:rsid w:val="004D6FDC"/>
    <w:rsid w:val="004D760C"/>
    <w:rsid w:val="004E0689"/>
    <w:rsid w:val="004E0740"/>
    <w:rsid w:val="004E09D3"/>
    <w:rsid w:val="004E0B64"/>
    <w:rsid w:val="004E0D2F"/>
    <w:rsid w:val="004E0D6D"/>
    <w:rsid w:val="004E0F93"/>
    <w:rsid w:val="004E0FA8"/>
    <w:rsid w:val="004E12CC"/>
    <w:rsid w:val="004E139F"/>
    <w:rsid w:val="004E1736"/>
    <w:rsid w:val="004E1DB8"/>
    <w:rsid w:val="004E1EF7"/>
    <w:rsid w:val="004E2163"/>
    <w:rsid w:val="004E2603"/>
    <w:rsid w:val="004E2BC7"/>
    <w:rsid w:val="004E2C3F"/>
    <w:rsid w:val="004E2E6E"/>
    <w:rsid w:val="004E2F3A"/>
    <w:rsid w:val="004E3293"/>
    <w:rsid w:val="004E3303"/>
    <w:rsid w:val="004E376A"/>
    <w:rsid w:val="004E395C"/>
    <w:rsid w:val="004E3E82"/>
    <w:rsid w:val="004E47D2"/>
    <w:rsid w:val="004E55D8"/>
    <w:rsid w:val="004E55ED"/>
    <w:rsid w:val="004E57D1"/>
    <w:rsid w:val="004E5888"/>
    <w:rsid w:val="004E5D2A"/>
    <w:rsid w:val="004E5D46"/>
    <w:rsid w:val="004E6B5F"/>
    <w:rsid w:val="004E719F"/>
    <w:rsid w:val="004E7300"/>
    <w:rsid w:val="004E7645"/>
    <w:rsid w:val="004E784A"/>
    <w:rsid w:val="004E7D14"/>
    <w:rsid w:val="004E7D9D"/>
    <w:rsid w:val="004E7E27"/>
    <w:rsid w:val="004F00C7"/>
    <w:rsid w:val="004F0313"/>
    <w:rsid w:val="004F05B2"/>
    <w:rsid w:val="004F0661"/>
    <w:rsid w:val="004F088B"/>
    <w:rsid w:val="004F0988"/>
    <w:rsid w:val="004F0F2D"/>
    <w:rsid w:val="004F13B8"/>
    <w:rsid w:val="004F1817"/>
    <w:rsid w:val="004F1D0F"/>
    <w:rsid w:val="004F2253"/>
    <w:rsid w:val="004F25C9"/>
    <w:rsid w:val="004F281D"/>
    <w:rsid w:val="004F2ADD"/>
    <w:rsid w:val="004F3125"/>
    <w:rsid w:val="004F31A6"/>
    <w:rsid w:val="004F3800"/>
    <w:rsid w:val="004F3A03"/>
    <w:rsid w:val="004F3F23"/>
    <w:rsid w:val="004F423D"/>
    <w:rsid w:val="004F432D"/>
    <w:rsid w:val="004F500E"/>
    <w:rsid w:val="004F5443"/>
    <w:rsid w:val="004F5545"/>
    <w:rsid w:val="004F561C"/>
    <w:rsid w:val="004F5AB6"/>
    <w:rsid w:val="004F5CD3"/>
    <w:rsid w:val="004F66A2"/>
    <w:rsid w:val="004F67D9"/>
    <w:rsid w:val="004F692B"/>
    <w:rsid w:val="004F6E62"/>
    <w:rsid w:val="004F6EE3"/>
    <w:rsid w:val="004F72FA"/>
    <w:rsid w:val="004F781E"/>
    <w:rsid w:val="004F782E"/>
    <w:rsid w:val="004F7E09"/>
    <w:rsid w:val="004F7EE4"/>
    <w:rsid w:val="00500475"/>
    <w:rsid w:val="00500868"/>
    <w:rsid w:val="005009E4"/>
    <w:rsid w:val="00500D60"/>
    <w:rsid w:val="00500F8B"/>
    <w:rsid w:val="00502124"/>
    <w:rsid w:val="00502172"/>
    <w:rsid w:val="00502D77"/>
    <w:rsid w:val="005032D8"/>
    <w:rsid w:val="00503C81"/>
    <w:rsid w:val="00504091"/>
    <w:rsid w:val="005040DB"/>
    <w:rsid w:val="00504183"/>
    <w:rsid w:val="0050422F"/>
    <w:rsid w:val="005042A1"/>
    <w:rsid w:val="005043A8"/>
    <w:rsid w:val="005046E2"/>
    <w:rsid w:val="0050485A"/>
    <w:rsid w:val="0050491E"/>
    <w:rsid w:val="00504B8D"/>
    <w:rsid w:val="00504B94"/>
    <w:rsid w:val="00504EBA"/>
    <w:rsid w:val="005050C9"/>
    <w:rsid w:val="005052AB"/>
    <w:rsid w:val="00505358"/>
    <w:rsid w:val="00505410"/>
    <w:rsid w:val="00505477"/>
    <w:rsid w:val="00505B4D"/>
    <w:rsid w:val="005061C0"/>
    <w:rsid w:val="005061CA"/>
    <w:rsid w:val="00506448"/>
    <w:rsid w:val="0050658C"/>
    <w:rsid w:val="00506639"/>
    <w:rsid w:val="005068BE"/>
    <w:rsid w:val="00506B22"/>
    <w:rsid w:val="00507433"/>
    <w:rsid w:val="00507636"/>
    <w:rsid w:val="005076A2"/>
    <w:rsid w:val="00507E0B"/>
    <w:rsid w:val="00507E0F"/>
    <w:rsid w:val="00507ED4"/>
    <w:rsid w:val="00507EEC"/>
    <w:rsid w:val="0050C68B"/>
    <w:rsid w:val="0050EB4D"/>
    <w:rsid w:val="005101D2"/>
    <w:rsid w:val="005101E5"/>
    <w:rsid w:val="00510BCF"/>
    <w:rsid w:val="00510F06"/>
    <w:rsid w:val="00510F33"/>
    <w:rsid w:val="005114AB"/>
    <w:rsid w:val="00511DD3"/>
    <w:rsid w:val="00511E6B"/>
    <w:rsid w:val="00511F45"/>
    <w:rsid w:val="0051207F"/>
    <w:rsid w:val="0051264D"/>
    <w:rsid w:val="005128F8"/>
    <w:rsid w:val="0051305E"/>
    <w:rsid w:val="005133D4"/>
    <w:rsid w:val="00513526"/>
    <w:rsid w:val="00513782"/>
    <w:rsid w:val="00513871"/>
    <w:rsid w:val="00513AA4"/>
    <w:rsid w:val="00513D05"/>
    <w:rsid w:val="005141EF"/>
    <w:rsid w:val="00514242"/>
    <w:rsid w:val="005142AC"/>
    <w:rsid w:val="00514393"/>
    <w:rsid w:val="005149CD"/>
    <w:rsid w:val="00514C5C"/>
    <w:rsid w:val="00514D4C"/>
    <w:rsid w:val="005155F7"/>
    <w:rsid w:val="00515FA5"/>
    <w:rsid w:val="0051628B"/>
    <w:rsid w:val="00516632"/>
    <w:rsid w:val="0051676D"/>
    <w:rsid w:val="0051687F"/>
    <w:rsid w:val="00516898"/>
    <w:rsid w:val="005168A9"/>
    <w:rsid w:val="00516C4E"/>
    <w:rsid w:val="00516E3D"/>
    <w:rsid w:val="005170B7"/>
    <w:rsid w:val="00517536"/>
    <w:rsid w:val="005175C2"/>
    <w:rsid w:val="00517886"/>
    <w:rsid w:val="005178FA"/>
    <w:rsid w:val="00517B20"/>
    <w:rsid w:val="0052014E"/>
    <w:rsid w:val="005201F5"/>
    <w:rsid w:val="0052024A"/>
    <w:rsid w:val="005208D1"/>
    <w:rsid w:val="005209A9"/>
    <w:rsid w:val="005211A6"/>
    <w:rsid w:val="005214DC"/>
    <w:rsid w:val="00521AD6"/>
    <w:rsid w:val="00521BF0"/>
    <w:rsid w:val="00521FC4"/>
    <w:rsid w:val="00521FE6"/>
    <w:rsid w:val="005223AA"/>
    <w:rsid w:val="00522471"/>
    <w:rsid w:val="0052253D"/>
    <w:rsid w:val="00522A76"/>
    <w:rsid w:val="00522C2F"/>
    <w:rsid w:val="00523232"/>
    <w:rsid w:val="005239B9"/>
    <w:rsid w:val="00523A13"/>
    <w:rsid w:val="00523D9C"/>
    <w:rsid w:val="00523E5E"/>
    <w:rsid w:val="00523F41"/>
    <w:rsid w:val="00523FAC"/>
    <w:rsid w:val="00523FD8"/>
    <w:rsid w:val="00524031"/>
    <w:rsid w:val="0052431B"/>
    <w:rsid w:val="00524659"/>
    <w:rsid w:val="005246B0"/>
    <w:rsid w:val="005247C9"/>
    <w:rsid w:val="00524A00"/>
    <w:rsid w:val="00524CEF"/>
    <w:rsid w:val="0052521D"/>
    <w:rsid w:val="005253E4"/>
    <w:rsid w:val="005256C2"/>
    <w:rsid w:val="00525769"/>
    <w:rsid w:val="0052598B"/>
    <w:rsid w:val="005263EF"/>
    <w:rsid w:val="005268C4"/>
    <w:rsid w:val="00526976"/>
    <w:rsid w:val="00526BDD"/>
    <w:rsid w:val="00526D9D"/>
    <w:rsid w:val="00526F81"/>
    <w:rsid w:val="00527532"/>
    <w:rsid w:val="00527699"/>
    <w:rsid w:val="005276C7"/>
    <w:rsid w:val="00527781"/>
    <w:rsid w:val="00527796"/>
    <w:rsid w:val="00527D37"/>
    <w:rsid w:val="00527DA2"/>
    <w:rsid w:val="00527DB2"/>
    <w:rsid w:val="00527FF7"/>
    <w:rsid w:val="00530330"/>
    <w:rsid w:val="005306E1"/>
    <w:rsid w:val="00530E53"/>
    <w:rsid w:val="00530F65"/>
    <w:rsid w:val="005310A9"/>
    <w:rsid w:val="00531109"/>
    <w:rsid w:val="005313CF"/>
    <w:rsid w:val="005314CB"/>
    <w:rsid w:val="00531638"/>
    <w:rsid w:val="00531654"/>
    <w:rsid w:val="005316D1"/>
    <w:rsid w:val="005317C3"/>
    <w:rsid w:val="00531AD6"/>
    <w:rsid w:val="00531E6C"/>
    <w:rsid w:val="0053201A"/>
    <w:rsid w:val="0053291D"/>
    <w:rsid w:val="00532BFA"/>
    <w:rsid w:val="00532D3C"/>
    <w:rsid w:val="0053326F"/>
    <w:rsid w:val="005336E2"/>
    <w:rsid w:val="005338BE"/>
    <w:rsid w:val="005338D2"/>
    <w:rsid w:val="005349A6"/>
    <w:rsid w:val="005349D3"/>
    <w:rsid w:val="00534A20"/>
    <w:rsid w:val="00534B5B"/>
    <w:rsid w:val="00534E08"/>
    <w:rsid w:val="00534EEB"/>
    <w:rsid w:val="00535454"/>
    <w:rsid w:val="005358A7"/>
    <w:rsid w:val="00535BFB"/>
    <w:rsid w:val="00535D4F"/>
    <w:rsid w:val="005361C6"/>
    <w:rsid w:val="00536320"/>
    <w:rsid w:val="00536464"/>
    <w:rsid w:val="00536541"/>
    <w:rsid w:val="00536731"/>
    <w:rsid w:val="00536BB1"/>
    <w:rsid w:val="00536C56"/>
    <w:rsid w:val="00537161"/>
    <w:rsid w:val="005371D3"/>
    <w:rsid w:val="0053738A"/>
    <w:rsid w:val="0053769A"/>
    <w:rsid w:val="00540014"/>
    <w:rsid w:val="00540659"/>
    <w:rsid w:val="00540AC6"/>
    <w:rsid w:val="00540F5D"/>
    <w:rsid w:val="00540F61"/>
    <w:rsid w:val="00540FB9"/>
    <w:rsid w:val="00541118"/>
    <w:rsid w:val="005412EA"/>
    <w:rsid w:val="00541E60"/>
    <w:rsid w:val="00541E9A"/>
    <w:rsid w:val="0054232F"/>
    <w:rsid w:val="005423F8"/>
    <w:rsid w:val="00542476"/>
    <w:rsid w:val="00542C4E"/>
    <w:rsid w:val="00542C73"/>
    <w:rsid w:val="00542E7F"/>
    <w:rsid w:val="005431ED"/>
    <w:rsid w:val="00543541"/>
    <w:rsid w:val="005436BA"/>
    <w:rsid w:val="00543D8D"/>
    <w:rsid w:val="00543E79"/>
    <w:rsid w:val="0054407C"/>
    <w:rsid w:val="005444D4"/>
    <w:rsid w:val="005445B3"/>
    <w:rsid w:val="005448A5"/>
    <w:rsid w:val="00544F1B"/>
    <w:rsid w:val="005458A6"/>
    <w:rsid w:val="0054592E"/>
    <w:rsid w:val="0054610B"/>
    <w:rsid w:val="005469AF"/>
    <w:rsid w:val="00547187"/>
    <w:rsid w:val="00547641"/>
    <w:rsid w:val="005478CC"/>
    <w:rsid w:val="00547A0F"/>
    <w:rsid w:val="00547AA3"/>
    <w:rsid w:val="00547C29"/>
    <w:rsid w:val="0055068E"/>
    <w:rsid w:val="00550744"/>
    <w:rsid w:val="00550930"/>
    <w:rsid w:val="00551028"/>
    <w:rsid w:val="00551535"/>
    <w:rsid w:val="005516C3"/>
    <w:rsid w:val="00551936"/>
    <w:rsid w:val="005520F6"/>
    <w:rsid w:val="00552283"/>
    <w:rsid w:val="00552287"/>
    <w:rsid w:val="00552FB0"/>
    <w:rsid w:val="00553713"/>
    <w:rsid w:val="005537A3"/>
    <w:rsid w:val="00553819"/>
    <w:rsid w:val="00553BC5"/>
    <w:rsid w:val="00554077"/>
    <w:rsid w:val="00554264"/>
    <w:rsid w:val="005547FF"/>
    <w:rsid w:val="00554950"/>
    <w:rsid w:val="00555026"/>
    <w:rsid w:val="005550A0"/>
    <w:rsid w:val="0055514D"/>
    <w:rsid w:val="005552FB"/>
    <w:rsid w:val="00555549"/>
    <w:rsid w:val="005555AF"/>
    <w:rsid w:val="00555682"/>
    <w:rsid w:val="0055568E"/>
    <w:rsid w:val="0055614E"/>
    <w:rsid w:val="005565E1"/>
    <w:rsid w:val="005566F8"/>
    <w:rsid w:val="00556AC5"/>
    <w:rsid w:val="00556F27"/>
    <w:rsid w:val="005570C7"/>
    <w:rsid w:val="00557408"/>
    <w:rsid w:val="0056010F"/>
    <w:rsid w:val="005602FB"/>
    <w:rsid w:val="005604CE"/>
    <w:rsid w:val="005604DD"/>
    <w:rsid w:val="005605D6"/>
    <w:rsid w:val="00560683"/>
    <w:rsid w:val="005607F9"/>
    <w:rsid w:val="005610E0"/>
    <w:rsid w:val="00561298"/>
    <w:rsid w:val="0056145C"/>
    <w:rsid w:val="005615C6"/>
    <w:rsid w:val="00561ABD"/>
    <w:rsid w:val="00561D71"/>
    <w:rsid w:val="0056209E"/>
    <w:rsid w:val="00562609"/>
    <w:rsid w:val="00562C12"/>
    <w:rsid w:val="00562EB7"/>
    <w:rsid w:val="00563285"/>
    <w:rsid w:val="0056350D"/>
    <w:rsid w:val="0056379C"/>
    <w:rsid w:val="00563B4B"/>
    <w:rsid w:val="00563BD7"/>
    <w:rsid w:val="00564922"/>
    <w:rsid w:val="0056499F"/>
    <w:rsid w:val="0056523F"/>
    <w:rsid w:val="005654A4"/>
    <w:rsid w:val="0056570E"/>
    <w:rsid w:val="005659BD"/>
    <w:rsid w:val="00565C07"/>
    <w:rsid w:val="00565F65"/>
    <w:rsid w:val="0056606A"/>
    <w:rsid w:val="005661A4"/>
    <w:rsid w:val="0056629A"/>
    <w:rsid w:val="005664E6"/>
    <w:rsid w:val="0056652B"/>
    <w:rsid w:val="0056677C"/>
    <w:rsid w:val="0056707C"/>
    <w:rsid w:val="005675F6"/>
    <w:rsid w:val="00567E0F"/>
    <w:rsid w:val="00567EA8"/>
    <w:rsid w:val="0057054C"/>
    <w:rsid w:val="00570B96"/>
    <w:rsid w:val="00571032"/>
    <w:rsid w:val="0057105E"/>
    <w:rsid w:val="00571282"/>
    <w:rsid w:val="00571664"/>
    <w:rsid w:val="0057178A"/>
    <w:rsid w:val="005717D8"/>
    <w:rsid w:val="00571824"/>
    <w:rsid w:val="005718B7"/>
    <w:rsid w:val="005719CC"/>
    <w:rsid w:val="00572591"/>
    <w:rsid w:val="0057276E"/>
    <w:rsid w:val="00573DAE"/>
    <w:rsid w:val="00573EA8"/>
    <w:rsid w:val="00573F2D"/>
    <w:rsid w:val="00574235"/>
    <w:rsid w:val="00574989"/>
    <w:rsid w:val="00574F65"/>
    <w:rsid w:val="005750A8"/>
    <w:rsid w:val="005751AB"/>
    <w:rsid w:val="005754FA"/>
    <w:rsid w:val="0057569A"/>
    <w:rsid w:val="005757F3"/>
    <w:rsid w:val="005759EF"/>
    <w:rsid w:val="00575A2F"/>
    <w:rsid w:val="00575DC1"/>
    <w:rsid w:val="00575E8C"/>
    <w:rsid w:val="00576137"/>
    <w:rsid w:val="005762C2"/>
    <w:rsid w:val="0057666D"/>
    <w:rsid w:val="00576937"/>
    <w:rsid w:val="00576967"/>
    <w:rsid w:val="00576E82"/>
    <w:rsid w:val="00577573"/>
    <w:rsid w:val="00577E2D"/>
    <w:rsid w:val="00577EA2"/>
    <w:rsid w:val="00577F75"/>
    <w:rsid w:val="00577F7C"/>
    <w:rsid w:val="0058000E"/>
    <w:rsid w:val="0058029B"/>
    <w:rsid w:val="00580747"/>
    <w:rsid w:val="005808C1"/>
    <w:rsid w:val="00580B0C"/>
    <w:rsid w:val="005811EE"/>
    <w:rsid w:val="0058150C"/>
    <w:rsid w:val="00581588"/>
    <w:rsid w:val="00581A19"/>
    <w:rsid w:val="00581A30"/>
    <w:rsid w:val="00581D32"/>
    <w:rsid w:val="0058265C"/>
    <w:rsid w:val="00582B76"/>
    <w:rsid w:val="00582D1D"/>
    <w:rsid w:val="00582F19"/>
    <w:rsid w:val="0058341F"/>
    <w:rsid w:val="005835A4"/>
    <w:rsid w:val="00583CB2"/>
    <w:rsid w:val="00583E72"/>
    <w:rsid w:val="005844AE"/>
    <w:rsid w:val="005847A1"/>
    <w:rsid w:val="0058488A"/>
    <w:rsid w:val="00584B03"/>
    <w:rsid w:val="00584CA8"/>
    <w:rsid w:val="00584D30"/>
    <w:rsid w:val="0058514E"/>
    <w:rsid w:val="00585B65"/>
    <w:rsid w:val="00585B66"/>
    <w:rsid w:val="00585BE9"/>
    <w:rsid w:val="00585F9C"/>
    <w:rsid w:val="005860FB"/>
    <w:rsid w:val="0058706C"/>
    <w:rsid w:val="005871A1"/>
    <w:rsid w:val="0058728D"/>
    <w:rsid w:val="005873D4"/>
    <w:rsid w:val="00587905"/>
    <w:rsid w:val="005879F5"/>
    <w:rsid w:val="00587AA0"/>
    <w:rsid w:val="00587DA7"/>
    <w:rsid w:val="00590041"/>
    <w:rsid w:val="0059035A"/>
    <w:rsid w:val="00590408"/>
    <w:rsid w:val="005905AE"/>
    <w:rsid w:val="00590616"/>
    <w:rsid w:val="005907EC"/>
    <w:rsid w:val="005907F1"/>
    <w:rsid w:val="005907F8"/>
    <w:rsid w:val="00590AE7"/>
    <w:rsid w:val="00590B13"/>
    <w:rsid w:val="00590C0B"/>
    <w:rsid w:val="00591448"/>
    <w:rsid w:val="00591996"/>
    <w:rsid w:val="00591DC6"/>
    <w:rsid w:val="0059206C"/>
    <w:rsid w:val="00592144"/>
    <w:rsid w:val="00592325"/>
    <w:rsid w:val="00592382"/>
    <w:rsid w:val="00592437"/>
    <w:rsid w:val="005928E7"/>
    <w:rsid w:val="00592A79"/>
    <w:rsid w:val="00592E7A"/>
    <w:rsid w:val="0059318A"/>
    <w:rsid w:val="00593AA6"/>
    <w:rsid w:val="005940BF"/>
    <w:rsid w:val="00594228"/>
    <w:rsid w:val="00594465"/>
    <w:rsid w:val="005945B9"/>
    <w:rsid w:val="00594617"/>
    <w:rsid w:val="00594B1F"/>
    <w:rsid w:val="00594E97"/>
    <w:rsid w:val="005958D6"/>
    <w:rsid w:val="00595B35"/>
    <w:rsid w:val="00595B61"/>
    <w:rsid w:val="00595D6C"/>
    <w:rsid w:val="00595EFA"/>
    <w:rsid w:val="0059658E"/>
    <w:rsid w:val="0059676F"/>
    <w:rsid w:val="00596AF8"/>
    <w:rsid w:val="00597169"/>
    <w:rsid w:val="0059728C"/>
    <w:rsid w:val="005978A8"/>
    <w:rsid w:val="005979EE"/>
    <w:rsid w:val="00597EFB"/>
    <w:rsid w:val="005A01F9"/>
    <w:rsid w:val="005A091A"/>
    <w:rsid w:val="005A0C56"/>
    <w:rsid w:val="005A0E86"/>
    <w:rsid w:val="005A12CB"/>
    <w:rsid w:val="005A1332"/>
    <w:rsid w:val="005A1574"/>
    <w:rsid w:val="005A2945"/>
    <w:rsid w:val="005A2D47"/>
    <w:rsid w:val="005A3A4C"/>
    <w:rsid w:val="005A3C08"/>
    <w:rsid w:val="005A3CBA"/>
    <w:rsid w:val="005A3DD3"/>
    <w:rsid w:val="005A422B"/>
    <w:rsid w:val="005A42B0"/>
    <w:rsid w:val="005A448B"/>
    <w:rsid w:val="005A49B4"/>
    <w:rsid w:val="005A4A32"/>
    <w:rsid w:val="005A4DA5"/>
    <w:rsid w:val="005A51A8"/>
    <w:rsid w:val="005A5368"/>
    <w:rsid w:val="005A5455"/>
    <w:rsid w:val="005A5817"/>
    <w:rsid w:val="005A5A52"/>
    <w:rsid w:val="005A5C60"/>
    <w:rsid w:val="005A5EE8"/>
    <w:rsid w:val="005A63B1"/>
    <w:rsid w:val="005A67D6"/>
    <w:rsid w:val="005A6987"/>
    <w:rsid w:val="005A6989"/>
    <w:rsid w:val="005A7657"/>
    <w:rsid w:val="005A7F7D"/>
    <w:rsid w:val="005A7F85"/>
    <w:rsid w:val="005B043F"/>
    <w:rsid w:val="005B0A41"/>
    <w:rsid w:val="005B0A86"/>
    <w:rsid w:val="005B0E2F"/>
    <w:rsid w:val="005B1BC5"/>
    <w:rsid w:val="005B203A"/>
    <w:rsid w:val="005B2047"/>
    <w:rsid w:val="005B254F"/>
    <w:rsid w:val="005B2908"/>
    <w:rsid w:val="005B2C1F"/>
    <w:rsid w:val="005B3804"/>
    <w:rsid w:val="005B405D"/>
    <w:rsid w:val="005B44CD"/>
    <w:rsid w:val="005B4E93"/>
    <w:rsid w:val="005B4FAF"/>
    <w:rsid w:val="005B5017"/>
    <w:rsid w:val="005B5A74"/>
    <w:rsid w:val="005B5C5D"/>
    <w:rsid w:val="005B60CB"/>
    <w:rsid w:val="005B6542"/>
    <w:rsid w:val="005B68B7"/>
    <w:rsid w:val="005B6EAD"/>
    <w:rsid w:val="005B6F9C"/>
    <w:rsid w:val="005B7D06"/>
    <w:rsid w:val="005C013C"/>
    <w:rsid w:val="005C0162"/>
    <w:rsid w:val="005C0AD2"/>
    <w:rsid w:val="005C0C3A"/>
    <w:rsid w:val="005C0EBB"/>
    <w:rsid w:val="005C0EBE"/>
    <w:rsid w:val="005C0FF3"/>
    <w:rsid w:val="005C109A"/>
    <w:rsid w:val="005C14B3"/>
    <w:rsid w:val="005C1748"/>
    <w:rsid w:val="005C176B"/>
    <w:rsid w:val="005C1BA5"/>
    <w:rsid w:val="005C21D7"/>
    <w:rsid w:val="005C2403"/>
    <w:rsid w:val="005C261A"/>
    <w:rsid w:val="005C2A67"/>
    <w:rsid w:val="005C2FE8"/>
    <w:rsid w:val="005C3489"/>
    <w:rsid w:val="005C3C1B"/>
    <w:rsid w:val="005C484A"/>
    <w:rsid w:val="005C4B46"/>
    <w:rsid w:val="005C4C93"/>
    <w:rsid w:val="005C4F7B"/>
    <w:rsid w:val="005C51E8"/>
    <w:rsid w:val="005C5322"/>
    <w:rsid w:val="005C55D3"/>
    <w:rsid w:val="005C5B4C"/>
    <w:rsid w:val="005C5BF8"/>
    <w:rsid w:val="005C6682"/>
    <w:rsid w:val="005C69D2"/>
    <w:rsid w:val="005C6A3C"/>
    <w:rsid w:val="005C6AE1"/>
    <w:rsid w:val="005C6C7B"/>
    <w:rsid w:val="005C74CE"/>
    <w:rsid w:val="005C7685"/>
    <w:rsid w:val="005C7722"/>
    <w:rsid w:val="005D011C"/>
    <w:rsid w:val="005D02B9"/>
    <w:rsid w:val="005D0351"/>
    <w:rsid w:val="005D0664"/>
    <w:rsid w:val="005D0909"/>
    <w:rsid w:val="005D111A"/>
    <w:rsid w:val="005D1186"/>
    <w:rsid w:val="005D1C1A"/>
    <w:rsid w:val="005D1DA2"/>
    <w:rsid w:val="005D2154"/>
    <w:rsid w:val="005D2243"/>
    <w:rsid w:val="005D26C6"/>
    <w:rsid w:val="005D29EC"/>
    <w:rsid w:val="005D30DA"/>
    <w:rsid w:val="005D3348"/>
    <w:rsid w:val="005D35BA"/>
    <w:rsid w:val="005D44A8"/>
    <w:rsid w:val="005D4741"/>
    <w:rsid w:val="005D4801"/>
    <w:rsid w:val="005D515D"/>
    <w:rsid w:val="005D545A"/>
    <w:rsid w:val="005D54B1"/>
    <w:rsid w:val="005D57DE"/>
    <w:rsid w:val="005D63F6"/>
    <w:rsid w:val="005D6809"/>
    <w:rsid w:val="005D6A6B"/>
    <w:rsid w:val="005D6A89"/>
    <w:rsid w:val="005D6E74"/>
    <w:rsid w:val="005D6F3B"/>
    <w:rsid w:val="005D6F8E"/>
    <w:rsid w:val="005D7646"/>
    <w:rsid w:val="005D78F7"/>
    <w:rsid w:val="005E0054"/>
    <w:rsid w:val="005E0819"/>
    <w:rsid w:val="005E0935"/>
    <w:rsid w:val="005E0988"/>
    <w:rsid w:val="005E0FBA"/>
    <w:rsid w:val="005E130D"/>
    <w:rsid w:val="005E1585"/>
    <w:rsid w:val="005E16BD"/>
    <w:rsid w:val="005E1754"/>
    <w:rsid w:val="005E1CF5"/>
    <w:rsid w:val="005E1FDE"/>
    <w:rsid w:val="005E2031"/>
    <w:rsid w:val="005E2588"/>
    <w:rsid w:val="005E25D3"/>
    <w:rsid w:val="005E312D"/>
    <w:rsid w:val="005E365F"/>
    <w:rsid w:val="005E38C8"/>
    <w:rsid w:val="005E3D57"/>
    <w:rsid w:val="005E3F9E"/>
    <w:rsid w:val="005E4496"/>
    <w:rsid w:val="005E4513"/>
    <w:rsid w:val="005E48AC"/>
    <w:rsid w:val="005E4F24"/>
    <w:rsid w:val="005E5082"/>
    <w:rsid w:val="005E53D1"/>
    <w:rsid w:val="005E5480"/>
    <w:rsid w:val="005E55FA"/>
    <w:rsid w:val="005E5651"/>
    <w:rsid w:val="005E5657"/>
    <w:rsid w:val="005E56F1"/>
    <w:rsid w:val="005E5757"/>
    <w:rsid w:val="005E5896"/>
    <w:rsid w:val="005E5A63"/>
    <w:rsid w:val="005E5CA1"/>
    <w:rsid w:val="005E6076"/>
    <w:rsid w:val="005E6AE7"/>
    <w:rsid w:val="005E6B52"/>
    <w:rsid w:val="005E6F6F"/>
    <w:rsid w:val="005E707E"/>
    <w:rsid w:val="005E70B6"/>
    <w:rsid w:val="005E73EA"/>
    <w:rsid w:val="005E75E5"/>
    <w:rsid w:val="005E75EA"/>
    <w:rsid w:val="005E7675"/>
    <w:rsid w:val="005E7A97"/>
    <w:rsid w:val="005F0398"/>
    <w:rsid w:val="005F0968"/>
    <w:rsid w:val="005F0AEE"/>
    <w:rsid w:val="005F0EAC"/>
    <w:rsid w:val="005F0FB6"/>
    <w:rsid w:val="005F141E"/>
    <w:rsid w:val="005F1974"/>
    <w:rsid w:val="005F1C69"/>
    <w:rsid w:val="005F243F"/>
    <w:rsid w:val="005F34B3"/>
    <w:rsid w:val="005F36B4"/>
    <w:rsid w:val="005F3784"/>
    <w:rsid w:val="005F3FF4"/>
    <w:rsid w:val="005F4481"/>
    <w:rsid w:val="005F4483"/>
    <w:rsid w:val="005F489C"/>
    <w:rsid w:val="005F4940"/>
    <w:rsid w:val="005F4C95"/>
    <w:rsid w:val="005F4E9F"/>
    <w:rsid w:val="005F5D3F"/>
    <w:rsid w:val="005F5FC5"/>
    <w:rsid w:val="005F6117"/>
    <w:rsid w:val="005F6432"/>
    <w:rsid w:val="005F6852"/>
    <w:rsid w:val="005F691D"/>
    <w:rsid w:val="005F70EF"/>
    <w:rsid w:val="005F79DB"/>
    <w:rsid w:val="005F7BAD"/>
    <w:rsid w:val="005F7D5C"/>
    <w:rsid w:val="00600474"/>
    <w:rsid w:val="00600530"/>
    <w:rsid w:val="006007FC"/>
    <w:rsid w:val="00600AB2"/>
    <w:rsid w:val="0060134E"/>
    <w:rsid w:val="0060142C"/>
    <w:rsid w:val="0060183E"/>
    <w:rsid w:val="0060232D"/>
    <w:rsid w:val="00602A3A"/>
    <w:rsid w:val="00602CE0"/>
    <w:rsid w:val="006031F6"/>
    <w:rsid w:val="00603529"/>
    <w:rsid w:val="00603550"/>
    <w:rsid w:val="0060382B"/>
    <w:rsid w:val="00604C93"/>
    <w:rsid w:val="00604C97"/>
    <w:rsid w:val="00604E51"/>
    <w:rsid w:val="00604E60"/>
    <w:rsid w:val="00604EB5"/>
    <w:rsid w:val="006051EA"/>
    <w:rsid w:val="006052DA"/>
    <w:rsid w:val="0060625C"/>
    <w:rsid w:val="006062F9"/>
    <w:rsid w:val="00606AB5"/>
    <w:rsid w:val="00606FE5"/>
    <w:rsid w:val="006070B4"/>
    <w:rsid w:val="00607310"/>
    <w:rsid w:val="0060759B"/>
    <w:rsid w:val="006075DB"/>
    <w:rsid w:val="00607637"/>
    <w:rsid w:val="006077C4"/>
    <w:rsid w:val="00607E9E"/>
    <w:rsid w:val="0060DF81"/>
    <w:rsid w:val="00610304"/>
    <w:rsid w:val="006106B4"/>
    <w:rsid w:val="006107C4"/>
    <w:rsid w:val="00610AA3"/>
    <w:rsid w:val="00610C01"/>
    <w:rsid w:val="00610C54"/>
    <w:rsid w:val="00610CA5"/>
    <w:rsid w:val="006110C3"/>
    <w:rsid w:val="0061145B"/>
    <w:rsid w:val="0061159B"/>
    <w:rsid w:val="0061159C"/>
    <w:rsid w:val="0061159E"/>
    <w:rsid w:val="00611722"/>
    <w:rsid w:val="006117F6"/>
    <w:rsid w:val="0061192E"/>
    <w:rsid w:val="0061208A"/>
    <w:rsid w:val="0061243E"/>
    <w:rsid w:val="00612545"/>
    <w:rsid w:val="00612555"/>
    <w:rsid w:val="00612659"/>
    <w:rsid w:val="006128B2"/>
    <w:rsid w:val="006128EF"/>
    <w:rsid w:val="00612C0F"/>
    <w:rsid w:val="00612C98"/>
    <w:rsid w:val="00612DCE"/>
    <w:rsid w:val="00612E85"/>
    <w:rsid w:val="00612EB4"/>
    <w:rsid w:val="006133CD"/>
    <w:rsid w:val="00613649"/>
    <w:rsid w:val="006139B1"/>
    <w:rsid w:val="00613B53"/>
    <w:rsid w:val="00613CAB"/>
    <w:rsid w:val="00614183"/>
    <w:rsid w:val="00614C11"/>
    <w:rsid w:val="00614EB2"/>
    <w:rsid w:val="00615F78"/>
    <w:rsid w:val="006161DA"/>
    <w:rsid w:val="006161FD"/>
    <w:rsid w:val="00616269"/>
    <w:rsid w:val="00616590"/>
    <w:rsid w:val="00616A66"/>
    <w:rsid w:val="00616CD6"/>
    <w:rsid w:val="00616E01"/>
    <w:rsid w:val="00617094"/>
    <w:rsid w:val="006171A0"/>
    <w:rsid w:val="006178BC"/>
    <w:rsid w:val="00617AEB"/>
    <w:rsid w:val="0062042C"/>
    <w:rsid w:val="00620630"/>
    <w:rsid w:val="00620746"/>
    <w:rsid w:val="00620A64"/>
    <w:rsid w:val="00620F83"/>
    <w:rsid w:val="0062102E"/>
    <w:rsid w:val="006217D7"/>
    <w:rsid w:val="00621CEE"/>
    <w:rsid w:val="00621EC0"/>
    <w:rsid w:val="0062225C"/>
    <w:rsid w:val="006225BB"/>
    <w:rsid w:val="006229A7"/>
    <w:rsid w:val="00623309"/>
    <w:rsid w:val="006235F5"/>
    <w:rsid w:val="00623613"/>
    <w:rsid w:val="00623728"/>
    <w:rsid w:val="00623B88"/>
    <w:rsid w:val="00623F28"/>
    <w:rsid w:val="00624001"/>
    <w:rsid w:val="00624AB0"/>
    <w:rsid w:val="00624CEB"/>
    <w:rsid w:val="00624D54"/>
    <w:rsid w:val="006257F2"/>
    <w:rsid w:val="006264FE"/>
    <w:rsid w:val="006266EC"/>
    <w:rsid w:val="006268AA"/>
    <w:rsid w:val="00626AAA"/>
    <w:rsid w:val="00626AD8"/>
    <w:rsid w:val="00626B94"/>
    <w:rsid w:val="00626F2E"/>
    <w:rsid w:val="00627234"/>
    <w:rsid w:val="006273C0"/>
    <w:rsid w:val="0062748F"/>
    <w:rsid w:val="006274DC"/>
    <w:rsid w:val="0062770C"/>
    <w:rsid w:val="00627CDF"/>
    <w:rsid w:val="006304EE"/>
    <w:rsid w:val="00630525"/>
    <w:rsid w:val="00630A4E"/>
    <w:rsid w:val="00630C57"/>
    <w:rsid w:val="0063113B"/>
    <w:rsid w:val="0063114D"/>
    <w:rsid w:val="00631295"/>
    <w:rsid w:val="006323BF"/>
    <w:rsid w:val="006326A4"/>
    <w:rsid w:val="00632744"/>
    <w:rsid w:val="00632787"/>
    <w:rsid w:val="006327F5"/>
    <w:rsid w:val="00632849"/>
    <w:rsid w:val="00632957"/>
    <w:rsid w:val="00632BA0"/>
    <w:rsid w:val="00632BEC"/>
    <w:rsid w:val="00632E59"/>
    <w:rsid w:val="0063339F"/>
    <w:rsid w:val="006337D6"/>
    <w:rsid w:val="00633D3D"/>
    <w:rsid w:val="00634584"/>
    <w:rsid w:val="006351C6"/>
    <w:rsid w:val="0063539D"/>
    <w:rsid w:val="00635777"/>
    <w:rsid w:val="00635ACB"/>
    <w:rsid w:val="00635C4B"/>
    <w:rsid w:val="00635D31"/>
    <w:rsid w:val="006362BC"/>
    <w:rsid w:val="00636899"/>
    <w:rsid w:val="00636919"/>
    <w:rsid w:val="00636C05"/>
    <w:rsid w:val="00636C15"/>
    <w:rsid w:val="00636E68"/>
    <w:rsid w:val="006372B0"/>
    <w:rsid w:val="006379FE"/>
    <w:rsid w:val="00637A23"/>
    <w:rsid w:val="00637A26"/>
    <w:rsid w:val="00637B34"/>
    <w:rsid w:val="00637E1C"/>
    <w:rsid w:val="00640117"/>
    <w:rsid w:val="00640135"/>
    <w:rsid w:val="006401DC"/>
    <w:rsid w:val="00640217"/>
    <w:rsid w:val="006402FF"/>
    <w:rsid w:val="006403AA"/>
    <w:rsid w:val="006403D1"/>
    <w:rsid w:val="00640690"/>
    <w:rsid w:val="006407DA"/>
    <w:rsid w:val="00641101"/>
    <w:rsid w:val="0064129A"/>
    <w:rsid w:val="0064197B"/>
    <w:rsid w:val="0064198A"/>
    <w:rsid w:val="00641E3D"/>
    <w:rsid w:val="006425FC"/>
    <w:rsid w:val="006427F7"/>
    <w:rsid w:val="00642C35"/>
    <w:rsid w:val="00642D35"/>
    <w:rsid w:val="00642E71"/>
    <w:rsid w:val="0064312C"/>
    <w:rsid w:val="006432BC"/>
    <w:rsid w:val="0064349A"/>
    <w:rsid w:val="006435E4"/>
    <w:rsid w:val="006437FB"/>
    <w:rsid w:val="0064395A"/>
    <w:rsid w:val="00643D73"/>
    <w:rsid w:val="0064437E"/>
    <w:rsid w:val="00644628"/>
    <w:rsid w:val="006448D7"/>
    <w:rsid w:val="00644AF9"/>
    <w:rsid w:val="00644CB5"/>
    <w:rsid w:val="00644E70"/>
    <w:rsid w:val="00644FCA"/>
    <w:rsid w:val="0064510E"/>
    <w:rsid w:val="00645175"/>
    <w:rsid w:val="0064526C"/>
    <w:rsid w:val="006452FA"/>
    <w:rsid w:val="00645433"/>
    <w:rsid w:val="006455A1"/>
    <w:rsid w:val="00645911"/>
    <w:rsid w:val="006459FA"/>
    <w:rsid w:val="00645ABD"/>
    <w:rsid w:val="00646077"/>
    <w:rsid w:val="0064620E"/>
    <w:rsid w:val="00646309"/>
    <w:rsid w:val="0064634E"/>
    <w:rsid w:val="00646584"/>
    <w:rsid w:val="00646BD4"/>
    <w:rsid w:val="00646CB1"/>
    <w:rsid w:val="00646E13"/>
    <w:rsid w:val="00646F9E"/>
    <w:rsid w:val="006471BB"/>
    <w:rsid w:val="006471E9"/>
    <w:rsid w:val="006475FE"/>
    <w:rsid w:val="006479EF"/>
    <w:rsid w:val="00647F56"/>
    <w:rsid w:val="00647F97"/>
    <w:rsid w:val="00647FCC"/>
    <w:rsid w:val="006506BF"/>
    <w:rsid w:val="006508E0"/>
    <w:rsid w:val="00650B49"/>
    <w:rsid w:val="00650B7B"/>
    <w:rsid w:val="00650D91"/>
    <w:rsid w:val="00651A75"/>
    <w:rsid w:val="00651B26"/>
    <w:rsid w:val="00651D5C"/>
    <w:rsid w:val="00651D81"/>
    <w:rsid w:val="00651D9C"/>
    <w:rsid w:val="00651ED1"/>
    <w:rsid w:val="00651EED"/>
    <w:rsid w:val="006520CA"/>
    <w:rsid w:val="006521B6"/>
    <w:rsid w:val="00652568"/>
    <w:rsid w:val="0065269A"/>
    <w:rsid w:val="006528E4"/>
    <w:rsid w:val="00652B96"/>
    <w:rsid w:val="00652EA9"/>
    <w:rsid w:val="00652F41"/>
    <w:rsid w:val="0065309C"/>
    <w:rsid w:val="006530CF"/>
    <w:rsid w:val="00653655"/>
    <w:rsid w:val="00653AA1"/>
    <w:rsid w:val="00653BB4"/>
    <w:rsid w:val="006540AC"/>
    <w:rsid w:val="00654411"/>
    <w:rsid w:val="00654489"/>
    <w:rsid w:val="0065475D"/>
    <w:rsid w:val="00654873"/>
    <w:rsid w:val="00654B66"/>
    <w:rsid w:val="00654D07"/>
    <w:rsid w:val="00654D90"/>
    <w:rsid w:val="00654F0A"/>
    <w:rsid w:val="0065510E"/>
    <w:rsid w:val="006553D2"/>
    <w:rsid w:val="00655A6D"/>
    <w:rsid w:val="00655B94"/>
    <w:rsid w:val="0065637C"/>
    <w:rsid w:val="00656773"/>
    <w:rsid w:val="00656E61"/>
    <w:rsid w:val="00657214"/>
    <w:rsid w:val="006572E0"/>
    <w:rsid w:val="006579BA"/>
    <w:rsid w:val="00660A7E"/>
    <w:rsid w:val="00660B2D"/>
    <w:rsid w:val="0066147B"/>
    <w:rsid w:val="0066208B"/>
    <w:rsid w:val="006625BC"/>
    <w:rsid w:val="006630A3"/>
    <w:rsid w:val="00663184"/>
    <w:rsid w:val="0066352E"/>
    <w:rsid w:val="00663D73"/>
    <w:rsid w:val="00664276"/>
    <w:rsid w:val="0066469C"/>
    <w:rsid w:val="0066476A"/>
    <w:rsid w:val="0066489F"/>
    <w:rsid w:val="00664B73"/>
    <w:rsid w:val="00664E26"/>
    <w:rsid w:val="006654DC"/>
    <w:rsid w:val="00665889"/>
    <w:rsid w:val="00665D99"/>
    <w:rsid w:val="006664F7"/>
    <w:rsid w:val="00666505"/>
    <w:rsid w:val="00666A6D"/>
    <w:rsid w:val="00666D41"/>
    <w:rsid w:val="00666D68"/>
    <w:rsid w:val="006673FC"/>
    <w:rsid w:val="00667406"/>
    <w:rsid w:val="006677ED"/>
    <w:rsid w:val="00667904"/>
    <w:rsid w:val="00667A25"/>
    <w:rsid w:val="00667C4F"/>
    <w:rsid w:val="00670290"/>
    <w:rsid w:val="0067066D"/>
    <w:rsid w:val="00670C07"/>
    <w:rsid w:val="00670D8B"/>
    <w:rsid w:val="00670DBC"/>
    <w:rsid w:val="0067109D"/>
    <w:rsid w:val="006714EC"/>
    <w:rsid w:val="00671CB5"/>
    <w:rsid w:val="00671EAD"/>
    <w:rsid w:val="00671F59"/>
    <w:rsid w:val="00672370"/>
    <w:rsid w:val="006723B3"/>
    <w:rsid w:val="006723CA"/>
    <w:rsid w:val="00672BB9"/>
    <w:rsid w:val="00672DCC"/>
    <w:rsid w:val="00672E9A"/>
    <w:rsid w:val="0067314D"/>
    <w:rsid w:val="0067356B"/>
    <w:rsid w:val="006736AF"/>
    <w:rsid w:val="00673706"/>
    <w:rsid w:val="00673A51"/>
    <w:rsid w:val="00673AB2"/>
    <w:rsid w:val="00673E0F"/>
    <w:rsid w:val="006741CA"/>
    <w:rsid w:val="0067443D"/>
    <w:rsid w:val="00675721"/>
    <w:rsid w:val="00675931"/>
    <w:rsid w:val="00675A19"/>
    <w:rsid w:val="00675A41"/>
    <w:rsid w:val="00675A6D"/>
    <w:rsid w:val="00675D1C"/>
    <w:rsid w:val="006762BB"/>
    <w:rsid w:val="0067643D"/>
    <w:rsid w:val="006765E5"/>
    <w:rsid w:val="006768AD"/>
    <w:rsid w:val="00676E3F"/>
    <w:rsid w:val="006772C9"/>
    <w:rsid w:val="006775AE"/>
    <w:rsid w:val="00677703"/>
    <w:rsid w:val="006779DD"/>
    <w:rsid w:val="00677CF5"/>
    <w:rsid w:val="00677D63"/>
    <w:rsid w:val="00677E16"/>
    <w:rsid w:val="00680187"/>
    <w:rsid w:val="006801B1"/>
    <w:rsid w:val="006807EC"/>
    <w:rsid w:val="00680B92"/>
    <w:rsid w:val="00680DA6"/>
    <w:rsid w:val="00680EE8"/>
    <w:rsid w:val="00680F49"/>
    <w:rsid w:val="00680FE6"/>
    <w:rsid w:val="00680FF6"/>
    <w:rsid w:val="006811E7"/>
    <w:rsid w:val="0068183B"/>
    <w:rsid w:val="006818A2"/>
    <w:rsid w:val="00681BC4"/>
    <w:rsid w:val="00682563"/>
    <w:rsid w:val="00682BB1"/>
    <w:rsid w:val="00682C95"/>
    <w:rsid w:val="006830F5"/>
    <w:rsid w:val="0068323B"/>
    <w:rsid w:val="006832AA"/>
    <w:rsid w:val="00683422"/>
    <w:rsid w:val="00683A49"/>
    <w:rsid w:val="00684329"/>
    <w:rsid w:val="0068483A"/>
    <w:rsid w:val="00684A3F"/>
    <w:rsid w:val="00684C70"/>
    <w:rsid w:val="00684CD0"/>
    <w:rsid w:val="00684D65"/>
    <w:rsid w:val="0068514D"/>
    <w:rsid w:val="00685239"/>
    <w:rsid w:val="006856A6"/>
    <w:rsid w:val="00685B15"/>
    <w:rsid w:val="00685BE9"/>
    <w:rsid w:val="00685D6D"/>
    <w:rsid w:val="00686175"/>
    <w:rsid w:val="00686E12"/>
    <w:rsid w:val="00686E45"/>
    <w:rsid w:val="00686E47"/>
    <w:rsid w:val="006903BF"/>
    <w:rsid w:val="006906C4"/>
    <w:rsid w:val="00690E62"/>
    <w:rsid w:val="00691244"/>
    <w:rsid w:val="0069127F"/>
    <w:rsid w:val="006913AC"/>
    <w:rsid w:val="00691767"/>
    <w:rsid w:val="0069207E"/>
    <w:rsid w:val="0069228D"/>
    <w:rsid w:val="00692529"/>
    <w:rsid w:val="006925D8"/>
    <w:rsid w:val="0069268C"/>
    <w:rsid w:val="00693528"/>
    <w:rsid w:val="00693713"/>
    <w:rsid w:val="00694364"/>
    <w:rsid w:val="006943C0"/>
    <w:rsid w:val="006943DB"/>
    <w:rsid w:val="00694A06"/>
    <w:rsid w:val="00694A9C"/>
    <w:rsid w:val="00694D47"/>
    <w:rsid w:val="00694F2A"/>
    <w:rsid w:val="006950D4"/>
    <w:rsid w:val="00695278"/>
    <w:rsid w:val="006953E5"/>
    <w:rsid w:val="00695707"/>
    <w:rsid w:val="00695913"/>
    <w:rsid w:val="00695AC8"/>
    <w:rsid w:val="00695BFD"/>
    <w:rsid w:val="00695DA6"/>
    <w:rsid w:val="00696008"/>
    <w:rsid w:val="006964DA"/>
    <w:rsid w:val="00696507"/>
    <w:rsid w:val="006965E6"/>
    <w:rsid w:val="00696603"/>
    <w:rsid w:val="00696798"/>
    <w:rsid w:val="006970B1"/>
    <w:rsid w:val="006978D5"/>
    <w:rsid w:val="006A004E"/>
    <w:rsid w:val="006A0555"/>
    <w:rsid w:val="006A05B3"/>
    <w:rsid w:val="006A08F6"/>
    <w:rsid w:val="006A116F"/>
    <w:rsid w:val="006A1370"/>
    <w:rsid w:val="006A194F"/>
    <w:rsid w:val="006A1B0A"/>
    <w:rsid w:val="006A1CD5"/>
    <w:rsid w:val="006A1D6A"/>
    <w:rsid w:val="006A1ED7"/>
    <w:rsid w:val="006A20CF"/>
    <w:rsid w:val="006A23AD"/>
    <w:rsid w:val="006A2642"/>
    <w:rsid w:val="006A271B"/>
    <w:rsid w:val="006A286C"/>
    <w:rsid w:val="006A288E"/>
    <w:rsid w:val="006A2930"/>
    <w:rsid w:val="006A2F4E"/>
    <w:rsid w:val="006A3056"/>
    <w:rsid w:val="006A34A7"/>
    <w:rsid w:val="006A34C4"/>
    <w:rsid w:val="006A3682"/>
    <w:rsid w:val="006A36FF"/>
    <w:rsid w:val="006A37FF"/>
    <w:rsid w:val="006A38EB"/>
    <w:rsid w:val="006A3B46"/>
    <w:rsid w:val="006A427D"/>
    <w:rsid w:val="006A42A8"/>
    <w:rsid w:val="006A4484"/>
    <w:rsid w:val="006A4F88"/>
    <w:rsid w:val="006A52F3"/>
    <w:rsid w:val="006A53B6"/>
    <w:rsid w:val="006A566F"/>
    <w:rsid w:val="006A5C0E"/>
    <w:rsid w:val="006A5D0B"/>
    <w:rsid w:val="006A5DF1"/>
    <w:rsid w:val="006A6054"/>
    <w:rsid w:val="006A6081"/>
    <w:rsid w:val="006A6707"/>
    <w:rsid w:val="006A6EAD"/>
    <w:rsid w:val="006A6F55"/>
    <w:rsid w:val="006A777A"/>
    <w:rsid w:val="006A79C5"/>
    <w:rsid w:val="006B0038"/>
    <w:rsid w:val="006B04A8"/>
    <w:rsid w:val="006B0758"/>
    <w:rsid w:val="006B0882"/>
    <w:rsid w:val="006B08D0"/>
    <w:rsid w:val="006B1132"/>
    <w:rsid w:val="006B1743"/>
    <w:rsid w:val="006B199C"/>
    <w:rsid w:val="006B1AE3"/>
    <w:rsid w:val="006B1C4F"/>
    <w:rsid w:val="006B1D50"/>
    <w:rsid w:val="006B1E28"/>
    <w:rsid w:val="006B1ED6"/>
    <w:rsid w:val="006B1F6F"/>
    <w:rsid w:val="006B209A"/>
    <w:rsid w:val="006B2DA0"/>
    <w:rsid w:val="006B2FAD"/>
    <w:rsid w:val="006B31EF"/>
    <w:rsid w:val="006B3AD7"/>
    <w:rsid w:val="006B401E"/>
    <w:rsid w:val="006B4362"/>
    <w:rsid w:val="006B4724"/>
    <w:rsid w:val="006B4B71"/>
    <w:rsid w:val="006B4E2B"/>
    <w:rsid w:val="006B4F04"/>
    <w:rsid w:val="006B51C9"/>
    <w:rsid w:val="006B522F"/>
    <w:rsid w:val="006B52E7"/>
    <w:rsid w:val="006B598B"/>
    <w:rsid w:val="006B5CB4"/>
    <w:rsid w:val="006B60C4"/>
    <w:rsid w:val="006B6F2F"/>
    <w:rsid w:val="006B7156"/>
    <w:rsid w:val="006B7DBC"/>
    <w:rsid w:val="006B7EF7"/>
    <w:rsid w:val="006B7F0C"/>
    <w:rsid w:val="006C022B"/>
    <w:rsid w:val="006C06BC"/>
    <w:rsid w:val="006C0C9C"/>
    <w:rsid w:val="006C0D55"/>
    <w:rsid w:val="006C12BE"/>
    <w:rsid w:val="006C132C"/>
    <w:rsid w:val="006C1753"/>
    <w:rsid w:val="006C1AFC"/>
    <w:rsid w:val="006C1EB2"/>
    <w:rsid w:val="006C21A8"/>
    <w:rsid w:val="006C265C"/>
    <w:rsid w:val="006C2AA4"/>
    <w:rsid w:val="006C2F0A"/>
    <w:rsid w:val="006C3294"/>
    <w:rsid w:val="006C396B"/>
    <w:rsid w:val="006C46BA"/>
    <w:rsid w:val="006C48AA"/>
    <w:rsid w:val="006C4962"/>
    <w:rsid w:val="006C4D8F"/>
    <w:rsid w:val="006C4DE6"/>
    <w:rsid w:val="006C4EE2"/>
    <w:rsid w:val="006C4F52"/>
    <w:rsid w:val="006C5089"/>
    <w:rsid w:val="006C5C0E"/>
    <w:rsid w:val="006C6010"/>
    <w:rsid w:val="006C60C3"/>
    <w:rsid w:val="006C638C"/>
    <w:rsid w:val="006C6507"/>
    <w:rsid w:val="006C67F9"/>
    <w:rsid w:val="006C69A5"/>
    <w:rsid w:val="006C6A3F"/>
    <w:rsid w:val="006C7400"/>
    <w:rsid w:val="006C79AD"/>
    <w:rsid w:val="006C7E5A"/>
    <w:rsid w:val="006D02C1"/>
    <w:rsid w:val="006D03E1"/>
    <w:rsid w:val="006D0CC5"/>
    <w:rsid w:val="006D0FE9"/>
    <w:rsid w:val="006D15C7"/>
    <w:rsid w:val="006D1A95"/>
    <w:rsid w:val="006D1BD7"/>
    <w:rsid w:val="006D2104"/>
    <w:rsid w:val="006D21CD"/>
    <w:rsid w:val="006D2837"/>
    <w:rsid w:val="006D32CD"/>
    <w:rsid w:val="006D386E"/>
    <w:rsid w:val="006D39EA"/>
    <w:rsid w:val="006D3B39"/>
    <w:rsid w:val="006D3CC5"/>
    <w:rsid w:val="006D432C"/>
    <w:rsid w:val="006D449F"/>
    <w:rsid w:val="006D49C3"/>
    <w:rsid w:val="006D4B7F"/>
    <w:rsid w:val="006D50A1"/>
    <w:rsid w:val="006D5236"/>
    <w:rsid w:val="006D52E0"/>
    <w:rsid w:val="006D52E9"/>
    <w:rsid w:val="006D535E"/>
    <w:rsid w:val="006D5B52"/>
    <w:rsid w:val="006D5C26"/>
    <w:rsid w:val="006D5CD4"/>
    <w:rsid w:val="006D5EC5"/>
    <w:rsid w:val="006D5FF6"/>
    <w:rsid w:val="006D65E8"/>
    <w:rsid w:val="006D6B3E"/>
    <w:rsid w:val="006D6BF0"/>
    <w:rsid w:val="006D6DC0"/>
    <w:rsid w:val="006D6E88"/>
    <w:rsid w:val="006D7141"/>
    <w:rsid w:val="006D791E"/>
    <w:rsid w:val="006D793D"/>
    <w:rsid w:val="006D7A02"/>
    <w:rsid w:val="006D7DFE"/>
    <w:rsid w:val="006D7E01"/>
    <w:rsid w:val="006E0315"/>
    <w:rsid w:val="006E0851"/>
    <w:rsid w:val="006E0BB0"/>
    <w:rsid w:val="006E0D91"/>
    <w:rsid w:val="006E0E6C"/>
    <w:rsid w:val="006E1042"/>
    <w:rsid w:val="006E188C"/>
    <w:rsid w:val="006E18BE"/>
    <w:rsid w:val="006E1FF0"/>
    <w:rsid w:val="006E202C"/>
    <w:rsid w:val="006E20BA"/>
    <w:rsid w:val="006E287D"/>
    <w:rsid w:val="006E2C81"/>
    <w:rsid w:val="006E3061"/>
    <w:rsid w:val="006E326F"/>
    <w:rsid w:val="006E33EF"/>
    <w:rsid w:val="006E3867"/>
    <w:rsid w:val="006E3ACA"/>
    <w:rsid w:val="006E3ED5"/>
    <w:rsid w:val="006E4433"/>
    <w:rsid w:val="006E4ACA"/>
    <w:rsid w:val="006E4C33"/>
    <w:rsid w:val="006E4D0E"/>
    <w:rsid w:val="006E530D"/>
    <w:rsid w:val="006E5AA1"/>
    <w:rsid w:val="006E5FDD"/>
    <w:rsid w:val="006E6D28"/>
    <w:rsid w:val="006E7438"/>
    <w:rsid w:val="006E75A6"/>
    <w:rsid w:val="006E77A7"/>
    <w:rsid w:val="006E799A"/>
    <w:rsid w:val="006E7FD5"/>
    <w:rsid w:val="006F0500"/>
    <w:rsid w:val="006F056D"/>
    <w:rsid w:val="006F07E4"/>
    <w:rsid w:val="006F0DAE"/>
    <w:rsid w:val="006F1708"/>
    <w:rsid w:val="006F1B3A"/>
    <w:rsid w:val="006F1CBB"/>
    <w:rsid w:val="006F1FFE"/>
    <w:rsid w:val="006F2241"/>
    <w:rsid w:val="006F228B"/>
    <w:rsid w:val="006F2927"/>
    <w:rsid w:val="006F2C65"/>
    <w:rsid w:val="006F2D29"/>
    <w:rsid w:val="006F365C"/>
    <w:rsid w:val="006F3662"/>
    <w:rsid w:val="006F38CA"/>
    <w:rsid w:val="006F3CD1"/>
    <w:rsid w:val="006F3CF8"/>
    <w:rsid w:val="006F3EEF"/>
    <w:rsid w:val="006F4002"/>
    <w:rsid w:val="006F406E"/>
    <w:rsid w:val="006F40F8"/>
    <w:rsid w:val="006F4165"/>
    <w:rsid w:val="006F42BF"/>
    <w:rsid w:val="006F4476"/>
    <w:rsid w:val="006F4517"/>
    <w:rsid w:val="006F46F6"/>
    <w:rsid w:val="006F6230"/>
    <w:rsid w:val="006F631C"/>
    <w:rsid w:val="006F6365"/>
    <w:rsid w:val="006F643E"/>
    <w:rsid w:val="006F6444"/>
    <w:rsid w:val="006F645E"/>
    <w:rsid w:val="006F6830"/>
    <w:rsid w:val="006F6EAD"/>
    <w:rsid w:val="006F716F"/>
    <w:rsid w:val="006F7C1A"/>
    <w:rsid w:val="007001C1"/>
    <w:rsid w:val="00700302"/>
    <w:rsid w:val="00700389"/>
    <w:rsid w:val="007004A4"/>
    <w:rsid w:val="0070062C"/>
    <w:rsid w:val="00700C20"/>
    <w:rsid w:val="00701108"/>
    <w:rsid w:val="00701306"/>
    <w:rsid w:val="0070140D"/>
    <w:rsid w:val="0070167C"/>
    <w:rsid w:val="00701D4C"/>
    <w:rsid w:val="00702180"/>
    <w:rsid w:val="007026E1"/>
    <w:rsid w:val="007029C5"/>
    <w:rsid w:val="007029ED"/>
    <w:rsid w:val="00702E5B"/>
    <w:rsid w:val="00702F74"/>
    <w:rsid w:val="007030B0"/>
    <w:rsid w:val="0070323F"/>
    <w:rsid w:val="007037A6"/>
    <w:rsid w:val="0070465A"/>
    <w:rsid w:val="00704BC8"/>
    <w:rsid w:val="00704C48"/>
    <w:rsid w:val="00704C57"/>
    <w:rsid w:val="00704E23"/>
    <w:rsid w:val="007051BF"/>
    <w:rsid w:val="00705444"/>
    <w:rsid w:val="0070565E"/>
    <w:rsid w:val="0070594B"/>
    <w:rsid w:val="0070595E"/>
    <w:rsid w:val="00705AF9"/>
    <w:rsid w:val="00705C0A"/>
    <w:rsid w:val="00705DBF"/>
    <w:rsid w:val="00706458"/>
    <w:rsid w:val="00706900"/>
    <w:rsid w:val="00706A2F"/>
    <w:rsid w:val="00706B98"/>
    <w:rsid w:val="00706E18"/>
    <w:rsid w:val="007073EB"/>
    <w:rsid w:val="0070774D"/>
    <w:rsid w:val="00707924"/>
    <w:rsid w:val="00707C36"/>
    <w:rsid w:val="00710087"/>
    <w:rsid w:val="007104DC"/>
    <w:rsid w:val="0071075B"/>
    <w:rsid w:val="00710950"/>
    <w:rsid w:val="00710B55"/>
    <w:rsid w:val="00710DB2"/>
    <w:rsid w:val="00710F42"/>
    <w:rsid w:val="00711085"/>
    <w:rsid w:val="00711948"/>
    <w:rsid w:val="00711CDC"/>
    <w:rsid w:val="00711D56"/>
    <w:rsid w:val="00711ED8"/>
    <w:rsid w:val="00711F0E"/>
    <w:rsid w:val="00711F86"/>
    <w:rsid w:val="00711FE9"/>
    <w:rsid w:val="00711FFE"/>
    <w:rsid w:val="0071203C"/>
    <w:rsid w:val="007126DF"/>
    <w:rsid w:val="00712A5D"/>
    <w:rsid w:val="00712C8D"/>
    <w:rsid w:val="00713558"/>
    <w:rsid w:val="00713620"/>
    <w:rsid w:val="007138E7"/>
    <w:rsid w:val="007138F2"/>
    <w:rsid w:val="007139BF"/>
    <w:rsid w:val="00713C38"/>
    <w:rsid w:val="00713F88"/>
    <w:rsid w:val="00714122"/>
    <w:rsid w:val="0071460C"/>
    <w:rsid w:val="0071474E"/>
    <w:rsid w:val="007148D9"/>
    <w:rsid w:val="00714CE8"/>
    <w:rsid w:val="00714E32"/>
    <w:rsid w:val="00715012"/>
    <w:rsid w:val="0071503A"/>
    <w:rsid w:val="00715D35"/>
    <w:rsid w:val="00716118"/>
    <w:rsid w:val="00716426"/>
    <w:rsid w:val="00716880"/>
    <w:rsid w:val="007168E8"/>
    <w:rsid w:val="007173AE"/>
    <w:rsid w:val="0071743A"/>
    <w:rsid w:val="007177BB"/>
    <w:rsid w:val="00717B56"/>
    <w:rsid w:val="00717CBA"/>
    <w:rsid w:val="00717D91"/>
    <w:rsid w:val="0072051E"/>
    <w:rsid w:val="007205DA"/>
    <w:rsid w:val="00720F2B"/>
    <w:rsid w:val="00720F90"/>
    <w:rsid w:val="007211B0"/>
    <w:rsid w:val="0072144E"/>
    <w:rsid w:val="007216B7"/>
    <w:rsid w:val="007218E8"/>
    <w:rsid w:val="007223F0"/>
    <w:rsid w:val="00722B69"/>
    <w:rsid w:val="00722E56"/>
    <w:rsid w:val="00723168"/>
    <w:rsid w:val="007235B5"/>
    <w:rsid w:val="00723BAA"/>
    <w:rsid w:val="00723C81"/>
    <w:rsid w:val="00723D15"/>
    <w:rsid w:val="0072411C"/>
    <w:rsid w:val="007241F5"/>
    <w:rsid w:val="00724241"/>
    <w:rsid w:val="0072440D"/>
    <w:rsid w:val="0072443A"/>
    <w:rsid w:val="007247BB"/>
    <w:rsid w:val="00725651"/>
    <w:rsid w:val="00725AB9"/>
    <w:rsid w:val="00726308"/>
    <w:rsid w:val="00726962"/>
    <w:rsid w:val="00726B3B"/>
    <w:rsid w:val="00726E88"/>
    <w:rsid w:val="00727535"/>
    <w:rsid w:val="007277EF"/>
    <w:rsid w:val="00730407"/>
    <w:rsid w:val="0073089A"/>
    <w:rsid w:val="00730A00"/>
    <w:rsid w:val="00730C81"/>
    <w:rsid w:val="00730CCB"/>
    <w:rsid w:val="007310CA"/>
    <w:rsid w:val="007316F1"/>
    <w:rsid w:val="00731A81"/>
    <w:rsid w:val="00731BCE"/>
    <w:rsid w:val="00732166"/>
    <w:rsid w:val="007323AD"/>
    <w:rsid w:val="0073242B"/>
    <w:rsid w:val="00732549"/>
    <w:rsid w:val="00732684"/>
    <w:rsid w:val="00732802"/>
    <w:rsid w:val="0073287B"/>
    <w:rsid w:val="00732FF7"/>
    <w:rsid w:val="00733386"/>
    <w:rsid w:val="007335F9"/>
    <w:rsid w:val="00733744"/>
    <w:rsid w:val="00733ADF"/>
    <w:rsid w:val="00733B10"/>
    <w:rsid w:val="00733E9B"/>
    <w:rsid w:val="007343D9"/>
    <w:rsid w:val="007346A0"/>
    <w:rsid w:val="0073471C"/>
    <w:rsid w:val="00734D3D"/>
    <w:rsid w:val="00734F89"/>
    <w:rsid w:val="00735115"/>
    <w:rsid w:val="00735311"/>
    <w:rsid w:val="007356A4"/>
    <w:rsid w:val="007357BB"/>
    <w:rsid w:val="00735BC4"/>
    <w:rsid w:val="00735D90"/>
    <w:rsid w:val="00736A55"/>
    <w:rsid w:val="00736B9E"/>
    <w:rsid w:val="0073730F"/>
    <w:rsid w:val="00737554"/>
    <w:rsid w:val="007376C2"/>
    <w:rsid w:val="007379E4"/>
    <w:rsid w:val="00737B4F"/>
    <w:rsid w:val="007400A3"/>
    <w:rsid w:val="0074021A"/>
    <w:rsid w:val="00740425"/>
    <w:rsid w:val="00740485"/>
    <w:rsid w:val="007409F3"/>
    <w:rsid w:val="00740B5C"/>
    <w:rsid w:val="00740CA1"/>
    <w:rsid w:val="00740F7E"/>
    <w:rsid w:val="0074112D"/>
    <w:rsid w:val="00741BE1"/>
    <w:rsid w:val="0074210F"/>
    <w:rsid w:val="00742120"/>
    <w:rsid w:val="00742226"/>
    <w:rsid w:val="007422C7"/>
    <w:rsid w:val="0074250A"/>
    <w:rsid w:val="00742693"/>
    <w:rsid w:val="007427EB"/>
    <w:rsid w:val="007428FB"/>
    <w:rsid w:val="00742B61"/>
    <w:rsid w:val="00742F1B"/>
    <w:rsid w:val="00743103"/>
    <w:rsid w:val="00743AF5"/>
    <w:rsid w:val="00743F43"/>
    <w:rsid w:val="00743FD5"/>
    <w:rsid w:val="00744373"/>
    <w:rsid w:val="0074463C"/>
    <w:rsid w:val="007448DE"/>
    <w:rsid w:val="00744AD9"/>
    <w:rsid w:val="00744C4B"/>
    <w:rsid w:val="00744E0E"/>
    <w:rsid w:val="00744E8C"/>
    <w:rsid w:val="0074510C"/>
    <w:rsid w:val="007452F3"/>
    <w:rsid w:val="00745486"/>
    <w:rsid w:val="0074570D"/>
    <w:rsid w:val="0074578B"/>
    <w:rsid w:val="00745F0B"/>
    <w:rsid w:val="007460EE"/>
    <w:rsid w:val="00746120"/>
    <w:rsid w:val="0074619B"/>
    <w:rsid w:val="00746230"/>
    <w:rsid w:val="00746EB8"/>
    <w:rsid w:val="00747C25"/>
    <w:rsid w:val="00747EDE"/>
    <w:rsid w:val="00747F56"/>
    <w:rsid w:val="007500A6"/>
    <w:rsid w:val="00750E92"/>
    <w:rsid w:val="0075139E"/>
    <w:rsid w:val="00751689"/>
    <w:rsid w:val="00751C86"/>
    <w:rsid w:val="00751D6A"/>
    <w:rsid w:val="00751EBA"/>
    <w:rsid w:val="00752022"/>
    <w:rsid w:val="00752137"/>
    <w:rsid w:val="00752236"/>
    <w:rsid w:val="00752F85"/>
    <w:rsid w:val="0075308E"/>
    <w:rsid w:val="007535B8"/>
    <w:rsid w:val="0075378F"/>
    <w:rsid w:val="00753C6D"/>
    <w:rsid w:val="00753F8F"/>
    <w:rsid w:val="00753FC6"/>
    <w:rsid w:val="00754159"/>
    <w:rsid w:val="007543C3"/>
    <w:rsid w:val="00754584"/>
    <w:rsid w:val="00754B77"/>
    <w:rsid w:val="007551D1"/>
    <w:rsid w:val="0075548F"/>
    <w:rsid w:val="0075563F"/>
    <w:rsid w:val="007557DD"/>
    <w:rsid w:val="00755C81"/>
    <w:rsid w:val="00755FB4"/>
    <w:rsid w:val="00756027"/>
    <w:rsid w:val="00756095"/>
    <w:rsid w:val="007566F6"/>
    <w:rsid w:val="0075690E"/>
    <w:rsid w:val="00756927"/>
    <w:rsid w:val="00757302"/>
    <w:rsid w:val="007574F0"/>
    <w:rsid w:val="007575C6"/>
    <w:rsid w:val="00757C14"/>
    <w:rsid w:val="007604AB"/>
    <w:rsid w:val="007605AA"/>
    <w:rsid w:val="0076089D"/>
    <w:rsid w:val="00760D00"/>
    <w:rsid w:val="00760E9F"/>
    <w:rsid w:val="007612BB"/>
    <w:rsid w:val="00761DAB"/>
    <w:rsid w:val="00762226"/>
    <w:rsid w:val="007622A9"/>
    <w:rsid w:val="00762536"/>
    <w:rsid w:val="00762A26"/>
    <w:rsid w:val="00762ACE"/>
    <w:rsid w:val="00762B1E"/>
    <w:rsid w:val="00762C10"/>
    <w:rsid w:val="00762C21"/>
    <w:rsid w:val="00762EFF"/>
    <w:rsid w:val="00763068"/>
    <w:rsid w:val="007630D4"/>
    <w:rsid w:val="00763A50"/>
    <w:rsid w:val="00763A92"/>
    <w:rsid w:val="00763D5F"/>
    <w:rsid w:val="00764055"/>
    <w:rsid w:val="00764113"/>
    <w:rsid w:val="007643D9"/>
    <w:rsid w:val="00765015"/>
    <w:rsid w:val="00765405"/>
    <w:rsid w:val="00765AF8"/>
    <w:rsid w:val="00765D49"/>
    <w:rsid w:val="00765EE9"/>
    <w:rsid w:val="00765FEA"/>
    <w:rsid w:val="007662A4"/>
    <w:rsid w:val="007665F8"/>
    <w:rsid w:val="00766B28"/>
    <w:rsid w:val="00766FD3"/>
    <w:rsid w:val="0076707E"/>
    <w:rsid w:val="007671DF"/>
    <w:rsid w:val="0076745C"/>
    <w:rsid w:val="0076750A"/>
    <w:rsid w:val="007676E4"/>
    <w:rsid w:val="00767720"/>
    <w:rsid w:val="00767992"/>
    <w:rsid w:val="00767A67"/>
    <w:rsid w:val="00767BAD"/>
    <w:rsid w:val="00767C3B"/>
    <w:rsid w:val="00767D4D"/>
    <w:rsid w:val="00770531"/>
    <w:rsid w:val="007708B1"/>
    <w:rsid w:val="007708D6"/>
    <w:rsid w:val="007709EC"/>
    <w:rsid w:val="00770A6C"/>
    <w:rsid w:val="00770D30"/>
    <w:rsid w:val="00770FB3"/>
    <w:rsid w:val="007710D6"/>
    <w:rsid w:val="007714F9"/>
    <w:rsid w:val="0077159A"/>
    <w:rsid w:val="00771B5D"/>
    <w:rsid w:val="00772A1C"/>
    <w:rsid w:val="00772D2E"/>
    <w:rsid w:val="00772DDE"/>
    <w:rsid w:val="00772EA8"/>
    <w:rsid w:val="00772F16"/>
    <w:rsid w:val="00772FEC"/>
    <w:rsid w:val="0077310F"/>
    <w:rsid w:val="007739A2"/>
    <w:rsid w:val="00773B51"/>
    <w:rsid w:val="00773EAC"/>
    <w:rsid w:val="007749DD"/>
    <w:rsid w:val="007752FD"/>
    <w:rsid w:val="00775461"/>
    <w:rsid w:val="00776252"/>
    <w:rsid w:val="007765D8"/>
    <w:rsid w:val="0077695B"/>
    <w:rsid w:val="00776E79"/>
    <w:rsid w:val="0077716A"/>
    <w:rsid w:val="007774A4"/>
    <w:rsid w:val="00777A5C"/>
    <w:rsid w:val="00777E84"/>
    <w:rsid w:val="007808CF"/>
    <w:rsid w:val="0078097C"/>
    <w:rsid w:val="00780CD1"/>
    <w:rsid w:val="00780D15"/>
    <w:rsid w:val="00780D23"/>
    <w:rsid w:val="00780F40"/>
    <w:rsid w:val="0078117A"/>
    <w:rsid w:val="00781964"/>
    <w:rsid w:val="007819B2"/>
    <w:rsid w:val="00781CDA"/>
    <w:rsid w:val="00781E84"/>
    <w:rsid w:val="00782218"/>
    <w:rsid w:val="0078235D"/>
    <w:rsid w:val="00782379"/>
    <w:rsid w:val="0078275E"/>
    <w:rsid w:val="0078279B"/>
    <w:rsid w:val="007829E4"/>
    <w:rsid w:val="00782A18"/>
    <w:rsid w:val="00782C5D"/>
    <w:rsid w:val="00783064"/>
    <w:rsid w:val="00783D4E"/>
    <w:rsid w:val="00783E40"/>
    <w:rsid w:val="00783F30"/>
    <w:rsid w:val="00783FD6"/>
    <w:rsid w:val="0078409D"/>
    <w:rsid w:val="007848EF"/>
    <w:rsid w:val="00784948"/>
    <w:rsid w:val="00784A4C"/>
    <w:rsid w:val="00784AA2"/>
    <w:rsid w:val="00785595"/>
    <w:rsid w:val="007857EE"/>
    <w:rsid w:val="00786099"/>
    <w:rsid w:val="00786663"/>
    <w:rsid w:val="007866B2"/>
    <w:rsid w:val="0078688E"/>
    <w:rsid w:val="007868F1"/>
    <w:rsid w:val="00786B9C"/>
    <w:rsid w:val="00786DCC"/>
    <w:rsid w:val="0078764D"/>
    <w:rsid w:val="00787699"/>
    <w:rsid w:val="00787762"/>
    <w:rsid w:val="007877AC"/>
    <w:rsid w:val="0078790C"/>
    <w:rsid w:val="0078790D"/>
    <w:rsid w:val="007879AD"/>
    <w:rsid w:val="00787EAD"/>
    <w:rsid w:val="00790144"/>
    <w:rsid w:val="007903E6"/>
    <w:rsid w:val="00790765"/>
    <w:rsid w:val="007908CD"/>
    <w:rsid w:val="00790D4D"/>
    <w:rsid w:val="00790FE4"/>
    <w:rsid w:val="00791203"/>
    <w:rsid w:val="00791645"/>
    <w:rsid w:val="007917A6"/>
    <w:rsid w:val="007922C6"/>
    <w:rsid w:val="00792459"/>
    <w:rsid w:val="00792520"/>
    <w:rsid w:val="0079287B"/>
    <w:rsid w:val="0079292D"/>
    <w:rsid w:val="00792940"/>
    <w:rsid w:val="00792EDE"/>
    <w:rsid w:val="007935C2"/>
    <w:rsid w:val="0079360A"/>
    <w:rsid w:val="0079372E"/>
    <w:rsid w:val="007937AA"/>
    <w:rsid w:val="00793913"/>
    <w:rsid w:val="00793AB8"/>
    <w:rsid w:val="00793C76"/>
    <w:rsid w:val="00793D62"/>
    <w:rsid w:val="00793E15"/>
    <w:rsid w:val="00793FB3"/>
    <w:rsid w:val="00794410"/>
    <w:rsid w:val="007948C5"/>
    <w:rsid w:val="00794E11"/>
    <w:rsid w:val="007953C6"/>
    <w:rsid w:val="00795665"/>
    <w:rsid w:val="007958E5"/>
    <w:rsid w:val="0079593F"/>
    <w:rsid w:val="00795B8F"/>
    <w:rsid w:val="007961E0"/>
    <w:rsid w:val="0079623E"/>
    <w:rsid w:val="007964C8"/>
    <w:rsid w:val="007965A5"/>
    <w:rsid w:val="007965DE"/>
    <w:rsid w:val="00796AB5"/>
    <w:rsid w:val="00796AE0"/>
    <w:rsid w:val="00796F3F"/>
    <w:rsid w:val="00797A86"/>
    <w:rsid w:val="00797DB1"/>
    <w:rsid w:val="007A0022"/>
    <w:rsid w:val="007A0292"/>
    <w:rsid w:val="007A0C1C"/>
    <w:rsid w:val="007A0C25"/>
    <w:rsid w:val="007A0FFF"/>
    <w:rsid w:val="007A14BB"/>
    <w:rsid w:val="007A160C"/>
    <w:rsid w:val="007A1BAC"/>
    <w:rsid w:val="007A1F70"/>
    <w:rsid w:val="007A242D"/>
    <w:rsid w:val="007A24D0"/>
    <w:rsid w:val="007A2674"/>
    <w:rsid w:val="007A288B"/>
    <w:rsid w:val="007A2937"/>
    <w:rsid w:val="007A2C8A"/>
    <w:rsid w:val="007A3080"/>
    <w:rsid w:val="007A3860"/>
    <w:rsid w:val="007A3B52"/>
    <w:rsid w:val="007A3E9D"/>
    <w:rsid w:val="007A4380"/>
    <w:rsid w:val="007A4BD6"/>
    <w:rsid w:val="007A4ECD"/>
    <w:rsid w:val="007A500A"/>
    <w:rsid w:val="007A54F6"/>
    <w:rsid w:val="007A589D"/>
    <w:rsid w:val="007A5A5D"/>
    <w:rsid w:val="007A5A98"/>
    <w:rsid w:val="007A652F"/>
    <w:rsid w:val="007A6B60"/>
    <w:rsid w:val="007A6D76"/>
    <w:rsid w:val="007A6EF5"/>
    <w:rsid w:val="007A7000"/>
    <w:rsid w:val="007A731C"/>
    <w:rsid w:val="007A7FB5"/>
    <w:rsid w:val="007B0537"/>
    <w:rsid w:val="007B097A"/>
    <w:rsid w:val="007B0AF3"/>
    <w:rsid w:val="007B0BDF"/>
    <w:rsid w:val="007B0ECD"/>
    <w:rsid w:val="007B1122"/>
    <w:rsid w:val="007B119F"/>
    <w:rsid w:val="007B1248"/>
    <w:rsid w:val="007B1DDF"/>
    <w:rsid w:val="007B1ED2"/>
    <w:rsid w:val="007B23FA"/>
    <w:rsid w:val="007B3A9E"/>
    <w:rsid w:val="007B43FD"/>
    <w:rsid w:val="007B4531"/>
    <w:rsid w:val="007B4587"/>
    <w:rsid w:val="007B4844"/>
    <w:rsid w:val="007B4ED9"/>
    <w:rsid w:val="007B578B"/>
    <w:rsid w:val="007B57B7"/>
    <w:rsid w:val="007B5B70"/>
    <w:rsid w:val="007B5BC8"/>
    <w:rsid w:val="007B6A70"/>
    <w:rsid w:val="007B6B91"/>
    <w:rsid w:val="007B6D38"/>
    <w:rsid w:val="007B7195"/>
    <w:rsid w:val="007B7309"/>
    <w:rsid w:val="007B73A2"/>
    <w:rsid w:val="007B755E"/>
    <w:rsid w:val="007B783A"/>
    <w:rsid w:val="007C0366"/>
    <w:rsid w:val="007C092B"/>
    <w:rsid w:val="007C0936"/>
    <w:rsid w:val="007C0C65"/>
    <w:rsid w:val="007C0EAA"/>
    <w:rsid w:val="007C0ED9"/>
    <w:rsid w:val="007C0F0F"/>
    <w:rsid w:val="007C144A"/>
    <w:rsid w:val="007C1D60"/>
    <w:rsid w:val="007C23A4"/>
    <w:rsid w:val="007C2401"/>
    <w:rsid w:val="007C2A36"/>
    <w:rsid w:val="007C2BC3"/>
    <w:rsid w:val="007C2CA1"/>
    <w:rsid w:val="007C2D64"/>
    <w:rsid w:val="007C304A"/>
    <w:rsid w:val="007C30E4"/>
    <w:rsid w:val="007C30E9"/>
    <w:rsid w:val="007C3398"/>
    <w:rsid w:val="007C350C"/>
    <w:rsid w:val="007C462C"/>
    <w:rsid w:val="007C469D"/>
    <w:rsid w:val="007C4AD7"/>
    <w:rsid w:val="007C4AE0"/>
    <w:rsid w:val="007C4C76"/>
    <w:rsid w:val="007C5284"/>
    <w:rsid w:val="007C5E37"/>
    <w:rsid w:val="007C5EDA"/>
    <w:rsid w:val="007C611D"/>
    <w:rsid w:val="007C64F4"/>
    <w:rsid w:val="007C6A17"/>
    <w:rsid w:val="007C7B01"/>
    <w:rsid w:val="007C7BFD"/>
    <w:rsid w:val="007D000D"/>
    <w:rsid w:val="007D004A"/>
    <w:rsid w:val="007D0178"/>
    <w:rsid w:val="007D02AA"/>
    <w:rsid w:val="007D062B"/>
    <w:rsid w:val="007D06F2"/>
    <w:rsid w:val="007D0E74"/>
    <w:rsid w:val="007D0EBE"/>
    <w:rsid w:val="007D1258"/>
    <w:rsid w:val="007D1327"/>
    <w:rsid w:val="007D1585"/>
    <w:rsid w:val="007D1C89"/>
    <w:rsid w:val="007D1CD6"/>
    <w:rsid w:val="007D1E8B"/>
    <w:rsid w:val="007D20AB"/>
    <w:rsid w:val="007D2451"/>
    <w:rsid w:val="007D2854"/>
    <w:rsid w:val="007D285E"/>
    <w:rsid w:val="007D37A9"/>
    <w:rsid w:val="007D39AF"/>
    <w:rsid w:val="007D3C69"/>
    <w:rsid w:val="007D3E62"/>
    <w:rsid w:val="007D408B"/>
    <w:rsid w:val="007D46B8"/>
    <w:rsid w:val="007D4969"/>
    <w:rsid w:val="007D5325"/>
    <w:rsid w:val="007D54E1"/>
    <w:rsid w:val="007D597D"/>
    <w:rsid w:val="007D5B43"/>
    <w:rsid w:val="007D626D"/>
    <w:rsid w:val="007D672D"/>
    <w:rsid w:val="007D6A77"/>
    <w:rsid w:val="007D6C5C"/>
    <w:rsid w:val="007D716C"/>
    <w:rsid w:val="007E0452"/>
    <w:rsid w:val="007E0864"/>
    <w:rsid w:val="007E0A0F"/>
    <w:rsid w:val="007E0D61"/>
    <w:rsid w:val="007E0F6F"/>
    <w:rsid w:val="007E10DC"/>
    <w:rsid w:val="007E1727"/>
    <w:rsid w:val="007E17BF"/>
    <w:rsid w:val="007E17CB"/>
    <w:rsid w:val="007E1B1E"/>
    <w:rsid w:val="007E1EAA"/>
    <w:rsid w:val="007E1F04"/>
    <w:rsid w:val="007E205C"/>
    <w:rsid w:val="007E221D"/>
    <w:rsid w:val="007E2265"/>
    <w:rsid w:val="007E24FD"/>
    <w:rsid w:val="007E2C37"/>
    <w:rsid w:val="007E2D2A"/>
    <w:rsid w:val="007E2EE8"/>
    <w:rsid w:val="007E35BF"/>
    <w:rsid w:val="007E39D2"/>
    <w:rsid w:val="007E3AA3"/>
    <w:rsid w:val="007E4219"/>
    <w:rsid w:val="007E4725"/>
    <w:rsid w:val="007E49DF"/>
    <w:rsid w:val="007E4EAD"/>
    <w:rsid w:val="007E52F5"/>
    <w:rsid w:val="007E5324"/>
    <w:rsid w:val="007E56AC"/>
    <w:rsid w:val="007E5A8D"/>
    <w:rsid w:val="007E5DA6"/>
    <w:rsid w:val="007E5DC9"/>
    <w:rsid w:val="007E5F54"/>
    <w:rsid w:val="007E5FBF"/>
    <w:rsid w:val="007E6169"/>
    <w:rsid w:val="007E616A"/>
    <w:rsid w:val="007E65B3"/>
    <w:rsid w:val="007E6616"/>
    <w:rsid w:val="007E6896"/>
    <w:rsid w:val="007E6ADE"/>
    <w:rsid w:val="007E6F00"/>
    <w:rsid w:val="007E718A"/>
    <w:rsid w:val="007E7238"/>
    <w:rsid w:val="007E7239"/>
    <w:rsid w:val="007E72C6"/>
    <w:rsid w:val="007E73AF"/>
    <w:rsid w:val="007E78F2"/>
    <w:rsid w:val="007E7AE4"/>
    <w:rsid w:val="007F046D"/>
    <w:rsid w:val="007F0592"/>
    <w:rsid w:val="007F069F"/>
    <w:rsid w:val="007F077E"/>
    <w:rsid w:val="007F07BF"/>
    <w:rsid w:val="007F10B3"/>
    <w:rsid w:val="007F1A68"/>
    <w:rsid w:val="007F1FBC"/>
    <w:rsid w:val="007F2063"/>
    <w:rsid w:val="007F259B"/>
    <w:rsid w:val="007F2768"/>
    <w:rsid w:val="007F277F"/>
    <w:rsid w:val="007F2951"/>
    <w:rsid w:val="007F29A7"/>
    <w:rsid w:val="007F2C2E"/>
    <w:rsid w:val="007F2E2E"/>
    <w:rsid w:val="007F3036"/>
    <w:rsid w:val="007F31EF"/>
    <w:rsid w:val="007F3368"/>
    <w:rsid w:val="007F3820"/>
    <w:rsid w:val="007F3E3E"/>
    <w:rsid w:val="007F4390"/>
    <w:rsid w:val="007F4D15"/>
    <w:rsid w:val="007F5016"/>
    <w:rsid w:val="007F5053"/>
    <w:rsid w:val="007F57E9"/>
    <w:rsid w:val="007F5A40"/>
    <w:rsid w:val="007F5AF0"/>
    <w:rsid w:val="007F60B1"/>
    <w:rsid w:val="007F6252"/>
    <w:rsid w:val="007F62FE"/>
    <w:rsid w:val="007F67DA"/>
    <w:rsid w:val="007F68A3"/>
    <w:rsid w:val="007F69C4"/>
    <w:rsid w:val="007F6A3B"/>
    <w:rsid w:val="007F7424"/>
    <w:rsid w:val="007F746E"/>
    <w:rsid w:val="007F7A4B"/>
    <w:rsid w:val="007F7B39"/>
    <w:rsid w:val="007F7B60"/>
    <w:rsid w:val="0080047A"/>
    <w:rsid w:val="00800DB5"/>
    <w:rsid w:val="00801041"/>
    <w:rsid w:val="00801076"/>
    <w:rsid w:val="00801233"/>
    <w:rsid w:val="008016A2"/>
    <w:rsid w:val="008019CD"/>
    <w:rsid w:val="00801ECB"/>
    <w:rsid w:val="00801F35"/>
    <w:rsid w:val="008022FE"/>
    <w:rsid w:val="00802705"/>
    <w:rsid w:val="00802F87"/>
    <w:rsid w:val="0080335C"/>
    <w:rsid w:val="0080370C"/>
    <w:rsid w:val="00803739"/>
    <w:rsid w:val="00803CF3"/>
    <w:rsid w:val="00803DB7"/>
    <w:rsid w:val="00803F5D"/>
    <w:rsid w:val="0080435A"/>
    <w:rsid w:val="00804930"/>
    <w:rsid w:val="00804B42"/>
    <w:rsid w:val="00805397"/>
    <w:rsid w:val="00805607"/>
    <w:rsid w:val="00805773"/>
    <w:rsid w:val="008057CC"/>
    <w:rsid w:val="008059AD"/>
    <w:rsid w:val="00805AD0"/>
    <w:rsid w:val="00805E4E"/>
    <w:rsid w:val="00806078"/>
    <w:rsid w:val="00806478"/>
    <w:rsid w:val="008066AA"/>
    <w:rsid w:val="00806DEF"/>
    <w:rsid w:val="008073E7"/>
    <w:rsid w:val="00807413"/>
    <w:rsid w:val="00807423"/>
    <w:rsid w:val="00807EDD"/>
    <w:rsid w:val="008102E3"/>
    <w:rsid w:val="008108E8"/>
    <w:rsid w:val="0081092B"/>
    <w:rsid w:val="00810AF3"/>
    <w:rsid w:val="0081105C"/>
    <w:rsid w:val="0081142C"/>
    <w:rsid w:val="008115E0"/>
    <w:rsid w:val="00811C81"/>
    <w:rsid w:val="00811D45"/>
    <w:rsid w:val="008126DE"/>
    <w:rsid w:val="008129F8"/>
    <w:rsid w:val="00812CD7"/>
    <w:rsid w:val="00812D78"/>
    <w:rsid w:val="0081300E"/>
    <w:rsid w:val="00813129"/>
    <w:rsid w:val="0081319A"/>
    <w:rsid w:val="0081322C"/>
    <w:rsid w:val="008134C2"/>
    <w:rsid w:val="00813691"/>
    <w:rsid w:val="00813892"/>
    <w:rsid w:val="00813A04"/>
    <w:rsid w:val="00813C88"/>
    <w:rsid w:val="00813CFA"/>
    <w:rsid w:val="00813E77"/>
    <w:rsid w:val="008148EC"/>
    <w:rsid w:val="008150B1"/>
    <w:rsid w:val="00815358"/>
    <w:rsid w:val="008154AB"/>
    <w:rsid w:val="00815538"/>
    <w:rsid w:val="008159FD"/>
    <w:rsid w:val="00815B3A"/>
    <w:rsid w:val="00815F67"/>
    <w:rsid w:val="00816412"/>
    <w:rsid w:val="008167C4"/>
    <w:rsid w:val="00816A81"/>
    <w:rsid w:val="00816B62"/>
    <w:rsid w:val="00816DA4"/>
    <w:rsid w:val="00816E01"/>
    <w:rsid w:val="008171E0"/>
    <w:rsid w:val="008175F4"/>
    <w:rsid w:val="0081774A"/>
    <w:rsid w:val="00817767"/>
    <w:rsid w:val="00817B0A"/>
    <w:rsid w:val="00817F00"/>
    <w:rsid w:val="00820054"/>
    <w:rsid w:val="0082090B"/>
    <w:rsid w:val="00820BE9"/>
    <w:rsid w:val="00820EDF"/>
    <w:rsid w:val="008213BB"/>
    <w:rsid w:val="00821840"/>
    <w:rsid w:val="00821A18"/>
    <w:rsid w:val="00821F62"/>
    <w:rsid w:val="00821FCB"/>
    <w:rsid w:val="0082214C"/>
    <w:rsid w:val="00822587"/>
    <w:rsid w:val="00822E93"/>
    <w:rsid w:val="00823806"/>
    <w:rsid w:val="008239AA"/>
    <w:rsid w:val="00823BDB"/>
    <w:rsid w:val="00823D73"/>
    <w:rsid w:val="00823E1A"/>
    <w:rsid w:val="00823E27"/>
    <w:rsid w:val="00824225"/>
    <w:rsid w:val="008244ED"/>
    <w:rsid w:val="0082481F"/>
    <w:rsid w:val="008248FE"/>
    <w:rsid w:val="0082494C"/>
    <w:rsid w:val="00824CD7"/>
    <w:rsid w:val="008253B4"/>
    <w:rsid w:val="008259AA"/>
    <w:rsid w:val="00825E3E"/>
    <w:rsid w:val="00825E5E"/>
    <w:rsid w:val="00826264"/>
    <w:rsid w:val="00827053"/>
    <w:rsid w:val="00827371"/>
    <w:rsid w:val="00827663"/>
    <w:rsid w:val="00827730"/>
    <w:rsid w:val="008277EC"/>
    <w:rsid w:val="00827824"/>
    <w:rsid w:val="00827850"/>
    <w:rsid w:val="008278E2"/>
    <w:rsid w:val="00827983"/>
    <w:rsid w:val="00827CD4"/>
    <w:rsid w:val="00830B33"/>
    <w:rsid w:val="00830FE6"/>
    <w:rsid w:val="00831014"/>
    <w:rsid w:val="0083114E"/>
    <w:rsid w:val="0083143C"/>
    <w:rsid w:val="00831819"/>
    <w:rsid w:val="00831C5C"/>
    <w:rsid w:val="00831E1B"/>
    <w:rsid w:val="0083213F"/>
    <w:rsid w:val="00832394"/>
    <w:rsid w:val="008329B4"/>
    <w:rsid w:val="008329F8"/>
    <w:rsid w:val="00832DC3"/>
    <w:rsid w:val="00832EA1"/>
    <w:rsid w:val="0083333D"/>
    <w:rsid w:val="008335F2"/>
    <w:rsid w:val="008336DE"/>
    <w:rsid w:val="0083396B"/>
    <w:rsid w:val="00833C46"/>
    <w:rsid w:val="008340D2"/>
    <w:rsid w:val="008342CB"/>
    <w:rsid w:val="00834844"/>
    <w:rsid w:val="00834B7F"/>
    <w:rsid w:val="008350DF"/>
    <w:rsid w:val="00835750"/>
    <w:rsid w:val="00835821"/>
    <w:rsid w:val="008358F0"/>
    <w:rsid w:val="00835BE8"/>
    <w:rsid w:val="00835D21"/>
    <w:rsid w:val="00835EEE"/>
    <w:rsid w:val="00836A28"/>
    <w:rsid w:val="00837664"/>
    <w:rsid w:val="00837F72"/>
    <w:rsid w:val="00840415"/>
    <w:rsid w:val="008405F6"/>
    <w:rsid w:val="00840641"/>
    <w:rsid w:val="0084071B"/>
    <w:rsid w:val="00840E38"/>
    <w:rsid w:val="008411C5"/>
    <w:rsid w:val="0084160D"/>
    <w:rsid w:val="0084160F"/>
    <w:rsid w:val="00841809"/>
    <w:rsid w:val="00842460"/>
    <w:rsid w:val="0084279F"/>
    <w:rsid w:val="0084286F"/>
    <w:rsid w:val="00842EF4"/>
    <w:rsid w:val="008430A3"/>
    <w:rsid w:val="0084313C"/>
    <w:rsid w:val="0084342E"/>
    <w:rsid w:val="00843719"/>
    <w:rsid w:val="00843A84"/>
    <w:rsid w:val="00843AC8"/>
    <w:rsid w:val="00843FAC"/>
    <w:rsid w:val="00844272"/>
    <w:rsid w:val="0084441F"/>
    <w:rsid w:val="00844501"/>
    <w:rsid w:val="0084476C"/>
    <w:rsid w:val="00844ABB"/>
    <w:rsid w:val="00844CF9"/>
    <w:rsid w:val="00844FD7"/>
    <w:rsid w:val="00845533"/>
    <w:rsid w:val="00845809"/>
    <w:rsid w:val="0084591F"/>
    <w:rsid w:val="00846107"/>
    <w:rsid w:val="00846351"/>
    <w:rsid w:val="00846400"/>
    <w:rsid w:val="00846AA2"/>
    <w:rsid w:val="00846C49"/>
    <w:rsid w:val="00846EB0"/>
    <w:rsid w:val="0084718D"/>
    <w:rsid w:val="008473F6"/>
    <w:rsid w:val="0084749C"/>
    <w:rsid w:val="00847591"/>
    <w:rsid w:val="00847659"/>
    <w:rsid w:val="0084768B"/>
    <w:rsid w:val="00847923"/>
    <w:rsid w:val="00847CF2"/>
    <w:rsid w:val="00850761"/>
    <w:rsid w:val="00850EAF"/>
    <w:rsid w:val="0085105F"/>
    <w:rsid w:val="00851260"/>
    <w:rsid w:val="008519CB"/>
    <w:rsid w:val="00851E7E"/>
    <w:rsid w:val="00852024"/>
    <w:rsid w:val="00852074"/>
    <w:rsid w:val="008522E2"/>
    <w:rsid w:val="008523FF"/>
    <w:rsid w:val="0085241D"/>
    <w:rsid w:val="00852533"/>
    <w:rsid w:val="008525E4"/>
    <w:rsid w:val="00852649"/>
    <w:rsid w:val="0085308B"/>
    <w:rsid w:val="00853204"/>
    <w:rsid w:val="0085353A"/>
    <w:rsid w:val="008536F8"/>
    <w:rsid w:val="00853703"/>
    <w:rsid w:val="00853868"/>
    <w:rsid w:val="008538DD"/>
    <w:rsid w:val="00853ADA"/>
    <w:rsid w:val="00854116"/>
    <w:rsid w:val="00854521"/>
    <w:rsid w:val="00854B33"/>
    <w:rsid w:val="00854BDE"/>
    <w:rsid w:val="0085508D"/>
    <w:rsid w:val="008550CF"/>
    <w:rsid w:val="008553F4"/>
    <w:rsid w:val="00855443"/>
    <w:rsid w:val="008556DF"/>
    <w:rsid w:val="00855BEC"/>
    <w:rsid w:val="00855F1D"/>
    <w:rsid w:val="00855F57"/>
    <w:rsid w:val="008567E6"/>
    <w:rsid w:val="00856A26"/>
    <w:rsid w:val="00856D92"/>
    <w:rsid w:val="00856FE5"/>
    <w:rsid w:val="0085786D"/>
    <w:rsid w:val="00857912"/>
    <w:rsid w:val="00857D93"/>
    <w:rsid w:val="00860162"/>
    <w:rsid w:val="00860791"/>
    <w:rsid w:val="008608C4"/>
    <w:rsid w:val="00860C1F"/>
    <w:rsid w:val="00860E64"/>
    <w:rsid w:val="00860ED3"/>
    <w:rsid w:val="00860FAB"/>
    <w:rsid w:val="00861079"/>
    <w:rsid w:val="00861205"/>
    <w:rsid w:val="0086160F"/>
    <w:rsid w:val="008618AD"/>
    <w:rsid w:val="0086198A"/>
    <w:rsid w:val="00861C09"/>
    <w:rsid w:val="00861D56"/>
    <w:rsid w:val="00861FB9"/>
    <w:rsid w:val="00862036"/>
    <w:rsid w:val="00862243"/>
    <w:rsid w:val="00862266"/>
    <w:rsid w:val="0086287C"/>
    <w:rsid w:val="00862C99"/>
    <w:rsid w:val="00862CF3"/>
    <w:rsid w:val="00862D67"/>
    <w:rsid w:val="0086312F"/>
    <w:rsid w:val="00863177"/>
    <w:rsid w:val="008632A9"/>
    <w:rsid w:val="00863334"/>
    <w:rsid w:val="008637E4"/>
    <w:rsid w:val="00863AF2"/>
    <w:rsid w:val="00863C1D"/>
    <w:rsid w:val="00863E52"/>
    <w:rsid w:val="00864804"/>
    <w:rsid w:val="00864837"/>
    <w:rsid w:val="00864929"/>
    <w:rsid w:val="00864A97"/>
    <w:rsid w:val="00864E5D"/>
    <w:rsid w:val="00865234"/>
    <w:rsid w:val="00865F60"/>
    <w:rsid w:val="00866147"/>
    <w:rsid w:val="0086660A"/>
    <w:rsid w:val="00866A75"/>
    <w:rsid w:val="008673EE"/>
    <w:rsid w:val="008677F4"/>
    <w:rsid w:val="00867A65"/>
    <w:rsid w:val="00867CAA"/>
    <w:rsid w:val="00867F82"/>
    <w:rsid w:val="008702F2"/>
    <w:rsid w:val="00871019"/>
    <w:rsid w:val="0087121B"/>
    <w:rsid w:val="008713AD"/>
    <w:rsid w:val="00871502"/>
    <w:rsid w:val="00871827"/>
    <w:rsid w:val="0087185B"/>
    <w:rsid w:val="00872481"/>
    <w:rsid w:val="00872653"/>
    <w:rsid w:val="00872CE8"/>
    <w:rsid w:val="0087313D"/>
    <w:rsid w:val="008735F6"/>
    <w:rsid w:val="00873A01"/>
    <w:rsid w:val="00873C3F"/>
    <w:rsid w:val="00873E59"/>
    <w:rsid w:val="00874106"/>
    <w:rsid w:val="008742D0"/>
    <w:rsid w:val="00874548"/>
    <w:rsid w:val="00874AC3"/>
    <w:rsid w:val="0087523A"/>
    <w:rsid w:val="008753DE"/>
    <w:rsid w:val="008758F1"/>
    <w:rsid w:val="00875938"/>
    <w:rsid w:val="008759E4"/>
    <w:rsid w:val="00875B47"/>
    <w:rsid w:val="00875C0B"/>
    <w:rsid w:val="00875C2D"/>
    <w:rsid w:val="00876202"/>
    <w:rsid w:val="00876AD2"/>
    <w:rsid w:val="00876B14"/>
    <w:rsid w:val="00876BCD"/>
    <w:rsid w:val="00876D88"/>
    <w:rsid w:val="008774D0"/>
    <w:rsid w:val="0087755E"/>
    <w:rsid w:val="008775D7"/>
    <w:rsid w:val="00877755"/>
    <w:rsid w:val="00877A46"/>
    <w:rsid w:val="00877B59"/>
    <w:rsid w:val="00877D6F"/>
    <w:rsid w:val="00877DAD"/>
    <w:rsid w:val="00877DB1"/>
    <w:rsid w:val="00877E78"/>
    <w:rsid w:val="00877FFE"/>
    <w:rsid w:val="008802D3"/>
    <w:rsid w:val="00880CDE"/>
    <w:rsid w:val="00880E26"/>
    <w:rsid w:val="00881045"/>
    <w:rsid w:val="008810BE"/>
    <w:rsid w:val="008811ED"/>
    <w:rsid w:val="00881992"/>
    <w:rsid w:val="0088222E"/>
    <w:rsid w:val="008824FE"/>
    <w:rsid w:val="00882B93"/>
    <w:rsid w:val="00882C14"/>
    <w:rsid w:val="00883403"/>
    <w:rsid w:val="008835E6"/>
    <w:rsid w:val="00883E3D"/>
    <w:rsid w:val="008844BF"/>
    <w:rsid w:val="00884591"/>
    <w:rsid w:val="00884707"/>
    <w:rsid w:val="008847E7"/>
    <w:rsid w:val="008849DF"/>
    <w:rsid w:val="008854FE"/>
    <w:rsid w:val="008855E6"/>
    <w:rsid w:val="00885B5E"/>
    <w:rsid w:val="00885DE3"/>
    <w:rsid w:val="00885F7B"/>
    <w:rsid w:val="00886119"/>
    <w:rsid w:val="00886278"/>
    <w:rsid w:val="008864F4"/>
    <w:rsid w:val="00887AFE"/>
    <w:rsid w:val="00887B9D"/>
    <w:rsid w:val="008903A9"/>
    <w:rsid w:val="008905D1"/>
    <w:rsid w:val="00890A71"/>
    <w:rsid w:val="00890AE4"/>
    <w:rsid w:val="00890B2A"/>
    <w:rsid w:val="00890C46"/>
    <w:rsid w:val="00890D29"/>
    <w:rsid w:val="00891130"/>
    <w:rsid w:val="0089143B"/>
    <w:rsid w:val="008916F2"/>
    <w:rsid w:val="00891A31"/>
    <w:rsid w:val="00891A5E"/>
    <w:rsid w:val="0089217B"/>
    <w:rsid w:val="008924E2"/>
    <w:rsid w:val="008927B6"/>
    <w:rsid w:val="008928B9"/>
    <w:rsid w:val="00892FE7"/>
    <w:rsid w:val="008939F1"/>
    <w:rsid w:val="008939FE"/>
    <w:rsid w:val="00893B34"/>
    <w:rsid w:val="00893F59"/>
    <w:rsid w:val="008948A8"/>
    <w:rsid w:val="00894920"/>
    <w:rsid w:val="00894B80"/>
    <w:rsid w:val="00894CC3"/>
    <w:rsid w:val="00894E07"/>
    <w:rsid w:val="00894FA3"/>
    <w:rsid w:val="008951AA"/>
    <w:rsid w:val="0089528E"/>
    <w:rsid w:val="00895344"/>
    <w:rsid w:val="00895486"/>
    <w:rsid w:val="008955CF"/>
    <w:rsid w:val="00895661"/>
    <w:rsid w:val="00895A34"/>
    <w:rsid w:val="00895DB7"/>
    <w:rsid w:val="00895E8B"/>
    <w:rsid w:val="0089610A"/>
    <w:rsid w:val="008961FF"/>
    <w:rsid w:val="00896291"/>
    <w:rsid w:val="008962E4"/>
    <w:rsid w:val="008966AD"/>
    <w:rsid w:val="00896C5F"/>
    <w:rsid w:val="00896D05"/>
    <w:rsid w:val="00896D9C"/>
    <w:rsid w:val="00896DE1"/>
    <w:rsid w:val="00896EAE"/>
    <w:rsid w:val="00897524"/>
    <w:rsid w:val="00897537"/>
    <w:rsid w:val="00897766"/>
    <w:rsid w:val="008979A4"/>
    <w:rsid w:val="00897EB9"/>
    <w:rsid w:val="00897F4C"/>
    <w:rsid w:val="008A0329"/>
    <w:rsid w:val="008A0478"/>
    <w:rsid w:val="008A0586"/>
    <w:rsid w:val="008A0F1D"/>
    <w:rsid w:val="008A1441"/>
    <w:rsid w:val="008A18CA"/>
    <w:rsid w:val="008A197C"/>
    <w:rsid w:val="008A1C62"/>
    <w:rsid w:val="008A1E43"/>
    <w:rsid w:val="008A2163"/>
    <w:rsid w:val="008A233C"/>
    <w:rsid w:val="008A243A"/>
    <w:rsid w:val="008A24D4"/>
    <w:rsid w:val="008A2AC0"/>
    <w:rsid w:val="008A2B70"/>
    <w:rsid w:val="008A2E1C"/>
    <w:rsid w:val="008A2EF3"/>
    <w:rsid w:val="008A3168"/>
    <w:rsid w:val="008A338C"/>
    <w:rsid w:val="008A34F9"/>
    <w:rsid w:val="008A3721"/>
    <w:rsid w:val="008A4028"/>
    <w:rsid w:val="008A4094"/>
    <w:rsid w:val="008A40C1"/>
    <w:rsid w:val="008A43F1"/>
    <w:rsid w:val="008A4743"/>
    <w:rsid w:val="008A4AFC"/>
    <w:rsid w:val="008A4F71"/>
    <w:rsid w:val="008A506B"/>
    <w:rsid w:val="008A53D5"/>
    <w:rsid w:val="008A56F0"/>
    <w:rsid w:val="008A574F"/>
    <w:rsid w:val="008A57E8"/>
    <w:rsid w:val="008A5E3D"/>
    <w:rsid w:val="008A619C"/>
    <w:rsid w:val="008A625E"/>
    <w:rsid w:val="008A655B"/>
    <w:rsid w:val="008A668C"/>
    <w:rsid w:val="008A7937"/>
    <w:rsid w:val="008A7A1C"/>
    <w:rsid w:val="008A7C31"/>
    <w:rsid w:val="008B008B"/>
    <w:rsid w:val="008B00CD"/>
    <w:rsid w:val="008B02F6"/>
    <w:rsid w:val="008B049E"/>
    <w:rsid w:val="008B0929"/>
    <w:rsid w:val="008B0B6E"/>
    <w:rsid w:val="008B0D81"/>
    <w:rsid w:val="008B1137"/>
    <w:rsid w:val="008B1325"/>
    <w:rsid w:val="008B18BF"/>
    <w:rsid w:val="008B1BAA"/>
    <w:rsid w:val="008B2264"/>
    <w:rsid w:val="008B2503"/>
    <w:rsid w:val="008B2847"/>
    <w:rsid w:val="008B2E60"/>
    <w:rsid w:val="008B33CA"/>
    <w:rsid w:val="008B3472"/>
    <w:rsid w:val="008B40F4"/>
    <w:rsid w:val="008B43D8"/>
    <w:rsid w:val="008B48F2"/>
    <w:rsid w:val="008B49AB"/>
    <w:rsid w:val="008B4F2F"/>
    <w:rsid w:val="008B512E"/>
    <w:rsid w:val="008B58F3"/>
    <w:rsid w:val="008B59DA"/>
    <w:rsid w:val="008B6192"/>
    <w:rsid w:val="008B6793"/>
    <w:rsid w:val="008B6881"/>
    <w:rsid w:val="008B689E"/>
    <w:rsid w:val="008B68DA"/>
    <w:rsid w:val="008B6934"/>
    <w:rsid w:val="008B6DF7"/>
    <w:rsid w:val="008B7257"/>
    <w:rsid w:val="008B7C17"/>
    <w:rsid w:val="008B7C5D"/>
    <w:rsid w:val="008B7D0D"/>
    <w:rsid w:val="008C0271"/>
    <w:rsid w:val="008C06E4"/>
    <w:rsid w:val="008C1B8B"/>
    <w:rsid w:val="008C2385"/>
    <w:rsid w:val="008C24B1"/>
    <w:rsid w:val="008C26B5"/>
    <w:rsid w:val="008C2BEB"/>
    <w:rsid w:val="008C355E"/>
    <w:rsid w:val="008C4420"/>
    <w:rsid w:val="008C46D5"/>
    <w:rsid w:val="008C4ADF"/>
    <w:rsid w:val="008C4CFE"/>
    <w:rsid w:val="008C4FF3"/>
    <w:rsid w:val="008C5156"/>
    <w:rsid w:val="008C587F"/>
    <w:rsid w:val="008C676E"/>
    <w:rsid w:val="008C6F67"/>
    <w:rsid w:val="008C7221"/>
    <w:rsid w:val="008C72F6"/>
    <w:rsid w:val="008C7359"/>
    <w:rsid w:val="008C7659"/>
    <w:rsid w:val="008C7E83"/>
    <w:rsid w:val="008D05B6"/>
    <w:rsid w:val="008D0A6D"/>
    <w:rsid w:val="008D1014"/>
    <w:rsid w:val="008D101F"/>
    <w:rsid w:val="008D158F"/>
    <w:rsid w:val="008D1885"/>
    <w:rsid w:val="008D1AF9"/>
    <w:rsid w:val="008D1DB6"/>
    <w:rsid w:val="008D1EF1"/>
    <w:rsid w:val="008D2741"/>
    <w:rsid w:val="008D2B7C"/>
    <w:rsid w:val="008D2CAB"/>
    <w:rsid w:val="008D2E1E"/>
    <w:rsid w:val="008D3097"/>
    <w:rsid w:val="008D37DE"/>
    <w:rsid w:val="008D4189"/>
    <w:rsid w:val="008D422B"/>
    <w:rsid w:val="008D48D4"/>
    <w:rsid w:val="008D518B"/>
    <w:rsid w:val="008D5654"/>
    <w:rsid w:val="008D5852"/>
    <w:rsid w:val="008D5E27"/>
    <w:rsid w:val="008D60B7"/>
    <w:rsid w:val="008D6261"/>
    <w:rsid w:val="008D6CBC"/>
    <w:rsid w:val="008D70E2"/>
    <w:rsid w:val="008D71AD"/>
    <w:rsid w:val="008D72AC"/>
    <w:rsid w:val="008D7473"/>
    <w:rsid w:val="008D7486"/>
    <w:rsid w:val="008D74F4"/>
    <w:rsid w:val="008D762B"/>
    <w:rsid w:val="008D76A9"/>
    <w:rsid w:val="008D774C"/>
    <w:rsid w:val="008D7B5E"/>
    <w:rsid w:val="008D7C7D"/>
    <w:rsid w:val="008E0458"/>
    <w:rsid w:val="008E0746"/>
    <w:rsid w:val="008E0946"/>
    <w:rsid w:val="008E0960"/>
    <w:rsid w:val="008E0D07"/>
    <w:rsid w:val="008E0D7A"/>
    <w:rsid w:val="008E0FE8"/>
    <w:rsid w:val="008E17FC"/>
    <w:rsid w:val="008E21A7"/>
    <w:rsid w:val="008E23ED"/>
    <w:rsid w:val="008E2488"/>
    <w:rsid w:val="008E255B"/>
    <w:rsid w:val="008E2584"/>
    <w:rsid w:val="008E277A"/>
    <w:rsid w:val="008E28CC"/>
    <w:rsid w:val="008E2BD3"/>
    <w:rsid w:val="008E2D93"/>
    <w:rsid w:val="008E3BA4"/>
    <w:rsid w:val="008E3BE1"/>
    <w:rsid w:val="008E411B"/>
    <w:rsid w:val="008E4151"/>
    <w:rsid w:val="008E41E4"/>
    <w:rsid w:val="008E431E"/>
    <w:rsid w:val="008E4634"/>
    <w:rsid w:val="008E4974"/>
    <w:rsid w:val="008E4E32"/>
    <w:rsid w:val="008E5147"/>
    <w:rsid w:val="008E553F"/>
    <w:rsid w:val="008E591E"/>
    <w:rsid w:val="008E5B02"/>
    <w:rsid w:val="008E5F2E"/>
    <w:rsid w:val="008E69F8"/>
    <w:rsid w:val="008E6E83"/>
    <w:rsid w:val="008E7312"/>
    <w:rsid w:val="008E7791"/>
    <w:rsid w:val="008E77C6"/>
    <w:rsid w:val="008E78F9"/>
    <w:rsid w:val="008E7AFF"/>
    <w:rsid w:val="008E7DD0"/>
    <w:rsid w:val="008F010A"/>
    <w:rsid w:val="008F035D"/>
    <w:rsid w:val="008F0535"/>
    <w:rsid w:val="008F0601"/>
    <w:rsid w:val="008F080D"/>
    <w:rsid w:val="008F08A8"/>
    <w:rsid w:val="008F08E6"/>
    <w:rsid w:val="008F12CB"/>
    <w:rsid w:val="008F159F"/>
    <w:rsid w:val="008F18E0"/>
    <w:rsid w:val="008F1B08"/>
    <w:rsid w:val="008F1CC4"/>
    <w:rsid w:val="008F2050"/>
    <w:rsid w:val="008F22D8"/>
    <w:rsid w:val="008F22F5"/>
    <w:rsid w:val="008F2387"/>
    <w:rsid w:val="008F2BAD"/>
    <w:rsid w:val="008F2BF9"/>
    <w:rsid w:val="008F2C09"/>
    <w:rsid w:val="008F32D1"/>
    <w:rsid w:val="008F35A2"/>
    <w:rsid w:val="008F388C"/>
    <w:rsid w:val="008F3A88"/>
    <w:rsid w:val="008F3DEB"/>
    <w:rsid w:val="008F41D5"/>
    <w:rsid w:val="008F4510"/>
    <w:rsid w:val="008F4F17"/>
    <w:rsid w:val="008F51F6"/>
    <w:rsid w:val="008F53B2"/>
    <w:rsid w:val="008F5743"/>
    <w:rsid w:val="008F57F5"/>
    <w:rsid w:val="008F5ADF"/>
    <w:rsid w:val="008F6612"/>
    <w:rsid w:val="008F68FB"/>
    <w:rsid w:val="008F6981"/>
    <w:rsid w:val="008F6D95"/>
    <w:rsid w:val="008F6E6B"/>
    <w:rsid w:val="008F6FF6"/>
    <w:rsid w:val="008F78EF"/>
    <w:rsid w:val="008F79DF"/>
    <w:rsid w:val="009005CA"/>
    <w:rsid w:val="0090079E"/>
    <w:rsid w:val="00900C83"/>
    <w:rsid w:val="00901210"/>
    <w:rsid w:val="0090172C"/>
    <w:rsid w:val="00901F6E"/>
    <w:rsid w:val="00902613"/>
    <w:rsid w:val="009027CE"/>
    <w:rsid w:val="00902B87"/>
    <w:rsid w:val="00902BB1"/>
    <w:rsid w:val="00902F8A"/>
    <w:rsid w:val="0090313C"/>
    <w:rsid w:val="00903658"/>
    <w:rsid w:val="00903673"/>
    <w:rsid w:val="00903A31"/>
    <w:rsid w:val="00903C2D"/>
    <w:rsid w:val="00903D29"/>
    <w:rsid w:val="00903DE1"/>
    <w:rsid w:val="0090401D"/>
    <w:rsid w:val="00904129"/>
    <w:rsid w:val="00904307"/>
    <w:rsid w:val="0090458D"/>
    <w:rsid w:val="009045A4"/>
    <w:rsid w:val="00904683"/>
    <w:rsid w:val="009046E4"/>
    <w:rsid w:val="00904A11"/>
    <w:rsid w:val="00904DA9"/>
    <w:rsid w:val="00905561"/>
    <w:rsid w:val="00905E85"/>
    <w:rsid w:val="0090606B"/>
    <w:rsid w:val="009064FC"/>
    <w:rsid w:val="00906F62"/>
    <w:rsid w:val="00907475"/>
    <w:rsid w:val="00907536"/>
    <w:rsid w:val="00907573"/>
    <w:rsid w:val="0090777C"/>
    <w:rsid w:val="009078DB"/>
    <w:rsid w:val="00907DCC"/>
    <w:rsid w:val="00907FB6"/>
    <w:rsid w:val="00910247"/>
    <w:rsid w:val="00910640"/>
    <w:rsid w:val="00910DB2"/>
    <w:rsid w:val="0091137D"/>
    <w:rsid w:val="00911675"/>
    <w:rsid w:val="00911D0E"/>
    <w:rsid w:val="00911D1D"/>
    <w:rsid w:val="00911D6E"/>
    <w:rsid w:val="00912614"/>
    <w:rsid w:val="00912666"/>
    <w:rsid w:val="00912783"/>
    <w:rsid w:val="009127ED"/>
    <w:rsid w:val="00913306"/>
    <w:rsid w:val="00913581"/>
    <w:rsid w:val="009135E6"/>
    <w:rsid w:val="00913642"/>
    <w:rsid w:val="0091381D"/>
    <w:rsid w:val="00913DF5"/>
    <w:rsid w:val="00914225"/>
    <w:rsid w:val="00914439"/>
    <w:rsid w:val="0091475A"/>
    <w:rsid w:val="00914D2A"/>
    <w:rsid w:val="00914DF9"/>
    <w:rsid w:val="0091511D"/>
    <w:rsid w:val="00915635"/>
    <w:rsid w:val="00915966"/>
    <w:rsid w:val="00915F97"/>
    <w:rsid w:val="0091616A"/>
    <w:rsid w:val="009161EC"/>
    <w:rsid w:val="00916277"/>
    <w:rsid w:val="009163E8"/>
    <w:rsid w:val="0091644A"/>
    <w:rsid w:val="0091645A"/>
    <w:rsid w:val="00916650"/>
    <w:rsid w:val="0091677F"/>
    <w:rsid w:val="00916A67"/>
    <w:rsid w:val="00916D1F"/>
    <w:rsid w:val="00916D8C"/>
    <w:rsid w:val="0091730D"/>
    <w:rsid w:val="0091747A"/>
    <w:rsid w:val="009176E4"/>
    <w:rsid w:val="00917958"/>
    <w:rsid w:val="00917959"/>
    <w:rsid w:val="009179C1"/>
    <w:rsid w:val="00917DA9"/>
    <w:rsid w:val="00920250"/>
    <w:rsid w:val="009204F6"/>
    <w:rsid w:val="00920656"/>
    <w:rsid w:val="009207C3"/>
    <w:rsid w:val="009209E7"/>
    <w:rsid w:val="00920BDD"/>
    <w:rsid w:val="00920E14"/>
    <w:rsid w:val="00920F57"/>
    <w:rsid w:val="00920FEB"/>
    <w:rsid w:val="00921780"/>
    <w:rsid w:val="00921885"/>
    <w:rsid w:val="00921ACC"/>
    <w:rsid w:val="00922097"/>
    <w:rsid w:val="009224C6"/>
    <w:rsid w:val="00922866"/>
    <w:rsid w:val="0092308F"/>
    <w:rsid w:val="0092338A"/>
    <w:rsid w:val="0092345D"/>
    <w:rsid w:val="009234CC"/>
    <w:rsid w:val="009237CD"/>
    <w:rsid w:val="0092388B"/>
    <w:rsid w:val="009239F8"/>
    <w:rsid w:val="00924382"/>
    <w:rsid w:val="00924B1B"/>
    <w:rsid w:val="0092516F"/>
    <w:rsid w:val="00925213"/>
    <w:rsid w:val="0092545C"/>
    <w:rsid w:val="00925934"/>
    <w:rsid w:val="0092607E"/>
    <w:rsid w:val="009266AD"/>
    <w:rsid w:val="00926898"/>
    <w:rsid w:val="0092698B"/>
    <w:rsid w:val="00926C3F"/>
    <w:rsid w:val="00926DC0"/>
    <w:rsid w:val="00926EA6"/>
    <w:rsid w:val="00927240"/>
    <w:rsid w:val="0092775F"/>
    <w:rsid w:val="00927B04"/>
    <w:rsid w:val="00927F27"/>
    <w:rsid w:val="00927F3E"/>
    <w:rsid w:val="00927F4C"/>
    <w:rsid w:val="00930A56"/>
    <w:rsid w:val="00930A8F"/>
    <w:rsid w:val="00930B65"/>
    <w:rsid w:val="00930B76"/>
    <w:rsid w:val="00930BA0"/>
    <w:rsid w:val="00930CCD"/>
    <w:rsid w:val="00930DF7"/>
    <w:rsid w:val="00930F8F"/>
    <w:rsid w:val="009310A7"/>
    <w:rsid w:val="009314E5"/>
    <w:rsid w:val="009318E5"/>
    <w:rsid w:val="00932360"/>
    <w:rsid w:val="00932406"/>
    <w:rsid w:val="009324EA"/>
    <w:rsid w:val="00932636"/>
    <w:rsid w:val="00932736"/>
    <w:rsid w:val="009327C3"/>
    <w:rsid w:val="00932823"/>
    <w:rsid w:val="00932856"/>
    <w:rsid w:val="009328F7"/>
    <w:rsid w:val="00932C59"/>
    <w:rsid w:val="00933D53"/>
    <w:rsid w:val="00933E07"/>
    <w:rsid w:val="0093464B"/>
    <w:rsid w:val="009346DD"/>
    <w:rsid w:val="009346E3"/>
    <w:rsid w:val="009348F7"/>
    <w:rsid w:val="00934B7D"/>
    <w:rsid w:val="00934D39"/>
    <w:rsid w:val="00934E77"/>
    <w:rsid w:val="00934E95"/>
    <w:rsid w:val="009357F8"/>
    <w:rsid w:val="009365AE"/>
    <w:rsid w:val="00936B40"/>
    <w:rsid w:val="00936F2D"/>
    <w:rsid w:val="00936FDD"/>
    <w:rsid w:val="009376A5"/>
    <w:rsid w:val="00937DF1"/>
    <w:rsid w:val="00937F27"/>
    <w:rsid w:val="00940168"/>
    <w:rsid w:val="00940466"/>
    <w:rsid w:val="009408B2"/>
    <w:rsid w:val="00940BE6"/>
    <w:rsid w:val="00940FD9"/>
    <w:rsid w:val="009412DF"/>
    <w:rsid w:val="0094194F"/>
    <w:rsid w:val="00941A35"/>
    <w:rsid w:val="00941D2A"/>
    <w:rsid w:val="009420EC"/>
    <w:rsid w:val="00942266"/>
    <w:rsid w:val="009422E3"/>
    <w:rsid w:val="00942307"/>
    <w:rsid w:val="00942772"/>
    <w:rsid w:val="009427EB"/>
    <w:rsid w:val="009438D3"/>
    <w:rsid w:val="00943CCC"/>
    <w:rsid w:val="00943DB8"/>
    <w:rsid w:val="00944523"/>
    <w:rsid w:val="009449BB"/>
    <w:rsid w:val="00944D93"/>
    <w:rsid w:val="00944DC7"/>
    <w:rsid w:val="00945529"/>
    <w:rsid w:val="00945586"/>
    <w:rsid w:val="00945D7C"/>
    <w:rsid w:val="0094625F"/>
    <w:rsid w:val="00946368"/>
    <w:rsid w:val="0094697E"/>
    <w:rsid w:val="009469BB"/>
    <w:rsid w:val="009470C7"/>
    <w:rsid w:val="009472F0"/>
    <w:rsid w:val="00947399"/>
    <w:rsid w:val="0095090A"/>
    <w:rsid w:val="00950D03"/>
    <w:rsid w:val="00950D1D"/>
    <w:rsid w:val="00950FFC"/>
    <w:rsid w:val="009519EA"/>
    <w:rsid w:val="00951A87"/>
    <w:rsid w:val="00951F3B"/>
    <w:rsid w:val="0095211A"/>
    <w:rsid w:val="00952352"/>
    <w:rsid w:val="00952818"/>
    <w:rsid w:val="00952F4A"/>
    <w:rsid w:val="00953112"/>
    <w:rsid w:val="00953645"/>
    <w:rsid w:val="00953C02"/>
    <w:rsid w:val="00953DC2"/>
    <w:rsid w:val="00953E0A"/>
    <w:rsid w:val="00953EE5"/>
    <w:rsid w:val="0095411E"/>
    <w:rsid w:val="0095434E"/>
    <w:rsid w:val="00954978"/>
    <w:rsid w:val="00954C58"/>
    <w:rsid w:val="00954C81"/>
    <w:rsid w:val="0095530D"/>
    <w:rsid w:val="00955469"/>
    <w:rsid w:val="00955707"/>
    <w:rsid w:val="009557E3"/>
    <w:rsid w:val="00955C84"/>
    <w:rsid w:val="00955D78"/>
    <w:rsid w:val="00955E0F"/>
    <w:rsid w:val="00955E79"/>
    <w:rsid w:val="009561E2"/>
    <w:rsid w:val="009562D4"/>
    <w:rsid w:val="00956423"/>
    <w:rsid w:val="00956712"/>
    <w:rsid w:val="00956850"/>
    <w:rsid w:val="00956C18"/>
    <w:rsid w:val="00956C58"/>
    <w:rsid w:val="00956CF7"/>
    <w:rsid w:val="009570EE"/>
    <w:rsid w:val="009571B8"/>
    <w:rsid w:val="009574E8"/>
    <w:rsid w:val="009576BA"/>
    <w:rsid w:val="00957789"/>
    <w:rsid w:val="00957A9C"/>
    <w:rsid w:val="00957FE7"/>
    <w:rsid w:val="00958674"/>
    <w:rsid w:val="009601C1"/>
    <w:rsid w:val="009602D5"/>
    <w:rsid w:val="00960501"/>
    <w:rsid w:val="009605CB"/>
    <w:rsid w:val="00960791"/>
    <w:rsid w:val="009607AA"/>
    <w:rsid w:val="00960D65"/>
    <w:rsid w:val="00961387"/>
    <w:rsid w:val="00961413"/>
    <w:rsid w:val="00961425"/>
    <w:rsid w:val="009616FE"/>
    <w:rsid w:val="0096190C"/>
    <w:rsid w:val="009619D4"/>
    <w:rsid w:val="00961F10"/>
    <w:rsid w:val="0096235B"/>
    <w:rsid w:val="009624FE"/>
    <w:rsid w:val="0096252C"/>
    <w:rsid w:val="0096261D"/>
    <w:rsid w:val="00962F96"/>
    <w:rsid w:val="009630B1"/>
    <w:rsid w:val="009633DD"/>
    <w:rsid w:val="00963438"/>
    <w:rsid w:val="00963445"/>
    <w:rsid w:val="009635A3"/>
    <w:rsid w:val="0096400B"/>
    <w:rsid w:val="00964187"/>
    <w:rsid w:val="0096453F"/>
    <w:rsid w:val="00964720"/>
    <w:rsid w:val="00964801"/>
    <w:rsid w:val="00964810"/>
    <w:rsid w:val="009648A9"/>
    <w:rsid w:val="00964A8A"/>
    <w:rsid w:val="00964ECC"/>
    <w:rsid w:val="0096538A"/>
    <w:rsid w:val="009655E7"/>
    <w:rsid w:val="009657E7"/>
    <w:rsid w:val="0096582E"/>
    <w:rsid w:val="00965AAB"/>
    <w:rsid w:val="00965D3C"/>
    <w:rsid w:val="0096646C"/>
    <w:rsid w:val="0096658E"/>
    <w:rsid w:val="00966A33"/>
    <w:rsid w:val="00966EBD"/>
    <w:rsid w:val="0096701F"/>
    <w:rsid w:val="00967234"/>
    <w:rsid w:val="009673C5"/>
    <w:rsid w:val="00967BC5"/>
    <w:rsid w:val="00967D54"/>
    <w:rsid w:val="00967DAD"/>
    <w:rsid w:val="00970125"/>
    <w:rsid w:val="009701FE"/>
    <w:rsid w:val="00970201"/>
    <w:rsid w:val="0097070F"/>
    <w:rsid w:val="00970971"/>
    <w:rsid w:val="00970CCB"/>
    <w:rsid w:val="00970FE9"/>
    <w:rsid w:val="009711E3"/>
    <w:rsid w:val="009711E8"/>
    <w:rsid w:val="00971743"/>
    <w:rsid w:val="00971A87"/>
    <w:rsid w:val="00971B1D"/>
    <w:rsid w:val="00971DE9"/>
    <w:rsid w:val="00971F37"/>
    <w:rsid w:val="00971F64"/>
    <w:rsid w:val="00972355"/>
    <w:rsid w:val="0097291E"/>
    <w:rsid w:val="00973B27"/>
    <w:rsid w:val="00973E8C"/>
    <w:rsid w:val="009740BF"/>
    <w:rsid w:val="009740E8"/>
    <w:rsid w:val="009741B1"/>
    <w:rsid w:val="009741F1"/>
    <w:rsid w:val="00974545"/>
    <w:rsid w:val="0097459B"/>
    <w:rsid w:val="00974D3B"/>
    <w:rsid w:val="009755BB"/>
    <w:rsid w:val="009755D3"/>
    <w:rsid w:val="009758C9"/>
    <w:rsid w:val="009758D2"/>
    <w:rsid w:val="0097683E"/>
    <w:rsid w:val="00976853"/>
    <w:rsid w:val="00976E52"/>
    <w:rsid w:val="00976F53"/>
    <w:rsid w:val="00977417"/>
    <w:rsid w:val="0097783A"/>
    <w:rsid w:val="00977C95"/>
    <w:rsid w:val="00977DD3"/>
    <w:rsid w:val="0098006A"/>
    <w:rsid w:val="0098037C"/>
    <w:rsid w:val="009805E2"/>
    <w:rsid w:val="009806B1"/>
    <w:rsid w:val="009807C4"/>
    <w:rsid w:val="00980A8F"/>
    <w:rsid w:val="00980CCF"/>
    <w:rsid w:val="00980D07"/>
    <w:rsid w:val="00980E0C"/>
    <w:rsid w:val="00981A3E"/>
    <w:rsid w:val="009823A2"/>
    <w:rsid w:val="00982608"/>
    <w:rsid w:val="00982F08"/>
    <w:rsid w:val="009831B3"/>
    <w:rsid w:val="00983240"/>
    <w:rsid w:val="009833D4"/>
    <w:rsid w:val="0098367F"/>
    <w:rsid w:val="00983B88"/>
    <w:rsid w:val="00984142"/>
    <w:rsid w:val="009844D2"/>
    <w:rsid w:val="009844F7"/>
    <w:rsid w:val="009846BF"/>
    <w:rsid w:val="00984770"/>
    <w:rsid w:val="00984F36"/>
    <w:rsid w:val="009851BA"/>
    <w:rsid w:val="009852DB"/>
    <w:rsid w:val="00985C08"/>
    <w:rsid w:val="00985EE1"/>
    <w:rsid w:val="0098600E"/>
    <w:rsid w:val="00986236"/>
    <w:rsid w:val="00986258"/>
    <w:rsid w:val="00986759"/>
    <w:rsid w:val="009873B6"/>
    <w:rsid w:val="00987927"/>
    <w:rsid w:val="00987DA9"/>
    <w:rsid w:val="00987F39"/>
    <w:rsid w:val="00987FA3"/>
    <w:rsid w:val="00990AA8"/>
    <w:rsid w:val="009911E4"/>
    <w:rsid w:val="00991939"/>
    <w:rsid w:val="00991F7A"/>
    <w:rsid w:val="00992041"/>
    <w:rsid w:val="009922F0"/>
    <w:rsid w:val="00992332"/>
    <w:rsid w:val="0099238B"/>
    <w:rsid w:val="00992D74"/>
    <w:rsid w:val="00992E8C"/>
    <w:rsid w:val="00992EB8"/>
    <w:rsid w:val="00993891"/>
    <w:rsid w:val="00993ADF"/>
    <w:rsid w:val="00994166"/>
    <w:rsid w:val="0099426A"/>
    <w:rsid w:val="00994464"/>
    <w:rsid w:val="009946C1"/>
    <w:rsid w:val="009946DE"/>
    <w:rsid w:val="009946E9"/>
    <w:rsid w:val="00994DE2"/>
    <w:rsid w:val="00995083"/>
    <w:rsid w:val="00995536"/>
    <w:rsid w:val="00995ECE"/>
    <w:rsid w:val="009960FD"/>
    <w:rsid w:val="0099689E"/>
    <w:rsid w:val="009971C6"/>
    <w:rsid w:val="009A005D"/>
    <w:rsid w:val="009A017C"/>
    <w:rsid w:val="009A09FA"/>
    <w:rsid w:val="009A0A14"/>
    <w:rsid w:val="009A0AC5"/>
    <w:rsid w:val="009A10E6"/>
    <w:rsid w:val="009A1202"/>
    <w:rsid w:val="009A1258"/>
    <w:rsid w:val="009A1404"/>
    <w:rsid w:val="009A1543"/>
    <w:rsid w:val="009A1DA3"/>
    <w:rsid w:val="009A27D6"/>
    <w:rsid w:val="009A2ABA"/>
    <w:rsid w:val="009A2F1C"/>
    <w:rsid w:val="009A393F"/>
    <w:rsid w:val="009A3A77"/>
    <w:rsid w:val="009A3F3F"/>
    <w:rsid w:val="009A4094"/>
    <w:rsid w:val="009A4692"/>
    <w:rsid w:val="009A46D0"/>
    <w:rsid w:val="009A46D7"/>
    <w:rsid w:val="009A4D07"/>
    <w:rsid w:val="009A504F"/>
    <w:rsid w:val="009A50B9"/>
    <w:rsid w:val="009A532A"/>
    <w:rsid w:val="009A5398"/>
    <w:rsid w:val="009A5821"/>
    <w:rsid w:val="009A59C4"/>
    <w:rsid w:val="009A5B19"/>
    <w:rsid w:val="009A5B42"/>
    <w:rsid w:val="009A5B9A"/>
    <w:rsid w:val="009A5DF1"/>
    <w:rsid w:val="009A5EA9"/>
    <w:rsid w:val="009A6072"/>
    <w:rsid w:val="009A6F5E"/>
    <w:rsid w:val="009A6FE4"/>
    <w:rsid w:val="009A7055"/>
    <w:rsid w:val="009A72ED"/>
    <w:rsid w:val="009A77B0"/>
    <w:rsid w:val="009A78F3"/>
    <w:rsid w:val="009A7B27"/>
    <w:rsid w:val="009A7B9A"/>
    <w:rsid w:val="009A7CF8"/>
    <w:rsid w:val="009A7ED0"/>
    <w:rsid w:val="009B0196"/>
    <w:rsid w:val="009B01D4"/>
    <w:rsid w:val="009B0479"/>
    <w:rsid w:val="009B0B8B"/>
    <w:rsid w:val="009B130E"/>
    <w:rsid w:val="009B1450"/>
    <w:rsid w:val="009B17B6"/>
    <w:rsid w:val="009B18C5"/>
    <w:rsid w:val="009B1B28"/>
    <w:rsid w:val="009B1D62"/>
    <w:rsid w:val="009B1FCB"/>
    <w:rsid w:val="009B2069"/>
    <w:rsid w:val="009B20B7"/>
    <w:rsid w:val="009B224E"/>
    <w:rsid w:val="009B27C5"/>
    <w:rsid w:val="009B3926"/>
    <w:rsid w:val="009B3BCD"/>
    <w:rsid w:val="009B3EEF"/>
    <w:rsid w:val="009B4AA3"/>
    <w:rsid w:val="009B4EC9"/>
    <w:rsid w:val="009B502F"/>
    <w:rsid w:val="009B59BA"/>
    <w:rsid w:val="009B5C3E"/>
    <w:rsid w:val="009B5C51"/>
    <w:rsid w:val="009B607C"/>
    <w:rsid w:val="009B6615"/>
    <w:rsid w:val="009B6A47"/>
    <w:rsid w:val="009B6D77"/>
    <w:rsid w:val="009B6E3E"/>
    <w:rsid w:val="009B7A9F"/>
    <w:rsid w:val="009B7C0C"/>
    <w:rsid w:val="009B7F41"/>
    <w:rsid w:val="009B7F74"/>
    <w:rsid w:val="009B7F8A"/>
    <w:rsid w:val="009B7FF4"/>
    <w:rsid w:val="009C0711"/>
    <w:rsid w:val="009C0846"/>
    <w:rsid w:val="009C0978"/>
    <w:rsid w:val="009C0E79"/>
    <w:rsid w:val="009C111B"/>
    <w:rsid w:val="009C13A1"/>
    <w:rsid w:val="009C1627"/>
    <w:rsid w:val="009C17F8"/>
    <w:rsid w:val="009C1A81"/>
    <w:rsid w:val="009C2342"/>
    <w:rsid w:val="009C26BF"/>
    <w:rsid w:val="009C2BCA"/>
    <w:rsid w:val="009C2CD0"/>
    <w:rsid w:val="009C3486"/>
    <w:rsid w:val="009C372C"/>
    <w:rsid w:val="009C3923"/>
    <w:rsid w:val="009C397B"/>
    <w:rsid w:val="009C3CDF"/>
    <w:rsid w:val="009C3E60"/>
    <w:rsid w:val="009C3FCA"/>
    <w:rsid w:val="009C4305"/>
    <w:rsid w:val="009C486C"/>
    <w:rsid w:val="009C489A"/>
    <w:rsid w:val="009C48F2"/>
    <w:rsid w:val="009C4A17"/>
    <w:rsid w:val="009C4B0C"/>
    <w:rsid w:val="009C4DF2"/>
    <w:rsid w:val="009C5005"/>
    <w:rsid w:val="009C522B"/>
    <w:rsid w:val="009C55D4"/>
    <w:rsid w:val="009C5708"/>
    <w:rsid w:val="009C59E8"/>
    <w:rsid w:val="009C5B46"/>
    <w:rsid w:val="009C5B47"/>
    <w:rsid w:val="009C5B57"/>
    <w:rsid w:val="009C5FD1"/>
    <w:rsid w:val="009C6927"/>
    <w:rsid w:val="009C6EE2"/>
    <w:rsid w:val="009C7C24"/>
    <w:rsid w:val="009C7E02"/>
    <w:rsid w:val="009D0210"/>
    <w:rsid w:val="009D062B"/>
    <w:rsid w:val="009D06EF"/>
    <w:rsid w:val="009D09F7"/>
    <w:rsid w:val="009D17D2"/>
    <w:rsid w:val="009D17F7"/>
    <w:rsid w:val="009D18FE"/>
    <w:rsid w:val="009D1C2C"/>
    <w:rsid w:val="009D1EA3"/>
    <w:rsid w:val="009D21C6"/>
    <w:rsid w:val="009D252F"/>
    <w:rsid w:val="009D270C"/>
    <w:rsid w:val="009D27FB"/>
    <w:rsid w:val="009D2927"/>
    <w:rsid w:val="009D300B"/>
    <w:rsid w:val="009D3095"/>
    <w:rsid w:val="009D314C"/>
    <w:rsid w:val="009D32F2"/>
    <w:rsid w:val="009D33FE"/>
    <w:rsid w:val="009D383F"/>
    <w:rsid w:val="009D3E77"/>
    <w:rsid w:val="009D47FD"/>
    <w:rsid w:val="009D489E"/>
    <w:rsid w:val="009D4E48"/>
    <w:rsid w:val="009D4E83"/>
    <w:rsid w:val="009D56DF"/>
    <w:rsid w:val="009D5713"/>
    <w:rsid w:val="009D57C5"/>
    <w:rsid w:val="009D59E7"/>
    <w:rsid w:val="009D5A82"/>
    <w:rsid w:val="009D5D22"/>
    <w:rsid w:val="009D5D32"/>
    <w:rsid w:val="009D5EE3"/>
    <w:rsid w:val="009D60EE"/>
    <w:rsid w:val="009D6867"/>
    <w:rsid w:val="009D68CA"/>
    <w:rsid w:val="009D6B8D"/>
    <w:rsid w:val="009D6B91"/>
    <w:rsid w:val="009D7086"/>
    <w:rsid w:val="009D7091"/>
    <w:rsid w:val="009D7122"/>
    <w:rsid w:val="009E05C3"/>
    <w:rsid w:val="009E0643"/>
    <w:rsid w:val="009E0838"/>
    <w:rsid w:val="009E0AF7"/>
    <w:rsid w:val="009E0B91"/>
    <w:rsid w:val="009E0C08"/>
    <w:rsid w:val="009E1050"/>
    <w:rsid w:val="009E1649"/>
    <w:rsid w:val="009E1B39"/>
    <w:rsid w:val="009E1BBB"/>
    <w:rsid w:val="009E1FD7"/>
    <w:rsid w:val="009E23ED"/>
    <w:rsid w:val="009E2824"/>
    <w:rsid w:val="009E291B"/>
    <w:rsid w:val="009E2A5C"/>
    <w:rsid w:val="009E2A9C"/>
    <w:rsid w:val="009E2C57"/>
    <w:rsid w:val="009E2EB5"/>
    <w:rsid w:val="009E3274"/>
    <w:rsid w:val="009E340B"/>
    <w:rsid w:val="009E35B5"/>
    <w:rsid w:val="009E37C6"/>
    <w:rsid w:val="009E3964"/>
    <w:rsid w:val="009E3CEF"/>
    <w:rsid w:val="009E43B3"/>
    <w:rsid w:val="009E4493"/>
    <w:rsid w:val="009E4686"/>
    <w:rsid w:val="009E4BB7"/>
    <w:rsid w:val="009E4CC3"/>
    <w:rsid w:val="009E522E"/>
    <w:rsid w:val="009E56BE"/>
    <w:rsid w:val="009E57A1"/>
    <w:rsid w:val="009E59C7"/>
    <w:rsid w:val="009E5B4B"/>
    <w:rsid w:val="009E5E78"/>
    <w:rsid w:val="009E5ED9"/>
    <w:rsid w:val="009E5F5E"/>
    <w:rsid w:val="009E5FF3"/>
    <w:rsid w:val="009E617C"/>
    <w:rsid w:val="009E66B0"/>
    <w:rsid w:val="009E6934"/>
    <w:rsid w:val="009E6F15"/>
    <w:rsid w:val="009E7049"/>
    <w:rsid w:val="009E7057"/>
    <w:rsid w:val="009E7179"/>
    <w:rsid w:val="009E729D"/>
    <w:rsid w:val="009E7BE5"/>
    <w:rsid w:val="009F028C"/>
    <w:rsid w:val="009F0837"/>
    <w:rsid w:val="009F12A4"/>
    <w:rsid w:val="009F1873"/>
    <w:rsid w:val="009F197C"/>
    <w:rsid w:val="009F2042"/>
    <w:rsid w:val="009F2095"/>
    <w:rsid w:val="009F22E0"/>
    <w:rsid w:val="009F255C"/>
    <w:rsid w:val="009F25A5"/>
    <w:rsid w:val="009F2849"/>
    <w:rsid w:val="009F2B00"/>
    <w:rsid w:val="009F2C40"/>
    <w:rsid w:val="009F3130"/>
    <w:rsid w:val="009F3664"/>
    <w:rsid w:val="009F387B"/>
    <w:rsid w:val="009F3E06"/>
    <w:rsid w:val="009F3FE7"/>
    <w:rsid w:val="009F4463"/>
    <w:rsid w:val="009F479C"/>
    <w:rsid w:val="009F48BB"/>
    <w:rsid w:val="009F4AD8"/>
    <w:rsid w:val="009F4CD5"/>
    <w:rsid w:val="009F4F4D"/>
    <w:rsid w:val="009F5076"/>
    <w:rsid w:val="009F50BD"/>
    <w:rsid w:val="009F51AD"/>
    <w:rsid w:val="009F55DA"/>
    <w:rsid w:val="009F5B37"/>
    <w:rsid w:val="009F5D3F"/>
    <w:rsid w:val="009F62BC"/>
    <w:rsid w:val="009F6357"/>
    <w:rsid w:val="009F6604"/>
    <w:rsid w:val="009F7073"/>
    <w:rsid w:val="009F70F2"/>
    <w:rsid w:val="009F739B"/>
    <w:rsid w:val="009F77EE"/>
    <w:rsid w:val="009F7A81"/>
    <w:rsid w:val="009F7F83"/>
    <w:rsid w:val="00A00051"/>
    <w:rsid w:val="00A00193"/>
    <w:rsid w:val="00A007EF"/>
    <w:rsid w:val="00A00C41"/>
    <w:rsid w:val="00A00C5A"/>
    <w:rsid w:val="00A00E52"/>
    <w:rsid w:val="00A01989"/>
    <w:rsid w:val="00A019B7"/>
    <w:rsid w:val="00A01C32"/>
    <w:rsid w:val="00A01C50"/>
    <w:rsid w:val="00A01E45"/>
    <w:rsid w:val="00A01F02"/>
    <w:rsid w:val="00A02054"/>
    <w:rsid w:val="00A024D2"/>
    <w:rsid w:val="00A02982"/>
    <w:rsid w:val="00A02B1F"/>
    <w:rsid w:val="00A031DC"/>
    <w:rsid w:val="00A03394"/>
    <w:rsid w:val="00A03764"/>
    <w:rsid w:val="00A038B4"/>
    <w:rsid w:val="00A0423D"/>
    <w:rsid w:val="00A04334"/>
    <w:rsid w:val="00A046ED"/>
    <w:rsid w:val="00A0485C"/>
    <w:rsid w:val="00A04C37"/>
    <w:rsid w:val="00A04D44"/>
    <w:rsid w:val="00A04E0B"/>
    <w:rsid w:val="00A04EA3"/>
    <w:rsid w:val="00A0512C"/>
    <w:rsid w:val="00A053B3"/>
    <w:rsid w:val="00A0550B"/>
    <w:rsid w:val="00A056D3"/>
    <w:rsid w:val="00A05DDF"/>
    <w:rsid w:val="00A05F2C"/>
    <w:rsid w:val="00A066EB"/>
    <w:rsid w:val="00A06FC4"/>
    <w:rsid w:val="00A06FF9"/>
    <w:rsid w:val="00A07160"/>
    <w:rsid w:val="00A076B5"/>
    <w:rsid w:val="00A07787"/>
    <w:rsid w:val="00A07AAA"/>
    <w:rsid w:val="00A07DD8"/>
    <w:rsid w:val="00A10329"/>
    <w:rsid w:val="00A10915"/>
    <w:rsid w:val="00A11654"/>
    <w:rsid w:val="00A116C6"/>
    <w:rsid w:val="00A11803"/>
    <w:rsid w:val="00A11815"/>
    <w:rsid w:val="00A11B3C"/>
    <w:rsid w:val="00A11BBB"/>
    <w:rsid w:val="00A11C9C"/>
    <w:rsid w:val="00A130B5"/>
    <w:rsid w:val="00A13632"/>
    <w:rsid w:val="00A13DB8"/>
    <w:rsid w:val="00A13EBD"/>
    <w:rsid w:val="00A13F7E"/>
    <w:rsid w:val="00A14227"/>
    <w:rsid w:val="00A14561"/>
    <w:rsid w:val="00A14746"/>
    <w:rsid w:val="00A14A81"/>
    <w:rsid w:val="00A14DFF"/>
    <w:rsid w:val="00A14F7D"/>
    <w:rsid w:val="00A150C8"/>
    <w:rsid w:val="00A15135"/>
    <w:rsid w:val="00A1544B"/>
    <w:rsid w:val="00A157CC"/>
    <w:rsid w:val="00A15AAC"/>
    <w:rsid w:val="00A15D39"/>
    <w:rsid w:val="00A15F26"/>
    <w:rsid w:val="00A160BF"/>
    <w:rsid w:val="00A1617D"/>
    <w:rsid w:val="00A1687D"/>
    <w:rsid w:val="00A168D8"/>
    <w:rsid w:val="00A16C2B"/>
    <w:rsid w:val="00A16E7A"/>
    <w:rsid w:val="00A1709A"/>
    <w:rsid w:val="00A17789"/>
    <w:rsid w:val="00A1798E"/>
    <w:rsid w:val="00A17999"/>
    <w:rsid w:val="00A17C2D"/>
    <w:rsid w:val="00A2046B"/>
    <w:rsid w:val="00A20589"/>
    <w:rsid w:val="00A20858"/>
    <w:rsid w:val="00A209FE"/>
    <w:rsid w:val="00A20EA7"/>
    <w:rsid w:val="00A2100E"/>
    <w:rsid w:val="00A218A9"/>
    <w:rsid w:val="00A21C0E"/>
    <w:rsid w:val="00A21E50"/>
    <w:rsid w:val="00A21F5D"/>
    <w:rsid w:val="00A221B3"/>
    <w:rsid w:val="00A2238F"/>
    <w:rsid w:val="00A2254C"/>
    <w:rsid w:val="00A22731"/>
    <w:rsid w:val="00A235DF"/>
    <w:rsid w:val="00A2383C"/>
    <w:rsid w:val="00A23ACD"/>
    <w:rsid w:val="00A23BC1"/>
    <w:rsid w:val="00A23E02"/>
    <w:rsid w:val="00A24177"/>
    <w:rsid w:val="00A24A29"/>
    <w:rsid w:val="00A251E2"/>
    <w:rsid w:val="00A25676"/>
    <w:rsid w:val="00A259C0"/>
    <w:rsid w:val="00A25A0D"/>
    <w:rsid w:val="00A267AD"/>
    <w:rsid w:val="00A2692E"/>
    <w:rsid w:val="00A26A5B"/>
    <w:rsid w:val="00A26CC4"/>
    <w:rsid w:val="00A2719F"/>
    <w:rsid w:val="00A271B7"/>
    <w:rsid w:val="00A274F7"/>
    <w:rsid w:val="00A27A08"/>
    <w:rsid w:val="00A30975"/>
    <w:rsid w:val="00A30A91"/>
    <w:rsid w:val="00A30BA5"/>
    <w:rsid w:val="00A31342"/>
    <w:rsid w:val="00A3171E"/>
    <w:rsid w:val="00A328E5"/>
    <w:rsid w:val="00A330ED"/>
    <w:rsid w:val="00A33166"/>
    <w:rsid w:val="00A33B22"/>
    <w:rsid w:val="00A33EA3"/>
    <w:rsid w:val="00A343C1"/>
    <w:rsid w:val="00A3445D"/>
    <w:rsid w:val="00A3446A"/>
    <w:rsid w:val="00A34711"/>
    <w:rsid w:val="00A3482D"/>
    <w:rsid w:val="00A3487B"/>
    <w:rsid w:val="00A348A5"/>
    <w:rsid w:val="00A34D51"/>
    <w:rsid w:val="00A3528D"/>
    <w:rsid w:val="00A35AE4"/>
    <w:rsid w:val="00A35AEA"/>
    <w:rsid w:val="00A35D10"/>
    <w:rsid w:val="00A35F59"/>
    <w:rsid w:val="00A36AA3"/>
    <w:rsid w:val="00A36DF3"/>
    <w:rsid w:val="00A36FC6"/>
    <w:rsid w:val="00A371E7"/>
    <w:rsid w:val="00A37786"/>
    <w:rsid w:val="00A37C49"/>
    <w:rsid w:val="00A40159"/>
    <w:rsid w:val="00A40394"/>
    <w:rsid w:val="00A41453"/>
    <w:rsid w:val="00A41527"/>
    <w:rsid w:val="00A41AF9"/>
    <w:rsid w:val="00A4226F"/>
    <w:rsid w:val="00A422ED"/>
    <w:rsid w:val="00A422F9"/>
    <w:rsid w:val="00A42337"/>
    <w:rsid w:val="00A4243F"/>
    <w:rsid w:val="00A424D0"/>
    <w:rsid w:val="00A42770"/>
    <w:rsid w:val="00A42884"/>
    <w:rsid w:val="00A429A5"/>
    <w:rsid w:val="00A42B8A"/>
    <w:rsid w:val="00A4361B"/>
    <w:rsid w:val="00A437CA"/>
    <w:rsid w:val="00A438FC"/>
    <w:rsid w:val="00A439CA"/>
    <w:rsid w:val="00A43CF7"/>
    <w:rsid w:val="00A441F1"/>
    <w:rsid w:val="00A446C8"/>
    <w:rsid w:val="00A447FF"/>
    <w:rsid w:val="00A44863"/>
    <w:rsid w:val="00A44CCB"/>
    <w:rsid w:val="00A45258"/>
    <w:rsid w:val="00A452E2"/>
    <w:rsid w:val="00A45658"/>
    <w:rsid w:val="00A45AA2"/>
    <w:rsid w:val="00A462AE"/>
    <w:rsid w:val="00A463E0"/>
    <w:rsid w:val="00A46D1B"/>
    <w:rsid w:val="00A47527"/>
    <w:rsid w:val="00A475E4"/>
    <w:rsid w:val="00A47D5A"/>
    <w:rsid w:val="00A47F45"/>
    <w:rsid w:val="00A500ED"/>
    <w:rsid w:val="00A503F7"/>
    <w:rsid w:val="00A505AD"/>
    <w:rsid w:val="00A506C3"/>
    <w:rsid w:val="00A510E4"/>
    <w:rsid w:val="00A5115F"/>
    <w:rsid w:val="00A512C0"/>
    <w:rsid w:val="00A51776"/>
    <w:rsid w:val="00A51B15"/>
    <w:rsid w:val="00A51BBC"/>
    <w:rsid w:val="00A5222B"/>
    <w:rsid w:val="00A526A9"/>
    <w:rsid w:val="00A52C7B"/>
    <w:rsid w:val="00A534F9"/>
    <w:rsid w:val="00A53CB5"/>
    <w:rsid w:val="00A53DEE"/>
    <w:rsid w:val="00A54A92"/>
    <w:rsid w:val="00A54B76"/>
    <w:rsid w:val="00A54F09"/>
    <w:rsid w:val="00A55301"/>
    <w:rsid w:val="00A55468"/>
    <w:rsid w:val="00A55C93"/>
    <w:rsid w:val="00A56107"/>
    <w:rsid w:val="00A562C6"/>
    <w:rsid w:val="00A5646F"/>
    <w:rsid w:val="00A5668F"/>
    <w:rsid w:val="00A56867"/>
    <w:rsid w:val="00A56AAF"/>
    <w:rsid w:val="00A56E43"/>
    <w:rsid w:val="00A57139"/>
    <w:rsid w:val="00A57276"/>
    <w:rsid w:val="00A576DD"/>
    <w:rsid w:val="00A5795E"/>
    <w:rsid w:val="00A57B37"/>
    <w:rsid w:val="00A57B8A"/>
    <w:rsid w:val="00A57D24"/>
    <w:rsid w:val="00A60BD1"/>
    <w:rsid w:val="00A60DA2"/>
    <w:rsid w:val="00A6152A"/>
    <w:rsid w:val="00A61A02"/>
    <w:rsid w:val="00A61E85"/>
    <w:rsid w:val="00A61E8A"/>
    <w:rsid w:val="00A62408"/>
    <w:rsid w:val="00A6244F"/>
    <w:rsid w:val="00A62BE6"/>
    <w:rsid w:val="00A63207"/>
    <w:rsid w:val="00A633B0"/>
    <w:rsid w:val="00A63538"/>
    <w:rsid w:val="00A63595"/>
    <w:rsid w:val="00A63760"/>
    <w:rsid w:val="00A63BFE"/>
    <w:rsid w:val="00A63F73"/>
    <w:rsid w:val="00A64F1A"/>
    <w:rsid w:val="00A65074"/>
    <w:rsid w:val="00A652BE"/>
    <w:rsid w:val="00A65CB0"/>
    <w:rsid w:val="00A65F8F"/>
    <w:rsid w:val="00A66070"/>
    <w:rsid w:val="00A66354"/>
    <w:rsid w:val="00A663E2"/>
    <w:rsid w:val="00A666AC"/>
    <w:rsid w:val="00A66BA8"/>
    <w:rsid w:val="00A66D78"/>
    <w:rsid w:val="00A6715E"/>
    <w:rsid w:val="00A674C3"/>
    <w:rsid w:val="00A67B68"/>
    <w:rsid w:val="00A70244"/>
    <w:rsid w:val="00A70430"/>
    <w:rsid w:val="00A70949"/>
    <w:rsid w:val="00A71A37"/>
    <w:rsid w:val="00A71F75"/>
    <w:rsid w:val="00A72170"/>
    <w:rsid w:val="00A7239E"/>
    <w:rsid w:val="00A72603"/>
    <w:rsid w:val="00A72633"/>
    <w:rsid w:val="00A728DD"/>
    <w:rsid w:val="00A728EB"/>
    <w:rsid w:val="00A72951"/>
    <w:rsid w:val="00A72AA7"/>
    <w:rsid w:val="00A72ACD"/>
    <w:rsid w:val="00A72B09"/>
    <w:rsid w:val="00A72C20"/>
    <w:rsid w:val="00A7311E"/>
    <w:rsid w:val="00A7313B"/>
    <w:rsid w:val="00A73168"/>
    <w:rsid w:val="00A73185"/>
    <w:rsid w:val="00A736D6"/>
    <w:rsid w:val="00A74130"/>
    <w:rsid w:val="00A744A0"/>
    <w:rsid w:val="00A749CF"/>
    <w:rsid w:val="00A75176"/>
    <w:rsid w:val="00A753A3"/>
    <w:rsid w:val="00A75C08"/>
    <w:rsid w:val="00A75D15"/>
    <w:rsid w:val="00A75EA3"/>
    <w:rsid w:val="00A762BF"/>
    <w:rsid w:val="00A764D1"/>
    <w:rsid w:val="00A768AE"/>
    <w:rsid w:val="00A76AB2"/>
    <w:rsid w:val="00A76C6B"/>
    <w:rsid w:val="00A76C8F"/>
    <w:rsid w:val="00A76E64"/>
    <w:rsid w:val="00A76F4A"/>
    <w:rsid w:val="00A77266"/>
    <w:rsid w:val="00A77A29"/>
    <w:rsid w:val="00A77C29"/>
    <w:rsid w:val="00A77E95"/>
    <w:rsid w:val="00A79769"/>
    <w:rsid w:val="00A80377"/>
    <w:rsid w:val="00A80745"/>
    <w:rsid w:val="00A807B8"/>
    <w:rsid w:val="00A80840"/>
    <w:rsid w:val="00A809FC"/>
    <w:rsid w:val="00A80BC4"/>
    <w:rsid w:val="00A812B4"/>
    <w:rsid w:val="00A8185E"/>
    <w:rsid w:val="00A81A0E"/>
    <w:rsid w:val="00A81DDE"/>
    <w:rsid w:val="00A81E55"/>
    <w:rsid w:val="00A826B5"/>
    <w:rsid w:val="00A82A67"/>
    <w:rsid w:val="00A82D58"/>
    <w:rsid w:val="00A833C9"/>
    <w:rsid w:val="00A83823"/>
    <w:rsid w:val="00A83886"/>
    <w:rsid w:val="00A83AB6"/>
    <w:rsid w:val="00A83E2A"/>
    <w:rsid w:val="00A83FEC"/>
    <w:rsid w:val="00A840F0"/>
    <w:rsid w:val="00A84204"/>
    <w:rsid w:val="00A8425D"/>
    <w:rsid w:val="00A8441F"/>
    <w:rsid w:val="00A84475"/>
    <w:rsid w:val="00A848EE"/>
    <w:rsid w:val="00A84966"/>
    <w:rsid w:val="00A84CF7"/>
    <w:rsid w:val="00A85282"/>
    <w:rsid w:val="00A852B5"/>
    <w:rsid w:val="00A8545F"/>
    <w:rsid w:val="00A85B2E"/>
    <w:rsid w:val="00A85C08"/>
    <w:rsid w:val="00A85EB7"/>
    <w:rsid w:val="00A86588"/>
    <w:rsid w:val="00A86F67"/>
    <w:rsid w:val="00A87B3F"/>
    <w:rsid w:val="00A87C20"/>
    <w:rsid w:val="00A9020D"/>
    <w:rsid w:val="00A9029F"/>
    <w:rsid w:val="00A904DA"/>
    <w:rsid w:val="00A90942"/>
    <w:rsid w:val="00A90F46"/>
    <w:rsid w:val="00A90FEF"/>
    <w:rsid w:val="00A911C9"/>
    <w:rsid w:val="00A915B7"/>
    <w:rsid w:val="00A9193C"/>
    <w:rsid w:val="00A922D9"/>
    <w:rsid w:val="00A928C5"/>
    <w:rsid w:val="00A934A0"/>
    <w:rsid w:val="00A93731"/>
    <w:rsid w:val="00A937E6"/>
    <w:rsid w:val="00A937EA"/>
    <w:rsid w:val="00A93ECA"/>
    <w:rsid w:val="00A94250"/>
    <w:rsid w:val="00A943F3"/>
    <w:rsid w:val="00A94A4F"/>
    <w:rsid w:val="00A94BB8"/>
    <w:rsid w:val="00A954A1"/>
    <w:rsid w:val="00A95A61"/>
    <w:rsid w:val="00A95BA2"/>
    <w:rsid w:val="00A95CB1"/>
    <w:rsid w:val="00A960B4"/>
    <w:rsid w:val="00A96573"/>
    <w:rsid w:val="00A96681"/>
    <w:rsid w:val="00A966AB"/>
    <w:rsid w:val="00A9690A"/>
    <w:rsid w:val="00A96AF2"/>
    <w:rsid w:val="00A96C7A"/>
    <w:rsid w:val="00A976BC"/>
    <w:rsid w:val="00A97F65"/>
    <w:rsid w:val="00AA036B"/>
    <w:rsid w:val="00AA038E"/>
    <w:rsid w:val="00AA08CC"/>
    <w:rsid w:val="00AA091A"/>
    <w:rsid w:val="00AA1024"/>
    <w:rsid w:val="00AA17CC"/>
    <w:rsid w:val="00AA18A2"/>
    <w:rsid w:val="00AA18F5"/>
    <w:rsid w:val="00AA1937"/>
    <w:rsid w:val="00AA2DE8"/>
    <w:rsid w:val="00AA32E9"/>
    <w:rsid w:val="00AA3412"/>
    <w:rsid w:val="00AA36ED"/>
    <w:rsid w:val="00AA3785"/>
    <w:rsid w:val="00AA3A2A"/>
    <w:rsid w:val="00AA3AF4"/>
    <w:rsid w:val="00AA3BE1"/>
    <w:rsid w:val="00AA4527"/>
    <w:rsid w:val="00AA4724"/>
    <w:rsid w:val="00AA47D2"/>
    <w:rsid w:val="00AA4B19"/>
    <w:rsid w:val="00AA4C95"/>
    <w:rsid w:val="00AA4F34"/>
    <w:rsid w:val="00AA542A"/>
    <w:rsid w:val="00AA546E"/>
    <w:rsid w:val="00AA54B1"/>
    <w:rsid w:val="00AA563E"/>
    <w:rsid w:val="00AA575D"/>
    <w:rsid w:val="00AA642B"/>
    <w:rsid w:val="00AA6619"/>
    <w:rsid w:val="00AA6897"/>
    <w:rsid w:val="00AA7080"/>
    <w:rsid w:val="00AA72D6"/>
    <w:rsid w:val="00AA73FC"/>
    <w:rsid w:val="00AA7555"/>
    <w:rsid w:val="00AA7753"/>
    <w:rsid w:val="00AA7877"/>
    <w:rsid w:val="00AA7D1C"/>
    <w:rsid w:val="00AA7EF1"/>
    <w:rsid w:val="00AB01E3"/>
    <w:rsid w:val="00AB0378"/>
    <w:rsid w:val="00AB09B6"/>
    <w:rsid w:val="00AB09F1"/>
    <w:rsid w:val="00AB0B19"/>
    <w:rsid w:val="00AB0CFA"/>
    <w:rsid w:val="00AB1305"/>
    <w:rsid w:val="00AB218F"/>
    <w:rsid w:val="00AB23B3"/>
    <w:rsid w:val="00AB255E"/>
    <w:rsid w:val="00AB2E6A"/>
    <w:rsid w:val="00AB3162"/>
    <w:rsid w:val="00AB3563"/>
    <w:rsid w:val="00AB387A"/>
    <w:rsid w:val="00AB389F"/>
    <w:rsid w:val="00AB3AEF"/>
    <w:rsid w:val="00AB3D8E"/>
    <w:rsid w:val="00AB40EE"/>
    <w:rsid w:val="00AB4259"/>
    <w:rsid w:val="00AB4650"/>
    <w:rsid w:val="00AB48F6"/>
    <w:rsid w:val="00AB49B1"/>
    <w:rsid w:val="00AB509B"/>
    <w:rsid w:val="00AB520D"/>
    <w:rsid w:val="00AB5F44"/>
    <w:rsid w:val="00AB6136"/>
    <w:rsid w:val="00AB6210"/>
    <w:rsid w:val="00AB6256"/>
    <w:rsid w:val="00AB6835"/>
    <w:rsid w:val="00AB6939"/>
    <w:rsid w:val="00AB6B9E"/>
    <w:rsid w:val="00AB6E6A"/>
    <w:rsid w:val="00AB6F6E"/>
    <w:rsid w:val="00AC011E"/>
    <w:rsid w:val="00AC0282"/>
    <w:rsid w:val="00AC08E2"/>
    <w:rsid w:val="00AC1078"/>
    <w:rsid w:val="00AC1354"/>
    <w:rsid w:val="00AC171A"/>
    <w:rsid w:val="00AC1A62"/>
    <w:rsid w:val="00AC1BD4"/>
    <w:rsid w:val="00AC1F58"/>
    <w:rsid w:val="00AC1FBD"/>
    <w:rsid w:val="00AC22DE"/>
    <w:rsid w:val="00AC24D5"/>
    <w:rsid w:val="00AC2896"/>
    <w:rsid w:val="00AC289A"/>
    <w:rsid w:val="00AC2F0D"/>
    <w:rsid w:val="00AC314C"/>
    <w:rsid w:val="00AC3B75"/>
    <w:rsid w:val="00AC425E"/>
    <w:rsid w:val="00AC42FF"/>
    <w:rsid w:val="00AC5015"/>
    <w:rsid w:val="00AC5AE8"/>
    <w:rsid w:val="00AC5FC7"/>
    <w:rsid w:val="00AC656F"/>
    <w:rsid w:val="00AC65A3"/>
    <w:rsid w:val="00AC6777"/>
    <w:rsid w:val="00AC67D3"/>
    <w:rsid w:val="00AC6AE5"/>
    <w:rsid w:val="00AC6E1C"/>
    <w:rsid w:val="00AC71DF"/>
    <w:rsid w:val="00AC775E"/>
    <w:rsid w:val="00AC7B3D"/>
    <w:rsid w:val="00AD024E"/>
    <w:rsid w:val="00AD0313"/>
    <w:rsid w:val="00AD0BAD"/>
    <w:rsid w:val="00AD0BFA"/>
    <w:rsid w:val="00AD0C71"/>
    <w:rsid w:val="00AD140E"/>
    <w:rsid w:val="00AD160A"/>
    <w:rsid w:val="00AD1FA7"/>
    <w:rsid w:val="00AD234E"/>
    <w:rsid w:val="00AD2647"/>
    <w:rsid w:val="00AD28E6"/>
    <w:rsid w:val="00AD29FE"/>
    <w:rsid w:val="00AD2BC8"/>
    <w:rsid w:val="00AD3759"/>
    <w:rsid w:val="00AD3A61"/>
    <w:rsid w:val="00AD3AD2"/>
    <w:rsid w:val="00AD3B05"/>
    <w:rsid w:val="00AD3DAA"/>
    <w:rsid w:val="00AD402D"/>
    <w:rsid w:val="00AD4072"/>
    <w:rsid w:val="00AD4139"/>
    <w:rsid w:val="00AD438A"/>
    <w:rsid w:val="00AD4AD3"/>
    <w:rsid w:val="00AD4F20"/>
    <w:rsid w:val="00AD5232"/>
    <w:rsid w:val="00AD54A0"/>
    <w:rsid w:val="00AD55D3"/>
    <w:rsid w:val="00AD57B9"/>
    <w:rsid w:val="00AD5957"/>
    <w:rsid w:val="00AD5AC7"/>
    <w:rsid w:val="00AD5DDE"/>
    <w:rsid w:val="00AD60BE"/>
    <w:rsid w:val="00AD649B"/>
    <w:rsid w:val="00AD6B0A"/>
    <w:rsid w:val="00AD6B6C"/>
    <w:rsid w:val="00AD6BCB"/>
    <w:rsid w:val="00AD6CD4"/>
    <w:rsid w:val="00AD7049"/>
    <w:rsid w:val="00AD7054"/>
    <w:rsid w:val="00AD70C0"/>
    <w:rsid w:val="00AD752F"/>
    <w:rsid w:val="00AD7BD9"/>
    <w:rsid w:val="00AE0307"/>
    <w:rsid w:val="00AE04AB"/>
    <w:rsid w:val="00AE0704"/>
    <w:rsid w:val="00AE0BDF"/>
    <w:rsid w:val="00AE0DA3"/>
    <w:rsid w:val="00AE0E79"/>
    <w:rsid w:val="00AE139B"/>
    <w:rsid w:val="00AE142D"/>
    <w:rsid w:val="00AE156F"/>
    <w:rsid w:val="00AE2170"/>
    <w:rsid w:val="00AE22AE"/>
    <w:rsid w:val="00AE2334"/>
    <w:rsid w:val="00AE26F6"/>
    <w:rsid w:val="00AE29CB"/>
    <w:rsid w:val="00AE3024"/>
    <w:rsid w:val="00AE308C"/>
    <w:rsid w:val="00AE33C0"/>
    <w:rsid w:val="00AE37B0"/>
    <w:rsid w:val="00AE3B05"/>
    <w:rsid w:val="00AE3F16"/>
    <w:rsid w:val="00AE3F25"/>
    <w:rsid w:val="00AE4377"/>
    <w:rsid w:val="00AE4730"/>
    <w:rsid w:val="00AE4C80"/>
    <w:rsid w:val="00AE533B"/>
    <w:rsid w:val="00AE562A"/>
    <w:rsid w:val="00AE5724"/>
    <w:rsid w:val="00AE5C7C"/>
    <w:rsid w:val="00AE5FE5"/>
    <w:rsid w:val="00AE628F"/>
    <w:rsid w:val="00AE66EC"/>
    <w:rsid w:val="00AE68DA"/>
    <w:rsid w:val="00AE6AD5"/>
    <w:rsid w:val="00AE6BD0"/>
    <w:rsid w:val="00AE6D3D"/>
    <w:rsid w:val="00AE72B4"/>
    <w:rsid w:val="00AE7777"/>
    <w:rsid w:val="00AE7AE0"/>
    <w:rsid w:val="00AF0202"/>
    <w:rsid w:val="00AF030C"/>
    <w:rsid w:val="00AF097B"/>
    <w:rsid w:val="00AF0B5C"/>
    <w:rsid w:val="00AF0CAF"/>
    <w:rsid w:val="00AF0D35"/>
    <w:rsid w:val="00AF0E73"/>
    <w:rsid w:val="00AF10B0"/>
    <w:rsid w:val="00AF121B"/>
    <w:rsid w:val="00AF1276"/>
    <w:rsid w:val="00AF139E"/>
    <w:rsid w:val="00AF181F"/>
    <w:rsid w:val="00AF1969"/>
    <w:rsid w:val="00AF1AB3"/>
    <w:rsid w:val="00AF2994"/>
    <w:rsid w:val="00AF29AF"/>
    <w:rsid w:val="00AF2C35"/>
    <w:rsid w:val="00AF2C56"/>
    <w:rsid w:val="00AF3159"/>
    <w:rsid w:val="00AF32A0"/>
    <w:rsid w:val="00AF37FC"/>
    <w:rsid w:val="00AF3D85"/>
    <w:rsid w:val="00AF419C"/>
    <w:rsid w:val="00AF4234"/>
    <w:rsid w:val="00AF4250"/>
    <w:rsid w:val="00AF4D86"/>
    <w:rsid w:val="00AF4F7F"/>
    <w:rsid w:val="00AF5C63"/>
    <w:rsid w:val="00AF5C73"/>
    <w:rsid w:val="00AF5F19"/>
    <w:rsid w:val="00AF65FA"/>
    <w:rsid w:val="00AF668A"/>
    <w:rsid w:val="00AF67CE"/>
    <w:rsid w:val="00AF6C99"/>
    <w:rsid w:val="00AF6CA9"/>
    <w:rsid w:val="00AF74D5"/>
    <w:rsid w:val="00AF75E6"/>
    <w:rsid w:val="00AF77C8"/>
    <w:rsid w:val="00AF79C1"/>
    <w:rsid w:val="00AF7A4C"/>
    <w:rsid w:val="00AF7A76"/>
    <w:rsid w:val="00AF7A8B"/>
    <w:rsid w:val="00AF7AD3"/>
    <w:rsid w:val="00AF7B5F"/>
    <w:rsid w:val="00AF7CE9"/>
    <w:rsid w:val="00B006C4"/>
    <w:rsid w:val="00B00A14"/>
    <w:rsid w:val="00B0129A"/>
    <w:rsid w:val="00B012AC"/>
    <w:rsid w:val="00B012E7"/>
    <w:rsid w:val="00B01551"/>
    <w:rsid w:val="00B0173E"/>
    <w:rsid w:val="00B01D2A"/>
    <w:rsid w:val="00B01F24"/>
    <w:rsid w:val="00B02413"/>
    <w:rsid w:val="00B0281A"/>
    <w:rsid w:val="00B02D09"/>
    <w:rsid w:val="00B0304B"/>
    <w:rsid w:val="00B031FA"/>
    <w:rsid w:val="00B037E7"/>
    <w:rsid w:val="00B04062"/>
    <w:rsid w:val="00B04147"/>
    <w:rsid w:val="00B04320"/>
    <w:rsid w:val="00B04430"/>
    <w:rsid w:val="00B0453E"/>
    <w:rsid w:val="00B04B72"/>
    <w:rsid w:val="00B05190"/>
    <w:rsid w:val="00B05259"/>
    <w:rsid w:val="00B052DE"/>
    <w:rsid w:val="00B052F4"/>
    <w:rsid w:val="00B053BA"/>
    <w:rsid w:val="00B05C21"/>
    <w:rsid w:val="00B064FC"/>
    <w:rsid w:val="00B065CE"/>
    <w:rsid w:val="00B06A93"/>
    <w:rsid w:val="00B075F5"/>
    <w:rsid w:val="00B077F3"/>
    <w:rsid w:val="00B078E1"/>
    <w:rsid w:val="00B07B94"/>
    <w:rsid w:val="00B07C76"/>
    <w:rsid w:val="00B07D8D"/>
    <w:rsid w:val="00B104CD"/>
    <w:rsid w:val="00B10A37"/>
    <w:rsid w:val="00B10D63"/>
    <w:rsid w:val="00B10FE1"/>
    <w:rsid w:val="00B1121A"/>
    <w:rsid w:val="00B11277"/>
    <w:rsid w:val="00B11309"/>
    <w:rsid w:val="00B11654"/>
    <w:rsid w:val="00B116E8"/>
    <w:rsid w:val="00B11913"/>
    <w:rsid w:val="00B119D4"/>
    <w:rsid w:val="00B11DB2"/>
    <w:rsid w:val="00B11F17"/>
    <w:rsid w:val="00B11F90"/>
    <w:rsid w:val="00B120DD"/>
    <w:rsid w:val="00B1216C"/>
    <w:rsid w:val="00B12C15"/>
    <w:rsid w:val="00B12CB4"/>
    <w:rsid w:val="00B12FC5"/>
    <w:rsid w:val="00B133AA"/>
    <w:rsid w:val="00B138A1"/>
    <w:rsid w:val="00B13C5D"/>
    <w:rsid w:val="00B13F8F"/>
    <w:rsid w:val="00B14531"/>
    <w:rsid w:val="00B14657"/>
    <w:rsid w:val="00B147F7"/>
    <w:rsid w:val="00B14961"/>
    <w:rsid w:val="00B14CAB"/>
    <w:rsid w:val="00B14CDA"/>
    <w:rsid w:val="00B157AE"/>
    <w:rsid w:val="00B15874"/>
    <w:rsid w:val="00B15A9E"/>
    <w:rsid w:val="00B15DC6"/>
    <w:rsid w:val="00B15F27"/>
    <w:rsid w:val="00B15FD5"/>
    <w:rsid w:val="00B16546"/>
    <w:rsid w:val="00B1724E"/>
    <w:rsid w:val="00B1756C"/>
    <w:rsid w:val="00B176FE"/>
    <w:rsid w:val="00B179AA"/>
    <w:rsid w:val="00B17ACA"/>
    <w:rsid w:val="00B17C9F"/>
    <w:rsid w:val="00B20057"/>
    <w:rsid w:val="00B20591"/>
    <w:rsid w:val="00B207AD"/>
    <w:rsid w:val="00B207B0"/>
    <w:rsid w:val="00B207C1"/>
    <w:rsid w:val="00B2085F"/>
    <w:rsid w:val="00B20FFA"/>
    <w:rsid w:val="00B21053"/>
    <w:rsid w:val="00B21206"/>
    <w:rsid w:val="00B2155A"/>
    <w:rsid w:val="00B21A1E"/>
    <w:rsid w:val="00B21D9D"/>
    <w:rsid w:val="00B225A0"/>
    <w:rsid w:val="00B225B0"/>
    <w:rsid w:val="00B22998"/>
    <w:rsid w:val="00B22A30"/>
    <w:rsid w:val="00B22DDC"/>
    <w:rsid w:val="00B23840"/>
    <w:rsid w:val="00B23844"/>
    <w:rsid w:val="00B23C38"/>
    <w:rsid w:val="00B23ED3"/>
    <w:rsid w:val="00B241EC"/>
    <w:rsid w:val="00B24416"/>
    <w:rsid w:val="00B244F4"/>
    <w:rsid w:val="00B24643"/>
    <w:rsid w:val="00B24C80"/>
    <w:rsid w:val="00B24E17"/>
    <w:rsid w:val="00B24F9C"/>
    <w:rsid w:val="00B25695"/>
    <w:rsid w:val="00B25995"/>
    <w:rsid w:val="00B25DC2"/>
    <w:rsid w:val="00B25E5B"/>
    <w:rsid w:val="00B26163"/>
    <w:rsid w:val="00B2653D"/>
    <w:rsid w:val="00B26B6D"/>
    <w:rsid w:val="00B272D3"/>
    <w:rsid w:val="00B274D7"/>
    <w:rsid w:val="00B27620"/>
    <w:rsid w:val="00B27728"/>
    <w:rsid w:val="00B27792"/>
    <w:rsid w:val="00B27B34"/>
    <w:rsid w:val="00B308D0"/>
    <w:rsid w:val="00B30A08"/>
    <w:rsid w:val="00B3102F"/>
    <w:rsid w:val="00B3122D"/>
    <w:rsid w:val="00B31803"/>
    <w:rsid w:val="00B31806"/>
    <w:rsid w:val="00B31980"/>
    <w:rsid w:val="00B3238E"/>
    <w:rsid w:val="00B323C5"/>
    <w:rsid w:val="00B328B1"/>
    <w:rsid w:val="00B32CA3"/>
    <w:rsid w:val="00B32CF1"/>
    <w:rsid w:val="00B3317E"/>
    <w:rsid w:val="00B337F7"/>
    <w:rsid w:val="00B33E26"/>
    <w:rsid w:val="00B3401B"/>
    <w:rsid w:val="00B34164"/>
    <w:rsid w:val="00B343FE"/>
    <w:rsid w:val="00B34779"/>
    <w:rsid w:val="00B34F81"/>
    <w:rsid w:val="00B358B6"/>
    <w:rsid w:val="00B35EA5"/>
    <w:rsid w:val="00B35EE6"/>
    <w:rsid w:val="00B3601C"/>
    <w:rsid w:val="00B3601F"/>
    <w:rsid w:val="00B36224"/>
    <w:rsid w:val="00B366AA"/>
    <w:rsid w:val="00B366E6"/>
    <w:rsid w:val="00B371B7"/>
    <w:rsid w:val="00B37264"/>
    <w:rsid w:val="00B3736B"/>
    <w:rsid w:val="00B37383"/>
    <w:rsid w:val="00B37DFA"/>
    <w:rsid w:val="00B37E20"/>
    <w:rsid w:val="00B4078F"/>
    <w:rsid w:val="00B40849"/>
    <w:rsid w:val="00B408B7"/>
    <w:rsid w:val="00B40A2C"/>
    <w:rsid w:val="00B412F9"/>
    <w:rsid w:val="00B41565"/>
    <w:rsid w:val="00B41CBB"/>
    <w:rsid w:val="00B420C1"/>
    <w:rsid w:val="00B427E2"/>
    <w:rsid w:val="00B428A3"/>
    <w:rsid w:val="00B42AA5"/>
    <w:rsid w:val="00B43083"/>
    <w:rsid w:val="00B43554"/>
    <w:rsid w:val="00B43577"/>
    <w:rsid w:val="00B435E5"/>
    <w:rsid w:val="00B43914"/>
    <w:rsid w:val="00B43C44"/>
    <w:rsid w:val="00B43DFE"/>
    <w:rsid w:val="00B43EAD"/>
    <w:rsid w:val="00B43F58"/>
    <w:rsid w:val="00B444F9"/>
    <w:rsid w:val="00B4454B"/>
    <w:rsid w:val="00B446B1"/>
    <w:rsid w:val="00B4471F"/>
    <w:rsid w:val="00B44AD3"/>
    <w:rsid w:val="00B44BAC"/>
    <w:rsid w:val="00B451D0"/>
    <w:rsid w:val="00B452FB"/>
    <w:rsid w:val="00B45749"/>
    <w:rsid w:val="00B45C3B"/>
    <w:rsid w:val="00B45EB7"/>
    <w:rsid w:val="00B45EC5"/>
    <w:rsid w:val="00B45FB5"/>
    <w:rsid w:val="00B462CF"/>
    <w:rsid w:val="00B4648A"/>
    <w:rsid w:val="00B466B6"/>
    <w:rsid w:val="00B46B9F"/>
    <w:rsid w:val="00B46CD6"/>
    <w:rsid w:val="00B46DC8"/>
    <w:rsid w:val="00B46FAE"/>
    <w:rsid w:val="00B50202"/>
    <w:rsid w:val="00B50667"/>
    <w:rsid w:val="00B50FD9"/>
    <w:rsid w:val="00B51279"/>
    <w:rsid w:val="00B512FA"/>
    <w:rsid w:val="00B517D6"/>
    <w:rsid w:val="00B51A31"/>
    <w:rsid w:val="00B53410"/>
    <w:rsid w:val="00B534B0"/>
    <w:rsid w:val="00B536E2"/>
    <w:rsid w:val="00B539C2"/>
    <w:rsid w:val="00B53A62"/>
    <w:rsid w:val="00B53C96"/>
    <w:rsid w:val="00B541AB"/>
    <w:rsid w:val="00B54285"/>
    <w:rsid w:val="00B54AFE"/>
    <w:rsid w:val="00B54B03"/>
    <w:rsid w:val="00B54BA7"/>
    <w:rsid w:val="00B54BE4"/>
    <w:rsid w:val="00B54C64"/>
    <w:rsid w:val="00B55321"/>
    <w:rsid w:val="00B553D6"/>
    <w:rsid w:val="00B553E6"/>
    <w:rsid w:val="00B559EA"/>
    <w:rsid w:val="00B55C43"/>
    <w:rsid w:val="00B55C62"/>
    <w:rsid w:val="00B56FDF"/>
    <w:rsid w:val="00B5791B"/>
    <w:rsid w:val="00B57BA3"/>
    <w:rsid w:val="00B57E89"/>
    <w:rsid w:val="00B57EAC"/>
    <w:rsid w:val="00B60596"/>
    <w:rsid w:val="00B607A9"/>
    <w:rsid w:val="00B60A8E"/>
    <w:rsid w:val="00B60B2E"/>
    <w:rsid w:val="00B60F45"/>
    <w:rsid w:val="00B60FC2"/>
    <w:rsid w:val="00B610EC"/>
    <w:rsid w:val="00B6125B"/>
    <w:rsid w:val="00B616C6"/>
    <w:rsid w:val="00B61AD3"/>
    <w:rsid w:val="00B61C4A"/>
    <w:rsid w:val="00B61D99"/>
    <w:rsid w:val="00B61F96"/>
    <w:rsid w:val="00B620D8"/>
    <w:rsid w:val="00B62850"/>
    <w:rsid w:val="00B62DAF"/>
    <w:rsid w:val="00B6325C"/>
    <w:rsid w:val="00B63595"/>
    <w:rsid w:val="00B63598"/>
    <w:rsid w:val="00B6383C"/>
    <w:rsid w:val="00B63937"/>
    <w:rsid w:val="00B63E55"/>
    <w:rsid w:val="00B640E2"/>
    <w:rsid w:val="00B64177"/>
    <w:rsid w:val="00B64203"/>
    <w:rsid w:val="00B64450"/>
    <w:rsid w:val="00B6469D"/>
    <w:rsid w:val="00B64815"/>
    <w:rsid w:val="00B64DA3"/>
    <w:rsid w:val="00B652EA"/>
    <w:rsid w:val="00B6554B"/>
    <w:rsid w:val="00B65AAD"/>
    <w:rsid w:val="00B65CF3"/>
    <w:rsid w:val="00B663C5"/>
    <w:rsid w:val="00B664AE"/>
    <w:rsid w:val="00B667E8"/>
    <w:rsid w:val="00B66C77"/>
    <w:rsid w:val="00B66D1B"/>
    <w:rsid w:val="00B66D71"/>
    <w:rsid w:val="00B674F3"/>
    <w:rsid w:val="00B6771B"/>
    <w:rsid w:val="00B67769"/>
    <w:rsid w:val="00B6780D"/>
    <w:rsid w:val="00B6781D"/>
    <w:rsid w:val="00B678F2"/>
    <w:rsid w:val="00B67904"/>
    <w:rsid w:val="00B67AE6"/>
    <w:rsid w:val="00B67E83"/>
    <w:rsid w:val="00B67FB3"/>
    <w:rsid w:val="00B703D2"/>
    <w:rsid w:val="00B707E8"/>
    <w:rsid w:val="00B709BA"/>
    <w:rsid w:val="00B71085"/>
    <w:rsid w:val="00B714DE"/>
    <w:rsid w:val="00B716F1"/>
    <w:rsid w:val="00B71959"/>
    <w:rsid w:val="00B71BAF"/>
    <w:rsid w:val="00B71CA6"/>
    <w:rsid w:val="00B72025"/>
    <w:rsid w:val="00B7235D"/>
    <w:rsid w:val="00B72A52"/>
    <w:rsid w:val="00B72C02"/>
    <w:rsid w:val="00B72C5A"/>
    <w:rsid w:val="00B72E2D"/>
    <w:rsid w:val="00B72E9B"/>
    <w:rsid w:val="00B7366C"/>
    <w:rsid w:val="00B73A37"/>
    <w:rsid w:val="00B73D1C"/>
    <w:rsid w:val="00B73D3D"/>
    <w:rsid w:val="00B73D8E"/>
    <w:rsid w:val="00B73EEF"/>
    <w:rsid w:val="00B743E3"/>
    <w:rsid w:val="00B747CF"/>
    <w:rsid w:val="00B74F1F"/>
    <w:rsid w:val="00B74F31"/>
    <w:rsid w:val="00B750DB"/>
    <w:rsid w:val="00B75157"/>
    <w:rsid w:val="00B752F3"/>
    <w:rsid w:val="00B75461"/>
    <w:rsid w:val="00B75576"/>
    <w:rsid w:val="00B75E55"/>
    <w:rsid w:val="00B75F29"/>
    <w:rsid w:val="00B76028"/>
    <w:rsid w:val="00B76453"/>
    <w:rsid w:val="00B764F6"/>
    <w:rsid w:val="00B76840"/>
    <w:rsid w:val="00B7691C"/>
    <w:rsid w:val="00B76CC1"/>
    <w:rsid w:val="00B76D7B"/>
    <w:rsid w:val="00B76E6F"/>
    <w:rsid w:val="00B770CE"/>
    <w:rsid w:val="00B77324"/>
    <w:rsid w:val="00B7749A"/>
    <w:rsid w:val="00B77777"/>
    <w:rsid w:val="00B77ABE"/>
    <w:rsid w:val="00B77D94"/>
    <w:rsid w:val="00B8006D"/>
    <w:rsid w:val="00B8024B"/>
    <w:rsid w:val="00B8065C"/>
    <w:rsid w:val="00B807C5"/>
    <w:rsid w:val="00B807D4"/>
    <w:rsid w:val="00B8097E"/>
    <w:rsid w:val="00B80A6C"/>
    <w:rsid w:val="00B80B03"/>
    <w:rsid w:val="00B80B0C"/>
    <w:rsid w:val="00B80D78"/>
    <w:rsid w:val="00B80EB0"/>
    <w:rsid w:val="00B80F09"/>
    <w:rsid w:val="00B80F1F"/>
    <w:rsid w:val="00B814F3"/>
    <w:rsid w:val="00B819D2"/>
    <w:rsid w:val="00B820CA"/>
    <w:rsid w:val="00B82189"/>
    <w:rsid w:val="00B82579"/>
    <w:rsid w:val="00B82635"/>
    <w:rsid w:val="00B82AB7"/>
    <w:rsid w:val="00B82ABC"/>
    <w:rsid w:val="00B83063"/>
    <w:rsid w:val="00B83941"/>
    <w:rsid w:val="00B83F53"/>
    <w:rsid w:val="00B842A9"/>
    <w:rsid w:val="00B84504"/>
    <w:rsid w:val="00B84980"/>
    <w:rsid w:val="00B85011"/>
    <w:rsid w:val="00B855E6"/>
    <w:rsid w:val="00B8598C"/>
    <w:rsid w:val="00B85B83"/>
    <w:rsid w:val="00B85CF6"/>
    <w:rsid w:val="00B86850"/>
    <w:rsid w:val="00B869B4"/>
    <w:rsid w:val="00B86B7C"/>
    <w:rsid w:val="00B86CE2"/>
    <w:rsid w:val="00B871B3"/>
    <w:rsid w:val="00B87619"/>
    <w:rsid w:val="00B87E24"/>
    <w:rsid w:val="00B87FCE"/>
    <w:rsid w:val="00B901C2"/>
    <w:rsid w:val="00B90898"/>
    <w:rsid w:val="00B912A2"/>
    <w:rsid w:val="00B91528"/>
    <w:rsid w:val="00B91775"/>
    <w:rsid w:val="00B9194E"/>
    <w:rsid w:val="00B92317"/>
    <w:rsid w:val="00B9260F"/>
    <w:rsid w:val="00B92797"/>
    <w:rsid w:val="00B93128"/>
    <w:rsid w:val="00B93183"/>
    <w:rsid w:val="00B9359E"/>
    <w:rsid w:val="00B936EA"/>
    <w:rsid w:val="00B9399E"/>
    <w:rsid w:val="00B939EE"/>
    <w:rsid w:val="00B941C4"/>
    <w:rsid w:val="00B94301"/>
    <w:rsid w:val="00B94433"/>
    <w:rsid w:val="00B94819"/>
    <w:rsid w:val="00B94BBB"/>
    <w:rsid w:val="00B94F59"/>
    <w:rsid w:val="00B94F84"/>
    <w:rsid w:val="00B95036"/>
    <w:rsid w:val="00B95152"/>
    <w:rsid w:val="00B95AD8"/>
    <w:rsid w:val="00B95B6C"/>
    <w:rsid w:val="00B96019"/>
    <w:rsid w:val="00B96615"/>
    <w:rsid w:val="00B969B0"/>
    <w:rsid w:val="00B96A3A"/>
    <w:rsid w:val="00B96D6C"/>
    <w:rsid w:val="00B96DCE"/>
    <w:rsid w:val="00B96F9E"/>
    <w:rsid w:val="00B971E6"/>
    <w:rsid w:val="00B975F9"/>
    <w:rsid w:val="00B97C24"/>
    <w:rsid w:val="00B97F60"/>
    <w:rsid w:val="00BA042C"/>
    <w:rsid w:val="00BA0D0C"/>
    <w:rsid w:val="00BA1502"/>
    <w:rsid w:val="00BA1A77"/>
    <w:rsid w:val="00BA1B73"/>
    <w:rsid w:val="00BA2077"/>
    <w:rsid w:val="00BA20F7"/>
    <w:rsid w:val="00BA2287"/>
    <w:rsid w:val="00BA267E"/>
    <w:rsid w:val="00BA294C"/>
    <w:rsid w:val="00BA29E8"/>
    <w:rsid w:val="00BA2AC9"/>
    <w:rsid w:val="00BA2CF4"/>
    <w:rsid w:val="00BA2D87"/>
    <w:rsid w:val="00BA2D95"/>
    <w:rsid w:val="00BA2F44"/>
    <w:rsid w:val="00BA3412"/>
    <w:rsid w:val="00BA3471"/>
    <w:rsid w:val="00BA3578"/>
    <w:rsid w:val="00BA3C48"/>
    <w:rsid w:val="00BA3DFE"/>
    <w:rsid w:val="00BA43D9"/>
    <w:rsid w:val="00BA453A"/>
    <w:rsid w:val="00BA4562"/>
    <w:rsid w:val="00BA46E4"/>
    <w:rsid w:val="00BA48F4"/>
    <w:rsid w:val="00BA504B"/>
    <w:rsid w:val="00BA559C"/>
    <w:rsid w:val="00BA5654"/>
    <w:rsid w:val="00BA5FC3"/>
    <w:rsid w:val="00BA65BB"/>
    <w:rsid w:val="00BA6919"/>
    <w:rsid w:val="00BA6A5D"/>
    <w:rsid w:val="00BA734E"/>
    <w:rsid w:val="00BA77AA"/>
    <w:rsid w:val="00BA794E"/>
    <w:rsid w:val="00BB0258"/>
    <w:rsid w:val="00BB02A8"/>
    <w:rsid w:val="00BB0567"/>
    <w:rsid w:val="00BB0766"/>
    <w:rsid w:val="00BB08C3"/>
    <w:rsid w:val="00BB1071"/>
    <w:rsid w:val="00BB11C7"/>
    <w:rsid w:val="00BB18A5"/>
    <w:rsid w:val="00BB1B42"/>
    <w:rsid w:val="00BB1E98"/>
    <w:rsid w:val="00BB22FD"/>
    <w:rsid w:val="00BB2B79"/>
    <w:rsid w:val="00BB2FB6"/>
    <w:rsid w:val="00BB3069"/>
    <w:rsid w:val="00BB313F"/>
    <w:rsid w:val="00BB36B0"/>
    <w:rsid w:val="00BB3994"/>
    <w:rsid w:val="00BB39FC"/>
    <w:rsid w:val="00BB3CDD"/>
    <w:rsid w:val="00BB3E7A"/>
    <w:rsid w:val="00BB40DB"/>
    <w:rsid w:val="00BB44AB"/>
    <w:rsid w:val="00BB457A"/>
    <w:rsid w:val="00BB475B"/>
    <w:rsid w:val="00BB495F"/>
    <w:rsid w:val="00BB4B52"/>
    <w:rsid w:val="00BB4B95"/>
    <w:rsid w:val="00BB4DD6"/>
    <w:rsid w:val="00BB50C0"/>
    <w:rsid w:val="00BB5202"/>
    <w:rsid w:val="00BB5373"/>
    <w:rsid w:val="00BB540D"/>
    <w:rsid w:val="00BB5A41"/>
    <w:rsid w:val="00BB5AB7"/>
    <w:rsid w:val="00BB6176"/>
    <w:rsid w:val="00BB6EB4"/>
    <w:rsid w:val="00BB756F"/>
    <w:rsid w:val="00BB76D6"/>
    <w:rsid w:val="00BB76F2"/>
    <w:rsid w:val="00BB7A5B"/>
    <w:rsid w:val="00BB7C41"/>
    <w:rsid w:val="00BB7D72"/>
    <w:rsid w:val="00BB7F32"/>
    <w:rsid w:val="00BC0505"/>
    <w:rsid w:val="00BC0CA9"/>
    <w:rsid w:val="00BC1315"/>
    <w:rsid w:val="00BC14D9"/>
    <w:rsid w:val="00BC17BD"/>
    <w:rsid w:val="00BC1BA0"/>
    <w:rsid w:val="00BC1C65"/>
    <w:rsid w:val="00BC1C9E"/>
    <w:rsid w:val="00BC1DF5"/>
    <w:rsid w:val="00BC1FE0"/>
    <w:rsid w:val="00BC2236"/>
    <w:rsid w:val="00BC2433"/>
    <w:rsid w:val="00BC29EF"/>
    <w:rsid w:val="00BC2F3B"/>
    <w:rsid w:val="00BC2F50"/>
    <w:rsid w:val="00BC305D"/>
    <w:rsid w:val="00BC33F1"/>
    <w:rsid w:val="00BC3414"/>
    <w:rsid w:val="00BC3D28"/>
    <w:rsid w:val="00BC3E91"/>
    <w:rsid w:val="00BC3F3F"/>
    <w:rsid w:val="00BC45C2"/>
    <w:rsid w:val="00BC463D"/>
    <w:rsid w:val="00BC4815"/>
    <w:rsid w:val="00BC4F63"/>
    <w:rsid w:val="00BC4FF1"/>
    <w:rsid w:val="00BC50F5"/>
    <w:rsid w:val="00BC53BA"/>
    <w:rsid w:val="00BC5444"/>
    <w:rsid w:val="00BC5544"/>
    <w:rsid w:val="00BC65AB"/>
    <w:rsid w:val="00BC67A5"/>
    <w:rsid w:val="00BC6881"/>
    <w:rsid w:val="00BC790C"/>
    <w:rsid w:val="00BC7A2F"/>
    <w:rsid w:val="00BD03D9"/>
    <w:rsid w:val="00BD0549"/>
    <w:rsid w:val="00BD09D6"/>
    <w:rsid w:val="00BD09E8"/>
    <w:rsid w:val="00BD0A44"/>
    <w:rsid w:val="00BD1632"/>
    <w:rsid w:val="00BD16C0"/>
    <w:rsid w:val="00BD18DD"/>
    <w:rsid w:val="00BD1B5D"/>
    <w:rsid w:val="00BD1D11"/>
    <w:rsid w:val="00BD27D9"/>
    <w:rsid w:val="00BD2928"/>
    <w:rsid w:val="00BD3679"/>
    <w:rsid w:val="00BD3A5B"/>
    <w:rsid w:val="00BD3D17"/>
    <w:rsid w:val="00BD400B"/>
    <w:rsid w:val="00BD44B7"/>
    <w:rsid w:val="00BD45F9"/>
    <w:rsid w:val="00BD4668"/>
    <w:rsid w:val="00BD4672"/>
    <w:rsid w:val="00BD488C"/>
    <w:rsid w:val="00BD48BB"/>
    <w:rsid w:val="00BD4B9F"/>
    <w:rsid w:val="00BD4DA7"/>
    <w:rsid w:val="00BD5172"/>
    <w:rsid w:val="00BD5212"/>
    <w:rsid w:val="00BD5283"/>
    <w:rsid w:val="00BD52D6"/>
    <w:rsid w:val="00BD532C"/>
    <w:rsid w:val="00BD5402"/>
    <w:rsid w:val="00BD5825"/>
    <w:rsid w:val="00BD58BB"/>
    <w:rsid w:val="00BD5AAE"/>
    <w:rsid w:val="00BD5B9B"/>
    <w:rsid w:val="00BD5CBD"/>
    <w:rsid w:val="00BD5E41"/>
    <w:rsid w:val="00BD5F8D"/>
    <w:rsid w:val="00BD60D6"/>
    <w:rsid w:val="00BD6339"/>
    <w:rsid w:val="00BD7918"/>
    <w:rsid w:val="00BD7A81"/>
    <w:rsid w:val="00BD7B53"/>
    <w:rsid w:val="00BD7E68"/>
    <w:rsid w:val="00BD7F81"/>
    <w:rsid w:val="00BE00C0"/>
    <w:rsid w:val="00BE00E3"/>
    <w:rsid w:val="00BE027C"/>
    <w:rsid w:val="00BE0759"/>
    <w:rsid w:val="00BE0906"/>
    <w:rsid w:val="00BE0C36"/>
    <w:rsid w:val="00BE0F16"/>
    <w:rsid w:val="00BE177C"/>
    <w:rsid w:val="00BE1CAF"/>
    <w:rsid w:val="00BE1E86"/>
    <w:rsid w:val="00BE25F1"/>
    <w:rsid w:val="00BE2C1F"/>
    <w:rsid w:val="00BE2EC8"/>
    <w:rsid w:val="00BE2F7F"/>
    <w:rsid w:val="00BE37C8"/>
    <w:rsid w:val="00BE37CF"/>
    <w:rsid w:val="00BE3A94"/>
    <w:rsid w:val="00BE4D85"/>
    <w:rsid w:val="00BE4E7B"/>
    <w:rsid w:val="00BE4EDD"/>
    <w:rsid w:val="00BE4F5C"/>
    <w:rsid w:val="00BE50E2"/>
    <w:rsid w:val="00BE5A0C"/>
    <w:rsid w:val="00BE5CF4"/>
    <w:rsid w:val="00BE6026"/>
    <w:rsid w:val="00BE62D8"/>
    <w:rsid w:val="00BE6330"/>
    <w:rsid w:val="00BE6479"/>
    <w:rsid w:val="00BE659A"/>
    <w:rsid w:val="00BE65CA"/>
    <w:rsid w:val="00BE6650"/>
    <w:rsid w:val="00BE689C"/>
    <w:rsid w:val="00BE6A24"/>
    <w:rsid w:val="00BE6B16"/>
    <w:rsid w:val="00BE7071"/>
    <w:rsid w:val="00BE7349"/>
    <w:rsid w:val="00BE7676"/>
    <w:rsid w:val="00BE7871"/>
    <w:rsid w:val="00BE7A05"/>
    <w:rsid w:val="00BE7E77"/>
    <w:rsid w:val="00BF026A"/>
    <w:rsid w:val="00BF0303"/>
    <w:rsid w:val="00BF130F"/>
    <w:rsid w:val="00BF1392"/>
    <w:rsid w:val="00BF20C5"/>
    <w:rsid w:val="00BF299F"/>
    <w:rsid w:val="00BF2AC4"/>
    <w:rsid w:val="00BF2B86"/>
    <w:rsid w:val="00BF2DA1"/>
    <w:rsid w:val="00BF2E68"/>
    <w:rsid w:val="00BF3290"/>
    <w:rsid w:val="00BF3A1C"/>
    <w:rsid w:val="00BF3A59"/>
    <w:rsid w:val="00BF3B74"/>
    <w:rsid w:val="00BF3E04"/>
    <w:rsid w:val="00BF40E6"/>
    <w:rsid w:val="00BF4B42"/>
    <w:rsid w:val="00BF4E9D"/>
    <w:rsid w:val="00BF4F42"/>
    <w:rsid w:val="00BF5045"/>
    <w:rsid w:val="00BF5736"/>
    <w:rsid w:val="00BF5ABF"/>
    <w:rsid w:val="00BF5B81"/>
    <w:rsid w:val="00BF5FB6"/>
    <w:rsid w:val="00BF61C2"/>
    <w:rsid w:val="00BF61F3"/>
    <w:rsid w:val="00BF6554"/>
    <w:rsid w:val="00BF65BA"/>
    <w:rsid w:val="00BF69D8"/>
    <w:rsid w:val="00BF6BB5"/>
    <w:rsid w:val="00BF6CAA"/>
    <w:rsid w:val="00BF7147"/>
    <w:rsid w:val="00BF72A4"/>
    <w:rsid w:val="00BF7332"/>
    <w:rsid w:val="00BF7341"/>
    <w:rsid w:val="00BF7AFB"/>
    <w:rsid w:val="00BF7B69"/>
    <w:rsid w:val="00BF7D12"/>
    <w:rsid w:val="00C0006F"/>
    <w:rsid w:val="00C00560"/>
    <w:rsid w:val="00C006E3"/>
    <w:rsid w:val="00C008DD"/>
    <w:rsid w:val="00C012A9"/>
    <w:rsid w:val="00C01608"/>
    <w:rsid w:val="00C016D9"/>
    <w:rsid w:val="00C018A0"/>
    <w:rsid w:val="00C01C66"/>
    <w:rsid w:val="00C01E42"/>
    <w:rsid w:val="00C0244A"/>
    <w:rsid w:val="00C024D7"/>
    <w:rsid w:val="00C025BE"/>
    <w:rsid w:val="00C029F4"/>
    <w:rsid w:val="00C02A65"/>
    <w:rsid w:val="00C02F18"/>
    <w:rsid w:val="00C02F52"/>
    <w:rsid w:val="00C03A34"/>
    <w:rsid w:val="00C03A35"/>
    <w:rsid w:val="00C03CE1"/>
    <w:rsid w:val="00C03D75"/>
    <w:rsid w:val="00C04001"/>
    <w:rsid w:val="00C04200"/>
    <w:rsid w:val="00C049C8"/>
    <w:rsid w:val="00C04F9A"/>
    <w:rsid w:val="00C0501E"/>
    <w:rsid w:val="00C052EC"/>
    <w:rsid w:val="00C056C6"/>
    <w:rsid w:val="00C057FB"/>
    <w:rsid w:val="00C058F8"/>
    <w:rsid w:val="00C05F29"/>
    <w:rsid w:val="00C05F88"/>
    <w:rsid w:val="00C061DD"/>
    <w:rsid w:val="00C062FD"/>
    <w:rsid w:val="00C06514"/>
    <w:rsid w:val="00C065FC"/>
    <w:rsid w:val="00C066F0"/>
    <w:rsid w:val="00C067F7"/>
    <w:rsid w:val="00C06A1D"/>
    <w:rsid w:val="00C06ACE"/>
    <w:rsid w:val="00C06B12"/>
    <w:rsid w:val="00C07471"/>
    <w:rsid w:val="00C076A4"/>
    <w:rsid w:val="00C077DC"/>
    <w:rsid w:val="00C07854"/>
    <w:rsid w:val="00C078DB"/>
    <w:rsid w:val="00C079E8"/>
    <w:rsid w:val="00C07D41"/>
    <w:rsid w:val="00C10136"/>
    <w:rsid w:val="00C101E0"/>
    <w:rsid w:val="00C10680"/>
    <w:rsid w:val="00C10A86"/>
    <w:rsid w:val="00C10AB8"/>
    <w:rsid w:val="00C10C2E"/>
    <w:rsid w:val="00C110F7"/>
    <w:rsid w:val="00C11175"/>
    <w:rsid w:val="00C111B2"/>
    <w:rsid w:val="00C11313"/>
    <w:rsid w:val="00C11501"/>
    <w:rsid w:val="00C115EE"/>
    <w:rsid w:val="00C118B6"/>
    <w:rsid w:val="00C11AEE"/>
    <w:rsid w:val="00C12105"/>
    <w:rsid w:val="00C12506"/>
    <w:rsid w:val="00C1259D"/>
    <w:rsid w:val="00C12902"/>
    <w:rsid w:val="00C136C1"/>
    <w:rsid w:val="00C13843"/>
    <w:rsid w:val="00C13860"/>
    <w:rsid w:val="00C13899"/>
    <w:rsid w:val="00C13960"/>
    <w:rsid w:val="00C13FE5"/>
    <w:rsid w:val="00C140D8"/>
    <w:rsid w:val="00C14525"/>
    <w:rsid w:val="00C150D0"/>
    <w:rsid w:val="00C15113"/>
    <w:rsid w:val="00C151B9"/>
    <w:rsid w:val="00C15395"/>
    <w:rsid w:val="00C154F3"/>
    <w:rsid w:val="00C156C1"/>
    <w:rsid w:val="00C1579A"/>
    <w:rsid w:val="00C15CA1"/>
    <w:rsid w:val="00C15FE6"/>
    <w:rsid w:val="00C1616C"/>
    <w:rsid w:val="00C1657B"/>
    <w:rsid w:val="00C16B3D"/>
    <w:rsid w:val="00C16B3F"/>
    <w:rsid w:val="00C16D95"/>
    <w:rsid w:val="00C16F3B"/>
    <w:rsid w:val="00C173FF"/>
    <w:rsid w:val="00C174C9"/>
    <w:rsid w:val="00C177E4"/>
    <w:rsid w:val="00C178F8"/>
    <w:rsid w:val="00C17B70"/>
    <w:rsid w:val="00C20572"/>
    <w:rsid w:val="00C2090A"/>
    <w:rsid w:val="00C20FB2"/>
    <w:rsid w:val="00C20FEF"/>
    <w:rsid w:val="00C210F1"/>
    <w:rsid w:val="00C2149D"/>
    <w:rsid w:val="00C21920"/>
    <w:rsid w:val="00C2199E"/>
    <w:rsid w:val="00C22379"/>
    <w:rsid w:val="00C223AA"/>
    <w:rsid w:val="00C223FC"/>
    <w:rsid w:val="00C225D6"/>
    <w:rsid w:val="00C228CB"/>
    <w:rsid w:val="00C22AAF"/>
    <w:rsid w:val="00C22BE2"/>
    <w:rsid w:val="00C23437"/>
    <w:rsid w:val="00C23475"/>
    <w:rsid w:val="00C2369D"/>
    <w:rsid w:val="00C236FB"/>
    <w:rsid w:val="00C238B1"/>
    <w:rsid w:val="00C23DB7"/>
    <w:rsid w:val="00C24A29"/>
    <w:rsid w:val="00C2503F"/>
    <w:rsid w:val="00C254A2"/>
    <w:rsid w:val="00C25ACF"/>
    <w:rsid w:val="00C25D73"/>
    <w:rsid w:val="00C25DB2"/>
    <w:rsid w:val="00C25E47"/>
    <w:rsid w:val="00C26393"/>
    <w:rsid w:val="00C26478"/>
    <w:rsid w:val="00C2673E"/>
    <w:rsid w:val="00C26893"/>
    <w:rsid w:val="00C26C1A"/>
    <w:rsid w:val="00C26E34"/>
    <w:rsid w:val="00C2711A"/>
    <w:rsid w:val="00C27273"/>
    <w:rsid w:val="00C2738E"/>
    <w:rsid w:val="00C27C19"/>
    <w:rsid w:val="00C27D62"/>
    <w:rsid w:val="00C301FB"/>
    <w:rsid w:val="00C30226"/>
    <w:rsid w:val="00C3043F"/>
    <w:rsid w:val="00C30DCF"/>
    <w:rsid w:val="00C31527"/>
    <w:rsid w:val="00C31ADF"/>
    <w:rsid w:val="00C31D84"/>
    <w:rsid w:val="00C32584"/>
    <w:rsid w:val="00C32A8A"/>
    <w:rsid w:val="00C3324D"/>
    <w:rsid w:val="00C34961"/>
    <w:rsid w:val="00C34CB1"/>
    <w:rsid w:val="00C34EF3"/>
    <w:rsid w:val="00C35267"/>
    <w:rsid w:val="00C352AB"/>
    <w:rsid w:val="00C35410"/>
    <w:rsid w:val="00C354E3"/>
    <w:rsid w:val="00C3573A"/>
    <w:rsid w:val="00C35919"/>
    <w:rsid w:val="00C35D2B"/>
    <w:rsid w:val="00C35E73"/>
    <w:rsid w:val="00C360A7"/>
    <w:rsid w:val="00C3611D"/>
    <w:rsid w:val="00C366D5"/>
    <w:rsid w:val="00C3676B"/>
    <w:rsid w:val="00C368AB"/>
    <w:rsid w:val="00C36DCD"/>
    <w:rsid w:val="00C36F31"/>
    <w:rsid w:val="00C37103"/>
    <w:rsid w:val="00C37638"/>
    <w:rsid w:val="00C3796E"/>
    <w:rsid w:val="00C37B46"/>
    <w:rsid w:val="00C37C2A"/>
    <w:rsid w:val="00C37EE6"/>
    <w:rsid w:val="00C40359"/>
    <w:rsid w:val="00C4039D"/>
    <w:rsid w:val="00C4041E"/>
    <w:rsid w:val="00C40441"/>
    <w:rsid w:val="00C40928"/>
    <w:rsid w:val="00C409A4"/>
    <w:rsid w:val="00C40DAA"/>
    <w:rsid w:val="00C412BC"/>
    <w:rsid w:val="00C414F8"/>
    <w:rsid w:val="00C41867"/>
    <w:rsid w:val="00C41B62"/>
    <w:rsid w:val="00C42186"/>
    <w:rsid w:val="00C426FE"/>
    <w:rsid w:val="00C42D60"/>
    <w:rsid w:val="00C4302C"/>
    <w:rsid w:val="00C4335C"/>
    <w:rsid w:val="00C43589"/>
    <w:rsid w:val="00C4361D"/>
    <w:rsid w:val="00C43649"/>
    <w:rsid w:val="00C4385E"/>
    <w:rsid w:val="00C43E1F"/>
    <w:rsid w:val="00C43FF4"/>
    <w:rsid w:val="00C4484D"/>
    <w:rsid w:val="00C44A7C"/>
    <w:rsid w:val="00C44B73"/>
    <w:rsid w:val="00C44BA3"/>
    <w:rsid w:val="00C455C6"/>
    <w:rsid w:val="00C45758"/>
    <w:rsid w:val="00C457A8"/>
    <w:rsid w:val="00C459D7"/>
    <w:rsid w:val="00C45C66"/>
    <w:rsid w:val="00C45DAD"/>
    <w:rsid w:val="00C46706"/>
    <w:rsid w:val="00C4687D"/>
    <w:rsid w:val="00C468ED"/>
    <w:rsid w:val="00C46A49"/>
    <w:rsid w:val="00C46D53"/>
    <w:rsid w:val="00C46EA6"/>
    <w:rsid w:val="00C46F42"/>
    <w:rsid w:val="00C4709D"/>
    <w:rsid w:val="00C47314"/>
    <w:rsid w:val="00C4738A"/>
    <w:rsid w:val="00C47917"/>
    <w:rsid w:val="00C47982"/>
    <w:rsid w:val="00C47B83"/>
    <w:rsid w:val="00C47C15"/>
    <w:rsid w:val="00C47C49"/>
    <w:rsid w:val="00C47CE4"/>
    <w:rsid w:val="00C501CD"/>
    <w:rsid w:val="00C502A7"/>
    <w:rsid w:val="00C505BC"/>
    <w:rsid w:val="00C50AC0"/>
    <w:rsid w:val="00C50E4C"/>
    <w:rsid w:val="00C5125E"/>
    <w:rsid w:val="00C51394"/>
    <w:rsid w:val="00C518C1"/>
    <w:rsid w:val="00C51C35"/>
    <w:rsid w:val="00C5203A"/>
    <w:rsid w:val="00C52399"/>
    <w:rsid w:val="00C523FA"/>
    <w:rsid w:val="00C52AE7"/>
    <w:rsid w:val="00C52C63"/>
    <w:rsid w:val="00C52DDC"/>
    <w:rsid w:val="00C52DE5"/>
    <w:rsid w:val="00C52FA3"/>
    <w:rsid w:val="00C530DA"/>
    <w:rsid w:val="00C53318"/>
    <w:rsid w:val="00C533A8"/>
    <w:rsid w:val="00C536BC"/>
    <w:rsid w:val="00C5370D"/>
    <w:rsid w:val="00C53AF7"/>
    <w:rsid w:val="00C53D0B"/>
    <w:rsid w:val="00C5410F"/>
    <w:rsid w:val="00C54614"/>
    <w:rsid w:val="00C54624"/>
    <w:rsid w:val="00C54C93"/>
    <w:rsid w:val="00C55293"/>
    <w:rsid w:val="00C55585"/>
    <w:rsid w:val="00C5560D"/>
    <w:rsid w:val="00C557A4"/>
    <w:rsid w:val="00C55B96"/>
    <w:rsid w:val="00C565A9"/>
    <w:rsid w:val="00C56D02"/>
    <w:rsid w:val="00C56D3A"/>
    <w:rsid w:val="00C56F08"/>
    <w:rsid w:val="00C57000"/>
    <w:rsid w:val="00C5742C"/>
    <w:rsid w:val="00C601E5"/>
    <w:rsid w:val="00C606DB"/>
    <w:rsid w:val="00C60EA3"/>
    <w:rsid w:val="00C61122"/>
    <w:rsid w:val="00C61284"/>
    <w:rsid w:val="00C61412"/>
    <w:rsid w:val="00C615BE"/>
    <w:rsid w:val="00C62135"/>
    <w:rsid w:val="00C6229A"/>
    <w:rsid w:val="00C62599"/>
    <w:rsid w:val="00C62651"/>
    <w:rsid w:val="00C6266F"/>
    <w:rsid w:val="00C62BE6"/>
    <w:rsid w:val="00C6305A"/>
    <w:rsid w:val="00C63B3E"/>
    <w:rsid w:val="00C63F82"/>
    <w:rsid w:val="00C643AE"/>
    <w:rsid w:val="00C64943"/>
    <w:rsid w:val="00C64DFA"/>
    <w:rsid w:val="00C64DFD"/>
    <w:rsid w:val="00C657D7"/>
    <w:rsid w:val="00C657FF"/>
    <w:rsid w:val="00C65B36"/>
    <w:rsid w:val="00C65F36"/>
    <w:rsid w:val="00C66459"/>
    <w:rsid w:val="00C66A23"/>
    <w:rsid w:val="00C66A78"/>
    <w:rsid w:val="00C67026"/>
    <w:rsid w:val="00C67898"/>
    <w:rsid w:val="00C67A32"/>
    <w:rsid w:val="00C67D6B"/>
    <w:rsid w:val="00C70065"/>
    <w:rsid w:val="00C70614"/>
    <w:rsid w:val="00C706E1"/>
    <w:rsid w:val="00C70715"/>
    <w:rsid w:val="00C70A5D"/>
    <w:rsid w:val="00C710D8"/>
    <w:rsid w:val="00C71427"/>
    <w:rsid w:val="00C72291"/>
    <w:rsid w:val="00C7272C"/>
    <w:rsid w:val="00C72795"/>
    <w:rsid w:val="00C72F94"/>
    <w:rsid w:val="00C731C8"/>
    <w:rsid w:val="00C73CF6"/>
    <w:rsid w:val="00C73E69"/>
    <w:rsid w:val="00C7402B"/>
    <w:rsid w:val="00C74239"/>
    <w:rsid w:val="00C74288"/>
    <w:rsid w:val="00C743FC"/>
    <w:rsid w:val="00C7485A"/>
    <w:rsid w:val="00C748CF"/>
    <w:rsid w:val="00C74D14"/>
    <w:rsid w:val="00C74FAF"/>
    <w:rsid w:val="00C7592E"/>
    <w:rsid w:val="00C75C3C"/>
    <w:rsid w:val="00C75C50"/>
    <w:rsid w:val="00C75D6B"/>
    <w:rsid w:val="00C76073"/>
    <w:rsid w:val="00C7609D"/>
    <w:rsid w:val="00C7647D"/>
    <w:rsid w:val="00C7682F"/>
    <w:rsid w:val="00C76A20"/>
    <w:rsid w:val="00C76AC1"/>
    <w:rsid w:val="00C770E5"/>
    <w:rsid w:val="00C772D9"/>
    <w:rsid w:val="00C77429"/>
    <w:rsid w:val="00C77999"/>
    <w:rsid w:val="00C77E8D"/>
    <w:rsid w:val="00C80857"/>
    <w:rsid w:val="00C809F0"/>
    <w:rsid w:val="00C81324"/>
    <w:rsid w:val="00C816A6"/>
    <w:rsid w:val="00C81B82"/>
    <w:rsid w:val="00C82718"/>
    <w:rsid w:val="00C8282B"/>
    <w:rsid w:val="00C828A6"/>
    <w:rsid w:val="00C82AFF"/>
    <w:rsid w:val="00C82CE9"/>
    <w:rsid w:val="00C83148"/>
    <w:rsid w:val="00C8331A"/>
    <w:rsid w:val="00C83486"/>
    <w:rsid w:val="00C83560"/>
    <w:rsid w:val="00C83F5E"/>
    <w:rsid w:val="00C83F88"/>
    <w:rsid w:val="00C8403F"/>
    <w:rsid w:val="00C84080"/>
    <w:rsid w:val="00C842FE"/>
    <w:rsid w:val="00C84899"/>
    <w:rsid w:val="00C84C13"/>
    <w:rsid w:val="00C859D2"/>
    <w:rsid w:val="00C85B45"/>
    <w:rsid w:val="00C8674A"/>
    <w:rsid w:val="00C86843"/>
    <w:rsid w:val="00C86854"/>
    <w:rsid w:val="00C86DA1"/>
    <w:rsid w:val="00C870D4"/>
    <w:rsid w:val="00C876A2"/>
    <w:rsid w:val="00C87A6E"/>
    <w:rsid w:val="00C87B9A"/>
    <w:rsid w:val="00C87EC6"/>
    <w:rsid w:val="00C87F66"/>
    <w:rsid w:val="00C87FB8"/>
    <w:rsid w:val="00C9022A"/>
    <w:rsid w:val="00C903AE"/>
    <w:rsid w:val="00C9045B"/>
    <w:rsid w:val="00C90633"/>
    <w:rsid w:val="00C90AF8"/>
    <w:rsid w:val="00C91595"/>
    <w:rsid w:val="00C929CF"/>
    <w:rsid w:val="00C92AAE"/>
    <w:rsid w:val="00C92D0F"/>
    <w:rsid w:val="00C92D37"/>
    <w:rsid w:val="00C93304"/>
    <w:rsid w:val="00C9352D"/>
    <w:rsid w:val="00C9373A"/>
    <w:rsid w:val="00C939CE"/>
    <w:rsid w:val="00C93D42"/>
    <w:rsid w:val="00C94157"/>
    <w:rsid w:val="00C9430C"/>
    <w:rsid w:val="00C9442D"/>
    <w:rsid w:val="00C94539"/>
    <w:rsid w:val="00C9458F"/>
    <w:rsid w:val="00C94711"/>
    <w:rsid w:val="00C94B79"/>
    <w:rsid w:val="00C94EDC"/>
    <w:rsid w:val="00C94FAE"/>
    <w:rsid w:val="00C9518C"/>
    <w:rsid w:val="00C953FA"/>
    <w:rsid w:val="00C95421"/>
    <w:rsid w:val="00C95650"/>
    <w:rsid w:val="00C95706"/>
    <w:rsid w:val="00C95B0D"/>
    <w:rsid w:val="00C95BE2"/>
    <w:rsid w:val="00C95C25"/>
    <w:rsid w:val="00C960DE"/>
    <w:rsid w:val="00C9619A"/>
    <w:rsid w:val="00C961EE"/>
    <w:rsid w:val="00C962FF"/>
    <w:rsid w:val="00C9663F"/>
    <w:rsid w:val="00C9668B"/>
    <w:rsid w:val="00C97081"/>
    <w:rsid w:val="00C9722C"/>
    <w:rsid w:val="00C9762E"/>
    <w:rsid w:val="00C978EF"/>
    <w:rsid w:val="00C97AC6"/>
    <w:rsid w:val="00CA0091"/>
    <w:rsid w:val="00CA016B"/>
    <w:rsid w:val="00CA01D0"/>
    <w:rsid w:val="00CA0A22"/>
    <w:rsid w:val="00CA0CB1"/>
    <w:rsid w:val="00CA0E84"/>
    <w:rsid w:val="00CA1565"/>
    <w:rsid w:val="00CA177B"/>
    <w:rsid w:val="00CA2455"/>
    <w:rsid w:val="00CA2B81"/>
    <w:rsid w:val="00CA3121"/>
    <w:rsid w:val="00CA32EA"/>
    <w:rsid w:val="00CA336C"/>
    <w:rsid w:val="00CA3899"/>
    <w:rsid w:val="00CA38F8"/>
    <w:rsid w:val="00CA4183"/>
    <w:rsid w:val="00CA4218"/>
    <w:rsid w:val="00CA42B9"/>
    <w:rsid w:val="00CA439E"/>
    <w:rsid w:val="00CA454F"/>
    <w:rsid w:val="00CA52AE"/>
    <w:rsid w:val="00CA5385"/>
    <w:rsid w:val="00CA5D4A"/>
    <w:rsid w:val="00CA6339"/>
    <w:rsid w:val="00CA6B8B"/>
    <w:rsid w:val="00CA6BD4"/>
    <w:rsid w:val="00CA6EAF"/>
    <w:rsid w:val="00CA6EC1"/>
    <w:rsid w:val="00CA6FD9"/>
    <w:rsid w:val="00CA7898"/>
    <w:rsid w:val="00CA7A5E"/>
    <w:rsid w:val="00CB0102"/>
    <w:rsid w:val="00CB0108"/>
    <w:rsid w:val="00CB08EB"/>
    <w:rsid w:val="00CB096B"/>
    <w:rsid w:val="00CB1312"/>
    <w:rsid w:val="00CB13C8"/>
    <w:rsid w:val="00CB19A7"/>
    <w:rsid w:val="00CB21C5"/>
    <w:rsid w:val="00CB22D2"/>
    <w:rsid w:val="00CB2478"/>
    <w:rsid w:val="00CB26A3"/>
    <w:rsid w:val="00CB29D7"/>
    <w:rsid w:val="00CB3C5B"/>
    <w:rsid w:val="00CB3D23"/>
    <w:rsid w:val="00CB3EB1"/>
    <w:rsid w:val="00CB455D"/>
    <w:rsid w:val="00CB4BD3"/>
    <w:rsid w:val="00CB4CC5"/>
    <w:rsid w:val="00CB4F6A"/>
    <w:rsid w:val="00CB5085"/>
    <w:rsid w:val="00CB51F6"/>
    <w:rsid w:val="00CB5506"/>
    <w:rsid w:val="00CB57C0"/>
    <w:rsid w:val="00CB599C"/>
    <w:rsid w:val="00CB5B5F"/>
    <w:rsid w:val="00CB5B6B"/>
    <w:rsid w:val="00CB634E"/>
    <w:rsid w:val="00CB64CC"/>
    <w:rsid w:val="00CB6F0C"/>
    <w:rsid w:val="00CB72F2"/>
    <w:rsid w:val="00CB7512"/>
    <w:rsid w:val="00CB7882"/>
    <w:rsid w:val="00CB7AA2"/>
    <w:rsid w:val="00CB7DBC"/>
    <w:rsid w:val="00CC02C3"/>
    <w:rsid w:val="00CC094A"/>
    <w:rsid w:val="00CC0F8E"/>
    <w:rsid w:val="00CC122A"/>
    <w:rsid w:val="00CC1239"/>
    <w:rsid w:val="00CC1557"/>
    <w:rsid w:val="00CC1889"/>
    <w:rsid w:val="00CC2151"/>
    <w:rsid w:val="00CC2219"/>
    <w:rsid w:val="00CC26FE"/>
    <w:rsid w:val="00CC27BD"/>
    <w:rsid w:val="00CC2B38"/>
    <w:rsid w:val="00CC2D78"/>
    <w:rsid w:val="00CC2E05"/>
    <w:rsid w:val="00CC3573"/>
    <w:rsid w:val="00CC38E8"/>
    <w:rsid w:val="00CC3F72"/>
    <w:rsid w:val="00CC424E"/>
    <w:rsid w:val="00CC456C"/>
    <w:rsid w:val="00CC4A27"/>
    <w:rsid w:val="00CC4D73"/>
    <w:rsid w:val="00CC51C2"/>
    <w:rsid w:val="00CC53BB"/>
    <w:rsid w:val="00CC5434"/>
    <w:rsid w:val="00CC5604"/>
    <w:rsid w:val="00CC5B2B"/>
    <w:rsid w:val="00CC5FAE"/>
    <w:rsid w:val="00CC5FC8"/>
    <w:rsid w:val="00CC6108"/>
    <w:rsid w:val="00CC6194"/>
    <w:rsid w:val="00CC67B6"/>
    <w:rsid w:val="00CC6D59"/>
    <w:rsid w:val="00CC734D"/>
    <w:rsid w:val="00CC7401"/>
    <w:rsid w:val="00CC7409"/>
    <w:rsid w:val="00CC77CB"/>
    <w:rsid w:val="00CC7AE7"/>
    <w:rsid w:val="00CC7EA2"/>
    <w:rsid w:val="00CD0874"/>
    <w:rsid w:val="00CD0A2D"/>
    <w:rsid w:val="00CD0A39"/>
    <w:rsid w:val="00CD0A99"/>
    <w:rsid w:val="00CD0F5F"/>
    <w:rsid w:val="00CD13CF"/>
    <w:rsid w:val="00CD1405"/>
    <w:rsid w:val="00CD20E3"/>
    <w:rsid w:val="00CD2149"/>
    <w:rsid w:val="00CD256A"/>
    <w:rsid w:val="00CD2603"/>
    <w:rsid w:val="00CD2B12"/>
    <w:rsid w:val="00CD2C65"/>
    <w:rsid w:val="00CD2F59"/>
    <w:rsid w:val="00CD2F5F"/>
    <w:rsid w:val="00CD329C"/>
    <w:rsid w:val="00CD32C8"/>
    <w:rsid w:val="00CD37DD"/>
    <w:rsid w:val="00CD4108"/>
    <w:rsid w:val="00CD4421"/>
    <w:rsid w:val="00CD486E"/>
    <w:rsid w:val="00CD4CD0"/>
    <w:rsid w:val="00CD58B7"/>
    <w:rsid w:val="00CD5A35"/>
    <w:rsid w:val="00CD5EBD"/>
    <w:rsid w:val="00CD62B2"/>
    <w:rsid w:val="00CD65EF"/>
    <w:rsid w:val="00CD6609"/>
    <w:rsid w:val="00CD6712"/>
    <w:rsid w:val="00CD6949"/>
    <w:rsid w:val="00CD6A65"/>
    <w:rsid w:val="00CD6BD9"/>
    <w:rsid w:val="00CD6F26"/>
    <w:rsid w:val="00CD6F75"/>
    <w:rsid w:val="00CD71F9"/>
    <w:rsid w:val="00CD72EE"/>
    <w:rsid w:val="00CD74A9"/>
    <w:rsid w:val="00CD7618"/>
    <w:rsid w:val="00CD78AD"/>
    <w:rsid w:val="00CD7A59"/>
    <w:rsid w:val="00CD7C09"/>
    <w:rsid w:val="00CD7D60"/>
    <w:rsid w:val="00CD7E06"/>
    <w:rsid w:val="00CD7EEA"/>
    <w:rsid w:val="00CE0156"/>
    <w:rsid w:val="00CE01E4"/>
    <w:rsid w:val="00CE0687"/>
    <w:rsid w:val="00CE11E5"/>
    <w:rsid w:val="00CE12A4"/>
    <w:rsid w:val="00CE135E"/>
    <w:rsid w:val="00CE1432"/>
    <w:rsid w:val="00CE169B"/>
    <w:rsid w:val="00CE1737"/>
    <w:rsid w:val="00CE1D2F"/>
    <w:rsid w:val="00CE268D"/>
    <w:rsid w:val="00CE29CC"/>
    <w:rsid w:val="00CE2B88"/>
    <w:rsid w:val="00CE2BBB"/>
    <w:rsid w:val="00CE2D28"/>
    <w:rsid w:val="00CE2D7C"/>
    <w:rsid w:val="00CE2E31"/>
    <w:rsid w:val="00CE2E58"/>
    <w:rsid w:val="00CE2EB5"/>
    <w:rsid w:val="00CE326E"/>
    <w:rsid w:val="00CE33EA"/>
    <w:rsid w:val="00CE36E3"/>
    <w:rsid w:val="00CE376B"/>
    <w:rsid w:val="00CE38B7"/>
    <w:rsid w:val="00CE3CA4"/>
    <w:rsid w:val="00CE3E0A"/>
    <w:rsid w:val="00CE3E70"/>
    <w:rsid w:val="00CE4236"/>
    <w:rsid w:val="00CE4528"/>
    <w:rsid w:val="00CE46E7"/>
    <w:rsid w:val="00CE4CFF"/>
    <w:rsid w:val="00CE4D23"/>
    <w:rsid w:val="00CE533A"/>
    <w:rsid w:val="00CE54A7"/>
    <w:rsid w:val="00CE585C"/>
    <w:rsid w:val="00CE5E9B"/>
    <w:rsid w:val="00CE5EE4"/>
    <w:rsid w:val="00CE5F22"/>
    <w:rsid w:val="00CE6693"/>
    <w:rsid w:val="00CE6782"/>
    <w:rsid w:val="00CE697F"/>
    <w:rsid w:val="00CE69E2"/>
    <w:rsid w:val="00CE700D"/>
    <w:rsid w:val="00CE71C5"/>
    <w:rsid w:val="00CE7364"/>
    <w:rsid w:val="00CE7562"/>
    <w:rsid w:val="00CE7AB2"/>
    <w:rsid w:val="00CF0510"/>
    <w:rsid w:val="00CF073B"/>
    <w:rsid w:val="00CF1E12"/>
    <w:rsid w:val="00CF1E6A"/>
    <w:rsid w:val="00CF1F00"/>
    <w:rsid w:val="00CF1FFE"/>
    <w:rsid w:val="00CF24F3"/>
    <w:rsid w:val="00CF25B7"/>
    <w:rsid w:val="00CF2728"/>
    <w:rsid w:val="00CF2D9E"/>
    <w:rsid w:val="00CF2EFD"/>
    <w:rsid w:val="00CF2F0D"/>
    <w:rsid w:val="00CF31B0"/>
    <w:rsid w:val="00CF31B1"/>
    <w:rsid w:val="00CF3666"/>
    <w:rsid w:val="00CF3786"/>
    <w:rsid w:val="00CF3C5B"/>
    <w:rsid w:val="00CF452D"/>
    <w:rsid w:val="00CF4553"/>
    <w:rsid w:val="00CF45BC"/>
    <w:rsid w:val="00CF4F33"/>
    <w:rsid w:val="00CF5148"/>
    <w:rsid w:val="00CF5DAB"/>
    <w:rsid w:val="00CF5F72"/>
    <w:rsid w:val="00CF6935"/>
    <w:rsid w:val="00CF71E8"/>
    <w:rsid w:val="00CF7701"/>
    <w:rsid w:val="00CF7B82"/>
    <w:rsid w:val="00D00474"/>
    <w:rsid w:val="00D00707"/>
    <w:rsid w:val="00D0088D"/>
    <w:rsid w:val="00D008F7"/>
    <w:rsid w:val="00D00E3B"/>
    <w:rsid w:val="00D01387"/>
    <w:rsid w:val="00D01718"/>
    <w:rsid w:val="00D017B5"/>
    <w:rsid w:val="00D017C5"/>
    <w:rsid w:val="00D01C7C"/>
    <w:rsid w:val="00D01EDC"/>
    <w:rsid w:val="00D01F9B"/>
    <w:rsid w:val="00D02217"/>
    <w:rsid w:val="00D02768"/>
    <w:rsid w:val="00D02C0F"/>
    <w:rsid w:val="00D03269"/>
    <w:rsid w:val="00D03944"/>
    <w:rsid w:val="00D03EF2"/>
    <w:rsid w:val="00D04609"/>
    <w:rsid w:val="00D04953"/>
    <w:rsid w:val="00D04A59"/>
    <w:rsid w:val="00D04D15"/>
    <w:rsid w:val="00D05721"/>
    <w:rsid w:val="00D05A46"/>
    <w:rsid w:val="00D05CBA"/>
    <w:rsid w:val="00D05E0E"/>
    <w:rsid w:val="00D063F3"/>
    <w:rsid w:val="00D067D3"/>
    <w:rsid w:val="00D06874"/>
    <w:rsid w:val="00D06975"/>
    <w:rsid w:val="00D0699D"/>
    <w:rsid w:val="00D069C5"/>
    <w:rsid w:val="00D06A25"/>
    <w:rsid w:val="00D06AEF"/>
    <w:rsid w:val="00D06CC5"/>
    <w:rsid w:val="00D06CFF"/>
    <w:rsid w:val="00D06DB4"/>
    <w:rsid w:val="00D06DB8"/>
    <w:rsid w:val="00D06DDB"/>
    <w:rsid w:val="00D06E29"/>
    <w:rsid w:val="00D071D7"/>
    <w:rsid w:val="00D07291"/>
    <w:rsid w:val="00D073D3"/>
    <w:rsid w:val="00D077F4"/>
    <w:rsid w:val="00D07EA7"/>
    <w:rsid w:val="00D07F64"/>
    <w:rsid w:val="00D102A1"/>
    <w:rsid w:val="00D10641"/>
    <w:rsid w:val="00D10A25"/>
    <w:rsid w:val="00D10C13"/>
    <w:rsid w:val="00D10F4D"/>
    <w:rsid w:val="00D112E2"/>
    <w:rsid w:val="00D112F9"/>
    <w:rsid w:val="00D115E3"/>
    <w:rsid w:val="00D11B50"/>
    <w:rsid w:val="00D11C25"/>
    <w:rsid w:val="00D11E48"/>
    <w:rsid w:val="00D11F03"/>
    <w:rsid w:val="00D12195"/>
    <w:rsid w:val="00D121A0"/>
    <w:rsid w:val="00D12578"/>
    <w:rsid w:val="00D128B9"/>
    <w:rsid w:val="00D12BB8"/>
    <w:rsid w:val="00D1331F"/>
    <w:rsid w:val="00D13AD5"/>
    <w:rsid w:val="00D13AD7"/>
    <w:rsid w:val="00D13C84"/>
    <w:rsid w:val="00D14A5D"/>
    <w:rsid w:val="00D14D22"/>
    <w:rsid w:val="00D14E21"/>
    <w:rsid w:val="00D150BB"/>
    <w:rsid w:val="00D1546E"/>
    <w:rsid w:val="00D154FE"/>
    <w:rsid w:val="00D157EF"/>
    <w:rsid w:val="00D16247"/>
    <w:rsid w:val="00D16310"/>
    <w:rsid w:val="00D16494"/>
    <w:rsid w:val="00D16845"/>
    <w:rsid w:val="00D16847"/>
    <w:rsid w:val="00D16A6C"/>
    <w:rsid w:val="00D16C67"/>
    <w:rsid w:val="00D16DA2"/>
    <w:rsid w:val="00D17044"/>
    <w:rsid w:val="00D171DA"/>
    <w:rsid w:val="00D17456"/>
    <w:rsid w:val="00D17989"/>
    <w:rsid w:val="00D17AF9"/>
    <w:rsid w:val="00D17F39"/>
    <w:rsid w:val="00D17F90"/>
    <w:rsid w:val="00D205B5"/>
    <w:rsid w:val="00D20969"/>
    <w:rsid w:val="00D211D6"/>
    <w:rsid w:val="00D21A51"/>
    <w:rsid w:val="00D21E43"/>
    <w:rsid w:val="00D221A7"/>
    <w:rsid w:val="00D22230"/>
    <w:rsid w:val="00D22704"/>
    <w:rsid w:val="00D22764"/>
    <w:rsid w:val="00D22902"/>
    <w:rsid w:val="00D23206"/>
    <w:rsid w:val="00D23275"/>
    <w:rsid w:val="00D23624"/>
    <w:rsid w:val="00D23BC2"/>
    <w:rsid w:val="00D245E9"/>
    <w:rsid w:val="00D2464C"/>
    <w:rsid w:val="00D24946"/>
    <w:rsid w:val="00D24A3F"/>
    <w:rsid w:val="00D24BCC"/>
    <w:rsid w:val="00D250F2"/>
    <w:rsid w:val="00D2567B"/>
    <w:rsid w:val="00D25EE5"/>
    <w:rsid w:val="00D25FA1"/>
    <w:rsid w:val="00D260FD"/>
    <w:rsid w:val="00D266E5"/>
    <w:rsid w:val="00D2670B"/>
    <w:rsid w:val="00D27279"/>
    <w:rsid w:val="00D276BB"/>
    <w:rsid w:val="00D279B8"/>
    <w:rsid w:val="00D279D8"/>
    <w:rsid w:val="00D27A59"/>
    <w:rsid w:val="00D27F4F"/>
    <w:rsid w:val="00D27FE4"/>
    <w:rsid w:val="00D30171"/>
    <w:rsid w:val="00D30443"/>
    <w:rsid w:val="00D304F6"/>
    <w:rsid w:val="00D3059A"/>
    <w:rsid w:val="00D309A8"/>
    <w:rsid w:val="00D30FD8"/>
    <w:rsid w:val="00D311C9"/>
    <w:rsid w:val="00D31248"/>
    <w:rsid w:val="00D31611"/>
    <w:rsid w:val="00D31726"/>
    <w:rsid w:val="00D319ED"/>
    <w:rsid w:val="00D31CB9"/>
    <w:rsid w:val="00D31D59"/>
    <w:rsid w:val="00D32001"/>
    <w:rsid w:val="00D320A7"/>
    <w:rsid w:val="00D321E8"/>
    <w:rsid w:val="00D324FB"/>
    <w:rsid w:val="00D3259B"/>
    <w:rsid w:val="00D32C6C"/>
    <w:rsid w:val="00D32F16"/>
    <w:rsid w:val="00D3308F"/>
    <w:rsid w:val="00D337E3"/>
    <w:rsid w:val="00D338A6"/>
    <w:rsid w:val="00D339CC"/>
    <w:rsid w:val="00D339CF"/>
    <w:rsid w:val="00D33ADC"/>
    <w:rsid w:val="00D33B5E"/>
    <w:rsid w:val="00D33FA9"/>
    <w:rsid w:val="00D33FC1"/>
    <w:rsid w:val="00D34164"/>
    <w:rsid w:val="00D3420C"/>
    <w:rsid w:val="00D34263"/>
    <w:rsid w:val="00D34409"/>
    <w:rsid w:val="00D3486E"/>
    <w:rsid w:val="00D34ECB"/>
    <w:rsid w:val="00D35000"/>
    <w:rsid w:val="00D35774"/>
    <w:rsid w:val="00D35B07"/>
    <w:rsid w:val="00D35D54"/>
    <w:rsid w:val="00D35FB3"/>
    <w:rsid w:val="00D36025"/>
    <w:rsid w:val="00D36118"/>
    <w:rsid w:val="00D361FF"/>
    <w:rsid w:val="00D362A1"/>
    <w:rsid w:val="00D36762"/>
    <w:rsid w:val="00D37009"/>
    <w:rsid w:val="00D3756E"/>
    <w:rsid w:val="00D37694"/>
    <w:rsid w:val="00D37B5C"/>
    <w:rsid w:val="00D37DB7"/>
    <w:rsid w:val="00D37DF1"/>
    <w:rsid w:val="00D37E62"/>
    <w:rsid w:val="00D37EA9"/>
    <w:rsid w:val="00D37F7F"/>
    <w:rsid w:val="00D40836"/>
    <w:rsid w:val="00D40940"/>
    <w:rsid w:val="00D41588"/>
    <w:rsid w:val="00D41D3C"/>
    <w:rsid w:val="00D42242"/>
    <w:rsid w:val="00D4234C"/>
    <w:rsid w:val="00D42825"/>
    <w:rsid w:val="00D428EF"/>
    <w:rsid w:val="00D42A3E"/>
    <w:rsid w:val="00D43180"/>
    <w:rsid w:val="00D4333D"/>
    <w:rsid w:val="00D434A6"/>
    <w:rsid w:val="00D43524"/>
    <w:rsid w:val="00D43698"/>
    <w:rsid w:val="00D43918"/>
    <w:rsid w:val="00D439B2"/>
    <w:rsid w:val="00D43C48"/>
    <w:rsid w:val="00D43D1C"/>
    <w:rsid w:val="00D43F05"/>
    <w:rsid w:val="00D453E3"/>
    <w:rsid w:val="00D4557D"/>
    <w:rsid w:val="00D456BB"/>
    <w:rsid w:val="00D4579E"/>
    <w:rsid w:val="00D4598C"/>
    <w:rsid w:val="00D45AA7"/>
    <w:rsid w:val="00D45BC4"/>
    <w:rsid w:val="00D4605A"/>
    <w:rsid w:val="00D467F1"/>
    <w:rsid w:val="00D46C47"/>
    <w:rsid w:val="00D46DDB"/>
    <w:rsid w:val="00D47042"/>
    <w:rsid w:val="00D47276"/>
    <w:rsid w:val="00D47821"/>
    <w:rsid w:val="00D501EF"/>
    <w:rsid w:val="00D505BF"/>
    <w:rsid w:val="00D50883"/>
    <w:rsid w:val="00D50B38"/>
    <w:rsid w:val="00D50C6A"/>
    <w:rsid w:val="00D50D07"/>
    <w:rsid w:val="00D5105D"/>
    <w:rsid w:val="00D51189"/>
    <w:rsid w:val="00D51520"/>
    <w:rsid w:val="00D51D68"/>
    <w:rsid w:val="00D51E25"/>
    <w:rsid w:val="00D51FC8"/>
    <w:rsid w:val="00D52220"/>
    <w:rsid w:val="00D5234E"/>
    <w:rsid w:val="00D523F3"/>
    <w:rsid w:val="00D52462"/>
    <w:rsid w:val="00D5260C"/>
    <w:rsid w:val="00D52903"/>
    <w:rsid w:val="00D52BB7"/>
    <w:rsid w:val="00D52C8D"/>
    <w:rsid w:val="00D52DAF"/>
    <w:rsid w:val="00D537DF"/>
    <w:rsid w:val="00D538AF"/>
    <w:rsid w:val="00D53BB0"/>
    <w:rsid w:val="00D53D9A"/>
    <w:rsid w:val="00D53FBE"/>
    <w:rsid w:val="00D54048"/>
    <w:rsid w:val="00D543CE"/>
    <w:rsid w:val="00D5461D"/>
    <w:rsid w:val="00D54A4B"/>
    <w:rsid w:val="00D54C9D"/>
    <w:rsid w:val="00D55330"/>
    <w:rsid w:val="00D5553F"/>
    <w:rsid w:val="00D5564A"/>
    <w:rsid w:val="00D556D7"/>
    <w:rsid w:val="00D558A7"/>
    <w:rsid w:val="00D55972"/>
    <w:rsid w:val="00D55A1B"/>
    <w:rsid w:val="00D55A6B"/>
    <w:rsid w:val="00D5628B"/>
    <w:rsid w:val="00D567E3"/>
    <w:rsid w:val="00D56B64"/>
    <w:rsid w:val="00D56F42"/>
    <w:rsid w:val="00D57506"/>
    <w:rsid w:val="00D57559"/>
    <w:rsid w:val="00D57F97"/>
    <w:rsid w:val="00D600CC"/>
    <w:rsid w:val="00D607B3"/>
    <w:rsid w:val="00D60C6A"/>
    <w:rsid w:val="00D611FA"/>
    <w:rsid w:val="00D6167B"/>
    <w:rsid w:val="00D618B4"/>
    <w:rsid w:val="00D6196D"/>
    <w:rsid w:val="00D61E50"/>
    <w:rsid w:val="00D62133"/>
    <w:rsid w:val="00D62379"/>
    <w:rsid w:val="00D6239A"/>
    <w:rsid w:val="00D6256C"/>
    <w:rsid w:val="00D6272B"/>
    <w:rsid w:val="00D62BEE"/>
    <w:rsid w:val="00D62E8F"/>
    <w:rsid w:val="00D630A3"/>
    <w:rsid w:val="00D64784"/>
    <w:rsid w:val="00D64D0D"/>
    <w:rsid w:val="00D65516"/>
    <w:rsid w:val="00D65D41"/>
    <w:rsid w:val="00D65E07"/>
    <w:rsid w:val="00D6632E"/>
    <w:rsid w:val="00D66365"/>
    <w:rsid w:val="00D66AAC"/>
    <w:rsid w:val="00D66B42"/>
    <w:rsid w:val="00D66CC7"/>
    <w:rsid w:val="00D67279"/>
    <w:rsid w:val="00D673A2"/>
    <w:rsid w:val="00D67458"/>
    <w:rsid w:val="00D67633"/>
    <w:rsid w:val="00D677A3"/>
    <w:rsid w:val="00D6799D"/>
    <w:rsid w:val="00D67A16"/>
    <w:rsid w:val="00D67C9D"/>
    <w:rsid w:val="00D67CCC"/>
    <w:rsid w:val="00D67E7A"/>
    <w:rsid w:val="00D67FF7"/>
    <w:rsid w:val="00D70016"/>
    <w:rsid w:val="00D7020E"/>
    <w:rsid w:val="00D70A8E"/>
    <w:rsid w:val="00D70CB3"/>
    <w:rsid w:val="00D7158E"/>
    <w:rsid w:val="00D71B16"/>
    <w:rsid w:val="00D71DC3"/>
    <w:rsid w:val="00D71DCE"/>
    <w:rsid w:val="00D72353"/>
    <w:rsid w:val="00D72EB5"/>
    <w:rsid w:val="00D72F33"/>
    <w:rsid w:val="00D73D74"/>
    <w:rsid w:val="00D74056"/>
    <w:rsid w:val="00D7424E"/>
    <w:rsid w:val="00D74751"/>
    <w:rsid w:val="00D74B31"/>
    <w:rsid w:val="00D74F0F"/>
    <w:rsid w:val="00D75298"/>
    <w:rsid w:val="00D7561D"/>
    <w:rsid w:val="00D75FEF"/>
    <w:rsid w:val="00D764B5"/>
    <w:rsid w:val="00D7653A"/>
    <w:rsid w:val="00D766AA"/>
    <w:rsid w:val="00D7672B"/>
    <w:rsid w:val="00D76746"/>
    <w:rsid w:val="00D76AED"/>
    <w:rsid w:val="00D76B0D"/>
    <w:rsid w:val="00D76F9A"/>
    <w:rsid w:val="00D7729E"/>
    <w:rsid w:val="00D7794D"/>
    <w:rsid w:val="00D77D5F"/>
    <w:rsid w:val="00D77E17"/>
    <w:rsid w:val="00D801FB"/>
    <w:rsid w:val="00D80529"/>
    <w:rsid w:val="00D809D3"/>
    <w:rsid w:val="00D80AE5"/>
    <w:rsid w:val="00D80DC4"/>
    <w:rsid w:val="00D81230"/>
    <w:rsid w:val="00D81E72"/>
    <w:rsid w:val="00D82492"/>
    <w:rsid w:val="00D826D4"/>
    <w:rsid w:val="00D82F0C"/>
    <w:rsid w:val="00D831E9"/>
    <w:rsid w:val="00D832D9"/>
    <w:rsid w:val="00D838A5"/>
    <w:rsid w:val="00D8396C"/>
    <w:rsid w:val="00D839F9"/>
    <w:rsid w:val="00D846E0"/>
    <w:rsid w:val="00D8488D"/>
    <w:rsid w:val="00D84EFF"/>
    <w:rsid w:val="00D84F59"/>
    <w:rsid w:val="00D85150"/>
    <w:rsid w:val="00D85263"/>
    <w:rsid w:val="00D853DA"/>
    <w:rsid w:val="00D855CD"/>
    <w:rsid w:val="00D859D3"/>
    <w:rsid w:val="00D85B58"/>
    <w:rsid w:val="00D860C8"/>
    <w:rsid w:val="00D8619D"/>
    <w:rsid w:val="00D864CC"/>
    <w:rsid w:val="00D86A86"/>
    <w:rsid w:val="00D86FB6"/>
    <w:rsid w:val="00D8717E"/>
    <w:rsid w:val="00D873A1"/>
    <w:rsid w:val="00D87C13"/>
    <w:rsid w:val="00D87D4F"/>
    <w:rsid w:val="00D901A3"/>
    <w:rsid w:val="00D9036F"/>
    <w:rsid w:val="00D90412"/>
    <w:rsid w:val="00D906C8"/>
    <w:rsid w:val="00D90732"/>
    <w:rsid w:val="00D90917"/>
    <w:rsid w:val="00D909A9"/>
    <w:rsid w:val="00D90E42"/>
    <w:rsid w:val="00D90ECD"/>
    <w:rsid w:val="00D90FB2"/>
    <w:rsid w:val="00D9156A"/>
    <w:rsid w:val="00D91619"/>
    <w:rsid w:val="00D9193B"/>
    <w:rsid w:val="00D91B0E"/>
    <w:rsid w:val="00D91DE1"/>
    <w:rsid w:val="00D92780"/>
    <w:rsid w:val="00D9286C"/>
    <w:rsid w:val="00D92D9C"/>
    <w:rsid w:val="00D92F38"/>
    <w:rsid w:val="00D930AE"/>
    <w:rsid w:val="00D93488"/>
    <w:rsid w:val="00D9368E"/>
    <w:rsid w:val="00D943F0"/>
    <w:rsid w:val="00D94617"/>
    <w:rsid w:val="00D9489E"/>
    <w:rsid w:val="00D948C6"/>
    <w:rsid w:val="00D94E60"/>
    <w:rsid w:val="00D952B5"/>
    <w:rsid w:val="00D955D8"/>
    <w:rsid w:val="00D956CA"/>
    <w:rsid w:val="00D95A2F"/>
    <w:rsid w:val="00D95AAB"/>
    <w:rsid w:val="00D95B6B"/>
    <w:rsid w:val="00D96196"/>
    <w:rsid w:val="00D9650B"/>
    <w:rsid w:val="00D9653F"/>
    <w:rsid w:val="00D967A0"/>
    <w:rsid w:val="00D96867"/>
    <w:rsid w:val="00D9694C"/>
    <w:rsid w:val="00D96CF9"/>
    <w:rsid w:val="00D96DDA"/>
    <w:rsid w:val="00D97175"/>
    <w:rsid w:val="00D9719C"/>
    <w:rsid w:val="00D97577"/>
    <w:rsid w:val="00D97C5F"/>
    <w:rsid w:val="00D97D8D"/>
    <w:rsid w:val="00DA0051"/>
    <w:rsid w:val="00DA04E4"/>
    <w:rsid w:val="00DA08DA"/>
    <w:rsid w:val="00DA0BE5"/>
    <w:rsid w:val="00DA15EF"/>
    <w:rsid w:val="00DA16C8"/>
    <w:rsid w:val="00DA1925"/>
    <w:rsid w:val="00DA1C14"/>
    <w:rsid w:val="00DA1F8C"/>
    <w:rsid w:val="00DA21C5"/>
    <w:rsid w:val="00DA2302"/>
    <w:rsid w:val="00DA233C"/>
    <w:rsid w:val="00DA320F"/>
    <w:rsid w:val="00DA3428"/>
    <w:rsid w:val="00DA379D"/>
    <w:rsid w:val="00DA37AE"/>
    <w:rsid w:val="00DA380B"/>
    <w:rsid w:val="00DA38A6"/>
    <w:rsid w:val="00DA3A5A"/>
    <w:rsid w:val="00DA3BF4"/>
    <w:rsid w:val="00DA3C97"/>
    <w:rsid w:val="00DA4C11"/>
    <w:rsid w:val="00DA4E23"/>
    <w:rsid w:val="00DA522C"/>
    <w:rsid w:val="00DA5647"/>
    <w:rsid w:val="00DA5974"/>
    <w:rsid w:val="00DA5AF6"/>
    <w:rsid w:val="00DA5B9F"/>
    <w:rsid w:val="00DA5D3C"/>
    <w:rsid w:val="00DA663D"/>
    <w:rsid w:val="00DA6849"/>
    <w:rsid w:val="00DA6888"/>
    <w:rsid w:val="00DA6972"/>
    <w:rsid w:val="00DA72DB"/>
    <w:rsid w:val="00DA7866"/>
    <w:rsid w:val="00DA7895"/>
    <w:rsid w:val="00DB00CC"/>
    <w:rsid w:val="00DB0C36"/>
    <w:rsid w:val="00DB0D00"/>
    <w:rsid w:val="00DB0FB5"/>
    <w:rsid w:val="00DB1156"/>
    <w:rsid w:val="00DB13A3"/>
    <w:rsid w:val="00DB1407"/>
    <w:rsid w:val="00DB1969"/>
    <w:rsid w:val="00DB1CE0"/>
    <w:rsid w:val="00DB226D"/>
    <w:rsid w:val="00DB245B"/>
    <w:rsid w:val="00DB2659"/>
    <w:rsid w:val="00DB2ADA"/>
    <w:rsid w:val="00DB2B5E"/>
    <w:rsid w:val="00DB2B90"/>
    <w:rsid w:val="00DB2C65"/>
    <w:rsid w:val="00DB2E62"/>
    <w:rsid w:val="00DB2FEB"/>
    <w:rsid w:val="00DB3332"/>
    <w:rsid w:val="00DB3429"/>
    <w:rsid w:val="00DB4235"/>
    <w:rsid w:val="00DB504A"/>
    <w:rsid w:val="00DB55D6"/>
    <w:rsid w:val="00DB5900"/>
    <w:rsid w:val="00DB5A19"/>
    <w:rsid w:val="00DB5CAA"/>
    <w:rsid w:val="00DB63F4"/>
    <w:rsid w:val="00DB6895"/>
    <w:rsid w:val="00DB6937"/>
    <w:rsid w:val="00DB6B11"/>
    <w:rsid w:val="00DB6F6E"/>
    <w:rsid w:val="00DB70D4"/>
    <w:rsid w:val="00DB7175"/>
    <w:rsid w:val="00DB7526"/>
    <w:rsid w:val="00DB7543"/>
    <w:rsid w:val="00DB7580"/>
    <w:rsid w:val="00DB76C8"/>
    <w:rsid w:val="00DB77E0"/>
    <w:rsid w:val="00DB7AD9"/>
    <w:rsid w:val="00DB7D95"/>
    <w:rsid w:val="00DB7EC6"/>
    <w:rsid w:val="00DB7EEB"/>
    <w:rsid w:val="00DC03C2"/>
    <w:rsid w:val="00DC0641"/>
    <w:rsid w:val="00DC0791"/>
    <w:rsid w:val="00DC0DA4"/>
    <w:rsid w:val="00DC0E31"/>
    <w:rsid w:val="00DC1243"/>
    <w:rsid w:val="00DC13BA"/>
    <w:rsid w:val="00DC16C6"/>
    <w:rsid w:val="00DC1BDB"/>
    <w:rsid w:val="00DC2013"/>
    <w:rsid w:val="00DC21AF"/>
    <w:rsid w:val="00DC2247"/>
    <w:rsid w:val="00DC24D5"/>
    <w:rsid w:val="00DC2778"/>
    <w:rsid w:val="00DC27DD"/>
    <w:rsid w:val="00DC281F"/>
    <w:rsid w:val="00DC2AC2"/>
    <w:rsid w:val="00DC34B6"/>
    <w:rsid w:val="00DC3874"/>
    <w:rsid w:val="00DC3D75"/>
    <w:rsid w:val="00DC3FFD"/>
    <w:rsid w:val="00DC459A"/>
    <w:rsid w:val="00DC4629"/>
    <w:rsid w:val="00DC4668"/>
    <w:rsid w:val="00DC48A5"/>
    <w:rsid w:val="00DC4CC2"/>
    <w:rsid w:val="00DC4F05"/>
    <w:rsid w:val="00DC57F9"/>
    <w:rsid w:val="00DC5D9A"/>
    <w:rsid w:val="00DC5FA7"/>
    <w:rsid w:val="00DC6124"/>
    <w:rsid w:val="00DC61EA"/>
    <w:rsid w:val="00DC6812"/>
    <w:rsid w:val="00DC6991"/>
    <w:rsid w:val="00DC6AD9"/>
    <w:rsid w:val="00DC6FB0"/>
    <w:rsid w:val="00DC710A"/>
    <w:rsid w:val="00DC7A2F"/>
    <w:rsid w:val="00DC7CE9"/>
    <w:rsid w:val="00DD0116"/>
    <w:rsid w:val="00DD06A0"/>
    <w:rsid w:val="00DD0B03"/>
    <w:rsid w:val="00DD0FC0"/>
    <w:rsid w:val="00DD1348"/>
    <w:rsid w:val="00DD1553"/>
    <w:rsid w:val="00DD184D"/>
    <w:rsid w:val="00DD1ACB"/>
    <w:rsid w:val="00DD1C54"/>
    <w:rsid w:val="00DD2365"/>
    <w:rsid w:val="00DD28EA"/>
    <w:rsid w:val="00DD3238"/>
    <w:rsid w:val="00DD32D8"/>
    <w:rsid w:val="00DD3496"/>
    <w:rsid w:val="00DD36C6"/>
    <w:rsid w:val="00DD3917"/>
    <w:rsid w:val="00DD3C74"/>
    <w:rsid w:val="00DD4082"/>
    <w:rsid w:val="00DD43C8"/>
    <w:rsid w:val="00DD458F"/>
    <w:rsid w:val="00DD478B"/>
    <w:rsid w:val="00DD51DF"/>
    <w:rsid w:val="00DD53F5"/>
    <w:rsid w:val="00DD545F"/>
    <w:rsid w:val="00DD58EC"/>
    <w:rsid w:val="00DD5A0E"/>
    <w:rsid w:val="00DD5AD8"/>
    <w:rsid w:val="00DD5C43"/>
    <w:rsid w:val="00DD5FB5"/>
    <w:rsid w:val="00DD611D"/>
    <w:rsid w:val="00DD670A"/>
    <w:rsid w:val="00DD6EFC"/>
    <w:rsid w:val="00DD71DB"/>
    <w:rsid w:val="00DD7332"/>
    <w:rsid w:val="00DD733E"/>
    <w:rsid w:val="00DD74D1"/>
    <w:rsid w:val="00DD7996"/>
    <w:rsid w:val="00DD7A82"/>
    <w:rsid w:val="00DD7C6A"/>
    <w:rsid w:val="00DE037A"/>
    <w:rsid w:val="00DE0511"/>
    <w:rsid w:val="00DE0D35"/>
    <w:rsid w:val="00DE0E6A"/>
    <w:rsid w:val="00DE10EC"/>
    <w:rsid w:val="00DE122C"/>
    <w:rsid w:val="00DE1528"/>
    <w:rsid w:val="00DE21D2"/>
    <w:rsid w:val="00DE2904"/>
    <w:rsid w:val="00DE3396"/>
    <w:rsid w:val="00DE3D53"/>
    <w:rsid w:val="00DE4063"/>
    <w:rsid w:val="00DE40E8"/>
    <w:rsid w:val="00DE42E5"/>
    <w:rsid w:val="00DE4581"/>
    <w:rsid w:val="00DE4A6F"/>
    <w:rsid w:val="00DE4F15"/>
    <w:rsid w:val="00DE5164"/>
    <w:rsid w:val="00DE5521"/>
    <w:rsid w:val="00DE5A58"/>
    <w:rsid w:val="00DE5DB0"/>
    <w:rsid w:val="00DE5DCD"/>
    <w:rsid w:val="00DE5E7C"/>
    <w:rsid w:val="00DE5F8F"/>
    <w:rsid w:val="00DE6047"/>
    <w:rsid w:val="00DE61BA"/>
    <w:rsid w:val="00DE6570"/>
    <w:rsid w:val="00DE6B03"/>
    <w:rsid w:val="00DE6D25"/>
    <w:rsid w:val="00DE6E09"/>
    <w:rsid w:val="00DE6F68"/>
    <w:rsid w:val="00DE71BE"/>
    <w:rsid w:val="00DE7261"/>
    <w:rsid w:val="00DE72B1"/>
    <w:rsid w:val="00DE740D"/>
    <w:rsid w:val="00DE76EF"/>
    <w:rsid w:val="00DE7996"/>
    <w:rsid w:val="00DE79ED"/>
    <w:rsid w:val="00DE7D9C"/>
    <w:rsid w:val="00DE7DCF"/>
    <w:rsid w:val="00DF01BB"/>
    <w:rsid w:val="00DF0499"/>
    <w:rsid w:val="00DF0C59"/>
    <w:rsid w:val="00DF1175"/>
    <w:rsid w:val="00DF1217"/>
    <w:rsid w:val="00DF1276"/>
    <w:rsid w:val="00DF1978"/>
    <w:rsid w:val="00DF19A1"/>
    <w:rsid w:val="00DF25A0"/>
    <w:rsid w:val="00DF263B"/>
    <w:rsid w:val="00DF28C5"/>
    <w:rsid w:val="00DF30CD"/>
    <w:rsid w:val="00DF377D"/>
    <w:rsid w:val="00DF37E9"/>
    <w:rsid w:val="00DF4CF4"/>
    <w:rsid w:val="00DF4DF1"/>
    <w:rsid w:val="00DF4F95"/>
    <w:rsid w:val="00DF5020"/>
    <w:rsid w:val="00DF53A6"/>
    <w:rsid w:val="00DF56A7"/>
    <w:rsid w:val="00DF5A6C"/>
    <w:rsid w:val="00DF5C1E"/>
    <w:rsid w:val="00DF5D36"/>
    <w:rsid w:val="00DF61BC"/>
    <w:rsid w:val="00DF633D"/>
    <w:rsid w:val="00DF64B8"/>
    <w:rsid w:val="00DF6A71"/>
    <w:rsid w:val="00DF6DEE"/>
    <w:rsid w:val="00DF6FD7"/>
    <w:rsid w:val="00DF7461"/>
    <w:rsid w:val="00DF7482"/>
    <w:rsid w:val="00DF74B2"/>
    <w:rsid w:val="00DF7718"/>
    <w:rsid w:val="00DF77CF"/>
    <w:rsid w:val="00DF7D0D"/>
    <w:rsid w:val="00DF7E9E"/>
    <w:rsid w:val="00DF7FB9"/>
    <w:rsid w:val="00E00474"/>
    <w:rsid w:val="00E008FF"/>
    <w:rsid w:val="00E00ADF"/>
    <w:rsid w:val="00E00BA6"/>
    <w:rsid w:val="00E00BC8"/>
    <w:rsid w:val="00E00D50"/>
    <w:rsid w:val="00E00EF7"/>
    <w:rsid w:val="00E00F1D"/>
    <w:rsid w:val="00E011CF"/>
    <w:rsid w:val="00E014B0"/>
    <w:rsid w:val="00E0179B"/>
    <w:rsid w:val="00E022B8"/>
    <w:rsid w:val="00E02B95"/>
    <w:rsid w:val="00E02EB9"/>
    <w:rsid w:val="00E03006"/>
    <w:rsid w:val="00E031C5"/>
    <w:rsid w:val="00E03B64"/>
    <w:rsid w:val="00E03FD9"/>
    <w:rsid w:val="00E04053"/>
    <w:rsid w:val="00E048D4"/>
    <w:rsid w:val="00E05393"/>
    <w:rsid w:val="00E056C6"/>
    <w:rsid w:val="00E057EE"/>
    <w:rsid w:val="00E05F3E"/>
    <w:rsid w:val="00E06064"/>
    <w:rsid w:val="00E067F5"/>
    <w:rsid w:val="00E07020"/>
    <w:rsid w:val="00E076B6"/>
    <w:rsid w:val="00E07B45"/>
    <w:rsid w:val="00E07CA2"/>
    <w:rsid w:val="00E07D81"/>
    <w:rsid w:val="00E07DCB"/>
    <w:rsid w:val="00E10533"/>
    <w:rsid w:val="00E1093C"/>
    <w:rsid w:val="00E109FB"/>
    <w:rsid w:val="00E10CB8"/>
    <w:rsid w:val="00E11199"/>
    <w:rsid w:val="00E11AC4"/>
    <w:rsid w:val="00E11D1F"/>
    <w:rsid w:val="00E11D36"/>
    <w:rsid w:val="00E11D3C"/>
    <w:rsid w:val="00E1255B"/>
    <w:rsid w:val="00E1287F"/>
    <w:rsid w:val="00E12CCE"/>
    <w:rsid w:val="00E12FC7"/>
    <w:rsid w:val="00E132F6"/>
    <w:rsid w:val="00E13718"/>
    <w:rsid w:val="00E138FD"/>
    <w:rsid w:val="00E1392E"/>
    <w:rsid w:val="00E13B34"/>
    <w:rsid w:val="00E13CE9"/>
    <w:rsid w:val="00E13DAE"/>
    <w:rsid w:val="00E1434F"/>
    <w:rsid w:val="00E143FF"/>
    <w:rsid w:val="00E14621"/>
    <w:rsid w:val="00E146D7"/>
    <w:rsid w:val="00E1470C"/>
    <w:rsid w:val="00E14B9A"/>
    <w:rsid w:val="00E14F40"/>
    <w:rsid w:val="00E15773"/>
    <w:rsid w:val="00E16087"/>
    <w:rsid w:val="00E1674B"/>
    <w:rsid w:val="00E16AB6"/>
    <w:rsid w:val="00E16EB8"/>
    <w:rsid w:val="00E1736D"/>
    <w:rsid w:val="00E174C5"/>
    <w:rsid w:val="00E17646"/>
    <w:rsid w:val="00E17D6F"/>
    <w:rsid w:val="00E17FAA"/>
    <w:rsid w:val="00E202BB"/>
    <w:rsid w:val="00E2048D"/>
    <w:rsid w:val="00E207FB"/>
    <w:rsid w:val="00E208BC"/>
    <w:rsid w:val="00E20B1F"/>
    <w:rsid w:val="00E20BFA"/>
    <w:rsid w:val="00E20D34"/>
    <w:rsid w:val="00E21202"/>
    <w:rsid w:val="00E21224"/>
    <w:rsid w:val="00E21418"/>
    <w:rsid w:val="00E21A0F"/>
    <w:rsid w:val="00E21D7A"/>
    <w:rsid w:val="00E21F13"/>
    <w:rsid w:val="00E22899"/>
    <w:rsid w:val="00E22CA8"/>
    <w:rsid w:val="00E23569"/>
    <w:rsid w:val="00E2358F"/>
    <w:rsid w:val="00E23796"/>
    <w:rsid w:val="00E2380F"/>
    <w:rsid w:val="00E23A51"/>
    <w:rsid w:val="00E23FC5"/>
    <w:rsid w:val="00E241FA"/>
    <w:rsid w:val="00E24642"/>
    <w:rsid w:val="00E24771"/>
    <w:rsid w:val="00E2493F"/>
    <w:rsid w:val="00E24EA6"/>
    <w:rsid w:val="00E25333"/>
    <w:rsid w:val="00E253B1"/>
    <w:rsid w:val="00E25B09"/>
    <w:rsid w:val="00E25E63"/>
    <w:rsid w:val="00E25F1A"/>
    <w:rsid w:val="00E260D7"/>
    <w:rsid w:val="00E26507"/>
    <w:rsid w:val="00E26536"/>
    <w:rsid w:val="00E26C9B"/>
    <w:rsid w:val="00E26DA6"/>
    <w:rsid w:val="00E27235"/>
    <w:rsid w:val="00E2755B"/>
    <w:rsid w:val="00E278E6"/>
    <w:rsid w:val="00E279D9"/>
    <w:rsid w:val="00E27AE1"/>
    <w:rsid w:val="00E30014"/>
    <w:rsid w:val="00E300A6"/>
    <w:rsid w:val="00E30520"/>
    <w:rsid w:val="00E307BB"/>
    <w:rsid w:val="00E30819"/>
    <w:rsid w:val="00E30872"/>
    <w:rsid w:val="00E30B7F"/>
    <w:rsid w:val="00E3103B"/>
    <w:rsid w:val="00E31318"/>
    <w:rsid w:val="00E318E6"/>
    <w:rsid w:val="00E319DC"/>
    <w:rsid w:val="00E31ADD"/>
    <w:rsid w:val="00E31F4E"/>
    <w:rsid w:val="00E31F8B"/>
    <w:rsid w:val="00E32261"/>
    <w:rsid w:val="00E325DD"/>
    <w:rsid w:val="00E328DF"/>
    <w:rsid w:val="00E32914"/>
    <w:rsid w:val="00E32933"/>
    <w:rsid w:val="00E33077"/>
    <w:rsid w:val="00E33520"/>
    <w:rsid w:val="00E33AB0"/>
    <w:rsid w:val="00E33D15"/>
    <w:rsid w:val="00E33E26"/>
    <w:rsid w:val="00E33FCE"/>
    <w:rsid w:val="00E3448C"/>
    <w:rsid w:val="00E346D6"/>
    <w:rsid w:val="00E347AB"/>
    <w:rsid w:val="00E347EC"/>
    <w:rsid w:val="00E34C85"/>
    <w:rsid w:val="00E35050"/>
    <w:rsid w:val="00E35387"/>
    <w:rsid w:val="00E35877"/>
    <w:rsid w:val="00E3596D"/>
    <w:rsid w:val="00E360DC"/>
    <w:rsid w:val="00E36A52"/>
    <w:rsid w:val="00E36E74"/>
    <w:rsid w:val="00E36FEC"/>
    <w:rsid w:val="00E3757C"/>
    <w:rsid w:val="00E37662"/>
    <w:rsid w:val="00E37EA4"/>
    <w:rsid w:val="00E40A8C"/>
    <w:rsid w:val="00E4101A"/>
    <w:rsid w:val="00E410DE"/>
    <w:rsid w:val="00E411F1"/>
    <w:rsid w:val="00E416C4"/>
    <w:rsid w:val="00E41C94"/>
    <w:rsid w:val="00E41D93"/>
    <w:rsid w:val="00E41F9B"/>
    <w:rsid w:val="00E420C5"/>
    <w:rsid w:val="00E42432"/>
    <w:rsid w:val="00E4296B"/>
    <w:rsid w:val="00E42CC7"/>
    <w:rsid w:val="00E42D01"/>
    <w:rsid w:val="00E42ECA"/>
    <w:rsid w:val="00E43132"/>
    <w:rsid w:val="00E4323D"/>
    <w:rsid w:val="00E4327E"/>
    <w:rsid w:val="00E43345"/>
    <w:rsid w:val="00E433AB"/>
    <w:rsid w:val="00E436E6"/>
    <w:rsid w:val="00E43CCB"/>
    <w:rsid w:val="00E43E16"/>
    <w:rsid w:val="00E44358"/>
    <w:rsid w:val="00E44960"/>
    <w:rsid w:val="00E44CEE"/>
    <w:rsid w:val="00E45007"/>
    <w:rsid w:val="00E454B1"/>
    <w:rsid w:val="00E45605"/>
    <w:rsid w:val="00E45827"/>
    <w:rsid w:val="00E45A7D"/>
    <w:rsid w:val="00E45D37"/>
    <w:rsid w:val="00E46058"/>
    <w:rsid w:val="00E4627F"/>
    <w:rsid w:val="00E46C27"/>
    <w:rsid w:val="00E46C6A"/>
    <w:rsid w:val="00E4710D"/>
    <w:rsid w:val="00E47362"/>
    <w:rsid w:val="00E4745C"/>
    <w:rsid w:val="00E4777B"/>
    <w:rsid w:val="00E47810"/>
    <w:rsid w:val="00E50185"/>
    <w:rsid w:val="00E50680"/>
    <w:rsid w:val="00E50D35"/>
    <w:rsid w:val="00E5118F"/>
    <w:rsid w:val="00E5119E"/>
    <w:rsid w:val="00E5157B"/>
    <w:rsid w:val="00E515A5"/>
    <w:rsid w:val="00E51611"/>
    <w:rsid w:val="00E518C9"/>
    <w:rsid w:val="00E51969"/>
    <w:rsid w:val="00E51C16"/>
    <w:rsid w:val="00E52152"/>
    <w:rsid w:val="00E527A3"/>
    <w:rsid w:val="00E528EF"/>
    <w:rsid w:val="00E52A82"/>
    <w:rsid w:val="00E52F4A"/>
    <w:rsid w:val="00E53414"/>
    <w:rsid w:val="00E538A2"/>
    <w:rsid w:val="00E53E84"/>
    <w:rsid w:val="00E54371"/>
    <w:rsid w:val="00E54373"/>
    <w:rsid w:val="00E5460F"/>
    <w:rsid w:val="00E5484B"/>
    <w:rsid w:val="00E54B79"/>
    <w:rsid w:val="00E554E4"/>
    <w:rsid w:val="00E556E5"/>
    <w:rsid w:val="00E55728"/>
    <w:rsid w:val="00E55851"/>
    <w:rsid w:val="00E55B24"/>
    <w:rsid w:val="00E55CDD"/>
    <w:rsid w:val="00E56619"/>
    <w:rsid w:val="00E56B32"/>
    <w:rsid w:val="00E56BB2"/>
    <w:rsid w:val="00E57032"/>
    <w:rsid w:val="00E57BFC"/>
    <w:rsid w:val="00E57D3C"/>
    <w:rsid w:val="00E60225"/>
    <w:rsid w:val="00E602DF"/>
    <w:rsid w:val="00E603E1"/>
    <w:rsid w:val="00E60452"/>
    <w:rsid w:val="00E6111A"/>
    <w:rsid w:val="00E61539"/>
    <w:rsid w:val="00E61718"/>
    <w:rsid w:val="00E61E13"/>
    <w:rsid w:val="00E62063"/>
    <w:rsid w:val="00E62183"/>
    <w:rsid w:val="00E6229D"/>
    <w:rsid w:val="00E62440"/>
    <w:rsid w:val="00E62742"/>
    <w:rsid w:val="00E62DE9"/>
    <w:rsid w:val="00E63092"/>
    <w:rsid w:val="00E631AD"/>
    <w:rsid w:val="00E631BD"/>
    <w:rsid w:val="00E636DC"/>
    <w:rsid w:val="00E636EB"/>
    <w:rsid w:val="00E63873"/>
    <w:rsid w:val="00E63DFE"/>
    <w:rsid w:val="00E63EF5"/>
    <w:rsid w:val="00E642BD"/>
    <w:rsid w:val="00E647BB"/>
    <w:rsid w:val="00E6481F"/>
    <w:rsid w:val="00E64B6E"/>
    <w:rsid w:val="00E655A3"/>
    <w:rsid w:val="00E6583F"/>
    <w:rsid w:val="00E66162"/>
    <w:rsid w:val="00E663B7"/>
    <w:rsid w:val="00E667FD"/>
    <w:rsid w:val="00E67008"/>
    <w:rsid w:val="00E6751F"/>
    <w:rsid w:val="00E67A03"/>
    <w:rsid w:val="00E67CB6"/>
    <w:rsid w:val="00E67E75"/>
    <w:rsid w:val="00E67F8F"/>
    <w:rsid w:val="00E7006F"/>
    <w:rsid w:val="00E7034E"/>
    <w:rsid w:val="00E7038A"/>
    <w:rsid w:val="00E70924"/>
    <w:rsid w:val="00E70F6E"/>
    <w:rsid w:val="00E712A0"/>
    <w:rsid w:val="00E71519"/>
    <w:rsid w:val="00E71599"/>
    <w:rsid w:val="00E7168E"/>
    <w:rsid w:val="00E71921"/>
    <w:rsid w:val="00E71BDF"/>
    <w:rsid w:val="00E72971"/>
    <w:rsid w:val="00E72F37"/>
    <w:rsid w:val="00E731F0"/>
    <w:rsid w:val="00E7339A"/>
    <w:rsid w:val="00E73AF2"/>
    <w:rsid w:val="00E74453"/>
    <w:rsid w:val="00E749A4"/>
    <w:rsid w:val="00E749E8"/>
    <w:rsid w:val="00E74CC2"/>
    <w:rsid w:val="00E74D36"/>
    <w:rsid w:val="00E74E46"/>
    <w:rsid w:val="00E75004"/>
    <w:rsid w:val="00E751B1"/>
    <w:rsid w:val="00E75399"/>
    <w:rsid w:val="00E7539E"/>
    <w:rsid w:val="00E75421"/>
    <w:rsid w:val="00E761A7"/>
    <w:rsid w:val="00E7628C"/>
    <w:rsid w:val="00E763AD"/>
    <w:rsid w:val="00E76D4A"/>
    <w:rsid w:val="00E771AE"/>
    <w:rsid w:val="00E7721E"/>
    <w:rsid w:val="00E774C6"/>
    <w:rsid w:val="00E77873"/>
    <w:rsid w:val="00E77952"/>
    <w:rsid w:val="00E77C76"/>
    <w:rsid w:val="00E77CFC"/>
    <w:rsid w:val="00E77E97"/>
    <w:rsid w:val="00E77EA1"/>
    <w:rsid w:val="00E77F07"/>
    <w:rsid w:val="00E8022A"/>
    <w:rsid w:val="00E80599"/>
    <w:rsid w:val="00E8064A"/>
    <w:rsid w:val="00E80812"/>
    <w:rsid w:val="00E80A9F"/>
    <w:rsid w:val="00E80CA0"/>
    <w:rsid w:val="00E80E0B"/>
    <w:rsid w:val="00E81139"/>
    <w:rsid w:val="00E8143B"/>
    <w:rsid w:val="00E817A8"/>
    <w:rsid w:val="00E8189B"/>
    <w:rsid w:val="00E81D5E"/>
    <w:rsid w:val="00E81D66"/>
    <w:rsid w:val="00E81E79"/>
    <w:rsid w:val="00E81EB2"/>
    <w:rsid w:val="00E82010"/>
    <w:rsid w:val="00E82093"/>
    <w:rsid w:val="00E820A7"/>
    <w:rsid w:val="00E82239"/>
    <w:rsid w:val="00E82459"/>
    <w:rsid w:val="00E82570"/>
    <w:rsid w:val="00E82648"/>
    <w:rsid w:val="00E828FF"/>
    <w:rsid w:val="00E82918"/>
    <w:rsid w:val="00E82CD5"/>
    <w:rsid w:val="00E8314B"/>
    <w:rsid w:val="00E83172"/>
    <w:rsid w:val="00E831EC"/>
    <w:rsid w:val="00E8333E"/>
    <w:rsid w:val="00E8351E"/>
    <w:rsid w:val="00E837D2"/>
    <w:rsid w:val="00E83D1E"/>
    <w:rsid w:val="00E84478"/>
    <w:rsid w:val="00E84523"/>
    <w:rsid w:val="00E84608"/>
    <w:rsid w:val="00E851DF"/>
    <w:rsid w:val="00E856A8"/>
    <w:rsid w:val="00E859E6"/>
    <w:rsid w:val="00E85C33"/>
    <w:rsid w:val="00E85E05"/>
    <w:rsid w:val="00E86059"/>
    <w:rsid w:val="00E862BC"/>
    <w:rsid w:val="00E86312"/>
    <w:rsid w:val="00E866F1"/>
    <w:rsid w:val="00E86C85"/>
    <w:rsid w:val="00E8703F"/>
    <w:rsid w:val="00E871DB"/>
    <w:rsid w:val="00E87F65"/>
    <w:rsid w:val="00E902A1"/>
    <w:rsid w:val="00E90958"/>
    <w:rsid w:val="00E90CC9"/>
    <w:rsid w:val="00E91004"/>
    <w:rsid w:val="00E91154"/>
    <w:rsid w:val="00E912D1"/>
    <w:rsid w:val="00E91407"/>
    <w:rsid w:val="00E91721"/>
    <w:rsid w:val="00E91824"/>
    <w:rsid w:val="00E91FC2"/>
    <w:rsid w:val="00E92015"/>
    <w:rsid w:val="00E920CA"/>
    <w:rsid w:val="00E92386"/>
    <w:rsid w:val="00E92439"/>
    <w:rsid w:val="00E92521"/>
    <w:rsid w:val="00E92953"/>
    <w:rsid w:val="00E92D5F"/>
    <w:rsid w:val="00E92FF6"/>
    <w:rsid w:val="00E9323F"/>
    <w:rsid w:val="00E93729"/>
    <w:rsid w:val="00E940A0"/>
    <w:rsid w:val="00E94352"/>
    <w:rsid w:val="00E95145"/>
    <w:rsid w:val="00E9576C"/>
    <w:rsid w:val="00E964A4"/>
    <w:rsid w:val="00E964D7"/>
    <w:rsid w:val="00E96A5C"/>
    <w:rsid w:val="00E96A94"/>
    <w:rsid w:val="00E96ADA"/>
    <w:rsid w:val="00E96F8F"/>
    <w:rsid w:val="00E97731"/>
    <w:rsid w:val="00E97944"/>
    <w:rsid w:val="00E97A26"/>
    <w:rsid w:val="00EA00EC"/>
    <w:rsid w:val="00EA01AC"/>
    <w:rsid w:val="00EA023C"/>
    <w:rsid w:val="00EA04FA"/>
    <w:rsid w:val="00EA05FD"/>
    <w:rsid w:val="00EA0789"/>
    <w:rsid w:val="00EA0872"/>
    <w:rsid w:val="00EA091B"/>
    <w:rsid w:val="00EA09FF"/>
    <w:rsid w:val="00EA0AA8"/>
    <w:rsid w:val="00EA0BD5"/>
    <w:rsid w:val="00EA0DB7"/>
    <w:rsid w:val="00EA19F1"/>
    <w:rsid w:val="00EA1BC3"/>
    <w:rsid w:val="00EA27F1"/>
    <w:rsid w:val="00EA2958"/>
    <w:rsid w:val="00EA2BC1"/>
    <w:rsid w:val="00EA3782"/>
    <w:rsid w:val="00EA3961"/>
    <w:rsid w:val="00EA3978"/>
    <w:rsid w:val="00EA3DB0"/>
    <w:rsid w:val="00EA4092"/>
    <w:rsid w:val="00EA420E"/>
    <w:rsid w:val="00EA4365"/>
    <w:rsid w:val="00EA45B6"/>
    <w:rsid w:val="00EA4803"/>
    <w:rsid w:val="00EA4C9A"/>
    <w:rsid w:val="00EA4CEC"/>
    <w:rsid w:val="00EA53ED"/>
    <w:rsid w:val="00EA54F5"/>
    <w:rsid w:val="00EA561F"/>
    <w:rsid w:val="00EA5757"/>
    <w:rsid w:val="00EA59F1"/>
    <w:rsid w:val="00EA5B9D"/>
    <w:rsid w:val="00EA6188"/>
    <w:rsid w:val="00EA659B"/>
    <w:rsid w:val="00EA6AE7"/>
    <w:rsid w:val="00EA749B"/>
    <w:rsid w:val="00EA753D"/>
    <w:rsid w:val="00EA75C3"/>
    <w:rsid w:val="00EA75C4"/>
    <w:rsid w:val="00EA78DB"/>
    <w:rsid w:val="00EA7D4F"/>
    <w:rsid w:val="00EA7EE5"/>
    <w:rsid w:val="00EB0831"/>
    <w:rsid w:val="00EB0C9C"/>
    <w:rsid w:val="00EB0D76"/>
    <w:rsid w:val="00EB11B1"/>
    <w:rsid w:val="00EB12F7"/>
    <w:rsid w:val="00EB156B"/>
    <w:rsid w:val="00EB1C62"/>
    <w:rsid w:val="00EB2210"/>
    <w:rsid w:val="00EB2326"/>
    <w:rsid w:val="00EB2488"/>
    <w:rsid w:val="00EB2C1F"/>
    <w:rsid w:val="00EB3132"/>
    <w:rsid w:val="00EB31BA"/>
    <w:rsid w:val="00EB3327"/>
    <w:rsid w:val="00EB334F"/>
    <w:rsid w:val="00EB344F"/>
    <w:rsid w:val="00EB356A"/>
    <w:rsid w:val="00EB38B2"/>
    <w:rsid w:val="00EB3924"/>
    <w:rsid w:val="00EB3CD6"/>
    <w:rsid w:val="00EB3CFD"/>
    <w:rsid w:val="00EB43D3"/>
    <w:rsid w:val="00EB4471"/>
    <w:rsid w:val="00EB479A"/>
    <w:rsid w:val="00EB48C2"/>
    <w:rsid w:val="00EB4DE3"/>
    <w:rsid w:val="00EB4E51"/>
    <w:rsid w:val="00EB50E7"/>
    <w:rsid w:val="00EB52A1"/>
    <w:rsid w:val="00EB52B2"/>
    <w:rsid w:val="00EB52F4"/>
    <w:rsid w:val="00EB552E"/>
    <w:rsid w:val="00EB5E68"/>
    <w:rsid w:val="00EB65DA"/>
    <w:rsid w:val="00EB660A"/>
    <w:rsid w:val="00EB69F1"/>
    <w:rsid w:val="00EB6BBA"/>
    <w:rsid w:val="00EB72F0"/>
    <w:rsid w:val="00EB75CA"/>
    <w:rsid w:val="00EB7AC8"/>
    <w:rsid w:val="00EB7C1E"/>
    <w:rsid w:val="00EC080F"/>
    <w:rsid w:val="00EC0943"/>
    <w:rsid w:val="00EC0CA0"/>
    <w:rsid w:val="00EC103F"/>
    <w:rsid w:val="00EC1660"/>
    <w:rsid w:val="00EC1798"/>
    <w:rsid w:val="00EC1DCA"/>
    <w:rsid w:val="00EC20BF"/>
    <w:rsid w:val="00EC24BB"/>
    <w:rsid w:val="00EC2662"/>
    <w:rsid w:val="00EC39B5"/>
    <w:rsid w:val="00EC3FCD"/>
    <w:rsid w:val="00EC4572"/>
    <w:rsid w:val="00EC4768"/>
    <w:rsid w:val="00EC4786"/>
    <w:rsid w:val="00EC4848"/>
    <w:rsid w:val="00EC4C85"/>
    <w:rsid w:val="00EC563D"/>
    <w:rsid w:val="00EC5AB0"/>
    <w:rsid w:val="00EC61F5"/>
    <w:rsid w:val="00EC6E86"/>
    <w:rsid w:val="00EC7021"/>
    <w:rsid w:val="00EC786C"/>
    <w:rsid w:val="00EC7A15"/>
    <w:rsid w:val="00EC7BC0"/>
    <w:rsid w:val="00EC7C4E"/>
    <w:rsid w:val="00ED0059"/>
    <w:rsid w:val="00ED0208"/>
    <w:rsid w:val="00ED02F9"/>
    <w:rsid w:val="00ED0D2E"/>
    <w:rsid w:val="00ED0F2D"/>
    <w:rsid w:val="00ED149D"/>
    <w:rsid w:val="00ED1715"/>
    <w:rsid w:val="00ED1C49"/>
    <w:rsid w:val="00ED227D"/>
    <w:rsid w:val="00ED262A"/>
    <w:rsid w:val="00ED2842"/>
    <w:rsid w:val="00ED36C8"/>
    <w:rsid w:val="00ED38BB"/>
    <w:rsid w:val="00ED38EF"/>
    <w:rsid w:val="00ED38F5"/>
    <w:rsid w:val="00ED3C43"/>
    <w:rsid w:val="00ED3C75"/>
    <w:rsid w:val="00ED3DEC"/>
    <w:rsid w:val="00ED405D"/>
    <w:rsid w:val="00ED4531"/>
    <w:rsid w:val="00ED489D"/>
    <w:rsid w:val="00ED4D49"/>
    <w:rsid w:val="00ED56E2"/>
    <w:rsid w:val="00ED5D3D"/>
    <w:rsid w:val="00ED5F50"/>
    <w:rsid w:val="00ED6291"/>
    <w:rsid w:val="00ED6329"/>
    <w:rsid w:val="00ED655A"/>
    <w:rsid w:val="00ED6663"/>
    <w:rsid w:val="00ED683E"/>
    <w:rsid w:val="00ED6B17"/>
    <w:rsid w:val="00ED6BC3"/>
    <w:rsid w:val="00ED6FD6"/>
    <w:rsid w:val="00ED7185"/>
    <w:rsid w:val="00ED7244"/>
    <w:rsid w:val="00ED7352"/>
    <w:rsid w:val="00ED768B"/>
    <w:rsid w:val="00ED7856"/>
    <w:rsid w:val="00ED78DE"/>
    <w:rsid w:val="00ED7B57"/>
    <w:rsid w:val="00ED7BE3"/>
    <w:rsid w:val="00EE01E1"/>
    <w:rsid w:val="00EE05EE"/>
    <w:rsid w:val="00EE0BFC"/>
    <w:rsid w:val="00EE10D0"/>
    <w:rsid w:val="00EE1195"/>
    <w:rsid w:val="00EE11C0"/>
    <w:rsid w:val="00EE139B"/>
    <w:rsid w:val="00EE17F1"/>
    <w:rsid w:val="00EE1AFE"/>
    <w:rsid w:val="00EE2424"/>
    <w:rsid w:val="00EE26EC"/>
    <w:rsid w:val="00EE29DA"/>
    <w:rsid w:val="00EE2AAD"/>
    <w:rsid w:val="00EE3004"/>
    <w:rsid w:val="00EE376E"/>
    <w:rsid w:val="00EE394E"/>
    <w:rsid w:val="00EE398B"/>
    <w:rsid w:val="00EE3A39"/>
    <w:rsid w:val="00EE3C19"/>
    <w:rsid w:val="00EE3C28"/>
    <w:rsid w:val="00EE3FDE"/>
    <w:rsid w:val="00EE4220"/>
    <w:rsid w:val="00EE457E"/>
    <w:rsid w:val="00EE49B7"/>
    <w:rsid w:val="00EE4B3D"/>
    <w:rsid w:val="00EE4DDF"/>
    <w:rsid w:val="00EE5063"/>
    <w:rsid w:val="00EE51D2"/>
    <w:rsid w:val="00EE51F5"/>
    <w:rsid w:val="00EE524C"/>
    <w:rsid w:val="00EE56AA"/>
    <w:rsid w:val="00EE587F"/>
    <w:rsid w:val="00EE5EAC"/>
    <w:rsid w:val="00EE60EA"/>
    <w:rsid w:val="00EE6211"/>
    <w:rsid w:val="00EE624B"/>
    <w:rsid w:val="00EE695F"/>
    <w:rsid w:val="00EE72A1"/>
    <w:rsid w:val="00EE7386"/>
    <w:rsid w:val="00EE73C1"/>
    <w:rsid w:val="00EE7440"/>
    <w:rsid w:val="00EF02DD"/>
    <w:rsid w:val="00EF1125"/>
    <w:rsid w:val="00EF123A"/>
    <w:rsid w:val="00EF142E"/>
    <w:rsid w:val="00EF1531"/>
    <w:rsid w:val="00EF1779"/>
    <w:rsid w:val="00EF18E6"/>
    <w:rsid w:val="00EF196E"/>
    <w:rsid w:val="00EF1C06"/>
    <w:rsid w:val="00EF20C5"/>
    <w:rsid w:val="00EF229B"/>
    <w:rsid w:val="00EF2825"/>
    <w:rsid w:val="00EF29AF"/>
    <w:rsid w:val="00EF2A0A"/>
    <w:rsid w:val="00EF2C37"/>
    <w:rsid w:val="00EF2D61"/>
    <w:rsid w:val="00EF3624"/>
    <w:rsid w:val="00EF38EE"/>
    <w:rsid w:val="00EF426D"/>
    <w:rsid w:val="00EF4931"/>
    <w:rsid w:val="00EF4948"/>
    <w:rsid w:val="00EF4BFD"/>
    <w:rsid w:val="00EF4E29"/>
    <w:rsid w:val="00EF4FD6"/>
    <w:rsid w:val="00EF504F"/>
    <w:rsid w:val="00EF5C54"/>
    <w:rsid w:val="00EF6153"/>
    <w:rsid w:val="00EF6B63"/>
    <w:rsid w:val="00EF6BF4"/>
    <w:rsid w:val="00EF74BD"/>
    <w:rsid w:val="00EF750A"/>
    <w:rsid w:val="00EF7B9B"/>
    <w:rsid w:val="00EF83FF"/>
    <w:rsid w:val="00F0016A"/>
    <w:rsid w:val="00F0085B"/>
    <w:rsid w:val="00F00D26"/>
    <w:rsid w:val="00F00F80"/>
    <w:rsid w:val="00F015E9"/>
    <w:rsid w:val="00F017F3"/>
    <w:rsid w:val="00F01831"/>
    <w:rsid w:val="00F01BD0"/>
    <w:rsid w:val="00F01F47"/>
    <w:rsid w:val="00F029D1"/>
    <w:rsid w:val="00F02F31"/>
    <w:rsid w:val="00F0359F"/>
    <w:rsid w:val="00F037E3"/>
    <w:rsid w:val="00F041AA"/>
    <w:rsid w:val="00F043AA"/>
    <w:rsid w:val="00F0441C"/>
    <w:rsid w:val="00F04433"/>
    <w:rsid w:val="00F048FC"/>
    <w:rsid w:val="00F04ADB"/>
    <w:rsid w:val="00F0523D"/>
    <w:rsid w:val="00F05673"/>
    <w:rsid w:val="00F05889"/>
    <w:rsid w:val="00F05A6A"/>
    <w:rsid w:val="00F05C15"/>
    <w:rsid w:val="00F05D3F"/>
    <w:rsid w:val="00F06146"/>
    <w:rsid w:val="00F06932"/>
    <w:rsid w:val="00F06968"/>
    <w:rsid w:val="00F07A4E"/>
    <w:rsid w:val="00F07A60"/>
    <w:rsid w:val="00F07CE6"/>
    <w:rsid w:val="00F07DFC"/>
    <w:rsid w:val="00F07E45"/>
    <w:rsid w:val="00F07E98"/>
    <w:rsid w:val="00F07F2F"/>
    <w:rsid w:val="00F10694"/>
    <w:rsid w:val="00F10FA0"/>
    <w:rsid w:val="00F1111E"/>
    <w:rsid w:val="00F11156"/>
    <w:rsid w:val="00F11739"/>
    <w:rsid w:val="00F12117"/>
    <w:rsid w:val="00F1252C"/>
    <w:rsid w:val="00F12B9A"/>
    <w:rsid w:val="00F12DDD"/>
    <w:rsid w:val="00F13439"/>
    <w:rsid w:val="00F13468"/>
    <w:rsid w:val="00F137A5"/>
    <w:rsid w:val="00F13A22"/>
    <w:rsid w:val="00F13CFD"/>
    <w:rsid w:val="00F1427E"/>
    <w:rsid w:val="00F1498D"/>
    <w:rsid w:val="00F14BDC"/>
    <w:rsid w:val="00F14C3A"/>
    <w:rsid w:val="00F14CA3"/>
    <w:rsid w:val="00F14D9A"/>
    <w:rsid w:val="00F151FE"/>
    <w:rsid w:val="00F1520D"/>
    <w:rsid w:val="00F155D2"/>
    <w:rsid w:val="00F158E0"/>
    <w:rsid w:val="00F15A3B"/>
    <w:rsid w:val="00F15AC1"/>
    <w:rsid w:val="00F1602B"/>
    <w:rsid w:val="00F16081"/>
    <w:rsid w:val="00F1673B"/>
    <w:rsid w:val="00F16760"/>
    <w:rsid w:val="00F167B5"/>
    <w:rsid w:val="00F167D3"/>
    <w:rsid w:val="00F16851"/>
    <w:rsid w:val="00F168A4"/>
    <w:rsid w:val="00F17002"/>
    <w:rsid w:val="00F17252"/>
    <w:rsid w:val="00F1727F"/>
    <w:rsid w:val="00F175EC"/>
    <w:rsid w:val="00F17820"/>
    <w:rsid w:val="00F17AD2"/>
    <w:rsid w:val="00F20C41"/>
    <w:rsid w:val="00F20FF1"/>
    <w:rsid w:val="00F2136A"/>
    <w:rsid w:val="00F213A9"/>
    <w:rsid w:val="00F2140E"/>
    <w:rsid w:val="00F220A3"/>
    <w:rsid w:val="00F22504"/>
    <w:rsid w:val="00F2265F"/>
    <w:rsid w:val="00F22C57"/>
    <w:rsid w:val="00F22FB5"/>
    <w:rsid w:val="00F2303C"/>
    <w:rsid w:val="00F2341C"/>
    <w:rsid w:val="00F238EA"/>
    <w:rsid w:val="00F23DAA"/>
    <w:rsid w:val="00F23EC0"/>
    <w:rsid w:val="00F24047"/>
    <w:rsid w:val="00F24551"/>
    <w:rsid w:val="00F245B2"/>
    <w:rsid w:val="00F247AB"/>
    <w:rsid w:val="00F24E55"/>
    <w:rsid w:val="00F254B7"/>
    <w:rsid w:val="00F2561C"/>
    <w:rsid w:val="00F25F87"/>
    <w:rsid w:val="00F262B8"/>
    <w:rsid w:val="00F2632B"/>
    <w:rsid w:val="00F2659F"/>
    <w:rsid w:val="00F26B7B"/>
    <w:rsid w:val="00F271EA"/>
    <w:rsid w:val="00F27396"/>
    <w:rsid w:val="00F27886"/>
    <w:rsid w:val="00F27A53"/>
    <w:rsid w:val="00F27F19"/>
    <w:rsid w:val="00F27F3B"/>
    <w:rsid w:val="00F30148"/>
    <w:rsid w:val="00F3087C"/>
    <w:rsid w:val="00F30D1E"/>
    <w:rsid w:val="00F313C3"/>
    <w:rsid w:val="00F31483"/>
    <w:rsid w:val="00F31C45"/>
    <w:rsid w:val="00F31DA0"/>
    <w:rsid w:val="00F323FF"/>
    <w:rsid w:val="00F327AF"/>
    <w:rsid w:val="00F328D1"/>
    <w:rsid w:val="00F32BD6"/>
    <w:rsid w:val="00F33301"/>
    <w:rsid w:val="00F3357E"/>
    <w:rsid w:val="00F3369D"/>
    <w:rsid w:val="00F33A1A"/>
    <w:rsid w:val="00F341EA"/>
    <w:rsid w:val="00F34273"/>
    <w:rsid w:val="00F34409"/>
    <w:rsid w:val="00F345BD"/>
    <w:rsid w:val="00F349AF"/>
    <w:rsid w:val="00F34A91"/>
    <w:rsid w:val="00F3536A"/>
    <w:rsid w:val="00F356BB"/>
    <w:rsid w:val="00F35770"/>
    <w:rsid w:val="00F35E3F"/>
    <w:rsid w:val="00F35E4C"/>
    <w:rsid w:val="00F36187"/>
    <w:rsid w:val="00F363D3"/>
    <w:rsid w:val="00F367AD"/>
    <w:rsid w:val="00F36F73"/>
    <w:rsid w:val="00F36F9C"/>
    <w:rsid w:val="00F36FC5"/>
    <w:rsid w:val="00F37027"/>
    <w:rsid w:val="00F37375"/>
    <w:rsid w:val="00F378AA"/>
    <w:rsid w:val="00F37997"/>
    <w:rsid w:val="00F37D81"/>
    <w:rsid w:val="00F40821"/>
    <w:rsid w:val="00F41601"/>
    <w:rsid w:val="00F4197F"/>
    <w:rsid w:val="00F41FB4"/>
    <w:rsid w:val="00F42DC7"/>
    <w:rsid w:val="00F42E0A"/>
    <w:rsid w:val="00F43060"/>
    <w:rsid w:val="00F431A8"/>
    <w:rsid w:val="00F43641"/>
    <w:rsid w:val="00F439F3"/>
    <w:rsid w:val="00F43C00"/>
    <w:rsid w:val="00F43D31"/>
    <w:rsid w:val="00F43DBA"/>
    <w:rsid w:val="00F43E88"/>
    <w:rsid w:val="00F43F1C"/>
    <w:rsid w:val="00F43F7F"/>
    <w:rsid w:val="00F44101"/>
    <w:rsid w:val="00F44166"/>
    <w:rsid w:val="00F44389"/>
    <w:rsid w:val="00F443F3"/>
    <w:rsid w:val="00F44960"/>
    <w:rsid w:val="00F44AAF"/>
    <w:rsid w:val="00F44ABC"/>
    <w:rsid w:val="00F44AF1"/>
    <w:rsid w:val="00F44CEF"/>
    <w:rsid w:val="00F44DF4"/>
    <w:rsid w:val="00F45B78"/>
    <w:rsid w:val="00F45BC4"/>
    <w:rsid w:val="00F45FD6"/>
    <w:rsid w:val="00F463F1"/>
    <w:rsid w:val="00F46B98"/>
    <w:rsid w:val="00F46BC5"/>
    <w:rsid w:val="00F46E74"/>
    <w:rsid w:val="00F46F8B"/>
    <w:rsid w:val="00F47094"/>
    <w:rsid w:val="00F4726D"/>
    <w:rsid w:val="00F473B1"/>
    <w:rsid w:val="00F4758D"/>
    <w:rsid w:val="00F47AFA"/>
    <w:rsid w:val="00F47CD7"/>
    <w:rsid w:val="00F47D13"/>
    <w:rsid w:val="00F47DCF"/>
    <w:rsid w:val="00F47FCC"/>
    <w:rsid w:val="00F47FD4"/>
    <w:rsid w:val="00F501B2"/>
    <w:rsid w:val="00F502BF"/>
    <w:rsid w:val="00F505B2"/>
    <w:rsid w:val="00F50B19"/>
    <w:rsid w:val="00F50D4E"/>
    <w:rsid w:val="00F51DF5"/>
    <w:rsid w:val="00F51E27"/>
    <w:rsid w:val="00F52436"/>
    <w:rsid w:val="00F524BB"/>
    <w:rsid w:val="00F5250B"/>
    <w:rsid w:val="00F52665"/>
    <w:rsid w:val="00F52B11"/>
    <w:rsid w:val="00F52DEA"/>
    <w:rsid w:val="00F5384C"/>
    <w:rsid w:val="00F538B4"/>
    <w:rsid w:val="00F539E5"/>
    <w:rsid w:val="00F5538D"/>
    <w:rsid w:val="00F55638"/>
    <w:rsid w:val="00F55759"/>
    <w:rsid w:val="00F56050"/>
    <w:rsid w:val="00F56323"/>
    <w:rsid w:val="00F5741B"/>
    <w:rsid w:val="00F5755B"/>
    <w:rsid w:val="00F5796E"/>
    <w:rsid w:val="00F57BE6"/>
    <w:rsid w:val="00F57DCC"/>
    <w:rsid w:val="00F57E15"/>
    <w:rsid w:val="00F57F3F"/>
    <w:rsid w:val="00F57F9A"/>
    <w:rsid w:val="00F60344"/>
    <w:rsid w:val="00F60AAC"/>
    <w:rsid w:val="00F617B2"/>
    <w:rsid w:val="00F618F3"/>
    <w:rsid w:val="00F61B0B"/>
    <w:rsid w:val="00F61B16"/>
    <w:rsid w:val="00F61CA0"/>
    <w:rsid w:val="00F6203E"/>
    <w:rsid w:val="00F620A2"/>
    <w:rsid w:val="00F6252B"/>
    <w:rsid w:val="00F62D73"/>
    <w:rsid w:val="00F62EF7"/>
    <w:rsid w:val="00F630CE"/>
    <w:rsid w:val="00F636EA"/>
    <w:rsid w:val="00F63901"/>
    <w:rsid w:val="00F639FD"/>
    <w:rsid w:val="00F63A8F"/>
    <w:rsid w:val="00F63BEE"/>
    <w:rsid w:val="00F63D23"/>
    <w:rsid w:val="00F63FEA"/>
    <w:rsid w:val="00F642D1"/>
    <w:rsid w:val="00F643D1"/>
    <w:rsid w:val="00F64CCD"/>
    <w:rsid w:val="00F64D01"/>
    <w:rsid w:val="00F64E30"/>
    <w:rsid w:val="00F6510C"/>
    <w:rsid w:val="00F65585"/>
    <w:rsid w:val="00F655A1"/>
    <w:rsid w:val="00F65C88"/>
    <w:rsid w:val="00F65DB2"/>
    <w:rsid w:val="00F66190"/>
    <w:rsid w:val="00F66293"/>
    <w:rsid w:val="00F662C6"/>
    <w:rsid w:val="00F66AFD"/>
    <w:rsid w:val="00F66EC7"/>
    <w:rsid w:val="00F672ED"/>
    <w:rsid w:val="00F6775B"/>
    <w:rsid w:val="00F7030B"/>
    <w:rsid w:val="00F70798"/>
    <w:rsid w:val="00F70DDC"/>
    <w:rsid w:val="00F71696"/>
    <w:rsid w:val="00F716A9"/>
    <w:rsid w:val="00F71910"/>
    <w:rsid w:val="00F71A15"/>
    <w:rsid w:val="00F71D97"/>
    <w:rsid w:val="00F71F40"/>
    <w:rsid w:val="00F72382"/>
    <w:rsid w:val="00F728BD"/>
    <w:rsid w:val="00F728C4"/>
    <w:rsid w:val="00F728DE"/>
    <w:rsid w:val="00F72901"/>
    <w:rsid w:val="00F72A8F"/>
    <w:rsid w:val="00F73189"/>
    <w:rsid w:val="00F73192"/>
    <w:rsid w:val="00F73217"/>
    <w:rsid w:val="00F73291"/>
    <w:rsid w:val="00F73708"/>
    <w:rsid w:val="00F73FC2"/>
    <w:rsid w:val="00F7404D"/>
    <w:rsid w:val="00F7454D"/>
    <w:rsid w:val="00F74FA3"/>
    <w:rsid w:val="00F7529E"/>
    <w:rsid w:val="00F754C8"/>
    <w:rsid w:val="00F754D6"/>
    <w:rsid w:val="00F75743"/>
    <w:rsid w:val="00F759E5"/>
    <w:rsid w:val="00F75A3D"/>
    <w:rsid w:val="00F75AC2"/>
    <w:rsid w:val="00F75B3A"/>
    <w:rsid w:val="00F75BDE"/>
    <w:rsid w:val="00F76397"/>
    <w:rsid w:val="00F764A8"/>
    <w:rsid w:val="00F766CE"/>
    <w:rsid w:val="00F768C7"/>
    <w:rsid w:val="00F76F56"/>
    <w:rsid w:val="00F7711B"/>
    <w:rsid w:val="00F7744B"/>
    <w:rsid w:val="00F77CB9"/>
    <w:rsid w:val="00F804FE"/>
    <w:rsid w:val="00F80740"/>
    <w:rsid w:val="00F80776"/>
    <w:rsid w:val="00F80830"/>
    <w:rsid w:val="00F80ED7"/>
    <w:rsid w:val="00F81262"/>
    <w:rsid w:val="00F81AE2"/>
    <w:rsid w:val="00F81AE7"/>
    <w:rsid w:val="00F82767"/>
    <w:rsid w:val="00F830E4"/>
    <w:rsid w:val="00F839C7"/>
    <w:rsid w:val="00F83C2E"/>
    <w:rsid w:val="00F84336"/>
    <w:rsid w:val="00F8443A"/>
    <w:rsid w:val="00F844D1"/>
    <w:rsid w:val="00F84ADC"/>
    <w:rsid w:val="00F84CEE"/>
    <w:rsid w:val="00F85098"/>
    <w:rsid w:val="00F85230"/>
    <w:rsid w:val="00F8560F"/>
    <w:rsid w:val="00F86053"/>
    <w:rsid w:val="00F86251"/>
    <w:rsid w:val="00F86352"/>
    <w:rsid w:val="00F868ED"/>
    <w:rsid w:val="00F86A8F"/>
    <w:rsid w:val="00F86BB3"/>
    <w:rsid w:val="00F87108"/>
    <w:rsid w:val="00F876BB"/>
    <w:rsid w:val="00F8778B"/>
    <w:rsid w:val="00F87ABB"/>
    <w:rsid w:val="00F87AE4"/>
    <w:rsid w:val="00F87CA3"/>
    <w:rsid w:val="00F87E51"/>
    <w:rsid w:val="00F90EB0"/>
    <w:rsid w:val="00F910EE"/>
    <w:rsid w:val="00F91729"/>
    <w:rsid w:val="00F91736"/>
    <w:rsid w:val="00F91DE4"/>
    <w:rsid w:val="00F91F99"/>
    <w:rsid w:val="00F92057"/>
    <w:rsid w:val="00F924EC"/>
    <w:rsid w:val="00F938F4"/>
    <w:rsid w:val="00F93B90"/>
    <w:rsid w:val="00F93DC0"/>
    <w:rsid w:val="00F94071"/>
    <w:rsid w:val="00F94072"/>
    <w:rsid w:val="00F940A4"/>
    <w:rsid w:val="00F94422"/>
    <w:rsid w:val="00F9474D"/>
    <w:rsid w:val="00F94A52"/>
    <w:rsid w:val="00F94E78"/>
    <w:rsid w:val="00F9516B"/>
    <w:rsid w:val="00F9573F"/>
    <w:rsid w:val="00F95783"/>
    <w:rsid w:val="00F95E30"/>
    <w:rsid w:val="00F95FEC"/>
    <w:rsid w:val="00F961C2"/>
    <w:rsid w:val="00F966C6"/>
    <w:rsid w:val="00F96BDC"/>
    <w:rsid w:val="00F96E0D"/>
    <w:rsid w:val="00F97278"/>
    <w:rsid w:val="00F97856"/>
    <w:rsid w:val="00F97965"/>
    <w:rsid w:val="00F979EE"/>
    <w:rsid w:val="00F97C85"/>
    <w:rsid w:val="00F97E08"/>
    <w:rsid w:val="00F97EF8"/>
    <w:rsid w:val="00FA12D4"/>
    <w:rsid w:val="00FA140E"/>
    <w:rsid w:val="00FA1620"/>
    <w:rsid w:val="00FA180E"/>
    <w:rsid w:val="00FA1C87"/>
    <w:rsid w:val="00FA1DA3"/>
    <w:rsid w:val="00FA1FAC"/>
    <w:rsid w:val="00FA23AC"/>
    <w:rsid w:val="00FA2406"/>
    <w:rsid w:val="00FA2491"/>
    <w:rsid w:val="00FA2556"/>
    <w:rsid w:val="00FA2776"/>
    <w:rsid w:val="00FA2D46"/>
    <w:rsid w:val="00FA38E3"/>
    <w:rsid w:val="00FA3C39"/>
    <w:rsid w:val="00FA3CB3"/>
    <w:rsid w:val="00FA4494"/>
    <w:rsid w:val="00FA47F5"/>
    <w:rsid w:val="00FA4DA6"/>
    <w:rsid w:val="00FA524C"/>
    <w:rsid w:val="00FA5430"/>
    <w:rsid w:val="00FA550C"/>
    <w:rsid w:val="00FA57A5"/>
    <w:rsid w:val="00FA593A"/>
    <w:rsid w:val="00FA6501"/>
    <w:rsid w:val="00FA6585"/>
    <w:rsid w:val="00FA65EC"/>
    <w:rsid w:val="00FA66B2"/>
    <w:rsid w:val="00FA6884"/>
    <w:rsid w:val="00FA68F6"/>
    <w:rsid w:val="00FA6B79"/>
    <w:rsid w:val="00FA6C3C"/>
    <w:rsid w:val="00FA6EEE"/>
    <w:rsid w:val="00FA719C"/>
    <w:rsid w:val="00FA7308"/>
    <w:rsid w:val="00FA7552"/>
    <w:rsid w:val="00FA765A"/>
    <w:rsid w:val="00FA7BD2"/>
    <w:rsid w:val="00FA7CF1"/>
    <w:rsid w:val="00FB03C7"/>
    <w:rsid w:val="00FB0543"/>
    <w:rsid w:val="00FB0765"/>
    <w:rsid w:val="00FB07AF"/>
    <w:rsid w:val="00FB08B3"/>
    <w:rsid w:val="00FB0C72"/>
    <w:rsid w:val="00FB0D5E"/>
    <w:rsid w:val="00FB1760"/>
    <w:rsid w:val="00FB18FD"/>
    <w:rsid w:val="00FB198B"/>
    <w:rsid w:val="00FB25B6"/>
    <w:rsid w:val="00FB27CE"/>
    <w:rsid w:val="00FB2A7E"/>
    <w:rsid w:val="00FB2AD4"/>
    <w:rsid w:val="00FB2C82"/>
    <w:rsid w:val="00FB2C8E"/>
    <w:rsid w:val="00FB2EA2"/>
    <w:rsid w:val="00FB35B7"/>
    <w:rsid w:val="00FB3883"/>
    <w:rsid w:val="00FB3CA4"/>
    <w:rsid w:val="00FB3DF0"/>
    <w:rsid w:val="00FB411B"/>
    <w:rsid w:val="00FB43A0"/>
    <w:rsid w:val="00FB4691"/>
    <w:rsid w:val="00FB49D5"/>
    <w:rsid w:val="00FB4B87"/>
    <w:rsid w:val="00FB533E"/>
    <w:rsid w:val="00FB571B"/>
    <w:rsid w:val="00FB578C"/>
    <w:rsid w:val="00FB57B5"/>
    <w:rsid w:val="00FB62A9"/>
    <w:rsid w:val="00FB6581"/>
    <w:rsid w:val="00FB6840"/>
    <w:rsid w:val="00FB6B80"/>
    <w:rsid w:val="00FB6CB3"/>
    <w:rsid w:val="00FB7083"/>
    <w:rsid w:val="00FB72DF"/>
    <w:rsid w:val="00FB75F6"/>
    <w:rsid w:val="00FB7B0E"/>
    <w:rsid w:val="00FB7C23"/>
    <w:rsid w:val="00FB7C7C"/>
    <w:rsid w:val="00FC04D1"/>
    <w:rsid w:val="00FC05F6"/>
    <w:rsid w:val="00FC0977"/>
    <w:rsid w:val="00FC0ADC"/>
    <w:rsid w:val="00FC112B"/>
    <w:rsid w:val="00FC15FF"/>
    <w:rsid w:val="00FC1D8F"/>
    <w:rsid w:val="00FC2426"/>
    <w:rsid w:val="00FC27E4"/>
    <w:rsid w:val="00FC2C5A"/>
    <w:rsid w:val="00FC2D6C"/>
    <w:rsid w:val="00FC2E1B"/>
    <w:rsid w:val="00FC32AF"/>
    <w:rsid w:val="00FC4197"/>
    <w:rsid w:val="00FC4C5C"/>
    <w:rsid w:val="00FC4D3D"/>
    <w:rsid w:val="00FC528F"/>
    <w:rsid w:val="00FC55CD"/>
    <w:rsid w:val="00FC574E"/>
    <w:rsid w:val="00FC57EB"/>
    <w:rsid w:val="00FC5874"/>
    <w:rsid w:val="00FC58C8"/>
    <w:rsid w:val="00FC5B7C"/>
    <w:rsid w:val="00FC6046"/>
    <w:rsid w:val="00FC69F2"/>
    <w:rsid w:val="00FC6B18"/>
    <w:rsid w:val="00FC6F52"/>
    <w:rsid w:val="00FC6F66"/>
    <w:rsid w:val="00FC73CE"/>
    <w:rsid w:val="00FC78C1"/>
    <w:rsid w:val="00FC7A4A"/>
    <w:rsid w:val="00FC7E6A"/>
    <w:rsid w:val="00FC7FCD"/>
    <w:rsid w:val="00FD0178"/>
    <w:rsid w:val="00FD04BD"/>
    <w:rsid w:val="00FD0710"/>
    <w:rsid w:val="00FD0CAE"/>
    <w:rsid w:val="00FD1505"/>
    <w:rsid w:val="00FD15DC"/>
    <w:rsid w:val="00FD18C5"/>
    <w:rsid w:val="00FD1E0E"/>
    <w:rsid w:val="00FD2035"/>
    <w:rsid w:val="00FD2589"/>
    <w:rsid w:val="00FD2D11"/>
    <w:rsid w:val="00FD3201"/>
    <w:rsid w:val="00FD325B"/>
    <w:rsid w:val="00FD37F1"/>
    <w:rsid w:val="00FD3807"/>
    <w:rsid w:val="00FD3A37"/>
    <w:rsid w:val="00FD3F47"/>
    <w:rsid w:val="00FD4418"/>
    <w:rsid w:val="00FD4697"/>
    <w:rsid w:val="00FD4772"/>
    <w:rsid w:val="00FD4C57"/>
    <w:rsid w:val="00FD4FDC"/>
    <w:rsid w:val="00FD53EF"/>
    <w:rsid w:val="00FD55F2"/>
    <w:rsid w:val="00FD56E7"/>
    <w:rsid w:val="00FD5814"/>
    <w:rsid w:val="00FD5B7A"/>
    <w:rsid w:val="00FD5D6E"/>
    <w:rsid w:val="00FD5FB0"/>
    <w:rsid w:val="00FD608A"/>
    <w:rsid w:val="00FD61D4"/>
    <w:rsid w:val="00FD666C"/>
    <w:rsid w:val="00FD6838"/>
    <w:rsid w:val="00FD73CF"/>
    <w:rsid w:val="00FD748A"/>
    <w:rsid w:val="00FD76B6"/>
    <w:rsid w:val="00FD7812"/>
    <w:rsid w:val="00FD79C7"/>
    <w:rsid w:val="00FD7A54"/>
    <w:rsid w:val="00FD7B4A"/>
    <w:rsid w:val="00FD7BF6"/>
    <w:rsid w:val="00FD7EBA"/>
    <w:rsid w:val="00FE014D"/>
    <w:rsid w:val="00FE0162"/>
    <w:rsid w:val="00FE05C7"/>
    <w:rsid w:val="00FE07AE"/>
    <w:rsid w:val="00FE0D20"/>
    <w:rsid w:val="00FE0DD6"/>
    <w:rsid w:val="00FE112E"/>
    <w:rsid w:val="00FE1154"/>
    <w:rsid w:val="00FE1414"/>
    <w:rsid w:val="00FE1813"/>
    <w:rsid w:val="00FE1B9F"/>
    <w:rsid w:val="00FE1F12"/>
    <w:rsid w:val="00FE239E"/>
    <w:rsid w:val="00FE255B"/>
    <w:rsid w:val="00FE25A3"/>
    <w:rsid w:val="00FE25AC"/>
    <w:rsid w:val="00FE280B"/>
    <w:rsid w:val="00FE2855"/>
    <w:rsid w:val="00FE310D"/>
    <w:rsid w:val="00FE35C7"/>
    <w:rsid w:val="00FE3C8D"/>
    <w:rsid w:val="00FE3DB2"/>
    <w:rsid w:val="00FE3F27"/>
    <w:rsid w:val="00FE4219"/>
    <w:rsid w:val="00FE45BB"/>
    <w:rsid w:val="00FE52CD"/>
    <w:rsid w:val="00FE54E8"/>
    <w:rsid w:val="00FE56A6"/>
    <w:rsid w:val="00FE57D3"/>
    <w:rsid w:val="00FE593E"/>
    <w:rsid w:val="00FE5B0A"/>
    <w:rsid w:val="00FE5C73"/>
    <w:rsid w:val="00FE5E21"/>
    <w:rsid w:val="00FE6B48"/>
    <w:rsid w:val="00FE6E6C"/>
    <w:rsid w:val="00FE71F0"/>
    <w:rsid w:val="00FE7B1C"/>
    <w:rsid w:val="00FF0AF6"/>
    <w:rsid w:val="00FF0B5F"/>
    <w:rsid w:val="00FF0C27"/>
    <w:rsid w:val="00FF11D7"/>
    <w:rsid w:val="00FF1354"/>
    <w:rsid w:val="00FF1910"/>
    <w:rsid w:val="00FF196E"/>
    <w:rsid w:val="00FF1FA2"/>
    <w:rsid w:val="00FF29F5"/>
    <w:rsid w:val="00FF2B53"/>
    <w:rsid w:val="00FF3CA8"/>
    <w:rsid w:val="00FF3CDE"/>
    <w:rsid w:val="00FF3D85"/>
    <w:rsid w:val="00FF3ECF"/>
    <w:rsid w:val="00FF3EF7"/>
    <w:rsid w:val="00FF4213"/>
    <w:rsid w:val="00FF4878"/>
    <w:rsid w:val="00FF4C0D"/>
    <w:rsid w:val="00FF4C77"/>
    <w:rsid w:val="00FF4D12"/>
    <w:rsid w:val="00FF511B"/>
    <w:rsid w:val="00FF5212"/>
    <w:rsid w:val="00FF5227"/>
    <w:rsid w:val="00FF5270"/>
    <w:rsid w:val="00FF59CF"/>
    <w:rsid w:val="00FF5CE2"/>
    <w:rsid w:val="00FF68AB"/>
    <w:rsid w:val="00FF68BA"/>
    <w:rsid w:val="00FF69CF"/>
    <w:rsid w:val="00FF6BAE"/>
    <w:rsid w:val="00FF6BD4"/>
    <w:rsid w:val="00FF6E51"/>
    <w:rsid w:val="00FF7252"/>
    <w:rsid w:val="00FF72A8"/>
    <w:rsid w:val="00FF76FF"/>
    <w:rsid w:val="00FF7732"/>
    <w:rsid w:val="00FF77B4"/>
    <w:rsid w:val="00FF7F54"/>
    <w:rsid w:val="01039241"/>
    <w:rsid w:val="010DC236"/>
    <w:rsid w:val="01187980"/>
    <w:rsid w:val="012BB922"/>
    <w:rsid w:val="013B884A"/>
    <w:rsid w:val="014EFA29"/>
    <w:rsid w:val="0151A6D9"/>
    <w:rsid w:val="0171092B"/>
    <w:rsid w:val="01722827"/>
    <w:rsid w:val="017FDC0C"/>
    <w:rsid w:val="0186AD69"/>
    <w:rsid w:val="01A7F107"/>
    <w:rsid w:val="01C9703C"/>
    <w:rsid w:val="01DDDFA5"/>
    <w:rsid w:val="01ECF398"/>
    <w:rsid w:val="01EFDFB3"/>
    <w:rsid w:val="0208BF7D"/>
    <w:rsid w:val="0257F6AE"/>
    <w:rsid w:val="02803689"/>
    <w:rsid w:val="0286AC7C"/>
    <w:rsid w:val="0288A297"/>
    <w:rsid w:val="0299378D"/>
    <w:rsid w:val="02D3B567"/>
    <w:rsid w:val="02F6CC87"/>
    <w:rsid w:val="02FC820B"/>
    <w:rsid w:val="030164BE"/>
    <w:rsid w:val="030E1E44"/>
    <w:rsid w:val="03379E42"/>
    <w:rsid w:val="034248D7"/>
    <w:rsid w:val="0352A066"/>
    <w:rsid w:val="03660914"/>
    <w:rsid w:val="0369C7B5"/>
    <w:rsid w:val="036F225B"/>
    <w:rsid w:val="037B9248"/>
    <w:rsid w:val="039DA5C8"/>
    <w:rsid w:val="03C1A841"/>
    <w:rsid w:val="03C6F585"/>
    <w:rsid w:val="03CA9114"/>
    <w:rsid w:val="03D7F831"/>
    <w:rsid w:val="0430FC4E"/>
    <w:rsid w:val="043CA9FB"/>
    <w:rsid w:val="0453ED26"/>
    <w:rsid w:val="0457E6D1"/>
    <w:rsid w:val="045C117A"/>
    <w:rsid w:val="046E8731"/>
    <w:rsid w:val="04B8F692"/>
    <w:rsid w:val="04E92FA5"/>
    <w:rsid w:val="04E9B33E"/>
    <w:rsid w:val="05036703"/>
    <w:rsid w:val="0518DBF6"/>
    <w:rsid w:val="05190255"/>
    <w:rsid w:val="05248ADA"/>
    <w:rsid w:val="0528FD80"/>
    <w:rsid w:val="052EAB7D"/>
    <w:rsid w:val="0533C3AA"/>
    <w:rsid w:val="053C7DD7"/>
    <w:rsid w:val="055343A1"/>
    <w:rsid w:val="05579E2C"/>
    <w:rsid w:val="0558A7E5"/>
    <w:rsid w:val="0571C989"/>
    <w:rsid w:val="0572B86A"/>
    <w:rsid w:val="0574A451"/>
    <w:rsid w:val="059A903D"/>
    <w:rsid w:val="05DC0841"/>
    <w:rsid w:val="05DC9BBE"/>
    <w:rsid w:val="05DEB4C4"/>
    <w:rsid w:val="05E74AB7"/>
    <w:rsid w:val="05F2463C"/>
    <w:rsid w:val="05F5BECE"/>
    <w:rsid w:val="05FD241E"/>
    <w:rsid w:val="06017A3B"/>
    <w:rsid w:val="061C6008"/>
    <w:rsid w:val="0620E897"/>
    <w:rsid w:val="06458684"/>
    <w:rsid w:val="0645E3CA"/>
    <w:rsid w:val="0651AD05"/>
    <w:rsid w:val="06621E3F"/>
    <w:rsid w:val="0663D17A"/>
    <w:rsid w:val="06A1CE50"/>
    <w:rsid w:val="06BB6474"/>
    <w:rsid w:val="06BC5E93"/>
    <w:rsid w:val="06C190AD"/>
    <w:rsid w:val="06C2F22C"/>
    <w:rsid w:val="06C45AB6"/>
    <w:rsid w:val="06F49983"/>
    <w:rsid w:val="0716745F"/>
    <w:rsid w:val="071B80FB"/>
    <w:rsid w:val="07990E2F"/>
    <w:rsid w:val="07A5EE55"/>
    <w:rsid w:val="07C8FE96"/>
    <w:rsid w:val="07CDC57B"/>
    <w:rsid w:val="07CF24E6"/>
    <w:rsid w:val="07D7E3CA"/>
    <w:rsid w:val="07E74397"/>
    <w:rsid w:val="07F6FABD"/>
    <w:rsid w:val="082E5440"/>
    <w:rsid w:val="0839D7DD"/>
    <w:rsid w:val="085D2871"/>
    <w:rsid w:val="0860F20C"/>
    <w:rsid w:val="0888A616"/>
    <w:rsid w:val="089C274C"/>
    <w:rsid w:val="08A0D6D3"/>
    <w:rsid w:val="08AF2058"/>
    <w:rsid w:val="08B7BC13"/>
    <w:rsid w:val="08D0B539"/>
    <w:rsid w:val="08F31EB0"/>
    <w:rsid w:val="0909C629"/>
    <w:rsid w:val="091A3265"/>
    <w:rsid w:val="091F9B8F"/>
    <w:rsid w:val="092BAE08"/>
    <w:rsid w:val="0952896E"/>
    <w:rsid w:val="09683590"/>
    <w:rsid w:val="0970D6B5"/>
    <w:rsid w:val="09828B5E"/>
    <w:rsid w:val="0986301C"/>
    <w:rsid w:val="098F8A70"/>
    <w:rsid w:val="0993BB86"/>
    <w:rsid w:val="0993F2BD"/>
    <w:rsid w:val="099EFCCB"/>
    <w:rsid w:val="09ABAC51"/>
    <w:rsid w:val="09B08936"/>
    <w:rsid w:val="09CAD569"/>
    <w:rsid w:val="09D51177"/>
    <w:rsid w:val="09E098E4"/>
    <w:rsid w:val="09ED3A10"/>
    <w:rsid w:val="0A08E43A"/>
    <w:rsid w:val="0A0E4105"/>
    <w:rsid w:val="0A1128BA"/>
    <w:rsid w:val="0A18A800"/>
    <w:rsid w:val="0A2457B8"/>
    <w:rsid w:val="0A43624D"/>
    <w:rsid w:val="0A448169"/>
    <w:rsid w:val="0A51574D"/>
    <w:rsid w:val="0A53D542"/>
    <w:rsid w:val="0A6A07F0"/>
    <w:rsid w:val="0A802F76"/>
    <w:rsid w:val="0A820CEF"/>
    <w:rsid w:val="0A85FFE4"/>
    <w:rsid w:val="0AB1CBBA"/>
    <w:rsid w:val="0ABBB773"/>
    <w:rsid w:val="0ADA25F2"/>
    <w:rsid w:val="0AE4F3F7"/>
    <w:rsid w:val="0AF3BEA2"/>
    <w:rsid w:val="0AFEBFE5"/>
    <w:rsid w:val="0B30288C"/>
    <w:rsid w:val="0B54E9BE"/>
    <w:rsid w:val="0B5B00B7"/>
    <w:rsid w:val="0B854D6E"/>
    <w:rsid w:val="0B8D26F5"/>
    <w:rsid w:val="0BAE1CF3"/>
    <w:rsid w:val="0BB7C8A4"/>
    <w:rsid w:val="0BC9BAAA"/>
    <w:rsid w:val="0BE1F372"/>
    <w:rsid w:val="0BE5B6DA"/>
    <w:rsid w:val="0BF6E459"/>
    <w:rsid w:val="0C25013B"/>
    <w:rsid w:val="0C288E53"/>
    <w:rsid w:val="0C3B4E14"/>
    <w:rsid w:val="0C832D76"/>
    <w:rsid w:val="0C859A0D"/>
    <w:rsid w:val="0C86050E"/>
    <w:rsid w:val="0C9F4AE0"/>
    <w:rsid w:val="0CADF6DB"/>
    <w:rsid w:val="0CBB41AF"/>
    <w:rsid w:val="0CC5ECC6"/>
    <w:rsid w:val="0CE18EC9"/>
    <w:rsid w:val="0CE7A915"/>
    <w:rsid w:val="0D0FA2EB"/>
    <w:rsid w:val="0D0FC6CC"/>
    <w:rsid w:val="0D24C060"/>
    <w:rsid w:val="0D44A3C8"/>
    <w:rsid w:val="0D5E8AC0"/>
    <w:rsid w:val="0D6B1634"/>
    <w:rsid w:val="0DA72E31"/>
    <w:rsid w:val="0DADA30B"/>
    <w:rsid w:val="0DD6E567"/>
    <w:rsid w:val="0DD75860"/>
    <w:rsid w:val="0DDC121C"/>
    <w:rsid w:val="0DE61E81"/>
    <w:rsid w:val="0DE674C8"/>
    <w:rsid w:val="0DEDCB44"/>
    <w:rsid w:val="0E02646C"/>
    <w:rsid w:val="0E295F90"/>
    <w:rsid w:val="0E2C2C68"/>
    <w:rsid w:val="0EAB7E9A"/>
    <w:rsid w:val="0EB4AAC5"/>
    <w:rsid w:val="0EB702DA"/>
    <w:rsid w:val="0EE9E75E"/>
    <w:rsid w:val="0F412E17"/>
    <w:rsid w:val="0F5D76DD"/>
    <w:rsid w:val="0F6DDD3A"/>
    <w:rsid w:val="0F7605D0"/>
    <w:rsid w:val="0F789717"/>
    <w:rsid w:val="0FA0F7A9"/>
    <w:rsid w:val="0FAE0BAA"/>
    <w:rsid w:val="0FAFF869"/>
    <w:rsid w:val="0FB25A95"/>
    <w:rsid w:val="0FBF12FE"/>
    <w:rsid w:val="0FBF4D79"/>
    <w:rsid w:val="0FC5BE6F"/>
    <w:rsid w:val="0FD28247"/>
    <w:rsid w:val="0FE35697"/>
    <w:rsid w:val="0FF30ECF"/>
    <w:rsid w:val="0FF44CFB"/>
    <w:rsid w:val="0FFBE71A"/>
    <w:rsid w:val="10084D88"/>
    <w:rsid w:val="100B2F37"/>
    <w:rsid w:val="10200F69"/>
    <w:rsid w:val="1038B01C"/>
    <w:rsid w:val="10616390"/>
    <w:rsid w:val="10712A1A"/>
    <w:rsid w:val="107A1A64"/>
    <w:rsid w:val="108440C9"/>
    <w:rsid w:val="10AC7DAC"/>
    <w:rsid w:val="10BDDA56"/>
    <w:rsid w:val="10C9FBD5"/>
    <w:rsid w:val="10F07B63"/>
    <w:rsid w:val="110BEAC9"/>
    <w:rsid w:val="1128EAC3"/>
    <w:rsid w:val="113EDE7D"/>
    <w:rsid w:val="11561E5D"/>
    <w:rsid w:val="11593DB3"/>
    <w:rsid w:val="115A1F6F"/>
    <w:rsid w:val="115D7B9C"/>
    <w:rsid w:val="115EE7EA"/>
    <w:rsid w:val="1162063B"/>
    <w:rsid w:val="1170FA18"/>
    <w:rsid w:val="11819E48"/>
    <w:rsid w:val="118201BD"/>
    <w:rsid w:val="11A5C642"/>
    <w:rsid w:val="11AC1B14"/>
    <w:rsid w:val="11C8B164"/>
    <w:rsid w:val="11E24B06"/>
    <w:rsid w:val="11EE9711"/>
    <w:rsid w:val="11FD3EE0"/>
    <w:rsid w:val="1216333D"/>
    <w:rsid w:val="121CA403"/>
    <w:rsid w:val="129E3DF5"/>
    <w:rsid w:val="129F11D7"/>
    <w:rsid w:val="12A217F4"/>
    <w:rsid w:val="12A43CDC"/>
    <w:rsid w:val="12A50C0D"/>
    <w:rsid w:val="12BF5237"/>
    <w:rsid w:val="12C822FD"/>
    <w:rsid w:val="12E839D4"/>
    <w:rsid w:val="12EA293F"/>
    <w:rsid w:val="12F653D6"/>
    <w:rsid w:val="12FC780A"/>
    <w:rsid w:val="1316799B"/>
    <w:rsid w:val="13231AD6"/>
    <w:rsid w:val="132911E9"/>
    <w:rsid w:val="133B5C07"/>
    <w:rsid w:val="134C2379"/>
    <w:rsid w:val="135FE68A"/>
    <w:rsid w:val="13699314"/>
    <w:rsid w:val="136F0E91"/>
    <w:rsid w:val="138D048B"/>
    <w:rsid w:val="1392AFDC"/>
    <w:rsid w:val="1397DFA4"/>
    <w:rsid w:val="13A4B0DD"/>
    <w:rsid w:val="13BD2219"/>
    <w:rsid w:val="13E2EFF1"/>
    <w:rsid w:val="141BAC54"/>
    <w:rsid w:val="142F3CCC"/>
    <w:rsid w:val="1448FC19"/>
    <w:rsid w:val="14598C34"/>
    <w:rsid w:val="1477C276"/>
    <w:rsid w:val="147B8B84"/>
    <w:rsid w:val="147DF505"/>
    <w:rsid w:val="14854148"/>
    <w:rsid w:val="149849DC"/>
    <w:rsid w:val="14B7E219"/>
    <w:rsid w:val="14D44FA6"/>
    <w:rsid w:val="14E0E8D7"/>
    <w:rsid w:val="15155426"/>
    <w:rsid w:val="151D3E4B"/>
    <w:rsid w:val="153AA5D3"/>
    <w:rsid w:val="1547C1D7"/>
    <w:rsid w:val="156BC08C"/>
    <w:rsid w:val="158150E9"/>
    <w:rsid w:val="1599A9DC"/>
    <w:rsid w:val="159D4BF3"/>
    <w:rsid w:val="15BF3DE5"/>
    <w:rsid w:val="15CB9106"/>
    <w:rsid w:val="15F16CB1"/>
    <w:rsid w:val="15F23E4F"/>
    <w:rsid w:val="16101005"/>
    <w:rsid w:val="1632F02E"/>
    <w:rsid w:val="163B34D9"/>
    <w:rsid w:val="164A95BE"/>
    <w:rsid w:val="16599B01"/>
    <w:rsid w:val="165E6105"/>
    <w:rsid w:val="16668A19"/>
    <w:rsid w:val="1697A804"/>
    <w:rsid w:val="169C3584"/>
    <w:rsid w:val="16A6807E"/>
    <w:rsid w:val="16C8F68A"/>
    <w:rsid w:val="16D0C63B"/>
    <w:rsid w:val="1708099F"/>
    <w:rsid w:val="171A4A04"/>
    <w:rsid w:val="1767A81A"/>
    <w:rsid w:val="176823DC"/>
    <w:rsid w:val="1770E20D"/>
    <w:rsid w:val="1779AAAE"/>
    <w:rsid w:val="1780E1AB"/>
    <w:rsid w:val="179DFF42"/>
    <w:rsid w:val="17A89E36"/>
    <w:rsid w:val="17BFD53E"/>
    <w:rsid w:val="17CE6A01"/>
    <w:rsid w:val="17D80697"/>
    <w:rsid w:val="17E0EC94"/>
    <w:rsid w:val="17E3B5AD"/>
    <w:rsid w:val="17FD9563"/>
    <w:rsid w:val="180BA2AB"/>
    <w:rsid w:val="183B0FC8"/>
    <w:rsid w:val="18479E92"/>
    <w:rsid w:val="18645C11"/>
    <w:rsid w:val="18727FDE"/>
    <w:rsid w:val="187BB874"/>
    <w:rsid w:val="1897550C"/>
    <w:rsid w:val="18AA9660"/>
    <w:rsid w:val="18C5B358"/>
    <w:rsid w:val="18F23099"/>
    <w:rsid w:val="191E0D55"/>
    <w:rsid w:val="193232B6"/>
    <w:rsid w:val="19485EE1"/>
    <w:rsid w:val="194AEBDC"/>
    <w:rsid w:val="194CE2DC"/>
    <w:rsid w:val="194CEB84"/>
    <w:rsid w:val="194E5D05"/>
    <w:rsid w:val="196BDD62"/>
    <w:rsid w:val="19DE8651"/>
    <w:rsid w:val="19E503EE"/>
    <w:rsid w:val="19EE482D"/>
    <w:rsid w:val="1A04EDDC"/>
    <w:rsid w:val="1A06DAAA"/>
    <w:rsid w:val="1A187C5B"/>
    <w:rsid w:val="1A2D1B57"/>
    <w:rsid w:val="1A50EC22"/>
    <w:rsid w:val="1A5D59CA"/>
    <w:rsid w:val="1A75681A"/>
    <w:rsid w:val="1A95A5C7"/>
    <w:rsid w:val="1AAB8E2F"/>
    <w:rsid w:val="1AD2792F"/>
    <w:rsid w:val="1AD68853"/>
    <w:rsid w:val="1ADF9E96"/>
    <w:rsid w:val="1AF54DF0"/>
    <w:rsid w:val="1AF86C84"/>
    <w:rsid w:val="1B0A6801"/>
    <w:rsid w:val="1B51FE3C"/>
    <w:rsid w:val="1B59EBA7"/>
    <w:rsid w:val="1B5D3BD0"/>
    <w:rsid w:val="1B622805"/>
    <w:rsid w:val="1B73952F"/>
    <w:rsid w:val="1B9C4249"/>
    <w:rsid w:val="1B9F0A54"/>
    <w:rsid w:val="1BA46A93"/>
    <w:rsid w:val="1BA748B5"/>
    <w:rsid w:val="1BB1DDCB"/>
    <w:rsid w:val="1BBBB205"/>
    <w:rsid w:val="1BBCE7B3"/>
    <w:rsid w:val="1BCA5D0F"/>
    <w:rsid w:val="1BCA7FDA"/>
    <w:rsid w:val="1BD9E590"/>
    <w:rsid w:val="1BE2FA51"/>
    <w:rsid w:val="1BEE9852"/>
    <w:rsid w:val="1BF8A1B0"/>
    <w:rsid w:val="1BFDD054"/>
    <w:rsid w:val="1BFEA8D3"/>
    <w:rsid w:val="1C045C49"/>
    <w:rsid w:val="1C10CBFC"/>
    <w:rsid w:val="1C13B593"/>
    <w:rsid w:val="1C18A885"/>
    <w:rsid w:val="1C44C4D0"/>
    <w:rsid w:val="1C4A6647"/>
    <w:rsid w:val="1C4B7C82"/>
    <w:rsid w:val="1C6C0DA3"/>
    <w:rsid w:val="1C9C9CDB"/>
    <w:rsid w:val="1C9F34E6"/>
    <w:rsid w:val="1CCDA4BC"/>
    <w:rsid w:val="1CCE0797"/>
    <w:rsid w:val="1CDD0823"/>
    <w:rsid w:val="1D03A703"/>
    <w:rsid w:val="1D2C6495"/>
    <w:rsid w:val="1D322736"/>
    <w:rsid w:val="1D4BABA9"/>
    <w:rsid w:val="1D4C364E"/>
    <w:rsid w:val="1D54D599"/>
    <w:rsid w:val="1D83C066"/>
    <w:rsid w:val="1D8F0FBF"/>
    <w:rsid w:val="1D922AE3"/>
    <w:rsid w:val="1D9E9589"/>
    <w:rsid w:val="1DB716CF"/>
    <w:rsid w:val="1DDDDCAC"/>
    <w:rsid w:val="1DF2412F"/>
    <w:rsid w:val="1E0B0081"/>
    <w:rsid w:val="1E2F49DC"/>
    <w:rsid w:val="1E46DE9E"/>
    <w:rsid w:val="1E4EAABC"/>
    <w:rsid w:val="1E514D87"/>
    <w:rsid w:val="1E5D0AF0"/>
    <w:rsid w:val="1E5F93E1"/>
    <w:rsid w:val="1E7835EF"/>
    <w:rsid w:val="1E95C15F"/>
    <w:rsid w:val="1ED4FA0D"/>
    <w:rsid w:val="1F05FCC7"/>
    <w:rsid w:val="1F6E928A"/>
    <w:rsid w:val="1F8149EE"/>
    <w:rsid w:val="1FB13382"/>
    <w:rsid w:val="1FD34069"/>
    <w:rsid w:val="1FD7ADCA"/>
    <w:rsid w:val="1FEEB25B"/>
    <w:rsid w:val="1FF713B8"/>
    <w:rsid w:val="2007ADBE"/>
    <w:rsid w:val="2008BA2A"/>
    <w:rsid w:val="20092929"/>
    <w:rsid w:val="2024844D"/>
    <w:rsid w:val="2041DFE3"/>
    <w:rsid w:val="20465B54"/>
    <w:rsid w:val="2050F49E"/>
    <w:rsid w:val="206A8921"/>
    <w:rsid w:val="20849042"/>
    <w:rsid w:val="2098CDA1"/>
    <w:rsid w:val="20C6B80B"/>
    <w:rsid w:val="20D454D3"/>
    <w:rsid w:val="20D636CD"/>
    <w:rsid w:val="20D9C89F"/>
    <w:rsid w:val="21047D18"/>
    <w:rsid w:val="21079ABA"/>
    <w:rsid w:val="211A6D67"/>
    <w:rsid w:val="2128B10E"/>
    <w:rsid w:val="21367BD3"/>
    <w:rsid w:val="21A1C32F"/>
    <w:rsid w:val="21A99D2D"/>
    <w:rsid w:val="21DFBE93"/>
    <w:rsid w:val="21E9BCD5"/>
    <w:rsid w:val="21EC5BEE"/>
    <w:rsid w:val="2214A556"/>
    <w:rsid w:val="221E9851"/>
    <w:rsid w:val="22269ED8"/>
    <w:rsid w:val="22321F7B"/>
    <w:rsid w:val="2236F698"/>
    <w:rsid w:val="22489419"/>
    <w:rsid w:val="225C4A3E"/>
    <w:rsid w:val="227ADFC6"/>
    <w:rsid w:val="229A1D92"/>
    <w:rsid w:val="229DAE74"/>
    <w:rsid w:val="22B9A245"/>
    <w:rsid w:val="22BD9BE2"/>
    <w:rsid w:val="22C10A60"/>
    <w:rsid w:val="22E3774A"/>
    <w:rsid w:val="22E7299C"/>
    <w:rsid w:val="2312548A"/>
    <w:rsid w:val="23531C66"/>
    <w:rsid w:val="2361D70B"/>
    <w:rsid w:val="237BBB20"/>
    <w:rsid w:val="23890F96"/>
    <w:rsid w:val="23AC637E"/>
    <w:rsid w:val="23C23DEB"/>
    <w:rsid w:val="23D0DF35"/>
    <w:rsid w:val="23F718DF"/>
    <w:rsid w:val="2410F580"/>
    <w:rsid w:val="241C18F4"/>
    <w:rsid w:val="24472680"/>
    <w:rsid w:val="2463CC4A"/>
    <w:rsid w:val="246DC2CC"/>
    <w:rsid w:val="24786A49"/>
    <w:rsid w:val="2485924D"/>
    <w:rsid w:val="24B39D52"/>
    <w:rsid w:val="24CAC9D7"/>
    <w:rsid w:val="24D50EE2"/>
    <w:rsid w:val="24D6A199"/>
    <w:rsid w:val="24DE554F"/>
    <w:rsid w:val="24DFADE0"/>
    <w:rsid w:val="24ECFABF"/>
    <w:rsid w:val="24F2FD1D"/>
    <w:rsid w:val="24F9ACC9"/>
    <w:rsid w:val="252477D5"/>
    <w:rsid w:val="25386189"/>
    <w:rsid w:val="25404C85"/>
    <w:rsid w:val="255FE3FB"/>
    <w:rsid w:val="25658338"/>
    <w:rsid w:val="25681537"/>
    <w:rsid w:val="2575342A"/>
    <w:rsid w:val="257A9656"/>
    <w:rsid w:val="257FA0FE"/>
    <w:rsid w:val="25892C12"/>
    <w:rsid w:val="258C0480"/>
    <w:rsid w:val="25B29ECF"/>
    <w:rsid w:val="25D48B20"/>
    <w:rsid w:val="25D5FF1F"/>
    <w:rsid w:val="25E8DCB7"/>
    <w:rsid w:val="25EE8CC7"/>
    <w:rsid w:val="260D97BA"/>
    <w:rsid w:val="260DD975"/>
    <w:rsid w:val="2615968E"/>
    <w:rsid w:val="261DE77D"/>
    <w:rsid w:val="262D645E"/>
    <w:rsid w:val="262F2888"/>
    <w:rsid w:val="263D7335"/>
    <w:rsid w:val="2643B9B8"/>
    <w:rsid w:val="264551FC"/>
    <w:rsid w:val="268887CF"/>
    <w:rsid w:val="2694B4E8"/>
    <w:rsid w:val="2696EDE3"/>
    <w:rsid w:val="269C626C"/>
    <w:rsid w:val="269CBB55"/>
    <w:rsid w:val="26BA6E78"/>
    <w:rsid w:val="26D7C7FB"/>
    <w:rsid w:val="273B9C99"/>
    <w:rsid w:val="277259B6"/>
    <w:rsid w:val="27876826"/>
    <w:rsid w:val="27954A9F"/>
    <w:rsid w:val="27B7BC31"/>
    <w:rsid w:val="27B8C328"/>
    <w:rsid w:val="27BB91D0"/>
    <w:rsid w:val="27D31A7C"/>
    <w:rsid w:val="27D66AC2"/>
    <w:rsid w:val="27EAF22D"/>
    <w:rsid w:val="280E0583"/>
    <w:rsid w:val="28197FB5"/>
    <w:rsid w:val="2823F257"/>
    <w:rsid w:val="28241EEB"/>
    <w:rsid w:val="283BEA97"/>
    <w:rsid w:val="284C43B3"/>
    <w:rsid w:val="286D8E1C"/>
    <w:rsid w:val="2880060F"/>
    <w:rsid w:val="289F4516"/>
    <w:rsid w:val="28A44A57"/>
    <w:rsid w:val="28C03C35"/>
    <w:rsid w:val="28D1C8BF"/>
    <w:rsid w:val="28D223B4"/>
    <w:rsid w:val="28E29F0D"/>
    <w:rsid w:val="28E463BD"/>
    <w:rsid w:val="28FB9172"/>
    <w:rsid w:val="29040E0D"/>
    <w:rsid w:val="292307E9"/>
    <w:rsid w:val="295665DB"/>
    <w:rsid w:val="29606B85"/>
    <w:rsid w:val="2965A8F7"/>
    <w:rsid w:val="296635FA"/>
    <w:rsid w:val="29884988"/>
    <w:rsid w:val="29A58D42"/>
    <w:rsid w:val="29AC3CC7"/>
    <w:rsid w:val="29B4DB07"/>
    <w:rsid w:val="29C07FB2"/>
    <w:rsid w:val="29C6C7AB"/>
    <w:rsid w:val="29E0F219"/>
    <w:rsid w:val="29F4F096"/>
    <w:rsid w:val="2A062E50"/>
    <w:rsid w:val="2A107635"/>
    <w:rsid w:val="2A16AEED"/>
    <w:rsid w:val="2A192CB4"/>
    <w:rsid w:val="2A2002F9"/>
    <w:rsid w:val="2A23A972"/>
    <w:rsid w:val="2A4B7668"/>
    <w:rsid w:val="2A5BB0BA"/>
    <w:rsid w:val="2A60AB3C"/>
    <w:rsid w:val="2A6F28F6"/>
    <w:rsid w:val="2A6F3C42"/>
    <w:rsid w:val="2A89DD30"/>
    <w:rsid w:val="2AC34E32"/>
    <w:rsid w:val="2AE50152"/>
    <w:rsid w:val="2B3E1A41"/>
    <w:rsid w:val="2B4900B3"/>
    <w:rsid w:val="2B4A63F7"/>
    <w:rsid w:val="2B50F96C"/>
    <w:rsid w:val="2B733F32"/>
    <w:rsid w:val="2B8C810F"/>
    <w:rsid w:val="2B999FDB"/>
    <w:rsid w:val="2BC1AE38"/>
    <w:rsid w:val="2BCCD3C2"/>
    <w:rsid w:val="2BE305F2"/>
    <w:rsid w:val="2BED57CC"/>
    <w:rsid w:val="2BFCF21D"/>
    <w:rsid w:val="2C4714C3"/>
    <w:rsid w:val="2C498E22"/>
    <w:rsid w:val="2C505847"/>
    <w:rsid w:val="2C6D45CB"/>
    <w:rsid w:val="2C6DA49F"/>
    <w:rsid w:val="2C86C3FD"/>
    <w:rsid w:val="2CD1D15A"/>
    <w:rsid w:val="2CD21680"/>
    <w:rsid w:val="2D077D8F"/>
    <w:rsid w:val="2D1B5A8E"/>
    <w:rsid w:val="2D2C081E"/>
    <w:rsid w:val="2D2ED5C9"/>
    <w:rsid w:val="2D4B3E67"/>
    <w:rsid w:val="2D795F87"/>
    <w:rsid w:val="2D7AA0E1"/>
    <w:rsid w:val="2D8DC8FB"/>
    <w:rsid w:val="2D9389CA"/>
    <w:rsid w:val="2DA4902B"/>
    <w:rsid w:val="2DA9CBBB"/>
    <w:rsid w:val="2DB6D11A"/>
    <w:rsid w:val="2DBC8BDB"/>
    <w:rsid w:val="2DC16400"/>
    <w:rsid w:val="2DC63A50"/>
    <w:rsid w:val="2DCA907D"/>
    <w:rsid w:val="2E5BDD0F"/>
    <w:rsid w:val="2EA4B810"/>
    <w:rsid w:val="2EA9D435"/>
    <w:rsid w:val="2EB79A45"/>
    <w:rsid w:val="2EBB591F"/>
    <w:rsid w:val="2EBC4066"/>
    <w:rsid w:val="2EBFD4FB"/>
    <w:rsid w:val="2EE724E3"/>
    <w:rsid w:val="2EF53AF6"/>
    <w:rsid w:val="2EFAA193"/>
    <w:rsid w:val="2F111BEB"/>
    <w:rsid w:val="2F17B392"/>
    <w:rsid w:val="2F19FD06"/>
    <w:rsid w:val="2F1CE98E"/>
    <w:rsid w:val="2F286376"/>
    <w:rsid w:val="2F2BFD48"/>
    <w:rsid w:val="2F3500D8"/>
    <w:rsid w:val="2F3A5889"/>
    <w:rsid w:val="2F733D15"/>
    <w:rsid w:val="2F8516FA"/>
    <w:rsid w:val="2FA54975"/>
    <w:rsid w:val="2FABEBB1"/>
    <w:rsid w:val="2FBBCFEA"/>
    <w:rsid w:val="2FD9EE76"/>
    <w:rsid w:val="2FDB3DFB"/>
    <w:rsid w:val="3003C96D"/>
    <w:rsid w:val="3028F36A"/>
    <w:rsid w:val="30453C29"/>
    <w:rsid w:val="30A21636"/>
    <w:rsid w:val="30A59E7F"/>
    <w:rsid w:val="30E6F0BC"/>
    <w:rsid w:val="3112023C"/>
    <w:rsid w:val="31407047"/>
    <w:rsid w:val="3183118B"/>
    <w:rsid w:val="318C9897"/>
    <w:rsid w:val="31A68C16"/>
    <w:rsid w:val="31D976E5"/>
    <w:rsid w:val="31F212F2"/>
    <w:rsid w:val="31F82B47"/>
    <w:rsid w:val="3200B394"/>
    <w:rsid w:val="3246E21B"/>
    <w:rsid w:val="3264F911"/>
    <w:rsid w:val="32652D5A"/>
    <w:rsid w:val="3279B5BB"/>
    <w:rsid w:val="3296D931"/>
    <w:rsid w:val="329F3F11"/>
    <w:rsid w:val="32DD3977"/>
    <w:rsid w:val="32E59601"/>
    <w:rsid w:val="32EA6A7C"/>
    <w:rsid w:val="32ECE0A1"/>
    <w:rsid w:val="32FBC643"/>
    <w:rsid w:val="33125A99"/>
    <w:rsid w:val="3342B71D"/>
    <w:rsid w:val="3359E178"/>
    <w:rsid w:val="336F8E73"/>
    <w:rsid w:val="33CB6A11"/>
    <w:rsid w:val="33CE3CA8"/>
    <w:rsid w:val="33D0AEBF"/>
    <w:rsid w:val="33E05B8A"/>
    <w:rsid w:val="34225A9F"/>
    <w:rsid w:val="3423F8B3"/>
    <w:rsid w:val="3442DC0B"/>
    <w:rsid w:val="3444902A"/>
    <w:rsid w:val="3447E5C9"/>
    <w:rsid w:val="346BE2BA"/>
    <w:rsid w:val="347EF3B3"/>
    <w:rsid w:val="34864FE6"/>
    <w:rsid w:val="34B69811"/>
    <w:rsid w:val="34BB19C0"/>
    <w:rsid w:val="34BFCD9A"/>
    <w:rsid w:val="351C321D"/>
    <w:rsid w:val="3522AE91"/>
    <w:rsid w:val="35243ED9"/>
    <w:rsid w:val="3528D57B"/>
    <w:rsid w:val="352ACEDE"/>
    <w:rsid w:val="3535DA09"/>
    <w:rsid w:val="3536045E"/>
    <w:rsid w:val="353BFB6A"/>
    <w:rsid w:val="35626228"/>
    <w:rsid w:val="3584C30C"/>
    <w:rsid w:val="358B9F83"/>
    <w:rsid w:val="35971564"/>
    <w:rsid w:val="35A471B5"/>
    <w:rsid w:val="35C83859"/>
    <w:rsid w:val="35CA46ED"/>
    <w:rsid w:val="35D46A24"/>
    <w:rsid w:val="35D6F31B"/>
    <w:rsid w:val="35DC9C9F"/>
    <w:rsid w:val="35E61B3E"/>
    <w:rsid w:val="36167F01"/>
    <w:rsid w:val="36184CB7"/>
    <w:rsid w:val="364BF5EF"/>
    <w:rsid w:val="36745FC6"/>
    <w:rsid w:val="36781F39"/>
    <w:rsid w:val="36836F01"/>
    <w:rsid w:val="369E6782"/>
    <w:rsid w:val="36C25B32"/>
    <w:rsid w:val="36C85E4C"/>
    <w:rsid w:val="36EBBD20"/>
    <w:rsid w:val="37096E31"/>
    <w:rsid w:val="3712F23E"/>
    <w:rsid w:val="373365A5"/>
    <w:rsid w:val="374E7860"/>
    <w:rsid w:val="375BB49F"/>
    <w:rsid w:val="377B40A2"/>
    <w:rsid w:val="3795409B"/>
    <w:rsid w:val="37AD41A5"/>
    <w:rsid w:val="37C54F58"/>
    <w:rsid w:val="37CAD695"/>
    <w:rsid w:val="37D5C4E6"/>
    <w:rsid w:val="37E48752"/>
    <w:rsid w:val="382D8FD1"/>
    <w:rsid w:val="38479D53"/>
    <w:rsid w:val="384EB86A"/>
    <w:rsid w:val="385167D1"/>
    <w:rsid w:val="388E60DB"/>
    <w:rsid w:val="38B830AE"/>
    <w:rsid w:val="38FC6206"/>
    <w:rsid w:val="38FD8316"/>
    <w:rsid w:val="392961E0"/>
    <w:rsid w:val="394CB6F0"/>
    <w:rsid w:val="39650851"/>
    <w:rsid w:val="39723C21"/>
    <w:rsid w:val="39789400"/>
    <w:rsid w:val="397E88E7"/>
    <w:rsid w:val="39842FBA"/>
    <w:rsid w:val="399C3D75"/>
    <w:rsid w:val="39B53085"/>
    <w:rsid w:val="39C28CDD"/>
    <w:rsid w:val="39D2B596"/>
    <w:rsid w:val="39D8034C"/>
    <w:rsid w:val="39DF3A34"/>
    <w:rsid w:val="39E1E33C"/>
    <w:rsid w:val="39F4E590"/>
    <w:rsid w:val="3A3DCBA5"/>
    <w:rsid w:val="3A54377F"/>
    <w:rsid w:val="3A70138A"/>
    <w:rsid w:val="3A941802"/>
    <w:rsid w:val="3A9D2A2B"/>
    <w:rsid w:val="3AC16F87"/>
    <w:rsid w:val="3ADBA5CA"/>
    <w:rsid w:val="3AF9BE88"/>
    <w:rsid w:val="3B167F07"/>
    <w:rsid w:val="3B620C87"/>
    <w:rsid w:val="3B68F155"/>
    <w:rsid w:val="3B7E53FA"/>
    <w:rsid w:val="3B93CF3A"/>
    <w:rsid w:val="3B968E17"/>
    <w:rsid w:val="3BAECE8B"/>
    <w:rsid w:val="3BC604DD"/>
    <w:rsid w:val="3BD9A7E5"/>
    <w:rsid w:val="3BE25393"/>
    <w:rsid w:val="3C059D4F"/>
    <w:rsid w:val="3C2639AA"/>
    <w:rsid w:val="3C3B560B"/>
    <w:rsid w:val="3C3D611E"/>
    <w:rsid w:val="3C64A142"/>
    <w:rsid w:val="3C7D90AB"/>
    <w:rsid w:val="3C871666"/>
    <w:rsid w:val="3CBB21BD"/>
    <w:rsid w:val="3CC416B1"/>
    <w:rsid w:val="3CDB30E7"/>
    <w:rsid w:val="3D089AF8"/>
    <w:rsid w:val="3D096217"/>
    <w:rsid w:val="3D174911"/>
    <w:rsid w:val="3D1CCA76"/>
    <w:rsid w:val="3D332386"/>
    <w:rsid w:val="3D4CE362"/>
    <w:rsid w:val="3D7D4040"/>
    <w:rsid w:val="3D8E68E0"/>
    <w:rsid w:val="3D8F3469"/>
    <w:rsid w:val="3D9CA4FC"/>
    <w:rsid w:val="3D9E1208"/>
    <w:rsid w:val="3DC5C794"/>
    <w:rsid w:val="3DC97B76"/>
    <w:rsid w:val="3DF188F4"/>
    <w:rsid w:val="3DF3BCAD"/>
    <w:rsid w:val="3E19F930"/>
    <w:rsid w:val="3E28261C"/>
    <w:rsid w:val="3E30233F"/>
    <w:rsid w:val="3E333B99"/>
    <w:rsid w:val="3E34E52D"/>
    <w:rsid w:val="3E3F02EA"/>
    <w:rsid w:val="3E41EBE4"/>
    <w:rsid w:val="3E4846D5"/>
    <w:rsid w:val="3E745A68"/>
    <w:rsid w:val="3E799500"/>
    <w:rsid w:val="3EA07AA8"/>
    <w:rsid w:val="3EB1E328"/>
    <w:rsid w:val="3EC372CB"/>
    <w:rsid w:val="3EFC9128"/>
    <w:rsid w:val="3F00D884"/>
    <w:rsid w:val="3F172AD2"/>
    <w:rsid w:val="3F25458F"/>
    <w:rsid w:val="3F269A91"/>
    <w:rsid w:val="3F27A0B8"/>
    <w:rsid w:val="3F365EEB"/>
    <w:rsid w:val="3F390F71"/>
    <w:rsid w:val="3F49F082"/>
    <w:rsid w:val="3F7A7390"/>
    <w:rsid w:val="3F92EB10"/>
    <w:rsid w:val="3F9951D5"/>
    <w:rsid w:val="3FA3734D"/>
    <w:rsid w:val="3FB3190B"/>
    <w:rsid w:val="3FBBBF65"/>
    <w:rsid w:val="3FD68152"/>
    <w:rsid w:val="3FE37037"/>
    <w:rsid w:val="3FEAA65A"/>
    <w:rsid w:val="3FF2AB31"/>
    <w:rsid w:val="3FFD9733"/>
    <w:rsid w:val="40074474"/>
    <w:rsid w:val="401BDB38"/>
    <w:rsid w:val="402F8D0D"/>
    <w:rsid w:val="404004D4"/>
    <w:rsid w:val="40476661"/>
    <w:rsid w:val="4055841D"/>
    <w:rsid w:val="407BD653"/>
    <w:rsid w:val="409C8B08"/>
    <w:rsid w:val="409FBC58"/>
    <w:rsid w:val="40A5EB1A"/>
    <w:rsid w:val="40B9913B"/>
    <w:rsid w:val="40E47F66"/>
    <w:rsid w:val="410C560B"/>
    <w:rsid w:val="411A4918"/>
    <w:rsid w:val="413A0751"/>
    <w:rsid w:val="414A45F2"/>
    <w:rsid w:val="41564F32"/>
    <w:rsid w:val="416D3F81"/>
    <w:rsid w:val="41793908"/>
    <w:rsid w:val="418DC353"/>
    <w:rsid w:val="41941590"/>
    <w:rsid w:val="41981F59"/>
    <w:rsid w:val="41A388FD"/>
    <w:rsid w:val="41AD9BDE"/>
    <w:rsid w:val="41C4E864"/>
    <w:rsid w:val="41D87394"/>
    <w:rsid w:val="41E12A19"/>
    <w:rsid w:val="420228A2"/>
    <w:rsid w:val="422E6EE5"/>
    <w:rsid w:val="425B07C7"/>
    <w:rsid w:val="426A4C64"/>
    <w:rsid w:val="42700EE7"/>
    <w:rsid w:val="4291F8EE"/>
    <w:rsid w:val="4299859F"/>
    <w:rsid w:val="42BEC9FD"/>
    <w:rsid w:val="42D39C02"/>
    <w:rsid w:val="42E6EC03"/>
    <w:rsid w:val="42FFA6C0"/>
    <w:rsid w:val="432B9AE0"/>
    <w:rsid w:val="4341F023"/>
    <w:rsid w:val="435A3B0C"/>
    <w:rsid w:val="435F65B7"/>
    <w:rsid w:val="43890939"/>
    <w:rsid w:val="438A0EDA"/>
    <w:rsid w:val="43933D56"/>
    <w:rsid w:val="43A4B9AC"/>
    <w:rsid w:val="43A585F4"/>
    <w:rsid w:val="43AADAF4"/>
    <w:rsid w:val="43AFDED3"/>
    <w:rsid w:val="43E170AB"/>
    <w:rsid w:val="43E48A9B"/>
    <w:rsid w:val="43EB444F"/>
    <w:rsid w:val="43F948FB"/>
    <w:rsid w:val="43FB047C"/>
    <w:rsid w:val="4400282C"/>
    <w:rsid w:val="443AB20A"/>
    <w:rsid w:val="443E5779"/>
    <w:rsid w:val="44546211"/>
    <w:rsid w:val="445699BE"/>
    <w:rsid w:val="445D54FB"/>
    <w:rsid w:val="4468C30B"/>
    <w:rsid w:val="4473C335"/>
    <w:rsid w:val="449F6997"/>
    <w:rsid w:val="44A979B1"/>
    <w:rsid w:val="44D465E1"/>
    <w:rsid w:val="44DB393B"/>
    <w:rsid w:val="44EA1C58"/>
    <w:rsid w:val="44F102D1"/>
    <w:rsid w:val="4503CF9B"/>
    <w:rsid w:val="4512ED8F"/>
    <w:rsid w:val="4526A843"/>
    <w:rsid w:val="4538C1DA"/>
    <w:rsid w:val="45392824"/>
    <w:rsid w:val="4544B6D0"/>
    <w:rsid w:val="455130C0"/>
    <w:rsid w:val="4552CD58"/>
    <w:rsid w:val="456056D6"/>
    <w:rsid w:val="45763A57"/>
    <w:rsid w:val="4579D8F8"/>
    <w:rsid w:val="45C22DF4"/>
    <w:rsid w:val="45DBF0CA"/>
    <w:rsid w:val="45E1A1A2"/>
    <w:rsid w:val="46039E5D"/>
    <w:rsid w:val="4603B6F2"/>
    <w:rsid w:val="46273D94"/>
    <w:rsid w:val="4632B604"/>
    <w:rsid w:val="463770E8"/>
    <w:rsid w:val="4647446C"/>
    <w:rsid w:val="46542F5A"/>
    <w:rsid w:val="466068E7"/>
    <w:rsid w:val="4677F0B4"/>
    <w:rsid w:val="4677F5D7"/>
    <w:rsid w:val="4680FA7A"/>
    <w:rsid w:val="46A92E85"/>
    <w:rsid w:val="46BEBCD4"/>
    <w:rsid w:val="46D15C6E"/>
    <w:rsid w:val="46FA19D2"/>
    <w:rsid w:val="47042601"/>
    <w:rsid w:val="4719407D"/>
    <w:rsid w:val="47199DB0"/>
    <w:rsid w:val="475C4B11"/>
    <w:rsid w:val="4774292B"/>
    <w:rsid w:val="477AEAB2"/>
    <w:rsid w:val="4780AE5B"/>
    <w:rsid w:val="479355D4"/>
    <w:rsid w:val="47954E55"/>
    <w:rsid w:val="47984FA7"/>
    <w:rsid w:val="47B1ADED"/>
    <w:rsid w:val="47CC3E45"/>
    <w:rsid w:val="47D64DC3"/>
    <w:rsid w:val="47DDCA93"/>
    <w:rsid w:val="47F63CB1"/>
    <w:rsid w:val="4828D97E"/>
    <w:rsid w:val="4831DCB4"/>
    <w:rsid w:val="483F709E"/>
    <w:rsid w:val="486A9C05"/>
    <w:rsid w:val="487F7C96"/>
    <w:rsid w:val="488FC79E"/>
    <w:rsid w:val="48A54011"/>
    <w:rsid w:val="48B57455"/>
    <w:rsid w:val="48B6B37F"/>
    <w:rsid w:val="48D8D2A8"/>
    <w:rsid w:val="48F1FC0D"/>
    <w:rsid w:val="48F373AA"/>
    <w:rsid w:val="491D50D4"/>
    <w:rsid w:val="49306B12"/>
    <w:rsid w:val="4936ECD3"/>
    <w:rsid w:val="497A617E"/>
    <w:rsid w:val="49A696D9"/>
    <w:rsid w:val="49A75F82"/>
    <w:rsid w:val="49BE83A8"/>
    <w:rsid w:val="49DC9CD7"/>
    <w:rsid w:val="49E03E04"/>
    <w:rsid w:val="4A047045"/>
    <w:rsid w:val="4A07D1E9"/>
    <w:rsid w:val="4A0F5941"/>
    <w:rsid w:val="4A5B79CC"/>
    <w:rsid w:val="4A6B9E61"/>
    <w:rsid w:val="4A6BA2FF"/>
    <w:rsid w:val="4AAAE66E"/>
    <w:rsid w:val="4AE041E3"/>
    <w:rsid w:val="4AE18E4D"/>
    <w:rsid w:val="4AE9147E"/>
    <w:rsid w:val="4AF69D2F"/>
    <w:rsid w:val="4AFAE202"/>
    <w:rsid w:val="4AFC0A49"/>
    <w:rsid w:val="4B25723E"/>
    <w:rsid w:val="4B278453"/>
    <w:rsid w:val="4B46EEAD"/>
    <w:rsid w:val="4BB4398A"/>
    <w:rsid w:val="4BE6CB18"/>
    <w:rsid w:val="4C26B8C0"/>
    <w:rsid w:val="4C2E5075"/>
    <w:rsid w:val="4C63CB0F"/>
    <w:rsid w:val="4C68B947"/>
    <w:rsid w:val="4C825BCA"/>
    <w:rsid w:val="4C845A35"/>
    <w:rsid w:val="4C84BCAF"/>
    <w:rsid w:val="4C8FD343"/>
    <w:rsid w:val="4CB05CA4"/>
    <w:rsid w:val="4CB9CC37"/>
    <w:rsid w:val="4CC53913"/>
    <w:rsid w:val="4CC706E9"/>
    <w:rsid w:val="4CFC8518"/>
    <w:rsid w:val="4D0B3F1C"/>
    <w:rsid w:val="4D2781A2"/>
    <w:rsid w:val="4D5A945F"/>
    <w:rsid w:val="4D748B0E"/>
    <w:rsid w:val="4D952284"/>
    <w:rsid w:val="4D960237"/>
    <w:rsid w:val="4DA989DA"/>
    <w:rsid w:val="4DBEEC2E"/>
    <w:rsid w:val="4DCC0A61"/>
    <w:rsid w:val="4DCCB4D8"/>
    <w:rsid w:val="4DE95F7C"/>
    <w:rsid w:val="4E229C41"/>
    <w:rsid w:val="4E45267A"/>
    <w:rsid w:val="4E4A531A"/>
    <w:rsid w:val="4E4D6A35"/>
    <w:rsid w:val="4E607C53"/>
    <w:rsid w:val="4E6E38A0"/>
    <w:rsid w:val="4E8EDC14"/>
    <w:rsid w:val="4EA0F893"/>
    <w:rsid w:val="4EAB9FFC"/>
    <w:rsid w:val="4EAE6670"/>
    <w:rsid w:val="4EC9517C"/>
    <w:rsid w:val="4ECC5EBE"/>
    <w:rsid w:val="4ED36714"/>
    <w:rsid w:val="4ED58BAF"/>
    <w:rsid w:val="4ED7F7FE"/>
    <w:rsid w:val="4EDE84A1"/>
    <w:rsid w:val="4EEC6616"/>
    <w:rsid w:val="4EFAEAAB"/>
    <w:rsid w:val="4F125C75"/>
    <w:rsid w:val="4F19E6CF"/>
    <w:rsid w:val="4F26F7EA"/>
    <w:rsid w:val="4F2E9949"/>
    <w:rsid w:val="4F330C5D"/>
    <w:rsid w:val="4F3812A7"/>
    <w:rsid w:val="4F3D108C"/>
    <w:rsid w:val="4FBD3328"/>
    <w:rsid w:val="4FC52B7E"/>
    <w:rsid w:val="4FD9D2BF"/>
    <w:rsid w:val="4FE1AF51"/>
    <w:rsid w:val="4FE2E9D2"/>
    <w:rsid w:val="4FE45A51"/>
    <w:rsid w:val="50355F6C"/>
    <w:rsid w:val="50421016"/>
    <w:rsid w:val="5046288A"/>
    <w:rsid w:val="505DB87B"/>
    <w:rsid w:val="50604A8A"/>
    <w:rsid w:val="506EBCA0"/>
    <w:rsid w:val="507EB11C"/>
    <w:rsid w:val="50834A4D"/>
    <w:rsid w:val="5094EAA7"/>
    <w:rsid w:val="50A450A3"/>
    <w:rsid w:val="50A6761A"/>
    <w:rsid w:val="50AC3931"/>
    <w:rsid w:val="50AD5EA5"/>
    <w:rsid w:val="50B38B44"/>
    <w:rsid w:val="50DFC51B"/>
    <w:rsid w:val="50EBED96"/>
    <w:rsid w:val="51013832"/>
    <w:rsid w:val="510D2370"/>
    <w:rsid w:val="510E49F0"/>
    <w:rsid w:val="512E3E8E"/>
    <w:rsid w:val="5135E3DF"/>
    <w:rsid w:val="514436C3"/>
    <w:rsid w:val="51491057"/>
    <w:rsid w:val="515736C7"/>
    <w:rsid w:val="51B8B7FF"/>
    <w:rsid w:val="51B9E431"/>
    <w:rsid w:val="51C91B27"/>
    <w:rsid w:val="51D430CE"/>
    <w:rsid w:val="51F27FCA"/>
    <w:rsid w:val="52265905"/>
    <w:rsid w:val="524D584A"/>
    <w:rsid w:val="525D150B"/>
    <w:rsid w:val="528047E3"/>
    <w:rsid w:val="52A26AFE"/>
    <w:rsid w:val="52A93F03"/>
    <w:rsid w:val="52C0058D"/>
    <w:rsid w:val="52C00878"/>
    <w:rsid w:val="52C51BAF"/>
    <w:rsid w:val="52D5C201"/>
    <w:rsid w:val="52FDB5BC"/>
    <w:rsid w:val="53091F64"/>
    <w:rsid w:val="53603FF0"/>
    <w:rsid w:val="53605AE4"/>
    <w:rsid w:val="5361B4BA"/>
    <w:rsid w:val="53879421"/>
    <w:rsid w:val="539B84CD"/>
    <w:rsid w:val="53A8985A"/>
    <w:rsid w:val="53B4F99A"/>
    <w:rsid w:val="53C686AE"/>
    <w:rsid w:val="53E918F2"/>
    <w:rsid w:val="53F97AD0"/>
    <w:rsid w:val="5403C08C"/>
    <w:rsid w:val="540695EA"/>
    <w:rsid w:val="54087C0B"/>
    <w:rsid w:val="540BC38E"/>
    <w:rsid w:val="540E51CE"/>
    <w:rsid w:val="541C55E8"/>
    <w:rsid w:val="54253701"/>
    <w:rsid w:val="542F3DB8"/>
    <w:rsid w:val="543E77EA"/>
    <w:rsid w:val="5445A627"/>
    <w:rsid w:val="545E28EB"/>
    <w:rsid w:val="54D16B30"/>
    <w:rsid w:val="551C0809"/>
    <w:rsid w:val="5534CD99"/>
    <w:rsid w:val="5538601F"/>
    <w:rsid w:val="554DDCF5"/>
    <w:rsid w:val="556D0F0D"/>
    <w:rsid w:val="556DC946"/>
    <w:rsid w:val="558D47D2"/>
    <w:rsid w:val="559A4AE5"/>
    <w:rsid w:val="55A291D2"/>
    <w:rsid w:val="55B2BA22"/>
    <w:rsid w:val="55C52078"/>
    <w:rsid w:val="55E0F14C"/>
    <w:rsid w:val="55FEDCA7"/>
    <w:rsid w:val="5610CDE9"/>
    <w:rsid w:val="5628E7A0"/>
    <w:rsid w:val="563554DB"/>
    <w:rsid w:val="563E832A"/>
    <w:rsid w:val="5642EB10"/>
    <w:rsid w:val="564E4F08"/>
    <w:rsid w:val="564EE5DA"/>
    <w:rsid w:val="565680E9"/>
    <w:rsid w:val="56659314"/>
    <w:rsid w:val="56955BA9"/>
    <w:rsid w:val="56981C07"/>
    <w:rsid w:val="56A5E1EA"/>
    <w:rsid w:val="56D9DFD0"/>
    <w:rsid w:val="56F0CD29"/>
    <w:rsid w:val="5703E937"/>
    <w:rsid w:val="5704588D"/>
    <w:rsid w:val="5705302E"/>
    <w:rsid w:val="5707C085"/>
    <w:rsid w:val="574863C1"/>
    <w:rsid w:val="57568E0B"/>
    <w:rsid w:val="57671182"/>
    <w:rsid w:val="576A5C59"/>
    <w:rsid w:val="577CE6CE"/>
    <w:rsid w:val="578D21BE"/>
    <w:rsid w:val="57A00EC6"/>
    <w:rsid w:val="57A09E5D"/>
    <w:rsid w:val="57AD14EF"/>
    <w:rsid w:val="57B21F5A"/>
    <w:rsid w:val="57C62DC0"/>
    <w:rsid w:val="57C725A4"/>
    <w:rsid w:val="57D0CA65"/>
    <w:rsid w:val="57DEE748"/>
    <w:rsid w:val="57E2F76F"/>
    <w:rsid w:val="57FB62AA"/>
    <w:rsid w:val="581ECA4A"/>
    <w:rsid w:val="5846D7BF"/>
    <w:rsid w:val="584A7E27"/>
    <w:rsid w:val="58533D1D"/>
    <w:rsid w:val="585CF0BB"/>
    <w:rsid w:val="586C2EC4"/>
    <w:rsid w:val="5871C7F0"/>
    <w:rsid w:val="5879F808"/>
    <w:rsid w:val="587F5937"/>
    <w:rsid w:val="5887BFA4"/>
    <w:rsid w:val="588DABBD"/>
    <w:rsid w:val="5897EEC8"/>
    <w:rsid w:val="58A2AF83"/>
    <w:rsid w:val="59207273"/>
    <w:rsid w:val="593CC39F"/>
    <w:rsid w:val="5948FB59"/>
    <w:rsid w:val="5982A5EC"/>
    <w:rsid w:val="598B8649"/>
    <w:rsid w:val="599A9033"/>
    <w:rsid w:val="59BAFE42"/>
    <w:rsid w:val="59BC473E"/>
    <w:rsid w:val="59C3041A"/>
    <w:rsid w:val="59D3463A"/>
    <w:rsid w:val="59D36763"/>
    <w:rsid w:val="59DC659C"/>
    <w:rsid w:val="59E3520E"/>
    <w:rsid w:val="59F48925"/>
    <w:rsid w:val="5A49EF21"/>
    <w:rsid w:val="5A4D741E"/>
    <w:rsid w:val="5A9CBBF2"/>
    <w:rsid w:val="5ABAA0F3"/>
    <w:rsid w:val="5AC6463D"/>
    <w:rsid w:val="5AD3A146"/>
    <w:rsid w:val="5AE70311"/>
    <w:rsid w:val="5AF03F29"/>
    <w:rsid w:val="5B0550FE"/>
    <w:rsid w:val="5B19343C"/>
    <w:rsid w:val="5B394B8E"/>
    <w:rsid w:val="5B456013"/>
    <w:rsid w:val="5B51D59E"/>
    <w:rsid w:val="5B5431B9"/>
    <w:rsid w:val="5B7E45BE"/>
    <w:rsid w:val="5BA7310F"/>
    <w:rsid w:val="5BB332DF"/>
    <w:rsid w:val="5BBB4111"/>
    <w:rsid w:val="5BCBC30E"/>
    <w:rsid w:val="5BE56D28"/>
    <w:rsid w:val="5BEC5E61"/>
    <w:rsid w:val="5BECBFBF"/>
    <w:rsid w:val="5BF60CEA"/>
    <w:rsid w:val="5BF85CCB"/>
    <w:rsid w:val="5C3E3897"/>
    <w:rsid w:val="5C42AAB2"/>
    <w:rsid w:val="5C67604E"/>
    <w:rsid w:val="5C6D3102"/>
    <w:rsid w:val="5C85B908"/>
    <w:rsid w:val="5C8B4A58"/>
    <w:rsid w:val="5C8F9B90"/>
    <w:rsid w:val="5C911539"/>
    <w:rsid w:val="5C91342C"/>
    <w:rsid w:val="5CBC2400"/>
    <w:rsid w:val="5CBEFBDC"/>
    <w:rsid w:val="5CE0858D"/>
    <w:rsid w:val="5CE9B94D"/>
    <w:rsid w:val="5CF0353B"/>
    <w:rsid w:val="5D0B45A6"/>
    <w:rsid w:val="5D1BDE99"/>
    <w:rsid w:val="5D21402A"/>
    <w:rsid w:val="5D26D3FF"/>
    <w:rsid w:val="5D4A473E"/>
    <w:rsid w:val="5D69FC71"/>
    <w:rsid w:val="5D6CC3B6"/>
    <w:rsid w:val="5D755381"/>
    <w:rsid w:val="5D7CD369"/>
    <w:rsid w:val="5D7F173B"/>
    <w:rsid w:val="5D7FEC20"/>
    <w:rsid w:val="5D9A8EAA"/>
    <w:rsid w:val="5DA7EE4C"/>
    <w:rsid w:val="5DAD204E"/>
    <w:rsid w:val="5DAFD9DF"/>
    <w:rsid w:val="5DB24A9F"/>
    <w:rsid w:val="5DBDEF94"/>
    <w:rsid w:val="5DEAAB4A"/>
    <w:rsid w:val="5DF334ED"/>
    <w:rsid w:val="5E0CD532"/>
    <w:rsid w:val="5E10FC42"/>
    <w:rsid w:val="5E20F0B7"/>
    <w:rsid w:val="5E390D21"/>
    <w:rsid w:val="5E4AF212"/>
    <w:rsid w:val="5E6CC762"/>
    <w:rsid w:val="5E7A7AC0"/>
    <w:rsid w:val="5E8856CE"/>
    <w:rsid w:val="5EA45F07"/>
    <w:rsid w:val="5EA7874C"/>
    <w:rsid w:val="5EA90FE0"/>
    <w:rsid w:val="5EB36551"/>
    <w:rsid w:val="5EC205C3"/>
    <w:rsid w:val="5EDD7ED1"/>
    <w:rsid w:val="5EE2FAAE"/>
    <w:rsid w:val="5EE79C20"/>
    <w:rsid w:val="5F08C956"/>
    <w:rsid w:val="5F320CEC"/>
    <w:rsid w:val="5F364FAA"/>
    <w:rsid w:val="5F4390C0"/>
    <w:rsid w:val="5F4456B1"/>
    <w:rsid w:val="5F588C09"/>
    <w:rsid w:val="5F5DD60A"/>
    <w:rsid w:val="5F6B2F4C"/>
    <w:rsid w:val="5F74BB61"/>
    <w:rsid w:val="5FBAE843"/>
    <w:rsid w:val="5FD46DE1"/>
    <w:rsid w:val="60006E1E"/>
    <w:rsid w:val="600919A7"/>
    <w:rsid w:val="60111006"/>
    <w:rsid w:val="60329EEE"/>
    <w:rsid w:val="6039A696"/>
    <w:rsid w:val="606B0AE5"/>
    <w:rsid w:val="608F8ECF"/>
    <w:rsid w:val="609F82EA"/>
    <w:rsid w:val="60A61E1B"/>
    <w:rsid w:val="60BE8A0A"/>
    <w:rsid w:val="60EC343D"/>
    <w:rsid w:val="6107A010"/>
    <w:rsid w:val="61181ECD"/>
    <w:rsid w:val="611E4C86"/>
    <w:rsid w:val="61498DFD"/>
    <w:rsid w:val="614AAEFA"/>
    <w:rsid w:val="614B6F13"/>
    <w:rsid w:val="616129BA"/>
    <w:rsid w:val="6183BEFC"/>
    <w:rsid w:val="618F170E"/>
    <w:rsid w:val="619E4E53"/>
    <w:rsid w:val="61A1D8D5"/>
    <w:rsid w:val="61C75902"/>
    <w:rsid w:val="61CFE635"/>
    <w:rsid w:val="61D3853B"/>
    <w:rsid w:val="61D6D4C1"/>
    <w:rsid w:val="61DBF5F3"/>
    <w:rsid w:val="61DCAD76"/>
    <w:rsid w:val="61DE60E6"/>
    <w:rsid w:val="61DE9159"/>
    <w:rsid w:val="61E8A588"/>
    <w:rsid w:val="61F61F7F"/>
    <w:rsid w:val="6208FB89"/>
    <w:rsid w:val="62143150"/>
    <w:rsid w:val="621574F1"/>
    <w:rsid w:val="6215A506"/>
    <w:rsid w:val="6226CC8A"/>
    <w:rsid w:val="62309116"/>
    <w:rsid w:val="6230B8A3"/>
    <w:rsid w:val="62312540"/>
    <w:rsid w:val="6233E2CA"/>
    <w:rsid w:val="623A3EEE"/>
    <w:rsid w:val="624F8C5C"/>
    <w:rsid w:val="6276EE63"/>
    <w:rsid w:val="62852E74"/>
    <w:rsid w:val="629E516F"/>
    <w:rsid w:val="62B19949"/>
    <w:rsid w:val="62B2F745"/>
    <w:rsid w:val="62BFEB20"/>
    <w:rsid w:val="62E65EA7"/>
    <w:rsid w:val="62F1449B"/>
    <w:rsid w:val="6304D308"/>
    <w:rsid w:val="630DBD4E"/>
    <w:rsid w:val="63280A09"/>
    <w:rsid w:val="633BA1C8"/>
    <w:rsid w:val="634A8452"/>
    <w:rsid w:val="635A681B"/>
    <w:rsid w:val="635C088A"/>
    <w:rsid w:val="635CE793"/>
    <w:rsid w:val="635EF118"/>
    <w:rsid w:val="6389764F"/>
    <w:rsid w:val="638AAE4F"/>
    <w:rsid w:val="638FBD9A"/>
    <w:rsid w:val="6396AAEB"/>
    <w:rsid w:val="63AC7EB3"/>
    <w:rsid w:val="63B10856"/>
    <w:rsid w:val="63C38AA6"/>
    <w:rsid w:val="63CE8FA0"/>
    <w:rsid w:val="63DFE901"/>
    <w:rsid w:val="63ED5F85"/>
    <w:rsid w:val="640ADBC0"/>
    <w:rsid w:val="6428C3F4"/>
    <w:rsid w:val="64340FC6"/>
    <w:rsid w:val="6442B078"/>
    <w:rsid w:val="645E7592"/>
    <w:rsid w:val="646EED79"/>
    <w:rsid w:val="646F184F"/>
    <w:rsid w:val="6476B9A6"/>
    <w:rsid w:val="6484E706"/>
    <w:rsid w:val="648F9A4F"/>
    <w:rsid w:val="64B651D6"/>
    <w:rsid w:val="64B6A80D"/>
    <w:rsid w:val="64C33252"/>
    <w:rsid w:val="64CC1A14"/>
    <w:rsid w:val="64CD4E3E"/>
    <w:rsid w:val="64E7A2F5"/>
    <w:rsid w:val="64F59435"/>
    <w:rsid w:val="64FDF254"/>
    <w:rsid w:val="64FE4AD1"/>
    <w:rsid w:val="650DF421"/>
    <w:rsid w:val="65359C32"/>
    <w:rsid w:val="6557F736"/>
    <w:rsid w:val="65582185"/>
    <w:rsid w:val="6564307F"/>
    <w:rsid w:val="656B9DDF"/>
    <w:rsid w:val="6599905C"/>
    <w:rsid w:val="65B890C3"/>
    <w:rsid w:val="65BEC54C"/>
    <w:rsid w:val="65CB991E"/>
    <w:rsid w:val="65E2A906"/>
    <w:rsid w:val="65F627C7"/>
    <w:rsid w:val="66039255"/>
    <w:rsid w:val="6664C023"/>
    <w:rsid w:val="66744B2A"/>
    <w:rsid w:val="667D45B5"/>
    <w:rsid w:val="667F5BB5"/>
    <w:rsid w:val="669182F1"/>
    <w:rsid w:val="6697FF68"/>
    <w:rsid w:val="669FB3FB"/>
    <w:rsid w:val="66B3E680"/>
    <w:rsid w:val="66D89A74"/>
    <w:rsid w:val="66E25C19"/>
    <w:rsid w:val="66F055CB"/>
    <w:rsid w:val="67001A03"/>
    <w:rsid w:val="6721B52B"/>
    <w:rsid w:val="672208C5"/>
    <w:rsid w:val="673174E1"/>
    <w:rsid w:val="6756F92B"/>
    <w:rsid w:val="678B94B1"/>
    <w:rsid w:val="67921356"/>
    <w:rsid w:val="679CD5AD"/>
    <w:rsid w:val="67A46483"/>
    <w:rsid w:val="67B0DB35"/>
    <w:rsid w:val="67B3767D"/>
    <w:rsid w:val="67E04B26"/>
    <w:rsid w:val="67FA0DA4"/>
    <w:rsid w:val="681EE96D"/>
    <w:rsid w:val="6832E4A9"/>
    <w:rsid w:val="6853FB67"/>
    <w:rsid w:val="6857C02B"/>
    <w:rsid w:val="6857E7C4"/>
    <w:rsid w:val="685A8E0E"/>
    <w:rsid w:val="686E9633"/>
    <w:rsid w:val="6872D436"/>
    <w:rsid w:val="687538A2"/>
    <w:rsid w:val="68867045"/>
    <w:rsid w:val="68A61301"/>
    <w:rsid w:val="68AB239E"/>
    <w:rsid w:val="68AFEF22"/>
    <w:rsid w:val="68CBFA7E"/>
    <w:rsid w:val="68D5FDCD"/>
    <w:rsid w:val="68ED7BA0"/>
    <w:rsid w:val="68F0AB59"/>
    <w:rsid w:val="69052350"/>
    <w:rsid w:val="6905BE93"/>
    <w:rsid w:val="6916E9C9"/>
    <w:rsid w:val="691B434D"/>
    <w:rsid w:val="691D91A6"/>
    <w:rsid w:val="692DB0E4"/>
    <w:rsid w:val="69509384"/>
    <w:rsid w:val="695FE740"/>
    <w:rsid w:val="69702FA4"/>
    <w:rsid w:val="69C9F704"/>
    <w:rsid w:val="69CF884F"/>
    <w:rsid w:val="69D06CAD"/>
    <w:rsid w:val="6A02BCD2"/>
    <w:rsid w:val="6A37F61B"/>
    <w:rsid w:val="6A421E8C"/>
    <w:rsid w:val="6A4262EF"/>
    <w:rsid w:val="6A797447"/>
    <w:rsid w:val="6A856F42"/>
    <w:rsid w:val="6A8A5D98"/>
    <w:rsid w:val="6A8AB92D"/>
    <w:rsid w:val="6AB7C093"/>
    <w:rsid w:val="6AD87D2F"/>
    <w:rsid w:val="6ADAE5F7"/>
    <w:rsid w:val="6AE402E2"/>
    <w:rsid w:val="6AF7EC94"/>
    <w:rsid w:val="6AF98AB5"/>
    <w:rsid w:val="6B091618"/>
    <w:rsid w:val="6B200F2D"/>
    <w:rsid w:val="6B203DE1"/>
    <w:rsid w:val="6B2556CE"/>
    <w:rsid w:val="6B565800"/>
    <w:rsid w:val="6B605018"/>
    <w:rsid w:val="6B66C27A"/>
    <w:rsid w:val="6B69AA07"/>
    <w:rsid w:val="6B6C6E26"/>
    <w:rsid w:val="6B7391E5"/>
    <w:rsid w:val="6BBC2424"/>
    <w:rsid w:val="6BD6565F"/>
    <w:rsid w:val="6BDF549E"/>
    <w:rsid w:val="6C0265DC"/>
    <w:rsid w:val="6C1EBCB5"/>
    <w:rsid w:val="6C39DFF9"/>
    <w:rsid w:val="6C3AE39C"/>
    <w:rsid w:val="6C3D7826"/>
    <w:rsid w:val="6C453A9C"/>
    <w:rsid w:val="6C4AACAA"/>
    <w:rsid w:val="6C623BA4"/>
    <w:rsid w:val="6C65E26F"/>
    <w:rsid w:val="6C712DC0"/>
    <w:rsid w:val="6C8E5DB8"/>
    <w:rsid w:val="6CA95AE2"/>
    <w:rsid w:val="6CAAD3DF"/>
    <w:rsid w:val="6CAE6BDE"/>
    <w:rsid w:val="6CB69493"/>
    <w:rsid w:val="6CDA2987"/>
    <w:rsid w:val="6CDD4CA7"/>
    <w:rsid w:val="6CDE5CC7"/>
    <w:rsid w:val="6CDF70B8"/>
    <w:rsid w:val="6CEDDC65"/>
    <w:rsid w:val="6D05FFA1"/>
    <w:rsid w:val="6D1D7A82"/>
    <w:rsid w:val="6D27A94F"/>
    <w:rsid w:val="6D32A882"/>
    <w:rsid w:val="6D38AB1F"/>
    <w:rsid w:val="6D3FBE1C"/>
    <w:rsid w:val="6D518CC7"/>
    <w:rsid w:val="6D5D6168"/>
    <w:rsid w:val="6D5F6BEE"/>
    <w:rsid w:val="6D6127A0"/>
    <w:rsid w:val="6D70C632"/>
    <w:rsid w:val="6D8D8E71"/>
    <w:rsid w:val="6D9DCCA4"/>
    <w:rsid w:val="6D9DFAF5"/>
    <w:rsid w:val="6DAF8D73"/>
    <w:rsid w:val="6DD28A9A"/>
    <w:rsid w:val="6DE4072A"/>
    <w:rsid w:val="6DEA2E67"/>
    <w:rsid w:val="6DFAFDB7"/>
    <w:rsid w:val="6E281296"/>
    <w:rsid w:val="6E2F3153"/>
    <w:rsid w:val="6E3E6363"/>
    <w:rsid w:val="6E4B8C34"/>
    <w:rsid w:val="6E5509A9"/>
    <w:rsid w:val="6E6180EA"/>
    <w:rsid w:val="6E694C2D"/>
    <w:rsid w:val="6E8986C1"/>
    <w:rsid w:val="6E948A9C"/>
    <w:rsid w:val="6EB5993C"/>
    <w:rsid w:val="6EBCDC6C"/>
    <w:rsid w:val="6ED0B1B2"/>
    <w:rsid w:val="6EF95410"/>
    <w:rsid w:val="6EFD3F68"/>
    <w:rsid w:val="6F03A70E"/>
    <w:rsid w:val="6F1281E1"/>
    <w:rsid w:val="6F183D99"/>
    <w:rsid w:val="6F197FD8"/>
    <w:rsid w:val="6F4C4E21"/>
    <w:rsid w:val="6F4F9683"/>
    <w:rsid w:val="6F61D8E0"/>
    <w:rsid w:val="6FB5CB49"/>
    <w:rsid w:val="6FB83A87"/>
    <w:rsid w:val="6FCD57FF"/>
    <w:rsid w:val="6FE4D4D9"/>
    <w:rsid w:val="700F3D79"/>
    <w:rsid w:val="704CED40"/>
    <w:rsid w:val="7064F440"/>
    <w:rsid w:val="70670EDF"/>
    <w:rsid w:val="706B8414"/>
    <w:rsid w:val="70769A39"/>
    <w:rsid w:val="707E43A4"/>
    <w:rsid w:val="708A6A47"/>
    <w:rsid w:val="708FAD17"/>
    <w:rsid w:val="709BC795"/>
    <w:rsid w:val="70A130D5"/>
    <w:rsid w:val="70BC07BC"/>
    <w:rsid w:val="70CA28C3"/>
    <w:rsid w:val="70D3E7F1"/>
    <w:rsid w:val="70EE00B8"/>
    <w:rsid w:val="70F99CE9"/>
    <w:rsid w:val="70FBF9C7"/>
    <w:rsid w:val="71022274"/>
    <w:rsid w:val="719DAED1"/>
    <w:rsid w:val="71A01B49"/>
    <w:rsid w:val="71A0B1AE"/>
    <w:rsid w:val="71A41778"/>
    <w:rsid w:val="71A8BA98"/>
    <w:rsid w:val="71C13146"/>
    <w:rsid w:val="71D434E5"/>
    <w:rsid w:val="71E17C88"/>
    <w:rsid w:val="71E19676"/>
    <w:rsid w:val="71E33E06"/>
    <w:rsid w:val="720179EC"/>
    <w:rsid w:val="7204AA3A"/>
    <w:rsid w:val="72111A56"/>
    <w:rsid w:val="7224044C"/>
    <w:rsid w:val="723D9D07"/>
    <w:rsid w:val="7257F611"/>
    <w:rsid w:val="72656AEA"/>
    <w:rsid w:val="726AE9CB"/>
    <w:rsid w:val="72771D05"/>
    <w:rsid w:val="72800652"/>
    <w:rsid w:val="72843060"/>
    <w:rsid w:val="729B1DD8"/>
    <w:rsid w:val="72B61B88"/>
    <w:rsid w:val="72D1BBCA"/>
    <w:rsid w:val="72D4B0B1"/>
    <w:rsid w:val="72F029BF"/>
    <w:rsid w:val="72F6A9E7"/>
    <w:rsid w:val="72FF8FC3"/>
    <w:rsid w:val="7322E497"/>
    <w:rsid w:val="7332BD92"/>
    <w:rsid w:val="73410B71"/>
    <w:rsid w:val="7344B688"/>
    <w:rsid w:val="734CCE0B"/>
    <w:rsid w:val="734E1C44"/>
    <w:rsid w:val="735464DB"/>
    <w:rsid w:val="737A48EA"/>
    <w:rsid w:val="737E0917"/>
    <w:rsid w:val="73863234"/>
    <w:rsid w:val="73BB0A1D"/>
    <w:rsid w:val="73C91459"/>
    <w:rsid w:val="73D2BBBB"/>
    <w:rsid w:val="73DB0F6F"/>
    <w:rsid w:val="73FDFF6D"/>
    <w:rsid w:val="740AF68B"/>
    <w:rsid w:val="7419D7FA"/>
    <w:rsid w:val="741D131E"/>
    <w:rsid w:val="742A1A36"/>
    <w:rsid w:val="744D9D27"/>
    <w:rsid w:val="74A771A2"/>
    <w:rsid w:val="74D75E6C"/>
    <w:rsid w:val="74F86F7F"/>
    <w:rsid w:val="75458F9B"/>
    <w:rsid w:val="757ACEAF"/>
    <w:rsid w:val="75905851"/>
    <w:rsid w:val="75B39331"/>
    <w:rsid w:val="75DE8E73"/>
    <w:rsid w:val="75FAB5B4"/>
    <w:rsid w:val="762F04EB"/>
    <w:rsid w:val="763DF17E"/>
    <w:rsid w:val="7642A0FA"/>
    <w:rsid w:val="7643D4D9"/>
    <w:rsid w:val="7654446B"/>
    <w:rsid w:val="76767CCC"/>
    <w:rsid w:val="7679E302"/>
    <w:rsid w:val="76F7D7DC"/>
    <w:rsid w:val="7704372E"/>
    <w:rsid w:val="77313E30"/>
    <w:rsid w:val="773E3A4D"/>
    <w:rsid w:val="775F7D12"/>
    <w:rsid w:val="77725BA7"/>
    <w:rsid w:val="77743C0E"/>
    <w:rsid w:val="7791927F"/>
    <w:rsid w:val="77997D1E"/>
    <w:rsid w:val="77A8559C"/>
    <w:rsid w:val="77BB3515"/>
    <w:rsid w:val="77D07DA7"/>
    <w:rsid w:val="77F0D611"/>
    <w:rsid w:val="77F5CD6A"/>
    <w:rsid w:val="78277A74"/>
    <w:rsid w:val="7827E6ED"/>
    <w:rsid w:val="784037D8"/>
    <w:rsid w:val="7846C50D"/>
    <w:rsid w:val="78769AA6"/>
    <w:rsid w:val="7878A486"/>
    <w:rsid w:val="788B97CD"/>
    <w:rsid w:val="7890870A"/>
    <w:rsid w:val="79287989"/>
    <w:rsid w:val="79289AF4"/>
    <w:rsid w:val="79355225"/>
    <w:rsid w:val="7946FEA7"/>
    <w:rsid w:val="796C1885"/>
    <w:rsid w:val="7976F6A9"/>
    <w:rsid w:val="7979C1CA"/>
    <w:rsid w:val="798AE7DE"/>
    <w:rsid w:val="79BB6085"/>
    <w:rsid w:val="79DA21CE"/>
    <w:rsid w:val="79E878B2"/>
    <w:rsid w:val="7A02404C"/>
    <w:rsid w:val="7A22B896"/>
    <w:rsid w:val="7A44E4B5"/>
    <w:rsid w:val="7A4F7286"/>
    <w:rsid w:val="7A523A33"/>
    <w:rsid w:val="7A5A4510"/>
    <w:rsid w:val="7A62723B"/>
    <w:rsid w:val="7A6A06D8"/>
    <w:rsid w:val="7A756EB1"/>
    <w:rsid w:val="7A97D411"/>
    <w:rsid w:val="7AA2EB33"/>
    <w:rsid w:val="7ABCB310"/>
    <w:rsid w:val="7AC21B76"/>
    <w:rsid w:val="7AD91934"/>
    <w:rsid w:val="7AEEBA1F"/>
    <w:rsid w:val="7AF1038A"/>
    <w:rsid w:val="7AF68ACB"/>
    <w:rsid w:val="7B00E8C7"/>
    <w:rsid w:val="7B38A737"/>
    <w:rsid w:val="7B412A4B"/>
    <w:rsid w:val="7B4ABA83"/>
    <w:rsid w:val="7B626127"/>
    <w:rsid w:val="7BA43629"/>
    <w:rsid w:val="7BB57625"/>
    <w:rsid w:val="7BBBC446"/>
    <w:rsid w:val="7BC39F5A"/>
    <w:rsid w:val="7BCB4162"/>
    <w:rsid w:val="7C275273"/>
    <w:rsid w:val="7C3F48D7"/>
    <w:rsid w:val="7C5D77CF"/>
    <w:rsid w:val="7C603003"/>
    <w:rsid w:val="7C698420"/>
    <w:rsid w:val="7C93FFC1"/>
    <w:rsid w:val="7C9C40E4"/>
    <w:rsid w:val="7CB2DB1D"/>
    <w:rsid w:val="7CB6A8D3"/>
    <w:rsid w:val="7CC9713C"/>
    <w:rsid w:val="7CCB213B"/>
    <w:rsid w:val="7CD70225"/>
    <w:rsid w:val="7CDCEDD6"/>
    <w:rsid w:val="7CDF9A93"/>
    <w:rsid w:val="7CE89F34"/>
    <w:rsid w:val="7CEC27BD"/>
    <w:rsid w:val="7CF340DA"/>
    <w:rsid w:val="7CFDF5D9"/>
    <w:rsid w:val="7D096628"/>
    <w:rsid w:val="7D1BBCAA"/>
    <w:rsid w:val="7D25937B"/>
    <w:rsid w:val="7D50CDD6"/>
    <w:rsid w:val="7D59829C"/>
    <w:rsid w:val="7D722995"/>
    <w:rsid w:val="7DA0AA13"/>
    <w:rsid w:val="7DAC5D8F"/>
    <w:rsid w:val="7DAE87D8"/>
    <w:rsid w:val="7DC63328"/>
    <w:rsid w:val="7DD87DF1"/>
    <w:rsid w:val="7DF335E9"/>
    <w:rsid w:val="7E0F8A85"/>
    <w:rsid w:val="7E146BF3"/>
    <w:rsid w:val="7E1D22E8"/>
    <w:rsid w:val="7E2F33A0"/>
    <w:rsid w:val="7E45135D"/>
    <w:rsid w:val="7E4943A8"/>
    <w:rsid w:val="7E6B74D3"/>
    <w:rsid w:val="7EA65680"/>
    <w:rsid w:val="7ED34A1F"/>
    <w:rsid w:val="7EE53481"/>
    <w:rsid w:val="7EFD0EA2"/>
    <w:rsid w:val="7F088721"/>
    <w:rsid w:val="7F1A43D5"/>
    <w:rsid w:val="7F2400E1"/>
    <w:rsid w:val="7F398F7D"/>
    <w:rsid w:val="7F40598F"/>
    <w:rsid w:val="7F47EDE2"/>
    <w:rsid w:val="7F601D50"/>
    <w:rsid w:val="7F662FCC"/>
    <w:rsid w:val="7F71E84D"/>
    <w:rsid w:val="7F762F13"/>
    <w:rsid w:val="7F7E5ADB"/>
    <w:rsid w:val="7F7E7C1E"/>
    <w:rsid w:val="7F968630"/>
    <w:rsid w:val="7F9BCBB8"/>
    <w:rsid w:val="7FA0FBDF"/>
    <w:rsid w:val="7FACA9FE"/>
    <w:rsid w:val="7FB0808D"/>
    <w:rsid w:val="7FBD2F87"/>
    <w:rsid w:val="7FD126D4"/>
    <w:rsid w:val="7FF96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A673EC24-5074-448E-A7FD-5DBE5A2F66D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3"/>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5D4741"/>
    <w:rPr>
      <w:color w:val="605E5C"/>
      <w:shd w:val="clear" w:color="auto" w:fill="E1DFDD"/>
    </w:rPr>
  </w:style>
  <w:style w:type="paragraph" w:styleId="FootnoteText">
    <w:name w:val="footnote text"/>
    <w:basedOn w:val="Normal"/>
    <w:link w:val="FootnoteTextChar"/>
    <w:uiPriority w:val="99"/>
    <w:unhideWhenUsed/>
    <w:rsid w:val="005D4741"/>
    <w:pPr>
      <w:spacing w:after="0" w:line="240" w:lineRule="auto"/>
    </w:pPr>
    <w:rPr>
      <w:sz w:val="20"/>
      <w:szCs w:val="20"/>
    </w:rPr>
  </w:style>
  <w:style w:type="character" w:customStyle="1" w:styleId="FootnoteTextChar">
    <w:name w:val="Footnote Text Char"/>
    <w:basedOn w:val="DefaultParagraphFont"/>
    <w:link w:val="FootnoteText"/>
    <w:uiPriority w:val="99"/>
    <w:rsid w:val="005D4741"/>
    <w:rPr>
      <w:sz w:val="20"/>
      <w:szCs w:val="20"/>
    </w:rPr>
  </w:style>
  <w:style w:type="character" w:styleId="FootnoteReference">
    <w:name w:val="footnote reference"/>
    <w:basedOn w:val="DefaultParagraphFont"/>
    <w:uiPriority w:val="99"/>
    <w:semiHidden/>
    <w:unhideWhenUsed/>
    <w:rsid w:val="005D4741"/>
    <w:rPr>
      <w:vertAlign w:val="superscript"/>
    </w:rPr>
  </w:style>
  <w:style w:type="paragraph" w:customStyle="1" w:styleId="Default">
    <w:name w:val="Default"/>
    <w:rsid w:val="00492477"/>
    <w:pPr>
      <w:autoSpaceDE w:val="0"/>
      <w:autoSpaceDN w:val="0"/>
      <w:adjustRightInd w:val="0"/>
      <w:spacing w:after="0" w:line="240" w:lineRule="auto"/>
    </w:pPr>
    <w:rPr>
      <w:rFonts w:ascii="Palatino Linotype" w:hAnsi="Palatino Linotype" w:cs="Palatino Linotype"/>
      <w:color w:val="000000"/>
      <w:kern w:val="0"/>
    </w:rPr>
  </w:style>
  <w:style w:type="character" w:styleId="FollowedHyperlink">
    <w:name w:val="FollowedHyperlink"/>
    <w:basedOn w:val="DefaultParagraphFont"/>
    <w:uiPriority w:val="99"/>
    <w:semiHidden/>
    <w:unhideWhenUsed/>
    <w:rsid w:val="0053769A"/>
    <w:rPr>
      <w:color w:val="96607D" w:themeColor="followedHyperlink"/>
      <w:u w:val="single"/>
    </w:rPr>
  </w:style>
  <w:style w:type="paragraph" w:customStyle="1" w:styleId="paragraph">
    <w:name w:val="paragraph"/>
    <w:basedOn w:val="Normal"/>
    <w:rsid w:val="0097454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1">
    <w:name w:val="toc 1"/>
    <w:basedOn w:val="Normal"/>
    <w:next w:val="Normal"/>
    <w:autoRedefine/>
    <w:uiPriority w:val="39"/>
    <w:unhideWhenUsed/>
    <w:rsid w:val="00333970"/>
    <w:pPr>
      <w:spacing w:after="100"/>
    </w:pPr>
    <w:rPr>
      <w:rFonts w:ascii="Century Gothic" w:hAnsi="Century Gothic" w:cs="Segoe UI"/>
      <w:kern w:val="0"/>
      <w14:ligatures w14:val="none"/>
    </w:rPr>
  </w:style>
  <w:style w:type="paragraph" w:styleId="Revision">
    <w:name w:val="Revision"/>
    <w:hidden/>
    <w:uiPriority w:val="99"/>
    <w:semiHidden/>
    <w:rsid w:val="005604CE"/>
    <w:pPr>
      <w:spacing w:after="0" w:line="240" w:lineRule="auto"/>
    </w:pPr>
  </w:style>
  <w:style w:type="table" w:styleId="TableGrid">
    <w:name w:val="Table Grid"/>
    <w:basedOn w:val="TableNormal"/>
    <w:uiPriority w:val="39"/>
    <w:rsid w:val="00C468ED"/>
    <w:pPr>
      <w:spacing w:after="0" w:line="240" w:lineRule="auto"/>
    </w:pPr>
    <w:rPr>
      <w:rFonts w:ascii="Century Gothic" w:hAnsi="Century Gothic" w:cs="Segoe UI"/>
      <w:bCs/>
      <w:kern w:val="0"/>
      <w14:ligatures w14:val="none"/>
    </w:rPr>
    <w:tblPr/>
  </w:style>
  <w:style w:type="character" w:styleId="Mention">
    <w:name w:val="Mention"/>
    <w:basedOn w:val="DefaultParagraphFont"/>
    <w:uiPriority w:val="99"/>
    <w:unhideWhenUsed/>
    <w:rsid w:val="00B63595"/>
    <w:rPr>
      <w:color w:val="2B579A"/>
      <w:shd w:val="clear" w:color="auto" w:fill="E1DFDD"/>
    </w:rPr>
  </w:style>
  <w:style w:type="table" w:customStyle="1" w:styleId="TableGrid1">
    <w:name w:val="Table Grid1"/>
    <w:basedOn w:val="TableNormal"/>
    <w:next w:val="TableGrid"/>
    <w:uiPriority w:val="39"/>
    <w:rsid w:val="004C5DBB"/>
    <w:pPr>
      <w:spacing w:after="0" w:line="240" w:lineRule="auto"/>
    </w:pPr>
    <w:rPr>
      <w:rFonts w:ascii="Century Gothic" w:hAnsi="Century Gothic" w:cs="Segoe UI"/>
      <w:bCs/>
      <w:kern w:val="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16147686">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626743859">
      <w:bodyDiv w:val="1"/>
      <w:marLeft w:val="0"/>
      <w:marRight w:val="0"/>
      <w:marTop w:val="0"/>
      <w:marBottom w:val="0"/>
      <w:divBdr>
        <w:top w:val="none" w:sz="0" w:space="0" w:color="auto"/>
        <w:left w:val="none" w:sz="0" w:space="0" w:color="auto"/>
        <w:bottom w:val="none" w:sz="0" w:space="0" w:color="auto"/>
        <w:right w:val="none" w:sz="0" w:space="0" w:color="auto"/>
      </w:divBdr>
    </w:div>
    <w:div w:id="922643489">
      <w:bodyDiv w:val="1"/>
      <w:marLeft w:val="0"/>
      <w:marRight w:val="0"/>
      <w:marTop w:val="0"/>
      <w:marBottom w:val="0"/>
      <w:divBdr>
        <w:top w:val="none" w:sz="0" w:space="0" w:color="auto"/>
        <w:left w:val="none" w:sz="0" w:space="0" w:color="auto"/>
        <w:bottom w:val="none" w:sz="0" w:space="0" w:color="auto"/>
        <w:right w:val="none" w:sz="0" w:space="0" w:color="auto"/>
      </w:divBdr>
    </w:div>
    <w:div w:id="1335648547">
      <w:bodyDiv w:val="1"/>
      <w:marLeft w:val="0"/>
      <w:marRight w:val="0"/>
      <w:marTop w:val="0"/>
      <w:marBottom w:val="0"/>
      <w:divBdr>
        <w:top w:val="none" w:sz="0" w:space="0" w:color="auto"/>
        <w:left w:val="none" w:sz="0" w:space="0" w:color="auto"/>
        <w:bottom w:val="none" w:sz="0" w:space="0" w:color="auto"/>
        <w:right w:val="none" w:sz="0" w:space="0" w:color="auto"/>
      </w:divBdr>
    </w:div>
    <w:div w:id="1399203231">
      <w:bodyDiv w:val="1"/>
      <w:marLeft w:val="0"/>
      <w:marRight w:val="0"/>
      <w:marTop w:val="0"/>
      <w:marBottom w:val="0"/>
      <w:divBdr>
        <w:top w:val="none" w:sz="0" w:space="0" w:color="auto"/>
        <w:left w:val="none" w:sz="0" w:space="0" w:color="auto"/>
        <w:bottom w:val="none" w:sz="0" w:space="0" w:color="auto"/>
        <w:right w:val="none" w:sz="0" w:space="0" w:color="auto"/>
      </w:divBdr>
    </w:div>
    <w:div w:id="20522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puc.ca.gov/PublishedDocs/Published/G000/M520/K896/520896345.pdf" TargetMode="External"/><Relationship Id="rId21" Type="http://schemas.openxmlformats.org/officeDocument/2006/relationships/hyperlink" Target="https://docs.cpuc.ca.gov/PublishedDocs/Published/G000/M531/K559/531559739.PDF" TargetMode="External"/><Relationship Id="rId42" Type="http://schemas.openxmlformats.org/officeDocument/2006/relationships/hyperlink" Target="https://docs.cpuc.ca.gov/PublishedDocs/Published/G000/M531/K559/531559739.PDF" TargetMode="External"/><Relationship Id="rId47" Type="http://schemas.openxmlformats.org/officeDocument/2006/relationships/hyperlink" Target="https://docs.cpuc.ca.gov/PublishedDocs/Published/G000/M507/K499/507499284.PDF" TargetMode="External"/><Relationship Id="rId63" Type="http://schemas.openxmlformats.org/officeDocument/2006/relationships/hyperlink" Target="https://docs.cpuc.ca.gov/PublishedDocs/Published/G000/M461/K921/461921821.PDF" TargetMode="External"/><Relationship Id="rId6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cs.cpuc.ca.gov/PublishedDocs/Published/G000/M520/K896/520896345.pdf" TargetMode="External"/><Relationship Id="rId11" Type="http://schemas.openxmlformats.org/officeDocument/2006/relationships/header" Target="header1.xml"/><Relationship Id="rId24" Type="http://schemas.openxmlformats.org/officeDocument/2006/relationships/hyperlink" Target="https://docs.cpuc.ca.gov/PublishedDocs/Published/G000/M310/K136/310136145.PDF" TargetMode="External"/><Relationship Id="rId32" Type="http://schemas.openxmlformats.org/officeDocument/2006/relationships/hyperlink" Target="https://docs.cpuc.ca.gov/PublishedDocs/Published/G000/M507/K499/507499284.PDF" TargetMode="External"/><Relationship Id="rId37" Type="http://schemas.openxmlformats.org/officeDocument/2006/relationships/hyperlink" Target="https://docs.cpuc.ca.gov/PublishedDocs/Published/G000/M531/K559/531559739.PDF" TargetMode="External"/><Relationship Id="rId40" Type="http://schemas.openxmlformats.org/officeDocument/2006/relationships/hyperlink" Target="https://docs.cpuc.ca.gov/PublishedDocs/Published/G000/M503/K914/503914324.PDF" TargetMode="External"/><Relationship Id="rId45" Type="http://schemas.openxmlformats.org/officeDocument/2006/relationships/hyperlink" Target="https://docs.cpuc.ca.gov/PublishedDocs/Published/G000/M372/K329/372329202.PDF" TargetMode="External"/><Relationship Id="rId53" Type="http://schemas.openxmlformats.org/officeDocument/2006/relationships/hyperlink" Target="https://docs.cpuc.ca.gov/PublishedDocs/Published/G000/M521/K196/521196139.PDF" TargetMode="External"/><Relationship Id="rId58" Type="http://schemas.openxmlformats.org/officeDocument/2006/relationships/hyperlink" Target="https://www.gov.ca.gov/wp-content/uploads/2024/10/energy-EO-10-30-24.pdf" TargetMode="External"/><Relationship Id="rId66" Type="http://schemas.openxmlformats.org/officeDocument/2006/relationships/hyperlink" Target="https://docs.cpuc.ca.gov/PublishedDocs/Published/G000/M521/K196/521196139.PDF"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cs.cpuc.ca.gov/PublishedDocs/Published/G000/M350/K789/350789679.PDF" TargetMode="Externa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hyperlink" Target="https://docs.cpuc.ca.gov/PublishedDocs/Published/G000/M531/K559/531559739.PDF" TargetMode="External"/><Relationship Id="rId27" Type="http://schemas.openxmlformats.org/officeDocument/2006/relationships/hyperlink" Target="https://docs.cpuc.ca.gov/PublishedDocs/Published/G000/M503/K914/503914324.PDF" TargetMode="External"/><Relationship Id="rId30" Type="http://schemas.openxmlformats.org/officeDocument/2006/relationships/hyperlink" Target="https://docs.cpuc.ca.gov/PublishedDocs/Published/G000/M503/K914/503914324.PDF" TargetMode="External"/><Relationship Id="rId35" Type="http://schemas.openxmlformats.org/officeDocument/2006/relationships/hyperlink" Target="https://docs.cpuc.ca.gov/PublishedDocs/Published/G000/M316/K704/316704666.PDF" TargetMode="External"/><Relationship Id="rId43" Type="http://schemas.openxmlformats.org/officeDocument/2006/relationships/hyperlink" Target="https://docs.cpuc.ca.gov/PublishedDocs/Published/G000/M507/K499/507499284.PDF" TargetMode="External"/><Relationship Id="rId48" Type="http://schemas.openxmlformats.org/officeDocument/2006/relationships/hyperlink" Target="https://docs.cpuc.ca.gov/PublishedDocs/Published/G000/M520/K896/520896345.pdf" TargetMode="External"/><Relationship Id="rId56" Type="http://schemas.openxmlformats.org/officeDocument/2006/relationships/hyperlink" Target="https://docs.cpuc.ca.gov/PublishedDocs/Published/G000/M520/K896/520896345.pdf" TargetMode="External"/><Relationship Id="rId64" Type="http://schemas.openxmlformats.org/officeDocument/2006/relationships/hyperlink" Target="https://www.cpuc.ca.gov/-/media/cpuc-website/divisions/news-and-outreach/documents/news-office/key-issues/esj/esj-action-plan-v2jw.pdf" TargetMode="External"/><Relationship Id="rId69" Type="http://schemas.openxmlformats.org/officeDocument/2006/relationships/hyperlink" Target="https://docs.cpuc.ca.gov/PublishedDocs/Published/G000/M520/K896/520896345.pdf" TargetMode="External"/><Relationship Id="rId8" Type="http://schemas.openxmlformats.org/officeDocument/2006/relationships/webSettings" Target="webSettings.xml"/><Relationship Id="rId51" Type="http://schemas.openxmlformats.org/officeDocument/2006/relationships/hyperlink" Target="https://docs.cpuc.ca.gov/PublishedDocs/Published/G000/M461/K921/461921821.PDF" TargetMode="Externa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cs.cpuc.ca.gov/PublishedDocs/Published/G000/M350/K789/350789679.PDF" TargetMode="External"/><Relationship Id="rId33" Type="http://schemas.openxmlformats.org/officeDocument/2006/relationships/hyperlink" Target="https://docs.cpuc.ca.gov/PublishedDocs/Published/G000/M503/K914/503914324.PDF" TargetMode="External"/><Relationship Id="rId38" Type="http://schemas.openxmlformats.org/officeDocument/2006/relationships/hyperlink" Target="https://docs.cpuc.ca.gov/PublishedDocs/Published/G000/M520/K896/520896345.pdf" TargetMode="External"/><Relationship Id="rId46" Type="http://schemas.openxmlformats.org/officeDocument/2006/relationships/hyperlink" Target="https://docs.cpuc.ca.gov/PublishedDocs/Published/G000/M521/K196/521196139.PDF" TargetMode="External"/><Relationship Id="rId59" Type="http://schemas.openxmlformats.org/officeDocument/2006/relationships/hyperlink" Target="https://docs.cpuc.ca.gov/PublishedDocs/Published/G000/M520/K896/520896345.pdf" TargetMode="External"/><Relationship Id="rId67" Type="http://schemas.openxmlformats.org/officeDocument/2006/relationships/hyperlink" Target="https://docs.cpuc.ca.gov/PublishedDocs/Published/G000/M081/K773/81773445.PDF" TargetMode="External"/><Relationship Id="rId20" Type="http://schemas.openxmlformats.org/officeDocument/2006/relationships/hyperlink" Target="https://www.gov.ca.gov/wp-content/uploads/2024/10/energy-EO-10-30-24.pdf" TargetMode="External"/><Relationship Id="rId41" Type="http://schemas.openxmlformats.org/officeDocument/2006/relationships/hyperlink" Target="https://docs.cpuc.ca.gov/PublishedDocs/Published/G000/M521/K196/521196139.PDF" TargetMode="External"/><Relationship Id="rId54" Type="http://schemas.openxmlformats.org/officeDocument/2006/relationships/hyperlink" Target="https://docs.cpuc.ca.gov/PublishedDocs/Published/G000/M531/K559/531559739.PDF" TargetMode="External"/><Relationship Id="rId62" Type="http://schemas.openxmlformats.org/officeDocument/2006/relationships/hyperlink" Target="https://docs.cpuc.ca.gov/PublishedDocs/Published/G000/M372/K329/372329202.PDF" TargetMode="External"/><Relationship Id="rId70" Type="http://schemas.openxmlformats.org/officeDocument/2006/relationships/hyperlink" Target="https://docs.cpuc.ca.gov/PublishedDocs/Published/G000/M520/K896/520896345.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docs.cpuc.ca.gov/PublishedDocs/Published/G000/M264/K677/264677853.PDF" TargetMode="External"/><Relationship Id="rId28" Type="http://schemas.openxmlformats.org/officeDocument/2006/relationships/hyperlink" Target="https://docs.cpuc.ca.gov/PublishedDocs/Published/G000/M531/K559/531559739.PDF" TargetMode="External"/><Relationship Id="rId36" Type="http://schemas.openxmlformats.org/officeDocument/2006/relationships/hyperlink" Target="https://docs.cpuc.ca.gov/PublishedDocs/Published/G000/M521/K196/521196139.PDF" TargetMode="External"/><Relationship Id="rId49" Type="http://schemas.openxmlformats.org/officeDocument/2006/relationships/hyperlink" Target="http://docs.cpuc.ca.gov/PublishedDocs/WORD_PDF/FINAL_DECISION/39314.PDF" TargetMode="External"/><Relationship Id="rId57" Type="http://schemas.openxmlformats.org/officeDocument/2006/relationships/hyperlink" Target="https://docs.cpuc.ca.gov/PublishedDocs/Published/G000/M316/K704/316704666.PDF" TargetMode="External"/><Relationship Id="rId10" Type="http://schemas.openxmlformats.org/officeDocument/2006/relationships/endnotes" Target="endnotes.xml"/><Relationship Id="rId31" Type="http://schemas.openxmlformats.org/officeDocument/2006/relationships/hyperlink" Target="https://docs.cpuc.ca.gov/PublishedDocs/Published/G000/M531/K559/531559739.PDF" TargetMode="External"/><Relationship Id="rId44" Type="http://schemas.openxmlformats.org/officeDocument/2006/relationships/hyperlink" Target="https://acrobat.adobe.com/id/urn:aaid:sc:VA6C2:99c90760-e561-4a95-8fbe-82192adb864b" TargetMode="External"/><Relationship Id="rId52" Type="http://schemas.openxmlformats.org/officeDocument/2006/relationships/hyperlink" Target="https://docs.cpuc.ca.gov/PublishedDocs/Published/G000/M503/K914/503914324.PDF" TargetMode="External"/><Relationship Id="rId60" Type="http://schemas.openxmlformats.org/officeDocument/2006/relationships/hyperlink" Target="https://docs.cpuc.ca.gov/PublishedDocs/Published/G000/M310/K136/310136145.PDF" TargetMode="External"/><Relationship Id="rId65" Type="http://schemas.openxmlformats.org/officeDocument/2006/relationships/hyperlink" Target="https://docs.cpuc.ca.gov/PublishedDocs/Published/G000/M503/K914/503914324.PDF" TargetMode="External"/><Relationship Id="rId73"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docs.cpuc.ca.gov/PublishedDocs/Published/G000/M461/K921/461921821.PDF" TargetMode="External"/><Relationship Id="rId34" Type="http://schemas.openxmlformats.org/officeDocument/2006/relationships/hyperlink" Target="https://docs.cpuc.ca.gov/PublishedDocs/Published/G000/M520/K896/520896345.pdf" TargetMode="External"/><Relationship Id="rId50" Type="http://schemas.openxmlformats.org/officeDocument/2006/relationships/hyperlink" Target="https://docs.cpuc.ca.gov/PublishedDocs/Published/G000/M372/K329/372329202.PDF" TargetMode="External"/><Relationship Id="rId55" Type="http://schemas.openxmlformats.org/officeDocument/2006/relationships/hyperlink" Target="https://docs.cpuc.ca.gov/PublishedDocs/Published/G000/M507/K499/507499284.PDF" TargetMode="External"/><Relationship Id="rId76"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eader" Target="header5.xml"/></Relationships>
</file>

<file path=word/_rels/footnotes.xml.rels><?xml version="1.0" encoding="UTF-8" standalone="yes"?>
<Relationships xmlns="http://schemas.openxmlformats.org/package/2006/relationships"><Relationship Id="rId117" Type="http://schemas.openxmlformats.org/officeDocument/2006/relationships/hyperlink" Target="https://docs.cpuc.ca.gov/PublishedDocs/Published/G000/M316/K704/316704666.PDF" TargetMode="External"/><Relationship Id="rId21" Type="http://schemas.openxmlformats.org/officeDocument/2006/relationships/hyperlink" Target="https://docs.cpuc.ca.gov/PublishedDocs/Published/G000/M520/K896/520896345.pdf" TargetMode="External"/><Relationship Id="rId42" Type="http://schemas.openxmlformats.org/officeDocument/2006/relationships/hyperlink" Target="https://docs.cpuc.ca.gov/PublishedDocs/Published/G000/M521/K196/521196139.PDF" TargetMode="External"/><Relationship Id="rId63" Type="http://schemas.openxmlformats.org/officeDocument/2006/relationships/hyperlink" Target="https://acrobat.adobe.com/id/urn:aaid:sc:VA6C2:99c90760-e561-4a95-8fbe-82192adb864b?viewer%21megaVerb=group-discover" TargetMode="External"/><Relationship Id="rId84" Type="http://schemas.openxmlformats.org/officeDocument/2006/relationships/hyperlink" Target="https://apps.cpuc.ca.gov/apex/f?p=401:56::::RP,57,RIR:P5_PROCEEDING_SELECT:R1302008" TargetMode="External"/><Relationship Id="rId138" Type="http://schemas.openxmlformats.org/officeDocument/2006/relationships/hyperlink" Target="https://www.pge.com/content/dam/pge/docs/about/pge-systems/2024-gas-annual-research-report.pdf" TargetMode="External"/><Relationship Id="rId107" Type="http://schemas.openxmlformats.org/officeDocument/2006/relationships/hyperlink" Target="https://www.pge.com/content/dam/pge/docs/about/pge-systems/Gas-RD-Annual-Report.pdf" TargetMode="External"/><Relationship Id="rId11" Type="http://schemas.openxmlformats.org/officeDocument/2006/relationships/hyperlink" Target="https://docs.cpuc.ca.gov/PublishedDocs/Published/G000/M520/K896/520896345.pdf" TargetMode="External"/><Relationship Id="rId32" Type="http://schemas.openxmlformats.org/officeDocument/2006/relationships/hyperlink" Target="https://docs.cpuc.ca.gov/PublishedDocs/Published/G000/M520/K896/520896345.pdf" TargetMode="External"/><Relationship Id="rId53" Type="http://schemas.openxmlformats.org/officeDocument/2006/relationships/hyperlink" Target="https://docs.cpuc.ca.gov/PublishedDocs/Published/G000/M520/K896/520896345.pdf" TargetMode="External"/><Relationship Id="rId74" Type="http://schemas.openxmlformats.org/officeDocument/2006/relationships/hyperlink" Target="https://www.pge.com/tariffs/assets/pdf/tariffbook/GAS_PRELIM_GA.pdf" TargetMode="External"/><Relationship Id="rId128" Type="http://schemas.openxmlformats.org/officeDocument/2006/relationships/hyperlink" Target="https://docs.cpuc.ca.gov/PublishedDocs/Published/G000/M461/K921/461921821.PDF" TargetMode="External"/><Relationship Id="rId149" Type="http://schemas.openxmlformats.org/officeDocument/2006/relationships/hyperlink" Target="https://docs.cpuc.ca.gov/PublishedDocs/Published/G000/M500/K055/500055657.PDF" TargetMode="External"/><Relationship Id="rId5" Type="http://schemas.openxmlformats.org/officeDocument/2006/relationships/hyperlink" Target="https://docs.cpuc.ca.gov/PublishedDocs/Published/G000/M520/K896/520896345.pdf" TargetMode="External"/><Relationship Id="rId95" Type="http://schemas.openxmlformats.org/officeDocument/2006/relationships/hyperlink" Target="https://docs.cpuc.ca.gov/PublishedDocs/Published/G000/M316/K704/316704666.PDF" TargetMode="External"/><Relationship Id="rId22" Type="http://schemas.openxmlformats.org/officeDocument/2006/relationships/hyperlink" Target="https://docs.cpuc.ca.gov/PublishedDocs/Published/G000/M520/K896/520896345.pdf" TargetMode="External"/><Relationship Id="rId27" Type="http://schemas.openxmlformats.org/officeDocument/2006/relationships/hyperlink" Target="https://docs.cpuc.ca.gov/PublishedDocs/Published/G000/M520/K896/520896345.pdf" TargetMode="External"/><Relationship Id="rId43" Type="http://schemas.openxmlformats.org/officeDocument/2006/relationships/hyperlink" Target="https://docs.cpuc.ca.gov/PublishedDocs/Published/G000/M507/K499/507499284.PDF" TargetMode="External"/><Relationship Id="rId48" Type="http://schemas.openxmlformats.org/officeDocument/2006/relationships/hyperlink" Target="https://docs.cpuc.ca.gov/PublishedDocs/Published/G000/M527/K228/527228647.PDF" TargetMode="External"/><Relationship Id="rId64" Type="http://schemas.openxmlformats.org/officeDocument/2006/relationships/hyperlink" Target="https://docs.cpuc.ca.gov/PublishedDocs/Published/G000/M520/K896/520896345.pdf" TargetMode="External"/><Relationship Id="rId69" Type="http://schemas.openxmlformats.org/officeDocument/2006/relationships/hyperlink" Target="https://docs.cpuc.ca.gov/PublishedDocs/WORD_PDF/FINAL_DECISION/39314.PDF" TargetMode="External"/><Relationship Id="rId113" Type="http://schemas.openxmlformats.org/officeDocument/2006/relationships/hyperlink" Target="https://docs.cpuc.ca.gov/PublishedDocs/Published/G000/M520/K896/520896345.pdf" TargetMode="External"/><Relationship Id="rId118" Type="http://schemas.openxmlformats.org/officeDocument/2006/relationships/hyperlink" Target="https://apps.cpuc.ca.gov/apex/f?p=401:56::::RP,57,RIR:P5_PROCEEDING_SELECT:R1302008" TargetMode="External"/><Relationship Id="rId134" Type="http://schemas.openxmlformats.org/officeDocument/2006/relationships/hyperlink" Target="https://www.pge.com/content/dam/pge/docs/about/pge-systems/2024-gas-annual-research-report.pdf" TargetMode="External"/><Relationship Id="rId139" Type="http://schemas.openxmlformats.org/officeDocument/2006/relationships/hyperlink" Target="https://docs.cpuc.ca.gov/PublishedDocs/Published/G000/M520/K896/520896345.pdf" TargetMode="External"/><Relationship Id="rId80" Type="http://schemas.openxmlformats.org/officeDocument/2006/relationships/hyperlink" Target="https://docs.cpuc.ca.gov/PublishedDocs/Published/G000/M316/K704/316704666.PDF" TargetMode="External"/><Relationship Id="rId85" Type="http://schemas.openxmlformats.org/officeDocument/2006/relationships/hyperlink" Target="https://docs.cpuc.ca.gov/PublishedDocs/Published/G000/M520/K896/520896345.pdf" TargetMode="External"/><Relationship Id="rId12" Type="http://schemas.openxmlformats.org/officeDocument/2006/relationships/hyperlink" Target="https://docs.cpuc.ca.gov/PublishedDocs/Published/G000/M520/K896/520896345.pdf" TargetMode="External"/><Relationship Id="rId17" Type="http://schemas.openxmlformats.org/officeDocument/2006/relationships/hyperlink" Target="https://docs.cpuc.ca.gov/PublishedDocs/Published/G000/M520/K896/520896345.pdf" TargetMode="External"/><Relationship Id="rId33" Type="http://schemas.openxmlformats.org/officeDocument/2006/relationships/hyperlink" Target="https://docs.cpuc.ca.gov/PublishedDocs/Published/G000/M520/K896/520896345.pdf" TargetMode="External"/><Relationship Id="rId38" Type="http://schemas.openxmlformats.org/officeDocument/2006/relationships/hyperlink" Target="https://docs.cpuc.ca.gov/PublishedDocs/Published/G000/M520/K896/520896345.pdf" TargetMode="External"/><Relationship Id="rId59" Type="http://schemas.openxmlformats.org/officeDocument/2006/relationships/hyperlink" Target="https://docs.cpuc.ca.gov/PublishedDocs/Published/G000/M520/K896/520896345.pdf" TargetMode="External"/><Relationship Id="rId103" Type="http://schemas.openxmlformats.org/officeDocument/2006/relationships/hyperlink" Target="https://docs.cpuc.ca.gov/PublishedDocs/Published/G000/M520/K896/520896345.pdf" TargetMode="External"/><Relationship Id="rId108" Type="http://schemas.openxmlformats.org/officeDocument/2006/relationships/hyperlink" Target="https://www.sce.com/sites/default/files/inline-files/EPIC_ApplicationsforApproval_TriennialInvestmentPlans.pdf" TargetMode="External"/><Relationship Id="rId124" Type="http://schemas.openxmlformats.org/officeDocument/2006/relationships/hyperlink" Target="https://acrobat.adobe.com/id/urn:aaid:sc:VA6C2:99c90760-e561-4a95-8fbe-82192adb864b?viewer%21megaVerb=group-discover" TargetMode="External"/><Relationship Id="rId129" Type="http://schemas.openxmlformats.org/officeDocument/2006/relationships/hyperlink" Target="https://docs.cpuc.ca.gov/PublishedDocs/Published/G000/M520/K896/520896345.pdf" TargetMode="External"/><Relationship Id="rId54" Type="http://schemas.openxmlformats.org/officeDocument/2006/relationships/hyperlink" Target="https://docs.cpuc.ca.gov/PublishedDocs/Published/G000/M316/K704/316704666.PDF" TargetMode="External"/><Relationship Id="rId70" Type="http://schemas.openxmlformats.org/officeDocument/2006/relationships/hyperlink" Target="https://docs.cpuc.ca.gov/PublishedDocs/Published/G000/M372/K329/372329202.PDF" TargetMode="External"/><Relationship Id="rId75" Type="http://schemas.openxmlformats.org/officeDocument/2006/relationships/hyperlink" Target="https://docs.cpuc.ca.gov/PublishedDocs/Published/G000/M521/K196/521196139.PDF" TargetMode="External"/><Relationship Id="rId91" Type="http://schemas.openxmlformats.org/officeDocument/2006/relationships/hyperlink" Target="https://docs.cpuc.ca.gov/PublishedDocs/Published/G000/M520/K896/520896345.pdf" TargetMode="External"/><Relationship Id="rId96" Type="http://schemas.openxmlformats.org/officeDocument/2006/relationships/hyperlink" Target="https://docs.cpuc.ca.gov/PublishedDocs/Published/G000/M520/K896/520896345.pdf" TargetMode="External"/><Relationship Id="rId140" Type="http://schemas.openxmlformats.org/officeDocument/2006/relationships/hyperlink" Target="https://docs.cpuc.ca.gov/PublishedDocs/Published/G000/M520/K896/520896345.pdf" TargetMode="External"/><Relationship Id="rId145" Type="http://schemas.openxmlformats.org/officeDocument/2006/relationships/hyperlink" Target="https://docs.cpuc.ca.gov/PublishedDocs/Published/G000/M521/K196/521196139.PDF" TargetMode="External"/><Relationship Id="rId1" Type="http://schemas.openxmlformats.org/officeDocument/2006/relationships/hyperlink" Target="https://docs.cpuc.ca.gov/PublishedDocs/Published/G000/M520/K896/520896345.pdf" TargetMode="External"/><Relationship Id="rId6" Type="http://schemas.openxmlformats.org/officeDocument/2006/relationships/hyperlink" Target="https://docs.cpuc.ca.gov/PublishedDocs/Published/G000/M520/K896/520896345.pdf" TargetMode="External"/><Relationship Id="rId23" Type="http://schemas.openxmlformats.org/officeDocument/2006/relationships/hyperlink" Target="https://docs.cpuc.ca.gov/PublishedDocs/Published/G000/M520/K896/520896345.pdf" TargetMode="External"/><Relationship Id="rId28" Type="http://schemas.openxmlformats.org/officeDocument/2006/relationships/hyperlink" Target="https://docs.cpuc.ca.gov/PublishedDocs/Published/G000/M507/K499/507499284.PDF" TargetMode="External"/><Relationship Id="rId49" Type="http://schemas.openxmlformats.org/officeDocument/2006/relationships/hyperlink" Target="https://docs.cpuc.ca.gov/PublishedDocs/Published/G000/M542/K029/542029029.PDF" TargetMode="External"/><Relationship Id="rId114" Type="http://schemas.openxmlformats.org/officeDocument/2006/relationships/hyperlink" Target="https://docs.cpuc.ca.gov/PublishedDocs/Published/G000/M316/K704/316704666.PDF" TargetMode="External"/><Relationship Id="rId119" Type="http://schemas.openxmlformats.org/officeDocument/2006/relationships/hyperlink" Target="https://docs.cpuc.ca.gov/PublishedDocs/Published/G000/M520/K896/520896345.pdf" TargetMode="External"/><Relationship Id="rId44" Type="http://schemas.openxmlformats.org/officeDocument/2006/relationships/hyperlink" Target="https://docs.cpuc.ca.gov/PublishedDocs/Published/G000/M531/K559/531559739.PDF" TargetMode="External"/><Relationship Id="rId60" Type="http://schemas.openxmlformats.org/officeDocument/2006/relationships/hyperlink" Target="https://docs.cpuc.ca.gov/PublishedDocs/Published/G000/M520/K896/520896345.pdf" TargetMode="External"/><Relationship Id="rId65" Type="http://schemas.openxmlformats.org/officeDocument/2006/relationships/hyperlink" Target="https://docs.cpuc.ca.gov/PublishedDocs/Published/G000/M521/K196/521196139.PDF" TargetMode="External"/><Relationship Id="rId81" Type="http://schemas.openxmlformats.org/officeDocument/2006/relationships/hyperlink" Target="https://docs.cpuc.ca.gov/PublishedDocs/Published/G000/M520/K896/520896345.pdf" TargetMode="External"/><Relationship Id="rId86" Type="http://schemas.openxmlformats.org/officeDocument/2006/relationships/hyperlink" Target="https://docs.cpuc.ca.gov/PublishedDocs/Published/G000/M461/K921/461921821.PDF" TargetMode="External"/><Relationship Id="rId130" Type="http://schemas.openxmlformats.org/officeDocument/2006/relationships/hyperlink" Target="https://docs.cpuc.ca.gov/PublishedDocs/Published/G000/M520/K896/520896345.pdf" TargetMode="External"/><Relationship Id="rId135" Type="http://schemas.openxmlformats.org/officeDocument/2006/relationships/hyperlink" Target="https://www.pge.com/content/dam/pge/docs/about/pge-systems/2024-gas-annual-research-report.pdf" TargetMode="External"/><Relationship Id="rId13" Type="http://schemas.openxmlformats.org/officeDocument/2006/relationships/hyperlink" Target="https://docs.cpuc.ca.gov/PublishedDocs/Published/G000/M520/K896/520896345.pdf" TargetMode="External"/><Relationship Id="rId18" Type="http://schemas.openxmlformats.org/officeDocument/2006/relationships/hyperlink" Target="https://docs.cpuc.ca.gov/PublishedDocs/Published/G000/M520/K896/520896345.pdf" TargetMode="External"/><Relationship Id="rId39" Type="http://schemas.openxmlformats.org/officeDocument/2006/relationships/hyperlink" Target="https://docs.cpuc.ca.gov/PublishedDocs/Published/G000/M520/K896/520896345.pdf" TargetMode="External"/><Relationship Id="rId109" Type="http://schemas.openxmlformats.org/officeDocument/2006/relationships/hyperlink" Target="https://docs.cpuc.ca.gov/PublishedDocs/Published/G000/M461/K921/461921821.PDF" TargetMode="External"/><Relationship Id="rId34" Type="http://schemas.openxmlformats.org/officeDocument/2006/relationships/hyperlink" Target="https://docs.cpuc.ca.gov/PublishedDocs/Published/G000/M520/K896/520896345.pdf" TargetMode="External"/><Relationship Id="rId50" Type="http://schemas.openxmlformats.org/officeDocument/2006/relationships/hyperlink" Target="https://docs.cpuc.ca.gov/PublishedDocs/Published/G000/M520/K896/520896345.pdf" TargetMode="External"/><Relationship Id="rId55" Type="http://schemas.openxmlformats.org/officeDocument/2006/relationships/hyperlink" Target="https://docs.cpuc.ca.gov/PublishedDocs/Published/G000/M520/K896/520896345.pdf" TargetMode="External"/><Relationship Id="rId76" Type="http://schemas.openxmlformats.org/officeDocument/2006/relationships/hyperlink" Target="https://docs.cpuc.ca.gov/PublishedDocs/Published/G000/M507/K499/507499284.PDF" TargetMode="External"/><Relationship Id="rId97" Type="http://schemas.openxmlformats.org/officeDocument/2006/relationships/hyperlink" Target="https://www.pge.com/content/dam/pge/docs/about/pge-systems/Gas-RD-Annual-Report.pdf" TargetMode="External"/><Relationship Id="rId104" Type="http://schemas.openxmlformats.org/officeDocument/2006/relationships/hyperlink" Target="https://docs.cpuc.ca.gov/PublishedDocs/Published/G000/M520/K896/520896345.pdf" TargetMode="External"/><Relationship Id="rId120" Type="http://schemas.openxmlformats.org/officeDocument/2006/relationships/hyperlink" Target="https://docs.cpuc.ca.gov/PublishedDocs/Published/G000/M461/K921/461921821.PDF" TargetMode="External"/><Relationship Id="rId125" Type="http://schemas.openxmlformats.org/officeDocument/2006/relationships/hyperlink" Target="https://docs.cpuc.ca.gov/PublishedDocs/Published/G000/M520/K896/520896345.pdf" TargetMode="External"/><Relationship Id="rId141" Type="http://schemas.openxmlformats.org/officeDocument/2006/relationships/hyperlink" Target="https://docs.cpuc.ca.gov/PublishedDocs/Published/G000/M520/K896/520896345.pdf" TargetMode="External"/><Relationship Id="rId146" Type="http://schemas.openxmlformats.org/officeDocument/2006/relationships/hyperlink" Target="https://docs.cpuc.ca.gov/PublishedDocs/Published/G000/M461/K921/461921821.PDF" TargetMode="External"/><Relationship Id="rId7" Type="http://schemas.openxmlformats.org/officeDocument/2006/relationships/hyperlink" Target="https://docs.cpuc.ca.gov/PublishedDocs/Published/G000/M520/K896/520896345.pdf" TargetMode="External"/><Relationship Id="rId71" Type="http://schemas.openxmlformats.org/officeDocument/2006/relationships/hyperlink" Target="https://docs.cpuc.ca.gov/PublishedDocs/Published/G000/M461/K921/461921821.PDF" TargetMode="External"/><Relationship Id="rId92" Type="http://schemas.openxmlformats.org/officeDocument/2006/relationships/hyperlink" Target="https://docs.cpuc.ca.gov/PublishedDocs/Published/G000/M461/K921/461921821.PDF" TargetMode="External"/><Relationship Id="rId2" Type="http://schemas.openxmlformats.org/officeDocument/2006/relationships/hyperlink" Target="https://docs.cpuc.ca.gov/PublishedDocs/Published/G000/M350/K789/350789679.PDF" TargetMode="External"/><Relationship Id="rId29" Type="http://schemas.openxmlformats.org/officeDocument/2006/relationships/hyperlink" Target="https://docs.cpuc.ca.gov/PublishedDocs/Published/G000/M521/K196/521196139.PDF" TargetMode="External"/><Relationship Id="rId24" Type="http://schemas.openxmlformats.org/officeDocument/2006/relationships/hyperlink" Target="https://docs.cpuc.ca.gov/PublishedDocs/Published/G000/M520/K896/520896345.pdf" TargetMode="External"/><Relationship Id="rId40" Type="http://schemas.openxmlformats.org/officeDocument/2006/relationships/hyperlink" Target="https://docs.cpuc.ca.gov/PublishedDocs/Published/G000/M520/K896/520896345.pdf" TargetMode="External"/><Relationship Id="rId45" Type="http://schemas.openxmlformats.org/officeDocument/2006/relationships/hyperlink" Target="https://www.cpuc.ca.gov/-/media/cpuc-website/divisions/news-and-outreach/documents/news-office/key-issues/esj/esj-action-plan-v2jw.pdf" TargetMode="External"/><Relationship Id="rId66" Type="http://schemas.openxmlformats.org/officeDocument/2006/relationships/hyperlink" Target="https://docs.cpuc.ca.gov/PublishedDocs/Published/G000/M503/K914/503914324.PDF" TargetMode="External"/><Relationship Id="rId87" Type="http://schemas.openxmlformats.org/officeDocument/2006/relationships/hyperlink" Target="https://docs.cpuc.ca.gov/PublishedDocs/Published/G000/M507/K499/507499284.PDF" TargetMode="External"/><Relationship Id="rId110" Type="http://schemas.openxmlformats.org/officeDocument/2006/relationships/hyperlink" Target="https://docs.cpuc.ca.gov/PublishedDocs/Published/G000/M531/K559/531559739.PDF" TargetMode="External"/><Relationship Id="rId115" Type="http://schemas.openxmlformats.org/officeDocument/2006/relationships/hyperlink" Target="https://docs.cpuc.ca.gov/PublishedDocs/Published/G000/M520/K896/520896345.pdf" TargetMode="External"/><Relationship Id="rId131" Type="http://schemas.openxmlformats.org/officeDocument/2006/relationships/hyperlink" Target="https://docs.cpuc.ca.gov/PublishedDocs/Published/G000/M316/K704/316704666.PDF" TargetMode="External"/><Relationship Id="rId136" Type="http://schemas.openxmlformats.org/officeDocument/2006/relationships/hyperlink" Target="https://www.pge.com/content/dam/pge/docs/about/pge-systems/2024-gas-annual-research-report.pdf" TargetMode="External"/><Relationship Id="rId61" Type="http://schemas.openxmlformats.org/officeDocument/2006/relationships/hyperlink" Target="https://www.pge.com/tariffs/assets/pdf/tariffbook/GAS_PRELIM_GA.pdf" TargetMode="External"/><Relationship Id="rId82" Type="http://schemas.openxmlformats.org/officeDocument/2006/relationships/hyperlink" Target="https://docs.cpuc.ca.gov/PublishedDocs/Published/G000/M520/K896/520896345.pdf" TargetMode="External"/><Relationship Id="rId19" Type="http://schemas.openxmlformats.org/officeDocument/2006/relationships/hyperlink" Target="https://docs.cpuc.ca.gov/PublishedDocs/Published/G000/M520/K896/520896345.pdf" TargetMode="External"/><Relationship Id="rId14" Type="http://schemas.openxmlformats.org/officeDocument/2006/relationships/hyperlink" Target="https://docs.cpuc.ca.gov/PublishedDocs/Published/G000/M520/K896/520896345.pdf" TargetMode="External"/><Relationship Id="rId30" Type="http://schemas.openxmlformats.org/officeDocument/2006/relationships/hyperlink" Target="https://docs.cpuc.ca.gov/PublishedDocs/Published/G000/M500/K055/500055657.PDF" TargetMode="External"/><Relationship Id="rId35" Type="http://schemas.openxmlformats.org/officeDocument/2006/relationships/hyperlink" Target="https://docs.cpuc.ca.gov/PublishedDocs/Published/G000/M520/K896/520896345.pdf" TargetMode="External"/><Relationship Id="rId56" Type="http://schemas.openxmlformats.org/officeDocument/2006/relationships/hyperlink" Target="https://docs.cpuc.ca.gov/PublishedDocs/Published/G000/M520/K896/520896345.pdf" TargetMode="External"/><Relationship Id="rId77" Type="http://schemas.openxmlformats.org/officeDocument/2006/relationships/hyperlink" Target="https://docs.cpuc.ca.gov/PublishedDocs/WORD_PDF/FINAL_DECISION/167664.PDF" TargetMode="External"/><Relationship Id="rId100" Type="http://schemas.openxmlformats.org/officeDocument/2006/relationships/hyperlink" Target="https://www.pge.com/content/dam/pge/docs/about/pge-systems/Gas-RD-Annual-Report.pdf" TargetMode="External"/><Relationship Id="rId105" Type="http://schemas.openxmlformats.org/officeDocument/2006/relationships/hyperlink" Target="https://docs.cpuc.ca.gov/PublishedDocs/Published/G000/M520/K896/520896345.pdf" TargetMode="External"/><Relationship Id="rId126" Type="http://schemas.openxmlformats.org/officeDocument/2006/relationships/hyperlink" Target="https://docs.cpuc.ca.gov/PublishedDocs/Published/G000/M461/K921/461921821.PDF" TargetMode="External"/><Relationship Id="rId147" Type="http://schemas.openxmlformats.org/officeDocument/2006/relationships/hyperlink" Target="https://docs.cpuc.ca.gov/PublishedDocs/Published/G000/M531/K559/531559739.PDF" TargetMode="External"/><Relationship Id="rId8" Type="http://schemas.openxmlformats.org/officeDocument/2006/relationships/hyperlink" Target="https://www.gov.ca.gov/wp-content/uploads/2024/10/energy-EO-10-30-24.pdf" TargetMode="External"/><Relationship Id="rId51" Type="http://schemas.openxmlformats.org/officeDocument/2006/relationships/hyperlink" Target="https://docs.cpuc.ca.gov/PublishedDocs/Published/G000/M316/K704/316704666.PDF" TargetMode="External"/><Relationship Id="rId72" Type="http://schemas.openxmlformats.org/officeDocument/2006/relationships/hyperlink" Target="https://docs.cpuc.ca.gov/PublishedDocs/Published/G000/M527/K228/527228647.PDF" TargetMode="External"/><Relationship Id="rId93" Type="http://schemas.openxmlformats.org/officeDocument/2006/relationships/hyperlink" Target="https://docs.cpuc.ca.gov/PublishedDocs/Published/G000/M520/K896/520896345.pdf" TargetMode="External"/><Relationship Id="rId98" Type="http://schemas.openxmlformats.org/officeDocument/2006/relationships/hyperlink" Target="https://www.pge.com/content/dam/pge/docs/about/pge-systems/Gas-RD-Annual-Report.pdf" TargetMode="External"/><Relationship Id="rId121" Type="http://schemas.openxmlformats.org/officeDocument/2006/relationships/hyperlink" Target="https://docs.cpuc.ca.gov/PublishedDocs/Published/G000/M507/K499/507499284.PDF" TargetMode="External"/><Relationship Id="rId142" Type="http://schemas.openxmlformats.org/officeDocument/2006/relationships/hyperlink" Target="https://www.pge.com/content/dam/pge/docs/about/pge-systems/2024-gas-annual-research-report.pdf" TargetMode="External"/><Relationship Id="rId3" Type="http://schemas.openxmlformats.org/officeDocument/2006/relationships/hyperlink" Target="https://docs.cpuc.ca.gov/PublishedDocs/Published/G000/M520/K896/520896345.pdf" TargetMode="External"/><Relationship Id="rId25" Type="http://schemas.openxmlformats.org/officeDocument/2006/relationships/hyperlink" Target="https://docs.cpuc.ca.gov/PublishedDocs/Published/G000/M520/K896/520896345.pdf" TargetMode="External"/><Relationship Id="rId46" Type="http://schemas.openxmlformats.org/officeDocument/2006/relationships/hyperlink" Target="https://docs.cpuc.ca.gov/PublishedDocs/Published/G000/M520/K896/520896345.pdf" TargetMode="External"/><Relationship Id="rId67" Type="http://schemas.openxmlformats.org/officeDocument/2006/relationships/hyperlink" Target="https://docs.cpuc.ca.gov/PublishedDocs/Published/G000/M520/K896/520896345.pdf" TargetMode="External"/><Relationship Id="rId116" Type="http://schemas.openxmlformats.org/officeDocument/2006/relationships/hyperlink" Target="https://docs.cpuc.ca.gov/PublishedDocs/Published/G000/M520/K896/520896345.pdf" TargetMode="External"/><Relationship Id="rId137" Type="http://schemas.openxmlformats.org/officeDocument/2006/relationships/hyperlink" Target="https://www.pge.com/content/dam/pge/docs/about/pge-systems/2024-gas-annual-research-report.pdf" TargetMode="External"/><Relationship Id="rId20" Type="http://schemas.openxmlformats.org/officeDocument/2006/relationships/hyperlink" Target="https://docs.cpuc.ca.gov/PublishedDocs/Published/G000/M520/K896/520896345.pdf" TargetMode="External"/><Relationship Id="rId41" Type="http://schemas.openxmlformats.org/officeDocument/2006/relationships/hyperlink" Target="https://docs.cpuc.ca.gov/PublishedDocs/Published/G000/M520/K896/520896345.pdf" TargetMode="External"/><Relationship Id="rId62" Type="http://schemas.openxmlformats.org/officeDocument/2006/relationships/hyperlink" Target="https://docs.cpuc.ca.gov/PublishedDocs/Published/G000/M316/K704/316704666.PDF" TargetMode="External"/><Relationship Id="rId83" Type="http://schemas.openxmlformats.org/officeDocument/2006/relationships/hyperlink" Target="https://docs.cpuc.ca.gov/PublishedDocs/Published/G000/M316/K704/316704666.PDF" TargetMode="External"/><Relationship Id="rId88" Type="http://schemas.openxmlformats.org/officeDocument/2006/relationships/hyperlink" Target="https://docs.cpuc.ca.gov/PublishedDocs/Published/G000/M531/K559/531559739.PDF" TargetMode="External"/><Relationship Id="rId111" Type="http://schemas.openxmlformats.org/officeDocument/2006/relationships/hyperlink" Target="https://acrobat.adobe.com/id/urn:aaid:sc:VA6C2:99c90760-e561-4a95-8fbe-82192adb864b" TargetMode="External"/><Relationship Id="rId132" Type="http://schemas.openxmlformats.org/officeDocument/2006/relationships/hyperlink" Target="https://docs.cpuc.ca.gov/PublishedDocs/Published/G000/M520/K896/520896345.pdf" TargetMode="External"/><Relationship Id="rId15" Type="http://schemas.openxmlformats.org/officeDocument/2006/relationships/hyperlink" Target="https://docs.cpuc.ca.gov/PublishedDocs/Published/G000/M520/K896/520896345.pdf" TargetMode="External"/><Relationship Id="rId36" Type="http://schemas.openxmlformats.org/officeDocument/2006/relationships/hyperlink" Target="https://docs.cpuc.ca.gov/PublishedDocs/Published/G000/M507/K499/507499284.PDF" TargetMode="External"/><Relationship Id="rId57" Type="http://schemas.openxmlformats.org/officeDocument/2006/relationships/hyperlink" Target="https://docs.cpuc.ca.gov/PublishedDocs/Published/G000/M350/K789/350789679.PDF" TargetMode="External"/><Relationship Id="rId106" Type="http://schemas.openxmlformats.org/officeDocument/2006/relationships/hyperlink" Target="https://docs.cpuc.ca.gov/PublishedDocs/Published/G000/M521/K196/521196139.PDF" TargetMode="External"/><Relationship Id="rId127" Type="http://schemas.openxmlformats.org/officeDocument/2006/relationships/hyperlink" Target="https://docs.cpuc.ca.gov/PublishedDocs/Published/G000/M520/K896/520896345.pdf" TargetMode="External"/><Relationship Id="rId10" Type="http://schemas.openxmlformats.org/officeDocument/2006/relationships/hyperlink" Target="https://docs.cpuc.ca.gov/PublishedDocs/Published/G000/M520/K896/520896345.pdf" TargetMode="External"/><Relationship Id="rId31" Type="http://schemas.openxmlformats.org/officeDocument/2006/relationships/hyperlink" Target="https://docs.cpuc.ca.gov/PublishedDocs/Published/G000/M520/K896/520896345.pdf" TargetMode="External"/><Relationship Id="rId52" Type="http://schemas.openxmlformats.org/officeDocument/2006/relationships/hyperlink" Target="https://docs.cpuc.ca.gov/PublishedDocs/Published/G000/M350/K789/350789679.PDF" TargetMode="External"/><Relationship Id="rId73" Type="http://schemas.openxmlformats.org/officeDocument/2006/relationships/hyperlink" Target="https://docs.cpuc.ca.gov/PublishedDocs/Published/G000/M507/K499/507499284.PDF" TargetMode="External"/><Relationship Id="rId78" Type="http://schemas.openxmlformats.org/officeDocument/2006/relationships/hyperlink" Target="https://codes.findlaw.com/ca/public-utilities-code/puc-sect-740-1/" TargetMode="External"/><Relationship Id="rId94" Type="http://schemas.openxmlformats.org/officeDocument/2006/relationships/hyperlink" Target="https://docs.cpuc.ca.gov/PublishedDocs/Published/G000/M520/K896/520896345.pdf" TargetMode="External"/><Relationship Id="rId99" Type="http://schemas.openxmlformats.org/officeDocument/2006/relationships/hyperlink" Target="https://www.pge.com/content/dam/pge/docs/about/pge-systems/Gas-RD-Annual-Report.pdf" TargetMode="External"/><Relationship Id="rId101" Type="http://schemas.openxmlformats.org/officeDocument/2006/relationships/hyperlink" Target="https://www.pge.com/content/dam/pge/docs/about/pge-systems/Gas-RD-Annual-Report.pdf" TargetMode="External"/><Relationship Id="rId122" Type="http://schemas.openxmlformats.org/officeDocument/2006/relationships/hyperlink" Target="https://docs.cpuc.ca.gov/PublishedDocs/Published/G000/M531/K559/531559739.PDF" TargetMode="External"/><Relationship Id="rId143" Type="http://schemas.openxmlformats.org/officeDocument/2006/relationships/hyperlink" Target="https://docs.cpuc.ca.gov/PublishedDocs/Published/G000/M521/K196/521196139.PDF" TargetMode="External"/><Relationship Id="rId148" Type="http://schemas.openxmlformats.org/officeDocument/2006/relationships/hyperlink" Target="https://acrobat.adobe.com/id/urn:aaid:sc:VA6C2:99c90760-e561-4a95-8fbe-82192adb864b" TargetMode="External"/><Relationship Id="rId4" Type="http://schemas.openxmlformats.org/officeDocument/2006/relationships/hyperlink" Target="https://docs.cpuc.ca.gov/PublishedDocs/Published/G000/M520/K896/520896345.pdf" TargetMode="External"/><Relationship Id="rId9" Type="http://schemas.openxmlformats.org/officeDocument/2006/relationships/hyperlink" Target="https://docs.cpuc.ca.gov/PublishedDocs/Published/G000/M520/K896/520896345.pdf" TargetMode="External"/><Relationship Id="rId26" Type="http://schemas.openxmlformats.org/officeDocument/2006/relationships/hyperlink" Target="https://docs.cpuc.ca.gov/PublishedDocs/Published/G000/M520/K896/520896345.pdf" TargetMode="External"/><Relationship Id="rId47" Type="http://schemas.openxmlformats.org/officeDocument/2006/relationships/hyperlink" Target="https://docs.cpuc.ca.gov/PublishedDocs/Published/G000/M531/K559/531559739.PDF" TargetMode="External"/><Relationship Id="rId68" Type="http://schemas.openxmlformats.org/officeDocument/2006/relationships/hyperlink" Target="https://docs.cpuc.ca.gov/PublishedDocs/Published/G000/M521/K196/521196139.PDF" TargetMode="External"/><Relationship Id="rId89" Type="http://schemas.openxmlformats.org/officeDocument/2006/relationships/hyperlink" Target="https://docs.cpuc.ca.gov/PublishedDocs/Published/G000/M520/K896/520896345.pdf" TargetMode="External"/><Relationship Id="rId112" Type="http://schemas.openxmlformats.org/officeDocument/2006/relationships/hyperlink" Target="https://docs.cpuc.ca.gov/PublishedDocs/Published/G000/M500/K055/500055657.PDF" TargetMode="External"/><Relationship Id="rId133" Type="http://schemas.openxmlformats.org/officeDocument/2006/relationships/hyperlink" Target="https://www.pge.com/content/dam/pge/docs/about/pge-systems/2024-gas-annual-research-report.pdf" TargetMode="External"/><Relationship Id="rId16" Type="http://schemas.openxmlformats.org/officeDocument/2006/relationships/hyperlink" Target="https://docs.cpuc.ca.gov/PublishedDocs/Published/G000/M520/K896/520896345.pdf" TargetMode="External"/><Relationship Id="rId37" Type="http://schemas.openxmlformats.org/officeDocument/2006/relationships/hyperlink" Target="https://docs.cpuc.ca.gov/PublishedDocs/Published/G000/M500/K055/500055657.PDF" TargetMode="External"/><Relationship Id="rId58" Type="http://schemas.openxmlformats.org/officeDocument/2006/relationships/hyperlink" Target="https://docs.cpuc.ca.gov/PublishedDocs/Published/G000/M023/K381/23381302.PDF" TargetMode="External"/><Relationship Id="rId79" Type="http://schemas.openxmlformats.org/officeDocument/2006/relationships/hyperlink" Target="https://docs.cpuc.ca.gov/PublishedDocs/Published/G000/M520/K896/520896345.pdf" TargetMode="External"/><Relationship Id="rId102" Type="http://schemas.openxmlformats.org/officeDocument/2006/relationships/hyperlink" Target="https://www.pge.com/content/dam/pge/docs/about/pge-systems/Gas-RD-Annual-Report.pdf" TargetMode="External"/><Relationship Id="rId123" Type="http://schemas.openxmlformats.org/officeDocument/2006/relationships/hyperlink" Target="https://docs.cpuc.ca.gov/PublishedDocs/Published/G000/M507/K499/507499284.PDF" TargetMode="External"/><Relationship Id="rId144" Type="http://schemas.openxmlformats.org/officeDocument/2006/relationships/hyperlink" Target="https://www.sce.com/sites/default/files/inline-files/EPIC_ApplicationsforApproval_TriennialInvestmentPlans.pdf" TargetMode="External"/><Relationship Id="rId90" Type="http://schemas.openxmlformats.org/officeDocument/2006/relationships/hyperlink" Target="https://docs.cpuc.ca.gov/PublishedDocs/Published/G000/M461/K921/461921821.PDF" TargetMode="External"/></Relationships>
</file>

<file path=word/documenttasks/documenttasks1.xml><?xml version="1.0" encoding="utf-8"?>
<t:Tasks xmlns:t="http://schemas.microsoft.com/office/tasks/2019/documenttasks" xmlns:oel="http://schemas.microsoft.com/office/2019/extlst">
  <t:Task id="{223B2357-2E82-4ADF-8CC4-10E1C805FAAE}">
    <t:Anchor>
      <t:Comment id="1503713674"/>
    </t:Anchor>
    <t:History>
      <t:Event id="{D43F7578-24B4-4D33-B293-5F3F1AC7A4CE}" time="2025-10-31T23:58:36.956Z">
        <t:Attribution userId="S::Emma.Maggioncalda@cpuc.ca.gov::04b19d06-8061-498c-9f8b-9f490a17b367" userProvider="AD" userName="Maggioncalda, Emma"/>
        <t:Anchor>
          <t:Comment id="1279940741"/>
        </t:Anchor>
        <t:Create/>
      </t:Event>
      <t:Event id="{D299505C-78B9-4A56-BA0A-7767ACAB3C76}" time="2025-10-31T23:58:36.956Z">
        <t:Attribution userId="S::Emma.Maggioncalda@cpuc.ca.gov::04b19d06-8061-498c-9f8b-9f490a17b367" userProvider="AD" userName="Maggioncalda, Emma"/>
        <t:Anchor>
          <t:Comment id="1279940741"/>
        </t:Anchor>
        <t:Assign userId="S::Adam.Banasiak@cpuc.ca.gov::31e8da65-439a-4d3a-ae19-68753a164d4e" userProvider="AD" userName="Banasiak, Adam"/>
      </t:Event>
      <t:Event id="{3EF78514-E6C3-4564-BF80-018B95470E80}" time="2025-10-31T23:58:36.956Z">
        <t:Attribution userId="S::Emma.Maggioncalda@cpuc.ca.gov::04b19d06-8061-498c-9f8b-9f490a17b367" userProvider="AD" userName="Maggioncalda, Emma"/>
        <t:Anchor>
          <t:Comment id="1279940741"/>
        </t:Anchor>
        <t:SetTitle title="@Banasiak, Adam should it be italicized instead?"/>
      </t:Event>
    </t:History>
  </t:Task>
  <t:Task id="{9EDD03D1-597C-4D61-8EC6-766E6C364A88}">
    <t:Anchor>
      <t:Comment id="1748399283"/>
    </t:Anchor>
    <t:History>
      <t:Event id="{06BD5850-EC16-4896-8518-470E4E5CF3E9}" time="2025-11-18T22:12:43.335Z">
        <t:Attribution userId="S::emma.maggioncalda@cpuc.ca.gov::04b19d06-8061-498c-9f8b-9f490a17b367" userProvider="AD" userName="Maggioncalda, Emma"/>
        <t:Anchor>
          <t:Comment id="1748399283"/>
        </t:Anchor>
        <t:Create/>
      </t:Event>
      <t:Event id="{D5A81266-0CBA-4151-958D-705DFCB9AA58}" time="2025-11-18T22:12:43.335Z">
        <t:Attribution userId="S::emma.maggioncalda@cpuc.ca.gov::04b19d06-8061-498c-9f8b-9f490a17b367" userProvider="AD" userName="Maggioncalda, Emma"/>
        <t:Anchor>
          <t:Comment id="1748399283"/>
        </t:Anchor>
        <t:Assign userId="S::cheryl.cox@cpuc.ca.gov::a941440a-de9b-4d0b-a0ae-558846c7a55e" userProvider="AD" userName="Cox, Cheryl"/>
      </t:Event>
      <t:Event id="{18D280A3-5827-43C6-8153-1EDABC090E1B}" time="2025-11-18T22:12:43.335Z">
        <t:Attribution userId="S::emma.maggioncalda@cpuc.ca.gov::04b19d06-8061-498c-9f8b-9f490a17b367" userProvider="AD" userName="Maggioncalda, Emma"/>
        <t:Anchor>
          <t:Comment id="1748399283"/>
        </t:Anchor>
        <t:SetTitle title="@Cox, Cheryl this is specific to Appendix G/PG&amp;E's 2025 Plan - not included above in Appendix 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1" ma:contentTypeDescription="Create a new document." ma:contentTypeScope="" ma:versionID="d261c57537e598a2b374b49e7d4c0853">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8c1dc81068d49f1c454182c23cecc95c"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documentManagement>
</p:properties>
</file>

<file path=customXml/itemProps1.xml><?xml version="1.0" encoding="utf-8"?>
<ds:datastoreItem xmlns:ds="http://schemas.openxmlformats.org/officeDocument/2006/customXml" ds:itemID="{7781D879-7714-43F2-B374-A51677D0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1A102-ECA3-434B-9B94-29F8F101D106}">
  <ds:schemaRefs>
    <ds:schemaRef ds:uri="http://schemas.openxmlformats.org/officeDocument/2006/bibliography"/>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14976</ap:Words>
  <ap:Characters>85364</ap:Characters>
  <ap:Application>Microsoft Office Word</ap:Application>
  <ap:DocSecurity>0</ap:DocSecurity>
  <ap:Lines>711</ap:Lines>
  <ap:Paragraphs>200</ap:Paragraphs>
  <ap:ScaleCrop>false</ap:ScaleCrop>
  <ap:Company/>
  <ap:LinksUpToDate>false</ap:LinksUpToDate>
  <ap:CharactersWithSpaces>100140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2025-12-12T13:02:37Z</dcterms:created>
  <dcterms:modified xsi:type="dcterms:W3CDTF">2025-12-12T13:02:37Z</dcterms:modified>
</cp:coreProperties>
</file>