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1B3D" w:rsidR="000964E3" w:rsidP="000964E3" w:rsidRDefault="000964E3" w14:paraId="27F5D200" w14:textId="77777777">
      <w:pPr>
        <w:spacing w:line="240" w:lineRule="auto"/>
        <w:jc w:val="right"/>
        <w:rPr>
          <w:color w:val="44546A" w:themeColor="text2"/>
          <w:szCs w:val="24"/>
        </w:rPr>
      </w:pPr>
      <w:r w:rsidRPr="00DA1B3D">
        <w:rPr>
          <w:noProof/>
          <w:color w:val="44546A" w:themeColor="text2"/>
          <w:szCs w:val="24"/>
        </w:rPr>
        <w:drawing>
          <wp:anchor distT="0" distB="0" distL="114300" distR="114300" simplePos="0" relativeHeight="251658240" behindDoc="0" locked="0" layoutInCell="1" allowOverlap="1" wp14:editId="0085A44D" wp14:anchorId="514FE15E">
            <wp:simplePos x="0" y="0"/>
            <wp:positionH relativeFrom="column">
              <wp:posOffset>86359</wp:posOffset>
            </wp:positionH>
            <wp:positionV relativeFrom="paragraph">
              <wp:posOffset>-96943</wp:posOffset>
            </wp:positionV>
            <wp:extent cx="1104053" cy="1104053"/>
            <wp:effectExtent l="0" t="0" r="1270" b="1270"/>
            <wp:wrapNone/>
            <wp:docPr id="2" name="Picture 2" descr="California Public Utilities Commiss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Public Utilities Commission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53" cy="1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B3D">
        <w:rPr>
          <w:b/>
          <w:color w:val="44546A" w:themeColor="text2"/>
        </w:rPr>
        <w:t>California Public Utilities Commission</w:t>
      </w:r>
      <w:r w:rsidRPr="00DA1B3D">
        <w:rPr>
          <w:b/>
          <w:color w:val="44546A" w:themeColor="text2"/>
          <w:szCs w:val="24"/>
        </w:rPr>
        <w:br/>
      </w:r>
      <w:r w:rsidRPr="00DA1B3D">
        <w:rPr>
          <w:b/>
          <w:color w:val="44546A" w:themeColor="text2"/>
        </w:rPr>
        <w:t>505 Van Ness Ave., San Francisco</w:t>
      </w:r>
    </w:p>
    <w:p w:rsidRPr="00FE37F7" w:rsidR="000964E3" w:rsidP="000964E3" w:rsidRDefault="000964E3" w14:paraId="1C861215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5E707F6D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1CD56399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415AA6BE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4DBBAFC6" w14:textId="77777777">
      <w:pPr>
        <w:ind w:firstLine="0"/>
        <w:rPr>
          <w:color w:val="000080"/>
          <w:szCs w:val="24"/>
        </w:rPr>
      </w:pPr>
      <w:r w:rsidRPr="00FE37F7">
        <w:rPr>
          <w:color w:val="000080"/>
          <w:szCs w:val="24"/>
        </w:rPr>
        <w:t>_________________________________________________________________________________</w:t>
      </w:r>
    </w:p>
    <w:p w:rsidRPr="00FE37F7" w:rsidR="000964E3" w:rsidP="000964E3" w:rsidRDefault="000964E3" w14:paraId="34531639" w14:textId="7FBE2E81">
      <w:pPr>
        <w:spacing w:line="240" w:lineRule="auto"/>
        <w:ind w:firstLine="0"/>
        <w:rPr>
          <w:b/>
          <w:szCs w:val="24"/>
        </w:rPr>
      </w:pPr>
      <w:bookmarkStart w:name="_Hlk71030686" w:id="0"/>
      <w:r w:rsidRPr="00FE37F7">
        <w:rPr>
          <w:b/>
          <w:szCs w:val="24"/>
        </w:rPr>
        <w:t>FOR IMMEDIATE RELEASE</w:t>
      </w:r>
      <w:r w:rsidRPr="00FE37F7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="0014737B">
        <w:rPr>
          <w:b/>
          <w:bCs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 w:rsidR="00B807CA">
        <w:rPr>
          <w:szCs w:val="24"/>
        </w:rPr>
        <w:tab/>
      </w:r>
      <w:r w:rsidR="009D34B3">
        <w:rPr>
          <w:szCs w:val="24"/>
        </w:rPr>
        <w:t xml:space="preserve">         </w:t>
      </w:r>
      <w:r>
        <w:rPr>
          <w:b/>
          <w:szCs w:val="24"/>
        </w:rPr>
        <w:t>PRESS RELEASE</w:t>
      </w:r>
    </w:p>
    <w:p w:rsidRPr="000372AB" w:rsidR="000964E3" w:rsidP="000964E3" w:rsidRDefault="000964E3" w14:paraId="728853A2" w14:textId="6282296B">
      <w:pPr>
        <w:spacing w:line="240" w:lineRule="auto"/>
        <w:ind w:firstLine="0"/>
        <w:rPr>
          <w:color w:val="FF0000"/>
          <w:szCs w:val="24"/>
        </w:rPr>
      </w:pPr>
      <w:r w:rsidRPr="000372AB">
        <w:rPr>
          <w:szCs w:val="24"/>
        </w:rPr>
        <w:t xml:space="preserve">Media Contact: Terrie Prosper, 415.703.1366, </w:t>
      </w:r>
      <w:hyperlink w:history="1" r:id="rId12">
        <w:r w:rsidRPr="000372AB">
          <w:rPr>
            <w:rStyle w:val="Hyperlink"/>
            <w:szCs w:val="24"/>
          </w:rPr>
          <w:t>news@cpuc.ca.gov</w:t>
        </w:r>
      </w:hyperlink>
      <w:bookmarkStart w:name="_Hlk188553886" w:id="1"/>
      <w:r w:rsidR="009E4971">
        <w:rPr>
          <w:color w:val="FF0000"/>
          <w:szCs w:val="24"/>
        </w:rPr>
        <w:t xml:space="preserve"> </w:t>
      </w:r>
      <w:r w:rsidR="009E4971">
        <w:rPr>
          <w:color w:val="FF0000"/>
          <w:szCs w:val="24"/>
        </w:rPr>
        <w:tab/>
      </w:r>
      <w:r w:rsidR="009E4971">
        <w:rPr>
          <w:color w:val="FF0000"/>
          <w:szCs w:val="24"/>
        </w:rPr>
        <w:tab/>
      </w:r>
      <w:r w:rsidR="009D34B3">
        <w:rPr>
          <w:color w:val="FF0000"/>
          <w:szCs w:val="24"/>
        </w:rPr>
        <w:t xml:space="preserve">            </w:t>
      </w:r>
      <w:r w:rsidRPr="00C33199" w:rsidR="00C644FC">
        <w:rPr>
          <w:szCs w:val="24"/>
        </w:rPr>
        <w:t>Docket #:</w:t>
      </w:r>
      <w:bookmarkEnd w:id="1"/>
      <w:r w:rsidRPr="00C33199" w:rsidR="00C33199">
        <w:rPr>
          <w:szCs w:val="24"/>
        </w:rPr>
        <w:t xml:space="preserve"> </w:t>
      </w:r>
      <w:r w:rsidRPr="006B09FD" w:rsidR="006B09FD">
        <w:rPr>
          <w:szCs w:val="24"/>
        </w:rPr>
        <w:t>M-4881</w:t>
      </w:r>
    </w:p>
    <w:p w:rsidRPr="009C47C3" w:rsidR="000964E3" w:rsidP="009C47C3" w:rsidRDefault="000964E3" w14:paraId="72FD6044" w14:textId="77777777">
      <w:pPr>
        <w:pStyle w:val="ReleaseHead"/>
        <w:rPr>
          <w:b/>
          <w:bCs/>
          <w:i w:val="0"/>
          <w:iCs w:val="0"/>
          <w:sz w:val="28"/>
          <w:szCs w:val="28"/>
        </w:rPr>
      </w:pPr>
    </w:p>
    <w:p w:rsidR="000964E3" w:rsidP="009C47C3" w:rsidRDefault="002D6813" w14:paraId="7D62F8A0" w14:textId="3349716F">
      <w:pPr>
        <w:pStyle w:val="ReleaseHead"/>
        <w:rPr>
          <w:b/>
          <w:bCs/>
          <w:i w:val="0"/>
          <w:iCs w:val="0"/>
          <w:sz w:val="28"/>
          <w:szCs w:val="28"/>
        </w:rPr>
      </w:pPr>
      <w:r w:rsidRPr="002D6813">
        <w:rPr>
          <w:b/>
          <w:bCs/>
          <w:i w:val="0"/>
          <w:iCs w:val="0"/>
          <w:sz w:val="28"/>
          <w:szCs w:val="28"/>
        </w:rPr>
        <w:t>CPUC Awards Over $1.2 Million in Clean Energy Access Grants</w:t>
      </w:r>
      <w:r w:rsidR="00765316">
        <w:rPr>
          <w:b/>
          <w:bCs/>
          <w:i w:val="0"/>
          <w:iCs w:val="0"/>
          <w:sz w:val="28"/>
          <w:szCs w:val="28"/>
        </w:rPr>
        <w:br/>
      </w:r>
      <w:r w:rsidRPr="002D6813">
        <w:rPr>
          <w:b/>
          <w:bCs/>
          <w:i w:val="0"/>
          <w:iCs w:val="0"/>
          <w:sz w:val="28"/>
          <w:szCs w:val="28"/>
        </w:rPr>
        <w:t>and Announces Next Application Window for L</w:t>
      </w:r>
      <w:r w:rsidR="00765316">
        <w:rPr>
          <w:b/>
          <w:bCs/>
          <w:i w:val="0"/>
          <w:iCs w:val="0"/>
          <w:sz w:val="28"/>
          <w:szCs w:val="28"/>
        </w:rPr>
        <w:t xml:space="preserve">os Angeles </w:t>
      </w:r>
      <w:r w:rsidRPr="002D6813">
        <w:rPr>
          <w:b/>
          <w:bCs/>
          <w:i w:val="0"/>
          <w:iCs w:val="0"/>
          <w:sz w:val="28"/>
          <w:szCs w:val="28"/>
        </w:rPr>
        <w:t>County TECH Program</w:t>
      </w:r>
    </w:p>
    <w:p w:rsidRPr="009C47C3" w:rsidR="009C47C3" w:rsidP="009C47C3" w:rsidRDefault="009C47C3" w14:paraId="7A9F8522" w14:textId="77777777">
      <w:pPr>
        <w:pStyle w:val="ReleaseHead"/>
        <w:rPr>
          <w:b/>
          <w:bCs/>
          <w:i w:val="0"/>
          <w:iCs w:val="0"/>
          <w:sz w:val="28"/>
          <w:szCs w:val="28"/>
        </w:rPr>
      </w:pPr>
    </w:p>
    <w:p w:rsidR="009C6C1D" w:rsidP="009C6C1D" w:rsidRDefault="348D47A1" w14:paraId="32BF813B" w14:textId="3B9861D7">
      <w:pPr>
        <w:pStyle w:val="NormalWeb"/>
      </w:pPr>
      <w:r>
        <w:t xml:space="preserve">SAN FRANCISCO, </w:t>
      </w:r>
      <w:r w:rsidR="002D6813">
        <w:t>Dec</w:t>
      </w:r>
      <w:r w:rsidR="00545533">
        <w:t>.</w:t>
      </w:r>
      <w:r w:rsidR="002D6813">
        <w:t xml:space="preserve"> </w:t>
      </w:r>
      <w:r w:rsidR="0014737B">
        <w:t>15</w:t>
      </w:r>
      <w:r>
        <w:t xml:space="preserve">, 2025 – </w:t>
      </w:r>
      <w:r w:rsidR="009C6C1D">
        <w:t xml:space="preserve">The </w:t>
      </w:r>
      <w:r w:rsidRPr="002D6813" w:rsidR="002D6813">
        <w:t>California Public Utilities Commission (CPUC) has approved more than $1.2 million in new Clean Energy Access: LA County TECH (CEA-LAT) grants to community-based organizations in Los Angeles County and announc</w:t>
      </w:r>
      <w:r w:rsidR="00A11A71">
        <w:t>ed</w:t>
      </w:r>
      <w:r w:rsidRPr="002D6813" w:rsidR="002D6813">
        <w:t xml:space="preserve"> that the next CEA-LAT grant application window will open on Feb</w:t>
      </w:r>
      <w:r w:rsidR="00A11A71">
        <w:t>.</w:t>
      </w:r>
      <w:r w:rsidRPr="002D6813" w:rsidR="002D6813">
        <w:t xml:space="preserve"> 2, 2026.</w:t>
      </w:r>
    </w:p>
    <w:p w:rsidR="002D6813" w:rsidP="009C6C1D" w:rsidRDefault="002D6813" w14:paraId="58A6906F" w14:textId="1CF8217D">
      <w:pPr>
        <w:pStyle w:val="NormalWeb"/>
      </w:pPr>
      <w:r w:rsidRPr="002D6813">
        <w:t xml:space="preserve">The CEA-LAT Grant Program supports community-based organizations that provide outreach and education on the </w:t>
      </w:r>
      <w:r w:rsidRPr="00A11A71">
        <w:t>Technology for Equipment and Clean Heating (TECH) Clean California</w:t>
      </w:r>
      <w:r w:rsidRPr="002D6813">
        <w:t xml:space="preserve"> initiative. These organizations help residents learn about building decarbonization, clean energy technologies, healthier homes, and how to access available incentives.</w:t>
      </w:r>
    </w:p>
    <w:p w:rsidRPr="002D6813" w:rsidR="002D6813" w:rsidP="002D6813" w:rsidRDefault="002D6813" w14:paraId="0B4AAD0A" w14:textId="77777777">
      <w:pPr>
        <w:pStyle w:val="NormalWeb"/>
        <w:rPr>
          <w:b/>
          <w:bCs/>
        </w:rPr>
      </w:pPr>
      <w:r w:rsidRPr="002D6813">
        <w:rPr>
          <w:b/>
          <w:bCs/>
        </w:rPr>
        <w:t>New Grants Approved</w:t>
      </w:r>
    </w:p>
    <w:p w:rsidRPr="002D6813" w:rsidR="002D6813" w:rsidP="002D6813" w:rsidRDefault="002D6813" w14:paraId="4ADD02D1" w14:textId="134AAF45">
      <w:pPr>
        <w:pStyle w:val="NormalWeb"/>
      </w:pPr>
      <w:r w:rsidRPr="002D6813">
        <w:t>On Dec</w:t>
      </w:r>
      <w:r w:rsidR="00A11A71">
        <w:t>.</w:t>
      </w:r>
      <w:r w:rsidRPr="002D6813">
        <w:t xml:space="preserve"> 4, 2025, the CPUC award</w:t>
      </w:r>
      <w:r w:rsidR="00A11A71">
        <w:t>ed</w:t>
      </w:r>
      <w:r w:rsidRPr="002D6813">
        <w:t xml:space="preserve"> $581,824 to three nonprofit organizations for outreach and education activities related to TECH Clean California:</w:t>
      </w:r>
    </w:p>
    <w:p w:rsidRPr="002D6813" w:rsidR="002D6813" w:rsidP="002D6813" w:rsidRDefault="002D6813" w14:paraId="1BC1EFE2" w14:textId="77777777">
      <w:pPr>
        <w:pStyle w:val="NormalWeb"/>
        <w:numPr>
          <w:ilvl w:val="0"/>
          <w:numId w:val="7"/>
        </w:numPr>
      </w:pPr>
      <w:r w:rsidRPr="002D6813">
        <w:t>Climate Resolve – $200,000</w:t>
      </w:r>
    </w:p>
    <w:p w:rsidRPr="002D6813" w:rsidR="002D6813" w:rsidP="002D6813" w:rsidRDefault="002D6813" w14:paraId="7A1C706A" w14:textId="77777777">
      <w:pPr>
        <w:pStyle w:val="NormalWeb"/>
        <w:numPr>
          <w:ilvl w:val="0"/>
          <w:numId w:val="7"/>
        </w:numPr>
      </w:pPr>
      <w:r w:rsidRPr="002D6813">
        <w:t>El Sol Neighborhood Educational Center – $199,971</w:t>
      </w:r>
    </w:p>
    <w:p w:rsidRPr="002D6813" w:rsidR="002D6813" w:rsidP="002D6813" w:rsidRDefault="002D6813" w14:paraId="30117F01" w14:textId="77777777">
      <w:pPr>
        <w:pStyle w:val="NormalWeb"/>
        <w:numPr>
          <w:ilvl w:val="0"/>
          <w:numId w:val="7"/>
        </w:numPr>
      </w:pPr>
      <w:r w:rsidRPr="002D6813">
        <w:t>International Institute of Los Angeles – $181,853</w:t>
      </w:r>
    </w:p>
    <w:p w:rsidRPr="002D6813" w:rsidR="002D6813" w:rsidP="002D6813" w:rsidRDefault="002D6813" w14:paraId="2A4223CE" w14:textId="4B74A742">
      <w:pPr>
        <w:pStyle w:val="NormalWeb"/>
      </w:pPr>
      <w:r w:rsidRPr="002D6813">
        <w:t>These organizations will provide multilingual workshops, grassroots engagement, educational materials, and technical assistance</w:t>
      </w:r>
      <w:r w:rsidR="00A11A71">
        <w:t xml:space="preserve"> to communities</w:t>
      </w:r>
      <w:r w:rsidRPr="002D6813">
        <w:t xml:space="preserve">. Their efforts will prioritize communities in the Aliso Canyon Disaster Area and the San Fernando Valley. </w:t>
      </w:r>
    </w:p>
    <w:p w:rsidRPr="002D6813" w:rsidR="002D6813" w:rsidP="002D6813" w:rsidRDefault="002D6813" w14:paraId="6D1D703D" w14:textId="77777777">
      <w:pPr>
        <w:pStyle w:val="NormalWeb"/>
      </w:pPr>
      <w:r w:rsidRPr="002D6813">
        <w:t>In addition, CPUC staff awarded $715,109 in ministerial grants to five additional nonprofits:</w:t>
      </w:r>
    </w:p>
    <w:p w:rsidRPr="002D6813" w:rsidR="002D6813" w:rsidP="002D6813" w:rsidRDefault="002D6813" w14:paraId="1D67B5B8" w14:textId="77777777">
      <w:pPr>
        <w:pStyle w:val="NormalWeb"/>
        <w:numPr>
          <w:ilvl w:val="0"/>
          <w:numId w:val="8"/>
        </w:numPr>
      </w:pPr>
      <w:r w:rsidRPr="002D6813">
        <w:lastRenderedPageBreak/>
        <w:t>Breathe Southern California – $137,284</w:t>
      </w:r>
    </w:p>
    <w:p w:rsidRPr="002D6813" w:rsidR="002D6813" w:rsidP="002D6813" w:rsidRDefault="002D6813" w14:paraId="2EB31A81" w14:textId="77777777">
      <w:pPr>
        <w:pStyle w:val="NormalWeb"/>
        <w:numPr>
          <w:ilvl w:val="0"/>
          <w:numId w:val="8"/>
        </w:numPr>
      </w:pPr>
      <w:r w:rsidRPr="002D6813">
        <w:t>East LA Community Corporation – $149,995</w:t>
      </w:r>
    </w:p>
    <w:p w:rsidRPr="002D6813" w:rsidR="002D6813" w:rsidP="002D6813" w:rsidRDefault="002D6813" w14:paraId="280C855B" w14:textId="77777777">
      <w:pPr>
        <w:pStyle w:val="NormalWeb"/>
        <w:numPr>
          <w:ilvl w:val="0"/>
          <w:numId w:val="8"/>
        </w:numPr>
      </w:pPr>
      <w:r w:rsidRPr="002D6813">
        <w:t>Pacoima Beautiful – $144,083</w:t>
      </w:r>
    </w:p>
    <w:p w:rsidRPr="002D6813" w:rsidR="002D6813" w:rsidP="002D6813" w:rsidRDefault="002D6813" w14:paraId="0364BA45" w14:textId="77777777">
      <w:pPr>
        <w:pStyle w:val="NormalWeb"/>
        <w:numPr>
          <w:ilvl w:val="0"/>
          <w:numId w:val="8"/>
        </w:numPr>
      </w:pPr>
      <w:proofErr w:type="spellStart"/>
      <w:r w:rsidRPr="002D6813">
        <w:t>ONEgeneration</w:t>
      </w:r>
      <w:proofErr w:type="spellEnd"/>
      <w:r w:rsidRPr="002D6813">
        <w:t xml:space="preserve"> – $133,803</w:t>
      </w:r>
    </w:p>
    <w:p w:rsidRPr="002D6813" w:rsidR="002D6813" w:rsidP="002D6813" w:rsidRDefault="002D6813" w14:paraId="4A4AA41C" w14:textId="77777777">
      <w:pPr>
        <w:pStyle w:val="NormalWeb"/>
        <w:numPr>
          <w:ilvl w:val="0"/>
          <w:numId w:val="8"/>
        </w:numPr>
      </w:pPr>
      <w:r w:rsidRPr="002D6813">
        <w:t>US Green Building Council California – $149,944</w:t>
      </w:r>
    </w:p>
    <w:p w:rsidRPr="002D6813" w:rsidR="002D6813" w:rsidP="002D6813" w:rsidRDefault="002D6813" w14:paraId="2C86A51C" w14:textId="53E657C1">
      <w:pPr>
        <w:pStyle w:val="NormalWeb"/>
      </w:pPr>
      <w:r w:rsidRPr="002D6813">
        <w:t xml:space="preserve">These organizations will advance community awareness of decarbonization, electrification technologies, healthy homes, and access to TECH Clean California incentives. </w:t>
      </w:r>
    </w:p>
    <w:p w:rsidRPr="002D6813" w:rsidR="002D6813" w:rsidP="002D6813" w:rsidRDefault="002D6813" w14:paraId="6CA14342" w14:textId="77777777">
      <w:pPr>
        <w:pStyle w:val="NormalWeb"/>
        <w:rPr>
          <w:b/>
          <w:bCs/>
        </w:rPr>
      </w:pPr>
      <w:r w:rsidRPr="002D6813">
        <w:rPr>
          <w:b/>
          <w:bCs/>
        </w:rPr>
        <w:t>Next Grant Application Window Opens February 2, 2026</w:t>
      </w:r>
    </w:p>
    <w:p w:rsidRPr="002D6813" w:rsidR="002D6813" w:rsidP="002D6813" w:rsidRDefault="002D6813" w14:paraId="019E3EB4" w14:textId="67B70C27">
      <w:pPr>
        <w:pStyle w:val="NormalWeb"/>
      </w:pPr>
      <w:r w:rsidRPr="002D6813">
        <w:t>The CPUC will begin accepting applications for CEA-LAT Grant Cycle 2 on Feb</w:t>
      </w:r>
      <w:r w:rsidR="00A11A71">
        <w:t>.</w:t>
      </w:r>
      <w:r w:rsidRPr="002D6813">
        <w:t xml:space="preserve"> 2, 2026. Community-based organizations in Los Angeles County may apply for up to $200,000 in funding.</w:t>
      </w:r>
    </w:p>
    <w:p w:rsidRPr="002D6813" w:rsidR="002D6813" w:rsidP="002D6813" w:rsidRDefault="002D6813" w14:paraId="2ED83F75" w14:textId="77777777">
      <w:pPr>
        <w:pStyle w:val="NormalWeb"/>
      </w:pPr>
      <w:r w:rsidRPr="002D6813">
        <w:rPr>
          <w:b/>
          <w:bCs/>
        </w:rPr>
        <w:t>Application Timeline</w:t>
      </w:r>
    </w:p>
    <w:p w:rsidRPr="002D6813" w:rsidR="002D6813" w:rsidP="002D6813" w:rsidRDefault="002D6813" w14:paraId="39072A98" w14:textId="2D298881">
      <w:pPr>
        <w:pStyle w:val="NormalWeb"/>
        <w:numPr>
          <w:ilvl w:val="0"/>
          <w:numId w:val="9"/>
        </w:numPr>
      </w:pPr>
      <w:r w:rsidRPr="002D6813">
        <w:t>Application Opens: Feb</w:t>
      </w:r>
      <w:r w:rsidR="00A11A71">
        <w:t>.</w:t>
      </w:r>
      <w:r w:rsidRPr="002D6813">
        <w:t xml:space="preserve"> 2, 2026</w:t>
      </w:r>
    </w:p>
    <w:p w:rsidRPr="002D6813" w:rsidR="002D6813" w:rsidP="002D6813" w:rsidRDefault="002D6813" w14:paraId="62F9EC4F" w14:textId="77777777">
      <w:pPr>
        <w:pStyle w:val="NormalWeb"/>
        <w:numPr>
          <w:ilvl w:val="0"/>
          <w:numId w:val="9"/>
        </w:numPr>
      </w:pPr>
      <w:r w:rsidRPr="002D6813">
        <w:t>Application Closes: March 31, 2026 at 11:59 p.m.</w:t>
      </w:r>
    </w:p>
    <w:p w:rsidRPr="002D6813" w:rsidR="002D6813" w:rsidP="002D6813" w:rsidRDefault="002D6813" w14:paraId="28EB8830" w14:textId="77777777">
      <w:pPr>
        <w:pStyle w:val="NormalWeb"/>
        <w:numPr>
          <w:ilvl w:val="0"/>
          <w:numId w:val="9"/>
        </w:numPr>
      </w:pPr>
      <w:r w:rsidRPr="002D6813">
        <w:t>Award Notification: June 1, 2026</w:t>
      </w:r>
    </w:p>
    <w:p w:rsidRPr="002D6813" w:rsidR="002D6813" w:rsidP="002D6813" w:rsidRDefault="002D6813" w14:paraId="6ED46C15" w14:textId="77777777">
      <w:pPr>
        <w:pStyle w:val="NormalWeb"/>
      </w:pPr>
      <w:r w:rsidRPr="002D6813">
        <w:t>Eligible applicants must be 501(c)(3) nonprofit organizations located in Los Angeles County. Priority will be given to projects serving the Aliso Canyon Disaster Area and the San Fernando Valley.</w:t>
      </w:r>
    </w:p>
    <w:p w:rsidRPr="002D6813" w:rsidR="002D6813" w:rsidP="002D6813" w:rsidRDefault="002D6813" w14:paraId="664348E1" w14:textId="77777777">
      <w:pPr>
        <w:pStyle w:val="NormalWeb"/>
      </w:pPr>
      <w:r w:rsidRPr="002D6813">
        <w:t>Qualifying activities include but are not limited to:</w:t>
      </w:r>
    </w:p>
    <w:p w:rsidRPr="002D6813" w:rsidR="002D6813" w:rsidP="002D6813" w:rsidRDefault="002D6813" w14:paraId="3E4FC544" w14:textId="77777777">
      <w:pPr>
        <w:pStyle w:val="NormalWeb"/>
        <w:numPr>
          <w:ilvl w:val="0"/>
          <w:numId w:val="10"/>
        </w:numPr>
      </w:pPr>
      <w:r w:rsidRPr="002D6813">
        <w:t>Community outreach and education</w:t>
      </w:r>
    </w:p>
    <w:p w:rsidRPr="002D6813" w:rsidR="002D6813" w:rsidP="002D6813" w:rsidRDefault="002D6813" w14:paraId="154FA044" w14:textId="77777777">
      <w:pPr>
        <w:pStyle w:val="NormalWeb"/>
        <w:numPr>
          <w:ilvl w:val="0"/>
          <w:numId w:val="10"/>
        </w:numPr>
      </w:pPr>
      <w:r w:rsidRPr="002D6813">
        <w:t>Staff training</w:t>
      </w:r>
    </w:p>
    <w:p w:rsidRPr="002D6813" w:rsidR="002D6813" w:rsidP="002D6813" w:rsidRDefault="002D6813" w14:paraId="2AC40D06" w14:textId="77777777">
      <w:pPr>
        <w:pStyle w:val="NormalWeb"/>
        <w:numPr>
          <w:ilvl w:val="0"/>
          <w:numId w:val="10"/>
        </w:numPr>
      </w:pPr>
      <w:r w:rsidRPr="002D6813">
        <w:t>Project impact evaluation</w:t>
      </w:r>
    </w:p>
    <w:p w:rsidRPr="002D6813" w:rsidR="002D6813" w:rsidP="002D6813" w:rsidRDefault="002D6813" w14:paraId="3E345B1F" w14:textId="77777777">
      <w:pPr>
        <w:pStyle w:val="NormalWeb"/>
        <w:numPr>
          <w:ilvl w:val="0"/>
          <w:numId w:val="10"/>
        </w:numPr>
      </w:pPr>
      <w:r w:rsidRPr="002D6813">
        <w:t>Coordination with the TECH Clean California program implementer</w:t>
      </w:r>
    </w:p>
    <w:p w:rsidRPr="002D6813" w:rsidR="002D6813" w:rsidP="002D6813" w:rsidRDefault="002D6813" w14:paraId="79989A16" w14:textId="6DE3363B">
      <w:pPr>
        <w:pStyle w:val="NormalWeb"/>
      </w:pPr>
      <w:r w:rsidRPr="002D6813">
        <w:t xml:space="preserve">Applicants should review the </w:t>
      </w:r>
      <w:hyperlink w:history="1" r:id="rId13">
        <w:r w:rsidRPr="00A11A71">
          <w:rPr>
            <w:rStyle w:val="Hyperlink"/>
          </w:rPr>
          <w:t>CEA-LAT Grant Guidelines</w:t>
        </w:r>
      </w:hyperlink>
      <w:r w:rsidRPr="00A11A71">
        <w:t xml:space="preserve"> and</w:t>
      </w:r>
      <w:r w:rsidRPr="002D6813">
        <w:t xml:space="preserve"> required forms.</w:t>
      </w:r>
    </w:p>
    <w:p w:rsidR="002D6813" w:rsidP="009C6C1D" w:rsidRDefault="002D6813" w14:paraId="5BEE6EE6" w14:textId="2D66980D">
      <w:pPr>
        <w:pStyle w:val="NormalWeb"/>
        <w:rPr>
          <w:b/>
          <w:bCs/>
        </w:rPr>
      </w:pPr>
      <w:r w:rsidRPr="002D6813">
        <w:t>For questions, cont</w:t>
      </w:r>
      <w:r w:rsidRPr="00A11A71">
        <w:t xml:space="preserve">act </w:t>
      </w:r>
      <w:hyperlink w:history="1" r:id="rId14">
        <w:r w:rsidRPr="00A11A71">
          <w:rPr>
            <w:rStyle w:val="Hyperlink"/>
          </w:rPr>
          <w:t>capacitygrants@cpuc.ca.gov</w:t>
        </w:r>
      </w:hyperlink>
      <w:r w:rsidR="00A11A71">
        <w:t>.</w:t>
      </w:r>
    </w:p>
    <w:p w:rsidRPr="002D6813" w:rsidR="002D6813" w:rsidP="002D6813" w:rsidRDefault="002D6813" w14:paraId="77F336C6" w14:textId="77777777">
      <w:pPr>
        <w:pStyle w:val="NormalWeb"/>
        <w:rPr>
          <w:b/>
          <w:bCs/>
        </w:rPr>
      </w:pPr>
      <w:r w:rsidRPr="002D6813">
        <w:rPr>
          <w:b/>
          <w:bCs/>
        </w:rPr>
        <w:t>About the Clean Energy Access: LA County TECH Grant Program</w:t>
      </w:r>
    </w:p>
    <w:p w:rsidRPr="008B3D3C" w:rsidR="00872530" w:rsidP="009C6C1D" w:rsidRDefault="002D6813" w14:paraId="2856E687" w14:textId="381A1D51">
      <w:pPr>
        <w:pStyle w:val="NormalWeb"/>
      </w:pPr>
      <w:r w:rsidRPr="002D6813">
        <w:lastRenderedPageBreak/>
        <w:t>The CEA-LAT Grant Program is part of the CPUC’s broader efforts to expand equitable access to clean energy technologies, support healthier homes, and help California transition to a cleaner energy future.</w:t>
      </w:r>
    </w:p>
    <w:p w:rsidR="002D6813" w:rsidP="002D6813" w:rsidRDefault="000372AB" w14:paraId="3E2A3BC9" w14:textId="3678D9D0">
      <w:pPr>
        <w:pStyle w:val="NormalWeb"/>
        <w:spacing w:before="0" w:beforeAutospacing="0" w:after="0" w:afterAutospacing="0"/>
      </w:pPr>
      <w:r w:rsidRPr="002A1FEF">
        <w:rPr>
          <w:b/>
          <w:bCs/>
        </w:rPr>
        <w:t>More Information</w:t>
      </w:r>
    </w:p>
    <w:p w:rsidR="009C6C1D" w:rsidP="008B1830" w:rsidRDefault="006E53A5" w14:paraId="7C7B38C6" w14:textId="358D7728">
      <w:pPr>
        <w:pStyle w:val="NormalWeb"/>
        <w:numPr>
          <w:ilvl w:val="0"/>
          <w:numId w:val="3"/>
        </w:numPr>
        <w:spacing w:before="0" w:beforeAutospacing="0" w:after="0" w:afterAutospacing="0"/>
      </w:pPr>
      <w:hyperlink w:history="1" r:id="rId15">
        <w:r w:rsidRPr="006E53A5">
          <w:rPr>
            <w:rStyle w:val="Hyperlink"/>
          </w:rPr>
          <w:t>Proposal Approved</w:t>
        </w:r>
      </w:hyperlink>
    </w:p>
    <w:p w:rsidR="00150C46" w:rsidP="008B1830" w:rsidRDefault="00150C46" w14:paraId="669CEED7" w14:textId="3CDC22D6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150C46">
        <w:t>Clean Energy Access: LA County TECH Grant</w:t>
      </w:r>
      <w:r>
        <w:t xml:space="preserve"> </w:t>
      </w:r>
      <w:hyperlink w:history="1" r:id="rId16">
        <w:r w:rsidRPr="00150C46">
          <w:rPr>
            <w:rStyle w:val="Hyperlink"/>
          </w:rPr>
          <w:t>webpage</w:t>
        </w:r>
      </w:hyperlink>
    </w:p>
    <w:p w:rsidR="00BE0F70" w:rsidP="009422DC" w:rsidRDefault="000964E3" w14:paraId="71D346CC" w14:textId="782579D9">
      <w:pPr>
        <w:pStyle w:val="NormalWeb"/>
        <w:jc w:val="center"/>
      </w:pPr>
      <w:r w:rsidRPr="00FE37F7">
        <w:t>###</w:t>
      </w:r>
      <w:bookmarkEnd w:id="0"/>
    </w:p>
    <w:p w:rsidRPr="000372AB" w:rsidR="000372AB" w:rsidP="000372AB" w:rsidRDefault="000372AB" w14:paraId="0E91EA43" w14:textId="77777777">
      <w:pPr>
        <w:pStyle w:val="NormalWeb"/>
        <w:spacing w:before="0" w:beforeAutospacing="0" w:after="0" w:afterAutospacing="0"/>
        <w:rPr>
          <w:b/>
          <w:bCs/>
        </w:rPr>
      </w:pPr>
      <w:r w:rsidRPr="000372AB">
        <w:rPr>
          <w:b/>
          <w:bCs/>
        </w:rPr>
        <w:t>About the California Public Utilities Commission</w:t>
      </w:r>
    </w:p>
    <w:p w:rsidR="000372AB" w:rsidP="000372AB" w:rsidRDefault="000372AB" w14:paraId="0ED4C943" w14:textId="77777777">
      <w:pPr>
        <w:pStyle w:val="NormalWeb"/>
        <w:spacing w:before="0" w:beforeAutospacing="0" w:after="0" w:afterAutospacing="0"/>
      </w:pPr>
      <w:r>
        <w:t>The CPUC regulates services and utilities, protects consumers, safeguards the environment, and assures</w:t>
      </w:r>
    </w:p>
    <w:p w:rsidR="000372AB" w:rsidP="000372AB" w:rsidRDefault="000372AB" w14:paraId="1439B64E" w14:textId="0D1EB223">
      <w:pPr>
        <w:pStyle w:val="NormalWeb"/>
        <w:spacing w:before="0" w:beforeAutospacing="0" w:after="0" w:afterAutospacing="0"/>
      </w:pPr>
      <w:r>
        <w:t xml:space="preserve">Californians access to safe and reliable utility infrastructure and services. Visit </w:t>
      </w:r>
      <w:hyperlink w:history="1" r:id="rId17">
        <w:r w:rsidRPr="008953A8" w:rsidR="006C256F">
          <w:rPr>
            <w:rStyle w:val="Hyperlink"/>
          </w:rPr>
          <w:t>www.cpuc.ca.gov</w:t>
        </w:r>
      </w:hyperlink>
      <w:r w:rsidR="00872530">
        <w:t xml:space="preserve"> </w:t>
      </w:r>
      <w:r>
        <w:t>for</w:t>
      </w:r>
    </w:p>
    <w:p w:rsidRPr="006624D7" w:rsidR="000372AB" w:rsidP="000372AB" w:rsidRDefault="000372AB" w14:paraId="2C8D1ED5" w14:textId="5B02BC3B">
      <w:pPr>
        <w:pStyle w:val="NormalWeb"/>
        <w:spacing w:before="0" w:beforeAutospacing="0" w:after="0" w:afterAutospacing="0"/>
      </w:pPr>
      <w:r>
        <w:t>more information.</w:t>
      </w:r>
    </w:p>
    <w:sectPr w:rsidRPr="006624D7" w:rsidR="000372AB" w:rsidSect="00064C9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5EAB" w14:textId="77777777" w:rsidR="00A977E1" w:rsidRDefault="00A977E1">
      <w:pPr>
        <w:spacing w:line="240" w:lineRule="auto"/>
      </w:pPr>
      <w:r>
        <w:separator/>
      </w:r>
    </w:p>
    <w:p w14:paraId="25B89D6A" w14:textId="77777777" w:rsidR="00A977E1" w:rsidRDefault="00A977E1"/>
  </w:endnote>
  <w:endnote w:type="continuationSeparator" w:id="0">
    <w:p w14:paraId="4312B2BD" w14:textId="77777777" w:rsidR="00A977E1" w:rsidRDefault="00A977E1">
      <w:pPr>
        <w:spacing w:line="240" w:lineRule="auto"/>
      </w:pPr>
      <w:r>
        <w:continuationSeparator/>
      </w:r>
    </w:p>
    <w:p w14:paraId="3F5FE483" w14:textId="77777777" w:rsidR="00A977E1" w:rsidRDefault="00A97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F396" w14:textId="77777777" w:rsidR="00BA2810" w:rsidRDefault="00BA2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FED9" w14:textId="77777777" w:rsidR="00FD0A4E" w:rsidRPr="00D879A8" w:rsidRDefault="008B796C" w:rsidP="00D879A8">
    <w:pPr>
      <w:pStyle w:val="Footer"/>
      <w:tabs>
        <w:tab w:val="clear" w:pos="4680"/>
        <w:tab w:val="clear" w:pos="9360"/>
      </w:tabs>
      <w:jc w:val="right"/>
      <w:rPr>
        <w:rFonts w:ascii="Century Gothic" w:hAnsi="Century Gothic"/>
        <w:caps/>
        <w:noProof/>
        <w:color w:val="44546A" w:themeColor="text2"/>
        <w:sz w:val="20"/>
      </w:rPr>
    </w:pPr>
    <w:r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BCEE793" wp14:editId="7B96F453">
          <wp:simplePos x="0" y="0"/>
          <wp:positionH relativeFrom="column">
            <wp:posOffset>-686189</wp:posOffset>
          </wp:positionH>
          <wp:positionV relativeFrom="paragraph">
            <wp:posOffset>213995</wp:posOffset>
          </wp:positionV>
          <wp:extent cx="7772400" cy="393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7EE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9281327" wp14:editId="4173BAE0">
              <wp:simplePos x="0" y="0"/>
              <wp:positionH relativeFrom="column">
                <wp:posOffset>0</wp:posOffset>
              </wp:positionH>
              <wp:positionV relativeFrom="paragraph">
                <wp:posOffset>190361</wp:posOffset>
              </wp:positionV>
              <wp:extent cx="2877015" cy="189571"/>
              <wp:effectExtent l="0" t="0" r="635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7015" cy="18957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A84A32" w14:textId="77777777" w:rsidR="00CE71A1" w:rsidRPr="00EC6158" w:rsidRDefault="00A3512C" w:rsidP="002D1E41">
                          <w:pPr>
                            <w:spacing w:line="240" w:lineRule="auto"/>
                            <w:ind w:firstLine="0"/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c</w:t>
                          </w:r>
                          <w:r w:rsidR="00CE71A1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puc.ca.gov</w:t>
                          </w: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  415-703-2782  |  800-848-5580</w:t>
                          </w:r>
                          <w:r w:rsidR="006B4BF5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813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0;margin-top:15pt;width:226.55pt;height:14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3cKQIAAFAEAAAOAAAAZHJzL2Uyb0RvYy54bWysVE1v2zAMvQ/YfxB0X2xnTZsacYosRYYB&#10;QVsgHXpWZCk2IIuapMTOfv0o2flYt9Owi0yJ1CP5+OTZQ9cochDW1aALmo1SSoTmUNZ6V9Dvr6tP&#10;U0qcZ7pkCrQo6FE4+jD/+GHWmlyMoQJVCksQRLu8NQWtvDd5kjheiYa5ERih0SnBNszj1u6S0rIW&#10;0RuVjNP0NmnBlsYCF87h6WPvpPOIL6Xg/llKJzxRBcXafFxtXLdhTeYzlu8sM1XNhzLYP1TRsFpj&#10;0jPUI/OM7G39B1RTcwsOpB9xaBKQsuYi9oDdZOm7bjYVMyL2guQ4c6bJ/T9Y/nTYmBdLfPcFOhxg&#10;IKQ1Lnd4GPrppG3CFysl6EcKj2faROcJx8Px9O4uzSaUcPRl0/vJXYRJLreNdf6rgIYEo6AWxxLZ&#10;Yoe185gRQ08hIZkDVZerWqm4CVIQS2XJgeEQt7sT+G9RSpO2oLefJ2kE1hCu98hKY4JLT8Hy3bYb&#10;Gt1CecT+LfTScIavaixyzZx/YRa1gC2jvv0zLlIBJoHBoqQC+/Nv5yEeR4ReSlrUVkHdjz2zghL1&#10;TePw7rObG9TilW2v7O2VrffNErDrDF+R4dHEeqxXJ1NaaN7wCSxCRnQxzTFvQf3JXPpe7fiEuFgs&#10;YhBKzzC/1hvDA3RgOdD/2r0xa4YZeZzuE5wUyPJ3o+pjw00Ni70HWcc5BnJ7RgfOUbZxvMMTC+/i&#10;eh+jLj+C+S8AAAD//wMAUEsDBBQABgAIAAAAIQAw6JS73AAAAAYBAAAPAAAAZHJzL2Rvd25yZXYu&#10;eG1sTI/BTsMwEETvSPyDtUjcqFOaUhriVFCVGxxoI87beEki4nUUu2n69ywnOI1Ws5p5k28m16mR&#10;htB6NjCfJaCIK29brg2Uh9e7R1AhIlvsPJOBCwXYFNdXOWbWn/mDxn2slYRwyNBAE2OfaR2qhhyG&#10;me+Jxfvyg8Mo51BrO+BZwl2n75PkQTtsWRoa7GnbUPW9Pznp3Ybd2/tLme7G6nJYuVWKn2VqzO3N&#10;9PwEKtIU/57hF1/QoRCmoz+xDaozIEOigUUiKm66XMxBHQ0s12vQRa7/4xc/AAAA//8DAFBLAQIt&#10;ABQABgAIAAAAIQC2gziS/gAAAOEBAAATAAAAAAAAAAAAAAAAAAAAAABbQ29udGVudF9UeXBlc10u&#10;eG1sUEsBAi0AFAAGAAgAAAAhADj9If/WAAAAlAEAAAsAAAAAAAAAAAAAAAAALwEAAF9yZWxzLy5y&#10;ZWxzUEsBAi0AFAAGAAgAAAAhADOzTdwpAgAAUAQAAA4AAAAAAAAAAAAAAAAALgIAAGRycy9lMm9E&#10;b2MueG1sUEsBAi0AFAAGAAgAAAAhADDolLvcAAAABgEAAA8AAAAAAAAAAAAAAAAAgwQAAGRycy9k&#10;b3ducmV2LnhtbFBLBQYAAAAABAAEAPMAAACMBQAAAAA=&#10;" fillcolor="white [3212]" stroked="f" strokeweight=".5pt">
              <v:textbox inset=".72pt,.72pt,.72pt,.72pt">
                <w:txbxContent>
                  <w:p w14:paraId="71A84A32" w14:textId="77777777" w:rsidR="00CE71A1" w:rsidRPr="00EC6158" w:rsidRDefault="00A3512C" w:rsidP="002D1E41">
                    <w:pPr>
                      <w:spacing w:line="240" w:lineRule="auto"/>
                      <w:ind w:firstLine="0"/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c</w:t>
                    </w:r>
                    <w:r w:rsidR="00CE71A1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puc.ca.gov</w:t>
                    </w: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  415-703-2782  |  800-848-5580</w:t>
                    </w:r>
                    <w:r w:rsidR="006B4BF5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</w:p>
                </w:txbxContent>
              </v:textbox>
            </v:shape>
          </w:pict>
        </mc:Fallback>
      </mc:AlternateConten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begin"/>
    </w:r>
    <w:r w:rsidR="00973CB7" w:rsidRPr="006905CA">
      <w:rPr>
        <w:rFonts w:ascii="Century Gothic" w:hAnsi="Century Gothic"/>
        <w:caps/>
        <w:color w:val="44546A" w:themeColor="text2"/>
        <w:sz w:val="20"/>
      </w:rPr>
      <w:instrText xml:space="preserve"> PAGE   \* MERGEFORMAT </w:instrTex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separate"/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t>2</w:t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fldChar w:fldCharType="end"/>
    </w:r>
    <w:r w:rsidR="00BA7C1C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FD4F8F2" wp14:editId="785F2005">
              <wp:simplePos x="0" y="0"/>
              <wp:positionH relativeFrom="column">
                <wp:posOffset>3665855</wp:posOffset>
              </wp:positionH>
              <wp:positionV relativeFrom="paragraph">
                <wp:posOffset>172720</wp:posOffset>
              </wp:positionV>
              <wp:extent cx="160020" cy="164592"/>
              <wp:effectExtent l="0" t="0" r="0" b="0"/>
              <wp:wrapNone/>
              <wp:docPr id="8" name="Rectangle 8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35ED4BC4">
            <v:rect id="Rectangle 8" style="position:absolute;margin-left:288.65pt;margin-top:13.6pt;width:12.6pt;height:1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linkedin.com/company/CaliforniaPUC" o:spid="_x0000_s1026" o:button="t" filled="f" stroked="f" strokeweight="1pt" w14:anchorId="177A1E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9KaQIAADUFAAAOAAAAZHJzL2Uyb0RvYy54bWysVMFu2zAMvQ/YPwi6r7aDNFuDOEXQosOA&#10;oA3WDj2rslQbkEWNUuJkXz9KdpyuLXYYloMjieQj+fSoxeW+NWyn0DdgS16c5ZwpK6Fq7HPJfzzc&#10;fPrCmQ/CVsKAVSU/KM8vlx8/LDo3VxOowVQKGYFYP+9cyesQ3DzLvKxVK/wZOGXJqAFbEWiLz1mF&#10;oiP01mSTPJ9lHWDlEKTynk6veyNfJnytlQx3WnsVmCk51RbSF9P3KX6z5ULMn1G4upFDGeIfqmhF&#10;YynpCHUtgmBbbN5AtY1E8KDDmYQ2A60bqVIP1E2Rv+rmvhZOpV6IHO9Gmvz/g5W3u3u3QaKhc37u&#10;aRm72Gts4z/Vx/aJrMNIltoHJumwmOX5hCiVZCpm0/OLSSQzOwU79OGrgpbFRcmR7iJRJHZrH3rX&#10;o0vMZeGmMSbdh7F/HBBmPMlOFaZVOBgV/Yz9rjRrKqppkhIk8agrg2wn6NqFlMqGojfVolL98XlO&#10;v6HkMSI1kAAjsqaCRuwBIArzLXbfzuAfQ1XS3hic/62wPniMSJnBhjG4bSzgewCGuhoy9/5Hknpq&#10;IktPUB02yBB65Xsnbxq6jrXwYSOQpE43SOMb7uijDXQlh2HFWQ34673z6E8KJCtnHY1Oyf3PrUDF&#10;mflmSZsXxXQaZy1tpuefo0rwpeXppcVu2yugayrooXAyLaN/MMelRmgfacpXMSuZhJWUu+Qy4HFz&#10;FfqRpndCqtUqudF8ORHW9t7JCB5ZjXJ72D8KdIMmA4n5Fo5jJuavpNn7xkgLq20A3STdnngd+KbZ&#10;TMIZ3pE4/C/3yev02i1/AwAA//8DAFBLAwQUAAYACAAAACEAzXshGt8AAAAJAQAADwAAAGRycy9k&#10;b3ducmV2LnhtbEyPwU7DMBBE70j8g7VI3KjTRGkgxKkoEuKEVNoeOLrxkgTsdRS7TeDrWU5wXM3T&#10;zNtqPTsrzjiG3pOC5SIBgdR401Or4LB/urkFEaImo60nVPCFAdb15UWlS+MnesXzLraCSyiUWkEX&#10;41BKGZoOnQ4LPyBx9u5HpyOfYyvNqCcud1amSbKSTvfEC50e8LHD5nN3cgqmPPrnt22zDS/zxhab&#10;j312uPtW6vpqfrgHEXGOfzD86rM61Ox09CcyQVgFeVFkjCpIixQEA6skzUEcOcmWIOtK/v+g/gEA&#10;AP//AwBQSwECLQAUAAYACAAAACEAtoM4kv4AAADhAQAAEwAAAAAAAAAAAAAAAAAAAAAAW0NvbnRl&#10;bnRfVHlwZXNdLnhtbFBLAQItABQABgAIAAAAIQA4/SH/1gAAAJQBAAALAAAAAAAAAAAAAAAAAC8B&#10;AABfcmVscy8ucmVsc1BLAQItABQABgAIAAAAIQBdHV9KaQIAADUFAAAOAAAAAAAAAAAAAAAAAC4C&#10;AABkcnMvZTJvRG9jLnhtbFBLAQItABQABgAIAAAAIQDNeyEa3wAAAAkBAAAPAAAAAAAAAAAAAAAA&#10;AMMEAABkcnMvZG93bnJldi54bWxQSwUGAAAAAAQABADzAAAAzwUAAAAA&#10;">
              <v:fill o:detectmouseclick="t"/>
            </v:rect>
          </w:pict>
        </mc:Fallback>
      </mc:AlternateContent>
    </w:r>
    <w:r w:rsidR="00516C98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5C6449" wp14:editId="17804A1F">
              <wp:simplePos x="0" y="0"/>
              <wp:positionH relativeFrom="column">
                <wp:posOffset>3475355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7" name="Rectangle 7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58D6FEFD">
            <v:rect id="Rectangle 7" style="position:absolute;margin-left:273.65pt;margin-top:13.65pt;width:12.6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youtube.com/user/CaliforniaPUC" o:spid="_x0000_s1026" o:button="t" filled="f" stroked="f" strokeweight="1pt" w14:anchorId="51993F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kpeM3eAAAACQEAAA8AAABkcnMv&#10;ZG93bnJldi54bWxMj8FOwzAMhu9IvENkJG4spaUUStOJISFOSGPbgWPWmLaQOFWTrYWnxzvBybb8&#10;6ffnajk7K444ht6TgutFAgKp8aanVsFu+3x1ByJETUZbT6jgGwMs6/OzSpfGT/SGx01sBYdQKLWC&#10;LsahlDI0HTodFn5A4t2HH52OPI6tNKOeONxZmSbJrXS6J77Q6QGfOmy+NgenYMqjf3lfN+vwOq9s&#10;sfrcZrv7H6UuL+bHBxAR5/gHw0mf1aFmp70/kAnCKshvioxRBempMpAXaQ5iz02Wgawr+f+D+hcA&#10;AP//AwBQSwECLQAUAAYACAAAACEAtoM4kv4AAADhAQAAEwAAAAAAAAAAAAAAAAAAAAAAW0NvbnRl&#10;bnRfVHlwZXNdLnhtbFBLAQItABQABgAIAAAAIQA4/SH/1gAAAJQBAAALAAAAAAAAAAAAAAAAAC8B&#10;AABfcmVscy8ucmVsc1BLAQItABQABgAIAAAAIQBCD30BagIAADUFAAAOAAAAAAAAAAAAAAAAAC4C&#10;AABkcnMvZTJvRG9jLnhtbFBLAQItABQABgAIAAAAIQC5KXjN3gAAAAkBAAAPAAAAAAAAAAAAAAAA&#10;AMQEAABkcnMvZG93bnJldi54bWxQSwUGAAAAAAQABADzAAAAzwUAAAAA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A835A5" wp14:editId="631EBF20">
              <wp:simplePos x="0" y="0"/>
              <wp:positionH relativeFrom="column">
                <wp:posOffset>3284855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6" name="Rectangle 6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32E9B89C">
            <v:rect id="Rectangle 6" style="position:absolute;margin-left:258.65pt;margin-top:13.65pt;width:12.6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instagram.com/CaliforniaPUC/" o:spid="_x0000_s1026" o:button="t" filled="f" stroked="f" strokeweight="1pt" w14:anchorId="794DEB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Eux7jPfAAAACQEAAA8AAABkcnMv&#10;ZG93bnJldi54bWxMj8FOwzAMhu9IvENkJG4sXUsZlKYTQ0KckMa2A8esMW0hcaomWwtPj3diJ9vy&#10;p9+fy+XkrDjiEDpPCuazBARS7U1HjYLd9uXmHkSImoy2nlDBDwZYVpcXpS6MH+kdj5vYCA6hUGgF&#10;bYx9IWWoW3Q6zHyPxLtPPzgdeRwaaQY9crizMk2SO+l0R3yh1T0+t1h/bw5OwZhH//qxrtfhbVrZ&#10;xeprm+0efpW6vpqeHkFEnOI/DCd9VoeKnfb+QCYIqyCfLzJGFaSnykB+m+Yg9txkGciqlOcfVH8A&#10;AAD//wMAUEsBAi0AFAAGAAgAAAAhALaDOJL+AAAA4QEAABMAAAAAAAAAAAAAAAAAAAAAAFtDb250&#10;ZW50X1R5cGVzXS54bWxQSwECLQAUAAYACAAAACEAOP0h/9YAAACUAQAACwAAAAAAAAAAAAAAAAAv&#10;AQAAX3JlbHMvLnJlbHNQSwECLQAUAAYACAAAACEAQg99AWoCAAA1BQAADgAAAAAAAAAAAAAAAAAu&#10;AgAAZHJzL2Uyb0RvYy54bWxQSwECLQAUAAYACAAAACEAS7HuM98AAAAJAQAADwAAAAAAAAAAAAAA&#10;AADEBAAAZHJzL2Rvd25yZXYueG1sUEsFBgAAAAAEAAQA8wAAANAFAAAAAA==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9713B4" wp14:editId="17DBBB82">
              <wp:simplePos x="0" y="0"/>
              <wp:positionH relativeFrom="column">
                <wp:posOffset>3094990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5" name="Rectangle 5">
                <a:hlinkClick xmlns:a="http://schemas.openxmlformats.org/drawingml/2006/main" r:id="rId5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06C4F769">
            <v:rect id="Rectangle 5" style="position:absolute;margin-left:243.7pt;margin-top:13.65pt;width:12.6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facebook.com/CaliforniaPUC" o:spid="_x0000_s1026" o:button="t" filled="f" stroked="f" strokeweight="1pt" w14:anchorId="113E6C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/O1TzhAAAACQEAAA8AAABkcnMv&#10;ZG93bnJldi54bWxMj8FOwkAQhu8mvsNmTLzJlhYo1G6JmBhPJggcPC7t0FZ3Z5vuQqtP73DS20zm&#10;yz/fn69Ha8QFe986UjCdRCCQSle1VCs47F8eliB80FRp4wgVfKOHdXF7k+uscgO942UXasEh5DOt&#10;oAmhy6T0ZYNW+4nrkPh2cr3Vgde+llWvBw63RsZRtJBWt8QfGt3hc4Pl1+5sFQzz4F4/tuXWv40b&#10;k24+98lh9aPU/d349Agi4Bj+YLjqszoU7HR0Z6q8MApmy3TGqII4TUAwMJ/GCxBHHpIEZJHL/w2K&#10;XwAAAP//AwBQSwECLQAUAAYACAAAACEAtoM4kv4AAADhAQAAEwAAAAAAAAAAAAAAAAAAAAAAW0Nv&#10;bnRlbnRfVHlwZXNdLnhtbFBLAQItABQABgAIAAAAIQA4/SH/1gAAAJQBAAALAAAAAAAAAAAAAAAA&#10;AC8BAABfcmVscy8ucmVsc1BLAQItABQABgAIAAAAIQBCD30BagIAADUFAAAOAAAAAAAAAAAAAAAA&#10;AC4CAABkcnMvZTJvRG9jLnhtbFBLAQItABQABgAIAAAAIQC/ztU84QAAAAkBAAAPAAAAAAAAAAAA&#10;AAAAAMQEAABkcnMvZG93bnJldi54bWxQSwUGAAAAAAQABADzAAAA0gUAAAAA&#10;">
              <v:fill o:detectmouseclick="t"/>
            </v:rect>
          </w:pict>
        </mc:Fallback>
      </mc:AlternateContent>
    </w:r>
    <w:r w:rsidR="00EF0B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B518E8" wp14:editId="35895C57">
              <wp:simplePos x="0" y="0"/>
              <wp:positionH relativeFrom="column">
                <wp:posOffset>2903855</wp:posOffset>
              </wp:positionH>
              <wp:positionV relativeFrom="paragraph">
                <wp:posOffset>174745</wp:posOffset>
              </wp:positionV>
              <wp:extent cx="160020" cy="164846"/>
              <wp:effectExtent l="0" t="0" r="0" b="0"/>
              <wp:wrapNone/>
              <wp:docPr id="4" name="Rectangle 4">
                <a:hlinkClick xmlns:a="http://schemas.openxmlformats.org/drawingml/2006/main" r:id="rId6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8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7E8EAE2A">
            <v:rect id="Rectangle 4" style="position:absolute;margin-left:228.65pt;margin-top:13.75pt;width:12.6pt;height: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href="https://twitter.com/californiapuc" o:spid="_x0000_s1026" o:button="t" filled="f" stroked="f" strokeweight="1pt" w14:anchorId="48BA3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HcaQIAADUFAAAOAAAAZHJzL2Uyb0RvYy54bWysVMFu2zAMvQ/YPwi6r7aDNOuCOEXQosOA&#10;oi2WDj2rshQbkEWNUuJkXz9KdpyuLXYYloMjieQj+fSoxeW+NWyn0DdgS16c5ZwpK6Fq7KbkPx5v&#10;Pl1w5oOwlTBgVckPyvPL5ccPi87N1QRqMJVCRiDWzztX8joEN88yL2vVCn8GTlkyasBWBNriJqtQ&#10;dITemmyS57OsA6wcglTe0+l1b+TLhK+1kuFea68CMyWn2kL6Yvo+x2+2XIj5BoWrGzmUIf6hilY0&#10;lpKOUNciCLbF5g1U20gEDzqcSWgz0LqRKvVA3RT5q27WtXAq9ULkeDfS5P8frLzbrd0DEg2d83NP&#10;y9jFXmMb/6k+tk9kHUay1D4wSYfFLM8nRKkkUzGbXkxnkczsFOzQh68KWhYXJUe6i0SR2N360Lse&#10;XWIuCzeNMek+jP3jgDDjSXaqMK3CwajoZ+x3pVlTUU2TlCCJR10ZZDtB1y6kVDYUvakWleqPz3P6&#10;DSWPEamBBBiRNRU0Yg8AUZhvsft2Bv8YqpL2xuD8b4X1wWNEygw2jMFtYwHfAzDU1ZC59z+S1FMT&#10;WXqG6vCADKFXvnfypqHruBU+PAgkqdMN0viGe/poA13JYVhxVgP+eu88+pMCycpZR6NTcv9zK1Bx&#10;Zr5Z0uaXYjqNs5Y20/PPUSX40vL80mK37RXQNRX0UDiZltE/mONSI7RPNOWrmJVMwkrKXXIZ8Li5&#10;Cv1I0zsh1WqV3Gi+nAi3du1kBI+sRrk97p8EukGTgcR8B8cxE/NX0ux9Y6SF1TaAbpJuT7wOfNNs&#10;JuEM70gc/pf75HV67Za/AQAA//8DAFBLAwQUAAYACAAAACEAt2oO7+AAAAAJAQAADwAAAGRycy9k&#10;b3ducmV2LnhtbEyPwU7DMAyG70i8Q2QkbiylXehWmk4MCXFCGtsOHLPGawuJUzXZWnh6shPcbPnT&#10;7+8vV5M17IyD7xxJuJ8lwJBqpztqJOx3L3cLYD4o0so4Qgnf6GFVXV+VqtBupHc8b0PDYgj5Qklo&#10;Q+gLzn3dolV+5nqkeDu6waoQ16HhelBjDLeGp0nywK3qKH5oVY/PLdZf25OVMIrgXj829ca/TWuT&#10;rz932X75I+XtzfT0CCzgFP5guOhHdaii08GdSHtmJMxFnkVUQpoLYBGYL9I4HCSITACvSv6/QfUL&#10;AAD//wMAUEsBAi0AFAAGAAgAAAAhALaDOJL+AAAA4QEAABMAAAAAAAAAAAAAAAAAAAAAAFtDb250&#10;ZW50X1R5cGVzXS54bWxQSwECLQAUAAYACAAAACEAOP0h/9YAAACUAQAACwAAAAAAAAAAAAAAAAAv&#10;AQAAX3JlbHMvLnJlbHNQSwECLQAUAAYACAAAACEAjiYh3GkCAAA1BQAADgAAAAAAAAAAAAAAAAAu&#10;AgAAZHJzL2Uyb0RvYy54bWxQSwECLQAUAAYACAAAACEAt2oO7+AAAAAJAQAADwAAAAAAAAAAAAAA&#10;AADDBAAAZHJzL2Rvd25yZXYueG1sUEsFBgAAAAAEAAQA8wAAANAFAAAAAA==&#10;">
              <v:fill o:detectmouseclick="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39CC" w14:textId="77777777" w:rsidR="00BA2810" w:rsidRDefault="00BA2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AB6D" w14:textId="77777777" w:rsidR="00A977E1" w:rsidRDefault="00A977E1">
      <w:pPr>
        <w:spacing w:line="240" w:lineRule="auto"/>
      </w:pPr>
      <w:r>
        <w:separator/>
      </w:r>
    </w:p>
    <w:p w14:paraId="554B44D8" w14:textId="77777777" w:rsidR="00A977E1" w:rsidRDefault="00A977E1"/>
  </w:footnote>
  <w:footnote w:type="continuationSeparator" w:id="0">
    <w:p w14:paraId="7938E0CE" w14:textId="77777777" w:rsidR="00A977E1" w:rsidRDefault="00A977E1">
      <w:pPr>
        <w:spacing w:line="240" w:lineRule="auto"/>
      </w:pPr>
      <w:r>
        <w:continuationSeparator/>
      </w:r>
    </w:p>
    <w:p w14:paraId="161529D6" w14:textId="77777777" w:rsidR="00A977E1" w:rsidRDefault="00A977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B299" w14:textId="77777777" w:rsidR="00BA2810" w:rsidRDefault="00BA2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FD8B" w14:textId="77777777" w:rsidR="008B796C" w:rsidRDefault="008B796C" w:rsidP="002557D4">
    <w:pPr>
      <w:pStyle w:val="Header"/>
      <w:ind w:firstLine="0"/>
    </w:pPr>
  </w:p>
  <w:p w14:paraId="0E3D7E8A" w14:textId="77777777" w:rsidR="00FD0A4E" w:rsidRDefault="00FD0A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A66A" w14:textId="77777777" w:rsidR="00BA2810" w:rsidRDefault="00BA2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5E50"/>
    <w:multiLevelType w:val="hybridMultilevel"/>
    <w:tmpl w:val="D06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4421"/>
    <w:multiLevelType w:val="multilevel"/>
    <w:tmpl w:val="F59C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21312"/>
    <w:multiLevelType w:val="hybridMultilevel"/>
    <w:tmpl w:val="883E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7FE9"/>
    <w:multiLevelType w:val="multilevel"/>
    <w:tmpl w:val="DD42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54B7A"/>
    <w:multiLevelType w:val="hybridMultilevel"/>
    <w:tmpl w:val="7602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413B3"/>
    <w:multiLevelType w:val="multilevel"/>
    <w:tmpl w:val="D570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11D8D"/>
    <w:multiLevelType w:val="hybridMultilevel"/>
    <w:tmpl w:val="D918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700FE"/>
    <w:multiLevelType w:val="multilevel"/>
    <w:tmpl w:val="A294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3A2DB1"/>
    <w:multiLevelType w:val="hybridMultilevel"/>
    <w:tmpl w:val="31C0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21083"/>
    <w:multiLevelType w:val="hybridMultilevel"/>
    <w:tmpl w:val="6AC0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4637">
    <w:abstractNumId w:val="2"/>
  </w:num>
  <w:num w:numId="2" w16cid:durableId="1083062485">
    <w:abstractNumId w:val="0"/>
  </w:num>
  <w:num w:numId="3" w16cid:durableId="130027463">
    <w:abstractNumId w:val="9"/>
  </w:num>
  <w:num w:numId="4" w16cid:durableId="1324746911">
    <w:abstractNumId w:val="8"/>
  </w:num>
  <w:num w:numId="5" w16cid:durableId="1740515815">
    <w:abstractNumId w:val="6"/>
  </w:num>
  <w:num w:numId="6" w16cid:durableId="1261837000">
    <w:abstractNumId w:val="4"/>
  </w:num>
  <w:num w:numId="7" w16cid:durableId="722486135">
    <w:abstractNumId w:val="1"/>
  </w:num>
  <w:num w:numId="8" w16cid:durableId="657417260">
    <w:abstractNumId w:val="5"/>
  </w:num>
  <w:num w:numId="9" w16cid:durableId="912740462">
    <w:abstractNumId w:val="3"/>
  </w:num>
  <w:num w:numId="10" w16cid:durableId="1232883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9F"/>
    <w:rsid w:val="00000CDF"/>
    <w:rsid w:val="00027F62"/>
    <w:rsid w:val="00032DF2"/>
    <w:rsid w:val="00034C07"/>
    <w:rsid w:val="000372AB"/>
    <w:rsid w:val="000511DF"/>
    <w:rsid w:val="000527AF"/>
    <w:rsid w:val="00064C9B"/>
    <w:rsid w:val="00065488"/>
    <w:rsid w:val="000671F7"/>
    <w:rsid w:val="00067BC8"/>
    <w:rsid w:val="000964E3"/>
    <w:rsid w:val="000A17C9"/>
    <w:rsid w:val="000A6282"/>
    <w:rsid w:val="000B035D"/>
    <w:rsid w:val="000B3734"/>
    <w:rsid w:val="000B3D43"/>
    <w:rsid w:val="000B5979"/>
    <w:rsid w:val="000B7BD1"/>
    <w:rsid w:val="000D695E"/>
    <w:rsid w:val="000E0857"/>
    <w:rsid w:val="001103D7"/>
    <w:rsid w:val="001121D2"/>
    <w:rsid w:val="00140CFB"/>
    <w:rsid w:val="0014737B"/>
    <w:rsid w:val="00150C46"/>
    <w:rsid w:val="00166728"/>
    <w:rsid w:val="001D2C18"/>
    <w:rsid w:val="001D355F"/>
    <w:rsid w:val="001E434A"/>
    <w:rsid w:val="001E44E0"/>
    <w:rsid w:val="00200D54"/>
    <w:rsid w:val="00211BF7"/>
    <w:rsid w:val="002171EF"/>
    <w:rsid w:val="00244671"/>
    <w:rsid w:val="002557D4"/>
    <w:rsid w:val="00260757"/>
    <w:rsid w:val="00260E9E"/>
    <w:rsid w:val="00263A81"/>
    <w:rsid w:val="00265714"/>
    <w:rsid w:val="002931FB"/>
    <w:rsid w:val="002A1FEF"/>
    <w:rsid w:val="002A209F"/>
    <w:rsid w:val="002C649D"/>
    <w:rsid w:val="002C7075"/>
    <w:rsid w:val="002D1E41"/>
    <w:rsid w:val="002D6813"/>
    <w:rsid w:val="002E08B7"/>
    <w:rsid w:val="002E3C91"/>
    <w:rsid w:val="002F7D6C"/>
    <w:rsid w:val="003055DE"/>
    <w:rsid w:val="00305629"/>
    <w:rsid w:val="00310B9B"/>
    <w:rsid w:val="00313D21"/>
    <w:rsid w:val="00314343"/>
    <w:rsid w:val="003164F0"/>
    <w:rsid w:val="003402D8"/>
    <w:rsid w:val="003546B1"/>
    <w:rsid w:val="00362D44"/>
    <w:rsid w:val="003666E8"/>
    <w:rsid w:val="003A7882"/>
    <w:rsid w:val="003B1208"/>
    <w:rsid w:val="003B32A6"/>
    <w:rsid w:val="003D5ECD"/>
    <w:rsid w:val="003E2832"/>
    <w:rsid w:val="003E2DF6"/>
    <w:rsid w:val="003E6BAB"/>
    <w:rsid w:val="003F07C4"/>
    <w:rsid w:val="00412D3E"/>
    <w:rsid w:val="00427583"/>
    <w:rsid w:val="004327DC"/>
    <w:rsid w:val="00465E73"/>
    <w:rsid w:val="004718FF"/>
    <w:rsid w:val="0048184C"/>
    <w:rsid w:val="004A6C2D"/>
    <w:rsid w:val="004A77EE"/>
    <w:rsid w:val="004B1348"/>
    <w:rsid w:val="00503C35"/>
    <w:rsid w:val="00510C78"/>
    <w:rsid w:val="00510E1D"/>
    <w:rsid w:val="005119F2"/>
    <w:rsid w:val="00516C98"/>
    <w:rsid w:val="00517157"/>
    <w:rsid w:val="00520CC7"/>
    <w:rsid w:val="00545533"/>
    <w:rsid w:val="00546BD0"/>
    <w:rsid w:val="005628B5"/>
    <w:rsid w:val="00565E23"/>
    <w:rsid w:val="005A12F2"/>
    <w:rsid w:val="005A4882"/>
    <w:rsid w:val="005B53C9"/>
    <w:rsid w:val="005C025C"/>
    <w:rsid w:val="005C4F9F"/>
    <w:rsid w:val="005E3ECB"/>
    <w:rsid w:val="005E5942"/>
    <w:rsid w:val="005E657A"/>
    <w:rsid w:val="00605487"/>
    <w:rsid w:val="00636239"/>
    <w:rsid w:val="00637220"/>
    <w:rsid w:val="00654243"/>
    <w:rsid w:val="006624D7"/>
    <w:rsid w:val="00662A7E"/>
    <w:rsid w:val="006809B6"/>
    <w:rsid w:val="00681F83"/>
    <w:rsid w:val="00684FF5"/>
    <w:rsid w:val="006905CA"/>
    <w:rsid w:val="00693F98"/>
    <w:rsid w:val="006B09FD"/>
    <w:rsid w:val="006B4BF5"/>
    <w:rsid w:val="006B6A27"/>
    <w:rsid w:val="006C256F"/>
    <w:rsid w:val="006C29FE"/>
    <w:rsid w:val="006E484B"/>
    <w:rsid w:val="006E525A"/>
    <w:rsid w:val="006E53A5"/>
    <w:rsid w:val="006E65E3"/>
    <w:rsid w:val="00726E07"/>
    <w:rsid w:val="00727998"/>
    <w:rsid w:val="00754FE0"/>
    <w:rsid w:val="00765316"/>
    <w:rsid w:val="00773D0D"/>
    <w:rsid w:val="007748F0"/>
    <w:rsid w:val="007A3960"/>
    <w:rsid w:val="007B3B9B"/>
    <w:rsid w:val="007B7FB7"/>
    <w:rsid w:val="007E1B99"/>
    <w:rsid w:val="008079F6"/>
    <w:rsid w:val="00825427"/>
    <w:rsid w:val="00825BF6"/>
    <w:rsid w:val="008678B1"/>
    <w:rsid w:val="00872530"/>
    <w:rsid w:val="00877625"/>
    <w:rsid w:val="00881D75"/>
    <w:rsid w:val="00882D9F"/>
    <w:rsid w:val="008A09D3"/>
    <w:rsid w:val="008A0FA8"/>
    <w:rsid w:val="008B1830"/>
    <w:rsid w:val="008B3D3C"/>
    <w:rsid w:val="008B796C"/>
    <w:rsid w:val="008C38F6"/>
    <w:rsid w:val="008D247E"/>
    <w:rsid w:val="008E25C0"/>
    <w:rsid w:val="008F1159"/>
    <w:rsid w:val="008F553B"/>
    <w:rsid w:val="00900D0D"/>
    <w:rsid w:val="00916768"/>
    <w:rsid w:val="009422DC"/>
    <w:rsid w:val="009456D3"/>
    <w:rsid w:val="00952356"/>
    <w:rsid w:val="0095374D"/>
    <w:rsid w:val="00963365"/>
    <w:rsid w:val="00973CB7"/>
    <w:rsid w:val="00982B42"/>
    <w:rsid w:val="009915DC"/>
    <w:rsid w:val="009A094A"/>
    <w:rsid w:val="009A2082"/>
    <w:rsid w:val="009C47C3"/>
    <w:rsid w:val="009C6C1D"/>
    <w:rsid w:val="009D34B3"/>
    <w:rsid w:val="009E4971"/>
    <w:rsid w:val="009E4EBA"/>
    <w:rsid w:val="00A11A71"/>
    <w:rsid w:val="00A21E9A"/>
    <w:rsid w:val="00A3512C"/>
    <w:rsid w:val="00A36204"/>
    <w:rsid w:val="00A4490A"/>
    <w:rsid w:val="00A87FF5"/>
    <w:rsid w:val="00A977E1"/>
    <w:rsid w:val="00AA186B"/>
    <w:rsid w:val="00AA2945"/>
    <w:rsid w:val="00AB48E3"/>
    <w:rsid w:val="00AB5C38"/>
    <w:rsid w:val="00AE2C34"/>
    <w:rsid w:val="00B0491A"/>
    <w:rsid w:val="00B072CF"/>
    <w:rsid w:val="00B12683"/>
    <w:rsid w:val="00B2336C"/>
    <w:rsid w:val="00B46AF6"/>
    <w:rsid w:val="00B61D69"/>
    <w:rsid w:val="00B774FA"/>
    <w:rsid w:val="00B807CA"/>
    <w:rsid w:val="00B82F89"/>
    <w:rsid w:val="00B948C7"/>
    <w:rsid w:val="00B960ED"/>
    <w:rsid w:val="00B97CD7"/>
    <w:rsid w:val="00BA2810"/>
    <w:rsid w:val="00BA3F99"/>
    <w:rsid w:val="00BA63D7"/>
    <w:rsid w:val="00BA7935"/>
    <w:rsid w:val="00BA7C1C"/>
    <w:rsid w:val="00BB30D3"/>
    <w:rsid w:val="00BC54BE"/>
    <w:rsid w:val="00BE0F70"/>
    <w:rsid w:val="00BE10C4"/>
    <w:rsid w:val="00C145F8"/>
    <w:rsid w:val="00C33199"/>
    <w:rsid w:val="00C3788B"/>
    <w:rsid w:val="00C644FC"/>
    <w:rsid w:val="00C877C9"/>
    <w:rsid w:val="00CD3AA8"/>
    <w:rsid w:val="00CE4FFC"/>
    <w:rsid w:val="00CE71A1"/>
    <w:rsid w:val="00CF2404"/>
    <w:rsid w:val="00D00FD1"/>
    <w:rsid w:val="00D13DF3"/>
    <w:rsid w:val="00D427B0"/>
    <w:rsid w:val="00D42CD4"/>
    <w:rsid w:val="00D81466"/>
    <w:rsid w:val="00D820A1"/>
    <w:rsid w:val="00D861FF"/>
    <w:rsid w:val="00D879A8"/>
    <w:rsid w:val="00D92AD2"/>
    <w:rsid w:val="00D96B56"/>
    <w:rsid w:val="00DA1186"/>
    <w:rsid w:val="00DA1B3D"/>
    <w:rsid w:val="00DB6396"/>
    <w:rsid w:val="00DE7181"/>
    <w:rsid w:val="00E07B5E"/>
    <w:rsid w:val="00E10C42"/>
    <w:rsid w:val="00E26C03"/>
    <w:rsid w:val="00E46C3D"/>
    <w:rsid w:val="00E53723"/>
    <w:rsid w:val="00E96318"/>
    <w:rsid w:val="00EC6158"/>
    <w:rsid w:val="00ED4643"/>
    <w:rsid w:val="00ED4CAE"/>
    <w:rsid w:val="00EE06DC"/>
    <w:rsid w:val="00EF0B74"/>
    <w:rsid w:val="00F0113C"/>
    <w:rsid w:val="00F06E27"/>
    <w:rsid w:val="00F132D9"/>
    <w:rsid w:val="00F50CA0"/>
    <w:rsid w:val="00F51D8E"/>
    <w:rsid w:val="00F5295D"/>
    <w:rsid w:val="00F663E3"/>
    <w:rsid w:val="00F703B4"/>
    <w:rsid w:val="00F713B1"/>
    <w:rsid w:val="00F90ED9"/>
    <w:rsid w:val="00FD0A4E"/>
    <w:rsid w:val="00FD3A07"/>
    <w:rsid w:val="00FE272C"/>
    <w:rsid w:val="00FF2710"/>
    <w:rsid w:val="010D9642"/>
    <w:rsid w:val="025B17E2"/>
    <w:rsid w:val="0372A4E7"/>
    <w:rsid w:val="0383495F"/>
    <w:rsid w:val="050E7CDB"/>
    <w:rsid w:val="051DA533"/>
    <w:rsid w:val="085443F1"/>
    <w:rsid w:val="096207D9"/>
    <w:rsid w:val="0EDE8105"/>
    <w:rsid w:val="119D59B3"/>
    <w:rsid w:val="11EB409F"/>
    <w:rsid w:val="123F5468"/>
    <w:rsid w:val="16760F4A"/>
    <w:rsid w:val="17FB29DA"/>
    <w:rsid w:val="19D3C5BB"/>
    <w:rsid w:val="1E099C65"/>
    <w:rsid w:val="1F599C54"/>
    <w:rsid w:val="1F8A18CC"/>
    <w:rsid w:val="1FFFC79F"/>
    <w:rsid w:val="2246EFE8"/>
    <w:rsid w:val="23992478"/>
    <w:rsid w:val="2510728A"/>
    <w:rsid w:val="25468C57"/>
    <w:rsid w:val="25CA7246"/>
    <w:rsid w:val="26DB818B"/>
    <w:rsid w:val="2B1D2CB4"/>
    <w:rsid w:val="32C1DCB0"/>
    <w:rsid w:val="348D47A1"/>
    <w:rsid w:val="384A1677"/>
    <w:rsid w:val="3908BADE"/>
    <w:rsid w:val="3CE2FB45"/>
    <w:rsid w:val="3DAFAF20"/>
    <w:rsid w:val="40E2DD64"/>
    <w:rsid w:val="44C90BF0"/>
    <w:rsid w:val="474270EF"/>
    <w:rsid w:val="47C6B083"/>
    <w:rsid w:val="49054D45"/>
    <w:rsid w:val="4A1A4A7B"/>
    <w:rsid w:val="4B9D697E"/>
    <w:rsid w:val="4C547966"/>
    <w:rsid w:val="4C7F21FE"/>
    <w:rsid w:val="4D1C5CAE"/>
    <w:rsid w:val="4F5C04B7"/>
    <w:rsid w:val="4F7D1176"/>
    <w:rsid w:val="50ED4ACE"/>
    <w:rsid w:val="50FEC27F"/>
    <w:rsid w:val="548C7144"/>
    <w:rsid w:val="557CD28D"/>
    <w:rsid w:val="55EABD13"/>
    <w:rsid w:val="584BDAAB"/>
    <w:rsid w:val="5BA6300E"/>
    <w:rsid w:val="5CE3FA09"/>
    <w:rsid w:val="5E4B291B"/>
    <w:rsid w:val="63234312"/>
    <w:rsid w:val="6648F241"/>
    <w:rsid w:val="664C75C7"/>
    <w:rsid w:val="68410CB5"/>
    <w:rsid w:val="693E2695"/>
    <w:rsid w:val="7425A41F"/>
    <w:rsid w:val="7462EF68"/>
    <w:rsid w:val="75C4741D"/>
    <w:rsid w:val="76F2BFC8"/>
    <w:rsid w:val="77810676"/>
    <w:rsid w:val="785B2C5E"/>
    <w:rsid w:val="7C22DAB6"/>
    <w:rsid w:val="7D79D116"/>
    <w:rsid w:val="7EA2A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924F1"/>
  <w15:chartTrackingRefBased/>
  <w15:docId w15:val="{CAD163F2-16A3-48C4-B7C5-80181FCD2600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DC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64E3"/>
    <w:rPr>
      <w:color w:val="0000FF"/>
      <w:u w:val="single"/>
    </w:rPr>
  </w:style>
  <w:style w:type="paragraph" w:customStyle="1" w:styleId="ReleaseHead">
    <w:name w:val="ReleaseHead"/>
    <w:basedOn w:val="Normal"/>
    <w:autoRedefine/>
    <w:rsid w:val="009C47C3"/>
    <w:pPr>
      <w:tabs>
        <w:tab w:val="left" w:pos="4680"/>
      </w:tabs>
      <w:spacing w:line="240" w:lineRule="auto"/>
      <w:ind w:firstLine="0"/>
      <w:jc w:val="center"/>
      <w:outlineLvl w:val="0"/>
    </w:pPr>
    <w:rPr>
      <w:i/>
      <w:iCs/>
      <w:szCs w:val="24"/>
    </w:rPr>
  </w:style>
  <w:style w:type="paragraph" w:styleId="BodyTextIndent">
    <w:name w:val="Body Text Indent"/>
    <w:basedOn w:val="Normal"/>
    <w:link w:val="BodyTextIndentChar"/>
    <w:rsid w:val="000964E3"/>
  </w:style>
  <w:style w:type="character" w:customStyle="1" w:styleId="BodyTextIndentChar">
    <w:name w:val="Body Text Indent Char"/>
    <w:basedOn w:val="DefaultParagraphFont"/>
    <w:link w:val="BodyTextIndent"/>
    <w:rsid w:val="000964E3"/>
    <w:rPr>
      <w:rFonts w:ascii="Bookman" w:eastAsia="Times New Roman" w:hAnsi="Book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character" w:styleId="PageNumber">
    <w:name w:val="page number"/>
    <w:basedOn w:val="DefaultParagraphFont"/>
    <w:rsid w:val="000964E3"/>
  </w:style>
  <w:style w:type="character" w:styleId="CommentReference">
    <w:name w:val="annotation reference"/>
    <w:basedOn w:val="DefaultParagraphFont"/>
    <w:uiPriority w:val="99"/>
    <w:semiHidden/>
    <w:unhideWhenUsed/>
    <w:rsid w:val="0009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E3"/>
    <w:rPr>
      <w:rFonts w:ascii="Bookman" w:eastAsia="Times New Roman" w:hAnsi="Book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6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FFC"/>
    <w:pPr>
      <w:spacing w:before="100" w:beforeAutospacing="1" w:after="100" w:afterAutospacing="1"/>
      <w:ind w:firstLine="0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67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07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631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6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c.ca.gov/-/media/cpuc-website/divisions/news-and-outreach/documents/bco/ea-grant-documents/cea-lat-grant/11-20-2025-update/cea-lat-guidelines-cycle-2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ews@cpuc.ca.gov" TargetMode="External"/><Relationship Id="rId17" Type="http://schemas.openxmlformats.org/officeDocument/2006/relationships/hyperlink" Target="http://www.cpuc.ca.go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puc.ca.gov/about-cpuc/divisions/news-and-public-information-office/business-and-community-outreach/equity-and-access-grant-progra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ocs.cpuc.ca.gov/PublishedDocs/Published/G000/M585/K706/585706309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pacitygrants@cpuc.ca.gov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user/CaliforniaPUC" TargetMode="External"/><Relationship Id="rId2" Type="http://schemas.openxmlformats.org/officeDocument/2006/relationships/hyperlink" Target="https://www.linkedin.com/company/CaliforniaPUC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twitter.com/californiapuc" TargetMode="External"/><Relationship Id="rId5" Type="http://schemas.openxmlformats.org/officeDocument/2006/relationships/hyperlink" Target="https://www.facebook.com/CaliforniaPUC" TargetMode="External"/><Relationship Id="rId4" Type="http://schemas.openxmlformats.org/officeDocument/2006/relationships/hyperlink" Target="https://www.instagram.com/CaliforniaPU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98ff8-a920-4b49-a5f6-3b1300a2f808">
      <Terms xmlns="http://schemas.microsoft.com/office/infopath/2007/PartnerControls"/>
    </lcf76f155ced4ddcb4097134ff3c332f>
    <TaxCatchAll xmlns="db99a4d6-c8f3-42a9-97eb-2030ef8bef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0FC80E8EA7C44AD3E0D3945395AD4" ma:contentTypeVersion="11" ma:contentTypeDescription="Create a new document." ma:contentTypeScope="" ma:versionID="11a68509ecb6aec898a02359af77ee5d">
  <xsd:schema xmlns:xsd="http://www.w3.org/2001/XMLSchema" xmlns:xs="http://www.w3.org/2001/XMLSchema" xmlns:p="http://schemas.microsoft.com/office/2006/metadata/properties" xmlns:ns2="af698ff8-a920-4b49-a5f6-3b1300a2f808" xmlns:ns3="db99a4d6-c8f3-42a9-97eb-2030ef8bef78" targetNamespace="http://schemas.microsoft.com/office/2006/metadata/properties" ma:root="true" ma:fieldsID="949601b72355453bf87e3651b58252c9" ns2:_="" ns3:_="">
    <xsd:import namespace="af698ff8-a920-4b49-a5f6-3b1300a2f808"/>
    <xsd:import namespace="db99a4d6-c8f3-42a9-97eb-2030ef8be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98ff8-a920-4b49-a5f6-3b1300a2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a4d6-c8f3-42a9-97eb-2030ef8bef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69fb06-918c-4d53-8e89-3cef564aab78}" ma:internalName="TaxCatchAll" ma:showField="CatchAllData" ma:web="db99a4d6-c8f3-42a9-97eb-2030ef8be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E853A-0DC4-4EC5-842E-FB3BE35C45AA}">
  <ds:schemaRefs>
    <ds:schemaRef ds:uri="http://schemas.microsoft.com/office/2006/metadata/properties"/>
    <ds:schemaRef ds:uri="http://schemas.microsoft.com/office/infopath/2007/PartnerControls"/>
    <ds:schemaRef ds:uri="af698ff8-a920-4b49-a5f6-3b1300a2f808"/>
    <ds:schemaRef ds:uri="db99a4d6-c8f3-42a9-97eb-2030ef8bef78"/>
  </ds:schemaRefs>
</ds:datastoreItem>
</file>

<file path=customXml/itemProps2.xml><?xml version="1.0" encoding="utf-8"?>
<ds:datastoreItem xmlns:ds="http://schemas.openxmlformats.org/officeDocument/2006/customXml" ds:itemID="{F30B9889-950A-44BD-919A-F24A0B8DF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B2A3-CF83-C24C-8F41-6C5498887D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53313-4C67-42E4-9A79-FA1428D72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98ff8-a920-4b49-a5f6-3b1300a2f808"/>
    <ds:schemaRef ds:uri="db99a4d6-c8f3-42a9-97eb-2030ef8be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622</ap:Words>
  <ap:Characters>3548</ap:Characters>
  <ap:Application>Microsoft Office Word</ap:Application>
  <ap:DocSecurity>0</ap:DocSecurity>
  <ap:Lines>29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4162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2025-12-15T12:48:19Z</dcterms:created>
  <dcterms:modified xsi:type="dcterms:W3CDTF">2025-12-15T12:48:19Z</dcterms:modified>
</cp:coreProperties>
</file>