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5BBB" w:rsidR="00B60421" w:rsidP="00F277D4" w:rsidRDefault="005D5BBB" w14:paraId="2C64FE50" w14:textId="70EE0DC4">
      <w:pPr>
        <w:tabs>
          <w:tab w:val="center" w:pos="4680"/>
          <w:tab w:val="right" w:pos="9360"/>
        </w:tabs>
        <w:spacing w:line="240" w:lineRule="auto"/>
        <w:ind w:firstLine="0"/>
      </w:pPr>
      <w:r>
        <w:t>ALJ/NIL/nd3</w:t>
      </w:r>
      <w:r w:rsidRPr="005D5BBB" w:rsidR="007E0FEE">
        <w:tab/>
      </w:r>
      <w:r w:rsidRPr="005D5BBB" w:rsidR="00DA7B5D">
        <w:rPr>
          <w:rFonts w:cs="Arial"/>
          <w:b/>
          <w:szCs w:val="32"/>
        </w:rPr>
        <w:t>PROPOSED DECISION</w:t>
      </w:r>
      <w:r w:rsidRPr="005D5BBB" w:rsidR="00DA7B5D">
        <w:tab/>
      </w:r>
      <w:r w:rsidRPr="005D5BBB" w:rsidR="00DA7B5D">
        <w:rPr>
          <w:b/>
        </w:rPr>
        <w:t>Agenda ID #</w:t>
      </w:r>
      <w:r w:rsidRPr="00F77547" w:rsidR="00F77547">
        <w:rPr>
          <w:b/>
        </w:rPr>
        <w:t>23864</w:t>
      </w:r>
      <w:r w:rsidR="006C421A">
        <w:rPr>
          <w:b/>
        </w:rPr>
        <w:t xml:space="preserve"> </w:t>
      </w:r>
      <w:r w:rsidRPr="006C421A" w:rsidR="006C421A">
        <w:rPr>
          <w:b/>
        </w:rPr>
        <w:t>(Rev.1)</w:t>
      </w:r>
    </w:p>
    <w:p w:rsidR="00DA7B5D" w:rsidP="00F277D4" w:rsidRDefault="005D5BBB" w14:paraId="397D16C2" w14:textId="559C2757">
      <w:pPr>
        <w:spacing w:line="240" w:lineRule="auto"/>
        <w:ind w:firstLine="0"/>
        <w:jc w:val="right"/>
        <w:rPr>
          <w:b/>
        </w:rPr>
      </w:pPr>
      <w:r>
        <w:rPr>
          <w:b/>
        </w:rPr>
        <w:t>Ratesetting</w:t>
      </w:r>
    </w:p>
    <w:p w:rsidRPr="005D5BBB" w:rsidR="00DB3CC8" w:rsidP="00DB3CC8" w:rsidRDefault="00DB3CC8" w14:paraId="29E478C3" w14:textId="4E209FC9">
      <w:pPr>
        <w:spacing w:line="240" w:lineRule="auto"/>
        <w:ind w:firstLine="0"/>
        <w:jc w:val="right"/>
        <w:rPr>
          <w:b/>
        </w:rPr>
      </w:pPr>
      <w:r>
        <w:rPr>
          <w:b/>
        </w:rPr>
        <w:t>12/18/2025  Item #</w:t>
      </w:r>
      <w:r w:rsidRPr="00DB3CC8">
        <w:rPr>
          <w:b/>
        </w:rPr>
        <w:t>11</w:t>
      </w:r>
    </w:p>
    <w:p w:rsidR="00DA7B5D" w:rsidP="00F277D4" w:rsidRDefault="00DA7B5D" w14:paraId="0EDEE633" w14:textId="77777777">
      <w:pPr>
        <w:spacing w:line="240" w:lineRule="auto"/>
        <w:ind w:firstLine="0"/>
      </w:pPr>
    </w:p>
    <w:p w:rsidRPr="005D5BBB" w:rsidR="005D5BBB" w:rsidP="00F277D4" w:rsidRDefault="005D5BBB" w14:paraId="6A0C85DE" w14:textId="77777777">
      <w:pPr>
        <w:spacing w:line="240" w:lineRule="auto"/>
        <w:ind w:firstLine="0"/>
      </w:pPr>
    </w:p>
    <w:p w:rsidRPr="00EE3060" w:rsidR="00DA7B5D" w:rsidP="00F277D4" w:rsidRDefault="00DA7B5D" w14:paraId="1831DE37" w14:textId="6CFD1607">
      <w:pPr>
        <w:spacing w:line="240" w:lineRule="auto"/>
        <w:ind w:firstLine="0"/>
      </w:pPr>
      <w:r>
        <w:t xml:space="preserve">Decision </w:t>
      </w:r>
      <w:r w:rsidRPr="008C033E" w:rsidR="00D456EC">
        <w:rPr>
          <w:b/>
          <w:bCs/>
          <w:u w:val="single"/>
        </w:rPr>
        <w:t xml:space="preserve">PROPOSED DECISION OF ALJ </w:t>
      </w:r>
      <w:r w:rsidRPr="00D456EC" w:rsidR="00D456EC">
        <w:rPr>
          <w:b/>
          <w:bCs/>
          <w:u w:val="single"/>
        </w:rPr>
        <w:t>ATAMTURK</w:t>
      </w:r>
      <w:r w:rsidRPr="008C033E" w:rsidR="00D456EC">
        <w:rPr>
          <w:b/>
          <w:bCs/>
        </w:rPr>
        <w:t xml:space="preserve"> (Mailed </w:t>
      </w:r>
      <w:r w:rsidR="00F77547">
        <w:rPr>
          <w:b/>
          <w:bCs/>
        </w:rPr>
        <w:t>11/14</w:t>
      </w:r>
      <w:r w:rsidRPr="008C033E" w:rsidR="00D456EC">
        <w:rPr>
          <w:b/>
          <w:bCs/>
        </w:rPr>
        <w:t>/2025)</w:t>
      </w:r>
    </w:p>
    <w:p w:rsidR="00DA7B5D" w:rsidP="00F277D4" w:rsidRDefault="00DA7B5D" w14:paraId="4C26937C" w14:textId="77777777">
      <w:pPr>
        <w:spacing w:line="240" w:lineRule="auto"/>
        <w:ind w:firstLine="0"/>
        <w:rPr>
          <w:u w:val="single"/>
        </w:rPr>
      </w:pPr>
    </w:p>
    <w:p w:rsidR="005D5BBB" w:rsidP="00F277D4" w:rsidRDefault="005D5BBB" w14:paraId="79DBBA23" w14:textId="77777777">
      <w:pPr>
        <w:spacing w:line="240" w:lineRule="auto"/>
        <w:ind w:firstLine="0"/>
        <w:rPr>
          <w:u w:val="single"/>
        </w:rPr>
      </w:pPr>
    </w:p>
    <w:p w:rsidR="00DA7B5D" w:rsidP="00F277D4" w:rsidRDefault="00DA7B5D" w14:paraId="7EF4DC0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F277D4" w:rsidRDefault="00DA7B5D" w14:paraId="12A9EC89"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8E2C2A" w14:paraId="5DAA3E47" w14:textId="77777777">
        <w:tc>
          <w:tcPr>
            <w:tcW w:w="5040" w:type="dxa"/>
            <w:tcBorders>
              <w:top w:val="nil"/>
              <w:left w:val="nil"/>
              <w:bottom w:val="single" w:color="auto" w:sz="4" w:space="0"/>
              <w:right w:val="single" w:color="auto" w:sz="4" w:space="0"/>
            </w:tcBorders>
          </w:tcPr>
          <w:p w:rsidR="00DA7B5D" w:rsidP="00F277D4" w:rsidRDefault="0057311C" w14:paraId="3ED72614" w14:textId="77777777">
            <w:pPr>
              <w:spacing w:line="240" w:lineRule="auto"/>
              <w:ind w:firstLine="0"/>
              <w:rPr>
                <w:rFonts w:cs="Arial"/>
                <w:szCs w:val="26"/>
              </w:rPr>
            </w:pPr>
            <w:r w:rsidRPr="0057311C">
              <w:rPr>
                <w:rFonts w:cs="Arial"/>
                <w:szCs w:val="26"/>
              </w:rPr>
              <w:t>Order Instituting Rulemaking to Continue Implementation and Administration, and Consider Further Development, of California Renewables Portfolio Standard Program.</w:t>
            </w:r>
          </w:p>
          <w:p w:rsidRPr="00DA7B5D" w:rsidR="0057311C" w:rsidP="00F277D4" w:rsidRDefault="0057311C" w14:paraId="1BE3FE24" w14:textId="16687FF2">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F277D4" w:rsidRDefault="00083877" w14:paraId="149971AA" w14:textId="1BA0756D">
            <w:pPr>
              <w:spacing w:line="240" w:lineRule="auto"/>
              <w:ind w:firstLine="0"/>
              <w:jc w:val="center"/>
              <w:rPr>
                <w:rFonts w:cs="Arial"/>
                <w:szCs w:val="26"/>
              </w:rPr>
            </w:pPr>
            <w:r>
              <w:rPr>
                <w:rFonts w:cs="Arial"/>
                <w:szCs w:val="26"/>
              </w:rPr>
              <w:t>Rulemaking 24</w:t>
            </w:r>
            <w:r w:rsidR="00E54574">
              <w:rPr>
                <w:rFonts w:cs="Arial"/>
                <w:szCs w:val="26"/>
              </w:rPr>
              <w:noBreakHyphen/>
            </w:r>
            <w:r>
              <w:rPr>
                <w:rFonts w:cs="Arial"/>
                <w:szCs w:val="26"/>
              </w:rPr>
              <w:t>01</w:t>
            </w:r>
            <w:r w:rsidR="00E54574">
              <w:rPr>
                <w:rFonts w:cs="Arial"/>
                <w:szCs w:val="26"/>
              </w:rPr>
              <w:noBreakHyphen/>
            </w:r>
            <w:r>
              <w:rPr>
                <w:rFonts w:cs="Arial"/>
                <w:szCs w:val="26"/>
              </w:rPr>
              <w:t>017</w:t>
            </w:r>
          </w:p>
        </w:tc>
      </w:tr>
    </w:tbl>
    <w:p w:rsidR="00DA7B5D" w:rsidP="00F277D4" w:rsidRDefault="00DA7B5D" w14:paraId="67241A7C" w14:textId="77777777">
      <w:pPr>
        <w:spacing w:line="240" w:lineRule="auto"/>
        <w:ind w:firstLine="0"/>
        <w:rPr>
          <w:rFonts w:ascii="Arial" w:hAnsi="Arial" w:cs="Arial"/>
          <w:sz w:val="24"/>
          <w:szCs w:val="24"/>
        </w:rPr>
      </w:pPr>
    </w:p>
    <w:p w:rsidR="00DA7B5D" w:rsidP="00F277D4" w:rsidRDefault="00DA7B5D" w14:paraId="6F18E814" w14:textId="77777777">
      <w:pPr>
        <w:spacing w:line="240" w:lineRule="auto"/>
        <w:ind w:firstLine="0"/>
        <w:rPr>
          <w:rFonts w:ascii="Arial" w:hAnsi="Arial" w:cs="Arial"/>
          <w:sz w:val="24"/>
          <w:szCs w:val="24"/>
        </w:rPr>
      </w:pPr>
    </w:p>
    <w:bookmarkStart w:name="_Hlk211004588" w:id="0"/>
    <w:p w:rsidRPr="001C6321" w:rsidR="001C6321" w:rsidP="00F277D4" w:rsidRDefault="001C6321" w14:paraId="6E1A28F5" w14:textId="1FA127E0">
      <w:pPr>
        <w:pStyle w:val="Dummy"/>
        <w:jc w:val="center"/>
      </w:pPr>
      <w:r>
        <w:fldChar w:fldCharType="begin"/>
      </w:r>
      <w:r>
        <w:instrText xml:space="preserve"> REF Title \h </w:instrText>
      </w:r>
      <w:r>
        <w:fldChar w:fldCharType="separate"/>
      </w:r>
      <w:bookmarkStart w:name="_Toc212716123" w:id="1"/>
      <w:bookmarkStart w:name="_Toc214004328" w:id="2"/>
      <w:r w:rsidR="00E02562">
        <w:t>DECISION ON 2025 RENEWABLES</w:t>
      </w:r>
      <w:r w:rsidR="00E02562">
        <w:br/>
        <w:t>PORTFOLIO STANDARD PROCUREMENT PLANS</w:t>
      </w:r>
      <w:bookmarkEnd w:id="1"/>
      <w:bookmarkEnd w:id="2"/>
      <w:r>
        <w:fldChar w:fldCharType="end"/>
      </w:r>
    </w:p>
    <w:p w:rsidR="008E2C2A" w:rsidP="00F277D4" w:rsidRDefault="008E2C2A" w14:paraId="5FBC6DAC" w14:textId="77777777"/>
    <w:p w:rsidR="008E2C2A" w:rsidP="00F277D4" w:rsidRDefault="008E2C2A" w14:paraId="5AC845C3" w14:textId="77777777"/>
    <w:p w:rsidR="008E2C2A" w:rsidP="00F277D4" w:rsidRDefault="008E2C2A" w14:paraId="493FF26F" w14:textId="77777777"/>
    <w:p w:rsidR="008E2C2A" w:rsidP="00F277D4" w:rsidRDefault="008E2C2A" w14:paraId="1A3BA003" w14:textId="77777777"/>
    <w:p w:rsidRPr="008E2C2A" w:rsidR="008E2C2A" w:rsidP="00F277D4" w:rsidRDefault="008E2C2A" w14:paraId="298C29B9" w14:textId="38CEECE5">
      <w:pPr>
        <w:sectPr w:rsidRPr="008E2C2A" w:rsidR="008E2C2A" w:rsidSect="0039324D">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bookmarkEnd w:id="0"/>
    <w:p w:rsidRPr="001E2A62" w:rsidR="00D50119" w:rsidP="00F277D4" w:rsidRDefault="00D50119" w14:paraId="01296BC3" w14:textId="77777777">
      <w:pPr>
        <w:pStyle w:val="TOCHeading"/>
      </w:pPr>
      <w:r w:rsidRPr="001E2A62">
        <w:lastRenderedPageBreak/>
        <w:t>TABLE OF CONTENTS</w:t>
      </w:r>
    </w:p>
    <w:p w:rsidRPr="00D50119" w:rsidR="00D50119" w:rsidP="00F277D4" w:rsidRDefault="00D50119" w14:paraId="2D17CB3E"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F77547" w:rsidP="00F77547" w:rsidRDefault="008C7413" w14:paraId="6951BECF" w14:textId="37AB92F9">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4004328">
            <w:r w:rsidRPr="004B1EC1" w:rsidR="00F77547">
              <w:rPr>
                <w:rStyle w:val="Hyperlink"/>
                <w:noProof/>
              </w:rPr>
              <w:t>DECISION ON 2025 RENEWABLES PORTFOLIO STANDARD PROCUREMENT PLANS</w:t>
            </w:r>
            <w:r w:rsidR="00F77547">
              <w:rPr>
                <w:noProof/>
                <w:webHidden/>
              </w:rPr>
              <w:tab/>
            </w:r>
            <w:r w:rsidR="00F77547">
              <w:rPr>
                <w:noProof/>
                <w:webHidden/>
              </w:rPr>
              <w:fldChar w:fldCharType="begin"/>
            </w:r>
            <w:r w:rsidR="00F77547">
              <w:rPr>
                <w:noProof/>
                <w:webHidden/>
              </w:rPr>
              <w:instrText xml:space="preserve"> PAGEREF _Toc214004328 \h </w:instrText>
            </w:r>
            <w:r w:rsidR="00F77547">
              <w:rPr>
                <w:noProof/>
                <w:webHidden/>
              </w:rPr>
            </w:r>
            <w:r w:rsidR="00F77547">
              <w:rPr>
                <w:noProof/>
                <w:webHidden/>
              </w:rPr>
              <w:fldChar w:fldCharType="separate"/>
            </w:r>
            <w:r w:rsidR="00F77547">
              <w:rPr>
                <w:noProof/>
                <w:webHidden/>
              </w:rPr>
              <w:t>1</w:t>
            </w:r>
            <w:r w:rsidR="00F77547">
              <w:rPr>
                <w:noProof/>
                <w:webHidden/>
              </w:rPr>
              <w:fldChar w:fldCharType="end"/>
            </w:r>
          </w:hyperlink>
        </w:p>
        <w:p w:rsidR="00F77547" w:rsidRDefault="00F77547" w14:paraId="0011F6F3" w14:textId="394184FE">
          <w:pPr>
            <w:pStyle w:val="TOC1"/>
            <w:tabs>
              <w:tab w:val="right" w:leader="dot" w:pos="9350"/>
            </w:tabs>
            <w:rPr>
              <w:rFonts w:asciiTheme="minorHAnsi" w:hAnsiTheme="minorHAnsi" w:cstheme="minorBidi"/>
              <w:noProof/>
              <w:kern w:val="2"/>
              <w:sz w:val="24"/>
              <w:szCs w:val="24"/>
              <w14:ligatures w14:val="standardContextual"/>
            </w:rPr>
          </w:pPr>
          <w:hyperlink w:history="1" w:anchor="_Toc214004329">
            <w:r w:rsidRPr="004B1EC1">
              <w:rPr>
                <w:rStyle w:val="Hyperlink"/>
                <w:noProof/>
              </w:rPr>
              <w:t>Summary</w:t>
            </w:r>
            <w:r>
              <w:rPr>
                <w:noProof/>
                <w:webHidden/>
              </w:rPr>
              <w:tab/>
            </w:r>
            <w:r>
              <w:rPr>
                <w:noProof/>
                <w:webHidden/>
              </w:rPr>
              <w:fldChar w:fldCharType="begin"/>
            </w:r>
            <w:r>
              <w:rPr>
                <w:noProof/>
                <w:webHidden/>
              </w:rPr>
              <w:instrText xml:space="preserve"> PAGEREF _Toc214004329 \h </w:instrText>
            </w:r>
            <w:r>
              <w:rPr>
                <w:noProof/>
                <w:webHidden/>
              </w:rPr>
            </w:r>
            <w:r>
              <w:rPr>
                <w:noProof/>
                <w:webHidden/>
              </w:rPr>
              <w:fldChar w:fldCharType="separate"/>
            </w:r>
            <w:r>
              <w:rPr>
                <w:noProof/>
                <w:webHidden/>
              </w:rPr>
              <w:t>2</w:t>
            </w:r>
            <w:r>
              <w:rPr>
                <w:noProof/>
                <w:webHidden/>
              </w:rPr>
              <w:fldChar w:fldCharType="end"/>
            </w:r>
          </w:hyperlink>
        </w:p>
        <w:p w:rsidR="00F77547" w:rsidRDefault="00F77547" w14:paraId="4C3B8365" w14:textId="5BE5BC8C">
          <w:pPr>
            <w:pStyle w:val="TOC1"/>
            <w:tabs>
              <w:tab w:val="right" w:leader="dot" w:pos="9350"/>
            </w:tabs>
            <w:rPr>
              <w:rFonts w:asciiTheme="minorHAnsi" w:hAnsiTheme="minorHAnsi" w:cstheme="minorBidi"/>
              <w:noProof/>
              <w:kern w:val="2"/>
              <w:sz w:val="24"/>
              <w:szCs w:val="24"/>
              <w14:ligatures w14:val="standardContextual"/>
            </w:rPr>
          </w:pPr>
          <w:hyperlink w:history="1" w:anchor="_Toc214004330">
            <w:r w:rsidRPr="004B1EC1">
              <w:rPr>
                <w:rStyle w:val="Hyperlink"/>
                <w:noProof/>
              </w:rPr>
              <w:t>1.</w:t>
            </w:r>
            <w:r>
              <w:rPr>
                <w:rFonts w:asciiTheme="minorHAnsi" w:hAnsiTheme="minorHAnsi" w:cstheme="minorBidi"/>
                <w:noProof/>
                <w:kern w:val="2"/>
                <w:sz w:val="24"/>
                <w:szCs w:val="24"/>
                <w14:ligatures w14:val="standardContextual"/>
              </w:rPr>
              <w:tab/>
            </w:r>
            <w:r w:rsidRPr="004B1EC1">
              <w:rPr>
                <w:rStyle w:val="Hyperlink"/>
                <w:noProof/>
              </w:rPr>
              <w:t>Background</w:t>
            </w:r>
            <w:r>
              <w:rPr>
                <w:noProof/>
                <w:webHidden/>
              </w:rPr>
              <w:tab/>
            </w:r>
            <w:r>
              <w:rPr>
                <w:noProof/>
                <w:webHidden/>
              </w:rPr>
              <w:fldChar w:fldCharType="begin"/>
            </w:r>
            <w:r>
              <w:rPr>
                <w:noProof/>
                <w:webHidden/>
              </w:rPr>
              <w:instrText xml:space="preserve"> PAGEREF _Toc214004330 \h </w:instrText>
            </w:r>
            <w:r>
              <w:rPr>
                <w:noProof/>
                <w:webHidden/>
              </w:rPr>
            </w:r>
            <w:r>
              <w:rPr>
                <w:noProof/>
                <w:webHidden/>
              </w:rPr>
              <w:fldChar w:fldCharType="separate"/>
            </w:r>
            <w:r>
              <w:rPr>
                <w:noProof/>
                <w:webHidden/>
              </w:rPr>
              <w:t>5</w:t>
            </w:r>
            <w:r>
              <w:rPr>
                <w:noProof/>
                <w:webHidden/>
              </w:rPr>
              <w:fldChar w:fldCharType="end"/>
            </w:r>
          </w:hyperlink>
        </w:p>
        <w:p w:rsidR="00F77547" w:rsidRDefault="00F77547" w14:paraId="222C9F99" w14:textId="06E1D8F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31">
            <w:r w:rsidRPr="004B1EC1">
              <w:rPr>
                <w:rStyle w:val="Hyperlink"/>
                <w:noProof/>
              </w:rPr>
              <w:t>1.1.</w:t>
            </w:r>
            <w:r>
              <w:rPr>
                <w:rFonts w:asciiTheme="minorHAnsi" w:hAnsiTheme="minorHAnsi" w:cstheme="minorBidi"/>
                <w:noProof/>
                <w:kern w:val="2"/>
                <w:sz w:val="24"/>
                <w:szCs w:val="24"/>
                <w14:ligatures w14:val="standardContextual"/>
              </w:rPr>
              <w:tab/>
            </w:r>
            <w:r w:rsidRPr="004B1EC1">
              <w:rPr>
                <w:rStyle w:val="Hyperlink"/>
                <w:noProof/>
              </w:rPr>
              <w:t>Renewables Portfolio Standard Program Overview</w:t>
            </w:r>
            <w:r>
              <w:rPr>
                <w:noProof/>
                <w:webHidden/>
              </w:rPr>
              <w:tab/>
            </w:r>
            <w:r>
              <w:rPr>
                <w:noProof/>
                <w:webHidden/>
              </w:rPr>
              <w:fldChar w:fldCharType="begin"/>
            </w:r>
            <w:r>
              <w:rPr>
                <w:noProof/>
                <w:webHidden/>
              </w:rPr>
              <w:instrText xml:space="preserve"> PAGEREF _Toc214004331 \h </w:instrText>
            </w:r>
            <w:r>
              <w:rPr>
                <w:noProof/>
                <w:webHidden/>
              </w:rPr>
            </w:r>
            <w:r>
              <w:rPr>
                <w:noProof/>
                <w:webHidden/>
              </w:rPr>
              <w:fldChar w:fldCharType="separate"/>
            </w:r>
            <w:r>
              <w:rPr>
                <w:noProof/>
                <w:webHidden/>
              </w:rPr>
              <w:t>5</w:t>
            </w:r>
            <w:r>
              <w:rPr>
                <w:noProof/>
                <w:webHidden/>
              </w:rPr>
              <w:fldChar w:fldCharType="end"/>
            </w:r>
          </w:hyperlink>
        </w:p>
        <w:p w:rsidR="00F77547" w:rsidRDefault="00F77547" w14:paraId="24F372E5" w14:textId="4F7F9BA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32">
            <w:r w:rsidRPr="004B1EC1">
              <w:rPr>
                <w:rStyle w:val="Hyperlink"/>
                <w:noProof/>
              </w:rPr>
              <w:t>1.2.</w:t>
            </w:r>
            <w:r>
              <w:rPr>
                <w:rFonts w:asciiTheme="minorHAnsi" w:hAnsiTheme="minorHAnsi" w:cstheme="minorBidi"/>
                <w:noProof/>
                <w:kern w:val="2"/>
                <w:sz w:val="24"/>
                <w:szCs w:val="24"/>
                <w14:ligatures w14:val="standardContextual"/>
              </w:rPr>
              <w:tab/>
            </w:r>
            <w:r w:rsidRPr="004B1EC1">
              <w:rPr>
                <w:rStyle w:val="Hyperlink"/>
                <w:noProof/>
              </w:rPr>
              <w:t>Procedural Background</w:t>
            </w:r>
            <w:r>
              <w:rPr>
                <w:noProof/>
                <w:webHidden/>
              </w:rPr>
              <w:tab/>
            </w:r>
            <w:r>
              <w:rPr>
                <w:noProof/>
                <w:webHidden/>
              </w:rPr>
              <w:fldChar w:fldCharType="begin"/>
            </w:r>
            <w:r>
              <w:rPr>
                <w:noProof/>
                <w:webHidden/>
              </w:rPr>
              <w:instrText xml:space="preserve"> PAGEREF _Toc214004332 \h </w:instrText>
            </w:r>
            <w:r>
              <w:rPr>
                <w:noProof/>
                <w:webHidden/>
              </w:rPr>
            </w:r>
            <w:r>
              <w:rPr>
                <w:noProof/>
                <w:webHidden/>
              </w:rPr>
              <w:fldChar w:fldCharType="separate"/>
            </w:r>
            <w:r>
              <w:rPr>
                <w:noProof/>
                <w:webHidden/>
              </w:rPr>
              <w:t>7</w:t>
            </w:r>
            <w:r>
              <w:rPr>
                <w:noProof/>
                <w:webHidden/>
              </w:rPr>
              <w:fldChar w:fldCharType="end"/>
            </w:r>
          </w:hyperlink>
        </w:p>
        <w:p w:rsidR="00F77547" w:rsidRDefault="00F77547" w14:paraId="2A8B8B84" w14:textId="3DBF051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33">
            <w:r w:rsidRPr="004B1EC1">
              <w:rPr>
                <w:rStyle w:val="Hyperlink"/>
                <w:noProof/>
              </w:rPr>
              <w:t>1.3.</w:t>
            </w:r>
            <w:r>
              <w:rPr>
                <w:rFonts w:asciiTheme="minorHAnsi" w:hAnsiTheme="minorHAnsi" w:cstheme="minorBidi"/>
                <w:noProof/>
                <w:kern w:val="2"/>
                <w:sz w:val="24"/>
                <w:szCs w:val="24"/>
                <w14:ligatures w14:val="standardContextual"/>
              </w:rPr>
              <w:tab/>
            </w:r>
            <w:r w:rsidRPr="004B1EC1">
              <w:rPr>
                <w:rStyle w:val="Hyperlink"/>
                <w:noProof/>
              </w:rPr>
              <w:t>Submission Date</w:t>
            </w:r>
            <w:r>
              <w:rPr>
                <w:noProof/>
                <w:webHidden/>
              </w:rPr>
              <w:tab/>
            </w:r>
            <w:r>
              <w:rPr>
                <w:noProof/>
                <w:webHidden/>
              </w:rPr>
              <w:fldChar w:fldCharType="begin"/>
            </w:r>
            <w:r>
              <w:rPr>
                <w:noProof/>
                <w:webHidden/>
              </w:rPr>
              <w:instrText xml:space="preserve"> PAGEREF _Toc214004333 \h </w:instrText>
            </w:r>
            <w:r>
              <w:rPr>
                <w:noProof/>
                <w:webHidden/>
              </w:rPr>
            </w:r>
            <w:r>
              <w:rPr>
                <w:noProof/>
                <w:webHidden/>
              </w:rPr>
              <w:fldChar w:fldCharType="separate"/>
            </w:r>
            <w:r>
              <w:rPr>
                <w:noProof/>
                <w:webHidden/>
              </w:rPr>
              <w:t>8</w:t>
            </w:r>
            <w:r>
              <w:rPr>
                <w:noProof/>
                <w:webHidden/>
              </w:rPr>
              <w:fldChar w:fldCharType="end"/>
            </w:r>
          </w:hyperlink>
        </w:p>
        <w:p w:rsidR="00F77547" w:rsidRDefault="00F77547" w14:paraId="46741601" w14:textId="21A7691A">
          <w:pPr>
            <w:pStyle w:val="TOC1"/>
            <w:tabs>
              <w:tab w:val="right" w:leader="dot" w:pos="9350"/>
            </w:tabs>
            <w:rPr>
              <w:rFonts w:asciiTheme="minorHAnsi" w:hAnsiTheme="minorHAnsi" w:cstheme="minorBidi"/>
              <w:noProof/>
              <w:kern w:val="2"/>
              <w:sz w:val="24"/>
              <w:szCs w:val="24"/>
              <w14:ligatures w14:val="standardContextual"/>
            </w:rPr>
          </w:pPr>
          <w:hyperlink w:history="1" w:anchor="_Toc214004334">
            <w:r w:rsidRPr="004B1EC1">
              <w:rPr>
                <w:rStyle w:val="Hyperlink"/>
                <w:noProof/>
              </w:rPr>
              <w:t>2.</w:t>
            </w:r>
            <w:r>
              <w:rPr>
                <w:rFonts w:asciiTheme="minorHAnsi" w:hAnsiTheme="minorHAnsi" w:cstheme="minorBidi"/>
                <w:noProof/>
                <w:kern w:val="2"/>
                <w:sz w:val="24"/>
                <w:szCs w:val="24"/>
                <w14:ligatures w14:val="standardContextual"/>
              </w:rPr>
              <w:tab/>
            </w:r>
            <w:r w:rsidRPr="004B1EC1">
              <w:rPr>
                <w:rStyle w:val="Hyperlink"/>
                <w:noProof/>
              </w:rPr>
              <w:t>Issues Before the Commission</w:t>
            </w:r>
            <w:r>
              <w:rPr>
                <w:noProof/>
                <w:webHidden/>
              </w:rPr>
              <w:tab/>
            </w:r>
            <w:r>
              <w:rPr>
                <w:noProof/>
                <w:webHidden/>
              </w:rPr>
              <w:fldChar w:fldCharType="begin"/>
            </w:r>
            <w:r>
              <w:rPr>
                <w:noProof/>
                <w:webHidden/>
              </w:rPr>
              <w:instrText xml:space="preserve"> PAGEREF _Toc214004334 \h </w:instrText>
            </w:r>
            <w:r>
              <w:rPr>
                <w:noProof/>
                <w:webHidden/>
              </w:rPr>
            </w:r>
            <w:r>
              <w:rPr>
                <w:noProof/>
                <w:webHidden/>
              </w:rPr>
              <w:fldChar w:fldCharType="separate"/>
            </w:r>
            <w:r>
              <w:rPr>
                <w:noProof/>
                <w:webHidden/>
              </w:rPr>
              <w:t>8</w:t>
            </w:r>
            <w:r>
              <w:rPr>
                <w:noProof/>
                <w:webHidden/>
              </w:rPr>
              <w:fldChar w:fldCharType="end"/>
            </w:r>
          </w:hyperlink>
        </w:p>
        <w:p w:rsidR="00F77547" w:rsidRDefault="00F77547" w14:paraId="6E7CF00A" w14:textId="43C08CC4">
          <w:pPr>
            <w:pStyle w:val="TOC1"/>
            <w:tabs>
              <w:tab w:val="right" w:leader="dot" w:pos="9350"/>
            </w:tabs>
            <w:rPr>
              <w:rFonts w:asciiTheme="minorHAnsi" w:hAnsiTheme="minorHAnsi" w:cstheme="minorBidi"/>
              <w:noProof/>
              <w:kern w:val="2"/>
              <w:sz w:val="24"/>
              <w:szCs w:val="24"/>
              <w14:ligatures w14:val="standardContextual"/>
            </w:rPr>
          </w:pPr>
          <w:hyperlink w:history="1" w:anchor="_Toc214004335">
            <w:r w:rsidRPr="004B1EC1">
              <w:rPr>
                <w:rStyle w:val="Hyperlink"/>
                <w:noProof/>
              </w:rPr>
              <w:t>3.</w:t>
            </w:r>
            <w:r>
              <w:rPr>
                <w:rFonts w:asciiTheme="minorHAnsi" w:hAnsiTheme="minorHAnsi" w:cstheme="minorBidi"/>
                <w:noProof/>
                <w:kern w:val="2"/>
                <w:sz w:val="24"/>
                <w:szCs w:val="24"/>
                <w14:ligatures w14:val="standardContextual"/>
              </w:rPr>
              <w:tab/>
            </w:r>
            <w:r w:rsidRPr="004B1EC1">
              <w:rPr>
                <w:rStyle w:val="Hyperlink"/>
                <w:noProof/>
              </w:rPr>
              <w:t>Organization of the Decision</w:t>
            </w:r>
            <w:r>
              <w:rPr>
                <w:noProof/>
                <w:webHidden/>
              </w:rPr>
              <w:tab/>
            </w:r>
            <w:r>
              <w:rPr>
                <w:noProof/>
                <w:webHidden/>
              </w:rPr>
              <w:fldChar w:fldCharType="begin"/>
            </w:r>
            <w:r>
              <w:rPr>
                <w:noProof/>
                <w:webHidden/>
              </w:rPr>
              <w:instrText xml:space="preserve"> PAGEREF _Toc214004335 \h </w:instrText>
            </w:r>
            <w:r>
              <w:rPr>
                <w:noProof/>
                <w:webHidden/>
              </w:rPr>
            </w:r>
            <w:r>
              <w:rPr>
                <w:noProof/>
                <w:webHidden/>
              </w:rPr>
              <w:fldChar w:fldCharType="separate"/>
            </w:r>
            <w:r>
              <w:rPr>
                <w:noProof/>
                <w:webHidden/>
              </w:rPr>
              <w:t>10</w:t>
            </w:r>
            <w:r>
              <w:rPr>
                <w:noProof/>
                <w:webHidden/>
              </w:rPr>
              <w:fldChar w:fldCharType="end"/>
            </w:r>
          </w:hyperlink>
        </w:p>
        <w:p w:rsidR="00F77547" w:rsidRDefault="00F77547" w14:paraId="4A119B01" w14:textId="0D3C8376">
          <w:pPr>
            <w:pStyle w:val="TOC1"/>
            <w:tabs>
              <w:tab w:val="right" w:leader="dot" w:pos="9350"/>
            </w:tabs>
            <w:rPr>
              <w:rFonts w:asciiTheme="minorHAnsi" w:hAnsiTheme="minorHAnsi" w:cstheme="minorBidi"/>
              <w:noProof/>
              <w:kern w:val="2"/>
              <w:sz w:val="24"/>
              <w:szCs w:val="24"/>
              <w14:ligatures w14:val="standardContextual"/>
            </w:rPr>
          </w:pPr>
          <w:hyperlink w:history="1" w:anchor="_Toc214004336">
            <w:r w:rsidRPr="004B1EC1">
              <w:rPr>
                <w:rStyle w:val="Hyperlink"/>
                <w:noProof/>
              </w:rPr>
              <w:t>4.</w:t>
            </w:r>
            <w:r>
              <w:rPr>
                <w:rFonts w:asciiTheme="minorHAnsi" w:hAnsiTheme="minorHAnsi" w:cstheme="minorBidi"/>
                <w:noProof/>
                <w:kern w:val="2"/>
                <w:sz w:val="24"/>
                <w:szCs w:val="24"/>
                <w14:ligatures w14:val="standardContextual"/>
              </w:rPr>
              <w:tab/>
            </w:r>
            <w:r w:rsidRPr="004B1EC1">
              <w:rPr>
                <w:rStyle w:val="Hyperlink"/>
                <w:noProof/>
              </w:rPr>
              <w:t>Assessment of Renewables Portfolio Standard Long</w:t>
            </w:r>
            <w:r w:rsidRPr="004B1EC1">
              <w:rPr>
                <w:rStyle w:val="Hyperlink"/>
                <w:noProof/>
              </w:rPr>
              <w:noBreakHyphen/>
              <w:t>Term Procurement Requirement</w:t>
            </w:r>
            <w:r>
              <w:rPr>
                <w:noProof/>
                <w:webHidden/>
              </w:rPr>
              <w:tab/>
            </w:r>
            <w:r>
              <w:rPr>
                <w:noProof/>
                <w:webHidden/>
              </w:rPr>
              <w:fldChar w:fldCharType="begin"/>
            </w:r>
            <w:r>
              <w:rPr>
                <w:noProof/>
                <w:webHidden/>
              </w:rPr>
              <w:instrText xml:space="preserve"> PAGEREF _Toc214004336 \h </w:instrText>
            </w:r>
            <w:r>
              <w:rPr>
                <w:noProof/>
                <w:webHidden/>
              </w:rPr>
            </w:r>
            <w:r>
              <w:rPr>
                <w:noProof/>
                <w:webHidden/>
              </w:rPr>
              <w:fldChar w:fldCharType="separate"/>
            </w:r>
            <w:r>
              <w:rPr>
                <w:noProof/>
                <w:webHidden/>
              </w:rPr>
              <w:t>10</w:t>
            </w:r>
            <w:r>
              <w:rPr>
                <w:noProof/>
                <w:webHidden/>
              </w:rPr>
              <w:fldChar w:fldCharType="end"/>
            </w:r>
          </w:hyperlink>
        </w:p>
        <w:p w:rsidR="00F77547" w:rsidRDefault="00F77547" w14:paraId="20745A72" w14:textId="480B9E12">
          <w:pPr>
            <w:pStyle w:val="TOC1"/>
            <w:tabs>
              <w:tab w:val="right" w:leader="dot" w:pos="9350"/>
            </w:tabs>
            <w:rPr>
              <w:rFonts w:asciiTheme="minorHAnsi" w:hAnsiTheme="minorHAnsi" w:cstheme="minorBidi"/>
              <w:noProof/>
              <w:kern w:val="2"/>
              <w:sz w:val="24"/>
              <w:szCs w:val="24"/>
              <w14:ligatures w14:val="standardContextual"/>
            </w:rPr>
          </w:pPr>
          <w:hyperlink w:history="1" w:anchor="_Toc214004337">
            <w:r w:rsidRPr="004B1EC1">
              <w:rPr>
                <w:rStyle w:val="Hyperlink"/>
                <w:noProof/>
              </w:rPr>
              <w:t>5.</w:t>
            </w:r>
            <w:r>
              <w:rPr>
                <w:rFonts w:asciiTheme="minorHAnsi" w:hAnsiTheme="minorHAnsi" w:cstheme="minorBidi"/>
                <w:noProof/>
                <w:kern w:val="2"/>
                <w:sz w:val="24"/>
                <w:szCs w:val="24"/>
                <w14:ligatures w14:val="standardContextual"/>
              </w:rPr>
              <w:tab/>
            </w:r>
            <w:r w:rsidRPr="004B1EC1">
              <w:rPr>
                <w:rStyle w:val="Hyperlink"/>
                <w:noProof/>
              </w:rPr>
              <w:t>Summary of Party Comments on Draft 2025 Renewables Portfolio Standard Plans</w:t>
            </w:r>
            <w:r>
              <w:rPr>
                <w:noProof/>
                <w:webHidden/>
              </w:rPr>
              <w:tab/>
            </w:r>
            <w:r>
              <w:rPr>
                <w:noProof/>
                <w:webHidden/>
              </w:rPr>
              <w:fldChar w:fldCharType="begin"/>
            </w:r>
            <w:r>
              <w:rPr>
                <w:noProof/>
                <w:webHidden/>
              </w:rPr>
              <w:instrText xml:space="preserve"> PAGEREF _Toc214004337 \h </w:instrText>
            </w:r>
            <w:r>
              <w:rPr>
                <w:noProof/>
                <w:webHidden/>
              </w:rPr>
            </w:r>
            <w:r>
              <w:rPr>
                <w:noProof/>
                <w:webHidden/>
              </w:rPr>
              <w:fldChar w:fldCharType="separate"/>
            </w:r>
            <w:r>
              <w:rPr>
                <w:noProof/>
                <w:webHidden/>
              </w:rPr>
              <w:t>11</w:t>
            </w:r>
            <w:r>
              <w:rPr>
                <w:noProof/>
                <w:webHidden/>
              </w:rPr>
              <w:fldChar w:fldCharType="end"/>
            </w:r>
          </w:hyperlink>
        </w:p>
        <w:p w:rsidR="00F77547" w:rsidRDefault="00F77547" w14:paraId="2ABE7C2A" w14:textId="42E160D8">
          <w:pPr>
            <w:pStyle w:val="TOC1"/>
            <w:tabs>
              <w:tab w:val="right" w:leader="dot" w:pos="9350"/>
            </w:tabs>
            <w:rPr>
              <w:rFonts w:asciiTheme="minorHAnsi" w:hAnsiTheme="minorHAnsi" w:cstheme="minorBidi"/>
              <w:noProof/>
              <w:kern w:val="2"/>
              <w:sz w:val="24"/>
              <w:szCs w:val="24"/>
              <w14:ligatures w14:val="standardContextual"/>
            </w:rPr>
          </w:pPr>
          <w:hyperlink w:history="1" w:anchor="_Toc214004338">
            <w:r w:rsidRPr="004B1EC1">
              <w:rPr>
                <w:rStyle w:val="Hyperlink"/>
                <w:noProof/>
              </w:rPr>
              <w:t>6.</w:t>
            </w:r>
            <w:r>
              <w:rPr>
                <w:rFonts w:asciiTheme="minorHAnsi" w:hAnsiTheme="minorHAnsi" w:cstheme="minorBidi"/>
                <w:noProof/>
                <w:kern w:val="2"/>
                <w:sz w:val="24"/>
                <w:szCs w:val="24"/>
                <w14:ligatures w14:val="standardContextual"/>
              </w:rPr>
              <w:tab/>
            </w:r>
            <w:r w:rsidRPr="004B1EC1">
              <w:rPr>
                <w:rStyle w:val="Hyperlink"/>
                <w:noProof/>
              </w:rPr>
              <w:t>Investor</w:t>
            </w:r>
            <w:r w:rsidRPr="004B1EC1">
              <w:rPr>
                <w:rStyle w:val="Hyperlink"/>
                <w:noProof/>
              </w:rPr>
              <w:noBreakHyphen/>
              <w:t>Owned Utilities’ Draft 2025 Renewables Portfolio Standard Plans</w:t>
            </w:r>
            <w:r>
              <w:rPr>
                <w:noProof/>
                <w:webHidden/>
              </w:rPr>
              <w:tab/>
            </w:r>
            <w:r>
              <w:rPr>
                <w:noProof/>
                <w:webHidden/>
              </w:rPr>
              <w:fldChar w:fldCharType="begin"/>
            </w:r>
            <w:r>
              <w:rPr>
                <w:noProof/>
                <w:webHidden/>
              </w:rPr>
              <w:instrText xml:space="preserve"> PAGEREF _Toc214004338 \h </w:instrText>
            </w:r>
            <w:r>
              <w:rPr>
                <w:noProof/>
                <w:webHidden/>
              </w:rPr>
            </w:r>
            <w:r>
              <w:rPr>
                <w:noProof/>
                <w:webHidden/>
              </w:rPr>
              <w:fldChar w:fldCharType="separate"/>
            </w:r>
            <w:r>
              <w:rPr>
                <w:noProof/>
                <w:webHidden/>
              </w:rPr>
              <w:t>13</w:t>
            </w:r>
            <w:r>
              <w:rPr>
                <w:noProof/>
                <w:webHidden/>
              </w:rPr>
              <w:fldChar w:fldCharType="end"/>
            </w:r>
          </w:hyperlink>
        </w:p>
        <w:p w:rsidR="00F77547" w:rsidRDefault="00F77547" w14:paraId="68AE2C4D" w14:textId="38C41F2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39">
            <w:r w:rsidRPr="004B1EC1">
              <w:rPr>
                <w:rStyle w:val="Hyperlink"/>
                <w:noProof/>
              </w:rPr>
              <w:t>6.1.</w:t>
            </w:r>
            <w:r>
              <w:rPr>
                <w:rFonts w:asciiTheme="minorHAnsi" w:hAnsiTheme="minorHAnsi" w:cstheme="minorBidi"/>
                <w:noProof/>
                <w:kern w:val="2"/>
                <w:sz w:val="24"/>
                <w:szCs w:val="24"/>
                <w14:ligatures w14:val="standardContextual"/>
              </w:rPr>
              <w:tab/>
            </w:r>
            <w:r w:rsidRPr="004B1EC1">
              <w:rPr>
                <w:rStyle w:val="Hyperlink"/>
                <w:noProof/>
              </w:rPr>
              <w:t>Investor</w:t>
            </w:r>
            <w:r w:rsidRPr="004B1EC1">
              <w:rPr>
                <w:rStyle w:val="Hyperlink"/>
                <w:noProof/>
              </w:rPr>
              <w:noBreakHyphen/>
              <w:t>Owned Utilities’ Request to Eliminate Tier 1 Advice Letter Requirement for Approval of Short</w:t>
            </w:r>
            <w:r w:rsidRPr="004B1EC1">
              <w:rPr>
                <w:rStyle w:val="Hyperlink"/>
                <w:noProof/>
              </w:rPr>
              <w:noBreakHyphen/>
              <w:t>Term Transactions</w:t>
            </w:r>
            <w:r>
              <w:rPr>
                <w:noProof/>
                <w:webHidden/>
              </w:rPr>
              <w:tab/>
            </w:r>
            <w:r>
              <w:rPr>
                <w:noProof/>
                <w:webHidden/>
              </w:rPr>
              <w:fldChar w:fldCharType="begin"/>
            </w:r>
            <w:r>
              <w:rPr>
                <w:noProof/>
                <w:webHidden/>
              </w:rPr>
              <w:instrText xml:space="preserve"> PAGEREF _Toc214004339 \h </w:instrText>
            </w:r>
            <w:r>
              <w:rPr>
                <w:noProof/>
                <w:webHidden/>
              </w:rPr>
            </w:r>
            <w:r>
              <w:rPr>
                <w:noProof/>
                <w:webHidden/>
              </w:rPr>
              <w:fldChar w:fldCharType="separate"/>
            </w:r>
            <w:r>
              <w:rPr>
                <w:noProof/>
                <w:webHidden/>
              </w:rPr>
              <w:t>14</w:t>
            </w:r>
            <w:r>
              <w:rPr>
                <w:noProof/>
                <w:webHidden/>
              </w:rPr>
              <w:fldChar w:fldCharType="end"/>
            </w:r>
          </w:hyperlink>
        </w:p>
        <w:p w:rsidR="00F77547" w:rsidRDefault="00F77547" w14:paraId="7CE66607" w14:textId="42156A4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40">
            <w:r w:rsidRPr="004B1EC1">
              <w:rPr>
                <w:rStyle w:val="Hyperlink"/>
                <w:noProof/>
              </w:rPr>
              <w:t>6.2.</w:t>
            </w:r>
            <w:r>
              <w:rPr>
                <w:rFonts w:asciiTheme="minorHAnsi" w:hAnsiTheme="minorHAnsi" w:cstheme="minorBidi"/>
                <w:noProof/>
                <w:kern w:val="2"/>
                <w:sz w:val="24"/>
                <w:szCs w:val="24"/>
                <w14:ligatures w14:val="standardContextual"/>
              </w:rPr>
              <w:tab/>
            </w:r>
            <w:r w:rsidRPr="004B1EC1">
              <w:rPr>
                <w:rStyle w:val="Hyperlink"/>
                <w:noProof/>
              </w:rPr>
              <w:t>Pacific Gas and Electric Company’s Draft 2025 Renewables Portfolio Standard Plan</w:t>
            </w:r>
            <w:r>
              <w:rPr>
                <w:noProof/>
                <w:webHidden/>
              </w:rPr>
              <w:tab/>
            </w:r>
            <w:r>
              <w:rPr>
                <w:noProof/>
                <w:webHidden/>
              </w:rPr>
              <w:fldChar w:fldCharType="begin"/>
            </w:r>
            <w:r>
              <w:rPr>
                <w:noProof/>
                <w:webHidden/>
              </w:rPr>
              <w:instrText xml:space="preserve"> PAGEREF _Toc214004340 \h </w:instrText>
            </w:r>
            <w:r>
              <w:rPr>
                <w:noProof/>
                <w:webHidden/>
              </w:rPr>
            </w:r>
            <w:r>
              <w:rPr>
                <w:noProof/>
                <w:webHidden/>
              </w:rPr>
              <w:fldChar w:fldCharType="separate"/>
            </w:r>
            <w:r>
              <w:rPr>
                <w:noProof/>
                <w:webHidden/>
              </w:rPr>
              <w:t>17</w:t>
            </w:r>
            <w:r>
              <w:rPr>
                <w:noProof/>
                <w:webHidden/>
              </w:rPr>
              <w:fldChar w:fldCharType="end"/>
            </w:r>
          </w:hyperlink>
        </w:p>
        <w:p w:rsidR="00F77547" w:rsidRDefault="00F77547" w14:paraId="2DE51580" w14:textId="438DCE6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1">
            <w:r w:rsidRPr="004B1EC1">
              <w:rPr>
                <w:rStyle w:val="Hyperlink"/>
                <w:noProof/>
              </w:rPr>
              <w:t>6.2.1.</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for Streamlined Approval for Short</w:t>
            </w:r>
            <w:r w:rsidRPr="004B1EC1">
              <w:rPr>
                <w:rStyle w:val="Hyperlink"/>
                <w:noProof/>
              </w:rPr>
              <w:noBreakHyphen/>
              <w:t>Term Renewables Portfolio Standard Transactions with Terms of Up to Three Years</w:t>
            </w:r>
            <w:r>
              <w:rPr>
                <w:noProof/>
                <w:webHidden/>
              </w:rPr>
              <w:tab/>
            </w:r>
            <w:r>
              <w:rPr>
                <w:noProof/>
                <w:webHidden/>
              </w:rPr>
              <w:fldChar w:fldCharType="begin"/>
            </w:r>
            <w:r>
              <w:rPr>
                <w:noProof/>
                <w:webHidden/>
              </w:rPr>
              <w:instrText xml:space="preserve"> PAGEREF _Toc214004341 \h </w:instrText>
            </w:r>
            <w:r>
              <w:rPr>
                <w:noProof/>
                <w:webHidden/>
              </w:rPr>
            </w:r>
            <w:r>
              <w:rPr>
                <w:noProof/>
                <w:webHidden/>
              </w:rPr>
              <w:fldChar w:fldCharType="separate"/>
            </w:r>
            <w:r>
              <w:rPr>
                <w:noProof/>
                <w:webHidden/>
              </w:rPr>
              <w:t>19</w:t>
            </w:r>
            <w:r>
              <w:rPr>
                <w:noProof/>
                <w:webHidden/>
              </w:rPr>
              <w:fldChar w:fldCharType="end"/>
            </w:r>
          </w:hyperlink>
        </w:p>
        <w:p w:rsidR="00F77547" w:rsidRDefault="00F77547" w14:paraId="4876AC30" w14:textId="3BAA96F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2">
            <w:r w:rsidRPr="004B1EC1">
              <w:rPr>
                <w:rStyle w:val="Hyperlink"/>
                <w:noProof/>
              </w:rPr>
              <w:t>6.2.2.</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for Authority to Procure Short</w:t>
            </w:r>
            <w:r w:rsidRPr="004B1EC1">
              <w:rPr>
                <w:rStyle w:val="Hyperlink"/>
                <w:noProof/>
              </w:rPr>
              <w:noBreakHyphen/>
              <w:t>Term and Long</w:t>
            </w:r>
            <w:r w:rsidRPr="004B1EC1">
              <w:rPr>
                <w:rStyle w:val="Hyperlink"/>
                <w:noProof/>
              </w:rPr>
              <w:noBreakHyphen/>
              <w:t>Term Renewables Portfolio Standard Resources</w:t>
            </w:r>
            <w:r>
              <w:rPr>
                <w:noProof/>
                <w:webHidden/>
              </w:rPr>
              <w:tab/>
            </w:r>
            <w:r>
              <w:rPr>
                <w:noProof/>
                <w:webHidden/>
              </w:rPr>
              <w:fldChar w:fldCharType="begin"/>
            </w:r>
            <w:r>
              <w:rPr>
                <w:noProof/>
                <w:webHidden/>
              </w:rPr>
              <w:instrText xml:space="preserve"> PAGEREF _Toc214004342 \h </w:instrText>
            </w:r>
            <w:r>
              <w:rPr>
                <w:noProof/>
                <w:webHidden/>
              </w:rPr>
            </w:r>
            <w:r>
              <w:rPr>
                <w:noProof/>
                <w:webHidden/>
              </w:rPr>
              <w:fldChar w:fldCharType="separate"/>
            </w:r>
            <w:r>
              <w:rPr>
                <w:noProof/>
                <w:webHidden/>
              </w:rPr>
              <w:t>19</w:t>
            </w:r>
            <w:r>
              <w:rPr>
                <w:noProof/>
                <w:webHidden/>
              </w:rPr>
              <w:fldChar w:fldCharType="end"/>
            </w:r>
          </w:hyperlink>
        </w:p>
        <w:p w:rsidR="00F77547" w:rsidRDefault="00F77547" w14:paraId="0BB87B5E" w14:textId="3080B8E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3">
            <w:r w:rsidRPr="004B1EC1">
              <w:rPr>
                <w:rStyle w:val="Hyperlink"/>
                <w:noProof/>
              </w:rPr>
              <w:t>6.2.3.</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for Authority to Renegotiate Existing Contracts</w:t>
            </w:r>
            <w:r>
              <w:rPr>
                <w:noProof/>
                <w:webHidden/>
              </w:rPr>
              <w:tab/>
            </w:r>
            <w:r>
              <w:rPr>
                <w:noProof/>
                <w:webHidden/>
              </w:rPr>
              <w:fldChar w:fldCharType="begin"/>
            </w:r>
            <w:r>
              <w:rPr>
                <w:noProof/>
                <w:webHidden/>
              </w:rPr>
              <w:instrText xml:space="preserve"> PAGEREF _Toc214004343 \h </w:instrText>
            </w:r>
            <w:r>
              <w:rPr>
                <w:noProof/>
                <w:webHidden/>
              </w:rPr>
            </w:r>
            <w:r>
              <w:rPr>
                <w:noProof/>
                <w:webHidden/>
              </w:rPr>
              <w:fldChar w:fldCharType="separate"/>
            </w:r>
            <w:r>
              <w:rPr>
                <w:noProof/>
                <w:webHidden/>
              </w:rPr>
              <w:t>21</w:t>
            </w:r>
            <w:r>
              <w:rPr>
                <w:noProof/>
                <w:webHidden/>
              </w:rPr>
              <w:fldChar w:fldCharType="end"/>
            </w:r>
          </w:hyperlink>
        </w:p>
        <w:p w:rsidR="00F77547" w:rsidRDefault="00F77547" w14:paraId="3F617507" w14:textId="745816C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4">
            <w:r w:rsidRPr="004B1EC1">
              <w:rPr>
                <w:rStyle w:val="Hyperlink"/>
                <w:noProof/>
              </w:rPr>
              <w:t>6.2.4.</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for Authority to Transact Renewables Portfolio Standard Products via Bilateral Negotiations</w:t>
            </w:r>
            <w:r>
              <w:rPr>
                <w:noProof/>
                <w:webHidden/>
              </w:rPr>
              <w:tab/>
            </w:r>
            <w:r>
              <w:rPr>
                <w:noProof/>
                <w:webHidden/>
              </w:rPr>
              <w:fldChar w:fldCharType="begin"/>
            </w:r>
            <w:r>
              <w:rPr>
                <w:noProof/>
                <w:webHidden/>
              </w:rPr>
              <w:instrText xml:space="preserve"> PAGEREF _Toc214004344 \h </w:instrText>
            </w:r>
            <w:r>
              <w:rPr>
                <w:noProof/>
                <w:webHidden/>
              </w:rPr>
            </w:r>
            <w:r>
              <w:rPr>
                <w:noProof/>
                <w:webHidden/>
              </w:rPr>
              <w:fldChar w:fldCharType="separate"/>
            </w:r>
            <w:r>
              <w:rPr>
                <w:noProof/>
                <w:webHidden/>
              </w:rPr>
              <w:t>22</w:t>
            </w:r>
            <w:r>
              <w:rPr>
                <w:noProof/>
                <w:webHidden/>
              </w:rPr>
              <w:fldChar w:fldCharType="end"/>
            </w:r>
          </w:hyperlink>
        </w:p>
        <w:p w:rsidR="00F77547" w:rsidRDefault="00F77547" w14:paraId="18D36A02" w14:textId="3CC3C19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5">
            <w:r w:rsidRPr="004B1EC1">
              <w:rPr>
                <w:rStyle w:val="Hyperlink"/>
                <w:noProof/>
              </w:rPr>
              <w:t>6.2.5.</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to Transact Bundled and Unbundled Renewables Portfolio Standard Sales for Less Than Five Years Forward</w:t>
            </w:r>
            <w:r>
              <w:rPr>
                <w:noProof/>
                <w:webHidden/>
              </w:rPr>
              <w:tab/>
            </w:r>
            <w:r>
              <w:rPr>
                <w:noProof/>
                <w:webHidden/>
              </w:rPr>
              <w:fldChar w:fldCharType="begin"/>
            </w:r>
            <w:r>
              <w:rPr>
                <w:noProof/>
                <w:webHidden/>
              </w:rPr>
              <w:instrText xml:space="preserve"> PAGEREF _Toc214004345 \h </w:instrText>
            </w:r>
            <w:r>
              <w:rPr>
                <w:noProof/>
                <w:webHidden/>
              </w:rPr>
            </w:r>
            <w:r>
              <w:rPr>
                <w:noProof/>
                <w:webHidden/>
              </w:rPr>
              <w:fldChar w:fldCharType="separate"/>
            </w:r>
            <w:r>
              <w:rPr>
                <w:noProof/>
                <w:webHidden/>
              </w:rPr>
              <w:t>23</w:t>
            </w:r>
            <w:r>
              <w:rPr>
                <w:noProof/>
                <w:webHidden/>
              </w:rPr>
              <w:fldChar w:fldCharType="end"/>
            </w:r>
          </w:hyperlink>
        </w:p>
        <w:p w:rsidR="00F77547" w:rsidRDefault="00F77547" w14:paraId="019687C0" w14:textId="0456AC8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6">
            <w:r w:rsidRPr="004B1EC1">
              <w:rPr>
                <w:rStyle w:val="Hyperlink"/>
                <w:noProof/>
              </w:rPr>
              <w:t>6.2.6.</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for Authority to Bid into Other Market Participant</w:t>
            </w:r>
            <w:r w:rsidRPr="004B1EC1">
              <w:rPr>
                <w:rStyle w:val="Hyperlink"/>
                <w:noProof/>
              </w:rPr>
              <w:noBreakHyphen/>
              <w:t>Initiated Competitive Solicitations</w:t>
            </w:r>
            <w:r>
              <w:rPr>
                <w:noProof/>
                <w:webHidden/>
              </w:rPr>
              <w:tab/>
            </w:r>
            <w:r>
              <w:rPr>
                <w:noProof/>
                <w:webHidden/>
              </w:rPr>
              <w:fldChar w:fldCharType="begin"/>
            </w:r>
            <w:r>
              <w:rPr>
                <w:noProof/>
                <w:webHidden/>
              </w:rPr>
              <w:instrText xml:space="preserve"> PAGEREF _Toc214004346 \h </w:instrText>
            </w:r>
            <w:r>
              <w:rPr>
                <w:noProof/>
                <w:webHidden/>
              </w:rPr>
            </w:r>
            <w:r>
              <w:rPr>
                <w:noProof/>
                <w:webHidden/>
              </w:rPr>
              <w:fldChar w:fldCharType="separate"/>
            </w:r>
            <w:r>
              <w:rPr>
                <w:noProof/>
                <w:webHidden/>
              </w:rPr>
              <w:t>24</w:t>
            </w:r>
            <w:r>
              <w:rPr>
                <w:noProof/>
                <w:webHidden/>
              </w:rPr>
              <w:fldChar w:fldCharType="end"/>
            </w:r>
          </w:hyperlink>
        </w:p>
        <w:p w:rsidR="00F77547" w:rsidRDefault="00F77547" w14:paraId="06E28CFF" w14:textId="4329D0F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7">
            <w:r w:rsidRPr="004B1EC1">
              <w:rPr>
                <w:rStyle w:val="Hyperlink"/>
                <w:noProof/>
              </w:rPr>
              <w:t>6.2.7.</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for Authority to Transact via Brokers and Exchanges</w:t>
            </w:r>
            <w:r>
              <w:rPr>
                <w:noProof/>
                <w:webHidden/>
              </w:rPr>
              <w:tab/>
            </w:r>
            <w:r>
              <w:rPr>
                <w:noProof/>
                <w:webHidden/>
              </w:rPr>
              <w:fldChar w:fldCharType="begin"/>
            </w:r>
            <w:r>
              <w:rPr>
                <w:noProof/>
                <w:webHidden/>
              </w:rPr>
              <w:instrText xml:space="preserve"> PAGEREF _Toc214004347 \h </w:instrText>
            </w:r>
            <w:r>
              <w:rPr>
                <w:noProof/>
                <w:webHidden/>
              </w:rPr>
            </w:r>
            <w:r>
              <w:rPr>
                <w:noProof/>
                <w:webHidden/>
              </w:rPr>
              <w:fldChar w:fldCharType="separate"/>
            </w:r>
            <w:r>
              <w:rPr>
                <w:noProof/>
                <w:webHidden/>
              </w:rPr>
              <w:t>24</w:t>
            </w:r>
            <w:r>
              <w:rPr>
                <w:noProof/>
                <w:webHidden/>
              </w:rPr>
              <w:fldChar w:fldCharType="end"/>
            </w:r>
          </w:hyperlink>
        </w:p>
        <w:p w:rsidR="00F77547" w:rsidRDefault="00F77547" w14:paraId="3C47C79D" w14:textId="38E647C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8">
            <w:r w:rsidRPr="004B1EC1">
              <w:rPr>
                <w:rStyle w:val="Hyperlink"/>
                <w:noProof/>
              </w:rPr>
              <w:t>6.2.8.</w:t>
            </w:r>
            <w:r>
              <w:rPr>
                <w:rFonts w:asciiTheme="minorHAnsi" w:hAnsiTheme="minorHAnsi" w:cstheme="minorBidi"/>
                <w:noProof/>
                <w:kern w:val="2"/>
                <w:sz w:val="24"/>
                <w:szCs w:val="24"/>
                <w14:ligatures w14:val="standardContextual"/>
              </w:rPr>
              <w:tab/>
            </w:r>
            <w:r w:rsidRPr="004B1EC1">
              <w:rPr>
                <w:rStyle w:val="Hyperlink"/>
                <w:noProof/>
              </w:rPr>
              <w:t>Pacific Gas and Electric Company’s Request to Retire Renewable Energy Credits for Low Carbon Fuel Standard Credits</w:t>
            </w:r>
            <w:r>
              <w:rPr>
                <w:noProof/>
                <w:webHidden/>
              </w:rPr>
              <w:tab/>
            </w:r>
            <w:r>
              <w:rPr>
                <w:noProof/>
                <w:webHidden/>
              </w:rPr>
              <w:fldChar w:fldCharType="begin"/>
            </w:r>
            <w:r>
              <w:rPr>
                <w:noProof/>
                <w:webHidden/>
              </w:rPr>
              <w:instrText xml:space="preserve"> PAGEREF _Toc214004348 \h </w:instrText>
            </w:r>
            <w:r>
              <w:rPr>
                <w:noProof/>
                <w:webHidden/>
              </w:rPr>
            </w:r>
            <w:r>
              <w:rPr>
                <w:noProof/>
                <w:webHidden/>
              </w:rPr>
              <w:fldChar w:fldCharType="separate"/>
            </w:r>
            <w:r>
              <w:rPr>
                <w:noProof/>
                <w:webHidden/>
              </w:rPr>
              <w:t>25</w:t>
            </w:r>
            <w:r>
              <w:rPr>
                <w:noProof/>
                <w:webHidden/>
              </w:rPr>
              <w:fldChar w:fldCharType="end"/>
            </w:r>
          </w:hyperlink>
        </w:p>
        <w:p w:rsidR="00F77547" w:rsidRDefault="00F77547" w14:paraId="28C1A120" w14:textId="1678FE4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49">
            <w:r w:rsidRPr="004B1EC1">
              <w:rPr>
                <w:rStyle w:val="Hyperlink"/>
                <w:noProof/>
              </w:rPr>
              <w:t>6.2.9.</w:t>
            </w:r>
            <w:r>
              <w:rPr>
                <w:rFonts w:asciiTheme="minorHAnsi" w:hAnsiTheme="minorHAnsi" w:cstheme="minorBidi"/>
                <w:noProof/>
                <w:kern w:val="2"/>
                <w:sz w:val="24"/>
                <w:szCs w:val="24"/>
                <w14:ligatures w14:val="standardContextual"/>
              </w:rPr>
              <w:tab/>
            </w:r>
            <w:r w:rsidRPr="004B1EC1">
              <w:rPr>
                <w:rStyle w:val="Hyperlink"/>
                <w:noProof/>
              </w:rPr>
              <w:t>Deficiencies in Pacific Gas and Electric Company’s Draft 2025 Renewables Portfolio Standard Plan</w:t>
            </w:r>
            <w:r>
              <w:rPr>
                <w:noProof/>
                <w:webHidden/>
              </w:rPr>
              <w:tab/>
            </w:r>
            <w:r>
              <w:rPr>
                <w:noProof/>
                <w:webHidden/>
              </w:rPr>
              <w:fldChar w:fldCharType="begin"/>
            </w:r>
            <w:r>
              <w:rPr>
                <w:noProof/>
                <w:webHidden/>
              </w:rPr>
              <w:instrText xml:space="preserve"> PAGEREF _Toc214004349 \h </w:instrText>
            </w:r>
            <w:r>
              <w:rPr>
                <w:noProof/>
                <w:webHidden/>
              </w:rPr>
            </w:r>
            <w:r>
              <w:rPr>
                <w:noProof/>
                <w:webHidden/>
              </w:rPr>
              <w:fldChar w:fldCharType="separate"/>
            </w:r>
            <w:r>
              <w:rPr>
                <w:noProof/>
                <w:webHidden/>
              </w:rPr>
              <w:t>25</w:t>
            </w:r>
            <w:r>
              <w:rPr>
                <w:noProof/>
                <w:webHidden/>
              </w:rPr>
              <w:fldChar w:fldCharType="end"/>
            </w:r>
          </w:hyperlink>
        </w:p>
        <w:p w:rsidR="00F77547" w:rsidRDefault="00F77547" w14:paraId="274F0492" w14:textId="640131B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50">
            <w:r w:rsidRPr="004B1EC1">
              <w:rPr>
                <w:rStyle w:val="Hyperlink"/>
                <w:noProof/>
              </w:rPr>
              <w:t>6.3.</w:t>
            </w:r>
            <w:r>
              <w:rPr>
                <w:rFonts w:asciiTheme="minorHAnsi" w:hAnsiTheme="minorHAnsi" w:cstheme="minorBidi"/>
                <w:noProof/>
                <w:kern w:val="2"/>
                <w:sz w:val="24"/>
                <w:szCs w:val="24"/>
                <w14:ligatures w14:val="standardContextual"/>
              </w:rPr>
              <w:tab/>
            </w:r>
            <w:r w:rsidRPr="004B1EC1">
              <w:rPr>
                <w:rStyle w:val="Hyperlink"/>
                <w:noProof/>
              </w:rPr>
              <w:t>Southern California Edison Company’s Draft 2025 Renewables Portfolio Standard Plan</w:t>
            </w:r>
            <w:r>
              <w:rPr>
                <w:noProof/>
                <w:webHidden/>
              </w:rPr>
              <w:tab/>
            </w:r>
            <w:r>
              <w:rPr>
                <w:noProof/>
                <w:webHidden/>
              </w:rPr>
              <w:fldChar w:fldCharType="begin"/>
            </w:r>
            <w:r>
              <w:rPr>
                <w:noProof/>
                <w:webHidden/>
              </w:rPr>
              <w:instrText xml:space="preserve"> PAGEREF _Toc214004350 \h </w:instrText>
            </w:r>
            <w:r>
              <w:rPr>
                <w:noProof/>
                <w:webHidden/>
              </w:rPr>
            </w:r>
            <w:r>
              <w:rPr>
                <w:noProof/>
                <w:webHidden/>
              </w:rPr>
              <w:fldChar w:fldCharType="separate"/>
            </w:r>
            <w:r>
              <w:rPr>
                <w:noProof/>
                <w:webHidden/>
              </w:rPr>
              <w:t>26</w:t>
            </w:r>
            <w:r>
              <w:rPr>
                <w:noProof/>
                <w:webHidden/>
              </w:rPr>
              <w:fldChar w:fldCharType="end"/>
            </w:r>
          </w:hyperlink>
        </w:p>
        <w:p w:rsidR="00F77547" w:rsidRDefault="00F77547" w14:paraId="1D6F1481" w14:textId="0AA835F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1">
            <w:r w:rsidRPr="004B1EC1">
              <w:rPr>
                <w:rStyle w:val="Hyperlink"/>
                <w:noProof/>
              </w:rPr>
              <w:t>6.3.1.</w:t>
            </w:r>
            <w:r>
              <w:rPr>
                <w:rFonts w:asciiTheme="minorHAnsi" w:hAnsiTheme="minorHAnsi" w:cstheme="minorBidi"/>
                <w:noProof/>
                <w:kern w:val="2"/>
                <w:sz w:val="24"/>
                <w:szCs w:val="24"/>
                <w14:ligatures w14:val="standardContextual"/>
              </w:rPr>
              <w:tab/>
            </w:r>
            <w:r w:rsidRPr="004B1EC1">
              <w:rPr>
                <w:rStyle w:val="Hyperlink"/>
                <w:noProof/>
              </w:rPr>
              <w:t>Southern California Edison Company’s Request for Authority to Procure Additional Renewables Portfolio Standard</w:t>
            </w:r>
            <w:r w:rsidRPr="004B1EC1">
              <w:rPr>
                <w:rStyle w:val="Hyperlink"/>
                <w:noProof/>
              </w:rPr>
              <w:noBreakHyphen/>
              <w:t>Eligible Resources</w:t>
            </w:r>
            <w:r>
              <w:rPr>
                <w:noProof/>
                <w:webHidden/>
              </w:rPr>
              <w:tab/>
            </w:r>
            <w:r>
              <w:rPr>
                <w:noProof/>
                <w:webHidden/>
              </w:rPr>
              <w:fldChar w:fldCharType="begin"/>
            </w:r>
            <w:r>
              <w:rPr>
                <w:noProof/>
                <w:webHidden/>
              </w:rPr>
              <w:instrText xml:space="preserve"> PAGEREF _Toc214004351 \h </w:instrText>
            </w:r>
            <w:r>
              <w:rPr>
                <w:noProof/>
                <w:webHidden/>
              </w:rPr>
            </w:r>
            <w:r>
              <w:rPr>
                <w:noProof/>
                <w:webHidden/>
              </w:rPr>
              <w:fldChar w:fldCharType="separate"/>
            </w:r>
            <w:r>
              <w:rPr>
                <w:noProof/>
                <w:webHidden/>
              </w:rPr>
              <w:t>28</w:t>
            </w:r>
            <w:r>
              <w:rPr>
                <w:noProof/>
                <w:webHidden/>
              </w:rPr>
              <w:fldChar w:fldCharType="end"/>
            </w:r>
          </w:hyperlink>
        </w:p>
        <w:p w:rsidR="00F77547" w:rsidRDefault="00F77547" w14:paraId="49726CEF" w14:textId="622539E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2">
            <w:r w:rsidRPr="004B1EC1">
              <w:rPr>
                <w:rStyle w:val="Hyperlink"/>
                <w:noProof/>
              </w:rPr>
              <w:t>6.3.2.</w:t>
            </w:r>
            <w:r>
              <w:rPr>
                <w:rFonts w:asciiTheme="minorHAnsi" w:hAnsiTheme="minorHAnsi" w:cstheme="minorBidi"/>
                <w:noProof/>
                <w:kern w:val="2"/>
                <w:sz w:val="24"/>
                <w:szCs w:val="24"/>
                <w14:ligatures w14:val="standardContextual"/>
              </w:rPr>
              <w:tab/>
            </w:r>
            <w:r w:rsidRPr="004B1EC1">
              <w:rPr>
                <w:rStyle w:val="Hyperlink"/>
                <w:noProof/>
              </w:rPr>
              <w:t>Southern California Edison Company’s Request for Authority to Purchase and Sell Portfolio Content Category 1, Portfolio Content Category 2, and Portfolio Content Category 3 Renewable Energy Credits</w:t>
            </w:r>
            <w:r>
              <w:rPr>
                <w:noProof/>
                <w:webHidden/>
              </w:rPr>
              <w:tab/>
            </w:r>
            <w:r>
              <w:rPr>
                <w:noProof/>
                <w:webHidden/>
              </w:rPr>
              <w:fldChar w:fldCharType="begin"/>
            </w:r>
            <w:r>
              <w:rPr>
                <w:noProof/>
                <w:webHidden/>
              </w:rPr>
              <w:instrText xml:space="preserve"> PAGEREF _Toc214004352 \h </w:instrText>
            </w:r>
            <w:r>
              <w:rPr>
                <w:noProof/>
                <w:webHidden/>
              </w:rPr>
            </w:r>
            <w:r>
              <w:rPr>
                <w:noProof/>
                <w:webHidden/>
              </w:rPr>
              <w:fldChar w:fldCharType="separate"/>
            </w:r>
            <w:r>
              <w:rPr>
                <w:noProof/>
                <w:webHidden/>
              </w:rPr>
              <w:t>30</w:t>
            </w:r>
            <w:r>
              <w:rPr>
                <w:noProof/>
                <w:webHidden/>
              </w:rPr>
              <w:fldChar w:fldCharType="end"/>
            </w:r>
          </w:hyperlink>
        </w:p>
        <w:p w:rsidR="00F77547" w:rsidRDefault="00F77547" w14:paraId="45C9DF05" w14:textId="7CB61EC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3">
            <w:r w:rsidRPr="004B1EC1">
              <w:rPr>
                <w:rStyle w:val="Hyperlink"/>
                <w:noProof/>
              </w:rPr>
              <w:t>6.3.3.</w:t>
            </w:r>
            <w:r>
              <w:rPr>
                <w:rFonts w:asciiTheme="minorHAnsi" w:hAnsiTheme="minorHAnsi" w:cstheme="minorBidi"/>
                <w:noProof/>
                <w:kern w:val="2"/>
                <w:sz w:val="24"/>
                <w:szCs w:val="24"/>
                <w14:ligatures w14:val="standardContextual"/>
              </w:rPr>
              <w:tab/>
            </w:r>
            <w:r w:rsidRPr="004B1EC1">
              <w:rPr>
                <w:rStyle w:val="Hyperlink"/>
                <w:noProof/>
              </w:rPr>
              <w:t>Southern California Edison Company’s Request for Approval of Bid Solicitation Protocols</w:t>
            </w:r>
            <w:r>
              <w:rPr>
                <w:noProof/>
                <w:webHidden/>
              </w:rPr>
              <w:tab/>
            </w:r>
            <w:r>
              <w:rPr>
                <w:noProof/>
                <w:webHidden/>
              </w:rPr>
              <w:fldChar w:fldCharType="begin"/>
            </w:r>
            <w:r>
              <w:rPr>
                <w:noProof/>
                <w:webHidden/>
              </w:rPr>
              <w:instrText xml:space="preserve"> PAGEREF _Toc214004353 \h </w:instrText>
            </w:r>
            <w:r>
              <w:rPr>
                <w:noProof/>
                <w:webHidden/>
              </w:rPr>
            </w:r>
            <w:r>
              <w:rPr>
                <w:noProof/>
                <w:webHidden/>
              </w:rPr>
              <w:fldChar w:fldCharType="separate"/>
            </w:r>
            <w:r>
              <w:rPr>
                <w:noProof/>
                <w:webHidden/>
              </w:rPr>
              <w:t>32</w:t>
            </w:r>
            <w:r>
              <w:rPr>
                <w:noProof/>
                <w:webHidden/>
              </w:rPr>
              <w:fldChar w:fldCharType="end"/>
            </w:r>
          </w:hyperlink>
        </w:p>
        <w:p w:rsidR="00F77547" w:rsidRDefault="00F77547" w14:paraId="6C7DA69E" w14:textId="3C5EB7D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4">
            <w:r w:rsidRPr="004B1EC1">
              <w:rPr>
                <w:rStyle w:val="Hyperlink"/>
                <w:noProof/>
              </w:rPr>
              <w:t>6.3.4.</w:t>
            </w:r>
            <w:r>
              <w:rPr>
                <w:rFonts w:asciiTheme="minorHAnsi" w:hAnsiTheme="minorHAnsi" w:cstheme="minorBidi"/>
                <w:noProof/>
                <w:kern w:val="2"/>
                <w:sz w:val="24"/>
                <w:szCs w:val="24"/>
                <w14:ligatures w14:val="standardContextual"/>
              </w:rPr>
              <w:tab/>
            </w:r>
            <w:r w:rsidRPr="004B1EC1">
              <w:rPr>
                <w:rStyle w:val="Hyperlink"/>
                <w:noProof/>
              </w:rPr>
              <w:t>Southern California Edison Company’s Request for Approval of Agreements</w:t>
            </w:r>
            <w:r>
              <w:rPr>
                <w:noProof/>
                <w:webHidden/>
              </w:rPr>
              <w:tab/>
            </w:r>
            <w:r>
              <w:rPr>
                <w:noProof/>
                <w:webHidden/>
              </w:rPr>
              <w:fldChar w:fldCharType="begin"/>
            </w:r>
            <w:r>
              <w:rPr>
                <w:noProof/>
                <w:webHidden/>
              </w:rPr>
              <w:instrText xml:space="preserve"> PAGEREF _Toc214004354 \h </w:instrText>
            </w:r>
            <w:r>
              <w:rPr>
                <w:noProof/>
                <w:webHidden/>
              </w:rPr>
            </w:r>
            <w:r>
              <w:rPr>
                <w:noProof/>
                <w:webHidden/>
              </w:rPr>
              <w:fldChar w:fldCharType="separate"/>
            </w:r>
            <w:r>
              <w:rPr>
                <w:noProof/>
                <w:webHidden/>
              </w:rPr>
              <w:t>33</w:t>
            </w:r>
            <w:r>
              <w:rPr>
                <w:noProof/>
                <w:webHidden/>
              </w:rPr>
              <w:fldChar w:fldCharType="end"/>
            </w:r>
          </w:hyperlink>
        </w:p>
        <w:p w:rsidR="00F77547" w:rsidRDefault="00F77547" w14:paraId="2B6DF981" w14:textId="13142CE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5">
            <w:r w:rsidRPr="004B1EC1">
              <w:rPr>
                <w:rStyle w:val="Hyperlink"/>
                <w:noProof/>
              </w:rPr>
              <w:t>6.3.5.</w:t>
            </w:r>
            <w:r>
              <w:rPr>
                <w:rFonts w:asciiTheme="minorHAnsi" w:hAnsiTheme="minorHAnsi" w:cstheme="minorBidi"/>
                <w:noProof/>
                <w:kern w:val="2"/>
                <w:sz w:val="24"/>
                <w:szCs w:val="24"/>
                <w14:ligatures w14:val="standardContextual"/>
              </w:rPr>
              <w:tab/>
            </w:r>
            <w:r w:rsidRPr="004B1EC1">
              <w:rPr>
                <w:rStyle w:val="Hyperlink"/>
                <w:noProof/>
              </w:rPr>
              <w:t>Southern California Edison Company’s Request for Approval to Retire Renewable Energy Credits for Low</w:t>
            </w:r>
            <w:r w:rsidRPr="004B1EC1">
              <w:rPr>
                <w:rStyle w:val="Hyperlink"/>
                <w:noProof/>
              </w:rPr>
              <w:noBreakHyphen/>
              <w:t>Carbon Fuel Standard Funded Programs</w:t>
            </w:r>
            <w:r>
              <w:rPr>
                <w:noProof/>
                <w:webHidden/>
              </w:rPr>
              <w:tab/>
            </w:r>
            <w:r>
              <w:rPr>
                <w:noProof/>
                <w:webHidden/>
              </w:rPr>
              <w:fldChar w:fldCharType="begin"/>
            </w:r>
            <w:r>
              <w:rPr>
                <w:noProof/>
                <w:webHidden/>
              </w:rPr>
              <w:instrText xml:space="preserve"> PAGEREF _Toc214004355 \h </w:instrText>
            </w:r>
            <w:r>
              <w:rPr>
                <w:noProof/>
                <w:webHidden/>
              </w:rPr>
            </w:r>
            <w:r>
              <w:rPr>
                <w:noProof/>
                <w:webHidden/>
              </w:rPr>
              <w:fldChar w:fldCharType="separate"/>
            </w:r>
            <w:r>
              <w:rPr>
                <w:noProof/>
                <w:webHidden/>
              </w:rPr>
              <w:t>34</w:t>
            </w:r>
            <w:r>
              <w:rPr>
                <w:noProof/>
                <w:webHidden/>
              </w:rPr>
              <w:fldChar w:fldCharType="end"/>
            </w:r>
          </w:hyperlink>
        </w:p>
        <w:p w:rsidR="00F77547" w:rsidRDefault="00F77547" w14:paraId="35099850" w14:textId="33577C5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6">
            <w:r w:rsidRPr="004B1EC1">
              <w:rPr>
                <w:rStyle w:val="Hyperlink"/>
                <w:noProof/>
              </w:rPr>
              <w:t>6.3.6.</w:t>
            </w:r>
            <w:r>
              <w:rPr>
                <w:rFonts w:asciiTheme="minorHAnsi" w:hAnsiTheme="minorHAnsi" w:cstheme="minorBidi"/>
                <w:noProof/>
                <w:kern w:val="2"/>
                <w:sz w:val="24"/>
                <w:szCs w:val="24"/>
                <w14:ligatures w14:val="standardContextual"/>
              </w:rPr>
              <w:tab/>
            </w:r>
            <w:r w:rsidRPr="004B1EC1">
              <w:rPr>
                <w:rStyle w:val="Hyperlink"/>
                <w:noProof/>
              </w:rPr>
              <w:t>There Are No Deficiencies in Southern California Edison Company’s Draft 2025 Renewables Portfolio Standard Plan</w:t>
            </w:r>
            <w:r>
              <w:rPr>
                <w:noProof/>
                <w:webHidden/>
              </w:rPr>
              <w:tab/>
            </w:r>
            <w:r>
              <w:rPr>
                <w:noProof/>
                <w:webHidden/>
              </w:rPr>
              <w:fldChar w:fldCharType="begin"/>
            </w:r>
            <w:r>
              <w:rPr>
                <w:noProof/>
                <w:webHidden/>
              </w:rPr>
              <w:instrText xml:space="preserve"> PAGEREF _Toc214004356 \h </w:instrText>
            </w:r>
            <w:r>
              <w:rPr>
                <w:noProof/>
                <w:webHidden/>
              </w:rPr>
            </w:r>
            <w:r>
              <w:rPr>
                <w:noProof/>
                <w:webHidden/>
              </w:rPr>
              <w:fldChar w:fldCharType="separate"/>
            </w:r>
            <w:r>
              <w:rPr>
                <w:noProof/>
                <w:webHidden/>
              </w:rPr>
              <w:t>35</w:t>
            </w:r>
            <w:r>
              <w:rPr>
                <w:noProof/>
                <w:webHidden/>
              </w:rPr>
              <w:fldChar w:fldCharType="end"/>
            </w:r>
          </w:hyperlink>
        </w:p>
        <w:p w:rsidR="00F77547" w:rsidRDefault="00F77547" w14:paraId="4C2515B8" w14:textId="5A874F0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57">
            <w:r w:rsidRPr="004B1EC1">
              <w:rPr>
                <w:rStyle w:val="Hyperlink"/>
                <w:noProof/>
              </w:rPr>
              <w:t>6.4.</w:t>
            </w:r>
            <w:r>
              <w:rPr>
                <w:rFonts w:asciiTheme="minorHAnsi" w:hAnsiTheme="minorHAnsi" w:cstheme="minorBidi"/>
                <w:noProof/>
                <w:kern w:val="2"/>
                <w:sz w:val="24"/>
                <w:szCs w:val="24"/>
                <w14:ligatures w14:val="standardContextual"/>
              </w:rPr>
              <w:tab/>
            </w:r>
            <w:r w:rsidRPr="004B1EC1">
              <w:rPr>
                <w:rStyle w:val="Hyperlink"/>
                <w:noProof/>
              </w:rPr>
              <w:t>San Diego Gas &amp; Electric Company’s Draft 2025 Renewables Portfolio Standard Plan</w:t>
            </w:r>
            <w:r>
              <w:rPr>
                <w:noProof/>
                <w:webHidden/>
              </w:rPr>
              <w:tab/>
            </w:r>
            <w:r>
              <w:rPr>
                <w:noProof/>
                <w:webHidden/>
              </w:rPr>
              <w:fldChar w:fldCharType="begin"/>
            </w:r>
            <w:r>
              <w:rPr>
                <w:noProof/>
                <w:webHidden/>
              </w:rPr>
              <w:instrText xml:space="preserve"> PAGEREF _Toc214004357 \h </w:instrText>
            </w:r>
            <w:r>
              <w:rPr>
                <w:noProof/>
                <w:webHidden/>
              </w:rPr>
            </w:r>
            <w:r>
              <w:rPr>
                <w:noProof/>
                <w:webHidden/>
              </w:rPr>
              <w:fldChar w:fldCharType="separate"/>
            </w:r>
            <w:r>
              <w:rPr>
                <w:noProof/>
                <w:webHidden/>
              </w:rPr>
              <w:t>35</w:t>
            </w:r>
            <w:r>
              <w:rPr>
                <w:noProof/>
                <w:webHidden/>
              </w:rPr>
              <w:fldChar w:fldCharType="end"/>
            </w:r>
          </w:hyperlink>
        </w:p>
        <w:p w:rsidR="00F77547" w:rsidRDefault="00F77547" w14:paraId="45BF19D2" w14:textId="0DF8765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8">
            <w:r w:rsidRPr="004B1EC1">
              <w:rPr>
                <w:rStyle w:val="Hyperlink"/>
                <w:noProof/>
              </w:rPr>
              <w:t>6.4.1.</w:t>
            </w:r>
            <w:r>
              <w:rPr>
                <w:rFonts w:asciiTheme="minorHAnsi" w:hAnsiTheme="minorHAnsi" w:cstheme="minorBidi"/>
                <w:noProof/>
                <w:kern w:val="2"/>
                <w:sz w:val="24"/>
                <w:szCs w:val="24"/>
                <w14:ligatures w14:val="standardContextual"/>
              </w:rPr>
              <w:tab/>
            </w:r>
            <w:r w:rsidRPr="004B1EC1">
              <w:rPr>
                <w:rStyle w:val="Hyperlink"/>
                <w:noProof/>
              </w:rPr>
              <w:t>San Diego Gas &amp; Electric Company’s Request for Authority to Utilize Banked Renewable Energy Credits</w:t>
            </w:r>
            <w:r>
              <w:rPr>
                <w:noProof/>
                <w:webHidden/>
              </w:rPr>
              <w:tab/>
            </w:r>
            <w:r>
              <w:rPr>
                <w:noProof/>
                <w:webHidden/>
              </w:rPr>
              <w:fldChar w:fldCharType="begin"/>
            </w:r>
            <w:r>
              <w:rPr>
                <w:noProof/>
                <w:webHidden/>
              </w:rPr>
              <w:instrText xml:space="preserve"> PAGEREF _Toc214004358 \h </w:instrText>
            </w:r>
            <w:r>
              <w:rPr>
                <w:noProof/>
                <w:webHidden/>
              </w:rPr>
            </w:r>
            <w:r>
              <w:rPr>
                <w:noProof/>
                <w:webHidden/>
              </w:rPr>
              <w:fldChar w:fldCharType="separate"/>
            </w:r>
            <w:r>
              <w:rPr>
                <w:noProof/>
                <w:webHidden/>
              </w:rPr>
              <w:t>36</w:t>
            </w:r>
            <w:r>
              <w:rPr>
                <w:noProof/>
                <w:webHidden/>
              </w:rPr>
              <w:fldChar w:fldCharType="end"/>
            </w:r>
          </w:hyperlink>
        </w:p>
        <w:p w:rsidR="00F77547" w:rsidRDefault="00F77547" w14:paraId="4F4E6F4B" w14:textId="5C25569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59">
            <w:r w:rsidRPr="004B1EC1">
              <w:rPr>
                <w:rStyle w:val="Hyperlink"/>
                <w:noProof/>
              </w:rPr>
              <w:t>6.4.2.</w:t>
            </w:r>
            <w:r>
              <w:rPr>
                <w:rFonts w:asciiTheme="minorHAnsi" w:hAnsiTheme="minorHAnsi" w:cstheme="minorBidi"/>
                <w:noProof/>
                <w:kern w:val="2"/>
                <w:sz w:val="24"/>
                <w:szCs w:val="24"/>
                <w14:ligatures w14:val="standardContextual"/>
              </w:rPr>
              <w:tab/>
            </w:r>
            <w:r w:rsidRPr="004B1EC1">
              <w:rPr>
                <w:rStyle w:val="Hyperlink"/>
                <w:noProof/>
              </w:rPr>
              <w:t>San Diego Gas &amp; Electric Company’s Request for Option to Procure Renewable Energy Credits for Compliance</w:t>
            </w:r>
            <w:r>
              <w:rPr>
                <w:noProof/>
                <w:webHidden/>
              </w:rPr>
              <w:tab/>
            </w:r>
            <w:r>
              <w:rPr>
                <w:noProof/>
                <w:webHidden/>
              </w:rPr>
              <w:fldChar w:fldCharType="begin"/>
            </w:r>
            <w:r>
              <w:rPr>
                <w:noProof/>
                <w:webHidden/>
              </w:rPr>
              <w:instrText xml:space="preserve"> PAGEREF _Toc214004359 \h </w:instrText>
            </w:r>
            <w:r>
              <w:rPr>
                <w:noProof/>
                <w:webHidden/>
              </w:rPr>
            </w:r>
            <w:r>
              <w:rPr>
                <w:noProof/>
                <w:webHidden/>
              </w:rPr>
              <w:fldChar w:fldCharType="separate"/>
            </w:r>
            <w:r>
              <w:rPr>
                <w:noProof/>
                <w:webHidden/>
              </w:rPr>
              <w:t>36</w:t>
            </w:r>
            <w:r>
              <w:rPr>
                <w:noProof/>
                <w:webHidden/>
              </w:rPr>
              <w:fldChar w:fldCharType="end"/>
            </w:r>
          </w:hyperlink>
        </w:p>
        <w:p w:rsidR="00F77547" w:rsidRDefault="00F77547" w14:paraId="0F108091" w14:textId="6E156FD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60">
            <w:r w:rsidRPr="004B1EC1">
              <w:rPr>
                <w:rStyle w:val="Hyperlink"/>
                <w:noProof/>
              </w:rPr>
              <w:t>6.4.3.</w:t>
            </w:r>
            <w:r>
              <w:rPr>
                <w:rFonts w:asciiTheme="minorHAnsi" w:hAnsiTheme="minorHAnsi" w:cstheme="minorBidi"/>
                <w:noProof/>
                <w:kern w:val="2"/>
                <w:sz w:val="24"/>
                <w:szCs w:val="24"/>
                <w14:ligatures w14:val="standardContextual"/>
              </w:rPr>
              <w:tab/>
            </w:r>
            <w:r w:rsidRPr="004B1EC1">
              <w:rPr>
                <w:rStyle w:val="Hyperlink"/>
                <w:noProof/>
              </w:rPr>
              <w:t>San Diego Gas &amp; Electric Company’s Request for Authority to Sell Renewables Portfolio Standard Volumes</w:t>
            </w:r>
            <w:r>
              <w:rPr>
                <w:noProof/>
                <w:webHidden/>
              </w:rPr>
              <w:tab/>
            </w:r>
            <w:r>
              <w:rPr>
                <w:noProof/>
                <w:webHidden/>
              </w:rPr>
              <w:fldChar w:fldCharType="begin"/>
            </w:r>
            <w:r>
              <w:rPr>
                <w:noProof/>
                <w:webHidden/>
              </w:rPr>
              <w:instrText xml:space="preserve"> PAGEREF _Toc214004360 \h </w:instrText>
            </w:r>
            <w:r>
              <w:rPr>
                <w:noProof/>
                <w:webHidden/>
              </w:rPr>
            </w:r>
            <w:r>
              <w:rPr>
                <w:noProof/>
                <w:webHidden/>
              </w:rPr>
              <w:fldChar w:fldCharType="separate"/>
            </w:r>
            <w:r>
              <w:rPr>
                <w:noProof/>
                <w:webHidden/>
              </w:rPr>
              <w:t>37</w:t>
            </w:r>
            <w:r>
              <w:rPr>
                <w:noProof/>
                <w:webHidden/>
              </w:rPr>
              <w:fldChar w:fldCharType="end"/>
            </w:r>
          </w:hyperlink>
        </w:p>
        <w:p w:rsidR="00F77547" w:rsidRDefault="00F77547" w14:paraId="0720F8DF" w14:textId="44D9593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61">
            <w:r w:rsidRPr="004B1EC1">
              <w:rPr>
                <w:rStyle w:val="Hyperlink"/>
                <w:noProof/>
              </w:rPr>
              <w:t>6.4.4.</w:t>
            </w:r>
            <w:r>
              <w:rPr>
                <w:rFonts w:asciiTheme="minorHAnsi" w:hAnsiTheme="minorHAnsi" w:cstheme="minorBidi"/>
                <w:noProof/>
                <w:kern w:val="2"/>
                <w:sz w:val="24"/>
                <w:szCs w:val="24"/>
                <w14:ligatures w14:val="standardContextual"/>
              </w:rPr>
              <w:tab/>
            </w:r>
            <w:r w:rsidRPr="004B1EC1">
              <w:rPr>
                <w:rStyle w:val="Hyperlink"/>
                <w:noProof/>
              </w:rPr>
              <w:t>San Diego Gas &amp; Electric Company’s Request for Flexibility to Buy and Sell Renewable Energy Credits in the Same Year and/or Compliance Period</w:t>
            </w:r>
            <w:r>
              <w:rPr>
                <w:noProof/>
                <w:webHidden/>
              </w:rPr>
              <w:tab/>
            </w:r>
            <w:r>
              <w:rPr>
                <w:noProof/>
                <w:webHidden/>
              </w:rPr>
              <w:fldChar w:fldCharType="begin"/>
            </w:r>
            <w:r>
              <w:rPr>
                <w:noProof/>
                <w:webHidden/>
              </w:rPr>
              <w:instrText xml:space="preserve"> PAGEREF _Toc214004361 \h </w:instrText>
            </w:r>
            <w:r>
              <w:rPr>
                <w:noProof/>
                <w:webHidden/>
              </w:rPr>
            </w:r>
            <w:r>
              <w:rPr>
                <w:noProof/>
                <w:webHidden/>
              </w:rPr>
              <w:fldChar w:fldCharType="separate"/>
            </w:r>
            <w:r>
              <w:rPr>
                <w:noProof/>
                <w:webHidden/>
              </w:rPr>
              <w:t>39</w:t>
            </w:r>
            <w:r>
              <w:rPr>
                <w:noProof/>
                <w:webHidden/>
              </w:rPr>
              <w:fldChar w:fldCharType="end"/>
            </w:r>
          </w:hyperlink>
        </w:p>
        <w:p w:rsidR="00F77547" w:rsidRDefault="00F77547" w14:paraId="16F82D59" w14:textId="07638C5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62">
            <w:r w:rsidRPr="004B1EC1">
              <w:rPr>
                <w:rStyle w:val="Hyperlink"/>
                <w:noProof/>
              </w:rPr>
              <w:t>6.4.5.</w:t>
            </w:r>
            <w:r>
              <w:rPr>
                <w:rFonts w:asciiTheme="minorHAnsi" w:hAnsiTheme="minorHAnsi" w:cstheme="minorBidi"/>
                <w:noProof/>
                <w:kern w:val="2"/>
                <w:sz w:val="24"/>
                <w:szCs w:val="24"/>
                <w14:ligatures w14:val="standardContextual"/>
              </w:rPr>
              <w:tab/>
            </w:r>
            <w:r w:rsidRPr="004B1EC1">
              <w:rPr>
                <w:rStyle w:val="Hyperlink"/>
                <w:noProof/>
              </w:rPr>
              <w:t>San Diego Gas &amp; Electric Company’s Authorization to Participate in Requests for Offers and Utilize Both Brokers and Exchanges</w:t>
            </w:r>
            <w:r>
              <w:rPr>
                <w:noProof/>
                <w:webHidden/>
              </w:rPr>
              <w:tab/>
            </w:r>
            <w:r>
              <w:rPr>
                <w:noProof/>
                <w:webHidden/>
              </w:rPr>
              <w:fldChar w:fldCharType="begin"/>
            </w:r>
            <w:r>
              <w:rPr>
                <w:noProof/>
                <w:webHidden/>
              </w:rPr>
              <w:instrText xml:space="preserve"> PAGEREF _Toc214004362 \h </w:instrText>
            </w:r>
            <w:r>
              <w:rPr>
                <w:noProof/>
                <w:webHidden/>
              </w:rPr>
            </w:r>
            <w:r>
              <w:rPr>
                <w:noProof/>
                <w:webHidden/>
              </w:rPr>
              <w:fldChar w:fldCharType="separate"/>
            </w:r>
            <w:r>
              <w:rPr>
                <w:noProof/>
                <w:webHidden/>
              </w:rPr>
              <w:t>39</w:t>
            </w:r>
            <w:r>
              <w:rPr>
                <w:noProof/>
                <w:webHidden/>
              </w:rPr>
              <w:fldChar w:fldCharType="end"/>
            </w:r>
          </w:hyperlink>
        </w:p>
        <w:p w:rsidR="00F77547" w:rsidRDefault="00F77547" w14:paraId="49F07ADC" w14:textId="081E883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63">
            <w:r w:rsidRPr="004B1EC1">
              <w:rPr>
                <w:rStyle w:val="Hyperlink"/>
                <w:noProof/>
              </w:rPr>
              <w:t>6.4.6.</w:t>
            </w:r>
            <w:r>
              <w:rPr>
                <w:rFonts w:asciiTheme="minorHAnsi" w:hAnsiTheme="minorHAnsi" w:cstheme="minorBidi"/>
                <w:noProof/>
                <w:kern w:val="2"/>
                <w:sz w:val="24"/>
                <w:szCs w:val="24"/>
                <w14:ligatures w14:val="standardContextual"/>
              </w:rPr>
              <w:tab/>
            </w:r>
            <w:r w:rsidRPr="004B1EC1">
              <w:rPr>
                <w:rStyle w:val="Hyperlink"/>
                <w:noProof/>
              </w:rPr>
              <w:t>San Diego Gas &amp; Electric Company’s Request for an Updated Approval Process for Short</w:t>
            </w:r>
            <w:r w:rsidRPr="004B1EC1">
              <w:rPr>
                <w:rStyle w:val="Hyperlink"/>
                <w:noProof/>
              </w:rPr>
              <w:noBreakHyphen/>
              <w:t>Term Transactions</w:t>
            </w:r>
            <w:r>
              <w:rPr>
                <w:noProof/>
                <w:webHidden/>
              </w:rPr>
              <w:tab/>
            </w:r>
            <w:r>
              <w:rPr>
                <w:noProof/>
                <w:webHidden/>
              </w:rPr>
              <w:fldChar w:fldCharType="begin"/>
            </w:r>
            <w:r>
              <w:rPr>
                <w:noProof/>
                <w:webHidden/>
              </w:rPr>
              <w:instrText xml:space="preserve"> PAGEREF _Toc214004363 \h </w:instrText>
            </w:r>
            <w:r>
              <w:rPr>
                <w:noProof/>
                <w:webHidden/>
              </w:rPr>
            </w:r>
            <w:r>
              <w:rPr>
                <w:noProof/>
                <w:webHidden/>
              </w:rPr>
              <w:fldChar w:fldCharType="separate"/>
            </w:r>
            <w:r>
              <w:rPr>
                <w:noProof/>
                <w:webHidden/>
              </w:rPr>
              <w:t>40</w:t>
            </w:r>
            <w:r>
              <w:rPr>
                <w:noProof/>
                <w:webHidden/>
              </w:rPr>
              <w:fldChar w:fldCharType="end"/>
            </w:r>
          </w:hyperlink>
        </w:p>
        <w:p w:rsidR="00F77547" w:rsidRDefault="00F77547" w14:paraId="29A6275C" w14:textId="7B7A099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64">
            <w:r w:rsidRPr="004B1EC1">
              <w:rPr>
                <w:rStyle w:val="Hyperlink"/>
                <w:noProof/>
              </w:rPr>
              <w:t>6.4.7.</w:t>
            </w:r>
            <w:r>
              <w:rPr>
                <w:rFonts w:asciiTheme="minorHAnsi" w:hAnsiTheme="minorHAnsi" w:cstheme="minorBidi"/>
                <w:noProof/>
                <w:kern w:val="2"/>
                <w:sz w:val="24"/>
                <w:szCs w:val="24"/>
                <w14:ligatures w14:val="standardContextual"/>
              </w:rPr>
              <w:tab/>
            </w:r>
            <w:r w:rsidRPr="004B1EC1">
              <w:rPr>
                <w:rStyle w:val="Hyperlink"/>
                <w:noProof/>
              </w:rPr>
              <w:t>Deficiencies in San Diego Gas &amp; Electric Company’s Draft 2025 Renewables Portfolio Standard Plan</w:t>
            </w:r>
            <w:r>
              <w:rPr>
                <w:noProof/>
                <w:webHidden/>
              </w:rPr>
              <w:tab/>
            </w:r>
            <w:r>
              <w:rPr>
                <w:noProof/>
                <w:webHidden/>
              </w:rPr>
              <w:fldChar w:fldCharType="begin"/>
            </w:r>
            <w:r>
              <w:rPr>
                <w:noProof/>
                <w:webHidden/>
              </w:rPr>
              <w:instrText xml:space="preserve"> PAGEREF _Toc214004364 \h </w:instrText>
            </w:r>
            <w:r>
              <w:rPr>
                <w:noProof/>
                <w:webHidden/>
              </w:rPr>
            </w:r>
            <w:r>
              <w:rPr>
                <w:noProof/>
                <w:webHidden/>
              </w:rPr>
              <w:fldChar w:fldCharType="separate"/>
            </w:r>
            <w:r>
              <w:rPr>
                <w:noProof/>
                <w:webHidden/>
              </w:rPr>
              <w:t>40</w:t>
            </w:r>
            <w:r>
              <w:rPr>
                <w:noProof/>
                <w:webHidden/>
              </w:rPr>
              <w:fldChar w:fldCharType="end"/>
            </w:r>
          </w:hyperlink>
        </w:p>
        <w:p w:rsidR="00F77547" w:rsidRDefault="00F77547" w14:paraId="6640BB4D" w14:textId="723D047D">
          <w:pPr>
            <w:pStyle w:val="TOC1"/>
            <w:tabs>
              <w:tab w:val="right" w:leader="dot" w:pos="9350"/>
            </w:tabs>
            <w:rPr>
              <w:rFonts w:asciiTheme="minorHAnsi" w:hAnsiTheme="minorHAnsi" w:cstheme="minorBidi"/>
              <w:noProof/>
              <w:kern w:val="2"/>
              <w:sz w:val="24"/>
              <w:szCs w:val="24"/>
              <w14:ligatures w14:val="standardContextual"/>
            </w:rPr>
          </w:pPr>
          <w:hyperlink w:history="1" w:anchor="_Toc214004365">
            <w:r w:rsidRPr="004B1EC1">
              <w:rPr>
                <w:rStyle w:val="Hyperlink"/>
                <w:noProof/>
              </w:rPr>
              <w:t>7.</w:t>
            </w:r>
            <w:r>
              <w:rPr>
                <w:rFonts w:asciiTheme="minorHAnsi" w:hAnsiTheme="minorHAnsi" w:cstheme="minorBidi"/>
                <w:noProof/>
                <w:kern w:val="2"/>
                <w:sz w:val="24"/>
                <w:szCs w:val="24"/>
                <w14:ligatures w14:val="standardContextual"/>
              </w:rPr>
              <w:tab/>
            </w:r>
            <w:r w:rsidRPr="004B1EC1">
              <w:rPr>
                <w:rStyle w:val="Hyperlink"/>
                <w:noProof/>
              </w:rPr>
              <w:t>Small and Multi</w:t>
            </w:r>
            <w:r w:rsidRPr="004B1EC1">
              <w:rPr>
                <w:rStyle w:val="Hyperlink"/>
                <w:noProof/>
              </w:rPr>
              <w:noBreakHyphen/>
              <w:t>Jurisdictional Utilities</w:t>
            </w:r>
            <w:r>
              <w:rPr>
                <w:noProof/>
                <w:webHidden/>
              </w:rPr>
              <w:tab/>
            </w:r>
            <w:r>
              <w:rPr>
                <w:noProof/>
                <w:webHidden/>
              </w:rPr>
              <w:fldChar w:fldCharType="begin"/>
            </w:r>
            <w:r>
              <w:rPr>
                <w:noProof/>
                <w:webHidden/>
              </w:rPr>
              <w:instrText xml:space="preserve"> PAGEREF _Toc214004365 \h </w:instrText>
            </w:r>
            <w:r>
              <w:rPr>
                <w:noProof/>
                <w:webHidden/>
              </w:rPr>
            </w:r>
            <w:r>
              <w:rPr>
                <w:noProof/>
                <w:webHidden/>
              </w:rPr>
              <w:fldChar w:fldCharType="separate"/>
            </w:r>
            <w:r>
              <w:rPr>
                <w:noProof/>
                <w:webHidden/>
              </w:rPr>
              <w:t>41</w:t>
            </w:r>
            <w:r>
              <w:rPr>
                <w:noProof/>
                <w:webHidden/>
              </w:rPr>
              <w:fldChar w:fldCharType="end"/>
            </w:r>
          </w:hyperlink>
        </w:p>
        <w:p w:rsidR="00F77547" w:rsidRDefault="00F77547" w14:paraId="5C5E72BB" w14:textId="6643809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66">
            <w:r w:rsidRPr="004B1EC1">
              <w:rPr>
                <w:rStyle w:val="Hyperlink"/>
                <w:noProof/>
              </w:rPr>
              <w:t>7.1.</w:t>
            </w:r>
            <w:r>
              <w:rPr>
                <w:rFonts w:asciiTheme="minorHAnsi" w:hAnsiTheme="minorHAnsi" w:cstheme="minorBidi"/>
                <w:noProof/>
                <w:kern w:val="2"/>
                <w:sz w:val="24"/>
                <w:szCs w:val="24"/>
                <w14:ligatures w14:val="standardContextual"/>
              </w:rPr>
              <w:tab/>
            </w:r>
            <w:r w:rsidRPr="004B1EC1">
              <w:rPr>
                <w:rStyle w:val="Hyperlink"/>
                <w:noProof/>
              </w:rPr>
              <w:t>Bear Valley Electric Service, Inc.’s Draft 2025 Renewables Portfolio Standard Plan</w:t>
            </w:r>
            <w:r>
              <w:rPr>
                <w:noProof/>
                <w:webHidden/>
              </w:rPr>
              <w:tab/>
            </w:r>
            <w:r>
              <w:rPr>
                <w:noProof/>
                <w:webHidden/>
              </w:rPr>
              <w:fldChar w:fldCharType="begin"/>
            </w:r>
            <w:r>
              <w:rPr>
                <w:noProof/>
                <w:webHidden/>
              </w:rPr>
              <w:instrText xml:space="preserve"> PAGEREF _Toc214004366 \h </w:instrText>
            </w:r>
            <w:r>
              <w:rPr>
                <w:noProof/>
                <w:webHidden/>
              </w:rPr>
            </w:r>
            <w:r>
              <w:rPr>
                <w:noProof/>
                <w:webHidden/>
              </w:rPr>
              <w:fldChar w:fldCharType="separate"/>
            </w:r>
            <w:r>
              <w:rPr>
                <w:noProof/>
                <w:webHidden/>
              </w:rPr>
              <w:t>43</w:t>
            </w:r>
            <w:r>
              <w:rPr>
                <w:noProof/>
                <w:webHidden/>
              </w:rPr>
              <w:fldChar w:fldCharType="end"/>
            </w:r>
          </w:hyperlink>
        </w:p>
        <w:p w:rsidR="00F77547" w:rsidRDefault="00F77547" w14:paraId="2E645025" w14:textId="72ADE71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67">
            <w:r w:rsidRPr="004B1EC1">
              <w:rPr>
                <w:rStyle w:val="Hyperlink"/>
                <w:noProof/>
              </w:rPr>
              <w:t>7.2.</w:t>
            </w:r>
            <w:r>
              <w:rPr>
                <w:rFonts w:asciiTheme="minorHAnsi" w:hAnsiTheme="minorHAnsi" w:cstheme="minorBidi"/>
                <w:noProof/>
                <w:kern w:val="2"/>
                <w:sz w:val="24"/>
                <w:szCs w:val="24"/>
                <w14:ligatures w14:val="standardContextual"/>
              </w:rPr>
              <w:tab/>
            </w:r>
            <w:r w:rsidRPr="004B1EC1">
              <w:rPr>
                <w:rStyle w:val="Hyperlink"/>
                <w:noProof/>
              </w:rPr>
              <w:t>Liberty’s Draft 2025 Renewables Portfolio Standard Plan</w:t>
            </w:r>
            <w:r>
              <w:rPr>
                <w:noProof/>
                <w:webHidden/>
              </w:rPr>
              <w:tab/>
            </w:r>
            <w:r>
              <w:rPr>
                <w:noProof/>
                <w:webHidden/>
              </w:rPr>
              <w:fldChar w:fldCharType="begin"/>
            </w:r>
            <w:r>
              <w:rPr>
                <w:noProof/>
                <w:webHidden/>
              </w:rPr>
              <w:instrText xml:space="preserve"> PAGEREF _Toc214004367 \h </w:instrText>
            </w:r>
            <w:r>
              <w:rPr>
                <w:noProof/>
                <w:webHidden/>
              </w:rPr>
            </w:r>
            <w:r>
              <w:rPr>
                <w:noProof/>
                <w:webHidden/>
              </w:rPr>
              <w:fldChar w:fldCharType="separate"/>
            </w:r>
            <w:r>
              <w:rPr>
                <w:noProof/>
                <w:webHidden/>
              </w:rPr>
              <w:t>43</w:t>
            </w:r>
            <w:r>
              <w:rPr>
                <w:noProof/>
                <w:webHidden/>
              </w:rPr>
              <w:fldChar w:fldCharType="end"/>
            </w:r>
          </w:hyperlink>
        </w:p>
        <w:p w:rsidR="00F77547" w:rsidRDefault="00F77547" w14:paraId="5963579C" w14:textId="2071C0F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68">
            <w:r w:rsidRPr="004B1EC1">
              <w:rPr>
                <w:rStyle w:val="Hyperlink"/>
                <w:noProof/>
              </w:rPr>
              <w:t>7.3.</w:t>
            </w:r>
            <w:r>
              <w:rPr>
                <w:rFonts w:asciiTheme="minorHAnsi" w:hAnsiTheme="minorHAnsi" w:cstheme="minorBidi"/>
                <w:noProof/>
                <w:kern w:val="2"/>
                <w:sz w:val="24"/>
                <w:szCs w:val="24"/>
                <w14:ligatures w14:val="standardContextual"/>
              </w:rPr>
              <w:tab/>
            </w:r>
            <w:r w:rsidRPr="004B1EC1">
              <w:rPr>
                <w:rStyle w:val="Hyperlink"/>
                <w:noProof/>
              </w:rPr>
              <w:t>PacifiCorp’s Draft Renewables Portfolio Standard Plan</w:t>
            </w:r>
            <w:r>
              <w:rPr>
                <w:noProof/>
                <w:webHidden/>
              </w:rPr>
              <w:tab/>
            </w:r>
            <w:r>
              <w:rPr>
                <w:noProof/>
                <w:webHidden/>
              </w:rPr>
              <w:fldChar w:fldCharType="begin"/>
            </w:r>
            <w:r>
              <w:rPr>
                <w:noProof/>
                <w:webHidden/>
              </w:rPr>
              <w:instrText xml:space="preserve"> PAGEREF _Toc214004368 \h </w:instrText>
            </w:r>
            <w:r>
              <w:rPr>
                <w:noProof/>
                <w:webHidden/>
              </w:rPr>
            </w:r>
            <w:r>
              <w:rPr>
                <w:noProof/>
                <w:webHidden/>
              </w:rPr>
              <w:fldChar w:fldCharType="separate"/>
            </w:r>
            <w:r>
              <w:rPr>
                <w:noProof/>
                <w:webHidden/>
              </w:rPr>
              <w:t>46</w:t>
            </w:r>
            <w:r>
              <w:rPr>
                <w:noProof/>
                <w:webHidden/>
              </w:rPr>
              <w:fldChar w:fldCharType="end"/>
            </w:r>
          </w:hyperlink>
        </w:p>
        <w:p w:rsidR="00F77547" w:rsidRDefault="00F77547" w14:paraId="5324D00A" w14:textId="022CCCE8">
          <w:pPr>
            <w:pStyle w:val="TOC1"/>
            <w:tabs>
              <w:tab w:val="right" w:leader="dot" w:pos="9350"/>
            </w:tabs>
            <w:rPr>
              <w:rFonts w:asciiTheme="minorHAnsi" w:hAnsiTheme="minorHAnsi" w:cstheme="minorBidi"/>
              <w:noProof/>
              <w:kern w:val="2"/>
              <w:sz w:val="24"/>
              <w:szCs w:val="24"/>
              <w14:ligatures w14:val="standardContextual"/>
            </w:rPr>
          </w:pPr>
          <w:hyperlink w:history="1" w:anchor="_Toc214004369">
            <w:r w:rsidRPr="004B1EC1">
              <w:rPr>
                <w:rStyle w:val="Hyperlink"/>
                <w:noProof/>
              </w:rPr>
              <w:t>8.</w:t>
            </w:r>
            <w:r>
              <w:rPr>
                <w:rFonts w:asciiTheme="minorHAnsi" w:hAnsiTheme="minorHAnsi" w:cstheme="minorBidi"/>
                <w:noProof/>
                <w:kern w:val="2"/>
                <w:sz w:val="24"/>
                <w:szCs w:val="24"/>
                <w14:ligatures w14:val="standardContextual"/>
              </w:rPr>
              <w:tab/>
            </w:r>
            <w:r w:rsidRPr="004B1EC1">
              <w:rPr>
                <w:rStyle w:val="Hyperlink"/>
                <w:noProof/>
              </w:rPr>
              <w:t>Community Choice Aggregators and Electric Service Providers</w:t>
            </w:r>
            <w:r>
              <w:rPr>
                <w:noProof/>
                <w:webHidden/>
              </w:rPr>
              <w:tab/>
            </w:r>
            <w:r>
              <w:rPr>
                <w:noProof/>
                <w:webHidden/>
              </w:rPr>
              <w:fldChar w:fldCharType="begin"/>
            </w:r>
            <w:r>
              <w:rPr>
                <w:noProof/>
                <w:webHidden/>
              </w:rPr>
              <w:instrText xml:space="preserve"> PAGEREF _Toc214004369 \h </w:instrText>
            </w:r>
            <w:r>
              <w:rPr>
                <w:noProof/>
                <w:webHidden/>
              </w:rPr>
            </w:r>
            <w:r>
              <w:rPr>
                <w:noProof/>
                <w:webHidden/>
              </w:rPr>
              <w:fldChar w:fldCharType="separate"/>
            </w:r>
            <w:r>
              <w:rPr>
                <w:noProof/>
                <w:webHidden/>
              </w:rPr>
              <w:t>47</w:t>
            </w:r>
            <w:r>
              <w:rPr>
                <w:noProof/>
                <w:webHidden/>
              </w:rPr>
              <w:fldChar w:fldCharType="end"/>
            </w:r>
          </w:hyperlink>
        </w:p>
        <w:p w:rsidR="00F77547" w:rsidRDefault="00F77547" w14:paraId="464DFDB4" w14:textId="04C0154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70">
            <w:r w:rsidRPr="004B1EC1">
              <w:rPr>
                <w:rStyle w:val="Hyperlink"/>
                <w:noProof/>
              </w:rPr>
              <w:t>8.1.</w:t>
            </w:r>
            <w:r>
              <w:rPr>
                <w:rFonts w:asciiTheme="minorHAnsi" w:hAnsiTheme="minorHAnsi" w:cstheme="minorBidi"/>
                <w:noProof/>
                <w:kern w:val="2"/>
                <w:sz w:val="24"/>
                <w:szCs w:val="24"/>
                <w14:ligatures w14:val="standardContextual"/>
              </w:rPr>
              <w:tab/>
            </w:r>
            <w:r w:rsidRPr="004B1EC1">
              <w:rPr>
                <w:rStyle w:val="Hyperlink"/>
                <w:noProof/>
              </w:rPr>
              <w:t>Community Choice Aggregators’ Procurement Needs</w:t>
            </w:r>
            <w:r>
              <w:rPr>
                <w:noProof/>
                <w:webHidden/>
              </w:rPr>
              <w:tab/>
            </w:r>
            <w:r>
              <w:rPr>
                <w:noProof/>
                <w:webHidden/>
              </w:rPr>
              <w:fldChar w:fldCharType="begin"/>
            </w:r>
            <w:r>
              <w:rPr>
                <w:noProof/>
                <w:webHidden/>
              </w:rPr>
              <w:instrText xml:space="preserve"> PAGEREF _Toc214004370 \h </w:instrText>
            </w:r>
            <w:r>
              <w:rPr>
                <w:noProof/>
                <w:webHidden/>
              </w:rPr>
            </w:r>
            <w:r>
              <w:rPr>
                <w:noProof/>
                <w:webHidden/>
              </w:rPr>
              <w:fldChar w:fldCharType="separate"/>
            </w:r>
            <w:r>
              <w:rPr>
                <w:noProof/>
                <w:webHidden/>
              </w:rPr>
              <w:t>47</w:t>
            </w:r>
            <w:r>
              <w:rPr>
                <w:noProof/>
                <w:webHidden/>
              </w:rPr>
              <w:fldChar w:fldCharType="end"/>
            </w:r>
          </w:hyperlink>
        </w:p>
        <w:p w:rsidR="00F77547" w:rsidRDefault="00F77547" w14:paraId="390AB5B6" w14:textId="3E09BCF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71">
            <w:r w:rsidRPr="004B1EC1">
              <w:rPr>
                <w:rStyle w:val="Hyperlink"/>
                <w:noProof/>
              </w:rPr>
              <w:t>8.2.</w:t>
            </w:r>
            <w:r>
              <w:rPr>
                <w:rFonts w:asciiTheme="minorHAnsi" w:hAnsiTheme="minorHAnsi" w:cstheme="minorBidi"/>
                <w:noProof/>
                <w:kern w:val="2"/>
                <w:sz w:val="24"/>
                <w:szCs w:val="24"/>
                <w14:ligatures w14:val="standardContextual"/>
              </w:rPr>
              <w:tab/>
            </w:r>
            <w:r w:rsidRPr="004B1EC1">
              <w:rPr>
                <w:rStyle w:val="Hyperlink"/>
                <w:noProof/>
              </w:rPr>
              <w:t>Electric Service Providers’ Procurement Needs</w:t>
            </w:r>
            <w:r>
              <w:rPr>
                <w:noProof/>
                <w:webHidden/>
              </w:rPr>
              <w:tab/>
            </w:r>
            <w:r>
              <w:rPr>
                <w:noProof/>
                <w:webHidden/>
              </w:rPr>
              <w:fldChar w:fldCharType="begin"/>
            </w:r>
            <w:r>
              <w:rPr>
                <w:noProof/>
                <w:webHidden/>
              </w:rPr>
              <w:instrText xml:space="preserve"> PAGEREF _Toc214004371 \h </w:instrText>
            </w:r>
            <w:r>
              <w:rPr>
                <w:noProof/>
                <w:webHidden/>
              </w:rPr>
            </w:r>
            <w:r>
              <w:rPr>
                <w:noProof/>
                <w:webHidden/>
              </w:rPr>
              <w:fldChar w:fldCharType="separate"/>
            </w:r>
            <w:r>
              <w:rPr>
                <w:noProof/>
                <w:webHidden/>
              </w:rPr>
              <w:t>48</w:t>
            </w:r>
            <w:r>
              <w:rPr>
                <w:noProof/>
                <w:webHidden/>
              </w:rPr>
              <w:fldChar w:fldCharType="end"/>
            </w:r>
          </w:hyperlink>
        </w:p>
        <w:p w:rsidR="00F77547" w:rsidRDefault="00F77547" w14:paraId="6AE9E05B" w14:textId="13D9630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72">
            <w:r w:rsidRPr="004B1EC1">
              <w:rPr>
                <w:rStyle w:val="Hyperlink"/>
                <w:noProof/>
              </w:rPr>
              <w:t>8.3.</w:t>
            </w:r>
            <w:r>
              <w:rPr>
                <w:rFonts w:asciiTheme="minorHAnsi" w:hAnsiTheme="minorHAnsi" w:cstheme="minorBidi"/>
                <w:noProof/>
                <w:kern w:val="2"/>
                <w:sz w:val="24"/>
                <w:szCs w:val="24"/>
                <w14:ligatures w14:val="standardContextual"/>
              </w:rPr>
              <w:tab/>
            </w:r>
            <w:r w:rsidRPr="004B1EC1">
              <w:rPr>
                <w:rStyle w:val="Hyperlink"/>
                <w:noProof/>
              </w:rPr>
              <w:t>Issues to Address in the Final 2025 Community Choice Aggregators’ and Electric Service Providers’ Renewables Portfolio Standard Plans</w:t>
            </w:r>
            <w:r>
              <w:rPr>
                <w:noProof/>
                <w:webHidden/>
              </w:rPr>
              <w:tab/>
            </w:r>
            <w:r>
              <w:rPr>
                <w:noProof/>
                <w:webHidden/>
              </w:rPr>
              <w:fldChar w:fldCharType="begin"/>
            </w:r>
            <w:r>
              <w:rPr>
                <w:noProof/>
                <w:webHidden/>
              </w:rPr>
              <w:instrText xml:space="preserve"> PAGEREF _Toc214004372 \h </w:instrText>
            </w:r>
            <w:r>
              <w:rPr>
                <w:noProof/>
                <w:webHidden/>
              </w:rPr>
            </w:r>
            <w:r>
              <w:rPr>
                <w:noProof/>
                <w:webHidden/>
              </w:rPr>
              <w:fldChar w:fldCharType="separate"/>
            </w:r>
            <w:r>
              <w:rPr>
                <w:noProof/>
                <w:webHidden/>
              </w:rPr>
              <w:t>49</w:t>
            </w:r>
            <w:r>
              <w:rPr>
                <w:noProof/>
                <w:webHidden/>
              </w:rPr>
              <w:fldChar w:fldCharType="end"/>
            </w:r>
          </w:hyperlink>
        </w:p>
        <w:p w:rsidR="00F77547" w:rsidRDefault="00F77547" w14:paraId="2950E9B6" w14:textId="4B6E504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3">
            <w:r w:rsidRPr="004B1EC1">
              <w:rPr>
                <w:rStyle w:val="Hyperlink"/>
                <w:noProof/>
              </w:rPr>
              <w:t>8.3.1.</w:t>
            </w:r>
            <w:r>
              <w:rPr>
                <w:rFonts w:asciiTheme="minorHAnsi" w:hAnsiTheme="minorHAnsi" w:cstheme="minorBidi"/>
                <w:noProof/>
                <w:kern w:val="2"/>
                <w:sz w:val="24"/>
                <w:szCs w:val="24"/>
                <w14:ligatures w14:val="standardContextual"/>
              </w:rPr>
              <w:tab/>
            </w:r>
            <w:r w:rsidRPr="004B1EC1">
              <w:rPr>
                <w:rStyle w:val="Hyperlink"/>
                <w:noProof/>
              </w:rPr>
              <w:t>Portfolio Supply and Demand</w:t>
            </w:r>
            <w:r>
              <w:rPr>
                <w:noProof/>
                <w:webHidden/>
              </w:rPr>
              <w:tab/>
            </w:r>
            <w:r>
              <w:rPr>
                <w:noProof/>
                <w:webHidden/>
              </w:rPr>
              <w:fldChar w:fldCharType="begin"/>
            </w:r>
            <w:r>
              <w:rPr>
                <w:noProof/>
                <w:webHidden/>
              </w:rPr>
              <w:instrText xml:space="preserve"> PAGEREF _Toc214004373 \h </w:instrText>
            </w:r>
            <w:r>
              <w:rPr>
                <w:noProof/>
                <w:webHidden/>
              </w:rPr>
            </w:r>
            <w:r>
              <w:rPr>
                <w:noProof/>
                <w:webHidden/>
              </w:rPr>
              <w:fldChar w:fldCharType="separate"/>
            </w:r>
            <w:r>
              <w:rPr>
                <w:noProof/>
                <w:webHidden/>
              </w:rPr>
              <w:t>49</w:t>
            </w:r>
            <w:r>
              <w:rPr>
                <w:noProof/>
                <w:webHidden/>
              </w:rPr>
              <w:fldChar w:fldCharType="end"/>
            </w:r>
          </w:hyperlink>
        </w:p>
        <w:p w:rsidR="00F77547" w:rsidRDefault="00F77547" w14:paraId="2022BF44" w14:textId="35D1D8E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4">
            <w:r w:rsidRPr="004B1EC1">
              <w:rPr>
                <w:rStyle w:val="Hyperlink"/>
                <w:noProof/>
              </w:rPr>
              <w:t>8.3.2.</w:t>
            </w:r>
            <w:r>
              <w:rPr>
                <w:rFonts w:asciiTheme="minorHAnsi" w:hAnsiTheme="minorHAnsi" w:cstheme="minorBidi"/>
                <w:noProof/>
                <w:kern w:val="2"/>
                <w:sz w:val="24"/>
                <w:szCs w:val="24"/>
                <w14:ligatures w14:val="standardContextual"/>
              </w:rPr>
              <w:tab/>
            </w:r>
            <w:r w:rsidRPr="004B1EC1">
              <w:rPr>
                <w:rStyle w:val="Hyperlink"/>
                <w:noProof/>
              </w:rPr>
              <w:t>Long</w:t>
            </w:r>
            <w:r w:rsidRPr="004B1EC1">
              <w:rPr>
                <w:rStyle w:val="Hyperlink"/>
                <w:noProof/>
              </w:rPr>
              <w:noBreakHyphen/>
              <w:t>Term Procurement</w:t>
            </w:r>
            <w:r>
              <w:rPr>
                <w:noProof/>
                <w:webHidden/>
              </w:rPr>
              <w:tab/>
            </w:r>
            <w:r>
              <w:rPr>
                <w:noProof/>
                <w:webHidden/>
              </w:rPr>
              <w:fldChar w:fldCharType="begin"/>
            </w:r>
            <w:r>
              <w:rPr>
                <w:noProof/>
                <w:webHidden/>
              </w:rPr>
              <w:instrText xml:space="preserve"> PAGEREF _Toc214004374 \h </w:instrText>
            </w:r>
            <w:r>
              <w:rPr>
                <w:noProof/>
                <w:webHidden/>
              </w:rPr>
            </w:r>
            <w:r>
              <w:rPr>
                <w:noProof/>
                <w:webHidden/>
              </w:rPr>
              <w:fldChar w:fldCharType="separate"/>
            </w:r>
            <w:r>
              <w:rPr>
                <w:noProof/>
                <w:webHidden/>
              </w:rPr>
              <w:t>50</w:t>
            </w:r>
            <w:r>
              <w:rPr>
                <w:noProof/>
                <w:webHidden/>
              </w:rPr>
              <w:fldChar w:fldCharType="end"/>
            </w:r>
          </w:hyperlink>
        </w:p>
        <w:p w:rsidR="00F77547" w:rsidRDefault="00F77547" w14:paraId="70104680" w14:textId="4742150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5">
            <w:r w:rsidRPr="004B1EC1">
              <w:rPr>
                <w:rStyle w:val="Hyperlink"/>
                <w:noProof/>
              </w:rPr>
              <w:t>8.3.3.</w:t>
            </w:r>
            <w:r>
              <w:rPr>
                <w:rFonts w:asciiTheme="minorHAnsi" w:hAnsiTheme="minorHAnsi" w:cstheme="minorBidi"/>
                <w:noProof/>
                <w:kern w:val="2"/>
                <w:sz w:val="24"/>
                <w:szCs w:val="24"/>
                <w14:ligatures w14:val="standardContextual"/>
              </w:rPr>
              <w:tab/>
            </w:r>
            <w:r w:rsidRPr="004B1EC1">
              <w:rPr>
                <w:rStyle w:val="Hyperlink"/>
                <w:noProof/>
              </w:rPr>
              <w:t>Forecasting for Increased Transportation Electrification</w:t>
            </w:r>
            <w:r>
              <w:rPr>
                <w:noProof/>
                <w:webHidden/>
              </w:rPr>
              <w:tab/>
            </w:r>
            <w:r>
              <w:rPr>
                <w:noProof/>
                <w:webHidden/>
              </w:rPr>
              <w:fldChar w:fldCharType="begin"/>
            </w:r>
            <w:r>
              <w:rPr>
                <w:noProof/>
                <w:webHidden/>
              </w:rPr>
              <w:instrText xml:space="preserve"> PAGEREF _Toc214004375 \h </w:instrText>
            </w:r>
            <w:r>
              <w:rPr>
                <w:noProof/>
                <w:webHidden/>
              </w:rPr>
            </w:r>
            <w:r>
              <w:rPr>
                <w:noProof/>
                <w:webHidden/>
              </w:rPr>
              <w:fldChar w:fldCharType="separate"/>
            </w:r>
            <w:r>
              <w:rPr>
                <w:noProof/>
                <w:webHidden/>
              </w:rPr>
              <w:t>52</w:t>
            </w:r>
            <w:r>
              <w:rPr>
                <w:noProof/>
                <w:webHidden/>
              </w:rPr>
              <w:fldChar w:fldCharType="end"/>
            </w:r>
          </w:hyperlink>
        </w:p>
        <w:p w:rsidR="00F77547" w:rsidRDefault="00F77547" w14:paraId="3B6DA28C" w14:textId="549E7C5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6">
            <w:r w:rsidRPr="004B1EC1">
              <w:rPr>
                <w:rStyle w:val="Hyperlink"/>
                <w:noProof/>
              </w:rPr>
              <w:t>8.3.4.</w:t>
            </w:r>
            <w:r>
              <w:rPr>
                <w:rFonts w:asciiTheme="minorHAnsi" w:hAnsiTheme="minorHAnsi" w:cstheme="minorBidi"/>
                <w:noProof/>
                <w:kern w:val="2"/>
                <w:sz w:val="24"/>
                <w:szCs w:val="24"/>
                <w14:ligatures w14:val="standardContextual"/>
              </w:rPr>
              <w:tab/>
            </w:r>
            <w:r w:rsidRPr="004B1EC1">
              <w:rPr>
                <w:rStyle w:val="Hyperlink"/>
                <w:noProof/>
              </w:rPr>
              <w:t>Portfolio Optimization</w:t>
            </w:r>
            <w:r>
              <w:rPr>
                <w:noProof/>
                <w:webHidden/>
              </w:rPr>
              <w:tab/>
            </w:r>
            <w:r>
              <w:rPr>
                <w:noProof/>
                <w:webHidden/>
              </w:rPr>
              <w:fldChar w:fldCharType="begin"/>
            </w:r>
            <w:r>
              <w:rPr>
                <w:noProof/>
                <w:webHidden/>
              </w:rPr>
              <w:instrText xml:space="preserve"> PAGEREF _Toc214004376 \h </w:instrText>
            </w:r>
            <w:r>
              <w:rPr>
                <w:noProof/>
                <w:webHidden/>
              </w:rPr>
            </w:r>
            <w:r>
              <w:rPr>
                <w:noProof/>
                <w:webHidden/>
              </w:rPr>
              <w:fldChar w:fldCharType="separate"/>
            </w:r>
            <w:r>
              <w:rPr>
                <w:noProof/>
                <w:webHidden/>
              </w:rPr>
              <w:t>54</w:t>
            </w:r>
            <w:r>
              <w:rPr>
                <w:noProof/>
                <w:webHidden/>
              </w:rPr>
              <w:fldChar w:fldCharType="end"/>
            </w:r>
          </w:hyperlink>
        </w:p>
        <w:p w:rsidR="00F77547" w:rsidRDefault="00F77547" w14:paraId="7801AD0C" w14:textId="5CF75A4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7">
            <w:r w:rsidRPr="004B1EC1">
              <w:rPr>
                <w:rStyle w:val="Hyperlink"/>
                <w:noProof/>
              </w:rPr>
              <w:t>8.3.5.</w:t>
            </w:r>
            <w:r>
              <w:rPr>
                <w:rFonts w:asciiTheme="minorHAnsi" w:hAnsiTheme="minorHAnsi" w:cstheme="minorBidi"/>
                <w:noProof/>
                <w:kern w:val="2"/>
                <w:sz w:val="24"/>
                <w:szCs w:val="24"/>
                <w14:ligatures w14:val="standardContextual"/>
              </w:rPr>
              <w:tab/>
            </w:r>
            <w:r w:rsidRPr="004B1EC1">
              <w:rPr>
                <w:rStyle w:val="Hyperlink"/>
                <w:noProof/>
              </w:rPr>
              <w:t>Project Development Status Update</w:t>
            </w:r>
            <w:r>
              <w:rPr>
                <w:noProof/>
                <w:webHidden/>
              </w:rPr>
              <w:tab/>
            </w:r>
            <w:r>
              <w:rPr>
                <w:noProof/>
                <w:webHidden/>
              </w:rPr>
              <w:fldChar w:fldCharType="begin"/>
            </w:r>
            <w:r>
              <w:rPr>
                <w:noProof/>
                <w:webHidden/>
              </w:rPr>
              <w:instrText xml:space="preserve"> PAGEREF _Toc214004377 \h </w:instrText>
            </w:r>
            <w:r>
              <w:rPr>
                <w:noProof/>
                <w:webHidden/>
              </w:rPr>
            </w:r>
            <w:r>
              <w:rPr>
                <w:noProof/>
                <w:webHidden/>
              </w:rPr>
              <w:fldChar w:fldCharType="separate"/>
            </w:r>
            <w:r>
              <w:rPr>
                <w:noProof/>
                <w:webHidden/>
              </w:rPr>
              <w:t>55</w:t>
            </w:r>
            <w:r>
              <w:rPr>
                <w:noProof/>
                <w:webHidden/>
              </w:rPr>
              <w:fldChar w:fldCharType="end"/>
            </w:r>
          </w:hyperlink>
        </w:p>
        <w:p w:rsidR="00F77547" w:rsidRDefault="00F77547" w14:paraId="73589D8B" w14:textId="1BCFBE4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8">
            <w:r w:rsidRPr="004B1EC1">
              <w:rPr>
                <w:rStyle w:val="Hyperlink"/>
                <w:noProof/>
              </w:rPr>
              <w:t>8.3.6.</w:t>
            </w:r>
            <w:r>
              <w:rPr>
                <w:rFonts w:asciiTheme="minorHAnsi" w:hAnsiTheme="minorHAnsi" w:cstheme="minorBidi"/>
                <w:noProof/>
                <w:kern w:val="2"/>
                <w:sz w:val="24"/>
                <w:szCs w:val="24"/>
                <w14:ligatures w14:val="standardContextual"/>
              </w:rPr>
              <w:tab/>
            </w:r>
            <w:r w:rsidRPr="004B1EC1">
              <w:rPr>
                <w:rStyle w:val="Hyperlink"/>
                <w:noProof/>
              </w:rPr>
              <w:t>Potential Compliance Delays</w:t>
            </w:r>
            <w:r>
              <w:rPr>
                <w:noProof/>
                <w:webHidden/>
              </w:rPr>
              <w:tab/>
            </w:r>
            <w:r>
              <w:rPr>
                <w:noProof/>
                <w:webHidden/>
              </w:rPr>
              <w:fldChar w:fldCharType="begin"/>
            </w:r>
            <w:r>
              <w:rPr>
                <w:noProof/>
                <w:webHidden/>
              </w:rPr>
              <w:instrText xml:space="preserve"> PAGEREF _Toc214004378 \h </w:instrText>
            </w:r>
            <w:r>
              <w:rPr>
                <w:noProof/>
                <w:webHidden/>
              </w:rPr>
            </w:r>
            <w:r>
              <w:rPr>
                <w:noProof/>
                <w:webHidden/>
              </w:rPr>
              <w:fldChar w:fldCharType="separate"/>
            </w:r>
            <w:r>
              <w:rPr>
                <w:noProof/>
                <w:webHidden/>
              </w:rPr>
              <w:t>56</w:t>
            </w:r>
            <w:r>
              <w:rPr>
                <w:noProof/>
                <w:webHidden/>
              </w:rPr>
              <w:fldChar w:fldCharType="end"/>
            </w:r>
          </w:hyperlink>
        </w:p>
        <w:p w:rsidR="00F77547" w:rsidRDefault="00F77547" w14:paraId="29A0C4D3" w14:textId="58EDAD2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79">
            <w:r w:rsidRPr="004B1EC1">
              <w:rPr>
                <w:rStyle w:val="Hyperlink"/>
                <w:noProof/>
              </w:rPr>
              <w:t>8.3.7.</w:t>
            </w:r>
            <w:r>
              <w:rPr>
                <w:rFonts w:asciiTheme="minorHAnsi" w:hAnsiTheme="minorHAnsi" w:cstheme="minorBidi"/>
                <w:noProof/>
                <w:kern w:val="2"/>
                <w:sz w:val="24"/>
                <w:szCs w:val="24"/>
                <w14:ligatures w14:val="standardContextual"/>
              </w:rPr>
              <w:tab/>
            </w:r>
            <w:r w:rsidRPr="004B1EC1">
              <w:rPr>
                <w:rStyle w:val="Hyperlink"/>
                <w:noProof/>
              </w:rPr>
              <w:t>Risk Assessment</w:t>
            </w:r>
            <w:r>
              <w:rPr>
                <w:noProof/>
                <w:webHidden/>
              </w:rPr>
              <w:tab/>
            </w:r>
            <w:r>
              <w:rPr>
                <w:noProof/>
                <w:webHidden/>
              </w:rPr>
              <w:fldChar w:fldCharType="begin"/>
            </w:r>
            <w:r>
              <w:rPr>
                <w:noProof/>
                <w:webHidden/>
              </w:rPr>
              <w:instrText xml:space="preserve"> PAGEREF _Toc214004379 \h </w:instrText>
            </w:r>
            <w:r>
              <w:rPr>
                <w:noProof/>
                <w:webHidden/>
              </w:rPr>
            </w:r>
            <w:r>
              <w:rPr>
                <w:noProof/>
                <w:webHidden/>
              </w:rPr>
              <w:fldChar w:fldCharType="separate"/>
            </w:r>
            <w:r>
              <w:rPr>
                <w:noProof/>
                <w:webHidden/>
              </w:rPr>
              <w:t>57</w:t>
            </w:r>
            <w:r>
              <w:rPr>
                <w:noProof/>
                <w:webHidden/>
              </w:rPr>
              <w:fldChar w:fldCharType="end"/>
            </w:r>
          </w:hyperlink>
        </w:p>
        <w:p w:rsidR="00F77547" w:rsidRDefault="00F77547" w14:paraId="17AB98B7" w14:textId="31F9769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80">
            <w:r w:rsidRPr="004B1EC1">
              <w:rPr>
                <w:rStyle w:val="Hyperlink"/>
                <w:noProof/>
              </w:rPr>
              <w:t>8.3.8.</w:t>
            </w:r>
            <w:r>
              <w:rPr>
                <w:rFonts w:asciiTheme="minorHAnsi" w:hAnsiTheme="minorHAnsi" w:cstheme="minorBidi"/>
                <w:noProof/>
                <w:kern w:val="2"/>
                <w:sz w:val="24"/>
                <w:szCs w:val="24"/>
                <w14:ligatures w14:val="standardContextual"/>
              </w:rPr>
              <w:tab/>
            </w:r>
            <w:r w:rsidRPr="004B1EC1">
              <w:rPr>
                <w:rStyle w:val="Hyperlink"/>
                <w:noProof/>
              </w:rPr>
              <w:t>Lessons Learned — Risk Assessment</w:t>
            </w:r>
            <w:r>
              <w:rPr>
                <w:noProof/>
                <w:webHidden/>
              </w:rPr>
              <w:tab/>
            </w:r>
            <w:r>
              <w:rPr>
                <w:noProof/>
                <w:webHidden/>
              </w:rPr>
              <w:fldChar w:fldCharType="begin"/>
            </w:r>
            <w:r>
              <w:rPr>
                <w:noProof/>
                <w:webHidden/>
              </w:rPr>
              <w:instrText xml:space="preserve"> PAGEREF _Toc214004380 \h </w:instrText>
            </w:r>
            <w:r>
              <w:rPr>
                <w:noProof/>
                <w:webHidden/>
              </w:rPr>
            </w:r>
            <w:r>
              <w:rPr>
                <w:noProof/>
                <w:webHidden/>
              </w:rPr>
              <w:fldChar w:fldCharType="separate"/>
            </w:r>
            <w:r>
              <w:rPr>
                <w:noProof/>
                <w:webHidden/>
              </w:rPr>
              <w:t>57</w:t>
            </w:r>
            <w:r>
              <w:rPr>
                <w:noProof/>
                <w:webHidden/>
              </w:rPr>
              <w:fldChar w:fldCharType="end"/>
            </w:r>
          </w:hyperlink>
        </w:p>
        <w:p w:rsidR="00F77547" w:rsidRDefault="00F77547" w14:paraId="2D0E5197" w14:textId="3133330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4004381">
            <w:r w:rsidRPr="004B1EC1">
              <w:rPr>
                <w:rStyle w:val="Hyperlink"/>
                <w:noProof/>
              </w:rPr>
              <w:t>8.3.9.</w:t>
            </w:r>
            <w:r>
              <w:rPr>
                <w:rFonts w:asciiTheme="minorHAnsi" w:hAnsiTheme="minorHAnsi" w:cstheme="minorBidi"/>
                <w:noProof/>
                <w:kern w:val="2"/>
                <w:sz w:val="24"/>
                <w:szCs w:val="24"/>
                <w14:ligatures w14:val="standardContextual"/>
              </w:rPr>
              <w:tab/>
            </w:r>
            <w:r w:rsidRPr="004B1EC1">
              <w:rPr>
                <w:rStyle w:val="Hyperlink"/>
                <w:noProof/>
              </w:rPr>
              <w:t>Renewable Net Short Calculations</w:t>
            </w:r>
            <w:r>
              <w:rPr>
                <w:noProof/>
                <w:webHidden/>
              </w:rPr>
              <w:tab/>
            </w:r>
            <w:r>
              <w:rPr>
                <w:noProof/>
                <w:webHidden/>
              </w:rPr>
              <w:fldChar w:fldCharType="begin"/>
            </w:r>
            <w:r>
              <w:rPr>
                <w:noProof/>
                <w:webHidden/>
              </w:rPr>
              <w:instrText xml:space="preserve"> PAGEREF _Toc214004381 \h </w:instrText>
            </w:r>
            <w:r>
              <w:rPr>
                <w:noProof/>
                <w:webHidden/>
              </w:rPr>
            </w:r>
            <w:r>
              <w:rPr>
                <w:noProof/>
                <w:webHidden/>
              </w:rPr>
              <w:fldChar w:fldCharType="separate"/>
            </w:r>
            <w:r>
              <w:rPr>
                <w:noProof/>
                <w:webHidden/>
              </w:rPr>
              <w:t>58</w:t>
            </w:r>
            <w:r>
              <w:rPr>
                <w:noProof/>
                <w:webHidden/>
              </w:rPr>
              <w:fldChar w:fldCharType="end"/>
            </w:r>
          </w:hyperlink>
        </w:p>
        <w:p w:rsidR="00F77547" w:rsidRDefault="00F77547" w14:paraId="195CCEAC" w14:textId="7DF48E6E">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4004382">
            <w:r w:rsidRPr="004B1EC1">
              <w:rPr>
                <w:rStyle w:val="Hyperlink"/>
                <w:noProof/>
              </w:rPr>
              <w:t>8.3.10.</w:t>
            </w:r>
            <w:r>
              <w:rPr>
                <w:rFonts w:asciiTheme="minorHAnsi" w:hAnsiTheme="minorHAnsi" w:cstheme="minorBidi"/>
                <w:noProof/>
                <w:kern w:val="2"/>
                <w:sz w:val="24"/>
                <w:szCs w:val="24"/>
                <w14:ligatures w14:val="standardContextual"/>
              </w:rPr>
              <w:tab/>
            </w:r>
            <w:r w:rsidRPr="004B1EC1">
              <w:rPr>
                <w:rStyle w:val="Hyperlink"/>
                <w:noProof/>
              </w:rPr>
              <w:t>Minimum Margin of Procurement</w:t>
            </w:r>
            <w:r>
              <w:rPr>
                <w:noProof/>
                <w:webHidden/>
              </w:rPr>
              <w:tab/>
            </w:r>
            <w:r>
              <w:rPr>
                <w:noProof/>
                <w:webHidden/>
              </w:rPr>
              <w:fldChar w:fldCharType="begin"/>
            </w:r>
            <w:r>
              <w:rPr>
                <w:noProof/>
                <w:webHidden/>
              </w:rPr>
              <w:instrText xml:space="preserve"> PAGEREF _Toc214004382 \h </w:instrText>
            </w:r>
            <w:r>
              <w:rPr>
                <w:noProof/>
                <w:webHidden/>
              </w:rPr>
            </w:r>
            <w:r>
              <w:rPr>
                <w:noProof/>
                <w:webHidden/>
              </w:rPr>
              <w:fldChar w:fldCharType="separate"/>
            </w:r>
            <w:r>
              <w:rPr>
                <w:noProof/>
                <w:webHidden/>
              </w:rPr>
              <w:t>61</w:t>
            </w:r>
            <w:r>
              <w:rPr>
                <w:noProof/>
                <w:webHidden/>
              </w:rPr>
              <w:fldChar w:fldCharType="end"/>
            </w:r>
          </w:hyperlink>
        </w:p>
        <w:p w:rsidR="00F77547" w:rsidRDefault="00F77547" w14:paraId="18715489" w14:textId="36952341">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4004383">
            <w:r w:rsidRPr="004B1EC1">
              <w:rPr>
                <w:rStyle w:val="Hyperlink"/>
                <w:noProof/>
              </w:rPr>
              <w:t>8.3.11.</w:t>
            </w:r>
            <w:r>
              <w:rPr>
                <w:rFonts w:asciiTheme="minorHAnsi" w:hAnsiTheme="minorHAnsi" w:cstheme="minorBidi"/>
                <w:noProof/>
                <w:kern w:val="2"/>
                <w:sz w:val="24"/>
                <w:szCs w:val="24"/>
                <w14:ligatures w14:val="standardContextual"/>
              </w:rPr>
              <w:tab/>
            </w:r>
            <w:r w:rsidRPr="004B1EC1">
              <w:rPr>
                <w:rStyle w:val="Hyperlink"/>
                <w:noProof/>
              </w:rPr>
              <w:t>Bid Solicitation Protocols</w:t>
            </w:r>
            <w:r>
              <w:rPr>
                <w:noProof/>
                <w:webHidden/>
              </w:rPr>
              <w:tab/>
            </w:r>
            <w:r>
              <w:rPr>
                <w:noProof/>
                <w:webHidden/>
              </w:rPr>
              <w:fldChar w:fldCharType="begin"/>
            </w:r>
            <w:r>
              <w:rPr>
                <w:noProof/>
                <w:webHidden/>
              </w:rPr>
              <w:instrText xml:space="preserve"> PAGEREF _Toc214004383 \h </w:instrText>
            </w:r>
            <w:r>
              <w:rPr>
                <w:noProof/>
                <w:webHidden/>
              </w:rPr>
            </w:r>
            <w:r>
              <w:rPr>
                <w:noProof/>
                <w:webHidden/>
              </w:rPr>
              <w:fldChar w:fldCharType="separate"/>
            </w:r>
            <w:r>
              <w:rPr>
                <w:noProof/>
                <w:webHidden/>
              </w:rPr>
              <w:t>62</w:t>
            </w:r>
            <w:r>
              <w:rPr>
                <w:noProof/>
                <w:webHidden/>
              </w:rPr>
              <w:fldChar w:fldCharType="end"/>
            </w:r>
          </w:hyperlink>
        </w:p>
        <w:p w:rsidR="00F77547" w:rsidRDefault="00F77547" w14:paraId="4EC4BA26" w14:textId="5CE0CA03">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4004384">
            <w:r w:rsidRPr="004B1EC1">
              <w:rPr>
                <w:rStyle w:val="Hyperlink"/>
                <w:noProof/>
              </w:rPr>
              <w:t>8.3.12.</w:t>
            </w:r>
            <w:r>
              <w:rPr>
                <w:rFonts w:asciiTheme="minorHAnsi" w:hAnsiTheme="minorHAnsi" w:cstheme="minorBidi"/>
                <w:noProof/>
                <w:kern w:val="2"/>
                <w:sz w:val="24"/>
                <w:szCs w:val="24"/>
                <w14:ligatures w14:val="standardContextual"/>
              </w:rPr>
              <w:tab/>
            </w:r>
            <w:r w:rsidRPr="004B1EC1">
              <w:rPr>
                <w:rStyle w:val="Hyperlink"/>
                <w:noProof/>
              </w:rPr>
              <w:t>Solicitation Protocols for Renewables Sales</w:t>
            </w:r>
            <w:r>
              <w:rPr>
                <w:noProof/>
                <w:webHidden/>
              </w:rPr>
              <w:tab/>
            </w:r>
            <w:r>
              <w:rPr>
                <w:noProof/>
                <w:webHidden/>
              </w:rPr>
              <w:fldChar w:fldCharType="begin"/>
            </w:r>
            <w:r>
              <w:rPr>
                <w:noProof/>
                <w:webHidden/>
              </w:rPr>
              <w:instrText xml:space="preserve"> PAGEREF _Toc214004384 \h </w:instrText>
            </w:r>
            <w:r>
              <w:rPr>
                <w:noProof/>
                <w:webHidden/>
              </w:rPr>
            </w:r>
            <w:r>
              <w:rPr>
                <w:noProof/>
                <w:webHidden/>
              </w:rPr>
              <w:fldChar w:fldCharType="separate"/>
            </w:r>
            <w:r>
              <w:rPr>
                <w:noProof/>
                <w:webHidden/>
              </w:rPr>
              <w:t>63</w:t>
            </w:r>
            <w:r>
              <w:rPr>
                <w:noProof/>
                <w:webHidden/>
              </w:rPr>
              <w:fldChar w:fldCharType="end"/>
            </w:r>
          </w:hyperlink>
        </w:p>
        <w:p w:rsidR="00F77547" w:rsidRDefault="00F77547" w14:paraId="6C262E5A" w14:textId="04296162">
          <w:pPr>
            <w:pStyle w:val="TOC1"/>
            <w:tabs>
              <w:tab w:val="right" w:leader="dot" w:pos="9350"/>
            </w:tabs>
            <w:rPr>
              <w:rFonts w:asciiTheme="minorHAnsi" w:hAnsiTheme="minorHAnsi" w:cstheme="minorBidi"/>
              <w:noProof/>
              <w:kern w:val="2"/>
              <w:sz w:val="24"/>
              <w:szCs w:val="24"/>
              <w14:ligatures w14:val="standardContextual"/>
            </w:rPr>
          </w:pPr>
          <w:hyperlink w:history="1" w:anchor="_Toc214004385">
            <w:r w:rsidRPr="004B1EC1">
              <w:rPr>
                <w:rStyle w:val="Hyperlink"/>
                <w:noProof/>
              </w:rPr>
              <w:t>9.</w:t>
            </w:r>
            <w:r>
              <w:rPr>
                <w:rFonts w:asciiTheme="minorHAnsi" w:hAnsiTheme="minorHAnsi" w:cstheme="minorBidi"/>
                <w:noProof/>
                <w:kern w:val="2"/>
                <w:sz w:val="24"/>
                <w:szCs w:val="24"/>
                <w14:ligatures w14:val="standardContextual"/>
              </w:rPr>
              <w:tab/>
            </w:r>
            <w:r w:rsidRPr="004B1EC1">
              <w:rPr>
                <w:rStyle w:val="Hyperlink"/>
                <w:noProof/>
              </w:rPr>
              <w:t>Procedural Matters</w:t>
            </w:r>
            <w:r>
              <w:rPr>
                <w:noProof/>
                <w:webHidden/>
              </w:rPr>
              <w:tab/>
            </w:r>
            <w:r>
              <w:rPr>
                <w:noProof/>
                <w:webHidden/>
              </w:rPr>
              <w:fldChar w:fldCharType="begin"/>
            </w:r>
            <w:r>
              <w:rPr>
                <w:noProof/>
                <w:webHidden/>
              </w:rPr>
              <w:instrText xml:space="preserve"> PAGEREF _Toc214004385 \h </w:instrText>
            </w:r>
            <w:r>
              <w:rPr>
                <w:noProof/>
                <w:webHidden/>
              </w:rPr>
            </w:r>
            <w:r>
              <w:rPr>
                <w:noProof/>
                <w:webHidden/>
              </w:rPr>
              <w:fldChar w:fldCharType="separate"/>
            </w:r>
            <w:r>
              <w:rPr>
                <w:noProof/>
                <w:webHidden/>
              </w:rPr>
              <w:t>64</w:t>
            </w:r>
            <w:r>
              <w:rPr>
                <w:noProof/>
                <w:webHidden/>
              </w:rPr>
              <w:fldChar w:fldCharType="end"/>
            </w:r>
          </w:hyperlink>
        </w:p>
        <w:p w:rsidR="00F77547" w:rsidRDefault="00F77547" w14:paraId="0FCD17C7" w14:textId="31E0B2B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86">
            <w:r w:rsidRPr="004B1EC1">
              <w:rPr>
                <w:rStyle w:val="Hyperlink"/>
                <w:noProof/>
              </w:rPr>
              <w:t>9.1.</w:t>
            </w:r>
            <w:r>
              <w:rPr>
                <w:rFonts w:asciiTheme="minorHAnsi" w:hAnsiTheme="minorHAnsi" w:cstheme="minorBidi"/>
                <w:noProof/>
                <w:kern w:val="2"/>
                <w:sz w:val="24"/>
                <w:szCs w:val="24"/>
                <w14:ligatures w14:val="standardContextual"/>
              </w:rPr>
              <w:tab/>
            </w:r>
            <w:r w:rsidRPr="004B1EC1">
              <w:rPr>
                <w:rStyle w:val="Hyperlink"/>
                <w:noProof/>
              </w:rPr>
              <w:t>Motion to Be Exempt from Filing Renewables Portfolio Standard Plans</w:t>
            </w:r>
            <w:r>
              <w:rPr>
                <w:noProof/>
                <w:webHidden/>
              </w:rPr>
              <w:tab/>
            </w:r>
            <w:r>
              <w:rPr>
                <w:noProof/>
                <w:webHidden/>
              </w:rPr>
              <w:fldChar w:fldCharType="begin"/>
            </w:r>
            <w:r>
              <w:rPr>
                <w:noProof/>
                <w:webHidden/>
              </w:rPr>
              <w:instrText xml:space="preserve"> PAGEREF _Toc214004386 \h </w:instrText>
            </w:r>
            <w:r>
              <w:rPr>
                <w:noProof/>
                <w:webHidden/>
              </w:rPr>
            </w:r>
            <w:r>
              <w:rPr>
                <w:noProof/>
                <w:webHidden/>
              </w:rPr>
              <w:fldChar w:fldCharType="separate"/>
            </w:r>
            <w:r>
              <w:rPr>
                <w:noProof/>
                <w:webHidden/>
              </w:rPr>
              <w:t>64</w:t>
            </w:r>
            <w:r>
              <w:rPr>
                <w:noProof/>
                <w:webHidden/>
              </w:rPr>
              <w:fldChar w:fldCharType="end"/>
            </w:r>
          </w:hyperlink>
        </w:p>
        <w:p w:rsidR="00F77547" w:rsidRDefault="00F77547" w14:paraId="4A15E21E" w14:textId="2B9B371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87">
            <w:r w:rsidRPr="004B1EC1">
              <w:rPr>
                <w:rStyle w:val="Hyperlink"/>
                <w:noProof/>
              </w:rPr>
              <w:t>9.2.</w:t>
            </w:r>
            <w:r>
              <w:rPr>
                <w:rFonts w:asciiTheme="minorHAnsi" w:hAnsiTheme="minorHAnsi" w:cstheme="minorBidi"/>
                <w:noProof/>
                <w:kern w:val="2"/>
                <w:sz w:val="24"/>
                <w:szCs w:val="24"/>
                <w14:ligatures w14:val="standardContextual"/>
              </w:rPr>
              <w:tab/>
            </w:r>
            <w:r w:rsidRPr="004B1EC1">
              <w:rPr>
                <w:rStyle w:val="Hyperlink"/>
                <w:noProof/>
              </w:rPr>
              <w:t>Motion to File Confidential Comments</w:t>
            </w:r>
            <w:r>
              <w:rPr>
                <w:noProof/>
                <w:webHidden/>
              </w:rPr>
              <w:tab/>
            </w:r>
            <w:r>
              <w:rPr>
                <w:noProof/>
                <w:webHidden/>
              </w:rPr>
              <w:fldChar w:fldCharType="begin"/>
            </w:r>
            <w:r>
              <w:rPr>
                <w:noProof/>
                <w:webHidden/>
              </w:rPr>
              <w:instrText xml:space="preserve"> PAGEREF _Toc214004387 \h </w:instrText>
            </w:r>
            <w:r>
              <w:rPr>
                <w:noProof/>
                <w:webHidden/>
              </w:rPr>
            </w:r>
            <w:r>
              <w:rPr>
                <w:noProof/>
                <w:webHidden/>
              </w:rPr>
              <w:fldChar w:fldCharType="separate"/>
            </w:r>
            <w:r>
              <w:rPr>
                <w:noProof/>
                <w:webHidden/>
              </w:rPr>
              <w:t>64</w:t>
            </w:r>
            <w:r>
              <w:rPr>
                <w:noProof/>
                <w:webHidden/>
              </w:rPr>
              <w:fldChar w:fldCharType="end"/>
            </w:r>
          </w:hyperlink>
        </w:p>
        <w:p w:rsidR="00F77547" w:rsidRDefault="00F77547" w14:paraId="449074E9" w14:textId="19A9A0F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88">
            <w:r w:rsidRPr="004B1EC1">
              <w:rPr>
                <w:rStyle w:val="Hyperlink"/>
                <w:noProof/>
              </w:rPr>
              <w:t>9.3.</w:t>
            </w:r>
            <w:r>
              <w:rPr>
                <w:rFonts w:asciiTheme="minorHAnsi" w:hAnsiTheme="minorHAnsi" w:cstheme="minorBidi"/>
                <w:noProof/>
                <w:kern w:val="2"/>
                <w:sz w:val="24"/>
                <w:szCs w:val="24"/>
                <w14:ligatures w14:val="standardContextual"/>
              </w:rPr>
              <w:tab/>
            </w:r>
            <w:r w:rsidRPr="004B1EC1">
              <w:rPr>
                <w:rStyle w:val="Hyperlink"/>
                <w:noProof/>
              </w:rPr>
              <w:t>Southern California Edison Company’s and San Diego Gas &amp; Electric Company’s Motions to Update Plans and Motions to File Under Seal; Cal Advocates’ Motion to File Under Seal</w:t>
            </w:r>
            <w:r>
              <w:rPr>
                <w:noProof/>
                <w:webHidden/>
              </w:rPr>
              <w:tab/>
            </w:r>
            <w:r>
              <w:rPr>
                <w:noProof/>
                <w:webHidden/>
              </w:rPr>
              <w:fldChar w:fldCharType="begin"/>
            </w:r>
            <w:r>
              <w:rPr>
                <w:noProof/>
                <w:webHidden/>
              </w:rPr>
              <w:instrText xml:space="preserve"> PAGEREF _Toc214004388 \h </w:instrText>
            </w:r>
            <w:r>
              <w:rPr>
                <w:noProof/>
                <w:webHidden/>
              </w:rPr>
            </w:r>
            <w:r>
              <w:rPr>
                <w:noProof/>
                <w:webHidden/>
              </w:rPr>
              <w:fldChar w:fldCharType="separate"/>
            </w:r>
            <w:r>
              <w:rPr>
                <w:noProof/>
                <w:webHidden/>
              </w:rPr>
              <w:t>65</w:t>
            </w:r>
            <w:r>
              <w:rPr>
                <w:noProof/>
                <w:webHidden/>
              </w:rPr>
              <w:fldChar w:fldCharType="end"/>
            </w:r>
          </w:hyperlink>
        </w:p>
        <w:p w:rsidR="00F77547" w:rsidRDefault="00F77547" w14:paraId="74E1EA94" w14:textId="7EA80DF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4004389">
            <w:r w:rsidRPr="004B1EC1">
              <w:rPr>
                <w:rStyle w:val="Hyperlink"/>
                <w:noProof/>
              </w:rPr>
              <w:t>9.4.</w:t>
            </w:r>
            <w:r>
              <w:rPr>
                <w:rFonts w:asciiTheme="minorHAnsi" w:hAnsiTheme="minorHAnsi" w:cstheme="minorBidi"/>
                <w:noProof/>
                <w:kern w:val="2"/>
                <w:sz w:val="24"/>
                <w:szCs w:val="24"/>
                <w14:ligatures w14:val="standardContextual"/>
              </w:rPr>
              <w:tab/>
            </w:r>
            <w:r w:rsidRPr="004B1EC1">
              <w:rPr>
                <w:rStyle w:val="Hyperlink"/>
                <w:noProof/>
              </w:rPr>
              <w:t>Motions for Confidentiality — 2025 Draft Renewables Portfolio Standard Plans</w:t>
            </w:r>
            <w:r>
              <w:rPr>
                <w:noProof/>
                <w:webHidden/>
              </w:rPr>
              <w:tab/>
            </w:r>
            <w:r>
              <w:rPr>
                <w:noProof/>
                <w:webHidden/>
              </w:rPr>
              <w:fldChar w:fldCharType="begin"/>
            </w:r>
            <w:r>
              <w:rPr>
                <w:noProof/>
                <w:webHidden/>
              </w:rPr>
              <w:instrText xml:space="preserve"> PAGEREF _Toc214004389 \h </w:instrText>
            </w:r>
            <w:r>
              <w:rPr>
                <w:noProof/>
                <w:webHidden/>
              </w:rPr>
            </w:r>
            <w:r>
              <w:rPr>
                <w:noProof/>
                <w:webHidden/>
              </w:rPr>
              <w:fldChar w:fldCharType="separate"/>
            </w:r>
            <w:r>
              <w:rPr>
                <w:noProof/>
                <w:webHidden/>
              </w:rPr>
              <w:t>67</w:t>
            </w:r>
            <w:r>
              <w:rPr>
                <w:noProof/>
                <w:webHidden/>
              </w:rPr>
              <w:fldChar w:fldCharType="end"/>
            </w:r>
          </w:hyperlink>
        </w:p>
        <w:p w:rsidR="00F77547" w:rsidRDefault="00F77547" w14:paraId="19F12B1A" w14:textId="3A6E36A3">
          <w:pPr>
            <w:pStyle w:val="TOC1"/>
            <w:tabs>
              <w:tab w:val="right" w:leader="dot" w:pos="9350"/>
            </w:tabs>
            <w:rPr>
              <w:rFonts w:asciiTheme="minorHAnsi" w:hAnsiTheme="minorHAnsi" w:cstheme="minorBidi"/>
              <w:noProof/>
              <w:kern w:val="2"/>
              <w:sz w:val="24"/>
              <w:szCs w:val="24"/>
              <w14:ligatures w14:val="standardContextual"/>
            </w:rPr>
          </w:pPr>
          <w:hyperlink w:history="1" w:anchor="_Toc214004390">
            <w:r w:rsidRPr="004B1EC1">
              <w:rPr>
                <w:rStyle w:val="Hyperlink"/>
                <w:noProof/>
              </w:rPr>
              <w:t>10.</w:t>
            </w:r>
            <w:r>
              <w:rPr>
                <w:rFonts w:asciiTheme="minorHAnsi" w:hAnsiTheme="minorHAnsi" w:cstheme="minorBidi"/>
                <w:noProof/>
                <w:kern w:val="2"/>
                <w:sz w:val="24"/>
                <w:szCs w:val="24"/>
                <w14:ligatures w14:val="standardContextual"/>
              </w:rPr>
              <w:tab/>
            </w:r>
            <w:r w:rsidRPr="004B1EC1">
              <w:rPr>
                <w:rStyle w:val="Hyperlink"/>
                <w:noProof/>
              </w:rPr>
              <w:t>Summary of Public Comments</w:t>
            </w:r>
            <w:r>
              <w:rPr>
                <w:noProof/>
                <w:webHidden/>
              </w:rPr>
              <w:tab/>
            </w:r>
            <w:r>
              <w:rPr>
                <w:noProof/>
                <w:webHidden/>
              </w:rPr>
              <w:fldChar w:fldCharType="begin"/>
            </w:r>
            <w:r>
              <w:rPr>
                <w:noProof/>
                <w:webHidden/>
              </w:rPr>
              <w:instrText xml:space="preserve"> PAGEREF _Toc214004390 \h </w:instrText>
            </w:r>
            <w:r>
              <w:rPr>
                <w:noProof/>
                <w:webHidden/>
              </w:rPr>
            </w:r>
            <w:r>
              <w:rPr>
                <w:noProof/>
                <w:webHidden/>
              </w:rPr>
              <w:fldChar w:fldCharType="separate"/>
            </w:r>
            <w:r>
              <w:rPr>
                <w:noProof/>
                <w:webHidden/>
              </w:rPr>
              <w:t>74</w:t>
            </w:r>
            <w:r>
              <w:rPr>
                <w:noProof/>
                <w:webHidden/>
              </w:rPr>
              <w:fldChar w:fldCharType="end"/>
            </w:r>
          </w:hyperlink>
        </w:p>
        <w:p w:rsidR="00F77547" w:rsidRDefault="00F77547" w14:paraId="540F3752" w14:textId="08EEB73C">
          <w:pPr>
            <w:pStyle w:val="TOC1"/>
            <w:tabs>
              <w:tab w:val="right" w:leader="dot" w:pos="9350"/>
            </w:tabs>
            <w:rPr>
              <w:rFonts w:asciiTheme="minorHAnsi" w:hAnsiTheme="minorHAnsi" w:cstheme="minorBidi"/>
              <w:noProof/>
              <w:kern w:val="2"/>
              <w:sz w:val="24"/>
              <w:szCs w:val="24"/>
              <w14:ligatures w14:val="standardContextual"/>
            </w:rPr>
          </w:pPr>
          <w:hyperlink w:history="1" w:anchor="_Toc214004391">
            <w:r w:rsidRPr="004B1EC1">
              <w:rPr>
                <w:rStyle w:val="Hyperlink"/>
                <w:noProof/>
              </w:rPr>
              <w:t>11.</w:t>
            </w:r>
            <w:r>
              <w:rPr>
                <w:rFonts w:asciiTheme="minorHAnsi" w:hAnsiTheme="minorHAnsi" w:cstheme="minorBidi"/>
                <w:noProof/>
                <w:kern w:val="2"/>
                <w:sz w:val="24"/>
                <w:szCs w:val="24"/>
                <w14:ligatures w14:val="standardContextual"/>
              </w:rPr>
              <w:tab/>
            </w:r>
            <w:r w:rsidRPr="004B1EC1">
              <w:rPr>
                <w:rStyle w:val="Hyperlink"/>
                <w:noProof/>
              </w:rPr>
              <w:t>Comments on Proposed Decision</w:t>
            </w:r>
            <w:r>
              <w:rPr>
                <w:noProof/>
                <w:webHidden/>
              </w:rPr>
              <w:tab/>
            </w:r>
            <w:r>
              <w:rPr>
                <w:noProof/>
                <w:webHidden/>
              </w:rPr>
              <w:fldChar w:fldCharType="begin"/>
            </w:r>
            <w:r>
              <w:rPr>
                <w:noProof/>
                <w:webHidden/>
              </w:rPr>
              <w:instrText xml:space="preserve"> PAGEREF _Toc214004391 \h </w:instrText>
            </w:r>
            <w:r>
              <w:rPr>
                <w:noProof/>
                <w:webHidden/>
              </w:rPr>
            </w:r>
            <w:r>
              <w:rPr>
                <w:noProof/>
                <w:webHidden/>
              </w:rPr>
              <w:fldChar w:fldCharType="separate"/>
            </w:r>
            <w:r>
              <w:rPr>
                <w:noProof/>
                <w:webHidden/>
              </w:rPr>
              <w:t>74</w:t>
            </w:r>
            <w:r>
              <w:rPr>
                <w:noProof/>
                <w:webHidden/>
              </w:rPr>
              <w:fldChar w:fldCharType="end"/>
            </w:r>
          </w:hyperlink>
        </w:p>
        <w:p w:rsidR="00F77547" w:rsidRDefault="00F77547" w14:paraId="66CA2B70" w14:textId="75179BF8">
          <w:pPr>
            <w:pStyle w:val="TOC1"/>
            <w:tabs>
              <w:tab w:val="right" w:leader="dot" w:pos="9350"/>
            </w:tabs>
            <w:rPr>
              <w:rFonts w:asciiTheme="minorHAnsi" w:hAnsiTheme="minorHAnsi" w:cstheme="minorBidi"/>
              <w:noProof/>
              <w:kern w:val="2"/>
              <w:sz w:val="24"/>
              <w:szCs w:val="24"/>
              <w14:ligatures w14:val="standardContextual"/>
            </w:rPr>
          </w:pPr>
          <w:hyperlink w:history="1" w:anchor="_Toc214004392">
            <w:r w:rsidRPr="004B1EC1">
              <w:rPr>
                <w:rStyle w:val="Hyperlink"/>
                <w:noProof/>
              </w:rPr>
              <w:t>12.</w:t>
            </w:r>
            <w:r>
              <w:rPr>
                <w:rFonts w:asciiTheme="minorHAnsi" w:hAnsiTheme="minorHAnsi" w:cstheme="minorBidi"/>
                <w:noProof/>
                <w:kern w:val="2"/>
                <w:sz w:val="24"/>
                <w:szCs w:val="24"/>
                <w14:ligatures w14:val="standardContextual"/>
              </w:rPr>
              <w:tab/>
            </w:r>
            <w:r w:rsidRPr="004B1EC1">
              <w:rPr>
                <w:rStyle w:val="Hyperlink"/>
                <w:noProof/>
              </w:rPr>
              <w:t>Assignment of Proceeding</w:t>
            </w:r>
            <w:r>
              <w:rPr>
                <w:noProof/>
                <w:webHidden/>
              </w:rPr>
              <w:tab/>
            </w:r>
            <w:r>
              <w:rPr>
                <w:noProof/>
                <w:webHidden/>
              </w:rPr>
              <w:fldChar w:fldCharType="begin"/>
            </w:r>
            <w:r>
              <w:rPr>
                <w:noProof/>
                <w:webHidden/>
              </w:rPr>
              <w:instrText xml:space="preserve"> PAGEREF _Toc214004392 \h </w:instrText>
            </w:r>
            <w:r>
              <w:rPr>
                <w:noProof/>
                <w:webHidden/>
              </w:rPr>
            </w:r>
            <w:r>
              <w:rPr>
                <w:noProof/>
                <w:webHidden/>
              </w:rPr>
              <w:fldChar w:fldCharType="separate"/>
            </w:r>
            <w:r>
              <w:rPr>
                <w:noProof/>
                <w:webHidden/>
              </w:rPr>
              <w:t>74</w:t>
            </w:r>
            <w:r>
              <w:rPr>
                <w:noProof/>
                <w:webHidden/>
              </w:rPr>
              <w:fldChar w:fldCharType="end"/>
            </w:r>
          </w:hyperlink>
        </w:p>
        <w:p w:rsidR="00F77547" w:rsidRDefault="00F77547" w14:paraId="74F1620B" w14:textId="6D2F70D7">
          <w:pPr>
            <w:pStyle w:val="TOC1"/>
            <w:tabs>
              <w:tab w:val="right" w:leader="dot" w:pos="9350"/>
            </w:tabs>
            <w:rPr>
              <w:rFonts w:asciiTheme="minorHAnsi" w:hAnsiTheme="minorHAnsi" w:cstheme="minorBidi"/>
              <w:noProof/>
              <w:kern w:val="2"/>
              <w:sz w:val="24"/>
              <w:szCs w:val="24"/>
              <w14:ligatures w14:val="standardContextual"/>
            </w:rPr>
          </w:pPr>
          <w:hyperlink w:history="1" w:anchor="_Toc214004393">
            <w:r w:rsidRPr="004B1EC1">
              <w:rPr>
                <w:rStyle w:val="Hyperlink"/>
                <w:noProof/>
              </w:rPr>
              <w:t>Findings of Fact</w:t>
            </w:r>
            <w:r>
              <w:rPr>
                <w:noProof/>
                <w:webHidden/>
              </w:rPr>
              <w:tab/>
            </w:r>
            <w:r>
              <w:rPr>
                <w:noProof/>
                <w:webHidden/>
              </w:rPr>
              <w:fldChar w:fldCharType="begin"/>
            </w:r>
            <w:r>
              <w:rPr>
                <w:noProof/>
                <w:webHidden/>
              </w:rPr>
              <w:instrText xml:space="preserve"> PAGEREF _Toc214004393 \h </w:instrText>
            </w:r>
            <w:r>
              <w:rPr>
                <w:noProof/>
                <w:webHidden/>
              </w:rPr>
            </w:r>
            <w:r>
              <w:rPr>
                <w:noProof/>
                <w:webHidden/>
              </w:rPr>
              <w:fldChar w:fldCharType="separate"/>
            </w:r>
            <w:r>
              <w:rPr>
                <w:noProof/>
                <w:webHidden/>
              </w:rPr>
              <w:t>74</w:t>
            </w:r>
            <w:r>
              <w:rPr>
                <w:noProof/>
                <w:webHidden/>
              </w:rPr>
              <w:fldChar w:fldCharType="end"/>
            </w:r>
          </w:hyperlink>
        </w:p>
        <w:p w:rsidR="00F77547" w:rsidRDefault="00F77547" w14:paraId="6B4B3196" w14:textId="7C7DC1CA">
          <w:pPr>
            <w:pStyle w:val="TOC1"/>
            <w:tabs>
              <w:tab w:val="right" w:leader="dot" w:pos="9350"/>
            </w:tabs>
            <w:rPr>
              <w:rFonts w:asciiTheme="minorHAnsi" w:hAnsiTheme="minorHAnsi" w:cstheme="minorBidi"/>
              <w:noProof/>
              <w:kern w:val="2"/>
              <w:sz w:val="24"/>
              <w:szCs w:val="24"/>
              <w14:ligatures w14:val="standardContextual"/>
            </w:rPr>
          </w:pPr>
          <w:hyperlink w:history="1" w:anchor="_Toc214004394">
            <w:r w:rsidRPr="004B1EC1">
              <w:rPr>
                <w:rStyle w:val="Hyperlink"/>
                <w:noProof/>
              </w:rPr>
              <w:t>Conclusions of Law</w:t>
            </w:r>
            <w:r>
              <w:rPr>
                <w:noProof/>
                <w:webHidden/>
              </w:rPr>
              <w:tab/>
            </w:r>
            <w:r>
              <w:rPr>
                <w:noProof/>
                <w:webHidden/>
              </w:rPr>
              <w:fldChar w:fldCharType="begin"/>
            </w:r>
            <w:r>
              <w:rPr>
                <w:noProof/>
                <w:webHidden/>
              </w:rPr>
              <w:instrText xml:space="preserve"> PAGEREF _Toc214004394 \h </w:instrText>
            </w:r>
            <w:r>
              <w:rPr>
                <w:noProof/>
                <w:webHidden/>
              </w:rPr>
            </w:r>
            <w:r>
              <w:rPr>
                <w:noProof/>
                <w:webHidden/>
              </w:rPr>
              <w:fldChar w:fldCharType="separate"/>
            </w:r>
            <w:r>
              <w:rPr>
                <w:noProof/>
                <w:webHidden/>
              </w:rPr>
              <w:t>80</w:t>
            </w:r>
            <w:r>
              <w:rPr>
                <w:noProof/>
                <w:webHidden/>
              </w:rPr>
              <w:fldChar w:fldCharType="end"/>
            </w:r>
          </w:hyperlink>
        </w:p>
        <w:p w:rsidR="00F77547" w:rsidRDefault="00F77547" w14:paraId="3EBA2F6B" w14:textId="7CEDF3D1">
          <w:pPr>
            <w:pStyle w:val="TOC1"/>
            <w:tabs>
              <w:tab w:val="right" w:leader="dot" w:pos="9350"/>
            </w:tabs>
            <w:rPr>
              <w:rFonts w:asciiTheme="minorHAnsi" w:hAnsiTheme="minorHAnsi" w:cstheme="minorBidi"/>
              <w:noProof/>
              <w:kern w:val="2"/>
              <w:sz w:val="24"/>
              <w:szCs w:val="24"/>
              <w14:ligatures w14:val="standardContextual"/>
            </w:rPr>
          </w:pPr>
          <w:hyperlink w:history="1" w:anchor="_Toc214004395">
            <w:r w:rsidRPr="004B1EC1">
              <w:rPr>
                <w:rStyle w:val="Hyperlink"/>
                <w:noProof/>
              </w:rPr>
              <w:t>ORDER</w:t>
            </w:r>
            <w:r>
              <w:rPr>
                <w:noProof/>
                <w:webHidden/>
              </w:rPr>
              <w:tab/>
            </w:r>
            <w:r>
              <w:rPr>
                <w:noProof/>
                <w:webHidden/>
              </w:rPr>
              <w:fldChar w:fldCharType="begin"/>
            </w:r>
            <w:r>
              <w:rPr>
                <w:noProof/>
                <w:webHidden/>
              </w:rPr>
              <w:instrText xml:space="preserve"> PAGEREF _Toc214004395 \h </w:instrText>
            </w:r>
            <w:r>
              <w:rPr>
                <w:noProof/>
                <w:webHidden/>
              </w:rPr>
            </w:r>
            <w:r>
              <w:rPr>
                <w:noProof/>
                <w:webHidden/>
              </w:rPr>
              <w:fldChar w:fldCharType="separate"/>
            </w:r>
            <w:r>
              <w:rPr>
                <w:noProof/>
                <w:webHidden/>
              </w:rPr>
              <w:t>85</w:t>
            </w:r>
            <w:r>
              <w:rPr>
                <w:noProof/>
                <w:webHidden/>
              </w:rPr>
              <w:fldChar w:fldCharType="end"/>
            </w:r>
          </w:hyperlink>
        </w:p>
        <w:p w:rsidR="00D82A43" w:rsidP="00F277D4" w:rsidRDefault="008C7413" w14:paraId="655374EA" w14:textId="07B9F351">
          <w:pPr>
            <w:pStyle w:val="TOC1"/>
            <w:tabs>
              <w:tab w:val="right" w:leader="dot" w:pos="9350"/>
            </w:tabs>
          </w:pPr>
          <w:r>
            <w:rPr>
              <w:rFonts w:asciiTheme="minorHAnsi" w:hAnsiTheme="minorHAnsi"/>
              <w:sz w:val="22"/>
            </w:rPr>
            <w:fldChar w:fldCharType="end"/>
          </w:r>
        </w:p>
      </w:sdtContent>
    </w:sdt>
    <w:p w:rsidR="00F76650" w:rsidP="00F277D4" w:rsidRDefault="00F76650" w14:paraId="5FE435C8" w14:textId="6A5B57D9">
      <w:pPr>
        <w:spacing w:line="240" w:lineRule="auto"/>
        <w:ind w:firstLine="0"/>
        <w:rPr>
          <w:rFonts w:cs="Arial"/>
          <w:szCs w:val="26"/>
        </w:rPr>
      </w:pPr>
    </w:p>
    <w:p w:rsidR="00D44DB6" w:rsidP="00F277D4" w:rsidRDefault="00D44DB6" w14:paraId="50F03403" w14:textId="77777777">
      <w:pPr>
        <w:spacing w:line="240" w:lineRule="auto"/>
        <w:ind w:firstLine="0"/>
        <w:rPr>
          <w:rFonts w:cs="Arial"/>
          <w:szCs w:val="26"/>
        </w:rPr>
      </w:pPr>
    </w:p>
    <w:p w:rsidRPr="00D44DB6" w:rsidR="00D44DB6" w:rsidP="00F277D4" w:rsidRDefault="00D44DB6" w14:paraId="2A0848AF" w14:textId="1B0A7722">
      <w:pPr>
        <w:spacing w:line="240" w:lineRule="auto"/>
        <w:ind w:firstLine="0"/>
        <w:rPr>
          <w:rFonts w:cs="Arial"/>
          <w:i/>
          <w:szCs w:val="26"/>
        </w:rPr>
        <w:sectPr w:rsidRPr="00D44DB6" w:rsidR="00D44DB6" w:rsidSect="004E4FD4">
          <w:pgSz w:w="12240" w:h="15840"/>
          <w:pgMar w:top="1728" w:right="1440" w:bottom="1440" w:left="1440" w:header="720" w:footer="720" w:gutter="0"/>
          <w:pgNumType w:fmt="lowerRoman" w:start="1"/>
          <w:cols w:space="720"/>
          <w:docGrid w:linePitch="360"/>
        </w:sectPr>
      </w:pPr>
    </w:p>
    <w:p w:rsidR="0098655A" w:rsidP="00F277D4" w:rsidRDefault="00E03ED4" w14:paraId="1AD92324" w14:textId="3572FE9D">
      <w:pPr>
        <w:pStyle w:val="Main"/>
      </w:pPr>
      <w:bookmarkStart w:name="Title" w:id="3"/>
      <w:r>
        <w:lastRenderedPageBreak/>
        <w:t>DECISION ON 2025 RENEWABLES</w:t>
      </w:r>
      <w:r w:rsidR="00EF7FAE">
        <w:br/>
      </w:r>
      <w:r>
        <w:t>PORTFOLIO STANDARD PROCUREMENT PLANS</w:t>
      </w:r>
      <w:bookmarkEnd w:id="3"/>
    </w:p>
    <w:p w:rsidRPr="00EF7FAE" w:rsidR="00EF7FAE" w:rsidP="00F277D4" w:rsidRDefault="00EF7FAE" w14:paraId="1BAC8035" w14:textId="77777777">
      <w:pPr>
        <w:pStyle w:val="Main"/>
        <w:jc w:val="left"/>
      </w:pPr>
    </w:p>
    <w:p w:rsidRPr="001F5768" w:rsidR="005A148C" w:rsidP="00F277D4" w:rsidRDefault="005A148C" w14:paraId="1725CD16" w14:textId="77777777">
      <w:pPr>
        <w:pStyle w:val="Dummy"/>
      </w:pPr>
      <w:bookmarkStart w:name="_Toc8123714" w:id="4"/>
      <w:bookmarkStart w:name="_Toc212716124" w:id="5"/>
      <w:bookmarkStart w:name="_Toc214004329" w:id="6"/>
      <w:r>
        <w:t>Summary</w:t>
      </w:r>
      <w:bookmarkEnd w:id="4"/>
      <w:bookmarkEnd w:id="5"/>
      <w:bookmarkEnd w:id="6"/>
    </w:p>
    <w:p w:rsidRPr="00C55273" w:rsidR="003A1264" w:rsidP="00F277D4" w:rsidRDefault="003A1264" w14:paraId="2FA9D12F" w14:textId="2798E98D">
      <w:pPr>
        <w:pStyle w:val="Standard"/>
      </w:pPr>
      <w:r w:rsidRPr="00C55273">
        <w:t>Today</w:t>
      </w:r>
      <w:r w:rsidR="005A00BE">
        <w:t>’</w:t>
      </w:r>
      <w:r w:rsidRPr="00C55273">
        <w:t>s decision adopts, with modifications, the Draft 202</w:t>
      </w:r>
      <w:r>
        <w:t>5</w:t>
      </w:r>
      <w:r w:rsidRPr="00C55273">
        <w:t xml:space="preserve"> Renewables Portfolio Standard </w:t>
      </w:r>
      <w:r w:rsidRPr="00C55273" w:rsidR="00AC2109">
        <w:t xml:space="preserve">(RPS) </w:t>
      </w:r>
      <w:r w:rsidRPr="00C55273">
        <w:t>Procurement Plans of the following retail sellers:</w:t>
      </w:r>
    </w:p>
    <w:p w:rsidR="00E5394B" w:rsidP="00F277D4" w:rsidRDefault="003A1264" w14:paraId="1A269DAC" w14:textId="2DC75C22">
      <w:pPr>
        <w:pStyle w:val="BlockQuoteH025"/>
        <w:numPr>
          <w:ilvl w:val="2"/>
          <w:numId w:val="18"/>
        </w:numPr>
      </w:pPr>
      <w:r w:rsidRPr="00C55273">
        <w:t>The large Investor</w:t>
      </w:r>
      <w:r w:rsidR="00E54574">
        <w:noBreakHyphen/>
      </w:r>
      <w:r w:rsidRPr="00C55273">
        <w:t xml:space="preserve">Owned Utilities (IOUs) </w:t>
      </w:r>
      <w:r w:rsidRPr="00E23F06" w:rsidR="00E23F06">
        <w:t>the California Public Utilities Commission (Commission</w:t>
      </w:r>
      <w:r w:rsidR="00E23F06">
        <w:t>)</w:t>
      </w:r>
      <w:r w:rsidRPr="00C55273">
        <w:t xml:space="preserve"> regulates</w:t>
      </w:r>
      <w:r w:rsidR="00CD5830">
        <w:t xml:space="preserve">:  </w:t>
      </w:r>
      <w:r w:rsidRPr="00C55273">
        <w:t>Pacific Gas and Electric Company (PG&amp;E)</w:t>
      </w:r>
      <w:r w:rsidR="001B517E">
        <w:t xml:space="preserve">; </w:t>
      </w:r>
      <w:r w:rsidRPr="00C55273">
        <w:t>Southern California Edison Company (SCE)</w:t>
      </w:r>
      <w:r w:rsidR="001B517E">
        <w:t xml:space="preserve">; </w:t>
      </w:r>
      <w:r w:rsidRPr="00C55273">
        <w:t xml:space="preserve">and </w:t>
      </w:r>
      <w:r w:rsidR="00B471F2">
        <w:t>San </w:t>
      </w:r>
      <w:r w:rsidRPr="00C55273">
        <w:t>Diego Gas</w:t>
      </w:r>
      <w:r w:rsidR="00B471F2">
        <w:t xml:space="preserve"> &amp; </w:t>
      </w:r>
      <w:r w:rsidRPr="00C55273">
        <w:t>Electric Company (SDG&amp;E).</w:t>
      </w:r>
    </w:p>
    <w:p w:rsidR="00E5394B" w:rsidP="00F277D4" w:rsidRDefault="003A1264" w14:paraId="5F415C29" w14:textId="5E65B611">
      <w:pPr>
        <w:pStyle w:val="BlockQuoteH025"/>
        <w:numPr>
          <w:ilvl w:val="2"/>
          <w:numId w:val="18"/>
        </w:numPr>
      </w:pPr>
      <w:r w:rsidRPr="00C55273">
        <w:t>The Small and Multi</w:t>
      </w:r>
      <w:r w:rsidR="00E54574">
        <w:noBreakHyphen/>
      </w:r>
      <w:r w:rsidRPr="00C55273">
        <w:t xml:space="preserve">Jurisdictional Utilities (SMJUs) under </w:t>
      </w:r>
      <w:r w:rsidR="00772340">
        <w:t>the Commission</w:t>
      </w:r>
      <w:r w:rsidR="005A00BE">
        <w:t>’</w:t>
      </w:r>
      <w:r w:rsidR="00772340">
        <w:t>s</w:t>
      </w:r>
      <w:r w:rsidRPr="00C55273">
        <w:t xml:space="preserve"> jurisdiction</w:t>
      </w:r>
      <w:r w:rsidR="00CD5830">
        <w:t xml:space="preserve">:  </w:t>
      </w:r>
      <w:r w:rsidRPr="00C55273">
        <w:t>Bear Valley Electric Service, Inc.</w:t>
      </w:r>
      <w:r w:rsidR="008F38EA">
        <w:t xml:space="preserve"> (BVES)</w:t>
      </w:r>
      <w:r w:rsidR="001B517E">
        <w:t xml:space="preserve">; </w:t>
      </w:r>
      <w:r w:rsidRPr="00C55273">
        <w:t>Liberty Utilities (CalPeco Electric), LLC (Liberty)</w:t>
      </w:r>
      <w:r w:rsidR="001B517E">
        <w:t xml:space="preserve">; </w:t>
      </w:r>
      <w:r>
        <w:t xml:space="preserve">and </w:t>
      </w:r>
      <w:r w:rsidRPr="00C55273">
        <w:t>PacifiCorp d/b/a Pacific Power (PacifiCorp)</w:t>
      </w:r>
      <w:r>
        <w:t>.</w:t>
      </w:r>
    </w:p>
    <w:p w:rsidRPr="00C55273" w:rsidR="003A1264" w:rsidP="00F277D4" w:rsidRDefault="003A1264" w14:paraId="1BF12ED3" w14:textId="155A0096">
      <w:pPr>
        <w:pStyle w:val="BlockQuoteH025"/>
        <w:numPr>
          <w:ilvl w:val="2"/>
          <w:numId w:val="18"/>
        </w:numPr>
      </w:pPr>
      <w:r w:rsidRPr="00C55273">
        <w:t>Community Choice Aggregators (CCAs)</w:t>
      </w:r>
      <w:r w:rsidR="00CD5830">
        <w:t xml:space="preserve">:  </w:t>
      </w:r>
      <w:bookmarkStart w:name="_Hlk181194179" w:id="7"/>
      <w:r w:rsidRPr="00C55273">
        <w:t xml:space="preserve">Apple Valley Choice Energy; Ava Community Energy; Central Coast Community Energy; City of Palmdale; City of Pomona; City of </w:t>
      </w:r>
      <w:r w:rsidR="00B471F2">
        <w:t>Santa </w:t>
      </w:r>
      <w:r w:rsidRPr="00C55273">
        <w:t xml:space="preserve">Barbara; </w:t>
      </w:r>
      <w:r>
        <w:t xml:space="preserve">City of </w:t>
      </w:r>
      <w:r w:rsidR="00B471F2">
        <w:t>San </w:t>
      </w:r>
      <w:r>
        <w:t xml:space="preserve">Jacinto dba </w:t>
      </w:r>
      <w:r w:rsidR="00B471F2">
        <w:t>San </w:t>
      </w:r>
      <w:r>
        <w:t xml:space="preserve">Jacinto Power; </w:t>
      </w:r>
      <w:r w:rsidRPr="00C55273">
        <w:t xml:space="preserve">Clean Energy Alliance; Clean Power Alliance of Southern California; CleanPowerSF; Desert Community Energy; King City Community Power; Lancaster Choice Energy; Marin Clean Energy; Orange County Power Authority; Peninsula Clean Energy; Pico Rivera Innovative Municipal Energy; Pioneer Community Energy; Rancho Mirage Energy Authority; Redwood Coast Energy Authority; </w:t>
      </w:r>
      <w:r w:rsidR="00B471F2">
        <w:t>San </w:t>
      </w:r>
      <w:r w:rsidRPr="00C55273">
        <w:t xml:space="preserve">Diego Community Power; </w:t>
      </w:r>
      <w:r w:rsidR="00B471F2">
        <w:t>San </w:t>
      </w:r>
      <w:r w:rsidRPr="00C55273">
        <w:t>Jose Clean Energy; Silicon Valley Clean Energy; Sonoma Clean Power Authority; and Valley Clean Energy Alliance.</w:t>
      </w:r>
    </w:p>
    <w:bookmarkEnd w:id="7"/>
    <w:p w:rsidR="00E5394B" w:rsidP="00F277D4" w:rsidRDefault="003A1264" w14:paraId="7619B0C3" w14:textId="3AB26037">
      <w:pPr>
        <w:pStyle w:val="BlockQuoteH025"/>
        <w:numPr>
          <w:ilvl w:val="2"/>
          <w:numId w:val="18"/>
        </w:numPr>
      </w:pPr>
      <w:r w:rsidRPr="00C55273">
        <w:t>Electric Service Providers (ESPs)</w:t>
      </w:r>
      <w:r w:rsidR="00CD5830">
        <w:t xml:space="preserve">:  </w:t>
      </w:r>
      <w:bookmarkStart w:name="_Hlk211760636" w:id="8"/>
      <w:bookmarkStart w:name="_Hlk181194278" w:id="9"/>
      <w:r w:rsidR="00565D53">
        <w:t>3 Phase</w:t>
      </w:r>
      <w:r w:rsidRPr="00C55273">
        <w:t>s Renewables, Inc.; BP Energy Retail Company California LLC; Calpine Energy Solutions, LLC; Calpine Power America</w:t>
      </w:r>
      <w:r w:rsidR="00E54574">
        <w:noBreakHyphen/>
      </w:r>
      <w:r w:rsidRPr="00C55273">
        <w:t xml:space="preserve">CA, LLC; Commercial Energy of Montana, Inc.; Constellation NewEnergy, </w:t>
      </w:r>
      <w:r w:rsidR="002273E0">
        <w:t>Inc.;</w:t>
      </w:r>
      <w:r w:rsidRPr="00C55273">
        <w:t xml:space="preserve"> Direct Energy Business, LLC; Pilot Power Group, LLC; </w:t>
      </w:r>
      <w:r w:rsidR="00DA6578">
        <w:t>Shell E</w:t>
      </w:r>
      <w:r w:rsidRPr="00C55273">
        <w:t>nergy North America (US), L.P.; and The Regents of the University of California.</w:t>
      </w:r>
      <w:bookmarkEnd w:id="8"/>
    </w:p>
    <w:p w:rsidR="00E5394B" w:rsidP="00F277D4" w:rsidRDefault="003A1264" w14:paraId="0EEE5623" w14:textId="22592642">
      <w:pPr>
        <w:pStyle w:val="Standard"/>
      </w:pPr>
      <w:bookmarkStart w:name="_Hlk180648668" w:id="10"/>
      <w:bookmarkEnd w:id="9"/>
      <w:r w:rsidRPr="00C55273">
        <w:lastRenderedPageBreak/>
        <w:t xml:space="preserve">Any Draft </w:t>
      </w:r>
      <w:r w:rsidR="00950E04">
        <w:t>2025 RPS</w:t>
      </w:r>
      <w:r w:rsidRPr="00C55273">
        <w:t xml:space="preserve"> Plan that does not require a correction, or clarification is deemed as final</w:t>
      </w:r>
      <w:bookmarkEnd w:id="10"/>
      <w:r w:rsidRPr="00C55273">
        <w:t xml:space="preserve">. For the Draft </w:t>
      </w:r>
      <w:r w:rsidR="00950E04">
        <w:t>2025 RPS</w:t>
      </w:r>
      <w:r w:rsidRPr="00C55273">
        <w:t xml:space="preserve"> Plans that require corrections as identified in this decision, the Final </w:t>
      </w:r>
      <w:r w:rsidR="00950E04">
        <w:t>2025 RPS</w:t>
      </w:r>
      <w:r w:rsidRPr="00C55273">
        <w:t xml:space="preserve"> Plans are due no later than 30 days following the issuance of this decision by the</w:t>
      </w:r>
      <w:r w:rsidR="00B11907">
        <w:t xml:space="preserve"> </w:t>
      </w:r>
      <w:r w:rsidRPr="00C55273">
        <w:t>Commission. This decision adopts the following directives:</w:t>
      </w:r>
    </w:p>
    <w:p w:rsidRPr="00C55273" w:rsidR="003A1264" w:rsidP="00F277D4" w:rsidRDefault="003A1264" w14:paraId="23BB9AE9" w14:textId="260E5562">
      <w:pPr>
        <w:pStyle w:val="Standard"/>
        <w:keepNext/>
      </w:pPr>
      <w:r w:rsidRPr="00C55273">
        <w:t>Large I</w:t>
      </w:r>
      <w:r>
        <w:t>OU</w:t>
      </w:r>
      <w:r w:rsidRPr="00C55273">
        <w:t>s:</w:t>
      </w:r>
    </w:p>
    <w:p w:rsidR="003A1264" w:rsidP="00F277D4" w:rsidRDefault="003A1264" w14:paraId="6F32ADDD" w14:textId="04380CDD">
      <w:pPr>
        <w:pStyle w:val="BlockQuoteBullet1"/>
        <w:numPr>
          <w:ilvl w:val="0"/>
          <w:numId w:val="19"/>
        </w:numPr>
        <w:ind w:left="1080"/>
      </w:pPr>
      <w:bookmarkStart w:name="_Hlk185026954" w:id="11"/>
      <w:r w:rsidRPr="00C55273">
        <w:t>The IOUs</w:t>
      </w:r>
      <w:r w:rsidR="005A00BE">
        <w:t>’</w:t>
      </w:r>
      <w:r w:rsidRPr="00C55273">
        <w:t xml:space="preserve"> requests to </w:t>
      </w:r>
      <w:r w:rsidR="00BA6C20">
        <w:t>procure long</w:t>
      </w:r>
      <w:r w:rsidR="00E54574">
        <w:noBreakHyphen/>
      </w:r>
      <w:r w:rsidR="00BA6C20">
        <w:t xml:space="preserve">term </w:t>
      </w:r>
      <w:r w:rsidRPr="00C55273">
        <w:t>RPS</w:t>
      </w:r>
      <w:r w:rsidR="00E54574">
        <w:noBreakHyphen/>
      </w:r>
      <w:r w:rsidRPr="00C55273">
        <w:t xml:space="preserve">eligible resources </w:t>
      </w:r>
      <w:r>
        <w:t>are</w:t>
      </w:r>
      <w:r w:rsidRPr="00C55273">
        <w:t xml:space="preserve"> approved. Any </w:t>
      </w:r>
      <w:r w:rsidR="00AF70D1">
        <w:t>Tier 3</w:t>
      </w:r>
      <w:r w:rsidRPr="00C55273">
        <w:t xml:space="preserve"> </w:t>
      </w:r>
      <w:r>
        <w:t>A</w:t>
      </w:r>
      <w:r w:rsidRPr="00C55273">
        <w:t xml:space="preserve">dvice </w:t>
      </w:r>
      <w:r>
        <w:t>L</w:t>
      </w:r>
      <w:r w:rsidRPr="00C55273">
        <w:t>etter submitted by the IOUs must clearly demonstrate that the contracts procured under this procurement authority are RPS</w:t>
      </w:r>
      <w:r w:rsidR="00E54574">
        <w:noBreakHyphen/>
      </w:r>
      <w:r w:rsidRPr="00C55273">
        <w:t xml:space="preserve">eligible and meet either RPS needs, portfolio goals from their Integrated Resource Planning (IRP) filings, </w:t>
      </w:r>
      <w:r>
        <w:t>or a formally adopted IRP portfolio</w:t>
      </w:r>
      <w:r w:rsidRPr="00C55273">
        <w:t xml:space="preserve">, or any remaining </w:t>
      </w:r>
      <w:r>
        <w:t xml:space="preserve">IRP procurement </w:t>
      </w:r>
      <w:r w:rsidRPr="00C55273">
        <w:t>needs</w:t>
      </w:r>
      <w:r>
        <w:t xml:space="preserve"> for orders issued through the RPS Plan implementation ye</w:t>
      </w:r>
      <w:bookmarkEnd w:id="11"/>
      <w:r>
        <w:t>ar</w:t>
      </w:r>
      <w:r w:rsidRPr="00C55273">
        <w:t>.</w:t>
      </w:r>
    </w:p>
    <w:p w:rsidRPr="00C55273" w:rsidR="003A1264" w:rsidP="00F277D4" w:rsidRDefault="003A1264" w14:paraId="0644F398" w14:textId="6A17D15D">
      <w:pPr>
        <w:pStyle w:val="BlockQuoteBullet1"/>
        <w:numPr>
          <w:ilvl w:val="0"/>
          <w:numId w:val="19"/>
        </w:numPr>
        <w:ind w:left="1080"/>
      </w:pPr>
      <w:r w:rsidRPr="0048200B">
        <w:t>The IOUs are authorized to enter into short</w:t>
      </w:r>
      <w:r w:rsidR="00E54574">
        <w:noBreakHyphen/>
      </w:r>
      <w:r w:rsidRPr="0048200B">
        <w:t>term transactions to procure RPS resources by submitting contracts and receiving approval through</w:t>
      </w:r>
      <w:r w:rsidR="009317DA">
        <w:t xml:space="preserve"> the</w:t>
      </w:r>
      <w:r w:rsidRPr="0048200B">
        <w:t xml:space="preserve"> </w:t>
      </w:r>
      <w:r w:rsidR="00AF70D1">
        <w:t>Tier 1</w:t>
      </w:r>
      <w:r w:rsidRPr="0048200B">
        <w:t xml:space="preserve"> Advice Letter process. The IOUs must demonstrate that the contracts are RPS</w:t>
      </w:r>
      <w:r w:rsidR="00E54574">
        <w:noBreakHyphen/>
      </w:r>
      <w:r w:rsidRPr="0048200B">
        <w:t>eligible and that they are either needed to meet RPS needs or that the contracts are necessary for the IOU</w:t>
      </w:r>
      <w:r>
        <w:t>s</w:t>
      </w:r>
      <w:r w:rsidRPr="0048200B">
        <w:t xml:space="preserve"> to comply with IRP</w:t>
      </w:r>
      <w:r w:rsidR="00E54574">
        <w:noBreakHyphen/>
      </w:r>
      <w:r>
        <w:t>related orders.</w:t>
      </w:r>
    </w:p>
    <w:p w:rsidRPr="00C55273" w:rsidR="003A1264" w:rsidP="00F277D4" w:rsidRDefault="003A1264" w14:paraId="5DAA8493" w14:textId="30A769F6">
      <w:pPr>
        <w:pStyle w:val="BlockQuoteBullet1"/>
        <w:numPr>
          <w:ilvl w:val="0"/>
          <w:numId w:val="19"/>
        </w:numPr>
        <w:ind w:left="1080"/>
      </w:pPr>
      <w:r w:rsidRPr="00C55273">
        <w:t>The IOUs</w:t>
      </w:r>
      <w:r w:rsidR="005A00BE">
        <w:t>’</w:t>
      </w:r>
      <w:r w:rsidRPr="00C55273">
        <w:t xml:space="preserve"> requests to eliminate the </w:t>
      </w:r>
      <w:r w:rsidR="00AF70D1">
        <w:t>Tier 1</w:t>
      </w:r>
      <w:r w:rsidRPr="00C55273">
        <w:t xml:space="preserve"> </w:t>
      </w:r>
      <w:r>
        <w:t>A</w:t>
      </w:r>
      <w:r w:rsidRPr="00C55273">
        <w:t xml:space="preserve">dvice </w:t>
      </w:r>
      <w:r>
        <w:t>L</w:t>
      </w:r>
      <w:r w:rsidRPr="00C55273">
        <w:t>etter requirement for approval of short</w:t>
      </w:r>
      <w:r w:rsidR="00E54574">
        <w:noBreakHyphen/>
      </w:r>
      <w:r w:rsidRPr="00C55273">
        <w:t xml:space="preserve">term transactions </w:t>
      </w:r>
      <w:r w:rsidR="00D24BBB">
        <w:t xml:space="preserve">are denied without prejudice as the </w:t>
      </w:r>
      <w:r w:rsidR="006D365D">
        <w:t>oversight</w:t>
      </w:r>
      <w:r w:rsidR="00D24BBB">
        <w:t xml:space="preserve"> of short</w:t>
      </w:r>
      <w:r w:rsidR="00E54574">
        <w:noBreakHyphen/>
      </w:r>
      <w:r w:rsidR="00D24BBB">
        <w:t xml:space="preserve">term transaction filings </w:t>
      </w:r>
      <w:r w:rsidRPr="00C55273">
        <w:t xml:space="preserve">will be </w:t>
      </w:r>
      <w:r w:rsidR="00D24BBB">
        <w:t>addressed</w:t>
      </w:r>
      <w:r w:rsidRPr="00C55273">
        <w:t xml:space="preserve"> in </w:t>
      </w:r>
      <w:r w:rsidR="00D24BBB">
        <w:t>the IRP proceeding.</w:t>
      </w:r>
    </w:p>
    <w:p w:rsidRPr="00C55273" w:rsidR="003A1264" w:rsidP="00F277D4" w:rsidRDefault="003A1264" w14:paraId="71ACD863" w14:textId="77777777">
      <w:pPr>
        <w:pStyle w:val="BlockQuoteBullet1"/>
        <w:numPr>
          <w:ilvl w:val="0"/>
          <w:numId w:val="19"/>
        </w:numPr>
        <w:ind w:left="1080"/>
      </w:pPr>
      <w:r w:rsidRPr="00C55273">
        <w:t>PG&amp;E is authorized to renegotiate its existing contracts.</w:t>
      </w:r>
    </w:p>
    <w:p w:rsidRPr="00C55273" w:rsidR="003A1264" w:rsidP="00F277D4" w:rsidRDefault="003A1264" w14:paraId="16C61FF7" w14:textId="022A07B6">
      <w:pPr>
        <w:pStyle w:val="BlockQuoteBullet1"/>
        <w:numPr>
          <w:ilvl w:val="0"/>
          <w:numId w:val="19"/>
        </w:numPr>
        <w:ind w:left="1080"/>
      </w:pPr>
      <w:r w:rsidRPr="00C55273">
        <w:t>PG&amp;E</w:t>
      </w:r>
      <w:r w:rsidR="005A00BE">
        <w:t>’</w:t>
      </w:r>
      <w:r w:rsidRPr="00C55273">
        <w:t>s request to enter bilateral negotiations to procure long</w:t>
      </w:r>
      <w:r w:rsidR="00E54574">
        <w:noBreakHyphen/>
      </w:r>
      <w:r w:rsidRPr="00C55273">
        <w:t xml:space="preserve">term </w:t>
      </w:r>
      <w:r>
        <w:t>and short</w:t>
      </w:r>
      <w:r w:rsidR="00E54574">
        <w:noBreakHyphen/>
      </w:r>
      <w:r>
        <w:t xml:space="preserve">term </w:t>
      </w:r>
      <w:r w:rsidRPr="00C55273">
        <w:t>RPS</w:t>
      </w:r>
      <w:r w:rsidR="00E54574">
        <w:noBreakHyphen/>
      </w:r>
      <w:r w:rsidRPr="00C55273">
        <w:t>eligible resources and conduct short</w:t>
      </w:r>
      <w:r w:rsidR="00E54574">
        <w:noBreakHyphen/>
      </w:r>
      <w:r w:rsidRPr="00C55273">
        <w:t xml:space="preserve">term sales during the </w:t>
      </w:r>
      <w:r w:rsidR="00950E04">
        <w:t>2025 RPS</w:t>
      </w:r>
      <w:r w:rsidRPr="00C55273">
        <w:t xml:space="preserve"> cycle is approved.</w:t>
      </w:r>
    </w:p>
    <w:p w:rsidRPr="00C55273" w:rsidR="003A1264" w:rsidP="00F277D4" w:rsidRDefault="003A1264" w14:paraId="49C4FE54" w14:textId="7FCF5B6B">
      <w:pPr>
        <w:pStyle w:val="BlockQuoteBullet1"/>
        <w:numPr>
          <w:ilvl w:val="0"/>
          <w:numId w:val="19"/>
        </w:numPr>
        <w:ind w:left="1080"/>
      </w:pPr>
      <w:r w:rsidRPr="00C55273">
        <w:t>PG&amp;E</w:t>
      </w:r>
      <w:r w:rsidR="005A00BE">
        <w:t>’</w:t>
      </w:r>
      <w:r w:rsidRPr="00C55273">
        <w:t xml:space="preserve">s request for approval to transact bundled </w:t>
      </w:r>
      <w:r w:rsidR="00C57B15">
        <w:t xml:space="preserve">and unbundled </w:t>
      </w:r>
      <w:r w:rsidRPr="00C55273">
        <w:t>RPS sales up to five years forward is approved.</w:t>
      </w:r>
    </w:p>
    <w:p w:rsidRPr="00C55273" w:rsidR="003A1264" w:rsidP="00F277D4" w:rsidRDefault="003A1264" w14:paraId="255DADD1" w14:textId="345D7D94">
      <w:pPr>
        <w:pStyle w:val="BlockQuoteBullet1"/>
        <w:numPr>
          <w:ilvl w:val="0"/>
          <w:numId w:val="19"/>
        </w:numPr>
        <w:ind w:left="1080"/>
      </w:pPr>
      <w:r w:rsidRPr="00C55273">
        <w:lastRenderedPageBreak/>
        <w:t>PG&amp;E is authorized to participate in other market participants</w:t>
      </w:r>
      <w:r w:rsidR="005A00BE">
        <w:t>’</w:t>
      </w:r>
      <w:r w:rsidRPr="00C55273">
        <w:t xml:space="preserve"> competitive solicitations to procure long</w:t>
      </w:r>
      <w:r w:rsidR="00E54574">
        <w:noBreakHyphen/>
      </w:r>
      <w:r w:rsidRPr="00C55273">
        <w:t xml:space="preserve">term </w:t>
      </w:r>
      <w:r>
        <w:t>and short</w:t>
      </w:r>
      <w:r w:rsidR="00E54574">
        <w:noBreakHyphen/>
      </w:r>
      <w:r>
        <w:t xml:space="preserve">term </w:t>
      </w:r>
      <w:r w:rsidRPr="00C55273">
        <w:t>RPS resources and to conduct short</w:t>
      </w:r>
      <w:r w:rsidR="00E54574">
        <w:noBreakHyphen/>
      </w:r>
      <w:r w:rsidRPr="00C55273">
        <w:t>term RPS sales.</w:t>
      </w:r>
    </w:p>
    <w:p w:rsidRPr="00C55273" w:rsidR="003A1264" w:rsidP="00F277D4" w:rsidRDefault="003A1264" w14:paraId="1593C1CA" w14:textId="59A3CE36">
      <w:pPr>
        <w:pStyle w:val="BlockQuoteBullet1"/>
        <w:numPr>
          <w:ilvl w:val="0"/>
          <w:numId w:val="19"/>
        </w:numPr>
        <w:ind w:left="1080"/>
      </w:pPr>
      <w:r w:rsidRPr="00C55273">
        <w:t>PG&amp;E is authorized to use brokers and exchanges to procure long</w:t>
      </w:r>
      <w:r w:rsidR="00E54574">
        <w:noBreakHyphen/>
      </w:r>
      <w:r w:rsidRPr="00C55273">
        <w:t xml:space="preserve">term </w:t>
      </w:r>
      <w:r>
        <w:t>and short</w:t>
      </w:r>
      <w:r w:rsidR="00E54574">
        <w:noBreakHyphen/>
      </w:r>
      <w:r>
        <w:t xml:space="preserve">term </w:t>
      </w:r>
      <w:r w:rsidRPr="00C55273">
        <w:t>RPS</w:t>
      </w:r>
      <w:r w:rsidR="00E54574">
        <w:noBreakHyphen/>
      </w:r>
      <w:r w:rsidRPr="00C55273">
        <w:t>eligible resources and to sell short</w:t>
      </w:r>
      <w:r w:rsidR="00E54574">
        <w:noBreakHyphen/>
      </w:r>
      <w:r w:rsidRPr="00C55273">
        <w:t>term RPS</w:t>
      </w:r>
      <w:r w:rsidR="00E54574">
        <w:noBreakHyphen/>
      </w:r>
      <w:r w:rsidRPr="00C55273">
        <w:t>eligible products.</w:t>
      </w:r>
    </w:p>
    <w:p w:rsidR="003A1264" w:rsidP="00F277D4" w:rsidRDefault="003A1264" w14:paraId="607E2C43" w14:textId="75BC18F6">
      <w:pPr>
        <w:pStyle w:val="BlockQuoteBullet1"/>
        <w:numPr>
          <w:ilvl w:val="0"/>
          <w:numId w:val="19"/>
        </w:numPr>
        <w:ind w:left="1080"/>
      </w:pPr>
      <w:r w:rsidRPr="00C55273">
        <w:t>PG&amp;E is authorized to retire renewable energy credits (RECs) for Low Carbon Fuel Standard Credits.</w:t>
      </w:r>
    </w:p>
    <w:p w:rsidR="004D64E4" w:rsidP="00F277D4" w:rsidRDefault="004D64E4" w14:paraId="3CE5BF6C" w14:textId="2641CF97">
      <w:pPr>
        <w:pStyle w:val="BlockQuoteBullet1"/>
        <w:numPr>
          <w:ilvl w:val="0"/>
          <w:numId w:val="19"/>
        </w:numPr>
        <w:ind w:left="1080"/>
      </w:pPr>
      <w:r>
        <w:t>PG&amp;E</w:t>
      </w:r>
      <w:r w:rsidRPr="004D64E4">
        <w:t xml:space="preserve"> must supplement its Final </w:t>
      </w:r>
      <w:r w:rsidR="00950E04">
        <w:t>2025 RPS</w:t>
      </w:r>
      <w:r w:rsidRPr="004D64E4">
        <w:t xml:space="preserve"> Plan according to the directive provided in this decision</w:t>
      </w:r>
      <w:r>
        <w:t>.</w:t>
      </w:r>
    </w:p>
    <w:p w:rsidR="00E5394B" w:rsidP="00F277D4" w:rsidRDefault="003A1264" w14:paraId="3DB18B6F" w14:textId="06493AFB">
      <w:pPr>
        <w:pStyle w:val="BlockQuoteBullet1"/>
        <w:numPr>
          <w:ilvl w:val="0"/>
          <w:numId w:val="19"/>
        </w:numPr>
        <w:ind w:left="1080"/>
      </w:pPr>
      <w:r w:rsidRPr="00C55273">
        <w:t>SCE is authorized to purchase and sell portfolio content category (PCC)</w:t>
      </w:r>
      <w:r w:rsidR="00521801">
        <w:t> </w:t>
      </w:r>
      <w:r w:rsidRPr="00C55273">
        <w:t xml:space="preserve">1, </w:t>
      </w:r>
      <w:r w:rsidR="00521801">
        <w:t>PCC </w:t>
      </w:r>
      <w:r w:rsidRPr="00C55273">
        <w:t xml:space="preserve">2, and </w:t>
      </w:r>
      <w:r w:rsidR="00521801">
        <w:t>PCC </w:t>
      </w:r>
      <w:r w:rsidRPr="00C55273">
        <w:t>3 RECs.</w:t>
      </w:r>
    </w:p>
    <w:p w:rsidR="003A1264" w:rsidP="00F277D4" w:rsidRDefault="003A1264" w14:paraId="682D3586" w14:textId="24BDD8AA">
      <w:pPr>
        <w:pStyle w:val="BlockQuoteBullet1"/>
        <w:numPr>
          <w:ilvl w:val="0"/>
          <w:numId w:val="19"/>
        </w:numPr>
        <w:ind w:left="1080"/>
      </w:pPr>
      <w:r w:rsidRPr="00C55273">
        <w:t>SCE</w:t>
      </w:r>
      <w:r w:rsidR="005A00BE">
        <w:t>’</w:t>
      </w:r>
      <w:r w:rsidR="00B92973">
        <w:t>s request for approval of agreements is granted</w:t>
      </w:r>
      <w:r w:rsidRPr="00C55273">
        <w:t>.</w:t>
      </w:r>
    </w:p>
    <w:p w:rsidRPr="00C55273" w:rsidR="00C44EEC" w:rsidP="00F277D4" w:rsidRDefault="00C44EEC" w14:paraId="329CD184" w14:textId="511C676F">
      <w:pPr>
        <w:pStyle w:val="BlockQuoteBullet1"/>
        <w:numPr>
          <w:ilvl w:val="0"/>
          <w:numId w:val="19"/>
        </w:numPr>
        <w:ind w:left="1080"/>
      </w:pPr>
      <w:r w:rsidRPr="00C44EEC">
        <w:t>SCE</w:t>
      </w:r>
      <w:r w:rsidR="005A00BE">
        <w:t>’</w:t>
      </w:r>
      <w:r w:rsidRPr="00C44EEC">
        <w:t>s bid solicitations protocols are approved.</w:t>
      </w:r>
    </w:p>
    <w:p w:rsidRPr="00C55273" w:rsidR="003A1264" w:rsidP="00F277D4" w:rsidRDefault="003A1264" w14:paraId="111BE6B5" w14:textId="18BABF9C">
      <w:pPr>
        <w:pStyle w:val="BlockQuoteBullet1"/>
        <w:numPr>
          <w:ilvl w:val="0"/>
          <w:numId w:val="19"/>
        </w:numPr>
        <w:ind w:left="1080"/>
      </w:pPr>
      <w:r w:rsidRPr="00C55273">
        <w:t>SCE</w:t>
      </w:r>
      <w:r w:rsidRPr="00B92973" w:rsidR="00B92973">
        <w:t xml:space="preserve"> is authorized to retire </w:t>
      </w:r>
      <w:r w:rsidR="00B92973">
        <w:t xml:space="preserve">RECs </w:t>
      </w:r>
      <w:r w:rsidRPr="00B92973" w:rsidR="00B92973">
        <w:t>for Low Carbon Fuel Standard Credits</w:t>
      </w:r>
      <w:r w:rsidR="00B92973">
        <w:t>.</w:t>
      </w:r>
    </w:p>
    <w:p w:rsidR="003A1264" w:rsidP="00F277D4" w:rsidRDefault="003A1264" w14:paraId="766E58E9" w14:textId="5ED35396">
      <w:pPr>
        <w:pStyle w:val="BlockQuoteBullet1"/>
        <w:numPr>
          <w:ilvl w:val="0"/>
          <w:numId w:val="19"/>
        </w:numPr>
        <w:ind w:left="1080"/>
      </w:pPr>
      <w:r w:rsidRPr="00C55273">
        <w:t xml:space="preserve">SDG&amp;E is authorized to use banked RECs </w:t>
      </w:r>
      <w:r>
        <w:t xml:space="preserve">consistent with excess procurement rules </w:t>
      </w:r>
      <w:r w:rsidRPr="00C55273">
        <w:t>to meet RPS requirements</w:t>
      </w:r>
      <w:r w:rsidR="00D16287">
        <w:t>,</w:t>
      </w:r>
      <w:r w:rsidR="00733165">
        <w:t xml:space="preserve"> subject to the condition that it exhaust RECs banked after 2018 before using pre</w:t>
      </w:r>
      <w:r w:rsidR="00DB3CC8">
        <w:noBreakHyphen/>
      </w:r>
      <w:r w:rsidR="00733165">
        <w:t>2019 banked RECs</w:t>
      </w:r>
      <w:r w:rsidRPr="00C55273">
        <w:t>.</w:t>
      </w:r>
    </w:p>
    <w:p w:rsidRPr="00C55273" w:rsidR="00591AA6" w:rsidP="00F277D4" w:rsidRDefault="00591AA6" w14:paraId="043734AC" w14:textId="57331283">
      <w:pPr>
        <w:pStyle w:val="BlockQuoteBullet1"/>
        <w:numPr>
          <w:ilvl w:val="0"/>
          <w:numId w:val="19"/>
        </w:numPr>
        <w:ind w:left="1080"/>
      </w:pPr>
      <w:r>
        <w:t>SDG&amp;E is authorized to procure RECs for compliance.</w:t>
      </w:r>
    </w:p>
    <w:p w:rsidRPr="00C55273" w:rsidR="003A1264" w:rsidP="00F277D4" w:rsidRDefault="003A1264" w14:paraId="0255D477" w14:textId="0F834D11">
      <w:pPr>
        <w:pStyle w:val="BlockQuoteBullet1"/>
        <w:numPr>
          <w:ilvl w:val="0"/>
          <w:numId w:val="19"/>
        </w:numPr>
        <w:ind w:left="1080"/>
      </w:pPr>
      <w:r w:rsidRPr="00C55273">
        <w:t>SDG&amp;E</w:t>
      </w:r>
      <w:r w:rsidR="005A00BE">
        <w:t>’</w:t>
      </w:r>
      <w:r w:rsidRPr="00C55273">
        <w:t>s request for short</w:t>
      </w:r>
      <w:r w:rsidR="00E54574">
        <w:noBreakHyphen/>
      </w:r>
      <w:r w:rsidRPr="00C55273">
        <w:t xml:space="preserve">term RPS sales (for </w:t>
      </w:r>
      <w:r w:rsidR="009948F8">
        <w:t>five</w:t>
      </w:r>
      <w:r w:rsidRPr="00C55273">
        <w:t xml:space="preserve"> years or less) using its own solicitations and brokers and exchanges is approved.</w:t>
      </w:r>
    </w:p>
    <w:p w:rsidRPr="00C55273" w:rsidR="003A1264" w:rsidP="00F277D4" w:rsidRDefault="003A1264" w14:paraId="31C48969" w14:textId="7A8CE61C">
      <w:pPr>
        <w:pStyle w:val="BlockQuoteBullet1"/>
        <w:numPr>
          <w:ilvl w:val="0"/>
          <w:numId w:val="19"/>
        </w:numPr>
        <w:ind w:left="1080"/>
      </w:pPr>
      <w:r w:rsidRPr="00C55273">
        <w:t xml:space="preserve">SDG&amp;E is authorized to </w:t>
      </w:r>
      <w:r w:rsidR="00591AA6">
        <w:t xml:space="preserve">buy and </w:t>
      </w:r>
      <w:r w:rsidRPr="00C55273">
        <w:t xml:space="preserve">sell </w:t>
      </w:r>
      <w:r w:rsidR="00591AA6">
        <w:t>RECs in the same year</w:t>
      </w:r>
      <w:r w:rsidRPr="00C55273">
        <w:t>.</w:t>
      </w:r>
    </w:p>
    <w:p w:rsidR="00F023E7" w:rsidP="00F277D4" w:rsidRDefault="003A1264" w14:paraId="18F43A18" w14:textId="4721DD9B">
      <w:pPr>
        <w:pStyle w:val="BlockQuoteBullet1"/>
        <w:numPr>
          <w:ilvl w:val="0"/>
          <w:numId w:val="19"/>
        </w:numPr>
        <w:ind w:left="1080"/>
      </w:pPr>
      <w:r w:rsidRPr="00C55273">
        <w:t xml:space="preserve">SDG&amp;E is authorized to </w:t>
      </w:r>
      <w:r w:rsidR="00591AA6">
        <w:t xml:space="preserve">participate in </w:t>
      </w:r>
      <w:r w:rsidR="000A3DD0">
        <w:t>Request for Offers</w:t>
      </w:r>
      <w:r w:rsidR="00591AA6">
        <w:t xml:space="preserve"> and utilize brokers and exchanges</w:t>
      </w:r>
      <w:r w:rsidRPr="00C55273">
        <w:t>.</w:t>
      </w:r>
    </w:p>
    <w:p w:rsidRPr="00C55273" w:rsidR="004D64E4" w:rsidP="00F277D4" w:rsidRDefault="004D64E4" w14:paraId="527906B2" w14:textId="47DF8E4A">
      <w:pPr>
        <w:pStyle w:val="BlockQuoteBullet1"/>
        <w:numPr>
          <w:ilvl w:val="0"/>
          <w:numId w:val="19"/>
        </w:numPr>
        <w:ind w:left="1080"/>
      </w:pPr>
      <w:r>
        <w:t xml:space="preserve">SDG&amp;E </w:t>
      </w:r>
      <w:r w:rsidRPr="004D64E4">
        <w:t xml:space="preserve">must supplement its Final </w:t>
      </w:r>
      <w:r w:rsidR="00950E04">
        <w:t>2025 RPS</w:t>
      </w:r>
      <w:r w:rsidRPr="004D64E4">
        <w:t xml:space="preserve"> Plan according to the directive provided in this decision</w:t>
      </w:r>
      <w:r>
        <w:t>.</w:t>
      </w:r>
    </w:p>
    <w:p w:rsidRPr="00C55273" w:rsidR="003A1264" w:rsidP="00F277D4" w:rsidRDefault="003A1264" w14:paraId="44751283" w14:textId="44E4E73B">
      <w:pPr>
        <w:pStyle w:val="BlockQuoteBullet1"/>
        <w:numPr>
          <w:ilvl w:val="0"/>
          <w:numId w:val="19"/>
        </w:numPr>
        <w:ind w:left="1080"/>
      </w:pPr>
      <w:r w:rsidRPr="00C55273">
        <w:t xml:space="preserve">The procuring IOUs must continue to submit either </w:t>
      </w:r>
      <w:r w:rsidR="00AF70D1">
        <w:t>Tier 1</w:t>
      </w:r>
      <w:r w:rsidRPr="00C55273">
        <w:t xml:space="preserve"> or </w:t>
      </w:r>
      <w:r w:rsidR="00AF70D1">
        <w:t>Tier 3</w:t>
      </w:r>
      <w:r w:rsidRPr="00C55273">
        <w:t xml:space="preserve"> </w:t>
      </w:r>
      <w:r>
        <w:t>A</w:t>
      </w:r>
      <w:r w:rsidRPr="00C55273">
        <w:t xml:space="preserve">dvice </w:t>
      </w:r>
      <w:r>
        <w:t>L</w:t>
      </w:r>
      <w:r w:rsidRPr="00C55273">
        <w:t>etters seeking approval of the short</w:t>
      </w:r>
      <w:r w:rsidR="00E54574">
        <w:noBreakHyphen/>
      </w:r>
      <w:r w:rsidRPr="00C55273">
        <w:t>term or long</w:t>
      </w:r>
      <w:r w:rsidR="00E54574">
        <w:noBreakHyphen/>
      </w:r>
      <w:r w:rsidRPr="00C55273">
        <w:t>term procurement contracts, respectively.</w:t>
      </w:r>
    </w:p>
    <w:p w:rsidRPr="00C55273" w:rsidR="003A1264" w:rsidP="00F277D4" w:rsidRDefault="003A1264" w14:paraId="5A53F9AA" w14:textId="1A29B39A">
      <w:pPr>
        <w:pStyle w:val="BlockQuoteBullet1"/>
        <w:numPr>
          <w:ilvl w:val="0"/>
          <w:numId w:val="19"/>
        </w:numPr>
        <w:ind w:left="1080"/>
      </w:pPr>
      <w:r w:rsidRPr="00C55273">
        <w:lastRenderedPageBreak/>
        <w:t xml:space="preserve">The IOUs that sell RPS products must continue to submit </w:t>
      </w:r>
      <w:r w:rsidR="00AF70D1">
        <w:t>Tier 1</w:t>
      </w:r>
      <w:r w:rsidRPr="00C55273">
        <w:t xml:space="preserve"> </w:t>
      </w:r>
      <w:r>
        <w:t>A</w:t>
      </w:r>
      <w:r w:rsidRPr="00C55273">
        <w:t xml:space="preserve">dvice </w:t>
      </w:r>
      <w:r>
        <w:t>L</w:t>
      </w:r>
      <w:r w:rsidRPr="00C55273">
        <w:t>etters seeking approval of the short</w:t>
      </w:r>
      <w:r w:rsidR="00E54574">
        <w:noBreakHyphen/>
      </w:r>
      <w:r w:rsidRPr="00C55273">
        <w:t>term sales contracts.</w:t>
      </w:r>
    </w:p>
    <w:p w:rsidRPr="00C55273" w:rsidR="003A1264" w:rsidP="00F277D4" w:rsidRDefault="003A1264" w14:paraId="629DD2EF" w14:textId="2BE624BB">
      <w:pPr>
        <w:pStyle w:val="Standard"/>
        <w:keepNext/>
      </w:pPr>
      <w:r w:rsidRPr="00C55273">
        <w:t>Small and Multi</w:t>
      </w:r>
      <w:r w:rsidR="00E54574">
        <w:noBreakHyphen/>
      </w:r>
      <w:r w:rsidRPr="00C55273">
        <w:t>Jurisdictional Utilities:</w:t>
      </w:r>
    </w:p>
    <w:p w:rsidR="003A1264" w:rsidP="00F277D4" w:rsidRDefault="003A1264" w14:paraId="5BB21568" w14:textId="6F807A3A">
      <w:pPr>
        <w:pStyle w:val="BlockQuoteBullet1"/>
        <w:numPr>
          <w:ilvl w:val="0"/>
          <w:numId w:val="19"/>
        </w:numPr>
        <w:ind w:left="1080"/>
      </w:pPr>
      <w:r w:rsidRPr="00C55273">
        <w:t>BVES</w:t>
      </w:r>
      <w:r w:rsidR="005A00BE">
        <w:t>’</w:t>
      </w:r>
      <w:r w:rsidR="0042067E">
        <w:t xml:space="preserve"> </w:t>
      </w:r>
      <w:r w:rsidRPr="00C55273">
        <w:t xml:space="preserve">Draft </w:t>
      </w:r>
      <w:r w:rsidR="00950E04">
        <w:t>2025 RPS</w:t>
      </w:r>
      <w:r w:rsidRPr="00C55273">
        <w:t xml:space="preserve"> Plan </w:t>
      </w:r>
      <w:r w:rsidR="00BE6219">
        <w:t>is</w:t>
      </w:r>
      <w:r w:rsidRPr="00C55273">
        <w:t xml:space="preserve"> accepted as final with no modifications.</w:t>
      </w:r>
    </w:p>
    <w:p w:rsidRPr="00C55273" w:rsidR="0042067E" w:rsidP="00F277D4" w:rsidRDefault="0042067E" w14:paraId="4B7F456A" w14:textId="137BA56C">
      <w:pPr>
        <w:pStyle w:val="BlockQuoteBullet1"/>
        <w:numPr>
          <w:ilvl w:val="0"/>
          <w:numId w:val="19"/>
        </w:numPr>
        <w:ind w:left="1080"/>
      </w:pPr>
      <w:r>
        <w:t>Liberty</w:t>
      </w:r>
      <w:r w:rsidR="00D94685">
        <w:t xml:space="preserve"> </w:t>
      </w:r>
      <w:r w:rsidR="00BE6219">
        <w:t xml:space="preserve">and PacifiCorp </w:t>
      </w:r>
      <w:r w:rsidR="00D94685">
        <w:t xml:space="preserve">must supplement </w:t>
      </w:r>
      <w:r w:rsidR="008B449C">
        <w:t>their</w:t>
      </w:r>
      <w:r w:rsidR="00D94685">
        <w:t xml:space="preserve"> Final </w:t>
      </w:r>
      <w:r w:rsidR="00950E04">
        <w:t>2025 RPS</w:t>
      </w:r>
      <w:r w:rsidR="00D94685">
        <w:t xml:space="preserve"> Plan</w:t>
      </w:r>
      <w:r w:rsidR="008B449C">
        <w:t>s</w:t>
      </w:r>
      <w:r w:rsidR="00D94685">
        <w:t xml:space="preserve"> according to the directive provided in this decision.</w:t>
      </w:r>
    </w:p>
    <w:p w:rsidR="00F023E7" w:rsidP="00F277D4" w:rsidRDefault="003A1264" w14:paraId="094B6549" w14:textId="77777777">
      <w:pPr>
        <w:pStyle w:val="Standard"/>
      </w:pPr>
      <w:r w:rsidRPr="00C55273">
        <w:t>Community Choice Aggregators and Energy Service Providers:</w:t>
      </w:r>
    </w:p>
    <w:p w:rsidR="00F023E7" w:rsidP="00F277D4" w:rsidRDefault="003A1264" w14:paraId="4722FC46" w14:textId="1AA4D4CF">
      <w:pPr>
        <w:keepNext/>
        <w:numPr>
          <w:ilvl w:val="0"/>
          <w:numId w:val="19"/>
        </w:numPr>
        <w:spacing w:after="120" w:line="240" w:lineRule="auto"/>
        <w:ind w:left="1080" w:right="1440"/>
      </w:pPr>
      <w:r w:rsidRPr="00C55273">
        <w:t xml:space="preserve">Several CCAs and ESPs must supplement their Final </w:t>
      </w:r>
      <w:r w:rsidR="00950E04">
        <w:t>2025 RPS</w:t>
      </w:r>
      <w:r w:rsidRPr="00C55273">
        <w:t xml:space="preserve"> Plans according to the directives provided in </w:t>
      </w:r>
      <w:r w:rsidR="009850E3">
        <w:t>Section </w:t>
      </w:r>
      <w:r w:rsidR="00CA29CE">
        <w:t>8</w:t>
      </w:r>
      <w:r w:rsidRPr="00C55273">
        <w:t xml:space="preserve"> </w:t>
      </w:r>
      <w:r w:rsidR="005635C6">
        <w:t xml:space="preserve">of this decision </w:t>
      </w:r>
      <w:r w:rsidRPr="00C55273">
        <w:t>and its subsections.</w:t>
      </w:r>
    </w:p>
    <w:p w:rsidR="0073353F" w:rsidP="00F277D4" w:rsidRDefault="003A1264" w14:paraId="2144E2AF" w14:textId="2C795E4A">
      <w:pPr>
        <w:pStyle w:val="Standard"/>
      </w:pPr>
      <w:r w:rsidRPr="00C55273">
        <w:t>This proceeding r</w:t>
      </w:r>
      <w:r w:rsidR="00D51244">
        <w:t>emains open.</w:t>
      </w:r>
    </w:p>
    <w:p w:rsidR="002C7FE9" w:rsidP="00F277D4" w:rsidRDefault="002C7FE9" w14:paraId="5B1EC38D" w14:textId="42AB5CA1">
      <w:pPr>
        <w:pStyle w:val="Heading1"/>
      </w:pPr>
      <w:bookmarkStart w:name="_Toc8123715" w:id="12"/>
      <w:bookmarkStart w:name="_Toc212716125" w:id="13"/>
      <w:bookmarkStart w:name="_Toc214004330" w:id="14"/>
      <w:r w:rsidRPr="00121089">
        <w:t>Background</w:t>
      </w:r>
      <w:bookmarkEnd w:id="12"/>
      <w:bookmarkEnd w:id="13"/>
      <w:bookmarkEnd w:id="14"/>
    </w:p>
    <w:p w:rsidR="00F023E7" w:rsidP="00F277D4" w:rsidRDefault="00702179" w14:paraId="1A16F5BA" w14:textId="2FDD1719">
      <w:pPr>
        <w:pStyle w:val="Standard"/>
      </w:pPr>
      <w:r>
        <w:t xml:space="preserve">This section provides an overview of the </w:t>
      </w:r>
      <w:r w:rsidRPr="007D2FB0" w:rsidR="007D2FB0">
        <w:t xml:space="preserve">California Renewables Portfolio Standard (RPS) </w:t>
      </w:r>
      <w:r>
        <w:t>program and the procedural background</w:t>
      </w:r>
      <w:r w:rsidR="0051263B">
        <w:t xml:space="preserve"> for the </w:t>
      </w:r>
      <w:r w:rsidR="00950E04">
        <w:t>2025 RPS</w:t>
      </w:r>
      <w:r w:rsidR="0051263B">
        <w:t xml:space="preserve"> planning cycle</w:t>
      </w:r>
      <w:r>
        <w:t>.</w:t>
      </w:r>
    </w:p>
    <w:p w:rsidR="00702179" w:rsidP="00F277D4" w:rsidRDefault="00301C6A" w14:paraId="611A6FB1" w14:textId="2434D688">
      <w:pPr>
        <w:pStyle w:val="Heading2"/>
      </w:pPr>
      <w:bookmarkStart w:name="_Toc212716126" w:id="15"/>
      <w:bookmarkStart w:name="_Toc214004331" w:id="16"/>
      <w:r w:rsidRPr="007D2FB0">
        <w:t>Renewables Portfolio Standard</w:t>
      </w:r>
      <w:r>
        <w:br/>
      </w:r>
      <w:r w:rsidR="00702179">
        <w:t>Program Overview</w:t>
      </w:r>
      <w:bookmarkEnd w:id="15"/>
      <w:bookmarkEnd w:id="16"/>
    </w:p>
    <w:p w:rsidR="00F023E7" w:rsidP="00F277D4" w:rsidRDefault="00F92F91" w14:paraId="233C5988" w14:textId="64D6C6B0">
      <w:pPr>
        <w:pStyle w:val="Standard"/>
      </w:pPr>
      <w:r w:rsidRPr="00F92F91">
        <w:t>The RP</w:t>
      </w:r>
      <w:r w:rsidR="007D2FB0">
        <w:t>S</w:t>
      </w:r>
      <w:r w:rsidRPr="00F92F91">
        <w:t xml:space="preserve"> program was established by </w:t>
      </w:r>
      <w:r w:rsidR="00911C97">
        <w:t>Chapter </w:t>
      </w:r>
      <w:r w:rsidRPr="00F92F91">
        <w:t>516, Statutes of 2002 (Senate Bill (SB)</w:t>
      </w:r>
      <w:r w:rsidR="00F139CD">
        <w:t> </w:t>
      </w:r>
      <w:r w:rsidRPr="00F92F91">
        <w:t xml:space="preserve">1078), and has </w:t>
      </w:r>
      <w:r w:rsidR="00E952E3">
        <w:t xml:space="preserve">since </w:t>
      </w:r>
      <w:r w:rsidRPr="00F92F91">
        <w:t xml:space="preserve">been modified </w:t>
      </w:r>
      <w:r w:rsidR="00E952E3">
        <w:t xml:space="preserve">several times </w:t>
      </w:r>
      <w:r w:rsidRPr="00F92F91">
        <w:t xml:space="preserve">by </w:t>
      </w:r>
      <w:r w:rsidR="00911C97">
        <w:t>Chapter </w:t>
      </w:r>
      <w:r w:rsidRPr="00F92F91">
        <w:t>464, Statutes of 2006 (</w:t>
      </w:r>
      <w:r w:rsidR="00F139CD">
        <w:t>SB </w:t>
      </w:r>
      <w:r w:rsidRPr="00F92F91">
        <w:t xml:space="preserve">107); </w:t>
      </w:r>
      <w:r w:rsidR="00911C97">
        <w:t>Chapter </w:t>
      </w:r>
      <w:r w:rsidRPr="00F92F91">
        <w:t>685, Statutes of 2007 (</w:t>
      </w:r>
      <w:r w:rsidR="00F139CD">
        <w:t>SB </w:t>
      </w:r>
      <w:r w:rsidRPr="00F92F91">
        <w:t xml:space="preserve">1036); </w:t>
      </w:r>
      <w:r w:rsidR="00911C97">
        <w:t>Chapter </w:t>
      </w:r>
      <w:r w:rsidRPr="00F92F91">
        <w:t>1, Statutes of 2011 (</w:t>
      </w:r>
      <w:r w:rsidR="00F139CD">
        <w:t>SB </w:t>
      </w:r>
      <w:r w:rsidRPr="00F92F91">
        <w:t>X1</w:t>
      </w:r>
      <w:r w:rsidR="00E54574">
        <w:noBreakHyphen/>
      </w:r>
      <w:r w:rsidRPr="00F92F91">
        <w:t xml:space="preserve">2); </w:t>
      </w:r>
      <w:r w:rsidR="00911C97">
        <w:t>Chapter </w:t>
      </w:r>
      <w:r w:rsidRPr="00F92F91">
        <w:t>600, Statutes of 2011 (</w:t>
      </w:r>
      <w:r w:rsidR="00F139CD">
        <w:t>SB </w:t>
      </w:r>
      <w:r w:rsidRPr="00F92F91">
        <w:t xml:space="preserve">836); </w:t>
      </w:r>
      <w:r w:rsidR="00911C97">
        <w:t>Chapter </w:t>
      </w:r>
      <w:r w:rsidRPr="00F92F91">
        <w:t>547, Statutes of 2015 (</w:t>
      </w:r>
      <w:r w:rsidR="00F139CD">
        <w:t>SB </w:t>
      </w:r>
      <w:r w:rsidRPr="00F92F91">
        <w:t xml:space="preserve">350); </w:t>
      </w:r>
      <w:r w:rsidR="00E952E3">
        <w:t xml:space="preserve">and </w:t>
      </w:r>
      <w:r w:rsidR="00911C97">
        <w:t>Chapter </w:t>
      </w:r>
      <w:r w:rsidRPr="00F92F91">
        <w:t>312, Statutes of 2018 (</w:t>
      </w:r>
      <w:r w:rsidR="00F139CD">
        <w:t>SB </w:t>
      </w:r>
      <w:r w:rsidRPr="00F92F91">
        <w:t>100). The RPS program is codified in Public Utilities (</w:t>
      </w:r>
      <w:r w:rsidR="00F81267">
        <w:t>Pub. Util.</w:t>
      </w:r>
      <w:r w:rsidRPr="00F92F91">
        <w:t xml:space="preserve">) Code </w:t>
      </w:r>
      <w:r w:rsidR="005635C6">
        <w:t>Sections </w:t>
      </w:r>
      <w:r w:rsidRPr="00F92F91">
        <w:t>399.11</w:t>
      </w:r>
      <w:r w:rsidR="00E54574">
        <w:noBreakHyphen/>
      </w:r>
      <w:r w:rsidRPr="00F92F91">
        <w:t>399.33.</w:t>
      </w:r>
      <w:r w:rsidRPr="00F92F91">
        <w:rPr>
          <w:vertAlign w:val="superscript"/>
        </w:rPr>
        <w:footnoteReference w:id="2"/>
      </w:r>
    </w:p>
    <w:p w:rsidR="00F023E7" w:rsidP="00F277D4" w:rsidRDefault="00F139CD" w14:paraId="0218E88C" w14:textId="3A647168">
      <w:pPr>
        <w:pStyle w:val="Standard"/>
      </w:pPr>
      <w:r>
        <w:lastRenderedPageBreak/>
        <w:t>SB </w:t>
      </w:r>
      <w:r w:rsidRPr="00F92F91" w:rsidR="00F92F91">
        <w:t xml:space="preserve">1078 established the RPS program, requiring </w:t>
      </w:r>
      <w:r w:rsidR="00BB4179">
        <w:t xml:space="preserve">that </w:t>
      </w:r>
      <w:r w:rsidRPr="00F92F91" w:rsidR="00F92F91">
        <w:t>20</w:t>
      </w:r>
      <w:r w:rsidR="008C0F68">
        <w:t> percent</w:t>
      </w:r>
      <w:r w:rsidRPr="00F92F91" w:rsidR="00F92F91">
        <w:t xml:space="preserve"> of retail electricity sales </w:t>
      </w:r>
      <w:r w:rsidR="00D54D7F">
        <w:t>come from</w:t>
      </w:r>
      <w:r w:rsidRPr="00F92F91" w:rsidR="00F92F91">
        <w:t xml:space="preserve"> renewable resources by 2017. </w:t>
      </w:r>
      <w:r>
        <w:t>SB </w:t>
      </w:r>
      <w:r w:rsidRPr="00F92F91" w:rsidR="00F92F91">
        <w:t xml:space="preserve">107 </w:t>
      </w:r>
      <w:r w:rsidR="00F91A3B">
        <w:t xml:space="preserve">later </w:t>
      </w:r>
      <w:r w:rsidRPr="00F92F91" w:rsidR="00F92F91">
        <w:t xml:space="preserve">accelerated </w:t>
      </w:r>
      <w:r w:rsidR="00D54D7F">
        <w:t>this requirement, moving the 20</w:t>
      </w:r>
      <w:r w:rsidR="008C0F68">
        <w:t> percent</w:t>
      </w:r>
      <w:r w:rsidR="00D54D7F">
        <w:t xml:space="preserve"> target</w:t>
      </w:r>
      <w:r w:rsidRPr="00F92F91" w:rsidR="00F92F91">
        <w:t xml:space="preserve"> to 2010. </w:t>
      </w:r>
      <w:r>
        <w:t>SB </w:t>
      </w:r>
      <w:r w:rsidRPr="00F92F91" w:rsidR="00F92F91">
        <w:t xml:space="preserve">1036 changed the </w:t>
      </w:r>
      <w:r w:rsidR="00F91A3B">
        <w:t xml:space="preserve">RPS contract </w:t>
      </w:r>
      <w:r w:rsidRPr="00F92F91" w:rsidR="00F92F91">
        <w:t>payment structure</w:t>
      </w:r>
      <w:r w:rsidR="00F91A3B">
        <w:t xml:space="preserve">, while </w:t>
      </w:r>
      <w:r>
        <w:t>SB </w:t>
      </w:r>
      <w:r w:rsidRPr="00F92F91" w:rsidR="00F92F91">
        <w:t xml:space="preserve">836 required the </w:t>
      </w:r>
      <w:r w:rsidRPr="00E23F06" w:rsidR="00602F63">
        <w:t>California Public Utilities Commission (Commission</w:t>
      </w:r>
      <w:r w:rsidR="00602F63">
        <w:t>)</w:t>
      </w:r>
      <w:r w:rsidRPr="00F92F91" w:rsidR="00F92F91">
        <w:t xml:space="preserve"> to report renewable energy contract costs to the Legislature.</w:t>
      </w:r>
    </w:p>
    <w:p w:rsidR="00F023E7" w:rsidP="00F277D4" w:rsidRDefault="00F139CD" w14:paraId="1870025E" w14:textId="59C8C880">
      <w:pPr>
        <w:pStyle w:val="Standard"/>
      </w:pPr>
      <w:r>
        <w:t>SB </w:t>
      </w:r>
      <w:r w:rsidRPr="00F92F91" w:rsidR="00F92F91">
        <w:t>X</w:t>
      </w:r>
      <w:r w:rsidR="008C01EF">
        <w:t>1</w:t>
      </w:r>
      <w:r w:rsidR="00E54574">
        <w:noBreakHyphen/>
      </w:r>
      <w:r w:rsidR="008C01EF">
        <w:t>2</w:t>
      </w:r>
      <w:r w:rsidRPr="00F92F91" w:rsidR="00F92F91">
        <w:t xml:space="preserve"> </w:t>
      </w:r>
      <w:r w:rsidR="00D54D7F">
        <w:t>expanded the program by</w:t>
      </w:r>
      <w:r w:rsidRPr="00F92F91" w:rsidR="00F92F91">
        <w:t xml:space="preserve"> requir</w:t>
      </w:r>
      <w:r w:rsidR="00D54D7F">
        <w:t>ing</w:t>
      </w:r>
      <w:r w:rsidRPr="00F92F91" w:rsidR="00F92F91">
        <w:t xml:space="preserve"> all retail electricity </w:t>
      </w:r>
      <w:r w:rsidR="00D54D7F">
        <w:t xml:space="preserve">sellers </w:t>
      </w:r>
      <w:r w:rsidRPr="00F92F91" w:rsidR="00F92F91">
        <w:t>and publicly</w:t>
      </w:r>
      <w:r w:rsidR="00E54574">
        <w:noBreakHyphen/>
      </w:r>
      <w:r w:rsidRPr="00F92F91" w:rsidR="00F92F91">
        <w:t>owned utilities to procure at least 33</w:t>
      </w:r>
      <w:r w:rsidR="008C0F68">
        <w:t> percent</w:t>
      </w:r>
      <w:r w:rsidRPr="00F92F91" w:rsidR="00F92F91">
        <w:t xml:space="preserve"> of electricity delivered to their retail customers from renewable resources by 2020. </w:t>
      </w:r>
      <w:r>
        <w:t>SB </w:t>
      </w:r>
      <w:r w:rsidRPr="00F92F91" w:rsidR="00F92F91">
        <w:t xml:space="preserve">350 </w:t>
      </w:r>
      <w:r w:rsidR="00526570">
        <w:t>added</w:t>
      </w:r>
      <w:r w:rsidRPr="00F92F91" w:rsidR="00F92F91">
        <w:t xml:space="preserve"> interim annual RPS targets with three</w:t>
      </w:r>
      <w:r w:rsidR="00E54574">
        <w:noBreakHyphen/>
      </w:r>
      <w:r w:rsidRPr="00F92F91" w:rsidR="00F92F91">
        <w:t>year compliance periods</w:t>
      </w:r>
      <w:r w:rsidR="00526570">
        <w:t xml:space="preserve">. It also </w:t>
      </w:r>
      <w:r w:rsidRPr="00F92F91" w:rsidR="00F92F91">
        <w:t>required 65</w:t>
      </w:r>
      <w:r w:rsidR="008C0F68">
        <w:t> percent</w:t>
      </w:r>
      <w:r w:rsidRPr="00F92F91" w:rsidR="00F92F91">
        <w:t xml:space="preserve"> of RPS procurement to </w:t>
      </w:r>
      <w:r w:rsidR="00526570">
        <w:t>come</w:t>
      </w:r>
      <w:r w:rsidRPr="00F92F91" w:rsidR="00F92F91">
        <w:t xml:space="preserve"> from long</w:t>
      </w:r>
      <w:r w:rsidR="00E54574">
        <w:noBreakHyphen/>
      </w:r>
      <w:r w:rsidRPr="00F92F91" w:rsidR="00F92F91">
        <w:t xml:space="preserve">term contracts </w:t>
      </w:r>
      <w:r w:rsidR="00526570">
        <w:t xml:space="preserve">lasting </w:t>
      </w:r>
      <w:r w:rsidRPr="00F92F91" w:rsidR="00F92F91">
        <w:t xml:space="preserve">10 </w:t>
      </w:r>
      <w:r w:rsidR="00526570">
        <w:t xml:space="preserve">years </w:t>
      </w:r>
      <w:r w:rsidRPr="00F92F91" w:rsidR="00F92F91">
        <w:t>or more.</w:t>
      </w:r>
    </w:p>
    <w:p w:rsidRPr="00F92F91" w:rsidR="00F92F91" w:rsidP="00F277D4" w:rsidRDefault="00F92F91" w14:paraId="0DDC139B" w14:textId="053C0EC8">
      <w:pPr>
        <w:pStyle w:val="Standard"/>
      </w:pPr>
      <w:r w:rsidRPr="00F92F91">
        <w:t xml:space="preserve">In 2018, </w:t>
      </w:r>
      <w:r w:rsidR="00F139CD">
        <w:t>SB </w:t>
      </w:r>
      <w:r w:rsidRPr="00F92F91">
        <w:t xml:space="preserve">100 </w:t>
      </w:r>
      <w:r w:rsidR="00526570">
        <w:t>raised the target again to 60</w:t>
      </w:r>
      <w:r w:rsidR="008C0F68">
        <w:t> percent</w:t>
      </w:r>
      <w:r w:rsidR="00526570">
        <w:t xml:space="preserve"> by 2030 and set a broader goal </w:t>
      </w:r>
      <w:r w:rsidRPr="00F92F91">
        <w:t>for 100</w:t>
      </w:r>
      <w:r w:rsidR="008C0F68">
        <w:t> percent</w:t>
      </w:r>
      <w:r w:rsidRPr="00F92F91">
        <w:t xml:space="preserve"> of the state</w:t>
      </w:r>
      <w:r w:rsidR="005A00BE">
        <w:t>’</w:t>
      </w:r>
      <w:r w:rsidRPr="00F92F91">
        <w:t>s retail electricity sales to come from renewable and zero</w:t>
      </w:r>
      <w:r w:rsidR="00E54574">
        <w:noBreakHyphen/>
      </w:r>
      <w:r w:rsidRPr="00F92F91">
        <w:t xml:space="preserve">carbon resources by 2045. </w:t>
      </w:r>
      <w:r w:rsidR="00F139CD">
        <w:t>SB </w:t>
      </w:r>
      <w:r w:rsidRPr="00F92F91">
        <w:t xml:space="preserve">1020 </w:t>
      </w:r>
      <w:r w:rsidR="00494B96">
        <w:t xml:space="preserve">later </w:t>
      </w:r>
      <w:r w:rsidRPr="00F92F91">
        <w:t>es</w:t>
      </w:r>
      <w:r w:rsidR="00526570">
        <w:t>tablished</w:t>
      </w:r>
      <w:r w:rsidRPr="00F92F91">
        <w:t xml:space="preserve"> interim targets for eligible renewable energy resources and zero</w:t>
      </w:r>
      <w:r w:rsidR="00E54574">
        <w:noBreakHyphen/>
      </w:r>
      <w:r w:rsidRPr="00F92F91">
        <w:t>carbon resources to supply 90</w:t>
      </w:r>
      <w:r w:rsidR="008C0F68">
        <w:t> percent</w:t>
      </w:r>
      <w:r w:rsidRPr="00F92F91">
        <w:t xml:space="preserve"> of all retail sales of electricity to California end</w:t>
      </w:r>
      <w:r w:rsidR="00E54574">
        <w:noBreakHyphen/>
      </w:r>
      <w:r w:rsidRPr="00F92F91">
        <w:t xml:space="preserve">use customers by </w:t>
      </w:r>
      <w:r w:rsidR="00CD5830">
        <w:t>December </w:t>
      </w:r>
      <w:r w:rsidRPr="00F92F91">
        <w:t>31, 2035, and 95</w:t>
      </w:r>
      <w:r w:rsidR="008C0F68">
        <w:t> percent</w:t>
      </w:r>
      <w:r w:rsidRPr="00F92F91">
        <w:t xml:space="preserve"> of all retail sales of electricity to California end</w:t>
      </w:r>
      <w:r w:rsidR="00E54574">
        <w:noBreakHyphen/>
      </w:r>
      <w:r w:rsidRPr="00F92F91">
        <w:t xml:space="preserve">use customers by </w:t>
      </w:r>
      <w:r w:rsidR="00CD5830">
        <w:t>December </w:t>
      </w:r>
      <w:r w:rsidRPr="00F92F91">
        <w:t>31, 2040.</w:t>
      </w:r>
    </w:p>
    <w:p w:rsidR="00F023E7" w:rsidP="00F277D4" w:rsidRDefault="001736C7" w14:paraId="4C32CD88" w14:textId="24A4C701">
      <w:pPr>
        <w:pStyle w:val="Standard"/>
      </w:pPr>
      <w:r>
        <w:t xml:space="preserve">As part of implementing </w:t>
      </w:r>
      <w:r w:rsidR="00F139CD">
        <w:t>SB </w:t>
      </w:r>
      <w:r>
        <w:t>X1</w:t>
      </w:r>
      <w:r w:rsidR="00E54574">
        <w:noBreakHyphen/>
      </w:r>
      <w:r>
        <w:t>2, the Commission refined the RPS procurement process i</w:t>
      </w:r>
      <w:r w:rsidRPr="00F92F91" w:rsidR="00F92F91">
        <w:t>n Decision (D.)</w:t>
      </w:r>
      <w:r w:rsidR="008C0F68">
        <w:t> </w:t>
      </w:r>
      <w:r w:rsidRPr="00F92F91" w:rsidR="00F92F91">
        <w:t>12</w:t>
      </w:r>
      <w:r w:rsidR="00E54574">
        <w:noBreakHyphen/>
      </w:r>
      <w:r w:rsidRPr="00F92F91" w:rsidR="00F92F91">
        <w:t>11</w:t>
      </w:r>
      <w:r w:rsidR="00E54574">
        <w:noBreakHyphen/>
      </w:r>
      <w:r w:rsidRPr="00F92F91" w:rsidR="00F92F91">
        <w:t xml:space="preserve">016. </w:t>
      </w:r>
      <w:r w:rsidR="00E17C40">
        <w:t xml:space="preserve">In earlier </w:t>
      </w:r>
      <w:r w:rsidRPr="00F92F91" w:rsidR="00F92F91">
        <w:t xml:space="preserve">decisions, the Commission had set forth the process for filing and evaluating the RPS Procurement Plans (RPS Plans) of electrical corporations and other retail sellers. </w:t>
      </w:r>
      <w:r w:rsidR="00E17C40">
        <w:t>Under the statute, the term</w:t>
      </w:r>
      <w:r w:rsidRPr="00F92F91" w:rsidR="00F92F91">
        <w:t xml:space="preserve"> </w:t>
      </w:r>
      <w:r w:rsidR="005A00BE">
        <w:t>“</w:t>
      </w:r>
      <w:r w:rsidRPr="00F92F91" w:rsidR="00F92F91">
        <w:t>retail seller</w:t>
      </w:r>
      <w:r w:rsidR="005A00BE">
        <w:t>”</w:t>
      </w:r>
      <w:r w:rsidRPr="00F92F91" w:rsidR="00F92F91">
        <w:t xml:space="preserve"> includes small and large electrical </w:t>
      </w:r>
      <w:r w:rsidRPr="00F92F91" w:rsidR="00F92F91">
        <w:lastRenderedPageBreak/>
        <w:t>corporations, Community Choice Aggregators (CCAs), and Electric Service Providers (ESPs).</w:t>
      </w:r>
      <w:r w:rsidRPr="00F92F91" w:rsidR="00F92F91">
        <w:rPr>
          <w:vertAlign w:val="superscript"/>
        </w:rPr>
        <w:footnoteReference w:id="3"/>
      </w:r>
    </w:p>
    <w:p w:rsidRPr="00F92F91" w:rsidR="00702179" w:rsidP="00F277D4" w:rsidRDefault="00702179" w14:paraId="3120E78F" w14:textId="1C177D68">
      <w:pPr>
        <w:pStyle w:val="Heading2"/>
      </w:pPr>
      <w:bookmarkStart w:name="_Toc212716127" w:id="17"/>
      <w:bookmarkStart w:name="_Toc214004332" w:id="18"/>
      <w:r>
        <w:t>Procedural Background</w:t>
      </w:r>
      <w:bookmarkEnd w:id="17"/>
      <w:bookmarkEnd w:id="18"/>
    </w:p>
    <w:p w:rsidRPr="00F92F91" w:rsidR="00F92F91" w:rsidP="00F277D4" w:rsidRDefault="00F92F91" w14:paraId="70CEF88A" w14:textId="7FC7CAE0">
      <w:pPr>
        <w:pStyle w:val="Standard"/>
      </w:pPr>
      <w:r w:rsidRPr="00F92F91">
        <w:t xml:space="preserve">On </w:t>
      </w:r>
      <w:r w:rsidR="00CD5830">
        <w:t>April </w:t>
      </w:r>
      <w:r w:rsidRPr="00F92F91">
        <w:t>17, 202</w:t>
      </w:r>
      <w:r w:rsidR="005473CD">
        <w:t>5</w:t>
      </w:r>
      <w:r w:rsidRPr="00F92F91">
        <w:t>, an assigned Commissioner and assigned Administrative Law Judge (ALJ) Ruling (202</w:t>
      </w:r>
      <w:r w:rsidR="00A10C06">
        <w:t>5</w:t>
      </w:r>
      <w:r w:rsidRPr="00F92F91">
        <w:t xml:space="preserve"> ACR) was issued according to the authority provided in </w:t>
      </w:r>
      <w:r w:rsidR="00F81267">
        <w:t>Pub. Util.</w:t>
      </w:r>
      <w:r w:rsidRPr="00F92F91">
        <w:t xml:space="preserve"> Code </w:t>
      </w:r>
      <w:r w:rsidR="009850E3">
        <w:t>Section </w:t>
      </w:r>
      <w:r w:rsidRPr="00F92F91">
        <w:t>399.13(a)(1). This 202</w:t>
      </w:r>
      <w:r w:rsidR="00A10C06">
        <w:t>5</w:t>
      </w:r>
      <w:r w:rsidRPr="00F92F91">
        <w:t xml:space="preserve"> ACR identified the </w:t>
      </w:r>
      <w:r w:rsidR="00950E04">
        <w:t>2025 RPS</w:t>
      </w:r>
      <w:r w:rsidRPr="00F92F91">
        <w:t xml:space="preserve"> Procurement Plan filing requirements for all retail sellers of electricity and set a schedule for the Commission</w:t>
      </w:r>
      <w:r w:rsidR="005A00BE">
        <w:t>’</w:t>
      </w:r>
      <w:r w:rsidRPr="00F92F91">
        <w:t xml:space="preserve">s review of the </w:t>
      </w:r>
      <w:r w:rsidR="00950E04">
        <w:t>2025 RPS</w:t>
      </w:r>
      <w:r w:rsidRPr="00F92F91">
        <w:t xml:space="preserve"> Plans.</w:t>
      </w:r>
    </w:p>
    <w:p w:rsidR="00F023E7" w:rsidP="00F277D4" w:rsidRDefault="00DF28E0" w14:paraId="2C99CCE6" w14:textId="413E6564">
      <w:pPr>
        <w:pStyle w:val="Standard"/>
      </w:pPr>
      <w:r>
        <w:t>T</w:t>
      </w:r>
      <w:r w:rsidRPr="00F92F91" w:rsidR="00F92F91">
        <w:t xml:space="preserve">he following retail sellers timely filed their Draft </w:t>
      </w:r>
      <w:r w:rsidR="00950E04">
        <w:t>2025 RPS</w:t>
      </w:r>
      <w:r w:rsidRPr="00F92F91" w:rsidR="00F92F91">
        <w:t xml:space="preserve"> Plans</w:t>
      </w:r>
      <w:r w:rsidR="00CD5830">
        <w:t xml:space="preserve">:  </w:t>
      </w:r>
      <w:r w:rsidR="00EF23C7">
        <w:t>Pacific Gas and Electric Company (</w:t>
      </w:r>
      <w:r w:rsidRPr="00F92F91" w:rsidR="00F92F91">
        <w:t>PG&amp;E</w:t>
      </w:r>
      <w:r w:rsidR="00EF23C7">
        <w:t>)</w:t>
      </w:r>
      <w:r w:rsidRPr="00F92F91" w:rsidR="00F92F91">
        <w:t xml:space="preserve">; </w:t>
      </w:r>
      <w:r w:rsidR="00EF23C7">
        <w:t>Southern California Edison Company (</w:t>
      </w:r>
      <w:r w:rsidRPr="00F92F91" w:rsidR="00F92F91">
        <w:t>SCE</w:t>
      </w:r>
      <w:r w:rsidR="00EF23C7">
        <w:t>)</w:t>
      </w:r>
      <w:r w:rsidRPr="00F92F91" w:rsidR="00F92F91">
        <w:t xml:space="preserve">; </w:t>
      </w:r>
      <w:r w:rsidR="00B471F2">
        <w:t>San </w:t>
      </w:r>
      <w:r w:rsidR="00EF23C7">
        <w:t xml:space="preserve">Diego </w:t>
      </w:r>
      <w:r w:rsidR="00AF7119">
        <w:t>G</w:t>
      </w:r>
      <w:r w:rsidR="00EF23C7">
        <w:t>as</w:t>
      </w:r>
      <w:r w:rsidR="00B471F2">
        <w:t xml:space="preserve"> &amp; </w:t>
      </w:r>
      <w:r w:rsidR="00EF23C7">
        <w:t>Electric Company (</w:t>
      </w:r>
      <w:r w:rsidRPr="00F92F91" w:rsidR="00F92F91">
        <w:t>SDG&amp;E</w:t>
      </w:r>
      <w:r w:rsidR="00EF23C7">
        <w:t>)</w:t>
      </w:r>
      <w:r w:rsidRPr="00F92F91" w:rsidR="00F92F91">
        <w:t xml:space="preserve">; </w:t>
      </w:r>
      <w:r w:rsidR="00EF23C7">
        <w:t>Bear Valley Electric Service (</w:t>
      </w:r>
      <w:r w:rsidRPr="00F92F91" w:rsidR="00F92F91">
        <w:t>BVES</w:t>
      </w:r>
      <w:r w:rsidR="00EF23C7">
        <w:t>)</w:t>
      </w:r>
      <w:r w:rsidRPr="00F92F91" w:rsidR="00F92F91">
        <w:t xml:space="preserve">; </w:t>
      </w:r>
      <w:r w:rsidRPr="00696C2D" w:rsidR="00696C2D">
        <w:t>Liberty Utilities (CalPeco Electric), LLC (Liberty)</w:t>
      </w:r>
      <w:r w:rsidRPr="00F92F91" w:rsidR="00F92F91">
        <w:t xml:space="preserve">; </w:t>
      </w:r>
      <w:r w:rsidRPr="00962EA3" w:rsidR="00962EA3">
        <w:t>PacifiCorp</w:t>
      </w:r>
      <w:r w:rsidR="008C6522">
        <w:t xml:space="preserve"> d/b/a</w:t>
      </w:r>
      <w:r w:rsidRPr="00962EA3" w:rsidR="00962EA3">
        <w:t xml:space="preserve"> Pacific Power (PacifiCorp)</w:t>
      </w:r>
      <w:r w:rsidRPr="00F92F91" w:rsidR="00F92F91">
        <w:t>; A</w:t>
      </w:r>
      <w:r w:rsidR="0075348D">
        <w:t xml:space="preserve">pple </w:t>
      </w:r>
      <w:r w:rsidRPr="00F92F91" w:rsidR="00F92F91">
        <w:t>V</w:t>
      </w:r>
      <w:r w:rsidR="0075348D">
        <w:t xml:space="preserve">alley </w:t>
      </w:r>
      <w:r w:rsidRPr="00F92F91" w:rsidR="00F92F91">
        <w:t>C</w:t>
      </w:r>
      <w:r w:rsidR="0075348D">
        <w:t xml:space="preserve">hoice </w:t>
      </w:r>
      <w:r w:rsidRPr="00F92F91" w:rsidR="00F92F91">
        <w:t>E</w:t>
      </w:r>
      <w:r w:rsidR="0075348D">
        <w:t>nergy</w:t>
      </w:r>
      <w:r w:rsidRPr="00F92F91" w:rsidR="00F92F91">
        <w:t xml:space="preserve">; Ava Community Energy; Central Coast Community Energy; City of Palmdale; City of Pomona; City of </w:t>
      </w:r>
      <w:r w:rsidR="00B471F2">
        <w:t>Santa </w:t>
      </w:r>
      <w:r w:rsidRPr="00F92F91" w:rsidR="00F92F91">
        <w:t xml:space="preserve">Barbara; Clean Energy Alliance; Clean Power Alliance of Southern California; CleanPowerSF; Desert Community Energy; King City Community Power; Lancaster Choice Energy; Marin Clean Energy; Orange County Power Authority; Peninsula Clean Energy; Pico Rivera Innovative Municipal Energy (Pico Rivera); Pioneer Community Energy; Rancho Mirage Energy Authority; Redwood Coast Energy Authority; </w:t>
      </w:r>
      <w:r w:rsidR="00B471F2">
        <w:t>San </w:t>
      </w:r>
      <w:r w:rsidRPr="00F92F91" w:rsidR="00F92F91">
        <w:t xml:space="preserve">Diego Community Power; </w:t>
      </w:r>
      <w:r w:rsidR="00B471F2">
        <w:t>San </w:t>
      </w:r>
      <w:r w:rsidRPr="00F92F91" w:rsidR="00F92F91">
        <w:t xml:space="preserve">Jacinto Power; </w:t>
      </w:r>
      <w:r w:rsidR="00B471F2">
        <w:t>San </w:t>
      </w:r>
      <w:r w:rsidRPr="00F92F91" w:rsidR="00F92F91">
        <w:t>Jose Clean Energy; Silicon Valley C</w:t>
      </w:r>
      <w:r w:rsidR="00E5752C">
        <w:t>lean</w:t>
      </w:r>
      <w:r w:rsidRPr="00F92F91" w:rsidR="00F92F91">
        <w:t xml:space="preserve"> Energy; Sonoma Clean Power Authority; Valley Clean Energy Alliance; </w:t>
      </w:r>
      <w:r w:rsidR="00565D53">
        <w:t>3 Phase</w:t>
      </w:r>
      <w:r w:rsidRPr="00F92F91" w:rsidR="00F92F91">
        <w:t>s Renewables, Inc.; BP Energy Retail Company California LLC</w:t>
      </w:r>
      <w:r w:rsidR="00421809">
        <w:t xml:space="preserve"> (BP Energy)</w:t>
      </w:r>
      <w:r w:rsidRPr="00F92F91" w:rsidR="00F92F91">
        <w:t xml:space="preserve">; Calpine Energy Solutions, </w:t>
      </w:r>
      <w:r w:rsidRPr="00F92F91" w:rsidR="00F92F91">
        <w:lastRenderedPageBreak/>
        <w:t>LLC; Calpine Power America</w:t>
      </w:r>
      <w:r w:rsidR="00E54574">
        <w:noBreakHyphen/>
      </w:r>
      <w:r w:rsidRPr="00F92F91" w:rsidR="00F92F91">
        <w:t>CA, LLC; Commercial Energy of Montana, Inc.</w:t>
      </w:r>
      <w:r w:rsidR="00002C2D">
        <w:t xml:space="preserve"> (</w:t>
      </w:r>
      <w:r w:rsidRPr="00F92F91" w:rsidR="00002C2D">
        <w:t>Commercial Energy</w:t>
      </w:r>
      <w:r w:rsidR="00002C2D">
        <w:t>)</w:t>
      </w:r>
      <w:r w:rsidRPr="00F92F91" w:rsidR="00F92F91">
        <w:t xml:space="preserve">; Constellation NewEnergy, </w:t>
      </w:r>
      <w:r w:rsidR="002273E0">
        <w:t>Inc.;</w:t>
      </w:r>
      <w:r w:rsidRPr="00F92F91" w:rsidR="00F92F91">
        <w:t xml:space="preserve"> Direct Energy Business, LLC; Pilot Power Group, LLC</w:t>
      </w:r>
      <w:r w:rsidR="00DE0C51">
        <w:t xml:space="preserve"> (Pilot Power)</w:t>
      </w:r>
      <w:r w:rsidRPr="00F92F91" w:rsidR="00F92F91">
        <w:t xml:space="preserve">; </w:t>
      </w:r>
      <w:r w:rsidR="00DA6578">
        <w:t>Shell E</w:t>
      </w:r>
      <w:r w:rsidRPr="00F92F91" w:rsidR="00F92F91">
        <w:t>nergy North America (US), L.P.</w:t>
      </w:r>
      <w:r w:rsidR="00C77DC0">
        <w:t xml:space="preserve"> (</w:t>
      </w:r>
      <w:r w:rsidR="00DA6578">
        <w:t>Shell E</w:t>
      </w:r>
      <w:r w:rsidR="00C77DC0">
        <w:t>nergy)</w:t>
      </w:r>
      <w:r w:rsidRPr="00F92F91" w:rsidR="00F92F91">
        <w:t xml:space="preserve">; and </w:t>
      </w:r>
      <w:r w:rsidR="003F6A41">
        <w:t>T</w:t>
      </w:r>
      <w:r w:rsidRPr="00F92F91" w:rsidR="003F6A41">
        <w:t xml:space="preserve">he </w:t>
      </w:r>
      <w:r w:rsidRPr="00F92F91" w:rsidR="00F92F91">
        <w:t xml:space="preserve">Regents of the University of California. </w:t>
      </w:r>
      <w:r w:rsidR="00713311">
        <w:t xml:space="preserve">Brookfield Renewable Energy </w:t>
      </w:r>
      <w:r w:rsidR="00F525A5">
        <w:t>M</w:t>
      </w:r>
      <w:r w:rsidR="00713311">
        <w:t xml:space="preserve">arketing US LLC </w:t>
      </w:r>
      <w:r w:rsidR="004F634D">
        <w:t xml:space="preserve">(BREMUS) </w:t>
      </w:r>
      <w:r w:rsidR="00713311">
        <w:t>filed a motion for exemption</w:t>
      </w:r>
      <w:r w:rsidR="001D52E2">
        <w:t xml:space="preserve"> from filing its current and future RPS plans</w:t>
      </w:r>
      <w:r w:rsidR="00713311">
        <w:t>.</w:t>
      </w:r>
    </w:p>
    <w:p w:rsidR="00F023E7" w:rsidP="00F277D4" w:rsidRDefault="00F92F91" w14:paraId="41629EE5" w14:textId="39E11AEC">
      <w:pPr>
        <w:pStyle w:val="Standard"/>
      </w:pPr>
      <w:r w:rsidRPr="00F92F91">
        <w:t xml:space="preserve">Comments on the Draft </w:t>
      </w:r>
      <w:r w:rsidR="00950E04">
        <w:t>2025 RPS</w:t>
      </w:r>
      <w:r w:rsidRPr="00F92F91">
        <w:t xml:space="preserve"> </w:t>
      </w:r>
      <w:r w:rsidR="0050341E">
        <w:t>P</w:t>
      </w:r>
      <w:r w:rsidRPr="00F92F91">
        <w:t xml:space="preserve">lans were filed on </w:t>
      </w:r>
      <w:r w:rsidR="00CD5830">
        <w:t>July </w:t>
      </w:r>
      <w:r w:rsidR="00B377F2">
        <w:t>28</w:t>
      </w:r>
      <w:r w:rsidRPr="00F92F91">
        <w:t>, 202</w:t>
      </w:r>
      <w:r w:rsidR="00B377F2">
        <w:t>5</w:t>
      </w:r>
      <w:r w:rsidRPr="00F92F91">
        <w:t xml:space="preserve">, by the Public Advocates Office at the </w:t>
      </w:r>
      <w:r w:rsidR="000C5099">
        <w:t xml:space="preserve">California Public Utilities </w:t>
      </w:r>
      <w:r w:rsidRPr="00F92F91">
        <w:t>Commission (</w:t>
      </w:r>
      <w:r w:rsidR="000C5099">
        <w:t>Cal Advoc</w:t>
      </w:r>
      <w:r w:rsidRPr="00F92F91">
        <w:t>ates). Reply comments</w:t>
      </w:r>
      <w:r w:rsidR="0050341E">
        <w:t xml:space="preserve"> </w:t>
      </w:r>
      <w:r w:rsidRPr="00F92F91">
        <w:t xml:space="preserve">were filed on </w:t>
      </w:r>
      <w:r w:rsidR="00CD5830">
        <w:t>August </w:t>
      </w:r>
      <w:r w:rsidR="00B377F2">
        <w:t>11</w:t>
      </w:r>
      <w:r w:rsidRPr="00F92F91">
        <w:t>, 202</w:t>
      </w:r>
      <w:r w:rsidR="00B377F2">
        <w:t>5</w:t>
      </w:r>
      <w:r w:rsidRPr="00F92F91">
        <w:t xml:space="preserve">, by </w:t>
      </w:r>
      <w:r w:rsidR="00B377F2">
        <w:t>PG&amp;E, SCE, and SDG&amp;E</w:t>
      </w:r>
      <w:r w:rsidRPr="00F92F91">
        <w:t>.</w:t>
      </w:r>
    </w:p>
    <w:p w:rsidR="007D3E33" w:rsidP="00F277D4" w:rsidRDefault="00F92F91" w14:paraId="6834112E" w14:textId="21A2A85C">
      <w:pPr>
        <w:pStyle w:val="Standard"/>
      </w:pPr>
      <w:r w:rsidRPr="00F92F91">
        <w:t xml:space="preserve">On </w:t>
      </w:r>
      <w:r w:rsidR="00CD5830">
        <w:t>August </w:t>
      </w:r>
      <w:r w:rsidR="00B377F2">
        <w:t>11</w:t>
      </w:r>
      <w:r w:rsidRPr="00F92F91">
        <w:t>, 202</w:t>
      </w:r>
      <w:r w:rsidR="00B377F2">
        <w:t>5</w:t>
      </w:r>
      <w:r w:rsidRPr="00F92F91">
        <w:t>, SCE</w:t>
      </w:r>
      <w:r w:rsidR="00070DE1">
        <w:t xml:space="preserve"> </w:t>
      </w:r>
      <w:r w:rsidRPr="00F92F91">
        <w:t xml:space="preserve">filed </w:t>
      </w:r>
      <w:r w:rsidR="00070DE1">
        <w:t xml:space="preserve">a </w:t>
      </w:r>
      <w:r w:rsidRPr="00F92F91">
        <w:t xml:space="preserve">motion to update </w:t>
      </w:r>
      <w:r w:rsidR="00070DE1">
        <w:t>its</w:t>
      </w:r>
      <w:r w:rsidRPr="00F92F91">
        <w:t xml:space="preserve"> Draft </w:t>
      </w:r>
      <w:r w:rsidR="00950E04">
        <w:t>2025 RPS</w:t>
      </w:r>
      <w:r w:rsidRPr="00F92F91">
        <w:t xml:space="preserve"> Plan; SDG&amp;E filed substitute sheets to update its Draft </w:t>
      </w:r>
      <w:r w:rsidR="00950E04">
        <w:t>2025 RPS</w:t>
      </w:r>
      <w:r w:rsidRPr="00F92F91">
        <w:t xml:space="preserve"> Plan.</w:t>
      </w:r>
      <w:r w:rsidR="002864E5">
        <w:t xml:space="preserve"> </w:t>
      </w:r>
      <w:r w:rsidR="000C5099">
        <w:t>Cal Advoc</w:t>
      </w:r>
      <w:r w:rsidR="002864E5">
        <w:t xml:space="preserve">ates </w:t>
      </w:r>
      <w:r w:rsidR="00FA273F">
        <w:t>filed a response to</w:t>
      </w:r>
      <w:r w:rsidR="002864E5">
        <w:t xml:space="preserve"> th</w:t>
      </w:r>
      <w:r w:rsidR="004C560E">
        <w:t>e</w:t>
      </w:r>
      <w:r w:rsidR="002864E5">
        <w:t xml:space="preserve">se updates on </w:t>
      </w:r>
      <w:r w:rsidR="00CD5830">
        <w:t>August </w:t>
      </w:r>
      <w:r w:rsidR="002864E5">
        <w:t>26, 2025.</w:t>
      </w:r>
      <w:r w:rsidR="00A56472">
        <w:t xml:space="preserve"> SCE and SDG&amp;E filed replies to </w:t>
      </w:r>
      <w:r w:rsidR="000C5099">
        <w:t>Cal Advoc</w:t>
      </w:r>
      <w:r w:rsidR="00A56472">
        <w:t>ates</w:t>
      </w:r>
      <w:r w:rsidR="005A00BE">
        <w:t>’</w:t>
      </w:r>
      <w:r w:rsidR="00A56472">
        <w:t xml:space="preserve"> response on </w:t>
      </w:r>
      <w:r w:rsidR="00CD5830">
        <w:t>September </w:t>
      </w:r>
      <w:r w:rsidR="00A56472">
        <w:t>5, 2025.</w:t>
      </w:r>
    </w:p>
    <w:p w:rsidR="00683B2C" w:rsidP="00F277D4" w:rsidRDefault="00683B2C" w14:paraId="6FDABCE0" w14:textId="77777777">
      <w:pPr>
        <w:pStyle w:val="Heading2"/>
      </w:pPr>
      <w:bookmarkStart w:name="_Toc212716128" w:id="19"/>
      <w:bookmarkStart w:name="_Toc214004333" w:id="20"/>
      <w:r>
        <w:t>Submission Date</w:t>
      </w:r>
      <w:bookmarkEnd w:id="19"/>
      <w:bookmarkEnd w:id="20"/>
    </w:p>
    <w:p w:rsidRPr="0063491C" w:rsidR="0063491C" w:rsidP="00F277D4" w:rsidRDefault="00683B2C" w14:paraId="66605FAF" w14:textId="39F9D175">
      <w:pPr>
        <w:pStyle w:val="Standard"/>
      </w:pPr>
      <w:r w:rsidRPr="00FF0265">
        <w:t xml:space="preserve">This matter was submitted on </w:t>
      </w:r>
      <w:r w:rsidR="00CD5830">
        <w:t>September </w:t>
      </w:r>
      <w:r w:rsidR="00A56472">
        <w:t>5</w:t>
      </w:r>
      <w:r w:rsidR="00031684">
        <w:t>, 2025,</w:t>
      </w:r>
      <w:r w:rsidRPr="00FF0265">
        <w:t xml:space="preserve"> upon </w:t>
      </w:r>
      <w:r w:rsidR="00031684">
        <w:t>receipt of re</w:t>
      </w:r>
      <w:r w:rsidR="00A56472">
        <w:t>plies</w:t>
      </w:r>
      <w:r w:rsidR="00031684">
        <w:t xml:space="preserve"> to </w:t>
      </w:r>
      <w:r w:rsidR="000C5099">
        <w:t>Cal Advoc</w:t>
      </w:r>
      <w:r w:rsidR="00A56472">
        <w:t>ates</w:t>
      </w:r>
      <w:r w:rsidR="005A00BE">
        <w:t>’</w:t>
      </w:r>
      <w:r w:rsidR="00A56472">
        <w:t xml:space="preserve"> response to </w:t>
      </w:r>
      <w:r w:rsidR="00031684">
        <w:t>SCE</w:t>
      </w:r>
      <w:r w:rsidR="005A00BE">
        <w:t>’</w:t>
      </w:r>
      <w:r w:rsidR="00031684">
        <w:t xml:space="preserve">s </w:t>
      </w:r>
      <w:r w:rsidR="00A56472">
        <w:t>and SDG&amp;E</w:t>
      </w:r>
      <w:r w:rsidR="005A00BE">
        <w:t>’</w:t>
      </w:r>
      <w:r w:rsidR="00A56472">
        <w:t>s submittals</w:t>
      </w:r>
      <w:r w:rsidR="00031684">
        <w:t xml:space="preserve"> to update </w:t>
      </w:r>
      <w:r w:rsidR="00A56472">
        <w:t>their</w:t>
      </w:r>
      <w:r w:rsidR="00031684">
        <w:t xml:space="preserve"> draft </w:t>
      </w:r>
      <w:r w:rsidR="00950E04">
        <w:t>2025 RPS</w:t>
      </w:r>
      <w:r w:rsidR="00031684">
        <w:t xml:space="preserve"> Plan</w:t>
      </w:r>
      <w:r w:rsidR="00A56472">
        <w:t>s</w:t>
      </w:r>
      <w:r w:rsidRPr="00FF0265">
        <w:t>.</w:t>
      </w:r>
    </w:p>
    <w:p w:rsidR="005939A5" w:rsidP="00F277D4" w:rsidRDefault="005939A5" w14:paraId="2EC5C87B" w14:textId="55D2294E">
      <w:pPr>
        <w:pStyle w:val="Heading1"/>
      </w:pPr>
      <w:bookmarkStart w:name="_Toc8123719" w:id="21"/>
      <w:bookmarkStart w:name="_Toc212716129" w:id="22"/>
      <w:bookmarkStart w:name="_Toc214004334" w:id="23"/>
      <w:r>
        <w:t xml:space="preserve">Issues Before the </w:t>
      </w:r>
      <w:bookmarkEnd w:id="21"/>
      <w:r w:rsidR="008A08BF">
        <w:t>Commission</w:t>
      </w:r>
      <w:bookmarkEnd w:id="22"/>
      <w:bookmarkEnd w:id="23"/>
    </w:p>
    <w:p w:rsidR="00031684" w:rsidP="00F277D4" w:rsidRDefault="00031684" w14:paraId="06BD4F72" w14:textId="5C5DE66A">
      <w:pPr>
        <w:pStyle w:val="Standard"/>
      </w:pPr>
      <w:r w:rsidRPr="00031684">
        <w:t xml:space="preserve">In this decision, we review the Draft </w:t>
      </w:r>
      <w:r w:rsidR="00950E04">
        <w:t>2025 RPS</w:t>
      </w:r>
      <w:r w:rsidRPr="00031684">
        <w:t xml:space="preserve"> Plans for information required by statute and the 202</w:t>
      </w:r>
      <w:r>
        <w:t>5</w:t>
      </w:r>
      <w:r w:rsidRPr="00031684">
        <w:t xml:space="preserve"> ACR and dispose of any requests or proposals specific to each retail seller.</w:t>
      </w:r>
    </w:p>
    <w:p w:rsidR="00E5394B" w:rsidP="00F277D4" w:rsidRDefault="00DA3655" w14:paraId="5828AF07" w14:textId="2BF6FEA0">
      <w:pPr>
        <w:pStyle w:val="Standard"/>
      </w:pPr>
      <w:r w:rsidRPr="00C55273">
        <w:t xml:space="preserve">To help retail sellers organize the submission of comprehensive </w:t>
      </w:r>
      <w:r w:rsidR="00950E04">
        <w:t>2025 RPS</w:t>
      </w:r>
      <w:r w:rsidRPr="00C55273">
        <w:t xml:space="preserve"> Plans, the 202</w:t>
      </w:r>
      <w:r>
        <w:t>5</w:t>
      </w:r>
      <w:r w:rsidRPr="00C55273">
        <w:t xml:space="preserve"> ACR listed specific issues to address and guidance on managing the information, including quantitative analysis and narratives supporting the retail seller</w:t>
      </w:r>
      <w:r w:rsidR="005A00BE">
        <w:t>’</w:t>
      </w:r>
      <w:r w:rsidRPr="00C55273">
        <w:t>s assessment of its portfolio</w:t>
      </w:r>
      <w:r w:rsidR="005A00BE">
        <w:t>’</w:t>
      </w:r>
      <w:r w:rsidRPr="00C55273">
        <w:t>s future procurement decisions.</w:t>
      </w:r>
    </w:p>
    <w:p w:rsidRPr="00C55273" w:rsidR="00DA3655" w:rsidP="008147AE" w:rsidRDefault="00DA3655" w14:paraId="69641E53" w14:textId="6D57B0DB">
      <w:pPr>
        <w:pStyle w:val="Standard"/>
        <w:keepNext/>
      </w:pPr>
      <w:r w:rsidRPr="00C55273">
        <w:lastRenderedPageBreak/>
        <w:t>The issues required by statute and the 202</w:t>
      </w:r>
      <w:r>
        <w:t>5</w:t>
      </w:r>
      <w:r w:rsidRPr="00C55273">
        <w:t xml:space="preserve"> ACR are as follows:</w:t>
      </w:r>
      <w:r w:rsidR="004F2588">
        <w:rPr>
          <w:rStyle w:val="FootnoteReference"/>
        </w:rPr>
        <w:footnoteReference w:id="4"/>
      </w:r>
    </w:p>
    <w:p w:rsidR="00F023E7" w:rsidP="00F277D4" w:rsidRDefault="00DA3655" w14:paraId="036748EB" w14:textId="6E640A22">
      <w:pPr>
        <w:pStyle w:val="BlockQuoteH033"/>
      </w:pPr>
      <w:r w:rsidRPr="00C55273">
        <w:t>1.</w:t>
      </w:r>
      <w:r w:rsidRPr="00C55273">
        <w:tab/>
        <w:t>Assessment of RPS Portfolio Supplies and Demand</w:t>
      </w:r>
      <w:r w:rsidR="009317DA">
        <w:t>;</w:t>
      </w:r>
    </w:p>
    <w:p w:rsidRPr="00C55273" w:rsidR="00DA3655" w:rsidP="00F277D4" w:rsidRDefault="00DA3655" w14:paraId="4061704A" w14:textId="4084C54B">
      <w:pPr>
        <w:pStyle w:val="BlockQuoteH033"/>
      </w:pPr>
      <w:r w:rsidRPr="00C55273">
        <w:t>2.</w:t>
      </w:r>
      <w:r w:rsidRPr="00C55273">
        <w:tab/>
        <w:t>Project Development Status Update (PDSU)</w:t>
      </w:r>
      <w:r w:rsidR="009317DA">
        <w:t>;</w:t>
      </w:r>
    </w:p>
    <w:p w:rsidRPr="00C55273" w:rsidR="00DA3655" w:rsidP="00F277D4" w:rsidRDefault="00DA3655" w14:paraId="751DA55D" w14:textId="3ED9D05D">
      <w:pPr>
        <w:pStyle w:val="BlockQuoteH033"/>
      </w:pPr>
      <w:r w:rsidRPr="00C55273">
        <w:t>3.</w:t>
      </w:r>
      <w:r w:rsidRPr="00C55273">
        <w:tab/>
        <w:t>Potential Compliance Delays</w:t>
      </w:r>
      <w:r w:rsidR="009317DA">
        <w:t>;</w:t>
      </w:r>
    </w:p>
    <w:p w:rsidRPr="00C55273" w:rsidR="00DA3655" w:rsidP="00F277D4" w:rsidRDefault="00DA3655" w14:paraId="0D5DE2DD" w14:textId="161129AC">
      <w:pPr>
        <w:pStyle w:val="BlockQuoteH033"/>
      </w:pPr>
      <w:r w:rsidRPr="00C55273">
        <w:t>4.</w:t>
      </w:r>
      <w:r w:rsidRPr="00C55273">
        <w:tab/>
        <w:t>Risk Assessment</w:t>
      </w:r>
      <w:r w:rsidR="009317DA">
        <w:t>;</w:t>
      </w:r>
    </w:p>
    <w:p w:rsidR="00F023E7" w:rsidP="00F277D4" w:rsidRDefault="00DA3655" w14:paraId="3B602E37" w14:textId="6A739BD5">
      <w:pPr>
        <w:pStyle w:val="BlockQuoteH033"/>
      </w:pPr>
      <w:r w:rsidRPr="00C55273">
        <w:t>5.</w:t>
      </w:r>
      <w:r w:rsidRPr="00C55273">
        <w:tab/>
        <w:t xml:space="preserve">Renewable Net Short </w:t>
      </w:r>
      <w:r w:rsidR="005E75E6">
        <w:t xml:space="preserve">(RNS) </w:t>
      </w:r>
      <w:r w:rsidRPr="00C55273">
        <w:t>Calculation</w:t>
      </w:r>
      <w:r w:rsidR="005E75E6">
        <w:t>s</w:t>
      </w:r>
      <w:r w:rsidR="009317DA">
        <w:t>;</w:t>
      </w:r>
    </w:p>
    <w:p w:rsidRPr="00C55273" w:rsidR="00DA3655" w:rsidP="00F277D4" w:rsidRDefault="00DA3655" w14:paraId="364853C9" w14:textId="40919BA6">
      <w:pPr>
        <w:pStyle w:val="BlockQuoteH033"/>
      </w:pPr>
      <w:r w:rsidRPr="00C55273">
        <w:t>6.</w:t>
      </w:r>
      <w:r w:rsidRPr="00C55273">
        <w:tab/>
        <w:t>Minimum Margin of Procurement (MMoP)</w:t>
      </w:r>
      <w:r w:rsidR="009317DA">
        <w:t>;</w:t>
      </w:r>
    </w:p>
    <w:p w:rsidRPr="00C55273" w:rsidR="00DA3655" w:rsidP="00F277D4" w:rsidRDefault="00DA3655" w14:paraId="0FC31D9D" w14:textId="4CFFECDF">
      <w:pPr>
        <w:pStyle w:val="BlockQuoteH033"/>
      </w:pPr>
      <w:r w:rsidRPr="00C55273">
        <w:t>7.</w:t>
      </w:r>
      <w:r w:rsidRPr="00C55273">
        <w:tab/>
        <w:t>Bid Solicitation Protocol</w:t>
      </w:r>
      <w:r w:rsidR="009317DA">
        <w:t>;</w:t>
      </w:r>
    </w:p>
    <w:p w:rsidRPr="00C55273" w:rsidR="00DA3655" w:rsidP="00F277D4" w:rsidRDefault="00DA3655" w14:paraId="4B53D079" w14:textId="7C80E31E">
      <w:pPr>
        <w:pStyle w:val="BlockQuoteH033"/>
      </w:pPr>
      <w:r w:rsidRPr="00C55273">
        <w:t>8.</w:t>
      </w:r>
      <w:r w:rsidRPr="00C55273">
        <w:tab/>
        <w:t>Safety Considerations</w:t>
      </w:r>
      <w:r w:rsidR="009317DA">
        <w:t>;</w:t>
      </w:r>
    </w:p>
    <w:p w:rsidRPr="00C55273" w:rsidR="00DA3655" w:rsidP="00F277D4" w:rsidRDefault="00DA3655" w14:paraId="454354D0" w14:textId="2863E68E">
      <w:pPr>
        <w:pStyle w:val="BlockQuoteH033"/>
      </w:pPr>
      <w:r w:rsidRPr="00C55273">
        <w:t>9.</w:t>
      </w:r>
      <w:r w:rsidRPr="00C55273">
        <w:tab/>
        <w:t>Consideration of Price Adjustments</w:t>
      </w:r>
      <w:r w:rsidR="009317DA">
        <w:t>;</w:t>
      </w:r>
    </w:p>
    <w:p w:rsidRPr="00C55273" w:rsidR="00DA3655" w:rsidP="00F277D4" w:rsidRDefault="00DA3655" w14:paraId="47F22C7C" w14:textId="573A6CCD">
      <w:pPr>
        <w:pStyle w:val="BlockQuoteH033"/>
      </w:pPr>
      <w:r w:rsidRPr="00C55273">
        <w:t>1</w:t>
      </w:r>
      <w:r w:rsidR="00ED7E8C">
        <w:t>0</w:t>
      </w:r>
      <w:r w:rsidRPr="00C55273">
        <w:t>.</w:t>
      </w:r>
      <w:r w:rsidRPr="00C55273">
        <w:tab/>
        <w:t>Cost Quantification</w:t>
      </w:r>
      <w:r w:rsidR="009317DA">
        <w:t>; and</w:t>
      </w:r>
    </w:p>
    <w:p w:rsidR="00DA3655" w:rsidP="00F277D4" w:rsidRDefault="00DA3655" w14:paraId="30A16019" w14:textId="776CE191">
      <w:pPr>
        <w:pStyle w:val="BlockQuoteH033"/>
      </w:pPr>
      <w:r w:rsidRPr="00C55273">
        <w:t>1</w:t>
      </w:r>
      <w:r w:rsidR="00ED7E8C">
        <w:t>1</w:t>
      </w:r>
      <w:r w:rsidRPr="00C55273">
        <w:t>.</w:t>
      </w:r>
      <w:r w:rsidRPr="00C55273">
        <w:tab/>
        <w:t>Impact of Transmission and Interconnection Delays</w:t>
      </w:r>
      <w:r w:rsidR="009317DA">
        <w:t>.</w:t>
      </w:r>
    </w:p>
    <w:p w:rsidRPr="00C55273" w:rsidR="00DA3655" w:rsidP="00F277D4" w:rsidRDefault="00DA3655" w14:paraId="39F06AC3" w14:textId="5FF8252A">
      <w:pPr>
        <w:pStyle w:val="Standard"/>
      </w:pPr>
      <w:r w:rsidRPr="00C55273">
        <w:t xml:space="preserve">We reviewed the Draft </w:t>
      </w:r>
      <w:r w:rsidR="00950E04">
        <w:t>2025 RPS</w:t>
      </w:r>
      <w:r w:rsidRPr="00C55273">
        <w:t xml:space="preserve"> Plans for completeness, accuracy, and compliance. Based on the guidance in the 202</w:t>
      </w:r>
      <w:r w:rsidR="002A463C">
        <w:t>5</w:t>
      </w:r>
      <w:r w:rsidRPr="00C55273">
        <w:t xml:space="preserve"> ACR, we also examined the Draft </w:t>
      </w:r>
      <w:r w:rsidR="00950E04">
        <w:t>2025 RPS</w:t>
      </w:r>
      <w:r w:rsidRPr="00C55273">
        <w:t xml:space="preserve"> Plans for the following:</w:t>
      </w:r>
    </w:p>
    <w:p w:rsidRPr="00C55273" w:rsidR="00DA3655" w:rsidP="00F277D4" w:rsidRDefault="00DA3655" w14:paraId="573C7FD9" w14:textId="19280222">
      <w:pPr>
        <w:pStyle w:val="BlockQuoteH025"/>
        <w:numPr>
          <w:ilvl w:val="0"/>
          <w:numId w:val="20"/>
        </w:numPr>
        <w:ind w:left="1080"/>
      </w:pPr>
      <w:r w:rsidRPr="00C55273">
        <w:t>Compl</w:t>
      </w:r>
      <w:r w:rsidR="00A457FF">
        <w:t>iance</w:t>
      </w:r>
      <w:r w:rsidRPr="00C55273">
        <w:t xml:space="preserve"> with </w:t>
      </w:r>
      <w:r w:rsidR="00F920D3">
        <w:t>Table 1</w:t>
      </w:r>
      <w:r w:rsidRPr="00C55273">
        <w:t xml:space="preserve"> of the 202</w:t>
      </w:r>
      <w:r w:rsidR="00166B7B">
        <w:t>5</w:t>
      </w:r>
      <w:r w:rsidRPr="00C55273">
        <w:t xml:space="preserve"> ACR, which required all RPS Plans to be accompanied by a checklist.</w:t>
      </w:r>
    </w:p>
    <w:p w:rsidRPr="00C55273" w:rsidR="00DA3655" w:rsidP="00F277D4" w:rsidRDefault="00DA3655" w14:paraId="47018CD6" w14:textId="264EE742">
      <w:pPr>
        <w:pStyle w:val="BlockQuoteH025"/>
        <w:numPr>
          <w:ilvl w:val="0"/>
          <w:numId w:val="20"/>
        </w:numPr>
        <w:ind w:left="1080"/>
      </w:pPr>
      <w:r w:rsidRPr="00C55273">
        <w:t>Descri</w:t>
      </w:r>
      <w:r w:rsidR="00A457FF">
        <w:t>ption of</w:t>
      </w:r>
      <w:r w:rsidRPr="00C55273">
        <w:t xml:space="preserve"> the retail seller</w:t>
      </w:r>
      <w:r w:rsidR="005A00BE">
        <w:t>’</w:t>
      </w:r>
      <w:r w:rsidRPr="00C55273">
        <w:t xml:space="preserve">s overall plan for procuring RPS resources to satisfy the RPS program requirements while minimizing cost and maximizing value to customers, as well as demonstrating how retail sellers comply with direction for RPS planning in </w:t>
      </w:r>
      <w:r w:rsidR="00F139CD">
        <w:t>SB </w:t>
      </w:r>
      <w:r w:rsidRPr="00C55273">
        <w:t xml:space="preserve">350, </w:t>
      </w:r>
      <w:r w:rsidR="00F139CD">
        <w:t>SB </w:t>
      </w:r>
      <w:r w:rsidRPr="00C55273">
        <w:t xml:space="preserve">100, and </w:t>
      </w:r>
      <w:r w:rsidR="00F139CD">
        <w:t>SB </w:t>
      </w:r>
      <w:r w:rsidRPr="00C55273">
        <w:t xml:space="preserve">901 (Dodd, </w:t>
      </w:r>
      <w:r w:rsidR="0010358C">
        <w:t>Stats. </w:t>
      </w:r>
      <w:r w:rsidRPr="00C55273">
        <w:t xml:space="preserve">2018, </w:t>
      </w:r>
      <w:r w:rsidR="0010358C">
        <w:t>ch. </w:t>
      </w:r>
      <w:r w:rsidRPr="00C55273">
        <w:t>626). This includes, but is not limited to, any plans for building retail seller</w:t>
      </w:r>
      <w:r w:rsidR="00E54574">
        <w:noBreakHyphen/>
      </w:r>
      <w:r w:rsidRPr="00C55273">
        <w:t>owned resources, investing in renewable resources, and engaging in the sales of RPS</w:t>
      </w:r>
      <w:r w:rsidR="00E54574">
        <w:noBreakHyphen/>
      </w:r>
      <w:r w:rsidRPr="00C55273">
        <w:t>eligible resources.</w:t>
      </w:r>
    </w:p>
    <w:p w:rsidR="00E5394B" w:rsidP="00F277D4" w:rsidRDefault="00A457FF" w14:paraId="539E1D2F" w14:textId="77777777">
      <w:pPr>
        <w:pStyle w:val="BlockQuoteH025"/>
        <w:numPr>
          <w:ilvl w:val="0"/>
          <w:numId w:val="20"/>
        </w:numPr>
        <w:ind w:left="1080"/>
      </w:pPr>
      <w:r>
        <w:t>C</w:t>
      </w:r>
      <w:r w:rsidRPr="00C55273" w:rsidR="00DA3655">
        <w:t>onsisten</w:t>
      </w:r>
      <w:r>
        <w:t>cy of</w:t>
      </w:r>
      <w:r w:rsidR="007C25B3">
        <w:t xml:space="preserve"> </w:t>
      </w:r>
      <w:r w:rsidRPr="00C55273" w:rsidR="00DA3655">
        <w:t xml:space="preserve">information </w:t>
      </w:r>
      <w:r w:rsidR="00F70DC2">
        <w:t>in</w:t>
      </w:r>
      <w:r w:rsidRPr="00C55273" w:rsidR="00DA3655">
        <w:t xml:space="preserve"> the RPS Plan.</w:t>
      </w:r>
    </w:p>
    <w:p w:rsidR="00E5394B" w:rsidP="00F277D4" w:rsidRDefault="00DA3655" w14:paraId="6BA9F1D9" w14:textId="7CF30E83">
      <w:pPr>
        <w:pStyle w:val="BlockQuoteH025"/>
        <w:numPr>
          <w:ilvl w:val="0"/>
          <w:numId w:val="20"/>
        </w:numPr>
        <w:ind w:left="1080"/>
      </w:pPr>
      <w:r w:rsidRPr="00C55273">
        <w:lastRenderedPageBreak/>
        <w:t>Thoroughly describing and addressing procurement and sales of RPS</w:t>
      </w:r>
      <w:r w:rsidR="00E54574">
        <w:noBreakHyphen/>
      </w:r>
      <w:r w:rsidRPr="00C55273">
        <w:t>eligible resources to demonstrate reliability and alignment with the State</w:t>
      </w:r>
      <w:r w:rsidR="005A00BE">
        <w:t>’</w:t>
      </w:r>
      <w:r w:rsidRPr="00C55273">
        <w:t>s policy goals. The 202</w:t>
      </w:r>
      <w:r w:rsidR="00166B7B">
        <w:t>5</w:t>
      </w:r>
      <w:r w:rsidRPr="00C55273">
        <w:t xml:space="preserve"> ACR required responses that provide summaries and detailed descriptions necessary to understand how a retail seller</w:t>
      </w:r>
      <w:r w:rsidR="005A00BE">
        <w:t>’</w:t>
      </w:r>
      <w:r w:rsidRPr="00C55273">
        <w:t>s planning and procurement strategies address state goals and satisfy statutory requirements.</w:t>
      </w:r>
    </w:p>
    <w:p w:rsidR="00E5394B" w:rsidP="00F277D4" w:rsidRDefault="00DA3655" w14:paraId="09B3C067" w14:textId="5E6393C5">
      <w:pPr>
        <w:pStyle w:val="BlockQuoteH025"/>
        <w:numPr>
          <w:ilvl w:val="0"/>
          <w:numId w:val="20"/>
        </w:numPr>
        <w:ind w:left="1080"/>
      </w:pPr>
      <w:r w:rsidRPr="00C55273">
        <w:t>Compl</w:t>
      </w:r>
      <w:r w:rsidR="00A457FF">
        <w:t>iance</w:t>
      </w:r>
      <w:r w:rsidRPr="00C55273">
        <w:t xml:space="preserve"> with the format and numbering convention in </w:t>
      </w:r>
      <w:r w:rsidR="00F920D3">
        <w:t>Table 1</w:t>
      </w:r>
      <w:r w:rsidRPr="00C55273">
        <w:t xml:space="preserve"> of the 202</w:t>
      </w:r>
      <w:r w:rsidR="00166B7B">
        <w:t>5</w:t>
      </w:r>
      <w:r w:rsidRPr="00C55273">
        <w:t xml:space="preserve"> ACR.</w:t>
      </w:r>
    </w:p>
    <w:p w:rsidR="005939A5" w:rsidP="00F277D4" w:rsidRDefault="000D01F7" w14:paraId="74A8EDE6" w14:textId="71B00B70">
      <w:pPr>
        <w:pStyle w:val="Heading1"/>
      </w:pPr>
      <w:bookmarkStart w:name="_Toc212716130" w:id="24"/>
      <w:bookmarkStart w:name="_Toc214004335" w:id="25"/>
      <w:r>
        <w:t>Organization of the Decision</w:t>
      </w:r>
      <w:bookmarkEnd w:id="24"/>
      <w:bookmarkEnd w:id="25"/>
    </w:p>
    <w:p w:rsidRPr="00124420" w:rsidR="00603238" w:rsidDel="009317DA" w:rsidP="00124420" w:rsidRDefault="00675646" w14:paraId="4F148815" w14:textId="4C0C3902">
      <w:pPr>
        <w:pStyle w:val="Standard"/>
      </w:pPr>
      <w:r w:rsidRPr="00C55273">
        <w:t>The RPS statute requires that retail sellers prepare an annual RPS procurement plan for Commission review.</w:t>
      </w:r>
      <w:r w:rsidRPr="00C55273">
        <w:rPr>
          <w:vertAlign w:val="superscript"/>
        </w:rPr>
        <w:footnoteReference w:id="5"/>
      </w:r>
      <w:r w:rsidRPr="00C55273">
        <w:t xml:space="preserve"> This decision reviews 4</w:t>
      </w:r>
      <w:r>
        <w:t>1</w:t>
      </w:r>
      <w:r w:rsidRPr="00C55273">
        <w:t xml:space="preserve"> Draft </w:t>
      </w:r>
      <w:r w:rsidR="00950E04">
        <w:t>2025 RPS</w:t>
      </w:r>
      <w:r w:rsidRPr="00C55273">
        <w:t xml:space="preserve"> </w:t>
      </w:r>
      <w:r w:rsidR="0026464F">
        <w:t>P</w:t>
      </w:r>
      <w:r w:rsidRPr="00C55273">
        <w:t>lans filed by the IOUs (3), SMJUs (3), ESPs (1</w:t>
      </w:r>
      <w:r w:rsidR="003E48FC">
        <w:t>0</w:t>
      </w:r>
      <w:r w:rsidRPr="00C55273">
        <w:t>), and CCAs (25). The Commission has reviewed and approved or accepted annual RPS procurement plans for over a decade. Besides reviewing the need for procurement and sale of RPS</w:t>
      </w:r>
      <w:r w:rsidR="00E54574">
        <w:noBreakHyphen/>
      </w:r>
      <w:r w:rsidR="00CB43FB">
        <w:t>eligible</w:t>
      </w:r>
      <w:r w:rsidRPr="00C55273">
        <w:t xml:space="preserve"> resources to balance their portfolios, reviewing the three large IOUs</w:t>
      </w:r>
      <w:r w:rsidR="005A00BE">
        <w:t>’</w:t>
      </w:r>
      <w:r w:rsidRPr="00C55273">
        <w:t xml:space="preserve"> procurement plans has become routine. This decision describes only the sections of the IOUs</w:t>
      </w:r>
      <w:r w:rsidR="005A00BE">
        <w:t>’</w:t>
      </w:r>
      <w:r w:rsidRPr="00C55273">
        <w:t>, ESPs</w:t>
      </w:r>
      <w:r w:rsidR="005A00BE">
        <w:t>’</w:t>
      </w:r>
      <w:r w:rsidRPr="00C55273">
        <w:t>, and CCAs</w:t>
      </w:r>
      <w:r w:rsidR="005A00BE">
        <w:t>’</w:t>
      </w:r>
      <w:r w:rsidRPr="00C55273">
        <w:t xml:space="preserve"> procurement plans that are key, disputed,</w:t>
      </w:r>
      <w:r w:rsidR="00CB43FB">
        <w:t xml:space="preserve"> </w:t>
      </w:r>
      <w:r w:rsidRPr="00C55273">
        <w:t>seeking specific requests</w:t>
      </w:r>
      <w:r w:rsidR="00CB43FB">
        <w:t xml:space="preserve">, or </w:t>
      </w:r>
      <w:r w:rsidR="003D0904">
        <w:t>contain</w:t>
      </w:r>
      <w:r w:rsidR="00CB43FB">
        <w:t xml:space="preserve"> deficiencies</w:t>
      </w:r>
      <w:r w:rsidRPr="00C55273">
        <w:t>.</w:t>
      </w:r>
      <w:bookmarkStart w:name="_Toc8123721" w:id="26"/>
      <w:bookmarkStart w:name="_Hlk213058998" w:id="27"/>
    </w:p>
    <w:p w:rsidR="00FA1B4F" w:rsidP="00F277D4" w:rsidRDefault="002D1F3D" w14:paraId="61B568AA" w14:textId="28AD93A5">
      <w:pPr>
        <w:pStyle w:val="Heading1"/>
      </w:pPr>
      <w:bookmarkStart w:name="_Toc212716132" w:id="28"/>
      <w:bookmarkStart w:name="_Toc214004336" w:id="29"/>
      <w:bookmarkEnd w:id="26"/>
      <w:bookmarkEnd w:id="27"/>
      <w:r>
        <w:t xml:space="preserve">Assessment of </w:t>
      </w:r>
      <w:r w:rsidR="009E01F1">
        <w:t>Renewables Portfolio Standard</w:t>
      </w:r>
      <w:r>
        <w:t xml:space="preserve"> Long</w:t>
      </w:r>
      <w:r w:rsidR="00E54574">
        <w:noBreakHyphen/>
      </w:r>
      <w:r>
        <w:t>Term Procurement Requirement</w:t>
      </w:r>
      <w:bookmarkEnd w:id="28"/>
      <w:bookmarkEnd w:id="29"/>
    </w:p>
    <w:p w:rsidR="00E5394B" w:rsidP="00F277D4" w:rsidRDefault="00F139CD" w14:paraId="322D55B2" w14:textId="44EFDF52">
      <w:pPr>
        <w:pStyle w:val="Standard"/>
      </w:pPr>
      <w:r>
        <w:t>SB </w:t>
      </w:r>
      <w:r w:rsidR="002D1F3D">
        <w:t>350 increased the RPS long</w:t>
      </w:r>
      <w:r w:rsidR="00E54574">
        <w:noBreakHyphen/>
      </w:r>
      <w:r w:rsidR="002D1F3D">
        <w:t>term contracting requirement such that 65</w:t>
      </w:r>
      <w:r w:rsidR="008C0F68">
        <w:t> percent</w:t>
      </w:r>
      <w:r w:rsidR="002D1F3D">
        <w:t xml:space="preserve"> of all procurement used for RPS compliance must be through contracts with terms of 10 years or longer. The 65</w:t>
      </w:r>
      <w:r w:rsidR="008C0F68">
        <w:t> percent</w:t>
      </w:r>
      <w:r w:rsidR="002D1F3D">
        <w:t xml:space="preserve"> long</w:t>
      </w:r>
      <w:r w:rsidR="00E54574">
        <w:noBreakHyphen/>
      </w:r>
      <w:r w:rsidR="002D1F3D">
        <w:t xml:space="preserve">term requirement </w:t>
      </w:r>
      <w:r w:rsidR="004B4963">
        <w:t>became</w:t>
      </w:r>
      <w:r w:rsidR="002D1F3D">
        <w:t xml:space="preserve"> effective for all retail sellers in the 2021</w:t>
      </w:r>
      <w:r w:rsidR="00E54574">
        <w:noBreakHyphen/>
      </w:r>
      <w:r w:rsidR="002D1F3D">
        <w:t>2024 compliance period (</w:t>
      </w:r>
      <w:r w:rsidR="00412BD7">
        <w:t>CP) </w:t>
      </w:r>
      <w:r w:rsidR="002D1F3D">
        <w:t>4, though some elected for early compliance in the 2017</w:t>
      </w:r>
      <w:r w:rsidR="00E54574">
        <w:noBreakHyphen/>
      </w:r>
      <w:r w:rsidR="002D1F3D">
        <w:t>2020 compliance period (</w:t>
      </w:r>
      <w:r w:rsidR="00412BD7">
        <w:t>CP </w:t>
      </w:r>
      <w:r w:rsidR="002D1F3D">
        <w:t>3). Prudent long</w:t>
      </w:r>
      <w:r w:rsidR="00E54574">
        <w:noBreakHyphen/>
      </w:r>
      <w:r w:rsidR="002D1F3D">
        <w:t xml:space="preserve">term contracting assessments should be used to inform a </w:t>
      </w:r>
      <w:r w:rsidR="002D1F3D">
        <w:lastRenderedPageBreak/>
        <w:t>retail seller</w:t>
      </w:r>
      <w:r w:rsidR="005A00BE">
        <w:t>’</w:t>
      </w:r>
      <w:r w:rsidR="002D1F3D">
        <w:t>s RPS procurement planning and procurement decisions for current and future compliance periods.</w:t>
      </w:r>
    </w:p>
    <w:p w:rsidR="002D1F3D" w:rsidP="00F277D4" w:rsidRDefault="002D1F3D" w14:paraId="39C2663D" w14:textId="15218CD7">
      <w:pPr>
        <w:pStyle w:val="Standard"/>
      </w:pPr>
      <w:r>
        <w:t xml:space="preserve">Our </w:t>
      </w:r>
      <w:r w:rsidR="00C10873">
        <w:t xml:space="preserve">current </w:t>
      </w:r>
      <w:r>
        <w:t xml:space="preserve">assessment of the </w:t>
      </w:r>
      <w:r w:rsidR="00C10873">
        <w:t>retail sellers</w:t>
      </w:r>
      <w:r w:rsidR="005A00BE">
        <w:t>’</w:t>
      </w:r>
      <w:r>
        <w:t xml:space="preserve"> compliance with </w:t>
      </w:r>
      <w:r w:rsidRPr="00C10873" w:rsidR="00C10873">
        <w:t>the 65</w:t>
      </w:r>
      <w:r w:rsidR="008C0F68">
        <w:t> percent</w:t>
      </w:r>
      <w:r w:rsidRPr="00C10873" w:rsidR="00C10873">
        <w:t xml:space="preserve"> long</w:t>
      </w:r>
      <w:r w:rsidR="00E54574">
        <w:noBreakHyphen/>
      </w:r>
      <w:r w:rsidRPr="00C10873" w:rsidR="00C10873">
        <w:t xml:space="preserve">term procurement requirement </w:t>
      </w:r>
      <w:r>
        <w:t xml:space="preserve">shows that all but </w:t>
      </w:r>
      <w:r w:rsidR="009964FF">
        <w:t>two</w:t>
      </w:r>
      <w:r>
        <w:t xml:space="preserve"> retail sellers are forecasted to meet the</w:t>
      </w:r>
      <w:r w:rsidR="001D61FC">
        <w:t xml:space="preserve"> </w:t>
      </w:r>
      <w:r>
        <w:t>requirement</w:t>
      </w:r>
      <w:r w:rsidR="009964FF">
        <w:t xml:space="preserve"> </w:t>
      </w:r>
      <w:r w:rsidR="001D61FC">
        <w:t>for the</w:t>
      </w:r>
      <w:r w:rsidR="009964FF">
        <w:t xml:space="preserve"> 2025</w:t>
      </w:r>
      <w:r w:rsidR="00E54574">
        <w:noBreakHyphen/>
      </w:r>
      <w:r w:rsidR="009964FF">
        <w:t>2027 compliance period (</w:t>
      </w:r>
      <w:r w:rsidR="00412BD7">
        <w:t>CP </w:t>
      </w:r>
      <w:r w:rsidR="009964FF">
        <w:t>5)</w:t>
      </w:r>
      <w:r>
        <w:t>.</w:t>
      </w:r>
      <w:r w:rsidR="00C10873">
        <w:rPr>
          <w:rStyle w:val="FootnoteReference"/>
        </w:rPr>
        <w:footnoteReference w:id="6"/>
      </w:r>
      <w:r>
        <w:t xml:space="preserve"> </w:t>
      </w:r>
      <w:r w:rsidR="001D61FC">
        <w:t>This represents an improvement from last year, when the assessment showed that all but nine were forecasted to meet the requirement.</w:t>
      </w:r>
      <w:r w:rsidR="001D61FC">
        <w:rPr>
          <w:rStyle w:val="FootnoteReference"/>
        </w:rPr>
        <w:footnoteReference w:id="7"/>
      </w:r>
    </w:p>
    <w:p w:rsidRPr="00343E5C" w:rsidR="00343E5C" w:rsidP="00F277D4" w:rsidRDefault="002D1F3D" w14:paraId="077D3633" w14:textId="451EAFC3">
      <w:pPr>
        <w:pStyle w:val="Standard"/>
      </w:pPr>
      <w:r>
        <w:t>The Commission continues to encourage early planning on long</w:t>
      </w:r>
      <w:r w:rsidR="00E54574">
        <w:noBreakHyphen/>
      </w:r>
      <w:r>
        <w:t>term procurement to hedge for delays in project development for new renewable build and potential project performance issues. Inadequate long</w:t>
      </w:r>
      <w:r w:rsidR="00E54574">
        <w:noBreakHyphen/>
      </w:r>
      <w:r>
        <w:t>term procurement planning can impact the risk profile of a retail seller</w:t>
      </w:r>
      <w:r w:rsidR="005A00BE">
        <w:t>’</w:t>
      </w:r>
      <w:r>
        <w:t xml:space="preserve">s portfolio and </w:t>
      </w:r>
      <w:r w:rsidR="00A77D81">
        <w:t xml:space="preserve">impede </w:t>
      </w:r>
      <w:r>
        <w:t>the State</w:t>
      </w:r>
      <w:r w:rsidR="005A00BE">
        <w:t>’</w:t>
      </w:r>
      <w:r w:rsidR="00A77D81">
        <w:t>s progress toward</w:t>
      </w:r>
      <w:r w:rsidR="009317DA">
        <w:t>s</w:t>
      </w:r>
      <w:r w:rsidR="00A77D81">
        <w:t xml:space="preserve"> </w:t>
      </w:r>
      <w:r w:rsidR="007A512C">
        <w:t xml:space="preserve">meeting </w:t>
      </w:r>
      <w:r w:rsidR="00A77D81">
        <w:t>RPS</w:t>
      </w:r>
      <w:r>
        <w:t xml:space="preserve"> goals.</w:t>
      </w:r>
    </w:p>
    <w:p w:rsidR="00D86042" w:rsidP="00F277D4" w:rsidRDefault="00D86042" w14:paraId="712D3CA1" w14:textId="0196A767">
      <w:pPr>
        <w:pStyle w:val="Heading1"/>
      </w:pPr>
      <w:bookmarkStart w:name="_Toc212716133" w:id="30"/>
      <w:bookmarkStart w:name="_Toc8123723" w:id="31"/>
      <w:bookmarkStart w:name="_Toc214004337" w:id="32"/>
      <w:r>
        <w:t xml:space="preserve">Summary of Party Comments on Draft 2025 </w:t>
      </w:r>
      <w:r w:rsidRPr="00C55273" w:rsidR="009E01F1">
        <w:t>Renewables Portfolio Standard</w:t>
      </w:r>
      <w:r>
        <w:t xml:space="preserve"> Plans</w:t>
      </w:r>
      <w:bookmarkEnd w:id="30"/>
      <w:bookmarkEnd w:id="32"/>
    </w:p>
    <w:p w:rsidRPr="00D86042" w:rsidR="00D86042" w:rsidP="00F277D4" w:rsidRDefault="000C5099" w14:paraId="08F3A08F" w14:textId="40E11377">
      <w:pPr>
        <w:pStyle w:val="Standard"/>
      </w:pPr>
      <w:r>
        <w:t>Cal Advoc</w:t>
      </w:r>
      <w:r w:rsidRPr="00D86042" w:rsidR="00D86042">
        <w:t>ates</w:t>
      </w:r>
      <w:r w:rsidR="00243D6F">
        <w:t xml:space="preserve"> was the only party</w:t>
      </w:r>
      <w:r w:rsidRPr="00D86042" w:rsidR="00D86042">
        <w:t xml:space="preserve"> </w:t>
      </w:r>
      <w:r w:rsidR="00243D6F">
        <w:t>to file</w:t>
      </w:r>
      <w:r w:rsidRPr="00D86042" w:rsidR="00D86042">
        <w:t xml:space="preserve"> comments on the IOUs</w:t>
      </w:r>
      <w:r w:rsidR="005A00BE">
        <w:t>’</w:t>
      </w:r>
      <w:r w:rsidRPr="00D86042" w:rsidR="00D86042">
        <w:t xml:space="preserve"> Draft </w:t>
      </w:r>
      <w:r w:rsidR="00950E04">
        <w:t>2025 RPS</w:t>
      </w:r>
      <w:r w:rsidRPr="00D86042" w:rsidR="00D86042">
        <w:t xml:space="preserve"> Plans.</w:t>
      </w:r>
      <w:r w:rsidR="0039324D">
        <w:t xml:space="preserve"> </w:t>
      </w:r>
      <w:r w:rsidR="00243D6F">
        <w:t xml:space="preserve">In its comments, </w:t>
      </w:r>
      <w:r>
        <w:t>Cal Advoc</w:t>
      </w:r>
      <w:r w:rsidRPr="00D86042" w:rsidR="00D86042">
        <w:t>ates recommend</w:t>
      </w:r>
      <w:r w:rsidR="002B46F5">
        <w:t>s</w:t>
      </w:r>
      <w:r w:rsidRPr="00D86042" w:rsidR="00D86042">
        <w:t xml:space="preserve"> that the Commission deny the IOUs</w:t>
      </w:r>
      <w:r w:rsidR="005A00BE">
        <w:t>’</w:t>
      </w:r>
      <w:r w:rsidRPr="00D86042" w:rsidR="00D86042">
        <w:t xml:space="preserve"> request</w:t>
      </w:r>
      <w:r w:rsidR="008D44BF">
        <w:t>s</w:t>
      </w:r>
      <w:r w:rsidRPr="00D86042" w:rsidR="00D86042">
        <w:t xml:space="preserve"> for incremental long</w:t>
      </w:r>
      <w:r w:rsidR="00E54574">
        <w:noBreakHyphen/>
      </w:r>
      <w:r w:rsidRPr="00D86042" w:rsidR="00D86042">
        <w:t>term RPS procurement, reject the IOUs</w:t>
      </w:r>
      <w:r w:rsidR="005A00BE">
        <w:t>’</w:t>
      </w:r>
      <w:r w:rsidRPr="00D86042" w:rsidR="00D86042">
        <w:t xml:space="preserve"> request to remove the </w:t>
      </w:r>
      <w:r w:rsidR="00AF70D1">
        <w:t>Tier 1</w:t>
      </w:r>
      <w:r w:rsidRPr="00D86042" w:rsidR="00D86042">
        <w:t xml:space="preserve"> </w:t>
      </w:r>
      <w:r w:rsidR="00FA362B">
        <w:t>A</w:t>
      </w:r>
      <w:r w:rsidRPr="00D86042" w:rsidR="00D86042">
        <w:t xml:space="preserve">dvice </w:t>
      </w:r>
      <w:r w:rsidR="00FA362B">
        <w:t>L</w:t>
      </w:r>
      <w:r w:rsidRPr="00D86042" w:rsidR="00D86042">
        <w:t>etter requirement for short</w:t>
      </w:r>
      <w:r w:rsidR="00E54574">
        <w:noBreakHyphen/>
      </w:r>
      <w:r w:rsidRPr="00D86042" w:rsidR="00D86042">
        <w:t>term RPS contracts, and reject PG&amp;E</w:t>
      </w:r>
      <w:r w:rsidR="005A00BE">
        <w:t>’</w:t>
      </w:r>
      <w:r w:rsidRPr="00D86042" w:rsidR="00D86042">
        <w:t>s proposed changes to its short</w:t>
      </w:r>
      <w:r w:rsidR="00E54574">
        <w:noBreakHyphen/>
      </w:r>
      <w:r w:rsidRPr="00D86042" w:rsidR="00D86042">
        <w:t>term RPS transaction framework.</w:t>
      </w:r>
      <w:r w:rsidRPr="00D86042" w:rsidR="00D86042">
        <w:rPr>
          <w:vertAlign w:val="superscript"/>
        </w:rPr>
        <w:footnoteReference w:id="8"/>
      </w:r>
    </w:p>
    <w:p w:rsidRPr="00D86042" w:rsidR="00D86042" w:rsidP="00F277D4" w:rsidRDefault="00D86042" w14:paraId="0563550F" w14:textId="4BDCC2FD">
      <w:pPr>
        <w:pStyle w:val="Standard"/>
      </w:pPr>
      <w:r w:rsidRPr="00D86042">
        <w:t xml:space="preserve">First, </w:t>
      </w:r>
      <w:r w:rsidR="000C5099">
        <w:t>Cal Advoc</w:t>
      </w:r>
      <w:r w:rsidRPr="00D86042">
        <w:t>ates assert</w:t>
      </w:r>
      <w:r w:rsidR="002B46F5">
        <w:t>s</w:t>
      </w:r>
      <w:r w:rsidRPr="00D86042">
        <w:t xml:space="preserve"> that the IO</w:t>
      </w:r>
      <w:r w:rsidR="002B46F5">
        <w:t>Us</w:t>
      </w:r>
      <w:r w:rsidR="005A00BE">
        <w:t>’</w:t>
      </w:r>
      <w:r w:rsidRPr="00D86042">
        <w:t xml:space="preserve"> plans show that the requested IOU procurement is not needed to meet the IOUs</w:t>
      </w:r>
      <w:r w:rsidR="005A00BE">
        <w:t>’</w:t>
      </w:r>
      <w:r w:rsidRPr="00D86042">
        <w:t xml:space="preserve"> respective 2030 RPS targets.</w:t>
      </w:r>
      <w:r w:rsidRPr="00D86042">
        <w:rPr>
          <w:vertAlign w:val="superscript"/>
        </w:rPr>
        <w:footnoteReference w:id="9"/>
      </w:r>
      <w:r w:rsidRPr="00D86042">
        <w:t xml:space="preserve"> </w:t>
      </w:r>
      <w:r w:rsidR="000C5099">
        <w:lastRenderedPageBreak/>
        <w:t>Cal Advoc</w:t>
      </w:r>
      <w:r w:rsidRPr="00D86042">
        <w:t>ates argues that unnecessary procurement of RPS resources could significantly increase curtailment costs</w:t>
      </w:r>
      <w:r w:rsidR="002B46F5">
        <w:t>, which</w:t>
      </w:r>
      <w:r w:rsidR="00332804">
        <w:t xml:space="preserve">, in </w:t>
      </w:r>
      <w:r w:rsidR="000C5099">
        <w:t>Cal Advoc</w:t>
      </w:r>
      <w:r w:rsidR="00332804">
        <w:t>ates</w:t>
      </w:r>
      <w:r w:rsidR="005A00BE">
        <w:t>’</w:t>
      </w:r>
      <w:r w:rsidR="00332804">
        <w:t xml:space="preserve"> view,</w:t>
      </w:r>
      <w:r w:rsidR="002B46F5">
        <w:t xml:space="preserve"> are already a concern</w:t>
      </w:r>
      <w:r w:rsidRPr="00D86042">
        <w:t xml:space="preserve"> and place a financial burden </w:t>
      </w:r>
      <w:r w:rsidR="002B46F5">
        <w:t xml:space="preserve">on </w:t>
      </w:r>
      <w:r w:rsidRPr="00D86042">
        <w:t>ratepayers.</w:t>
      </w:r>
      <w:r w:rsidRPr="00D86042">
        <w:rPr>
          <w:vertAlign w:val="superscript"/>
        </w:rPr>
        <w:footnoteReference w:id="10"/>
      </w:r>
      <w:r w:rsidRPr="00D86042">
        <w:t xml:space="preserve"> </w:t>
      </w:r>
      <w:r w:rsidR="000C5099">
        <w:t>Cal Advoc</w:t>
      </w:r>
      <w:r w:rsidRPr="00D86042">
        <w:t>ates recommend</w:t>
      </w:r>
      <w:r w:rsidR="002B46F5">
        <w:t>s</w:t>
      </w:r>
      <w:r w:rsidRPr="00D86042">
        <w:t xml:space="preserve"> that to reduce the risk of avoidable curtailment costs, the Commission should require the IOUs to procure RPS</w:t>
      </w:r>
      <w:r w:rsidR="00E54574">
        <w:noBreakHyphen/>
      </w:r>
      <w:r w:rsidRPr="00D86042">
        <w:t xml:space="preserve">eligible resources through the </w:t>
      </w:r>
      <w:r w:rsidR="00C77DC0">
        <w:t>Integrated Resource Planning (</w:t>
      </w:r>
      <w:r w:rsidRPr="00D86042">
        <w:t>IRP</w:t>
      </w:r>
      <w:r w:rsidR="00C77DC0">
        <w:t>)</w:t>
      </w:r>
      <w:r w:rsidRPr="00D86042">
        <w:t xml:space="preserve"> process to avoid grid congestion charges.</w:t>
      </w:r>
      <w:r w:rsidRPr="00D86042">
        <w:rPr>
          <w:vertAlign w:val="superscript"/>
        </w:rPr>
        <w:footnoteReference w:id="11"/>
      </w:r>
    </w:p>
    <w:p w:rsidRPr="00D86042" w:rsidR="00D86042" w:rsidP="00F277D4" w:rsidRDefault="00D86042" w14:paraId="4EC2E263" w14:textId="27166380">
      <w:pPr>
        <w:pStyle w:val="Standard"/>
      </w:pPr>
      <w:r w:rsidRPr="00D86042">
        <w:t xml:space="preserve">Second, noting that this is the third straight year that the IOUs seek to replace the </w:t>
      </w:r>
      <w:r w:rsidR="00AF70D1">
        <w:t>Tier 1</w:t>
      </w:r>
      <w:r w:rsidRPr="00D86042">
        <w:t xml:space="preserve"> </w:t>
      </w:r>
      <w:r w:rsidR="00FA362B">
        <w:t>A</w:t>
      </w:r>
      <w:r w:rsidRPr="00D86042">
        <w:t xml:space="preserve">dvice </w:t>
      </w:r>
      <w:r w:rsidR="00FA362B">
        <w:t>L</w:t>
      </w:r>
      <w:r w:rsidRPr="00D86042">
        <w:t>etter approval process with their proposed pre</w:t>
      </w:r>
      <w:r w:rsidR="00E54574">
        <w:noBreakHyphen/>
      </w:r>
      <w:r w:rsidRPr="00D86042">
        <w:t xml:space="preserve">approval process, </w:t>
      </w:r>
      <w:r w:rsidR="00D737E1">
        <w:t>Cal Adv</w:t>
      </w:r>
      <w:r w:rsidRPr="00D86042">
        <w:t xml:space="preserve">ocates state that the </w:t>
      </w:r>
      <w:r w:rsidR="000C641E">
        <w:t>IOU</w:t>
      </w:r>
      <w:r w:rsidRPr="00D86042">
        <w:t xml:space="preserve">s do not provide evidence that the </w:t>
      </w:r>
      <w:r w:rsidR="00AF70D1">
        <w:t>Tier 1</w:t>
      </w:r>
      <w:r w:rsidRPr="00D86042">
        <w:t xml:space="preserve"> </w:t>
      </w:r>
      <w:r w:rsidR="00FA362B">
        <w:t>A</w:t>
      </w:r>
      <w:r w:rsidRPr="00D86042">
        <w:t xml:space="preserve">dvice </w:t>
      </w:r>
      <w:r w:rsidR="00FA362B">
        <w:t>L</w:t>
      </w:r>
      <w:r w:rsidRPr="00D86042">
        <w:t>etter process harms their ability to compete in the short</w:t>
      </w:r>
      <w:r w:rsidR="00E54574">
        <w:noBreakHyphen/>
      </w:r>
      <w:r w:rsidRPr="00D86042">
        <w:t>term RPS market, including specific contracts lost, along with cost analyses showing potential savings for ratepayers if the process were not in place.</w:t>
      </w:r>
      <w:r w:rsidRPr="00D86042">
        <w:rPr>
          <w:vertAlign w:val="superscript"/>
        </w:rPr>
        <w:footnoteReference w:id="12"/>
      </w:r>
    </w:p>
    <w:p w:rsidRPr="00D86042" w:rsidR="00D86042" w:rsidP="00F277D4" w:rsidRDefault="00D86042" w14:paraId="7C4DCF87" w14:textId="0B4A9DD4">
      <w:pPr>
        <w:pStyle w:val="Standard"/>
      </w:pPr>
      <w:r w:rsidRPr="00D86042">
        <w:t>Finally, opposing PG&amp;E</w:t>
      </w:r>
      <w:r w:rsidR="005A00BE">
        <w:t>’</w:t>
      </w:r>
      <w:r w:rsidRPr="00D86042">
        <w:t xml:space="preserve">s proposed revisions, </w:t>
      </w:r>
      <w:r w:rsidR="000C5099">
        <w:t>Cal Advoc</w:t>
      </w:r>
      <w:r w:rsidRPr="00D86042">
        <w:t>ates argue</w:t>
      </w:r>
      <w:r w:rsidR="002B46F5">
        <w:t>s</w:t>
      </w:r>
      <w:r w:rsidRPr="00D86042">
        <w:t xml:space="preserve"> that PG&amp;E</w:t>
      </w:r>
      <w:r w:rsidR="005A00BE">
        <w:t>’</w:t>
      </w:r>
      <w:r w:rsidRPr="00D86042">
        <w:t>s proposed changes would remove key safeguards that protect ratepayers from overpaying for or underselling short</w:t>
      </w:r>
      <w:r w:rsidR="00E54574">
        <w:noBreakHyphen/>
      </w:r>
      <w:r w:rsidRPr="00D86042">
        <w:t xml:space="preserve">term RPS resources. </w:t>
      </w:r>
      <w:r w:rsidR="009D2CBC">
        <w:t>Noting that p</w:t>
      </w:r>
      <w:r w:rsidRPr="00D86042">
        <w:t>r</w:t>
      </w:r>
      <w:r w:rsidR="002B46F5">
        <w:t>i</w:t>
      </w:r>
      <w:r w:rsidRPr="00D86042">
        <w:t>ce floors and ceilings ensure transactions reflect fair market value and that benefits from REC sales go to ratepayers</w:t>
      </w:r>
      <w:r w:rsidR="009D2CBC">
        <w:t xml:space="preserve">, </w:t>
      </w:r>
      <w:r w:rsidR="000C5099">
        <w:t>Cal Advoc</w:t>
      </w:r>
      <w:r w:rsidR="009D2CBC">
        <w:t>ates argues that a</w:t>
      </w:r>
      <w:r w:rsidRPr="00D86042">
        <w:t>llowing PG&amp;E to bypass these protections undermines their purpose and exposes ratepayers to unreasonable risks.</w:t>
      </w:r>
      <w:r w:rsidRPr="00D86042">
        <w:rPr>
          <w:vertAlign w:val="superscript"/>
        </w:rPr>
        <w:footnoteReference w:id="13"/>
      </w:r>
    </w:p>
    <w:p w:rsidR="00D149E9" w:rsidP="00F277D4" w:rsidRDefault="009E01F1" w14:paraId="0A49F5AD" w14:textId="2A987051">
      <w:pPr>
        <w:pStyle w:val="Heading1"/>
      </w:pPr>
      <w:bookmarkStart w:name="_Toc212716134" w:id="33"/>
      <w:bookmarkStart w:name="_Toc214004338" w:id="34"/>
      <w:r w:rsidRPr="009E01F1">
        <w:lastRenderedPageBreak/>
        <w:t>Investor</w:t>
      </w:r>
      <w:r w:rsidR="00E54574">
        <w:noBreakHyphen/>
      </w:r>
      <w:r w:rsidRPr="009E01F1">
        <w:t>Owned Utilities</w:t>
      </w:r>
      <w:r w:rsidR="005A00BE">
        <w:t>’</w:t>
      </w:r>
      <w:r w:rsidR="00D149E9">
        <w:t xml:space="preserve"> Draft 2025</w:t>
      </w:r>
      <w:r w:rsidR="00A252FE">
        <w:br/>
      </w:r>
      <w:r w:rsidRPr="00C55273">
        <w:t>Renewables Portfolio Standard</w:t>
      </w:r>
      <w:r w:rsidR="00D149E9">
        <w:t xml:space="preserve"> Plans</w:t>
      </w:r>
      <w:bookmarkEnd w:id="33"/>
      <w:bookmarkEnd w:id="34"/>
    </w:p>
    <w:p w:rsidRPr="00C55273" w:rsidR="00D149E9" w:rsidP="00F277D4" w:rsidRDefault="00F139CD" w14:paraId="470FF864" w14:textId="74A9F0C4">
      <w:pPr>
        <w:pStyle w:val="Standard"/>
      </w:pPr>
      <w:r>
        <w:t>SB </w:t>
      </w:r>
      <w:r w:rsidRPr="00C55273" w:rsidR="00D149E9">
        <w:t xml:space="preserve">100 </w:t>
      </w:r>
      <w:r w:rsidR="00B16772">
        <w:t xml:space="preserve">set a requirement for </w:t>
      </w:r>
      <w:r w:rsidRPr="00C55273" w:rsidR="00D149E9">
        <w:t>retail sellers to meet a 60</w:t>
      </w:r>
      <w:r w:rsidR="008C0F68">
        <w:t> percent</w:t>
      </w:r>
      <w:r w:rsidRPr="00C55273" w:rsidR="00D149E9">
        <w:t xml:space="preserve"> RPS procurement </w:t>
      </w:r>
      <w:r w:rsidR="00B16772">
        <w:t>target</w:t>
      </w:r>
      <w:r w:rsidRPr="00C55273" w:rsidR="00D149E9">
        <w:t xml:space="preserve"> by 2030. D.19</w:t>
      </w:r>
      <w:r w:rsidR="00E54574">
        <w:noBreakHyphen/>
      </w:r>
      <w:r w:rsidRPr="00C55273" w:rsidR="00D149E9">
        <w:t>06</w:t>
      </w:r>
      <w:r w:rsidR="00E54574">
        <w:noBreakHyphen/>
      </w:r>
      <w:r w:rsidRPr="00C55273" w:rsidR="00D149E9">
        <w:t xml:space="preserve">023 implemented the </w:t>
      </w:r>
      <w:r w:rsidR="00B16772">
        <w:t xml:space="preserve">revised </w:t>
      </w:r>
      <w:r w:rsidRPr="00C55273" w:rsidR="00D149E9">
        <w:t xml:space="preserve">procurement quantity requirements </w:t>
      </w:r>
      <w:r w:rsidR="00B16772">
        <w:t xml:space="preserve">established </w:t>
      </w:r>
      <w:r w:rsidRPr="00C55273" w:rsidR="00D149E9">
        <w:t xml:space="preserve">by </w:t>
      </w:r>
      <w:r>
        <w:t>SB </w:t>
      </w:r>
      <w:r w:rsidRPr="00C55273" w:rsidR="00D149E9">
        <w:t xml:space="preserve">100 and </w:t>
      </w:r>
      <w:r w:rsidR="00B16772">
        <w:t>specified</w:t>
      </w:r>
      <w:r w:rsidRPr="00C55273" w:rsidR="00D149E9">
        <w:t xml:space="preserve"> that</w:t>
      </w:r>
      <w:r w:rsidR="00B16772">
        <w:t>,</w:t>
      </w:r>
      <w:r w:rsidRPr="00C55273" w:rsidR="00D149E9">
        <w:t xml:space="preserve"> for the 2021</w:t>
      </w:r>
      <w:r w:rsidR="00E54574">
        <w:noBreakHyphen/>
      </w:r>
      <w:r w:rsidRPr="00C55273" w:rsidR="00D149E9">
        <w:t xml:space="preserve">2024 </w:t>
      </w:r>
      <w:r w:rsidR="00B16772">
        <w:t xml:space="preserve">compliance period, </w:t>
      </w:r>
      <w:r w:rsidRPr="00C55273" w:rsidR="00D149E9">
        <w:t xml:space="preserve">retail sellers must procure </w:t>
      </w:r>
      <w:r w:rsidR="00B16772">
        <w:t>at least</w:t>
      </w:r>
      <w:r w:rsidRPr="00C55273" w:rsidR="00D149E9">
        <w:t xml:space="preserve"> 44</w:t>
      </w:r>
      <w:r w:rsidR="008C0F68">
        <w:t> percent</w:t>
      </w:r>
      <w:r w:rsidRPr="00C55273" w:rsidR="00D149E9">
        <w:t xml:space="preserve"> of their retail sales from eligible renewable energy resources by </w:t>
      </w:r>
      <w:r w:rsidR="00CD5830">
        <w:t>December </w:t>
      </w:r>
      <w:r w:rsidRPr="00C55273" w:rsidR="00D149E9">
        <w:t>31, 2024</w:t>
      </w:r>
      <w:r w:rsidR="00B16772">
        <w:t>. The decision also required that procurement in the intervening years follow the quantities</w:t>
      </w:r>
      <w:r w:rsidRPr="00C55273" w:rsidR="00D149E9">
        <w:t xml:space="preserve"> calculated by the straight</w:t>
      </w:r>
      <w:r w:rsidR="00E54574">
        <w:noBreakHyphen/>
      </w:r>
      <w:r w:rsidRPr="00C55273" w:rsidR="00D149E9">
        <w:t>line trend method.</w:t>
      </w:r>
      <w:r w:rsidRPr="00C55273" w:rsidR="00D149E9">
        <w:rPr>
          <w:vertAlign w:val="superscript"/>
        </w:rPr>
        <w:footnoteReference w:id="14"/>
      </w:r>
    </w:p>
    <w:p w:rsidR="00E5394B" w:rsidP="00F277D4" w:rsidRDefault="00D149E9" w14:paraId="1C7F6B25" w14:textId="5281B921">
      <w:pPr>
        <w:pStyle w:val="Standard"/>
      </w:pPr>
      <w:r w:rsidRPr="00C55273">
        <w:t>The three large IOUs</w:t>
      </w:r>
      <w:r w:rsidR="00412BD7">
        <w:t xml:space="preserve"> — </w:t>
      </w:r>
      <w:r w:rsidRPr="00C55273">
        <w:t>PG&amp;E, SCE, and SDG&amp;E</w:t>
      </w:r>
      <w:r w:rsidR="00412BD7">
        <w:t xml:space="preserve"> — </w:t>
      </w:r>
      <w:r w:rsidRPr="00C55273">
        <w:t>report</w:t>
      </w:r>
      <w:r w:rsidR="004D4B40">
        <w:t>ed</w:t>
      </w:r>
      <w:r w:rsidRPr="00C55273">
        <w:t xml:space="preserve"> RPS progress</w:t>
      </w:r>
      <w:r w:rsidR="006F75C7">
        <w:t xml:space="preserve"> </w:t>
      </w:r>
      <w:r w:rsidRPr="00C55273">
        <w:t xml:space="preserve">at or above the program procurement requirements for </w:t>
      </w:r>
      <w:r w:rsidR="00723BFF">
        <w:t>c</w:t>
      </w:r>
      <w:r w:rsidRPr="00C55273">
        <w:t xml:space="preserve">ompliance </w:t>
      </w:r>
      <w:r w:rsidR="00723BFF">
        <w:t>p</w:t>
      </w:r>
      <w:r w:rsidRPr="00C55273">
        <w:t>eriod</w:t>
      </w:r>
      <w:r w:rsidR="006F75C7">
        <w:t xml:space="preserve"> </w:t>
      </w:r>
      <w:r w:rsidRPr="00C55273">
        <w:t>2021</w:t>
      </w:r>
      <w:r w:rsidR="00E54574">
        <w:noBreakHyphen/>
      </w:r>
      <w:r w:rsidRPr="00C55273">
        <w:t>2024 (</w:t>
      </w:r>
      <w:r w:rsidR="00412BD7">
        <w:t>CP </w:t>
      </w:r>
      <w:r w:rsidRPr="00C55273">
        <w:t>4). For 202</w:t>
      </w:r>
      <w:r>
        <w:t>4</w:t>
      </w:r>
      <w:r w:rsidRPr="00C55273">
        <w:t xml:space="preserve">, the IOUs reported that </w:t>
      </w:r>
      <w:r w:rsidRPr="00225A01">
        <w:t>4</w:t>
      </w:r>
      <w:r w:rsidR="00225A01">
        <w:t>4</w:t>
      </w:r>
      <w:r w:rsidR="008C0F68">
        <w:t> percent</w:t>
      </w:r>
      <w:r w:rsidRPr="00C55273">
        <w:t xml:space="preserve"> of PG&amp;E</w:t>
      </w:r>
      <w:r w:rsidR="005A00BE">
        <w:t>’</w:t>
      </w:r>
      <w:r w:rsidRPr="00C55273">
        <w:t>s load,</w:t>
      </w:r>
      <w:r w:rsidRPr="00C55273">
        <w:rPr>
          <w:vertAlign w:val="superscript"/>
        </w:rPr>
        <w:footnoteReference w:id="15"/>
      </w:r>
      <w:r w:rsidRPr="00C55273">
        <w:t xml:space="preserve"> </w:t>
      </w:r>
      <w:r w:rsidRPr="00102F90">
        <w:t>4</w:t>
      </w:r>
      <w:r w:rsidR="00102F90">
        <w:t>9</w:t>
      </w:r>
      <w:r w:rsidR="008C0F68">
        <w:t> percent</w:t>
      </w:r>
      <w:r w:rsidRPr="00C55273">
        <w:t xml:space="preserve"> of SCE</w:t>
      </w:r>
      <w:r w:rsidR="005A00BE">
        <w:t>’</w:t>
      </w:r>
      <w:r w:rsidRPr="00C55273">
        <w:t>s load,</w:t>
      </w:r>
      <w:r w:rsidRPr="00C55273">
        <w:rPr>
          <w:vertAlign w:val="superscript"/>
        </w:rPr>
        <w:footnoteReference w:id="16"/>
      </w:r>
      <w:r w:rsidRPr="00C55273">
        <w:t xml:space="preserve"> and </w:t>
      </w:r>
      <w:r w:rsidRPr="008A0B9C">
        <w:t>4</w:t>
      </w:r>
      <w:r w:rsidR="00E64F2D">
        <w:t>9</w:t>
      </w:r>
      <w:r w:rsidR="008A0B9C">
        <w:t>.99</w:t>
      </w:r>
      <w:r w:rsidR="008C0F68">
        <w:t> percent</w:t>
      </w:r>
      <w:r w:rsidRPr="00C55273">
        <w:t xml:space="preserve"> of SDG&amp;E</w:t>
      </w:r>
      <w:r w:rsidR="005A00BE">
        <w:t>’</w:t>
      </w:r>
      <w:r w:rsidRPr="00C55273">
        <w:t>s load</w:t>
      </w:r>
      <w:r w:rsidRPr="00C55273">
        <w:rPr>
          <w:vertAlign w:val="superscript"/>
        </w:rPr>
        <w:footnoteReference w:id="17"/>
      </w:r>
      <w:r w:rsidRPr="00C55273">
        <w:t xml:space="preserve"> was met by RPS</w:t>
      </w:r>
      <w:r w:rsidR="00E54574">
        <w:noBreakHyphen/>
      </w:r>
      <w:r w:rsidRPr="00C55273">
        <w:t>eligible resources.</w:t>
      </w:r>
      <w:r w:rsidR="00AE7FF6">
        <w:t xml:space="preserve"> F</w:t>
      </w:r>
      <w:r w:rsidRPr="00AE7FF6" w:rsidR="00AE7FF6">
        <w:t>or the compliance period 202</w:t>
      </w:r>
      <w:r w:rsidR="00AE7FF6">
        <w:t>5</w:t>
      </w:r>
      <w:r w:rsidR="00E54574">
        <w:noBreakHyphen/>
      </w:r>
      <w:r w:rsidRPr="00AE7FF6" w:rsidR="00AE7FF6">
        <w:t>202</w:t>
      </w:r>
      <w:r w:rsidR="00AE7FF6">
        <w:t>7</w:t>
      </w:r>
      <w:r w:rsidRPr="00AE7FF6" w:rsidR="00AE7FF6">
        <w:t xml:space="preserve"> retail sellers must procure no less than </w:t>
      </w:r>
      <w:r w:rsidR="00AE7FF6">
        <w:t>52</w:t>
      </w:r>
      <w:r w:rsidR="008C0F68">
        <w:t> percent</w:t>
      </w:r>
      <w:r w:rsidRPr="00AE7FF6" w:rsidR="00AE7FF6">
        <w:t xml:space="preserve"> of their retail sales from eligible renewable energy resources by </w:t>
      </w:r>
      <w:r w:rsidR="00CD5830">
        <w:t>December </w:t>
      </w:r>
      <w:r w:rsidRPr="00AE7FF6" w:rsidR="00AE7FF6">
        <w:t>31, 202</w:t>
      </w:r>
      <w:r w:rsidR="00AE7FF6">
        <w:t>7.</w:t>
      </w:r>
    </w:p>
    <w:p w:rsidRPr="00C55273" w:rsidR="00366DF8" w:rsidP="00F277D4" w:rsidRDefault="003C48F7" w14:paraId="0566AA1C" w14:textId="7ADE56F4">
      <w:pPr>
        <w:pStyle w:val="Standard"/>
      </w:pPr>
      <w:r>
        <w:t>Figure </w:t>
      </w:r>
      <w:r w:rsidRPr="00366DF8" w:rsidR="00366DF8">
        <w:t>1 below summarizes the large IOUs</w:t>
      </w:r>
      <w:r w:rsidR="005A00BE">
        <w:t>’</w:t>
      </w:r>
      <w:r w:rsidRPr="00366DF8" w:rsidR="00366DF8">
        <w:t xml:space="preserve"> actual and forecasted progress toward meeting the 60</w:t>
      </w:r>
      <w:r w:rsidR="008C0F68">
        <w:t> percent</w:t>
      </w:r>
      <w:r w:rsidRPr="00366DF8" w:rsidR="00366DF8">
        <w:t xml:space="preserve"> RPS mandate by 2030.</w:t>
      </w:r>
    </w:p>
    <w:p w:rsidR="00E518B4" w:rsidP="00F277D4" w:rsidRDefault="003C48F7" w14:paraId="4E1818C6" w14:textId="2CB28E78">
      <w:pPr>
        <w:pStyle w:val="TableTitleBody"/>
        <w:rPr>
          <w:b w:val="0"/>
          <w:bCs w:val="0"/>
        </w:rPr>
      </w:pPr>
      <w:r>
        <w:lastRenderedPageBreak/>
        <w:t>Figure </w:t>
      </w:r>
      <w:r w:rsidRPr="00366DF8" w:rsidR="00366DF8">
        <w:t>1</w:t>
      </w:r>
      <w:r w:rsidR="00CD5830">
        <w:rPr>
          <w:b w:val="0"/>
          <w:bCs w:val="0"/>
        </w:rPr>
        <w:t xml:space="preserve">:  </w:t>
      </w:r>
      <w:r w:rsidRPr="00366DF8" w:rsidR="00366DF8">
        <w:t xml:space="preserve">Aggregated </w:t>
      </w:r>
      <w:r w:rsidRPr="009E01F1" w:rsidR="009E01F1">
        <w:t>Investor</w:t>
      </w:r>
      <w:r w:rsidR="00E54574">
        <w:rPr>
          <w:b w:val="0"/>
          <w:bCs w:val="0"/>
        </w:rPr>
        <w:noBreakHyphen/>
      </w:r>
      <w:r w:rsidRPr="009E01F1" w:rsidR="009E01F1">
        <w:t>Owned Utilities</w:t>
      </w:r>
      <w:r w:rsidR="00B4208A">
        <w:t>’</w:t>
      </w:r>
      <w:r w:rsidRPr="00366DF8" w:rsidR="00366DF8">
        <w:t xml:space="preserve"> Progress</w:t>
      </w:r>
      <w:r w:rsidR="005927CB">
        <w:br/>
      </w:r>
      <w:r w:rsidRPr="00366DF8" w:rsidR="00366DF8">
        <w:t>Toward 60</w:t>
      </w:r>
      <w:r w:rsidR="005927CB">
        <w:t> Percent</w:t>
      </w:r>
      <w:r w:rsidRPr="00366DF8" w:rsidR="00366DF8">
        <w:t xml:space="preserve"> </w:t>
      </w:r>
      <w:r w:rsidRPr="009E01F1" w:rsidR="009E01F1">
        <w:t>Renewables Portfolio Standard</w:t>
      </w:r>
    </w:p>
    <w:p w:rsidR="00E518B4" w:rsidP="00F277D4" w:rsidRDefault="00E518B4" w14:paraId="24F03EC6" w14:textId="5E324917">
      <w:pPr>
        <w:pStyle w:val="StandardFigure"/>
      </w:pPr>
      <w:r>
        <w:rPr>
          <w:noProof/>
        </w:rPr>
        <w:drawing>
          <wp:inline distT="0" distB="0" distL="0" distR="0" wp14:anchorId="04A54942" wp14:editId="7C8E7D2F">
            <wp:extent cx="5515422" cy="2991485"/>
            <wp:effectExtent l="0" t="0" r="9525" b="0"/>
            <wp:docPr id="180836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5422" cy="2991485"/>
                    </a:xfrm>
                    <a:prstGeom prst="rect">
                      <a:avLst/>
                    </a:prstGeom>
                    <a:noFill/>
                  </pic:spPr>
                </pic:pic>
              </a:graphicData>
            </a:graphic>
          </wp:inline>
        </w:drawing>
      </w:r>
    </w:p>
    <w:p w:rsidR="0016069C" w:rsidP="00F277D4" w:rsidRDefault="009E01F1" w14:paraId="008F33D2" w14:textId="62D3B12C">
      <w:pPr>
        <w:pStyle w:val="Heading2"/>
      </w:pPr>
      <w:bookmarkStart w:name="_Toc212716135" w:id="35"/>
      <w:bookmarkStart w:name="_Toc214004339" w:id="36"/>
      <w:r w:rsidRPr="009E01F1">
        <w:t>Investor</w:t>
      </w:r>
      <w:r w:rsidR="00E54574">
        <w:noBreakHyphen/>
      </w:r>
      <w:r w:rsidRPr="009E01F1">
        <w:t>Owned Utilities</w:t>
      </w:r>
      <w:r w:rsidR="005A00BE">
        <w:t>’</w:t>
      </w:r>
      <w:r w:rsidR="0016069C">
        <w:t xml:space="preserve"> Request to Eliminate </w:t>
      </w:r>
      <w:r w:rsidR="00AF70D1">
        <w:t>Tier 1</w:t>
      </w:r>
      <w:r w:rsidR="0016069C">
        <w:t xml:space="preserve"> Advice Letter Requirement for Approval of Short</w:t>
      </w:r>
      <w:r w:rsidR="00E54574">
        <w:noBreakHyphen/>
      </w:r>
      <w:r w:rsidR="0016069C">
        <w:t xml:space="preserve">Term </w:t>
      </w:r>
      <w:r w:rsidR="00DD4C7B">
        <w:t>Transactions</w:t>
      </w:r>
      <w:bookmarkEnd w:id="35"/>
      <w:bookmarkEnd w:id="36"/>
    </w:p>
    <w:p w:rsidR="00F023E7" w:rsidP="00F277D4" w:rsidRDefault="0016069C" w14:paraId="0221EC59" w14:textId="202E1B9B">
      <w:pPr>
        <w:pStyle w:val="Standard"/>
      </w:pPr>
      <w:r w:rsidRPr="0016069C">
        <w:t xml:space="preserve">In their </w:t>
      </w:r>
      <w:r w:rsidR="002A3F97">
        <w:t xml:space="preserve">Draft </w:t>
      </w:r>
      <w:r w:rsidR="00950E04">
        <w:t>2025 RPS</w:t>
      </w:r>
      <w:r w:rsidRPr="0016069C">
        <w:t xml:space="preserve"> Plans, </w:t>
      </w:r>
      <w:r>
        <w:t xml:space="preserve">for the third time, </w:t>
      </w:r>
      <w:r w:rsidRPr="0016069C">
        <w:t xml:space="preserve">PG&amp;E, SCE, and SDG&amp;E request authority to eliminate the </w:t>
      </w:r>
      <w:r w:rsidR="00AF70D1">
        <w:t>Tier 1</w:t>
      </w:r>
      <w:r w:rsidRPr="0016069C">
        <w:t xml:space="preserve"> Advice Letter review process for short</w:t>
      </w:r>
      <w:r w:rsidR="00E54574">
        <w:noBreakHyphen/>
      </w:r>
      <w:r w:rsidRPr="0016069C">
        <w:t>term RPS contract approval</w:t>
      </w:r>
      <w:r w:rsidR="001738CB">
        <w:t xml:space="preserve"> and replace it with a pre</w:t>
      </w:r>
      <w:r w:rsidR="00E54574">
        <w:noBreakHyphen/>
      </w:r>
      <w:r w:rsidR="001738CB">
        <w:t xml:space="preserve">approval </w:t>
      </w:r>
      <w:r w:rsidR="006C38A8">
        <w:t>process</w:t>
      </w:r>
      <w:r w:rsidR="00470050">
        <w:t xml:space="preserve">. In the proposed process, the </w:t>
      </w:r>
      <w:r w:rsidRPr="00470050" w:rsidR="00470050">
        <w:t>IOU</w:t>
      </w:r>
      <w:r w:rsidR="00470050">
        <w:t>s</w:t>
      </w:r>
      <w:r w:rsidRPr="00470050" w:rsidR="00470050">
        <w:t xml:space="preserve"> </w:t>
      </w:r>
      <w:r w:rsidR="00470050">
        <w:t>could</w:t>
      </w:r>
      <w:r w:rsidRPr="00470050" w:rsidR="00470050">
        <w:t xml:space="preserve"> execute short</w:t>
      </w:r>
      <w:r w:rsidR="00E54574">
        <w:noBreakHyphen/>
      </w:r>
      <w:r w:rsidRPr="00470050" w:rsidR="00470050">
        <w:t xml:space="preserve">term (terms of less than three years in duration) transactions that are consistent with strategies detailed in </w:t>
      </w:r>
      <w:r w:rsidR="00470050">
        <w:t xml:space="preserve">their RPS Plans and </w:t>
      </w:r>
      <w:r w:rsidR="001738CB">
        <w:t>reviewed through quarterly compliance reports</w:t>
      </w:r>
      <w:r w:rsidR="00470050">
        <w:t>.</w:t>
      </w:r>
      <w:r w:rsidRPr="00470050" w:rsidR="00470050">
        <w:t xml:space="preserve"> Currently, pursuant to D.14</w:t>
      </w:r>
      <w:r w:rsidR="00E54574">
        <w:noBreakHyphen/>
      </w:r>
      <w:r w:rsidRPr="00470050" w:rsidR="00470050">
        <w:t>11</w:t>
      </w:r>
      <w:r w:rsidR="00E54574">
        <w:noBreakHyphen/>
      </w:r>
      <w:r w:rsidRPr="00470050" w:rsidR="00470050">
        <w:t xml:space="preserve">042, </w:t>
      </w:r>
      <w:r w:rsidR="00470050">
        <w:t>IOUs</w:t>
      </w:r>
      <w:r w:rsidRPr="00470050" w:rsidR="00470050">
        <w:t xml:space="preserve"> must submit the</w:t>
      </w:r>
      <w:r w:rsidR="00381170">
        <w:t>ir</w:t>
      </w:r>
      <w:r w:rsidRPr="00470050" w:rsidR="00470050">
        <w:t xml:space="preserve"> contracts and receive approval via </w:t>
      </w:r>
      <w:r w:rsidR="00AF70D1">
        <w:t>Tier 1</w:t>
      </w:r>
      <w:r w:rsidRPr="00470050" w:rsidR="00470050">
        <w:t xml:space="preserve"> Advice Letter before deliveries can occur. </w:t>
      </w:r>
      <w:r w:rsidR="006C38A8">
        <w:t xml:space="preserve">In </w:t>
      </w:r>
      <w:r w:rsidR="00381170">
        <w:t>its</w:t>
      </w:r>
      <w:r w:rsidR="006C38A8">
        <w:t xml:space="preserve"> comments on the </w:t>
      </w:r>
      <w:r w:rsidR="002A3F97">
        <w:t xml:space="preserve">Draft </w:t>
      </w:r>
      <w:r w:rsidR="00950E04">
        <w:t>2025 RPS</w:t>
      </w:r>
      <w:r w:rsidR="006C38A8">
        <w:t xml:space="preserve"> Plans, </w:t>
      </w:r>
      <w:r w:rsidR="000C5099">
        <w:t>Cal Advoc</w:t>
      </w:r>
      <w:r w:rsidR="001738CB">
        <w:t xml:space="preserve">ates opposed this proposal, recommending that the Commission keep the current </w:t>
      </w:r>
      <w:r w:rsidR="00AF70D1">
        <w:t>Tier 1</w:t>
      </w:r>
      <w:r w:rsidR="001738CB">
        <w:t xml:space="preserve"> review process.</w:t>
      </w:r>
    </w:p>
    <w:p w:rsidR="001738CB" w:rsidP="00F277D4" w:rsidRDefault="00470050" w14:paraId="05921F9D" w14:textId="08E44E50">
      <w:pPr>
        <w:pStyle w:val="Standard"/>
      </w:pPr>
      <w:r>
        <w:t xml:space="preserve">Recently, </w:t>
      </w:r>
      <w:r w:rsidR="005F75D4">
        <w:t xml:space="preserve">after the IOUs filed their Draft </w:t>
      </w:r>
      <w:r w:rsidR="00950E04">
        <w:t>2025 RPS</w:t>
      </w:r>
      <w:r w:rsidR="005F75D4">
        <w:t xml:space="preserve"> Plans, </w:t>
      </w:r>
      <w:r>
        <w:t>t</w:t>
      </w:r>
      <w:r w:rsidR="000B2B5F">
        <w:t>he Commission issued D.25</w:t>
      </w:r>
      <w:r w:rsidR="00E54574">
        <w:noBreakHyphen/>
      </w:r>
      <w:r w:rsidR="000B2B5F">
        <w:t>08</w:t>
      </w:r>
      <w:r w:rsidR="00E54574">
        <w:noBreakHyphen/>
      </w:r>
      <w:r w:rsidR="000B2B5F">
        <w:t>009, denying the IOUs</w:t>
      </w:r>
      <w:r w:rsidR="005A00BE">
        <w:t>’</w:t>
      </w:r>
      <w:r w:rsidR="000B2B5F">
        <w:t xml:space="preserve"> prior request </w:t>
      </w:r>
      <w:r w:rsidR="005F75D4">
        <w:t xml:space="preserve">submitted </w:t>
      </w:r>
      <w:r w:rsidR="000B2B5F">
        <w:t xml:space="preserve">in their 2024 RPS </w:t>
      </w:r>
      <w:r w:rsidR="000B2B5F">
        <w:lastRenderedPageBreak/>
        <w:t>Plan</w:t>
      </w:r>
      <w:r w:rsidR="00381170">
        <w:t>s</w:t>
      </w:r>
      <w:r w:rsidR="000B2B5F">
        <w:t xml:space="preserve"> and determined that the IO</w:t>
      </w:r>
      <w:r w:rsidR="006C38A8">
        <w:t>U</w:t>
      </w:r>
      <w:r w:rsidR="000B2B5F">
        <w:t xml:space="preserve">s did </w:t>
      </w:r>
      <w:r w:rsidR="005A00BE">
        <w:t>“</w:t>
      </w:r>
      <w:r w:rsidR="000B2B5F">
        <w:t xml:space="preserve">not provide sufficient evidence to support their claim that the current </w:t>
      </w:r>
      <w:r w:rsidR="00AF70D1">
        <w:t>Tier 1</w:t>
      </w:r>
      <w:r w:rsidR="000B2B5F">
        <w:t xml:space="preserve"> </w:t>
      </w:r>
      <w:r w:rsidR="006C38A8">
        <w:t>AL</w:t>
      </w:r>
      <w:r w:rsidR="000B2B5F">
        <w:t xml:space="preserve"> filing requirement has significantly disadvantaged them in the short</w:t>
      </w:r>
      <w:r w:rsidR="00E54574">
        <w:noBreakHyphen/>
      </w:r>
      <w:r w:rsidR="000B2B5F">
        <w:t xml:space="preserve">term RPS market and the ratepayers have </w:t>
      </w:r>
      <w:r w:rsidR="006C38A8">
        <w:t>been</w:t>
      </w:r>
      <w:r w:rsidR="000B2B5F">
        <w:t xml:space="preserve"> harmed.</w:t>
      </w:r>
      <w:r w:rsidR="005A00BE">
        <w:t>”</w:t>
      </w:r>
      <w:r w:rsidR="000B2B5F">
        <w:rPr>
          <w:rStyle w:val="FootnoteReference"/>
        </w:rPr>
        <w:footnoteReference w:id="18"/>
      </w:r>
    </w:p>
    <w:p w:rsidR="00FF6174" w:rsidP="00F277D4" w:rsidRDefault="0016069C" w14:paraId="627FC8F3" w14:textId="3B1607DB">
      <w:pPr>
        <w:pStyle w:val="Standard"/>
      </w:pPr>
      <w:r>
        <w:t xml:space="preserve">Subsequently, SCE filed a motion to update its </w:t>
      </w:r>
      <w:r w:rsidR="002A3F97">
        <w:t xml:space="preserve">Draft </w:t>
      </w:r>
      <w:r w:rsidR="00950E04">
        <w:t>2025 RPS</w:t>
      </w:r>
      <w:r>
        <w:t xml:space="preserve"> Plan and SDG&amp;E submitted substitute sheets to its </w:t>
      </w:r>
      <w:r w:rsidR="00950E04">
        <w:t>2025 RPS</w:t>
      </w:r>
      <w:r>
        <w:t xml:space="preserve"> Plan, supplementing their requests to eliminate the </w:t>
      </w:r>
      <w:r w:rsidR="00AF70D1">
        <w:t>Tier 1</w:t>
      </w:r>
      <w:r>
        <w:t xml:space="preserve"> Advice Letter requirement for approval of short</w:t>
      </w:r>
      <w:r w:rsidR="00E54574">
        <w:noBreakHyphen/>
      </w:r>
      <w:r>
        <w:t>term transactions.</w:t>
      </w:r>
      <w:r w:rsidR="0039324D">
        <w:t xml:space="preserve"> </w:t>
      </w:r>
      <w:r w:rsidR="00FF6174">
        <w:t>SC</w:t>
      </w:r>
      <w:r w:rsidR="000F5BA3">
        <w:t>E p</w:t>
      </w:r>
      <w:r w:rsidRPr="000F5BA3" w:rsidR="000F5BA3">
        <w:t>rovide</w:t>
      </w:r>
      <w:r w:rsidR="000F5BA3">
        <w:t>d</w:t>
      </w:r>
      <w:r w:rsidRPr="000F5BA3" w:rsidR="000F5BA3">
        <w:t xml:space="preserve"> analysis on the financial impact to bundled customers from the requirement for </w:t>
      </w:r>
      <w:r w:rsidR="00AF70D1">
        <w:t>Tier 1</w:t>
      </w:r>
      <w:r w:rsidRPr="000F5BA3" w:rsidR="000F5BA3">
        <w:t xml:space="preserve"> </w:t>
      </w:r>
      <w:r w:rsidR="00A774CF">
        <w:t>Advice Letter</w:t>
      </w:r>
      <w:r w:rsidRPr="000F5BA3" w:rsidR="000F5BA3">
        <w:t xml:space="preserve"> review of short</w:t>
      </w:r>
      <w:r w:rsidR="00E54574">
        <w:noBreakHyphen/>
      </w:r>
      <w:r w:rsidRPr="000F5BA3" w:rsidR="000F5BA3">
        <w:t>term REC</w:t>
      </w:r>
      <w:r w:rsidR="00CC05A2">
        <w:t xml:space="preserve"> </w:t>
      </w:r>
      <w:r w:rsidRPr="000F5BA3" w:rsidR="000F5BA3">
        <w:t xml:space="preserve">transactions </w:t>
      </w:r>
      <w:r w:rsidR="00AB18BC">
        <w:t xml:space="preserve">and SDG&amp;E </w:t>
      </w:r>
      <w:r w:rsidR="00C92B05">
        <w:t xml:space="preserve">submitted substitute sheets to address </w:t>
      </w:r>
      <w:r w:rsidR="003D759F">
        <w:t xml:space="preserve">the </w:t>
      </w:r>
      <w:r w:rsidR="005A00BE">
        <w:t>“</w:t>
      </w:r>
      <w:r w:rsidR="005624BE">
        <w:t>Commission</w:t>
      </w:r>
      <w:r w:rsidR="005A00BE">
        <w:t>’</w:t>
      </w:r>
      <w:r w:rsidR="005624BE">
        <w:t>s</w:t>
      </w:r>
      <w:r w:rsidR="00C92B05">
        <w:t xml:space="preserve"> concerns, including transactions that were not completed </w:t>
      </w:r>
      <w:r w:rsidR="005624BE">
        <w:t>o</w:t>
      </w:r>
      <w:r w:rsidR="00C92B05">
        <w:t>r entertained, cost savings not realized, RPS goals not met based on its recent experience, and SDG&amp;E</w:t>
      </w:r>
      <w:r w:rsidR="005A00BE">
        <w:t>’</w:t>
      </w:r>
      <w:r w:rsidR="00C92B05">
        <w:t>s purchase price methodology.</w:t>
      </w:r>
      <w:r w:rsidR="005A00BE">
        <w:t>”</w:t>
      </w:r>
      <w:r w:rsidR="00C92B05">
        <w:rPr>
          <w:rStyle w:val="FootnoteReference"/>
        </w:rPr>
        <w:footnoteReference w:id="19"/>
      </w:r>
    </w:p>
    <w:p w:rsidR="00AE5F79" w:rsidP="00F277D4" w:rsidRDefault="000C5099" w14:paraId="6AB3C704" w14:textId="59B6124F">
      <w:pPr>
        <w:pStyle w:val="Standard"/>
      </w:pPr>
      <w:r>
        <w:t>Cal Advoc</w:t>
      </w:r>
      <w:r w:rsidR="00C92B05">
        <w:t xml:space="preserve">ates </w:t>
      </w:r>
      <w:r w:rsidR="005624BE">
        <w:t>filed a response to the IOU</w:t>
      </w:r>
      <w:r w:rsidR="00DE2EFD">
        <w:t>s</w:t>
      </w:r>
      <w:r w:rsidR="005A00BE">
        <w:t>’</w:t>
      </w:r>
      <w:r w:rsidR="005624BE">
        <w:t xml:space="preserve"> updates, stating that</w:t>
      </w:r>
      <w:r w:rsidR="00C92B05">
        <w:t xml:space="preserve"> </w:t>
      </w:r>
      <w:r w:rsidR="005A00BE">
        <w:t>“</w:t>
      </w:r>
      <w:r w:rsidR="00DE2EFD">
        <w:t>…</w:t>
      </w:r>
      <w:r w:rsidR="00C92B05">
        <w:t xml:space="preserve">the Commission should conclude that the additional information fails to address the evidentiary standards and program oversight determinations the Commission adopted in </w:t>
      </w:r>
      <w:r w:rsidR="00CF4861">
        <w:t>[</w:t>
      </w:r>
      <w:r w:rsidR="00C92B05">
        <w:t>D.25</w:t>
      </w:r>
      <w:r w:rsidR="00E54574">
        <w:noBreakHyphen/>
      </w:r>
      <w:r w:rsidR="00C92B05">
        <w:t>08</w:t>
      </w:r>
      <w:r w:rsidR="00E54574">
        <w:noBreakHyphen/>
      </w:r>
      <w:r w:rsidR="00C92B05">
        <w:t>009</w:t>
      </w:r>
      <w:r w:rsidR="00CF4861">
        <w:t>]</w:t>
      </w:r>
      <w:r w:rsidR="00C92B05">
        <w:t>.</w:t>
      </w:r>
      <w:r w:rsidR="005A00BE">
        <w:t>”</w:t>
      </w:r>
      <w:r w:rsidR="005624BE">
        <w:t xml:space="preserve"> </w:t>
      </w:r>
      <w:r>
        <w:t>Cal Advoc</w:t>
      </w:r>
      <w:r w:rsidR="005624BE">
        <w:t xml:space="preserve">ates recommended that the </w:t>
      </w:r>
      <w:r w:rsidR="00C92B05">
        <w:t>Commission uphold its finding in D.25</w:t>
      </w:r>
      <w:r w:rsidR="00E54574">
        <w:noBreakHyphen/>
      </w:r>
      <w:r w:rsidR="00C92B05">
        <w:t>08</w:t>
      </w:r>
      <w:r w:rsidR="00E54574">
        <w:noBreakHyphen/>
      </w:r>
      <w:r w:rsidR="00C92B05">
        <w:t xml:space="preserve">009 that the </w:t>
      </w:r>
      <w:r w:rsidR="00AF70D1">
        <w:t>Tier 1</w:t>
      </w:r>
      <w:r w:rsidR="00C92B05">
        <w:t xml:space="preserve"> </w:t>
      </w:r>
      <w:r w:rsidR="00655008">
        <w:t>A</w:t>
      </w:r>
      <w:r w:rsidR="00C92B05">
        <w:t xml:space="preserve">dvice </w:t>
      </w:r>
      <w:r w:rsidR="00655008">
        <w:t>L</w:t>
      </w:r>
      <w:r w:rsidR="00C92B05">
        <w:t>etter review process for short</w:t>
      </w:r>
      <w:r w:rsidR="00E54574">
        <w:noBreakHyphen/>
      </w:r>
      <w:r w:rsidR="00C92B05">
        <w:t xml:space="preserve">term RPS transactions provides </w:t>
      </w:r>
      <w:r w:rsidR="00100E53">
        <w:t>the Commission oversight needed</w:t>
      </w:r>
      <w:r w:rsidR="00C92B05">
        <w:t xml:space="preserve"> to protect ratepayer interests and to preserve the integrity of the RPS program.</w:t>
      </w:r>
      <w:r w:rsidR="00C92B05">
        <w:rPr>
          <w:rStyle w:val="FootnoteReference"/>
        </w:rPr>
        <w:footnoteReference w:id="20"/>
      </w:r>
      <w:r w:rsidR="00AE5F79">
        <w:t xml:space="preserve"> In their replies, SCE and SDG&amp;E disagreed with </w:t>
      </w:r>
      <w:r>
        <w:t>Cal Advoc</w:t>
      </w:r>
      <w:r w:rsidR="00AE5F79">
        <w:t>ates.</w:t>
      </w:r>
    </w:p>
    <w:p w:rsidR="00F023E7" w:rsidP="00F277D4" w:rsidRDefault="00D156ED" w14:paraId="1EF1CF90" w14:textId="05A5BDA2">
      <w:pPr>
        <w:pStyle w:val="Standard"/>
      </w:pPr>
      <w:r>
        <w:t xml:space="preserve">This decision </w:t>
      </w:r>
      <w:r w:rsidR="006262A6">
        <w:t xml:space="preserve">will not </w:t>
      </w:r>
      <w:r w:rsidR="002958FA">
        <w:t xml:space="preserve">address </w:t>
      </w:r>
      <w:r w:rsidR="006262A6">
        <w:t>the merits of the IOUs</w:t>
      </w:r>
      <w:r w:rsidR="005A00BE">
        <w:t>’</w:t>
      </w:r>
      <w:r w:rsidR="006262A6">
        <w:t xml:space="preserve"> requests </w:t>
      </w:r>
      <w:r w:rsidR="00470050">
        <w:t xml:space="preserve">for eliminating </w:t>
      </w:r>
      <w:r w:rsidR="00EE3EB2">
        <w:t xml:space="preserve">the </w:t>
      </w:r>
      <w:r w:rsidR="00AF70D1">
        <w:t>Tier 1</w:t>
      </w:r>
      <w:r w:rsidR="00470050">
        <w:t xml:space="preserve"> Advice Letter review process for short</w:t>
      </w:r>
      <w:r w:rsidR="00E54574">
        <w:noBreakHyphen/>
      </w:r>
      <w:r w:rsidR="00470050">
        <w:t xml:space="preserve">term transactions as </w:t>
      </w:r>
      <w:r w:rsidR="002958FA">
        <w:lastRenderedPageBreak/>
        <w:t xml:space="preserve">included </w:t>
      </w:r>
      <w:r w:rsidR="006262A6">
        <w:t xml:space="preserve">in the </w:t>
      </w:r>
      <w:r w:rsidR="002A3F97">
        <w:t xml:space="preserve">Draft </w:t>
      </w:r>
      <w:r w:rsidR="00950E04">
        <w:t>2025 RPS</w:t>
      </w:r>
      <w:r w:rsidR="006262A6">
        <w:t xml:space="preserve"> Plan</w:t>
      </w:r>
      <w:r w:rsidR="00EE3EB2">
        <w:t>s</w:t>
      </w:r>
      <w:r w:rsidR="001262CB">
        <w:t xml:space="preserve"> </w:t>
      </w:r>
      <w:r w:rsidR="00DE2EFD">
        <w:t>and update</w:t>
      </w:r>
      <w:r w:rsidR="002A3F97">
        <w:t>s</w:t>
      </w:r>
      <w:r w:rsidR="006262A6">
        <w:t xml:space="preserve"> filed after D.25</w:t>
      </w:r>
      <w:r w:rsidR="00E54574">
        <w:noBreakHyphen/>
      </w:r>
      <w:r w:rsidR="006262A6">
        <w:t>08</w:t>
      </w:r>
      <w:r w:rsidR="00E54574">
        <w:noBreakHyphen/>
      </w:r>
      <w:r w:rsidR="006262A6">
        <w:t xml:space="preserve">009 was adopted. The Commission herein </w:t>
      </w:r>
      <w:r>
        <w:t xml:space="preserve">denies the IOU requests without prejudice. </w:t>
      </w:r>
      <w:r w:rsidR="00AE5F79">
        <w:t>In D.25</w:t>
      </w:r>
      <w:r w:rsidR="00E54574">
        <w:noBreakHyphen/>
      </w:r>
      <w:r w:rsidR="00AE5F79">
        <w:t>08</w:t>
      </w:r>
      <w:r w:rsidR="00E54574">
        <w:noBreakHyphen/>
      </w:r>
      <w:r w:rsidR="00AE5F79">
        <w:t xml:space="preserve">009, the Commission </w:t>
      </w:r>
      <w:r w:rsidR="002958FA">
        <w:t>noted</w:t>
      </w:r>
      <w:r w:rsidR="00AE5F79">
        <w:t xml:space="preserve"> that it may consider </w:t>
      </w:r>
      <w:r w:rsidR="006C38A8">
        <w:t xml:space="preserve">the </w:t>
      </w:r>
      <w:r w:rsidR="00AE5F79">
        <w:t>oversight of short</w:t>
      </w:r>
      <w:r w:rsidR="00E54574">
        <w:noBreakHyphen/>
      </w:r>
      <w:r w:rsidR="00AE5F79">
        <w:t>term transactions, among other procurement transactions, in the new IRP proceeding, the RA proceeding or its successor, or another applicable proceeding.</w:t>
      </w:r>
      <w:r w:rsidR="00AE5F79">
        <w:rPr>
          <w:rStyle w:val="FootnoteReference"/>
        </w:rPr>
        <w:footnoteReference w:id="21"/>
      </w:r>
      <w:r>
        <w:t xml:space="preserve"> </w:t>
      </w:r>
      <w:r w:rsidR="004953D0">
        <w:t xml:space="preserve">Further, </w:t>
      </w:r>
      <w:r>
        <w:t>D.25</w:t>
      </w:r>
      <w:r w:rsidR="00E54574">
        <w:noBreakHyphen/>
      </w:r>
      <w:r>
        <w:t>08</w:t>
      </w:r>
      <w:r w:rsidR="00E54574">
        <w:noBreakHyphen/>
      </w:r>
      <w:r>
        <w:t>009</w:t>
      </w:r>
      <w:r w:rsidR="004953D0">
        <w:t xml:space="preserve"> </w:t>
      </w:r>
      <w:r w:rsidR="002958FA">
        <w:t xml:space="preserve">also </w:t>
      </w:r>
      <w:r w:rsidR="004953D0">
        <w:t>emphasized the administrative difficulty of establishing a new review program at th</w:t>
      </w:r>
      <w:r w:rsidR="006C38A8">
        <w:t>at</w:t>
      </w:r>
      <w:r w:rsidR="004953D0">
        <w:t xml:space="preserve"> time. The decision stated that if the Commission adopted the IOU proposal for after</w:t>
      </w:r>
      <w:r w:rsidR="00E54574">
        <w:noBreakHyphen/>
      </w:r>
      <w:r w:rsidR="004953D0">
        <w:t>the</w:t>
      </w:r>
      <w:r w:rsidR="00E54574">
        <w:noBreakHyphen/>
      </w:r>
      <w:r w:rsidR="004953D0">
        <w:t>fact review and approval of short</w:t>
      </w:r>
      <w:r w:rsidR="00E54574">
        <w:noBreakHyphen/>
      </w:r>
      <w:r w:rsidR="004953D0">
        <w:t xml:space="preserve">term RPS </w:t>
      </w:r>
      <w:r w:rsidR="005A418D">
        <w:t>transactions</w:t>
      </w:r>
      <w:r w:rsidR="004953D0">
        <w:t>, a new review process would have to be created, requiring time and resources to implement.</w:t>
      </w:r>
      <w:r w:rsidR="006262A6">
        <w:t xml:space="preserve"> The Commission </w:t>
      </w:r>
      <w:r w:rsidR="006C38A8">
        <w:t xml:space="preserve">today </w:t>
      </w:r>
      <w:r w:rsidR="006262A6">
        <w:t>maintains</w:t>
      </w:r>
      <w:r w:rsidR="002958FA">
        <w:t xml:space="preserve"> that p</w:t>
      </w:r>
      <w:r w:rsidR="006C38A8">
        <w:t>osition</w:t>
      </w:r>
      <w:r w:rsidR="006262A6">
        <w:t>.</w:t>
      </w:r>
    </w:p>
    <w:p w:rsidRPr="0016069C" w:rsidR="00FF6174" w:rsidP="00F277D4" w:rsidRDefault="00555F89" w14:paraId="4DBF2457" w14:textId="76023BB3">
      <w:pPr>
        <w:pStyle w:val="Standard"/>
      </w:pPr>
      <w:r>
        <w:t>T</w:t>
      </w:r>
      <w:r w:rsidR="006262A6">
        <w:t xml:space="preserve">he </w:t>
      </w:r>
      <w:r w:rsidR="00E3570B">
        <w:t>Commission initiated</w:t>
      </w:r>
      <w:r w:rsidRPr="00E3570B" w:rsidR="006262A6">
        <w:rPr>
          <w:i/>
          <w:iCs/>
        </w:rPr>
        <w:t xml:space="preserve"> </w:t>
      </w:r>
      <w:r w:rsidRPr="00E3570B" w:rsidR="00E3570B">
        <w:rPr>
          <w:i/>
          <w:iCs/>
        </w:rPr>
        <w:t>Rulemaking to Continue Oversight of Electric Integrated Resource Planning and Procurement Processes</w:t>
      </w:r>
      <w:r w:rsidR="003712A5">
        <w:t xml:space="preserve"> </w:t>
      </w:r>
      <w:r w:rsidR="007A02C1">
        <w:t>(R</w:t>
      </w:r>
      <w:r w:rsidR="006876C0">
        <w:t>ulemaking (R.) </w:t>
      </w:r>
      <w:r w:rsidR="007A02C1">
        <w:t>25</w:t>
      </w:r>
      <w:r w:rsidR="00E54574">
        <w:noBreakHyphen/>
      </w:r>
      <w:r w:rsidR="007A02C1">
        <w:t>06</w:t>
      </w:r>
      <w:r w:rsidR="00E54574">
        <w:noBreakHyphen/>
      </w:r>
      <w:r w:rsidR="007A02C1">
        <w:t xml:space="preserve">019) </w:t>
      </w:r>
      <w:r w:rsidR="00E3570B">
        <w:t>o</w:t>
      </w:r>
      <w:r w:rsidR="006262A6">
        <w:t xml:space="preserve">n </w:t>
      </w:r>
      <w:r w:rsidR="00CD5830">
        <w:t>June </w:t>
      </w:r>
      <w:r w:rsidR="00773C45">
        <w:t>26, 2025</w:t>
      </w:r>
      <w:r w:rsidR="006262A6">
        <w:t xml:space="preserve">. </w:t>
      </w:r>
      <w:r w:rsidR="00E3570B">
        <w:t xml:space="preserve">In the Order, the Commission noted that the proceeding will </w:t>
      </w:r>
      <w:r w:rsidR="00B25B22">
        <w:t>be</w:t>
      </w:r>
      <w:r w:rsidR="00E3570B">
        <w:t>, to the extent necessary, the venue for considering the bundled procurement plans and procurement rules applicable to the three large electric IOUs.</w:t>
      </w:r>
      <w:r w:rsidR="00E3570B">
        <w:rPr>
          <w:rStyle w:val="FootnoteReference"/>
        </w:rPr>
        <w:footnoteReference w:id="22"/>
      </w:r>
      <w:r w:rsidR="003712A5">
        <w:t xml:space="preserve"> </w:t>
      </w:r>
      <w:r w:rsidR="006262A6">
        <w:t xml:space="preserve">The </w:t>
      </w:r>
      <w:r w:rsidR="00D70A3D">
        <w:t>R.25</w:t>
      </w:r>
      <w:r w:rsidR="00E54574">
        <w:noBreakHyphen/>
      </w:r>
      <w:r w:rsidR="00D70A3D">
        <w:t>06</w:t>
      </w:r>
      <w:r w:rsidR="00E54574">
        <w:noBreakHyphen/>
      </w:r>
      <w:r w:rsidR="00D70A3D">
        <w:t xml:space="preserve">019 </w:t>
      </w:r>
      <w:r w:rsidR="006262A6">
        <w:t xml:space="preserve">scoping memo </w:t>
      </w:r>
      <w:r w:rsidR="003712A5">
        <w:t xml:space="preserve">and ruling issued </w:t>
      </w:r>
      <w:r w:rsidR="00D70A3D">
        <w:t xml:space="preserve">on </w:t>
      </w:r>
      <w:r w:rsidR="005B7069">
        <w:t>October</w:t>
      </w:r>
      <w:r w:rsidR="00077C22">
        <w:t> </w:t>
      </w:r>
      <w:r w:rsidR="005B7069">
        <w:t>28, 2025,</w:t>
      </w:r>
      <w:r w:rsidR="00D70A3D">
        <w:t xml:space="preserve"> </w:t>
      </w:r>
      <w:r w:rsidR="007A02C1">
        <w:t xml:space="preserve">expressly </w:t>
      </w:r>
      <w:r w:rsidR="00D70A3D">
        <w:t>i</w:t>
      </w:r>
      <w:r w:rsidR="006262A6">
        <w:t>nclude</w:t>
      </w:r>
      <w:r w:rsidR="00B25B22">
        <w:t>s</w:t>
      </w:r>
      <w:r w:rsidR="006262A6">
        <w:t xml:space="preserve"> </w:t>
      </w:r>
      <w:r w:rsidR="00B25B22">
        <w:t>within its scope</w:t>
      </w:r>
      <w:r w:rsidR="00FC4903">
        <w:t xml:space="preserve"> </w:t>
      </w:r>
      <w:r w:rsidR="006262A6">
        <w:t xml:space="preserve">the </w:t>
      </w:r>
      <w:r w:rsidR="00FC4903">
        <w:t xml:space="preserve">review and </w:t>
      </w:r>
      <w:r w:rsidRPr="00FC4903" w:rsidR="00FC4903">
        <w:t xml:space="preserve">necessary modifications to the </w:t>
      </w:r>
      <w:r w:rsidR="00FC4903">
        <w:t xml:space="preserve">IOU </w:t>
      </w:r>
      <w:r w:rsidRPr="00FC4903" w:rsidR="00FC4903">
        <w:t xml:space="preserve">bundled procurement plans, procurement rules and oversight, activities associated with </w:t>
      </w:r>
      <w:r w:rsidR="00F81267">
        <w:t>Pub. Util. Code Section 454</w:t>
      </w:r>
      <w:r w:rsidRPr="00FC4903" w:rsidR="00FC4903">
        <w:t>.5, and any other issues that materially impact procurement policies, practices, and/or procedures</w:t>
      </w:r>
      <w:r w:rsidR="00FC4903">
        <w:t xml:space="preserve">, </w:t>
      </w:r>
      <w:r w:rsidRPr="00FC4903" w:rsidR="00FC4903">
        <w:t>includ</w:t>
      </w:r>
      <w:r w:rsidR="00FC4903">
        <w:t>ing</w:t>
      </w:r>
      <w:r w:rsidRPr="00FC4903" w:rsidR="00FC4903">
        <w:t xml:space="preserve"> proposals for oversight processes for short</w:t>
      </w:r>
      <w:r w:rsidR="00E54574">
        <w:noBreakHyphen/>
      </w:r>
      <w:r w:rsidRPr="00FC4903" w:rsidR="00FC4903">
        <w:t>term RPS transaction</w:t>
      </w:r>
      <w:r w:rsidR="00FC4903">
        <w:t>s</w:t>
      </w:r>
      <w:r w:rsidR="006262A6">
        <w:t>.</w:t>
      </w:r>
      <w:r w:rsidR="00FC4903">
        <w:rPr>
          <w:rStyle w:val="FootnoteReference"/>
        </w:rPr>
        <w:footnoteReference w:id="23"/>
      </w:r>
      <w:r w:rsidR="006262A6">
        <w:t xml:space="preserve"> Therefore</w:t>
      </w:r>
      <w:r w:rsidR="00221628">
        <w:t>,</w:t>
      </w:r>
      <w:r w:rsidR="006262A6">
        <w:t xml:space="preserve"> </w:t>
      </w:r>
      <w:r w:rsidR="006262A6">
        <w:lastRenderedPageBreak/>
        <w:t xml:space="preserve">any changes to the review </w:t>
      </w:r>
      <w:r w:rsidR="00C911C2">
        <w:t xml:space="preserve">processes </w:t>
      </w:r>
      <w:r w:rsidR="006262A6">
        <w:t>of short</w:t>
      </w:r>
      <w:r w:rsidR="00E54574">
        <w:noBreakHyphen/>
      </w:r>
      <w:r w:rsidR="006262A6">
        <w:t>term transactions, renewable or non</w:t>
      </w:r>
      <w:r w:rsidR="00E54574">
        <w:noBreakHyphen/>
      </w:r>
      <w:r w:rsidR="006262A6">
        <w:t>ren</w:t>
      </w:r>
      <w:r w:rsidR="001262CB">
        <w:t>e</w:t>
      </w:r>
      <w:r w:rsidR="006262A6">
        <w:t xml:space="preserve">wable, will be </w:t>
      </w:r>
      <w:r w:rsidR="00B25B22">
        <w:t>addressed</w:t>
      </w:r>
      <w:r w:rsidR="006262A6">
        <w:t xml:space="preserve"> in R.</w:t>
      </w:r>
      <w:r w:rsidR="00D70A3D">
        <w:t>25</w:t>
      </w:r>
      <w:r w:rsidR="00E54574">
        <w:noBreakHyphen/>
      </w:r>
      <w:r w:rsidR="00D70A3D">
        <w:t>06</w:t>
      </w:r>
      <w:r w:rsidR="00E54574">
        <w:noBreakHyphen/>
      </w:r>
      <w:r w:rsidR="00D70A3D">
        <w:t>019</w:t>
      </w:r>
      <w:r w:rsidR="006262A6">
        <w:t xml:space="preserve">. </w:t>
      </w:r>
      <w:r w:rsidR="002958FA">
        <w:t>Until that occurs, t</w:t>
      </w:r>
      <w:r w:rsidR="006262A6">
        <w:t xml:space="preserve">he IOUs must continue to adhere to the transaction review process requirements </w:t>
      </w:r>
      <w:r w:rsidR="00690F39">
        <w:t>established</w:t>
      </w:r>
      <w:r w:rsidR="006262A6">
        <w:t xml:space="preserve"> </w:t>
      </w:r>
      <w:r w:rsidR="0022083E">
        <w:t>in</w:t>
      </w:r>
      <w:r w:rsidR="006262A6">
        <w:t xml:space="preserve"> D.</w:t>
      </w:r>
      <w:r w:rsidR="00D70A3D">
        <w:t>14</w:t>
      </w:r>
      <w:r w:rsidR="00E54574">
        <w:noBreakHyphen/>
      </w:r>
      <w:r w:rsidR="00D70A3D">
        <w:t>11</w:t>
      </w:r>
      <w:r w:rsidR="00E54574">
        <w:noBreakHyphen/>
      </w:r>
      <w:r w:rsidR="00D70A3D">
        <w:t>042</w:t>
      </w:r>
      <w:r w:rsidR="005A418D">
        <w:t xml:space="preserve">. Accordingly, </w:t>
      </w:r>
      <w:r w:rsidR="007E5134">
        <w:t xml:space="preserve">the IOUs must </w:t>
      </w:r>
      <w:r w:rsidR="000C4A74">
        <w:t xml:space="preserve">continue to </w:t>
      </w:r>
      <w:r w:rsidR="007E5134">
        <w:t xml:space="preserve">file </w:t>
      </w:r>
      <w:r w:rsidRPr="007E5134" w:rsidR="007E5134">
        <w:t xml:space="preserve">a </w:t>
      </w:r>
      <w:r w:rsidR="00AF70D1">
        <w:t>Tier 3</w:t>
      </w:r>
      <w:r w:rsidRPr="007E5134" w:rsidR="007E5134">
        <w:t xml:space="preserve"> Advice Letter for approval of long</w:t>
      </w:r>
      <w:r w:rsidR="00E54574">
        <w:noBreakHyphen/>
      </w:r>
      <w:r w:rsidRPr="007E5134" w:rsidR="007E5134">
        <w:t xml:space="preserve">term transactions and a </w:t>
      </w:r>
      <w:r w:rsidR="00AF70D1">
        <w:t>Tier 1</w:t>
      </w:r>
      <w:r w:rsidRPr="007E5134" w:rsidR="007E5134">
        <w:t xml:space="preserve"> Advice Letter for short</w:t>
      </w:r>
      <w:r w:rsidR="00E54574">
        <w:noBreakHyphen/>
      </w:r>
      <w:r w:rsidRPr="007E5134" w:rsidR="007E5134">
        <w:t>term transactions</w:t>
      </w:r>
      <w:r w:rsidR="007E5134">
        <w:t xml:space="preserve"> that are conducted in accordance with the transaction framework approved in their RPS Plans</w:t>
      </w:r>
      <w:r w:rsidRPr="007E5134" w:rsidR="007E5134">
        <w:t>.</w:t>
      </w:r>
    </w:p>
    <w:p w:rsidR="00857ABB" w:rsidP="00F277D4" w:rsidRDefault="009E01F1" w14:paraId="0B519B30" w14:textId="23AA1FC3">
      <w:pPr>
        <w:pStyle w:val="Heading2"/>
      </w:pPr>
      <w:bookmarkStart w:name="_Toc212716136" w:id="37"/>
      <w:bookmarkStart w:name="_Toc214004340" w:id="38"/>
      <w:r w:rsidRPr="009E01F1">
        <w:t>Pacific Gas and Electric Company</w:t>
      </w:r>
      <w:r w:rsidR="005A00BE">
        <w:t>’</w:t>
      </w:r>
      <w:r w:rsidR="00857ABB">
        <w:t xml:space="preserve">s Draft </w:t>
      </w:r>
      <w:r w:rsidR="00247496">
        <w:t xml:space="preserve">2025 </w:t>
      </w:r>
      <w:r w:rsidRPr="00C55273">
        <w:t>Renewables Portfolio Standard</w:t>
      </w:r>
      <w:r w:rsidR="00857ABB">
        <w:t xml:space="preserve"> Plan</w:t>
      </w:r>
      <w:bookmarkEnd w:id="37"/>
      <w:bookmarkEnd w:id="38"/>
    </w:p>
    <w:p w:rsidR="00257709" w:rsidP="00F277D4" w:rsidRDefault="00857ABB" w14:paraId="4CC89A6C" w14:textId="2B8685B9">
      <w:pPr>
        <w:pStyle w:val="Standard"/>
      </w:pPr>
      <w:r w:rsidRPr="00857ABB">
        <w:t>PG&amp;E</w:t>
      </w:r>
      <w:r w:rsidR="005A00BE">
        <w:t>’</w:t>
      </w:r>
      <w:r w:rsidRPr="00857ABB">
        <w:t xml:space="preserve">s Draft </w:t>
      </w:r>
      <w:r w:rsidR="00950E04">
        <w:t>2025 RPS</w:t>
      </w:r>
      <w:r w:rsidRPr="00857ABB">
        <w:t xml:space="preserve"> Plan contains all the required elements listed in </w:t>
      </w:r>
      <w:r w:rsidR="00F920D3">
        <w:t>Table 1</w:t>
      </w:r>
      <w:r w:rsidRPr="00857ABB">
        <w:t xml:space="preserve"> of the 202</w:t>
      </w:r>
      <w:r>
        <w:t>5</w:t>
      </w:r>
      <w:r w:rsidRPr="00857ABB">
        <w:t xml:space="preserve"> ACR</w:t>
      </w:r>
      <w:r w:rsidR="002759FB">
        <w:t xml:space="preserve"> and </w:t>
      </w:r>
      <w:r w:rsidRPr="00857ABB">
        <w:t xml:space="preserve">is approved with modifications. PG&amp;E must seek Commission approval of any RPS contracts consistent with existing procedures by submitting a </w:t>
      </w:r>
      <w:r w:rsidR="00AF70D1">
        <w:t>Tier 3</w:t>
      </w:r>
      <w:r w:rsidRPr="00857ABB">
        <w:t xml:space="preserve"> or </w:t>
      </w:r>
      <w:r w:rsidR="00AF70D1">
        <w:t>Tier 1</w:t>
      </w:r>
      <w:r w:rsidRPr="00857ABB">
        <w:t xml:space="preserve"> Advice Lette</w:t>
      </w:r>
      <w:r w:rsidR="00257709">
        <w:t>r.</w:t>
      </w:r>
    </w:p>
    <w:p w:rsidR="00F023E7" w:rsidP="00F277D4" w:rsidRDefault="009B46F0" w14:paraId="52192F0F" w14:textId="450CC7C2">
      <w:pPr>
        <w:pStyle w:val="Standard"/>
      </w:pPr>
      <w:r>
        <w:t xml:space="preserve">In its Draft </w:t>
      </w:r>
      <w:r w:rsidR="00950E04">
        <w:t>2025 RPS</w:t>
      </w:r>
      <w:r>
        <w:t xml:space="preserve"> Plan, </w:t>
      </w:r>
      <w:r w:rsidR="008C1AD1">
        <w:t>PG&amp;E reports a sustained physical RPS short position beginning in 2023</w:t>
      </w:r>
      <w:r w:rsidR="00AB5138">
        <w:t>,</w:t>
      </w:r>
      <w:r w:rsidR="008C1AD1">
        <w:t xml:space="preserve"> primarily </w:t>
      </w:r>
      <w:r w:rsidR="00AB5138">
        <w:t>resulting from the</w:t>
      </w:r>
      <w:r w:rsidR="008C1AD1">
        <w:t xml:space="preserve"> Voluntary Allocation and Market Offer (VAMO) processes.</w:t>
      </w:r>
      <w:r w:rsidR="008C1AD1">
        <w:rPr>
          <w:rStyle w:val="FootnoteReference"/>
        </w:rPr>
        <w:footnoteReference w:id="24"/>
      </w:r>
      <w:r w:rsidR="008C1AD1">
        <w:t xml:space="preserve"> </w:t>
      </w:r>
      <w:r w:rsidR="00E93778">
        <w:t>According to PG</w:t>
      </w:r>
      <w:r w:rsidR="00F670D6">
        <w:t>&amp;</w:t>
      </w:r>
      <w:r w:rsidR="00E93778">
        <w:t xml:space="preserve">E, with allocations and sales beginning </w:t>
      </w:r>
      <w:r w:rsidR="00F670D6">
        <w:t xml:space="preserve">deliveries </w:t>
      </w:r>
      <w:r w:rsidR="00E93778">
        <w:t xml:space="preserve">in 2023, the VAMO mechanism lowered </w:t>
      </w:r>
      <w:r w:rsidR="002E18E6">
        <w:t xml:space="preserve">its </w:t>
      </w:r>
      <w:r w:rsidRPr="00EE3473" w:rsidR="00EE3473">
        <w:t>Power Charge Indifference Adjustment</w:t>
      </w:r>
      <w:r w:rsidR="00EE3473">
        <w:t xml:space="preserve"> (</w:t>
      </w:r>
      <w:r w:rsidR="00E93778">
        <w:t>PCIA</w:t>
      </w:r>
      <w:r w:rsidR="00EE3473">
        <w:t>)</w:t>
      </w:r>
      <w:r w:rsidR="00E54574">
        <w:noBreakHyphen/>
      </w:r>
      <w:r w:rsidR="00E93778">
        <w:t xml:space="preserve">eligible RPS portfolio volume retained for </w:t>
      </w:r>
      <w:r w:rsidR="000309E8">
        <w:t xml:space="preserve">its </w:t>
      </w:r>
      <w:r w:rsidR="00E93778">
        <w:t>bundled service customers.</w:t>
      </w:r>
      <w:r w:rsidR="00F670D6">
        <w:rPr>
          <w:rStyle w:val="FootnoteReference"/>
        </w:rPr>
        <w:footnoteReference w:id="25"/>
      </w:r>
      <w:r w:rsidR="00E93778">
        <w:t xml:space="preserve"> </w:t>
      </w:r>
      <w:r w:rsidR="00317A90">
        <w:t>Other key factors affecting PG&amp;E</w:t>
      </w:r>
      <w:r w:rsidR="005A00BE">
        <w:t>’</w:t>
      </w:r>
      <w:r w:rsidR="00317A90">
        <w:t>s RPS position include anticipated data center load growth affecting PG&amp;E</w:t>
      </w:r>
      <w:r w:rsidR="005A00BE">
        <w:t>’</w:t>
      </w:r>
      <w:r w:rsidR="00317A90">
        <w:t>s load forecast</w:t>
      </w:r>
      <w:r w:rsidR="00B658DB">
        <w:t xml:space="preserve"> and the r</w:t>
      </w:r>
      <w:r w:rsidR="00317A90">
        <w:t xml:space="preserve">eduction of RPS resources that were borrowed to meet </w:t>
      </w:r>
      <w:r w:rsidR="003D7F80">
        <w:t>Green Tariff/Shared Renewables (</w:t>
      </w:r>
      <w:r w:rsidR="00317A90">
        <w:t>GTSR</w:t>
      </w:r>
      <w:r w:rsidR="003D7F80">
        <w:t>)</w:t>
      </w:r>
      <w:r w:rsidR="00317A90">
        <w:t xml:space="preserve"> program requirements</w:t>
      </w:r>
      <w:r w:rsidR="00B658DB">
        <w:t>.</w:t>
      </w:r>
      <w:r w:rsidR="00B658DB">
        <w:rPr>
          <w:rStyle w:val="FootnoteReference"/>
        </w:rPr>
        <w:footnoteReference w:id="26"/>
      </w:r>
      <w:r w:rsidR="00B658DB">
        <w:t xml:space="preserve"> PG&amp;E notes that a</w:t>
      </w:r>
      <w:r w:rsidR="00317A90">
        <w:t xml:space="preserve">ny </w:t>
      </w:r>
      <w:r w:rsidR="00AB5138">
        <w:lastRenderedPageBreak/>
        <w:t xml:space="preserve">future </w:t>
      </w:r>
      <w:r w:rsidR="00317A90">
        <w:t>RPS</w:t>
      </w:r>
      <w:r w:rsidR="00E54574">
        <w:noBreakHyphen/>
      </w:r>
      <w:r w:rsidR="00317A90">
        <w:t>eligible resources procured to fulfill IRP procurement orders c</w:t>
      </w:r>
      <w:r w:rsidR="00AB5138">
        <w:t>ould</w:t>
      </w:r>
      <w:r w:rsidR="00317A90">
        <w:t xml:space="preserve"> offset </w:t>
      </w:r>
      <w:r w:rsidR="00AB5138">
        <w:t xml:space="preserve">the </w:t>
      </w:r>
      <w:r w:rsidR="00317A90">
        <w:t xml:space="preserve">reductions </w:t>
      </w:r>
      <w:r w:rsidR="00AB5138">
        <w:t>in</w:t>
      </w:r>
      <w:r w:rsidR="00317A90">
        <w:t xml:space="preserve"> PG&amp;E</w:t>
      </w:r>
      <w:r w:rsidR="005A00BE">
        <w:t>’</w:t>
      </w:r>
      <w:r w:rsidR="00317A90">
        <w:t>s RPS portfolio</w:t>
      </w:r>
      <w:r w:rsidR="00B658DB">
        <w:t>.</w:t>
      </w:r>
      <w:r w:rsidR="00B658DB">
        <w:rPr>
          <w:rStyle w:val="FootnoteReference"/>
        </w:rPr>
        <w:footnoteReference w:id="27"/>
      </w:r>
    </w:p>
    <w:p w:rsidR="009A5159" w:rsidP="00F277D4" w:rsidRDefault="00C63930" w14:paraId="25B04427" w14:textId="2D4BCA5C">
      <w:pPr>
        <w:pStyle w:val="Standard"/>
      </w:pPr>
      <w:r>
        <w:t xml:space="preserve">To meet its RPS compliance needs, </w:t>
      </w:r>
      <w:r w:rsidR="008C1AD1">
        <w:t xml:space="preserve">PG&amp;E anticipates using </w:t>
      </w:r>
      <w:r w:rsidR="003B535D">
        <w:t xml:space="preserve">both </w:t>
      </w:r>
      <w:r w:rsidR="008C1AD1">
        <w:t>its existing RPS</w:t>
      </w:r>
      <w:r w:rsidR="00E54574">
        <w:noBreakHyphen/>
      </w:r>
      <w:r w:rsidR="008C1AD1">
        <w:t>eligible portfolio a</w:t>
      </w:r>
      <w:r w:rsidR="003B535D">
        <w:t xml:space="preserve">nd </w:t>
      </w:r>
      <w:r w:rsidR="008C1AD1">
        <w:t>banked resources. PG&amp;E states that it intends to support customer affordability by utilizing its Bank while cost effectively building out its RPS portfolio to meet its future procurement needs.</w:t>
      </w:r>
      <w:r w:rsidR="008C1AD1">
        <w:rPr>
          <w:rStyle w:val="FootnoteReference"/>
        </w:rPr>
        <w:footnoteReference w:id="28"/>
      </w:r>
      <w:r w:rsidR="003E184E">
        <w:t xml:space="preserve"> PG&amp;E </w:t>
      </w:r>
      <w:r w:rsidR="00901011">
        <w:t>plans</w:t>
      </w:r>
      <w:r w:rsidR="003E184E">
        <w:t xml:space="preserve"> to begin procurement early but in a gradual manner to reduce </w:t>
      </w:r>
      <w:r w:rsidR="003B535D">
        <w:t xml:space="preserve">the risk of </w:t>
      </w:r>
      <w:r w:rsidR="003E184E">
        <w:t>over</w:t>
      </w:r>
      <w:r w:rsidR="00E54574">
        <w:noBreakHyphen/>
      </w:r>
      <w:r w:rsidR="003E184E">
        <w:t>procuremen</w:t>
      </w:r>
      <w:r w:rsidR="003B535D">
        <w:t>t</w:t>
      </w:r>
      <w:r w:rsidR="003E184E">
        <w:t>.</w:t>
      </w:r>
      <w:r w:rsidR="003E184E">
        <w:rPr>
          <w:rStyle w:val="FootnoteReference"/>
        </w:rPr>
        <w:footnoteReference w:id="29"/>
      </w:r>
      <w:r w:rsidR="00956410">
        <w:t xml:space="preserve"> PG&amp;E</w:t>
      </w:r>
      <w:r w:rsidR="005A00BE">
        <w:t>’</w:t>
      </w:r>
      <w:r w:rsidR="00956410">
        <w:t>s long</w:t>
      </w:r>
      <w:r w:rsidR="00E54574">
        <w:noBreakHyphen/>
      </w:r>
      <w:r w:rsidR="00956410">
        <w:t xml:space="preserve">term RPS position strategy also includes possible sales of surplus volumes to balance portfolio needs and </w:t>
      </w:r>
      <w:r w:rsidR="0087454E">
        <w:t>achieve</w:t>
      </w:r>
      <w:r w:rsidR="00956410">
        <w:t xml:space="preserve"> cost</w:t>
      </w:r>
      <w:r w:rsidR="00E54574">
        <w:noBreakHyphen/>
      </w:r>
      <w:r w:rsidR="00956410">
        <w:t>savings.</w:t>
      </w:r>
      <w:r w:rsidR="00956410">
        <w:rPr>
          <w:rStyle w:val="FootnoteReference"/>
        </w:rPr>
        <w:footnoteReference w:id="30"/>
      </w:r>
    </w:p>
    <w:p w:rsidR="00F023E7" w:rsidP="00F277D4" w:rsidRDefault="001104A8" w14:paraId="4E0A6A4D" w14:textId="20FE9F82">
      <w:pPr>
        <w:pStyle w:val="Standard"/>
      </w:pPr>
      <w:bookmarkStart w:name="_Hlk210476471" w:id="39"/>
      <w:r>
        <w:t xml:space="preserve">As </w:t>
      </w:r>
      <w:r w:rsidR="00F670D6">
        <w:t>reported</w:t>
      </w:r>
      <w:r>
        <w:t xml:space="preserve"> in its Draft </w:t>
      </w:r>
      <w:r w:rsidR="00950E04">
        <w:t>2025 RPS</w:t>
      </w:r>
      <w:r>
        <w:t xml:space="preserve"> Plan, PG&amp;E</w:t>
      </w:r>
      <w:r w:rsidR="005A00BE">
        <w:t>’</w:t>
      </w:r>
      <w:r>
        <w:t xml:space="preserve">s RPS portfolio costs are expected to average about </w:t>
      </w:r>
      <w:r w:rsidRPr="000315F0">
        <w:t>$</w:t>
      </w:r>
      <w:r w:rsidRPr="000315F0" w:rsidR="000315F0">
        <w:t>1.9</w:t>
      </w:r>
      <w:r w:rsidR="00D16F18">
        <w:t> billion</w:t>
      </w:r>
      <w:r>
        <w:t xml:space="preserve"> per year during the period </w:t>
      </w:r>
      <w:r w:rsidRPr="000315F0">
        <w:t>202</w:t>
      </w:r>
      <w:r w:rsidRPr="000315F0" w:rsidR="000315F0">
        <w:t>5</w:t>
      </w:r>
      <w:r w:rsidR="00E54574">
        <w:noBreakHyphen/>
      </w:r>
      <w:r w:rsidRPr="000315F0">
        <w:t>203</w:t>
      </w:r>
      <w:r w:rsidRPr="000315F0" w:rsidR="000315F0">
        <w:t>5</w:t>
      </w:r>
      <w:r>
        <w:t>.</w:t>
      </w:r>
      <w:r w:rsidR="004427D4">
        <w:rPr>
          <w:rStyle w:val="FootnoteReference"/>
        </w:rPr>
        <w:footnoteReference w:id="31"/>
      </w:r>
    </w:p>
    <w:bookmarkEnd w:id="39"/>
    <w:p w:rsidR="001104A8" w:rsidP="00F277D4" w:rsidRDefault="001104A8" w14:paraId="6F3BEBB9" w14:textId="12010D10">
      <w:pPr>
        <w:pStyle w:val="Standard"/>
      </w:pPr>
      <w:r>
        <w:t>Overall, the Commission finds PG&amp;E</w:t>
      </w:r>
      <w:r w:rsidR="005A00BE">
        <w:t>’</w:t>
      </w:r>
      <w:r>
        <w:t xml:space="preserve">s portfolio management strategy reasonable and approves its Draft </w:t>
      </w:r>
      <w:r w:rsidR="00950E04">
        <w:t>2025 RPS</w:t>
      </w:r>
      <w:r>
        <w:t xml:space="preserve"> Plan as modified. The portfolio management strategy aims to meet short</w:t>
      </w:r>
      <w:r w:rsidR="00E54574">
        <w:noBreakHyphen/>
      </w:r>
      <w:r>
        <w:t>term and long</w:t>
      </w:r>
      <w:r w:rsidR="00E54574">
        <w:noBreakHyphen/>
      </w:r>
      <w:r>
        <w:t xml:space="preserve">term RPS requirements </w:t>
      </w:r>
      <w:r w:rsidRPr="000315F0">
        <w:t>while seeking economical transactions that will promote affordability goals and optimize its RPS portfolio</w:t>
      </w:r>
      <w:r>
        <w:t>. The following sections primarily address PG&amp;E</w:t>
      </w:r>
      <w:r w:rsidR="005A00BE">
        <w:t>’</w:t>
      </w:r>
      <w:r>
        <w:t xml:space="preserve">s requests that require Commission approval. PG&amp;E must update its </w:t>
      </w:r>
      <w:r w:rsidR="00425679">
        <w:t>F</w:t>
      </w:r>
      <w:r>
        <w:t>inal RPS Plan as directed below.</w:t>
      </w:r>
    </w:p>
    <w:p w:rsidR="00467BD4" w:rsidP="00F277D4" w:rsidRDefault="009E01F1" w14:paraId="7DC46873" w14:textId="4CCF8EDC">
      <w:pPr>
        <w:pStyle w:val="Heading3"/>
      </w:pPr>
      <w:bookmarkStart w:name="_Toc212716137" w:id="40"/>
      <w:bookmarkStart w:name="_Toc214004341" w:id="41"/>
      <w:r w:rsidRPr="009E01F1">
        <w:lastRenderedPageBreak/>
        <w:t>Pacific Gas and Electric Company</w:t>
      </w:r>
      <w:r w:rsidR="005A00BE">
        <w:t>’</w:t>
      </w:r>
      <w:r w:rsidR="00467BD4">
        <w:t>s Request for Streamlined Approval</w:t>
      </w:r>
      <w:r w:rsidR="00E5052A">
        <w:br/>
      </w:r>
      <w:r w:rsidR="00467BD4">
        <w:t>for Short</w:t>
      </w:r>
      <w:r w:rsidR="00E54574">
        <w:noBreakHyphen/>
      </w:r>
      <w:r w:rsidR="00467BD4">
        <w:t xml:space="preserve">Term </w:t>
      </w:r>
      <w:r w:rsidRPr="00C55273">
        <w:t>Renewables Portfolio Standard</w:t>
      </w:r>
      <w:r w:rsidR="00467BD4">
        <w:t xml:space="preserve"> Transactions </w:t>
      </w:r>
      <w:r w:rsidR="00D14E8C">
        <w:t>with Terms</w:t>
      </w:r>
      <w:r w:rsidR="00E5052A">
        <w:br/>
      </w:r>
      <w:r w:rsidR="00D14E8C">
        <w:t>of Up to Three Years</w:t>
      </w:r>
      <w:bookmarkEnd w:id="40"/>
      <w:bookmarkEnd w:id="41"/>
    </w:p>
    <w:p w:rsidRPr="00C7659E" w:rsidR="00DB00F8" w:rsidP="00F277D4" w:rsidRDefault="00901011" w14:paraId="01FDDEAE" w14:textId="7FCB42B4">
      <w:pPr>
        <w:pStyle w:val="Standard"/>
      </w:pPr>
      <w:r>
        <w:t xml:space="preserve">As discussed in </w:t>
      </w:r>
      <w:r w:rsidR="009850E3">
        <w:t>Section </w:t>
      </w:r>
      <w:r w:rsidR="005B26B2">
        <w:t>6</w:t>
      </w:r>
      <w:r w:rsidR="00DF15B3">
        <w:t>.1</w:t>
      </w:r>
      <w:r>
        <w:t xml:space="preserve"> of this decision, </w:t>
      </w:r>
      <w:r w:rsidR="009D2155">
        <w:t>PG&amp;E</w:t>
      </w:r>
      <w:r w:rsidR="005A00BE">
        <w:t>’</w:t>
      </w:r>
      <w:r w:rsidR="009D2155">
        <w:t>s request is denied</w:t>
      </w:r>
      <w:r>
        <w:t xml:space="preserve"> without prejudice.</w:t>
      </w:r>
      <w:r w:rsidR="00DF15B3">
        <w:t xml:space="preserve"> </w:t>
      </w:r>
      <w:r w:rsidR="003E777D">
        <w:t>Any process changes for</w:t>
      </w:r>
      <w:r w:rsidR="00DF15B3">
        <w:t xml:space="preserve"> </w:t>
      </w:r>
      <w:r w:rsidR="00A66760">
        <w:t>oversight</w:t>
      </w:r>
      <w:r w:rsidR="003A57FF">
        <w:t xml:space="preserve"> of short</w:t>
      </w:r>
      <w:r w:rsidR="00E54574">
        <w:noBreakHyphen/>
      </w:r>
      <w:r w:rsidR="003A57FF">
        <w:t>term</w:t>
      </w:r>
      <w:r w:rsidR="00BA3A94">
        <w:t xml:space="preserve"> </w:t>
      </w:r>
      <w:r w:rsidR="003A57FF">
        <w:t>transactions</w:t>
      </w:r>
      <w:r w:rsidR="00DF15B3">
        <w:t xml:space="preserve"> will be addressed in R.25</w:t>
      </w:r>
      <w:r w:rsidR="00E54574">
        <w:noBreakHyphen/>
      </w:r>
      <w:r w:rsidR="00DF15B3">
        <w:t>06</w:t>
      </w:r>
      <w:r w:rsidR="00E54574">
        <w:noBreakHyphen/>
      </w:r>
      <w:r w:rsidR="00DF15B3">
        <w:t>019.</w:t>
      </w:r>
    </w:p>
    <w:p w:rsidR="00467BD4" w:rsidP="00F277D4" w:rsidRDefault="009E01F1" w14:paraId="652C8391" w14:textId="174920B5">
      <w:pPr>
        <w:pStyle w:val="Heading3"/>
      </w:pPr>
      <w:bookmarkStart w:name="_Toc212716138" w:id="42"/>
      <w:bookmarkStart w:name="_Toc214004342" w:id="43"/>
      <w:r w:rsidRPr="009E01F1">
        <w:t>Pacific Gas and Electric Company</w:t>
      </w:r>
      <w:r w:rsidR="005A00BE">
        <w:t>’</w:t>
      </w:r>
      <w:r w:rsidR="00467BD4">
        <w:t>s Request for Authority to Procure Short</w:t>
      </w:r>
      <w:r w:rsidR="00E54574">
        <w:noBreakHyphen/>
      </w:r>
      <w:r w:rsidR="00467BD4">
        <w:t>Term and Long</w:t>
      </w:r>
      <w:r w:rsidR="00E54574">
        <w:noBreakHyphen/>
      </w:r>
      <w:r w:rsidR="00467BD4">
        <w:t xml:space="preserve">Term </w:t>
      </w:r>
      <w:r w:rsidRPr="00C55273">
        <w:t>Renewables Portfolio Standard</w:t>
      </w:r>
      <w:r w:rsidR="00467BD4">
        <w:t xml:space="preserve"> Resources</w:t>
      </w:r>
      <w:bookmarkEnd w:id="42"/>
      <w:bookmarkEnd w:id="43"/>
    </w:p>
    <w:p w:rsidR="00913F8E" w:rsidP="00F277D4" w:rsidRDefault="00913F8E" w14:paraId="2456FABE" w14:textId="717ACB45">
      <w:pPr>
        <w:pStyle w:val="Standard"/>
      </w:pPr>
      <w:r w:rsidRPr="00913F8E">
        <w:t>PG&amp;E</w:t>
      </w:r>
      <w:r w:rsidR="005A00BE">
        <w:t>’</w:t>
      </w:r>
      <w:r w:rsidRPr="00913F8E">
        <w:t xml:space="preserve">s request </w:t>
      </w:r>
      <w:r w:rsidR="008B1297">
        <w:t xml:space="preserve">for authority </w:t>
      </w:r>
      <w:r w:rsidRPr="00913F8E">
        <w:t xml:space="preserve">to </w:t>
      </w:r>
      <w:r w:rsidR="008B1297">
        <w:t>procure short</w:t>
      </w:r>
      <w:r w:rsidR="00E54574">
        <w:noBreakHyphen/>
      </w:r>
      <w:r w:rsidR="008B1297">
        <w:t>term and long</w:t>
      </w:r>
      <w:r w:rsidR="00E54574">
        <w:noBreakHyphen/>
      </w:r>
      <w:r w:rsidR="008B1297">
        <w:t xml:space="preserve">term RPS resources </w:t>
      </w:r>
      <w:r w:rsidRPr="00913F8E">
        <w:t>is approved</w:t>
      </w:r>
      <w:r>
        <w:t>.</w:t>
      </w:r>
    </w:p>
    <w:p w:rsidR="00B719EA" w:rsidP="00F277D4" w:rsidRDefault="00B719EA" w14:paraId="7348FBFA" w14:textId="7CAA5021">
      <w:pPr>
        <w:pStyle w:val="Standard"/>
      </w:pPr>
      <w:r>
        <w:t xml:space="preserve">PG&amp;E requests authority to </w:t>
      </w:r>
      <w:r w:rsidR="00182658">
        <w:t>procure both long</w:t>
      </w:r>
      <w:r w:rsidR="00E54574">
        <w:noBreakHyphen/>
      </w:r>
      <w:r w:rsidR="00182658">
        <w:t xml:space="preserve"> and short</w:t>
      </w:r>
      <w:r w:rsidR="00E54574">
        <w:noBreakHyphen/>
      </w:r>
      <w:r w:rsidR="00182658">
        <w:t xml:space="preserve">term </w:t>
      </w:r>
      <w:r>
        <w:t xml:space="preserve">RPS </w:t>
      </w:r>
      <w:r w:rsidR="00645B8E">
        <w:t>resources</w:t>
      </w:r>
      <w:r>
        <w:t>. PG&amp;E states that while PG&amp;E does not have a near</w:t>
      </w:r>
      <w:r w:rsidR="00E54574">
        <w:noBreakHyphen/>
      </w:r>
      <w:r>
        <w:t>term RPS procurement need, PG&amp;E requests authority to procure short</w:t>
      </w:r>
      <w:r w:rsidR="00E54574">
        <w:noBreakHyphen/>
      </w:r>
      <w:r>
        <w:t>term RPS</w:t>
      </w:r>
      <w:r w:rsidR="00E54574">
        <w:noBreakHyphen/>
      </w:r>
      <w:r>
        <w:t xml:space="preserve">eligible products to meet other portfolio needs such as </w:t>
      </w:r>
      <w:r w:rsidRPr="00A34691" w:rsidR="00A34691">
        <w:t>Mid</w:t>
      </w:r>
      <w:r w:rsidR="00E54574">
        <w:noBreakHyphen/>
      </w:r>
      <w:r w:rsidRPr="00A34691" w:rsidR="00A34691">
        <w:t>term Reliability</w:t>
      </w:r>
      <w:r w:rsidR="00A34691">
        <w:t xml:space="preserve"> (</w:t>
      </w:r>
      <w:r>
        <w:t>MTR</w:t>
      </w:r>
      <w:r w:rsidR="00A34691">
        <w:t>)</w:t>
      </w:r>
      <w:r>
        <w:t xml:space="preserve"> bridging resources.</w:t>
      </w:r>
      <w:r w:rsidR="00645B8E">
        <w:rPr>
          <w:rStyle w:val="FootnoteReference"/>
        </w:rPr>
        <w:footnoteReference w:id="32"/>
      </w:r>
      <w:r>
        <w:t xml:space="preserve"> PG&amp;E </w:t>
      </w:r>
      <w:r w:rsidR="00296A6C">
        <w:t xml:space="preserve">states that it may </w:t>
      </w:r>
      <w:r w:rsidR="00645B8E">
        <w:t xml:space="preserve">also </w:t>
      </w:r>
      <w:r>
        <w:t>procure short</w:t>
      </w:r>
      <w:r w:rsidR="00E54574">
        <w:noBreakHyphen/>
      </w:r>
      <w:r>
        <w:t>term RPS products</w:t>
      </w:r>
      <w:r w:rsidR="00B6428A">
        <w:t xml:space="preserve"> </w:t>
      </w:r>
      <w:r w:rsidR="00296A6C">
        <w:t>to cover gaps until long</w:t>
      </w:r>
      <w:r w:rsidR="00E54574">
        <w:noBreakHyphen/>
      </w:r>
      <w:r w:rsidR="00296A6C">
        <w:t>term projects begin delivering, or to meet additional portfolio needs at the lowest cost.</w:t>
      </w:r>
      <w:r w:rsidR="00296A6C">
        <w:rPr>
          <w:rStyle w:val="FootnoteReference"/>
        </w:rPr>
        <w:footnoteReference w:id="33"/>
      </w:r>
    </w:p>
    <w:p w:rsidR="00F023E7" w:rsidP="00F277D4" w:rsidRDefault="00B719EA" w14:paraId="1F348236" w14:textId="6670E473">
      <w:pPr>
        <w:pStyle w:val="Standard"/>
      </w:pPr>
      <w:r>
        <w:t>PG&amp;E</w:t>
      </w:r>
      <w:r w:rsidR="00B6428A">
        <w:t xml:space="preserve"> </w:t>
      </w:r>
      <w:r w:rsidR="00913F8E">
        <w:t xml:space="preserve">also </w:t>
      </w:r>
      <w:r w:rsidR="00B6428A">
        <w:t xml:space="preserve">plans to procure </w:t>
      </w:r>
      <w:r>
        <w:t>additional long</w:t>
      </w:r>
      <w:r w:rsidR="00E54574">
        <w:noBreakHyphen/>
      </w:r>
      <w:r>
        <w:t xml:space="preserve">term RPS products </w:t>
      </w:r>
      <w:r w:rsidR="00B6428A">
        <w:t xml:space="preserve">to meet </w:t>
      </w:r>
      <w:r>
        <w:t xml:space="preserve">its </w:t>
      </w:r>
      <w:r w:rsidR="00B6428A">
        <w:t xml:space="preserve">future </w:t>
      </w:r>
      <w:r>
        <w:t xml:space="preserve">RPS </w:t>
      </w:r>
      <w:r w:rsidR="00B6428A">
        <w:t>obligations</w:t>
      </w:r>
      <w:r>
        <w:t xml:space="preserve"> and </w:t>
      </w:r>
      <w:r w:rsidR="00B6428A">
        <w:t xml:space="preserve">address </w:t>
      </w:r>
      <w:r>
        <w:t>other portfolio needs</w:t>
      </w:r>
      <w:r w:rsidR="00B6428A">
        <w:t xml:space="preserve">, including </w:t>
      </w:r>
      <w:r>
        <w:t xml:space="preserve">energy, capacity, and other clean energy requirements </w:t>
      </w:r>
      <w:r w:rsidR="00B6428A">
        <w:t xml:space="preserve">set by </w:t>
      </w:r>
      <w:r w:rsidR="00F139CD">
        <w:t>SB </w:t>
      </w:r>
      <w:r>
        <w:t xml:space="preserve">100, </w:t>
      </w:r>
      <w:r w:rsidR="00F139CD">
        <w:t>SB </w:t>
      </w:r>
      <w:r>
        <w:t>1020 and the IRP proceeding.</w:t>
      </w:r>
      <w:r w:rsidR="00AF36A3">
        <w:t xml:space="preserve"> </w:t>
      </w:r>
      <w:r w:rsidR="00B6428A">
        <w:t xml:space="preserve">Because factors such as data center load growth may accelerate demand, and federal policy changes raise costs and complicate project </w:t>
      </w:r>
      <w:r w:rsidR="00B6428A">
        <w:lastRenderedPageBreak/>
        <w:t xml:space="preserve">development, </w:t>
      </w:r>
      <w:r w:rsidR="00AF36A3">
        <w:t>PG&amp;E</w:t>
      </w:r>
      <w:r w:rsidR="00B6428A">
        <w:t xml:space="preserve"> is requesting authority to begin procurement now to reduce risks related to cost, development, regulatory changes and compliance.</w:t>
      </w:r>
      <w:r w:rsidR="00E34461">
        <w:rPr>
          <w:rStyle w:val="FootnoteReference"/>
        </w:rPr>
        <w:footnoteReference w:id="34"/>
      </w:r>
    </w:p>
    <w:p w:rsidR="00F023E7" w:rsidP="00F277D4" w:rsidRDefault="004323F6" w14:paraId="49F16705" w14:textId="7B6147BB">
      <w:pPr>
        <w:pStyle w:val="Standard"/>
      </w:pPr>
      <w:r>
        <w:t>PG&amp;E</w:t>
      </w:r>
      <w:r w:rsidR="005A00BE">
        <w:t>’</w:t>
      </w:r>
      <w:r>
        <w:t xml:space="preserve">s request to enter into </w:t>
      </w:r>
      <w:r w:rsidR="00B6428A">
        <w:t>long</w:t>
      </w:r>
      <w:r w:rsidR="00E54574">
        <w:noBreakHyphen/>
      </w:r>
      <w:r w:rsidR="00B6428A">
        <w:t xml:space="preserve">term and </w:t>
      </w:r>
      <w:r>
        <w:t>short</w:t>
      </w:r>
      <w:r w:rsidR="00E54574">
        <w:noBreakHyphen/>
      </w:r>
      <w:r>
        <w:t xml:space="preserve">term procurement </w:t>
      </w:r>
      <w:r w:rsidR="00182658">
        <w:t xml:space="preserve">contracts </w:t>
      </w:r>
      <w:r>
        <w:t xml:space="preserve">for the purposes stated above is approved. </w:t>
      </w:r>
      <w:r w:rsidR="00182658">
        <w:t>In D.24</w:t>
      </w:r>
      <w:r w:rsidR="00E54574">
        <w:noBreakHyphen/>
      </w:r>
      <w:r w:rsidR="00182658">
        <w:t>12</w:t>
      </w:r>
      <w:r w:rsidR="00E54574">
        <w:noBreakHyphen/>
      </w:r>
      <w:r w:rsidR="00182658">
        <w:t>035, t</w:t>
      </w:r>
      <w:r w:rsidR="00A2740C">
        <w:t xml:space="preserve">he Commission </w:t>
      </w:r>
      <w:r w:rsidR="00182658">
        <w:t xml:space="preserve">has </w:t>
      </w:r>
      <w:r w:rsidRPr="00A2740C" w:rsidR="00A2740C">
        <w:t>recognize</w:t>
      </w:r>
      <w:r w:rsidR="00182658">
        <w:t>d</w:t>
      </w:r>
      <w:r w:rsidRPr="00A2740C" w:rsidR="00A2740C">
        <w:t xml:space="preserve"> </w:t>
      </w:r>
      <w:r w:rsidR="005A00BE">
        <w:t>“</w:t>
      </w:r>
      <w:r w:rsidRPr="00A2740C" w:rsidR="00A2740C">
        <w:t>the need for the IOUs to timely conduct solicitations to flexibly meet potential compliance needs and start planning for uncertainties.</w:t>
      </w:r>
      <w:r w:rsidR="005A00BE">
        <w:t>”</w:t>
      </w:r>
      <w:r w:rsidRPr="00A2740C" w:rsidR="00A2740C">
        <w:t xml:space="preserve"> </w:t>
      </w:r>
      <w:r w:rsidR="00913F8E">
        <w:t xml:space="preserve">The Commission recognized </w:t>
      </w:r>
      <w:r w:rsidR="00D54CEC">
        <w:t>the IOUs</w:t>
      </w:r>
      <w:r w:rsidR="005A00BE">
        <w:t>’</w:t>
      </w:r>
      <w:r w:rsidR="00913F8E">
        <w:t xml:space="preserve"> procurement needs by stating </w:t>
      </w:r>
      <w:r w:rsidR="005A00BE">
        <w:t>“</w:t>
      </w:r>
      <w:r w:rsidR="007B5AAE">
        <w:t>w</w:t>
      </w:r>
      <w:r w:rsidRPr="00A2740C" w:rsidR="00A2740C">
        <w:t>hile the IOUs have banked resources, they may still need to require additional RPS resources for their energy and capacity needs as well as to meet GHG emission targets. We also recognize the need to plan ahead to continue to optimize RPS portfolios in an increasingly competitive renewable energy market; waiting to plan for procurement until the banked resources are depleted may not be the most cost</w:t>
      </w:r>
      <w:r w:rsidR="00E54574">
        <w:noBreakHyphen/>
      </w:r>
      <w:r w:rsidRPr="00A2740C" w:rsidR="00A2740C">
        <w:t>effective strategy</w:t>
      </w:r>
      <w:r w:rsidR="00A2740C">
        <w:t>.</w:t>
      </w:r>
      <w:r w:rsidR="005A00BE">
        <w:t>”</w:t>
      </w:r>
      <w:r w:rsidR="00913F8E">
        <w:rPr>
          <w:rStyle w:val="FootnoteReference"/>
        </w:rPr>
        <w:footnoteReference w:id="35"/>
      </w:r>
    </w:p>
    <w:p w:rsidR="00F023E7" w:rsidP="00F277D4" w:rsidRDefault="001F09D0" w14:paraId="1721B305" w14:textId="7F715F3C">
      <w:pPr>
        <w:pStyle w:val="Standard"/>
      </w:pPr>
      <w:r>
        <w:t>For</w:t>
      </w:r>
      <w:r w:rsidR="00182658">
        <w:t xml:space="preserve"> the </w:t>
      </w:r>
      <w:r w:rsidR="007B1A5E">
        <w:t>current</w:t>
      </w:r>
      <w:r w:rsidR="00182658">
        <w:t xml:space="preserve"> planning </w:t>
      </w:r>
      <w:r>
        <w:t>cycle</w:t>
      </w:r>
      <w:r w:rsidR="00182658">
        <w:t>, t</w:t>
      </w:r>
      <w:r w:rsidR="00A2740C">
        <w:t xml:space="preserve">he Commission maintains the same </w:t>
      </w:r>
      <w:r w:rsidR="00362D2B">
        <w:t>conclusion</w:t>
      </w:r>
      <w:r w:rsidR="00A2740C">
        <w:t>.</w:t>
      </w:r>
      <w:r w:rsidR="00DB00F8">
        <w:t xml:space="preserve"> While short</w:t>
      </w:r>
      <w:r w:rsidR="00E54574">
        <w:noBreakHyphen/>
      </w:r>
      <w:r w:rsidR="00DB00F8">
        <w:t>term purchases help PG&amp;E fill near</w:t>
      </w:r>
      <w:r w:rsidR="00E54574">
        <w:noBreakHyphen/>
      </w:r>
      <w:r w:rsidR="00DB00F8">
        <w:t>term RNS gaps,</w:t>
      </w:r>
      <w:r w:rsidR="009B2305">
        <w:t xml:space="preserve"> as needed,</w:t>
      </w:r>
      <w:r w:rsidR="00DB00F8">
        <w:t xml:space="preserve"> long</w:t>
      </w:r>
      <w:r w:rsidR="00E54574">
        <w:noBreakHyphen/>
      </w:r>
      <w:r w:rsidR="00DB00F8">
        <w:t>term contracts should provide stability and help meet state</w:t>
      </w:r>
      <w:r w:rsidR="005A00BE">
        <w:t>’</w:t>
      </w:r>
      <w:r w:rsidR="00DB00F8">
        <w:t xml:space="preserve">s </w:t>
      </w:r>
      <w:r w:rsidR="001933EC">
        <w:t>long</w:t>
      </w:r>
      <w:r w:rsidR="00E54574">
        <w:noBreakHyphen/>
      </w:r>
      <w:r w:rsidR="001933EC">
        <w:t xml:space="preserve">term </w:t>
      </w:r>
      <w:r w:rsidR="00182658">
        <w:t>contracting</w:t>
      </w:r>
      <w:r w:rsidR="001933EC">
        <w:t xml:space="preserve"> requirements under </w:t>
      </w:r>
      <w:r w:rsidR="00F139CD">
        <w:t>SB </w:t>
      </w:r>
      <w:r w:rsidR="001933EC">
        <w:t>350. Combining both short</w:t>
      </w:r>
      <w:r w:rsidR="00E54574">
        <w:noBreakHyphen/>
      </w:r>
      <w:r w:rsidR="001933EC">
        <w:t>term and long</w:t>
      </w:r>
      <w:r w:rsidR="00E54574">
        <w:noBreakHyphen/>
      </w:r>
      <w:r w:rsidR="001933EC">
        <w:t xml:space="preserve">term </w:t>
      </w:r>
      <w:r w:rsidR="00182658">
        <w:t>products</w:t>
      </w:r>
      <w:r w:rsidR="001933EC">
        <w:t xml:space="preserve"> allows the IO</w:t>
      </w:r>
      <w:r w:rsidR="005737D1">
        <w:t>U</w:t>
      </w:r>
      <w:r w:rsidR="001933EC">
        <w:t xml:space="preserve">s </w:t>
      </w:r>
      <w:r w:rsidR="00CF4861">
        <w:t xml:space="preserve">to </w:t>
      </w:r>
      <w:r w:rsidR="001933EC">
        <w:t>balance resource types, terms and risk exposures.</w:t>
      </w:r>
    </w:p>
    <w:p w:rsidRPr="00B719EA" w:rsidR="00264184" w:rsidP="00F277D4" w:rsidRDefault="00B6428A" w14:paraId="07E92E0C" w14:textId="2DE3B53F">
      <w:pPr>
        <w:pStyle w:val="Standard"/>
      </w:pPr>
      <w:r w:rsidRPr="00B6428A">
        <w:t>For any long</w:t>
      </w:r>
      <w:r w:rsidR="00E54574">
        <w:noBreakHyphen/>
      </w:r>
      <w:r w:rsidRPr="00B6428A">
        <w:t>term RPS transactions executed under this RPS Plan</w:t>
      </w:r>
      <w:r>
        <w:t xml:space="preserve">, </w:t>
      </w:r>
      <w:r w:rsidRPr="00B6428A">
        <w:t xml:space="preserve">PG&amp;E </w:t>
      </w:r>
      <w:r>
        <w:t>must</w:t>
      </w:r>
      <w:r w:rsidRPr="00B6428A">
        <w:t xml:space="preserve"> seek approval from the Commission via the </w:t>
      </w:r>
      <w:r w:rsidR="00AF70D1">
        <w:t>Tier 3</w:t>
      </w:r>
      <w:r w:rsidRPr="00B6428A">
        <w:t xml:space="preserve"> </w:t>
      </w:r>
      <w:r w:rsidR="00A774CF">
        <w:t>Advice Letter</w:t>
      </w:r>
      <w:r w:rsidRPr="00B6428A">
        <w:t xml:space="preserve"> process.</w:t>
      </w:r>
      <w:r w:rsidR="00A40FA5">
        <w:t xml:space="preserve"> </w:t>
      </w:r>
      <w:r w:rsidRPr="00A40FA5" w:rsidR="00A40FA5">
        <w:t xml:space="preserve">Any </w:t>
      </w:r>
      <w:r w:rsidR="00AF70D1">
        <w:t>Tier 3</w:t>
      </w:r>
      <w:r w:rsidRPr="00A40FA5" w:rsidR="00A40FA5">
        <w:t xml:space="preserve"> </w:t>
      </w:r>
      <w:r w:rsidR="00FA362B">
        <w:t>A</w:t>
      </w:r>
      <w:r w:rsidRPr="00A40FA5" w:rsidR="00A40FA5">
        <w:t xml:space="preserve">dvice </w:t>
      </w:r>
      <w:r w:rsidR="00FA362B">
        <w:t>L</w:t>
      </w:r>
      <w:r w:rsidRPr="00A40FA5" w:rsidR="00A40FA5">
        <w:t>etter submitted by the IOUs must clearly demonstrate that the resources procured under this procurement authority are RPS</w:t>
      </w:r>
      <w:r w:rsidR="00E54574">
        <w:noBreakHyphen/>
      </w:r>
      <w:r w:rsidRPr="00A40FA5" w:rsidR="00A40FA5">
        <w:t xml:space="preserve">eligible and </w:t>
      </w:r>
      <w:r w:rsidRPr="00A40FA5" w:rsidR="00A40FA5">
        <w:lastRenderedPageBreak/>
        <w:t>meet either</w:t>
      </w:r>
      <w:r w:rsidR="00CF4861">
        <w:t>:</w:t>
      </w:r>
      <w:r w:rsidR="00A96B89">
        <w:t xml:space="preserve"> </w:t>
      </w:r>
      <w:r w:rsidR="00CF4861">
        <w:t xml:space="preserve"> (1)</w:t>
      </w:r>
      <w:r w:rsidR="00A96B89">
        <w:t> </w:t>
      </w:r>
      <w:r w:rsidRPr="00A40FA5" w:rsidR="00A40FA5">
        <w:t xml:space="preserve">RPS needs, portfolio goals from their IRP filings, or a formally adopted IRP portfolio, or </w:t>
      </w:r>
      <w:r w:rsidR="00CF4861">
        <w:t>(2)</w:t>
      </w:r>
      <w:r w:rsidR="00A96B89">
        <w:t> </w:t>
      </w:r>
      <w:r w:rsidRPr="00A40FA5" w:rsidR="00A40FA5">
        <w:t>any remaining IRP procurement needs to comply with orders issued through the RPS Plan implementation year.</w:t>
      </w:r>
      <w:r w:rsidRPr="00A2740C" w:rsidR="00A2740C">
        <w:t xml:space="preserve"> </w:t>
      </w:r>
      <w:r w:rsidR="00A2740C">
        <w:t>A</w:t>
      </w:r>
      <w:r w:rsidR="007B1A5E">
        <w:t>s</w:t>
      </w:r>
      <w:r w:rsidR="00A2740C">
        <w:t xml:space="preserve"> stated in D.24</w:t>
      </w:r>
      <w:r w:rsidR="00E54574">
        <w:noBreakHyphen/>
      </w:r>
      <w:r w:rsidR="00A2740C">
        <w:t>12</w:t>
      </w:r>
      <w:r w:rsidR="00E54574">
        <w:noBreakHyphen/>
      </w:r>
      <w:r w:rsidRPr="00D54CEC" w:rsidR="007B1A5E">
        <w:t>035</w:t>
      </w:r>
      <w:r w:rsidR="00A2740C">
        <w:t>, p</w:t>
      </w:r>
      <w:r w:rsidRPr="00A2740C" w:rsidR="00A2740C">
        <w:t>ortfolio goals may include system reliability, greenhouse gas emission targets, or portfolio resource mix optimization.</w:t>
      </w:r>
      <w:r w:rsidR="007B5AAE">
        <w:t xml:space="preserve"> For any short</w:t>
      </w:r>
      <w:r w:rsidR="00E54574">
        <w:noBreakHyphen/>
      </w:r>
      <w:r w:rsidR="007B5AAE">
        <w:t xml:space="preserve">term transactions executed, PG&amp;E must seek approval from the Commission via the </w:t>
      </w:r>
      <w:r w:rsidR="00AF70D1">
        <w:t>Tier 1</w:t>
      </w:r>
      <w:r w:rsidR="007B5AAE">
        <w:t xml:space="preserve"> </w:t>
      </w:r>
      <w:r w:rsidR="00A774CF">
        <w:t>Advice Letter</w:t>
      </w:r>
      <w:r w:rsidR="007B5AAE">
        <w:t xml:space="preserve"> process.</w:t>
      </w:r>
    </w:p>
    <w:p w:rsidR="00467BD4" w:rsidP="00F277D4" w:rsidRDefault="009E01F1" w14:paraId="3F342EE7" w14:textId="758294C6">
      <w:pPr>
        <w:pStyle w:val="Heading3"/>
      </w:pPr>
      <w:bookmarkStart w:name="_Toc212716139" w:id="44"/>
      <w:bookmarkStart w:name="_Toc214004343" w:id="45"/>
      <w:r w:rsidRPr="009E01F1">
        <w:t>Pacific Gas and Electric Company</w:t>
      </w:r>
      <w:r w:rsidR="005A00BE">
        <w:t>’</w:t>
      </w:r>
      <w:r w:rsidR="00467BD4">
        <w:t>s Request for Authority to Renegotiate Existing Contracts</w:t>
      </w:r>
      <w:bookmarkEnd w:id="44"/>
      <w:bookmarkEnd w:id="45"/>
    </w:p>
    <w:p w:rsidR="00F023E7" w:rsidP="00F277D4" w:rsidRDefault="004E603F" w14:paraId="09835490" w14:textId="6DADF283">
      <w:pPr>
        <w:pStyle w:val="Standard"/>
      </w:pPr>
      <w:r>
        <w:t>PG&amp;E requests to maintain authority to optimize its existing portfolio of RPS</w:t>
      </w:r>
      <w:r w:rsidR="00E54574">
        <w:noBreakHyphen/>
      </w:r>
      <w:r>
        <w:t xml:space="preserve">eligible contracts by renegotiating existing contracts. PG&amp;E </w:t>
      </w:r>
      <w:r w:rsidR="00434793">
        <w:t xml:space="preserve">states that it would pursue contract amendments related to but not limited </w:t>
      </w:r>
      <w:r w:rsidR="00BA3197">
        <w:t xml:space="preserve">to </w:t>
      </w:r>
      <w:r>
        <w:t>contract</w:t>
      </w:r>
      <w:r w:rsidR="00434793">
        <w:t xml:space="preserve"> </w:t>
      </w:r>
      <w:r>
        <w:t>price reductions, extensions of contract terms, increased buyer</w:t>
      </w:r>
      <w:r w:rsidR="00434793">
        <w:t xml:space="preserve"> </w:t>
      </w:r>
      <w:r>
        <w:t xml:space="preserve">curtailment flexibility, </w:t>
      </w:r>
      <w:r w:rsidR="00434793">
        <w:t xml:space="preserve">and </w:t>
      </w:r>
      <w:r>
        <w:t>repower</w:t>
      </w:r>
      <w:r w:rsidR="005C552D">
        <w:t>ing</w:t>
      </w:r>
      <w:r>
        <w:t xml:space="preserve"> of existing facilities and/or upgrades of existing facility equipment.</w:t>
      </w:r>
      <w:r w:rsidR="00434793">
        <w:rPr>
          <w:rStyle w:val="FootnoteReference"/>
        </w:rPr>
        <w:footnoteReference w:id="36"/>
      </w:r>
      <w:r>
        <w:t xml:space="preserve"> PG&amp;E clarif</w:t>
      </w:r>
      <w:r w:rsidR="00BA3197">
        <w:t>ies</w:t>
      </w:r>
      <w:r>
        <w:t xml:space="preserve"> that any potential</w:t>
      </w:r>
      <w:r w:rsidR="00434793">
        <w:t xml:space="preserve"> </w:t>
      </w:r>
      <w:r>
        <w:t>upgrades or change in commercial terms may result in existing</w:t>
      </w:r>
      <w:r w:rsidR="00434793">
        <w:t xml:space="preserve"> </w:t>
      </w:r>
      <w:r>
        <w:t>resources potentially being shut down for a period of time before being</w:t>
      </w:r>
      <w:r w:rsidR="00434793">
        <w:t xml:space="preserve"> </w:t>
      </w:r>
      <w:r>
        <w:t>repowered.</w:t>
      </w:r>
      <w:r w:rsidR="00BA3197">
        <w:rPr>
          <w:rStyle w:val="FootnoteReference"/>
        </w:rPr>
        <w:footnoteReference w:id="37"/>
      </w:r>
    </w:p>
    <w:p w:rsidRPr="004E603F" w:rsidR="005F23A9" w:rsidP="00F277D4" w:rsidRDefault="00434793" w14:paraId="03626A79" w14:textId="49C94197">
      <w:pPr>
        <w:pStyle w:val="Standard"/>
      </w:pPr>
      <w:r w:rsidRPr="00434793">
        <w:t>PG&amp;E</w:t>
      </w:r>
      <w:r w:rsidR="005A00BE">
        <w:t>’</w:t>
      </w:r>
      <w:r w:rsidRPr="00434793">
        <w:t xml:space="preserve">s request aims to provide value to the ratepayers, and therefore, is approved. </w:t>
      </w:r>
      <w:r w:rsidRPr="00BA3197" w:rsidR="00BA3197">
        <w:t xml:space="preserve">If any contract amendments or restatements result from renegotiations, PG&amp;E must </w:t>
      </w:r>
      <w:r w:rsidR="00B64C9B">
        <w:t xml:space="preserve">submit a </w:t>
      </w:r>
      <w:r w:rsidR="00AF70D1">
        <w:t>Tier 3</w:t>
      </w:r>
      <w:r w:rsidR="00B64C9B">
        <w:t xml:space="preserve"> </w:t>
      </w:r>
      <w:r w:rsidR="00FA362B">
        <w:t>A</w:t>
      </w:r>
      <w:r w:rsidR="00B64C9B">
        <w:t xml:space="preserve">dvice </w:t>
      </w:r>
      <w:r w:rsidR="00FA362B">
        <w:t>L</w:t>
      </w:r>
      <w:r w:rsidR="00B64C9B">
        <w:t>etter for Commission review</w:t>
      </w:r>
      <w:r w:rsidRPr="00BA3197" w:rsidR="00BA3197">
        <w:t>.</w:t>
      </w:r>
    </w:p>
    <w:p w:rsidR="00467BD4" w:rsidP="00F277D4" w:rsidRDefault="009E01F1" w14:paraId="495A890F" w14:textId="4F794278">
      <w:pPr>
        <w:pStyle w:val="Heading3"/>
      </w:pPr>
      <w:bookmarkStart w:name="_Toc212716140" w:id="46"/>
      <w:bookmarkStart w:name="_Toc214004344" w:id="47"/>
      <w:r w:rsidRPr="009E01F1">
        <w:lastRenderedPageBreak/>
        <w:t>Pacific Gas and Electric Company</w:t>
      </w:r>
      <w:r w:rsidR="005A00BE">
        <w:t>’</w:t>
      </w:r>
      <w:r w:rsidR="00467BD4">
        <w:t xml:space="preserve">s Request for Authority to Transact </w:t>
      </w:r>
      <w:r w:rsidRPr="00C55273">
        <w:t>Renewables Portfolio Standard</w:t>
      </w:r>
      <w:r w:rsidR="00467BD4">
        <w:t xml:space="preserve"> Products via Bilateral Negotiations</w:t>
      </w:r>
      <w:bookmarkEnd w:id="46"/>
      <w:bookmarkEnd w:id="47"/>
    </w:p>
    <w:p w:rsidR="00F023E7" w:rsidP="00F277D4" w:rsidRDefault="001104A8" w14:paraId="271BC39C" w14:textId="69BD25FE">
      <w:pPr>
        <w:pStyle w:val="Standard"/>
      </w:pPr>
      <w:r>
        <w:t>PG&amp;E requests to maintain authority to transact bilaterally for the purchase and sale of both short</w:t>
      </w:r>
      <w:r w:rsidR="00E54574">
        <w:noBreakHyphen/>
      </w:r>
      <w:r>
        <w:t xml:space="preserve"> and long</w:t>
      </w:r>
      <w:r w:rsidR="00E54574">
        <w:noBreakHyphen/>
      </w:r>
      <w:r>
        <w:t>term RPS products.</w:t>
      </w:r>
      <w:r w:rsidR="0028429E">
        <w:t xml:space="preserve"> PG&amp;E states that the c</w:t>
      </w:r>
      <w:r>
        <w:t xml:space="preserve">ontinuance of this authority </w:t>
      </w:r>
      <w:r w:rsidR="0028429E">
        <w:t xml:space="preserve">will </w:t>
      </w:r>
      <w:r>
        <w:t>allow PG&amp;E to take advantage of</w:t>
      </w:r>
      <w:r w:rsidR="0028429E">
        <w:t xml:space="preserve"> </w:t>
      </w:r>
      <w:r>
        <w:t>opportunities to optimize its portfolio in support of</w:t>
      </w:r>
      <w:r w:rsidR="0028429E">
        <w:t xml:space="preserve"> </w:t>
      </w:r>
      <w:r>
        <w:t>customer affordability.</w:t>
      </w:r>
      <w:r w:rsidR="0028429E">
        <w:rPr>
          <w:rStyle w:val="FootnoteReference"/>
        </w:rPr>
        <w:footnoteReference w:id="38"/>
      </w:r>
    </w:p>
    <w:p w:rsidR="00F023E7" w:rsidP="00F277D4" w:rsidRDefault="00AE02BA" w14:paraId="05DB7088" w14:textId="31B59451">
      <w:pPr>
        <w:pStyle w:val="Standard"/>
      </w:pPr>
      <w:r>
        <w:t>PG&amp;E states that i</w:t>
      </w:r>
      <w:r w:rsidR="001104A8">
        <w:t>n the current market</w:t>
      </w:r>
      <w:r>
        <w:t xml:space="preserve"> it frequently competes</w:t>
      </w:r>
      <w:r w:rsidR="001104A8">
        <w:t xml:space="preserve"> with other market participants to purchase or sell RPS products. </w:t>
      </w:r>
      <w:r w:rsidR="005737D1">
        <w:t>PG&amp;E believes that being allowed</w:t>
      </w:r>
      <w:r w:rsidR="001104A8">
        <w:t xml:space="preserve"> to transact bilaterally</w:t>
      </w:r>
      <w:r w:rsidR="0028429E">
        <w:t xml:space="preserve"> </w:t>
      </w:r>
      <w:r>
        <w:t xml:space="preserve">would align </w:t>
      </w:r>
      <w:r w:rsidR="001104A8">
        <w:t>PG&amp;E</w:t>
      </w:r>
      <w:r w:rsidR="005A00BE">
        <w:t>’</w:t>
      </w:r>
      <w:r w:rsidR="001104A8">
        <w:t>s transactional authority with other market</w:t>
      </w:r>
      <w:r w:rsidR="0028429E">
        <w:t xml:space="preserve"> </w:t>
      </w:r>
      <w:r w:rsidR="001104A8">
        <w:t xml:space="preserve">participants and </w:t>
      </w:r>
      <w:r w:rsidR="005737D1">
        <w:t>help</w:t>
      </w:r>
      <w:r>
        <w:t xml:space="preserve"> PG&amp;E to manage its portfolio more effectively while </w:t>
      </w:r>
      <w:r w:rsidR="001104A8">
        <w:t>meeting its</w:t>
      </w:r>
      <w:r w:rsidR="0028429E">
        <w:t xml:space="preserve"> </w:t>
      </w:r>
      <w:r w:rsidR="001104A8">
        <w:t>requirements at competitive costs for bundled customers.</w:t>
      </w:r>
      <w:r>
        <w:rPr>
          <w:rStyle w:val="FootnoteReference"/>
        </w:rPr>
        <w:footnoteReference w:id="39"/>
      </w:r>
    </w:p>
    <w:p w:rsidRPr="001104A8" w:rsidR="005F23A9" w:rsidP="00F277D4" w:rsidRDefault="0028429E" w14:paraId="5D9E1D7B" w14:textId="208AD484">
      <w:pPr>
        <w:pStyle w:val="Standard"/>
      </w:pPr>
      <w:r>
        <w:t xml:space="preserve">Given the increasing competitiveness in renewable energy markets, the </w:t>
      </w:r>
      <w:r w:rsidR="00ED258B">
        <w:t>Commission</w:t>
      </w:r>
      <w:r>
        <w:t xml:space="preserve"> finds PG&amp;E</w:t>
      </w:r>
      <w:r w:rsidR="005A00BE">
        <w:t>’</w:t>
      </w:r>
      <w:r>
        <w:t xml:space="preserve">s request to enter into bilateral negotiations is reasonable. </w:t>
      </w:r>
      <w:r w:rsidR="00B35EAE">
        <w:t>Bilateral negotiations may help fill specific gaps in PG&amp;E</w:t>
      </w:r>
      <w:r w:rsidR="005A00BE">
        <w:t>’</w:t>
      </w:r>
      <w:r w:rsidR="00B35EAE">
        <w:t xml:space="preserve">s portfolio, </w:t>
      </w:r>
      <w:r w:rsidRPr="008C0F68" w:rsidR="008C0F68">
        <w:rPr>
          <w:i/>
          <w:iCs/>
        </w:rPr>
        <w:t>e.g.</w:t>
      </w:r>
      <w:r w:rsidR="00B35EAE">
        <w:t>, particular delivery shape, that may not be available in solicitations</w:t>
      </w:r>
      <w:r w:rsidR="00F851AD">
        <w:t>, and may yield favorable prices to benefit ratepayers</w:t>
      </w:r>
      <w:r w:rsidR="00B35EAE">
        <w:t xml:space="preserve">. </w:t>
      </w:r>
      <w:r w:rsidRPr="0028429E">
        <w:t xml:space="preserve">PG&amp;E must continue to submit </w:t>
      </w:r>
      <w:r w:rsidR="00AF70D1">
        <w:t>Tier 3</w:t>
      </w:r>
      <w:r w:rsidRPr="0028429E">
        <w:t xml:space="preserve"> Advice Letters for any long</w:t>
      </w:r>
      <w:r w:rsidR="00E54574">
        <w:noBreakHyphen/>
      </w:r>
      <w:r w:rsidRPr="0028429E">
        <w:t xml:space="preserve">term RPS contracts resulting from bilateral negotiations and a </w:t>
      </w:r>
      <w:r w:rsidR="00AF70D1">
        <w:t>Tier 1</w:t>
      </w:r>
      <w:r w:rsidRPr="0028429E">
        <w:t xml:space="preserve"> Advice Letter for short</w:t>
      </w:r>
      <w:r w:rsidR="00E54574">
        <w:noBreakHyphen/>
      </w:r>
      <w:r w:rsidRPr="0028429E">
        <w:t>term transactions</w:t>
      </w:r>
      <w:r>
        <w:t>.</w:t>
      </w:r>
    </w:p>
    <w:p w:rsidR="00467BD4" w:rsidP="00F277D4" w:rsidRDefault="009E01F1" w14:paraId="54794321" w14:textId="55B7521F">
      <w:pPr>
        <w:pStyle w:val="Heading3"/>
      </w:pPr>
      <w:bookmarkStart w:name="_Toc212716141" w:id="48"/>
      <w:bookmarkStart w:name="_Toc214004345" w:id="49"/>
      <w:r w:rsidRPr="009E01F1">
        <w:lastRenderedPageBreak/>
        <w:t>Pacific Gas and Electric Company</w:t>
      </w:r>
      <w:r w:rsidR="005A00BE">
        <w:t>’</w:t>
      </w:r>
      <w:r w:rsidR="00467BD4">
        <w:t>s Request to Transact Bundled</w:t>
      </w:r>
      <w:r w:rsidR="00E5052A">
        <w:br/>
      </w:r>
      <w:r w:rsidR="00467BD4">
        <w:t xml:space="preserve">and Unbundled </w:t>
      </w:r>
      <w:r w:rsidRPr="00C55273">
        <w:t>Renewables</w:t>
      </w:r>
      <w:r w:rsidR="00E5052A">
        <w:br/>
      </w:r>
      <w:r w:rsidRPr="00C55273">
        <w:t>Portfolio Standard</w:t>
      </w:r>
      <w:r w:rsidR="00467BD4">
        <w:t xml:space="preserve"> Sales for Less</w:t>
      </w:r>
      <w:r w:rsidR="00E5052A">
        <w:br/>
      </w:r>
      <w:r w:rsidR="00467BD4">
        <w:t>Than Five Years Forward</w:t>
      </w:r>
      <w:bookmarkEnd w:id="48"/>
      <w:bookmarkEnd w:id="49"/>
    </w:p>
    <w:p w:rsidR="004F088A" w:rsidP="00F277D4" w:rsidRDefault="001104A8" w14:paraId="7419F7D5" w14:textId="19B0092D">
      <w:pPr>
        <w:pStyle w:val="Standard"/>
      </w:pPr>
      <w:r>
        <w:t>PG&amp;E requests to maintain approval from the Commission to</w:t>
      </w:r>
      <w:r w:rsidR="004F088A">
        <w:t xml:space="preserve"> </w:t>
      </w:r>
      <w:r>
        <w:t>transact</w:t>
      </w:r>
      <w:r w:rsidR="004F088A">
        <w:t xml:space="preserve"> </w:t>
      </w:r>
      <w:r>
        <w:t>RPS sales for deliveries of less than five years forward from</w:t>
      </w:r>
      <w:r w:rsidR="004F088A">
        <w:t xml:space="preserve"> </w:t>
      </w:r>
      <w:r>
        <w:t>the execution date, seek</w:t>
      </w:r>
      <w:r w:rsidR="001F60B2">
        <w:t>ing</w:t>
      </w:r>
      <w:r>
        <w:t xml:space="preserve"> to clarify</w:t>
      </w:r>
      <w:r w:rsidR="001F60B2">
        <w:t xml:space="preserve"> that</w:t>
      </w:r>
      <w:r>
        <w:t xml:space="preserve"> its short</w:t>
      </w:r>
      <w:r w:rsidR="00E54574">
        <w:noBreakHyphen/>
      </w:r>
      <w:r>
        <w:t>term sales</w:t>
      </w:r>
      <w:r w:rsidR="004F088A">
        <w:t xml:space="preserve"> </w:t>
      </w:r>
      <w:r>
        <w:t>authority is inclusive of both bundled and unbundled RPS products.</w:t>
      </w:r>
      <w:r w:rsidR="004F088A">
        <w:rPr>
          <w:rStyle w:val="FootnoteReference"/>
        </w:rPr>
        <w:footnoteReference w:id="40"/>
      </w:r>
      <w:r w:rsidR="004F088A">
        <w:t xml:space="preserve"> </w:t>
      </w:r>
      <w:r>
        <w:t>PG&amp;E believes the flexibility to offer extended delivery terms and</w:t>
      </w:r>
      <w:r w:rsidR="004F088A">
        <w:t xml:space="preserve"> </w:t>
      </w:r>
      <w:r>
        <w:t xml:space="preserve">inclusion of both bundled and unbundled products </w:t>
      </w:r>
      <w:r w:rsidR="00916C1F">
        <w:t xml:space="preserve">would </w:t>
      </w:r>
      <w:r>
        <w:t>make its sales</w:t>
      </w:r>
      <w:r w:rsidR="004F088A">
        <w:t xml:space="preserve"> </w:t>
      </w:r>
      <w:r>
        <w:t xml:space="preserve">solicitations more competitive. </w:t>
      </w:r>
      <w:r w:rsidR="006927C1">
        <w:t>According to PG&amp;E, t</w:t>
      </w:r>
      <w:r>
        <w:t>h</w:t>
      </w:r>
      <w:r w:rsidR="006927C1">
        <w:t>is approach can better match buyer needs while giving PG&amp;E opportunity to sell products it may not need for compliance or bundled load, especially if lower cost options or other resources like its RPS bank are available. Longer</w:t>
      </w:r>
      <w:r w:rsidR="00E54574">
        <w:noBreakHyphen/>
      </w:r>
      <w:r w:rsidR="006927C1">
        <w:t>term sales can also help balance the portfolio as new resources come online in later years.</w:t>
      </w:r>
      <w:r w:rsidR="006927C1">
        <w:rPr>
          <w:rStyle w:val="FootnoteReference"/>
        </w:rPr>
        <w:footnoteReference w:id="41"/>
      </w:r>
    </w:p>
    <w:p w:rsidR="004872BE" w:rsidP="00F277D4" w:rsidRDefault="004872BE" w14:paraId="54D56A2B" w14:textId="70EDEDD4">
      <w:pPr>
        <w:pStyle w:val="Standard"/>
      </w:pPr>
      <w:r w:rsidRPr="004872BE">
        <w:t>Under its 2022 RPS Plan, PG&amp;E was authorized to transact bundled RPS sales for a period of up to two years from the execution date, and in its 2023 Plan, the Commission extended this authority for an additional three years, for a total of five years.</w:t>
      </w:r>
      <w:r>
        <w:t xml:space="preserve"> Under its 2024 RPS Plan, </w:t>
      </w:r>
      <w:r w:rsidRPr="004872BE">
        <w:t>PG&amp;E</w:t>
      </w:r>
      <w:r w:rsidR="005A00BE">
        <w:t>’</w:t>
      </w:r>
      <w:r w:rsidRPr="004872BE">
        <w:t xml:space="preserve">s request for approval to transact bundled RPS sales up to five years forward </w:t>
      </w:r>
      <w:r>
        <w:t>was granted.</w:t>
      </w:r>
    </w:p>
    <w:p w:rsidR="00732AE5" w:rsidP="00F277D4" w:rsidRDefault="00EA1881" w14:paraId="02055D5A" w14:textId="10650CA0">
      <w:pPr>
        <w:pStyle w:val="Standard"/>
      </w:pPr>
      <w:r>
        <w:t>For the current planning cycle, t</w:t>
      </w:r>
      <w:r w:rsidRPr="004F088A" w:rsidR="004F088A">
        <w:t xml:space="preserve">he Commission </w:t>
      </w:r>
      <w:r>
        <w:t xml:space="preserve">again </w:t>
      </w:r>
      <w:r w:rsidRPr="004F088A" w:rsidR="004F088A">
        <w:t>finds PG&amp;E</w:t>
      </w:r>
      <w:r w:rsidR="005A00BE">
        <w:t>’</w:t>
      </w:r>
      <w:r w:rsidRPr="004F088A" w:rsidR="004F088A">
        <w:t xml:space="preserve">s request for approval to transact bundled </w:t>
      </w:r>
      <w:r w:rsidR="003F442A">
        <w:t xml:space="preserve">and unbundled </w:t>
      </w:r>
      <w:r w:rsidRPr="004F088A" w:rsidR="004F088A">
        <w:t xml:space="preserve">RPS sales up to five years forward reasonable and approves it. PG&amp;E must seek Commission approval of any RPS contracts consistent with existing procedures by submitting a </w:t>
      </w:r>
      <w:r w:rsidR="00AF70D1">
        <w:t>Tier 1</w:t>
      </w:r>
      <w:r w:rsidRPr="004F088A" w:rsidR="004F088A">
        <w:t xml:space="preserve"> </w:t>
      </w:r>
      <w:r w:rsidR="00B354CC">
        <w:t xml:space="preserve">or </w:t>
      </w:r>
      <w:r w:rsidR="00AF70D1">
        <w:t>Tier 3</w:t>
      </w:r>
      <w:r w:rsidR="00B354CC">
        <w:t xml:space="preserve"> </w:t>
      </w:r>
      <w:r w:rsidRPr="004F088A" w:rsidR="004F088A">
        <w:t>Advice Letter</w:t>
      </w:r>
      <w:r w:rsidR="00732AE5">
        <w:t>.</w:t>
      </w:r>
    </w:p>
    <w:p w:rsidR="00467BD4" w:rsidP="00F277D4" w:rsidRDefault="009E01F1" w14:paraId="0075D98B" w14:textId="2FBA1D69">
      <w:pPr>
        <w:pStyle w:val="Heading3"/>
      </w:pPr>
      <w:bookmarkStart w:name="_Toc212716142" w:id="50"/>
      <w:bookmarkStart w:name="_Toc214004346" w:id="51"/>
      <w:r w:rsidRPr="009E01F1">
        <w:lastRenderedPageBreak/>
        <w:t>Pacific Gas and Electric Company</w:t>
      </w:r>
      <w:r w:rsidR="005A00BE">
        <w:t>’</w:t>
      </w:r>
      <w:r w:rsidR="00467BD4">
        <w:t>s Request for Authority to Bid into</w:t>
      </w:r>
      <w:r w:rsidR="00E5052A">
        <w:br/>
      </w:r>
      <w:r w:rsidR="00467BD4">
        <w:t>Other Market Participant</w:t>
      </w:r>
      <w:r w:rsidR="00E54574">
        <w:noBreakHyphen/>
      </w:r>
      <w:r w:rsidR="00467BD4">
        <w:t>Initiated Competitive Solicitations</w:t>
      </w:r>
      <w:bookmarkEnd w:id="50"/>
      <w:bookmarkEnd w:id="51"/>
    </w:p>
    <w:p w:rsidR="00BB7C39" w:rsidP="00F277D4" w:rsidRDefault="001104A8" w14:paraId="703282B3" w14:textId="2780B729">
      <w:pPr>
        <w:pStyle w:val="Standard"/>
      </w:pPr>
      <w:r>
        <w:t>PG&amp;E requests</w:t>
      </w:r>
      <w:r w:rsidR="0042256F">
        <w:t xml:space="preserve"> </w:t>
      </w:r>
      <w:r>
        <w:t>authority to participate in other market participants</w:t>
      </w:r>
      <w:r w:rsidR="005A00BE">
        <w:t>’</w:t>
      </w:r>
      <w:r w:rsidR="00BB7C39">
        <w:t xml:space="preserve"> </w:t>
      </w:r>
      <w:r>
        <w:t>competitive solicitations</w:t>
      </w:r>
      <w:r w:rsidR="00C72987">
        <w:t xml:space="preserve">. </w:t>
      </w:r>
      <w:r w:rsidR="00BB7C39">
        <w:t xml:space="preserve">Under its 2024 RPS Plan, the </w:t>
      </w:r>
      <w:r w:rsidR="00F93B68">
        <w:t>Commission</w:t>
      </w:r>
      <w:r w:rsidR="00BB7C39">
        <w:t xml:space="preserve"> granted PG&amp;E authority to procure short</w:t>
      </w:r>
      <w:r w:rsidR="00E54574">
        <w:noBreakHyphen/>
      </w:r>
      <w:r w:rsidR="00BB7C39">
        <w:t>term and long</w:t>
      </w:r>
      <w:r w:rsidR="00E54574">
        <w:noBreakHyphen/>
      </w:r>
      <w:r w:rsidR="00BB7C39">
        <w:t>term RPS resources and sell short</w:t>
      </w:r>
      <w:r w:rsidR="00E54574">
        <w:noBreakHyphen/>
      </w:r>
      <w:r w:rsidR="00BB7C39">
        <w:t>term RPS resources, only</w:t>
      </w:r>
      <w:r w:rsidR="00A33671">
        <w:t>, through competitive solicitations.</w:t>
      </w:r>
    </w:p>
    <w:p w:rsidR="00C72987" w:rsidP="00F277D4" w:rsidRDefault="00C72987" w14:paraId="13B66B6A" w14:textId="61CEF8CF">
      <w:pPr>
        <w:pStyle w:val="Standard"/>
      </w:pPr>
      <w:r w:rsidRPr="00C72987">
        <w:t>Given PG&amp;E</w:t>
      </w:r>
      <w:r w:rsidR="005A00BE">
        <w:t>’</w:t>
      </w:r>
      <w:r w:rsidRPr="00C72987">
        <w:t>s RPS portfolio needs</w:t>
      </w:r>
      <w:r>
        <w:t xml:space="preserve"> for short</w:t>
      </w:r>
      <w:r w:rsidR="00E54574">
        <w:noBreakHyphen/>
      </w:r>
      <w:r>
        <w:t xml:space="preserve"> and long</w:t>
      </w:r>
      <w:r w:rsidR="00E54574">
        <w:noBreakHyphen/>
      </w:r>
      <w:r>
        <w:t>term products and need to sell</w:t>
      </w:r>
      <w:r w:rsidRPr="00C72987">
        <w:t xml:space="preserve">, its request for </w:t>
      </w:r>
      <w:r>
        <w:t>authority to bid into other market participant</w:t>
      </w:r>
      <w:r w:rsidR="00E54574">
        <w:noBreakHyphen/>
      </w:r>
      <w:r>
        <w:t xml:space="preserve">initiated competitive solicitations </w:t>
      </w:r>
      <w:r w:rsidRPr="00C72987">
        <w:t>is reasonable and granted.</w:t>
      </w:r>
    </w:p>
    <w:p w:rsidRPr="001104A8" w:rsidR="001104A8" w:rsidP="00F277D4" w:rsidRDefault="00BB7C39" w14:paraId="1B461E9F" w14:textId="02A9F582">
      <w:pPr>
        <w:pStyle w:val="Standard"/>
      </w:pPr>
      <w:r w:rsidRPr="00BB7C39">
        <w:t xml:space="preserve">PG&amp;E must submit a </w:t>
      </w:r>
      <w:r w:rsidR="00AF70D1">
        <w:t>Tier 3</w:t>
      </w:r>
      <w:r w:rsidRPr="00BB7C39">
        <w:t xml:space="preserve"> Advice Letter for approval of long</w:t>
      </w:r>
      <w:r w:rsidR="00E54574">
        <w:noBreakHyphen/>
      </w:r>
      <w:r w:rsidRPr="00BB7C39">
        <w:t xml:space="preserve">term transactions and a </w:t>
      </w:r>
      <w:r w:rsidR="00AF70D1">
        <w:t>Tier 1</w:t>
      </w:r>
      <w:r w:rsidRPr="00BB7C39">
        <w:t xml:space="preserve"> Advice Letter for short</w:t>
      </w:r>
      <w:r w:rsidR="00E54574">
        <w:noBreakHyphen/>
      </w:r>
      <w:r w:rsidRPr="00BB7C39">
        <w:t>term transactions.</w:t>
      </w:r>
    </w:p>
    <w:p w:rsidR="00F023E7" w:rsidP="00F277D4" w:rsidRDefault="009E01F1" w14:paraId="0BD51061" w14:textId="0CED0142">
      <w:pPr>
        <w:pStyle w:val="Heading3"/>
      </w:pPr>
      <w:bookmarkStart w:name="_Toc212716143" w:id="52"/>
      <w:bookmarkStart w:name="_Toc214004347" w:id="53"/>
      <w:r w:rsidRPr="009E01F1">
        <w:t>Pacific Gas and Electric Company</w:t>
      </w:r>
      <w:r w:rsidR="005A00BE">
        <w:t>’</w:t>
      </w:r>
      <w:r w:rsidR="00467BD4">
        <w:t>s Request for Authority to Transact</w:t>
      </w:r>
      <w:r w:rsidR="00E5052A">
        <w:br/>
      </w:r>
      <w:r w:rsidR="00467BD4">
        <w:t>via Brokers and Exchanges</w:t>
      </w:r>
      <w:bookmarkEnd w:id="52"/>
      <w:bookmarkEnd w:id="53"/>
    </w:p>
    <w:p w:rsidR="001104A8" w:rsidP="00F277D4" w:rsidRDefault="001104A8" w14:paraId="014FF4C0" w14:textId="49F34C90">
      <w:pPr>
        <w:pStyle w:val="Standard"/>
      </w:pPr>
      <w:r>
        <w:t>PG&amp;E requests to continue its authority to conduct RPS</w:t>
      </w:r>
      <w:r w:rsidR="008C6BEE">
        <w:t xml:space="preserve"> </w:t>
      </w:r>
      <w:r>
        <w:t>transactions through brokers and exchanges.</w:t>
      </w:r>
      <w:r w:rsidR="008C6BEE">
        <w:t xml:space="preserve"> </w:t>
      </w:r>
      <w:r w:rsidR="004826C9">
        <w:t xml:space="preserve">PG&amp;E believes that </w:t>
      </w:r>
      <w:r w:rsidR="005A00BE">
        <w:t>“</w:t>
      </w:r>
      <w:r w:rsidR="004826C9">
        <w:t>m</w:t>
      </w:r>
      <w:r>
        <w:t>aintaining this authority will support a level playing field, permit</w:t>
      </w:r>
      <w:r w:rsidR="008C6BEE">
        <w:t xml:space="preserve"> </w:t>
      </w:r>
      <w:r>
        <w:t>PG&amp;E to access potentially lower cost products, therefore allowing</w:t>
      </w:r>
      <w:r w:rsidR="008C6BEE">
        <w:t xml:space="preserve"> </w:t>
      </w:r>
      <w:r>
        <w:t>PG&amp;E to implement its portfolio optimization strategy to meet its RPS</w:t>
      </w:r>
      <w:r w:rsidR="008C6BEE">
        <w:t xml:space="preserve"> </w:t>
      </w:r>
      <w:r>
        <w:t>requirements and other portfolio needs while maximizing customer</w:t>
      </w:r>
      <w:r w:rsidR="008C6BEE">
        <w:t xml:space="preserve"> </w:t>
      </w:r>
      <w:r>
        <w:t>affordability.</w:t>
      </w:r>
      <w:r w:rsidR="005A00BE">
        <w:t>”</w:t>
      </w:r>
      <w:r w:rsidR="000F349C">
        <w:rPr>
          <w:rStyle w:val="FootnoteReference"/>
        </w:rPr>
        <w:footnoteReference w:id="42"/>
      </w:r>
    </w:p>
    <w:p w:rsidR="00F023E7" w:rsidP="00F277D4" w:rsidRDefault="008C6BEE" w14:paraId="0556A26F" w14:textId="7415A6E8">
      <w:pPr>
        <w:pStyle w:val="Standard"/>
      </w:pPr>
      <w:r>
        <w:t>PG&amp;E</w:t>
      </w:r>
      <w:r w:rsidR="005A00BE">
        <w:t>’</w:t>
      </w:r>
      <w:r>
        <w:t>s request is reasonable and approved. Given PG&amp;E</w:t>
      </w:r>
      <w:r w:rsidR="005A00BE">
        <w:t>’</w:t>
      </w:r>
      <w:r>
        <w:t xml:space="preserve">s RPS procurement needs, PG&amp;E is authorized to procure </w:t>
      </w:r>
      <w:r w:rsidR="00806A02">
        <w:t xml:space="preserve">and sell </w:t>
      </w:r>
      <w:r>
        <w:t>short</w:t>
      </w:r>
      <w:r w:rsidR="00E54574">
        <w:noBreakHyphen/>
      </w:r>
      <w:r>
        <w:t>term and long</w:t>
      </w:r>
      <w:r w:rsidR="00E54574">
        <w:noBreakHyphen/>
      </w:r>
      <w:r>
        <w:t xml:space="preserve">term RPS products </w:t>
      </w:r>
      <w:r w:rsidR="00806A02">
        <w:t>through</w:t>
      </w:r>
      <w:r>
        <w:t xml:space="preserve"> br</w:t>
      </w:r>
      <w:r w:rsidR="00B0671B">
        <w:t>o</w:t>
      </w:r>
      <w:r>
        <w:t>kers and exchanges.</w:t>
      </w:r>
    </w:p>
    <w:p w:rsidR="00467BD4" w:rsidP="00F277D4" w:rsidRDefault="009E01F1" w14:paraId="00DAE3BB" w14:textId="5532F150">
      <w:pPr>
        <w:pStyle w:val="Heading3"/>
      </w:pPr>
      <w:bookmarkStart w:name="_Toc212716144" w:id="54"/>
      <w:bookmarkStart w:name="_Toc214004348" w:id="55"/>
      <w:r w:rsidRPr="009E01F1">
        <w:lastRenderedPageBreak/>
        <w:t>Pacific Gas and Electric Company</w:t>
      </w:r>
      <w:r w:rsidR="005A00BE">
        <w:t>’</w:t>
      </w:r>
      <w:r w:rsidRPr="00467BD4" w:rsidR="00467BD4">
        <w:t xml:space="preserve">s Request to Retire </w:t>
      </w:r>
      <w:r w:rsidRPr="00BD5BD7" w:rsidR="00BD5BD7">
        <w:t>Renewable</w:t>
      </w:r>
      <w:r w:rsidR="00E5052A">
        <w:br/>
      </w:r>
      <w:r w:rsidRPr="00BD5BD7" w:rsidR="00BD5BD7">
        <w:t>Energy Credit</w:t>
      </w:r>
      <w:r w:rsidRPr="00467BD4" w:rsidR="00467BD4">
        <w:t>s for Low Carbon</w:t>
      </w:r>
      <w:r w:rsidR="00E5052A">
        <w:br/>
      </w:r>
      <w:r w:rsidRPr="00467BD4" w:rsidR="00467BD4">
        <w:t>Fuel Standard Credits</w:t>
      </w:r>
      <w:bookmarkEnd w:id="54"/>
      <w:bookmarkEnd w:id="55"/>
    </w:p>
    <w:p w:rsidR="00F023E7" w:rsidP="00F277D4" w:rsidRDefault="001B39CF" w14:paraId="53476632" w14:textId="3FC17A04">
      <w:pPr>
        <w:pStyle w:val="Standard"/>
      </w:pPr>
      <w:r w:rsidRPr="001B39CF">
        <w:t>D.23</w:t>
      </w:r>
      <w:r w:rsidR="00E54574">
        <w:noBreakHyphen/>
      </w:r>
      <w:r w:rsidRPr="001B39CF">
        <w:t>12</w:t>
      </w:r>
      <w:r w:rsidR="00E54574">
        <w:noBreakHyphen/>
      </w:r>
      <w:r w:rsidRPr="001B39CF">
        <w:t xml:space="preserve">008 granted PG&amp;E the authority to claim incremental </w:t>
      </w:r>
      <w:r w:rsidRPr="00B849DA" w:rsidR="00B849DA">
        <w:t>Low</w:t>
      </w:r>
      <w:r w:rsidR="00E54574">
        <w:noBreakHyphen/>
      </w:r>
      <w:r w:rsidRPr="00B849DA" w:rsidR="00B849DA">
        <w:t>Carbon Fuel Standard</w:t>
      </w:r>
      <w:r w:rsidR="00B849DA">
        <w:t xml:space="preserve"> (</w:t>
      </w:r>
      <w:r w:rsidRPr="001B39CF">
        <w:t>LCFS</w:t>
      </w:r>
      <w:r w:rsidR="00B849DA">
        <w:t>)</w:t>
      </w:r>
      <w:r w:rsidRPr="001B39CF">
        <w:t xml:space="preserve"> Credits through the retirement of RECs.</w:t>
      </w:r>
      <w:r>
        <w:rPr>
          <w:rStyle w:val="FootnoteReference"/>
        </w:rPr>
        <w:footnoteReference w:id="43"/>
      </w:r>
      <w:r w:rsidRPr="001B39CF">
        <w:t xml:space="preserve"> </w:t>
      </w:r>
      <w:r>
        <w:t>D.24</w:t>
      </w:r>
      <w:r w:rsidR="00E54574">
        <w:noBreakHyphen/>
      </w:r>
      <w:r>
        <w:t>12</w:t>
      </w:r>
      <w:r w:rsidR="00E54574">
        <w:noBreakHyphen/>
      </w:r>
      <w:r>
        <w:t xml:space="preserve">035 further allowed PG&amp;E to </w:t>
      </w:r>
      <w:r w:rsidRPr="001B39CF">
        <w:t>retire RECs for LC</w:t>
      </w:r>
      <w:r w:rsidR="00B666C0">
        <w:t>FS</w:t>
      </w:r>
      <w:r w:rsidRPr="001B39CF">
        <w:t xml:space="preserve"> credits from either the PCIA</w:t>
      </w:r>
      <w:r w:rsidR="00E54574">
        <w:noBreakHyphen/>
      </w:r>
      <w:r w:rsidRPr="001B39CF">
        <w:t>eligible portfolio or its own shares of Voluntary Allocations, or both.</w:t>
      </w:r>
      <w:r w:rsidR="00126EB1">
        <w:rPr>
          <w:rStyle w:val="FootnoteReference"/>
        </w:rPr>
        <w:footnoteReference w:id="44"/>
      </w:r>
      <w:r>
        <w:t xml:space="preserve"> PG&amp;E requests to continue its authority.</w:t>
      </w:r>
    </w:p>
    <w:p w:rsidR="001B39CF" w:rsidP="00F277D4" w:rsidRDefault="004826C9" w14:paraId="25791D50" w14:textId="5C6344C2">
      <w:pPr>
        <w:pStyle w:val="Standard"/>
      </w:pPr>
      <w:r>
        <w:t xml:space="preserve">With the growth of </w:t>
      </w:r>
      <w:r w:rsidR="000F349C">
        <w:t>electric vehicle (</w:t>
      </w:r>
      <w:r w:rsidRPr="000F349C" w:rsidR="000F349C">
        <w:t>EV</w:t>
      </w:r>
      <w:r w:rsidR="000F349C">
        <w:t>)</w:t>
      </w:r>
      <w:r w:rsidRPr="000F349C" w:rsidR="000F349C">
        <w:t xml:space="preserve"> adoption, PG&amp;E </w:t>
      </w:r>
      <w:r>
        <w:t>anticipates higher participation</w:t>
      </w:r>
      <w:r w:rsidRPr="000F349C" w:rsidR="000F349C">
        <w:t xml:space="preserve"> in </w:t>
      </w:r>
      <w:r>
        <w:t xml:space="preserve">its </w:t>
      </w:r>
      <w:r w:rsidRPr="000F349C" w:rsidR="000F349C">
        <w:t xml:space="preserve">current </w:t>
      </w:r>
      <w:r w:rsidR="000F349C">
        <w:t>and</w:t>
      </w:r>
      <w:r w:rsidRPr="000F349C" w:rsidR="000F349C">
        <w:t xml:space="preserve"> future EV program</w:t>
      </w:r>
      <w:r>
        <w:t xml:space="preserve">s, along with </w:t>
      </w:r>
      <w:r w:rsidRPr="000F349C" w:rsidR="000F349C">
        <w:t xml:space="preserve">more barriers </w:t>
      </w:r>
      <w:r>
        <w:t xml:space="preserve">to address in supporting </w:t>
      </w:r>
      <w:r w:rsidRPr="000F349C" w:rsidR="000F349C">
        <w:t>transportation electrification.</w:t>
      </w:r>
      <w:r w:rsidR="000F349C">
        <w:rPr>
          <w:rStyle w:val="FootnoteReference"/>
        </w:rPr>
        <w:footnoteReference w:id="45"/>
      </w:r>
      <w:r w:rsidRPr="000F349C" w:rsidR="000F349C">
        <w:t xml:space="preserve"> </w:t>
      </w:r>
      <w:r w:rsidR="00A33671">
        <w:t>According to PG&amp;E, t</w:t>
      </w:r>
      <w:r w:rsidRPr="000F349C" w:rsidR="000F349C">
        <w:t xml:space="preserve">o increase the amount of credits </w:t>
      </w:r>
      <w:r>
        <w:t>and</w:t>
      </w:r>
      <w:r w:rsidRPr="000F349C" w:rsidR="000F349C">
        <w:t xml:space="preserve"> credit revenues to fund the LCFS programs, claiming incremental LCFS Credits through retirement of RECs demonstrate</w:t>
      </w:r>
      <w:r>
        <w:t>s</w:t>
      </w:r>
      <w:r w:rsidRPr="000F349C" w:rsidR="000F349C">
        <w:t xml:space="preserve"> that PG&amp;E is utilizing zero carbon</w:t>
      </w:r>
      <w:r w:rsidR="00E54574">
        <w:noBreakHyphen/>
      </w:r>
      <w:r w:rsidRPr="000F349C" w:rsidR="000F349C">
        <w:t>intensity electricity for EV charging</w:t>
      </w:r>
      <w:r w:rsidR="000F349C">
        <w:t>.</w:t>
      </w:r>
    </w:p>
    <w:p w:rsidR="001104A8" w:rsidP="00F277D4" w:rsidRDefault="001B39CF" w14:paraId="00DF7459" w14:textId="43F878A5">
      <w:pPr>
        <w:pStyle w:val="Standard"/>
      </w:pPr>
      <w:r w:rsidRPr="001B39CF">
        <w:t>PG&amp;E</w:t>
      </w:r>
      <w:r w:rsidR="005A00BE">
        <w:t>’</w:t>
      </w:r>
      <w:r w:rsidRPr="001B39CF">
        <w:t>s request is reasonable and approved. PG&amp;E may retire RECs for LC</w:t>
      </w:r>
      <w:r w:rsidR="001301F4">
        <w:t>FS</w:t>
      </w:r>
      <w:r w:rsidRPr="001B39CF">
        <w:t xml:space="preserve"> credits from either the PCIA</w:t>
      </w:r>
      <w:r w:rsidR="00E54574">
        <w:noBreakHyphen/>
      </w:r>
      <w:r w:rsidRPr="001B39CF">
        <w:t>eligible portfolio or its own shares of Voluntary Allocations, or both.</w:t>
      </w:r>
    </w:p>
    <w:p w:rsidR="003172AD" w:rsidP="00F277D4" w:rsidRDefault="00564B86" w14:paraId="368C0234" w14:textId="73C59C80">
      <w:pPr>
        <w:pStyle w:val="Heading3"/>
      </w:pPr>
      <w:bookmarkStart w:name="_Toc212716145" w:id="56"/>
      <w:bookmarkStart w:name="_Toc214004349" w:id="57"/>
      <w:r>
        <w:t xml:space="preserve">Deficiencies </w:t>
      </w:r>
      <w:r w:rsidR="00141A08">
        <w:t xml:space="preserve">in </w:t>
      </w:r>
      <w:r w:rsidRPr="009E01F1" w:rsidR="009E01F1">
        <w:t>Pacific Gas and</w:t>
      </w:r>
      <w:r w:rsidR="00E5052A">
        <w:br/>
      </w:r>
      <w:r w:rsidRPr="009E01F1" w:rsidR="009E01F1">
        <w:t>Electric Company</w:t>
      </w:r>
      <w:r w:rsidR="005A00BE">
        <w:t>’</w:t>
      </w:r>
      <w:r w:rsidR="00141A08">
        <w:t xml:space="preserve">s Draft 2025 </w:t>
      </w:r>
      <w:r w:rsidRPr="00C55273" w:rsidR="009E01F1">
        <w:t>Renewables Portfolio Standard</w:t>
      </w:r>
      <w:r w:rsidR="00141A08">
        <w:t xml:space="preserve"> Plan</w:t>
      </w:r>
      <w:bookmarkEnd w:id="56"/>
      <w:bookmarkEnd w:id="57"/>
    </w:p>
    <w:p w:rsidR="00F023E7" w:rsidP="00F277D4" w:rsidRDefault="003172AD" w14:paraId="2CC96469" w14:textId="1112DDD6">
      <w:pPr>
        <w:pStyle w:val="Standard"/>
      </w:pPr>
      <w:r w:rsidRPr="003172AD">
        <w:t>PG&amp;E</w:t>
      </w:r>
      <w:r w:rsidR="005A00BE">
        <w:t>’</w:t>
      </w:r>
      <w:r w:rsidRPr="003172AD">
        <w:t xml:space="preserve">s Draft </w:t>
      </w:r>
      <w:r w:rsidR="00950E04">
        <w:t>2025 RPS</w:t>
      </w:r>
      <w:r w:rsidRPr="003172AD">
        <w:t xml:space="preserve"> Plan meets the requirements of the 202</w:t>
      </w:r>
      <w:r>
        <w:t>5</w:t>
      </w:r>
      <w:r w:rsidRPr="003172AD">
        <w:t xml:space="preserve"> ACR</w:t>
      </w:r>
      <w:r w:rsidR="005A75D1">
        <w:t xml:space="preserve"> except for </w:t>
      </w:r>
      <w:r w:rsidR="001C25EC">
        <w:t xml:space="preserve">an </w:t>
      </w:r>
      <w:r w:rsidR="00BD12D2">
        <w:t>inconsistency</w:t>
      </w:r>
      <w:r w:rsidR="001C25EC">
        <w:t xml:space="preserve"> identified in</w:t>
      </w:r>
      <w:r w:rsidRPr="00FF046A" w:rsidR="00BD12D2">
        <w:rPr>
          <w:i/>
          <w:iCs/>
        </w:rPr>
        <w:t xml:space="preserve"> </w:t>
      </w:r>
      <w:r w:rsidR="009850E3">
        <w:t>Section </w:t>
      </w:r>
      <w:r w:rsidRPr="00A93F57" w:rsidR="00FF046A">
        <w:t>V</w:t>
      </w:r>
      <w:r w:rsidR="006319D7">
        <w:t xml:space="preserve"> (</w:t>
      </w:r>
      <w:r w:rsidRPr="00A93F57" w:rsidR="00FF046A">
        <w:t>Project Development Status Update</w:t>
      </w:r>
      <w:r w:rsidR="006319D7">
        <w:t>)</w:t>
      </w:r>
      <w:r w:rsidRPr="00FF046A" w:rsidR="00FF046A">
        <w:t xml:space="preserve"> </w:t>
      </w:r>
      <w:r w:rsidR="00BD12D2">
        <w:t xml:space="preserve">of its </w:t>
      </w:r>
      <w:r w:rsidR="001C25EC">
        <w:t xml:space="preserve">Draft </w:t>
      </w:r>
      <w:r w:rsidR="00950E04">
        <w:t>2025 RPS</w:t>
      </w:r>
      <w:r w:rsidR="001C25EC">
        <w:t xml:space="preserve"> </w:t>
      </w:r>
      <w:r w:rsidR="00BD12D2">
        <w:t>Plan.</w:t>
      </w:r>
    </w:p>
    <w:p w:rsidR="002A1E71" w:rsidP="00F277D4" w:rsidRDefault="002741D7" w14:paraId="6CA78CE1" w14:textId="645C91CA">
      <w:pPr>
        <w:pStyle w:val="Standard"/>
      </w:pPr>
      <w:r>
        <w:lastRenderedPageBreak/>
        <w:t>In PG&amp;E</w:t>
      </w:r>
      <w:r w:rsidR="005A00BE">
        <w:t>’</w:t>
      </w:r>
      <w:r>
        <w:t xml:space="preserve">s Draft </w:t>
      </w:r>
      <w:r w:rsidR="00950E04">
        <w:t>2025 RPS</w:t>
      </w:r>
      <w:r>
        <w:t xml:space="preserve"> Plan, u</w:t>
      </w:r>
      <w:r w:rsidR="005A75D1">
        <w:t xml:space="preserve">nder </w:t>
      </w:r>
      <w:r w:rsidR="009850E3">
        <w:t>Section </w:t>
      </w:r>
      <w:r w:rsidRPr="00056330" w:rsidR="005A75D1">
        <w:t>V</w:t>
      </w:r>
      <w:r w:rsidR="006319D7">
        <w:t xml:space="preserve"> (</w:t>
      </w:r>
      <w:r w:rsidRPr="00056330" w:rsidR="005A75D1">
        <w:t>Project Development Status Update</w:t>
      </w:r>
      <w:r w:rsidR="006319D7">
        <w:t>)</w:t>
      </w:r>
      <w:r w:rsidR="00D27C00">
        <w:t xml:space="preserve"> </w:t>
      </w:r>
      <w:r w:rsidR="005A75D1">
        <w:t>t</w:t>
      </w:r>
      <w:r w:rsidRPr="002A1E71" w:rsidR="002A1E71">
        <w:t xml:space="preserve">he Commercial Online Dates (CODs) for the Camptonville </w:t>
      </w:r>
      <w:r w:rsidR="00971806">
        <w:t>Biopower 1</w:t>
      </w:r>
      <w:r w:rsidRPr="002A1E71" w:rsidR="002A1E71">
        <w:t xml:space="preserve"> project do not match between the </w:t>
      </w:r>
      <w:r w:rsidR="004328A6">
        <w:t>Excel</w:t>
      </w:r>
      <w:r w:rsidRPr="002A1E71" w:rsidR="002A1E71">
        <w:t xml:space="preserve"> file version of the PDSU template, the PDSU template attached to the RPS Plan as </w:t>
      </w:r>
      <w:r w:rsidR="006876C0">
        <w:t>Appendix </w:t>
      </w:r>
      <w:r w:rsidRPr="002A1E71" w:rsidR="002A1E71">
        <w:t xml:space="preserve">P, and </w:t>
      </w:r>
      <w:r w:rsidR="00F920D3">
        <w:t>Table </w:t>
      </w:r>
      <w:r w:rsidRPr="002A1E71" w:rsidR="002A1E71">
        <w:t>5</w:t>
      </w:r>
      <w:r w:rsidR="00E54574">
        <w:noBreakHyphen/>
      </w:r>
      <w:r w:rsidRPr="002A1E71" w:rsidR="002A1E71">
        <w:t>1 of the RPS Plans narrative. In addition, the Project Notes cell (</w:t>
      </w:r>
      <w:r w:rsidR="004328A6">
        <w:t>column </w:t>
      </w:r>
      <w:r w:rsidRPr="002A1E71" w:rsidR="002A1E71">
        <w:t xml:space="preserve">W) of the </w:t>
      </w:r>
      <w:r w:rsidR="004328A6">
        <w:t>Excel</w:t>
      </w:r>
      <w:r w:rsidRPr="002A1E71" w:rsidR="002A1E71">
        <w:t xml:space="preserve"> file version of the PDSU </w:t>
      </w:r>
      <w:r w:rsidR="00FA7505">
        <w:t>includes notes</w:t>
      </w:r>
      <w:r w:rsidRPr="002A1E71" w:rsidR="002A1E71">
        <w:t xml:space="preserve"> for the Camptonville </w:t>
      </w:r>
      <w:r w:rsidR="00971806">
        <w:t>Biopower 1</w:t>
      </w:r>
      <w:r w:rsidRPr="002A1E71" w:rsidR="002A1E71">
        <w:t xml:space="preserve"> project</w:t>
      </w:r>
      <w:r w:rsidR="00FA7505">
        <w:t xml:space="preserve">, </w:t>
      </w:r>
      <w:r w:rsidRPr="002A1E71" w:rsidR="002A1E71">
        <w:t xml:space="preserve">while the Project Notes cell of the PDSU in </w:t>
      </w:r>
      <w:r w:rsidR="006876C0">
        <w:t>Appendix </w:t>
      </w:r>
      <w:r w:rsidRPr="002A1E71" w:rsidR="002A1E71">
        <w:t xml:space="preserve">P is blank. These CODs and project notes should be clarified, and PG&amp;E </w:t>
      </w:r>
      <w:r w:rsidR="00FF046A">
        <w:t>must</w:t>
      </w:r>
      <w:r w:rsidRPr="002A1E71" w:rsidR="002A1E71">
        <w:t xml:space="preserve"> </w:t>
      </w:r>
      <w:r w:rsidR="00FF046A">
        <w:t>ensure</w:t>
      </w:r>
      <w:r w:rsidRPr="002A1E71" w:rsidR="002A1E71">
        <w:t xml:space="preserve"> that the information provided in </w:t>
      </w:r>
      <w:r w:rsidR="009850E3">
        <w:t>Section </w:t>
      </w:r>
      <w:r w:rsidRPr="002A1E71" w:rsidR="002A1E71">
        <w:t xml:space="preserve">V of the RPS Plan narrative, the PDSU </w:t>
      </w:r>
      <w:r w:rsidRPr="002A1E71" w:rsidR="004328A6">
        <w:t xml:space="preserve">Excel </w:t>
      </w:r>
      <w:r w:rsidRPr="002A1E71" w:rsidR="002A1E71">
        <w:t xml:space="preserve">file, and the PDSU in </w:t>
      </w:r>
      <w:r w:rsidR="006876C0">
        <w:t>Appendix </w:t>
      </w:r>
      <w:r w:rsidRPr="002A1E71" w:rsidR="002A1E71">
        <w:t xml:space="preserve">P </w:t>
      </w:r>
      <w:r w:rsidR="00FA7505">
        <w:t>is consistent</w:t>
      </w:r>
      <w:r w:rsidRPr="002A1E71" w:rsidR="002A1E71">
        <w:t xml:space="preserve"> and up to date.</w:t>
      </w:r>
    </w:p>
    <w:p w:rsidR="001C4D24" w:rsidP="00F277D4" w:rsidRDefault="001C4D24" w14:paraId="017B60F0" w14:textId="2B8ED590">
      <w:pPr>
        <w:pStyle w:val="Standard"/>
      </w:pPr>
      <w:r>
        <w:t>P</w:t>
      </w:r>
      <w:r w:rsidRPr="001C4D24">
        <w:t>G&amp;E must correct th</w:t>
      </w:r>
      <w:r w:rsidR="005D519B">
        <w:t xml:space="preserve">e inconsistencies </w:t>
      </w:r>
      <w:r w:rsidR="00EC03C3">
        <w:t xml:space="preserve">described above </w:t>
      </w:r>
      <w:r w:rsidRPr="001C4D24">
        <w:t xml:space="preserve">in its </w:t>
      </w:r>
      <w:r w:rsidR="00425679">
        <w:t>F</w:t>
      </w:r>
      <w:r w:rsidRPr="001C4D24">
        <w:t xml:space="preserve">inal </w:t>
      </w:r>
      <w:r w:rsidR="00950E04">
        <w:t>2025 RPS</w:t>
      </w:r>
      <w:r w:rsidRPr="001C4D24">
        <w:t xml:space="preserve"> Plan.</w:t>
      </w:r>
    </w:p>
    <w:p w:rsidR="00857ABB" w:rsidP="00F277D4" w:rsidRDefault="002A03CD" w14:paraId="67E55B34" w14:textId="63C44AF5">
      <w:pPr>
        <w:pStyle w:val="Heading2"/>
      </w:pPr>
      <w:bookmarkStart w:name="_Toc212716146" w:id="58"/>
      <w:bookmarkStart w:name="_Toc214004350" w:id="59"/>
      <w:r w:rsidRPr="002A03CD">
        <w:t>Southern California Edison Company</w:t>
      </w:r>
      <w:r w:rsidR="005A00BE">
        <w:t>’</w:t>
      </w:r>
      <w:r w:rsidR="00857ABB">
        <w:t xml:space="preserve">s Draft </w:t>
      </w:r>
      <w:r w:rsidR="00345E0A">
        <w:t xml:space="preserve">2025 </w:t>
      </w:r>
      <w:r w:rsidRPr="00C55273" w:rsidR="009E01F1">
        <w:t>Renewables Portfolio Standard</w:t>
      </w:r>
      <w:r w:rsidR="00857ABB">
        <w:t xml:space="preserve"> Plan</w:t>
      </w:r>
      <w:bookmarkEnd w:id="58"/>
      <w:bookmarkEnd w:id="59"/>
    </w:p>
    <w:p w:rsidR="00857ABB" w:rsidP="00F277D4" w:rsidRDefault="00AA0168" w14:paraId="0FE218A1" w14:textId="140C208B">
      <w:pPr>
        <w:pStyle w:val="Standard"/>
      </w:pPr>
      <w:r w:rsidRPr="00AA0168">
        <w:t>SCE</w:t>
      </w:r>
      <w:r w:rsidR="005A00BE">
        <w:t>’</w:t>
      </w:r>
      <w:r w:rsidRPr="00AA0168">
        <w:t xml:space="preserve">s updated Draft </w:t>
      </w:r>
      <w:r w:rsidR="00950E04">
        <w:t>2025 RPS</w:t>
      </w:r>
      <w:r w:rsidRPr="00AA0168">
        <w:t xml:space="preserve"> Plan contains all the required elements listed in </w:t>
      </w:r>
      <w:r w:rsidR="00F920D3">
        <w:t>Table 1</w:t>
      </w:r>
      <w:r w:rsidRPr="00AA0168">
        <w:t xml:space="preserve"> of the 202</w:t>
      </w:r>
      <w:r w:rsidR="003708DA">
        <w:t>5</w:t>
      </w:r>
      <w:r w:rsidRPr="00AA0168">
        <w:t xml:space="preserve"> ACR. SCE</w:t>
      </w:r>
      <w:r w:rsidR="005A00BE">
        <w:t>’</w:t>
      </w:r>
      <w:r w:rsidRPr="00AA0168">
        <w:t xml:space="preserve">s updated Draft </w:t>
      </w:r>
      <w:r w:rsidR="00950E04">
        <w:t>2025 RPS</w:t>
      </w:r>
      <w:r w:rsidRPr="00AA0168">
        <w:t xml:space="preserve"> Plan is approved with modifications. SCE must seek Commission approval of any RPS contracts consistent with existing procedures by submitting a </w:t>
      </w:r>
      <w:r w:rsidR="00AF70D1">
        <w:t>Tier 3</w:t>
      </w:r>
      <w:r w:rsidRPr="00AA0168">
        <w:t xml:space="preserve"> or </w:t>
      </w:r>
      <w:r w:rsidR="00AF70D1">
        <w:t>Tier 1</w:t>
      </w:r>
      <w:r w:rsidRPr="00AA0168">
        <w:t xml:space="preserve"> Advice Letter.</w:t>
      </w:r>
    </w:p>
    <w:p w:rsidR="00F023E7" w:rsidP="00F277D4" w:rsidRDefault="009235ED" w14:paraId="28023615" w14:textId="12486CD2">
      <w:pPr>
        <w:pStyle w:val="Standard"/>
      </w:pPr>
      <w:r>
        <w:t xml:space="preserve">In its Draft </w:t>
      </w:r>
      <w:r w:rsidR="00950E04">
        <w:t>2025 RPS</w:t>
      </w:r>
      <w:r>
        <w:t xml:space="preserve"> Plan, </w:t>
      </w:r>
      <w:r w:rsidR="00AC3B6D">
        <w:t xml:space="preserve">SCE </w:t>
      </w:r>
      <w:r w:rsidR="000B06B7">
        <w:t>forecasts a</w:t>
      </w:r>
      <w:r w:rsidR="00AC3B6D">
        <w:t xml:space="preserve"> need </w:t>
      </w:r>
      <w:r w:rsidR="000B06B7">
        <w:t xml:space="preserve">for </w:t>
      </w:r>
      <w:r w:rsidR="00AC3B6D">
        <w:t xml:space="preserve">additional </w:t>
      </w:r>
      <w:r w:rsidR="000B06B7">
        <w:t>RPS</w:t>
      </w:r>
      <w:r w:rsidR="00E54574">
        <w:noBreakHyphen/>
      </w:r>
      <w:r w:rsidR="000B06B7">
        <w:t>eligible resources</w:t>
      </w:r>
      <w:r w:rsidR="00AC3B6D">
        <w:t>.</w:t>
      </w:r>
      <w:r w:rsidR="00EE5E35">
        <w:t xml:space="preserve"> </w:t>
      </w:r>
      <w:r w:rsidR="00AC3B6D">
        <w:t>According to SCE</w:t>
      </w:r>
      <w:r w:rsidR="005A00BE">
        <w:t>’</w:t>
      </w:r>
      <w:r w:rsidR="00AC3B6D">
        <w:t>s deterministic analysis, SCE will need to procure 17,748</w:t>
      </w:r>
      <w:r w:rsidR="006446E7">
        <w:t> </w:t>
      </w:r>
      <w:r w:rsidRPr="00FD69E7" w:rsidR="006446E7">
        <w:rPr>
          <w:rFonts w:eastAsia="Calibri" w:cs="Calibri"/>
          <w:szCs w:val="24"/>
        </w:rPr>
        <w:t>gigawatt</w:t>
      </w:r>
      <w:r w:rsidR="00E54574">
        <w:rPr>
          <w:rFonts w:eastAsia="Calibri" w:cs="Calibri"/>
          <w:szCs w:val="24"/>
        </w:rPr>
        <w:noBreakHyphen/>
      </w:r>
      <w:r w:rsidRPr="00FD69E7" w:rsidR="006446E7">
        <w:rPr>
          <w:rFonts w:eastAsia="Calibri" w:cs="Calibri"/>
          <w:szCs w:val="24"/>
        </w:rPr>
        <w:t>hours</w:t>
      </w:r>
      <w:r w:rsidR="006446E7">
        <w:rPr>
          <w:rFonts w:eastAsia="Calibri" w:cs="Calibri"/>
          <w:szCs w:val="24"/>
        </w:rPr>
        <w:t xml:space="preserve"> (</w:t>
      </w:r>
      <w:r w:rsidR="00AC3B6D">
        <w:t>GWh</w:t>
      </w:r>
      <w:r w:rsidR="006446E7">
        <w:t>)</w:t>
      </w:r>
      <w:r w:rsidR="00AC3B6D">
        <w:t xml:space="preserve"> by the end of </w:t>
      </w:r>
      <w:r w:rsidR="00A3776A">
        <w:t>the compliance period 2028</w:t>
      </w:r>
      <w:r w:rsidR="00E54574">
        <w:noBreakHyphen/>
      </w:r>
      <w:r w:rsidR="00A3776A">
        <w:t>2030 (</w:t>
      </w:r>
      <w:r w:rsidR="00412BD7">
        <w:t>CP </w:t>
      </w:r>
      <w:r w:rsidR="00AC3B6D">
        <w:t>6</w:t>
      </w:r>
      <w:r w:rsidR="00A3776A">
        <w:t>)</w:t>
      </w:r>
      <w:r w:rsidR="00AC3B6D">
        <w:t xml:space="preserve"> to meet its </w:t>
      </w:r>
      <w:r w:rsidR="00412BD7">
        <w:t>CP </w:t>
      </w:r>
      <w:r w:rsidR="00AC3B6D">
        <w:t>6 RPS compliance requirements.</w:t>
      </w:r>
      <w:r w:rsidR="00AC3B6D">
        <w:rPr>
          <w:rStyle w:val="FootnoteReference"/>
        </w:rPr>
        <w:footnoteReference w:id="46"/>
      </w:r>
      <w:r w:rsidR="00AC3B6D">
        <w:t xml:space="preserve"> </w:t>
      </w:r>
      <w:r w:rsidR="00507740">
        <w:t>I</w:t>
      </w:r>
      <w:r w:rsidRPr="00507740" w:rsidR="00507740">
        <w:t xml:space="preserve">f </w:t>
      </w:r>
      <w:r w:rsidR="00507740">
        <w:t>SCE</w:t>
      </w:r>
      <w:r w:rsidRPr="00507740" w:rsidR="00507740">
        <w:t xml:space="preserve"> takes into account high levels of uncertainty around load growth and generation output that is </w:t>
      </w:r>
      <w:r w:rsidRPr="00507740" w:rsidR="00507740">
        <w:lastRenderedPageBreak/>
        <w:t xml:space="preserve">expected to change as </w:t>
      </w:r>
      <w:r w:rsidR="00412BD7">
        <w:t>CP </w:t>
      </w:r>
      <w:r w:rsidRPr="00507740" w:rsidR="00507740">
        <w:t>6 gets closer in time</w:t>
      </w:r>
      <w:r w:rsidR="00507740">
        <w:t>,</w:t>
      </w:r>
      <w:r w:rsidRPr="00507740" w:rsidR="00507740">
        <w:t xml:space="preserve"> </w:t>
      </w:r>
      <w:r w:rsidR="00507740">
        <w:t>it</w:t>
      </w:r>
      <w:r w:rsidR="00AC3B6D">
        <w:t xml:space="preserve"> </w:t>
      </w:r>
      <w:r w:rsidR="00591C0C">
        <w:t>may need to procure up to 29,400</w:t>
      </w:r>
      <w:r w:rsidR="006446E7">
        <w:t> GWh</w:t>
      </w:r>
      <w:r w:rsidR="00591C0C">
        <w:t xml:space="preserve"> by the end of</w:t>
      </w:r>
      <w:r w:rsidR="00507740">
        <w:t xml:space="preserve"> 2030</w:t>
      </w:r>
      <w:r w:rsidR="00AC3B6D">
        <w:t>.</w:t>
      </w:r>
      <w:r w:rsidR="00AC3B6D">
        <w:rPr>
          <w:rStyle w:val="FootnoteReference"/>
        </w:rPr>
        <w:footnoteReference w:id="47"/>
      </w:r>
      <w:r w:rsidR="00A904A8">
        <w:t xml:space="preserve"> </w:t>
      </w:r>
      <w:r w:rsidR="00507740">
        <w:t xml:space="preserve">This analysis </w:t>
      </w:r>
      <w:r w:rsidRPr="00F86766" w:rsidR="00F86766">
        <w:t>includes the</w:t>
      </w:r>
      <w:r w:rsidR="00F86766">
        <w:t xml:space="preserve"> </w:t>
      </w:r>
      <w:r w:rsidRPr="00F86766" w:rsidR="00F86766">
        <w:t xml:space="preserve">executed contracts </w:t>
      </w:r>
      <w:r w:rsidR="00591C0C">
        <w:t xml:space="preserve">SCE </w:t>
      </w:r>
      <w:r w:rsidR="00F86766">
        <w:t>has signed to meet</w:t>
      </w:r>
      <w:r w:rsidR="00591C0C">
        <w:t xml:space="preserve"> its IRP MTR procurement requirements</w:t>
      </w:r>
      <w:r w:rsidR="00F86766">
        <w:t>. These contracts will</w:t>
      </w:r>
      <w:r w:rsidR="00591C0C">
        <w:t xml:space="preserve"> provide 5,200</w:t>
      </w:r>
      <w:r w:rsidR="006446E7">
        <w:t> GWh</w:t>
      </w:r>
      <w:r w:rsidR="00591C0C">
        <w:t xml:space="preserve"> of RECs in </w:t>
      </w:r>
      <w:r w:rsidR="00412BD7">
        <w:t>CP </w:t>
      </w:r>
      <w:r w:rsidR="00591C0C">
        <w:t>5 and 16,200</w:t>
      </w:r>
      <w:r w:rsidR="006446E7">
        <w:t> GWh</w:t>
      </w:r>
      <w:r w:rsidR="00591C0C">
        <w:t xml:space="preserve"> of RECs in </w:t>
      </w:r>
      <w:r w:rsidR="00412BD7">
        <w:t>CP </w:t>
      </w:r>
      <w:r w:rsidR="00591C0C">
        <w:t>6</w:t>
      </w:r>
      <w:r w:rsidR="00A904A8">
        <w:t>.</w:t>
      </w:r>
      <w:r w:rsidR="00A904A8">
        <w:rPr>
          <w:rStyle w:val="FootnoteReference"/>
        </w:rPr>
        <w:footnoteReference w:id="48"/>
      </w:r>
    </w:p>
    <w:p w:rsidR="00F023E7" w:rsidP="00F277D4" w:rsidRDefault="00551663" w14:paraId="22CDB403" w14:textId="46F3A972">
      <w:pPr>
        <w:pStyle w:val="Standard"/>
      </w:pPr>
      <w:r>
        <w:t xml:space="preserve">The </w:t>
      </w:r>
      <w:r w:rsidR="00985619">
        <w:t>main</w:t>
      </w:r>
      <w:r w:rsidR="00591C0C">
        <w:t xml:space="preserve"> factor affecting </w:t>
      </w:r>
      <w:r>
        <w:t>SCE</w:t>
      </w:r>
      <w:r w:rsidR="005A00BE">
        <w:t>’</w:t>
      </w:r>
      <w:r>
        <w:t>s</w:t>
      </w:r>
      <w:r w:rsidR="00591C0C">
        <w:t xml:space="preserve"> RPS position</w:t>
      </w:r>
      <w:r>
        <w:t xml:space="preserve"> is the change in annual energy demand. </w:t>
      </w:r>
      <w:r w:rsidR="001B183C">
        <w:t>SCE reports that its</w:t>
      </w:r>
      <w:r w:rsidR="00591C0C">
        <w:t xml:space="preserve"> First Quarter 2025 bundled sales forecast </w:t>
      </w:r>
      <w:r w:rsidR="00985619">
        <w:t>reflects an average</w:t>
      </w:r>
      <w:r w:rsidR="00591C0C">
        <w:t xml:space="preserve"> 5.8</w:t>
      </w:r>
      <w:r w:rsidR="008C0F68">
        <w:t> percent</w:t>
      </w:r>
      <w:r w:rsidR="00591C0C">
        <w:t xml:space="preserve"> </w:t>
      </w:r>
      <w:r w:rsidR="00985619">
        <w:t>increase in</w:t>
      </w:r>
      <w:r w:rsidR="00591C0C">
        <w:t xml:space="preserve"> annual energy demand between 2025 and 2035 </w:t>
      </w:r>
      <w:r w:rsidR="00985619">
        <w:t>compared to</w:t>
      </w:r>
      <w:r w:rsidR="00591C0C">
        <w:t xml:space="preserve"> the previous forecast used in last year</w:t>
      </w:r>
      <w:r w:rsidR="005A00BE">
        <w:t>’</w:t>
      </w:r>
      <w:r w:rsidR="00591C0C">
        <w:t xml:space="preserve">s </w:t>
      </w:r>
      <w:r w:rsidR="00985619">
        <w:t>p</w:t>
      </w:r>
      <w:r w:rsidR="00591C0C">
        <w:t>lan. F</w:t>
      </w:r>
      <w:r w:rsidR="00985619">
        <w:t>or the years</w:t>
      </w:r>
      <w:r w:rsidR="00591C0C">
        <w:t xml:space="preserve"> 2028 t</w:t>
      </w:r>
      <w:r w:rsidR="00985619">
        <w:t>hrough</w:t>
      </w:r>
      <w:r w:rsidR="00591C0C">
        <w:t xml:space="preserve"> 2031, the bundled sales forecast is about 5.3</w:t>
      </w:r>
      <w:r w:rsidR="008C0F68">
        <w:t> percent</w:t>
      </w:r>
      <w:r w:rsidR="00591C0C">
        <w:t xml:space="preserve"> higher </w:t>
      </w:r>
      <w:r w:rsidR="00985619">
        <w:t>each year</w:t>
      </w:r>
      <w:r w:rsidR="00591C0C">
        <w:t xml:space="preserve"> than the prior forecast.</w:t>
      </w:r>
      <w:r>
        <w:rPr>
          <w:rStyle w:val="FootnoteReference"/>
        </w:rPr>
        <w:footnoteReference w:id="49"/>
      </w:r>
      <w:r w:rsidR="00591C0C">
        <w:t xml:space="preserve"> </w:t>
      </w:r>
      <w:r>
        <w:t>According to SCE, t</w:t>
      </w:r>
      <w:r w:rsidR="00591C0C">
        <w:t xml:space="preserve">his increase is driven by data center load and lower solar PV generation due to updated cost estimates, </w:t>
      </w:r>
      <w:r>
        <w:t xml:space="preserve">and the </w:t>
      </w:r>
      <w:r w:rsidR="00591C0C">
        <w:t>City of Huntington Beach</w:t>
      </w:r>
      <w:r>
        <w:t xml:space="preserve"> </w:t>
      </w:r>
      <w:r w:rsidR="00591C0C">
        <w:t>revert</w:t>
      </w:r>
      <w:r w:rsidR="00056C30">
        <w:t>ing</w:t>
      </w:r>
      <w:r w:rsidR="00591C0C">
        <w:t xml:space="preserve"> to bundled service with SCE</w:t>
      </w:r>
      <w:r>
        <w:t>.</w:t>
      </w:r>
      <w:r>
        <w:rPr>
          <w:rStyle w:val="FootnoteReference"/>
        </w:rPr>
        <w:footnoteReference w:id="50"/>
      </w:r>
    </w:p>
    <w:p w:rsidR="00F023E7" w:rsidP="00F277D4" w:rsidRDefault="00DE5973" w14:paraId="63F3004E" w14:textId="6FE2D3DB">
      <w:pPr>
        <w:pStyle w:val="Standard"/>
      </w:pPr>
      <w:r>
        <w:t>SCE intends to meet its RPS compliance requirements by p</w:t>
      </w:r>
      <w:r w:rsidR="00591C0C">
        <w:t>rocur</w:t>
      </w:r>
      <w:r>
        <w:t xml:space="preserve">ing </w:t>
      </w:r>
      <w:r w:rsidR="00591C0C">
        <w:t>additional RPS</w:t>
      </w:r>
      <w:r w:rsidR="00E54574">
        <w:noBreakHyphen/>
      </w:r>
      <w:r w:rsidR="002E7EA3">
        <w:t>eligible resources</w:t>
      </w:r>
      <w:r w:rsidR="00591C0C">
        <w:t xml:space="preserve"> through its Clean Energy </w:t>
      </w:r>
      <w:r w:rsidR="000A3DD0">
        <w:t>Request for Offers (</w:t>
      </w:r>
      <w:r w:rsidR="00591C0C">
        <w:t>RFOs</w:t>
      </w:r>
      <w:r w:rsidR="000A3DD0">
        <w:t>)</w:t>
      </w:r>
      <w:r w:rsidR="00591C0C">
        <w:t xml:space="preserve"> (for IRP), RPS solicitations, and bilateral</w:t>
      </w:r>
      <w:r w:rsidR="006C7009">
        <w:t xml:space="preserve"> negotiations</w:t>
      </w:r>
      <w:r w:rsidR="00B00E79">
        <w:t>.</w:t>
      </w:r>
      <w:r w:rsidR="00B00E79">
        <w:rPr>
          <w:rStyle w:val="FootnoteReference"/>
        </w:rPr>
        <w:footnoteReference w:id="51"/>
      </w:r>
      <w:r w:rsidR="006C7009">
        <w:t xml:space="preserve"> </w:t>
      </w:r>
      <w:r w:rsidR="00591C0C">
        <w:t>Procur</w:t>
      </w:r>
      <w:r w:rsidR="00B00E79">
        <w:t>ing</w:t>
      </w:r>
      <w:r w:rsidR="00591C0C">
        <w:t xml:space="preserve"> both new and existing RPS resources, as well as </w:t>
      </w:r>
      <w:r w:rsidR="00F1698A">
        <w:t>Portfolio Content Category (</w:t>
      </w:r>
      <w:r w:rsidR="00591C0C">
        <w:t>PCC</w:t>
      </w:r>
      <w:r w:rsidR="00F1698A">
        <w:t>)</w:t>
      </w:r>
      <w:r w:rsidR="0044066D">
        <w:t> </w:t>
      </w:r>
      <w:r w:rsidR="00591C0C">
        <w:t xml:space="preserve">1, </w:t>
      </w:r>
      <w:r w:rsidR="00521801">
        <w:t>PCC </w:t>
      </w:r>
      <w:r w:rsidR="00591C0C">
        <w:t xml:space="preserve">2, </w:t>
      </w:r>
      <w:r w:rsidR="00521801">
        <w:t>PCC </w:t>
      </w:r>
      <w:r w:rsidR="00591C0C">
        <w:t xml:space="preserve">3 RECs, </w:t>
      </w:r>
      <w:r w:rsidR="00B00E79">
        <w:t xml:space="preserve">will </w:t>
      </w:r>
      <w:r w:rsidR="00591C0C">
        <w:t xml:space="preserve">provide </w:t>
      </w:r>
      <w:r w:rsidR="00931DC3">
        <w:t xml:space="preserve">SCE </w:t>
      </w:r>
      <w:r w:rsidR="00591C0C">
        <w:t xml:space="preserve">flexibility to meet </w:t>
      </w:r>
      <w:r w:rsidR="00A63BDF">
        <w:t xml:space="preserve">its </w:t>
      </w:r>
      <w:r w:rsidR="00591C0C">
        <w:t>RPS targets</w:t>
      </w:r>
      <w:r w:rsidR="00B00E79">
        <w:t>.</w:t>
      </w:r>
      <w:r w:rsidR="00B00E79">
        <w:rPr>
          <w:rStyle w:val="FootnoteReference"/>
        </w:rPr>
        <w:footnoteReference w:id="52"/>
      </w:r>
    </w:p>
    <w:p w:rsidR="00E40D44" w:rsidP="00F277D4" w:rsidRDefault="006975DE" w14:paraId="6E4F8921" w14:textId="7FD6CF12">
      <w:pPr>
        <w:pStyle w:val="Standard"/>
      </w:pPr>
      <w:r w:rsidRPr="006975DE">
        <w:t xml:space="preserve">As noted in its Draft </w:t>
      </w:r>
      <w:r w:rsidR="00950E04">
        <w:t>2025 RPS</w:t>
      </w:r>
      <w:r w:rsidRPr="006975DE">
        <w:t xml:space="preserve"> Plan, SCE</w:t>
      </w:r>
      <w:r w:rsidR="005A00BE">
        <w:t>’</w:t>
      </w:r>
      <w:r w:rsidRPr="006975DE">
        <w:t>s RPS portfolio costs are expected to average about $2</w:t>
      </w:r>
      <w:r w:rsidR="00DA10C1">
        <w:t>.1</w:t>
      </w:r>
      <w:r w:rsidR="00D16F18">
        <w:t> billion</w:t>
      </w:r>
      <w:r w:rsidRPr="006975DE">
        <w:t xml:space="preserve"> per year during the period 202</w:t>
      </w:r>
      <w:r>
        <w:t>5</w:t>
      </w:r>
      <w:r w:rsidR="00E54574">
        <w:noBreakHyphen/>
      </w:r>
      <w:r w:rsidRPr="006975DE">
        <w:t>203</w:t>
      </w:r>
      <w:r>
        <w:t>5</w:t>
      </w:r>
      <w:r w:rsidRPr="006975DE">
        <w:t>.</w:t>
      </w:r>
      <w:r>
        <w:rPr>
          <w:rStyle w:val="FootnoteReference"/>
        </w:rPr>
        <w:footnoteReference w:id="53"/>
      </w:r>
    </w:p>
    <w:p w:rsidR="00E40D44" w:rsidP="00F277D4" w:rsidRDefault="00E40D44" w14:paraId="66EAAD52" w14:textId="5FF40F7C">
      <w:pPr>
        <w:pStyle w:val="Standard"/>
      </w:pPr>
      <w:r w:rsidRPr="00E40D44">
        <w:lastRenderedPageBreak/>
        <w:t>Overall, the Commission finds SCE</w:t>
      </w:r>
      <w:r w:rsidR="005A00BE">
        <w:t>’</w:t>
      </w:r>
      <w:r w:rsidRPr="00E40D44">
        <w:t>s portfolio management strategy reasonable and approves its RPS Plan as modified. SCE</w:t>
      </w:r>
      <w:r w:rsidR="005A00BE">
        <w:t>’</w:t>
      </w:r>
      <w:r w:rsidRPr="00E40D44">
        <w:t xml:space="preserve">s Draft </w:t>
      </w:r>
      <w:r w:rsidR="00950E04">
        <w:t>2025 RPS</w:t>
      </w:r>
      <w:r w:rsidRPr="00E40D44">
        <w:t xml:space="preserve"> Plan demonstrates a well</w:t>
      </w:r>
      <w:r w:rsidR="00E54574">
        <w:noBreakHyphen/>
      </w:r>
      <w:r w:rsidRPr="00E40D44">
        <w:t>reasoned approach to meet short</w:t>
      </w:r>
      <w:r w:rsidR="00E54574">
        <w:noBreakHyphen/>
      </w:r>
      <w:r w:rsidRPr="00E40D44">
        <w:t xml:space="preserve"> and long</w:t>
      </w:r>
      <w:r w:rsidR="00E54574">
        <w:noBreakHyphen/>
      </w:r>
      <w:r w:rsidRPr="00E40D44">
        <w:t>term RPS requirements. The following sections primarily address SCE</w:t>
      </w:r>
      <w:r w:rsidR="005A00BE">
        <w:t>’</w:t>
      </w:r>
      <w:r w:rsidRPr="00E40D44">
        <w:t>s requests that require Commission approval</w:t>
      </w:r>
      <w:r>
        <w:t>.</w:t>
      </w:r>
    </w:p>
    <w:p w:rsidR="00C26E9A" w:rsidP="00F277D4" w:rsidRDefault="002A03CD" w14:paraId="77B050FD" w14:textId="5A88E621">
      <w:pPr>
        <w:pStyle w:val="Heading3"/>
      </w:pPr>
      <w:bookmarkStart w:name="_Toc212716147" w:id="60"/>
      <w:bookmarkStart w:name="_Toc214004351" w:id="61"/>
      <w:r w:rsidRPr="002A03CD">
        <w:t>Southern California Edison Company</w:t>
      </w:r>
      <w:r w:rsidR="005A00BE">
        <w:t>’</w:t>
      </w:r>
      <w:r w:rsidR="00C26E9A">
        <w:t>s Request</w:t>
      </w:r>
      <w:r w:rsidRPr="00352FD3" w:rsidR="00352FD3">
        <w:t xml:space="preserve"> </w:t>
      </w:r>
      <w:r w:rsidR="00352FD3">
        <w:t>for</w:t>
      </w:r>
      <w:r w:rsidR="00E5052A">
        <w:t xml:space="preserve"> </w:t>
      </w:r>
      <w:r w:rsidRPr="00352FD3" w:rsidR="00352FD3">
        <w:t>Authority</w:t>
      </w:r>
      <w:r w:rsidR="00154D7B">
        <w:t xml:space="preserve"> </w:t>
      </w:r>
      <w:r w:rsidRPr="00352FD3" w:rsidR="00352FD3">
        <w:t xml:space="preserve">to </w:t>
      </w:r>
      <w:r w:rsidR="00352FD3">
        <w:t>P</w:t>
      </w:r>
      <w:r w:rsidRPr="00352FD3" w:rsidR="00352FD3">
        <w:t>rocure</w:t>
      </w:r>
      <w:r w:rsidR="00352FD3">
        <w:t xml:space="preserve"> A</w:t>
      </w:r>
      <w:r w:rsidRPr="00352FD3" w:rsidR="00352FD3">
        <w:t xml:space="preserve">dditional </w:t>
      </w:r>
      <w:r w:rsidRPr="00C55273" w:rsidR="009E01F1">
        <w:t>Renewables Portfolio Standard</w:t>
      </w:r>
      <w:r w:rsidR="00E54574">
        <w:noBreakHyphen/>
      </w:r>
      <w:r w:rsidR="00352FD3">
        <w:t>E</w:t>
      </w:r>
      <w:r w:rsidRPr="00352FD3" w:rsidR="00352FD3">
        <w:t xml:space="preserve">ligible </w:t>
      </w:r>
      <w:r w:rsidR="00352FD3">
        <w:t>R</w:t>
      </w:r>
      <w:r w:rsidRPr="00352FD3" w:rsidR="00352FD3">
        <w:t>esources</w:t>
      </w:r>
      <w:bookmarkEnd w:id="60"/>
      <w:bookmarkEnd w:id="61"/>
    </w:p>
    <w:p w:rsidR="00F023E7" w:rsidP="00F277D4" w:rsidRDefault="00A64F6C" w14:paraId="7C8EC09D" w14:textId="2FCD82E7">
      <w:pPr>
        <w:pStyle w:val="Standard"/>
      </w:pPr>
      <w:r>
        <w:t>SCE requests authority to procure up to 29,400</w:t>
      </w:r>
      <w:r w:rsidR="006446E7">
        <w:t> GWh</w:t>
      </w:r>
      <w:r>
        <w:t xml:space="preserve"> of additional RPS</w:t>
      </w:r>
      <w:r w:rsidR="00E54574">
        <w:noBreakHyphen/>
      </w:r>
      <w:r>
        <w:t>eligible new and existing resources</w:t>
      </w:r>
      <w:r w:rsidR="004057A4">
        <w:t xml:space="preserve"> to meet its </w:t>
      </w:r>
      <w:r w:rsidR="00412BD7">
        <w:t>CP </w:t>
      </w:r>
      <w:r w:rsidR="004057A4">
        <w:t>6 RPS requirements</w:t>
      </w:r>
      <w:r>
        <w:t>.</w:t>
      </w:r>
      <w:r>
        <w:rPr>
          <w:rStyle w:val="FootnoteReference"/>
        </w:rPr>
        <w:footnoteReference w:id="54"/>
      </w:r>
      <w:r>
        <w:t xml:space="preserve"> SCE</w:t>
      </w:r>
      <w:r w:rsidR="00CE2146">
        <w:t xml:space="preserve"> </w:t>
      </w:r>
      <w:r>
        <w:t>support</w:t>
      </w:r>
      <w:r w:rsidR="00CE2146">
        <w:t>s its request</w:t>
      </w:r>
      <w:r>
        <w:t xml:space="preserve"> by </w:t>
      </w:r>
      <w:r w:rsidR="009B048D">
        <w:t>several factors, including the following</w:t>
      </w:r>
      <w:r>
        <w:t>:</w:t>
      </w:r>
    </w:p>
    <w:p w:rsidR="00A64F6C" w:rsidP="000E47E4" w:rsidRDefault="004057A4" w14:paraId="0331C553" w14:textId="7C5FA6CB">
      <w:pPr>
        <w:pStyle w:val="BlockQuoteBullet1"/>
        <w:numPr>
          <w:ilvl w:val="0"/>
          <w:numId w:val="29"/>
        </w:numPr>
      </w:pPr>
      <w:r>
        <w:t>Supply shortage issues</w:t>
      </w:r>
      <w:r w:rsidR="003E785F">
        <w:t xml:space="preserve">, </w:t>
      </w:r>
      <w:r>
        <w:t>uncertainty in new tariffs</w:t>
      </w:r>
      <w:r w:rsidR="003E785F">
        <w:t>,</w:t>
      </w:r>
      <w:r>
        <w:t xml:space="preserve"> and potential reductions in the Inflation Reduction Act (IRA) tax credits </w:t>
      </w:r>
      <w:r w:rsidR="00BA6B3F">
        <w:t xml:space="preserve">available to renewable energy and battery energy storage projects </w:t>
      </w:r>
      <w:r>
        <w:t>have caused significant delays in both resource contracting and resources coming online.</w:t>
      </w:r>
      <w:r>
        <w:rPr>
          <w:rStyle w:val="FootnoteReference"/>
        </w:rPr>
        <w:footnoteReference w:id="55"/>
      </w:r>
    </w:p>
    <w:p w:rsidR="00A64F6C" w:rsidP="001F62B3" w:rsidRDefault="00C62C00" w14:paraId="276BC663" w14:textId="001AD942">
      <w:pPr>
        <w:pStyle w:val="BlockQuoteBullet1"/>
        <w:numPr>
          <w:ilvl w:val="0"/>
          <w:numId w:val="29"/>
        </w:numPr>
      </w:pPr>
      <w:r>
        <w:t xml:space="preserve">As the interconnection requests to </w:t>
      </w:r>
      <w:r w:rsidRPr="00C62C00">
        <w:t>California Independent System Operator</w:t>
      </w:r>
      <w:r>
        <w:t xml:space="preserve"> more than doubles, a</w:t>
      </w:r>
      <w:r w:rsidR="004057A4">
        <w:t xml:space="preserve"> significant number of projects have been delayed in the interconnection queue.</w:t>
      </w:r>
      <w:r w:rsidR="004057A4">
        <w:rPr>
          <w:rStyle w:val="FootnoteReference"/>
        </w:rPr>
        <w:footnoteReference w:id="56"/>
      </w:r>
    </w:p>
    <w:p w:rsidR="00F023E7" w:rsidP="001F62B3" w:rsidRDefault="003E0743" w14:paraId="52F4C403" w14:textId="4F798737">
      <w:pPr>
        <w:pStyle w:val="BlockQuoteBullet1"/>
        <w:numPr>
          <w:ilvl w:val="0"/>
          <w:numId w:val="29"/>
        </w:numPr>
      </w:pPr>
      <w:r>
        <w:t>M</w:t>
      </w:r>
      <w:r w:rsidRPr="003E0743">
        <w:t xml:space="preserve">acroeconomic market changes and electrification </w:t>
      </w:r>
      <w:r>
        <w:t xml:space="preserve">have caused variation in </w:t>
      </w:r>
      <w:r w:rsidR="00C62C00">
        <w:t>SCE</w:t>
      </w:r>
      <w:r w:rsidR="005A00BE">
        <w:t>’</w:t>
      </w:r>
      <w:r w:rsidR="00C62C00">
        <w:t xml:space="preserve">s </w:t>
      </w:r>
      <w:r w:rsidR="00A64F6C">
        <w:t>load and existing renewable generation</w:t>
      </w:r>
      <w:r>
        <w:t>, resulting in</w:t>
      </w:r>
      <w:r w:rsidR="00C62C00">
        <w:t xml:space="preserve"> greater varia</w:t>
      </w:r>
      <w:r>
        <w:t>bility</w:t>
      </w:r>
      <w:r w:rsidR="00C62C00">
        <w:t xml:space="preserve"> in SCE</w:t>
      </w:r>
      <w:r w:rsidR="005A00BE">
        <w:t>’</w:t>
      </w:r>
      <w:r w:rsidR="00C62C00">
        <w:t xml:space="preserve">s RPS </w:t>
      </w:r>
      <w:r w:rsidR="00CE0E37">
        <w:t>position</w:t>
      </w:r>
      <w:r w:rsidR="007D3E33">
        <w:t>.</w:t>
      </w:r>
      <w:r w:rsidR="004853FE">
        <w:rPr>
          <w:rStyle w:val="FootnoteReference"/>
        </w:rPr>
        <w:footnoteReference w:id="57"/>
      </w:r>
    </w:p>
    <w:p w:rsidR="004853FE" w:rsidP="001F62B3" w:rsidRDefault="007D3E33" w14:paraId="5D5990B3" w14:textId="0B804571">
      <w:pPr>
        <w:pStyle w:val="BlockQuoteBullet1"/>
        <w:numPr>
          <w:ilvl w:val="0"/>
          <w:numId w:val="29"/>
        </w:numPr>
      </w:pPr>
      <w:r>
        <w:t xml:space="preserve">There is increasing competition for RECs due to </w:t>
      </w:r>
      <w:r w:rsidR="00E430C8">
        <w:t>retail sellers</w:t>
      </w:r>
      <w:r w:rsidR="00A477F0">
        <w:t xml:space="preserve"> </w:t>
      </w:r>
      <w:r w:rsidR="004853FE">
        <w:t xml:space="preserve">procuring RECs to meet their increasing RPS </w:t>
      </w:r>
      <w:r w:rsidR="004853FE">
        <w:lastRenderedPageBreak/>
        <w:t>compliance targets, and commercial and industrial participants procuring RECs to meet their corporate clean energy targets.</w:t>
      </w:r>
      <w:r w:rsidR="004853FE">
        <w:rPr>
          <w:rStyle w:val="FootnoteReference"/>
        </w:rPr>
        <w:footnoteReference w:id="58"/>
      </w:r>
    </w:p>
    <w:p w:rsidR="00F023E7" w:rsidP="001F62B3" w:rsidRDefault="009B048D" w14:paraId="79BC2CD0" w14:textId="77777777">
      <w:pPr>
        <w:pStyle w:val="BlockQuoteBullet1"/>
        <w:numPr>
          <w:ilvl w:val="0"/>
          <w:numId w:val="29"/>
        </w:numPr>
      </w:pPr>
      <w:r>
        <w:t>There is need to procure a</w:t>
      </w:r>
      <w:r w:rsidR="00A64F6C">
        <w:t>dditional renewables to serve as a buffer to cover risk of project delays and failure</w:t>
      </w:r>
      <w:r>
        <w:t>.</w:t>
      </w:r>
      <w:r>
        <w:rPr>
          <w:rStyle w:val="FootnoteReference"/>
        </w:rPr>
        <w:footnoteReference w:id="59"/>
      </w:r>
    </w:p>
    <w:p w:rsidR="00A64F6C" w:rsidP="001F62B3" w:rsidRDefault="009B048D" w14:paraId="02EACBE6" w14:textId="42DADA04">
      <w:pPr>
        <w:pStyle w:val="BlockQuoteBullet1"/>
        <w:numPr>
          <w:ilvl w:val="0"/>
          <w:numId w:val="29"/>
        </w:numPr>
      </w:pPr>
      <w:r>
        <w:t>Procuring sufficient resources to meet SCE</w:t>
      </w:r>
      <w:r w:rsidR="005A00BE">
        <w:t>’</w:t>
      </w:r>
      <w:r>
        <w:t>s MTR compliance obligations for all categories, including Diablo Canyon Replacement and firm zero</w:t>
      </w:r>
      <w:r w:rsidR="00E54574">
        <w:noBreakHyphen/>
      </w:r>
      <w:r>
        <w:t>emitting, and actively negotiating to meet IRP clean energy requirements through solicitations authorized in the IRP docket is not sufficient for SCE to meet its RPS compliance requirements.</w:t>
      </w:r>
      <w:r>
        <w:rPr>
          <w:rStyle w:val="FootnoteReference"/>
        </w:rPr>
        <w:footnoteReference w:id="60"/>
      </w:r>
    </w:p>
    <w:p w:rsidR="001544B5" w:rsidP="001F62B3" w:rsidRDefault="001544B5" w14:paraId="628235AA" w14:textId="567BA994">
      <w:pPr>
        <w:pStyle w:val="BlockQuoteBullet1"/>
        <w:numPr>
          <w:ilvl w:val="0"/>
          <w:numId w:val="29"/>
        </w:numPr>
      </w:pPr>
      <w:r w:rsidRPr="001544B5">
        <w:t xml:space="preserve">SCE believes it is prudent to start procuring early since there </w:t>
      </w:r>
      <w:r w:rsidRPr="001544B5" w:rsidR="00CD70BD">
        <w:t>are</w:t>
      </w:r>
      <w:r w:rsidRPr="001544B5">
        <w:t xml:space="preserve"> five years left until 2030 when SCE has a procurement need to comply with its </w:t>
      </w:r>
      <w:r w:rsidR="00412BD7">
        <w:t>CP </w:t>
      </w:r>
      <w:r w:rsidRPr="001544B5">
        <w:t>6 RPS goal.</w:t>
      </w:r>
      <w:r w:rsidRPr="001544B5">
        <w:rPr>
          <w:vertAlign w:val="superscript"/>
        </w:rPr>
        <w:footnoteReference w:id="61"/>
      </w:r>
    </w:p>
    <w:p w:rsidR="00F023E7" w:rsidP="00F277D4" w:rsidRDefault="00431BEB" w14:paraId="5CEF4617" w14:textId="199B77D0">
      <w:pPr>
        <w:pStyle w:val="Standard"/>
      </w:pPr>
      <w:r>
        <w:t xml:space="preserve">SCE </w:t>
      </w:r>
      <w:r w:rsidR="00346983">
        <w:t>also expresses</w:t>
      </w:r>
      <w:r>
        <w:t xml:space="preserve"> </w:t>
      </w:r>
      <w:r w:rsidR="00922E73">
        <w:t>a</w:t>
      </w:r>
      <w:r w:rsidR="00346983">
        <w:t xml:space="preserve"> need </w:t>
      </w:r>
      <w:r>
        <w:t xml:space="preserve">for </w:t>
      </w:r>
      <w:r w:rsidR="00A64F6C">
        <w:t>existing resources</w:t>
      </w:r>
      <w:r w:rsidR="00922E73">
        <w:t xml:space="preserve">, as they </w:t>
      </w:r>
      <w:r w:rsidR="00A64F6C">
        <w:t>might be procured at lower cost</w:t>
      </w:r>
      <w:r>
        <w:t>s</w:t>
      </w:r>
      <w:r w:rsidR="00A64F6C">
        <w:t>, are already online and can deliver RECs immediately</w:t>
      </w:r>
      <w:r w:rsidR="00922E73">
        <w:t xml:space="preserve">. Also, these resources </w:t>
      </w:r>
      <w:r w:rsidR="00A64F6C">
        <w:t>are already operationalized within SCE</w:t>
      </w:r>
      <w:r w:rsidR="005A00BE">
        <w:t>’</w:t>
      </w:r>
      <w:r w:rsidR="00A64F6C">
        <w:t xml:space="preserve">s </w:t>
      </w:r>
      <w:r>
        <w:t xml:space="preserve">contract management, settlement, and bidding </w:t>
      </w:r>
      <w:r w:rsidR="00A64F6C">
        <w:t>systems</w:t>
      </w:r>
      <w:r>
        <w:t>.</w:t>
      </w:r>
      <w:r>
        <w:rPr>
          <w:rStyle w:val="FootnoteReference"/>
        </w:rPr>
        <w:footnoteReference w:id="62"/>
      </w:r>
      <w:r w:rsidR="00CE0E37">
        <w:t xml:space="preserve"> </w:t>
      </w:r>
      <w:r w:rsidR="00346983">
        <w:t>Therefore, in SCE</w:t>
      </w:r>
      <w:r w:rsidR="005A00BE">
        <w:t>’</w:t>
      </w:r>
      <w:r w:rsidR="00346983">
        <w:t>s view, e</w:t>
      </w:r>
      <w:r w:rsidR="00CE3A07">
        <w:t xml:space="preserve">xtending or renewing contracts with them </w:t>
      </w:r>
      <w:r w:rsidR="00CE0E37">
        <w:t xml:space="preserve">would </w:t>
      </w:r>
      <w:r w:rsidR="00CE3A07">
        <w:t>reduce</w:t>
      </w:r>
      <w:r w:rsidR="00CE0E37">
        <w:t xml:space="preserve"> </w:t>
      </w:r>
      <w:r w:rsidR="00CE3A07">
        <w:t>risk compared to new projects, which may face development delays or interconnection backlogs.</w:t>
      </w:r>
      <w:r w:rsidR="00CE3A07">
        <w:rPr>
          <w:rStyle w:val="FootnoteReference"/>
        </w:rPr>
        <w:footnoteReference w:id="63"/>
      </w:r>
    </w:p>
    <w:p w:rsidR="00F023E7" w:rsidP="00F277D4" w:rsidRDefault="004D24C7" w14:paraId="368E6269" w14:textId="3F2BB26F">
      <w:pPr>
        <w:pStyle w:val="Standard"/>
      </w:pPr>
      <w:r>
        <w:t>Upon review, the Commission concludes that SCE</w:t>
      </w:r>
      <w:r w:rsidR="005A00BE">
        <w:t>’</w:t>
      </w:r>
      <w:r>
        <w:t xml:space="preserve">s request for additional procurement </w:t>
      </w:r>
      <w:r w:rsidR="008564D1">
        <w:t xml:space="preserve">is adequately justified. </w:t>
      </w:r>
      <w:r w:rsidR="00CE3A07">
        <w:t>In D.24</w:t>
      </w:r>
      <w:r w:rsidR="00E54574">
        <w:noBreakHyphen/>
      </w:r>
      <w:r w:rsidR="00CE3A07">
        <w:t>12</w:t>
      </w:r>
      <w:r w:rsidR="00E54574">
        <w:noBreakHyphen/>
      </w:r>
      <w:r>
        <w:t>035</w:t>
      </w:r>
      <w:r w:rsidR="00CE3A07">
        <w:t xml:space="preserve">, </w:t>
      </w:r>
      <w:r>
        <w:t>t</w:t>
      </w:r>
      <w:r w:rsidR="00CE3A07">
        <w:t>he Commission found that a</w:t>
      </w:r>
      <w:r w:rsidRPr="00CE3A07" w:rsidR="00CE3A07">
        <w:t xml:space="preserve">uthorizing early solicitation would help the IOUs meet their RPS needs, procure </w:t>
      </w:r>
      <w:r w:rsidRPr="00CE3A07" w:rsidR="00CE3A07">
        <w:lastRenderedPageBreak/>
        <w:t>competitive resources, and address overlapping procurement needs in an efficient and cost</w:t>
      </w:r>
      <w:r w:rsidR="00E54574">
        <w:noBreakHyphen/>
      </w:r>
      <w:r w:rsidRPr="00CE3A07" w:rsidR="00CE3A07">
        <w:t>effective manner.</w:t>
      </w:r>
      <w:r>
        <w:rPr>
          <w:rStyle w:val="FootnoteReference"/>
        </w:rPr>
        <w:footnoteReference w:id="64"/>
      </w:r>
      <w:r w:rsidRPr="00CE3A07" w:rsidR="00CE3A07">
        <w:t xml:space="preserve"> </w:t>
      </w:r>
      <w:r w:rsidR="00CE3A07">
        <w:t>T</w:t>
      </w:r>
      <w:r w:rsidRPr="00CE3A07" w:rsidR="00CE3A07">
        <w:t xml:space="preserve">he Commission </w:t>
      </w:r>
      <w:r w:rsidR="00CE3A07">
        <w:t xml:space="preserve">also </w:t>
      </w:r>
      <w:r w:rsidRPr="00CE3A07" w:rsidR="00CE3A07">
        <w:t>caution</w:t>
      </w:r>
      <w:r w:rsidR="00CE3A07">
        <w:t>ed</w:t>
      </w:r>
      <w:r w:rsidRPr="00CE3A07" w:rsidR="00CE3A07">
        <w:t xml:space="preserve"> that the authorization granted</w:t>
      </w:r>
      <w:r w:rsidR="00CE3A07">
        <w:t xml:space="preserve"> </w:t>
      </w:r>
      <w:r w:rsidRPr="00CE3A07" w:rsidR="00CE3A07">
        <w:t xml:space="preserve">would not obligate the IOUs to procure any resources unless the IOUs deem it necessary, with all transactions being subject to </w:t>
      </w:r>
      <w:r w:rsidR="00CF4861">
        <w:t xml:space="preserve">the </w:t>
      </w:r>
      <w:r w:rsidRPr="00CE3A07" w:rsidR="00CE3A07">
        <w:t>Commission</w:t>
      </w:r>
      <w:r w:rsidR="005A00BE">
        <w:t>’</w:t>
      </w:r>
      <w:r w:rsidRPr="00CE3A07" w:rsidR="00CE3A07">
        <w:t>s review and approval.</w:t>
      </w:r>
      <w:r>
        <w:rPr>
          <w:rStyle w:val="FootnoteReference"/>
        </w:rPr>
        <w:footnoteReference w:id="65"/>
      </w:r>
      <w:r w:rsidRPr="00CE3A07" w:rsidR="00CE3A07">
        <w:t xml:space="preserve"> </w:t>
      </w:r>
      <w:r w:rsidR="00CE3A07">
        <w:t>The</w:t>
      </w:r>
      <w:r w:rsidR="008564D1">
        <w:t xml:space="preserve"> </w:t>
      </w:r>
      <w:r w:rsidR="00CE3A07">
        <w:t xml:space="preserve">directive </w:t>
      </w:r>
      <w:r w:rsidR="008564D1">
        <w:t xml:space="preserve">remains the same </w:t>
      </w:r>
      <w:r w:rsidR="00CE3A07">
        <w:t>this year.</w:t>
      </w:r>
    </w:p>
    <w:p w:rsidRPr="00A64F6C" w:rsidR="00A64F6C" w:rsidP="00F277D4" w:rsidRDefault="008564D1" w14:paraId="0DA16C96" w14:textId="1DF0B31C">
      <w:pPr>
        <w:pStyle w:val="Standard"/>
      </w:pPr>
      <w:r>
        <w:t>Based on</w:t>
      </w:r>
      <w:r w:rsidR="004D24C7">
        <w:t xml:space="preserve"> the supporting factors SCE presented in its Draft </w:t>
      </w:r>
      <w:r w:rsidR="00950E04">
        <w:t>2025 RPS</w:t>
      </w:r>
      <w:r w:rsidR="004D24C7">
        <w:t xml:space="preserve"> Plan, </w:t>
      </w:r>
      <w:r w:rsidR="00CE3A07">
        <w:t>SCE</w:t>
      </w:r>
      <w:r w:rsidR="005A00BE">
        <w:t>’</w:t>
      </w:r>
      <w:r w:rsidR="00CE3A07">
        <w:t xml:space="preserve">s request </w:t>
      </w:r>
      <w:r w:rsidR="00A22F59">
        <w:t>to procure new and existing RPS</w:t>
      </w:r>
      <w:r w:rsidR="00E54574">
        <w:noBreakHyphen/>
      </w:r>
      <w:r w:rsidR="00A22F59">
        <w:t>eligible resources using long</w:t>
      </w:r>
      <w:r w:rsidR="00E54574">
        <w:noBreakHyphen/>
      </w:r>
      <w:r w:rsidR="00A22F59">
        <w:t xml:space="preserve"> or short</w:t>
      </w:r>
      <w:r w:rsidR="00E54574">
        <w:noBreakHyphen/>
      </w:r>
      <w:r w:rsidR="00A22F59">
        <w:t>term contracts is reasonable</w:t>
      </w:r>
      <w:r w:rsidR="00CE3A07">
        <w:t xml:space="preserve"> and approved with modifications</w:t>
      </w:r>
      <w:r w:rsidRPr="001544B5" w:rsidR="001544B5">
        <w:t xml:space="preserve">. </w:t>
      </w:r>
      <w:r w:rsidRPr="00A22F59" w:rsidR="00A22F59">
        <w:t xml:space="preserve">Any </w:t>
      </w:r>
      <w:r w:rsidR="00AF70D1">
        <w:t>Tier 3</w:t>
      </w:r>
      <w:r w:rsidRPr="00A22F59" w:rsidR="00A22F59">
        <w:t xml:space="preserve"> </w:t>
      </w:r>
      <w:r w:rsidR="00FA362B">
        <w:t>A</w:t>
      </w:r>
      <w:r w:rsidRPr="00A22F59" w:rsidR="00A22F59">
        <w:t xml:space="preserve">dvice </w:t>
      </w:r>
      <w:r w:rsidR="00FA362B">
        <w:t>L</w:t>
      </w:r>
      <w:r w:rsidRPr="00A22F59" w:rsidR="00A22F59">
        <w:t xml:space="preserve">etter to be submitted by </w:t>
      </w:r>
      <w:r w:rsidR="00CB3222">
        <w:t>SCE</w:t>
      </w:r>
      <w:r w:rsidRPr="00A22F59" w:rsidR="00A22F59">
        <w:t xml:space="preserve"> must show that the contracts procured under this procurement authority are</w:t>
      </w:r>
      <w:r w:rsidR="00A22F59">
        <w:t xml:space="preserve"> RPS</w:t>
      </w:r>
      <w:r w:rsidR="00E54574">
        <w:noBreakHyphen/>
      </w:r>
      <w:r w:rsidR="00A22F59">
        <w:t>eligible and meet either RPS needs, portfolio goals from their IRP filing, or formally adopted IRP</w:t>
      </w:r>
      <w:r w:rsidRPr="00DD399F" w:rsidR="00DD399F">
        <w:t xml:space="preserve"> portfolio, or any remaining IRP procurement needs for orders issued through the RPS implementation year. Portfolio goals may include system reliability, greenhouse gas emission targets, or portfolio resource mix optimization</w:t>
      </w:r>
      <w:r>
        <w:t>. SCE</w:t>
      </w:r>
      <w:r w:rsidRPr="004D24C7" w:rsidR="004D24C7">
        <w:t xml:space="preserve"> must continue to strike the appropriate balance between meeting RPS needs in a cost</w:t>
      </w:r>
      <w:r w:rsidR="00E54574">
        <w:noBreakHyphen/>
      </w:r>
      <w:r w:rsidRPr="004D24C7" w:rsidR="004D24C7">
        <w:t>effective manner and meeting regulatory procurement requirements.</w:t>
      </w:r>
    </w:p>
    <w:p w:rsidR="00C26E9A" w:rsidP="00F277D4" w:rsidRDefault="002A03CD" w14:paraId="55428568" w14:textId="71E07FED">
      <w:pPr>
        <w:pStyle w:val="Heading3"/>
      </w:pPr>
      <w:bookmarkStart w:name="_Toc212716148" w:id="63"/>
      <w:bookmarkStart w:name="_Toc214004352" w:id="64"/>
      <w:r w:rsidRPr="002A03CD">
        <w:t>Southern California Edison Company</w:t>
      </w:r>
      <w:r w:rsidR="005A00BE">
        <w:t>’</w:t>
      </w:r>
      <w:r w:rsidR="00C26E9A">
        <w:t>s Request</w:t>
      </w:r>
      <w:r w:rsidRPr="002C38C4" w:rsidR="002C38C4">
        <w:t xml:space="preserve"> </w:t>
      </w:r>
      <w:r w:rsidR="002C38C4">
        <w:t xml:space="preserve">for </w:t>
      </w:r>
      <w:r w:rsidRPr="002C38C4" w:rsidR="002C38C4">
        <w:t xml:space="preserve">Authority to </w:t>
      </w:r>
      <w:r w:rsidR="002C38C4">
        <w:t>P</w:t>
      </w:r>
      <w:r w:rsidRPr="002C38C4" w:rsidR="002C38C4">
        <w:t>urchase</w:t>
      </w:r>
      <w:r w:rsidR="00E5052A">
        <w:br/>
      </w:r>
      <w:r w:rsidRPr="002C38C4" w:rsidR="002C38C4">
        <w:t xml:space="preserve">and </w:t>
      </w:r>
      <w:r w:rsidR="002C38C4">
        <w:t>S</w:t>
      </w:r>
      <w:r w:rsidRPr="002C38C4" w:rsidR="002C38C4">
        <w:t xml:space="preserve">ell </w:t>
      </w:r>
      <w:r w:rsidRPr="00B849DA" w:rsidR="00B849DA">
        <w:t>Portfolio Content Category</w:t>
      </w:r>
      <w:r w:rsidR="00B849DA">
        <w:t> </w:t>
      </w:r>
      <w:r w:rsidRPr="002C38C4" w:rsidR="002C38C4">
        <w:t xml:space="preserve">1, </w:t>
      </w:r>
      <w:r w:rsidRPr="00B849DA" w:rsidR="00B849DA">
        <w:t>Portfolio Content Category</w:t>
      </w:r>
      <w:r w:rsidR="00B849DA">
        <w:t> </w:t>
      </w:r>
      <w:r w:rsidRPr="002C38C4" w:rsidR="002C38C4">
        <w:t>2,</w:t>
      </w:r>
      <w:r w:rsidR="00E5052A">
        <w:br/>
      </w:r>
      <w:r w:rsidRPr="002C38C4" w:rsidR="002C38C4">
        <w:t xml:space="preserve">and </w:t>
      </w:r>
      <w:r w:rsidRPr="00B849DA" w:rsidR="00B849DA">
        <w:t>Portfolio Content Category</w:t>
      </w:r>
      <w:r w:rsidR="00B849DA">
        <w:t> </w:t>
      </w:r>
      <w:r w:rsidRPr="002C38C4" w:rsidR="002C38C4">
        <w:t xml:space="preserve">3 </w:t>
      </w:r>
      <w:r w:rsidRPr="00BD5BD7" w:rsidR="00BD5BD7">
        <w:t>Renewable Energy Credit</w:t>
      </w:r>
      <w:r w:rsidRPr="002C38C4" w:rsidR="002C38C4">
        <w:t>s</w:t>
      </w:r>
      <w:bookmarkEnd w:id="63"/>
      <w:bookmarkEnd w:id="64"/>
    </w:p>
    <w:p w:rsidR="00F023E7" w:rsidP="00F277D4" w:rsidRDefault="00FC4997" w14:paraId="442E0FD9" w14:textId="2A385DD6">
      <w:pPr>
        <w:pStyle w:val="Standard"/>
      </w:pPr>
      <w:r w:rsidRPr="00FC4997">
        <w:t>SCE</w:t>
      </w:r>
      <w:r w:rsidR="005A00BE">
        <w:t>’</w:t>
      </w:r>
      <w:r w:rsidRPr="00FC4997">
        <w:t>s request for authority to buy and sell RECs is approved with modifications.</w:t>
      </w:r>
    </w:p>
    <w:p w:rsidR="00B25F94" w:rsidP="00F277D4" w:rsidRDefault="00B25F94" w14:paraId="42F60786" w14:textId="04FB26AB">
      <w:pPr>
        <w:pStyle w:val="Standard"/>
      </w:pPr>
      <w:r>
        <w:lastRenderedPageBreak/>
        <w:t xml:space="preserve">SCE requests authority to purchase and sell </w:t>
      </w:r>
      <w:r w:rsidR="00521801">
        <w:t>PCC </w:t>
      </w:r>
      <w:r>
        <w:t xml:space="preserve">1, </w:t>
      </w:r>
      <w:r w:rsidR="00521801">
        <w:t>PCC </w:t>
      </w:r>
      <w:r>
        <w:t xml:space="preserve">2, and </w:t>
      </w:r>
      <w:r w:rsidR="00521801">
        <w:t>PCC </w:t>
      </w:r>
      <w:r>
        <w:t xml:space="preserve">3 RECs. </w:t>
      </w:r>
      <w:r w:rsidR="003464C2">
        <w:t>SCE states that t</w:t>
      </w:r>
      <w:r>
        <w:t>his flexibility will ensure SCE</w:t>
      </w:r>
      <w:r w:rsidR="005A00BE">
        <w:t>’</w:t>
      </w:r>
      <w:r>
        <w:t xml:space="preserve">s continued compliance with RPS requirements in </w:t>
      </w:r>
      <w:r w:rsidR="00412BD7">
        <w:t>CP </w:t>
      </w:r>
      <w:r>
        <w:t>5</w:t>
      </w:r>
      <w:r w:rsidR="00477C47">
        <w:t xml:space="preserve">, </w:t>
      </w:r>
      <w:r>
        <w:t xml:space="preserve">help meet the target for </w:t>
      </w:r>
      <w:r w:rsidR="00412BD7">
        <w:t>CP </w:t>
      </w:r>
      <w:r>
        <w:t>6, and continue optimizing its portfolio</w:t>
      </w:r>
      <w:r w:rsidRPr="002908F0">
        <w:t>.</w:t>
      </w:r>
      <w:r w:rsidRPr="002908F0">
        <w:rPr>
          <w:rStyle w:val="FootnoteReference"/>
        </w:rPr>
        <w:footnoteReference w:id="66"/>
      </w:r>
      <w:r>
        <w:rPr>
          <w:b/>
          <w:bCs/>
        </w:rPr>
        <w:t xml:space="preserve"> </w:t>
      </w:r>
      <w:r>
        <w:t>To facilitate the purchase and sale of RECs, SCE requests authority to issue solicitations</w:t>
      </w:r>
      <w:r>
        <w:rPr>
          <w:b/>
          <w:bCs/>
        </w:rPr>
        <w:t xml:space="preserve"> </w:t>
      </w:r>
      <w:r>
        <w:t>for short</w:t>
      </w:r>
      <w:r w:rsidR="00E54574">
        <w:noBreakHyphen/>
      </w:r>
      <w:r>
        <w:t>term and long</w:t>
      </w:r>
      <w:r w:rsidR="00E54574">
        <w:noBreakHyphen/>
      </w:r>
      <w:r>
        <w:t>term RECs, participate in other market participants</w:t>
      </w:r>
      <w:r w:rsidR="005A00BE">
        <w:t>’</w:t>
      </w:r>
      <w:r>
        <w:t xml:space="preserve"> REC RFOs, and to enter</w:t>
      </w:r>
      <w:r>
        <w:rPr>
          <w:b/>
          <w:bCs/>
        </w:rPr>
        <w:t xml:space="preserve"> </w:t>
      </w:r>
      <w:r>
        <w:t>into bilateral contracts for the purchase and sale of RECs. Further, to remain competitive with other</w:t>
      </w:r>
      <w:r>
        <w:rPr>
          <w:b/>
          <w:bCs/>
        </w:rPr>
        <w:t xml:space="preserve"> </w:t>
      </w:r>
      <w:r>
        <w:t>retail sellers, SCE also requests authority to purchase RECs through brokers and exchanges at prices and term</w:t>
      </w:r>
      <w:r>
        <w:rPr>
          <w:b/>
          <w:bCs/>
        </w:rPr>
        <w:t xml:space="preserve"> </w:t>
      </w:r>
      <w:r>
        <w:t>lengths consistent with upfront and achievable standards and criteria.</w:t>
      </w:r>
      <w:r>
        <w:rPr>
          <w:rStyle w:val="FootnoteReference"/>
        </w:rPr>
        <w:footnoteReference w:id="67"/>
      </w:r>
      <w:r>
        <w:t xml:space="preserve"> SC</w:t>
      </w:r>
      <w:r w:rsidR="00477C47">
        <w:t>E</w:t>
      </w:r>
      <w:r>
        <w:t xml:space="preserve"> also notes that in compliance with D.18</w:t>
      </w:r>
      <w:r w:rsidR="00E54574">
        <w:noBreakHyphen/>
      </w:r>
      <w:r>
        <w:t>12</w:t>
      </w:r>
      <w:r w:rsidR="00E54574">
        <w:noBreakHyphen/>
      </w:r>
      <w:r>
        <w:t>003 on the Tree Mortality Non</w:t>
      </w:r>
      <w:r w:rsidR="00E54574">
        <w:noBreakHyphen/>
      </w:r>
      <w:r>
        <w:t xml:space="preserve">Bypassable Charge, </w:t>
      </w:r>
      <w:r w:rsidR="00477C47">
        <w:t>it</w:t>
      </w:r>
      <w:r>
        <w:t xml:space="preserve"> will sell RECs and related energy associated with its Bioenergy Renewable Auction Mechanism contracts.</w:t>
      </w:r>
    </w:p>
    <w:p w:rsidR="001F6FB3" w:rsidP="00F277D4" w:rsidRDefault="0087631F" w14:paraId="22C13FD8" w14:textId="0ABFCB46">
      <w:pPr>
        <w:pStyle w:val="Standard"/>
      </w:pPr>
      <w:r>
        <w:t xml:space="preserve">SCE has a </w:t>
      </w:r>
      <w:r w:rsidR="00FC4997">
        <w:t>need for RPS</w:t>
      </w:r>
      <w:r w:rsidR="00E54574">
        <w:noBreakHyphen/>
      </w:r>
      <w:r w:rsidR="00FC4997">
        <w:t xml:space="preserve">eligible resources to meet the compliance target for </w:t>
      </w:r>
      <w:r w:rsidR="00412BD7">
        <w:t>CP </w:t>
      </w:r>
      <w:r w:rsidR="00FC4997">
        <w:t xml:space="preserve">6 </w:t>
      </w:r>
      <w:r w:rsidR="00477C47">
        <w:t>and beyond.</w:t>
      </w:r>
      <w:r w:rsidR="00FC4997">
        <w:t xml:space="preserve"> </w:t>
      </w:r>
      <w:r w:rsidR="00477C47">
        <w:t xml:space="preserve">Due to the inherent risk associated with completion of new projects, variations in load and existing renewable generation, and five years of time between now and the need to meet the 2030 </w:t>
      </w:r>
      <w:r w:rsidR="00412BD7">
        <w:t>CP </w:t>
      </w:r>
      <w:r w:rsidR="00477C47">
        <w:t xml:space="preserve">6 goal, SCE </w:t>
      </w:r>
      <w:r w:rsidR="00410BA8">
        <w:t xml:space="preserve">may </w:t>
      </w:r>
      <w:r w:rsidR="00477C47">
        <w:t>need</w:t>
      </w:r>
      <w:r w:rsidR="00410BA8">
        <w:t xml:space="preserve"> </w:t>
      </w:r>
      <w:r w:rsidR="00477C47">
        <w:t xml:space="preserve">flexibility to </w:t>
      </w:r>
      <w:r>
        <w:t xml:space="preserve">purchase and sell RECs </w:t>
      </w:r>
      <w:r w:rsidR="00477C47">
        <w:t xml:space="preserve">be able to meet its RPS goals. </w:t>
      </w:r>
      <w:r w:rsidR="00CA0FDC">
        <w:t>Therefore</w:t>
      </w:r>
      <w:r>
        <w:t xml:space="preserve">, </w:t>
      </w:r>
      <w:r w:rsidR="00DF79F1">
        <w:t>t</w:t>
      </w:r>
      <w:r w:rsidR="00CA0FDC">
        <w:t xml:space="preserve">he Commission finds </w:t>
      </w:r>
      <w:r>
        <w:t>SCE</w:t>
      </w:r>
      <w:r w:rsidR="005A00BE">
        <w:t>’</w:t>
      </w:r>
      <w:r>
        <w:t xml:space="preserve">s request </w:t>
      </w:r>
      <w:r w:rsidR="00CA0FDC">
        <w:t xml:space="preserve">reasonable and </w:t>
      </w:r>
      <w:r>
        <w:t>approve</w:t>
      </w:r>
      <w:r w:rsidR="00CA0FDC">
        <w:t>s it</w:t>
      </w:r>
      <w:r>
        <w:t xml:space="preserve"> with modifications. </w:t>
      </w:r>
      <w:r w:rsidRPr="001B183C" w:rsidR="001B183C">
        <w:t xml:space="preserve">SCE is authorized to purchase and sell </w:t>
      </w:r>
      <w:r w:rsidR="00521801">
        <w:t>PCC </w:t>
      </w:r>
      <w:r w:rsidRPr="001B183C" w:rsidR="001B183C">
        <w:t xml:space="preserve">1, </w:t>
      </w:r>
      <w:r w:rsidR="00521801">
        <w:t>PCC </w:t>
      </w:r>
      <w:r w:rsidRPr="001B183C" w:rsidR="001B183C">
        <w:t xml:space="preserve">2, and </w:t>
      </w:r>
      <w:r w:rsidR="00521801">
        <w:t>PCC </w:t>
      </w:r>
      <w:r w:rsidRPr="001B183C" w:rsidR="001B183C">
        <w:t>3 RECs</w:t>
      </w:r>
      <w:r w:rsidR="00DF79F1">
        <w:t xml:space="preserve">, </w:t>
      </w:r>
      <w:r w:rsidRPr="00DF79F1" w:rsidR="00DF79F1">
        <w:t>us</w:t>
      </w:r>
      <w:r w:rsidR="00DF79F1">
        <w:t>ing</w:t>
      </w:r>
      <w:r w:rsidRPr="00DF79F1" w:rsidR="00DF79F1">
        <w:t xml:space="preserve"> solicitations, other market participants</w:t>
      </w:r>
      <w:r w:rsidR="005A00BE">
        <w:t>’</w:t>
      </w:r>
      <w:r w:rsidRPr="00DF79F1" w:rsidR="00DF79F1">
        <w:t xml:space="preserve"> solicitations, bilateral negotiations, brokers and exchanges</w:t>
      </w:r>
      <w:r w:rsidRPr="001B183C" w:rsidR="001B183C">
        <w:t xml:space="preserve">. SCE must submit a </w:t>
      </w:r>
      <w:r w:rsidR="00AF70D1">
        <w:t>Tier 1</w:t>
      </w:r>
      <w:r w:rsidRPr="001B183C" w:rsidR="001B183C">
        <w:t xml:space="preserve"> Advice Letter for approval of </w:t>
      </w:r>
      <w:r w:rsidR="00415339">
        <w:t>short</w:t>
      </w:r>
      <w:r w:rsidR="00E54574">
        <w:noBreakHyphen/>
      </w:r>
      <w:r w:rsidR="00415339">
        <w:t>term</w:t>
      </w:r>
      <w:r w:rsidRPr="001B183C" w:rsidR="001B183C">
        <w:t xml:space="preserve"> transactions</w:t>
      </w:r>
      <w:r w:rsidR="00415339">
        <w:t xml:space="preserve"> and a </w:t>
      </w:r>
      <w:r w:rsidR="00AF70D1">
        <w:t>Tier 3</w:t>
      </w:r>
      <w:r w:rsidR="00415339">
        <w:t xml:space="preserve"> Advice Letter for long</w:t>
      </w:r>
      <w:r w:rsidR="00E54574">
        <w:noBreakHyphen/>
      </w:r>
      <w:r w:rsidR="00415339">
        <w:t xml:space="preserve">term </w:t>
      </w:r>
      <w:r w:rsidR="00A5460B">
        <w:t>transactions</w:t>
      </w:r>
      <w:r w:rsidRPr="001B183C" w:rsidR="001B183C">
        <w:t>.</w:t>
      </w:r>
    </w:p>
    <w:p w:rsidR="00C26E9A" w:rsidP="00F277D4" w:rsidRDefault="002A03CD" w14:paraId="7E8D96C6" w14:textId="40EE5CF3">
      <w:pPr>
        <w:pStyle w:val="Heading3"/>
      </w:pPr>
      <w:bookmarkStart w:name="_Toc212716149" w:id="65"/>
      <w:bookmarkStart w:name="_Toc214004353" w:id="66"/>
      <w:r w:rsidRPr="002A03CD">
        <w:lastRenderedPageBreak/>
        <w:t>Southern California Edison Company</w:t>
      </w:r>
      <w:r w:rsidR="005A00BE">
        <w:t>’</w:t>
      </w:r>
      <w:r w:rsidR="00C26E9A">
        <w:t>s Request</w:t>
      </w:r>
      <w:r w:rsidRPr="00DA77EE" w:rsidR="00DA77EE">
        <w:t xml:space="preserve"> </w:t>
      </w:r>
      <w:r w:rsidR="00DA77EE">
        <w:t xml:space="preserve">for </w:t>
      </w:r>
      <w:r w:rsidRPr="00DA77EE" w:rsidR="00DA77EE">
        <w:t xml:space="preserve">Approval of </w:t>
      </w:r>
      <w:r w:rsidR="0009452B">
        <w:t>Bid</w:t>
      </w:r>
      <w:r w:rsidR="00B17A09">
        <w:br/>
      </w:r>
      <w:r w:rsidR="0009452B">
        <w:t xml:space="preserve">Solicitation </w:t>
      </w:r>
      <w:r w:rsidR="00DA77EE">
        <w:t>P</w:t>
      </w:r>
      <w:r w:rsidRPr="00DA77EE" w:rsidR="00DA77EE">
        <w:t>rotocols</w:t>
      </w:r>
      <w:bookmarkEnd w:id="65"/>
      <w:bookmarkEnd w:id="66"/>
    </w:p>
    <w:p w:rsidR="0049419E" w:rsidP="00F277D4" w:rsidRDefault="001523B9" w14:paraId="0A0664E4" w14:textId="2D434454">
      <w:pPr>
        <w:pStyle w:val="Standard"/>
      </w:pPr>
      <w:r>
        <w:t xml:space="preserve">In its Draft </w:t>
      </w:r>
      <w:r w:rsidR="00950E04">
        <w:t>2025 RPS</w:t>
      </w:r>
      <w:r>
        <w:t xml:space="preserve"> Plan, </w:t>
      </w:r>
      <w:r w:rsidR="0009452B">
        <w:t xml:space="preserve">SCE </w:t>
      </w:r>
      <w:r w:rsidR="0049419E">
        <w:t>submits</w:t>
      </w:r>
      <w:r w:rsidR="0009452B">
        <w:t xml:space="preserve"> </w:t>
      </w:r>
      <w:r>
        <w:t xml:space="preserve">for Commission approval its </w:t>
      </w:r>
      <w:r w:rsidR="0009452B">
        <w:t>procurement protocols for new resources</w:t>
      </w:r>
      <w:r w:rsidR="0049419E">
        <w:t xml:space="preserve"> and </w:t>
      </w:r>
      <w:r w:rsidR="0009452B">
        <w:t>existing resources</w:t>
      </w:r>
      <w:r w:rsidR="0049419E">
        <w:t>,</w:t>
      </w:r>
      <w:r w:rsidR="0049419E">
        <w:rPr>
          <w:rStyle w:val="FootnoteReference"/>
        </w:rPr>
        <w:footnoteReference w:id="68"/>
      </w:r>
      <w:r w:rsidR="0009452B">
        <w:t xml:space="preserve"> REC </w:t>
      </w:r>
      <w:r w:rsidR="00BE0A23">
        <w:t>transaction</w:t>
      </w:r>
      <w:r w:rsidR="0009452B">
        <w:t xml:space="preserve"> protocols</w:t>
      </w:r>
      <w:r w:rsidR="0049419E">
        <w:t xml:space="preserve"> as the basis for all its REC transactions for short</w:t>
      </w:r>
      <w:r w:rsidR="00E54574">
        <w:noBreakHyphen/>
      </w:r>
      <w:r w:rsidR="0049419E">
        <w:t>term and long</w:t>
      </w:r>
      <w:r w:rsidR="00E54574">
        <w:noBreakHyphen/>
      </w:r>
      <w:r w:rsidR="0049419E">
        <w:t>term purchases and sales</w:t>
      </w:r>
      <w:r w:rsidR="0009452B">
        <w:t>,</w:t>
      </w:r>
      <w:r w:rsidR="0049419E">
        <w:rPr>
          <w:rStyle w:val="FootnoteReference"/>
        </w:rPr>
        <w:footnoteReference w:id="69"/>
      </w:r>
      <w:r w:rsidR="0009452B">
        <w:t xml:space="preserve"> </w:t>
      </w:r>
      <w:r w:rsidR="00BE0A23">
        <w:t xml:space="preserve">and </w:t>
      </w:r>
      <w:r w:rsidR="00E54D17">
        <w:t>least</w:t>
      </w:r>
      <w:r w:rsidR="00E54574">
        <w:noBreakHyphen/>
      </w:r>
      <w:r w:rsidR="00E54D17">
        <w:t>cost best</w:t>
      </w:r>
      <w:r w:rsidR="00E54574">
        <w:noBreakHyphen/>
      </w:r>
      <w:r w:rsidR="00E54D17">
        <w:t>fit (</w:t>
      </w:r>
      <w:r w:rsidR="0009452B">
        <w:t>LCBF</w:t>
      </w:r>
      <w:r w:rsidR="00E54D17">
        <w:t>)</w:t>
      </w:r>
      <w:r w:rsidR="0009452B">
        <w:t xml:space="preserve"> evaluation </w:t>
      </w:r>
      <w:r w:rsidR="0049419E">
        <w:t>criteria</w:t>
      </w:r>
      <w:r w:rsidR="0009452B">
        <w:t>, including consideration of workforce development and disadvantaged communities.</w:t>
      </w:r>
      <w:r w:rsidR="0009452B">
        <w:rPr>
          <w:rStyle w:val="FootnoteReference"/>
        </w:rPr>
        <w:footnoteReference w:id="70"/>
      </w:r>
      <w:r w:rsidR="0009452B">
        <w:t xml:space="preserve"> </w:t>
      </w:r>
      <w:r w:rsidR="0049419E">
        <w:t xml:space="preserve">SCE proposes to </w:t>
      </w:r>
      <w:r w:rsidR="004F3F25">
        <w:t>eliminate</w:t>
      </w:r>
      <w:r w:rsidR="0049419E">
        <w:t xml:space="preserve"> the interim Renewable Integration Cost Adder (RICA) </w:t>
      </w:r>
      <w:r w:rsidR="004F3F25">
        <w:t xml:space="preserve">from </w:t>
      </w:r>
      <w:r w:rsidR="0049419E">
        <w:t>its RPS valuation framework.</w:t>
      </w:r>
      <w:r w:rsidR="00E20465">
        <w:rPr>
          <w:rStyle w:val="FootnoteReference"/>
        </w:rPr>
        <w:footnoteReference w:id="71"/>
      </w:r>
      <w:r w:rsidR="0049419E">
        <w:t xml:space="preserve"> </w:t>
      </w:r>
      <w:r w:rsidR="00E20465">
        <w:t xml:space="preserve">SCE </w:t>
      </w:r>
      <w:r>
        <w:t>notes</w:t>
      </w:r>
      <w:r w:rsidR="00E20465">
        <w:t xml:space="preserve"> that </w:t>
      </w:r>
      <w:r w:rsidR="0049419E">
        <w:t>RICA</w:t>
      </w:r>
      <w:r w:rsidR="004F3F25">
        <w:t xml:space="preserve"> was </w:t>
      </w:r>
      <w:r w:rsidR="00CF4861">
        <w:t xml:space="preserve">adopted </w:t>
      </w:r>
      <w:r w:rsidR="0049419E">
        <w:t>in D</w:t>
      </w:r>
      <w:r w:rsidR="00FA362B">
        <w:t>.</w:t>
      </w:r>
      <w:r w:rsidR="0049419E">
        <w:t>14</w:t>
      </w:r>
      <w:r w:rsidR="00E54574">
        <w:noBreakHyphen/>
      </w:r>
      <w:r w:rsidR="0049419E">
        <w:t>11</w:t>
      </w:r>
      <w:r w:rsidR="00E54574">
        <w:noBreakHyphen/>
      </w:r>
      <w:r w:rsidR="0049419E">
        <w:t>042</w:t>
      </w:r>
      <w:r w:rsidR="004F3F25">
        <w:t xml:space="preserve"> as a </w:t>
      </w:r>
      <w:r w:rsidR="0049419E">
        <w:t xml:space="preserve">temporary </w:t>
      </w:r>
      <w:r w:rsidR="004F3F25">
        <w:t xml:space="preserve">tool until a </w:t>
      </w:r>
      <w:r w:rsidR="0049419E">
        <w:t xml:space="preserve">final methodology </w:t>
      </w:r>
      <w:r w:rsidR="004F3F25">
        <w:t>could be</w:t>
      </w:r>
      <w:r w:rsidR="0049419E">
        <w:t xml:space="preserve"> developed. </w:t>
      </w:r>
      <w:r>
        <w:t>SCE explains that t</w:t>
      </w:r>
      <w:r w:rsidR="0049419E">
        <w:t>he interim</w:t>
      </w:r>
      <w:r w:rsidR="00B63F1A">
        <w:t xml:space="preserve"> </w:t>
      </w:r>
      <w:r w:rsidR="0049419E">
        <w:t>approach relied on assumptions and analyses from 2014</w:t>
      </w:r>
      <w:r>
        <w:t xml:space="preserve"> </w:t>
      </w:r>
      <w:r w:rsidR="004F3F25">
        <w:t xml:space="preserve">that </w:t>
      </w:r>
      <w:r w:rsidR="0049419E">
        <w:t>no longer accurately</w:t>
      </w:r>
      <w:r w:rsidR="00B63F1A">
        <w:t xml:space="preserve"> </w:t>
      </w:r>
      <w:r w:rsidR="0049419E">
        <w:t xml:space="preserve">reflect current grid conditions. </w:t>
      </w:r>
      <w:r>
        <w:t xml:space="preserve">SCE adds </w:t>
      </w:r>
      <w:r w:rsidR="00C543E1">
        <w:t>that RICA</w:t>
      </w:r>
      <w:r w:rsidR="0049419E">
        <w:t xml:space="preserve"> aimed to differentiate intermittent renewable</w:t>
      </w:r>
      <w:r w:rsidR="00B63F1A">
        <w:t xml:space="preserve"> </w:t>
      </w:r>
      <w:r w:rsidR="0049419E">
        <w:t>resources from traditional generation by accounting for additional system integration costs. However,</w:t>
      </w:r>
      <w:r w:rsidR="00B63F1A">
        <w:t xml:space="preserve"> </w:t>
      </w:r>
      <w:r w:rsidR="0049419E">
        <w:t>with current procurement efforts increasingly focused on clean energy resources, this distinction has</w:t>
      </w:r>
      <w:r w:rsidR="00B63F1A">
        <w:t xml:space="preserve"> </w:t>
      </w:r>
      <w:r w:rsidR="0049419E">
        <w:t xml:space="preserve">become less relevant. SCE </w:t>
      </w:r>
      <w:r>
        <w:t>highlights</w:t>
      </w:r>
      <w:r w:rsidR="00B63F1A">
        <w:t xml:space="preserve"> that it </w:t>
      </w:r>
      <w:r w:rsidR="004F3F25">
        <w:t xml:space="preserve">also excludes </w:t>
      </w:r>
      <w:r w:rsidR="0049419E">
        <w:t xml:space="preserve">RICA </w:t>
      </w:r>
      <w:r w:rsidR="004F3F25">
        <w:t>from</w:t>
      </w:r>
      <w:r w:rsidR="0049419E">
        <w:t xml:space="preserve"> its Clean Energy RFO valuation framework to</w:t>
      </w:r>
      <w:r w:rsidR="00B63F1A">
        <w:t xml:space="preserve"> </w:t>
      </w:r>
      <w:r w:rsidR="0049419E">
        <w:t>avoid misleading results due to outdated assumptions</w:t>
      </w:r>
      <w:r w:rsidR="00B63F1A">
        <w:t>.</w:t>
      </w:r>
    </w:p>
    <w:p w:rsidR="00E5394B" w:rsidP="00F277D4" w:rsidRDefault="00E20465" w14:paraId="6E8A00F8" w14:textId="019F6FCA">
      <w:pPr>
        <w:pStyle w:val="Standard"/>
      </w:pPr>
      <w:r>
        <w:t>Upon review, the Commission finds SCE</w:t>
      </w:r>
      <w:r w:rsidR="005A00BE">
        <w:t>’</w:t>
      </w:r>
      <w:r>
        <w:t>s proposed protocols reasonable and approve</w:t>
      </w:r>
      <w:r w:rsidR="00BE0A23">
        <w:t>s</w:t>
      </w:r>
      <w:r>
        <w:t xml:space="preserve"> them.</w:t>
      </w:r>
    </w:p>
    <w:p w:rsidR="00C26E9A" w:rsidP="00F277D4" w:rsidRDefault="002A03CD" w14:paraId="73B2EB15" w14:textId="162094B1">
      <w:pPr>
        <w:pStyle w:val="Heading3"/>
      </w:pPr>
      <w:bookmarkStart w:name="_Toc212716150" w:id="67"/>
      <w:bookmarkStart w:name="_Toc214004354" w:id="68"/>
      <w:r w:rsidRPr="002A03CD">
        <w:lastRenderedPageBreak/>
        <w:t>Southern California Edison Company</w:t>
      </w:r>
      <w:r w:rsidR="005A00BE">
        <w:t>’</w:t>
      </w:r>
      <w:r w:rsidR="00C26E9A">
        <w:t>s Request</w:t>
      </w:r>
      <w:r w:rsidR="00E30C0C">
        <w:t xml:space="preserve"> for</w:t>
      </w:r>
      <w:r w:rsidR="00E5052A">
        <w:t xml:space="preserve"> </w:t>
      </w:r>
      <w:r w:rsidR="00E30C0C">
        <w:t>Approval of Agreements</w:t>
      </w:r>
      <w:bookmarkEnd w:id="67"/>
      <w:bookmarkEnd w:id="68"/>
    </w:p>
    <w:p w:rsidR="00F023E7" w:rsidP="00F277D4" w:rsidRDefault="003265FB" w14:paraId="72B28F8E" w14:textId="17DE5DC9">
      <w:pPr>
        <w:pStyle w:val="Standard"/>
      </w:pPr>
      <w:r>
        <w:t xml:space="preserve">SCE seeks approval </w:t>
      </w:r>
      <w:r w:rsidR="000F1B22">
        <w:t>of three agreements</w:t>
      </w:r>
      <w:r w:rsidR="00CD5830">
        <w:t xml:space="preserve">:  </w:t>
      </w:r>
      <w:r>
        <w:t xml:space="preserve">Pro Forma Renewable </w:t>
      </w:r>
      <w:r w:rsidRPr="00220FCE" w:rsidR="00220FCE">
        <w:t>Power Purchase Agreement</w:t>
      </w:r>
      <w:r w:rsidR="00220FCE">
        <w:t xml:space="preserve"> (</w:t>
      </w:r>
      <w:r>
        <w:t>PPA</w:t>
      </w:r>
      <w:r w:rsidR="00220FCE">
        <w:t>)</w:t>
      </w:r>
      <w:r w:rsidR="000F1B22">
        <w:t xml:space="preserve">; </w:t>
      </w:r>
      <w:r>
        <w:t xml:space="preserve">Pro Forma </w:t>
      </w:r>
      <w:r w:rsidR="00521801">
        <w:t>PCC </w:t>
      </w:r>
      <w:r>
        <w:t>1 REC Agreement</w:t>
      </w:r>
      <w:r w:rsidR="000F1B22">
        <w:t xml:space="preserve">; and </w:t>
      </w:r>
      <w:r>
        <w:t xml:space="preserve">Pro Forma </w:t>
      </w:r>
      <w:r w:rsidR="00521801">
        <w:t>PCC </w:t>
      </w:r>
      <w:r>
        <w:t>3 REC Agreement.</w:t>
      </w:r>
      <w:r w:rsidR="000F1B22">
        <w:rPr>
          <w:rStyle w:val="FootnoteReference"/>
        </w:rPr>
        <w:footnoteReference w:id="72"/>
      </w:r>
    </w:p>
    <w:p w:rsidR="000F1B22" w:rsidP="00F277D4" w:rsidRDefault="000F1B22" w14:paraId="4840D51F" w14:textId="461E27B5">
      <w:pPr>
        <w:pStyle w:val="Standard"/>
      </w:pPr>
      <w:r>
        <w:t>SCE</w:t>
      </w:r>
      <w:r w:rsidR="005A00BE">
        <w:t>’</w:t>
      </w:r>
      <w:r>
        <w:t>s 2025 Pro Forma Renewable PPA is based on the technology neutral pro forma contract approved by the Commission in Resolution</w:t>
      </w:r>
      <w:r w:rsidR="00220FCE">
        <w:t> </w:t>
      </w:r>
      <w:r>
        <w:t>E</w:t>
      </w:r>
      <w:r w:rsidR="00E54574">
        <w:noBreakHyphen/>
      </w:r>
      <w:r>
        <w:t>5004 for contracting for In</w:t>
      </w:r>
      <w:r w:rsidR="00E54574">
        <w:noBreakHyphen/>
      </w:r>
      <w:r>
        <w:t>Front</w:t>
      </w:r>
      <w:r w:rsidR="00E54574">
        <w:noBreakHyphen/>
      </w:r>
      <w:r>
        <w:t>of</w:t>
      </w:r>
      <w:r w:rsidR="00E54574">
        <w:noBreakHyphen/>
      </w:r>
      <w:r>
        <w:t>Meter renewable energy resources and incorporates provisions from SCE</w:t>
      </w:r>
      <w:r w:rsidR="005A00BE">
        <w:t>’</w:t>
      </w:r>
      <w:r>
        <w:t xml:space="preserve">s MTR contracts. </w:t>
      </w:r>
      <w:r w:rsidR="00143B78">
        <w:t>SCE explains that t</w:t>
      </w:r>
      <w:r>
        <w:t>here have been changes to the 2025 Pro Forma Renewable PPA to incorporate recent changes to the Technology Neutral Pro Forma contract to harmonize language with the version used in SCE</w:t>
      </w:r>
      <w:r w:rsidR="005A00BE">
        <w:t>’</w:t>
      </w:r>
      <w:r>
        <w:t>s 2024 Clean Energy RFO. The substantive terms and conditions remain consistent with the 2024 Pro Forma Renewable PPA, except for specific changes noted in</w:t>
      </w:r>
      <w:r w:rsidR="00867A92">
        <w:t xml:space="preserve"> </w:t>
      </w:r>
      <w:r>
        <w:t>the summary table of major changes to pro forma contracts</w:t>
      </w:r>
      <w:r w:rsidR="00D81822">
        <w:t>.</w:t>
      </w:r>
    </w:p>
    <w:p w:rsidR="00867A92" w:rsidP="00F277D4" w:rsidRDefault="00867A92" w14:paraId="047CF50E" w14:textId="19B5B5D9">
      <w:pPr>
        <w:pStyle w:val="Standard"/>
      </w:pPr>
      <w:r>
        <w:t xml:space="preserve">SCE states that </w:t>
      </w:r>
      <w:r w:rsidR="00D81822">
        <w:t>r</w:t>
      </w:r>
      <w:r>
        <w:t xml:space="preserve">elatively minor changes have been made to the 2025 Pro Forma </w:t>
      </w:r>
      <w:r w:rsidR="00521801">
        <w:t>PCC </w:t>
      </w:r>
      <w:r>
        <w:t xml:space="preserve">1 Confirmation and </w:t>
      </w:r>
      <w:r w:rsidR="00521801">
        <w:t>PCC </w:t>
      </w:r>
      <w:r>
        <w:t>3 REC Agreement.</w:t>
      </w:r>
      <w:r>
        <w:rPr>
          <w:rStyle w:val="FootnoteReference"/>
        </w:rPr>
        <w:footnoteReference w:id="73"/>
      </w:r>
    </w:p>
    <w:p w:rsidRPr="003265FB" w:rsidR="003265FB" w:rsidP="00F277D4" w:rsidRDefault="00143B78" w14:paraId="4D61F73E" w14:textId="2A4DD085">
      <w:pPr>
        <w:pStyle w:val="Standard"/>
      </w:pPr>
      <w:r>
        <w:t xml:space="preserve">Upon review, the </w:t>
      </w:r>
      <w:r w:rsidR="00D81822">
        <w:t>Commission</w:t>
      </w:r>
      <w:r>
        <w:t xml:space="preserve"> finds that t</w:t>
      </w:r>
      <w:r w:rsidRPr="00143B78">
        <w:t>he substantive terms and conditions of the agreements remain consistent with the 2024 Pro Forma agreements</w:t>
      </w:r>
      <w:r>
        <w:t xml:space="preserve"> and the submitted changes are reasonable. </w:t>
      </w:r>
      <w:r w:rsidR="00D81822">
        <w:t>Therefore</w:t>
      </w:r>
      <w:r>
        <w:t xml:space="preserve">, </w:t>
      </w:r>
      <w:r w:rsidR="003265FB">
        <w:t>SCE</w:t>
      </w:r>
      <w:r w:rsidR="005A00BE">
        <w:t>’</w:t>
      </w:r>
      <w:r w:rsidR="003265FB">
        <w:t xml:space="preserve">s </w:t>
      </w:r>
      <w:r w:rsidRPr="00143B78">
        <w:t>Pro Forma Renewable PPA</w:t>
      </w:r>
      <w:r>
        <w:t xml:space="preserve">, </w:t>
      </w:r>
      <w:r w:rsidRPr="00143B78">
        <w:t xml:space="preserve">Pro Forma </w:t>
      </w:r>
      <w:r w:rsidR="00521801">
        <w:t>PCC </w:t>
      </w:r>
      <w:r w:rsidRPr="00143B78">
        <w:t>1 REC Agreement</w:t>
      </w:r>
      <w:r w:rsidR="00D81822">
        <w:t>,</w:t>
      </w:r>
      <w:r w:rsidRPr="00143B78">
        <w:t xml:space="preserve"> and Pro Forma </w:t>
      </w:r>
      <w:r w:rsidR="00521801">
        <w:t>PCC </w:t>
      </w:r>
      <w:r w:rsidRPr="00143B78">
        <w:t xml:space="preserve">3 REC Agreement </w:t>
      </w:r>
      <w:r>
        <w:t xml:space="preserve">submitted in its Draft </w:t>
      </w:r>
      <w:r w:rsidR="00950E04">
        <w:t>2025 RPS</w:t>
      </w:r>
      <w:r>
        <w:t xml:space="preserve"> Plan are</w:t>
      </w:r>
      <w:r w:rsidR="003265FB">
        <w:t xml:space="preserve"> approved.</w:t>
      </w:r>
    </w:p>
    <w:p w:rsidR="00C26E9A" w:rsidP="00F277D4" w:rsidRDefault="002A03CD" w14:paraId="6733FD2B" w14:textId="506A34A6">
      <w:pPr>
        <w:pStyle w:val="Heading3"/>
      </w:pPr>
      <w:bookmarkStart w:name="_Toc212716151" w:id="69"/>
      <w:bookmarkStart w:name="_Toc214004355" w:id="70"/>
      <w:r w:rsidRPr="002A03CD">
        <w:lastRenderedPageBreak/>
        <w:t>Southern California Edison Company</w:t>
      </w:r>
      <w:r w:rsidR="005A00BE">
        <w:t>’</w:t>
      </w:r>
      <w:r w:rsidR="00C26E9A">
        <w:t>s Request</w:t>
      </w:r>
      <w:r w:rsidRPr="00B53767" w:rsidR="00B53767">
        <w:t xml:space="preserve"> </w:t>
      </w:r>
      <w:r w:rsidR="00B53767">
        <w:t xml:space="preserve">for </w:t>
      </w:r>
      <w:r w:rsidRPr="00B53767" w:rsidR="00B53767">
        <w:t>Approval</w:t>
      </w:r>
      <w:r w:rsidR="00E5052A">
        <w:t xml:space="preserve"> </w:t>
      </w:r>
      <w:r w:rsidRPr="00B53767" w:rsidR="00B53767">
        <w:t xml:space="preserve">to </w:t>
      </w:r>
      <w:r w:rsidR="00B53767">
        <w:t>R</w:t>
      </w:r>
      <w:r w:rsidRPr="00B53767" w:rsidR="00B53767">
        <w:t xml:space="preserve">etire </w:t>
      </w:r>
      <w:r w:rsidRPr="00BD5BD7" w:rsidR="00BD5BD7">
        <w:t>Renewable Energy</w:t>
      </w:r>
      <w:r w:rsidR="00E5052A">
        <w:t xml:space="preserve"> </w:t>
      </w:r>
      <w:r w:rsidRPr="00BD5BD7" w:rsidR="00BD5BD7">
        <w:t>Credit</w:t>
      </w:r>
      <w:r w:rsidRPr="00B53767" w:rsidR="00B53767">
        <w:t xml:space="preserve">s for </w:t>
      </w:r>
      <w:r w:rsidRPr="00B849DA" w:rsidR="00B849DA">
        <w:t>Low</w:t>
      </w:r>
      <w:r w:rsidR="00E54574">
        <w:noBreakHyphen/>
      </w:r>
      <w:r w:rsidRPr="00B849DA" w:rsidR="00B849DA">
        <w:t>Carbon Fuel Standard</w:t>
      </w:r>
      <w:r w:rsidR="00E5052A">
        <w:br/>
      </w:r>
      <w:r w:rsidRPr="00B53767" w:rsidR="00B53767">
        <w:t>Funded Programs</w:t>
      </w:r>
      <w:bookmarkEnd w:id="69"/>
      <w:bookmarkEnd w:id="70"/>
    </w:p>
    <w:p w:rsidR="00F023E7" w:rsidP="00F277D4" w:rsidRDefault="00547CF8" w14:paraId="203605D3" w14:textId="09E3F2C9">
      <w:pPr>
        <w:pStyle w:val="Standard"/>
      </w:pPr>
      <w:r>
        <w:t xml:space="preserve">SCE seeks Commission authorization in its </w:t>
      </w:r>
      <w:r w:rsidR="00AC47B4">
        <w:t xml:space="preserve">Draft </w:t>
      </w:r>
      <w:r w:rsidR="00950E04">
        <w:t>2025 RPS</w:t>
      </w:r>
      <w:r>
        <w:t xml:space="preserve"> Plan to participate in claiming incremental LCFS credits through the retirement of RECs. SCE expects that customer participation in SCE</w:t>
      </w:r>
      <w:r w:rsidR="005A00BE">
        <w:t>’</w:t>
      </w:r>
      <w:r>
        <w:t>s LCFS</w:t>
      </w:r>
      <w:r w:rsidR="00E54574">
        <w:noBreakHyphen/>
      </w:r>
      <w:r>
        <w:t>funded programs will increase over</w:t>
      </w:r>
      <w:r w:rsidR="00AC47B4">
        <w:t xml:space="preserve"> </w:t>
      </w:r>
      <w:r>
        <w:t>time as EV adoption increases and SCE</w:t>
      </w:r>
      <w:r w:rsidR="005A00BE">
        <w:t>’</w:t>
      </w:r>
      <w:r>
        <w:t>s program operations mature. SCE notes that</w:t>
      </w:r>
      <w:r w:rsidR="00AC47B4">
        <w:t xml:space="preserve"> </w:t>
      </w:r>
      <w:r w:rsidR="00560E68">
        <w:t>it</w:t>
      </w:r>
      <w:r>
        <w:t xml:space="preserve"> </w:t>
      </w:r>
      <w:r w:rsidR="00560E68">
        <w:t xml:space="preserve">first </w:t>
      </w:r>
      <w:r>
        <w:t>received approval in its 202</w:t>
      </w:r>
      <w:r w:rsidR="00560E68">
        <w:t>2</w:t>
      </w:r>
      <w:r>
        <w:t xml:space="preserve"> RPS Plan to claim incremental LCFS Credits through the retirement of RECs demonstrat</w:t>
      </w:r>
      <w:r w:rsidR="00560E68">
        <w:t>ing the use of</w:t>
      </w:r>
      <w:r>
        <w:t xml:space="preserve"> zero carbon</w:t>
      </w:r>
      <w:r w:rsidR="00E54574">
        <w:noBreakHyphen/>
      </w:r>
      <w:r>
        <w:t xml:space="preserve">intensity electricity for </w:t>
      </w:r>
      <w:r w:rsidRPr="005476B2" w:rsidR="005476B2">
        <w:t>transportation electrification</w:t>
      </w:r>
      <w:r>
        <w:t xml:space="preserve"> charging</w:t>
      </w:r>
      <w:r w:rsidR="00AC47B4">
        <w:t>.</w:t>
      </w:r>
      <w:r w:rsidRPr="00547CF8">
        <w:t xml:space="preserve"> </w:t>
      </w:r>
      <w:r w:rsidR="00560E68">
        <w:t>The same authorization was granted again in the 2023 planning cycle.</w:t>
      </w:r>
    </w:p>
    <w:p w:rsidR="00975F62" w:rsidP="00F277D4" w:rsidRDefault="00547CF8" w14:paraId="1F8C9298" w14:textId="7206F417">
      <w:pPr>
        <w:pStyle w:val="Standard"/>
      </w:pPr>
      <w:r>
        <w:t xml:space="preserve">If SCE has sufficient </w:t>
      </w:r>
      <w:r w:rsidR="00521801">
        <w:t>PCC </w:t>
      </w:r>
      <w:r>
        <w:t>3 RECs to claim incremental LCFS</w:t>
      </w:r>
      <w:r w:rsidR="00B54666">
        <w:t xml:space="preserve"> </w:t>
      </w:r>
      <w:r>
        <w:t xml:space="preserve">credits, it plans to retire </w:t>
      </w:r>
      <w:r w:rsidR="00AC47B4">
        <w:t>those</w:t>
      </w:r>
      <w:r>
        <w:t xml:space="preserve"> RECs. In doing so, SCE will determin</w:t>
      </w:r>
      <w:r w:rsidR="00AC47B4">
        <w:t>e</w:t>
      </w:r>
      <w:r>
        <w:t xml:space="preserve"> the fair market value of the RECs and compensate bundled customers accordingly, with </w:t>
      </w:r>
      <w:r w:rsidR="00AC47B4">
        <w:t>any</w:t>
      </w:r>
      <w:r w:rsidR="00B54666">
        <w:t xml:space="preserve"> </w:t>
      </w:r>
      <w:r>
        <w:t>remaining value going to the LCFS program.</w:t>
      </w:r>
      <w:r w:rsidR="00AC47B4">
        <w:rPr>
          <w:rStyle w:val="FootnoteReference"/>
        </w:rPr>
        <w:footnoteReference w:id="74"/>
      </w:r>
      <w:r>
        <w:t xml:space="preserve"> SCE currently believes the best </w:t>
      </w:r>
      <w:r w:rsidR="00AC47B4">
        <w:t>way</w:t>
      </w:r>
      <w:r>
        <w:t xml:space="preserve"> </w:t>
      </w:r>
      <w:r w:rsidR="00AC47B4">
        <w:t>to determine</w:t>
      </w:r>
      <w:r w:rsidR="00B54666">
        <w:t xml:space="preserve"> </w:t>
      </w:r>
      <w:r>
        <w:t xml:space="preserve">the value is to </w:t>
      </w:r>
      <w:r w:rsidR="00AC47B4">
        <w:t>use</w:t>
      </w:r>
      <w:r>
        <w:t xml:space="preserve"> the higher of the most recent REC sale value </w:t>
      </w:r>
      <w:r w:rsidR="00AC47B4">
        <w:t>or</w:t>
      </w:r>
      <w:r>
        <w:t xml:space="preserve"> the three</w:t>
      </w:r>
      <w:r w:rsidR="00E54574">
        <w:noBreakHyphen/>
      </w:r>
      <w:r>
        <w:t>month weighted average</w:t>
      </w:r>
      <w:r w:rsidR="00B54666">
        <w:t xml:space="preserve"> </w:t>
      </w:r>
      <w:r>
        <w:t xml:space="preserve">price from Platts. If SCE </w:t>
      </w:r>
      <w:r w:rsidR="00AC47B4">
        <w:t>determines</w:t>
      </w:r>
      <w:r>
        <w:t xml:space="preserve"> that this calculation </w:t>
      </w:r>
      <w:r w:rsidR="00AC47B4">
        <w:t>does not represent</w:t>
      </w:r>
      <w:r>
        <w:t xml:space="preserve"> the fair market value, it will</w:t>
      </w:r>
      <w:r w:rsidR="00B54666">
        <w:t xml:space="preserve"> </w:t>
      </w:r>
      <w:r>
        <w:t xml:space="preserve">apply a reasonable adder to ensure bundled customers are </w:t>
      </w:r>
      <w:r w:rsidR="00AC47B4">
        <w:t>fully compensated</w:t>
      </w:r>
      <w:r>
        <w:t>.</w:t>
      </w:r>
      <w:r w:rsidR="00E44D69">
        <w:rPr>
          <w:rStyle w:val="FootnoteReference"/>
        </w:rPr>
        <w:footnoteReference w:id="75"/>
      </w:r>
    </w:p>
    <w:p w:rsidR="00F023E7" w:rsidP="00F277D4" w:rsidRDefault="00C4348A" w14:paraId="7730069D" w14:textId="12710E03">
      <w:pPr>
        <w:pStyle w:val="Standard"/>
      </w:pPr>
      <w:r>
        <w:t>SCE</w:t>
      </w:r>
      <w:r w:rsidR="005A00BE">
        <w:t>’</w:t>
      </w:r>
      <w:r>
        <w:t>s request is reasonable and approved. SCE may retire RECs for LC</w:t>
      </w:r>
      <w:r w:rsidR="00DA36A6">
        <w:t>FS</w:t>
      </w:r>
      <w:r w:rsidR="00E54574">
        <w:noBreakHyphen/>
      </w:r>
      <w:r>
        <w:t>funded programs.</w:t>
      </w:r>
    </w:p>
    <w:p w:rsidR="004E0CF8" w:rsidP="00F277D4" w:rsidRDefault="002E126D" w14:paraId="4EB5BACF" w14:textId="3FBB6DFF">
      <w:pPr>
        <w:pStyle w:val="Heading3"/>
      </w:pPr>
      <w:bookmarkStart w:name="_Toc212716152" w:id="71"/>
      <w:bookmarkStart w:name="_Toc214004356" w:id="72"/>
      <w:r>
        <w:lastRenderedPageBreak/>
        <w:t xml:space="preserve">There </w:t>
      </w:r>
      <w:r w:rsidR="00A9637F">
        <w:t>A</w:t>
      </w:r>
      <w:r>
        <w:t xml:space="preserve">re No </w:t>
      </w:r>
      <w:r w:rsidR="00C26E9A">
        <w:t>Deficiencies</w:t>
      </w:r>
      <w:r>
        <w:t xml:space="preserve"> in </w:t>
      </w:r>
      <w:r w:rsidRPr="002A03CD" w:rsidR="002A03CD">
        <w:t>Southern California Edison Company</w:t>
      </w:r>
      <w:r w:rsidR="005A00BE">
        <w:t>’</w:t>
      </w:r>
      <w:r w:rsidRPr="002E126D">
        <w:t xml:space="preserve">s Draft 2025 </w:t>
      </w:r>
      <w:r w:rsidRPr="00C55273" w:rsidR="009E01F1">
        <w:t>Renewables Portfolio Standard</w:t>
      </w:r>
      <w:r w:rsidRPr="002E126D">
        <w:t xml:space="preserve"> Plan</w:t>
      </w:r>
      <w:bookmarkEnd w:id="71"/>
      <w:bookmarkEnd w:id="72"/>
    </w:p>
    <w:p w:rsidR="004E0CF8" w:rsidP="00F277D4" w:rsidRDefault="004E0CF8" w14:paraId="39003548" w14:textId="15A36A5E">
      <w:pPr>
        <w:pStyle w:val="Standard"/>
      </w:pPr>
      <w:r w:rsidRPr="004E0CF8">
        <w:t xml:space="preserve">The Commission staff did not identify any deficiencies in </w:t>
      </w:r>
      <w:bookmarkStart w:name="_Hlk211345559" w:id="73"/>
      <w:r w:rsidRPr="004E0CF8">
        <w:t>SCE</w:t>
      </w:r>
      <w:r w:rsidR="005A00BE">
        <w:t>’</w:t>
      </w:r>
      <w:r w:rsidRPr="004E0CF8">
        <w:t xml:space="preserve">s Draft </w:t>
      </w:r>
      <w:r w:rsidR="00950E04">
        <w:t>2025 RPS</w:t>
      </w:r>
      <w:r w:rsidRPr="004E0CF8">
        <w:t xml:space="preserve"> Plan</w:t>
      </w:r>
      <w:bookmarkEnd w:id="73"/>
      <w:r w:rsidRPr="004E0CF8">
        <w:t>. SCE</w:t>
      </w:r>
      <w:r w:rsidR="005A00BE">
        <w:t>’</w:t>
      </w:r>
      <w:r w:rsidRPr="004E0CF8">
        <w:t xml:space="preserve">s Draft </w:t>
      </w:r>
      <w:r w:rsidR="00950E04">
        <w:t>2025 RPS</w:t>
      </w:r>
      <w:r w:rsidRPr="004E0CF8">
        <w:t xml:space="preserve"> Plan meets the requirements of the 202</w:t>
      </w:r>
      <w:r>
        <w:t>5</w:t>
      </w:r>
      <w:r w:rsidRPr="004E0CF8">
        <w:t xml:space="preserve"> ACR</w:t>
      </w:r>
      <w:r>
        <w:t>.</w:t>
      </w:r>
    </w:p>
    <w:p w:rsidR="00857ABB" w:rsidP="00F277D4" w:rsidRDefault="00B471F2" w14:paraId="6542E99E" w14:textId="14C35328">
      <w:pPr>
        <w:pStyle w:val="Heading2"/>
      </w:pPr>
      <w:bookmarkStart w:name="_Toc212716153" w:id="74"/>
      <w:bookmarkStart w:name="_Toc214004357" w:id="75"/>
      <w:r>
        <w:t>San </w:t>
      </w:r>
      <w:r w:rsidRPr="00B849DA" w:rsidR="00B849DA">
        <w:t>Diego Gas</w:t>
      </w:r>
      <w:r>
        <w:t xml:space="preserve"> &amp; </w:t>
      </w:r>
      <w:r w:rsidRPr="00B849DA" w:rsidR="00B849DA">
        <w:t>Electric Company</w:t>
      </w:r>
      <w:r w:rsidR="005A00BE">
        <w:t>’</w:t>
      </w:r>
      <w:r w:rsidR="00857ABB">
        <w:t xml:space="preserve">s Draft </w:t>
      </w:r>
      <w:r w:rsidR="00D7195F">
        <w:t xml:space="preserve">2025 </w:t>
      </w:r>
      <w:r w:rsidRPr="00C55273" w:rsidR="009E01F1">
        <w:t>Renewables Portfolio Standard</w:t>
      </w:r>
      <w:r w:rsidR="00857ABB">
        <w:t xml:space="preserve"> Plan</w:t>
      </w:r>
      <w:bookmarkEnd w:id="74"/>
      <w:bookmarkEnd w:id="75"/>
    </w:p>
    <w:p w:rsidR="00857ABB" w:rsidP="00F277D4" w:rsidRDefault="00964801" w14:paraId="2E771725" w14:textId="63E6E0BA">
      <w:pPr>
        <w:pStyle w:val="Standard"/>
      </w:pPr>
      <w:r w:rsidRPr="00964801">
        <w:t>SDG&amp;E</w:t>
      </w:r>
      <w:r w:rsidR="005A00BE">
        <w:t>’</w:t>
      </w:r>
      <w:r w:rsidRPr="00964801">
        <w:t xml:space="preserve">s updated Draft </w:t>
      </w:r>
      <w:r w:rsidR="00950E04">
        <w:t>2025 RPS</w:t>
      </w:r>
      <w:r w:rsidRPr="00964801">
        <w:t xml:space="preserve"> Plan contains all the required elements listed in </w:t>
      </w:r>
      <w:r w:rsidR="00F920D3">
        <w:t>Table 1</w:t>
      </w:r>
      <w:r w:rsidRPr="00964801">
        <w:t xml:space="preserve"> of the 202</w:t>
      </w:r>
      <w:r>
        <w:t>5</w:t>
      </w:r>
      <w:r w:rsidRPr="00964801">
        <w:t xml:space="preserve"> ACR. SDG&amp;E</w:t>
      </w:r>
      <w:r w:rsidR="005A00BE">
        <w:t>’</w:t>
      </w:r>
      <w:r w:rsidRPr="00964801">
        <w:t xml:space="preserve">s updated Draft </w:t>
      </w:r>
      <w:r w:rsidR="00950E04">
        <w:t>2025 RPS</w:t>
      </w:r>
      <w:r w:rsidRPr="00964801">
        <w:t xml:space="preserve"> Plan is approved with modifications. SDG&amp;E must seek Commission approval of any RPS contracts consistent with existing procedures by submitting a </w:t>
      </w:r>
      <w:r w:rsidR="00AF70D1">
        <w:t>Tier 3</w:t>
      </w:r>
      <w:r w:rsidRPr="00964801">
        <w:t xml:space="preserve"> or </w:t>
      </w:r>
      <w:r w:rsidR="00AF70D1">
        <w:t>Tier 1</w:t>
      </w:r>
      <w:r w:rsidRPr="00964801">
        <w:t xml:space="preserve"> Advice Letter.</w:t>
      </w:r>
    </w:p>
    <w:p w:rsidR="00E5394B" w:rsidP="00F277D4" w:rsidRDefault="003257E3" w14:paraId="19CDC408" w14:textId="3C81921E">
      <w:pPr>
        <w:pStyle w:val="Standard"/>
      </w:pPr>
      <w:r w:rsidRPr="00FE3EA1">
        <w:t xml:space="preserve">SDG&amp;E reports that even though SDG&amp;E met its </w:t>
      </w:r>
      <w:r w:rsidR="00412BD7">
        <w:t>CP </w:t>
      </w:r>
      <w:r w:rsidR="00FE3EA1">
        <w:t>4</w:t>
      </w:r>
      <w:r w:rsidRPr="00FE3EA1">
        <w:t xml:space="preserve"> RPS requirements by achieving </w:t>
      </w:r>
      <w:r w:rsidR="00FE3EA1">
        <w:t>53</w:t>
      </w:r>
      <w:r w:rsidR="008C0F68">
        <w:t> percent</w:t>
      </w:r>
      <w:r w:rsidRPr="00FE3EA1">
        <w:t xml:space="preserve"> renewable energy, load departure commencing in 2021 and the VAMO process commencing in 2023 led to significant changes in </w:t>
      </w:r>
      <w:r w:rsidR="005B6394">
        <w:t>its</w:t>
      </w:r>
      <w:r w:rsidRPr="00FE3EA1">
        <w:t xml:space="preserve"> RPS portfolio.</w:t>
      </w:r>
      <w:r w:rsidR="00FE3EA1">
        <w:rPr>
          <w:rStyle w:val="FootnoteReference"/>
        </w:rPr>
        <w:footnoteReference w:id="76"/>
      </w:r>
      <w:r w:rsidR="00FE3EA1">
        <w:t xml:space="preserve"> </w:t>
      </w:r>
      <w:r w:rsidRPr="00FE3EA1">
        <w:t xml:space="preserve">Currently, SDG&amp;E anticipates that its RPS position will fall short </w:t>
      </w:r>
      <w:r w:rsidR="00FE3EA1">
        <w:t>beginning in th</w:t>
      </w:r>
      <w:r w:rsidR="00345297">
        <w:t>e</w:t>
      </w:r>
      <w:r w:rsidR="00FE3EA1">
        <w:t xml:space="preserve"> current compliance period</w:t>
      </w:r>
      <w:r w:rsidRPr="00FE3EA1">
        <w:t>.</w:t>
      </w:r>
    </w:p>
    <w:p w:rsidR="00FA1CA8" w:rsidP="00F277D4" w:rsidRDefault="00773D06" w14:paraId="1E0FB757" w14:textId="077F1EC5">
      <w:pPr>
        <w:pStyle w:val="Standard"/>
      </w:pPr>
      <w:r>
        <w:t>SDG&amp;E intends to meet its future RPS obligations by utilizing the bank and/or holding a solicitation or enter</w:t>
      </w:r>
      <w:r w:rsidR="00375881">
        <w:t>ing</w:t>
      </w:r>
      <w:r>
        <w:t xml:space="preserve"> into agreements to procure long</w:t>
      </w:r>
      <w:r w:rsidR="00E54574">
        <w:noBreakHyphen/>
      </w:r>
      <w:r>
        <w:t>term and/or short</w:t>
      </w:r>
      <w:r w:rsidR="00E54574">
        <w:noBreakHyphen/>
      </w:r>
      <w:r>
        <w:t xml:space="preserve">term resources, depending on the benefits </w:t>
      </w:r>
      <w:r w:rsidR="005355EE">
        <w:t xml:space="preserve">of these transactions </w:t>
      </w:r>
      <w:r>
        <w:t>to the ratepayers.</w:t>
      </w:r>
      <w:r>
        <w:rPr>
          <w:rStyle w:val="FootnoteReference"/>
        </w:rPr>
        <w:footnoteReference w:id="77"/>
      </w:r>
      <w:r w:rsidR="00262706">
        <w:t xml:space="preserve"> SDG&amp;E also intends to optimize its portfolio in the near</w:t>
      </w:r>
      <w:r w:rsidR="00E54574">
        <w:noBreakHyphen/>
      </w:r>
      <w:r w:rsidR="00262706">
        <w:t xml:space="preserve">term through </w:t>
      </w:r>
      <w:r w:rsidR="00FA1CA8">
        <w:t>both the purchase and/or sales of RECs via solicitations, bilateral sales agreements, and/or brokerages and exchanges in the form of short</w:t>
      </w:r>
      <w:r w:rsidR="00E54574">
        <w:noBreakHyphen/>
      </w:r>
      <w:r w:rsidR="00FA1CA8">
        <w:t>term transactions</w:t>
      </w:r>
      <w:r w:rsidR="00262706">
        <w:t>.</w:t>
      </w:r>
      <w:r w:rsidR="00262706">
        <w:rPr>
          <w:rStyle w:val="FootnoteReference"/>
        </w:rPr>
        <w:footnoteReference w:id="78"/>
      </w:r>
    </w:p>
    <w:p w:rsidR="00F023E7" w:rsidP="00F277D4" w:rsidRDefault="009443F3" w14:paraId="62B942AC" w14:textId="5EACB9B0">
      <w:pPr>
        <w:pStyle w:val="Standard"/>
      </w:pPr>
      <w:r w:rsidRPr="00624134">
        <w:lastRenderedPageBreak/>
        <w:t>SDG&amp;E intends to manage any potential over</w:t>
      </w:r>
      <w:r w:rsidR="00E54574">
        <w:noBreakHyphen/>
      </w:r>
      <w:r w:rsidRPr="00624134">
        <w:t>procurement due to departing load by banking it for future compliance needs, terminating contracts, as appropriate, selling excess procurement, or transferring the obligation to a new party as permitted by the contract.</w:t>
      </w:r>
      <w:r w:rsidR="00624134">
        <w:rPr>
          <w:rStyle w:val="FootnoteReference"/>
        </w:rPr>
        <w:footnoteReference w:id="79"/>
      </w:r>
    </w:p>
    <w:p w:rsidR="009443F3" w:rsidP="00F277D4" w:rsidRDefault="009443F3" w14:paraId="0B6F892A" w14:textId="4D776B55">
      <w:pPr>
        <w:pStyle w:val="Standard"/>
      </w:pPr>
      <w:r>
        <w:t>Overall, SDG&amp;E</w:t>
      </w:r>
      <w:r w:rsidR="005A00BE">
        <w:t>’</w:t>
      </w:r>
      <w:r>
        <w:t>s procurement strategy is reasonable; it demonstrates a balanced approach to meeting short</w:t>
      </w:r>
      <w:r w:rsidR="00E54574">
        <w:noBreakHyphen/>
      </w:r>
      <w:r>
        <w:t xml:space="preserve"> and long</w:t>
      </w:r>
      <w:r w:rsidR="00E54574">
        <w:noBreakHyphen/>
      </w:r>
      <w:r>
        <w:t>term RPS requirements and is approved with modifications.</w:t>
      </w:r>
    </w:p>
    <w:p w:rsidR="00635180" w:rsidP="00F277D4" w:rsidRDefault="00B471F2" w14:paraId="0230D67A" w14:textId="4715A2A2">
      <w:pPr>
        <w:pStyle w:val="Heading3"/>
      </w:pPr>
      <w:bookmarkStart w:name="_Toc212716154" w:id="76"/>
      <w:bookmarkStart w:name="_Toc214004358" w:id="77"/>
      <w:r>
        <w:t>San </w:t>
      </w:r>
      <w:r w:rsidRPr="00B849DA" w:rsidR="00B849DA">
        <w:t>Diego Gas</w:t>
      </w:r>
      <w:r>
        <w:t xml:space="preserve"> &amp; </w:t>
      </w:r>
      <w:r w:rsidRPr="00B849DA" w:rsidR="00B849DA">
        <w:t>Electric Company</w:t>
      </w:r>
      <w:r w:rsidR="005A00BE">
        <w:t>’</w:t>
      </w:r>
      <w:r w:rsidR="00635180">
        <w:t>s Request for Authority to Utilize</w:t>
      </w:r>
      <w:r w:rsidR="00E5052A">
        <w:br/>
      </w:r>
      <w:r w:rsidR="00635180">
        <w:t xml:space="preserve">Banked </w:t>
      </w:r>
      <w:r w:rsidRPr="00BD5BD7" w:rsidR="00BD5BD7">
        <w:t>Renewable Energy Credit</w:t>
      </w:r>
      <w:r w:rsidR="00635180">
        <w:t>s</w:t>
      </w:r>
      <w:bookmarkEnd w:id="76"/>
      <w:bookmarkEnd w:id="77"/>
    </w:p>
    <w:p w:rsidR="00F023E7" w:rsidP="00F277D4" w:rsidRDefault="00520C84" w14:paraId="3D63390E" w14:textId="517ECD63">
      <w:pPr>
        <w:pStyle w:val="Standard"/>
      </w:pPr>
      <w:r w:rsidRPr="00520C84">
        <w:t>Due to SDG&amp;E</w:t>
      </w:r>
      <w:r w:rsidR="005A00BE">
        <w:t>’</w:t>
      </w:r>
      <w:r w:rsidRPr="00520C84">
        <w:t xml:space="preserve">s RPS short position starting in </w:t>
      </w:r>
      <w:r w:rsidR="00412BD7">
        <w:t>CP </w:t>
      </w:r>
      <w:r w:rsidRPr="00520C84">
        <w:t xml:space="preserve">5, SDG&amp;E requests the authority to utilize </w:t>
      </w:r>
      <w:r w:rsidR="00FF054B">
        <w:t>its</w:t>
      </w:r>
      <w:r w:rsidRPr="00520C84">
        <w:t xml:space="preserve"> banked RECs procured before 2023 starting from the year SDG&amp;E begins a short position through 203</w:t>
      </w:r>
      <w:r w:rsidR="00C72247">
        <w:t>5</w:t>
      </w:r>
      <w:r w:rsidRPr="00520C84">
        <w:t>, as needed.</w:t>
      </w:r>
      <w:r w:rsidR="00C72247">
        <w:rPr>
          <w:rStyle w:val="FootnoteReference"/>
        </w:rPr>
        <w:footnoteReference w:id="80"/>
      </w:r>
      <w:r w:rsidRPr="00520C84">
        <w:t xml:space="preserve"> </w:t>
      </w:r>
      <w:r w:rsidRPr="00F11038" w:rsidR="00F11038">
        <w:t>SDG&amp;E</w:t>
      </w:r>
      <w:r w:rsidR="005A00BE">
        <w:t>’</w:t>
      </w:r>
      <w:r w:rsidRPr="00F11038" w:rsidR="00F11038">
        <w:t>s request aims to limit additional costs for RPS compliance and potentially protect bundled customers from rate impacts</w:t>
      </w:r>
      <w:r w:rsidR="00F11038">
        <w:t>.</w:t>
      </w:r>
    </w:p>
    <w:p w:rsidRPr="00520C84" w:rsidR="003F4C61" w:rsidP="00F277D4" w:rsidRDefault="00520C84" w14:paraId="49367254" w14:textId="35B5358D">
      <w:pPr>
        <w:pStyle w:val="Standard"/>
      </w:pPr>
      <w:r w:rsidRPr="00520C84">
        <w:t>The Commission finds SDG&amp;E</w:t>
      </w:r>
      <w:r w:rsidR="005A00BE">
        <w:t>’</w:t>
      </w:r>
      <w:r w:rsidRPr="00520C84">
        <w:t xml:space="preserve">s request to use its banked RECs </w:t>
      </w:r>
      <w:r w:rsidRPr="00520C84" w:rsidR="00A4572A">
        <w:t>to meet</w:t>
      </w:r>
      <w:r w:rsidRPr="00520C84">
        <w:t xml:space="preserve"> its RPS needs </w:t>
      </w:r>
      <w:r w:rsidR="003D7F80">
        <w:t xml:space="preserve">is </w:t>
      </w:r>
      <w:r w:rsidRPr="00520C84">
        <w:t>cost</w:t>
      </w:r>
      <w:r w:rsidR="00E54574">
        <w:noBreakHyphen/>
      </w:r>
      <w:r w:rsidRPr="00520C84">
        <w:t xml:space="preserve">effective, </w:t>
      </w:r>
      <w:r w:rsidR="00DF3A08">
        <w:t xml:space="preserve">and </w:t>
      </w:r>
      <w:r w:rsidRPr="00520C84">
        <w:t>consistent with RPS rules, and therefore approves it</w:t>
      </w:r>
      <w:r>
        <w:t>.</w:t>
      </w:r>
      <w:r w:rsidRPr="00846319" w:rsidR="00846319">
        <w:t xml:space="preserve"> </w:t>
      </w:r>
      <w:r w:rsidR="00846319">
        <w:t>Consistent with D.25</w:t>
      </w:r>
      <w:r w:rsidR="00C56562">
        <w:noBreakHyphen/>
      </w:r>
      <w:r w:rsidR="00846319">
        <w:t>12</w:t>
      </w:r>
      <w:r w:rsidR="00C56562">
        <w:noBreakHyphen/>
      </w:r>
      <w:r w:rsidR="00846319">
        <w:t>008, Decision Approving SDG&amp;E’s 2026 Electric Procurement Revenue Requirement Forecasts, 2</w:t>
      </w:r>
      <w:r w:rsidR="008A3B8F">
        <w:t>0</w:t>
      </w:r>
      <w:r w:rsidR="00846319">
        <w:t>26 Electric Sales Forecast, and Greenhouse Gas Related Forecasts, SDG&amp;E must exhaust RECs banked after 2018 before using pre</w:t>
      </w:r>
      <w:r w:rsidR="00C56562">
        <w:noBreakHyphen/>
      </w:r>
      <w:r w:rsidR="00846319">
        <w:t>2019 banked RECs.</w:t>
      </w:r>
      <w:r w:rsidR="00E14873">
        <w:rPr>
          <w:rStyle w:val="FootnoteReference"/>
        </w:rPr>
        <w:footnoteReference w:id="81"/>
      </w:r>
    </w:p>
    <w:p w:rsidR="00635180" w:rsidP="00F277D4" w:rsidRDefault="00B471F2" w14:paraId="4E71F3AD" w14:textId="00717375">
      <w:pPr>
        <w:pStyle w:val="Heading3"/>
      </w:pPr>
      <w:bookmarkStart w:name="_Toc212716155" w:id="78"/>
      <w:bookmarkStart w:name="_Toc214004359" w:id="79"/>
      <w:r>
        <w:lastRenderedPageBreak/>
        <w:t>San </w:t>
      </w:r>
      <w:r w:rsidRPr="00B849DA" w:rsidR="00B849DA">
        <w:t>Diego Gas</w:t>
      </w:r>
      <w:r>
        <w:t xml:space="preserve"> &amp; </w:t>
      </w:r>
      <w:r w:rsidRPr="00B849DA" w:rsidR="00B849DA">
        <w:t>Electric Company</w:t>
      </w:r>
      <w:r w:rsidR="005A00BE">
        <w:t>’</w:t>
      </w:r>
      <w:r w:rsidR="00635180">
        <w:t xml:space="preserve">s Request for </w:t>
      </w:r>
      <w:r w:rsidRPr="00635180" w:rsidR="00635180">
        <w:t xml:space="preserve">Option to Procure </w:t>
      </w:r>
      <w:r w:rsidRPr="00BD5BD7" w:rsidR="00BD5BD7">
        <w:t>Renewable Energy Credit</w:t>
      </w:r>
      <w:r w:rsidRPr="00635180" w:rsidR="00635180">
        <w:t>s for Compliance</w:t>
      </w:r>
      <w:bookmarkEnd w:id="78"/>
      <w:bookmarkEnd w:id="79"/>
    </w:p>
    <w:p w:rsidR="00F023E7" w:rsidP="00F277D4" w:rsidRDefault="009443F3" w14:paraId="211CD111" w14:textId="370440DD">
      <w:pPr>
        <w:pStyle w:val="Standard"/>
      </w:pPr>
      <w:r w:rsidRPr="005A452A">
        <w:t>As an alternative to u</w:t>
      </w:r>
      <w:r w:rsidR="00ED7F85">
        <w:t>sing</w:t>
      </w:r>
      <w:r w:rsidRPr="005A452A">
        <w:t xml:space="preserve"> </w:t>
      </w:r>
      <w:r w:rsidR="00ED7F85">
        <w:t xml:space="preserve">its banked </w:t>
      </w:r>
      <w:r w:rsidRPr="005A452A">
        <w:t>RECs, SDG&amp;E request</w:t>
      </w:r>
      <w:r w:rsidR="00ED7F85">
        <w:t xml:space="preserve">s authority to conduct </w:t>
      </w:r>
      <w:r w:rsidRPr="005A452A" w:rsidR="009A7531">
        <w:t>optional REC purchases from new or existing resources, either</w:t>
      </w:r>
      <w:r w:rsidR="00ED7F85">
        <w:t xml:space="preserve"> through</w:t>
      </w:r>
      <w:r w:rsidRPr="005A452A" w:rsidR="009A7531">
        <w:t xml:space="preserve"> short</w:t>
      </w:r>
      <w:r w:rsidR="00E54574">
        <w:noBreakHyphen/>
      </w:r>
      <w:r w:rsidRPr="005A452A" w:rsidR="009A7531">
        <w:t>term or long</w:t>
      </w:r>
      <w:r w:rsidR="00E54574">
        <w:noBreakHyphen/>
      </w:r>
      <w:r w:rsidRPr="005A452A" w:rsidR="009A7531">
        <w:t xml:space="preserve">term contracts, </w:t>
      </w:r>
      <w:r w:rsidR="00ED7F85">
        <w:t xml:space="preserve">if doing so is </w:t>
      </w:r>
      <w:r w:rsidRPr="005A452A" w:rsidR="009A7531">
        <w:t xml:space="preserve">more beneficial to its portfolio based on cost and need </w:t>
      </w:r>
      <w:r w:rsidR="00ED7F85">
        <w:t>in</w:t>
      </w:r>
      <w:r w:rsidRPr="005A452A" w:rsidR="009A7531">
        <w:t xml:space="preserve"> the </w:t>
      </w:r>
      <w:r w:rsidR="00950E04">
        <w:t>2025 RPS</w:t>
      </w:r>
      <w:r w:rsidRPr="005A452A" w:rsidR="009A7531">
        <w:t xml:space="preserve"> </w:t>
      </w:r>
      <w:r w:rsidR="003C2336">
        <w:t xml:space="preserve">planning </w:t>
      </w:r>
      <w:r w:rsidRPr="005A452A" w:rsidR="009A7531">
        <w:t>cycle.</w:t>
      </w:r>
      <w:r w:rsidRPr="005A452A" w:rsidR="009A7531">
        <w:rPr>
          <w:rStyle w:val="FootnoteReference"/>
        </w:rPr>
        <w:footnoteReference w:id="82"/>
      </w:r>
      <w:r w:rsidRPr="005A452A" w:rsidR="009A7531">
        <w:t xml:space="preserve"> </w:t>
      </w:r>
      <w:r w:rsidRPr="005A452A">
        <w:t xml:space="preserve">Towards this end, using the RNS forecast </w:t>
      </w:r>
      <w:r w:rsidRPr="005A452A" w:rsidR="009A7531">
        <w:t xml:space="preserve">in </w:t>
      </w:r>
      <w:r w:rsidR="006876C0">
        <w:t>Appendix </w:t>
      </w:r>
      <w:r w:rsidRPr="005A452A" w:rsidR="009A7531">
        <w:t>1</w:t>
      </w:r>
      <w:r w:rsidRPr="005A452A">
        <w:t xml:space="preserve">, SDG&amp;E has </w:t>
      </w:r>
      <w:r w:rsidRPr="005A452A" w:rsidR="009A7531">
        <w:t>set</w:t>
      </w:r>
      <w:r w:rsidRPr="005A452A">
        <w:t xml:space="preserve"> </w:t>
      </w:r>
      <w:r w:rsidR="00ED7F85">
        <w:t xml:space="preserve">both </w:t>
      </w:r>
      <w:r w:rsidRPr="005A452A">
        <w:t xml:space="preserve">a volumetric cap and a capacity </w:t>
      </w:r>
      <w:r w:rsidRPr="005A452A" w:rsidR="009A7531">
        <w:t>limit</w:t>
      </w:r>
      <w:r w:rsidRPr="005A452A">
        <w:t xml:space="preserve"> o</w:t>
      </w:r>
      <w:r w:rsidRPr="005A452A" w:rsidR="009A7531">
        <w:t>n</w:t>
      </w:r>
      <w:r w:rsidRPr="005A452A">
        <w:t xml:space="preserve"> the amount of new eligible renewable resources it may procure </w:t>
      </w:r>
      <w:r w:rsidR="00ED7F85">
        <w:t>should</w:t>
      </w:r>
      <w:r w:rsidRPr="005A452A">
        <w:t xml:space="preserve"> it </w:t>
      </w:r>
      <w:r w:rsidRPr="005A452A" w:rsidR="009A7531">
        <w:t xml:space="preserve">choose to </w:t>
      </w:r>
      <w:r w:rsidR="00ED7F85">
        <w:t>hold a solicitation</w:t>
      </w:r>
      <w:r w:rsidRPr="005A452A">
        <w:t>.</w:t>
      </w:r>
      <w:r w:rsidRPr="005A452A" w:rsidR="005D139E">
        <w:rPr>
          <w:rStyle w:val="FootnoteReference"/>
        </w:rPr>
        <w:footnoteReference w:id="83"/>
      </w:r>
    </w:p>
    <w:p w:rsidR="00A06A8B" w:rsidP="00F277D4" w:rsidRDefault="00873636" w14:paraId="7187A9C9" w14:textId="2B84BF3E">
      <w:pPr>
        <w:pStyle w:val="Standard"/>
      </w:pPr>
      <w:r>
        <w:t>According to SDG&amp;E</w:t>
      </w:r>
      <w:r w:rsidR="005A00BE">
        <w:t>’</w:t>
      </w:r>
      <w:r>
        <w:t xml:space="preserve">s Draft </w:t>
      </w:r>
      <w:r w:rsidR="00950E04">
        <w:t>2025 RPS</w:t>
      </w:r>
      <w:r>
        <w:t xml:space="preserve"> Plan, i</w:t>
      </w:r>
      <w:r w:rsidR="00A06A8B">
        <w:t>n order to have flexibility in its planning to meet RPS obligations in a cost</w:t>
      </w:r>
      <w:r w:rsidR="00E54574">
        <w:noBreakHyphen/>
      </w:r>
      <w:r w:rsidR="00A06A8B">
        <w:t xml:space="preserve">effective manner, </w:t>
      </w:r>
      <w:r w:rsidRPr="00ED7F85" w:rsidR="00ED7F85">
        <w:t xml:space="preserve">SDG&amp;E may </w:t>
      </w:r>
      <w:r w:rsidR="00591FEC">
        <w:t>pursue</w:t>
      </w:r>
      <w:r w:rsidRPr="00ED7F85" w:rsidR="00ED7F85">
        <w:t xml:space="preserve"> short</w:t>
      </w:r>
      <w:r w:rsidR="00E54574">
        <w:noBreakHyphen/>
      </w:r>
      <w:r w:rsidRPr="00ED7F85" w:rsidR="00ED7F85">
        <w:t xml:space="preserve">term optimization opportunities, </w:t>
      </w:r>
      <w:r w:rsidR="00591FEC">
        <w:t>including</w:t>
      </w:r>
      <w:r w:rsidRPr="00ED7F85" w:rsidR="00ED7F85">
        <w:t xml:space="preserve"> the purchase and/or sale of RPS products </w:t>
      </w:r>
      <w:r w:rsidR="00A06A8B">
        <w:t>through solicitations, bilateral</w:t>
      </w:r>
      <w:r w:rsidR="00591FEC">
        <w:t xml:space="preserve"> agreements</w:t>
      </w:r>
      <w:r w:rsidR="00A06A8B">
        <w:t xml:space="preserve">, </w:t>
      </w:r>
      <w:r w:rsidR="00591FEC">
        <w:t xml:space="preserve">or </w:t>
      </w:r>
      <w:r w:rsidR="00A06A8B">
        <w:t xml:space="preserve">brokers </w:t>
      </w:r>
      <w:r w:rsidR="000F7A2B">
        <w:t>and</w:t>
      </w:r>
      <w:r w:rsidR="00A06A8B">
        <w:t xml:space="preserve"> exchanges</w:t>
      </w:r>
      <w:r w:rsidR="000F7A2B">
        <w:t>.</w:t>
      </w:r>
      <w:r w:rsidR="000F7A2B">
        <w:rPr>
          <w:rStyle w:val="FootnoteReference"/>
        </w:rPr>
        <w:footnoteReference w:id="84"/>
      </w:r>
      <w:r w:rsidR="00591FEC">
        <w:t xml:space="preserve"> </w:t>
      </w:r>
      <w:r w:rsidR="003B5D05">
        <w:t>According to SDG&amp;E, t</w:t>
      </w:r>
      <w:r w:rsidR="00591FEC">
        <w:t>hese actions are driven by the</w:t>
      </w:r>
      <w:r>
        <w:t xml:space="preserve"> fast</w:t>
      </w:r>
      <w:r w:rsidR="00E54574">
        <w:noBreakHyphen/>
      </w:r>
      <w:r>
        <w:t>paced market for RECs</w:t>
      </w:r>
      <w:r w:rsidR="00591FEC">
        <w:t>.</w:t>
      </w:r>
    </w:p>
    <w:p w:rsidR="00F023E7" w:rsidP="00F277D4" w:rsidRDefault="0047690F" w14:paraId="6AF931AE" w14:textId="09321275">
      <w:pPr>
        <w:pStyle w:val="Standard"/>
      </w:pPr>
      <w:r w:rsidRPr="0047690F">
        <w:t>The Commission approves SDG&amp;E</w:t>
      </w:r>
      <w:r w:rsidR="005A00BE">
        <w:t>’</w:t>
      </w:r>
      <w:r w:rsidRPr="0047690F">
        <w:t>s request for the option to procure RECs for compliance through solicitations, bilateral agreements, or brokers and exchanges</w:t>
      </w:r>
      <w:r w:rsidRPr="00007B5A" w:rsidR="00007B5A">
        <w:t xml:space="preserve">. SDG&amp;E must submit a </w:t>
      </w:r>
      <w:r w:rsidR="00AF70D1">
        <w:t>Tier 1</w:t>
      </w:r>
      <w:r w:rsidRPr="00007B5A" w:rsidR="00007B5A">
        <w:t xml:space="preserve"> </w:t>
      </w:r>
      <w:r w:rsidR="00B83B7D">
        <w:t xml:space="preserve">or </w:t>
      </w:r>
      <w:r w:rsidR="00AF70D1">
        <w:t>Tier 3</w:t>
      </w:r>
      <w:r w:rsidR="00B83B7D">
        <w:t xml:space="preserve"> </w:t>
      </w:r>
      <w:r w:rsidR="00FA362B">
        <w:t>A</w:t>
      </w:r>
      <w:r w:rsidRPr="00007B5A" w:rsidR="00007B5A">
        <w:t xml:space="preserve">dvice </w:t>
      </w:r>
      <w:r w:rsidR="00FA362B">
        <w:t>L</w:t>
      </w:r>
      <w:r w:rsidRPr="00007B5A" w:rsidR="00007B5A">
        <w:t>etter for review and approval of short</w:t>
      </w:r>
      <w:r w:rsidR="00E54574">
        <w:noBreakHyphen/>
      </w:r>
      <w:r w:rsidRPr="00007B5A" w:rsidR="00007B5A">
        <w:t xml:space="preserve">term </w:t>
      </w:r>
      <w:r w:rsidR="00B83B7D">
        <w:t>and long</w:t>
      </w:r>
      <w:r w:rsidR="00E54574">
        <w:noBreakHyphen/>
      </w:r>
      <w:r w:rsidR="00B83B7D">
        <w:t xml:space="preserve">term </w:t>
      </w:r>
      <w:r w:rsidRPr="00007B5A" w:rsidR="00007B5A">
        <w:t>purchases</w:t>
      </w:r>
      <w:r w:rsidR="00B83B7D">
        <w:t>, respectively</w:t>
      </w:r>
      <w:r w:rsidRPr="00007B5A" w:rsidR="00007B5A">
        <w:t>. SDG&amp;E must also demonstrate that contracts are RPS</w:t>
      </w:r>
      <w:r w:rsidR="00E54574">
        <w:noBreakHyphen/>
      </w:r>
      <w:r w:rsidRPr="00007B5A" w:rsidR="00007B5A">
        <w:t>eligible and that they are either needed to meet RPS needs or that the contracts are necessary to comply with IRP procurement orders.</w:t>
      </w:r>
    </w:p>
    <w:p w:rsidR="009443F3" w:rsidP="00F277D4" w:rsidRDefault="00B471F2" w14:paraId="10055DBC" w14:textId="766C3419">
      <w:pPr>
        <w:pStyle w:val="Heading3"/>
      </w:pPr>
      <w:bookmarkStart w:name="_Toc212716156" w:id="80"/>
      <w:bookmarkStart w:name="_Toc214004360" w:id="81"/>
      <w:r>
        <w:lastRenderedPageBreak/>
        <w:t>San </w:t>
      </w:r>
      <w:r w:rsidRPr="00B849DA" w:rsidR="00B849DA">
        <w:t>Diego Gas</w:t>
      </w:r>
      <w:r>
        <w:t xml:space="preserve"> &amp; </w:t>
      </w:r>
      <w:r w:rsidRPr="00B849DA" w:rsidR="00B849DA">
        <w:t>Electric Company</w:t>
      </w:r>
      <w:r w:rsidR="005A00BE">
        <w:t>’</w:t>
      </w:r>
      <w:r w:rsidR="00635180">
        <w:t xml:space="preserve">s Request for Authority to Sell </w:t>
      </w:r>
      <w:r w:rsidRPr="00C55273" w:rsidR="009E01F1">
        <w:t>Renewables Portfolio Standard</w:t>
      </w:r>
      <w:r w:rsidR="00627C21">
        <w:t xml:space="preserve"> Volumes</w:t>
      </w:r>
      <w:bookmarkEnd w:id="80"/>
      <w:bookmarkEnd w:id="81"/>
    </w:p>
    <w:p w:rsidR="00F023E7" w:rsidP="00F277D4" w:rsidRDefault="009443F3" w14:paraId="465A8947" w14:textId="565A389A">
      <w:pPr>
        <w:pStyle w:val="Standard"/>
        <w:tabs>
          <w:tab w:val="left" w:pos="2160"/>
        </w:tabs>
      </w:pPr>
      <w:r w:rsidRPr="00724FA4">
        <w:t xml:space="preserve">In its Draft </w:t>
      </w:r>
      <w:r w:rsidR="00950E04">
        <w:t>2025 RPS</w:t>
      </w:r>
      <w:r w:rsidRPr="00724FA4">
        <w:t xml:space="preserve"> Plan, SDG&amp;E requests authorization to sell RPS volumes from</w:t>
      </w:r>
      <w:r w:rsidR="00E541F1">
        <w:t xml:space="preserve"> </w:t>
      </w:r>
      <w:r w:rsidR="009B7DB4">
        <w:t>its</w:t>
      </w:r>
      <w:r w:rsidRPr="00724FA4">
        <w:t xml:space="preserve"> </w:t>
      </w:r>
      <w:r w:rsidRPr="00724FA4" w:rsidR="009849B9">
        <w:t>RPS portfolio</w:t>
      </w:r>
      <w:r w:rsidR="009B7DB4">
        <w:t>,</w:t>
      </w:r>
      <w:r w:rsidRPr="00724FA4" w:rsidR="009849B9">
        <w:t xml:space="preserve"> including </w:t>
      </w:r>
      <w:r w:rsidRPr="00724FA4">
        <w:t>PCIA</w:t>
      </w:r>
      <w:r w:rsidR="00E54574">
        <w:noBreakHyphen/>
      </w:r>
      <w:r w:rsidRPr="00724FA4">
        <w:t xml:space="preserve">eligible </w:t>
      </w:r>
      <w:r w:rsidRPr="00724FA4" w:rsidR="000D484E">
        <w:t>resources</w:t>
      </w:r>
      <w:r w:rsidR="00E541F1">
        <w:t>;</w:t>
      </w:r>
      <w:r w:rsidRPr="00724FA4">
        <w:t xml:space="preserve"> </w:t>
      </w:r>
      <w:r w:rsidR="009B7DB4">
        <w:t>its</w:t>
      </w:r>
      <w:r w:rsidRPr="00724FA4">
        <w:t xml:space="preserve"> PCIA</w:t>
      </w:r>
      <w:r w:rsidR="00E54574">
        <w:noBreakHyphen/>
      </w:r>
      <w:r w:rsidRPr="00724FA4">
        <w:t>eligible portfolio allocation</w:t>
      </w:r>
      <w:r w:rsidR="00E541F1">
        <w:t xml:space="preserve">; </w:t>
      </w:r>
      <w:r w:rsidRPr="00724FA4" w:rsidR="00BA2111">
        <w:t>and</w:t>
      </w:r>
      <w:r w:rsidR="00E541F1">
        <w:t xml:space="preserve"> </w:t>
      </w:r>
      <w:r w:rsidRPr="00724FA4">
        <w:t xml:space="preserve">RECs that were not required to be offered </w:t>
      </w:r>
      <w:r w:rsidR="009B7DB4">
        <w:t>or</w:t>
      </w:r>
      <w:r w:rsidRPr="00724FA4">
        <w:t xml:space="preserve"> allocated </w:t>
      </w:r>
      <w:r w:rsidR="009B7DB4">
        <w:t>under</w:t>
      </w:r>
      <w:r w:rsidRPr="00724FA4">
        <w:t xml:space="preserve"> D.21</w:t>
      </w:r>
      <w:r w:rsidR="00E54574">
        <w:noBreakHyphen/>
      </w:r>
      <w:r w:rsidRPr="00724FA4">
        <w:t>05</w:t>
      </w:r>
      <w:r w:rsidR="00E54574">
        <w:noBreakHyphen/>
      </w:r>
      <w:r w:rsidRPr="00724FA4">
        <w:t>030</w:t>
      </w:r>
      <w:r w:rsidR="009B7DB4">
        <w:t>. These sales would be conducted</w:t>
      </w:r>
      <w:r w:rsidRPr="00724FA4">
        <w:t xml:space="preserve"> in accordance with SDG&amp;E</w:t>
      </w:r>
      <w:r w:rsidR="005A00BE">
        <w:t>’</w:t>
      </w:r>
      <w:r w:rsidRPr="00724FA4">
        <w:t xml:space="preserve">s RECs Sales Framework to provide </w:t>
      </w:r>
      <w:r w:rsidR="009B7DB4">
        <w:t xml:space="preserve">customer </w:t>
      </w:r>
      <w:r w:rsidRPr="00724FA4">
        <w:t>benefits</w:t>
      </w:r>
      <w:r w:rsidR="009B7DB4">
        <w:t xml:space="preserve"> </w:t>
      </w:r>
      <w:r w:rsidRPr="00724FA4">
        <w:t>while maintaining RPS compliance.</w:t>
      </w:r>
      <w:r w:rsidRPr="00724FA4">
        <w:rPr>
          <w:vertAlign w:val="superscript"/>
        </w:rPr>
        <w:footnoteReference w:id="85"/>
      </w:r>
    </w:p>
    <w:p w:rsidRPr="00724FA4" w:rsidR="009443F3" w:rsidP="00F277D4" w:rsidRDefault="00724FA4" w14:paraId="0E7B3573" w14:textId="00489705">
      <w:pPr>
        <w:pStyle w:val="Standard"/>
        <w:tabs>
          <w:tab w:val="left" w:pos="2160"/>
        </w:tabs>
      </w:pPr>
      <w:r w:rsidRPr="00724FA4">
        <w:t xml:space="preserve">To further balance its portfolio, SDG&amp;E </w:t>
      </w:r>
      <w:r w:rsidR="00F93824">
        <w:t xml:space="preserve">may </w:t>
      </w:r>
      <w:r w:rsidRPr="00724FA4">
        <w:t>sell REC volumes from the PCIA</w:t>
      </w:r>
      <w:r w:rsidR="00E54574">
        <w:noBreakHyphen/>
      </w:r>
      <w:r w:rsidRPr="00724FA4">
        <w:t>eligible portfolio prior to the distribution of the VAMO transactions</w:t>
      </w:r>
      <w:r>
        <w:t>.</w:t>
      </w:r>
      <w:r w:rsidRPr="00724FA4">
        <w:t xml:space="preserve"> </w:t>
      </w:r>
      <w:r w:rsidR="00F93824">
        <w:t xml:space="preserve">In addition, SDG&amp;E may </w:t>
      </w:r>
      <w:r w:rsidRPr="00724FA4">
        <w:t xml:space="preserve">sell volumes not allocated </w:t>
      </w:r>
      <w:r w:rsidR="00F93824">
        <w:t>through</w:t>
      </w:r>
      <w:r w:rsidRPr="00724FA4">
        <w:t xml:space="preserve"> the VAMO process if </w:t>
      </w:r>
      <w:r w:rsidR="00F93824">
        <w:t>those</w:t>
      </w:r>
      <w:r w:rsidRPr="00724FA4">
        <w:t xml:space="preserve"> volumes </w:t>
      </w:r>
      <w:r w:rsidR="00F93824">
        <w:t xml:space="preserve">are not needed for </w:t>
      </w:r>
      <w:r w:rsidRPr="00724FA4">
        <w:t xml:space="preserve">compliance. </w:t>
      </w:r>
      <w:r w:rsidR="00F93824">
        <w:t>P</w:t>
      </w:r>
      <w:r w:rsidRPr="00724FA4">
        <w:t>otential revenue</w:t>
      </w:r>
      <w:r w:rsidR="00F93824">
        <w:t>s</w:t>
      </w:r>
      <w:r w:rsidRPr="00724FA4">
        <w:t xml:space="preserve"> </w:t>
      </w:r>
      <w:r w:rsidR="00F93824">
        <w:t xml:space="preserve">from these sales could help support </w:t>
      </w:r>
      <w:r w:rsidRPr="00724FA4">
        <w:t>affordability for both bundled and unbundled customers.</w:t>
      </w:r>
      <w:r w:rsidR="002C6E08">
        <w:rPr>
          <w:rStyle w:val="FootnoteReference"/>
        </w:rPr>
        <w:footnoteReference w:id="86"/>
      </w:r>
    </w:p>
    <w:p w:rsidR="00697787" w:rsidP="00F277D4" w:rsidRDefault="00697787" w14:paraId="0AA515F3" w14:textId="32265262">
      <w:pPr>
        <w:pStyle w:val="Standard"/>
        <w:tabs>
          <w:tab w:val="left" w:pos="2160"/>
        </w:tabs>
      </w:pPr>
      <w:r>
        <w:t>If SDG&amp;E forecasts excess RECs in its portfolio, it will perform a short</w:t>
      </w:r>
      <w:r w:rsidR="00E54574">
        <w:noBreakHyphen/>
      </w:r>
      <w:r>
        <w:t xml:space="preserve"> and long</w:t>
      </w:r>
      <w:r w:rsidR="00E54574">
        <w:noBreakHyphen/>
      </w:r>
      <w:r>
        <w:t>term quantitative and qualitative cost benefit analysis associated with the RECs to determine next steps</w:t>
      </w:r>
      <w:r w:rsidR="00724FA4">
        <w:t xml:space="preserve">, </w:t>
      </w:r>
      <w:r w:rsidRPr="00724FA4">
        <w:rPr>
          <w:i/>
          <w:iCs/>
        </w:rPr>
        <w:t>i.e.</w:t>
      </w:r>
      <w:r w:rsidR="00724FA4">
        <w:t>,</w:t>
      </w:r>
      <w:r>
        <w:t xml:space="preserve"> bank or sell</w:t>
      </w:r>
      <w:r w:rsidR="00724FA4">
        <w:t>.</w:t>
      </w:r>
      <w:r w:rsidR="00724FA4">
        <w:rPr>
          <w:rStyle w:val="FootnoteReference"/>
        </w:rPr>
        <w:footnoteReference w:id="87"/>
      </w:r>
      <w:r w:rsidR="00724FA4">
        <w:t xml:space="preserve"> A </w:t>
      </w:r>
      <w:r>
        <w:t>quantitative analysis</w:t>
      </w:r>
      <w:r w:rsidR="00724FA4">
        <w:t xml:space="preserve"> would </w:t>
      </w:r>
      <w:r>
        <w:t>consider SDG&amp;E</w:t>
      </w:r>
      <w:r w:rsidR="005A00BE">
        <w:t>’</w:t>
      </w:r>
      <w:r>
        <w:t xml:space="preserve">s RPS position, time value </w:t>
      </w:r>
      <w:r w:rsidR="002C6E08">
        <w:t xml:space="preserve">of </w:t>
      </w:r>
      <w:r>
        <w:t xml:space="preserve">revenues </w:t>
      </w:r>
      <w:r w:rsidR="00A640D0">
        <w:t xml:space="preserve">from the potential </w:t>
      </w:r>
      <w:r>
        <w:t xml:space="preserve">REC sale, </w:t>
      </w:r>
      <w:r w:rsidR="00A640D0">
        <w:t xml:space="preserve">and the </w:t>
      </w:r>
      <w:r>
        <w:t xml:space="preserve">potential REC replacement cost, </w:t>
      </w:r>
      <w:r w:rsidR="00724FA4">
        <w:t xml:space="preserve">while a </w:t>
      </w:r>
      <w:r>
        <w:t>qualitative analysis</w:t>
      </w:r>
      <w:r w:rsidR="00724FA4">
        <w:t xml:space="preserve"> would </w:t>
      </w:r>
      <w:r>
        <w:t>consider</w:t>
      </w:r>
      <w:r w:rsidR="00724FA4">
        <w:t xml:space="preserve"> the</w:t>
      </w:r>
      <w:r>
        <w:t xml:space="preserve"> impact on market liquidity </w:t>
      </w:r>
      <w:r w:rsidR="00724FA4">
        <w:t>and</w:t>
      </w:r>
      <w:r w:rsidR="0039324D">
        <w:t xml:space="preserve"> </w:t>
      </w:r>
      <w:r>
        <w:t>SDG&amp;E</w:t>
      </w:r>
      <w:r w:rsidR="005A00BE">
        <w:t>’</w:t>
      </w:r>
      <w:r>
        <w:t>s RPS position</w:t>
      </w:r>
      <w:r w:rsidR="00A640D0">
        <w:t>.</w:t>
      </w:r>
    </w:p>
    <w:p w:rsidRPr="00C57609" w:rsidR="003F4C61" w:rsidP="00F277D4" w:rsidRDefault="002C6E08" w14:paraId="5D4898E6" w14:textId="613208F3">
      <w:pPr>
        <w:pStyle w:val="Standard"/>
        <w:tabs>
          <w:tab w:val="left" w:pos="2160"/>
        </w:tabs>
      </w:pPr>
      <w:r>
        <w:t xml:space="preserve">Because </w:t>
      </w:r>
      <w:r w:rsidRPr="002C6E08">
        <w:t xml:space="preserve">selling excess RECs can provide savings to ratepayers while maintaining </w:t>
      </w:r>
      <w:r>
        <w:t>SDG&amp;E</w:t>
      </w:r>
      <w:r w:rsidR="005A00BE">
        <w:t>’</w:t>
      </w:r>
      <w:r>
        <w:t xml:space="preserve">s </w:t>
      </w:r>
      <w:r w:rsidRPr="002C6E08">
        <w:t>RPS compliance</w:t>
      </w:r>
      <w:r>
        <w:t xml:space="preserve">, </w:t>
      </w:r>
      <w:r w:rsidRPr="00265BED" w:rsidR="009443F3">
        <w:t>SDG&amp;E</w:t>
      </w:r>
      <w:r w:rsidR="005A00BE">
        <w:t>’</w:t>
      </w:r>
      <w:r w:rsidRPr="00265BED" w:rsidR="009443F3">
        <w:t xml:space="preserve">s request for the option to sell </w:t>
      </w:r>
      <w:r w:rsidRPr="00265BED" w:rsidR="009443F3">
        <w:lastRenderedPageBreak/>
        <w:t xml:space="preserve">RPS volumes is </w:t>
      </w:r>
      <w:r w:rsidRPr="00265BED">
        <w:t xml:space="preserve">reasonable and </w:t>
      </w:r>
      <w:r w:rsidRPr="00265BED" w:rsidR="009443F3">
        <w:t xml:space="preserve">approved with modifications. </w:t>
      </w:r>
      <w:r w:rsidRPr="00BA2111" w:rsidR="00BA2111">
        <w:t xml:space="preserve">SDG&amp;E must submit a </w:t>
      </w:r>
      <w:r w:rsidR="00AF70D1">
        <w:t>Tier 1</w:t>
      </w:r>
      <w:r w:rsidRPr="00BA2111" w:rsidR="00BA2111">
        <w:t xml:space="preserve"> Advice Letter for review and approval of short</w:t>
      </w:r>
      <w:r w:rsidR="00E54574">
        <w:noBreakHyphen/>
      </w:r>
      <w:r w:rsidRPr="00BA2111" w:rsidR="00BA2111">
        <w:t xml:space="preserve">term </w:t>
      </w:r>
      <w:r w:rsidR="00BA2111">
        <w:t>sales</w:t>
      </w:r>
      <w:r w:rsidR="006234B1">
        <w:t>.</w:t>
      </w:r>
    </w:p>
    <w:p w:rsidR="009443F3" w:rsidP="00F277D4" w:rsidRDefault="00B471F2" w14:paraId="44FA3D41" w14:textId="1681480B">
      <w:pPr>
        <w:pStyle w:val="Heading3"/>
      </w:pPr>
      <w:bookmarkStart w:name="_Toc212716157" w:id="82"/>
      <w:bookmarkStart w:name="_Toc214004361" w:id="83"/>
      <w:r>
        <w:t>San </w:t>
      </w:r>
      <w:r w:rsidRPr="00B849DA" w:rsidR="00B849DA">
        <w:t>Diego Gas</w:t>
      </w:r>
      <w:r>
        <w:t xml:space="preserve"> &amp; </w:t>
      </w:r>
      <w:r w:rsidRPr="00B849DA" w:rsidR="00B849DA">
        <w:t>Electric Company</w:t>
      </w:r>
      <w:r w:rsidR="005A00BE">
        <w:t>’</w:t>
      </w:r>
      <w:r w:rsidR="00635180">
        <w:t>s Request</w:t>
      </w:r>
      <w:r w:rsidRPr="00F4339A" w:rsidR="00F4339A">
        <w:t xml:space="preserve"> </w:t>
      </w:r>
      <w:r w:rsidR="00F4339A">
        <w:t xml:space="preserve">for </w:t>
      </w:r>
      <w:r w:rsidRPr="00F4339A" w:rsidR="00F4339A">
        <w:t xml:space="preserve">Flexibility to Buy and Sell </w:t>
      </w:r>
      <w:r w:rsidRPr="00BD5BD7" w:rsidR="00BD5BD7">
        <w:t>Renewable Energy Credit</w:t>
      </w:r>
      <w:r w:rsidRPr="00F4339A" w:rsidR="00F4339A">
        <w:t>s in the Same Year and/or Compliance Period</w:t>
      </w:r>
      <w:bookmarkEnd w:id="82"/>
      <w:bookmarkEnd w:id="83"/>
    </w:p>
    <w:p w:rsidR="00F023E7" w:rsidP="00F277D4" w:rsidRDefault="009443F3" w14:paraId="3BB2444C" w14:textId="7B21D44A">
      <w:pPr>
        <w:pStyle w:val="Standard"/>
      </w:pPr>
      <w:r w:rsidRPr="00EC4657">
        <w:t xml:space="preserve">SDG&amp;E </w:t>
      </w:r>
      <w:r w:rsidRPr="00EC4657" w:rsidR="005A74FC">
        <w:t>requests</w:t>
      </w:r>
      <w:r w:rsidRPr="00EC4657">
        <w:t xml:space="preserve"> </w:t>
      </w:r>
      <w:r w:rsidR="00B53006">
        <w:t xml:space="preserve">approval for </w:t>
      </w:r>
      <w:r w:rsidRPr="00EC4657">
        <w:t xml:space="preserve">flexibility to manage its RPS portfolio by </w:t>
      </w:r>
      <w:r w:rsidR="005A74FC">
        <w:t>conducting short</w:t>
      </w:r>
      <w:r w:rsidR="00E54574">
        <w:noBreakHyphen/>
      </w:r>
      <w:r w:rsidR="005A74FC">
        <w:t xml:space="preserve">term REC sales, and </w:t>
      </w:r>
      <w:r w:rsidR="00B53006">
        <w:t xml:space="preserve">both </w:t>
      </w:r>
      <w:r w:rsidR="005A74FC">
        <w:t>short</w:t>
      </w:r>
      <w:r w:rsidR="00E54574">
        <w:noBreakHyphen/>
      </w:r>
      <w:r w:rsidR="005A74FC">
        <w:t>term and long</w:t>
      </w:r>
      <w:r w:rsidR="00E54574">
        <w:noBreakHyphen/>
      </w:r>
      <w:r w:rsidR="005A74FC">
        <w:t>term RPS procurement in the same year and/or compliance period</w:t>
      </w:r>
      <w:r w:rsidR="00B53006">
        <w:t xml:space="preserve">. This flexibility would enable SDG&amp;E </w:t>
      </w:r>
      <w:r w:rsidR="005A74FC">
        <w:t>to meet compliance</w:t>
      </w:r>
      <w:r w:rsidR="00B53006">
        <w:t xml:space="preserve"> obligations</w:t>
      </w:r>
      <w:r w:rsidR="005A74FC">
        <w:t xml:space="preserve">, </w:t>
      </w:r>
      <w:r w:rsidR="00B53006">
        <w:t>respond to</w:t>
      </w:r>
      <w:r w:rsidR="005A74FC">
        <w:t xml:space="preserve"> increas</w:t>
      </w:r>
      <w:r w:rsidR="00B53006">
        <w:t>ing market</w:t>
      </w:r>
      <w:r w:rsidR="005A74FC">
        <w:t xml:space="preserve"> competition, adapt to changing market</w:t>
      </w:r>
      <w:r w:rsidR="00B53006">
        <w:t xml:space="preserve"> conditions</w:t>
      </w:r>
      <w:r w:rsidR="005A74FC">
        <w:t>,</w:t>
      </w:r>
      <w:r w:rsidR="005A74FC">
        <w:rPr>
          <w:rFonts w:eastAsia="Book Antiqua" w:cs="Book Antiqua"/>
        </w:rPr>
        <w:t xml:space="preserve"> and </w:t>
      </w:r>
      <w:r w:rsidR="00B53006">
        <w:rPr>
          <w:rFonts w:eastAsia="Book Antiqua" w:cs="Book Antiqua"/>
        </w:rPr>
        <w:t>pursue</w:t>
      </w:r>
      <w:r w:rsidR="005A74FC">
        <w:rPr>
          <w:rFonts w:eastAsia="Book Antiqua" w:cs="Book Antiqua"/>
        </w:rPr>
        <w:t xml:space="preserve"> the most </w:t>
      </w:r>
      <w:r w:rsidR="00B53006">
        <w:t>cost</w:t>
      </w:r>
      <w:r w:rsidR="00E54574">
        <w:noBreakHyphen/>
      </w:r>
      <w:r w:rsidR="00B53006">
        <w:t>effective</w:t>
      </w:r>
      <w:r w:rsidR="005A74FC">
        <w:t xml:space="preserve"> option</w:t>
      </w:r>
      <w:r w:rsidR="00B53006">
        <w:t>s</w:t>
      </w:r>
      <w:r w:rsidR="005A74FC">
        <w:t xml:space="preserve"> for its bundled customers.</w:t>
      </w:r>
      <w:r w:rsidR="005A74FC">
        <w:rPr>
          <w:rStyle w:val="FootnoteReference"/>
        </w:rPr>
        <w:footnoteReference w:id="88"/>
      </w:r>
      <w:r w:rsidR="00E4454D">
        <w:t xml:space="preserve"> </w:t>
      </w:r>
      <w:r w:rsidR="005A74FC">
        <w:t xml:space="preserve">SDG&amp;E asserts that </w:t>
      </w:r>
      <w:r w:rsidR="00B53006">
        <w:t xml:space="preserve">granting </w:t>
      </w:r>
      <w:r w:rsidR="005A74FC">
        <w:t xml:space="preserve">this authority would allow SDG&amp;E to </w:t>
      </w:r>
      <w:r w:rsidR="00B53006">
        <w:t>respond more</w:t>
      </w:r>
      <w:r w:rsidR="005A74FC">
        <w:t xml:space="preserve"> quickly to </w:t>
      </w:r>
      <w:r w:rsidR="00B53006">
        <w:t>market dynamics</w:t>
      </w:r>
      <w:r w:rsidR="005A74FC">
        <w:t xml:space="preserve"> and manage its portfolio </w:t>
      </w:r>
      <w:r w:rsidR="00B53006">
        <w:t>more efficiently</w:t>
      </w:r>
      <w:r w:rsidR="005A74FC">
        <w:t>.</w:t>
      </w:r>
    </w:p>
    <w:p w:rsidR="00007B5A" w:rsidP="00F277D4" w:rsidRDefault="003F5528" w14:paraId="721B7D2D" w14:textId="558DD7EF">
      <w:pPr>
        <w:pStyle w:val="Standard"/>
      </w:pPr>
      <w:r>
        <w:t>Because approving this strategy would allow SDG&amp;E to manage its RPS portfolio more efficiently and cost</w:t>
      </w:r>
      <w:r w:rsidR="00E54574">
        <w:noBreakHyphen/>
      </w:r>
      <w:r>
        <w:t>effectively, t</w:t>
      </w:r>
      <w:r w:rsidRPr="00007B5A" w:rsidR="00007B5A">
        <w:t>he Commission finds SDG&amp;E</w:t>
      </w:r>
      <w:r w:rsidR="005A00BE">
        <w:t>’</w:t>
      </w:r>
      <w:r w:rsidRPr="00007B5A" w:rsidR="00007B5A">
        <w:t>s por</w:t>
      </w:r>
      <w:r>
        <w:t xml:space="preserve">tfolio optimization reasonable and </w:t>
      </w:r>
      <w:r w:rsidRPr="00007B5A" w:rsidR="00007B5A">
        <w:t xml:space="preserve">approves it with modification. SDG&amp;E is authorized to conduct </w:t>
      </w:r>
      <w:r>
        <w:t xml:space="preserve">the approved transactions </w:t>
      </w:r>
      <w:r w:rsidRPr="00007B5A" w:rsidR="00007B5A">
        <w:t>in the same year</w:t>
      </w:r>
      <w:r w:rsidR="00EC4657">
        <w:t>.</w:t>
      </w:r>
    </w:p>
    <w:p w:rsidR="00431EB8" w:rsidP="00F277D4" w:rsidRDefault="00B471F2" w14:paraId="388DAA93" w14:textId="2C37095E">
      <w:pPr>
        <w:pStyle w:val="Heading3"/>
      </w:pPr>
      <w:bookmarkStart w:name="_Toc212716158" w:id="84"/>
      <w:bookmarkStart w:name="_Toc214004362" w:id="85"/>
      <w:r>
        <w:t>San </w:t>
      </w:r>
      <w:r w:rsidRPr="00B849DA" w:rsidR="00B849DA">
        <w:t>Diego Gas</w:t>
      </w:r>
      <w:r>
        <w:t xml:space="preserve"> &amp; </w:t>
      </w:r>
      <w:r w:rsidRPr="00B849DA" w:rsidR="00B849DA">
        <w:t>Electric Company</w:t>
      </w:r>
      <w:r w:rsidR="005A00BE">
        <w:t>’</w:t>
      </w:r>
      <w:r w:rsidR="00272CC1">
        <w:t>s Authorization to Participate in</w:t>
      </w:r>
      <w:r w:rsidR="00E5052A">
        <w:br/>
      </w:r>
      <w:r w:rsidRPr="00FA2FAE" w:rsidR="00FA2FAE">
        <w:t>Request</w:t>
      </w:r>
      <w:r w:rsidR="00891D51">
        <w:t>s</w:t>
      </w:r>
      <w:r w:rsidRPr="00FA2FAE" w:rsidR="00FA2FAE">
        <w:t xml:space="preserve"> for Offer</w:t>
      </w:r>
      <w:r w:rsidR="00272CC1">
        <w:t>s and Utilize</w:t>
      </w:r>
      <w:r w:rsidR="00745C70">
        <w:br/>
      </w:r>
      <w:r w:rsidR="00272CC1">
        <w:t>Both Brokers and Exchanges</w:t>
      </w:r>
      <w:bookmarkEnd w:id="84"/>
      <w:bookmarkEnd w:id="85"/>
    </w:p>
    <w:p w:rsidR="003F4C61" w:rsidP="00F277D4" w:rsidRDefault="00707AF0" w14:paraId="5803B95A" w14:textId="7573DA7E">
      <w:pPr>
        <w:pStyle w:val="Standard"/>
        <w:tabs>
          <w:tab w:val="left" w:pos="2349"/>
        </w:tabs>
      </w:pPr>
      <w:r>
        <w:t>To maintain</w:t>
      </w:r>
      <w:r w:rsidR="003F4C61">
        <w:t xml:space="preserve"> flexibility in </w:t>
      </w:r>
      <w:r>
        <w:t>meeting its</w:t>
      </w:r>
      <w:r w:rsidR="003F4C61">
        <w:t xml:space="preserve"> RPS </w:t>
      </w:r>
      <w:r>
        <w:t xml:space="preserve">compliance </w:t>
      </w:r>
      <w:r w:rsidR="003F4C61">
        <w:t>obligations</w:t>
      </w:r>
      <w:r w:rsidR="00E4454D">
        <w:t xml:space="preserve"> and ensure a level playing field</w:t>
      </w:r>
      <w:r w:rsidR="00CD0A17">
        <w:t xml:space="preserve"> among market participants</w:t>
      </w:r>
      <w:r w:rsidR="003F4C61">
        <w:t xml:space="preserve">, </w:t>
      </w:r>
      <w:r w:rsidR="00E4454D">
        <w:t xml:space="preserve">SDG&amp;E </w:t>
      </w:r>
      <w:r w:rsidR="003F4C61">
        <w:t xml:space="preserve">requests authority to procure </w:t>
      </w:r>
      <w:r w:rsidR="00E4454D">
        <w:t xml:space="preserve">or sell </w:t>
      </w:r>
      <w:r w:rsidR="003F4C61">
        <w:t>R</w:t>
      </w:r>
      <w:r w:rsidR="00E4454D">
        <w:t>ECs</w:t>
      </w:r>
      <w:r w:rsidR="003F4C61">
        <w:t xml:space="preserve"> through </w:t>
      </w:r>
      <w:r w:rsidR="00CD0A17">
        <w:t xml:space="preserve">participating in </w:t>
      </w:r>
      <w:r w:rsidR="00E4454D">
        <w:t>RFO</w:t>
      </w:r>
      <w:r>
        <w:t>s</w:t>
      </w:r>
      <w:r w:rsidR="003F4C61">
        <w:t xml:space="preserve">, </w:t>
      </w:r>
      <w:r>
        <w:t xml:space="preserve">and </w:t>
      </w:r>
      <w:r w:rsidR="00CD0A17">
        <w:t xml:space="preserve">using </w:t>
      </w:r>
      <w:r w:rsidR="003F4C61">
        <w:t xml:space="preserve">brokers </w:t>
      </w:r>
      <w:r w:rsidR="00E4454D">
        <w:t>and</w:t>
      </w:r>
      <w:r w:rsidR="003F4C61">
        <w:t xml:space="preserve"> exchanges</w:t>
      </w:r>
      <w:r w:rsidR="00431EB8">
        <w:t>.</w:t>
      </w:r>
      <w:r w:rsidR="00431EB8">
        <w:rPr>
          <w:rStyle w:val="FootnoteReference"/>
        </w:rPr>
        <w:footnoteReference w:id="89"/>
      </w:r>
    </w:p>
    <w:p w:rsidRPr="00C57609" w:rsidR="00C57609" w:rsidP="00F277D4" w:rsidRDefault="00EC4657" w14:paraId="388F7B23" w14:textId="2254BCFE">
      <w:pPr>
        <w:pStyle w:val="Standard"/>
        <w:tabs>
          <w:tab w:val="left" w:pos="2349"/>
        </w:tabs>
      </w:pPr>
      <w:r w:rsidRPr="00EC4657">
        <w:lastRenderedPageBreak/>
        <w:t>SDG&amp;E</w:t>
      </w:r>
      <w:r w:rsidR="005A00BE">
        <w:t>’</w:t>
      </w:r>
      <w:r w:rsidRPr="00EC4657">
        <w:t>s request to procure or sell RECs through RFO participation, brokers and exchanges is reasonable and is approved. The use of brokers and exchanges for short</w:t>
      </w:r>
      <w:r w:rsidR="00E54574">
        <w:noBreakHyphen/>
      </w:r>
      <w:r w:rsidRPr="00EC4657">
        <w:t>term RPS transactions (</w:t>
      </w:r>
      <w:r w:rsidR="009948F8">
        <w:t>five</w:t>
      </w:r>
      <w:r w:rsidRPr="00EC4657">
        <w:t xml:space="preserve"> years or less) requires approval with a </w:t>
      </w:r>
      <w:r w:rsidR="00AF70D1">
        <w:t>Tier 1</w:t>
      </w:r>
      <w:r w:rsidRPr="00EC4657">
        <w:t xml:space="preserve"> </w:t>
      </w:r>
      <w:r w:rsidR="00FA362B">
        <w:t>A</w:t>
      </w:r>
      <w:r w:rsidRPr="00EC4657">
        <w:t xml:space="preserve">dvice </w:t>
      </w:r>
      <w:r w:rsidR="00FA362B">
        <w:t>L</w:t>
      </w:r>
      <w:r w:rsidRPr="00EC4657">
        <w:t>etter, while long</w:t>
      </w:r>
      <w:r w:rsidR="00E54574">
        <w:noBreakHyphen/>
      </w:r>
      <w:r w:rsidRPr="00EC4657">
        <w:t xml:space="preserve">term RPS procurement transactions require approval with a </w:t>
      </w:r>
      <w:r w:rsidR="00AF70D1">
        <w:t>Tier 3</w:t>
      </w:r>
      <w:r w:rsidRPr="00EC4657">
        <w:t xml:space="preserve"> </w:t>
      </w:r>
      <w:r w:rsidR="00FA362B">
        <w:t>A</w:t>
      </w:r>
      <w:r w:rsidRPr="00EC4657">
        <w:t xml:space="preserve">dvice </w:t>
      </w:r>
      <w:r w:rsidR="00FA362B">
        <w:t>L</w:t>
      </w:r>
      <w:r w:rsidRPr="00EC4657">
        <w:t>etter.</w:t>
      </w:r>
    </w:p>
    <w:p w:rsidR="00141154" w:rsidP="00F277D4" w:rsidRDefault="00B471F2" w14:paraId="55ECD2FD" w14:textId="5243CC58">
      <w:pPr>
        <w:pStyle w:val="Heading3"/>
      </w:pPr>
      <w:bookmarkStart w:name="_Toc212716159" w:id="86"/>
      <w:bookmarkStart w:name="_Toc214004363" w:id="87"/>
      <w:r>
        <w:t>San </w:t>
      </w:r>
      <w:r w:rsidRPr="00B849DA" w:rsidR="00B849DA">
        <w:t>Diego Gas</w:t>
      </w:r>
      <w:r>
        <w:t xml:space="preserve"> &amp; </w:t>
      </w:r>
      <w:r w:rsidRPr="00B849DA" w:rsidR="00B849DA">
        <w:t>Electric Company</w:t>
      </w:r>
      <w:r w:rsidR="005A00BE">
        <w:t>’</w:t>
      </w:r>
      <w:r w:rsidR="00141154">
        <w:t>s Request for an</w:t>
      </w:r>
      <w:r w:rsidRPr="00141154" w:rsidR="00141154">
        <w:t xml:space="preserve"> Updated Approval Process for Short</w:t>
      </w:r>
      <w:r w:rsidR="00E54574">
        <w:noBreakHyphen/>
      </w:r>
      <w:r w:rsidRPr="00141154" w:rsidR="00141154">
        <w:t>Term Transactions</w:t>
      </w:r>
      <w:bookmarkEnd w:id="86"/>
      <w:bookmarkEnd w:id="87"/>
    </w:p>
    <w:p w:rsidR="00F023E7" w:rsidP="00F277D4" w:rsidRDefault="003B0F05" w14:paraId="44228F12" w14:textId="2B4DF9C7">
      <w:pPr>
        <w:pStyle w:val="Standard"/>
      </w:pPr>
      <w:r>
        <w:t>SDG&amp;E proposes an updated approval process for short</w:t>
      </w:r>
      <w:r w:rsidR="00E54574">
        <w:noBreakHyphen/>
      </w:r>
      <w:r>
        <w:t>term RPS transactions, lasting up to three years, to enable trading with brokers and through exchanges.</w:t>
      </w:r>
      <w:r w:rsidR="00EF18A6">
        <w:rPr>
          <w:rStyle w:val="FootnoteReference"/>
        </w:rPr>
        <w:footnoteReference w:id="90"/>
      </w:r>
    </w:p>
    <w:p w:rsidRPr="003B0F05" w:rsidR="006C147E" w:rsidP="00F277D4" w:rsidRDefault="006C147E" w14:paraId="7F1DB15D" w14:textId="4850B552">
      <w:pPr>
        <w:pStyle w:val="Standard"/>
      </w:pPr>
      <w:r w:rsidRPr="006C147E">
        <w:t xml:space="preserve">As discussed in </w:t>
      </w:r>
      <w:r w:rsidR="009850E3">
        <w:t>Section </w:t>
      </w:r>
      <w:r w:rsidR="005B26B2">
        <w:t>6</w:t>
      </w:r>
      <w:r w:rsidRPr="006C147E">
        <w:t xml:space="preserve">.1 of this decision, </w:t>
      </w:r>
      <w:r>
        <w:t>SDG&amp;E</w:t>
      </w:r>
      <w:r w:rsidR="005A00BE">
        <w:t>’</w:t>
      </w:r>
      <w:r w:rsidRPr="006C147E">
        <w:t>s request is denied without prejudice. This matter will be addressed in R.25</w:t>
      </w:r>
      <w:r w:rsidR="00E54574">
        <w:noBreakHyphen/>
      </w:r>
      <w:r w:rsidRPr="006C147E">
        <w:t>06</w:t>
      </w:r>
      <w:r w:rsidR="00E54574">
        <w:noBreakHyphen/>
      </w:r>
      <w:r w:rsidRPr="006C147E">
        <w:t>019.</w:t>
      </w:r>
    </w:p>
    <w:p w:rsidR="00272CC1" w:rsidP="00F277D4" w:rsidRDefault="007E0541" w14:paraId="54656A34" w14:textId="6B1622E2">
      <w:pPr>
        <w:pStyle w:val="Heading3"/>
      </w:pPr>
      <w:bookmarkStart w:name="_Toc212716160" w:id="88"/>
      <w:bookmarkStart w:name="_Toc214004364" w:id="89"/>
      <w:r>
        <w:t>Deficiencies</w:t>
      </w:r>
      <w:r w:rsidR="00D238C8">
        <w:t xml:space="preserve"> in </w:t>
      </w:r>
      <w:r w:rsidR="00B471F2">
        <w:t>San </w:t>
      </w:r>
      <w:r w:rsidRPr="00B849DA" w:rsidR="00B849DA">
        <w:t>Diego Gas</w:t>
      </w:r>
      <w:r w:rsidR="00B471F2">
        <w:t xml:space="preserve"> &amp; </w:t>
      </w:r>
      <w:r w:rsidRPr="00B849DA" w:rsidR="00B849DA">
        <w:t>Electric Company</w:t>
      </w:r>
      <w:r w:rsidR="005A00BE">
        <w:t>’</w:t>
      </w:r>
      <w:r w:rsidR="00D238C8">
        <w:t xml:space="preserve">s </w:t>
      </w:r>
      <w:r w:rsidR="002464FE">
        <w:t xml:space="preserve">Draft 2025 </w:t>
      </w:r>
      <w:r w:rsidRPr="00C55273" w:rsidR="009E01F1">
        <w:t>Renewables Portfolio Standard</w:t>
      </w:r>
      <w:r w:rsidR="00D238C8">
        <w:t xml:space="preserve"> Plan</w:t>
      </w:r>
      <w:bookmarkEnd w:id="88"/>
      <w:bookmarkEnd w:id="89"/>
    </w:p>
    <w:p w:rsidRPr="002713E7" w:rsidR="002713E7" w:rsidP="00F277D4" w:rsidRDefault="002713E7" w14:paraId="7B332B85" w14:textId="480B2725">
      <w:pPr>
        <w:pStyle w:val="Standard"/>
      </w:pPr>
      <w:r w:rsidRPr="002713E7">
        <w:t>SDG&amp;E</w:t>
      </w:r>
      <w:r w:rsidR="005A00BE">
        <w:t>’</w:t>
      </w:r>
      <w:r w:rsidRPr="002713E7">
        <w:t>s Draft 202</w:t>
      </w:r>
      <w:r w:rsidR="00810E73">
        <w:t>5</w:t>
      </w:r>
      <w:r w:rsidRPr="002713E7">
        <w:t xml:space="preserve"> RPS Plan meets the requirements of the 202</w:t>
      </w:r>
      <w:r w:rsidR="00810E73">
        <w:t>5</w:t>
      </w:r>
      <w:r w:rsidRPr="002713E7">
        <w:t xml:space="preserve"> ACR except for the following</w:t>
      </w:r>
      <w:r w:rsidR="006D5B90">
        <w:t xml:space="preserve"> deficiencies</w:t>
      </w:r>
      <w:r w:rsidRPr="002713E7">
        <w:t>:</w:t>
      </w:r>
    </w:p>
    <w:p w:rsidRPr="00F937FC" w:rsidR="00C57609" w:rsidP="00F277D4" w:rsidRDefault="009850E3" w14:paraId="0D2FAE8F" w14:textId="53982FE7">
      <w:pPr>
        <w:pStyle w:val="BlockQuoteH033"/>
        <w:numPr>
          <w:ilvl w:val="0"/>
          <w:numId w:val="22"/>
        </w:numPr>
        <w:ind w:left="1195" w:hanging="475"/>
      </w:pPr>
      <w:bookmarkStart w:name="_Hlk210470463" w:id="90"/>
      <w:r>
        <w:rPr>
          <w:i/>
          <w:iCs/>
        </w:rPr>
        <w:t>Section </w:t>
      </w:r>
      <w:r w:rsidRPr="00F401F3" w:rsidR="00C57609">
        <w:rPr>
          <w:i/>
          <w:iCs/>
        </w:rPr>
        <w:t>III</w:t>
      </w:r>
      <w:r w:rsidR="008C073B">
        <w:rPr>
          <w:i/>
          <w:iCs/>
        </w:rPr>
        <w:t>.</w:t>
      </w:r>
      <w:r w:rsidRPr="00F401F3" w:rsidR="00C57609">
        <w:rPr>
          <w:i/>
          <w:iCs/>
        </w:rPr>
        <w:t xml:space="preserve"> Compliance with Recent Legislation</w:t>
      </w:r>
      <w:r w:rsidR="00B471F2">
        <w:rPr>
          <w:i/>
          <w:iCs/>
        </w:rPr>
        <w:t xml:space="preserve"> &amp; </w:t>
      </w:r>
      <w:r w:rsidRPr="00F401F3" w:rsidR="00C57609">
        <w:rPr>
          <w:i/>
          <w:iCs/>
        </w:rPr>
        <w:t>Impact of Regulatory Changes</w:t>
      </w:r>
      <w:r w:rsidR="00CD5830">
        <w:t xml:space="preserve">: </w:t>
      </w:r>
      <w:r w:rsidR="00C57609">
        <w:t xml:space="preserve">For the paragraphs on </w:t>
      </w:r>
      <w:r w:rsidR="00F139CD">
        <w:t>SB </w:t>
      </w:r>
      <w:r w:rsidR="00C57609">
        <w:t xml:space="preserve">100 and </w:t>
      </w:r>
      <w:r w:rsidR="00F139CD">
        <w:t>SB </w:t>
      </w:r>
      <w:r w:rsidR="00C57609">
        <w:t>1020, SDG&amp;E does not summarize how its RPS Plan complies or aligns with these two pieces of legislation</w:t>
      </w:r>
      <w:r w:rsidR="00F401F3">
        <w:t>.</w:t>
      </w:r>
    </w:p>
    <w:p w:rsidRPr="00F937FC" w:rsidR="00F023E7" w:rsidP="00F277D4" w:rsidRDefault="009850E3" w14:paraId="6F925CB0" w14:textId="369B5415">
      <w:pPr>
        <w:pStyle w:val="BlockQuoteH033"/>
        <w:numPr>
          <w:ilvl w:val="0"/>
          <w:numId w:val="22"/>
        </w:numPr>
        <w:ind w:left="1195" w:hanging="475"/>
      </w:pPr>
      <w:r>
        <w:rPr>
          <w:i/>
          <w:iCs/>
        </w:rPr>
        <w:t>Section </w:t>
      </w:r>
      <w:r w:rsidRPr="00F401F3" w:rsidR="00F401F3">
        <w:rPr>
          <w:i/>
          <w:iCs/>
        </w:rPr>
        <w:t>V</w:t>
      </w:r>
      <w:r w:rsidR="008C073B">
        <w:rPr>
          <w:i/>
          <w:iCs/>
        </w:rPr>
        <w:t>.</w:t>
      </w:r>
      <w:r w:rsidRPr="00F401F3" w:rsidR="00F401F3">
        <w:rPr>
          <w:i/>
          <w:iCs/>
        </w:rPr>
        <w:t xml:space="preserve"> Project Development Status Update</w:t>
      </w:r>
      <w:r w:rsidR="00CD5830">
        <w:rPr>
          <w:i/>
          <w:iCs/>
        </w:rPr>
        <w:t xml:space="preserve">: </w:t>
      </w:r>
      <w:r w:rsidRPr="00F401F3" w:rsidR="00F401F3">
        <w:t>SDG&amp;E does not provide a narrative description of its three projects that are in development but not yet onlin</w:t>
      </w:r>
      <w:r w:rsidR="00790EE4">
        <w:t>e</w:t>
      </w:r>
      <w:r w:rsidRPr="00F401F3" w:rsidR="00F401F3">
        <w:t xml:space="preserve">. </w:t>
      </w:r>
      <w:r w:rsidR="00790EE4">
        <w:t xml:space="preserve">As required by </w:t>
      </w:r>
      <w:r w:rsidR="00DF3A08">
        <w:t xml:space="preserve">the </w:t>
      </w:r>
      <w:r w:rsidR="00790EE4">
        <w:t>2025 ACR, f</w:t>
      </w:r>
      <w:r w:rsidRPr="00F401F3" w:rsidR="00F401F3">
        <w:t>or each project in development, the narrative description in the RPS Plan must include:</w:t>
      </w:r>
    </w:p>
    <w:bookmarkEnd w:id="90"/>
    <w:p w:rsidRPr="00F401F3" w:rsidR="00F401F3" w:rsidP="00F277D4" w:rsidRDefault="00F401F3" w14:paraId="0D6ED7A6" w14:textId="67B8A284">
      <w:pPr>
        <w:pStyle w:val="BlockQuoteH033subH025"/>
        <w:numPr>
          <w:ilvl w:val="6"/>
          <w:numId w:val="23"/>
        </w:numPr>
        <w:ind w:left="1555"/>
      </w:pPr>
      <w:r w:rsidRPr="00F401F3">
        <w:lastRenderedPageBreak/>
        <w:t>Project/facility name, technology type, capacity procured from project, location (city</w:t>
      </w:r>
      <w:r w:rsidR="00B471F2">
        <w:t xml:space="preserve"> &amp; </w:t>
      </w:r>
      <w:r w:rsidRPr="00F401F3">
        <w:t xml:space="preserve">county), length of contract, </w:t>
      </w:r>
      <w:r w:rsidR="00A1030A">
        <w:t>COD;</w:t>
      </w:r>
    </w:p>
    <w:p w:rsidRPr="00F401F3" w:rsidR="00F401F3" w:rsidP="00F277D4" w:rsidRDefault="00F401F3" w14:paraId="7053B12D" w14:textId="313FA06F">
      <w:pPr>
        <w:pStyle w:val="BlockQuoteH033subH025"/>
        <w:numPr>
          <w:ilvl w:val="6"/>
          <w:numId w:val="23"/>
        </w:numPr>
        <w:ind w:left="1555"/>
      </w:pPr>
      <w:r w:rsidRPr="00F401F3">
        <w:t>Any significant deviations in project development updates reported in previous RPS Plans</w:t>
      </w:r>
      <w:r w:rsidR="00A1030A">
        <w:t>;</w:t>
      </w:r>
    </w:p>
    <w:p w:rsidRPr="00F401F3" w:rsidR="00F401F3" w:rsidP="00F277D4" w:rsidRDefault="00F401F3" w14:paraId="55C0FC30" w14:textId="36E9E5A8">
      <w:pPr>
        <w:pStyle w:val="BlockQuoteH033subH025"/>
        <w:numPr>
          <w:ilvl w:val="6"/>
          <w:numId w:val="23"/>
        </w:numPr>
        <w:ind w:left="1555"/>
      </w:pPr>
      <w:r w:rsidRPr="00F401F3">
        <w:t>Each facility</w:t>
      </w:r>
      <w:r w:rsidR="005A00BE">
        <w:t>’</w:t>
      </w:r>
      <w:r w:rsidRPr="00F401F3">
        <w:t>s current development phase (should differentiate projects whether they are in the pre</w:t>
      </w:r>
      <w:r w:rsidR="00E54574">
        <w:noBreakHyphen/>
      </w:r>
      <w:r w:rsidRPr="00F401F3">
        <w:t>construction, construction, or post</w:t>
      </w:r>
      <w:r w:rsidR="00E54574">
        <w:noBreakHyphen/>
      </w:r>
      <w:r w:rsidRPr="00F401F3">
        <w:t>construction development phase)</w:t>
      </w:r>
      <w:r w:rsidR="00A1030A">
        <w:t>; and</w:t>
      </w:r>
    </w:p>
    <w:p w:rsidRPr="00F401F3" w:rsidR="00F401F3" w:rsidP="00F277D4" w:rsidRDefault="00F401F3" w14:paraId="7E34E148" w14:textId="454DBB14">
      <w:pPr>
        <w:pStyle w:val="BlockQuoteH033subH025"/>
        <w:numPr>
          <w:ilvl w:val="6"/>
          <w:numId w:val="23"/>
        </w:numPr>
        <w:ind w:left="1555"/>
      </w:pPr>
      <w:r w:rsidRPr="00F401F3">
        <w:t>Status of any new required transmission line construction and/or any transmission upgrades necessary for each facility</w:t>
      </w:r>
      <w:r w:rsidR="00A1030A">
        <w:t>.</w:t>
      </w:r>
    </w:p>
    <w:p w:rsidRPr="00F937FC" w:rsidR="00F023E7" w:rsidP="00F277D4" w:rsidRDefault="009850E3" w14:paraId="19E6F050" w14:textId="310D5445">
      <w:pPr>
        <w:pStyle w:val="BlockQuoteH033"/>
        <w:keepNext/>
        <w:numPr>
          <w:ilvl w:val="0"/>
          <w:numId w:val="22"/>
        </w:numPr>
        <w:ind w:left="1195" w:hanging="475"/>
      </w:pPr>
      <w:r>
        <w:rPr>
          <w:i/>
          <w:iCs/>
        </w:rPr>
        <w:t>Section </w:t>
      </w:r>
      <w:r w:rsidR="00F401F3">
        <w:rPr>
          <w:i/>
          <w:iCs/>
        </w:rPr>
        <w:t>XIII</w:t>
      </w:r>
      <w:r w:rsidR="008C073B">
        <w:rPr>
          <w:i/>
          <w:iCs/>
        </w:rPr>
        <w:t>.</w:t>
      </w:r>
      <w:r w:rsidR="00F401F3">
        <w:rPr>
          <w:i/>
          <w:iCs/>
        </w:rPr>
        <w:t xml:space="preserve"> Cost Quantification:</w:t>
      </w:r>
    </w:p>
    <w:p w:rsidR="00BE0190" w:rsidP="00F277D4" w:rsidRDefault="00C57609" w14:paraId="4382CDB3" w14:textId="09084A4E">
      <w:pPr>
        <w:pStyle w:val="BlockQuoteH033subH025"/>
        <w:numPr>
          <w:ilvl w:val="1"/>
          <w:numId w:val="22"/>
        </w:numPr>
        <w:ind w:left="1555"/>
      </w:pPr>
      <w:r>
        <w:t xml:space="preserve">The </w:t>
      </w:r>
      <w:r w:rsidR="005A00BE">
        <w:t>“</w:t>
      </w:r>
      <w:r>
        <w:t>Total RPS Eligible</w:t>
      </w:r>
      <w:r w:rsidR="00F401F3">
        <w:t xml:space="preserve"> </w:t>
      </w:r>
      <w:r>
        <w:t>Procurement</w:t>
      </w:r>
      <w:r w:rsidR="005A00BE">
        <w:t>”</w:t>
      </w:r>
      <w:r>
        <w:t xml:space="preserve"> volumes for the year 2024 do not match between the RNS template and </w:t>
      </w:r>
      <w:r w:rsidR="00F920D3">
        <w:t>Table </w:t>
      </w:r>
      <w:r>
        <w:t>3 of the Cost Quantification template. These different values should be reconciled</w:t>
      </w:r>
      <w:r w:rsidR="00A1030A">
        <w:t>; and</w:t>
      </w:r>
    </w:p>
    <w:p w:rsidR="00C62A51" w:rsidP="00F277D4" w:rsidRDefault="00C62A51" w14:paraId="10381FA2" w14:textId="44A0ABC9">
      <w:pPr>
        <w:pStyle w:val="BlockQuoteH033subH025"/>
        <w:numPr>
          <w:ilvl w:val="1"/>
          <w:numId w:val="22"/>
        </w:numPr>
        <w:ind w:left="1555"/>
      </w:pPr>
      <w:r w:rsidRPr="00C62A51">
        <w:t xml:space="preserve">The values in </w:t>
      </w:r>
      <w:r w:rsidR="00EA7593">
        <w:t>rows </w:t>
      </w:r>
      <w:r w:rsidRPr="00C62A51">
        <w:t>53</w:t>
      </w:r>
      <w:r w:rsidR="00E54574">
        <w:noBreakHyphen/>
      </w:r>
      <w:r w:rsidRPr="00C62A51">
        <w:t>58 o</w:t>
      </w:r>
      <w:r w:rsidR="00E02226">
        <w:t>f</w:t>
      </w:r>
      <w:r w:rsidRPr="00C62A51">
        <w:t xml:space="preserve"> </w:t>
      </w:r>
      <w:r w:rsidR="00F920D3">
        <w:t>Table </w:t>
      </w:r>
      <w:r w:rsidRPr="00C62A51">
        <w:t xml:space="preserve">2 </w:t>
      </w:r>
      <w:r w:rsidR="00E02226">
        <w:t>in</w:t>
      </w:r>
      <w:r w:rsidRPr="00C62A51">
        <w:t xml:space="preserve"> the Cost Quantification template do not match between the Cost Quantification template attached to the public version of SDG&amp;E</w:t>
      </w:r>
      <w:r w:rsidR="005A00BE">
        <w:t>’</w:t>
      </w:r>
      <w:r w:rsidRPr="00C62A51">
        <w:t xml:space="preserve">s RPS Plan and the Cost Quantification template submitted as an </w:t>
      </w:r>
      <w:r w:rsidRPr="00C62A51" w:rsidR="004328A6">
        <w:t>Excel</w:t>
      </w:r>
      <w:r w:rsidRPr="00C62A51">
        <w:t xml:space="preserve"> file</w:t>
      </w:r>
      <w:r w:rsidR="00E02226">
        <w:t>,</w:t>
      </w:r>
      <w:r w:rsidRPr="00C62A51">
        <w:t xml:space="preserve"> a</w:t>
      </w:r>
      <w:r w:rsidR="00E02226">
        <w:t>s well as</w:t>
      </w:r>
      <w:r w:rsidRPr="00C62A51">
        <w:t xml:space="preserve"> the template attached to the confidential version of the RPS Plan. SDG&amp;E must ensure that the information provided in the Cost Quantification template submitted as an </w:t>
      </w:r>
      <w:r w:rsidRPr="00C62A51" w:rsidR="004328A6">
        <w:t>Excel</w:t>
      </w:r>
      <w:r w:rsidRPr="00C62A51">
        <w:t xml:space="preserve"> file and the information provided in the templates attached to its RPS Plan narrative is consistent and up to date</w:t>
      </w:r>
      <w:r>
        <w:t>.</w:t>
      </w:r>
    </w:p>
    <w:p w:rsidR="00F023E7" w:rsidP="00F277D4" w:rsidRDefault="002705D5" w14:paraId="068A53F8" w14:textId="379B8AE5">
      <w:pPr>
        <w:pStyle w:val="Standard"/>
      </w:pPr>
      <w:r>
        <w:t xml:space="preserve">SDG&amp;E must correct the deficiencies </w:t>
      </w:r>
      <w:r w:rsidR="00C62A51">
        <w:t xml:space="preserve">listed above </w:t>
      </w:r>
      <w:r>
        <w:t xml:space="preserve">in its </w:t>
      </w:r>
      <w:r w:rsidR="00425679">
        <w:t>F</w:t>
      </w:r>
      <w:r>
        <w:t xml:space="preserve">inal </w:t>
      </w:r>
      <w:r w:rsidR="00950E04">
        <w:t>2025 RPS</w:t>
      </w:r>
      <w:r>
        <w:t xml:space="preserve"> Plan.</w:t>
      </w:r>
    </w:p>
    <w:p w:rsidR="00BE0190" w:rsidP="00F277D4" w:rsidRDefault="00BB7002" w14:paraId="6782351D" w14:textId="709A5D9C">
      <w:pPr>
        <w:pStyle w:val="Heading1"/>
      </w:pPr>
      <w:bookmarkStart w:name="_Toc212716161" w:id="91"/>
      <w:bookmarkStart w:name="_Toc214004365" w:id="92"/>
      <w:r w:rsidRPr="00BB7002">
        <w:t>Small and Multi</w:t>
      </w:r>
      <w:r w:rsidR="00E54574">
        <w:noBreakHyphen/>
      </w:r>
      <w:r w:rsidRPr="00BB7002">
        <w:t>Jurisdictional Utilitie</w:t>
      </w:r>
      <w:r w:rsidR="00BE0190">
        <w:t>s</w:t>
      </w:r>
      <w:bookmarkEnd w:id="91"/>
      <w:bookmarkEnd w:id="92"/>
    </w:p>
    <w:p w:rsidR="00F023E7" w:rsidP="00F277D4" w:rsidRDefault="007B0534" w14:paraId="0F7AA309" w14:textId="742F3F0B">
      <w:pPr>
        <w:pStyle w:val="Standard"/>
      </w:pPr>
      <w:r w:rsidRPr="00C55273">
        <w:t>SMJUs comprise a small but relevant share of California</w:t>
      </w:r>
      <w:r w:rsidR="005A00BE">
        <w:t>’</w:t>
      </w:r>
      <w:r w:rsidRPr="00C55273">
        <w:t xml:space="preserve">s energy market. Following a review of aggregated RNS templates in their Draft </w:t>
      </w:r>
      <w:r w:rsidR="00950E04">
        <w:t>2025 RPS</w:t>
      </w:r>
      <w:r w:rsidRPr="00C55273">
        <w:t xml:space="preserve"> Plans, the Commission finds that the three SMJUs (BVES, PacifiCorp, and Liberty, </w:t>
      </w:r>
      <w:r w:rsidRPr="00C55273">
        <w:lastRenderedPageBreak/>
        <w:t xml:space="preserve">collectively) </w:t>
      </w:r>
      <w:r w:rsidR="00442B51">
        <w:t>need to</w:t>
      </w:r>
      <w:r w:rsidRPr="00C55273">
        <w:t xml:space="preserve"> procure more RPS eligible renewables </w:t>
      </w:r>
      <w:r w:rsidR="001B006A">
        <w:t xml:space="preserve">beginning in 2025 </w:t>
      </w:r>
      <w:r w:rsidRPr="00C55273">
        <w:t>to meet their respective RPS requirements (</w:t>
      </w:r>
      <w:r w:rsidR="000C4D9B">
        <w:rPr>
          <w:i/>
          <w:iCs/>
        </w:rPr>
        <w:t>s</w:t>
      </w:r>
      <w:r w:rsidRPr="00C55273">
        <w:rPr>
          <w:i/>
          <w:iCs/>
        </w:rPr>
        <w:t>ee</w:t>
      </w:r>
      <w:r w:rsidRPr="00C55273">
        <w:t xml:space="preserve"> </w:t>
      </w:r>
      <w:r w:rsidR="003C48F7">
        <w:t>Figure </w:t>
      </w:r>
      <w:r w:rsidRPr="00C55273">
        <w:t>2).</w:t>
      </w:r>
    </w:p>
    <w:p w:rsidR="007B0534" w:rsidP="00F277D4" w:rsidRDefault="007B0534" w14:paraId="0A0246C6" w14:textId="71FD6C02">
      <w:pPr>
        <w:pStyle w:val="Standard"/>
      </w:pPr>
      <w:r w:rsidRPr="00C55273">
        <w:t xml:space="preserve">Unlike PG&amp;E, SCE, </w:t>
      </w:r>
      <w:r w:rsidR="00DF3A08">
        <w:t xml:space="preserve">and </w:t>
      </w:r>
      <w:r w:rsidRPr="00C55273">
        <w:t>SDG&amp;E,</w:t>
      </w:r>
      <w:r>
        <w:t xml:space="preserve"> the </w:t>
      </w:r>
      <w:r w:rsidRPr="00C55273">
        <w:t xml:space="preserve">SMJUs can meet their RPS procurement obligations without satisfying the Portfolio </w:t>
      </w:r>
      <w:r w:rsidR="00A349E4">
        <w:t>Content Category</w:t>
      </w:r>
      <w:r w:rsidRPr="00C55273">
        <w:t xml:space="preserve"> Requirement, codified in </w:t>
      </w:r>
      <w:r w:rsidR="00F81267">
        <w:t xml:space="preserve">Pub. Util. Code </w:t>
      </w:r>
      <w:r w:rsidR="009850E3">
        <w:t>Section </w:t>
      </w:r>
      <w:r w:rsidRPr="00C55273">
        <w:t>399.16, that aims to ensure most renewable energy procurement is in the form of in</w:t>
      </w:r>
      <w:r w:rsidR="00E54574">
        <w:noBreakHyphen/>
      </w:r>
      <w:r w:rsidRPr="00C55273">
        <w:t>state generation. As such, SMJUs may satisfy their RPS procurement obligations through pure compliance instruments such as unbundled RECs.</w:t>
      </w:r>
      <w:r w:rsidRPr="00C55273">
        <w:rPr>
          <w:vertAlign w:val="superscript"/>
        </w:rPr>
        <w:footnoteReference w:id="91"/>
      </w:r>
      <w:r w:rsidRPr="00C55273">
        <w:t xml:space="preserve"> Given their near</w:t>
      </w:r>
      <w:r w:rsidR="00E54574">
        <w:noBreakHyphen/>
      </w:r>
      <w:r w:rsidRPr="00C55273">
        <w:t>term need for RPS</w:t>
      </w:r>
      <w:r w:rsidR="00E54574">
        <w:noBreakHyphen/>
      </w:r>
      <w:r w:rsidRPr="00C55273">
        <w:t>compliant resources, the Commission continues to encourage SMJUs to consider early procurement of resources rather than last</w:t>
      </w:r>
      <w:r w:rsidR="00E54574">
        <w:noBreakHyphen/>
      </w:r>
      <w:r w:rsidRPr="00C55273">
        <w:t>minute purchases of unbundled RECs.</w:t>
      </w:r>
    </w:p>
    <w:p w:rsidR="009A706E" w:rsidP="00F277D4" w:rsidRDefault="003C48F7" w14:paraId="35E1B405" w14:textId="11796CE0">
      <w:pPr>
        <w:pStyle w:val="TableTitleBody"/>
        <w:rPr>
          <w:b w:val="0"/>
          <w:bCs w:val="0"/>
        </w:rPr>
      </w:pPr>
      <w:r>
        <w:t>Figure </w:t>
      </w:r>
      <w:r w:rsidRPr="007B0534" w:rsidR="007B0534">
        <w:t>2</w:t>
      </w:r>
      <w:r w:rsidR="00CD5830">
        <w:rPr>
          <w:b w:val="0"/>
          <w:bCs w:val="0"/>
        </w:rPr>
        <w:t xml:space="preserve">:  </w:t>
      </w:r>
      <w:r w:rsidRPr="007B0534" w:rsidR="007B0534">
        <w:t xml:space="preserve">Aggregated </w:t>
      </w:r>
      <w:r w:rsidRPr="00BB7002" w:rsidR="00BB7002">
        <w:t>Small and Multi</w:t>
      </w:r>
      <w:r w:rsidR="00E54574">
        <w:rPr>
          <w:b w:val="0"/>
          <w:bCs w:val="0"/>
        </w:rPr>
        <w:noBreakHyphen/>
      </w:r>
      <w:r w:rsidRPr="00BB7002" w:rsidR="00BB7002">
        <w:t>Jurisdictional Utilities</w:t>
      </w:r>
      <w:r w:rsidR="005A00BE">
        <w:rPr>
          <w:b w:val="0"/>
          <w:bCs w:val="0"/>
        </w:rPr>
        <w:t>’</w:t>
      </w:r>
      <w:r w:rsidRPr="007B0534" w:rsidR="007B0534">
        <w:t xml:space="preserve"> Progress Towards 60</w:t>
      </w:r>
      <w:r w:rsidR="005927CB">
        <w:rPr>
          <w:b w:val="0"/>
          <w:bCs w:val="0"/>
        </w:rPr>
        <w:t> </w:t>
      </w:r>
      <w:r w:rsidRPr="006B58E4" w:rsidR="005927CB">
        <w:t>Percent</w:t>
      </w:r>
      <w:r w:rsidRPr="007B0534" w:rsidR="007B0534">
        <w:t xml:space="preserve"> </w:t>
      </w:r>
      <w:r w:rsidRPr="009E01F1" w:rsidR="009E01F1">
        <w:t>Renewables Portfolio Standard</w:t>
      </w:r>
    </w:p>
    <w:p w:rsidR="009A706E" w:rsidP="00F277D4" w:rsidRDefault="009A706E" w14:paraId="2BF9E821" w14:textId="71E14C33">
      <w:pPr>
        <w:pStyle w:val="StandardFigure"/>
      </w:pPr>
      <w:r>
        <w:rPr>
          <w:noProof/>
        </w:rPr>
        <w:drawing>
          <wp:inline distT="0" distB="0" distL="0" distR="0" wp14:anchorId="5E694BF1" wp14:editId="081DCD6F">
            <wp:extent cx="5509039" cy="3347085"/>
            <wp:effectExtent l="0" t="0" r="0" b="5715"/>
            <wp:docPr id="1755887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1936" cy="3354921"/>
                    </a:xfrm>
                    <a:prstGeom prst="rect">
                      <a:avLst/>
                    </a:prstGeom>
                    <a:noFill/>
                  </pic:spPr>
                </pic:pic>
              </a:graphicData>
            </a:graphic>
          </wp:inline>
        </w:drawing>
      </w:r>
    </w:p>
    <w:p w:rsidR="007B0534" w:rsidP="00F277D4" w:rsidRDefault="00C63319" w14:paraId="4E002CAD" w14:textId="0B3C6319">
      <w:pPr>
        <w:pStyle w:val="Standard"/>
      </w:pPr>
      <w:r w:rsidRPr="00C63319">
        <w:lastRenderedPageBreak/>
        <w:t>In this section, we discuss the SMJUs</w:t>
      </w:r>
      <w:r w:rsidR="009E01C3">
        <w:t>’</w:t>
      </w:r>
      <w:r w:rsidRPr="00C63319">
        <w:t xml:space="preserve"> Draft </w:t>
      </w:r>
      <w:r w:rsidR="00950E04">
        <w:t>2025 RPS</w:t>
      </w:r>
      <w:r w:rsidRPr="00C63319">
        <w:t xml:space="preserve"> Plans and direct modifications to each, as necessary.</w:t>
      </w:r>
    </w:p>
    <w:p w:rsidR="00C63319" w:rsidP="00F277D4" w:rsidRDefault="00BB7002" w14:paraId="354DC9AE" w14:textId="7E6DEEB4">
      <w:pPr>
        <w:pStyle w:val="Heading2"/>
      </w:pPr>
      <w:bookmarkStart w:name="_Toc212716162" w:id="93"/>
      <w:bookmarkStart w:name="_Toc214004366" w:id="94"/>
      <w:r w:rsidRPr="00BB7002">
        <w:t>Bear Valley Electric Service, Inc.</w:t>
      </w:r>
      <w:r w:rsidR="005A00BE">
        <w:t>’</w:t>
      </w:r>
      <w:r>
        <w:t>s</w:t>
      </w:r>
      <w:r w:rsidR="00C63319">
        <w:t xml:space="preserve"> Draft</w:t>
      </w:r>
      <w:r w:rsidR="009036C3">
        <w:br/>
      </w:r>
      <w:r w:rsidR="006C7E39">
        <w:t xml:space="preserve">2025 </w:t>
      </w:r>
      <w:r w:rsidRPr="00C55273" w:rsidR="009E01F1">
        <w:t>Renewables Portfolio Standard</w:t>
      </w:r>
      <w:r w:rsidR="00C63319">
        <w:t xml:space="preserve"> Plan</w:t>
      </w:r>
      <w:bookmarkEnd w:id="93"/>
      <w:bookmarkEnd w:id="94"/>
    </w:p>
    <w:p w:rsidR="00C63319" w:rsidP="00F277D4" w:rsidRDefault="00C63319" w14:paraId="2738696E" w14:textId="4FAD8527">
      <w:pPr>
        <w:pStyle w:val="Standard"/>
      </w:pPr>
      <w:r w:rsidRPr="00C63319">
        <w:t xml:space="preserve">Upon </w:t>
      </w:r>
      <w:r w:rsidRPr="00C63319" w:rsidR="00220BE6">
        <w:t>review</w:t>
      </w:r>
      <w:r w:rsidRPr="00C63319">
        <w:t xml:space="preserve">, </w:t>
      </w:r>
      <w:r w:rsidR="000B6615">
        <w:t xml:space="preserve">the Commission finds that </w:t>
      </w:r>
      <w:r w:rsidRPr="00C63319">
        <w:t>BVES</w:t>
      </w:r>
      <w:r w:rsidR="005A00BE">
        <w:t>’</w:t>
      </w:r>
      <w:r w:rsidRPr="00C63319">
        <w:t xml:space="preserve"> </w:t>
      </w:r>
      <w:bookmarkStart w:name="_Hlk211354844" w:id="95"/>
      <w:r w:rsidRPr="00C63319">
        <w:t xml:space="preserve">Draft </w:t>
      </w:r>
      <w:r w:rsidR="00950E04">
        <w:t>2025 RPS</w:t>
      </w:r>
      <w:r w:rsidRPr="00C63319">
        <w:t xml:space="preserve"> Plan </w:t>
      </w:r>
      <w:bookmarkEnd w:id="95"/>
      <w:r w:rsidRPr="00C63319">
        <w:t>meets the requirements of the 202</w:t>
      </w:r>
      <w:r>
        <w:t>5</w:t>
      </w:r>
      <w:r w:rsidRPr="00C63319">
        <w:t xml:space="preserve"> ACR. Accordingly, the Commission approves the BVES</w:t>
      </w:r>
      <w:r w:rsidR="005A00BE">
        <w:t>’</w:t>
      </w:r>
      <w:r w:rsidRPr="00C63319">
        <w:t xml:space="preserve"> Draft </w:t>
      </w:r>
      <w:r w:rsidR="00950E04">
        <w:t>2025 RPS</w:t>
      </w:r>
      <w:r w:rsidRPr="00C63319">
        <w:t xml:space="preserve"> Plan with no modifications.</w:t>
      </w:r>
    </w:p>
    <w:p w:rsidR="00F023E7" w:rsidP="00F277D4" w:rsidRDefault="00D3138E" w14:paraId="56A0C60B" w14:textId="7BA8B6FC">
      <w:pPr>
        <w:pStyle w:val="Standard"/>
      </w:pPr>
      <w:r>
        <w:t xml:space="preserve">In its Plan, </w:t>
      </w:r>
      <w:r w:rsidR="00353B5D">
        <w:t xml:space="preserve">BVES </w:t>
      </w:r>
      <w:r>
        <w:t>states</w:t>
      </w:r>
      <w:r w:rsidR="00353B5D">
        <w:t xml:space="preserve"> that it has historically met </w:t>
      </w:r>
      <w:r>
        <w:t>most</w:t>
      </w:r>
      <w:r w:rsidR="00353B5D">
        <w:t xml:space="preserve"> of its RPS procurement requirement with unbundled RECs, but </w:t>
      </w:r>
      <w:r w:rsidR="0069158A">
        <w:t>anticipates</w:t>
      </w:r>
      <w:r w:rsidR="00353B5D">
        <w:t xml:space="preserve"> meeting its current and future RPS obligations using a combination of unbundled and bundled procurement, as well as owned renewable generation (the Solar and Battery Projects)</w:t>
      </w:r>
      <w:r>
        <w:t>.</w:t>
      </w:r>
      <w:r w:rsidR="00353B5D">
        <w:rPr>
          <w:rStyle w:val="FootnoteReference"/>
        </w:rPr>
        <w:footnoteReference w:id="92"/>
      </w:r>
      <w:r w:rsidR="00DD0BC6">
        <w:t xml:space="preserve"> </w:t>
      </w:r>
      <w:r w:rsidR="007854F6">
        <w:t xml:space="preserve">To that point, </w:t>
      </w:r>
      <w:r w:rsidRPr="007854F6" w:rsidR="007854F6">
        <w:t>BVES explains that its long</w:t>
      </w:r>
      <w:r w:rsidR="00E54574">
        <w:noBreakHyphen/>
      </w:r>
      <w:r w:rsidRPr="007854F6" w:rsidR="007854F6">
        <w:t xml:space="preserve">term </w:t>
      </w:r>
      <w:r w:rsidR="00220FCE">
        <w:t>PPA</w:t>
      </w:r>
      <w:r w:rsidRPr="007854F6" w:rsidR="007854F6">
        <w:t xml:space="preserve"> with </w:t>
      </w:r>
      <w:r w:rsidR="00DA6578">
        <w:t>Shell E</w:t>
      </w:r>
      <w:r w:rsidRPr="007854F6" w:rsidR="007854F6">
        <w:t>nergy North America is expected to meet the bulk of its RPS needs through 2035.</w:t>
      </w:r>
      <w:r w:rsidRPr="007854F6" w:rsidR="007854F6">
        <w:rPr>
          <w:vertAlign w:val="superscript"/>
        </w:rPr>
        <w:footnoteReference w:id="93"/>
      </w:r>
      <w:r w:rsidRPr="007854F6" w:rsidR="007854F6">
        <w:t xml:space="preserve"> In addition, BVES </w:t>
      </w:r>
      <w:r w:rsidR="0060456C">
        <w:t xml:space="preserve">reports that it </w:t>
      </w:r>
      <w:r w:rsidRPr="007854F6" w:rsidR="007854F6">
        <w:t>has negotiated bilateral short</w:t>
      </w:r>
      <w:r w:rsidR="00E54574">
        <w:noBreakHyphen/>
      </w:r>
      <w:r w:rsidRPr="007854F6" w:rsidR="007854F6">
        <w:t xml:space="preserve">term agreements to obtain 70,000 </w:t>
      </w:r>
      <w:r w:rsidR="00521801">
        <w:t>PCC </w:t>
      </w:r>
      <w:r w:rsidRPr="007854F6" w:rsidR="007854F6">
        <w:t>3 RECs to be delivered in the years spanning 2025</w:t>
      </w:r>
      <w:r w:rsidR="00E54574">
        <w:noBreakHyphen/>
      </w:r>
      <w:r w:rsidRPr="007854F6" w:rsidR="007854F6">
        <w:t>2027, which will support BVES in meeting its RPS requirements for the current compliance period.</w:t>
      </w:r>
      <w:r w:rsidRPr="007854F6" w:rsidR="007854F6">
        <w:rPr>
          <w:vertAlign w:val="superscript"/>
        </w:rPr>
        <w:footnoteReference w:id="94"/>
      </w:r>
      <w:r w:rsidRPr="007854F6" w:rsidR="007854F6">
        <w:t xml:space="preserve"> BVES </w:t>
      </w:r>
      <w:r w:rsidR="001C39E5">
        <w:t xml:space="preserve">also </w:t>
      </w:r>
      <w:r w:rsidR="007854F6">
        <w:t>notes</w:t>
      </w:r>
      <w:r w:rsidRPr="007854F6" w:rsidR="007854F6">
        <w:t xml:space="preserve"> that it filed </w:t>
      </w:r>
      <w:r w:rsidR="008C0F68">
        <w:t>Application </w:t>
      </w:r>
      <w:r w:rsidRPr="007854F6" w:rsidR="007854F6">
        <w:t>24</w:t>
      </w:r>
      <w:r w:rsidR="00E54574">
        <w:noBreakHyphen/>
      </w:r>
      <w:r w:rsidRPr="007854F6" w:rsidR="007854F6">
        <w:t>05</w:t>
      </w:r>
      <w:r w:rsidR="00E54574">
        <w:noBreakHyphen/>
      </w:r>
      <w:r w:rsidRPr="007854F6" w:rsidR="007854F6">
        <w:t xml:space="preserve">020 to develop and own </w:t>
      </w:r>
      <w:r w:rsidR="00044BF1">
        <w:t xml:space="preserve">a </w:t>
      </w:r>
      <w:r w:rsidR="00901F68">
        <w:t>five</w:t>
      </w:r>
      <w:r w:rsidR="00E54574">
        <w:noBreakHyphen/>
      </w:r>
      <w:r w:rsidR="00901F68">
        <w:t>megawatt</w:t>
      </w:r>
      <w:r w:rsidRPr="007854F6" w:rsidR="007854F6">
        <w:t xml:space="preserve"> solar </w:t>
      </w:r>
      <w:r w:rsidR="0081378D">
        <w:t>and battery</w:t>
      </w:r>
      <w:r w:rsidRPr="007854F6" w:rsidR="007854F6">
        <w:t xml:space="preserve"> project to </w:t>
      </w:r>
      <w:r w:rsidR="0081378D">
        <w:t xml:space="preserve">help </w:t>
      </w:r>
      <w:r w:rsidRPr="007854F6" w:rsidR="007854F6">
        <w:t xml:space="preserve">meet </w:t>
      </w:r>
      <w:r w:rsidR="001C39E5">
        <w:t xml:space="preserve">its </w:t>
      </w:r>
      <w:r w:rsidRPr="007854F6" w:rsidR="007854F6">
        <w:t xml:space="preserve">future RPS </w:t>
      </w:r>
      <w:r w:rsidR="001C39E5">
        <w:t>needs</w:t>
      </w:r>
      <w:r w:rsidRPr="007854F6" w:rsidR="007854F6">
        <w:t>.</w:t>
      </w:r>
      <w:r w:rsidRPr="007854F6" w:rsidR="007854F6">
        <w:rPr>
          <w:vertAlign w:val="superscript"/>
        </w:rPr>
        <w:footnoteReference w:id="95"/>
      </w:r>
    </w:p>
    <w:p w:rsidR="00433C68" w:rsidP="00F277D4" w:rsidRDefault="00433C68" w14:paraId="570B8EA5" w14:textId="4A75BC63">
      <w:pPr>
        <w:pStyle w:val="Heading2"/>
      </w:pPr>
      <w:bookmarkStart w:name="_Toc212716163" w:id="96"/>
      <w:bookmarkStart w:name="_Toc214004367" w:id="97"/>
      <w:r>
        <w:t>Liberty</w:t>
      </w:r>
      <w:r w:rsidR="005A00BE">
        <w:t>’</w:t>
      </w:r>
      <w:r>
        <w:t xml:space="preserve">s Draft </w:t>
      </w:r>
      <w:r w:rsidR="00887B42">
        <w:t xml:space="preserve">2025 </w:t>
      </w:r>
      <w:r w:rsidRPr="00C55273" w:rsidR="009E01F1">
        <w:t>Renewables</w:t>
      </w:r>
      <w:r w:rsidR="006B58E4">
        <w:br/>
      </w:r>
      <w:r w:rsidRPr="00C55273" w:rsidR="009E01F1">
        <w:t>Portfolio Standard</w:t>
      </w:r>
      <w:r>
        <w:t xml:space="preserve"> Plan</w:t>
      </w:r>
      <w:bookmarkEnd w:id="96"/>
      <w:bookmarkEnd w:id="97"/>
    </w:p>
    <w:p w:rsidR="00433C68" w:rsidP="00F277D4" w:rsidRDefault="00887B42" w14:paraId="4D0D9463" w14:textId="0418CE7F">
      <w:pPr>
        <w:pStyle w:val="Standard"/>
      </w:pPr>
      <w:r>
        <w:t>Upon review, the Commission</w:t>
      </w:r>
      <w:r w:rsidRPr="00433C68" w:rsidR="00433C68">
        <w:t xml:space="preserve"> find</w:t>
      </w:r>
      <w:r>
        <w:t>s</w:t>
      </w:r>
      <w:r w:rsidRPr="00433C68" w:rsidR="00433C68">
        <w:t xml:space="preserve"> that Liberty</w:t>
      </w:r>
      <w:r w:rsidR="005A00BE">
        <w:t>’</w:t>
      </w:r>
      <w:r w:rsidRPr="00433C68" w:rsidR="00433C68">
        <w:t xml:space="preserve">s Draft </w:t>
      </w:r>
      <w:r w:rsidR="00950E04">
        <w:t>2025 RPS</w:t>
      </w:r>
      <w:r w:rsidRPr="00433C68" w:rsidR="00433C68">
        <w:t xml:space="preserve"> Plan meets the requirements of the 202</w:t>
      </w:r>
      <w:r w:rsidR="00433C68">
        <w:t>5</w:t>
      </w:r>
      <w:r w:rsidRPr="00433C68" w:rsidR="00433C68">
        <w:t xml:space="preserve"> ACR</w:t>
      </w:r>
      <w:r w:rsidR="00435C98">
        <w:t xml:space="preserve"> except for a few noted inconsistent </w:t>
      </w:r>
      <w:r w:rsidR="00435C98">
        <w:lastRenderedPageBreak/>
        <w:t>statements</w:t>
      </w:r>
      <w:r w:rsidRPr="00433C68" w:rsidR="00433C68">
        <w:t xml:space="preserve">. Accordingly, the Commission approves </w:t>
      </w:r>
      <w:r w:rsidR="000045BF">
        <w:t>Liberty</w:t>
      </w:r>
      <w:r w:rsidR="005A00BE">
        <w:t>’</w:t>
      </w:r>
      <w:r w:rsidR="000045BF">
        <w:t>s</w:t>
      </w:r>
      <w:r w:rsidRPr="00433C68" w:rsidR="00433C68">
        <w:t xml:space="preserve"> Draft </w:t>
      </w:r>
      <w:r w:rsidR="00950E04">
        <w:t>2025 RPS</w:t>
      </w:r>
      <w:r w:rsidRPr="00433C68" w:rsidR="00433C68">
        <w:t xml:space="preserve"> Plan with modifications.</w:t>
      </w:r>
    </w:p>
    <w:p w:rsidR="00CE3E56" w:rsidP="00F277D4" w:rsidRDefault="000045BF" w14:paraId="69D9DD5A" w14:textId="526FB54A">
      <w:pPr>
        <w:pStyle w:val="Standard"/>
      </w:pPr>
      <w:r>
        <w:t xml:space="preserve">In its Draft </w:t>
      </w:r>
      <w:r w:rsidR="00950E04">
        <w:t>2025 RPS</w:t>
      </w:r>
      <w:r>
        <w:t xml:space="preserve"> Plan, Liberty states that it </w:t>
      </w:r>
      <w:r w:rsidRPr="008E34D3" w:rsidR="008E34D3">
        <w:t xml:space="preserve">intends to </w:t>
      </w:r>
      <w:r w:rsidR="00CE3E56">
        <w:t xml:space="preserve">meet the majority of its RPS obligations using </w:t>
      </w:r>
      <w:r w:rsidR="00887B42">
        <w:t xml:space="preserve">the </w:t>
      </w:r>
      <w:r w:rsidR="00CE3E56">
        <w:t xml:space="preserve">output from the existing </w:t>
      </w:r>
      <w:r w:rsidRPr="008E34D3" w:rsidR="008E34D3">
        <w:t>Luning Solar Project and Turquoise Solar Project</w:t>
      </w:r>
      <w:r w:rsidR="00CE3E56">
        <w:t>.</w:t>
      </w:r>
      <w:r w:rsidR="00CE3E56">
        <w:rPr>
          <w:rStyle w:val="FootnoteReference"/>
        </w:rPr>
        <w:footnoteReference w:id="96"/>
      </w:r>
      <w:r w:rsidR="00CE3E56">
        <w:t xml:space="preserve"> </w:t>
      </w:r>
      <w:r w:rsidRPr="00CE3E56" w:rsidR="00CE3E56">
        <w:t xml:space="preserve">Further, Liberty explains that until such time as transmission upgrades within the NV Energy Balancing Area Authority are operational and provide access to more flexible renewable resources, any additional procurement necessary for RPS compliance will likely be met with </w:t>
      </w:r>
      <w:r w:rsidR="00521801">
        <w:t>PCC </w:t>
      </w:r>
      <w:r w:rsidRPr="00CE3E56" w:rsidR="00CE3E56">
        <w:t>3 REC purchases.</w:t>
      </w:r>
      <w:r w:rsidR="00CE3E56">
        <w:t xml:space="preserve"> Liberty states that it is in the market to buy </w:t>
      </w:r>
      <w:r w:rsidR="00521801">
        <w:t>PCC </w:t>
      </w:r>
      <w:r w:rsidR="00CE3E56">
        <w:t>3 RECs to meet the RPS requirements and plans to procure additional PCC</w:t>
      </w:r>
      <w:r w:rsidR="00F6724D">
        <w:t> </w:t>
      </w:r>
      <w:r w:rsidR="00CE3E56">
        <w:t>3 RECs over and above its current year procurement obligations to ensure compliance in future years.</w:t>
      </w:r>
      <w:r w:rsidR="00CE3E56">
        <w:rPr>
          <w:rStyle w:val="FootnoteReference"/>
        </w:rPr>
        <w:footnoteReference w:id="97"/>
      </w:r>
    </w:p>
    <w:p w:rsidR="00F023E7" w:rsidP="00F277D4" w:rsidRDefault="00CE3E56" w14:paraId="0AF30B88" w14:textId="277AB0C4">
      <w:pPr>
        <w:pStyle w:val="Standard"/>
      </w:pPr>
      <w:r w:rsidRPr="00CE3E56">
        <w:t>Liberty reports that energy delivered through its 2021 Nevada Energy Services Agreement (ESA) will serve the bulk of its RPS procurement requirement through December 2025.</w:t>
      </w:r>
      <w:r w:rsidRPr="00CE3E56">
        <w:rPr>
          <w:vertAlign w:val="superscript"/>
        </w:rPr>
        <w:footnoteReference w:id="98"/>
      </w:r>
      <w:r w:rsidRPr="00CE3E56">
        <w:t xml:space="preserve"> Because </w:t>
      </w:r>
      <w:r w:rsidR="0080225A">
        <w:t xml:space="preserve">its </w:t>
      </w:r>
      <w:r w:rsidRPr="00CE3E56">
        <w:t xml:space="preserve">ESA ends in December 2025, Liberty is currently negotiating to extend the ESA and expects to submit an agreement to </w:t>
      </w:r>
      <w:r w:rsidR="00DF3A08">
        <w:t xml:space="preserve">the </w:t>
      </w:r>
      <w:r w:rsidRPr="00CE3E56">
        <w:t xml:space="preserve">Commission before </w:t>
      </w:r>
      <w:r w:rsidR="00DF3A08">
        <w:t xml:space="preserve">the </w:t>
      </w:r>
      <w:r w:rsidRPr="00CE3E56">
        <w:t>end of the year.</w:t>
      </w:r>
    </w:p>
    <w:p w:rsidR="00F023E7" w:rsidP="00F277D4" w:rsidRDefault="00D96703" w14:paraId="1E50FD6E" w14:textId="6516EE05">
      <w:pPr>
        <w:pStyle w:val="Standard"/>
      </w:pPr>
      <w:r>
        <w:t>Liberty</w:t>
      </w:r>
      <w:r w:rsidR="005A00BE">
        <w:t>’</w:t>
      </w:r>
      <w:r>
        <w:t>s Luning Expansion Project, approved by the Commission in D.23</w:t>
      </w:r>
      <w:r w:rsidR="00E54574">
        <w:noBreakHyphen/>
      </w:r>
      <w:r>
        <w:t>08</w:t>
      </w:r>
      <w:r w:rsidR="00E54574">
        <w:noBreakHyphen/>
      </w:r>
      <w:r>
        <w:t>032, will not contribute to meeting Liberty</w:t>
      </w:r>
      <w:r w:rsidR="005A00BE">
        <w:t>’</w:t>
      </w:r>
      <w:r>
        <w:t xml:space="preserve">s RPS needs because </w:t>
      </w:r>
      <w:r w:rsidR="0080225A">
        <w:t xml:space="preserve">the </w:t>
      </w:r>
      <w:r>
        <w:t xml:space="preserve">project is suspended due to </w:t>
      </w:r>
      <w:r w:rsidR="000F1951">
        <w:t>several factors</w:t>
      </w:r>
      <w:r w:rsidR="00990D38">
        <w:t>,</w:t>
      </w:r>
      <w:r w:rsidR="000F1951">
        <w:t xml:space="preserve"> including the </w:t>
      </w:r>
      <w:r>
        <w:t xml:space="preserve">need to fund wildfire mitigation efforts </w:t>
      </w:r>
      <w:r w:rsidR="0071558A">
        <w:t>and cost changes</w:t>
      </w:r>
      <w:r>
        <w:t>.</w:t>
      </w:r>
      <w:r>
        <w:rPr>
          <w:rStyle w:val="FootnoteReference"/>
        </w:rPr>
        <w:footnoteReference w:id="99"/>
      </w:r>
    </w:p>
    <w:p w:rsidR="00435C98" w:rsidP="00F277D4" w:rsidRDefault="002B1912" w14:paraId="65F444E2" w14:textId="1E4129D6">
      <w:pPr>
        <w:pStyle w:val="Standard"/>
      </w:pPr>
      <w:r>
        <w:lastRenderedPageBreak/>
        <w:t>The Commission identified several deficiencies in Liberty</w:t>
      </w:r>
      <w:r w:rsidR="005A00BE">
        <w:t>’</w:t>
      </w:r>
      <w:r>
        <w:t xml:space="preserve">s Draft </w:t>
      </w:r>
      <w:r w:rsidR="00950E04">
        <w:t>2025 RPS</w:t>
      </w:r>
      <w:r>
        <w:t xml:space="preserve"> Plan. </w:t>
      </w:r>
      <w:r w:rsidR="00C566D9">
        <w:t xml:space="preserve">Liberty must correct the following deficiencies in its </w:t>
      </w:r>
      <w:r w:rsidR="00425679">
        <w:t>F</w:t>
      </w:r>
      <w:r w:rsidR="00C566D9">
        <w:t xml:space="preserve">inal </w:t>
      </w:r>
      <w:r w:rsidR="00950E04">
        <w:t>2025 RPS</w:t>
      </w:r>
      <w:r w:rsidR="00FE2319">
        <w:t xml:space="preserve"> </w:t>
      </w:r>
      <w:r w:rsidR="00C566D9">
        <w:t>Plan.</w:t>
      </w:r>
    </w:p>
    <w:p w:rsidRPr="00EB6A32" w:rsidR="002B1912" w:rsidP="00FD21B9" w:rsidRDefault="009850E3" w14:paraId="4FA8FDD5" w14:textId="499964FE">
      <w:pPr>
        <w:pStyle w:val="BlockQuoteH033"/>
        <w:keepNext/>
        <w:numPr>
          <w:ilvl w:val="0"/>
          <w:numId w:val="25"/>
        </w:numPr>
        <w:ind w:left="1195" w:hanging="475"/>
      </w:pPr>
      <w:r>
        <w:rPr>
          <w:i/>
          <w:iCs/>
        </w:rPr>
        <w:t>Section </w:t>
      </w:r>
      <w:r w:rsidRPr="00F401F3" w:rsidR="002B1912">
        <w:rPr>
          <w:i/>
          <w:iCs/>
        </w:rPr>
        <w:t>I</w:t>
      </w:r>
      <w:r w:rsidR="002B1912">
        <w:rPr>
          <w:i/>
          <w:iCs/>
        </w:rPr>
        <w:t>V.A.1</w:t>
      </w:r>
      <w:r w:rsidR="008C0F68">
        <w:rPr>
          <w:i/>
          <w:iCs/>
        </w:rPr>
        <w:t>.</w:t>
      </w:r>
      <w:r w:rsidR="002B1912">
        <w:rPr>
          <w:i/>
          <w:iCs/>
        </w:rPr>
        <w:t xml:space="preserve"> Long Term Procurement:</w:t>
      </w:r>
    </w:p>
    <w:p w:rsidRPr="00EB6A32" w:rsidR="002B1912" w:rsidP="00F277D4" w:rsidRDefault="002B1912" w14:paraId="324A9DCA" w14:textId="668D1CDF">
      <w:pPr>
        <w:pStyle w:val="BlockQuoteH033subH025"/>
        <w:numPr>
          <w:ilvl w:val="1"/>
          <w:numId w:val="25"/>
        </w:numPr>
        <w:ind w:left="1555"/>
      </w:pPr>
      <w:r w:rsidRPr="002B1912">
        <w:t xml:space="preserve">On </w:t>
      </w:r>
      <w:r w:rsidR="00FD21B9">
        <w:t>page </w:t>
      </w:r>
      <w:r w:rsidRPr="002B1912">
        <w:t>13</w:t>
      </w:r>
      <w:r>
        <w:t xml:space="preserve"> of its Draft </w:t>
      </w:r>
      <w:r w:rsidR="00950E04">
        <w:t>2025 RPS</w:t>
      </w:r>
      <w:r>
        <w:t xml:space="preserve"> Plan</w:t>
      </w:r>
      <w:r w:rsidRPr="002B1912">
        <w:t xml:space="preserve">, Liberty states </w:t>
      </w:r>
      <w:r w:rsidR="006A6A28">
        <w:t xml:space="preserve">that </w:t>
      </w:r>
      <w:r w:rsidR="005A00BE">
        <w:t>“</w:t>
      </w:r>
      <w:r w:rsidRPr="002B1912">
        <w:t xml:space="preserve">as provided in the following </w:t>
      </w:r>
      <w:r w:rsidR="00F920D3">
        <w:t>Table </w:t>
      </w:r>
      <w:r w:rsidRPr="002B1912">
        <w:t>2, Liberty</w:t>
      </w:r>
      <w:r w:rsidR="005A00BE">
        <w:t>’</w:t>
      </w:r>
      <w:r w:rsidRPr="002B1912">
        <w:t xml:space="preserve">s plan approaches the RPS obligation but will need to procure additional REC contracts to meet it in </w:t>
      </w:r>
      <w:r w:rsidR="00412BD7">
        <w:t>CP </w:t>
      </w:r>
      <w:r w:rsidRPr="002B1912">
        <w:t>6.</w:t>
      </w:r>
      <w:r w:rsidR="005A00BE">
        <w:t>”</w:t>
      </w:r>
      <w:r w:rsidRPr="002B1912">
        <w:t xml:space="preserve"> This statement seems inconsistent with the figures in </w:t>
      </w:r>
      <w:r w:rsidR="00F920D3">
        <w:t>Table </w:t>
      </w:r>
      <w:r w:rsidRPr="002B1912">
        <w:t>2 and Liberty</w:t>
      </w:r>
      <w:r w:rsidR="005A00BE">
        <w:t>’</w:t>
      </w:r>
      <w:r w:rsidRPr="002B1912">
        <w:t xml:space="preserve">s RNS template, where the figures show that Liberty has </w:t>
      </w:r>
      <w:r w:rsidR="00A36453">
        <w:t>a</w:t>
      </w:r>
      <w:r w:rsidR="00DF3A08">
        <w:t>n</w:t>
      </w:r>
      <w:r w:rsidRPr="002B1912">
        <w:t xml:space="preserve"> RPS need </w:t>
      </w:r>
      <w:r w:rsidR="00A36453">
        <w:t xml:space="preserve">earlier </w:t>
      </w:r>
      <w:r w:rsidRPr="002B1912">
        <w:t xml:space="preserve">than </w:t>
      </w:r>
      <w:r w:rsidR="00412BD7">
        <w:t>CP </w:t>
      </w:r>
      <w:r w:rsidRPr="002B1912">
        <w:t xml:space="preserve">6. Liberty </w:t>
      </w:r>
      <w:r w:rsidR="00A36453">
        <w:t>must</w:t>
      </w:r>
      <w:r w:rsidRPr="002B1912">
        <w:t xml:space="preserve"> revise or clarify this statemen</w:t>
      </w:r>
      <w:r>
        <w:t>t.</w:t>
      </w:r>
    </w:p>
    <w:p w:rsidR="00E5394B" w:rsidP="00F277D4" w:rsidRDefault="002B1912" w14:paraId="6B91251A" w14:textId="6F59EDCC">
      <w:pPr>
        <w:pStyle w:val="BlockQuoteH033subH025"/>
        <w:numPr>
          <w:ilvl w:val="1"/>
          <w:numId w:val="25"/>
        </w:numPr>
        <w:ind w:left="1555"/>
      </w:pPr>
      <w:r w:rsidRPr="002B1912">
        <w:t xml:space="preserve">On </w:t>
      </w:r>
      <w:r w:rsidR="00FD21B9">
        <w:t>page </w:t>
      </w:r>
      <w:r w:rsidRPr="002B1912">
        <w:t xml:space="preserve">14 of its Draft </w:t>
      </w:r>
      <w:r w:rsidR="00950E04">
        <w:t>2025 RPS</w:t>
      </w:r>
      <w:r w:rsidRPr="002B1912">
        <w:t xml:space="preserve"> Plan, Liberty proposes a timeline for the procurement of RECs </w:t>
      </w:r>
      <w:r w:rsidR="005A00BE">
        <w:t>“</w:t>
      </w:r>
      <w:r w:rsidRPr="002B1912">
        <w:t>to meet the current compliance period</w:t>
      </w:r>
      <w:r w:rsidR="00AC3136">
        <w:t>,</w:t>
      </w:r>
      <w:r w:rsidR="005A00BE">
        <w:t>”</w:t>
      </w:r>
      <w:r w:rsidR="00AC3136">
        <w:t xml:space="preserve"> </w:t>
      </w:r>
      <w:r w:rsidRPr="002B1912">
        <w:t xml:space="preserve">where Liberty would assess its needs for RECs in October 2025 and solicit RECs, if needed, in April and July of 2026. Liberty proposed a similar timeline and process in its 2024 RPS Plan, where it would procure RECs, if needed, in April and July of 2025. Liberty should provide an update on </w:t>
      </w:r>
      <w:r w:rsidRPr="002B1912" w:rsidR="00CD70BD">
        <w:t>whether</w:t>
      </w:r>
      <w:r w:rsidR="006A6A28">
        <w:t xml:space="preserve"> </w:t>
      </w:r>
      <w:r w:rsidRPr="002B1912">
        <w:t xml:space="preserve">it procured RECs in 2025, as proposed in the timeline presented in its 2024 RPS Plan, and </w:t>
      </w:r>
      <w:r w:rsidRPr="002B1912" w:rsidR="001C1B26">
        <w:t>provide</w:t>
      </w:r>
      <w:r w:rsidRPr="002B1912">
        <w:t xml:space="preserve"> details on the quantity</w:t>
      </w:r>
      <w:r w:rsidR="006A6A28">
        <w:t>,</w:t>
      </w:r>
      <w:r w:rsidRPr="002B1912">
        <w:t xml:space="preserve"> and delivery terms</w:t>
      </w:r>
      <w:r w:rsidR="00AC3136">
        <w:t xml:space="preserve"> and </w:t>
      </w:r>
      <w:r w:rsidRPr="002B1912">
        <w:t>years.</w:t>
      </w:r>
    </w:p>
    <w:p w:rsidRPr="00EB6A32" w:rsidR="00A91902" w:rsidP="00F277D4" w:rsidRDefault="00A91902" w14:paraId="7F568DEA" w14:textId="15326633">
      <w:pPr>
        <w:pStyle w:val="BlockQuoteH033subH025"/>
        <w:numPr>
          <w:ilvl w:val="1"/>
          <w:numId w:val="25"/>
        </w:numPr>
        <w:ind w:left="1555"/>
      </w:pPr>
      <w:r w:rsidRPr="00A91902">
        <w:t xml:space="preserve">On </w:t>
      </w:r>
      <w:r w:rsidR="00FD21B9">
        <w:t>page </w:t>
      </w:r>
      <w:r w:rsidRPr="00A91902">
        <w:t>15</w:t>
      </w:r>
      <w:r>
        <w:t xml:space="preserve"> of its Draft </w:t>
      </w:r>
      <w:r w:rsidR="00950E04">
        <w:t>2025 RPS</w:t>
      </w:r>
      <w:r>
        <w:t xml:space="preserve"> Plan</w:t>
      </w:r>
      <w:r w:rsidRPr="00A91902">
        <w:t xml:space="preserve">, Liberty states that </w:t>
      </w:r>
      <w:r w:rsidR="005A00BE">
        <w:t>“</w:t>
      </w:r>
      <w:r w:rsidRPr="00A91902">
        <w:t xml:space="preserve">RECs from both </w:t>
      </w:r>
      <w:r w:rsidR="00DF3A08">
        <w:t>[</w:t>
      </w:r>
      <w:r w:rsidRPr="00A91902">
        <w:t xml:space="preserve">Luning </w:t>
      </w:r>
      <w:r w:rsidR="00DF3A08">
        <w:t xml:space="preserve">Solar Project </w:t>
      </w:r>
      <w:r w:rsidRPr="00A91902">
        <w:t xml:space="preserve">and </w:t>
      </w:r>
      <w:r w:rsidR="00DF3A08">
        <w:t xml:space="preserve">the </w:t>
      </w:r>
      <w:r w:rsidRPr="00A91902">
        <w:t>Turquoise</w:t>
      </w:r>
      <w:r w:rsidR="00DF3A08">
        <w:t xml:space="preserve"> Solar Project]</w:t>
      </w:r>
      <w:r w:rsidRPr="00A91902">
        <w:t xml:space="preserve"> already satisfy the long</w:t>
      </w:r>
      <w:r w:rsidR="00E54574">
        <w:noBreakHyphen/>
      </w:r>
      <w:r w:rsidRPr="00A91902">
        <w:t>term procurement requirement</w:t>
      </w:r>
      <w:r>
        <w:t>.</w:t>
      </w:r>
      <w:r w:rsidR="005A00BE">
        <w:t>”</w:t>
      </w:r>
      <w:r w:rsidRPr="00A91902">
        <w:t xml:space="preserve"> However, the data in </w:t>
      </w:r>
      <w:r w:rsidR="00F920D3">
        <w:t>Table </w:t>
      </w:r>
      <w:r w:rsidRPr="00A91902">
        <w:t xml:space="preserve">2 shows that </w:t>
      </w:r>
      <w:r>
        <w:t>Liberty</w:t>
      </w:r>
      <w:r w:rsidRPr="00A91902">
        <w:t xml:space="preserve"> </w:t>
      </w:r>
      <w:r w:rsidR="00E66B32">
        <w:t>fails to meet</w:t>
      </w:r>
      <w:r w:rsidRPr="00A91902">
        <w:t xml:space="preserve"> the long</w:t>
      </w:r>
      <w:r w:rsidR="00E54574">
        <w:noBreakHyphen/>
      </w:r>
      <w:r w:rsidRPr="00A91902">
        <w:t>term contracting requirement</w:t>
      </w:r>
      <w:r w:rsidR="006A6A28">
        <w:t>. I</w:t>
      </w:r>
      <w:r w:rsidRPr="00A91902">
        <w:t xml:space="preserve">n other parts of its </w:t>
      </w:r>
      <w:r w:rsidR="006A6A28">
        <w:t xml:space="preserve">Draft </w:t>
      </w:r>
      <w:r w:rsidR="00950E04">
        <w:t>2025 RPS</w:t>
      </w:r>
      <w:r w:rsidRPr="00A91902">
        <w:t xml:space="preserve"> Plan, </w:t>
      </w:r>
      <w:r>
        <w:t>Liberty</w:t>
      </w:r>
      <w:r w:rsidRPr="00A91902">
        <w:t xml:space="preserve"> states that it is</w:t>
      </w:r>
      <w:r>
        <w:t xml:space="preserve"> </w:t>
      </w:r>
      <w:r w:rsidRPr="00A91902">
        <w:t>reliant on other sources of long</w:t>
      </w:r>
      <w:r w:rsidR="00E54574">
        <w:noBreakHyphen/>
      </w:r>
      <w:r w:rsidRPr="00A91902">
        <w:t>term procurement besides Luning and Turquoise to satisfy its long</w:t>
      </w:r>
      <w:r w:rsidR="00E54574">
        <w:noBreakHyphen/>
      </w:r>
      <w:r w:rsidRPr="00A91902">
        <w:t>term contracting requirement</w:t>
      </w:r>
      <w:r>
        <w:t>. Liberty should clarify these inconsistent statements.</w:t>
      </w:r>
    </w:p>
    <w:p w:rsidRPr="00EB6A32" w:rsidR="00435C98" w:rsidP="00F277D4" w:rsidRDefault="009850E3" w14:paraId="3F0BF26D" w14:textId="04C55BEF">
      <w:pPr>
        <w:pStyle w:val="BlockQuoteH033"/>
        <w:numPr>
          <w:ilvl w:val="0"/>
          <w:numId w:val="25"/>
        </w:numPr>
        <w:ind w:left="1195" w:hanging="475"/>
      </w:pPr>
      <w:r>
        <w:rPr>
          <w:i/>
          <w:iCs/>
        </w:rPr>
        <w:t>Section </w:t>
      </w:r>
      <w:r w:rsidR="00E35C1A">
        <w:rPr>
          <w:i/>
          <w:iCs/>
        </w:rPr>
        <w:t>X.A. Bid Solicitation Protocols</w:t>
      </w:r>
      <w:r w:rsidR="00CD5830">
        <w:t xml:space="preserve">:  </w:t>
      </w:r>
      <w:r w:rsidRPr="00E35C1A" w:rsidR="00E35C1A">
        <w:t xml:space="preserve">In </w:t>
      </w:r>
      <w:r w:rsidR="00FC7CB4">
        <w:t>Attachment </w:t>
      </w:r>
      <w:r w:rsidRPr="00E35C1A" w:rsidR="00E35C1A">
        <w:t xml:space="preserve">D (Solicitation Materials) to its Draft </w:t>
      </w:r>
      <w:r w:rsidR="00950E04">
        <w:t>2025 RPS</w:t>
      </w:r>
      <w:r w:rsidRPr="00E35C1A" w:rsidR="00E35C1A">
        <w:t xml:space="preserve"> Plan, Liberty </w:t>
      </w:r>
      <w:r w:rsidRPr="00E35C1A" w:rsidR="00E35C1A">
        <w:lastRenderedPageBreak/>
        <w:t xml:space="preserve">refers to solicitation materials included in its Final 2022 </w:t>
      </w:r>
      <w:r w:rsidR="00185064">
        <w:t>RPS Plan</w:t>
      </w:r>
      <w:r w:rsidRPr="00E35C1A" w:rsidR="00E35C1A">
        <w:t xml:space="preserve"> and does not attach those protocols </w:t>
      </w:r>
      <w:r w:rsidRPr="00E35C1A" w:rsidR="00D60E86">
        <w:t>to</w:t>
      </w:r>
      <w:r w:rsidRPr="00E35C1A" w:rsidR="00E35C1A">
        <w:t xml:space="preserve"> </w:t>
      </w:r>
      <w:r w:rsidR="00920755">
        <w:t xml:space="preserve">its </w:t>
      </w:r>
      <w:r w:rsidR="009F5460">
        <w:t>current Plan</w:t>
      </w:r>
      <w:r w:rsidRPr="00E35C1A" w:rsidR="00E35C1A">
        <w:t xml:space="preserve">. Liberty should attach solicitation materials to its </w:t>
      </w:r>
      <w:r w:rsidR="00655008">
        <w:t>D</w:t>
      </w:r>
      <w:r w:rsidRPr="00E35C1A" w:rsidR="00E35C1A">
        <w:t xml:space="preserve">raft </w:t>
      </w:r>
      <w:r w:rsidR="00950E04">
        <w:t xml:space="preserve">2025 </w:t>
      </w:r>
      <w:r w:rsidR="00185064">
        <w:t>RPS Plan</w:t>
      </w:r>
      <w:r w:rsidRPr="00E35C1A" w:rsidR="00E35C1A">
        <w:t xml:space="preserve"> or provide a link, if one exists, to the public website where public solicitation materials can be found for recent, ongoing, or future relevant RPS solicitations</w:t>
      </w:r>
      <w:r w:rsidR="00920755">
        <w:rPr>
          <w:i/>
          <w:iCs/>
        </w:rPr>
        <w:t>.</w:t>
      </w:r>
    </w:p>
    <w:p w:rsidR="00433C68" w:rsidP="00F277D4" w:rsidRDefault="00433C68" w14:paraId="42B19324" w14:textId="49F04705">
      <w:pPr>
        <w:pStyle w:val="Heading2"/>
      </w:pPr>
      <w:bookmarkStart w:name="_Toc212716164" w:id="98"/>
      <w:bookmarkStart w:name="_Toc214004368" w:id="99"/>
      <w:r>
        <w:t>PacifiCorp</w:t>
      </w:r>
      <w:r w:rsidR="005A00BE">
        <w:t>’</w:t>
      </w:r>
      <w:r w:rsidR="00B83A37">
        <w:t xml:space="preserve">s Draft </w:t>
      </w:r>
      <w:r w:rsidRPr="00C55273" w:rsidR="009E01F1">
        <w:t>Renewables</w:t>
      </w:r>
      <w:r w:rsidR="00AC06BB">
        <w:br/>
      </w:r>
      <w:r w:rsidRPr="00C55273" w:rsidR="009E01F1">
        <w:t>Portfolio Standard</w:t>
      </w:r>
      <w:r w:rsidR="00B83A37">
        <w:t xml:space="preserve"> Plan</w:t>
      </w:r>
      <w:bookmarkEnd w:id="98"/>
      <w:bookmarkEnd w:id="99"/>
    </w:p>
    <w:p w:rsidR="00E76130" w:rsidP="00F277D4" w:rsidRDefault="00E76130" w14:paraId="24EA1A43" w14:textId="6BE51493">
      <w:pPr>
        <w:pStyle w:val="Standard"/>
      </w:pPr>
      <w:r w:rsidRPr="00E76130">
        <w:t>PacifiCorp</w:t>
      </w:r>
      <w:r w:rsidR="005A00BE">
        <w:t>’</w:t>
      </w:r>
      <w:r w:rsidRPr="00E76130">
        <w:t xml:space="preserve">s </w:t>
      </w:r>
      <w:r w:rsidR="00435C98">
        <w:t xml:space="preserve">Draft </w:t>
      </w:r>
      <w:r w:rsidR="00950E04">
        <w:t>2025 RPS</w:t>
      </w:r>
      <w:r w:rsidR="00435C98">
        <w:t xml:space="preserve"> Plan (Updated 2025 On</w:t>
      </w:r>
      <w:r w:rsidR="00E54574">
        <w:noBreakHyphen/>
      </w:r>
      <w:r w:rsidR="00435C98">
        <w:t xml:space="preserve">Year Supplement to its 2025 IRP) </w:t>
      </w:r>
      <w:r w:rsidRPr="00E76130">
        <w:t>meets the requirements of the 202</w:t>
      </w:r>
      <w:r>
        <w:t>5</w:t>
      </w:r>
      <w:r w:rsidRPr="00E76130">
        <w:t xml:space="preserve"> ACR</w:t>
      </w:r>
      <w:r w:rsidRPr="005A524F" w:rsidR="005A524F">
        <w:t xml:space="preserve"> except for an instance where </w:t>
      </w:r>
      <w:r w:rsidR="005A524F">
        <w:t>PacifiCorp</w:t>
      </w:r>
      <w:r w:rsidRPr="005A524F" w:rsidR="005A524F">
        <w:t xml:space="preserve"> did not provide all the required information for Transportation Electrification forecasting</w:t>
      </w:r>
      <w:r w:rsidRPr="00E76130">
        <w:t>. Accordingly, the Commission approves PacifiCorp</w:t>
      </w:r>
      <w:r w:rsidR="005A00BE">
        <w:t>’</w:t>
      </w:r>
      <w:r w:rsidRPr="00E76130">
        <w:t xml:space="preserve">s Draft </w:t>
      </w:r>
      <w:r w:rsidR="00950E04">
        <w:t>2025 RPS</w:t>
      </w:r>
      <w:r w:rsidRPr="00E76130">
        <w:t xml:space="preserve"> Plan with modifications.</w:t>
      </w:r>
    </w:p>
    <w:p w:rsidR="00435C98" w:rsidP="00F277D4" w:rsidRDefault="00502A09" w14:paraId="3AC4F0F7" w14:textId="69944CFE">
      <w:pPr>
        <w:pStyle w:val="Standard"/>
      </w:pPr>
      <w:r>
        <w:t>PacifiCorp has historically relied on existing eligible renewable energy within PacifiCorp</w:t>
      </w:r>
      <w:r w:rsidR="005A00BE">
        <w:t>’</w:t>
      </w:r>
      <w:r>
        <w:t xml:space="preserve">s portfolio and unbundled </w:t>
      </w:r>
      <w:r w:rsidR="00521801">
        <w:t>PCC </w:t>
      </w:r>
      <w:r>
        <w:t xml:space="preserve">3 REC procurement to meet its RPS requirements. </w:t>
      </w:r>
      <w:r w:rsidRPr="00C55273" w:rsidR="00C566D9">
        <w:t xml:space="preserve">In its </w:t>
      </w:r>
      <w:r w:rsidR="00B83A37">
        <w:t xml:space="preserve">current Draft RPS </w:t>
      </w:r>
      <w:r w:rsidRPr="00C55273" w:rsidR="00C566D9">
        <w:t xml:space="preserve">Plan, </w:t>
      </w:r>
      <w:r w:rsidR="00C566D9">
        <w:t xml:space="preserve">PacifiCorp </w:t>
      </w:r>
      <w:r w:rsidR="00D142CA">
        <w:t xml:space="preserve">states that it </w:t>
      </w:r>
      <w:r w:rsidR="00C566D9">
        <w:t>i</w:t>
      </w:r>
      <w:r w:rsidR="00435C98">
        <w:t xml:space="preserve">ntends to meet </w:t>
      </w:r>
      <w:r w:rsidR="00C566D9">
        <w:t xml:space="preserve">its </w:t>
      </w:r>
      <w:r w:rsidR="00435C98">
        <w:t>RPS requirements with</w:t>
      </w:r>
      <w:r w:rsidR="00C566D9">
        <w:t xml:space="preserve"> </w:t>
      </w:r>
      <w:r w:rsidR="00435C98">
        <w:t>existing and proxy eligible renewable energy and RECs</w:t>
      </w:r>
      <w:r w:rsidR="00C64A1B">
        <w:t>,</w:t>
      </w:r>
      <w:r w:rsidR="00435C98">
        <w:t xml:space="preserve"> consistent with its integrated system planning</w:t>
      </w:r>
      <w:r w:rsidR="00C566D9">
        <w:t>;</w:t>
      </w:r>
      <w:r w:rsidR="00435C98">
        <w:t xml:space="preserve"> and</w:t>
      </w:r>
      <w:r w:rsidR="00C566D9">
        <w:t xml:space="preserve"> </w:t>
      </w:r>
      <w:r w:rsidR="00435C98">
        <w:t>RECs procured through RFPs seeking unbundled RECs that are RPS eligible</w:t>
      </w:r>
      <w:r w:rsidR="00C566D9">
        <w:t>.</w:t>
      </w:r>
      <w:r w:rsidR="00C566D9">
        <w:rPr>
          <w:rStyle w:val="FootnoteReference"/>
        </w:rPr>
        <w:footnoteReference w:id="100"/>
      </w:r>
      <w:r w:rsidRPr="0043022F" w:rsidR="0043022F">
        <w:t xml:space="preserve"> </w:t>
      </w:r>
      <w:r w:rsidR="005F4B47">
        <w:t xml:space="preserve">In December 2023, PacifiCorp issued a REC RFP and </w:t>
      </w:r>
      <w:r w:rsidRPr="0043022F" w:rsidR="0043022F">
        <w:t>entered into a long</w:t>
      </w:r>
      <w:r w:rsidR="00E54574">
        <w:noBreakHyphen/>
      </w:r>
      <w:r w:rsidRPr="0043022F" w:rsidR="0043022F">
        <w:t>term agreement for 40,000 RECs per year starting in 2024.</w:t>
      </w:r>
      <w:r w:rsidRPr="0043022F" w:rsidR="0043022F">
        <w:rPr>
          <w:vertAlign w:val="superscript"/>
        </w:rPr>
        <w:footnoteReference w:id="101"/>
      </w:r>
      <w:r w:rsidR="00D142CA">
        <w:t xml:space="preserve"> </w:t>
      </w:r>
      <w:r w:rsidR="00435C98">
        <w:t xml:space="preserve">Based on </w:t>
      </w:r>
      <w:r w:rsidR="00C566D9">
        <w:t>its</w:t>
      </w:r>
      <w:r w:rsidR="00435C98">
        <w:t xml:space="preserve"> 2025 IRP, </w:t>
      </w:r>
      <w:r w:rsidR="00C566D9">
        <w:t xml:space="preserve">PacifiCorp </w:t>
      </w:r>
      <w:r w:rsidR="00435C98">
        <w:t>has concluded that an additional REC RFP will not be required to meet the compliance needs for future compliance periods</w:t>
      </w:r>
      <w:r w:rsidR="00C566D9">
        <w:t>.</w:t>
      </w:r>
      <w:r w:rsidR="00C566D9">
        <w:rPr>
          <w:rStyle w:val="FootnoteReference"/>
        </w:rPr>
        <w:footnoteReference w:id="102"/>
      </w:r>
    </w:p>
    <w:p w:rsidRPr="00E76130" w:rsidR="00882A5E" w:rsidP="00F277D4" w:rsidRDefault="00882A5E" w14:paraId="67AF7CF0" w14:textId="694CEAFA">
      <w:pPr>
        <w:pStyle w:val="Standard"/>
      </w:pPr>
      <w:r w:rsidRPr="00882A5E">
        <w:lastRenderedPageBreak/>
        <w:t>In its Draft RPS Plan, PacifiCorp states that it used the California Energy Commission</w:t>
      </w:r>
      <w:r w:rsidR="005A00BE">
        <w:t>’</w:t>
      </w:r>
      <w:r w:rsidRPr="00882A5E">
        <w:t>s (CEC) Integrated Energy Policy Report (IEPR) forecast from 2021 for its transportation electrification forecast, but does not explain why it did not use the more recent 2024 IEPR forecast, which was available at the end of January 2025. As per the 2025 ACR, if a retail seller is not using the most up</w:t>
      </w:r>
      <w:r w:rsidR="00E54574">
        <w:noBreakHyphen/>
      </w:r>
      <w:r w:rsidRPr="00882A5E">
        <w:t>to</w:t>
      </w:r>
      <w:r w:rsidR="00E54574">
        <w:noBreakHyphen/>
      </w:r>
      <w:r w:rsidRPr="00882A5E">
        <w:t>date IEPR forecast, it must provide reasoning for its choice of the IEPR forecast vintage year.</w:t>
      </w:r>
    </w:p>
    <w:p w:rsidR="001356C4" w:rsidP="00F277D4" w:rsidRDefault="00BB7002" w14:paraId="3D550065" w14:textId="69564D3D">
      <w:pPr>
        <w:pStyle w:val="Heading1"/>
      </w:pPr>
      <w:bookmarkStart w:name="_Toc212716165" w:id="100"/>
      <w:bookmarkStart w:name="_Toc214004369" w:id="101"/>
      <w:r w:rsidRPr="00BB7002">
        <w:t>Community Choice Aggregators</w:t>
      </w:r>
      <w:r w:rsidR="00F827EF">
        <w:br/>
      </w:r>
      <w:r w:rsidR="001356C4">
        <w:t xml:space="preserve">and </w:t>
      </w:r>
      <w:r w:rsidRPr="00BB7002">
        <w:t>Electric Service Providers</w:t>
      </w:r>
      <w:bookmarkEnd w:id="100"/>
      <w:bookmarkEnd w:id="101"/>
    </w:p>
    <w:p w:rsidR="001356C4" w:rsidP="00F277D4" w:rsidRDefault="001356C4" w14:paraId="56647B63" w14:textId="5C05558B">
      <w:pPr>
        <w:pStyle w:val="Standard"/>
      </w:pPr>
      <w:r w:rsidRPr="001356C4">
        <w:t>The Commission approves the CCAs</w:t>
      </w:r>
      <w:r w:rsidR="005A00BE">
        <w:t>’</w:t>
      </w:r>
      <w:r w:rsidRPr="001356C4">
        <w:t xml:space="preserve"> and ESPs</w:t>
      </w:r>
      <w:r w:rsidR="005A00BE">
        <w:t>’</w:t>
      </w:r>
      <w:r w:rsidRPr="001356C4">
        <w:t xml:space="preserve"> Draft </w:t>
      </w:r>
      <w:r w:rsidR="00950E04">
        <w:t>2025 RPS</w:t>
      </w:r>
      <w:r w:rsidRPr="001356C4">
        <w:t xml:space="preserve"> Plans with modifications. To make this determination, the Commission reviewed 25 CCA and 10 ESP Draft </w:t>
      </w:r>
      <w:r w:rsidR="00950E04">
        <w:t>2025 RPS</w:t>
      </w:r>
      <w:r w:rsidRPr="001356C4">
        <w:t xml:space="preserve"> Plans for completeness, accuracy of information, and compliance with the 202</w:t>
      </w:r>
      <w:r>
        <w:t>5</w:t>
      </w:r>
      <w:r w:rsidRPr="001356C4">
        <w:t xml:space="preserve"> ACR. Based on our review, CCA and ESP Draft </w:t>
      </w:r>
      <w:r w:rsidR="00950E04">
        <w:t>2025 RPS</w:t>
      </w:r>
      <w:r w:rsidRPr="001356C4">
        <w:t xml:space="preserve"> Plans complied with most of the 202</w:t>
      </w:r>
      <w:r>
        <w:t>5</w:t>
      </w:r>
      <w:r w:rsidRPr="001356C4">
        <w:t xml:space="preserve"> ACR requirements. </w:t>
      </w:r>
      <w:r w:rsidR="005635C6">
        <w:t>Section </w:t>
      </w:r>
      <w:r w:rsidR="005B26B2">
        <w:t>8</w:t>
      </w:r>
      <w:r w:rsidRPr="001356C4">
        <w:t xml:space="preserve">.1 and </w:t>
      </w:r>
      <w:r w:rsidR="009850E3">
        <w:t>Section </w:t>
      </w:r>
      <w:r w:rsidR="005B26B2">
        <w:t>8</w:t>
      </w:r>
      <w:r w:rsidRPr="001356C4">
        <w:t xml:space="preserve">.2 </w:t>
      </w:r>
      <w:r w:rsidR="005635C6">
        <w:t xml:space="preserve">of this decision </w:t>
      </w:r>
      <w:r w:rsidRPr="001356C4">
        <w:t xml:space="preserve">provide an overview of actual and projected RPS procurement for ESPs and CCAs to meet future RPS obligations. </w:t>
      </w:r>
      <w:r w:rsidR="005635C6">
        <w:t>Sections </w:t>
      </w:r>
      <w:r w:rsidR="005B26B2">
        <w:t>8</w:t>
      </w:r>
      <w:r w:rsidRPr="001356C4">
        <w:t xml:space="preserve">.3.1 through </w:t>
      </w:r>
      <w:r w:rsidR="005B26B2">
        <w:t>8</w:t>
      </w:r>
      <w:r w:rsidRPr="001356C4">
        <w:t xml:space="preserve">.3.12 </w:t>
      </w:r>
      <w:r w:rsidR="005635C6">
        <w:t>of this decision</w:t>
      </w:r>
      <w:r w:rsidRPr="001356C4">
        <w:t xml:space="preserve"> provide a description of the Commission</w:t>
      </w:r>
      <w:r w:rsidR="005A00BE">
        <w:t>’</w:t>
      </w:r>
      <w:r w:rsidRPr="001356C4">
        <w:t>s findings and disposition of CCAs</w:t>
      </w:r>
      <w:r w:rsidR="005A00BE">
        <w:t>’</w:t>
      </w:r>
      <w:r w:rsidRPr="001356C4">
        <w:t xml:space="preserve"> and ESPs</w:t>
      </w:r>
      <w:r w:rsidR="005A00BE">
        <w:t>’</w:t>
      </w:r>
      <w:r w:rsidRPr="001356C4">
        <w:t xml:space="preserve"> Draft </w:t>
      </w:r>
      <w:r w:rsidR="00950E04">
        <w:t>2025 RPS</w:t>
      </w:r>
      <w:r w:rsidRPr="001356C4">
        <w:t xml:space="preserve"> Plans.</w:t>
      </w:r>
    </w:p>
    <w:p w:rsidR="00151881" w:rsidP="00F277D4" w:rsidRDefault="00151881" w14:paraId="0E0F8C1B" w14:textId="10DD3410">
      <w:pPr>
        <w:pStyle w:val="Heading2"/>
      </w:pPr>
      <w:bookmarkStart w:name="_Toc212716166" w:id="102"/>
      <w:bookmarkStart w:name="_Toc214004370" w:id="103"/>
      <w:r>
        <w:t>C</w:t>
      </w:r>
      <w:r w:rsidRPr="00BB7002" w:rsidR="00BB7002">
        <w:t>ommunity Choice Aggregator</w:t>
      </w:r>
      <w:r w:rsidR="00BB7002">
        <w:t>s</w:t>
      </w:r>
      <w:r w:rsidR="005A00BE">
        <w:t>’</w:t>
      </w:r>
      <w:r>
        <w:t xml:space="preserve"> Procurement Needs</w:t>
      </w:r>
      <w:bookmarkEnd w:id="102"/>
      <w:bookmarkEnd w:id="103"/>
    </w:p>
    <w:p w:rsidRPr="00C55273" w:rsidR="00F007BC" w:rsidP="00F277D4" w:rsidRDefault="00F007BC" w14:paraId="7C01042B" w14:textId="0A278E4D">
      <w:pPr>
        <w:pStyle w:val="Standard"/>
      </w:pPr>
      <w:r w:rsidRPr="00C55273">
        <w:t xml:space="preserve">Collectively, </w:t>
      </w:r>
      <w:r w:rsidRPr="004C5DAF">
        <w:t>the CCAs have executed enough renewable energy contracts to exceed their forecasted need in 2025 and plan to serve over 6</w:t>
      </w:r>
      <w:r w:rsidR="004B45B5">
        <w:t>4</w:t>
      </w:r>
      <w:r w:rsidRPr="004C5DAF">
        <w:t>,000</w:t>
      </w:r>
      <w:r w:rsidR="006446E7">
        <w:t> GWh</w:t>
      </w:r>
      <w:r w:rsidRPr="004C5DAF">
        <w:t xml:space="preserve"> of retail load in 2025</w:t>
      </w:r>
      <w:r w:rsidRPr="00C55273">
        <w:t>.</w:t>
      </w:r>
      <w:r w:rsidRPr="00C55273">
        <w:rPr>
          <w:vertAlign w:val="superscript"/>
        </w:rPr>
        <w:footnoteReference w:id="103"/>
      </w:r>
    </w:p>
    <w:p w:rsidRPr="00C55273" w:rsidR="00F007BC" w:rsidP="00F277D4" w:rsidRDefault="00F007BC" w14:paraId="4E09D1F8" w14:textId="0518701C">
      <w:pPr>
        <w:pStyle w:val="Standard"/>
      </w:pPr>
      <w:r w:rsidRPr="004C5DAF">
        <w:t>Based on the CCAs</w:t>
      </w:r>
      <w:r w:rsidR="005A00BE">
        <w:t>’</w:t>
      </w:r>
      <w:r w:rsidRPr="004C5DAF">
        <w:t xml:space="preserve"> RNS reporting, several CCAs are expected to need additional RPS procurement beginning in </w:t>
      </w:r>
      <w:r w:rsidR="004B45B5">
        <w:t xml:space="preserve">2025 or </w:t>
      </w:r>
      <w:r w:rsidRPr="004C5DAF">
        <w:t xml:space="preserve">2026. Collectively, CCAs may </w:t>
      </w:r>
      <w:r w:rsidRPr="004C5DAF">
        <w:lastRenderedPageBreak/>
        <w:t>need additional RPS procurement beginning in 202</w:t>
      </w:r>
      <w:r w:rsidR="004B45B5">
        <w:t>8</w:t>
      </w:r>
      <w:r w:rsidRPr="004C5DAF">
        <w:t xml:space="preserve"> if there are delays to a significant quantity of projects in development</w:t>
      </w:r>
      <w:r w:rsidRPr="00C55273">
        <w:t>.</w:t>
      </w:r>
    </w:p>
    <w:p w:rsidR="00DE7169" w:rsidP="00F277D4" w:rsidRDefault="003C48F7" w14:paraId="28B5932B" w14:textId="7F319163">
      <w:pPr>
        <w:pStyle w:val="TableTitleBody"/>
      </w:pPr>
      <w:bookmarkStart w:name="_Hlk212115087" w:id="104"/>
      <w:r>
        <w:t>Figure </w:t>
      </w:r>
      <w:r w:rsidR="00733963">
        <w:t>3</w:t>
      </w:r>
      <w:r w:rsidR="00CD5830">
        <w:rPr>
          <w:b w:val="0"/>
          <w:bCs w:val="0"/>
        </w:rPr>
        <w:t xml:space="preserve">:  </w:t>
      </w:r>
      <w:r w:rsidRPr="00C749A2" w:rsidR="00C749A2">
        <w:t xml:space="preserve">Aggregated </w:t>
      </w:r>
      <w:r w:rsidRPr="00BB7002" w:rsidR="00BB7002">
        <w:t>Community Choice Aggregator</w:t>
      </w:r>
      <w:r w:rsidR="00C749A2">
        <w:t>s</w:t>
      </w:r>
      <w:r w:rsidR="005A00BE">
        <w:t>’</w:t>
      </w:r>
      <w:r w:rsidRPr="00C749A2" w:rsidR="00C749A2">
        <w:t xml:space="preserve"> Progress Toward 60</w:t>
      </w:r>
      <w:r w:rsidR="005927CB">
        <w:rPr>
          <w:b w:val="0"/>
          <w:bCs w:val="0"/>
        </w:rPr>
        <w:t> </w:t>
      </w:r>
      <w:r w:rsidRPr="00E51572" w:rsidR="005927CB">
        <w:t>Percent</w:t>
      </w:r>
      <w:r w:rsidRPr="00E51572" w:rsidR="00C749A2">
        <w:t xml:space="preserve"> </w:t>
      </w:r>
      <w:bookmarkEnd w:id="104"/>
      <w:r w:rsidRPr="009E01F1" w:rsidR="009E01F1">
        <w:t>Renewables Portfolio Standard</w:t>
      </w:r>
    </w:p>
    <w:p w:rsidR="00C749A2" w:rsidP="00F277D4" w:rsidRDefault="004F64EF" w14:paraId="28DEF044" w14:textId="6A325A0D">
      <w:pPr>
        <w:pStyle w:val="StandardFigure"/>
      </w:pPr>
      <w:r>
        <w:rPr>
          <w:noProof/>
        </w:rPr>
        <w:drawing>
          <wp:inline distT="0" distB="0" distL="0" distR="0" wp14:anchorId="7AC27073" wp14:editId="68331EEA">
            <wp:extent cx="5166360" cy="2798064"/>
            <wp:effectExtent l="0" t="0" r="0" b="2540"/>
            <wp:docPr id="442086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6360" cy="2798064"/>
                    </a:xfrm>
                    <a:prstGeom prst="rect">
                      <a:avLst/>
                    </a:prstGeom>
                    <a:noFill/>
                  </pic:spPr>
                </pic:pic>
              </a:graphicData>
            </a:graphic>
          </wp:inline>
        </w:drawing>
      </w:r>
    </w:p>
    <w:p w:rsidR="00151881" w:rsidP="00F277D4" w:rsidRDefault="00BB7002" w14:paraId="31059BC5" w14:textId="0E1E638B">
      <w:pPr>
        <w:pStyle w:val="Heading2"/>
      </w:pPr>
      <w:bookmarkStart w:name="_Toc212716167" w:id="105"/>
      <w:bookmarkStart w:name="_Toc214004371" w:id="106"/>
      <w:r w:rsidRPr="00BB7002">
        <w:t>Electric Service Provider</w:t>
      </w:r>
      <w:r>
        <w:t>s</w:t>
      </w:r>
      <w:r w:rsidR="005A00BE">
        <w:t>’</w:t>
      </w:r>
      <w:r w:rsidR="001D26BB">
        <w:br/>
      </w:r>
      <w:r w:rsidR="00151881">
        <w:t>Procurement Needs</w:t>
      </w:r>
      <w:bookmarkEnd w:id="105"/>
      <w:bookmarkEnd w:id="106"/>
    </w:p>
    <w:p w:rsidR="00151881" w:rsidP="00F277D4" w:rsidRDefault="00735A0A" w14:paraId="65621335" w14:textId="01CBDF8D">
      <w:pPr>
        <w:pStyle w:val="Standard"/>
      </w:pPr>
      <w:r w:rsidRPr="00C55273">
        <w:t xml:space="preserve">The Commission reviewed Draft </w:t>
      </w:r>
      <w:r w:rsidR="00950E04">
        <w:t>2025 RPS</w:t>
      </w:r>
      <w:r w:rsidRPr="00C55273">
        <w:t xml:space="preserve"> Plans filed by 1</w:t>
      </w:r>
      <w:r w:rsidR="002A1BD3">
        <w:t>0</w:t>
      </w:r>
      <w:r w:rsidRPr="00C55273">
        <w:t xml:space="preserve"> ESPs. </w:t>
      </w:r>
      <w:r w:rsidRPr="00D87D9B">
        <w:t>Based on the ESPs</w:t>
      </w:r>
      <w:r w:rsidR="005A00BE">
        <w:t>’</w:t>
      </w:r>
      <w:r w:rsidRPr="00D87D9B">
        <w:t xml:space="preserve"> reporting of their RNS positions, we find that the ESPs will collectively need additional procurement to meet RPS obligations beginning in 2026, as shown in </w:t>
      </w:r>
      <w:r w:rsidR="003C48F7">
        <w:t>Figure </w:t>
      </w:r>
      <w:r w:rsidRPr="00D87D9B">
        <w:t>4. This is due to the ESPs</w:t>
      </w:r>
      <w:r w:rsidR="005A00BE">
        <w:t>’</w:t>
      </w:r>
      <w:r w:rsidRPr="00D87D9B">
        <w:t xml:space="preserve"> historical reliance on short</w:t>
      </w:r>
      <w:r w:rsidR="00E54574">
        <w:noBreakHyphen/>
      </w:r>
      <w:r w:rsidRPr="00D87D9B">
        <w:t>term contracts to match their RPS obligation with their overall retail sales.</w:t>
      </w:r>
    </w:p>
    <w:p w:rsidRPr="001C7186" w:rsidR="00C749A2" w:rsidP="00F277D4" w:rsidRDefault="003C48F7" w14:paraId="0A746AFE" w14:textId="1ACE0AA2">
      <w:pPr>
        <w:pStyle w:val="TableTitleBody"/>
        <w:rPr>
          <w:b w:val="0"/>
          <w:bCs w:val="0"/>
        </w:rPr>
      </w:pPr>
      <w:r>
        <w:lastRenderedPageBreak/>
        <w:t>Figure </w:t>
      </w:r>
      <w:r w:rsidR="00733963">
        <w:t>4</w:t>
      </w:r>
      <w:r w:rsidR="00CD5830">
        <w:rPr>
          <w:b w:val="0"/>
          <w:bCs w:val="0"/>
        </w:rPr>
        <w:t xml:space="preserve">:  </w:t>
      </w:r>
      <w:r w:rsidRPr="00C749A2" w:rsidR="00733963">
        <w:t xml:space="preserve">Aggregated </w:t>
      </w:r>
      <w:r w:rsidRPr="00BB7002" w:rsidR="00BB7002">
        <w:t>Electric Service Provider</w:t>
      </w:r>
      <w:r w:rsidR="00733963">
        <w:t>s</w:t>
      </w:r>
      <w:r w:rsidR="005A00BE">
        <w:t>’</w:t>
      </w:r>
      <w:r w:rsidRPr="00C749A2" w:rsidR="00733963">
        <w:t xml:space="preserve"> Progress Toward</w:t>
      </w:r>
      <w:r w:rsidR="00CD33F7">
        <w:br/>
      </w:r>
      <w:r w:rsidRPr="00C749A2" w:rsidR="00733963">
        <w:t>60</w:t>
      </w:r>
      <w:r w:rsidRPr="00CD33F7" w:rsidR="005927CB">
        <w:t> Percent</w:t>
      </w:r>
      <w:r w:rsidRPr="00CD33F7" w:rsidR="00733963">
        <w:t xml:space="preserve"> </w:t>
      </w:r>
      <w:r w:rsidRPr="009E01F1" w:rsidR="009E01F1">
        <w:t>Renewables Portfolio Standard</w:t>
      </w:r>
    </w:p>
    <w:p w:rsidR="00C749A2" w:rsidP="00F277D4" w:rsidRDefault="00C749A2" w14:paraId="4643853F" w14:textId="1A6A7662">
      <w:pPr>
        <w:pStyle w:val="StandardFigure"/>
      </w:pPr>
      <w:r>
        <w:rPr>
          <w:noProof/>
        </w:rPr>
        <w:drawing>
          <wp:inline distT="0" distB="0" distL="0" distR="0" wp14:anchorId="3F3B3D7E" wp14:editId="0BB141BD">
            <wp:extent cx="5375938" cy="2602839"/>
            <wp:effectExtent l="0" t="0" r="0" b="7620"/>
            <wp:docPr id="416291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4869" cy="2626530"/>
                    </a:xfrm>
                    <a:prstGeom prst="rect">
                      <a:avLst/>
                    </a:prstGeom>
                    <a:noFill/>
                  </pic:spPr>
                </pic:pic>
              </a:graphicData>
            </a:graphic>
          </wp:inline>
        </w:drawing>
      </w:r>
    </w:p>
    <w:p w:rsidR="00151881" w:rsidP="00F277D4" w:rsidRDefault="00151881" w14:paraId="0839E2A5" w14:textId="02A10357">
      <w:pPr>
        <w:pStyle w:val="Heading2"/>
      </w:pPr>
      <w:bookmarkStart w:name="_Toc212716168" w:id="107"/>
      <w:bookmarkStart w:name="_Toc214004372" w:id="108"/>
      <w:r>
        <w:t xml:space="preserve">Issues to Address in the Final 2025 </w:t>
      </w:r>
      <w:r w:rsidRPr="00BB7002" w:rsidR="00BB7002">
        <w:t>Community Choice Aggregator</w:t>
      </w:r>
      <w:r w:rsidR="007E516D">
        <w:t>s’</w:t>
      </w:r>
      <w:r>
        <w:t xml:space="preserve"> and</w:t>
      </w:r>
      <w:r w:rsidR="00DE7169">
        <w:br/>
      </w:r>
      <w:r w:rsidRPr="00BB7002" w:rsidR="00BB7002">
        <w:t>Electric Service Provider</w:t>
      </w:r>
      <w:r w:rsidR="00BB7002">
        <w:t>s</w:t>
      </w:r>
      <w:r w:rsidR="005A00BE">
        <w:t>’</w:t>
      </w:r>
      <w:r>
        <w:t xml:space="preserve"> </w:t>
      </w:r>
      <w:r w:rsidRPr="009E01F1" w:rsidR="009E01F1">
        <w:t>Renewables Portfolio Standard</w:t>
      </w:r>
      <w:r>
        <w:t xml:space="preserve"> Plans</w:t>
      </w:r>
      <w:bookmarkEnd w:id="107"/>
      <w:bookmarkEnd w:id="108"/>
    </w:p>
    <w:p w:rsidR="00151881" w:rsidP="00F277D4" w:rsidRDefault="00151881" w14:paraId="12FE180B" w14:textId="142E447B">
      <w:pPr>
        <w:pStyle w:val="Standard"/>
      </w:pPr>
      <w:r w:rsidRPr="00151881">
        <w:t>The Commission identified several deficiencies in the CCAs</w:t>
      </w:r>
      <w:r w:rsidR="005A00BE">
        <w:t>’</w:t>
      </w:r>
      <w:r w:rsidRPr="00151881">
        <w:t xml:space="preserve"> and ESPs</w:t>
      </w:r>
      <w:r w:rsidR="005A00BE">
        <w:t>’</w:t>
      </w:r>
      <w:r w:rsidRPr="00151881">
        <w:t xml:space="preserve"> Draft </w:t>
      </w:r>
      <w:r w:rsidR="00950E04">
        <w:t>2025 RPS</w:t>
      </w:r>
      <w:r w:rsidRPr="00151881">
        <w:t xml:space="preserve"> Plans. In addition to minor errors, many deficiencies were related to instances where the retail seller failed to demonstrate how it would meet future RPS compliance requirements</w:t>
      </w:r>
      <w:r w:rsidR="00AA20B9">
        <w:t xml:space="preserve">. </w:t>
      </w:r>
      <w:r w:rsidR="00617076">
        <w:t>Further, m</w:t>
      </w:r>
      <w:r w:rsidRPr="00811863" w:rsidR="00811863">
        <w:t xml:space="preserve">ost of the errors in CCA RPS Plans involved instances where the CCA did not provide </w:t>
      </w:r>
      <w:r w:rsidRPr="00811863" w:rsidR="00CD70BD">
        <w:t>all</w:t>
      </w:r>
      <w:r w:rsidRPr="00811863" w:rsidR="00811863">
        <w:t xml:space="preserve"> the required information for Transportation Electrification forecasting or where the CCA made errors with their RNS calculations</w:t>
      </w:r>
      <w:r w:rsidR="00811863">
        <w:t xml:space="preserve">. </w:t>
      </w:r>
      <w:r w:rsidRPr="00151881">
        <w:t>These findings are listed in Sections</w:t>
      </w:r>
      <w:r w:rsidR="005635C6">
        <w:t> </w:t>
      </w:r>
      <w:r w:rsidR="005B26B2">
        <w:t>8</w:t>
      </w:r>
      <w:r w:rsidRPr="00151881">
        <w:t xml:space="preserve">.3.1 through </w:t>
      </w:r>
      <w:r w:rsidR="005B26B2">
        <w:t>8</w:t>
      </w:r>
      <w:r w:rsidRPr="00151881">
        <w:t>.3.12</w:t>
      </w:r>
      <w:r w:rsidR="005635C6">
        <w:t xml:space="preserve"> of this decision</w:t>
      </w:r>
      <w:r w:rsidRPr="00151881">
        <w:t>. The retail sellers identified in the paragraphs and tables below must update the relevant sections of their draft RPS Plans in their final submittal</w:t>
      </w:r>
      <w:r w:rsidR="000517B2">
        <w:t>.</w:t>
      </w:r>
    </w:p>
    <w:p w:rsidR="00DF5469" w:rsidP="00F277D4" w:rsidRDefault="00DF5469" w14:paraId="4207B73B" w14:textId="746BCEF3">
      <w:pPr>
        <w:pStyle w:val="Heading3"/>
      </w:pPr>
      <w:bookmarkStart w:name="_Toc212716169" w:id="109"/>
      <w:bookmarkStart w:name="_Toc214004373" w:id="110"/>
      <w:r>
        <w:t>Portfolio Supply and Demand</w:t>
      </w:r>
      <w:bookmarkEnd w:id="109"/>
      <w:bookmarkEnd w:id="110"/>
    </w:p>
    <w:p w:rsidR="00DF5469" w:rsidP="00F277D4" w:rsidRDefault="00B44114" w14:paraId="0324F06D" w14:textId="2460476E">
      <w:pPr>
        <w:pStyle w:val="Standard"/>
      </w:pPr>
      <w:r w:rsidRPr="00B44114">
        <w:t>The 202</w:t>
      </w:r>
      <w:r>
        <w:t>5</w:t>
      </w:r>
      <w:r w:rsidRPr="00B44114">
        <w:t xml:space="preserve"> ACR requires that retail sellers</w:t>
      </w:r>
      <w:r w:rsidR="005A00BE">
        <w:t>’</w:t>
      </w:r>
      <w:r w:rsidRPr="00B44114">
        <w:t xml:space="preserve"> RPS Plans must include an assessment of annual or multi</w:t>
      </w:r>
      <w:r w:rsidR="00E54574">
        <w:noBreakHyphen/>
      </w:r>
      <w:r w:rsidRPr="00B44114">
        <w:t xml:space="preserve">year portfolio supplies and demand to determine </w:t>
      </w:r>
      <w:r w:rsidRPr="00B44114">
        <w:lastRenderedPageBreak/>
        <w:t>the optimal mix and need for eligible renewable energy resources with deliverability characteristics that may consist of peaking, dispatchable, baseload, firm, and as</w:t>
      </w:r>
      <w:r w:rsidR="00E54574">
        <w:noBreakHyphen/>
      </w:r>
      <w:r w:rsidRPr="00B44114">
        <w:t>available capacity, and any additional factors, such as curtailment rights. The assessment should also cover all years through 203</w:t>
      </w:r>
      <w:r>
        <w:t>5</w:t>
      </w:r>
      <w:r w:rsidRPr="00B44114">
        <w:t xml:space="preserve"> and a near</w:t>
      </w:r>
      <w:r w:rsidR="00E54574">
        <w:noBreakHyphen/>
      </w:r>
      <w:r w:rsidRPr="00B44114">
        <w:t>term planning horizon that accounts for both portfolio supply and demand. The retail seller</w:t>
      </w:r>
      <w:r w:rsidR="005A00BE">
        <w:t>’</w:t>
      </w:r>
      <w:r w:rsidRPr="00B44114">
        <w:t xml:space="preserve">s RPS Plan must also explain how the quantitative analysis provided in response to </w:t>
      </w:r>
      <w:r w:rsidR="009850E3">
        <w:t>Section </w:t>
      </w:r>
      <w:r>
        <w:t>VIII</w:t>
      </w:r>
      <w:r w:rsidRPr="00B44114">
        <w:t xml:space="preserve"> of the 202</w:t>
      </w:r>
      <w:r>
        <w:t>5</w:t>
      </w:r>
      <w:r w:rsidRPr="00B44114">
        <w:t xml:space="preserve"> ACR supports this assessment. Lastly, the assessment should describe how procurement, allocations, or sales planned for the period covered by the </w:t>
      </w:r>
      <w:r w:rsidR="00950E04">
        <w:t>2025 RPS</w:t>
      </w:r>
      <w:r w:rsidRPr="00B44114">
        <w:t xml:space="preserve"> Plans is consistent with the evaluation of supply and demand.</w:t>
      </w:r>
    </w:p>
    <w:p w:rsidR="00A50430" w:rsidP="00F277D4" w:rsidRDefault="00BE0C67" w14:paraId="36E982DA" w14:textId="0A4004C5">
      <w:pPr>
        <w:pStyle w:val="Standard"/>
      </w:pPr>
      <w:r w:rsidRPr="00BE0C67">
        <w:t xml:space="preserve">According to our assessment of their Draft </w:t>
      </w:r>
      <w:r w:rsidR="00950E04">
        <w:t>2025 RPS</w:t>
      </w:r>
      <w:r w:rsidRPr="00BE0C67">
        <w:t xml:space="preserve"> Plans, </w:t>
      </w:r>
      <w:r>
        <w:t>the Commission</w:t>
      </w:r>
      <w:r w:rsidRPr="00BE0C67">
        <w:t xml:space="preserve"> find</w:t>
      </w:r>
      <w:r>
        <w:t>s</w:t>
      </w:r>
      <w:r w:rsidRPr="00BE0C67">
        <w:t xml:space="preserve"> that </w:t>
      </w:r>
      <w:r>
        <w:t>the City of Palmdale</w:t>
      </w:r>
      <w:r w:rsidRPr="00BE0C67">
        <w:t xml:space="preserve"> must provide additional information as </w:t>
      </w:r>
      <w:r>
        <w:t>described below.</w:t>
      </w:r>
    </w:p>
    <w:p w:rsidRPr="00BD420B" w:rsidR="004C1072" w:rsidP="00F277D4" w:rsidRDefault="00F920D3" w14:paraId="3652ED2C" w14:textId="356A3BB5">
      <w:pPr>
        <w:pStyle w:val="TableTitleBody"/>
        <w:rPr>
          <w:b w:val="0"/>
          <w:bCs w:val="0"/>
        </w:rPr>
      </w:pPr>
      <w:r>
        <w:t>Table 1</w:t>
      </w:r>
      <w:r w:rsidR="00CD5830">
        <w:rPr>
          <w:b w:val="0"/>
          <w:bCs w:val="0"/>
        </w:rPr>
        <w:t xml:space="preserve">:  </w:t>
      </w:r>
      <w:r w:rsidR="004C1072">
        <w:t>Portfolio Supply and Demand</w:t>
      </w:r>
    </w:p>
    <w:tbl>
      <w:tblPr>
        <w:tblStyle w:val="TableGrid2"/>
        <w:tblW w:w="9360" w:type="dxa"/>
        <w:tblLayout w:type="fixed"/>
        <w:tblCellMar>
          <w:top w:w="58" w:type="dxa"/>
          <w:bottom w:w="58" w:type="dxa"/>
        </w:tblCellMar>
        <w:tblLook w:val="06A0" w:firstRow="1" w:lastRow="0" w:firstColumn="1" w:lastColumn="0" w:noHBand="1" w:noVBand="1"/>
      </w:tblPr>
      <w:tblGrid>
        <w:gridCol w:w="2155"/>
        <w:gridCol w:w="7205"/>
      </w:tblGrid>
      <w:tr w:rsidRPr="00FD69E7" w:rsidR="004C1072" w:rsidTr="00473E79" w14:paraId="75A131CD" w14:textId="77777777">
        <w:trPr>
          <w:tblHeader/>
        </w:trPr>
        <w:tc>
          <w:tcPr>
            <w:tcW w:w="2155" w:type="dxa"/>
            <w:shd w:val="clear" w:color="auto" w:fill="BFBFBF" w:themeFill="background1" w:themeFillShade="BF"/>
            <w:vAlign w:val="bottom"/>
          </w:tcPr>
          <w:p w:rsidRPr="00FD69E7" w:rsidR="004C1072" w:rsidP="00F277D4" w:rsidRDefault="004C1072" w14:paraId="2238A752" w14:textId="0499E37F">
            <w:pPr>
              <w:keepNext/>
              <w:spacing w:line="240" w:lineRule="auto"/>
              <w:ind w:firstLine="0"/>
              <w:jc w:val="center"/>
              <w:rPr>
                <w:rFonts w:eastAsia="Times New Roman" w:cs="Times New Roman"/>
                <w:b/>
                <w:bCs/>
                <w:szCs w:val="24"/>
              </w:rPr>
            </w:pPr>
            <w:r w:rsidRPr="00FD69E7">
              <w:rPr>
                <w:b/>
                <w:color w:val="000000" w:themeColor="text1"/>
                <w:szCs w:val="24"/>
              </w:rPr>
              <w:t>Retail Seller</w:t>
            </w:r>
          </w:p>
        </w:tc>
        <w:tc>
          <w:tcPr>
            <w:tcW w:w="7205" w:type="dxa"/>
            <w:shd w:val="clear" w:color="auto" w:fill="BFBFBF" w:themeFill="background1" w:themeFillShade="BF"/>
            <w:vAlign w:val="bottom"/>
          </w:tcPr>
          <w:p w:rsidRPr="00FD69E7" w:rsidR="004C1072" w:rsidP="00F277D4" w:rsidRDefault="004C1072" w14:paraId="7277B680"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4C1072" w:rsidTr="00473E79" w14:paraId="2E9AC232" w14:textId="77777777">
        <w:tc>
          <w:tcPr>
            <w:tcW w:w="2155" w:type="dxa"/>
          </w:tcPr>
          <w:p w:rsidRPr="00473E79" w:rsidR="004C1072" w:rsidP="00F277D4" w:rsidRDefault="004C1072" w14:paraId="4400757E" w14:textId="0B0E3605">
            <w:pPr>
              <w:spacing w:line="240" w:lineRule="auto"/>
              <w:ind w:firstLine="0"/>
              <w:rPr>
                <w:rFonts w:eastAsia="Times New Roman" w:cs="Times New Roman"/>
                <w:szCs w:val="24"/>
              </w:rPr>
            </w:pPr>
            <w:r w:rsidRPr="00473E79">
              <w:rPr>
                <w:rFonts w:eastAsia="Times New Roman" w:cs="Times New Roman"/>
                <w:szCs w:val="24"/>
              </w:rPr>
              <w:t>City of Palmdale</w:t>
            </w:r>
          </w:p>
        </w:tc>
        <w:tc>
          <w:tcPr>
            <w:tcW w:w="7205" w:type="dxa"/>
          </w:tcPr>
          <w:p w:rsidRPr="00FD69E7" w:rsidR="004C1072" w:rsidP="00F277D4" w:rsidRDefault="00BD420B" w14:paraId="60A82B87" w14:textId="17C0C37A">
            <w:pPr>
              <w:spacing w:after="120" w:line="240" w:lineRule="auto"/>
              <w:ind w:firstLine="0"/>
              <w:rPr>
                <w:rFonts w:eastAsia="Times New Roman" w:cs="Times New Roman"/>
                <w:szCs w:val="24"/>
              </w:rPr>
            </w:pPr>
            <w:r w:rsidRPr="00FD69E7">
              <w:rPr>
                <w:rFonts w:eastAsia="Times New Roman" w:cs="Times New Roman"/>
                <w:szCs w:val="24"/>
              </w:rPr>
              <w:t xml:space="preserve">On </w:t>
            </w:r>
            <w:r w:rsidR="00FD21B9">
              <w:rPr>
                <w:rFonts w:eastAsia="Times New Roman" w:cs="Times New Roman"/>
                <w:szCs w:val="24"/>
              </w:rPr>
              <w:t>page </w:t>
            </w:r>
            <w:r w:rsidRPr="00FD69E7">
              <w:rPr>
                <w:rFonts w:eastAsia="Times New Roman" w:cs="Times New Roman"/>
                <w:szCs w:val="24"/>
              </w:rPr>
              <w:t xml:space="preserve">7 of its Draft RPS Plan, the City of Palmdale states that its RPS procurement will be focused on needing to fill </w:t>
            </w:r>
            <w:r w:rsidR="005A00BE">
              <w:rPr>
                <w:rFonts w:eastAsia="Times New Roman" w:cs="Times New Roman"/>
                <w:szCs w:val="24"/>
              </w:rPr>
              <w:t>“</w:t>
            </w:r>
            <w:r w:rsidRPr="00FD69E7">
              <w:rPr>
                <w:rFonts w:eastAsia="Times New Roman" w:cs="Times New Roman"/>
                <w:szCs w:val="24"/>
              </w:rPr>
              <w:t>remaining long</w:t>
            </w:r>
            <w:r w:rsidR="00E54574">
              <w:rPr>
                <w:rFonts w:eastAsia="Times New Roman" w:cs="Times New Roman"/>
                <w:szCs w:val="24"/>
              </w:rPr>
              <w:noBreakHyphen/>
            </w:r>
            <w:r w:rsidRPr="00FD69E7">
              <w:rPr>
                <w:rFonts w:eastAsia="Times New Roman" w:cs="Times New Roman"/>
                <w:szCs w:val="24"/>
              </w:rPr>
              <w:t xml:space="preserve">term RPS needs in Compliance </w:t>
            </w:r>
            <w:r w:rsidR="00AE4F82">
              <w:rPr>
                <w:rFonts w:eastAsia="Times New Roman" w:cs="Times New Roman"/>
                <w:szCs w:val="24"/>
              </w:rPr>
              <w:t>Period </w:t>
            </w:r>
            <w:r w:rsidRPr="00FD69E7">
              <w:rPr>
                <w:rFonts w:eastAsia="Times New Roman" w:cs="Times New Roman"/>
                <w:szCs w:val="24"/>
              </w:rPr>
              <w:t>4 and short</w:t>
            </w:r>
            <w:r w:rsidR="00E54574">
              <w:rPr>
                <w:rFonts w:eastAsia="Times New Roman" w:cs="Times New Roman"/>
                <w:szCs w:val="24"/>
              </w:rPr>
              <w:noBreakHyphen/>
            </w:r>
            <w:r w:rsidRPr="00FD69E7">
              <w:rPr>
                <w:rFonts w:eastAsia="Times New Roman" w:cs="Times New Roman"/>
                <w:szCs w:val="24"/>
              </w:rPr>
              <w:t>term RPS needs in 2023.</w:t>
            </w:r>
            <w:r w:rsidR="005A00BE">
              <w:rPr>
                <w:rFonts w:eastAsia="Times New Roman" w:cs="Times New Roman"/>
                <w:szCs w:val="24"/>
              </w:rPr>
              <w:t>”</w:t>
            </w:r>
            <w:r w:rsidRPr="00FD69E7">
              <w:rPr>
                <w:rFonts w:eastAsia="Times New Roman" w:cs="Times New Roman"/>
                <w:szCs w:val="24"/>
              </w:rPr>
              <w:t xml:space="preserve"> This statement is not aligned with other descriptions of its RPS position. The City of Palmdale must update this section to describe its progress towards meeting </w:t>
            </w:r>
            <w:r w:rsidR="00412BD7">
              <w:rPr>
                <w:rFonts w:eastAsia="Times New Roman" w:cs="Times New Roman"/>
                <w:szCs w:val="24"/>
              </w:rPr>
              <w:t>CP </w:t>
            </w:r>
            <w:r w:rsidRPr="00FD69E7">
              <w:rPr>
                <w:rFonts w:eastAsia="Times New Roman" w:cs="Times New Roman"/>
                <w:szCs w:val="24"/>
              </w:rPr>
              <w:t xml:space="preserve">5 and </w:t>
            </w:r>
            <w:r w:rsidR="00412BD7">
              <w:rPr>
                <w:rFonts w:eastAsia="Times New Roman" w:cs="Times New Roman"/>
                <w:szCs w:val="24"/>
              </w:rPr>
              <w:t>CP </w:t>
            </w:r>
            <w:r w:rsidRPr="00FD69E7">
              <w:rPr>
                <w:rFonts w:eastAsia="Times New Roman" w:cs="Times New Roman"/>
                <w:szCs w:val="24"/>
              </w:rPr>
              <w:t>6 compliance requirements and provide an assessment of portfolio supply and demand for a time horizon through 2035.</w:t>
            </w:r>
          </w:p>
        </w:tc>
      </w:tr>
    </w:tbl>
    <w:p w:rsidRPr="00DF5469" w:rsidR="00BE0C67" w:rsidP="00F277D4" w:rsidRDefault="00BE0C67" w14:paraId="17086265" w14:textId="1A50E93B">
      <w:pPr>
        <w:pStyle w:val="StandardTableSub"/>
      </w:pPr>
    </w:p>
    <w:p w:rsidR="00151881" w:rsidP="00F277D4" w:rsidRDefault="006B12CD" w14:paraId="3EC5528B" w14:textId="04BC253C">
      <w:pPr>
        <w:pStyle w:val="Heading3"/>
      </w:pPr>
      <w:bookmarkStart w:name="_Toc212716170" w:id="111"/>
      <w:bookmarkStart w:name="_Toc214004374" w:id="112"/>
      <w:r>
        <w:t>Long</w:t>
      </w:r>
      <w:r w:rsidR="00E54574">
        <w:noBreakHyphen/>
      </w:r>
      <w:r>
        <w:t xml:space="preserve">Term </w:t>
      </w:r>
      <w:r w:rsidR="003621CA">
        <w:t>P</w:t>
      </w:r>
      <w:r>
        <w:t>rocurement</w:t>
      </w:r>
      <w:bookmarkEnd w:id="111"/>
      <w:bookmarkEnd w:id="112"/>
    </w:p>
    <w:p w:rsidR="006B12CD" w:rsidP="00F277D4" w:rsidRDefault="003621CA" w14:paraId="31B0E124" w14:textId="4A2530BA">
      <w:pPr>
        <w:pStyle w:val="Standard"/>
      </w:pPr>
      <w:r w:rsidRPr="003621CA">
        <w:t>Pursuant to D.17</w:t>
      </w:r>
      <w:r w:rsidR="00E54574">
        <w:noBreakHyphen/>
      </w:r>
      <w:r w:rsidRPr="003621CA">
        <w:t>06</w:t>
      </w:r>
      <w:r w:rsidR="00E54574">
        <w:noBreakHyphen/>
      </w:r>
      <w:r w:rsidRPr="003621CA">
        <w:t>026, retail sellers must specifically show that 65</w:t>
      </w:r>
      <w:r w:rsidR="008C0F68">
        <w:t> percent</w:t>
      </w:r>
      <w:r w:rsidRPr="003621CA">
        <w:t xml:space="preserve"> of their procurement that is designated to meet their RPS requirement consists of contracts with term lengths of 10 years or more. To ensure compliance </w:t>
      </w:r>
      <w:r w:rsidRPr="003621CA">
        <w:lastRenderedPageBreak/>
        <w:t>with this D.17</w:t>
      </w:r>
      <w:r w:rsidR="00E54574">
        <w:noBreakHyphen/>
      </w:r>
      <w:r w:rsidRPr="003621CA">
        <w:t>06</w:t>
      </w:r>
      <w:r w:rsidR="00E54574">
        <w:noBreakHyphen/>
      </w:r>
      <w:r w:rsidRPr="003621CA">
        <w:t>026 provision, the 202</w:t>
      </w:r>
      <w:r>
        <w:t>5</w:t>
      </w:r>
      <w:r w:rsidRPr="003621CA">
        <w:t xml:space="preserve"> ACR explains that RPS Plans should demonstrate how retail sellers are satisfying this long</w:t>
      </w:r>
      <w:r w:rsidR="00E54574">
        <w:noBreakHyphen/>
      </w:r>
      <w:r w:rsidRPr="003621CA">
        <w:t>term procurement requirement</w:t>
      </w:r>
      <w:r>
        <w:t>.</w:t>
      </w:r>
    </w:p>
    <w:p w:rsidR="00F023E7" w:rsidP="00F277D4" w:rsidRDefault="003621CA" w14:paraId="24AF96C2" w14:textId="08549935">
      <w:pPr>
        <w:pStyle w:val="Standard"/>
        <w:rPr>
          <w:b/>
          <w:bCs/>
        </w:rPr>
      </w:pPr>
      <w:r w:rsidRPr="003621CA">
        <w:t xml:space="preserve">According to our assessment of their Draft </w:t>
      </w:r>
      <w:r w:rsidR="00950E04">
        <w:t>2025 RPS</w:t>
      </w:r>
      <w:r w:rsidRPr="003621CA">
        <w:t xml:space="preserve"> Plans, </w:t>
      </w:r>
      <w:r w:rsidR="00BD420B">
        <w:t>the Commission</w:t>
      </w:r>
      <w:r w:rsidRPr="003621CA">
        <w:t xml:space="preserve"> find</w:t>
      </w:r>
      <w:r w:rsidR="00BD420B">
        <w:t>s</w:t>
      </w:r>
      <w:r w:rsidRPr="003621CA">
        <w:t xml:space="preserve"> that </w:t>
      </w:r>
      <w:r w:rsidR="000A676B">
        <w:t xml:space="preserve">CleanPowerSF, </w:t>
      </w:r>
      <w:r>
        <w:t>Pilot Power</w:t>
      </w:r>
      <w:r w:rsidR="00CE6E19">
        <w:t xml:space="preserve">, </w:t>
      </w:r>
      <w:r w:rsidR="000A676B">
        <w:t xml:space="preserve">and </w:t>
      </w:r>
      <w:r w:rsidR="00DA6578">
        <w:t>Shell E</w:t>
      </w:r>
      <w:r>
        <w:t>nergy</w:t>
      </w:r>
      <w:r w:rsidR="000A676B">
        <w:t xml:space="preserve"> </w:t>
      </w:r>
      <w:r w:rsidRPr="003621CA">
        <w:t xml:space="preserve">must provide additional information as shown in </w:t>
      </w:r>
      <w:r w:rsidR="00F920D3">
        <w:t>Table </w:t>
      </w:r>
      <w:r w:rsidRPr="003621CA">
        <w:t>2 below</w:t>
      </w:r>
      <w:r>
        <w:t>.</w:t>
      </w:r>
    </w:p>
    <w:p w:rsidRPr="003621CA" w:rsidR="003621CA" w:rsidP="00F277D4" w:rsidRDefault="00F920D3" w14:paraId="78E19730" w14:textId="0131251D">
      <w:pPr>
        <w:pStyle w:val="TableTitleBody"/>
        <w:rPr>
          <w:b w:val="0"/>
          <w:bCs w:val="0"/>
        </w:rPr>
      </w:pPr>
      <w:bookmarkStart w:name="_Hlk211607842" w:id="113"/>
      <w:r>
        <w:t>Table </w:t>
      </w:r>
      <w:r w:rsidRPr="003621CA" w:rsidR="003621CA">
        <w:t>2</w:t>
      </w:r>
      <w:r w:rsidR="00CD5830">
        <w:rPr>
          <w:b w:val="0"/>
          <w:bCs w:val="0"/>
        </w:rPr>
        <w:t xml:space="preserve">:  </w:t>
      </w:r>
      <w:r w:rsidRPr="003621CA" w:rsidR="003621CA">
        <w:t>Long</w:t>
      </w:r>
      <w:r w:rsidR="00E54574">
        <w:rPr>
          <w:b w:val="0"/>
          <w:bCs w:val="0"/>
        </w:rPr>
        <w:noBreakHyphen/>
      </w:r>
      <w:r w:rsidRPr="003621CA" w:rsidR="003621CA">
        <w:t>Term Procurement</w:t>
      </w:r>
    </w:p>
    <w:tbl>
      <w:tblPr>
        <w:tblStyle w:val="TableGrid2"/>
        <w:tblW w:w="9360" w:type="dxa"/>
        <w:tblLayout w:type="fixed"/>
        <w:tblCellMar>
          <w:top w:w="58" w:type="dxa"/>
          <w:bottom w:w="58" w:type="dxa"/>
        </w:tblCellMar>
        <w:tblLook w:val="06A0" w:firstRow="1" w:lastRow="0" w:firstColumn="1" w:lastColumn="0" w:noHBand="1" w:noVBand="1"/>
      </w:tblPr>
      <w:tblGrid>
        <w:gridCol w:w="1975"/>
        <w:gridCol w:w="7385"/>
      </w:tblGrid>
      <w:tr w:rsidRPr="00FD69E7" w:rsidR="003621CA" w:rsidTr="00FD69E7" w14:paraId="4D1E365F" w14:textId="77777777">
        <w:trPr>
          <w:tblHeader/>
        </w:trPr>
        <w:tc>
          <w:tcPr>
            <w:tcW w:w="1975" w:type="dxa"/>
            <w:shd w:val="clear" w:color="auto" w:fill="BFBFBF" w:themeFill="background1" w:themeFillShade="BF"/>
            <w:vAlign w:val="bottom"/>
          </w:tcPr>
          <w:p w:rsidRPr="00FD69E7" w:rsidR="003621CA" w:rsidP="00F277D4" w:rsidRDefault="003621CA" w14:paraId="5A14062B" w14:textId="15BCA101">
            <w:pPr>
              <w:keepNext/>
              <w:spacing w:line="240" w:lineRule="auto"/>
              <w:ind w:firstLine="0"/>
              <w:jc w:val="center"/>
              <w:rPr>
                <w:rFonts w:eastAsia="Times New Roman" w:cs="Times New Roman"/>
                <w:b/>
                <w:bCs/>
                <w:szCs w:val="24"/>
              </w:rPr>
            </w:pPr>
            <w:bookmarkStart w:name="_Hlk211603924" w:id="114"/>
            <w:bookmarkEnd w:id="113"/>
            <w:r w:rsidRPr="00FD69E7">
              <w:rPr>
                <w:b/>
                <w:color w:val="000000" w:themeColor="text1"/>
                <w:szCs w:val="24"/>
              </w:rPr>
              <w:t>Retail Seller</w:t>
            </w:r>
          </w:p>
        </w:tc>
        <w:tc>
          <w:tcPr>
            <w:tcW w:w="7385" w:type="dxa"/>
            <w:shd w:val="clear" w:color="auto" w:fill="BFBFBF" w:themeFill="background1" w:themeFillShade="BF"/>
            <w:vAlign w:val="bottom"/>
          </w:tcPr>
          <w:p w:rsidRPr="00FD69E7" w:rsidR="003621CA" w:rsidP="00F277D4" w:rsidRDefault="003621CA" w14:paraId="4D3D8B84"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55608A" w:rsidTr="00FD69E7" w14:paraId="0DCAD685" w14:textId="77777777">
        <w:tc>
          <w:tcPr>
            <w:tcW w:w="1975" w:type="dxa"/>
          </w:tcPr>
          <w:p w:rsidRPr="00473E79" w:rsidR="0055608A" w:rsidP="00F277D4" w:rsidRDefault="0055608A" w14:paraId="0B482FDF" w14:textId="01DB3C12">
            <w:pPr>
              <w:spacing w:line="240" w:lineRule="auto"/>
              <w:ind w:firstLine="0"/>
              <w:rPr>
                <w:rFonts w:eastAsia="Times New Roman" w:cs="Times New Roman"/>
                <w:szCs w:val="24"/>
              </w:rPr>
            </w:pPr>
            <w:r w:rsidRPr="00473E79">
              <w:rPr>
                <w:rFonts w:eastAsia="Times New Roman" w:cs="Times New Roman"/>
                <w:szCs w:val="24"/>
              </w:rPr>
              <w:t>CleanPowerSF</w:t>
            </w:r>
          </w:p>
        </w:tc>
        <w:tc>
          <w:tcPr>
            <w:tcW w:w="7385" w:type="dxa"/>
          </w:tcPr>
          <w:p w:rsidRPr="00FD69E7" w:rsidR="0055608A" w:rsidP="00F277D4" w:rsidRDefault="0055608A" w14:paraId="6B614617" w14:textId="5591D157">
            <w:pPr>
              <w:spacing w:after="120" w:line="240" w:lineRule="auto"/>
              <w:ind w:firstLine="0"/>
              <w:rPr>
                <w:rFonts w:eastAsia="Calibri" w:cs="Calibri"/>
                <w:szCs w:val="24"/>
              </w:rPr>
            </w:pPr>
            <w:r w:rsidRPr="00FD69E7">
              <w:rPr>
                <w:rFonts w:eastAsia="Calibri" w:cs="Calibri"/>
                <w:szCs w:val="24"/>
              </w:rPr>
              <w:t xml:space="preserve">The narrative in </w:t>
            </w:r>
            <w:r w:rsidRPr="00FD69E7" w:rsidR="009850E3">
              <w:rPr>
                <w:rFonts w:eastAsia="Calibri" w:cs="Calibri"/>
                <w:szCs w:val="24"/>
              </w:rPr>
              <w:t>Section </w:t>
            </w:r>
            <w:r w:rsidRPr="00FD69E7">
              <w:rPr>
                <w:rFonts w:eastAsia="Calibri" w:cs="Calibri"/>
                <w:szCs w:val="24"/>
              </w:rPr>
              <w:t xml:space="preserve">IV.A.1 of its Draft </w:t>
            </w:r>
            <w:r w:rsidR="00950E04">
              <w:rPr>
                <w:rFonts w:eastAsia="Calibri" w:cs="Calibri"/>
                <w:szCs w:val="24"/>
              </w:rPr>
              <w:t>2025 RPS</w:t>
            </w:r>
            <w:r w:rsidRPr="00FD69E7">
              <w:rPr>
                <w:rFonts w:eastAsia="Calibri" w:cs="Calibri"/>
                <w:szCs w:val="24"/>
              </w:rPr>
              <w:t xml:space="preserve"> Plan lacks a quantitative assessment of CleanPowerSF</w:t>
            </w:r>
            <w:r w:rsidR="005A00BE">
              <w:rPr>
                <w:rFonts w:eastAsia="Calibri" w:cs="Calibri"/>
                <w:szCs w:val="24"/>
              </w:rPr>
              <w:t>’</w:t>
            </w:r>
            <w:r w:rsidRPr="00FD69E7">
              <w:rPr>
                <w:rFonts w:eastAsia="Calibri" w:cs="Calibri"/>
                <w:szCs w:val="24"/>
              </w:rPr>
              <w:t>s long</w:t>
            </w:r>
            <w:r w:rsidR="00E54574">
              <w:rPr>
                <w:rFonts w:eastAsia="Calibri" w:cs="Calibri"/>
                <w:szCs w:val="24"/>
              </w:rPr>
              <w:noBreakHyphen/>
            </w:r>
            <w:r w:rsidRPr="00FD69E7">
              <w:rPr>
                <w:rFonts w:eastAsia="Calibri" w:cs="Calibri"/>
                <w:szCs w:val="24"/>
              </w:rPr>
              <w:t xml:space="preserve">term RPS position. Although it provides figures in </w:t>
            </w:r>
            <w:r w:rsidR="001B3F31">
              <w:rPr>
                <w:rFonts w:eastAsia="Calibri" w:cs="Calibri"/>
                <w:szCs w:val="24"/>
              </w:rPr>
              <w:t>megawatt</w:t>
            </w:r>
            <w:r w:rsidR="00E54574">
              <w:rPr>
                <w:rFonts w:eastAsia="Calibri" w:cs="Calibri"/>
                <w:szCs w:val="24"/>
              </w:rPr>
              <w:noBreakHyphen/>
            </w:r>
            <w:r w:rsidR="001B3F31">
              <w:rPr>
                <w:rFonts w:eastAsia="Calibri" w:cs="Calibri"/>
                <w:szCs w:val="24"/>
              </w:rPr>
              <w:t>hours</w:t>
            </w:r>
            <w:r w:rsidRPr="00FD69E7">
              <w:rPr>
                <w:rFonts w:eastAsia="Calibri" w:cs="Calibri"/>
                <w:szCs w:val="24"/>
              </w:rPr>
              <w:t xml:space="preserve"> for deliveries it expects to receive in 2028 from projects in development on </w:t>
            </w:r>
            <w:r w:rsidR="00FD21B9">
              <w:rPr>
                <w:rFonts w:eastAsia="Calibri" w:cs="Calibri"/>
                <w:szCs w:val="24"/>
              </w:rPr>
              <w:t>page </w:t>
            </w:r>
            <w:r w:rsidRPr="00FD69E7">
              <w:rPr>
                <w:rFonts w:eastAsia="Calibri" w:cs="Calibri"/>
                <w:szCs w:val="24"/>
              </w:rPr>
              <w:t xml:space="preserve">14 of its plan, these figures are not paired with figures for contracts that are online; </w:t>
            </w:r>
            <w:r w:rsidRPr="00FD69E7" w:rsidR="00CD70BD">
              <w:rPr>
                <w:rFonts w:eastAsia="Calibri" w:cs="Calibri"/>
                <w:szCs w:val="24"/>
              </w:rPr>
              <w:t>and</w:t>
            </w:r>
            <w:r w:rsidRPr="00FD69E7">
              <w:rPr>
                <w:rFonts w:eastAsia="Calibri" w:cs="Calibri"/>
                <w:szCs w:val="24"/>
              </w:rPr>
              <w:t xml:space="preserve"> CleanPowerSF lacks a quantitative evaluation to show how these figures relate to its projected long</w:t>
            </w:r>
            <w:r w:rsidR="00E54574">
              <w:rPr>
                <w:rFonts w:eastAsia="Calibri" w:cs="Calibri"/>
                <w:szCs w:val="24"/>
              </w:rPr>
              <w:noBreakHyphen/>
            </w:r>
            <w:r w:rsidRPr="00FD69E7">
              <w:rPr>
                <w:rFonts w:eastAsia="Calibri" w:cs="Calibri"/>
                <w:szCs w:val="24"/>
              </w:rPr>
              <w:t xml:space="preserve">term contracting requirements. As per the 2025 ACR, CleanPowerSF must provide in its RPS plans narrative </w:t>
            </w:r>
            <w:r w:rsidR="005A00BE">
              <w:rPr>
                <w:rFonts w:eastAsia="Calibri" w:cs="Calibri"/>
                <w:szCs w:val="24"/>
              </w:rPr>
              <w:t>“</w:t>
            </w:r>
            <w:r w:rsidRPr="00FD69E7">
              <w:rPr>
                <w:rFonts w:eastAsia="Calibri" w:cs="Calibri"/>
                <w:szCs w:val="24"/>
              </w:rPr>
              <w:t>a quantitative assessment of retail sellers</w:t>
            </w:r>
            <w:r w:rsidR="005A00BE">
              <w:rPr>
                <w:rFonts w:eastAsia="Calibri" w:cs="Calibri"/>
                <w:szCs w:val="24"/>
              </w:rPr>
              <w:t>’</w:t>
            </w:r>
            <w:r w:rsidRPr="00FD69E7">
              <w:rPr>
                <w:rFonts w:eastAsia="Calibri" w:cs="Calibri"/>
                <w:szCs w:val="24"/>
              </w:rPr>
              <w:t xml:space="preserve"> long</w:t>
            </w:r>
            <w:r w:rsidR="00E54574">
              <w:rPr>
                <w:rFonts w:eastAsia="Calibri" w:cs="Calibri"/>
                <w:szCs w:val="24"/>
              </w:rPr>
              <w:noBreakHyphen/>
            </w:r>
            <w:r w:rsidRPr="00FD69E7">
              <w:rPr>
                <w:rFonts w:eastAsia="Calibri" w:cs="Calibri"/>
                <w:szCs w:val="24"/>
              </w:rPr>
              <w:t>term RPS positions that is clear enough to gauge a retail seller</w:t>
            </w:r>
            <w:r w:rsidR="005A00BE">
              <w:rPr>
                <w:rFonts w:eastAsia="Calibri" w:cs="Calibri"/>
                <w:szCs w:val="24"/>
              </w:rPr>
              <w:t>’</w:t>
            </w:r>
            <w:r w:rsidRPr="00FD69E7">
              <w:rPr>
                <w:rFonts w:eastAsia="Calibri" w:cs="Calibri"/>
                <w:szCs w:val="24"/>
              </w:rPr>
              <w:t>s long</w:t>
            </w:r>
            <w:r w:rsidR="00E54574">
              <w:rPr>
                <w:rFonts w:eastAsia="Calibri" w:cs="Calibri"/>
                <w:szCs w:val="24"/>
              </w:rPr>
              <w:noBreakHyphen/>
            </w:r>
            <w:r w:rsidRPr="00FD69E7">
              <w:rPr>
                <w:rFonts w:eastAsia="Calibri" w:cs="Calibri"/>
                <w:szCs w:val="24"/>
              </w:rPr>
              <w:t>term RPS position. It must include specific long</w:t>
            </w:r>
            <w:r w:rsidR="00E54574">
              <w:rPr>
                <w:rFonts w:eastAsia="Calibri" w:cs="Calibri"/>
                <w:szCs w:val="24"/>
              </w:rPr>
              <w:noBreakHyphen/>
            </w:r>
            <w:r w:rsidRPr="00FD69E7">
              <w:rPr>
                <w:rFonts w:eastAsia="Calibri" w:cs="Calibri"/>
                <w:szCs w:val="24"/>
              </w:rPr>
              <w:t>term procurement values in gigawatt</w:t>
            </w:r>
            <w:r w:rsidR="00E54574">
              <w:rPr>
                <w:rFonts w:eastAsia="Calibri" w:cs="Calibri"/>
                <w:szCs w:val="24"/>
              </w:rPr>
              <w:noBreakHyphen/>
            </w:r>
            <w:r w:rsidRPr="00FD69E7">
              <w:rPr>
                <w:rFonts w:eastAsia="Calibri" w:cs="Calibri"/>
                <w:szCs w:val="24"/>
              </w:rPr>
              <w:t>hours (GWh) for current and future compliance period.</w:t>
            </w:r>
            <w:r w:rsidR="005A00BE">
              <w:rPr>
                <w:rFonts w:eastAsia="Calibri" w:cs="Calibri"/>
                <w:szCs w:val="24"/>
              </w:rPr>
              <w:t>”</w:t>
            </w:r>
            <w:r w:rsidRPr="00FD69E7">
              <w:rPr>
                <w:rFonts w:eastAsia="Calibri" w:cs="Calibri"/>
                <w:szCs w:val="24"/>
                <w:vertAlign w:val="superscript"/>
              </w:rPr>
              <w:footnoteReference w:id="104"/>
            </w:r>
          </w:p>
        </w:tc>
      </w:tr>
      <w:bookmarkEnd w:id="114"/>
      <w:tr w:rsidRPr="00FD69E7" w:rsidR="003621CA" w:rsidTr="00FD69E7" w14:paraId="30F10BB3" w14:textId="77777777">
        <w:tc>
          <w:tcPr>
            <w:tcW w:w="1975" w:type="dxa"/>
          </w:tcPr>
          <w:p w:rsidRPr="00473E79" w:rsidR="003621CA" w:rsidP="00F277D4" w:rsidRDefault="003621CA" w14:paraId="1B18B82D" w14:textId="22A548E2">
            <w:pPr>
              <w:spacing w:line="240" w:lineRule="auto"/>
              <w:ind w:firstLine="0"/>
              <w:rPr>
                <w:rFonts w:eastAsia="Times New Roman" w:cs="Times New Roman"/>
                <w:szCs w:val="24"/>
              </w:rPr>
            </w:pPr>
            <w:r w:rsidRPr="00473E79">
              <w:rPr>
                <w:rFonts w:eastAsia="Times New Roman" w:cs="Times New Roman"/>
                <w:szCs w:val="24"/>
              </w:rPr>
              <w:t>Pilot Power</w:t>
            </w:r>
          </w:p>
        </w:tc>
        <w:tc>
          <w:tcPr>
            <w:tcW w:w="7385" w:type="dxa"/>
          </w:tcPr>
          <w:p w:rsidRPr="00FD69E7" w:rsidR="003621CA" w:rsidP="00F277D4" w:rsidRDefault="00AB77E0" w14:paraId="228DB1F7" w14:textId="17D78AE9">
            <w:pPr>
              <w:spacing w:after="120" w:line="240" w:lineRule="auto"/>
              <w:ind w:firstLine="0"/>
              <w:rPr>
                <w:rFonts w:eastAsia="Calibri" w:cs="Calibri"/>
                <w:szCs w:val="24"/>
              </w:rPr>
            </w:pPr>
            <w:r w:rsidRPr="00FD69E7">
              <w:rPr>
                <w:rFonts w:eastAsia="Calibri" w:cs="Calibri"/>
                <w:szCs w:val="24"/>
              </w:rPr>
              <w:t xml:space="preserve">In </w:t>
            </w:r>
            <w:r w:rsidRPr="00FD69E7" w:rsidR="009850E3">
              <w:rPr>
                <w:rFonts w:eastAsia="Calibri" w:cs="Calibri"/>
                <w:szCs w:val="24"/>
              </w:rPr>
              <w:t>Section </w:t>
            </w:r>
            <w:r w:rsidRPr="00FD69E7">
              <w:rPr>
                <w:rFonts w:eastAsia="Calibri" w:cs="Calibri"/>
                <w:szCs w:val="24"/>
              </w:rPr>
              <w:t>IV.A.1 (Long</w:t>
            </w:r>
            <w:r w:rsidR="00E54574">
              <w:rPr>
                <w:rFonts w:eastAsia="Calibri" w:cs="Calibri"/>
                <w:szCs w:val="24"/>
              </w:rPr>
              <w:noBreakHyphen/>
            </w:r>
            <w:r w:rsidRPr="00FD69E7">
              <w:rPr>
                <w:rFonts w:eastAsia="Calibri" w:cs="Calibri"/>
                <w:szCs w:val="24"/>
              </w:rPr>
              <w:t>term Procurement), Pilot Power does not provide a quantitative assessment of its long</w:t>
            </w:r>
            <w:r w:rsidR="00E54574">
              <w:rPr>
                <w:rFonts w:eastAsia="Calibri" w:cs="Calibri"/>
                <w:szCs w:val="24"/>
              </w:rPr>
              <w:noBreakHyphen/>
            </w:r>
            <w:r w:rsidRPr="00FD69E7">
              <w:rPr>
                <w:rFonts w:eastAsia="Calibri" w:cs="Calibri"/>
                <w:szCs w:val="24"/>
              </w:rPr>
              <w:t xml:space="preserve">term RPS contracting position. </w:t>
            </w:r>
            <w:r w:rsidRPr="00FD69E7" w:rsidR="0066250D">
              <w:rPr>
                <w:rFonts w:eastAsia="Calibri" w:cs="Calibri"/>
                <w:szCs w:val="24"/>
              </w:rPr>
              <w:t>Per</w:t>
            </w:r>
            <w:r w:rsidRPr="00FD69E7">
              <w:rPr>
                <w:rFonts w:eastAsia="Calibri" w:cs="Calibri"/>
                <w:szCs w:val="24"/>
              </w:rPr>
              <w:t xml:space="preserve"> the </w:t>
            </w:r>
            <w:r w:rsidRPr="00FD69E7" w:rsidR="0066250D">
              <w:rPr>
                <w:rFonts w:eastAsia="Calibri" w:cs="Calibri"/>
                <w:szCs w:val="24"/>
              </w:rPr>
              <w:t xml:space="preserve">2025 </w:t>
            </w:r>
            <w:r w:rsidRPr="00FD69E7">
              <w:rPr>
                <w:rFonts w:eastAsia="Calibri" w:cs="Calibri"/>
                <w:szCs w:val="24"/>
              </w:rPr>
              <w:t xml:space="preserve">ACR, </w:t>
            </w:r>
            <w:r w:rsidRPr="00FD69E7" w:rsidR="0066250D">
              <w:rPr>
                <w:rFonts w:eastAsia="Calibri" w:cs="Calibri"/>
                <w:szCs w:val="24"/>
              </w:rPr>
              <w:t>Pilot Power</w:t>
            </w:r>
            <w:r w:rsidR="005A00BE">
              <w:rPr>
                <w:rFonts w:eastAsia="Calibri" w:cs="Calibri"/>
                <w:szCs w:val="24"/>
              </w:rPr>
              <w:t>’</w:t>
            </w:r>
            <w:r w:rsidRPr="00FD69E7" w:rsidR="0066250D">
              <w:rPr>
                <w:rFonts w:eastAsia="Calibri" w:cs="Calibri"/>
                <w:szCs w:val="24"/>
              </w:rPr>
              <w:t>s</w:t>
            </w:r>
            <w:r w:rsidRPr="00FD69E7">
              <w:rPr>
                <w:rFonts w:eastAsia="Calibri" w:cs="Calibri"/>
                <w:szCs w:val="24"/>
              </w:rPr>
              <w:t xml:space="preserve"> narrative on long</w:t>
            </w:r>
            <w:r w:rsidR="00E54574">
              <w:rPr>
                <w:rFonts w:eastAsia="Calibri" w:cs="Calibri"/>
                <w:szCs w:val="24"/>
              </w:rPr>
              <w:noBreakHyphen/>
            </w:r>
            <w:r w:rsidRPr="00FD69E7">
              <w:rPr>
                <w:rFonts w:eastAsia="Calibri" w:cs="Calibri"/>
                <w:szCs w:val="24"/>
              </w:rPr>
              <w:t xml:space="preserve">term RPS procurement planning must include a quantitative assessment of </w:t>
            </w:r>
            <w:r w:rsidRPr="00FD69E7" w:rsidR="0066250D">
              <w:rPr>
                <w:rFonts w:eastAsia="Calibri" w:cs="Calibri"/>
                <w:szCs w:val="24"/>
              </w:rPr>
              <w:t>its</w:t>
            </w:r>
            <w:r w:rsidRPr="00FD69E7">
              <w:rPr>
                <w:rFonts w:eastAsia="Calibri" w:cs="Calibri"/>
                <w:szCs w:val="24"/>
              </w:rPr>
              <w:t xml:space="preserve"> long</w:t>
            </w:r>
            <w:r w:rsidR="00E54574">
              <w:rPr>
                <w:rFonts w:eastAsia="Calibri" w:cs="Calibri"/>
                <w:szCs w:val="24"/>
              </w:rPr>
              <w:noBreakHyphen/>
            </w:r>
            <w:r w:rsidRPr="00FD69E7">
              <w:rPr>
                <w:rFonts w:eastAsia="Calibri" w:cs="Calibri"/>
                <w:szCs w:val="24"/>
              </w:rPr>
              <w:t>term RPS positions that is clear enough to gauge a retail seller</w:t>
            </w:r>
            <w:r w:rsidR="005A00BE">
              <w:rPr>
                <w:rFonts w:eastAsia="Calibri" w:cs="Calibri"/>
                <w:szCs w:val="24"/>
              </w:rPr>
              <w:t>’</w:t>
            </w:r>
            <w:r w:rsidRPr="00FD69E7">
              <w:rPr>
                <w:rFonts w:eastAsia="Calibri" w:cs="Calibri"/>
                <w:szCs w:val="24"/>
              </w:rPr>
              <w:t>s long</w:t>
            </w:r>
            <w:r w:rsidR="00E54574">
              <w:rPr>
                <w:rFonts w:eastAsia="Calibri" w:cs="Calibri"/>
                <w:szCs w:val="24"/>
              </w:rPr>
              <w:noBreakHyphen/>
            </w:r>
            <w:r w:rsidRPr="00FD69E7">
              <w:rPr>
                <w:rFonts w:eastAsia="Calibri" w:cs="Calibri"/>
                <w:szCs w:val="24"/>
              </w:rPr>
              <w:t>term RPS position.</w:t>
            </w:r>
            <w:r w:rsidRPr="00FD69E7" w:rsidR="00D91537">
              <w:rPr>
                <w:rStyle w:val="FootnoteReference"/>
                <w:rFonts w:eastAsia="Calibri" w:cs="Calibri"/>
                <w:szCs w:val="24"/>
              </w:rPr>
              <w:footnoteReference w:id="105"/>
            </w:r>
            <w:r w:rsidRPr="00FD69E7">
              <w:rPr>
                <w:rFonts w:eastAsia="Calibri" w:cs="Calibri"/>
                <w:szCs w:val="24"/>
              </w:rPr>
              <w:t xml:space="preserve"> It must include specific long</w:t>
            </w:r>
            <w:r w:rsidR="00E54574">
              <w:rPr>
                <w:rFonts w:eastAsia="Calibri" w:cs="Calibri"/>
                <w:szCs w:val="24"/>
              </w:rPr>
              <w:noBreakHyphen/>
            </w:r>
            <w:r w:rsidRPr="00FD69E7">
              <w:rPr>
                <w:rFonts w:eastAsia="Calibri" w:cs="Calibri"/>
                <w:szCs w:val="24"/>
              </w:rPr>
              <w:t xml:space="preserve">term </w:t>
            </w:r>
            <w:r w:rsidRPr="00FD69E7">
              <w:rPr>
                <w:rFonts w:eastAsia="Calibri" w:cs="Calibri"/>
                <w:szCs w:val="24"/>
              </w:rPr>
              <w:lastRenderedPageBreak/>
              <w:t>procurement values in gigawatt</w:t>
            </w:r>
            <w:r w:rsidR="00E54574">
              <w:rPr>
                <w:rFonts w:eastAsia="Calibri" w:cs="Calibri"/>
                <w:szCs w:val="24"/>
              </w:rPr>
              <w:noBreakHyphen/>
            </w:r>
            <w:r w:rsidRPr="00FD69E7">
              <w:rPr>
                <w:rFonts w:eastAsia="Calibri" w:cs="Calibri"/>
                <w:szCs w:val="24"/>
              </w:rPr>
              <w:t>hours for current and future compliance periods. Charts and graphs alone are insufficient as they lack the specificity the Commission needs to evaluate a retail seller</w:t>
            </w:r>
            <w:r w:rsidR="005A00BE">
              <w:rPr>
                <w:rFonts w:eastAsia="Calibri" w:cs="Calibri"/>
                <w:szCs w:val="24"/>
              </w:rPr>
              <w:t>’</w:t>
            </w:r>
            <w:r w:rsidRPr="00FD69E7">
              <w:rPr>
                <w:rFonts w:eastAsia="Calibri" w:cs="Calibri"/>
                <w:szCs w:val="24"/>
              </w:rPr>
              <w:t>s long</w:t>
            </w:r>
            <w:r w:rsidR="00E54574">
              <w:rPr>
                <w:rFonts w:eastAsia="Calibri" w:cs="Calibri"/>
                <w:szCs w:val="24"/>
              </w:rPr>
              <w:noBreakHyphen/>
            </w:r>
            <w:r w:rsidRPr="00FD69E7">
              <w:rPr>
                <w:rFonts w:eastAsia="Calibri" w:cs="Calibri"/>
                <w:szCs w:val="24"/>
              </w:rPr>
              <w:t xml:space="preserve">term </w:t>
            </w:r>
            <w:r w:rsidRPr="00FD69E7" w:rsidR="00AC7BE3">
              <w:rPr>
                <w:rFonts w:eastAsia="Calibri" w:cs="Calibri"/>
                <w:szCs w:val="24"/>
              </w:rPr>
              <w:t xml:space="preserve">RPS </w:t>
            </w:r>
            <w:r w:rsidRPr="00FD69E7">
              <w:rPr>
                <w:rFonts w:eastAsia="Calibri" w:cs="Calibri"/>
                <w:szCs w:val="24"/>
              </w:rPr>
              <w:t>position.</w:t>
            </w:r>
          </w:p>
        </w:tc>
      </w:tr>
      <w:tr w:rsidRPr="00FD69E7" w:rsidR="003621CA" w:rsidTr="00FD69E7" w14:paraId="53AA0CE9" w14:textId="77777777">
        <w:tc>
          <w:tcPr>
            <w:tcW w:w="1975" w:type="dxa"/>
          </w:tcPr>
          <w:p w:rsidRPr="00473E79" w:rsidR="003621CA" w:rsidP="00F277D4" w:rsidRDefault="00DA6578" w14:paraId="2A5AA9FF" w14:textId="68E56FC6">
            <w:pPr>
              <w:spacing w:line="240" w:lineRule="auto"/>
              <w:ind w:firstLine="0"/>
              <w:rPr>
                <w:rFonts w:eastAsia="Times New Roman" w:cs="Times New Roman"/>
                <w:szCs w:val="24"/>
              </w:rPr>
            </w:pPr>
            <w:r>
              <w:rPr>
                <w:rFonts w:eastAsia="Times New Roman" w:cs="Times New Roman"/>
                <w:szCs w:val="24"/>
              </w:rPr>
              <w:lastRenderedPageBreak/>
              <w:t>Shell E</w:t>
            </w:r>
            <w:r w:rsidRPr="00473E79" w:rsidR="003621CA">
              <w:rPr>
                <w:rFonts w:eastAsia="Times New Roman" w:cs="Times New Roman"/>
                <w:szCs w:val="24"/>
              </w:rPr>
              <w:t>nergy</w:t>
            </w:r>
          </w:p>
        </w:tc>
        <w:tc>
          <w:tcPr>
            <w:tcW w:w="7385" w:type="dxa"/>
          </w:tcPr>
          <w:p w:rsidRPr="00FD69E7" w:rsidR="003621CA" w:rsidP="00F277D4" w:rsidRDefault="00DA6578" w14:paraId="7338588D" w14:textId="3B8C7857">
            <w:pPr>
              <w:spacing w:after="120" w:line="240" w:lineRule="auto"/>
              <w:ind w:firstLine="0"/>
              <w:rPr>
                <w:rFonts w:eastAsia="Calibri" w:cs="Calibri"/>
                <w:szCs w:val="24"/>
              </w:rPr>
            </w:pPr>
            <w:r>
              <w:rPr>
                <w:rFonts w:eastAsia="Calibri" w:cs="Calibri"/>
                <w:szCs w:val="24"/>
              </w:rPr>
              <w:t>Shell E</w:t>
            </w:r>
            <w:r w:rsidRPr="00FD69E7" w:rsidR="001267DA">
              <w:rPr>
                <w:rFonts w:eastAsia="Calibri" w:cs="Calibri"/>
                <w:szCs w:val="24"/>
              </w:rPr>
              <w:t xml:space="preserve">nergy states that </w:t>
            </w:r>
            <w:r w:rsidRPr="00FD69E7" w:rsidR="00AC7BE3">
              <w:rPr>
                <w:rFonts w:eastAsia="Calibri" w:cs="Calibri"/>
                <w:szCs w:val="24"/>
              </w:rPr>
              <w:t xml:space="preserve">it </w:t>
            </w:r>
            <w:r w:rsidRPr="00FD69E7" w:rsidR="001267DA">
              <w:rPr>
                <w:rFonts w:eastAsia="Calibri" w:cs="Calibri"/>
                <w:szCs w:val="24"/>
              </w:rPr>
              <w:t xml:space="preserve">is </w:t>
            </w:r>
            <w:r w:rsidR="005A00BE">
              <w:rPr>
                <w:rFonts w:eastAsia="Calibri" w:cs="Calibri"/>
                <w:szCs w:val="24"/>
              </w:rPr>
              <w:t>“</w:t>
            </w:r>
            <w:r w:rsidRPr="00FD69E7" w:rsidR="001267DA">
              <w:rPr>
                <w:rFonts w:eastAsia="Calibri" w:cs="Calibri"/>
                <w:szCs w:val="24"/>
                <w:u w:val="single"/>
              </w:rPr>
              <w:t>well positioned</w:t>
            </w:r>
            <w:r w:rsidRPr="00FD69E7" w:rsidR="001267DA">
              <w:rPr>
                <w:rFonts w:eastAsia="Calibri" w:cs="Calibri"/>
                <w:szCs w:val="24"/>
              </w:rPr>
              <w:t xml:space="preserve"> to meet its continuing obligations</w:t>
            </w:r>
            <w:r w:rsidR="005A00BE">
              <w:rPr>
                <w:rFonts w:eastAsia="Calibri" w:cs="Calibri"/>
                <w:szCs w:val="24"/>
              </w:rPr>
              <w:t>”</w:t>
            </w:r>
            <w:r w:rsidRPr="00FD69E7" w:rsidR="001267DA">
              <w:rPr>
                <w:rFonts w:eastAsia="Calibri" w:cs="Calibri"/>
                <w:szCs w:val="24"/>
              </w:rPr>
              <w:t xml:space="preserve"> for the long</w:t>
            </w:r>
            <w:r w:rsidR="00E54574">
              <w:rPr>
                <w:rFonts w:eastAsia="Calibri" w:cs="Calibri"/>
                <w:szCs w:val="24"/>
              </w:rPr>
              <w:noBreakHyphen/>
            </w:r>
            <w:r w:rsidRPr="00FD69E7" w:rsidR="001267DA">
              <w:rPr>
                <w:rFonts w:eastAsia="Calibri" w:cs="Calibri"/>
                <w:szCs w:val="24"/>
              </w:rPr>
              <w:t>term contracting requirement in current and future compliance periods.</w:t>
            </w:r>
            <w:r w:rsidRPr="00FD69E7" w:rsidR="001267DA">
              <w:rPr>
                <w:rFonts w:eastAsia="Calibri" w:cs="Calibri"/>
                <w:szCs w:val="24"/>
                <w:vertAlign w:val="superscript"/>
              </w:rPr>
              <w:footnoteReference w:id="106"/>
            </w:r>
            <w:r w:rsidRPr="00FD69E7" w:rsidR="001267DA">
              <w:rPr>
                <w:rFonts w:eastAsia="Calibri" w:cs="Calibri"/>
                <w:szCs w:val="24"/>
              </w:rPr>
              <w:t xml:space="preserve"> However, this statement is inconsistent with </w:t>
            </w:r>
            <w:r>
              <w:rPr>
                <w:rFonts w:eastAsia="Calibri" w:cs="Calibri"/>
                <w:szCs w:val="24"/>
              </w:rPr>
              <w:t>Shell E</w:t>
            </w:r>
            <w:r w:rsidRPr="00FD69E7" w:rsidR="001267DA">
              <w:rPr>
                <w:rFonts w:eastAsia="Calibri" w:cs="Calibri"/>
                <w:szCs w:val="24"/>
              </w:rPr>
              <w:t>nergy</w:t>
            </w:r>
            <w:r w:rsidR="005A00BE">
              <w:rPr>
                <w:rFonts w:eastAsia="Calibri" w:cs="Calibri"/>
                <w:szCs w:val="24"/>
              </w:rPr>
              <w:t>’</w:t>
            </w:r>
            <w:r w:rsidRPr="00FD69E7" w:rsidR="001267DA">
              <w:rPr>
                <w:rFonts w:eastAsia="Calibri" w:cs="Calibri"/>
                <w:szCs w:val="24"/>
              </w:rPr>
              <w:t>s long</w:t>
            </w:r>
            <w:r w:rsidR="00E54574">
              <w:rPr>
                <w:rFonts w:eastAsia="Calibri" w:cs="Calibri"/>
                <w:szCs w:val="24"/>
              </w:rPr>
              <w:noBreakHyphen/>
            </w:r>
            <w:r w:rsidRPr="00FD69E7" w:rsidR="001267DA">
              <w:rPr>
                <w:rFonts w:eastAsia="Calibri" w:cs="Calibri"/>
                <w:szCs w:val="24"/>
              </w:rPr>
              <w:t xml:space="preserve">term contracting progress as shown in </w:t>
            </w:r>
            <w:r w:rsidR="00F920D3">
              <w:rPr>
                <w:rFonts w:eastAsia="Calibri" w:cs="Calibri"/>
                <w:szCs w:val="24"/>
              </w:rPr>
              <w:t>Table 1</w:t>
            </w:r>
            <w:r w:rsidRPr="00FD69E7" w:rsidR="001267DA">
              <w:rPr>
                <w:rFonts w:eastAsia="Calibri" w:cs="Calibri"/>
                <w:szCs w:val="24"/>
              </w:rPr>
              <w:t xml:space="preserve">. Further, </w:t>
            </w:r>
            <w:r>
              <w:rPr>
                <w:rFonts w:eastAsia="Calibri" w:cs="Calibri"/>
                <w:szCs w:val="24"/>
              </w:rPr>
              <w:t>Shell E</w:t>
            </w:r>
            <w:r w:rsidRPr="00FD69E7" w:rsidR="00C77DC0">
              <w:rPr>
                <w:rFonts w:eastAsia="Calibri" w:cs="Calibri"/>
                <w:szCs w:val="24"/>
              </w:rPr>
              <w:t xml:space="preserve">nergy </w:t>
            </w:r>
            <w:r w:rsidRPr="00FD69E7" w:rsidR="001267DA">
              <w:rPr>
                <w:rFonts w:eastAsia="Calibri" w:cs="Calibri"/>
                <w:szCs w:val="24"/>
              </w:rPr>
              <w:t xml:space="preserve">explains that </w:t>
            </w:r>
            <w:r w:rsidR="005A00BE">
              <w:rPr>
                <w:rFonts w:eastAsia="Calibri" w:cs="Calibri"/>
                <w:szCs w:val="24"/>
              </w:rPr>
              <w:t>“</w:t>
            </w:r>
            <w:r w:rsidRPr="00FD69E7" w:rsidR="001267DA">
              <w:rPr>
                <w:rFonts w:eastAsia="Calibri" w:cs="Calibri"/>
                <w:szCs w:val="24"/>
              </w:rPr>
              <w:t>it cannot provide a detailed timeline for how it will execute long</w:t>
            </w:r>
            <w:r w:rsidR="00E54574">
              <w:rPr>
                <w:rFonts w:eastAsia="Calibri" w:cs="Calibri"/>
                <w:szCs w:val="24"/>
              </w:rPr>
              <w:noBreakHyphen/>
            </w:r>
            <w:r w:rsidRPr="00FD69E7" w:rsidR="001267DA">
              <w:rPr>
                <w:rFonts w:eastAsia="Calibri" w:cs="Calibri"/>
                <w:szCs w:val="24"/>
              </w:rPr>
              <w:t>term contracts to meet the 65</w:t>
            </w:r>
            <w:r w:rsidRPr="00FD69E7" w:rsidR="008C0F68">
              <w:rPr>
                <w:rFonts w:eastAsia="Calibri" w:cs="Calibri"/>
                <w:szCs w:val="24"/>
              </w:rPr>
              <w:t> percent</w:t>
            </w:r>
            <w:r w:rsidRPr="00FD69E7" w:rsidR="001267DA">
              <w:rPr>
                <w:rFonts w:eastAsia="Calibri" w:cs="Calibri"/>
                <w:szCs w:val="24"/>
              </w:rPr>
              <w:t xml:space="preserve"> requirement</w:t>
            </w:r>
            <w:r w:rsidR="005A00BE">
              <w:rPr>
                <w:rFonts w:eastAsia="Calibri" w:cs="Calibri"/>
                <w:szCs w:val="24"/>
              </w:rPr>
              <w:t>”</w:t>
            </w:r>
            <w:r w:rsidRPr="00FD69E7" w:rsidR="001267DA">
              <w:rPr>
                <w:rFonts w:eastAsia="Calibri" w:cs="Calibri"/>
                <w:szCs w:val="24"/>
              </w:rPr>
              <w:t xml:space="preserve"> because it is impossible for </w:t>
            </w:r>
            <w:r>
              <w:rPr>
                <w:rFonts w:eastAsia="Calibri" w:cs="Calibri"/>
                <w:szCs w:val="24"/>
              </w:rPr>
              <w:t>Shell E</w:t>
            </w:r>
            <w:r w:rsidRPr="00FD69E7" w:rsidR="00411720">
              <w:rPr>
                <w:rFonts w:eastAsia="Calibri" w:cs="Calibri"/>
                <w:szCs w:val="24"/>
              </w:rPr>
              <w:t>nergy</w:t>
            </w:r>
            <w:r w:rsidRPr="00FD69E7" w:rsidR="001267DA">
              <w:rPr>
                <w:rFonts w:eastAsia="Calibri" w:cs="Calibri"/>
                <w:szCs w:val="24"/>
              </w:rPr>
              <w:t xml:space="preserve"> to predict the size of its retail customer load, or the magnitude of its RPS procurement compliance obligation, over a 10</w:t>
            </w:r>
            <w:r w:rsidR="00E54574">
              <w:rPr>
                <w:rFonts w:eastAsia="Calibri" w:cs="Calibri"/>
                <w:szCs w:val="24"/>
              </w:rPr>
              <w:noBreakHyphen/>
            </w:r>
            <w:r w:rsidRPr="00FD69E7" w:rsidR="001267DA">
              <w:rPr>
                <w:rFonts w:eastAsia="Calibri" w:cs="Calibri"/>
                <w:szCs w:val="24"/>
              </w:rPr>
              <w:t>year planning horizon given the short</w:t>
            </w:r>
            <w:r w:rsidR="00E54574">
              <w:rPr>
                <w:rFonts w:eastAsia="Calibri" w:cs="Calibri"/>
                <w:szCs w:val="24"/>
              </w:rPr>
              <w:noBreakHyphen/>
            </w:r>
            <w:r w:rsidRPr="00FD69E7" w:rsidR="001267DA">
              <w:rPr>
                <w:rFonts w:eastAsia="Calibri" w:cs="Calibri"/>
                <w:szCs w:val="24"/>
              </w:rPr>
              <w:t>nature of its contracts with its customers.</w:t>
            </w:r>
            <w:r w:rsidRPr="00FD69E7" w:rsidR="001267DA">
              <w:rPr>
                <w:rFonts w:eastAsia="Calibri" w:cs="Calibri"/>
                <w:szCs w:val="24"/>
                <w:vertAlign w:val="superscript"/>
              </w:rPr>
              <w:footnoteReference w:id="107"/>
            </w:r>
            <w:r w:rsidRPr="00FD69E7" w:rsidR="001267DA">
              <w:rPr>
                <w:rFonts w:eastAsia="Calibri" w:cs="Calibri"/>
                <w:szCs w:val="24"/>
              </w:rPr>
              <w:t xml:space="preserve"> This explanation of </w:t>
            </w:r>
            <w:r>
              <w:rPr>
                <w:rFonts w:eastAsia="Calibri" w:cs="Calibri"/>
                <w:szCs w:val="24"/>
              </w:rPr>
              <w:t>Shell E</w:t>
            </w:r>
            <w:r w:rsidRPr="00FD69E7" w:rsidR="00C77DC0">
              <w:rPr>
                <w:rFonts w:eastAsia="Calibri" w:cs="Calibri"/>
                <w:szCs w:val="24"/>
              </w:rPr>
              <w:t>nergy</w:t>
            </w:r>
            <w:r w:rsidR="005A00BE">
              <w:rPr>
                <w:rFonts w:eastAsia="Calibri" w:cs="Calibri"/>
                <w:szCs w:val="24"/>
              </w:rPr>
              <w:t>’</w:t>
            </w:r>
            <w:r w:rsidRPr="00FD69E7" w:rsidR="001267DA">
              <w:rPr>
                <w:rFonts w:eastAsia="Calibri" w:cs="Calibri"/>
                <w:szCs w:val="24"/>
              </w:rPr>
              <w:t>s uncertain long</w:t>
            </w:r>
            <w:r w:rsidR="00E54574">
              <w:rPr>
                <w:rFonts w:eastAsia="Calibri" w:cs="Calibri"/>
                <w:szCs w:val="24"/>
              </w:rPr>
              <w:noBreakHyphen/>
            </w:r>
            <w:r w:rsidRPr="00FD69E7" w:rsidR="001267DA">
              <w:rPr>
                <w:rFonts w:eastAsia="Calibri" w:cs="Calibri"/>
                <w:szCs w:val="24"/>
              </w:rPr>
              <w:t xml:space="preserve">term procurement outlook is also inconsistent with </w:t>
            </w:r>
            <w:r>
              <w:rPr>
                <w:rFonts w:eastAsia="Calibri" w:cs="Calibri"/>
                <w:szCs w:val="24"/>
              </w:rPr>
              <w:t>Shell E</w:t>
            </w:r>
            <w:r w:rsidRPr="00FD69E7" w:rsidR="00C77DC0">
              <w:rPr>
                <w:rFonts w:eastAsia="Calibri" w:cs="Calibri"/>
                <w:szCs w:val="24"/>
              </w:rPr>
              <w:t>nergy</w:t>
            </w:r>
            <w:r w:rsidR="005A00BE">
              <w:rPr>
                <w:rFonts w:eastAsia="Calibri" w:cs="Calibri"/>
                <w:szCs w:val="24"/>
              </w:rPr>
              <w:t>’</w:t>
            </w:r>
            <w:r w:rsidRPr="00FD69E7" w:rsidR="001267DA">
              <w:rPr>
                <w:rFonts w:eastAsia="Calibri" w:cs="Calibri"/>
                <w:szCs w:val="24"/>
              </w:rPr>
              <w:t xml:space="preserve">s assertion that it is </w:t>
            </w:r>
            <w:r w:rsidRPr="00FD69E7" w:rsidR="001267DA">
              <w:rPr>
                <w:rFonts w:eastAsia="Calibri" w:cs="Calibri"/>
                <w:szCs w:val="24"/>
                <w:u w:val="single"/>
              </w:rPr>
              <w:t>well positioned</w:t>
            </w:r>
            <w:r w:rsidRPr="00FD69E7" w:rsidR="001267DA">
              <w:rPr>
                <w:rFonts w:eastAsia="Calibri" w:cs="Calibri"/>
                <w:szCs w:val="24"/>
              </w:rPr>
              <w:t xml:space="preserve"> to meet its current and future long</w:t>
            </w:r>
            <w:r w:rsidR="00E54574">
              <w:rPr>
                <w:rFonts w:eastAsia="Calibri" w:cs="Calibri"/>
                <w:szCs w:val="24"/>
              </w:rPr>
              <w:noBreakHyphen/>
            </w:r>
            <w:r w:rsidRPr="00FD69E7" w:rsidR="001267DA">
              <w:rPr>
                <w:rFonts w:eastAsia="Calibri" w:cs="Calibri"/>
                <w:szCs w:val="24"/>
              </w:rPr>
              <w:t xml:space="preserve">term contracting requirements. </w:t>
            </w:r>
            <w:r>
              <w:rPr>
                <w:rFonts w:eastAsia="Calibri" w:cs="Calibri"/>
                <w:szCs w:val="24"/>
              </w:rPr>
              <w:t>Shell E</w:t>
            </w:r>
            <w:r w:rsidRPr="00FD69E7" w:rsidR="00C77DC0">
              <w:rPr>
                <w:rFonts w:eastAsia="Calibri" w:cs="Calibri"/>
                <w:szCs w:val="24"/>
              </w:rPr>
              <w:t xml:space="preserve">nergy </w:t>
            </w:r>
            <w:r w:rsidRPr="00FD69E7" w:rsidR="001267DA">
              <w:rPr>
                <w:rFonts w:eastAsia="Calibri" w:cs="Calibri"/>
                <w:szCs w:val="24"/>
              </w:rPr>
              <w:t>must revise this section to more accurately describe its long</w:t>
            </w:r>
            <w:r w:rsidR="00E54574">
              <w:rPr>
                <w:rFonts w:eastAsia="Calibri" w:cs="Calibri"/>
                <w:szCs w:val="24"/>
              </w:rPr>
              <w:noBreakHyphen/>
            </w:r>
            <w:r w:rsidRPr="00FD69E7" w:rsidR="001267DA">
              <w:rPr>
                <w:rFonts w:eastAsia="Calibri" w:cs="Calibri"/>
                <w:szCs w:val="24"/>
              </w:rPr>
              <w:t>term contracting position and to provide more concrete steps for how it will address its current long</w:t>
            </w:r>
            <w:r w:rsidR="00E54574">
              <w:rPr>
                <w:rFonts w:eastAsia="Calibri" w:cs="Calibri"/>
                <w:szCs w:val="24"/>
              </w:rPr>
              <w:noBreakHyphen/>
            </w:r>
            <w:r w:rsidRPr="00FD69E7" w:rsidR="001267DA">
              <w:rPr>
                <w:rFonts w:eastAsia="Calibri" w:cs="Calibri"/>
                <w:szCs w:val="24"/>
              </w:rPr>
              <w:t>term procurement shortfall.</w:t>
            </w:r>
          </w:p>
        </w:tc>
      </w:tr>
    </w:tbl>
    <w:p w:rsidR="00151881" w:rsidP="00F277D4" w:rsidRDefault="00151881" w14:paraId="0C3C64D9" w14:textId="7A6F20E3">
      <w:pPr>
        <w:pStyle w:val="StandardTableSub"/>
      </w:pPr>
    </w:p>
    <w:p w:rsidR="00D67DA4" w:rsidP="00F277D4" w:rsidRDefault="00D67DA4" w14:paraId="30177F03" w14:textId="5DDB42AC">
      <w:pPr>
        <w:pStyle w:val="Heading3"/>
      </w:pPr>
      <w:bookmarkStart w:name="_Toc212716171" w:id="115"/>
      <w:bookmarkStart w:name="_Toc214004375" w:id="116"/>
      <w:r>
        <w:t>Forecasting for Increased Transportation Electrification</w:t>
      </w:r>
      <w:bookmarkEnd w:id="115"/>
      <w:bookmarkEnd w:id="116"/>
    </w:p>
    <w:p w:rsidR="00D67DA4" w:rsidP="00F277D4" w:rsidRDefault="00BE348E" w14:paraId="055D15D3" w14:textId="7AD2FE6F">
      <w:pPr>
        <w:pStyle w:val="Standard"/>
      </w:pPr>
      <w:r>
        <w:t>Per the 2025 ACR, all retail sellers must address local transportation electrification adoption trends while planning for portfolio diversity and renewable resource procurement to meet incremental RPS requirements.</w:t>
      </w:r>
      <w:r>
        <w:rPr>
          <w:rStyle w:val="FootnoteReference"/>
        </w:rPr>
        <w:footnoteReference w:id="108"/>
      </w:r>
      <w:r>
        <w:t xml:space="preserve"> </w:t>
      </w:r>
      <w:r w:rsidR="00A567B4">
        <w:t xml:space="preserve">All </w:t>
      </w:r>
      <w:r w:rsidR="00A567B4">
        <w:lastRenderedPageBreak/>
        <w:t>retail sellers must demonstrate that transportation electrification is quantitively accounted for in their RPS procurement plans.</w:t>
      </w:r>
    </w:p>
    <w:p w:rsidR="00F023E7" w:rsidP="00F277D4" w:rsidRDefault="00A567B4" w14:paraId="09E58EE6" w14:textId="68C41745">
      <w:pPr>
        <w:pStyle w:val="Standard"/>
      </w:pPr>
      <w:r w:rsidRPr="00A567B4">
        <w:t xml:space="preserve">According to our </w:t>
      </w:r>
      <w:r>
        <w:t>review</w:t>
      </w:r>
      <w:r w:rsidRPr="00A567B4">
        <w:t xml:space="preserve"> of their Draft </w:t>
      </w:r>
      <w:r w:rsidR="00950E04">
        <w:t>2025 RPS</w:t>
      </w:r>
      <w:r w:rsidRPr="00A567B4">
        <w:t xml:space="preserve"> Plans, </w:t>
      </w:r>
      <w:r w:rsidR="00A50430">
        <w:t>the Commission</w:t>
      </w:r>
      <w:r w:rsidRPr="00A567B4">
        <w:t xml:space="preserve"> find</w:t>
      </w:r>
      <w:r w:rsidR="00A50430">
        <w:t>s</w:t>
      </w:r>
      <w:r w:rsidRPr="00A567B4">
        <w:t xml:space="preserve"> that </w:t>
      </w:r>
      <w:r w:rsidR="00A50430">
        <w:t xml:space="preserve">the </w:t>
      </w:r>
      <w:r>
        <w:t>CCA Plans are missing information regarding transportation electrification. These retail sellers</w:t>
      </w:r>
      <w:r w:rsidRPr="00A567B4">
        <w:t xml:space="preserve"> must provide additional information as </w:t>
      </w:r>
      <w:r>
        <w:t>listed</w:t>
      </w:r>
      <w:r w:rsidRPr="00A567B4">
        <w:t xml:space="preserve"> in </w:t>
      </w:r>
      <w:r w:rsidR="00F920D3">
        <w:t>Table </w:t>
      </w:r>
      <w:r w:rsidR="00A50430">
        <w:t>3</w:t>
      </w:r>
      <w:r w:rsidRPr="00A567B4">
        <w:t xml:space="preserve"> below</w:t>
      </w:r>
      <w:r>
        <w:t>.</w:t>
      </w:r>
    </w:p>
    <w:p w:rsidRPr="00A50430" w:rsidR="00D37399" w:rsidP="00F277D4" w:rsidRDefault="00F920D3" w14:paraId="7E2D0BCE" w14:textId="4D19E2F1">
      <w:pPr>
        <w:pStyle w:val="TableTitleBody"/>
        <w:rPr>
          <w:b w:val="0"/>
          <w:bCs w:val="0"/>
        </w:rPr>
      </w:pPr>
      <w:r>
        <w:t>Table </w:t>
      </w:r>
      <w:r w:rsidR="0055481D">
        <w:t>3</w:t>
      </w:r>
      <w:r w:rsidR="00CD5830">
        <w:rPr>
          <w:b w:val="0"/>
          <w:bCs w:val="0"/>
        </w:rPr>
        <w:t xml:space="preserve">:  </w:t>
      </w:r>
      <w:r w:rsidR="0055481D">
        <w:t xml:space="preserve">Forecasting for </w:t>
      </w:r>
      <w:r w:rsidRPr="005476B2" w:rsidR="005476B2">
        <w:t>Transportation Electrification</w:t>
      </w:r>
    </w:p>
    <w:tbl>
      <w:tblPr>
        <w:tblStyle w:val="TableGrid9"/>
        <w:tblW w:w="0" w:type="auto"/>
        <w:tblLayout w:type="fixed"/>
        <w:tblCellMar>
          <w:top w:w="58" w:type="dxa"/>
          <w:bottom w:w="58" w:type="dxa"/>
        </w:tblCellMar>
        <w:tblLook w:val="06A0" w:firstRow="1" w:lastRow="0" w:firstColumn="1" w:lastColumn="0" w:noHBand="1" w:noVBand="1"/>
      </w:tblPr>
      <w:tblGrid>
        <w:gridCol w:w="4225"/>
        <w:gridCol w:w="5125"/>
      </w:tblGrid>
      <w:tr w:rsidRPr="00FD69E7" w:rsidR="00AC7908" w:rsidTr="00FD69E7" w14:paraId="6E4A11CF" w14:textId="77777777">
        <w:trPr>
          <w:tblHeader/>
        </w:trPr>
        <w:tc>
          <w:tcPr>
            <w:tcW w:w="4225" w:type="dxa"/>
            <w:shd w:val="clear" w:color="auto" w:fill="BFBFBF" w:themeFill="background1" w:themeFillShade="BF"/>
            <w:vAlign w:val="bottom"/>
          </w:tcPr>
          <w:p w:rsidRPr="00FD69E7" w:rsidR="00AC7908" w:rsidP="00F277D4" w:rsidRDefault="00AC7908" w14:paraId="094E364F" w14:textId="337BC266">
            <w:pPr>
              <w:keepNext/>
              <w:spacing w:line="240" w:lineRule="auto"/>
              <w:ind w:firstLine="0"/>
              <w:jc w:val="center"/>
              <w:rPr>
                <w:rFonts w:eastAsia="Times New Roman" w:cs="Times New Roman"/>
                <w:b/>
                <w:bCs/>
                <w:szCs w:val="24"/>
              </w:rPr>
            </w:pPr>
            <w:r w:rsidRPr="00FD69E7">
              <w:rPr>
                <w:b/>
                <w:color w:val="000000" w:themeColor="text1"/>
                <w:szCs w:val="24"/>
              </w:rPr>
              <w:t>Retail Seller</w:t>
            </w:r>
          </w:p>
        </w:tc>
        <w:tc>
          <w:tcPr>
            <w:tcW w:w="5125" w:type="dxa"/>
            <w:shd w:val="clear" w:color="auto" w:fill="BFBFBF" w:themeFill="background1" w:themeFillShade="BF"/>
            <w:vAlign w:val="bottom"/>
          </w:tcPr>
          <w:p w:rsidRPr="00FD69E7" w:rsidR="00AC7908" w:rsidP="00F277D4" w:rsidRDefault="00AC7908" w14:paraId="18862BC6" w14:textId="4EEE3E8C">
            <w:pPr>
              <w:keepNext/>
              <w:spacing w:line="240" w:lineRule="auto"/>
              <w:ind w:firstLine="0"/>
              <w:jc w:val="center"/>
              <w:rPr>
                <w:rFonts w:eastAsia="Calibri" w:cs="Times New Roman"/>
                <w:szCs w:val="24"/>
              </w:rPr>
            </w:pPr>
            <w:r w:rsidRPr="00FD69E7">
              <w:rPr>
                <w:b/>
                <w:color w:val="000000" w:themeColor="text1"/>
                <w:szCs w:val="24"/>
              </w:rPr>
              <w:t>Commission Finding</w:t>
            </w:r>
          </w:p>
        </w:tc>
      </w:tr>
      <w:tr w:rsidRPr="00FD69E7" w:rsidR="00D37399" w:rsidTr="00FD69E7" w14:paraId="64B7B959" w14:textId="77777777">
        <w:tc>
          <w:tcPr>
            <w:tcW w:w="4225" w:type="dxa"/>
          </w:tcPr>
          <w:p w:rsidRPr="00FD69E7" w:rsidR="00F023E7" w:rsidP="00F277D4" w:rsidRDefault="00D37399" w14:paraId="2B40B19E" w14:textId="77777777">
            <w:pPr>
              <w:spacing w:after="120" w:line="240" w:lineRule="auto"/>
              <w:ind w:firstLine="0"/>
              <w:rPr>
                <w:rFonts w:eastAsia="Times New Roman" w:cs="Times New Roman"/>
                <w:szCs w:val="24"/>
              </w:rPr>
            </w:pPr>
            <w:r w:rsidRPr="00FD69E7">
              <w:rPr>
                <w:rFonts w:eastAsia="Times New Roman" w:cs="Times New Roman"/>
                <w:szCs w:val="24"/>
              </w:rPr>
              <w:t>Apple Valley Choice Energy,</w:t>
            </w:r>
          </w:p>
          <w:p w:rsidRPr="00FD69E7" w:rsidR="00F023E7" w:rsidP="00F277D4" w:rsidRDefault="00D37399" w14:paraId="26E3679D" w14:textId="77777777">
            <w:pPr>
              <w:spacing w:after="120" w:line="240" w:lineRule="auto"/>
              <w:ind w:firstLine="0"/>
              <w:rPr>
                <w:rFonts w:eastAsia="Times New Roman" w:cs="Times New Roman"/>
                <w:szCs w:val="24"/>
              </w:rPr>
            </w:pPr>
            <w:r w:rsidRPr="00FD69E7">
              <w:rPr>
                <w:rFonts w:eastAsia="Times New Roman" w:cs="Times New Roman"/>
                <w:szCs w:val="24"/>
              </w:rPr>
              <w:t>Ava Community Energy,</w:t>
            </w:r>
          </w:p>
          <w:p w:rsidRPr="00FD69E7" w:rsidR="00AC7908" w:rsidP="00F277D4" w:rsidRDefault="00D37399" w14:paraId="33CD831E" w14:textId="77777777">
            <w:pPr>
              <w:spacing w:after="120" w:line="240" w:lineRule="auto"/>
              <w:ind w:firstLine="0"/>
              <w:rPr>
                <w:rFonts w:eastAsia="Times New Roman" w:cs="Times New Roman"/>
                <w:szCs w:val="24"/>
              </w:rPr>
            </w:pPr>
            <w:r w:rsidRPr="00FD69E7">
              <w:rPr>
                <w:rFonts w:eastAsia="Times New Roman" w:cs="Times New Roman"/>
                <w:szCs w:val="24"/>
              </w:rPr>
              <w:t>Central Coast Community Energy,</w:t>
            </w:r>
          </w:p>
          <w:p w:rsidRPr="00FD69E7" w:rsidR="00F023E7" w:rsidP="00F277D4" w:rsidRDefault="00D37399" w14:paraId="22532104" w14:textId="4921E150">
            <w:pPr>
              <w:spacing w:after="120" w:line="240" w:lineRule="auto"/>
              <w:ind w:firstLine="0"/>
              <w:rPr>
                <w:rFonts w:eastAsia="Times New Roman" w:cs="Times New Roman"/>
                <w:szCs w:val="24"/>
              </w:rPr>
            </w:pPr>
            <w:r w:rsidRPr="00FD69E7">
              <w:rPr>
                <w:rFonts w:eastAsia="Times New Roman" w:cs="Times New Roman"/>
                <w:szCs w:val="24"/>
              </w:rPr>
              <w:t>City of Palmdale,</w:t>
            </w:r>
          </w:p>
          <w:p w:rsidRPr="00FD69E7" w:rsidR="00F023E7" w:rsidP="00F277D4" w:rsidRDefault="00D37399" w14:paraId="5AB27856" w14:textId="77777777">
            <w:pPr>
              <w:spacing w:after="120" w:line="240" w:lineRule="auto"/>
              <w:ind w:firstLine="0"/>
              <w:rPr>
                <w:rFonts w:eastAsia="Times New Roman" w:cs="Times New Roman"/>
                <w:szCs w:val="24"/>
              </w:rPr>
            </w:pPr>
            <w:r w:rsidRPr="00FD69E7">
              <w:rPr>
                <w:rFonts w:eastAsia="Times New Roman" w:cs="Times New Roman"/>
                <w:szCs w:val="24"/>
              </w:rPr>
              <w:t>City of Pomona,</w:t>
            </w:r>
          </w:p>
          <w:p w:rsidRPr="00FD69E7" w:rsidR="00F023E7" w:rsidP="00F277D4" w:rsidRDefault="00D37399" w14:paraId="4A1DEB09" w14:textId="77777777">
            <w:pPr>
              <w:spacing w:after="120" w:line="240" w:lineRule="auto"/>
              <w:ind w:firstLine="0"/>
              <w:rPr>
                <w:rFonts w:eastAsia="Times New Roman" w:cs="Times New Roman"/>
                <w:szCs w:val="24"/>
              </w:rPr>
            </w:pPr>
            <w:r w:rsidRPr="00FD69E7">
              <w:rPr>
                <w:rFonts w:eastAsia="Times New Roman" w:cs="Times New Roman"/>
                <w:szCs w:val="24"/>
              </w:rPr>
              <w:t xml:space="preserve">City of </w:t>
            </w:r>
            <w:r w:rsidRPr="00FD69E7" w:rsidR="00B471F2">
              <w:rPr>
                <w:rFonts w:eastAsia="Times New Roman" w:cs="Times New Roman"/>
                <w:szCs w:val="24"/>
              </w:rPr>
              <w:t>Santa </w:t>
            </w:r>
            <w:r w:rsidRPr="00FD69E7">
              <w:rPr>
                <w:rFonts w:eastAsia="Times New Roman" w:cs="Times New Roman"/>
                <w:szCs w:val="24"/>
              </w:rPr>
              <w:t>Barbara,</w:t>
            </w:r>
          </w:p>
          <w:p w:rsidRPr="00FD69E7" w:rsidR="00F023E7" w:rsidP="00F277D4" w:rsidRDefault="00D37399" w14:paraId="2A06F3FB" w14:textId="77777777">
            <w:pPr>
              <w:spacing w:after="120" w:line="240" w:lineRule="auto"/>
              <w:ind w:firstLine="0"/>
              <w:rPr>
                <w:rFonts w:eastAsia="Times New Roman" w:cs="Times New Roman"/>
                <w:szCs w:val="24"/>
              </w:rPr>
            </w:pPr>
            <w:r w:rsidRPr="00FD69E7">
              <w:rPr>
                <w:rFonts w:eastAsia="Times New Roman" w:cs="Times New Roman"/>
                <w:szCs w:val="24"/>
              </w:rPr>
              <w:t>Clean Energy Alliance,</w:t>
            </w:r>
          </w:p>
          <w:p w:rsidRPr="00FD69E7" w:rsidR="00F023E7" w:rsidP="00F277D4" w:rsidRDefault="00D37399" w14:paraId="65145E71" w14:textId="77777777">
            <w:pPr>
              <w:spacing w:after="120" w:line="240" w:lineRule="auto"/>
              <w:ind w:firstLine="0"/>
              <w:rPr>
                <w:rFonts w:eastAsia="Times New Roman" w:cs="Times New Roman"/>
                <w:szCs w:val="24"/>
              </w:rPr>
            </w:pPr>
            <w:r w:rsidRPr="00FD69E7">
              <w:rPr>
                <w:rFonts w:eastAsia="Times New Roman" w:cs="Times New Roman"/>
                <w:szCs w:val="24"/>
              </w:rPr>
              <w:t>Lancaster Choice Energy,</w:t>
            </w:r>
          </w:p>
          <w:p w:rsidRPr="00FD69E7" w:rsidR="00D37399" w:rsidP="00F277D4" w:rsidRDefault="00D37399" w14:paraId="4F16C517" w14:textId="67CAAB23">
            <w:pPr>
              <w:spacing w:after="120" w:line="240" w:lineRule="auto"/>
              <w:ind w:firstLine="0"/>
              <w:rPr>
                <w:rFonts w:eastAsia="Times New Roman" w:cs="Times New Roman"/>
                <w:szCs w:val="24"/>
              </w:rPr>
            </w:pPr>
            <w:r w:rsidRPr="00FD69E7">
              <w:rPr>
                <w:rFonts w:eastAsia="Times New Roman" w:cs="Times New Roman"/>
                <w:szCs w:val="24"/>
              </w:rPr>
              <w:t>Orange County Power Authority,</w:t>
            </w:r>
          </w:p>
          <w:p w:rsidRPr="00FD69E7" w:rsidR="00D37399" w:rsidP="00F277D4" w:rsidRDefault="00D37399" w14:paraId="3793F2C6" w14:textId="77777777">
            <w:pPr>
              <w:spacing w:after="120" w:line="240" w:lineRule="auto"/>
              <w:ind w:firstLine="0"/>
              <w:rPr>
                <w:rFonts w:eastAsia="Times New Roman" w:cs="Times New Roman"/>
                <w:szCs w:val="24"/>
              </w:rPr>
            </w:pPr>
            <w:r w:rsidRPr="00FD69E7">
              <w:rPr>
                <w:rFonts w:eastAsia="Times New Roman" w:cs="Times New Roman"/>
                <w:szCs w:val="24"/>
              </w:rPr>
              <w:t>Pico Rivera,</w:t>
            </w:r>
          </w:p>
          <w:p w:rsidRPr="00FD69E7" w:rsidR="00F023E7" w:rsidP="00F277D4" w:rsidRDefault="00D37399" w14:paraId="696AAE9E" w14:textId="77777777">
            <w:pPr>
              <w:spacing w:after="120" w:line="240" w:lineRule="auto"/>
              <w:ind w:firstLine="0"/>
              <w:rPr>
                <w:rFonts w:eastAsia="Times New Roman" w:cs="Times New Roman"/>
                <w:szCs w:val="24"/>
              </w:rPr>
            </w:pPr>
            <w:r w:rsidRPr="00FD69E7">
              <w:rPr>
                <w:rFonts w:eastAsia="Times New Roman" w:cs="Times New Roman"/>
                <w:szCs w:val="24"/>
              </w:rPr>
              <w:t>Pioneer Community Energy,</w:t>
            </w:r>
          </w:p>
          <w:p w:rsidRPr="00FD69E7" w:rsidR="00F023E7" w:rsidP="00F277D4" w:rsidRDefault="00D37399" w14:paraId="41046C23" w14:textId="77777777">
            <w:pPr>
              <w:spacing w:after="120" w:line="240" w:lineRule="auto"/>
              <w:ind w:firstLine="0"/>
              <w:rPr>
                <w:rFonts w:eastAsia="Times New Roman" w:cs="Times New Roman"/>
                <w:szCs w:val="24"/>
              </w:rPr>
            </w:pPr>
            <w:r w:rsidRPr="00FD69E7">
              <w:rPr>
                <w:rFonts w:eastAsia="Times New Roman" w:cs="Times New Roman"/>
                <w:szCs w:val="24"/>
              </w:rPr>
              <w:t>Rancho Mirage Energy Authority,</w:t>
            </w:r>
          </w:p>
          <w:p w:rsidRPr="00FD69E7" w:rsidR="00D37399" w:rsidP="00F277D4" w:rsidRDefault="00B471F2" w14:paraId="4EEFD7F9" w14:textId="3CB9DA9C">
            <w:pPr>
              <w:spacing w:after="120" w:line="240" w:lineRule="auto"/>
              <w:ind w:firstLine="0"/>
              <w:rPr>
                <w:rFonts w:eastAsia="Times New Roman" w:cs="Times New Roman"/>
                <w:b/>
                <w:bCs/>
                <w:szCs w:val="24"/>
              </w:rPr>
            </w:pPr>
            <w:r w:rsidRPr="00FD69E7">
              <w:rPr>
                <w:rFonts w:eastAsia="Times New Roman" w:cs="Times New Roman"/>
                <w:szCs w:val="24"/>
              </w:rPr>
              <w:t>San </w:t>
            </w:r>
            <w:r w:rsidRPr="00FD69E7" w:rsidR="00D37399">
              <w:rPr>
                <w:rFonts w:eastAsia="Times New Roman" w:cs="Times New Roman"/>
                <w:szCs w:val="24"/>
              </w:rPr>
              <w:t>Jacinto Power</w:t>
            </w:r>
          </w:p>
        </w:tc>
        <w:tc>
          <w:tcPr>
            <w:tcW w:w="5125" w:type="dxa"/>
          </w:tcPr>
          <w:p w:rsidRPr="00FD69E7" w:rsidR="00D37399" w:rsidP="00F277D4" w:rsidRDefault="00D37399" w14:paraId="623D4CCA" w14:textId="14FD65D3">
            <w:pPr>
              <w:spacing w:after="120" w:line="240" w:lineRule="auto"/>
              <w:ind w:firstLine="0"/>
              <w:rPr>
                <w:rFonts w:eastAsia="Calibri" w:cs="Times New Roman"/>
                <w:szCs w:val="24"/>
              </w:rPr>
            </w:pPr>
            <w:r w:rsidRPr="00FD69E7">
              <w:rPr>
                <w:rFonts w:eastAsia="Calibri" w:cs="Times New Roman"/>
                <w:szCs w:val="24"/>
              </w:rPr>
              <w:t xml:space="preserve">Although they provided information on transportation electrification forecasting in their </w:t>
            </w:r>
            <w:r w:rsidRPr="00FD69E7" w:rsidR="008C0AEC">
              <w:rPr>
                <w:rFonts w:eastAsia="Calibri" w:cs="Times New Roman"/>
                <w:szCs w:val="24"/>
              </w:rPr>
              <w:t xml:space="preserve">Draft </w:t>
            </w:r>
            <w:r w:rsidR="00950E04">
              <w:rPr>
                <w:rFonts w:eastAsia="Calibri" w:cs="Times New Roman"/>
                <w:szCs w:val="24"/>
              </w:rPr>
              <w:t>2025 RPS</w:t>
            </w:r>
            <w:r w:rsidRPr="00FD69E7">
              <w:rPr>
                <w:rFonts w:eastAsia="Calibri" w:cs="Times New Roman"/>
                <w:szCs w:val="24"/>
              </w:rPr>
              <w:t xml:space="preserve"> Plans, these retail sellers did not include the required table or chart showing </w:t>
            </w:r>
            <w:r w:rsidRPr="00FD69E7" w:rsidR="0011005B">
              <w:rPr>
                <w:rFonts w:eastAsia="Calibri" w:cs="Times New Roman"/>
                <w:szCs w:val="24"/>
              </w:rPr>
              <w:t xml:space="preserve">the </w:t>
            </w:r>
            <w:r w:rsidRPr="00FD69E7">
              <w:rPr>
                <w:rFonts w:eastAsia="Calibri" w:cs="Times New Roman"/>
                <w:szCs w:val="24"/>
              </w:rPr>
              <w:t>annual load from transportation electrification as forecasted in their analysis</w:t>
            </w:r>
            <w:r w:rsidRPr="00FD69E7" w:rsidR="0011005B">
              <w:rPr>
                <w:rFonts w:eastAsia="Calibri" w:cs="Times New Roman"/>
                <w:szCs w:val="24"/>
              </w:rPr>
              <w:t>,</w:t>
            </w:r>
            <w:r w:rsidRPr="00FD69E7">
              <w:rPr>
                <w:rFonts w:eastAsia="Calibri" w:cs="Times New Roman"/>
                <w:szCs w:val="24"/>
              </w:rPr>
              <w:t xml:space="preserve"> </w:t>
            </w:r>
            <w:r w:rsidRPr="00FD69E7" w:rsidR="0011005B">
              <w:rPr>
                <w:rFonts w:eastAsia="Calibri" w:cs="Times New Roman"/>
                <w:szCs w:val="24"/>
              </w:rPr>
              <w:t xml:space="preserve">nor did they </w:t>
            </w:r>
            <w:r w:rsidRPr="00FD69E7">
              <w:rPr>
                <w:rFonts w:eastAsia="Calibri" w:cs="Times New Roman"/>
                <w:szCs w:val="24"/>
              </w:rPr>
              <w:t>compare</w:t>
            </w:r>
            <w:r w:rsidRPr="00FD69E7" w:rsidR="0011005B">
              <w:rPr>
                <w:rFonts w:eastAsia="Calibri" w:cs="Times New Roman"/>
                <w:szCs w:val="24"/>
              </w:rPr>
              <w:t xml:space="preserve"> it with</w:t>
            </w:r>
            <w:r w:rsidRPr="00FD69E7">
              <w:rPr>
                <w:rFonts w:eastAsia="Calibri" w:cs="Times New Roman"/>
                <w:szCs w:val="24"/>
              </w:rPr>
              <w:t xml:space="preserve"> the IEPR transportation electrification demand forecast results. Retail sellers must include a table and/or chart showing the annual load from transportation electrification as forecasted in their analysis. These graphics must also compare the retail seller</w:t>
            </w:r>
            <w:r w:rsidR="005A00BE">
              <w:rPr>
                <w:rFonts w:eastAsia="Calibri" w:cs="Times New Roman"/>
                <w:szCs w:val="24"/>
              </w:rPr>
              <w:t>’</w:t>
            </w:r>
            <w:r w:rsidRPr="00FD69E7">
              <w:rPr>
                <w:rFonts w:eastAsia="Calibri" w:cs="Times New Roman"/>
                <w:szCs w:val="24"/>
              </w:rPr>
              <w:t xml:space="preserve">s transportation electrification load results to the IEPR transportation electricity demand forecast results, as required by the </w:t>
            </w:r>
            <w:r w:rsidRPr="00FD69E7" w:rsidR="008C0AEC">
              <w:rPr>
                <w:rFonts w:eastAsia="Calibri" w:cs="Times New Roman"/>
                <w:szCs w:val="24"/>
              </w:rPr>
              <w:t xml:space="preserve">2025 </w:t>
            </w:r>
            <w:r w:rsidRPr="00FD69E7">
              <w:rPr>
                <w:rFonts w:eastAsia="Calibri" w:cs="Times New Roman"/>
                <w:szCs w:val="24"/>
              </w:rPr>
              <w:t>ACR.</w:t>
            </w:r>
            <w:r w:rsidRPr="00FD69E7" w:rsidR="008C0AEC">
              <w:rPr>
                <w:rStyle w:val="FootnoteReference"/>
                <w:rFonts w:eastAsia="Calibri" w:cs="Times New Roman"/>
                <w:szCs w:val="24"/>
              </w:rPr>
              <w:footnoteReference w:id="109"/>
            </w:r>
          </w:p>
        </w:tc>
      </w:tr>
      <w:tr w:rsidRPr="00D37399" w:rsidR="00D37399" w:rsidTr="00FD69E7" w14:paraId="7C930F01" w14:textId="77777777">
        <w:tc>
          <w:tcPr>
            <w:tcW w:w="4225" w:type="dxa"/>
          </w:tcPr>
          <w:p w:rsidRPr="00FD69E7" w:rsidR="00235330" w:rsidP="00F277D4" w:rsidRDefault="00D37399" w14:paraId="633EFE1D" w14:textId="77777777">
            <w:pPr>
              <w:spacing w:after="120" w:line="240" w:lineRule="auto"/>
              <w:ind w:firstLine="0"/>
              <w:rPr>
                <w:rFonts w:eastAsia="Times New Roman" w:cs="Times New Roman"/>
                <w:szCs w:val="24"/>
              </w:rPr>
            </w:pPr>
            <w:r w:rsidRPr="00FD69E7">
              <w:rPr>
                <w:rFonts w:eastAsia="Times New Roman" w:cs="Times New Roman"/>
                <w:szCs w:val="24"/>
              </w:rPr>
              <w:t>Central Coast Community Energy</w:t>
            </w:r>
            <w:r w:rsidRPr="00FD69E7" w:rsidR="00235330">
              <w:rPr>
                <w:rFonts w:eastAsia="Times New Roman" w:cs="Times New Roman"/>
                <w:szCs w:val="24"/>
              </w:rPr>
              <w:t>,</w:t>
            </w:r>
          </w:p>
          <w:p w:rsidRPr="00FD69E7" w:rsidR="00235330" w:rsidP="00F277D4" w:rsidRDefault="00D37399" w14:paraId="72B85362" w14:textId="77777777">
            <w:pPr>
              <w:spacing w:after="120" w:line="240" w:lineRule="auto"/>
              <w:ind w:firstLine="0"/>
              <w:rPr>
                <w:rFonts w:eastAsia="Times New Roman" w:cs="Times New Roman"/>
                <w:szCs w:val="24"/>
              </w:rPr>
            </w:pPr>
            <w:r w:rsidRPr="00FD69E7">
              <w:rPr>
                <w:rFonts w:eastAsia="Times New Roman" w:cs="Times New Roman"/>
                <w:szCs w:val="24"/>
              </w:rPr>
              <w:t>Marin Clean Energy</w:t>
            </w:r>
            <w:r w:rsidRPr="00FD69E7" w:rsidR="00235330">
              <w:rPr>
                <w:rFonts w:eastAsia="Times New Roman" w:cs="Times New Roman"/>
                <w:szCs w:val="24"/>
              </w:rPr>
              <w:t>,</w:t>
            </w:r>
          </w:p>
          <w:p w:rsidRPr="00D37399" w:rsidR="00D37399" w:rsidP="00F277D4" w:rsidRDefault="00D37399" w14:paraId="774E6E9C" w14:textId="02A7997F">
            <w:pPr>
              <w:spacing w:after="120" w:line="240" w:lineRule="auto"/>
              <w:ind w:firstLine="0"/>
              <w:rPr>
                <w:rFonts w:eastAsia="Times New Roman" w:cs="Times New Roman"/>
                <w:b/>
                <w:bCs/>
                <w:sz w:val="24"/>
                <w:szCs w:val="24"/>
              </w:rPr>
            </w:pPr>
            <w:r w:rsidRPr="00FD69E7">
              <w:rPr>
                <w:rFonts w:eastAsia="Times New Roman" w:cs="Times New Roman"/>
                <w:szCs w:val="24"/>
              </w:rPr>
              <w:t>Redwood Coast Energy Authority</w:t>
            </w:r>
          </w:p>
        </w:tc>
        <w:tc>
          <w:tcPr>
            <w:tcW w:w="5125" w:type="dxa"/>
          </w:tcPr>
          <w:p w:rsidRPr="00FD69E7" w:rsidR="00F023E7" w:rsidP="00F277D4" w:rsidRDefault="00D37399" w14:paraId="03C76548" w14:textId="356A6937">
            <w:pPr>
              <w:spacing w:after="120" w:line="240" w:lineRule="auto"/>
              <w:ind w:firstLine="0"/>
              <w:rPr>
                <w:rFonts w:eastAsia="Calibri" w:cs="Times New Roman"/>
                <w:szCs w:val="24"/>
              </w:rPr>
            </w:pPr>
            <w:r w:rsidRPr="00FD69E7">
              <w:rPr>
                <w:rFonts w:eastAsia="Calibri" w:cs="Times New Roman"/>
                <w:szCs w:val="24"/>
              </w:rPr>
              <w:t>These retail sellers do not reference what vintage</w:t>
            </w:r>
            <w:r w:rsidRPr="00FD69E7" w:rsidR="00FD69E7">
              <w:rPr>
                <w:rFonts w:eastAsia="Calibri" w:cs="Times New Roman"/>
                <w:szCs w:val="24"/>
              </w:rPr>
              <w:t>/</w:t>
            </w:r>
            <w:r w:rsidRPr="00FD69E7">
              <w:rPr>
                <w:rFonts w:eastAsia="Calibri" w:cs="Times New Roman"/>
                <w:szCs w:val="24"/>
              </w:rPr>
              <w:t xml:space="preserve">year CEC IEPR forecast </w:t>
            </w:r>
            <w:r w:rsidRPr="00FD69E7" w:rsidR="00CD70BD">
              <w:rPr>
                <w:rFonts w:eastAsia="Calibri" w:cs="Times New Roman"/>
                <w:szCs w:val="24"/>
              </w:rPr>
              <w:t>is used</w:t>
            </w:r>
            <w:r w:rsidRPr="00FD69E7">
              <w:rPr>
                <w:rFonts w:eastAsia="Calibri" w:cs="Times New Roman"/>
                <w:szCs w:val="24"/>
              </w:rPr>
              <w:t xml:space="preserve"> as the basis for their transportation electrification forecasts.</w:t>
            </w:r>
          </w:p>
          <w:p w:rsidRPr="00D37399" w:rsidR="00D37399" w:rsidP="00F277D4" w:rsidRDefault="00D37399" w14:paraId="018F96A6" w14:textId="24BA16D6">
            <w:pPr>
              <w:spacing w:after="120" w:line="240" w:lineRule="auto"/>
              <w:ind w:firstLine="0"/>
              <w:rPr>
                <w:rFonts w:eastAsia="Calibri" w:cs="Times New Roman"/>
                <w:sz w:val="24"/>
                <w:szCs w:val="24"/>
              </w:rPr>
            </w:pPr>
            <w:r w:rsidRPr="00FD69E7">
              <w:rPr>
                <w:rFonts w:eastAsia="Calibri" w:cs="Times New Roman"/>
                <w:szCs w:val="24"/>
              </w:rPr>
              <w:t xml:space="preserve">As per the </w:t>
            </w:r>
            <w:r w:rsidRPr="00FD69E7" w:rsidR="00BA1B45">
              <w:rPr>
                <w:rFonts w:eastAsia="Calibri" w:cs="Times New Roman"/>
                <w:szCs w:val="24"/>
              </w:rPr>
              <w:t xml:space="preserve">2025 </w:t>
            </w:r>
            <w:r w:rsidRPr="00FD69E7">
              <w:rPr>
                <w:rFonts w:eastAsia="Calibri" w:cs="Times New Roman"/>
                <w:szCs w:val="24"/>
              </w:rPr>
              <w:t xml:space="preserve">ACR, retail sellers must identify what vintage IEPR forecast they </w:t>
            </w:r>
            <w:r w:rsidRPr="00FD69E7">
              <w:rPr>
                <w:rFonts w:eastAsia="Calibri" w:cs="Times New Roman"/>
                <w:szCs w:val="24"/>
              </w:rPr>
              <w:lastRenderedPageBreak/>
              <w:t>used in their forecasts. If a retail seller is not using the most up</w:t>
            </w:r>
            <w:r w:rsidR="00E54574">
              <w:rPr>
                <w:rFonts w:eastAsia="Calibri" w:cs="Times New Roman"/>
                <w:szCs w:val="24"/>
              </w:rPr>
              <w:noBreakHyphen/>
            </w:r>
            <w:r w:rsidRPr="00FD69E7">
              <w:rPr>
                <w:rFonts w:eastAsia="Calibri" w:cs="Times New Roman"/>
                <w:szCs w:val="24"/>
              </w:rPr>
              <w:t>to</w:t>
            </w:r>
            <w:r w:rsidR="00E54574">
              <w:rPr>
                <w:rFonts w:eastAsia="Calibri" w:cs="Times New Roman"/>
                <w:szCs w:val="24"/>
              </w:rPr>
              <w:noBreakHyphen/>
            </w:r>
            <w:r w:rsidRPr="00FD69E7">
              <w:rPr>
                <w:rFonts w:eastAsia="Calibri" w:cs="Times New Roman"/>
                <w:szCs w:val="24"/>
              </w:rPr>
              <w:t>date IEPR forecast, it must provide reasoning for its choice of vintage year for the IEPR forecast.</w:t>
            </w:r>
          </w:p>
        </w:tc>
      </w:tr>
      <w:tr w:rsidRPr="00FD69E7" w:rsidR="00D37399" w:rsidTr="00FD69E7" w14:paraId="7EB6947E" w14:textId="77777777">
        <w:tc>
          <w:tcPr>
            <w:tcW w:w="4225" w:type="dxa"/>
          </w:tcPr>
          <w:p w:rsidRPr="00FD69E7" w:rsidR="00F023E7" w:rsidP="00F277D4" w:rsidRDefault="00D37399" w14:paraId="755565CD" w14:textId="77777777">
            <w:pPr>
              <w:spacing w:after="120" w:line="240" w:lineRule="auto"/>
              <w:ind w:firstLine="0"/>
              <w:rPr>
                <w:rFonts w:eastAsia="Times New Roman" w:cs="Times New Roman"/>
                <w:szCs w:val="24"/>
              </w:rPr>
            </w:pPr>
            <w:r w:rsidRPr="00FD69E7">
              <w:rPr>
                <w:rFonts w:eastAsia="Times New Roman" w:cs="Times New Roman"/>
                <w:szCs w:val="24"/>
              </w:rPr>
              <w:lastRenderedPageBreak/>
              <w:t>Apple Valley Choice Energy,</w:t>
            </w:r>
          </w:p>
          <w:p w:rsidRPr="00FD69E7" w:rsidR="00F023E7" w:rsidP="00F277D4" w:rsidRDefault="00D37399" w14:paraId="7A135057" w14:textId="77777777">
            <w:pPr>
              <w:spacing w:after="120" w:line="240" w:lineRule="auto"/>
              <w:ind w:firstLine="0"/>
              <w:rPr>
                <w:rFonts w:eastAsia="Times New Roman" w:cs="Times New Roman"/>
                <w:szCs w:val="24"/>
              </w:rPr>
            </w:pPr>
            <w:r w:rsidRPr="00FD69E7">
              <w:rPr>
                <w:rFonts w:eastAsia="Times New Roman" w:cs="Times New Roman"/>
                <w:szCs w:val="24"/>
              </w:rPr>
              <w:t>Ava Community Energy,</w:t>
            </w:r>
          </w:p>
          <w:p w:rsidRPr="00FD69E7" w:rsidR="00F023E7" w:rsidP="00F277D4" w:rsidRDefault="00D37399" w14:paraId="186277B7" w14:textId="77777777">
            <w:pPr>
              <w:spacing w:after="120" w:line="240" w:lineRule="auto"/>
              <w:ind w:firstLine="0"/>
              <w:rPr>
                <w:rFonts w:eastAsia="Times New Roman" w:cs="Times New Roman"/>
                <w:szCs w:val="24"/>
              </w:rPr>
            </w:pPr>
            <w:r w:rsidRPr="00FD69E7">
              <w:rPr>
                <w:rFonts w:eastAsia="Times New Roman" w:cs="Times New Roman"/>
                <w:szCs w:val="24"/>
              </w:rPr>
              <w:t>City of Palmdale,</w:t>
            </w:r>
          </w:p>
          <w:p w:rsidRPr="00FD69E7" w:rsidR="00F023E7" w:rsidP="00F277D4" w:rsidRDefault="00D37399" w14:paraId="0FDC3FE9" w14:textId="77777777">
            <w:pPr>
              <w:spacing w:after="120" w:line="240" w:lineRule="auto"/>
              <w:ind w:firstLine="0"/>
              <w:rPr>
                <w:rFonts w:eastAsia="Times New Roman" w:cs="Times New Roman"/>
                <w:szCs w:val="24"/>
              </w:rPr>
            </w:pPr>
            <w:r w:rsidRPr="00FD69E7">
              <w:rPr>
                <w:rFonts w:eastAsia="Times New Roman" w:cs="Times New Roman"/>
                <w:szCs w:val="24"/>
              </w:rPr>
              <w:t>City of Pomona,</w:t>
            </w:r>
          </w:p>
          <w:p w:rsidRPr="00FD69E7" w:rsidR="00F023E7" w:rsidP="00F277D4" w:rsidRDefault="00D37399" w14:paraId="1AD5445C" w14:textId="77777777">
            <w:pPr>
              <w:spacing w:after="120" w:line="240" w:lineRule="auto"/>
              <w:ind w:firstLine="0"/>
              <w:rPr>
                <w:rFonts w:eastAsia="Times New Roman" w:cs="Times New Roman"/>
                <w:szCs w:val="24"/>
              </w:rPr>
            </w:pPr>
            <w:r w:rsidRPr="00FD69E7">
              <w:rPr>
                <w:rFonts w:eastAsia="Times New Roman" w:cs="Times New Roman"/>
                <w:szCs w:val="24"/>
              </w:rPr>
              <w:t xml:space="preserve">City of </w:t>
            </w:r>
            <w:r w:rsidRPr="00FD69E7" w:rsidR="00B471F2">
              <w:rPr>
                <w:rFonts w:eastAsia="Times New Roman" w:cs="Times New Roman"/>
                <w:szCs w:val="24"/>
              </w:rPr>
              <w:t>Santa </w:t>
            </w:r>
            <w:r w:rsidRPr="00FD69E7">
              <w:rPr>
                <w:rFonts w:eastAsia="Times New Roman" w:cs="Times New Roman"/>
                <w:szCs w:val="24"/>
              </w:rPr>
              <w:t>Barbara,</w:t>
            </w:r>
          </w:p>
          <w:p w:rsidRPr="00FD69E7" w:rsidR="00F023E7" w:rsidP="00F277D4" w:rsidRDefault="00D37399" w14:paraId="267D2F75" w14:textId="77777777">
            <w:pPr>
              <w:spacing w:after="120" w:line="240" w:lineRule="auto"/>
              <w:ind w:firstLine="0"/>
              <w:rPr>
                <w:rFonts w:eastAsia="Times New Roman" w:cs="Times New Roman"/>
                <w:szCs w:val="24"/>
              </w:rPr>
            </w:pPr>
            <w:r w:rsidRPr="00FD69E7">
              <w:rPr>
                <w:rFonts w:eastAsia="Times New Roman" w:cs="Times New Roman"/>
                <w:szCs w:val="24"/>
              </w:rPr>
              <w:t>Clean Energy Alliance,</w:t>
            </w:r>
          </w:p>
          <w:p w:rsidRPr="00FD69E7" w:rsidR="00F023E7" w:rsidP="00F277D4" w:rsidRDefault="00D37399" w14:paraId="28992897" w14:textId="77777777">
            <w:pPr>
              <w:spacing w:after="120" w:line="240" w:lineRule="auto"/>
              <w:ind w:firstLine="0"/>
              <w:rPr>
                <w:rFonts w:eastAsia="Times New Roman" w:cs="Times New Roman"/>
                <w:szCs w:val="24"/>
              </w:rPr>
            </w:pPr>
            <w:r w:rsidRPr="00FD69E7">
              <w:rPr>
                <w:rFonts w:eastAsia="Times New Roman" w:cs="Times New Roman"/>
                <w:szCs w:val="24"/>
              </w:rPr>
              <w:t>Lancaster Choice Energy,</w:t>
            </w:r>
          </w:p>
          <w:p w:rsidRPr="00FD69E7" w:rsidR="00D37399" w:rsidP="00F277D4" w:rsidRDefault="00D37399" w14:paraId="5176835D" w14:textId="2B925A26">
            <w:pPr>
              <w:spacing w:after="120" w:line="240" w:lineRule="auto"/>
              <w:ind w:firstLine="0"/>
              <w:rPr>
                <w:rFonts w:eastAsia="Times New Roman" w:cs="Times New Roman"/>
                <w:szCs w:val="24"/>
              </w:rPr>
            </w:pPr>
            <w:r w:rsidRPr="00FD69E7">
              <w:rPr>
                <w:rFonts w:eastAsia="Times New Roman" w:cs="Times New Roman"/>
                <w:szCs w:val="24"/>
              </w:rPr>
              <w:t>Orange County Power Authority,</w:t>
            </w:r>
          </w:p>
          <w:p w:rsidRPr="00FD69E7" w:rsidR="00D37399" w:rsidP="00F277D4" w:rsidRDefault="00D37399" w14:paraId="4A9A6EA3" w14:textId="77777777">
            <w:pPr>
              <w:spacing w:after="120" w:line="240" w:lineRule="auto"/>
              <w:ind w:firstLine="0"/>
              <w:rPr>
                <w:rFonts w:eastAsia="Times New Roman" w:cs="Times New Roman"/>
                <w:szCs w:val="24"/>
              </w:rPr>
            </w:pPr>
            <w:r w:rsidRPr="00FD69E7">
              <w:rPr>
                <w:rFonts w:eastAsia="Times New Roman" w:cs="Times New Roman"/>
                <w:szCs w:val="24"/>
              </w:rPr>
              <w:t>Peninsula Clean Energy,</w:t>
            </w:r>
          </w:p>
          <w:p w:rsidRPr="00FD69E7" w:rsidR="00D37399" w:rsidP="00F277D4" w:rsidRDefault="00D37399" w14:paraId="2193339D" w14:textId="77777777">
            <w:pPr>
              <w:spacing w:after="120" w:line="240" w:lineRule="auto"/>
              <w:ind w:firstLine="0"/>
              <w:rPr>
                <w:rFonts w:eastAsia="Times New Roman" w:cs="Times New Roman"/>
                <w:szCs w:val="24"/>
              </w:rPr>
            </w:pPr>
            <w:r w:rsidRPr="00FD69E7">
              <w:rPr>
                <w:rFonts w:eastAsia="Times New Roman" w:cs="Times New Roman"/>
                <w:szCs w:val="24"/>
              </w:rPr>
              <w:t>Pico Rivera,</w:t>
            </w:r>
          </w:p>
          <w:p w:rsidRPr="00FD69E7" w:rsidR="00F023E7" w:rsidP="00F277D4" w:rsidRDefault="00D37399" w14:paraId="04798927" w14:textId="77777777">
            <w:pPr>
              <w:spacing w:after="120" w:line="240" w:lineRule="auto"/>
              <w:ind w:firstLine="0"/>
              <w:rPr>
                <w:rFonts w:eastAsia="Times New Roman" w:cs="Times New Roman"/>
                <w:szCs w:val="24"/>
              </w:rPr>
            </w:pPr>
            <w:r w:rsidRPr="00FD69E7">
              <w:rPr>
                <w:rFonts w:eastAsia="Times New Roman" w:cs="Times New Roman"/>
                <w:szCs w:val="24"/>
              </w:rPr>
              <w:t>Pioneer Community Energy,</w:t>
            </w:r>
          </w:p>
          <w:p w:rsidRPr="00FD69E7" w:rsidR="00F023E7" w:rsidP="00F277D4" w:rsidRDefault="00D37399" w14:paraId="25D09EB8" w14:textId="77777777">
            <w:pPr>
              <w:spacing w:after="120" w:line="240" w:lineRule="auto"/>
              <w:ind w:firstLine="0"/>
              <w:rPr>
                <w:rFonts w:eastAsia="Times New Roman" w:cs="Times New Roman"/>
                <w:szCs w:val="24"/>
              </w:rPr>
            </w:pPr>
            <w:r w:rsidRPr="00FD69E7">
              <w:rPr>
                <w:rFonts w:eastAsia="Times New Roman" w:cs="Times New Roman"/>
                <w:szCs w:val="24"/>
              </w:rPr>
              <w:t>Rancho Mirage Energy Authority,</w:t>
            </w:r>
          </w:p>
          <w:p w:rsidRPr="00FD69E7" w:rsidR="00235330" w:rsidP="00F277D4" w:rsidRDefault="00B471F2" w14:paraId="5634ECA7" w14:textId="77777777">
            <w:pPr>
              <w:spacing w:after="120" w:line="240" w:lineRule="auto"/>
              <w:ind w:firstLine="0"/>
              <w:rPr>
                <w:rFonts w:eastAsia="Times New Roman" w:cs="Times New Roman"/>
                <w:szCs w:val="24"/>
              </w:rPr>
            </w:pPr>
            <w:r w:rsidRPr="00FD69E7">
              <w:rPr>
                <w:rFonts w:eastAsia="Times New Roman" w:cs="Times New Roman"/>
                <w:szCs w:val="24"/>
              </w:rPr>
              <w:t>San </w:t>
            </w:r>
            <w:r w:rsidRPr="00FD69E7" w:rsidR="00D37399">
              <w:rPr>
                <w:rFonts w:eastAsia="Times New Roman" w:cs="Times New Roman"/>
                <w:szCs w:val="24"/>
              </w:rPr>
              <w:t>Jacinto Power</w:t>
            </w:r>
            <w:r w:rsidRPr="00FD69E7" w:rsidR="00491D23">
              <w:rPr>
                <w:rFonts w:eastAsia="Times New Roman" w:cs="Times New Roman"/>
                <w:szCs w:val="24"/>
              </w:rPr>
              <w:t>,</w:t>
            </w:r>
          </w:p>
          <w:p w:rsidRPr="00FD69E7" w:rsidR="00235330" w:rsidP="00F277D4" w:rsidRDefault="00565D53" w14:paraId="430EA690" w14:textId="6B7B1C26">
            <w:pPr>
              <w:spacing w:after="120" w:line="240" w:lineRule="auto"/>
              <w:ind w:firstLine="0"/>
              <w:rPr>
                <w:rFonts w:eastAsia="Times New Roman" w:cs="Times New Roman"/>
                <w:szCs w:val="24"/>
              </w:rPr>
            </w:pPr>
            <w:r>
              <w:rPr>
                <w:rFonts w:eastAsia="Times New Roman" w:cs="Times New Roman"/>
                <w:szCs w:val="24"/>
              </w:rPr>
              <w:t>3 Phase</w:t>
            </w:r>
            <w:r w:rsidRPr="00FD69E7" w:rsidR="00491D23">
              <w:rPr>
                <w:rFonts w:eastAsia="Times New Roman" w:cs="Times New Roman"/>
                <w:szCs w:val="24"/>
              </w:rPr>
              <w:t>s Renewables,</w:t>
            </w:r>
          </w:p>
          <w:p w:rsidRPr="00FD69E7" w:rsidR="00D37399" w:rsidP="00F277D4" w:rsidRDefault="00491D23" w14:paraId="60BAE353" w14:textId="6F6CFC0E">
            <w:pPr>
              <w:spacing w:after="120" w:line="240" w:lineRule="auto"/>
              <w:ind w:firstLine="0"/>
              <w:rPr>
                <w:rFonts w:eastAsia="Times New Roman" w:cs="Times New Roman"/>
                <w:b/>
                <w:bCs/>
                <w:szCs w:val="24"/>
              </w:rPr>
            </w:pPr>
            <w:r w:rsidRPr="00FD69E7">
              <w:rPr>
                <w:rFonts w:eastAsia="Times New Roman" w:cs="Times New Roman"/>
                <w:szCs w:val="24"/>
              </w:rPr>
              <w:t>BP Energy</w:t>
            </w:r>
          </w:p>
        </w:tc>
        <w:tc>
          <w:tcPr>
            <w:tcW w:w="5125" w:type="dxa"/>
          </w:tcPr>
          <w:p w:rsidRPr="00FD69E7" w:rsidR="00D37399" w:rsidP="00F277D4" w:rsidRDefault="00D37399" w14:paraId="7CAFC8C8" w14:textId="009DE011">
            <w:pPr>
              <w:spacing w:after="120" w:line="240" w:lineRule="auto"/>
              <w:ind w:firstLine="0"/>
              <w:rPr>
                <w:rFonts w:eastAsia="Calibri" w:cs="Times New Roman"/>
                <w:szCs w:val="24"/>
              </w:rPr>
            </w:pPr>
            <w:r w:rsidRPr="00FD69E7">
              <w:rPr>
                <w:rFonts w:eastAsia="Calibri" w:cs="Times New Roman"/>
                <w:szCs w:val="24"/>
              </w:rPr>
              <w:t xml:space="preserve">These retail sellers report that their transportation electrification forecasts are derived from the 2023 CEC IEPR </w:t>
            </w:r>
            <w:r w:rsidRPr="00FD69E7" w:rsidR="003F7530">
              <w:rPr>
                <w:rFonts w:eastAsia="Calibri" w:cs="Times New Roman"/>
                <w:szCs w:val="24"/>
              </w:rPr>
              <w:t xml:space="preserve">forecast </w:t>
            </w:r>
            <w:r w:rsidRPr="00FD69E7">
              <w:rPr>
                <w:rFonts w:eastAsia="Calibri" w:cs="Times New Roman"/>
                <w:szCs w:val="24"/>
              </w:rPr>
              <w:t xml:space="preserve">but do not explain why they did not use the more recent 2024 IEPR forecast, which was available at the end of January 2025. As per the </w:t>
            </w:r>
            <w:r w:rsidRPr="00FD69E7" w:rsidR="003F7530">
              <w:rPr>
                <w:rFonts w:eastAsia="Calibri" w:cs="Times New Roman"/>
                <w:szCs w:val="24"/>
              </w:rPr>
              <w:t xml:space="preserve">2025 </w:t>
            </w:r>
            <w:r w:rsidRPr="00FD69E7">
              <w:rPr>
                <w:rFonts w:eastAsia="Calibri" w:cs="Times New Roman"/>
                <w:szCs w:val="24"/>
              </w:rPr>
              <w:t>ACR, if a retail seller is not using the most up</w:t>
            </w:r>
            <w:r w:rsidR="00E54574">
              <w:rPr>
                <w:rFonts w:eastAsia="Calibri" w:cs="Times New Roman"/>
                <w:szCs w:val="24"/>
              </w:rPr>
              <w:noBreakHyphen/>
            </w:r>
            <w:r w:rsidRPr="00FD69E7">
              <w:rPr>
                <w:rFonts w:eastAsia="Calibri" w:cs="Times New Roman"/>
                <w:szCs w:val="24"/>
              </w:rPr>
              <w:t>to</w:t>
            </w:r>
            <w:r w:rsidR="00E54574">
              <w:rPr>
                <w:rFonts w:eastAsia="Calibri" w:cs="Times New Roman"/>
                <w:szCs w:val="24"/>
              </w:rPr>
              <w:noBreakHyphen/>
            </w:r>
            <w:r w:rsidRPr="00FD69E7">
              <w:rPr>
                <w:rFonts w:eastAsia="Calibri" w:cs="Times New Roman"/>
                <w:szCs w:val="24"/>
              </w:rPr>
              <w:t>date IEPR forecast, it must provide</w:t>
            </w:r>
            <w:r w:rsidRPr="00FD69E7" w:rsidR="003F7530">
              <w:rPr>
                <w:rFonts w:eastAsia="Calibri" w:cs="Times New Roman"/>
                <w:szCs w:val="24"/>
              </w:rPr>
              <w:t xml:space="preserve"> </w:t>
            </w:r>
            <w:r w:rsidRPr="00FD69E7">
              <w:rPr>
                <w:rFonts w:eastAsia="Calibri" w:cs="Times New Roman"/>
                <w:szCs w:val="24"/>
              </w:rPr>
              <w:t xml:space="preserve">reasoning for its choice </w:t>
            </w:r>
            <w:r w:rsidRPr="00FD69E7" w:rsidR="00CD70BD">
              <w:rPr>
                <w:rFonts w:eastAsia="Calibri" w:cs="Times New Roman"/>
                <w:szCs w:val="24"/>
              </w:rPr>
              <w:t>of the</w:t>
            </w:r>
            <w:r w:rsidRPr="00FD69E7" w:rsidR="003F7530">
              <w:rPr>
                <w:rFonts w:eastAsia="Calibri" w:cs="Times New Roman"/>
                <w:szCs w:val="24"/>
              </w:rPr>
              <w:t xml:space="preserve"> IEPR forecast </w:t>
            </w:r>
            <w:r w:rsidRPr="00FD69E7">
              <w:rPr>
                <w:rFonts w:eastAsia="Calibri" w:cs="Times New Roman"/>
                <w:szCs w:val="24"/>
              </w:rPr>
              <w:t>vintage year.</w:t>
            </w:r>
          </w:p>
        </w:tc>
      </w:tr>
    </w:tbl>
    <w:p w:rsidRPr="00D37399" w:rsidR="00D37399" w:rsidP="00F277D4" w:rsidRDefault="00D37399" w14:paraId="73F4FEE7" w14:textId="77777777">
      <w:pPr>
        <w:pStyle w:val="StandardTableSub"/>
      </w:pPr>
    </w:p>
    <w:p w:rsidR="00151881" w:rsidP="00F277D4" w:rsidRDefault="006B12CD" w14:paraId="1E8093B8" w14:textId="5A3B4D76">
      <w:pPr>
        <w:pStyle w:val="Heading3"/>
      </w:pPr>
      <w:bookmarkStart w:name="_Toc212716172" w:id="117"/>
      <w:bookmarkStart w:name="_Toc214004376" w:id="118"/>
      <w:r>
        <w:t>Portfolio Optimization</w:t>
      </w:r>
      <w:bookmarkEnd w:id="117"/>
      <w:bookmarkEnd w:id="118"/>
    </w:p>
    <w:p w:rsidR="00F056B3" w:rsidP="00F277D4" w:rsidRDefault="00F056B3" w14:paraId="44CF9238" w14:textId="12F661F6">
      <w:pPr>
        <w:pStyle w:val="Standard"/>
      </w:pPr>
      <w:r>
        <w:t>Per the 2025 ACR, a</w:t>
      </w:r>
      <w:r w:rsidRPr="00F056B3">
        <w:t>ll retail sellers should describe how they are planning to optimize portfolios</w:t>
      </w:r>
      <w:r>
        <w:t xml:space="preserve"> in the Portfolio Optimization section</w:t>
      </w:r>
      <w:r w:rsidR="006D4BD0">
        <w:t xml:space="preserve"> of their Draft </w:t>
      </w:r>
      <w:r w:rsidR="00950E04">
        <w:t>2025 RPS</w:t>
      </w:r>
      <w:r w:rsidR="006D4BD0">
        <w:t xml:space="preserve"> Plans</w:t>
      </w:r>
      <w:r w:rsidRPr="00F056B3">
        <w:t>. Portfolio optimization descriptions should include policies, goals, strategies, solicitations, any Request</w:t>
      </w:r>
      <w:r w:rsidR="00F17C9E">
        <w:t>s</w:t>
      </w:r>
      <w:r w:rsidRPr="00F056B3">
        <w:t xml:space="preserve"> for Information, and coordination efforts across Commission program requirements and retail sellers</w:t>
      </w:r>
      <w:r>
        <w:t>.</w:t>
      </w:r>
    </w:p>
    <w:p w:rsidRPr="003621CA" w:rsidR="007D1EC2" w:rsidP="00F277D4" w:rsidRDefault="00F920D3" w14:paraId="161DA001" w14:textId="06FAB5A1">
      <w:pPr>
        <w:pStyle w:val="TableTitleBody"/>
        <w:rPr>
          <w:b w:val="0"/>
          <w:bCs w:val="0"/>
        </w:rPr>
      </w:pPr>
      <w:r>
        <w:lastRenderedPageBreak/>
        <w:t>Table </w:t>
      </w:r>
      <w:r w:rsidR="007D1EC2">
        <w:t>4</w:t>
      </w:r>
      <w:r w:rsidR="00CD5830">
        <w:rPr>
          <w:b w:val="0"/>
          <w:bCs w:val="0"/>
        </w:rPr>
        <w:t xml:space="preserve">:  </w:t>
      </w:r>
      <w:r w:rsidR="007D1EC2">
        <w:t>Portfolio Optimization</w:t>
      </w:r>
    </w:p>
    <w:tbl>
      <w:tblPr>
        <w:tblStyle w:val="TableGrid2"/>
        <w:tblW w:w="9360" w:type="dxa"/>
        <w:tblLayout w:type="fixed"/>
        <w:tblCellMar>
          <w:top w:w="58" w:type="dxa"/>
          <w:bottom w:w="58" w:type="dxa"/>
        </w:tblCellMar>
        <w:tblLook w:val="06A0" w:firstRow="1" w:lastRow="0" w:firstColumn="1" w:lastColumn="0" w:noHBand="1" w:noVBand="1"/>
      </w:tblPr>
      <w:tblGrid>
        <w:gridCol w:w="1707"/>
        <w:gridCol w:w="7653"/>
      </w:tblGrid>
      <w:tr w:rsidRPr="00FD69E7" w:rsidR="0036049F" w:rsidTr="00883459" w14:paraId="66944653" w14:textId="77777777">
        <w:trPr>
          <w:tblHeader/>
        </w:trPr>
        <w:tc>
          <w:tcPr>
            <w:tcW w:w="1705" w:type="dxa"/>
            <w:shd w:val="clear" w:color="auto" w:fill="BFBFBF" w:themeFill="background1" w:themeFillShade="BF"/>
            <w:vAlign w:val="bottom"/>
          </w:tcPr>
          <w:p w:rsidRPr="00FD69E7" w:rsidR="0036049F" w:rsidP="00F277D4" w:rsidRDefault="0036049F" w14:paraId="201623F2" w14:textId="61C81A45">
            <w:pPr>
              <w:keepNext/>
              <w:spacing w:line="240" w:lineRule="auto"/>
              <w:ind w:firstLine="0"/>
              <w:jc w:val="center"/>
              <w:rPr>
                <w:rFonts w:eastAsia="Times New Roman" w:cs="Times New Roman"/>
                <w:b/>
                <w:bCs/>
                <w:szCs w:val="24"/>
              </w:rPr>
            </w:pPr>
            <w:r w:rsidRPr="00FD69E7">
              <w:rPr>
                <w:b/>
                <w:color w:val="000000" w:themeColor="text1"/>
                <w:szCs w:val="24"/>
              </w:rPr>
              <w:t>Retail Seller</w:t>
            </w:r>
          </w:p>
        </w:tc>
        <w:tc>
          <w:tcPr>
            <w:tcW w:w="7645" w:type="dxa"/>
            <w:shd w:val="clear" w:color="auto" w:fill="BFBFBF" w:themeFill="background1" w:themeFillShade="BF"/>
            <w:vAlign w:val="bottom"/>
          </w:tcPr>
          <w:p w:rsidRPr="00FD69E7" w:rsidR="0036049F" w:rsidP="00F277D4" w:rsidRDefault="0036049F" w14:paraId="0C6DAD0B"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36049F" w:rsidTr="00883459" w14:paraId="4E3AC5B2" w14:textId="77777777">
        <w:tc>
          <w:tcPr>
            <w:tcW w:w="1705" w:type="dxa"/>
          </w:tcPr>
          <w:p w:rsidRPr="00883459" w:rsidR="0036049F" w:rsidP="00F277D4" w:rsidRDefault="00DA6578" w14:paraId="615ADB5B" w14:textId="5F7FD7B4">
            <w:pPr>
              <w:spacing w:line="240" w:lineRule="auto"/>
              <w:ind w:firstLine="0"/>
              <w:rPr>
                <w:rFonts w:eastAsia="Times New Roman" w:cs="Times New Roman"/>
                <w:szCs w:val="24"/>
              </w:rPr>
            </w:pPr>
            <w:r>
              <w:rPr>
                <w:rFonts w:eastAsia="Times New Roman" w:cs="Times New Roman"/>
                <w:szCs w:val="24"/>
              </w:rPr>
              <w:t>Shell E</w:t>
            </w:r>
            <w:r w:rsidRPr="00883459" w:rsidR="0036049F">
              <w:rPr>
                <w:rFonts w:eastAsia="Times New Roman" w:cs="Times New Roman"/>
                <w:szCs w:val="24"/>
              </w:rPr>
              <w:t>nergy</w:t>
            </w:r>
          </w:p>
        </w:tc>
        <w:tc>
          <w:tcPr>
            <w:tcW w:w="7645" w:type="dxa"/>
          </w:tcPr>
          <w:p w:rsidRPr="00FD69E7" w:rsidR="0036049F" w:rsidP="00F277D4" w:rsidRDefault="001526DA" w14:paraId="759E1FE7" w14:textId="37016ED7">
            <w:pPr>
              <w:spacing w:after="120" w:line="240" w:lineRule="auto"/>
              <w:ind w:firstLine="0"/>
              <w:rPr>
                <w:rFonts w:eastAsia="Times New Roman" w:cs="Times New Roman"/>
                <w:szCs w:val="24"/>
              </w:rPr>
            </w:pPr>
            <w:r w:rsidRPr="00FD69E7">
              <w:rPr>
                <w:rFonts w:eastAsia="Times New Roman" w:cs="Times New Roman"/>
                <w:szCs w:val="24"/>
              </w:rPr>
              <w:t xml:space="preserve">The </w:t>
            </w:r>
            <w:r w:rsidRPr="00FD69E7" w:rsidR="0036049F">
              <w:rPr>
                <w:rFonts w:eastAsia="Times New Roman" w:cs="Times New Roman"/>
                <w:szCs w:val="24"/>
              </w:rPr>
              <w:t xml:space="preserve">Portfolio Optimization section of </w:t>
            </w:r>
            <w:r w:rsidR="00DA6578">
              <w:rPr>
                <w:rFonts w:eastAsia="Times New Roman" w:cs="Times New Roman"/>
                <w:szCs w:val="24"/>
              </w:rPr>
              <w:t>Shell E</w:t>
            </w:r>
            <w:r w:rsidRPr="00FD69E7" w:rsidR="0036049F">
              <w:rPr>
                <w:rFonts w:eastAsia="Times New Roman" w:cs="Times New Roman"/>
                <w:szCs w:val="24"/>
              </w:rPr>
              <w:t>nergy</w:t>
            </w:r>
            <w:r w:rsidR="005A00BE">
              <w:rPr>
                <w:rFonts w:eastAsia="Times New Roman" w:cs="Times New Roman"/>
                <w:szCs w:val="24"/>
              </w:rPr>
              <w:t>’</w:t>
            </w:r>
            <w:r w:rsidRPr="00FD69E7" w:rsidR="0036049F">
              <w:rPr>
                <w:rFonts w:eastAsia="Times New Roman" w:cs="Times New Roman"/>
                <w:szCs w:val="24"/>
              </w:rPr>
              <w:t xml:space="preserve">s Draft </w:t>
            </w:r>
            <w:r w:rsidR="00950E04">
              <w:rPr>
                <w:rFonts w:eastAsia="Times New Roman" w:cs="Times New Roman"/>
                <w:szCs w:val="24"/>
              </w:rPr>
              <w:t>2025 RPS</w:t>
            </w:r>
            <w:r w:rsidRPr="00FD69E7" w:rsidR="0036049F">
              <w:rPr>
                <w:rFonts w:eastAsia="Times New Roman" w:cs="Times New Roman"/>
                <w:szCs w:val="24"/>
              </w:rPr>
              <w:t xml:space="preserve"> Plan is missing. </w:t>
            </w:r>
            <w:r w:rsidR="00DA6578">
              <w:rPr>
                <w:rFonts w:eastAsia="Times New Roman" w:cs="Times New Roman"/>
                <w:szCs w:val="24"/>
              </w:rPr>
              <w:t>Shell E</w:t>
            </w:r>
            <w:r w:rsidRPr="00FD69E7" w:rsidR="0036049F">
              <w:rPr>
                <w:rFonts w:eastAsia="Times New Roman" w:cs="Times New Roman"/>
                <w:szCs w:val="24"/>
              </w:rPr>
              <w:t>nergy must provide this section and describe its plans to optimize its RPS portfolio.</w:t>
            </w:r>
          </w:p>
        </w:tc>
      </w:tr>
    </w:tbl>
    <w:p w:rsidR="007D1EC2" w:rsidP="00F277D4" w:rsidRDefault="007D1EC2" w14:paraId="41553F08" w14:textId="77777777">
      <w:pPr>
        <w:pStyle w:val="StandardTableSub"/>
      </w:pPr>
    </w:p>
    <w:p w:rsidR="00AC0C78" w:rsidP="00F277D4" w:rsidRDefault="00AC0C78" w14:paraId="726C5AD5" w14:textId="62CCE9A0">
      <w:pPr>
        <w:pStyle w:val="Heading3"/>
      </w:pPr>
      <w:bookmarkStart w:name="_Toc212716173" w:id="119"/>
      <w:bookmarkStart w:name="_Toc214004377" w:id="120"/>
      <w:r>
        <w:t>Project Development Status Update</w:t>
      </w:r>
      <w:bookmarkEnd w:id="119"/>
      <w:bookmarkEnd w:id="120"/>
    </w:p>
    <w:p w:rsidR="00F023E7" w:rsidP="00F277D4" w:rsidRDefault="00F81267" w14:paraId="0DD231F6" w14:textId="7AD34770">
      <w:pPr>
        <w:pStyle w:val="Standard"/>
      </w:pPr>
      <w:r>
        <w:t>Pub. Util.</w:t>
      </w:r>
      <w:r w:rsidR="00AC0C78">
        <w:t xml:space="preserve"> Code </w:t>
      </w:r>
      <w:r w:rsidR="009850E3">
        <w:t>Section </w:t>
      </w:r>
      <w:r w:rsidR="00AC0C78">
        <w:t>399.13 requires retail sellers to include a status update of their project development schedule for all eligible renewable energy resources currently under contract in their RPS Plans. This information is important because it allows the Commission to monitor each retail seller</w:t>
      </w:r>
      <w:r w:rsidR="005A00BE">
        <w:t>’</w:t>
      </w:r>
      <w:r w:rsidR="00AC0C78">
        <w:t xml:space="preserve">s ability to meet RPS compliance obligations and report RPS capacity additions and new RPS contracts to the Legislature. In their Draft </w:t>
      </w:r>
      <w:r w:rsidR="00950E04">
        <w:t>2025 RPS</w:t>
      </w:r>
      <w:r w:rsidR="00AC0C78">
        <w:t xml:space="preserve"> Plans, most CCAs and ESPs include their respective PDSU spreadsheet, however some retail sellers have missing or inconsistent information.</w:t>
      </w:r>
    </w:p>
    <w:p w:rsidR="00AC0C78" w:rsidP="00F277D4" w:rsidRDefault="00DA6578" w14:paraId="20375653" w14:textId="6EE98DBB">
      <w:pPr>
        <w:pStyle w:val="Standard"/>
      </w:pPr>
      <w:r>
        <w:t>Shell E</w:t>
      </w:r>
      <w:r w:rsidR="00B91C22">
        <w:t>nergy</w:t>
      </w:r>
      <w:r w:rsidR="0056287E">
        <w:t xml:space="preserve"> and Marin Clean Energy</w:t>
      </w:r>
      <w:r w:rsidR="00AC0C78">
        <w:t xml:space="preserve"> must resolve inconsistencies related to </w:t>
      </w:r>
      <w:r w:rsidR="009850E3">
        <w:t>Section </w:t>
      </w:r>
      <w:r w:rsidR="00AC0C78">
        <w:t>V</w:t>
      </w:r>
      <w:r w:rsidR="006319D7">
        <w:t xml:space="preserve"> (</w:t>
      </w:r>
      <w:r w:rsidR="00AC0C78">
        <w:t>Project Development Status Update</w:t>
      </w:r>
      <w:r w:rsidR="006319D7">
        <w:t>)</w:t>
      </w:r>
      <w:r w:rsidR="00AC0C78">
        <w:t xml:space="preserve"> in their Final </w:t>
      </w:r>
      <w:r w:rsidR="00950E04">
        <w:t>2025 RPS</w:t>
      </w:r>
      <w:r w:rsidR="00AC0C78">
        <w:t xml:space="preserve"> Plans, as detailed in </w:t>
      </w:r>
      <w:r w:rsidR="00F920D3">
        <w:t>Table </w:t>
      </w:r>
      <w:r w:rsidR="00442FAC">
        <w:t>5</w:t>
      </w:r>
      <w:r w:rsidR="00AC0C78">
        <w:t xml:space="preserve"> below.</w:t>
      </w:r>
    </w:p>
    <w:p w:rsidRPr="00C55273" w:rsidR="00AC0C78" w:rsidP="00F277D4" w:rsidRDefault="00F920D3" w14:paraId="4B385253" w14:textId="413B56BF">
      <w:pPr>
        <w:pStyle w:val="TableTitleBody"/>
        <w:rPr>
          <w:b w:val="0"/>
          <w:bCs w:val="0"/>
          <w:szCs w:val="26"/>
        </w:rPr>
      </w:pPr>
      <w:r>
        <w:rPr>
          <w:szCs w:val="26"/>
        </w:rPr>
        <w:t>Table </w:t>
      </w:r>
      <w:r w:rsidR="007D1EC2">
        <w:rPr>
          <w:szCs w:val="26"/>
        </w:rPr>
        <w:t>5</w:t>
      </w:r>
      <w:r w:rsidR="00CD5830">
        <w:rPr>
          <w:b w:val="0"/>
          <w:bCs w:val="0"/>
          <w:szCs w:val="26"/>
        </w:rPr>
        <w:t xml:space="preserve">:  </w:t>
      </w:r>
      <w:r w:rsidRPr="00C55273" w:rsidR="00AC0C78">
        <w:rPr>
          <w:szCs w:val="26"/>
        </w:rPr>
        <w:t>Project Development Status Update</w:t>
      </w:r>
    </w:p>
    <w:tbl>
      <w:tblPr>
        <w:tblStyle w:val="TableGrid2"/>
        <w:tblW w:w="9360" w:type="dxa"/>
        <w:tblLayout w:type="fixed"/>
        <w:tblCellMar>
          <w:top w:w="58" w:type="dxa"/>
          <w:bottom w:w="58" w:type="dxa"/>
        </w:tblCellMar>
        <w:tblLook w:val="06A0" w:firstRow="1" w:lastRow="0" w:firstColumn="1" w:lastColumn="0" w:noHBand="1" w:noVBand="1"/>
      </w:tblPr>
      <w:tblGrid>
        <w:gridCol w:w="2605"/>
        <w:gridCol w:w="6755"/>
      </w:tblGrid>
      <w:tr w:rsidRPr="00FD69E7" w:rsidR="00AC0C78" w:rsidTr="00F45955" w14:paraId="5DC6D34C" w14:textId="77777777">
        <w:trPr>
          <w:tblHeader/>
        </w:trPr>
        <w:tc>
          <w:tcPr>
            <w:tcW w:w="2605" w:type="dxa"/>
            <w:shd w:val="clear" w:color="auto" w:fill="BFBFBF" w:themeFill="background1" w:themeFillShade="BF"/>
            <w:vAlign w:val="bottom"/>
          </w:tcPr>
          <w:p w:rsidRPr="00FD69E7" w:rsidR="00AC0C78" w:rsidP="00F277D4" w:rsidRDefault="00AC0C78" w14:paraId="4ABB0A66" w14:textId="6046B759">
            <w:pPr>
              <w:keepNext/>
              <w:spacing w:line="240" w:lineRule="auto"/>
              <w:ind w:firstLine="0"/>
              <w:jc w:val="center"/>
              <w:rPr>
                <w:rFonts w:eastAsia="Times New Roman" w:cs="Times New Roman"/>
                <w:b/>
                <w:bCs/>
                <w:szCs w:val="24"/>
              </w:rPr>
            </w:pPr>
            <w:r w:rsidRPr="00FD69E7">
              <w:rPr>
                <w:b/>
                <w:color w:val="000000" w:themeColor="text1"/>
                <w:szCs w:val="24"/>
              </w:rPr>
              <w:t>Retail Seller</w:t>
            </w:r>
          </w:p>
        </w:tc>
        <w:tc>
          <w:tcPr>
            <w:tcW w:w="6755" w:type="dxa"/>
            <w:shd w:val="clear" w:color="auto" w:fill="BFBFBF" w:themeFill="background1" w:themeFillShade="BF"/>
            <w:vAlign w:val="bottom"/>
          </w:tcPr>
          <w:p w:rsidRPr="00FD69E7" w:rsidR="00AC0C78" w:rsidP="00F277D4" w:rsidRDefault="00AC0C78" w14:paraId="048AD981"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C540AA" w:rsidTr="00F45955" w14:paraId="68EB14E3" w14:textId="77777777">
        <w:tc>
          <w:tcPr>
            <w:tcW w:w="2605" w:type="dxa"/>
          </w:tcPr>
          <w:p w:rsidRPr="00F45955" w:rsidR="00C540AA" w:rsidP="00F277D4" w:rsidRDefault="00C540AA" w14:paraId="75D63ECD" w14:textId="1878616E">
            <w:pPr>
              <w:spacing w:line="240" w:lineRule="auto"/>
              <w:ind w:firstLine="0"/>
              <w:rPr>
                <w:rFonts w:eastAsia="Times New Roman" w:cs="Times New Roman"/>
                <w:szCs w:val="24"/>
              </w:rPr>
            </w:pPr>
            <w:r w:rsidRPr="00F45955">
              <w:rPr>
                <w:rFonts w:eastAsia="Times New Roman" w:cs="Times New Roman"/>
                <w:szCs w:val="24"/>
              </w:rPr>
              <w:t>Marin Clean Energy</w:t>
            </w:r>
          </w:p>
        </w:tc>
        <w:tc>
          <w:tcPr>
            <w:tcW w:w="6755" w:type="dxa"/>
          </w:tcPr>
          <w:p w:rsidRPr="00FD69E7" w:rsidR="00C540AA" w:rsidP="00F277D4" w:rsidRDefault="00C540AA" w14:paraId="3734353C" w14:textId="2C86F809">
            <w:pPr>
              <w:spacing w:after="120" w:line="240" w:lineRule="auto"/>
              <w:ind w:firstLine="0"/>
              <w:rPr>
                <w:rFonts w:eastAsia="Times New Roman" w:cs="Times New Roman"/>
                <w:szCs w:val="24"/>
              </w:rPr>
            </w:pPr>
            <w:r w:rsidRPr="00FD69E7">
              <w:rPr>
                <w:rFonts w:eastAsia="Times New Roman" w:cs="Times New Roman"/>
                <w:szCs w:val="24"/>
              </w:rPr>
              <w:t xml:space="preserve">For multiple projects, the </w:t>
            </w:r>
            <w:r w:rsidR="00026D83">
              <w:rPr>
                <w:rFonts w:eastAsia="Times New Roman" w:cs="Times New Roman"/>
                <w:szCs w:val="24"/>
              </w:rPr>
              <w:t>COD</w:t>
            </w:r>
            <w:r w:rsidRPr="00FD69E7">
              <w:rPr>
                <w:rFonts w:eastAsia="Times New Roman" w:cs="Times New Roman"/>
                <w:szCs w:val="24"/>
              </w:rPr>
              <w:t>s, county locations, length of contracts, and network upgrade/transmission status do not match between Marin Clean Energy</w:t>
            </w:r>
            <w:r w:rsidR="005A00BE">
              <w:rPr>
                <w:rFonts w:eastAsia="Times New Roman" w:cs="Times New Roman"/>
                <w:szCs w:val="24"/>
              </w:rPr>
              <w:t>’</w:t>
            </w:r>
            <w:r w:rsidRPr="00FD69E7">
              <w:rPr>
                <w:rFonts w:eastAsia="Times New Roman" w:cs="Times New Roman"/>
                <w:szCs w:val="24"/>
              </w:rPr>
              <w:t xml:space="preserve">s PDSU template and </w:t>
            </w:r>
            <w:r w:rsidR="00F920D3">
              <w:rPr>
                <w:rFonts w:eastAsia="Times New Roman" w:cs="Times New Roman"/>
                <w:szCs w:val="24"/>
              </w:rPr>
              <w:t>Table </w:t>
            </w:r>
            <w:r w:rsidRPr="00FD69E7">
              <w:rPr>
                <w:rFonts w:eastAsia="Times New Roman" w:cs="Times New Roman"/>
                <w:szCs w:val="24"/>
              </w:rPr>
              <w:t>7 of its RPS Plans narrative. Marin Clean Energy must clarify these online dates and other project development information.</w:t>
            </w:r>
          </w:p>
        </w:tc>
      </w:tr>
      <w:tr w:rsidRPr="00FD69E7" w:rsidR="00AC0C78" w:rsidTr="00F45955" w14:paraId="50BE8B21" w14:textId="77777777">
        <w:tc>
          <w:tcPr>
            <w:tcW w:w="2605" w:type="dxa"/>
          </w:tcPr>
          <w:p w:rsidRPr="00F45955" w:rsidR="00AC0C78" w:rsidP="00F277D4" w:rsidRDefault="00DA6578" w14:paraId="2FA4F59C" w14:textId="5853DFB5">
            <w:pPr>
              <w:spacing w:line="240" w:lineRule="auto"/>
              <w:ind w:firstLine="0"/>
              <w:rPr>
                <w:rFonts w:eastAsia="Times New Roman" w:cs="Times New Roman"/>
                <w:szCs w:val="24"/>
              </w:rPr>
            </w:pPr>
            <w:r>
              <w:rPr>
                <w:rFonts w:eastAsia="Times New Roman" w:cs="Times New Roman"/>
                <w:szCs w:val="24"/>
              </w:rPr>
              <w:t>Shell E</w:t>
            </w:r>
            <w:r w:rsidRPr="00F45955" w:rsidR="00AC0C78">
              <w:rPr>
                <w:rFonts w:eastAsia="Times New Roman" w:cs="Times New Roman"/>
                <w:szCs w:val="24"/>
              </w:rPr>
              <w:t>nergy</w:t>
            </w:r>
          </w:p>
        </w:tc>
        <w:tc>
          <w:tcPr>
            <w:tcW w:w="6755" w:type="dxa"/>
          </w:tcPr>
          <w:p w:rsidRPr="00FD69E7" w:rsidR="00AC0C78" w:rsidP="00F277D4" w:rsidRDefault="00AC0C78" w14:paraId="666F23D5" w14:textId="7DF29C36">
            <w:pPr>
              <w:spacing w:after="120" w:line="240" w:lineRule="auto"/>
              <w:ind w:firstLine="0"/>
              <w:rPr>
                <w:rFonts w:eastAsia="Times New Roman" w:cs="Times New Roman"/>
                <w:szCs w:val="24"/>
              </w:rPr>
            </w:pPr>
            <w:r w:rsidRPr="00FD69E7">
              <w:rPr>
                <w:rFonts w:eastAsia="Times New Roman" w:cs="Times New Roman"/>
                <w:szCs w:val="24"/>
              </w:rPr>
              <w:t xml:space="preserve">The projected online dates for </w:t>
            </w:r>
            <w:r w:rsidR="00DA6578">
              <w:rPr>
                <w:rFonts w:eastAsia="Times New Roman" w:cs="Times New Roman"/>
                <w:szCs w:val="24"/>
              </w:rPr>
              <w:t>Shell E</w:t>
            </w:r>
            <w:r w:rsidRPr="00FD69E7">
              <w:rPr>
                <w:rFonts w:eastAsia="Times New Roman" w:cs="Times New Roman"/>
                <w:szCs w:val="24"/>
              </w:rPr>
              <w:t>nergy</w:t>
            </w:r>
            <w:r w:rsidR="005A00BE">
              <w:rPr>
                <w:rFonts w:eastAsia="Times New Roman" w:cs="Times New Roman"/>
                <w:szCs w:val="24"/>
              </w:rPr>
              <w:t>’</w:t>
            </w:r>
            <w:r w:rsidRPr="00FD69E7">
              <w:rPr>
                <w:rFonts w:eastAsia="Times New Roman" w:cs="Times New Roman"/>
                <w:szCs w:val="24"/>
              </w:rPr>
              <w:t xml:space="preserve">s CapeStation and SunZia contracts do not match between its RPS Plan narrative and its PDSU template. On </w:t>
            </w:r>
            <w:r w:rsidR="00FD21B9">
              <w:rPr>
                <w:rFonts w:eastAsia="Times New Roman" w:cs="Times New Roman"/>
                <w:szCs w:val="24"/>
              </w:rPr>
              <w:t>page </w:t>
            </w:r>
            <w:r w:rsidRPr="00FD69E7">
              <w:rPr>
                <w:rFonts w:eastAsia="Times New Roman" w:cs="Times New Roman"/>
                <w:szCs w:val="24"/>
              </w:rPr>
              <w:t xml:space="preserve">29 </w:t>
            </w:r>
            <w:r w:rsidRPr="00FD69E7" w:rsidR="008C22E4">
              <w:rPr>
                <w:rFonts w:eastAsia="Times New Roman" w:cs="Times New Roman"/>
                <w:szCs w:val="24"/>
              </w:rPr>
              <w:t xml:space="preserve">of its Draft </w:t>
            </w:r>
            <w:r w:rsidR="00950E04">
              <w:rPr>
                <w:rFonts w:eastAsia="Times New Roman" w:cs="Times New Roman"/>
                <w:szCs w:val="24"/>
              </w:rPr>
              <w:t>2025 RPS</w:t>
            </w:r>
            <w:r w:rsidRPr="00FD69E7" w:rsidR="008C22E4">
              <w:rPr>
                <w:rFonts w:eastAsia="Times New Roman" w:cs="Times New Roman"/>
                <w:szCs w:val="24"/>
              </w:rPr>
              <w:t xml:space="preserve"> Plan, </w:t>
            </w:r>
            <w:r w:rsidR="00DA6578">
              <w:rPr>
                <w:rFonts w:eastAsia="Times New Roman" w:cs="Times New Roman"/>
                <w:szCs w:val="24"/>
              </w:rPr>
              <w:t>Shell E</w:t>
            </w:r>
            <w:r w:rsidRPr="00FD69E7" w:rsidR="008C22E4">
              <w:rPr>
                <w:rFonts w:eastAsia="Times New Roman" w:cs="Times New Roman"/>
                <w:szCs w:val="24"/>
              </w:rPr>
              <w:t>nergy</w:t>
            </w:r>
            <w:r w:rsidRPr="00FD69E7">
              <w:rPr>
                <w:rFonts w:eastAsia="Times New Roman" w:cs="Times New Roman"/>
                <w:szCs w:val="24"/>
              </w:rPr>
              <w:t xml:space="preserve"> states </w:t>
            </w:r>
            <w:r w:rsidRPr="00FD69E7">
              <w:rPr>
                <w:rFonts w:eastAsia="Times New Roman" w:cs="Times New Roman"/>
                <w:szCs w:val="24"/>
              </w:rPr>
              <w:lastRenderedPageBreak/>
              <w:t xml:space="preserve">that </w:t>
            </w:r>
            <w:r w:rsidR="005A00BE">
              <w:rPr>
                <w:rFonts w:eastAsia="Times New Roman" w:cs="Times New Roman"/>
                <w:szCs w:val="24"/>
              </w:rPr>
              <w:t>“</w:t>
            </w:r>
            <w:r w:rsidRPr="00FD69E7">
              <w:rPr>
                <w:rFonts w:eastAsia="Times New Roman" w:cs="Times New Roman"/>
                <w:szCs w:val="24"/>
              </w:rPr>
              <w:t xml:space="preserve">CapeStation has an anticipated online date of </w:t>
            </w:r>
            <w:r w:rsidRPr="00FD69E7" w:rsidR="00CD5830">
              <w:rPr>
                <w:rFonts w:eastAsia="Times New Roman" w:cs="Times New Roman"/>
                <w:szCs w:val="24"/>
              </w:rPr>
              <w:t>January </w:t>
            </w:r>
            <w:r w:rsidRPr="00FD69E7">
              <w:rPr>
                <w:rFonts w:eastAsia="Times New Roman" w:cs="Times New Roman"/>
                <w:szCs w:val="24"/>
              </w:rPr>
              <w:t xml:space="preserve">1, 2026, and SunZia has an anticipated online date of </w:t>
            </w:r>
            <w:r w:rsidRPr="00FD69E7" w:rsidR="00CD5830">
              <w:rPr>
                <w:rFonts w:eastAsia="Times New Roman" w:cs="Times New Roman"/>
                <w:szCs w:val="24"/>
              </w:rPr>
              <w:t>October </w:t>
            </w:r>
            <w:r w:rsidRPr="00FD69E7">
              <w:rPr>
                <w:rFonts w:eastAsia="Times New Roman" w:cs="Times New Roman"/>
                <w:szCs w:val="24"/>
              </w:rPr>
              <w:t>1, 2026.</w:t>
            </w:r>
            <w:r w:rsidR="005A00BE">
              <w:rPr>
                <w:rFonts w:eastAsia="Times New Roman" w:cs="Times New Roman"/>
                <w:szCs w:val="24"/>
              </w:rPr>
              <w:t>”</w:t>
            </w:r>
            <w:r w:rsidRPr="00FD69E7">
              <w:rPr>
                <w:rFonts w:eastAsia="Times New Roman" w:cs="Times New Roman"/>
                <w:szCs w:val="24"/>
              </w:rPr>
              <w:t xml:space="preserve"> However, on its PDSU, the online date for CapeStation is listed as </w:t>
            </w:r>
            <w:r w:rsidRPr="00FD69E7" w:rsidR="00CD5830">
              <w:rPr>
                <w:rFonts w:eastAsia="Times New Roman" w:cs="Times New Roman"/>
                <w:szCs w:val="24"/>
              </w:rPr>
              <w:t>October </w:t>
            </w:r>
            <w:r w:rsidRPr="00FD69E7">
              <w:rPr>
                <w:rFonts w:eastAsia="Times New Roman" w:cs="Times New Roman"/>
                <w:szCs w:val="24"/>
              </w:rPr>
              <w:t xml:space="preserve">1, 2026, and the online date for SunZia is listed as </w:t>
            </w:r>
            <w:r w:rsidRPr="00FD69E7" w:rsidR="00CD5830">
              <w:rPr>
                <w:rFonts w:eastAsia="Times New Roman" w:cs="Times New Roman"/>
                <w:szCs w:val="24"/>
              </w:rPr>
              <w:t>January </w:t>
            </w:r>
            <w:r w:rsidRPr="00FD69E7">
              <w:rPr>
                <w:rFonts w:eastAsia="Times New Roman" w:cs="Times New Roman"/>
                <w:szCs w:val="24"/>
              </w:rPr>
              <w:t xml:space="preserve">1, 2026. </w:t>
            </w:r>
            <w:r w:rsidR="00DA6578">
              <w:rPr>
                <w:rFonts w:eastAsia="Times New Roman" w:cs="Times New Roman"/>
                <w:szCs w:val="24"/>
              </w:rPr>
              <w:t>Shell E</w:t>
            </w:r>
            <w:r w:rsidRPr="00FD69E7">
              <w:rPr>
                <w:rFonts w:eastAsia="Times New Roman" w:cs="Times New Roman"/>
                <w:szCs w:val="24"/>
              </w:rPr>
              <w:t xml:space="preserve">nergy must clarify these dates </w:t>
            </w:r>
            <w:r w:rsidRPr="00FD69E7" w:rsidR="00ED1EB8">
              <w:rPr>
                <w:rFonts w:eastAsia="Times New Roman" w:cs="Times New Roman"/>
                <w:szCs w:val="24"/>
              </w:rPr>
              <w:t xml:space="preserve">and </w:t>
            </w:r>
            <w:r w:rsidRPr="00FD69E7">
              <w:rPr>
                <w:rFonts w:eastAsia="Times New Roman" w:cs="Times New Roman"/>
                <w:szCs w:val="24"/>
              </w:rPr>
              <w:t>provide the correct projected COD dates for the two contracts.</w:t>
            </w:r>
          </w:p>
        </w:tc>
      </w:tr>
    </w:tbl>
    <w:p w:rsidR="00AC0C78" w:rsidP="00F277D4" w:rsidRDefault="00AC0C78" w14:paraId="68B9AD98" w14:textId="77777777">
      <w:pPr>
        <w:pStyle w:val="StandardTableSub"/>
      </w:pPr>
    </w:p>
    <w:p w:rsidR="00AC0C78" w:rsidP="00F277D4" w:rsidRDefault="00A0360F" w14:paraId="0123AFBD" w14:textId="2C80FD96">
      <w:pPr>
        <w:pStyle w:val="Heading3"/>
      </w:pPr>
      <w:bookmarkStart w:name="_Toc212716174" w:id="121"/>
      <w:bookmarkStart w:name="_Toc214004378" w:id="122"/>
      <w:r>
        <w:t>Potential Compliance Delays</w:t>
      </w:r>
      <w:bookmarkEnd w:id="121"/>
      <w:bookmarkEnd w:id="122"/>
    </w:p>
    <w:p w:rsidR="00A0360F" w:rsidP="00F277D4" w:rsidRDefault="00A0360F" w14:paraId="796A8387" w14:textId="5E7E0E68">
      <w:pPr>
        <w:pStyle w:val="Standard"/>
      </w:pPr>
      <w:r>
        <w:t xml:space="preserve">Pursuant to </w:t>
      </w:r>
      <w:r w:rsidR="00F81267">
        <w:t>Pub. Util. Code Section 399</w:t>
      </w:r>
      <w:r>
        <w:t>.13(a)(6)(B), retail sellers must provide a narrative that describes any potential project development delays, reduced generation, and projected changes in load. Further, retail sellers must show how these delays will impact the retail seller</w:t>
      </w:r>
      <w:r w:rsidR="005A00BE">
        <w:t>’</w:t>
      </w:r>
      <w:r>
        <w:t>s RPS compliance, including its RPS net short, progress towards 65</w:t>
      </w:r>
      <w:r w:rsidR="008C0F68">
        <w:t> percent</w:t>
      </w:r>
      <w:r>
        <w:t xml:space="preserve"> long</w:t>
      </w:r>
      <w:r w:rsidR="00E54574">
        <w:noBreakHyphen/>
      </w:r>
      <w:r>
        <w:t>term procurement, and procurement decisions. Finally, retail sellers are required to identify methods to account for and minimize these delays.</w:t>
      </w:r>
    </w:p>
    <w:p w:rsidR="00A0360F" w:rsidP="00F277D4" w:rsidRDefault="00A0360F" w14:paraId="3593230B" w14:textId="38A3B555">
      <w:pPr>
        <w:pStyle w:val="Standard"/>
      </w:pPr>
      <w:r>
        <w:t>Upon review of the CCAs</w:t>
      </w:r>
      <w:r w:rsidR="005A00BE">
        <w:t>’</w:t>
      </w:r>
      <w:r>
        <w:t xml:space="preserve"> and ESPs</w:t>
      </w:r>
      <w:r w:rsidR="005A00BE">
        <w:t>’</w:t>
      </w:r>
      <w:r>
        <w:t xml:space="preserve"> Draft </w:t>
      </w:r>
      <w:r w:rsidR="00950E04">
        <w:t>2025 RPS</w:t>
      </w:r>
      <w:r>
        <w:t xml:space="preserve"> Plans, the Commission finds that C</w:t>
      </w:r>
      <w:r w:rsidR="00E31D78">
        <w:t xml:space="preserve">ommercial Energy </w:t>
      </w:r>
      <w:r>
        <w:t>ha</w:t>
      </w:r>
      <w:r w:rsidR="00E31D78">
        <w:t xml:space="preserve">s not described how it would address potential </w:t>
      </w:r>
      <w:r>
        <w:t>compliance delays</w:t>
      </w:r>
      <w:r w:rsidRPr="00A0360F">
        <w:t>.</w:t>
      </w:r>
    </w:p>
    <w:p w:rsidRPr="003621CA" w:rsidR="007D1EC2" w:rsidP="007872C2" w:rsidRDefault="00F920D3" w14:paraId="7CF9A1A9" w14:textId="1F8BB4D3">
      <w:pPr>
        <w:pStyle w:val="TableTitleBody"/>
        <w:rPr>
          <w:b w:val="0"/>
          <w:bCs w:val="0"/>
        </w:rPr>
      </w:pPr>
      <w:r>
        <w:t>Table </w:t>
      </w:r>
      <w:r w:rsidR="007D1EC2">
        <w:t>6</w:t>
      </w:r>
      <w:r w:rsidR="00CD5830">
        <w:rPr>
          <w:b w:val="0"/>
          <w:bCs w:val="0"/>
        </w:rPr>
        <w:t xml:space="preserve">:  </w:t>
      </w:r>
      <w:r w:rsidR="007D1EC2">
        <w:t>Potential Compliance Delays</w:t>
      </w:r>
    </w:p>
    <w:tbl>
      <w:tblPr>
        <w:tblStyle w:val="TableGrid2"/>
        <w:tblW w:w="9360" w:type="dxa"/>
        <w:tblLayout w:type="fixed"/>
        <w:tblCellMar>
          <w:top w:w="58" w:type="dxa"/>
          <w:bottom w:w="58" w:type="dxa"/>
        </w:tblCellMar>
        <w:tblLook w:val="06A0" w:firstRow="1" w:lastRow="0" w:firstColumn="1" w:lastColumn="0" w:noHBand="1" w:noVBand="1"/>
      </w:tblPr>
      <w:tblGrid>
        <w:gridCol w:w="2605"/>
        <w:gridCol w:w="6755"/>
      </w:tblGrid>
      <w:tr w:rsidRPr="00FD69E7" w:rsidR="00225CEE" w:rsidTr="00863504" w14:paraId="790ECC1B" w14:textId="77777777">
        <w:trPr>
          <w:tblHeader/>
        </w:trPr>
        <w:tc>
          <w:tcPr>
            <w:tcW w:w="2605" w:type="dxa"/>
            <w:shd w:val="clear" w:color="auto" w:fill="BFBFBF" w:themeFill="background1" w:themeFillShade="BF"/>
            <w:vAlign w:val="bottom"/>
          </w:tcPr>
          <w:p w:rsidRPr="00FD69E7" w:rsidR="00225CEE" w:rsidP="00863504" w:rsidRDefault="00225CEE" w14:paraId="2CB209DA" w14:textId="61CC0DA3">
            <w:pPr>
              <w:keepNext/>
              <w:spacing w:line="240" w:lineRule="auto"/>
              <w:ind w:firstLine="0"/>
              <w:jc w:val="center"/>
              <w:rPr>
                <w:rFonts w:eastAsia="Times New Roman" w:cs="Times New Roman"/>
                <w:b/>
                <w:bCs/>
                <w:szCs w:val="24"/>
              </w:rPr>
            </w:pPr>
            <w:r w:rsidRPr="00FD69E7">
              <w:rPr>
                <w:b/>
                <w:color w:val="000000" w:themeColor="text1"/>
                <w:szCs w:val="24"/>
              </w:rPr>
              <w:t>Retail Seller</w:t>
            </w:r>
          </w:p>
        </w:tc>
        <w:tc>
          <w:tcPr>
            <w:tcW w:w="6755" w:type="dxa"/>
            <w:shd w:val="clear" w:color="auto" w:fill="BFBFBF" w:themeFill="background1" w:themeFillShade="BF"/>
            <w:vAlign w:val="bottom"/>
          </w:tcPr>
          <w:p w:rsidRPr="00FD69E7" w:rsidR="00225CEE" w:rsidP="00863504" w:rsidRDefault="00225CEE" w14:paraId="4530B7FA"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225CEE" w:rsidTr="007872C2" w14:paraId="1EA81F1F" w14:textId="77777777">
        <w:tc>
          <w:tcPr>
            <w:tcW w:w="2605" w:type="dxa"/>
          </w:tcPr>
          <w:p w:rsidRPr="007872C2" w:rsidR="00225CEE" w:rsidP="00F277D4" w:rsidRDefault="00225CEE" w14:paraId="47B9234A" w14:textId="0078D3DF">
            <w:pPr>
              <w:spacing w:line="240" w:lineRule="auto"/>
              <w:ind w:firstLine="0"/>
              <w:rPr>
                <w:rFonts w:eastAsia="Times New Roman" w:cs="Times New Roman"/>
                <w:szCs w:val="24"/>
              </w:rPr>
            </w:pPr>
            <w:r w:rsidRPr="007872C2">
              <w:rPr>
                <w:rFonts w:eastAsia="Times New Roman" w:cs="Times New Roman"/>
                <w:szCs w:val="24"/>
              </w:rPr>
              <w:t>Commercial Energy</w:t>
            </w:r>
          </w:p>
        </w:tc>
        <w:tc>
          <w:tcPr>
            <w:tcW w:w="6755" w:type="dxa"/>
          </w:tcPr>
          <w:p w:rsidRPr="00FD69E7" w:rsidR="00225CEE" w:rsidP="007872C2" w:rsidRDefault="00225CEE" w14:paraId="248BB4E9" w14:textId="6363F25A">
            <w:pPr>
              <w:spacing w:after="120" w:line="240" w:lineRule="auto"/>
              <w:ind w:firstLine="0"/>
              <w:rPr>
                <w:rFonts w:eastAsia="Times New Roman" w:cs="Times New Roman"/>
                <w:szCs w:val="24"/>
              </w:rPr>
            </w:pPr>
            <w:r w:rsidRPr="00FD69E7">
              <w:rPr>
                <w:rFonts w:eastAsia="Times New Roman" w:cs="Times New Roman"/>
                <w:szCs w:val="24"/>
              </w:rPr>
              <w:t xml:space="preserve">On </w:t>
            </w:r>
            <w:r w:rsidR="00FD21B9">
              <w:rPr>
                <w:rFonts w:eastAsia="Times New Roman" w:cs="Times New Roman"/>
                <w:szCs w:val="24"/>
              </w:rPr>
              <w:t>page </w:t>
            </w:r>
            <w:r w:rsidRPr="00FD69E7">
              <w:rPr>
                <w:rFonts w:eastAsia="Times New Roman" w:cs="Times New Roman"/>
                <w:szCs w:val="24"/>
              </w:rPr>
              <w:t xml:space="preserve">18 of its Draft </w:t>
            </w:r>
            <w:r w:rsidR="00950E04">
              <w:rPr>
                <w:rFonts w:eastAsia="Times New Roman" w:cs="Times New Roman"/>
                <w:szCs w:val="24"/>
              </w:rPr>
              <w:t>2025 RPS</w:t>
            </w:r>
            <w:r w:rsidRPr="00FD69E7">
              <w:rPr>
                <w:rFonts w:eastAsia="Times New Roman" w:cs="Times New Roman"/>
                <w:szCs w:val="24"/>
              </w:rPr>
              <w:t xml:space="preserve"> Plan, Commercial Energy states that if </w:t>
            </w:r>
            <w:r w:rsidR="005A00BE">
              <w:rPr>
                <w:rFonts w:eastAsia="Times New Roman" w:cs="Times New Roman"/>
                <w:szCs w:val="24"/>
              </w:rPr>
              <w:t>“</w:t>
            </w:r>
            <w:r w:rsidRPr="00FD69E7">
              <w:rPr>
                <w:rFonts w:eastAsia="Times New Roman" w:cs="Times New Roman"/>
                <w:szCs w:val="24"/>
              </w:rPr>
              <w:t>barriers to the development of new renewable generation facilities that may be needed to meet the state</w:t>
            </w:r>
            <w:r w:rsidR="005A00BE">
              <w:rPr>
                <w:rFonts w:eastAsia="Times New Roman" w:cs="Times New Roman"/>
                <w:szCs w:val="24"/>
              </w:rPr>
              <w:t>’</w:t>
            </w:r>
            <w:r w:rsidRPr="00FD69E7">
              <w:rPr>
                <w:rFonts w:eastAsia="Times New Roman" w:cs="Times New Roman"/>
                <w:szCs w:val="24"/>
              </w:rPr>
              <w:t>s RPS goals of 60</w:t>
            </w:r>
            <w:r w:rsidRPr="00FD69E7" w:rsidR="008C0F68">
              <w:rPr>
                <w:rFonts w:eastAsia="Times New Roman" w:cs="Times New Roman"/>
                <w:szCs w:val="24"/>
              </w:rPr>
              <w:t> percent</w:t>
            </w:r>
            <w:r w:rsidRPr="00FD69E7">
              <w:rPr>
                <w:rFonts w:eastAsia="Times New Roman" w:cs="Times New Roman"/>
                <w:szCs w:val="24"/>
              </w:rPr>
              <w:t xml:space="preserve"> by 2030 arise during the 2025</w:t>
            </w:r>
            <w:r w:rsidR="00E54574">
              <w:rPr>
                <w:rFonts w:eastAsia="Times New Roman" w:cs="Times New Roman"/>
                <w:szCs w:val="24"/>
              </w:rPr>
              <w:noBreakHyphen/>
            </w:r>
            <w:r w:rsidRPr="00FD69E7">
              <w:rPr>
                <w:rFonts w:eastAsia="Times New Roman" w:cs="Times New Roman"/>
                <w:szCs w:val="24"/>
              </w:rPr>
              <w:t>2035 planning period, any corresponding deficiency in the overall amount of RPS products could possibly result in compliance delays for Commercial Energy.</w:t>
            </w:r>
            <w:r w:rsidR="005A00BE">
              <w:rPr>
                <w:rFonts w:eastAsia="Times New Roman" w:cs="Times New Roman"/>
                <w:szCs w:val="24"/>
              </w:rPr>
              <w:t>”</w:t>
            </w:r>
            <w:r w:rsidRPr="00FD69E7">
              <w:rPr>
                <w:rFonts w:eastAsia="Times New Roman" w:cs="Times New Roman"/>
                <w:szCs w:val="24"/>
              </w:rPr>
              <w:t xml:space="preserve"> Commercial Energy does not describe how it would address this potential delay. As required by the 2025 ACR, Commercial Energy must </w:t>
            </w:r>
            <w:r w:rsidRPr="00FD69E7">
              <w:rPr>
                <w:rFonts w:eastAsia="Times New Roman" w:cs="Times New Roman"/>
                <w:szCs w:val="24"/>
              </w:rPr>
              <w:lastRenderedPageBreak/>
              <w:t xml:space="preserve">describe how it would minimize or address this potential compliance delay in its Final </w:t>
            </w:r>
            <w:r w:rsidR="00950E04">
              <w:rPr>
                <w:rFonts w:eastAsia="Times New Roman" w:cs="Times New Roman"/>
                <w:szCs w:val="24"/>
              </w:rPr>
              <w:t>2025 RPS</w:t>
            </w:r>
            <w:r w:rsidRPr="00FD69E7">
              <w:rPr>
                <w:rFonts w:eastAsia="Times New Roman" w:cs="Times New Roman"/>
                <w:szCs w:val="24"/>
              </w:rPr>
              <w:t xml:space="preserve"> Plan.</w:t>
            </w:r>
          </w:p>
        </w:tc>
      </w:tr>
    </w:tbl>
    <w:p w:rsidRPr="00A0360F" w:rsidR="007D1EC2" w:rsidP="00F277D4" w:rsidRDefault="007D1EC2" w14:paraId="5BD3A3E0" w14:textId="77777777">
      <w:pPr>
        <w:pStyle w:val="StandardTableSub"/>
      </w:pPr>
    </w:p>
    <w:p w:rsidR="001E6351" w:rsidP="00F277D4" w:rsidRDefault="001E6351" w14:paraId="5EB2E6C7" w14:textId="3CFCB813">
      <w:pPr>
        <w:pStyle w:val="Heading3"/>
      </w:pPr>
      <w:bookmarkStart w:name="_Toc212716175" w:id="123"/>
      <w:bookmarkStart w:name="_Toc214004379" w:id="124"/>
      <w:r>
        <w:t>Risk Assessment</w:t>
      </w:r>
      <w:bookmarkEnd w:id="123"/>
      <w:bookmarkEnd w:id="124"/>
    </w:p>
    <w:p w:rsidR="00F023E7" w:rsidP="00F277D4" w:rsidRDefault="00F81267" w14:paraId="6DD28400" w14:textId="0514A8DF">
      <w:pPr>
        <w:pStyle w:val="Standard"/>
      </w:pPr>
      <w:r>
        <w:t>Pub. Util. Code Section 399</w:t>
      </w:r>
      <w:r w:rsidR="001E6351">
        <w:t xml:space="preserve">.13(a)(6)(F) requires that retail sellers conduct a risk assessment to determine the potential that an eligible renewable energy resource will not be built, or that construction will be delayed or reduced in size, resulting in delivery of electricity that does not conform with contract terms. Retail sellers must discuss compliance risk, risk modeling and risk factors, system reliability, and lessons learned in subsections of their Draft </w:t>
      </w:r>
      <w:r w:rsidR="00950E04">
        <w:t>2025 RPS</w:t>
      </w:r>
      <w:r w:rsidR="001E6351">
        <w:t xml:space="preserve"> Plan, as instructed by the 2025 ACR.</w:t>
      </w:r>
    </w:p>
    <w:p w:rsidR="001E6351" w:rsidP="00F277D4" w:rsidRDefault="001E6351" w14:paraId="3B9E7E90" w14:textId="10EF303A">
      <w:pPr>
        <w:pStyle w:val="Standard"/>
      </w:pPr>
      <w:r>
        <w:t xml:space="preserve">Based on our review of their Draft </w:t>
      </w:r>
      <w:r w:rsidR="00950E04">
        <w:t>2025 RPS</w:t>
      </w:r>
      <w:r>
        <w:t xml:space="preserve"> Plans, we direct CleanPowerSF to update or clarify risk assessment</w:t>
      </w:r>
      <w:r w:rsidR="00E54574">
        <w:noBreakHyphen/>
      </w:r>
      <w:r>
        <w:t xml:space="preserve">related information as described in </w:t>
      </w:r>
      <w:r w:rsidR="00F920D3">
        <w:t>Table </w:t>
      </w:r>
      <w:r w:rsidR="000C53E0">
        <w:t>7</w:t>
      </w:r>
      <w:r>
        <w:t xml:space="preserve"> below.</w:t>
      </w:r>
    </w:p>
    <w:p w:rsidRPr="00C55273" w:rsidR="001E6351" w:rsidP="00EA3F37" w:rsidRDefault="00F920D3" w14:paraId="4A6A27F0" w14:textId="42FF5B2B">
      <w:pPr>
        <w:pStyle w:val="TableTitleBody"/>
        <w:rPr>
          <w:bCs w:val="0"/>
        </w:rPr>
      </w:pPr>
      <w:r>
        <w:t>Table </w:t>
      </w:r>
      <w:r w:rsidR="007D1EC2">
        <w:t>7</w:t>
      </w:r>
      <w:r w:rsidR="00CD5830">
        <w:rPr>
          <w:b w:val="0"/>
          <w:bCs w:val="0"/>
        </w:rPr>
        <w:t xml:space="preserve">:  </w:t>
      </w:r>
      <w:r w:rsidRPr="00C55273" w:rsidR="001E6351">
        <w:t>Risk Assessment</w:t>
      </w:r>
    </w:p>
    <w:tbl>
      <w:tblPr>
        <w:tblStyle w:val="TableGrid2"/>
        <w:tblW w:w="9360" w:type="dxa"/>
        <w:tblLayout w:type="fixed"/>
        <w:tblCellMar>
          <w:top w:w="58" w:type="dxa"/>
          <w:bottom w:w="58" w:type="dxa"/>
        </w:tblCellMar>
        <w:tblLook w:val="06A0" w:firstRow="1" w:lastRow="0" w:firstColumn="1" w:lastColumn="0" w:noHBand="1" w:noVBand="1"/>
      </w:tblPr>
      <w:tblGrid>
        <w:gridCol w:w="1908"/>
        <w:gridCol w:w="7452"/>
      </w:tblGrid>
      <w:tr w:rsidRPr="00FD69E7" w:rsidR="001E6351" w:rsidTr="00EA3F37" w14:paraId="798CA74F" w14:textId="77777777">
        <w:trPr>
          <w:tblHeader/>
        </w:trPr>
        <w:tc>
          <w:tcPr>
            <w:tcW w:w="1906" w:type="dxa"/>
            <w:shd w:val="clear" w:color="auto" w:fill="BFBFBF" w:themeFill="background1" w:themeFillShade="BF"/>
            <w:vAlign w:val="center"/>
          </w:tcPr>
          <w:p w:rsidRPr="00FD69E7" w:rsidR="001E6351" w:rsidP="00EA3F37" w:rsidRDefault="001E6351" w14:paraId="658B02EB" w14:textId="77777777">
            <w:pPr>
              <w:keepNext/>
              <w:spacing w:line="240" w:lineRule="auto"/>
              <w:ind w:firstLine="0"/>
              <w:rPr>
                <w:rFonts w:eastAsia="Times New Roman" w:cs="Times New Roman"/>
                <w:b/>
                <w:bCs/>
                <w:szCs w:val="24"/>
              </w:rPr>
            </w:pPr>
            <w:bookmarkStart w:name="_Hlk211607707" w:id="125"/>
            <w:r w:rsidRPr="00FD69E7">
              <w:rPr>
                <w:b/>
                <w:color w:val="000000" w:themeColor="text1"/>
                <w:szCs w:val="24"/>
              </w:rPr>
              <w:t xml:space="preserve">Retail Seller </w:t>
            </w:r>
          </w:p>
        </w:tc>
        <w:tc>
          <w:tcPr>
            <w:tcW w:w="7444" w:type="dxa"/>
            <w:shd w:val="clear" w:color="auto" w:fill="BFBFBF" w:themeFill="background1" w:themeFillShade="BF"/>
            <w:vAlign w:val="center"/>
          </w:tcPr>
          <w:p w:rsidRPr="00FD69E7" w:rsidR="001E6351" w:rsidP="00EA3F37" w:rsidRDefault="001E6351" w14:paraId="20FBDE52"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1E6351" w:rsidTr="00EA3F37" w14:paraId="089E76E2" w14:textId="77777777">
        <w:tc>
          <w:tcPr>
            <w:tcW w:w="1906" w:type="dxa"/>
          </w:tcPr>
          <w:p w:rsidRPr="00EA3F37" w:rsidR="001E6351" w:rsidP="00F277D4" w:rsidRDefault="001E6351" w14:paraId="23FB7265" w14:textId="4BFD34D6">
            <w:pPr>
              <w:spacing w:line="240" w:lineRule="auto"/>
              <w:ind w:firstLine="0"/>
              <w:rPr>
                <w:rFonts w:eastAsia="Times New Roman" w:cs="Times New Roman"/>
                <w:szCs w:val="24"/>
              </w:rPr>
            </w:pPr>
            <w:r w:rsidRPr="00EA3F37">
              <w:rPr>
                <w:rFonts w:eastAsia="Times New Roman" w:cs="Times New Roman"/>
                <w:szCs w:val="24"/>
              </w:rPr>
              <w:t>CleanPowerSF</w:t>
            </w:r>
          </w:p>
        </w:tc>
        <w:tc>
          <w:tcPr>
            <w:tcW w:w="7444" w:type="dxa"/>
          </w:tcPr>
          <w:p w:rsidRPr="00FD69E7" w:rsidR="001E6351" w:rsidP="00237376" w:rsidRDefault="001E6351" w14:paraId="0060475D" w14:textId="68DC5819">
            <w:pPr>
              <w:spacing w:after="120" w:line="240" w:lineRule="auto"/>
              <w:ind w:firstLine="0"/>
              <w:rPr>
                <w:rFonts w:eastAsia="Times New Roman" w:cs="Times New Roman"/>
                <w:szCs w:val="24"/>
              </w:rPr>
            </w:pPr>
            <w:r w:rsidRPr="00FD69E7">
              <w:rPr>
                <w:rFonts w:eastAsia="Times New Roman" w:cs="Times New Roman"/>
                <w:szCs w:val="24"/>
              </w:rPr>
              <w:t>Although CleanPowerSF identified various individual risks to its RPS portfolio on pages 46</w:t>
            </w:r>
            <w:r w:rsidR="00E54574">
              <w:rPr>
                <w:rFonts w:eastAsia="Times New Roman" w:cs="Times New Roman"/>
                <w:szCs w:val="24"/>
              </w:rPr>
              <w:noBreakHyphen/>
            </w:r>
            <w:r w:rsidRPr="00FD69E7">
              <w:rPr>
                <w:rFonts w:eastAsia="Times New Roman" w:cs="Times New Roman"/>
                <w:szCs w:val="24"/>
              </w:rPr>
              <w:t xml:space="preserve">47 of its </w:t>
            </w:r>
            <w:r w:rsidRPr="00FD69E7" w:rsidR="0088748B">
              <w:rPr>
                <w:rFonts w:eastAsia="Times New Roman" w:cs="Times New Roman"/>
                <w:szCs w:val="24"/>
              </w:rPr>
              <w:t xml:space="preserve">Draft </w:t>
            </w:r>
            <w:r w:rsidR="00950E04">
              <w:rPr>
                <w:rFonts w:eastAsia="Times New Roman" w:cs="Times New Roman"/>
                <w:szCs w:val="24"/>
              </w:rPr>
              <w:t>2025 RPS</w:t>
            </w:r>
            <w:r w:rsidRPr="00FD69E7">
              <w:rPr>
                <w:rFonts w:eastAsia="Times New Roman" w:cs="Times New Roman"/>
                <w:szCs w:val="24"/>
              </w:rPr>
              <w:t xml:space="preserve"> Plan, it did not assess the severity of these individual risks. As per the 2025 ACR, CleanPowerSF must describe the severity of the individual risks (</w:t>
            </w:r>
            <w:r w:rsidRPr="00FD69E7" w:rsidR="008C0F68">
              <w:rPr>
                <w:rFonts w:eastAsia="Times New Roman" w:cs="Times New Roman"/>
                <w:i/>
                <w:iCs/>
                <w:szCs w:val="24"/>
              </w:rPr>
              <w:t>e.g.</w:t>
            </w:r>
            <w:r w:rsidRPr="00FD69E7">
              <w:rPr>
                <w:rFonts w:eastAsia="Times New Roman" w:cs="Times New Roman"/>
                <w:szCs w:val="24"/>
              </w:rPr>
              <w:t>, high, medium, low) it has identified.</w:t>
            </w:r>
          </w:p>
        </w:tc>
      </w:tr>
      <w:bookmarkEnd w:id="125"/>
    </w:tbl>
    <w:p w:rsidRPr="001E6351" w:rsidR="001E6351" w:rsidP="00F277D4" w:rsidRDefault="001E6351" w14:paraId="53FD8500" w14:textId="77777777">
      <w:pPr>
        <w:pStyle w:val="StandardTableSub"/>
      </w:pPr>
    </w:p>
    <w:p w:rsidR="00AC0C78" w:rsidP="00F277D4" w:rsidRDefault="00451C96" w14:paraId="5D6B0D04" w14:textId="4C9B2E17">
      <w:pPr>
        <w:pStyle w:val="Heading3"/>
      </w:pPr>
      <w:bookmarkStart w:name="_Toc212716176" w:id="126"/>
      <w:bookmarkStart w:name="_Toc214004380" w:id="127"/>
      <w:r>
        <w:t>Lessons Learned</w:t>
      </w:r>
      <w:r w:rsidR="00412BD7">
        <w:t xml:space="preserve"> — </w:t>
      </w:r>
      <w:r>
        <w:t>Risk Assessment</w:t>
      </w:r>
      <w:bookmarkEnd w:id="126"/>
      <w:bookmarkEnd w:id="127"/>
    </w:p>
    <w:p w:rsidR="00451C96" w:rsidP="00F277D4" w:rsidRDefault="006A48E6" w14:paraId="6567EB00" w14:textId="5392FE7F">
      <w:pPr>
        <w:pStyle w:val="Standard"/>
      </w:pPr>
      <w:r>
        <w:t>A</w:t>
      </w:r>
      <w:r w:rsidR="00451C96">
        <w:t>s instructed by the 202</w:t>
      </w:r>
      <w:r w:rsidR="00EA4974">
        <w:t>5</w:t>
      </w:r>
      <w:r w:rsidR="00451C96">
        <w:t xml:space="preserve"> ACR</w:t>
      </w:r>
      <w:r>
        <w:t>, retail sellers must include a discussion of lessons learned in assessing RPS portfolio risk, including how other retail sellers</w:t>
      </w:r>
      <w:r w:rsidR="005A00BE">
        <w:t>’</w:t>
      </w:r>
      <w:r>
        <w:t xml:space="preserve"> </w:t>
      </w:r>
      <w:r>
        <w:lastRenderedPageBreak/>
        <w:t>risk assessments were used to guide the risk assessments of those with less experience serving retail load.</w:t>
      </w:r>
      <w:r>
        <w:rPr>
          <w:rStyle w:val="FootnoteReference"/>
        </w:rPr>
        <w:footnoteReference w:id="110"/>
      </w:r>
    </w:p>
    <w:p w:rsidR="00451C96" w:rsidP="00F277D4" w:rsidRDefault="00451C96" w14:paraId="2F695FB7" w14:textId="795FA208">
      <w:pPr>
        <w:pStyle w:val="Standard"/>
      </w:pPr>
      <w:r>
        <w:t xml:space="preserve">Based on our review of their Draft </w:t>
      </w:r>
      <w:r w:rsidR="00950E04">
        <w:t>2025 RPS</w:t>
      </w:r>
      <w:r>
        <w:t xml:space="preserve"> Plans, we </w:t>
      </w:r>
      <w:r w:rsidR="00EA4974">
        <w:t xml:space="preserve">direct Calpine Energy Solutions </w:t>
      </w:r>
      <w:r>
        <w:t>to update or clarify risk assessment</w:t>
      </w:r>
      <w:r w:rsidR="00E54574">
        <w:noBreakHyphen/>
      </w:r>
      <w:r>
        <w:t xml:space="preserve">related information as described in </w:t>
      </w:r>
      <w:r w:rsidR="00F920D3">
        <w:t>Table </w:t>
      </w:r>
      <w:r w:rsidR="007A5B31">
        <w:t>8</w:t>
      </w:r>
      <w:r>
        <w:t xml:space="preserve"> below.</w:t>
      </w:r>
    </w:p>
    <w:p w:rsidRPr="00C55273" w:rsidR="00451C96" w:rsidP="00D3322C" w:rsidRDefault="00F920D3" w14:paraId="5E3F4D25" w14:textId="2CC8847E">
      <w:pPr>
        <w:pStyle w:val="TableTitleBody"/>
        <w:rPr>
          <w:bCs w:val="0"/>
        </w:rPr>
      </w:pPr>
      <w:r>
        <w:t>Table </w:t>
      </w:r>
      <w:r w:rsidR="007D1EC2">
        <w:t>8</w:t>
      </w:r>
      <w:r w:rsidR="00CD5830">
        <w:rPr>
          <w:b w:val="0"/>
          <w:bCs w:val="0"/>
        </w:rPr>
        <w:t xml:space="preserve">:  </w:t>
      </w:r>
      <w:r w:rsidR="007D1EC2">
        <w:t>Lessons Learned</w:t>
      </w:r>
      <w:r w:rsidR="0064730E">
        <w:t xml:space="preserve"> — </w:t>
      </w:r>
      <w:r w:rsidRPr="00C55273" w:rsidR="00451C96">
        <w:t>Risk Assessment</w:t>
      </w:r>
    </w:p>
    <w:tbl>
      <w:tblPr>
        <w:tblStyle w:val="TableGrid2"/>
        <w:tblW w:w="9360" w:type="dxa"/>
        <w:tblLayout w:type="fixed"/>
        <w:tblCellMar>
          <w:top w:w="58" w:type="dxa"/>
          <w:bottom w:w="58" w:type="dxa"/>
        </w:tblCellMar>
        <w:tblLook w:val="06A0" w:firstRow="1" w:lastRow="0" w:firstColumn="1" w:lastColumn="0" w:noHBand="1" w:noVBand="1"/>
      </w:tblPr>
      <w:tblGrid>
        <w:gridCol w:w="3235"/>
        <w:gridCol w:w="6125"/>
      </w:tblGrid>
      <w:tr w:rsidRPr="00FD69E7" w:rsidR="00451C96" w:rsidTr="00D3322C" w14:paraId="78A4174C" w14:textId="77777777">
        <w:trPr>
          <w:tblHeader/>
        </w:trPr>
        <w:tc>
          <w:tcPr>
            <w:tcW w:w="3235" w:type="dxa"/>
            <w:shd w:val="clear" w:color="auto" w:fill="BFBFBF" w:themeFill="background1" w:themeFillShade="BF"/>
            <w:vAlign w:val="bottom"/>
          </w:tcPr>
          <w:p w:rsidRPr="00FD69E7" w:rsidR="00451C96" w:rsidP="00D3322C" w:rsidRDefault="00451C96" w14:paraId="3D7F67F2" w14:textId="6DDDC9CF">
            <w:pPr>
              <w:keepNext/>
              <w:spacing w:line="240" w:lineRule="auto"/>
              <w:ind w:firstLine="0"/>
              <w:jc w:val="center"/>
              <w:rPr>
                <w:rFonts w:eastAsia="Times New Roman" w:cs="Times New Roman"/>
                <w:b/>
                <w:bCs/>
                <w:szCs w:val="24"/>
              </w:rPr>
            </w:pPr>
            <w:bookmarkStart w:name="_Hlk211605241" w:id="128"/>
            <w:r w:rsidRPr="00FD69E7">
              <w:rPr>
                <w:b/>
                <w:color w:val="000000" w:themeColor="text1"/>
                <w:szCs w:val="24"/>
              </w:rPr>
              <w:t>Retail Seller</w:t>
            </w:r>
          </w:p>
        </w:tc>
        <w:tc>
          <w:tcPr>
            <w:tcW w:w="6125" w:type="dxa"/>
            <w:shd w:val="clear" w:color="auto" w:fill="BFBFBF" w:themeFill="background1" w:themeFillShade="BF"/>
            <w:vAlign w:val="bottom"/>
          </w:tcPr>
          <w:p w:rsidRPr="00FD69E7" w:rsidR="00451C96" w:rsidP="00D3322C" w:rsidRDefault="00451C96" w14:paraId="5BC39125"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451C96" w:rsidTr="00D3322C" w14:paraId="2DFDB477" w14:textId="77777777">
        <w:tc>
          <w:tcPr>
            <w:tcW w:w="3235" w:type="dxa"/>
          </w:tcPr>
          <w:p w:rsidRPr="00D3322C" w:rsidR="00451C96" w:rsidP="00F277D4" w:rsidRDefault="00451C96" w14:paraId="4A1EBD2A" w14:textId="6355ADB1">
            <w:pPr>
              <w:spacing w:line="240" w:lineRule="auto"/>
              <w:ind w:firstLine="0"/>
              <w:rPr>
                <w:rFonts w:eastAsia="Times New Roman" w:cs="Times New Roman"/>
                <w:szCs w:val="24"/>
              </w:rPr>
            </w:pPr>
            <w:r w:rsidRPr="00D3322C">
              <w:rPr>
                <w:rFonts w:eastAsia="Times New Roman" w:cs="Times New Roman"/>
                <w:szCs w:val="24"/>
              </w:rPr>
              <w:t>Calpine Energy Solutions</w:t>
            </w:r>
          </w:p>
        </w:tc>
        <w:tc>
          <w:tcPr>
            <w:tcW w:w="6125" w:type="dxa"/>
          </w:tcPr>
          <w:p w:rsidRPr="00FD69E7" w:rsidR="00451C96" w:rsidP="00D3322C" w:rsidRDefault="00451C96" w14:paraId="184BC628" w14:textId="30BF64CA">
            <w:pPr>
              <w:spacing w:after="120" w:line="240" w:lineRule="auto"/>
              <w:ind w:firstLine="0"/>
              <w:rPr>
                <w:rFonts w:eastAsia="Times New Roman" w:cs="Times New Roman"/>
                <w:szCs w:val="24"/>
              </w:rPr>
            </w:pPr>
            <w:r w:rsidRPr="00FD69E7">
              <w:rPr>
                <w:rFonts w:eastAsiaTheme="minorEastAsia"/>
                <w:szCs w:val="24"/>
              </w:rPr>
              <w:t xml:space="preserve">On </w:t>
            </w:r>
            <w:r w:rsidR="00FD21B9">
              <w:rPr>
                <w:rFonts w:eastAsiaTheme="minorEastAsia"/>
                <w:szCs w:val="24"/>
              </w:rPr>
              <w:t>page </w:t>
            </w:r>
            <w:r w:rsidRPr="00FD69E7">
              <w:rPr>
                <w:rFonts w:eastAsiaTheme="minorEastAsia"/>
                <w:szCs w:val="24"/>
              </w:rPr>
              <w:t>30</w:t>
            </w:r>
            <w:r w:rsidRPr="00FD69E7" w:rsidR="00B047F7">
              <w:rPr>
                <w:rFonts w:eastAsiaTheme="minorEastAsia"/>
                <w:szCs w:val="24"/>
              </w:rPr>
              <w:t xml:space="preserve"> of its Draft </w:t>
            </w:r>
            <w:r w:rsidR="00950E04">
              <w:rPr>
                <w:rFonts w:eastAsiaTheme="minorEastAsia"/>
                <w:szCs w:val="24"/>
              </w:rPr>
              <w:t>2025 RPS</w:t>
            </w:r>
            <w:r w:rsidRPr="00FD69E7" w:rsidR="00B047F7">
              <w:rPr>
                <w:rFonts w:eastAsiaTheme="minorEastAsia"/>
                <w:szCs w:val="24"/>
              </w:rPr>
              <w:t xml:space="preserve"> Plan</w:t>
            </w:r>
            <w:r w:rsidRPr="00FD69E7">
              <w:rPr>
                <w:rFonts w:eastAsiaTheme="minorEastAsia"/>
                <w:szCs w:val="24"/>
              </w:rPr>
              <w:t>, Calpine Energy Solutions states that it monitors other retail sellers</w:t>
            </w:r>
            <w:r w:rsidR="005A00BE">
              <w:rPr>
                <w:rFonts w:eastAsiaTheme="minorEastAsia"/>
                <w:szCs w:val="24"/>
              </w:rPr>
              <w:t>’</w:t>
            </w:r>
            <w:r w:rsidRPr="00FD69E7">
              <w:rPr>
                <w:rFonts w:eastAsiaTheme="minorEastAsia"/>
                <w:szCs w:val="24"/>
              </w:rPr>
              <w:t xml:space="preserve"> RPS Compliance positions, and when a retail seller fails to meet RPS requirements, it analyzes the cause of the failure and applies any new understandings to its own RPS portfolio. Since there have been a few instances of retail sellers failing to meet RPS compliance requirements in the past, Calpine Energy Solutions should provide some specific examples of lessons learned from those past compliance failures.</w:t>
            </w:r>
          </w:p>
        </w:tc>
      </w:tr>
      <w:bookmarkEnd w:id="128"/>
    </w:tbl>
    <w:p w:rsidRPr="00451C96" w:rsidR="00451C96" w:rsidP="00F277D4" w:rsidRDefault="00451C96" w14:paraId="22D1A9BD" w14:textId="77777777">
      <w:pPr>
        <w:pStyle w:val="StandardTableSub"/>
      </w:pPr>
    </w:p>
    <w:p w:rsidR="00AC0C78" w:rsidP="00F277D4" w:rsidRDefault="00430AE0" w14:paraId="064AE18A" w14:textId="4C93DEE1">
      <w:pPr>
        <w:pStyle w:val="Heading3"/>
      </w:pPr>
      <w:bookmarkStart w:name="_Toc212716177" w:id="129"/>
      <w:bookmarkStart w:name="_Toc214004381" w:id="130"/>
      <w:r w:rsidRPr="00430AE0">
        <w:t>Renewable Net Short</w:t>
      </w:r>
      <w:r w:rsidR="0024704C">
        <w:t xml:space="preserve"> Calculations</w:t>
      </w:r>
      <w:bookmarkEnd w:id="129"/>
      <w:bookmarkEnd w:id="130"/>
    </w:p>
    <w:p w:rsidR="00F023E7" w:rsidP="00F277D4" w:rsidRDefault="0024704C" w14:paraId="7E9C7FDC" w14:textId="678070B4">
      <w:pPr>
        <w:pStyle w:val="Standard"/>
      </w:pPr>
      <w:r>
        <w:t>RNS</w:t>
      </w:r>
      <w:r w:rsidR="000C722D">
        <w:t xml:space="preserve"> calculations show </w:t>
      </w:r>
      <w:r>
        <w:t>the amount of new renewable generation capacity, including resources obtained through short</w:t>
      </w:r>
      <w:r w:rsidR="00E54574">
        <w:noBreakHyphen/>
      </w:r>
      <w:r>
        <w:t>term and long</w:t>
      </w:r>
      <w:r w:rsidR="00E54574">
        <w:noBreakHyphen/>
      </w:r>
      <w:r>
        <w:t>term procurement, that must be built in California or delivered from out</w:t>
      </w:r>
      <w:r w:rsidR="00E54574">
        <w:noBreakHyphen/>
      </w:r>
      <w:r>
        <w:t>of</w:t>
      </w:r>
      <w:r w:rsidR="00E54574">
        <w:noBreakHyphen/>
      </w:r>
      <w:r>
        <w:t xml:space="preserve">state sources or both to meet RPS targets. In their draft RPS Plans, retail sellers are required to provide both a quantitative and narrative response that shows how their risk assessments as described in </w:t>
      </w:r>
      <w:r w:rsidR="009850E3">
        <w:t>Section </w:t>
      </w:r>
      <w:r>
        <w:t xml:space="preserve">VIII of their </w:t>
      </w:r>
      <w:r w:rsidR="00950E04">
        <w:t>2025 RPS</w:t>
      </w:r>
      <w:r>
        <w:t xml:space="preserve"> Plans have been incorporated into their 202</w:t>
      </w:r>
      <w:r w:rsidR="00EA4974">
        <w:t>5</w:t>
      </w:r>
      <w:r>
        <w:t xml:space="preserve"> RNS calculations.</w:t>
      </w:r>
    </w:p>
    <w:p w:rsidR="0024704C" w:rsidP="00F277D4" w:rsidRDefault="0024704C" w14:paraId="2F6D68ED" w14:textId="7993F3B4">
      <w:pPr>
        <w:pStyle w:val="Standard"/>
      </w:pPr>
      <w:r>
        <w:lastRenderedPageBreak/>
        <w:t xml:space="preserve">Upon our review of their Draft </w:t>
      </w:r>
      <w:r w:rsidR="00950E04">
        <w:t>2025 RPS</w:t>
      </w:r>
      <w:r>
        <w:t xml:space="preserve"> Plans, the retail sellers listed below must address identified inconsistencies related to </w:t>
      </w:r>
      <w:r w:rsidR="009850E3">
        <w:t>Section </w:t>
      </w:r>
      <w:r>
        <w:t>VIII</w:t>
      </w:r>
      <w:r w:rsidR="006319D7">
        <w:t xml:space="preserve"> (</w:t>
      </w:r>
      <w:r>
        <w:t>[RNS] Calculation</w:t>
      </w:r>
      <w:r w:rsidR="006319D7">
        <w:t>)</w:t>
      </w:r>
      <w:r>
        <w:t xml:space="preserve"> in their RPS Plans, as detailed in </w:t>
      </w:r>
      <w:r w:rsidR="00F920D3">
        <w:t>Table </w:t>
      </w:r>
      <w:r w:rsidR="000B5108">
        <w:t>9</w:t>
      </w:r>
      <w:r>
        <w:t>.</w:t>
      </w:r>
    </w:p>
    <w:p w:rsidRPr="00C55273" w:rsidR="0024704C" w:rsidP="00741AD5" w:rsidRDefault="00F920D3" w14:paraId="59840A2B" w14:textId="65728314">
      <w:pPr>
        <w:pStyle w:val="TableTitleBody"/>
        <w:rPr>
          <w:bCs w:val="0"/>
        </w:rPr>
      </w:pPr>
      <w:r>
        <w:t>Table </w:t>
      </w:r>
      <w:r w:rsidR="007D1EC2">
        <w:t>9</w:t>
      </w:r>
      <w:r w:rsidR="00CD5830">
        <w:rPr>
          <w:b w:val="0"/>
          <w:bCs w:val="0"/>
        </w:rPr>
        <w:t xml:space="preserve">:  </w:t>
      </w:r>
      <w:r w:rsidRPr="00C55273" w:rsidR="0024704C">
        <w:t>Renewable Net Short Calculation</w:t>
      </w:r>
    </w:p>
    <w:tbl>
      <w:tblPr>
        <w:tblStyle w:val="TableGrid2"/>
        <w:tblW w:w="9360" w:type="dxa"/>
        <w:tblLayout w:type="fixed"/>
        <w:tblCellMar>
          <w:top w:w="58" w:type="dxa"/>
          <w:bottom w:w="58" w:type="dxa"/>
        </w:tblCellMar>
        <w:tblLook w:val="06A0" w:firstRow="1" w:lastRow="0" w:firstColumn="1" w:lastColumn="0" w:noHBand="1" w:noVBand="1"/>
      </w:tblPr>
      <w:tblGrid>
        <w:gridCol w:w="3145"/>
        <w:gridCol w:w="6215"/>
      </w:tblGrid>
      <w:tr w:rsidRPr="00FD69E7" w:rsidR="0024704C" w:rsidTr="00741AD5" w14:paraId="1CD3C8B7" w14:textId="77777777">
        <w:trPr>
          <w:tblHeader/>
        </w:trPr>
        <w:tc>
          <w:tcPr>
            <w:tcW w:w="3145" w:type="dxa"/>
            <w:shd w:val="clear" w:color="auto" w:fill="BFBFBF" w:themeFill="background1" w:themeFillShade="BF"/>
            <w:vAlign w:val="bottom"/>
          </w:tcPr>
          <w:p w:rsidRPr="00FD69E7" w:rsidR="0024704C" w:rsidP="00741AD5" w:rsidRDefault="0024704C" w14:paraId="3986F58E" w14:textId="5A6FA723">
            <w:pPr>
              <w:keepNext/>
              <w:spacing w:line="240" w:lineRule="auto"/>
              <w:ind w:firstLine="0"/>
              <w:jc w:val="center"/>
              <w:rPr>
                <w:rFonts w:eastAsia="Times New Roman" w:cs="Times New Roman"/>
                <w:b/>
                <w:bCs/>
                <w:szCs w:val="24"/>
              </w:rPr>
            </w:pPr>
            <w:bookmarkStart w:name="_Hlk181788702" w:id="131"/>
            <w:r w:rsidRPr="00FD69E7">
              <w:rPr>
                <w:b/>
                <w:color w:val="000000" w:themeColor="text1"/>
                <w:szCs w:val="24"/>
              </w:rPr>
              <w:t>Retail Seller</w:t>
            </w:r>
          </w:p>
        </w:tc>
        <w:tc>
          <w:tcPr>
            <w:tcW w:w="6215" w:type="dxa"/>
            <w:shd w:val="clear" w:color="auto" w:fill="BFBFBF" w:themeFill="background1" w:themeFillShade="BF"/>
            <w:vAlign w:val="bottom"/>
          </w:tcPr>
          <w:p w:rsidRPr="00FD69E7" w:rsidR="0024704C" w:rsidP="00741AD5" w:rsidRDefault="0024704C" w14:paraId="09870B93"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6D514A" w:rsidTr="00741AD5" w14:paraId="53A4FB60" w14:textId="77777777">
        <w:tc>
          <w:tcPr>
            <w:tcW w:w="3145" w:type="dxa"/>
          </w:tcPr>
          <w:p w:rsidRPr="00741AD5" w:rsidR="006D514A" w:rsidP="00F277D4" w:rsidRDefault="006D514A" w14:paraId="0E0C979D" w14:textId="5D127B7C">
            <w:pPr>
              <w:spacing w:line="240" w:lineRule="auto"/>
              <w:ind w:firstLine="0"/>
              <w:rPr>
                <w:rFonts w:eastAsia="Times New Roman" w:cs="Times New Roman"/>
                <w:szCs w:val="24"/>
              </w:rPr>
            </w:pPr>
            <w:r w:rsidRPr="00741AD5">
              <w:rPr>
                <w:rFonts w:eastAsia="Times New Roman" w:cs="Times New Roman"/>
                <w:szCs w:val="24"/>
              </w:rPr>
              <w:t>City of Pomona</w:t>
            </w:r>
          </w:p>
        </w:tc>
        <w:tc>
          <w:tcPr>
            <w:tcW w:w="6215" w:type="dxa"/>
          </w:tcPr>
          <w:p w:rsidRPr="00FD69E7" w:rsidR="006D514A" w:rsidP="00741AD5" w:rsidRDefault="006D514A" w14:paraId="14211165" w14:textId="7F96438B">
            <w:pPr>
              <w:spacing w:after="120" w:line="240" w:lineRule="auto"/>
              <w:ind w:firstLine="0"/>
              <w:rPr>
                <w:rFonts w:eastAsia="Calibri" w:cs="Calibri"/>
                <w:szCs w:val="24"/>
              </w:rPr>
            </w:pPr>
            <w:r w:rsidRPr="00FD69E7">
              <w:rPr>
                <w:rFonts w:eastAsia="Calibri" w:cs="Calibri"/>
                <w:szCs w:val="24"/>
              </w:rPr>
              <w:t xml:space="preserve">On </w:t>
            </w:r>
            <w:r w:rsidR="00FD21B9">
              <w:rPr>
                <w:rFonts w:eastAsia="Calibri" w:cs="Calibri"/>
                <w:szCs w:val="24"/>
              </w:rPr>
              <w:t>page </w:t>
            </w:r>
            <w:r w:rsidRPr="00FD69E7">
              <w:rPr>
                <w:rFonts w:eastAsia="Calibri" w:cs="Calibri"/>
                <w:szCs w:val="24"/>
              </w:rPr>
              <w:t xml:space="preserve">78 of its Draft </w:t>
            </w:r>
            <w:r w:rsidR="00950E04">
              <w:rPr>
                <w:rFonts w:eastAsia="Calibri" w:cs="Calibri"/>
                <w:szCs w:val="24"/>
              </w:rPr>
              <w:t>2025 RPS</w:t>
            </w:r>
            <w:r w:rsidRPr="00FD69E7">
              <w:rPr>
                <w:rFonts w:eastAsia="Calibri" w:cs="Calibri"/>
                <w:szCs w:val="24"/>
              </w:rPr>
              <w:t xml:space="preserve"> Plan, the City of Pomona states that 5.98</w:t>
            </w:r>
            <w:r w:rsidRPr="00FD69E7" w:rsidR="008C0F68">
              <w:rPr>
                <w:rFonts w:eastAsia="Calibri" w:cs="Calibri"/>
                <w:szCs w:val="24"/>
              </w:rPr>
              <w:t> percent</w:t>
            </w:r>
            <w:r w:rsidRPr="00FD69E7">
              <w:rPr>
                <w:rFonts w:eastAsia="Calibri" w:cs="Calibri"/>
                <w:szCs w:val="24"/>
              </w:rPr>
              <w:t xml:space="preserve"> of its future renewables deliveries were at risk and that it applied this percentage as failure rates for existing and online generation when preparing its RNS calculations in </w:t>
            </w:r>
            <w:r w:rsidR="00EA7593">
              <w:rPr>
                <w:rFonts w:eastAsia="Calibri" w:cs="Calibri"/>
                <w:szCs w:val="24"/>
              </w:rPr>
              <w:t>rows </w:t>
            </w:r>
            <w:r w:rsidRPr="00FD69E7">
              <w:rPr>
                <w:rFonts w:eastAsia="Calibri" w:cs="Calibri"/>
                <w:szCs w:val="24"/>
              </w:rPr>
              <w:t xml:space="preserve">14 and 16 of its RNS template. However, the sum of the values entered in the RNS template </w:t>
            </w:r>
            <w:r w:rsidR="004328A6">
              <w:rPr>
                <w:rFonts w:eastAsia="Calibri" w:cs="Calibri"/>
                <w:szCs w:val="24"/>
              </w:rPr>
              <w:t>Excel</w:t>
            </w:r>
            <w:r w:rsidRPr="00FD69E7">
              <w:rPr>
                <w:rFonts w:eastAsia="Calibri" w:cs="Calibri"/>
                <w:szCs w:val="24"/>
              </w:rPr>
              <w:t xml:space="preserve"> files at </w:t>
            </w:r>
            <w:r w:rsidR="00EA7593">
              <w:rPr>
                <w:rFonts w:eastAsia="Calibri" w:cs="Calibri"/>
                <w:szCs w:val="24"/>
              </w:rPr>
              <w:t>rows </w:t>
            </w:r>
            <w:r w:rsidRPr="00FD69E7">
              <w:rPr>
                <w:rFonts w:eastAsia="Calibri" w:cs="Calibri"/>
                <w:szCs w:val="24"/>
              </w:rPr>
              <w:t xml:space="preserve">14 and 16 are different from what is reported on </w:t>
            </w:r>
            <w:r w:rsidR="00FD21B9">
              <w:rPr>
                <w:rFonts w:eastAsia="Calibri" w:cs="Calibri"/>
                <w:szCs w:val="24"/>
              </w:rPr>
              <w:t>page </w:t>
            </w:r>
            <w:r w:rsidRPr="00FD69E7">
              <w:rPr>
                <w:rFonts w:eastAsia="Calibri" w:cs="Calibri"/>
                <w:szCs w:val="24"/>
              </w:rPr>
              <w:t xml:space="preserve">79 in the RNS Calculations narrative. The City of Pomona must clarify the values reported in this section of the RPS Plan narrative, the RNS template attached to its RPS Plan, and the RNS template </w:t>
            </w:r>
            <w:r w:rsidR="004328A6">
              <w:rPr>
                <w:rFonts w:eastAsia="Calibri" w:cs="Calibri"/>
                <w:szCs w:val="24"/>
              </w:rPr>
              <w:t>Excel</w:t>
            </w:r>
            <w:r w:rsidRPr="00FD69E7">
              <w:rPr>
                <w:rFonts w:eastAsia="Calibri" w:cs="Calibri"/>
                <w:szCs w:val="24"/>
              </w:rPr>
              <w:t xml:space="preserve"> file that was submitted to Energy Division.</w:t>
            </w:r>
          </w:p>
        </w:tc>
      </w:tr>
      <w:tr w:rsidRPr="00FD69E7" w:rsidR="006D514A" w:rsidTr="00741AD5" w14:paraId="754E6415" w14:textId="77777777">
        <w:tc>
          <w:tcPr>
            <w:tcW w:w="3145" w:type="dxa"/>
          </w:tcPr>
          <w:p w:rsidRPr="00741AD5" w:rsidR="006D514A" w:rsidP="00F277D4" w:rsidRDefault="006D514A" w14:paraId="6F3FED90" w14:textId="3195F43E">
            <w:pPr>
              <w:spacing w:line="240" w:lineRule="auto"/>
              <w:ind w:firstLine="0"/>
              <w:rPr>
                <w:rFonts w:eastAsia="Times New Roman" w:cs="Times New Roman"/>
                <w:szCs w:val="24"/>
              </w:rPr>
            </w:pPr>
            <w:r w:rsidRPr="00741AD5">
              <w:rPr>
                <w:rFonts w:eastAsia="Times New Roman" w:cs="Times New Roman"/>
                <w:szCs w:val="24"/>
              </w:rPr>
              <w:t>Lancaster Choice Energy</w:t>
            </w:r>
          </w:p>
        </w:tc>
        <w:tc>
          <w:tcPr>
            <w:tcW w:w="6215" w:type="dxa"/>
          </w:tcPr>
          <w:p w:rsidRPr="00FD69E7" w:rsidR="006D514A" w:rsidP="00741AD5" w:rsidRDefault="006D514A" w14:paraId="0289A367" w14:textId="79141506">
            <w:pPr>
              <w:spacing w:after="120" w:line="240" w:lineRule="auto"/>
              <w:ind w:firstLine="0"/>
              <w:rPr>
                <w:rFonts w:eastAsia="Calibri" w:cs="Calibri"/>
                <w:szCs w:val="24"/>
              </w:rPr>
            </w:pPr>
            <w:r w:rsidRPr="00FD69E7">
              <w:rPr>
                <w:rFonts w:eastAsia="Calibri" w:cs="Calibri"/>
                <w:szCs w:val="24"/>
              </w:rPr>
              <w:t xml:space="preserve">On </w:t>
            </w:r>
            <w:r w:rsidR="00FD21B9">
              <w:rPr>
                <w:rFonts w:eastAsia="Calibri" w:cs="Calibri"/>
                <w:szCs w:val="24"/>
              </w:rPr>
              <w:t>page </w:t>
            </w:r>
            <w:r w:rsidRPr="00FD69E7">
              <w:rPr>
                <w:rFonts w:eastAsia="Calibri" w:cs="Calibri"/>
                <w:szCs w:val="24"/>
              </w:rPr>
              <w:t xml:space="preserve">78 of its Draft </w:t>
            </w:r>
            <w:r w:rsidR="00950E04">
              <w:rPr>
                <w:rFonts w:eastAsia="Calibri" w:cs="Calibri"/>
                <w:szCs w:val="24"/>
              </w:rPr>
              <w:t>2025 RPS</w:t>
            </w:r>
            <w:r w:rsidRPr="00FD69E7">
              <w:rPr>
                <w:rFonts w:eastAsia="Calibri" w:cs="Calibri"/>
                <w:szCs w:val="24"/>
              </w:rPr>
              <w:t xml:space="preserve"> Plan, Lancaster Choice Energy states that it applies a 9.47</w:t>
            </w:r>
            <w:r w:rsidRPr="00FD69E7" w:rsidR="008C0F68">
              <w:rPr>
                <w:rFonts w:eastAsia="Calibri" w:cs="Calibri"/>
                <w:szCs w:val="24"/>
              </w:rPr>
              <w:t> percent</w:t>
            </w:r>
            <w:r w:rsidRPr="00FD69E7">
              <w:rPr>
                <w:rFonts w:eastAsia="Calibri" w:cs="Calibri"/>
                <w:szCs w:val="24"/>
              </w:rPr>
              <w:t xml:space="preserve"> failure rate for both facilities in development and online generation. However, in other parts of this section Lancaster Choice Energy states that this failure rate is 7.72</w:t>
            </w:r>
            <w:r w:rsidRPr="00FD69E7" w:rsidR="008C0F68">
              <w:rPr>
                <w:rFonts w:eastAsia="Calibri" w:cs="Calibri"/>
                <w:szCs w:val="24"/>
              </w:rPr>
              <w:t> percent</w:t>
            </w:r>
            <w:r w:rsidRPr="00FD69E7">
              <w:rPr>
                <w:rFonts w:eastAsia="Calibri" w:cs="Calibri"/>
                <w:szCs w:val="24"/>
              </w:rPr>
              <w:t>. Lancaster Choice must clarify these figures.</w:t>
            </w:r>
          </w:p>
        </w:tc>
      </w:tr>
      <w:tr w:rsidRPr="00FD69E7" w:rsidR="006D514A" w:rsidTr="00741AD5" w14:paraId="6D519BDB" w14:textId="77777777">
        <w:tc>
          <w:tcPr>
            <w:tcW w:w="3145" w:type="dxa"/>
          </w:tcPr>
          <w:p w:rsidRPr="00741AD5" w:rsidR="006D514A" w:rsidP="00F277D4" w:rsidRDefault="006D514A" w14:paraId="22CB86E1" w14:textId="7853237D">
            <w:pPr>
              <w:spacing w:line="240" w:lineRule="auto"/>
              <w:ind w:firstLine="0"/>
              <w:rPr>
                <w:rFonts w:eastAsia="Times New Roman" w:cs="Times New Roman"/>
                <w:szCs w:val="24"/>
              </w:rPr>
            </w:pPr>
            <w:r w:rsidRPr="00741AD5">
              <w:rPr>
                <w:rFonts w:eastAsia="Times New Roman" w:cs="Times New Roman"/>
                <w:szCs w:val="24"/>
              </w:rPr>
              <w:t>Pico Rivera</w:t>
            </w:r>
          </w:p>
        </w:tc>
        <w:tc>
          <w:tcPr>
            <w:tcW w:w="6215" w:type="dxa"/>
          </w:tcPr>
          <w:p w:rsidRPr="00FD69E7" w:rsidR="006D514A" w:rsidP="00741AD5" w:rsidRDefault="006D514A" w14:paraId="75021E4E" w14:textId="576D71AC">
            <w:pPr>
              <w:spacing w:after="120" w:line="240" w:lineRule="auto"/>
              <w:ind w:firstLine="0"/>
              <w:rPr>
                <w:rFonts w:eastAsia="Calibri" w:cs="Calibri"/>
                <w:szCs w:val="24"/>
              </w:rPr>
            </w:pPr>
            <w:r w:rsidRPr="00FD69E7">
              <w:rPr>
                <w:rFonts w:eastAsia="Calibri" w:cs="Calibri"/>
                <w:szCs w:val="24"/>
              </w:rPr>
              <w:t xml:space="preserve">On </w:t>
            </w:r>
            <w:r w:rsidR="00FD21B9">
              <w:rPr>
                <w:rFonts w:eastAsia="Calibri" w:cs="Calibri"/>
                <w:szCs w:val="24"/>
              </w:rPr>
              <w:t>page </w:t>
            </w:r>
            <w:r w:rsidRPr="00FD69E7">
              <w:rPr>
                <w:rFonts w:eastAsia="Calibri" w:cs="Calibri"/>
                <w:szCs w:val="24"/>
              </w:rPr>
              <w:t xml:space="preserve">78 of its Draft </w:t>
            </w:r>
            <w:r w:rsidR="00950E04">
              <w:rPr>
                <w:rFonts w:eastAsia="Calibri" w:cs="Calibri"/>
                <w:szCs w:val="24"/>
              </w:rPr>
              <w:t>2025 RPS</w:t>
            </w:r>
            <w:r w:rsidRPr="00FD69E7">
              <w:rPr>
                <w:rFonts w:eastAsia="Calibri" w:cs="Calibri"/>
                <w:szCs w:val="24"/>
              </w:rPr>
              <w:t xml:space="preserve"> Plan, Pico Rivera states that 6.07</w:t>
            </w:r>
            <w:r w:rsidRPr="00FD69E7" w:rsidR="008C0F68">
              <w:rPr>
                <w:rFonts w:eastAsia="Calibri" w:cs="Calibri"/>
                <w:szCs w:val="24"/>
              </w:rPr>
              <w:t> percent</w:t>
            </w:r>
            <w:r w:rsidRPr="00FD69E7">
              <w:rPr>
                <w:rFonts w:eastAsia="Calibri" w:cs="Calibri"/>
                <w:szCs w:val="24"/>
              </w:rPr>
              <w:t xml:space="preserve"> of its future renewables deliveries were at risk and that it applied this percentage as failure rates for existing and online generation when preparing its RNS calculations in </w:t>
            </w:r>
            <w:r w:rsidR="00EA7593">
              <w:rPr>
                <w:rFonts w:eastAsia="Calibri" w:cs="Calibri"/>
                <w:szCs w:val="24"/>
              </w:rPr>
              <w:t>rows </w:t>
            </w:r>
            <w:r w:rsidRPr="00FD69E7">
              <w:rPr>
                <w:rFonts w:eastAsia="Calibri" w:cs="Calibri"/>
                <w:szCs w:val="24"/>
              </w:rPr>
              <w:t xml:space="preserve">14 and 16 of its RNS template. However, the sum of the values entered in the RNS template </w:t>
            </w:r>
            <w:r w:rsidR="004328A6">
              <w:rPr>
                <w:rFonts w:eastAsia="Calibri" w:cs="Calibri"/>
                <w:szCs w:val="24"/>
              </w:rPr>
              <w:t>Excel</w:t>
            </w:r>
            <w:r w:rsidRPr="00FD69E7">
              <w:rPr>
                <w:rFonts w:eastAsia="Calibri" w:cs="Calibri"/>
                <w:szCs w:val="24"/>
              </w:rPr>
              <w:t xml:space="preserve"> files at </w:t>
            </w:r>
            <w:r w:rsidR="00EA7593">
              <w:rPr>
                <w:rFonts w:eastAsia="Calibri" w:cs="Calibri"/>
                <w:szCs w:val="24"/>
              </w:rPr>
              <w:t>rows </w:t>
            </w:r>
            <w:r w:rsidRPr="00FD69E7">
              <w:rPr>
                <w:rFonts w:eastAsia="Calibri" w:cs="Calibri"/>
                <w:szCs w:val="24"/>
              </w:rPr>
              <w:t xml:space="preserve">14 and 16 are different from what is reported on </w:t>
            </w:r>
            <w:r w:rsidR="00FD21B9">
              <w:rPr>
                <w:rFonts w:eastAsia="Calibri" w:cs="Calibri"/>
                <w:szCs w:val="24"/>
              </w:rPr>
              <w:t>page </w:t>
            </w:r>
            <w:r w:rsidRPr="00FD69E7">
              <w:rPr>
                <w:rFonts w:eastAsia="Calibri" w:cs="Calibri"/>
                <w:szCs w:val="24"/>
              </w:rPr>
              <w:t xml:space="preserve">79 in the RNS Calculations </w:t>
            </w:r>
            <w:r w:rsidRPr="00FD69E7">
              <w:rPr>
                <w:rFonts w:eastAsia="Calibri" w:cs="Calibri"/>
                <w:szCs w:val="24"/>
              </w:rPr>
              <w:lastRenderedPageBreak/>
              <w:t xml:space="preserve">narrative. Pico Rivera must clarify the values reported in this section of the RPS Plan narrative, the RNS template attached to its RPS Plan, and the RNS template </w:t>
            </w:r>
            <w:r w:rsidR="004328A6">
              <w:rPr>
                <w:rFonts w:eastAsia="Calibri" w:cs="Calibri"/>
                <w:szCs w:val="24"/>
              </w:rPr>
              <w:t>Excel</w:t>
            </w:r>
            <w:r w:rsidRPr="00FD69E7">
              <w:rPr>
                <w:rFonts w:eastAsia="Calibri" w:cs="Calibri"/>
                <w:szCs w:val="24"/>
              </w:rPr>
              <w:t xml:space="preserve"> file that was submitted to Energy Division.</w:t>
            </w:r>
          </w:p>
        </w:tc>
      </w:tr>
      <w:tr w:rsidRPr="00FD69E7" w:rsidR="0024704C" w:rsidTr="00741AD5" w14:paraId="340211D2" w14:textId="77777777">
        <w:tc>
          <w:tcPr>
            <w:tcW w:w="3145" w:type="dxa"/>
          </w:tcPr>
          <w:p w:rsidRPr="00741AD5" w:rsidR="0024704C" w:rsidP="00F277D4" w:rsidRDefault="00DA6578" w14:paraId="03C7E4CF" w14:textId="4E9E795D">
            <w:pPr>
              <w:spacing w:line="240" w:lineRule="auto"/>
              <w:ind w:firstLine="0"/>
              <w:rPr>
                <w:rFonts w:eastAsia="Times New Roman" w:cs="Times New Roman"/>
                <w:szCs w:val="24"/>
              </w:rPr>
            </w:pPr>
            <w:r>
              <w:rPr>
                <w:rFonts w:eastAsia="Times New Roman" w:cs="Times New Roman"/>
                <w:szCs w:val="24"/>
              </w:rPr>
              <w:lastRenderedPageBreak/>
              <w:t>Shell E</w:t>
            </w:r>
            <w:r w:rsidRPr="00741AD5" w:rsidR="00CD583C">
              <w:rPr>
                <w:rFonts w:eastAsia="Times New Roman" w:cs="Times New Roman"/>
                <w:szCs w:val="24"/>
              </w:rPr>
              <w:t>nergy</w:t>
            </w:r>
          </w:p>
        </w:tc>
        <w:tc>
          <w:tcPr>
            <w:tcW w:w="6215" w:type="dxa"/>
          </w:tcPr>
          <w:p w:rsidRPr="00FD69E7" w:rsidR="00CD583C" w:rsidP="00741AD5" w:rsidRDefault="00DA6578" w14:paraId="2D116083" w14:textId="21AE0F48">
            <w:pPr>
              <w:pStyle w:val="ListParagraph"/>
              <w:numPr>
                <w:ilvl w:val="0"/>
                <w:numId w:val="26"/>
              </w:numPr>
              <w:spacing w:after="120" w:line="240" w:lineRule="auto"/>
              <w:ind w:left="360"/>
              <w:contextualSpacing w:val="0"/>
              <w:rPr>
                <w:rFonts w:eastAsia="Calibri" w:cs="Calibri"/>
                <w:szCs w:val="24"/>
              </w:rPr>
            </w:pPr>
            <w:r>
              <w:rPr>
                <w:rFonts w:eastAsia="Calibri" w:cs="Calibri"/>
                <w:szCs w:val="24"/>
              </w:rPr>
              <w:t>Shell E</w:t>
            </w:r>
            <w:r w:rsidRPr="00FD69E7" w:rsidR="00CD583C">
              <w:rPr>
                <w:rFonts w:eastAsia="Calibri" w:cs="Calibri"/>
                <w:szCs w:val="24"/>
              </w:rPr>
              <w:t>nergy</w:t>
            </w:r>
            <w:r w:rsidR="005A00BE">
              <w:rPr>
                <w:rFonts w:eastAsia="Calibri" w:cs="Calibri"/>
                <w:szCs w:val="24"/>
              </w:rPr>
              <w:t>’</w:t>
            </w:r>
            <w:r w:rsidRPr="00FD69E7" w:rsidR="00CD583C">
              <w:rPr>
                <w:rFonts w:eastAsia="Calibri" w:cs="Calibri"/>
                <w:szCs w:val="24"/>
              </w:rPr>
              <w:t xml:space="preserve">s RPS Plan narrative and RNS template for this section do not provide insight into </w:t>
            </w:r>
            <w:r>
              <w:rPr>
                <w:rFonts w:eastAsia="Calibri" w:cs="Calibri"/>
                <w:szCs w:val="24"/>
              </w:rPr>
              <w:t>Shell E</w:t>
            </w:r>
            <w:r w:rsidRPr="00FD69E7" w:rsidR="00CD583C">
              <w:rPr>
                <w:rFonts w:eastAsia="Calibri" w:cs="Calibri"/>
                <w:szCs w:val="24"/>
              </w:rPr>
              <w:t>nergy</w:t>
            </w:r>
            <w:r w:rsidR="005A00BE">
              <w:rPr>
                <w:rFonts w:eastAsia="Calibri" w:cs="Calibri"/>
                <w:szCs w:val="24"/>
              </w:rPr>
              <w:t>’</w:t>
            </w:r>
            <w:r w:rsidRPr="00FD69E7" w:rsidR="00CD583C">
              <w:rPr>
                <w:rFonts w:eastAsia="Calibri" w:cs="Calibri"/>
                <w:szCs w:val="24"/>
              </w:rPr>
              <w:t xml:space="preserve">s RPS position for 2025 and subsequent years and compliance periods. The narrative for this section does not clearly describe </w:t>
            </w:r>
            <w:r>
              <w:rPr>
                <w:rFonts w:eastAsia="Calibri" w:cs="Calibri"/>
                <w:szCs w:val="24"/>
              </w:rPr>
              <w:t>Shell E</w:t>
            </w:r>
            <w:r w:rsidRPr="00FD69E7" w:rsidR="00C77DC0">
              <w:rPr>
                <w:rFonts w:eastAsia="Calibri" w:cs="Calibri"/>
                <w:szCs w:val="24"/>
              </w:rPr>
              <w:t>nergy</w:t>
            </w:r>
            <w:r w:rsidR="005A00BE">
              <w:rPr>
                <w:rFonts w:eastAsia="Calibri" w:cs="Calibri"/>
                <w:szCs w:val="24"/>
              </w:rPr>
              <w:t>’</w:t>
            </w:r>
            <w:r w:rsidRPr="00FD69E7" w:rsidR="006D514A">
              <w:rPr>
                <w:rFonts w:eastAsia="Calibri" w:cs="Calibri"/>
                <w:szCs w:val="24"/>
              </w:rPr>
              <w:t xml:space="preserve">s </w:t>
            </w:r>
            <w:r w:rsidRPr="00FD69E7" w:rsidR="00CD583C">
              <w:rPr>
                <w:rFonts w:eastAsia="Calibri" w:cs="Calibri"/>
                <w:szCs w:val="24"/>
              </w:rPr>
              <w:t xml:space="preserve">quantitative progress towards RPS requirements, as required by the </w:t>
            </w:r>
            <w:r w:rsidRPr="00FD69E7" w:rsidR="00292F75">
              <w:rPr>
                <w:rFonts w:eastAsia="Calibri" w:cs="Calibri"/>
                <w:szCs w:val="24"/>
              </w:rPr>
              <w:t xml:space="preserve">2025 </w:t>
            </w:r>
            <w:r w:rsidRPr="00FD69E7" w:rsidR="00CD583C">
              <w:rPr>
                <w:rFonts w:eastAsia="Calibri" w:cs="Calibri"/>
                <w:szCs w:val="24"/>
              </w:rPr>
              <w:t>ACR.</w:t>
            </w:r>
            <w:r w:rsidRPr="00FD69E7" w:rsidR="00292F75">
              <w:rPr>
                <w:rStyle w:val="FootnoteReference"/>
                <w:rFonts w:eastAsia="Calibri" w:cs="Calibri"/>
                <w:szCs w:val="24"/>
              </w:rPr>
              <w:footnoteReference w:id="111"/>
            </w:r>
            <w:r w:rsidRPr="00FD69E7" w:rsidR="00CD583C">
              <w:rPr>
                <w:rFonts w:eastAsia="Calibri" w:cs="Calibri"/>
                <w:szCs w:val="24"/>
              </w:rPr>
              <w:t xml:space="preserve"> </w:t>
            </w:r>
            <w:r>
              <w:rPr>
                <w:rFonts w:eastAsia="Calibri" w:cs="Calibri"/>
                <w:szCs w:val="24"/>
              </w:rPr>
              <w:t>Shell E</w:t>
            </w:r>
            <w:r w:rsidRPr="00FD69E7" w:rsidR="00CD583C">
              <w:rPr>
                <w:rFonts w:eastAsia="Calibri" w:cs="Calibri"/>
                <w:szCs w:val="24"/>
              </w:rPr>
              <w:t>nergy must provide a quantitative description of its progress towards RPS requirements for the current and future compliance periods.</w:t>
            </w:r>
          </w:p>
          <w:p w:rsidRPr="00FD69E7" w:rsidR="00F023E7" w:rsidP="00741AD5" w:rsidRDefault="00292F75" w14:paraId="7E7CEBB8" w14:textId="17A6F299">
            <w:pPr>
              <w:pStyle w:val="ListParagraph"/>
              <w:numPr>
                <w:ilvl w:val="0"/>
                <w:numId w:val="26"/>
              </w:numPr>
              <w:spacing w:after="120" w:line="240" w:lineRule="auto"/>
              <w:ind w:left="360"/>
              <w:contextualSpacing w:val="0"/>
              <w:rPr>
                <w:rFonts w:eastAsia="Calibri" w:cs="Calibri"/>
                <w:szCs w:val="24"/>
              </w:rPr>
            </w:pPr>
            <w:r w:rsidRPr="00FD69E7">
              <w:rPr>
                <w:rFonts w:eastAsia="Calibri" w:cs="Calibri"/>
                <w:szCs w:val="24"/>
              </w:rPr>
              <w:t>T</w:t>
            </w:r>
            <w:r w:rsidRPr="00FD69E7" w:rsidR="00CD583C">
              <w:rPr>
                <w:rFonts w:eastAsia="Calibri" w:cs="Calibri"/>
                <w:szCs w:val="24"/>
              </w:rPr>
              <w:t xml:space="preserve">he RNS template submitted by </w:t>
            </w:r>
            <w:r w:rsidR="00DA6578">
              <w:rPr>
                <w:rFonts w:eastAsia="Calibri" w:cs="Calibri"/>
                <w:szCs w:val="24"/>
              </w:rPr>
              <w:t>Shell E</w:t>
            </w:r>
            <w:r w:rsidRPr="00FD69E7" w:rsidR="00CD583C">
              <w:rPr>
                <w:rFonts w:eastAsia="Calibri" w:cs="Calibri"/>
                <w:szCs w:val="24"/>
              </w:rPr>
              <w:t>nergy is incomplete and is inconsistent with the current status of its RPS procurement as reported in other areas of its RPS Plan.</w:t>
            </w:r>
          </w:p>
          <w:p w:rsidRPr="00FD69E7" w:rsidR="00CD583C" w:rsidP="00741AD5" w:rsidRDefault="00CD583C" w14:paraId="6A1B4A66" w14:textId="4B3E7741">
            <w:pPr>
              <w:pStyle w:val="ListParagraph"/>
              <w:spacing w:after="120" w:line="240" w:lineRule="auto"/>
              <w:ind w:left="360" w:firstLine="0"/>
              <w:contextualSpacing w:val="0"/>
              <w:rPr>
                <w:rFonts w:eastAsia="Calibri" w:cs="Calibri"/>
                <w:szCs w:val="24"/>
              </w:rPr>
            </w:pPr>
            <w:r w:rsidRPr="00FD69E7">
              <w:rPr>
                <w:rFonts w:eastAsia="Calibri" w:cs="Calibri"/>
                <w:szCs w:val="24"/>
              </w:rPr>
              <w:t xml:space="preserve">First, the values reported on </w:t>
            </w:r>
            <w:r w:rsidR="00DA6578">
              <w:rPr>
                <w:rFonts w:eastAsia="Calibri" w:cs="Calibri"/>
                <w:szCs w:val="24"/>
              </w:rPr>
              <w:t>Shell E</w:t>
            </w:r>
            <w:r w:rsidRPr="00FD69E7">
              <w:rPr>
                <w:rFonts w:eastAsia="Calibri" w:cs="Calibri"/>
                <w:szCs w:val="24"/>
              </w:rPr>
              <w:t>nergy</w:t>
            </w:r>
            <w:r w:rsidR="005A00BE">
              <w:rPr>
                <w:rFonts w:eastAsia="Calibri" w:cs="Calibri"/>
                <w:szCs w:val="24"/>
              </w:rPr>
              <w:t>’</w:t>
            </w:r>
            <w:r w:rsidRPr="00FD69E7">
              <w:rPr>
                <w:rFonts w:eastAsia="Calibri" w:cs="Calibri"/>
                <w:szCs w:val="24"/>
              </w:rPr>
              <w:t xml:space="preserve">s RNS template are inconsistent with </w:t>
            </w:r>
            <w:r w:rsidR="00DA6578">
              <w:rPr>
                <w:rFonts w:eastAsia="Calibri" w:cs="Calibri"/>
                <w:szCs w:val="24"/>
              </w:rPr>
              <w:t>Shell E</w:t>
            </w:r>
            <w:r w:rsidRPr="00FD69E7">
              <w:rPr>
                <w:rFonts w:eastAsia="Calibri" w:cs="Calibri"/>
                <w:szCs w:val="24"/>
              </w:rPr>
              <w:t>nergy</w:t>
            </w:r>
            <w:r w:rsidR="005A00BE">
              <w:rPr>
                <w:rFonts w:eastAsia="Calibri" w:cs="Calibri"/>
                <w:szCs w:val="24"/>
              </w:rPr>
              <w:t>’</w:t>
            </w:r>
            <w:r w:rsidRPr="00FD69E7">
              <w:rPr>
                <w:rFonts w:eastAsia="Calibri" w:cs="Calibri"/>
                <w:szCs w:val="24"/>
              </w:rPr>
              <w:t>s long</w:t>
            </w:r>
            <w:r w:rsidR="00E54574">
              <w:rPr>
                <w:rFonts w:eastAsia="Calibri" w:cs="Calibri"/>
                <w:szCs w:val="24"/>
              </w:rPr>
              <w:noBreakHyphen/>
            </w:r>
            <w:r w:rsidRPr="00FD69E7">
              <w:rPr>
                <w:rFonts w:eastAsia="Calibri" w:cs="Calibri"/>
                <w:szCs w:val="24"/>
              </w:rPr>
              <w:t xml:space="preserve">term contracting progress in </w:t>
            </w:r>
            <w:r w:rsidR="00F920D3">
              <w:rPr>
                <w:rFonts w:eastAsia="Calibri" w:cs="Calibri"/>
                <w:szCs w:val="24"/>
              </w:rPr>
              <w:t>Table 1</w:t>
            </w:r>
            <w:r w:rsidRPr="00FD69E7">
              <w:rPr>
                <w:rFonts w:eastAsia="Calibri" w:cs="Calibri"/>
                <w:szCs w:val="24"/>
              </w:rPr>
              <w:t xml:space="preserve"> on </w:t>
            </w:r>
            <w:r w:rsidR="00FD21B9">
              <w:rPr>
                <w:rFonts w:eastAsia="Calibri" w:cs="Calibri"/>
                <w:szCs w:val="24"/>
              </w:rPr>
              <w:t>page </w:t>
            </w:r>
            <w:r w:rsidRPr="00FD69E7">
              <w:rPr>
                <w:rFonts w:eastAsia="Calibri" w:cs="Calibri"/>
                <w:szCs w:val="24"/>
              </w:rPr>
              <w:t xml:space="preserve">10 of its </w:t>
            </w:r>
            <w:r w:rsidRPr="00FD69E7" w:rsidR="006D514A">
              <w:rPr>
                <w:rFonts w:eastAsia="Calibri" w:cs="Calibri"/>
                <w:szCs w:val="24"/>
              </w:rPr>
              <w:t xml:space="preserve">Draft </w:t>
            </w:r>
            <w:r w:rsidR="00950E04">
              <w:rPr>
                <w:rFonts w:eastAsia="Calibri" w:cs="Calibri"/>
                <w:szCs w:val="24"/>
              </w:rPr>
              <w:t>2025 RPS</w:t>
            </w:r>
            <w:r w:rsidRPr="00FD69E7">
              <w:rPr>
                <w:rFonts w:eastAsia="Calibri" w:cs="Calibri"/>
                <w:szCs w:val="24"/>
              </w:rPr>
              <w:t xml:space="preserve"> Plan.</w:t>
            </w:r>
            <w:r w:rsidRPr="00FD69E7">
              <w:t xml:space="preserve"> </w:t>
            </w:r>
            <w:r w:rsidRPr="00FD69E7">
              <w:rPr>
                <w:rFonts w:eastAsia="Calibri" w:cs="Calibri"/>
                <w:szCs w:val="24"/>
              </w:rPr>
              <w:t xml:space="preserve">Second, for the year 2025 and all future years, </w:t>
            </w:r>
            <w:r w:rsidR="00DA6578">
              <w:rPr>
                <w:rFonts w:eastAsia="Calibri" w:cs="Calibri"/>
                <w:szCs w:val="24"/>
              </w:rPr>
              <w:t>Shell E</w:t>
            </w:r>
            <w:r w:rsidRPr="00FD69E7">
              <w:rPr>
                <w:rFonts w:eastAsia="Calibri" w:cs="Calibri"/>
                <w:szCs w:val="24"/>
              </w:rPr>
              <w:t xml:space="preserve">nergy does not distinguish between RECs that are forecasted to be generated from online generation and RECs that are expected to be generated from facilities in development (Variables Fa and Fb on RNS template), even though its </w:t>
            </w:r>
            <w:r w:rsidR="00432027">
              <w:rPr>
                <w:rFonts w:eastAsia="Calibri" w:cs="Calibri"/>
                <w:szCs w:val="24"/>
              </w:rPr>
              <w:t>PDSU</w:t>
            </w:r>
            <w:r w:rsidRPr="00FD69E7">
              <w:rPr>
                <w:rFonts w:eastAsia="Calibri" w:cs="Calibri"/>
                <w:szCs w:val="24"/>
              </w:rPr>
              <w:t xml:space="preserve"> section and template reports that it has two contracts in development that do not come online until January and October of </w:t>
            </w:r>
            <w:r w:rsidRPr="00FD69E7">
              <w:rPr>
                <w:rFonts w:eastAsia="Calibri" w:cs="Calibri"/>
                <w:szCs w:val="24"/>
              </w:rPr>
              <w:lastRenderedPageBreak/>
              <w:t xml:space="preserve">2026. </w:t>
            </w:r>
            <w:r w:rsidR="00DA6578">
              <w:rPr>
                <w:rFonts w:eastAsia="Calibri" w:cs="Calibri"/>
                <w:szCs w:val="24"/>
              </w:rPr>
              <w:t>Shell E</w:t>
            </w:r>
            <w:r w:rsidRPr="00FD69E7">
              <w:rPr>
                <w:rFonts w:eastAsia="Calibri" w:cs="Calibri"/>
                <w:szCs w:val="24"/>
              </w:rPr>
              <w:t>nergy must distinguish RPS</w:t>
            </w:r>
            <w:r w:rsidR="00E54574">
              <w:rPr>
                <w:rFonts w:eastAsia="Calibri" w:cs="Calibri"/>
                <w:szCs w:val="24"/>
              </w:rPr>
              <w:noBreakHyphen/>
            </w:r>
            <w:r w:rsidRPr="00FD69E7">
              <w:rPr>
                <w:rFonts w:eastAsia="Calibri" w:cs="Calibri"/>
                <w:szCs w:val="24"/>
              </w:rPr>
              <w:t xml:space="preserve">eligible procurement between online generation and RPS facilities in development when calculating RPS net short in the RNS template, </w:t>
            </w:r>
            <w:r w:rsidRPr="00FD69E7" w:rsidR="00CD70BD">
              <w:rPr>
                <w:rFonts w:eastAsia="Calibri" w:cs="Calibri"/>
                <w:szCs w:val="24"/>
              </w:rPr>
              <w:t>according to</w:t>
            </w:r>
            <w:r w:rsidRPr="00FD69E7">
              <w:rPr>
                <w:rFonts w:eastAsia="Calibri" w:cs="Calibri"/>
                <w:szCs w:val="24"/>
              </w:rPr>
              <w:t xml:space="preserve"> the </w:t>
            </w:r>
            <w:r w:rsidRPr="00FD69E7" w:rsidR="00292F75">
              <w:rPr>
                <w:rFonts w:eastAsia="Calibri" w:cs="Calibri"/>
                <w:szCs w:val="24"/>
              </w:rPr>
              <w:t xml:space="preserve">2025 </w:t>
            </w:r>
            <w:r w:rsidRPr="00FD69E7">
              <w:rPr>
                <w:rFonts w:eastAsia="Calibri" w:cs="Calibri"/>
                <w:szCs w:val="24"/>
              </w:rPr>
              <w:t>ACR</w:t>
            </w:r>
            <w:r w:rsidRPr="00FD69E7" w:rsidR="00EA4974">
              <w:rPr>
                <w:rFonts w:eastAsia="Calibri" w:cs="Calibri"/>
                <w:szCs w:val="24"/>
              </w:rPr>
              <w:t>.</w:t>
            </w:r>
            <w:r w:rsidRPr="00FD69E7" w:rsidR="00EA4974">
              <w:rPr>
                <w:rStyle w:val="FootnoteReference"/>
                <w:rFonts w:eastAsia="Calibri" w:cs="Calibri"/>
                <w:szCs w:val="24"/>
              </w:rPr>
              <w:footnoteReference w:id="112"/>
            </w:r>
            <w:r w:rsidRPr="00FD69E7">
              <w:rPr>
                <w:rFonts w:eastAsia="Calibri" w:cs="Calibri"/>
                <w:szCs w:val="24"/>
              </w:rPr>
              <w:t xml:space="preserve"> </w:t>
            </w:r>
            <w:r w:rsidRPr="00FD69E7" w:rsidR="00E42F60">
              <w:rPr>
                <w:rFonts w:eastAsia="Calibri" w:cs="Calibri"/>
                <w:szCs w:val="24"/>
              </w:rPr>
              <w:t>Third, f</w:t>
            </w:r>
            <w:r w:rsidRPr="00FD69E7">
              <w:rPr>
                <w:rFonts w:eastAsia="Calibri" w:cs="Calibri"/>
                <w:szCs w:val="24"/>
              </w:rPr>
              <w:t xml:space="preserve">or the year 2025 and all future years, </w:t>
            </w:r>
            <w:r w:rsidR="00DA6578">
              <w:rPr>
                <w:rFonts w:eastAsia="Calibri" w:cs="Calibri"/>
                <w:szCs w:val="24"/>
              </w:rPr>
              <w:t>Shell E</w:t>
            </w:r>
            <w:r w:rsidRPr="00FD69E7">
              <w:rPr>
                <w:rFonts w:eastAsia="Calibri" w:cs="Calibri"/>
                <w:szCs w:val="24"/>
              </w:rPr>
              <w:t>nergy does not break out its total forecasted RPS eligible procurement by REC P</w:t>
            </w:r>
            <w:r w:rsidRPr="00FD69E7" w:rsidR="00F1698A">
              <w:rPr>
                <w:rFonts w:eastAsia="Calibri" w:cs="Calibri"/>
                <w:szCs w:val="24"/>
              </w:rPr>
              <w:t>CC</w:t>
            </w:r>
            <w:r w:rsidRPr="00FD69E7">
              <w:rPr>
                <w:rFonts w:eastAsia="Calibri" w:cs="Calibri"/>
                <w:szCs w:val="24"/>
              </w:rPr>
              <w:t xml:space="preserve">. For the year 2025 and all future years, </w:t>
            </w:r>
            <w:r w:rsidR="00DA6578">
              <w:rPr>
                <w:rFonts w:eastAsia="Calibri" w:cs="Calibri"/>
                <w:szCs w:val="24"/>
              </w:rPr>
              <w:t>Shell E</w:t>
            </w:r>
            <w:r w:rsidRPr="00FD69E7">
              <w:rPr>
                <w:rFonts w:eastAsia="Calibri" w:cs="Calibri"/>
                <w:szCs w:val="24"/>
              </w:rPr>
              <w:t>nergy must fill in Variables F0, F1, F2, and F3 in order to distinguish its forecasted procurement as PCC</w:t>
            </w:r>
            <w:r w:rsidR="00521801">
              <w:rPr>
                <w:rFonts w:eastAsia="Calibri" w:cs="Calibri"/>
                <w:szCs w:val="24"/>
              </w:rPr>
              <w:t> </w:t>
            </w:r>
            <w:r w:rsidRPr="00FD69E7">
              <w:rPr>
                <w:rFonts w:eastAsia="Calibri" w:cs="Calibri"/>
                <w:szCs w:val="24"/>
              </w:rPr>
              <w:t xml:space="preserve">0, </w:t>
            </w:r>
            <w:r w:rsidRPr="00FD69E7" w:rsidR="00521801">
              <w:rPr>
                <w:rFonts w:eastAsia="Calibri" w:cs="Calibri"/>
                <w:szCs w:val="24"/>
              </w:rPr>
              <w:t>PCC</w:t>
            </w:r>
            <w:r w:rsidR="00521801">
              <w:rPr>
                <w:rFonts w:eastAsia="Calibri" w:cs="Calibri"/>
                <w:szCs w:val="24"/>
              </w:rPr>
              <w:t> </w:t>
            </w:r>
            <w:r w:rsidRPr="00FD69E7">
              <w:rPr>
                <w:rFonts w:eastAsia="Calibri" w:cs="Calibri"/>
                <w:szCs w:val="24"/>
              </w:rPr>
              <w:t xml:space="preserve">1, </w:t>
            </w:r>
            <w:r w:rsidRPr="00FD69E7" w:rsidR="00521801">
              <w:rPr>
                <w:rFonts w:eastAsia="Calibri" w:cs="Calibri"/>
                <w:szCs w:val="24"/>
              </w:rPr>
              <w:t>PCC</w:t>
            </w:r>
            <w:r w:rsidR="00521801">
              <w:rPr>
                <w:rFonts w:eastAsia="Calibri" w:cs="Calibri"/>
                <w:szCs w:val="24"/>
              </w:rPr>
              <w:t> </w:t>
            </w:r>
            <w:r w:rsidRPr="00FD69E7">
              <w:rPr>
                <w:rFonts w:eastAsia="Calibri" w:cs="Calibri"/>
                <w:szCs w:val="24"/>
              </w:rPr>
              <w:t xml:space="preserve">2, or </w:t>
            </w:r>
            <w:r w:rsidRPr="00FD69E7" w:rsidR="00521801">
              <w:rPr>
                <w:rFonts w:eastAsia="Calibri" w:cs="Calibri"/>
                <w:szCs w:val="24"/>
              </w:rPr>
              <w:t>PCC</w:t>
            </w:r>
            <w:r w:rsidR="00521801">
              <w:rPr>
                <w:rFonts w:eastAsia="Calibri" w:cs="Calibri"/>
                <w:szCs w:val="24"/>
              </w:rPr>
              <w:t> </w:t>
            </w:r>
            <w:r w:rsidRPr="00FD69E7">
              <w:rPr>
                <w:rFonts w:eastAsia="Calibri" w:cs="Calibri"/>
                <w:szCs w:val="24"/>
              </w:rPr>
              <w:t>3 RECs.</w:t>
            </w:r>
          </w:p>
        </w:tc>
      </w:tr>
      <w:bookmarkEnd w:id="131"/>
    </w:tbl>
    <w:p w:rsidRPr="0024704C" w:rsidR="0024704C" w:rsidP="00F277D4" w:rsidRDefault="0024704C" w14:paraId="59B9A49F" w14:textId="77777777">
      <w:pPr>
        <w:pStyle w:val="StandardTableSub"/>
      </w:pPr>
    </w:p>
    <w:p w:rsidR="00AC0C78" w:rsidP="00F277D4" w:rsidRDefault="00284033" w14:paraId="005EB1B2" w14:textId="3918B36C">
      <w:pPr>
        <w:pStyle w:val="Heading3"/>
      </w:pPr>
      <w:bookmarkStart w:name="_Toc212716178" w:id="132"/>
      <w:bookmarkStart w:name="_Toc214004382" w:id="133"/>
      <w:r>
        <w:t>Minimum Margin of Procurement</w:t>
      </w:r>
      <w:bookmarkEnd w:id="132"/>
      <w:bookmarkEnd w:id="133"/>
    </w:p>
    <w:p w:rsidR="00284033" w:rsidP="00F277D4" w:rsidRDefault="00284033" w14:paraId="61975969" w14:textId="42AB964D">
      <w:pPr>
        <w:pStyle w:val="Standard"/>
      </w:pPr>
      <w:r w:rsidRPr="00284033">
        <w:t>Per RPS requirements, retail sellers must define a MMoP in their RPS Plans to show how risk will be mitigated if renewable projects under contract are delayed or terminated, or projects do not perform as expected.</w:t>
      </w:r>
    </w:p>
    <w:p w:rsidR="00284033" w:rsidP="00F277D4" w:rsidRDefault="004D26E2" w14:paraId="0458A168" w14:textId="6B7FF627">
      <w:pPr>
        <w:pStyle w:val="Standard"/>
      </w:pPr>
      <w:r>
        <w:t xml:space="preserve">Per the directives of the 2025 </w:t>
      </w:r>
      <w:r w:rsidRPr="00284033" w:rsidR="00284033">
        <w:t>ACR</w:t>
      </w:r>
      <w:r>
        <w:t xml:space="preserve">, </w:t>
      </w:r>
      <w:r w:rsidR="005A00BE">
        <w:t>“</w:t>
      </w:r>
      <w:r>
        <w:t>a</w:t>
      </w:r>
      <w:r w:rsidRPr="00284033" w:rsidR="00284033">
        <w:t xml:space="preserve">ll retail sellers should follow the format and numbering convention directed in </w:t>
      </w:r>
      <w:r w:rsidR="00F920D3">
        <w:t>Table 1</w:t>
      </w:r>
      <w:r w:rsidRPr="00284033" w:rsidR="00284033">
        <w:t>. Uniform format and templates will enable parties, bidders, and the Commission to easily access, review and compare the RPS Plans. All sections should be numbered in the same way, without skipping any sections, for ease of Commission review.</w:t>
      </w:r>
      <w:r w:rsidR="005A00BE">
        <w:t>”</w:t>
      </w:r>
      <w:r w:rsidR="007E0D54">
        <w:rPr>
          <w:rStyle w:val="FootnoteReference"/>
        </w:rPr>
        <w:footnoteReference w:id="113"/>
      </w:r>
    </w:p>
    <w:p w:rsidRPr="000215D2" w:rsidR="00713C4C" w:rsidP="00441781" w:rsidRDefault="00F920D3" w14:paraId="7BFDA6A4" w14:textId="251A0348">
      <w:pPr>
        <w:pStyle w:val="TableTitleBody"/>
        <w:rPr>
          <w:b w:val="0"/>
          <w:bCs w:val="0"/>
        </w:rPr>
      </w:pPr>
      <w:r>
        <w:t>Table 1</w:t>
      </w:r>
      <w:r w:rsidR="007D1EC2">
        <w:t>0</w:t>
      </w:r>
      <w:r w:rsidR="00CD5830">
        <w:rPr>
          <w:b w:val="0"/>
          <w:bCs w:val="0"/>
        </w:rPr>
        <w:t xml:space="preserve">:  </w:t>
      </w:r>
      <w:r w:rsidR="007D1EC2">
        <w:t>M</w:t>
      </w:r>
      <w:r w:rsidR="00156838">
        <w:t>inimum Margin of Procurement</w:t>
      </w:r>
    </w:p>
    <w:tbl>
      <w:tblPr>
        <w:tblStyle w:val="TableGrid2"/>
        <w:tblW w:w="9360" w:type="dxa"/>
        <w:tblLayout w:type="fixed"/>
        <w:tblCellMar>
          <w:top w:w="58" w:type="dxa"/>
          <w:bottom w:w="58" w:type="dxa"/>
        </w:tblCellMar>
        <w:tblLook w:val="06A0" w:firstRow="1" w:lastRow="0" w:firstColumn="1" w:lastColumn="0" w:noHBand="1" w:noVBand="1"/>
      </w:tblPr>
      <w:tblGrid>
        <w:gridCol w:w="2695"/>
        <w:gridCol w:w="6665"/>
      </w:tblGrid>
      <w:tr w:rsidRPr="00FD69E7" w:rsidR="00713C4C" w:rsidTr="00F7291C" w14:paraId="1EB095F5" w14:textId="77777777">
        <w:trPr>
          <w:tblHeader/>
        </w:trPr>
        <w:tc>
          <w:tcPr>
            <w:tcW w:w="2695" w:type="dxa"/>
            <w:shd w:val="clear" w:color="auto" w:fill="BFBFBF" w:themeFill="background1" w:themeFillShade="BF"/>
            <w:vAlign w:val="bottom"/>
          </w:tcPr>
          <w:p w:rsidRPr="00FD69E7" w:rsidR="00713C4C" w:rsidP="00441781" w:rsidRDefault="00713C4C" w14:paraId="35C9B15D" w14:textId="0EBC1FFE">
            <w:pPr>
              <w:keepNext/>
              <w:spacing w:line="240" w:lineRule="auto"/>
              <w:ind w:firstLine="0"/>
              <w:jc w:val="center"/>
              <w:rPr>
                <w:rFonts w:eastAsia="Times New Roman" w:cs="Times New Roman"/>
                <w:b/>
                <w:bCs/>
                <w:szCs w:val="24"/>
              </w:rPr>
            </w:pPr>
            <w:bookmarkStart w:name="_Hlk211605337" w:id="134"/>
            <w:r w:rsidRPr="00FD69E7">
              <w:rPr>
                <w:b/>
                <w:color w:val="000000" w:themeColor="text1"/>
                <w:szCs w:val="24"/>
              </w:rPr>
              <w:t>Retail Seller</w:t>
            </w:r>
          </w:p>
        </w:tc>
        <w:tc>
          <w:tcPr>
            <w:tcW w:w="6665" w:type="dxa"/>
            <w:shd w:val="clear" w:color="auto" w:fill="BFBFBF" w:themeFill="background1" w:themeFillShade="BF"/>
            <w:vAlign w:val="bottom"/>
          </w:tcPr>
          <w:p w:rsidRPr="00FD69E7" w:rsidR="00713C4C" w:rsidP="00441781" w:rsidRDefault="00713C4C" w14:paraId="15A60F95"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713C4C" w:rsidTr="00F7291C" w14:paraId="54F812C9" w14:textId="77777777">
        <w:tc>
          <w:tcPr>
            <w:tcW w:w="2695" w:type="dxa"/>
          </w:tcPr>
          <w:p w:rsidRPr="00441781" w:rsidR="00713C4C" w:rsidP="00F277D4" w:rsidRDefault="00713C4C" w14:paraId="77758EC6" w14:textId="0B2456FF">
            <w:pPr>
              <w:spacing w:line="240" w:lineRule="auto"/>
              <w:ind w:firstLine="0"/>
              <w:rPr>
                <w:rFonts w:eastAsia="Times New Roman" w:cs="Times New Roman"/>
                <w:szCs w:val="24"/>
              </w:rPr>
            </w:pPr>
            <w:r w:rsidRPr="00441781">
              <w:rPr>
                <w:rFonts w:eastAsia="Times New Roman" w:cs="Times New Roman"/>
                <w:szCs w:val="24"/>
              </w:rPr>
              <w:t>City of Palmdale</w:t>
            </w:r>
          </w:p>
        </w:tc>
        <w:tc>
          <w:tcPr>
            <w:tcW w:w="6665" w:type="dxa"/>
          </w:tcPr>
          <w:p w:rsidRPr="00FD69E7" w:rsidR="00713C4C" w:rsidP="00F7291C" w:rsidRDefault="00713C4C" w14:paraId="73F339AA" w14:textId="7978048D">
            <w:pPr>
              <w:spacing w:after="120" w:line="240" w:lineRule="auto"/>
              <w:ind w:firstLine="0"/>
              <w:rPr>
                <w:rFonts w:eastAsia="Times New Roman" w:cs="Times New Roman"/>
                <w:szCs w:val="24"/>
              </w:rPr>
            </w:pPr>
            <w:r w:rsidRPr="00FD69E7">
              <w:rPr>
                <w:rFonts w:eastAsia="Times New Roman" w:cs="Times New Roman"/>
                <w:szCs w:val="24"/>
              </w:rPr>
              <w:t xml:space="preserve">On </w:t>
            </w:r>
            <w:r w:rsidR="00FD21B9">
              <w:rPr>
                <w:rFonts w:eastAsia="Times New Roman" w:cs="Times New Roman"/>
                <w:szCs w:val="24"/>
              </w:rPr>
              <w:t>page </w:t>
            </w:r>
            <w:r w:rsidRPr="00FD69E7">
              <w:rPr>
                <w:rFonts w:eastAsia="Times New Roman" w:cs="Times New Roman"/>
                <w:szCs w:val="24"/>
              </w:rPr>
              <w:t>81, the City of Palmdale states that modeling demand</w:t>
            </w:r>
            <w:r w:rsidR="00E54574">
              <w:rPr>
                <w:rFonts w:eastAsia="Times New Roman" w:cs="Times New Roman"/>
                <w:szCs w:val="24"/>
              </w:rPr>
              <w:noBreakHyphen/>
            </w:r>
            <w:r w:rsidRPr="00FD69E7">
              <w:rPr>
                <w:rFonts w:eastAsia="Times New Roman" w:cs="Times New Roman"/>
                <w:szCs w:val="24"/>
              </w:rPr>
              <w:t xml:space="preserve">side sensitivities for its MMoP calculations is important during </w:t>
            </w:r>
            <w:r w:rsidR="005A00BE">
              <w:rPr>
                <w:rFonts w:eastAsia="Times New Roman" w:cs="Times New Roman"/>
                <w:szCs w:val="24"/>
              </w:rPr>
              <w:t>“</w:t>
            </w:r>
            <w:r w:rsidRPr="00FD69E7">
              <w:rPr>
                <w:rFonts w:eastAsia="Times New Roman" w:cs="Times New Roman"/>
                <w:szCs w:val="24"/>
              </w:rPr>
              <w:t>upcoming customer enrollments</w:t>
            </w:r>
            <w:r w:rsidR="00DF3A08">
              <w:rPr>
                <w:rFonts w:eastAsia="Times New Roman" w:cs="Times New Roman"/>
                <w:szCs w:val="24"/>
              </w:rPr>
              <w:t>.</w:t>
            </w:r>
            <w:r w:rsidR="005A00BE">
              <w:rPr>
                <w:rFonts w:eastAsia="Times New Roman" w:cs="Times New Roman"/>
                <w:szCs w:val="24"/>
              </w:rPr>
              <w:t>”</w:t>
            </w:r>
            <w:r w:rsidRPr="00FD69E7">
              <w:rPr>
                <w:rFonts w:eastAsia="Times New Roman" w:cs="Times New Roman"/>
                <w:szCs w:val="24"/>
              </w:rPr>
              <w:t xml:space="preserve"> The City of Palmdale should clarify whether it is </w:t>
            </w:r>
            <w:r w:rsidRPr="00FD69E7">
              <w:rPr>
                <w:rFonts w:eastAsia="Times New Roman" w:cs="Times New Roman"/>
                <w:szCs w:val="24"/>
              </w:rPr>
              <w:lastRenderedPageBreak/>
              <w:t>planning additional customer enrollments or if this is an outdated phrase left over from a previous RPS Plan that was prepared when it launched as a CCA.</w:t>
            </w:r>
          </w:p>
        </w:tc>
      </w:tr>
      <w:tr w:rsidRPr="00FD69E7" w:rsidR="00713C4C" w:rsidTr="00F7291C" w14:paraId="6A26D802" w14:textId="77777777">
        <w:tc>
          <w:tcPr>
            <w:tcW w:w="2695" w:type="dxa"/>
          </w:tcPr>
          <w:p w:rsidRPr="00441781" w:rsidR="00713C4C" w:rsidP="00F277D4" w:rsidRDefault="00713C4C" w14:paraId="4DE2C20C" w14:textId="33375B76">
            <w:pPr>
              <w:spacing w:line="240" w:lineRule="auto"/>
              <w:ind w:firstLine="0"/>
              <w:rPr>
                <w:rFonts w:eastAsia="Times New Roman" w:cs="Times New Roman"/>
                <w:szCs w:val="24"/>
              </w:rPr>
            </w:pPr>
            <w:r w:rsidRPr="00441781">
              <w:rPr>
                <w:rFonts w:eastAsia="Times New Roman" w:cs="Times New Roman"/>
                <w:szCs w:val="24"/>
              </w:rPr>
              <w:lastRenderedPageBreak/>
              <w:t xml:space="preserve">City of </w:t>
            </w:r>
            <w:r w:rsidRPr="00441781" w:rsidR="00B471F2">
              <w:rPr>
                <w:rFonts w:eastAsia="Times New Roman" w:cs="Times New Roman"/>
                <w:szCs w:val="24"/>
              </w:rPr>
              <w:t>Santa </w:t>
            </w:r>
            <w:r w:rsidRPr="00441781">
              <w:rPr>
                <w:rFonts w:eastAsia="Times New Roman" w:cs="Times New Roman"/>
                <w:szCs w:val="24"/>
              </w:rPr>
              <w:t>Barbara</w:t>
            </w:r>
          </w:p>
        </w:tc>
        <w:tc>
          <w:tcPr>
            <w:tcW w:w="6665" w:type="dxa"/>
          </w:tcPr>
          <w:p w:rsidRPr="00FD69E7" w:rsidR="00713C4C" w:rsidP="00F7291C" w:rsidRDefault="00713C4C" w14:paraId="0F3B1F27" w14:textId="7B7620EA">
            <w:pPr>
              <w:spacing w:after="120" w:line="240" w:lineRule="auto"/>
              <w:ind w:firstLine="0"/>
              <w:rPr>
                <w:rFonts w:eastAsia="Times New Roman" w:cs="Times New Roman"/>
                <w:szCs w:val="24"/>
              </w:rPr>
            </w:pPr>
            <w:r w:rsidRPr="00FD69E7">
              <w:rPr>
                <w:rFonts w:eastAsia="Times New Roman" w:cs="Times New Roman"/>
                <w:szCs w:val="24"/>
              </w:rPr>
              <w:t xml:space="preserve">On </w:t>
            </w:r>
            <w:r w:rsidR="00FD21B9">
              <w:rPr>
                <w:rFonts w:eastAsia="Times New Roman" w:cs="Times New Roman"/>
                <w:szCs w:val="24"/>
              </w:rPr>
              <w:t>page </w:t>
            </w:r>
            <w:r w:rsidRPr="00FD69E7">
              <w:rPr>
                <w:rFonts w:eastAsia="Times New Roman" w:cs="Times New Roman"/>
                <w:szCs w:val="24"/>
              </w:rPr>
              <w:t xml:space="preserve">87, the City of </w:t>
            </w:r>
            <w:r w:rsidRPr="00FD69E7" w:rsidR="00B471F2">
              <w:rPr>
                <w:rFonts w:eastAsia="Times New Roman" w:cs="Times New Roman"/>
                <w:szCs w:val="24"/>
              </w:rPr>
              <w:t>Santa </w:t>
            </w:r>
            <w:r w:rsidRPr="00FD69E7">
              <w:rPr>
                <w:rFonts w:eastAsia="Times New Roman" w:cs="Times New Roman"/>
                <w:szCs w:val="24"/>
              </w:rPr>
              <w:t>Barbara state</w:t>
            </w:r>
            <w:r w:rsidR="00EA7593">
              <w:rPr>
                <w:rFonts w:eastAsia="Times New Roman" w:cs="Times New Roman"/>
                <w:szCs w:val="24"/>
              </w:rPr>
              <w:t>s</w:t>
            </w:r>
            <w:r w:rsidRPr="00FD69E7">
              <w:rPr>
                <w:rFonts w:eastAsia="Times New Roman" w:cs="Times New Roman"/>
                <w:szCs w:val="24"/>
              </w:rPr>
              <w:t xml:space="preserve"> that modeling demand</w:t>
            </w:r>
            <w:r w:rsidR="00E54574">
              <w:rPr>
                <w:rFonts w:eastAsia="Times New Roman" w:cs="Times New Roman"/>
                <w:szCs w:val="24"/>
              </w:rPr>
              <w:noBreakHyphen/>
            </w:r>
            <w:r w:rsidRPr="00FD69E7">
              <w:rPr>
                <w:rFonts w:eastAsia="Times New Roman" w:cs="Times New Roman"/>
                <w:szCs w:val="24"/>
              </w:rPr>
              <w:t xml:space="preserve">side sensitivities for its MMoP calculations is important during </w:t>
            </w:r>
            <w:r w:rsidR="005A00BE">
              <w:rPr>
                <w:rFonts w:eastAsia="Times New Roman" w:cs="Times New Roman"/>
                <w:szCs w:val="24"/>
              </w:rPr>
              <w:t>“</w:t>
            </w:r>
            <w:r w:rsidRPr="00FD69E7">
              <w:rPr>
                <w:rFonts w:eastAsia="Times New Roman" w:cs="Times New Roman"/>
                <w:szCs w:val="24"/>
              </w:rPr>
              <w:t>upcoming customer enrollments</w:t>
            </w:r>
            <w:r w:rsidR="00DF3A08">
              <w:rPr>
                <w:rFonts w:eastAsia="Times New Roman" w:cs="Times New Roman"/>
                <w:szCs w:val="24"/>
              </w:rPr>
              <w:t>.</w:t>
            </w:r>
            <w:r w:rsidR="005A00BE">
              <w:rPr>
                <w:rFonts w:eastAsia="Times New Roman" w:cs="Times New Roman"/>
                <w:szCs w:val="24"/>
              </w:rPr>
              <w:t>”</w:t>
            </w:r>
            <w:r w:rsidRPr="00FD69E7">
              <w:rPr>
                <w:rFonts w:eastAsia="Times New Roman" w:cs="Times New Roman"/>
                <w:szCs w:val="24"/>
              </w:rPr>
              <w:t xml:space="preserve"> The City of </w:t>
            </w:r>
            <w:r w:rsidRPr="00FD69E7" w:rsidR="00B471F2">
              <w:rPr>
                <w:rFonts w:eastAsia="Times New Roman" w:cs="Times New Roman"/>
                <w:szCs w:val="24"/>
              </w:rPr>
              <w:t>Santa </w:t>
            </w:r>
            <w:r w:rsidRPr="00FD69E7">
              <w:rPr>
                <w:rFonts w:eastAsia="Times New Roman" w:cs="Times New Roman"/>
                <w:szCs w:val="24"/>
              </w:rPr>
              <w:t>Barbara should clarify whether it is planning additional customer enrollments or if this is an outdated phrase left over from a previous RPS Plan that was prepared when it launched as a CCA.</w:t>
            </w:r>
          </w:p>
        </w:tc>
      </w:tr>
      <w:tr w:rsidRPr="00FD69E7" w:rsidR="000215D2" w:rsidTr="00F7291C" w14:paraId="7BD33C10" w14:textId="77777777">
        <w:tc>
          <w:tcPr>
            <w:tcW w:w="2695" w:type="dxa"/>
          </w:tcPr>
          <w:p w:rsidRPr="00441781" w:rsidR="000215D2" w:rsidP="00F277D4" w:rsidRDefault="00DA6578" w14:paraId="2CA33E25" w14:textId="7C36F05D">
            <w:pPr>
              <w:spacing w:line="240" w:lineRule="auto"/>
              <w:ind w:firstLine="0"/>
              <w:rPr>
                <w:rFonts w:eastAsia="Times New Roman" w:cs="Times New Roman"/>
                <w:szCs w:val="24"/>
              </w:rPr>
            </w:pPr>
            <w:r>
              <w:rPr>
                <w:rFonts w:eastAsia="Times New Roman" w:cs="Times New Roman"/>
                <w:szCs w:val="24"/>
              </w:rPr>
              <w:t>Shell E</w:t>
            </w:r>
            <w:r w:rsidRPr="00441781" w:rsidR="000215D2">
              <w:rPr>
                <w:rFonts w:eastAsia="Times New Roman" w:cs="Times New Roman"/>
                <w:szCs w:val="24"/>
              </w:rPr>
              <w:t>nergy</w:t>
            </w:r>
          </w:p>
        </w:tc>
        <w:tc>
          <w:tcPr>
            <w:tcW w:w="6665" w:type="dxa"/>
          </w:tcPr>
          <w:p w:rsidRPr="00FD69E7" w:rsidR="000215D2" w:rsidP="00F7291C" w:rsidRDefault="009850E3" w14:paraId="0D93D807" w14:textId="6766AAFA">
            <w:pPr>
              <w:spacing w:after="120" w:line="240" w:lineRule="auto"/>
              <w:ind w:firstLine="0"/>
              <w:rPr>
                <w:rFonts w:eastAsia="Times New Roman" w:cs="Times New Roman"/>
                <w:szCs w:val="24"/>
              </w:rPr>
            </w:pPr>
            <w:r w:rsidRPr="00FD69E7">
              <w:rPr>
                <w:rFonts w:eastAsia="Times New Roman" w:cs="Times New Roman"/>
                <w:szCs w:val="24"/>
              </w:rPr>
              <w:t>Section </w:t>
            </w:r>
            <w:r w:rsidRPr="00FD69E7" w:rsidR="00BF4256">
              <w:rPr>
                <w:rFonts w:eastAsia="Times New Roman" w:cs="Times New Roman"/>
                <w:szCs w:val="24"/>
              </w:rPr>
              <w:t>IX.A.2 (MMoP Scenarios)</w:t>
            </w:r>
            <w:r w:rsidRPr="00FD69E7" w:rsidR="000215D2">
              <w:rPr>
                <w:rFonts w:eastAsia="Times New Roman" w:cs="Times New Roman"/>
                <w:szCs w:val="24"/>
              </w:rPr>
              <w:t xml:space="preserve"> is missing from </w:t>
            </w:r>
            <w:r w:rsidR="00DA6578">
              <w:rPr>
                <w:rFonts w:eastAsia="Times New Roman" w:cs="Times New Roman"/>
                <w:szCs w:val="24"/>
              </w:rPr>
              <w:t>Shell E</w:t>
            </w:r>
            <w:r w:rsidRPr="00FD69E7" w:rsidR="000215D2">
              <w:rPr>
                <w:rFonts w:eastAsia="Times New Roman" w:cs="Times New Roman"/>
                <w:szCs w:val="24"/>
              </w:rPr>
              <w:t>nergy</w:t>
            </w:r>
            <w:r w:rsidR="005A00BE">
              <w:rPr>
                <w:rFonts w:eastAsia="Times New Roman" w:cs="Times New Roman"/>
                <w:szCs w:val="24"/>
              </w:rPr>
              <w:t>’</w:t>
            </w:r>
            <w:r w:rsidRPr="00FD69E7" w:rsidR="000215D2">
              <w:rPr>
                <w:rFonts w:eastAsia="Times New Roman" w:cs="Times New Roman"/>
                <w:szCs w:val="24"/>
              </w:rPr>
              <w:t xml:space="preserve">s Draft </w:t>
            </w:r>
            <w:r w:rsidR="00950E04">
              <w:rPr>
                <w:rFonts w:eastAsia="Times New Roman" w:cs="Times New Roman"/>
                <w:szCs w:val="24"/>
              </w:rPr>
              <w:t>2025 RPS</w:t>
            </w:r>
            <w:r w:rsidRPr="00FD69E7" w:rsidR="000215D2">
              <w:rPr>
                <w:rFonts w:eastAsia="Times New Roman" w:cs="Times New Roman"/>
                <w:szCs w:val="24"/>
              </w:rPr>
              <w:t xml:space="preserve"> Plan. Although </w:t>
            </w:r>
            <w:r w:rsidR="00DA6578">
              <w:rPr>
                <w:rFonts w:eastAsia="Times New Roman" w:cs="Times New Roman"/>
                <w:szCs w:val="24"/>
              </w:rPr>
              <w:t>Shell E</w:t>
            </w:r>
            <w:r w:rsidRPr="00FD69E7" w:rsidR="000215D2">
              <w:rPr>
                <w:rFonts w:eastAsia="Times New Roman" w:cs="Times New Roman"/>
                <w:szCs w:val="24"/>
              </w:rPr>
              <w:t>nergy states that it does not develop scenarios to address RPS procurement above the minimum</w:t>
            </w:r>
            <w:r w:rsidRPr="00FD69E7" w:rsidR="00560B6E">
              <w:rPr>
                <w:rFonts w:eastAsia="Times New Roman" w:cs="Times New Roman"/>
                <w:szCs w:val="24"/>
              </w:rPr>
              <w:t xml:space="preserve"> </w:t>
            </w:r>
            <w:r w:rsidRPr="00FD69E7" w:rsidR="000215D2">
              <w:rPr>
                <w:rFonts w:eastAsia="Times New Roman" w:cs="Times New Roman"/>
                <w:szCs w:val="24"/>
              </w:rPr>
              <w:t>procurement level,</w:t>
            </w:r>
            <w:r w:rsidRPr="00FD69E7" w:rsidR="000215D2">
              <w:rPr>
                <w:rFonts w:eastAsia="Times New Roman" w:cs="Times New Roman"/>
                <w:szCs w:val="24"/>
                <w:vertAlign w:val="superscript"/>
              </w:rPr>
              <w:footnoteReference w:id="114"/>
            </w:r>
            <w:r w:rsidRPr="00FD69E7" w:rsidR="000215D2">
              <w:rPr>
                <w:rFonts w:eastAsia="Times New Roman" w:cs="Times New Roman"/>
                <w:szCs w:val="24"/>
              </w:rPr>
              <w:t xml:space="preserve"> it must still provide this section </w:t>
            </w:r>
            <w:r w:rsidRPr="00FD69E7" w:rsidR="00BF4256">
              <w:rPr>
                <w:rFonts w:eastAsia="Times New Roman" w:cs="Times New Roman"/>
                <w:szCs w:val="24"/>
              </w:rPr>
              <w:t xml:space="preserve">and follow the directed format and numbering convention </w:t>
            </w:r>
            <w:r w:rsidRPr="00FD69E7" w:rsidR="000215D2">
              <w:rPr>
                <w:rFonts w:eastAsia="Times New Roman" w:cs="Times New Roman"/>
                <w:szCs w:val="24"/>
              </w:rPr>
              <w:t>in accordance with the instructions of the 2025 ACR.</w:t>
            </w:r>
          </w:p>
        </w:tc>
      </w:tr>
      <w:bookmarkEnd w:id="134"/>
    </w:tbl>
    <w:p w:rsidRPr="00284033" w:rsidR="00713C4C" w:rsidP="00F277D4" w:rsidRDefault="00713C4C" w14:paraId="5A5F5045" w14:textId="77777777">
      <w:pPr>
        <w:pStyle w:val="StandardTableSub"/>
      </w:pPr>
    </w:p>
    <w:p w:rsidR="00AC0C78" w:rsidP="00F277D4" w:rsidRDefault="00284033" w14:paraId="12E563E8" w14:textId="37BED7C2">
      <w:pPr>
        <w:pStyle w:val="Heading3"/>
      </w:pPr>
      <w:bookmarkStart w:name="_Toc212716179" w:id="135"/>
      <w:bookmarkStart w:name="_Toc214004383" w:id="136"/>
      <w:r>
        <w:t>Bid Solicitation Protocol</w:t>
      </w:r>
      <w:r w:rsidR="0000254D">
        <w:t>s</w:t>
      </w:r>
      <w:bookmarkEnd w:id="135"/>
      <w:bookmarkEnd w:id="136"/>
    </w:p>
    <w:p w:rsidR="00284033" w:rsidP="00F277D4" w:rsidRDefault="00284033" w14:paraId="10AAB406" w14:textId="7787826A">
      <w:pPr>
        <w:pStyle w:val="Standard"/>
      </w:pPr>
      <w:r>
        <w:t xml:space="preserve">Pursuant to </w:t>
      </w:r>
      <w:r w:rsidR="00F81267">
        <w:t>Pub. Util.</w:t>
      </w:r>
      <w:r>
        <w:t xml:space="preserve"> Code </w:t>
      </w:r>
      <w:r w:rsidR="009850E3">
        <w:t>Section </w:t>
      </w:r>
      <w:r>
        <w:t xml:space="preserve">399.13(a)(6)(C), </w:t>
      </w:r>
      <w:r w:rsidR="00950E04">
        <w:t>2025 RPS</w:t>
      </w:r>
      <w:r>
        <w:t xml:space="preserve"> Plans must include a bid solicitation protocol that sets forth the need for eligible renewable energy resources of each deliverability characteristic, required online dates, and locational preferences, if any. The solicitations should be consistent with the retail seller</w:t>
      </w:r>
      <w:r w:rsidR="005A00BE">
        <w:t>’</w:t>
      </w:r>
      <w:r>
        <w:t>s portfolio supply and demand assessment (</w:t>
      </w:r>
      <w:r w:rsidR="009850E3">
        <w:t>Section </w:t>
      </w:r>
      <w:r w:rsidR="00CE2600">
        <w:t>I</w:t>
      </w:r>
      <w:r>
        <w:t>V) and RNS position (</w:t>
      </w:r>
      <w:r w:rsidR="009850E3">
        <w:t>Section </w:t>
      </w:r>
      <w:r>
        <w:t>VII</w:t>
      </w:r>
      <w:r w:rsidR="00CE2600">
        <w:t>I</w:t>
      </w:r>
      <w:r>
        <w:t>). Further, retail sellers are also required to consistently report solicitations across all relevant retail sellers</w:t>
      </w:r>
      <w:r w:rsidR="005A00BE">
        <w:t>’</w:t>
      </w:r>
      <w:r>
        <w:t xml:space="preserve"> Draft </w:t>
      </w:r>
      <w:r w:rsidR="00950E04">
        <w:t>2025 RPS</w:t>
      </w:r>
      <w:r>
        <w:t xml:space="preserve"> Plans and report their participation in joint solicitations.</w:t>
      </w:r>
    </w:p>
    <w:p w:rsidR="00284033" w:rsidP="00F277D4" w:rsidRDefault="00284033" w14:paraId="5068E4D9" w14:textId="31C24A73">
      <w:pPr>
        <w:pStyle w:val="Standard"/>
      </w:pPr>
      <w:r>
        <w:lastRenderedPageBreak/>
        <w:t xml:space="preserve">According to our review of their Draft </w:t>
      </w:r>
      <w:r w:rsidR="00950E04">
        <w:t>2025 RPS</w:t>
      </w:r>
      <w:r>
        <w:t xml:space="preserve"> Plans, the retail sellers listed below must </w:t>
      </w:r>
      <w:r w:rsidR="00CE2600">
        <w:t xml:space="preserve">correct minor errors identified </w:t>
      </w:r>
      <w:r>
        <w:t xml:space="preserve">in </w:t>
      </w:r>
      <w:r w:rsidR="009850E3">
        <w:t>Section </w:t>
      </w:r>
      <w:r>
        <w:t>X</w:t>
      </w:r>
      <w:r w:rsidR="009E4E8D">
        <w:t xml:space="preserve"> (</w:t>
      </w:r>
      <w:r>
        <w:t>Bid Solicitation Protocol</w:t>
      </w:r>
      <w:r w:rsidR="00362DD9">
        <w:t>s)</w:t>
      </w:r>
      <w:r>
        <w:t xml:space="preserve"> </w:t>
      </w:r>
      <w:r w:rsidR="00CE2600">
        <w:t>of</w:t>
      </w:r>
      <w:r>
        <w:t xml:space="preserve"> their </w:t>
      </w:r>
      <w:r w:rsidR="00CE2600">
        <w:t xml:space="preserve">Draft </w:t>
      </w:r>
      <w:r w:rsidR="00950E04">
        <w:t>2025 RPS</w:t>
      </w:r>
      <w:r>
        <w:t xml:space="preserve"> Plans.</w:t>
      </w:r>
    </w:p>
    <w:p w:rsidRPr="00273046" w:rsidR="007D1EC2" w:rsidP="0026254E" w:rsidRDefault="00F920D3" w14:paraId="4B8A9445" w14:textId="038B2942">
      <w:pPr>
        <w:pStyle w:val="TableTitleBody"/>
        <w:rPr>
          <w:b w:val="0"/>
          <w:bCs w:val="0"/>
        </w:rPr>
      </w:pPr>
      <w:r>
        <w:t>Table 1</w:t>
      </w:r>
      <w:r w:rsidR="007D1EC2">
        <w:t>1</w:t>
      </w:r>
      <w:r w:rsidR="00CD5830">
        <w:rPr>
          <w:b w:val="0"/>
          <w:bCs w:val="0"/>
        </w:rPr>
        <w:t xml:space="preserve">:  </w:t>
      </w:r>
      <w:r w:rsidR="00981AD7">
        <w:t>Bid Solicitation Protocol</w:t>
      </w:r>
      <w:r w:rsidR="0000254D">
        <w:t>s</w:t>
      </w:r>
    </w:p>
    <w:tbl>
      <w:tblPr>
        <w:tblStyle w:val="TableGrid2"/>
        <w:tblW w:w="9360" w:type="dxa"/>
        <w:tblLayout w:type="fixed"/>
        <w:tblCellMar>
          <w:top w:w="58" w:type="dxa"/>
          <w:bottom w:w="58" w:type="dxa"/>
        </w:tblCellMar>
        <w:tblLook w:val="06A0" w:firstRow="1" w:lastRow="0" w:firstColumn="1" w:lastColumn="0" w:noHBand="1" w:noVBand="1"/>
      </w:tblPr>
      <w:tblGrid>
        <w:gridCol w:w="2155"/>
        <w:gridCol w:w="7205"/>
      </w:tblGrid>
      <w:tr w:rsidRPr="00FD69E7" w:rsidR="00F32AEA" w:rsidTr="00790D1E" w14:paraId="72FA48D9" w14:textId="77777777">
        <w:trPr>
          <w:tblHeader/>
        </w:trPr>
        <w:tc>
          <w:tcPr>
            <w:tcW w:w="2155" w:type="dxa"/>
            <w:shd w:val="clear" w:color="auto" w:fill="BFBFBF" w:themeFill="background1" w:themeFillShade="BF"/>
            <w:vAlign w:val="bottom"/>
          </w:tcPr>
          <w:p w:rsidRPr="00FD69E7" w:rsidR="00F32AEA" w:rsidP="00BF07E9" w:rsidRDefault="00F32AEA" w14:paraId="6BB010CE" w14:textId="61871A28">
            <w:pPr>
              <w:keepNext/>
              <w:spacing w:line="240" w:lineRule="auto"/>
              <w:ind w:firstLine="0"/>
              <w:jc w:val="center"/>
              <w:rPr>
                <w:rFonts w:eastAsia="Times New Roman" w:cs="Times New Roman"/>
                <w:b/>
                <w:bCs/>
                <w:szCs w:val="24"/>
              </w:rPr>
            </w:pPr>
            <w:r w:rsidRPr="00FD69E7">
              <w:rPr>
                <w:b/>
                <w:color w:val="000000" w:themeColor="text1"/>
                <w:szCs w:val="24"/>
              </w:rPr>
              <w:t>Retail Seller</w:t>
            </w:r>
          </w:p>
        </w:tc>
        <w:tc>
          <w:tcPr>
            <w:tcW w:w="7205" w:type="dxa"/>
            <w:shd w:val="clear" w:color="auto" w:fill="BFBFBF" w:themeFill="background1" w:themeFillShade="BF"/>
            <w:vAlign w:val="bottom"/>
          </w:tcPr>
          <w:p w:rsidRPr="00FD69E7" w:rsidR="00F32AEA" w:rsidP="00BF07E9" w:rsidRDefault="00F32AEA" w14:paraId="5C8199E8" w14:textId="77777777">
            <w:pPr>
              <w:keepNext/>
              <w:spacing w:line="240" w:lineRule="auto"/>
              <w:ind w:firstLine="0"/>
              <w:jc w:val="center"/>
              <w:rPr>
                <w:rFonts w:eastAsia="Times New Roman" w:cs="Times New Roman"/>
                <w:szCs w:val="24"/>
              </w:rPr>
            </w:pPr>
            <w:r w:rsidRPr="00FD69E7">
              <w:rPr>
                <w:b/>
                <w:color w:val="000000" w:themeColor="text1"/>
                <w:szCs w:val="24"/>
              </w:rPr>
              <w:t>Commission Finding</w:t>
            </w:r>
          </w:p>
        </w:tc>
      </w:tr>
      <w:tr w:rsidRPr="00FD69E7" w:rsidR="00F32AEA" w:rsidTr="00790D1E" w14:paraId="60004E02" w14:textId="77777777">
        <w:tc>
          <w:tcPr>
            <w:tcW w:w="2155" w:type="dxa"/>
          </w:tcPr>
          <w:p w:rsidRPr="00790D1E" w:rsidR="00F32AEA" w:rsidP="00F277D4" w:rsidRDefault="00F32AEA" w14:paraId="06C9986F" w14:textId="77777777">
            <w:pPr>
              <w:spacing w:line="240" w:lineRule="auto"/>
              <w:ind w:firstLine="0"/>
              <w:rPr>
                <w:rFonts w:eastAsia="Times New Roman" w:cs="Times New Roman"/>
                <w:szCs w:val="24"/>
              </w:rPr>
            </w:pPr>
            <w:r w:rsidRPr="00790D1E">
              <w:rPr>
                <w:rFonts w:eastAsia="Times New Roman" w:cs="Times New Roman"/>
                <w:szCs w:val="24"/>
              </w:rPr>
              <w:t>City of Palmdale</w:t>
            </w:r>
          </w:p>
        </w:tc>
        <w:tc>
          <w:tcPr>
            <w:tcW w:w="7205" w:type="dxa"/>
          </w:tcPr>
          <w:p w:rsidRPr="00FD69E7" w:rsidR="00F32AEA" w:rsidP="00790D1E" w:rsidRDefault="00F32AEA" w14:paraId="7EE98781" w14:textId="7C6E0BA3">
            <w:pPr>
              <w:spacing w:after="120" w:line="240" w:lineRule="auto"/>
              <w:ind w:firstLine="0"/>
              <w:rPr>
                <w:rFonts w:eastAsia="Times New Roman" w:cs="Times New Roman"/>
                <w:szCs w:val="24"/>
              </w:rPr>
            </w:pPr>
            <w:r w:rsidRPr="00FD69E7">
              <w:rPr>
                <w:rFonts w:eastAsia="Times New Roman" w:cs="Times New Roman"/>
                <w:szCs w:val="24"/>
              </w:rPr>
              <w:t xml:space="preserve">On </w:t>
            </w:r>
            <w:r w:rsidR="00FD21B9">
              <w:rPr>
                <w:rFonts w:eastAsia="Times New Roman" w:cs="Times New Roman"/>
                <w:szCs w:val="24"/>
              </w:rPr>
              <w:t>page </w:t>
            </w:r>
            <w:r w:rsidRPr="00FD69E7">
              <w:rPr>
                <w:rFonts w:eastAsia="Times New Roman" w:cs="Times New Roman"/>
                <w:szCs w:val="24"/>
              </w:rPr>
              <w:t>82</w:t>
            </w:r>
            <w:r w:rsidRPr="00FD69E7" w:rsidR="00981AD7">
              <w:rPr>
                <w:rFonts w:eastAsia="Times New Roman" w:cs="Times New Roman"/>
                <w:szCs w:val="24"/>
              </w:rPr>
              <w:t xml:space="preserve"> of its Draft </w:t>
            </w:r>
            <w:r w:rsidR="00950E04">
              <w:rPr>
                <w:rFonts w:eastAsia="Times New Roman" w:cs="Times New Roman"/>
                <w:szCs w:val="24"/>
              </w:rPr>
              <w:t>2025 RPS</w:t>
            </w:r>
            <w:r w:rsidRPr="00FD69E7" w:rsidR="00981AD7">
              <w:rPr>
                <w:rFonts w:eastAsia="Times New Roman" w:cs="Times New Roman"/>
                <w:szCs w:val="24"/>
              </w:rPr>
              <w:t xml:space="preserve"> Plan</w:t>
            </w:r>
            <w:r w:rsidRPr="00FD69E7">
              <w:rPr>
                <w:rFonts w:eastAsia="Times New Roman" w:cs="Times New Roman"/>
                <w:szCs w:val="24"/>
              </w:rPr>
              <w:t xml:space="preserve">, the City of Palmdale states that it </w:t>
            </w:r>
            <w:r w:rsidR="005A00BE">
              <w:rPr>
                <w:rFonts w:eastAsia="Times New Roman" w:cs="Times New Roman"/>
                <w:szCs w:val="24"/>
              </w:rPr>
              <w:t>“</w:t>
            </w:r>
            <w:r w:rsidRPr="00FD69E7">
              <w:rPr>
                <w:rFonts w:eastAsia="Times New Roman" w:cs="Times New Roman"/>
                <w:szCs w:val="24"/>
              </w:rPr>
              <w:t>will begin the process of developing a renewable energy solicitation approximately nine to twelve months before CCA service commencement.</w:t>
            </w:r>
            <w:r w:rsidR="005A00BE">
              <w:rPr>
                <w:rFonts w:eastAsia="Times New Roman" w:cs="Times New Roman"/>
                <w:szCs w:val="24"/>
              </w:rPr>
              <w:t>”</w:t>
            </w:r>
            <w:r w:rsidRPr="00FD69E7">
              <w:rPr>
                <w:rFonts w:eastAsia="Times New Roman" w:cs="Times New Roman"/>
                <w:szCs w:val="24"/>
              </w:rPr>
              <w:t xml:space="preserve"> The City of Palmdale should clarify or remove this statement since it has already launched as a CCA.</w:t>
            </w:r>
          </w:p>
        </w:tc>
      </w:tr>
      <w:tr w:rsidRPr="00FD69E7" w:rsidR="00F32AEA" w:rsidTr="00790D1E" w14:paraId="3CF4B6D9" w14:textId="77777777">
        <w:tc>
          <w:tcPr>
            <w:tcW w:w="2155" w:type="dxa"/>
          </w:tcPr>
          <w:p w:rsidRPr="00790D1E" w:rsidR="00F32AEA" w:rsidP="00F277D4" w:rsidRDefault="00DA6578" w14:paraId="06BD7D2B" w14:textId="4B2C05C7">
            <w:pPr>
              <w:spacing w:line="240" w:lineRule="auto"/>
              <w:ind w:firstLine="0"/>
              <w:rPr>
                <w:rFonts w:eastAsia="Times New Roman" w:cs="Times New Roman"/>
                <w:szCs w:val="24"/>
              </w:rPr>
            </w:pPr>
            <w:r>
              <w:rPr>
                <w:rFonts w:eastAsia="Times New Roman" w:cs="Times New Roman"/>
                <w:szCs w:val="24"/>
              </w:rPr>
              <w:t>Shell E</w:t>
            </w:r>
            <w:r w:rsidRPr="00790D1E" w:rsidR="00981AD7">
              <w:rPr>
                <w:rFonts w:eastAsia="Times New Roman" w:cs="Times New Roman"/>
                <w:szCs w:val="24"/>
              </w:rPr>
              <w:t>nergy</w:t>
            </w:r>
          </w:p>
        </w:tc>
        <w:tc>
          <w:tcPr>
            <w:tcW w:w="7205" w:type="dxa"/>
          </w:tcPr>
          <w:p w:rsidRPr="00FD69E7" w:rsidR="00F32AEA" w:rsidP="00790D1E" w:rsidRDefault="00DA6578" w14:paraId="2E779750" w14:textId="02B86E1F">
            <w:pPr>
              <w:spacing w:after="120" w:line="240" w:lineRule="auto"/>
              <w:ind w:firstLine="0"/>
              <w:rPr>
                <w:rFonts w:eastAsia="Times New Roman" w:cs="Times New Roman"/>
                <w:szCs w:val="24"/>
              </w:rPr>
            </w:pPr>
            <w:r>
              <w:rPr>
                <w:rFonts w:eastAsia="Times New Roman" w:cs="Times New Roman"/>
                <w:szCs w:val="24"/>
              </w:rPr>
              <w:t>Shell E</w:t>
            </w:r>
            <w:r w:rsidRPr="00FD69E7" w:rsidR="00981AD7">
              <w:rPr>
                <w:rFonts w:eastAsia="Times New Roman" w:cs="Times New Roman"/>
                <w:szCs w:val="24"/>
              </w:rPr>
              <w:t xml:space="preserve">nergy does not provide </w:t>
            </w:r>
            <w:r w:rsidRPr="00FD69E7" w:rsidR="009850E3">
              <w:rPr>
                <w:rFonts w:eastAsia="Times New Roman" w:cs="Times New Roman"/>
                <w:szCs w:val="24"/>
              </w:rPr>
              <w:t>Section </w:t>
            </w:r>
            <w:r w:rsidRPr="00FD69E7" w:rsidR="00C35272">
              <w:rPr>
                <w:rFonts w:eastAsia="Times New Roman" w:cs="Times New Roman"/>
                <w:szCs w:val="24"/>
              </w:rPr>
              <w:t>X.A (Bid Solicitation Protocols)</w:t>
            </w:r>
            <w:r w:rsidRPr="00FD69E7" w:rsidR="00981AD7">
              <w:rPr>
                <w:rFonts w:eastAsia="Times New Roman" w:cs="Times New Roman"/>
                <w:szCs w:val="24"/>
              </w:rPr>
              <w:t xml:space="preserve"> in the format required by the 2025 ACR and appears to have it reversed with the section below it. Here, it provides a section for </w:t>
            </w:r>
            <w:r w:rsidR="005A00BE">
              <w:rPr>
                <w:rFonts w:eastAsia="Times New Roman" w:cs="Times New Roman"/>
                <w:szCs w:val="24"/>
              </w:rPr>
              <w:t>“</w:t>
            </w:r>
            <w:r w:rsidRPr="00FD69E7" w:rsidR="00981AD7">
              <w:rPr>
                <w:rFonts w:eastAsia="Times New Roman" w:cs="Times New Roman"/>
                <w:szCs w:val="24"/>
              </w:rPr>
              <w:t>Solicitation Protocols for Renewable Sales</w:t>
            </w:r>
            <w:r w:rsidR="005A00BE">
              <w:rPr>
                <w:rFonts w:eastAsia="Times New Roman" w:cs="Times New Roman"/>
                <w:szCs w:val="24"/>
              </w:rPr>
              <w:t>”</w:t>
            </w:r>
            <w:r w:rsidRPr="00FD69E7" w:rsidR="00981AD7">
              <w:rPr>
                <w:rFonts w:eastAsia="Times New Roman" w:cs="Times New Roman"/>
                <w:szCs w:val="24"/>
              </w:rPr>
              <w:t xml:space="preserve"> information when the 2025 ACR requires that this section provide information for </w:t>
            </w:r>
            <w:r w:rsidR="005A00BE">
              <w:rPr>
                <w:rFonts w:eastAsia="Times New Roman" w:cs="Times New Roman"/>
                <w:szCs w:val="24"/>
              </w:rPr>
              <w:t>“</w:t>
            </w:r>
            <w:r w:rsidRPr="00FD69E7" w:rsidR="00981AD7">
              <w:rPr>
                <w:rFonts w:eastAsia="Times New Roman" w:cs="Times New Roman"/>
                <w:szCs w:val="24"/>
              </w:rPr>
              <w:t>Bid Selection Protocols</w:t>
            </w:r>
            <w:r w:rsidR="00DF3A08">
              <w:rPr>
                <w:rFonts w:eastAsia="Times New Roman" w:cs="Times New Roman"/>
                <w:szCs w:val="24"/>
              </w:rPr>
              <w:t>.</w:t>
            </w:r>
            <w:r w:rsidR="005A00BE">
              <w:rPr>
                <w:rFonts w:eastAsia="Times New Roman" w:cs="Times New Roman"/>
                <w:szCs w:val="24"/>
              </w:rPr>
              <w:t>”</w:t>
            </w:r>
            <w:r w:rsidRPr="00FD69E7" w:rsidR="00981AD7">
              <w:rPr>
                <w:rFonts w:eastAsia="Times New Roman" w:cs="Times New Roman"/>
                <w:szCs w:val="24"/>
              </w:rPr>
              <w:t xml:space="preserve"> </w:t>
            </w:r>
            <w:r>
              <w:rPr>
                <w:rFonts w:eastAsia="Times New Roman" w:cs="Times New Roman"/>
                <w:szCs w:val="24"/>
              </w:rPr>
              <w:t>Shell E</w:t>
            </w:r>
            <w:r w:rsidRPr="00FD69E7" w:rsidR="00981AD7">
              <w:rPr>
                <w:rFonts w:eastAsia="Times New Roman" w:cs="Times New Roman"/>
                <w:szCs w:val="24"/>
              </w:rPr>
              <w:t>nergy must provide the correct section and formatting in accordance with the instructions of the 2025 ACR.</w:t>
            </w:r>
            <w:r w:rsidRPr="00FD69E7" w:rsidR="00981AD7">
              <w:t xml:space="preserve"> </w:t>
            </w:r>
            <w:r w:rsidRPr="00FD69E7" w:rsidR="00981AD7">
              <w:rPr>
                <w:rFonts w:eastAsia="Times New Roman" w:cs="Times New Roman"/>
                <w:szCs w:val="24"/>
              </w:rPr>
              <w:t xml:space="preserve">The 2025 ACR directs that </w:t>
            </w:r>
            <w:r w:rsidR="005A00BE">
              <w:rPr>
                <w:rFonts w:eastAsia="Times New Roman" w:cs="Times New Roman"/>
                <w:szCs w:val="24"/>
              </w:rPr>
              <w:t>“</w:t>
            </w:r>
            <w:r w:rsidRPr="00FD69E7" w:rsidR="00981AD7">
              <w:rPr>
                <w:rFonts w:eastAsia="Times New Roman" w:cs="Times New Roman"/>
                <w:szCs w:val="24"/>
              </w:rPr>
              <w:t xml:space="preserve">All retail sellers should follow the format and numbering convention directed in </w:t>
            </w:r>
            <w:r w:rsidR="00F920D3">
              <w:rPr>
                <w:rFonts w:eastAsia="Times New Roman" w:cs="Times New Roman"/>
                <w:szCs w:val="24"/>
              </w:rPr>
              <w:t>Table 1</w:t>
            </w:r>
            <w:r w:rsidRPr="00FD69E7" w:rsidR="00981AD7">
              <w:rPr>
                <w:rFonts w:eastAsia="Times New Roman" w:cs="Times New Roman"/>
                <w:szCs w:val="24"/>
              </w:rPr>
              <w:t>. Uniform format and templates will enable parties, bidders, and the Commission to easily access, review and compare the RPS Plans. All sections should be numbered in the same way, without skipping any sections, for ease of Commission review.</w:t>
            </w:r>
            <w:r w:rsidR="005A00BE">
              <w:rPr>
                <w:rFonts w:eastAsia="Times New Roman" w:cs="Times New Roman"/>
                <w:szCs w:val="24"/>
              </w:rPr>
              <w:t>”</w:t>
            </w:r>
            <w:r w:rsidRPr="00FD69E7" w:rsidR="00981AD7">
              <w:rPr>
                <w:rFonts w:eastAsia="Times New Roman" w:cs="Times New Roman"/>
                <w:szCs w:val="24"/>
                <w:vertAlign w:val="superscript"/>
              </w:rPr>
              <w:footnoteReference w:id="115"/>
            </w:r>
          </w:p>
        </w:tc>
      </w:tr>
    </w:tbl>
    <w:p w:rsidRPr="00284033" w:rsidR="00F32AEA" w:rsidP="00F277D4" w:rsidRDefault="00F32AEA" w14:paraId="17EB176F" w14:textId="77777777">
      <w:pPr>
        <w:pStyle w:val="StandardTableSub"/>
      </w:pPr>
    </w:p>
    <w:p w:rsidR="007D4CB8" w:rsidP="00F277D4" w:rsidRDefault="00284033" w14:paraId="70C0E024" w14:textId="64156797">
      <w:pPr>
        <w:pStyle w:val="Heading3"/>
      </w:pPr>
      <w:bookmarkStart w:name="_Toc212716180" w:id="137"/>
      <w:bookmarkStart w:name="_Toc214004384" w:id="138"/>
      <w:r>
        <w:t>Solicitation Protocols</w:t>
      </w:r>
      <w:r w:rsidR="005D0EEF">
        <w:br/>
      </w:r>
      <w:r>
        <w:t>for Renewables Sales</w:t>
      </w:r>
      <w:bookmarkEnd w:id="137"/>
      <w:bookmarkEnd w:id="138"/>
    </w:p>
    <w:p w:rsidR="007D1EC2" w:rsidP="00F277D4" w:rsidRDefault="00DA6578" w14:paraId="4687484D" w14:textId="5EB8FACB">
      <w:pPr>
        <w:pStyle w:val="Standard"/>
      </w:pPr>
      <w:r>
        <w:t>Shell E</w:t>
      </w:r>
      <w:r w:rsidRPr="00284033" w:rsidR="00284033">
        <w:t xml:space="preserve">nergy does not provide this section in the format required by the </w:t>
      </w:r>
      <w:r w:rsidR="00023C1E">
        <w:t xml:space="preserve">2025 </w:t>
      </w:r>
      <w:r w:rsidRPr="00284033" w:rsidR="00284033">
        <w:t xml:space="preserve">ACR and appears to have it reversed with the section above it. Here, it </w:t>
      </w:r>
      <w:r w:rsidRPr="00284033" w:rsidR="00284033">
        <w:lastRenderedPageBreak/>
        <w:t xml:space="preserve">provides a section for </w:t>
      </w:r>
      <w:r w:rsidR="005A00BE">
        <w:t>“</w:t>
      </w:r>
      <w:r w:rsidRPr="00284033" w:rsidR="00284033">
        <w:t>Bid Selection Protocols</w:t>
      </w:r>
      <w:r w:rsidR="005A00BE">
        <w:t>”</w:t>
      </w:r>
      <w:r w:rsidRPr="00284033" w:rsidR="00284033">
        <w:t xml:space="preserve"> information when the ACR requires that this section provide information for </w:t>
      </w:r>
      <w:r w:rsidR="005A00BE">
        <w:t>“</w:t>
      </w:r>
      <w:r w:rsidRPr="00284033" w:rsidR="00284033">
        <w:t>Solicitation Protocols for Renewable Sales</w:t>
      </w:r>
      <w:r w:rsidR="00DF3A08">
        <w:t>.</w:t>
      </w:r>
      <w:r w:rsidR="005A00BE">
        <w:t>”</w:t>
      </w:r>
      <w:r w:rsidRPr="00284033" w:rsidR="00284033">
        <w:t xml:space="preserve"> </w:t>
      </w:r>
      <w:r>
        <w:t>Shell E</w:t>
      </w:r>
      <w:r w:rsidRPr="00284033" w:rsidR="00284033">
        <w:t xml:space="preserve">nergy must provide the correct section and formatting in accordance with the instructions of the </w:t>
      </w:r>
      <w:r w:rsidR="00023C1E">
        <w:t xml:space="preserve">2025 </w:t>
      </w:r>
      <w:r w:rsidRPr="00284033" w:rsidR="00284033">
        <w:t xml:space="preserve">ACR. The ACR directs that </w:t>
      </w:r>
      <w:r w:rsidR="005A00BE">
        <w:t>“</w:t>
      </w:r>
      <w:r w:rsidRPr="00284033" w:rsidR="00284033">
        <w:t xml:space="preserve">All retail sellers should follow the format and numbering convention directed in </w:t>
      </w:r>
      <w:r w:rsidR="00F920D3">
        <w:t>Table 1</w:t>
      </w:r>
      <w:r w:rsidRPr="00284033" w:rsidR="00284033">
        <w:t>. Uniform format and templates will enable parties, bidders, and the Commission to easily access, review and compare the RPS Plans. All sections should be numbered in the same way, without skipping any sections, for ease of Commission review.</w:t>
      </w:r>
      <w:r w:rsidR="005A00BE">
        <w:t>”</w:t>
      </w:r>
      <w:r w:rsidR="00023C1E">
        <w:rPr>
          <w:rStyle w:val="FootnoteReference"/>
        </w:rPr>
        <w:footnoteReference w:id="116"/>
      </w:r>
    </w:p>
    <w:p w:rsidR="004A1EAD" w:rsidP="00F277D4" w:rsidRDefault="004A1EAD" w14:paraId="69950057" w14:textId="67943F80">
      <w:pPr>
        <w:pStyle w:val="Heading1"/>
      </w:pPr>
      <w:bookmarkStart w:name="_Toc212716181" w:id="139"/>
      <w:bookmarkStart w:name="_Toc214004385" w:id="140"/>
      <w:r>
        <w:t>Procedural Matters</w:t>
      </w:r>
      <w:bookmarkEnd w:id="139"/>
      <w:bookmarkEnd w:id="140"/>
    </w:p>
    <w:p w:rsidR="00E40D44" w:rsidP="00F277D4" w:rsidRDefault="004A1EAD" w14:paraId="717E2666" w14:textId="5F1242B1">
      <w:pPr>
        <w:pStyle w:val="Standard"/>
      </w:pPr>
      <w:r w:rsidRPr="008B175A">
        <w:t>This decision</w:t>
      </w:r>
      <w:r w:rsidR="004D71F8">
        <w:t xml:space="preserve"> </w:t>
      </w:r>
      <w:r w:rsidRPr="008B175A">
        <w:t xml:space="preserve">affirms all rulings made by the </w:t>
      </w:r>
      <w:r w:rsidR="000C5099">
        <w:t xml:space="preserve">ALJ </w:t>
      </w:r>
      <w:r w:rsidRPr="008B175A">
        <w:t xml:space="preserve">and assigned Commissioner in this proceeding. </w:t>
      </w:r>
      <w:r w:rsidR="004D71F8">
        <w:t xml:space="preserve">This decision also considers </w:t>
      </w:r>
      <w:r w:rsidR="00371401">
        <w:t>several</w:t>
      </w:r>
      <w:r w:rsidR="004D71F8">
        <w:t xml:space="preserve"> motions in </w:t>
      </w:r>
      <w:r w:rsidR="005635C6">
        <w:t>Sections </w:t>
      </w:r>
      <w:r w:rsidR="00BA4DEF">
        <w:t>9</w:t>
      </w:r>
      <w:r w:rsidR="004D71F8">
        <w:t xml:space="preserve">.1 through </w:t>
      </w:r>
      <w:r w:rsidR="00BA4DEF">
        <w:t>9</w:t>
      </w:r>
      <w:r w:rsidR="004D71F8">
        <w:t>.4.</w:t>
      </w:r>
    </w:p>
    <w:p w:rsidR="00832455" w:rsidP="00F277D4" w:rsidRDefault="00832455" w14:paraId="7D507111" w14:textId="20693D9E">
      <w:pPr>
        <w:pStyle w:val="Heading2"/>
      </w:pPr>
      <w:bookmarkStart w:name="_Toc212716182" w:id="141"/>
      <w:bookmarkStart w:name="_Toc214004386" w:id="142"/>
      <w:r>
        <w:t>Motion to Be Exempt from Filing</w:t>
      </w:r>
      <w:r w:rsidR="0009045E">
        <w:br/>
      </w:r>
      <w:r w:rsidRPr="009E01F1" w:rsidR="009E01F1">
        <w:t>Renewables Portfolio Standard</w:t>
      </w:r>
      <w:r w:rsidR="007B3E69">
        <w:t xml:space="preserve"> Plans</w:t>
      </w:r>
      <w:bookmarkEnd w:id="141"/>
      <w:bookmarkEnd w:id="142"/>
    </w:p>
    <w:p w:rsidR="00F023E7" w:rsidP="00F277D4" w:rsidRDefault="00832455" w14:paraId="5DB8A21A" w14:textId="32E96F05">
      <w:pPr>
        <w:pStyle w:val="Standard"/>
      </w:pPr>
      <w:r>
        <w:t xml:space="preserve">On </w:t>
      </w:r>
      <w:r w:rsidR="00CD5830">
        <w:t>June </w:t>
      </w:r>
      <w:r>
        <w:t xml:space="preserve">30, 2025, </w:t>
      </w:r>
      <w:r w:rsidRPr="00543AB3" w:rsidR="00543AB3">
        <w:t xml:space="preserve">BREMUS </w:t>
      </w:r>
      <w:r w:rsidR="00543AB3">
        <w:t xml:space="preserve">filed </w:t>
      </w:r>
      <w:r w:rsidRPr="00543AB3" w:rsidR="00543AB3">
        <w:t xml:space="preserve">a motion </w:t>
      </w:r>
      <w:r>
        <w:t xml:space="preserve">to be exempted from filing </w:t>
      </w:r>
      <w:r w:rsidR="00F14061">
        <w:t>its</w:t>
      </w:r>
      <w:r>
        <w:t xml:space="preserve"> </w:t>
      </w:r>
      <w:r w:rsidR="00950E04">
        <w:t>2025 RPS</w:t>
      </w:r>
      <w:r>
        <w:t xml:space="preserve"> Plan and future RPS Plans</w:t>
      </w:r>
      <w:r w:rsidR="00543AB3">
        <w:t xml:space="preserve">, </w:t>
      </w:r>
      <w:r>
        <w:t>claim</w:t>
      </w:r>
      <w:r w:rsidR="00543AB3">
        <w:t>ing</w:t>
      </w:r>
      <w:r>
        <w:t xml:space="preserve"> </w:t>
      </w:r>
      <w:r w:rsidR="00F14061">
        <w:t xml:space="preserve">that </w:t>
      </w:r>
      <w:r>
        <w:t>it is a deregistered ESP</w:t>
      </w:r>
      <w:r w:rsidR="00543AB3">
        <w:t>.</w:t>
      </w:r>
    </w:p>
    <w:p w:rsidR="00F023E7" w:rsidP="00F277D4" w:rsidRDefault="00B21902" w14:paraId="31D5E326" w14:textId="473EF0CC">
      <w:pPr>
        <w:pStyle w:val="Standard"/>
      </w:pPr>
      <w:r>
        <w:t>In D.13</w:t>
      </w:r>
      <w:r w:rsidR="00E54574">
        <w:noBreakHyphen/>
      </w:r>
      <w:r>
        <w:t>11</w:t>
      </w:r>
      <w:r w:rsidR="00E54574">
        <w:noBreakHyphen/>
      </w:r>
      <w:r>
        <w:t xml:space="preserve">024, the Commission provided guidance on the applicability of a motion for provisional waiver from filing future RPS Plans. </w:t>
      </w:r>
      <w:r w:rsidR="00C32BBB">
        <w:t xml:space="preserve">Because </w:t>
      </w:r>
      <w:r w:rsidR="00832455">
        <w:t xml:space="preserve">BREMUS has completed deregistration and their ESP </w:t>
      </w:r>
      <w:r w:rsidR="00171975">
        <w:t>number </w:t>
      </w:r>
      <w:r w:rsidR="00832455">
        <w:t>1398 was terminated effective May 2025</w:t>
      </w:r>
      <w:r w:rsidR="00C32BBB">
        <w:t xml:space="preserve">, the motion by BREMUS </w:t>
      </w:r>
      <w:r w:rsidRPr="00C32BBB" w:rsidR="00C32BBB">
        <w:t xml:space="preserve">to be exempted from filing </w:t>
      </w:r>
      <w:r w:rsidR="00E07B76">
        <w:t>its</w:t>
      </w:r>
      <w:r w:rsidRPr="00C32BBB" w:rsidR="00C32BBB">
        <w:t xml:space="preserve"> </w:t>
      </w:r>
      <w:r w:rsidR="00950E04">
        <w:t>2025 RPS</w:t>
      </w:r>
      <w:r w:rsidRPr="00C32BBB" w:rsidR="00C32BBB">
        <w:t xml:space="preserve"> Plan and future</w:t>
      </w:r>
      <w:r w:rsidR="00F14061">
        <w:t xml:space="preserve"> RPS</w:t>
      </w:r>
      <w:r w:rsidRPr="00C32BBB" w:rsidR="00C32BBB">
        <w:t xml:space="preserve"> </w:t>
      </w:r>
      <w:r>
        <w:t>p</w:t>
      </w:r>
      <w:r w:rsidRPr="00C32BBB" w:rsidR="00C32BBB">
        <w:t>lans</w:t>
      </w:r>
      <w:r w:rsidR="00C32BBB">
        <w:t xml:space="preserve"> is granted.</w:t>
      </w:r>
    </w:p>
    <w:p w:rsidR="00F023E7" w:rsidP="00F277D4" w:rsidRDefault="00F1282F" w14:paraId="143BD175" w14:textId="77777777">
      <w:pPr>
        <w:pStyle w:val="Heading2"/>
      </w:pPr>
      <w:bookmarkStart w:name="_Toc212716183" w:id="143"/>
      <w:bookmarkStart w:name="_Toc214004387" w:id="144"/>
      <w:r>
        <w:t>Motion to File Confidential Comments</w:t>
      </w:r>
      <w:bookmarkEnd w:id="143"/>
      <w:bookmarkEnd w:id="144"/>
    </w:p>
    <w:p w:rsidR="001F6FCC" w:rsidP="00F277D4" w:rsidRDefault="00DD5043" w14:paraId="14634523" w14:textId="138CF049">
      <w:pPr>
        <w:pStyle w:val="Standard"/>
      </w:pPr>
      <w:r>
        <w:t xml:space="preserve">On </w:t>
      </w:r>
      <w:r w:rsidR="00CD5830">
        <w:t>July </w:t>
      </w:r>
      <w:r>
        <w:t xml:space="preserve">28, 2025, </w:t>
      </w:r>
      <w:r w:rsidR="000C5099">
        <w:t>Cal Advoc</w:t>
      </w:r>
      <w:r>
        <w:t xml:space="preserve">ates filed a motion for an order allowing it to file under seal the confidential version of </w:t>
      </w:r>
      <w:r w:rsidR="00055142">
        <w:rPr>
          <w:i/>
          <w:iCs/>
        </w:rPr>
        <w:t>Cal</w:t>
      </w:r>
      <w:r w:rsidR="00A96B89">
        <w:rPr>
          <w:i/>
          <w:iCs/>
        </w:rPr>
        <w:t> </w:t>
      </w:r>
      <w:r w:rsidRPr="00DD5043">
        <w:rPr>
          <w:i/>
          <w:iCs/>
        </w:rPr>
        <w:t>Advocates</w:t>
      </w:r>
      <w:r w:rsidR="005A00BE">
        <w:rPr>
          <w:i/>
          <w:iCs/>
        </w:rPr>
        <w:t>’</w:t>
      </w:r>
      <w:r w:rsidRPr="00DD5043">
        <w:rPr>
          <w:i/>
          <w:iCs/>
        </w:rPr>
        <w:t xml:space="preserve"> Comments on the Draft </w:t>
      </w:r>
      <w:r w:rsidRPr="00DD5043">
        <w:rPr>
          <w:i/>
          <w:iCs/>
        </w:rPr>
        <w:lastRenderedPageBreak/>
        <w:t xml:space="preserve">2025 Renewables Portfolio Standard Procurement Plans </w:t>
      </w:r>
      <w:r w:rsidR="00430EAB">
        <w:t>(Cal Advocates</w:t>
      </w:r>
      <w:r w:rsidR="00E92F23">
        <w:t>’</w:t>
      </w:r>
      <w:r w:rsidR="00430EAB">
        <w:t xml:space="preserve"> Comments)</w:t>
      </w:r>
      <w:r>
        <w:t xml:space="preserve">. </w:t>
      </w:r>
      <w:r w:rsidR="000C5099">
        <w:t>Cal Advoc</w:t>
      </w:r>
      <w:r w:rsidR="001F6FCC">
        <w:t>ates</w:t>
      </w:r>
      <w:r w:rsidR="00E92F23">
        <w:t>’</w:t>
      </w:r>
      <w:r w:rsidR="001F6FCC">
        <w:t xml:space="preserve"> </w:t>
      </w:r>
      <w:r w:rsidR="00430EAB">
        <w:t>C</w:t>
      </w:r>
      <w:r w:rsidR="001F6FCC">
        <w:t>omments include multiple references to materials that SCE and PG&amp;E claim are confidential. SCE labeled such information as confidential pursuant to D.06</w:t>
      </w:r>
      <w:r w:rsidR="00E54574">
        <w:noBreakHyphen/>
      </w:r>
      <w:r w:rsidR="001F6FCC">
        <w:t>06</w:t>
      </w:r>
      <w:r w:rsidR="00E54574">
        <w:noBreakHyphen/>
      </w:r>
      <w:r w:rsidR="001F6FCC">
        <w:t>066, D.08</w:t>
      </w:r>
      <w:r w:rsidR="00E54574">
        <w:noBreakHyphen/>
      </w:r>
      <w:r w:rsidR="001F6FCC">
        <w:t>04</w:t>
      </w:r>
      <w:r w:rsidR="00E54574">
        <w:noBreakHyphen/>
      </w:r>
      <w:r w:rsidR="001F6FCC">
        <w:t>023, D.21</w:t>
      </w:r>
      <w:r w:rsidR="00E54574">
        <w:noBreakHyphen/>
      </w:r>
      <w:r w:rsidR="001F6FCC">
        <w:t>11</w:t>
      </w:r>
      <w:r w:rsidR="00E54574">
        <w:noBreakHyphen/>
      </w:r>
      <w:r w:rsidR="001F6FCC">
        <w:t xml:space="preserve">029, </w:t>
      </w:r>
      <w:r w:rsidR="00F81267">
        <w:t>Pub. Util.</w:t>
      </w:r>
      <w:r w:rsidR="001F6FCC">
        <w:t xml:space="preserve"> Code </w:t>
      </w:r>
      <w:r w:rsidR="009850E3">
        <w:t>Section </w:t>
      </w:r>
      <w:r w:rsidR="001F6FCC">
        <w:t>454.5(g), and California code sections related to the treatment of Trade Secret information.</w:t>
      </w:r>
      <w:r w:rsidR="001F6FCC">
        <w:rPr>
          <w:rStyle w:val="FootnoteReference"/>
        </w:rPr>
        <w:footnoteReference w:id="117"/>
      </w:r>
      <w:r w:rsidR="001F6FCC">
        <w:t xml:space="preserve"> PG&amp;E labeled such information as confidential pursuant to D.06</w:t>
      </w:r>
      <w:r w:rsidR="00E54574">
        <w:noBreakHyphen/>
      </w:r>
      <w:r w:rsidR="001F6FCC">
        <w:t>06</w:t>
      </w:r>
      <w:r w:rsidR="00E54574">
        <w:noBreakHyphen/>
      </w:r>
      <w:r w:rsidR="001F6FCC">
        <w:t>066 as modified by D.21</w:t>
      </w:r>
      <w:r w:rsidR="00E54574">
        <w:noBreakHyphen/>
      </w:r>
      <w:r w:rsidR="001F6FCC">
        <w:t>11</w:t>
      </w:r>
      <w:r w:rsidR="00E54574">
        <w:noBreakHyphen/>
      </w:r>
      <w:r w:rsidR="001F6FCC">
        <w:t xml:space="preserve">029, </w:t>
      </w:r>
      <w:r w:rsidR="00F81267">
        <w:t>Pub. Util.</w:t>
      </w:r>
      <w:r w:rsidR="001F6FCC">
        <w:t xml:space="preserve"> </w:t>
      </w:r>
      <w:r w:rsidR="009850E3">
        <w:t>Section </w:t>
      </w:r>
      <w:r w:rsidR="001F6FCC">
        <w:t xml:space="preserve">454.5(g), and the </w:t>
      </w:r>
      <w:r w:rsidR="00CD5830">
        <w:t>May </w:t>
      </w:r>
      <w:r w:rsidR="001F6FCC">
        <w:t xml:space="preserve">21, 2014 </w:t>
      </w:r>
      <w:r w:rsidR="000C5099">
        <w:t>ALJ</w:t>
      </w:r>
      <w:r w:rsidR="005A00BE">
        <w:t>’</w:t>
      </w:r>
      <w:r w:rsidR="001F6FCC">
        <w:t xml:space="preserve">s Ruling on Renewable Net Short issued in </w:t>
      </w:r>
      <w:r w:rsidR="006876C0">
        <w:t>R.</w:t>
      </w:r>
      <w:r w:rsidR="001F6FCC">
        <w:t>11</w:t>
      </w:r>
      <w:r w:rsidR="00E54574">
        <w:noBreakHyphen/>
      </w:r>
      <w:r w:rsidR="001F6FCC">
        <w:t>05</w:t>
      </w:r>
      <w:r w:rsidR="00E54574">
        <w:noBreakHyphen/>
      </w:r>
      <w:r w:rsidR="001F6FCC">
        <w:t>005.</w:t>
      </w:r>
      <w:r w:rsidRPr="004E569E" w:rsidR="004E569E">
        <w:t xml:space="preserve"> </w:t>
      </w:r>
      <w:r w:rsidR="000C5099">
        <w:t>Cal Advoc</w:t>
      </w:r>
      <w:r w:rsidR="004E569E">
        <w:t>ates</w:t>
      </w:r>
      <w:r w:rsidR="00634BDC">
        <w:t xml:space="preserve"> states that its </w:t>
      </w:r>
      <w:r w:rsidR="004E569E">
        <w:t xml:space="preserve">reliance on the materials that the SCE and PG&amp;E claim are confidential is necessary to support the arguments in </w:t>
      </w:r>
      <w:r w:rsidR="000C5099">
        <w:t>Cal Advoc</w:t>
      </w:r>
      <w:r w:rsidR="004E569E">
        <w:t>ates Comments.</w:t>
      </w:r>
      <w:r w:rsidR="003C2331">
        <w:rPr>
          <w:rStyle w:val="FootnoteReference"/>
        </w:rPr>
        <w:footnoteReference w:id="118"/>
      </w:r>
    </w:p>
    <w:p w:rsidR="00F023E7" w:rsidP="00F277D4" w:rsidRDefault="002902AE" w14:paraId="6F89DBF4" w14:textId="3DC3FB4C">
      <w:pPr>
        <w:pStyle w:val="Standard"/>
      </w:pPr>
      <w:r>
        <w:t xml:space="preserve">Having reviewed the Motion of </w:t>
      </w:r>
      <w:r w:rsidR="000C5099">
        <w:t>Cal Advoc</w:t>
      </w:r>
      <w:r>
        <w:t>ates for an order allowing it to file under seal</w:t>
      </w:r>
      <w:r w:rsidR="00D943D0">
        <w:t xml:space="preserve"> the confidential version of</w:t>
      </w:r>
      <w:r w:rsidR="00E92F23">
        <w:t xml:space="preserve"> Cal</w:t>
      </w:r>
      <w:r w:rsidR="00A96B89">
        <w:t> </w:t>
      </w:r>
      <w:r w:rsidR="00E92F23">
        <w:t>Advocates’ Comments</w:t>
      </w:r>
      <w:r>
        <w:t>, and good cause shown, the motion is granted</w:t>
      </w:r>
      <w:r w:rsidR="00273FB5">
        <w:t>.</w:t>
      </w:r>
    </w:p>
    <w:p w:rsidR="004A1EAD" w:rsidP="00F277D4" w:rsidRDefault="002A03CD" w14:paraId="143B0431" w14:textId="0742DE6D">
      <w:pPr>
        <w:pStyle w:val="Heading2"/>
      </w:pPr>
      <w:bookmarkStart w:name="_Toc212716184" w:id="145"/>
      <w:bookmarkStart w:name="_Toc214004388" w:id="146"/>
      <w:r w:rsidRPr="002A03CD">
        <w:t>Southern California Edison Company</w:t>
      </w:r>
      <w:r w:rsidR="005A00BE">
        <w:t>’</w:t>
      </w:r>
      <w:r w:rsidR="00E40D44">
        <w:t>s</w:t>
      </w:r>
      <w:r w:rsidR="00075AF3">
        <w:br/>
      </w:r>
      <w:r w:rsidR="00DD0A39">
        <w:t xml:space="preserve">and </w:t>
      </w:r>
      <w:r w:rsidR="00B471F2">
        <w:t>San </w:t>
      </w:r>
      <w:r w:rsidRPr="00B849DA" w:rsidR="00B849DA">
        <w:t>Diego Gas</w:t>
      </w:r>
      <w:r w:rsidR="00B471F2">
        <w:t xml:space="preserve"> &amp; </w:t>
      </w:r>
      <w:r w:rsidRPr="00B849DA" w:rsidR="00B849DA">
        <w:t>Electric Company</w:t>
      </w:r>
      <w:r w:rsidR="005A00BE">
        <w:t>’</w:t>
      </w:r>
      <w:r w:rsidR="00DD0A39">
        <w:t xml:space="preserve">s </w:t>
      </w:r>
      <w:r w:rsidR="00E40D44">
        <w:t>Motion</w:t>
      </w:r>
      <w:r w:rsidR="00DD0A39">
        <w:t>s</w:t>
      </w:r>
      <w:r w:rsidR="00E40D44">
        <w:t xml:space="preserve"> to Update Plan</w:t>
      </w:r>
      <w:r w:rsidR="00DD0A39">
        <w:t xml:space="preserve">s and </w:t>
      </w:r>
      <w:r w:rsidR="00FF38BE">
        <w:t>Motions</w:t>
      </w:r>
      <w:r w:rsidR="00075AF3">
        <w:br/>
      </w:r>
      <w:r w:rsidR="00FF38BE">
        <w:t xml:space="preserve">to </w:t>
      </w:r>
      <w:r w:rsidR="00DD0A39">
        <w:t>File Under Seal</w:t>
      </w:r>
      <w:bookmarkEnd w:id="145"/>
      <w:r w:rsidR="000B0835">
        <w:t>; Cal</w:t>
      </w:r>
      <w:r w:rsidR="00A96B89">
        <w:t> </w:t>
      </w:r>
      <w:r w:rsidR="000B0835">
        <w:t>Advocates</w:t>
      </w:r>
      <w:r w:rsidR="00A96B89">
        <w:t>’</w:t>
      </w:r>
      <w:r w:rsidR="00A96B89">
        <w:br/>
      </w:r>
      <w:r w:rsidR="000B0835">
        <w:t>Motion to File Under Seal</w:t>
      </w:r>
      <w:bookmarkEnd w:id="146"/>
    </w:p>
    <w:p w:rsidR="00D85A3D" w:rsidP="008C08AE" w:rsidRDefault="00C66828" w14:paraId="5088A68C" w14:textId="6BDFCB90">
      <w:pPr>
        <w:pStyle w:val="Standard"/>
      </w:pPr>
      <w:r w:rsidRPr="00C66828">
        <w:t xml:space="preserve">On </w:t>
      </w:r>
      <w:r w:rsidR="00CD5830">
        <w:t>August </w:t>
      </w:r>
      <w:r w:rsidRPr="00C66828">
        <w:t xml:space="preserve">11, 2025, SCE filed </w:t>
      </w:r>
      <w:r w:rsidR="008331A7">
        <w:t>the</w:t>
      </w:r>
      <w:r w:rsidR="008331A7">
        <w:rPr>
          <w:i/>
          <w:iCs/>
        </w:rPr>
        <w:t xml:space="preserve"> </w:t>
      </w:r>
      <w:r w:rsidRPr="008331A7" w:rsidR="008331A7">
        <w:rPr>
          <w:i/>
          <w:iCs/>
        </w:rPr>
        <w:t>Motion</w:t>
      </w:r>
      <w:r w:rsidRPr="008331A7" w:rsidR="006D614E">
        <w:rPr>
          <w:i/>
          <w:iCs/>
        </w:rPr>
        <w:t xml:space="preserve"> of SCE (U</w:t>
      </w:r>
      <w:r w:rsidR="00A96B89">
        <w:rPr>
          <w:i/>
          <w:iCs/>
        </w:rPr>
        <w:t> </w:t>
      </w:r>
      <w:r w:rsidRPr="008331A7" w:rsidR="006D614E">
        <w:rPr>
          <w:i/>
          <w:iCs/>
        </w:rPr>
        <w:t>388</w:t>
      </w:r>
      <w:r w:rsidR="00E54574">
        <w:rPr>
          <w:i/>
          <w:iCs/>
        </w:rPr>
        <w:noBreakHyphen/>
      </w:r>
      <w:r w:rsidRPr="008331A7" w:rsidR="006D614E">
        <w:rPr>
          <w:i/>
          <w:iCs/>
        </w:rPr>
        <w:t>E)</w:t>
      </w:r>
      <w:r w:rsidRPr="008331A7">
        <w:rPr>
          <w:i/>
          <w:iCs/>
        </w:rPr>
        <w:t xml:space="preserve"> to </w:t>
      </w:r>
      <w:r w:rsidRPr="008331A7" w:rsidR="006D614E">
        <w:rPr>
          <w:i/>
          <w:iCs/>
        </w:rPr>
        <w:t>U</w:t>
      </w:r>
      <w:r w:rsidRPr="008331A7">
        <w:rPr>
          <w:i/>
          <w:iCs/>
        </w:rPr>
        <w:t xml:space="preserve">pdate its Draft </w:t>
      </w:r>
      <w:r w:rsidRPr="008331A7" w:rsidR="00950E04">
        <w:rPr>
          <w:i/>
          <w:iCs/>
        </w:rPr>
        <w:t>2025 RPS</w:t>
      </w:r>
      <w:r w:rsidRPr="008331A7">
        <w:rPr>
          <w:i/>
          <w:iCs/>
        </w:rPr>
        <w:t xml:space="preserve"> Plan</w:t>
      </w:r>
      <w:r w:rsidRPr="008331A7" w:rsidR="00430EAB">
        <w:rPr>
          <w:i/>
          <w:iCs/>
        </w:rPr>
        <w:t xml:space="preserve"> </w:t>
      </w:r>
      <w:r w:rsidR="00430EAB">
        <w:t>and</w:t>
      </w:r>
      <w:r w:rsidR="006D614E">
        <w:t xml:space="preserve"> the </w:t>
      </w:r>
      <w:r w:rsidRPr="008331A7" w:rsidR="006D614E">
        <w:rPr>
          <w:i/>
          <w:iCs/>
        </w:rPr>
        <w:t>Moti</w:t>
      </w:r>
      <w:r w:rsidR="006D614E">
        <w:rPr>
          <w:i/>
          <w:iCs/>
        </w:rPr>
        <w:t>o</w:t>
      </w:r>
      <w:r w:rsidRPr="008331A7" w:rsidR="006D614E">
        <w:rPr>
          <w:i/>
          <w:iCs/>
        </w:rPr>
        <w:t>n of SCE (U</w:t>
      </w:r>
      <w:r w:rsidR="00A96B89">
        <w:rPr>
          <w:i/>
          <w:iCs/>
        </w:rPr>
        <w:t> </w:t>
      </w:r>
      <w:r w:rsidRPr="008331A7" w:rsidR="006D614E">
        <w:rPr>
          <w:i/>
          <w:iCs/>
        </w:rPr>
        <w:t>388</w:t>
      </w:r>
      <w:r w:rsidR="00E54574">
        <w:rPr>
          <w:i/>
          <w:iCs/>
        </w:rPr>
        <w:noBreakHyphen/>
      </w:r>
      <w:r w:rsidRPr="008331A7" w:rsidR="006D614E">
        <w:rPr>
          <w:i/>
          <w:iCs/>
        </w:rPr>
        <w:t>E) for leave to file the Confidential Version of its Motion to Update Draft 2025 RPS Plan under Seal</w:t>
      </w:r>
      <w:r w:rsidR="006D614E">
        <w:t>. O</w:t>
      </w:r>
      <w:r w:rsidR="00F913B1">
        <w:t>n</w:t>
      </w:r>
      <w:r w:rsidR="006D614E">
        <w:t xml:space="preserve"> August</w:t>
      </w:r>
      <w:r w:rsidR="003479E3">
        <w:t> </w:t>
      </w:r>
      <w:r w:rsidR="006D614E">
        <w:t xml:space="preserve">11, 2025, </w:t>
      </w:r>
      <w:r w:rsidRPr="00C66828">
        <w:t xml:space="preserve">SDG&amp;E </w:t>
      </w:r>
      <w:r w:rsidR="006D614E">
        <w:t xml:space="preserve">also </w:t>
      </w:r>
      <w:r w:rsidRPr="00C66828">
        <w:t xml:space="preserve">filed </w:t>
      </w:r>
      <w:r w:rsidRPr="00141315" w:rsidR="006D614E">
        <w:rPr>
          <w:i/>
          <w:iCs/>
        </w:rPr>
        <w:t xml:space="preserve">the Motion of </w:t>
      </w:r>
      <w:r w:rsidRPr="00141315" w:rsidR="000B0835">
        <w:rPr>
          <w:i/>
          <w:iCs/>
        </w:rPr>
        <w:t>S</w:t>
      </w:r>
      <w:r w:rsidRPr="00141315" w:rsidR="006D614E">
        <w:rPr>
          <w:i/>
          <w:iCs/>
        </w:rPr>
        <w:t>DG&amp;E (U902 E) for Leave to File Under Seal the Unredacted Version of its Update to its Draft 2025 RPS Plan</w:t>
      </w:r>
      <w:r w:rsidRPr="00C66828">
        <w:t>.</w:t>
      </w:r>
      <w:r w:rsidR="00D85A3D">
        <w:t xml:space="preserve"> </w:t>
      </w:r>
      <w:r w:rsidR="00232A01">
        <w:t xml:space="preserve">The motions to update </w:t>
      </w:r>
      <w:r w:rsidR="00232A01">
        <w:lastRenderedPageBreak/>
        <w:t>Draft 2025 RPS Plans are submitted in compliance with the 2025 ACR and are granted.</w:t>
      </w:r>
    </w:p>
    <w:p w:rsidR="004D6A96" w:rsidP="008C08AE" w:rsidRDefault="008331A7" w14:paraId="52733D2F" w14:textId="3E920F0C">
      <w:pPr>
        <w:pStyle w:val="Standard"/>
      </w:pPr>
      <w:r>
        <w:t>I</w:t>
      </w:r>
      <w:r w:rsidRPr="008331A7" w:rsidR="00C91FF9">
        <w:t xml:space="preserve">n response to </w:t>
      </w:r>
      <w:r w:rsidR="00D85A3D">
        <w:t xml:space="preserve">SCE’s and SDG&amp;E’s </w:t>
      </w:r>
      <w:r w:rsidRPr="008331A7" w:rsidR="00C91FF9">
        <w:t>motions to update their plans</w:t>
      </w:r>
      <w:r w:rsidRPr="00435BC7" w:rsidR="006D614E">
        <w:t xml:space="preserve"> and file under seal</w:t>
      </w:r>
      <w:r>
        <w:t>, Cal</w:t>
      </w:r>
      <w:r w:rsidR="000C5099">
        <w:t> </w:t>
      </w:r>
      <w:r>
        <w:t>Advocates filed a response</w:t>
      </w:r>
      <w:r w:rsidR="00D85A3D">
        <w:t xml:space="preserve"> on August</w:t>
      </w:r>
      <w:r w:rsidR="00CD5830">
        <w:t> </w:t>
      </w:r>
      <w:r w:rsidR="00D85A3D">
        <w:t xml:space="preserve">26, 2025. </w:t>
      </w:r>
      <w:r w:rsidR="004D6A96">
        <w:t xml:space="preserve">Concurrently, </w:t>
      </w:r>
      <w:r w:rsidR="000C5099">
        <w:t>Cal Advoc</w:t>
      </w:r>
      <w:r w:rsidR="00914F43">
        <w:t xml:space="preserve">ates filed a motion for leave to file under seal the confidential version of </w:t>
      </w:r>
      <w:r w:rsidR="00430EAB">
        <w:t xml:space="preserve">the </w:t>
      </w:r>
      <w:r w:rsidRPr="00914F43" w:rsidR="00914F43">
        <w:rPr>
          <w:i/>
          <w:iCs/>
        </w:rPr>
        <w:t>Response of the Public Advocates Office to Motions to Update Draft 2025 Renewables</w:t>
      </w:r>
      <w:r w:rsidR="00914F43">
        <w:rPr>
          <w:i/>
          <w:iCs/>
        </w:rPr>
        <w:t xml:space="preserve"> </w:t>
      </w:r>
      <w:r w:rsidRPr="00914F43" w:rsidR="00914F43">
        <w:rPr>
          <w:i/>
          <w:iCs/>
        </w:rPr>
        <w:t>Portfolio Standard Procurement Plans</w:t>
      </w:r>
      <w:r w:rsidR="00D943D0">
        <w:rPr>
          <w:i/>
          <w:iCs/>
        </w:rPr>
        <w:t xml:space="preserve"> </w:t>
      </w:r>
      <w:r w:rsidR="00D943D0">
        <w:t>(Cal</w:t>
      </w:r>
      <w:r w:rsidR="003479E3">
        <w:t> </w:t>
      </w:r>
      <w:r w:rsidR="00D943D0">
        <w:t>Advocates’ Response to Updated RPS Plans)</w:t>
      </w:r>
      <w:r w:rsidR="00914F43">
        <w:rPr>
          <w:i/>
          <w:iCs/>
        </w:rPr>
        <w:t xml:space="preserve">. </w:t>
      </w:r>
      <w:r w:rsidR="000C5099">
        <w:t>Cal Advoc</w:t>
      </w:r>
      <w:r w:rsidR="00914F43">
        <w:t xml:space="preserve">ates Response </w:t>
      </w:r>
      <w:r w:rsidR="00D943D0">
        <w:t>to Updated RPS Plans</w:t>
      </w:r>
      <w:r w:rsidR="00914F43">
        <w:t xml:space="preserve"> contains multiple</w:t>
      </w:r>
      <w:r w:rsidR="00914F43">
        <w:rPr>
          <w:i/>
          <w:iCs/>
        </w:rPr>
        <w:t xml:space="preserve"> </w:t>
      </w:r>
      <w:r w:rsidR="00914F43">
        <w:t>references to materials that SDG&amp;E and SCE claim are confidential.</w:t>
      </w:r>
      <w:r w:rsidR="004D6A96">
        <w:t xml:space="preserve"> </w:t>
      </w:r>
      <w:r w:rsidR="000C5099">
        <w:t>Cal Advoc</w:t>
      </w:r>
      <w:r w:rsidR="004D6A96">
        <w:t xml:space="preserve">ates notes that </w:t>
      </w:r>
      <w:r w:rsidR="00914F43">
        <w:t>SDG&amp;E labeled such information as confidential pursuant to D.06</w:t>
      </w:r>
      <w:r w:rsidR="00E54574">
        <w:noBreakHyphen/>
      </w:r>
      <w:r w:rsidR="00914F43">
        <w:t>06</w:t>
      </w:r>
      <w:r w:rsidR="00E54574">
        <w:noBreakHyphen/>
      </w:r>
      <w:r w:rsidR="00914F43">
        <w:t xml:space="preserve">066, </w:t>
      </w:r>
      <w:r w:rsidR="006C4E4A">
        <w:t>et seq</w:t>
      </w:r>
      <w:r w:rsidR="00914F43">
        <w:t xml:space="preserve">., and applicable statutory provisions including, but not limited to, </w:t>
      </w:r>
      <w:r w:rsidR="005635C6">
        <w:t xml:space="preserve">Pub. Util. Code </w:t>
      </w:r>
      <w:r w:rsidR="00914F43">
        <w:t>Section</w:t>
      </w:r>
      <w:r w:rsidR="005635C6">
        <w:t> </w:t>
      </w:r>
      <w:r w:rsidR="00914F43">
        <w:t>454.5(g)</w:t>
      </w:r>
      <w:r w:rsidR="005635C6">
        <w:t>, Pub. Util. Code Section </w:t>
      </w:r>
      <w:r w:rsidR="00914F43">
        <w:t xml:space="preserve">583, Government Code </w:t>
      </w:r>
      <w:r w:rsidR="009850E3">
        <w:t>Section </w:t>
      </w:r>
      <w:r w:rsidR="00914F43">
        <w:t>6254(k), and General Order</w:t>
      </w:r>
      <w:r w:rsidR="007D007E">
        <w:t> </w:t>
      </w:r>
      <w:r w:rsidR="00914F43">
        <w:t>66</w:t>
      </w:r>
      <w:r w:rsidR="00E54574">
        <w:noBreakHyphen/>
      </w:r>
      <w:r w:rsidR="00914F43">
        <w:t xml:space="preserve">D. </w:t>
      </w:r>
      <w:r w:rsidR="004D6A96">
        <w:t xml:space="preserve">In addition, </w:t>
      </w:r>
      <w:r w:rsidR="00914F43">
        <w:t>SCE</w:t>
      </w:r>
      <w:r w:rsidR="004D6A96">
        <w:t xml:space="preserve"> </w:t>
      </w:r>
      <w:r w:rsidR="00914F43">
        <w:t>labeled such information as confidential pursuant to D.06</w:t>
      </w:r>
      <w:r w:rsidR="00E54574">
        <w:noBreakHyphen/>
      </w:r>
      <w:r w:rsidR="00914F43">
        <w:t>06</w:t>
      </w:r>
      <w:r w:rsidR="00E54574">
        <w:noBreakHyphen/>
      </w:r>
      <w:r w:rsidR="00914F43">
        <w:t>066, D.08</w:t>
      </w:r>
      <w:r w:rsidR="00E54574">
        <w:noBreakHyphen/>
      </w:r>
      <w:r w:rsidR="00914F43">
        <w:t>04</w:t>
      </w:r>
      <w:r w:rsidR="00E54574">
        <w:noBreakHyphen/>
      </w:r>
      <w:r w:rsidR="00914F43">
        <w:t>023, D.21</w:t>
      </w:r>
      <w:r w:rsidR="00E54574">
        <w:noBreakHyphen/>
      </w:r>
      <w:r w:rsidR="00914F43">
        <w:t>11</w:t>
      </w:r>
      <w:r w:rsidR="00E54574">
        <w:noBreakHyphen/>
      </w:r>
      <w:r w:rsidR="00914F43">
        <w:t>029,</w:t>
      </w:r>
      <w:r w:rsidR="004D6A96">
        <w:t xml:space="preserve"> </w:t>
      </w:r>
      <w:r w:rsidR="00914F43">
        <w:t xml:space="preserve">and </w:t>
      </w:r>
      <w:r w:rsidR="00F81267">
        <w:t>Pub. Util. Code Section 454</w:t>
      </w:r>
      <w:r w:rsidR="00914F43">
        <w:t>.5(g).</w:t>
      </w:r>
      <w:r w:rsidR="004D6A96">
        <w:t xml:space="preserve"> </w:t>
      </w:r>
      <w:r w:rsidR="000C5099">
        <w:t>Cal Advoc</w:t>
      </w:r>
      <w:r w:rsidR="004D6A96">
        <w:t xml:space="preserve">ates argues that </w:t>
      </w:r>
      <w:r w:rsidR="000C5099">
        <w:t>Cal Advoc</w:t>
      </w:r>
      <w:r w:rsidR="00914F43">
        <w:t>ates</w:t>
      </w:r>
      <w:r w:rsidR="005A00BE">
        <w:t>’</w:t>
      </w:r>
      <w:r w:rsidR="00914F43">
        <w:t xml:space="preserve"> reliance on the materials that SDG&amp;E and SCE claim are confidential</w:t>
      </w:r>
      <w:r w:rsidR="004D6A96">
        <w:t xml:space="preserve"> </w:t>
      </w:r>
      <w:r w:rsidR="00914F43">
        <w:t xml:space="preserve">is necessary to support the arguments in </w:t>
      </w:r>
      <w:r w:rsidR="000C5099">
        <w:t>Cal Advoc</w:t>
      </w:r>
      <w:r w:rsidR="00914F43">
        <w:t xml:space="preserve">ates </w:t>
      </w:r>
      <w:r w:rsidR="004D6A96">
        <w:t>confidential response</w:t>
      </w:r>
      <w:r w:rsidR="00914F43">
        <w:t>.</w:t>
      </w:r>
    </w:p>
    <w:p w:rsidR="008A1D87" w:rsidP="00F277D4" w:rsidRDefault="004D6A96" w14:paraId="095A1473" w14:textId="422AA36A">
      <w:pPr>
        <w:pStyle w:val="Standard"/>
        <w:ind w:firstLine="360"/>
      </w:pPr>
      <w:r>
        <w:t xml:space="preserve">Good cause being shown, </w:t>
      </w:r>
      <w:r w:rsidR="000C5099">
        <w:t>Cal Advoc</w:t>
      </w:r>
      <w:r>
        <w:t>ates</w:t>
      </w:r>
      <w:r w:rsidR="005A00BE">
        <w:t>’</w:t>
      </w:r>
      <w:r>
        <w:t xml:space="preserve"> motion for leave t</w:t>
      </w:r>
      <w:r w:rsidR="00E108A2">
        <w:t>o</w:t>
      </w:r>
      <w:r>
        <w:t xml:space="preserve"> file under se</w:t>
      </w:r>
      <w:r w:rsidR="0022746F">
        <w:t>al</w:t>
      </w:r>
      <w:r>
        <w:t xml:space="preserve"> the confidential version of </w:t>
      </w:r>
      <w:r w:rsidR="00D943D0">
        <w:t>Cal</w:t>
      </w:r>
      <w:r w:rsidR="003479E3">
        <w:t> </w:t>
      </w:r>
      <w:r w:rsidR="00D943D0">
        <w:t>Advocates’ Response to Updated RPS Plans</w:t>
      </w:r>
      <w:r>
        <w:t xml:space="preserve"> is granted.</w:t>
      </w:r>
    </w:p>
    <w:p w:rsidR="008A1D87" w:rsidP="00F277D4" w:rsidRDefault="00040206" w14:paraId="292DAA76" w14:textId="21C7D504">
      <w:pPr>
        <w:pStyle w:val="Standard"/>
        <w:ind w:firstLine="360"/>
      </w:pPr>
      <w:r>
        <w:t xml:space="preserve">On </w:t>
      </w:r>
      <w:r w:rsidR="00CD5830">
        <w:t>September </w:t>
      </w:r>
      <w:r>
        <w:t xml:space="preserve">5, 2025, concurrent with its reply to </w:t>
      </w:r>
      <w:r w:rsidR="000C5099">
        <w:t>Cal Advoc</w:t>
      </w:r>
      <w:r>
        <w:t>ates</w:t>
      </w:r>
      <w:r w:rsidR="005A00BE">
        <w:t>’</w:t>
      </w:r>
      <w:r>
        <w:t xml:space="preserve"> response, SCE filed a motion for leave to file its reply to </w:t>
      </w:r>
      <w:r w:rsidR="000C5099">
        <w:t>Cal Advoc</w:t>
      </w:r>
      <w:r w:rsidR="00C70EAB">
        <w:t>ates</w:t>
      </w:r>
      <w:r w:rsidR="005A00BE">
        <w:t>’</w:t>
      </w:r>
      <w:r w:rsidR="00C70EAB">
        <w:t xml:space="preserve"> </w:t>
      </w:r>
      <w:r>
        <w:t xml:space="preserve">response on the motion to update the Draft </w:t>
      </w:r>
      <w:r w:rsidR="00950E04">
        <w:t>2025 RPS</w:t>
      </w:r>
      <w:r>
        <w:t xml:space="preserve"> Plan under seal. </w:t>
      </w:r>
      <w:r w:rsidR="00587E8B">
        <w:t xml:space="preserve">In its motion, </w:t>
      </w:r>
      <w:r>
        <w:t xml:space="preserve">SCE states </w:t>
      </w:r>
      <w:r w:rsidR="00587E8B">
        <w:t>that</w:t>
      </w:r>
      <w:r>
        <w:t xml:space="preserve"> the confidential information included in its reply </w:t>
      </w:r>
      <w:r w:rsidR="00C70EAB">
        <w:t>contains</w:t>
      </w:r>
      <w:r>
        <w:t xml:space="preserve"> market sensitive information and therefore must be protected from public disclosure.</w:t>
      </w:r>
    </w:p>
    <w:p w:rsidR="008A1D87" w:rsidP="00F277D4" w:rsidRDefault="00040206" w14:paraId="5D56243D" w14:textId="3CFFFFAD">
      <w:pPr>
        <w:pStyle w:val="Standard"/>
        <w:ind w:firstLine="360"/>
      </w:pPr>
      <w:r>
        <w:lastRenderedPageBreak/>
        <w:t>Upon review, good cause being shown, SCE</w:t>
      </w:r>
      <w:r w:rsidR="005A00BE">
        <w:t>’</w:t>
      </w:r>
      <w:r>
        <w:t>s motion</w:t>
      </w:r>
      <w:r w:rsidR="00587E8B">
        <w:t xml:space="preserve"> for leave to file under seal its reply to </w:t>
      </w:r>
      <w:r w:rsidR="000C5099">
        <w:t>Cal Advoc</w:t>
      </w:r>
      <w:r w:rsidR="00587E8B">
        <w:t>ates</w:t>
      </w:r>
      <w:r w:rsidR="005A00BE">
        <w:t>’</w:t>
      </w:r>
      <w:r w:rsidR="00587E8B">
        <w:t xml:space="preserve"> response</w:t>
      </w:r>
      <w:r>
        <w:t xml:space="preserve"> dated </w:t>
      </w:r>
      <w:r w:rsidR="00CD5830">
        <w:t>September </w:t>
      </w:r>
      <w:r>
        <w:t>5, 2025, is granted.</w:t>
      </w:r>
    </w:p>
    <w:p w:rsidR="00E40D44" w:rsidP="00F277D4" w:rsidRDefault="00E40D44" w14:paraId="4EA3D649" w14:textId="288D7FC4">
      <w:pPr>
        <w:pStyle w:val="Heading2"/>
      </w:pPr>
      <w:bookmarkStart w:name="_Toc212716185" w:id="147"/>
      <w:bookmarkStart w:name="_Toc214004389" w:id="148"/>
      <w:r>
        <w:t>Motions for Confidentiality</w:t>
      </w:r>
      <w:r w:rsidR="00412BD7">
        <w:t xml:space="preserve"> — </w:t>
      </w:r>
      <w:r w:rsidR="00CA68F4">
        <w:t xml:space="preserve">2025 Draft </w:t>
      </w:r>
      <w:r w:rsidRPr="009E01F1" w:rsidR="009E01F1">
        <w:t>Renewables Portfolio Standard</w:t>
      </w:r>
      <w:r w:rsidR="00CA68F4">
        <w:t xml:space="preserve"> Plans</w:t>
      </w:r>
      <w:bookmarkEnd w:id="147"/>
      <w:bookmarkEnd w:id="148"/>
    </w:p>
    <w:p w:rsidR="00E5394B" w:rsidP="00F277D4" w:rsidRDefault="00D174F7" w14:paraId="287A280E" w14:textId="6B1FE8C4">
      <w:pPr>
        <w:pStyle w:val="Standard"/>
      </w:pPr>
      <w:r w:rsidRPr="00C55273">
        <w:t xml:space="preserve">The motions for confidentiality of retail sellers named in </w:t>
      </w:r>
      <w:r w:rsidR="00F920D3">
        <w:t>Table 1</w:t>
      </w:r>
      <w:r w:rsidR="00883B52">
        <w:t>2</w:t>
      </w:r>
      <w:r w:rsidRPr="00C55273">
        <w:t xml:space="preserve"> are partially approved. The Commission reviewed </w:t>
      </w:r>
      <w:r>
        <w:t>D</w:t>
      </w:r>
      <w:r w:rsidRPr="00C55273">
        <w:t xml:space="preserve">raft </w:t>
      </w:r>
      <w:r w:rsidR="00950E04">
        <w:t>2025 RPS</w:t>
      </w:r>
      <w:r w:rsidRPr="00C55273">
        <w:t xml:space="preserve"> Plans to ensure retail sellers did not excessively redact information. This decision orders retail sellers identified in the table below to correct their excess redactions in their Final </w:t>
      </w:r>
      <w:r w:rsidR="00950E04">
        <w:t>2025 RPS</w:t>
      </w:r>
      <w:r w:rsidRPr="00C55273">
        <w:t xml:space="preserve"> Plans.</w:t>
      </w:r>
    </w:p>
    <w:p w:rsidR="00E5394B" w:rsidP="00F277D4" w:rsidRDefault="00D174F7" w14:paraId="72867B1C" w14:textId="6EB9A4A2">
      <w:pPr>
        <w:pStyle w:val="Standard"/>
      </w:pPr>
      <w:r w:rsidRPr="00C55273">
        <w:t>The underlying principle of confidentiality pursuant to the 202</w:t>
      </w:r>
      <w:r>
        <w:t>5</w:t>
      </w:r>
      <w:r w:rsidRPr="00C55273">
        <w:t xml:space="preserve"> ACR and D.06</w:t>
      </w:r>
      <w:r w:rsidR="00E54574">
        <w:noBreakHyphen/>
      </w:r>
      <w:r w:rsidRPr="00C55273">
        <w:t>06</w:t>
      </w:r>
      <w:r w:rsidR="00E54574">
        <w:noBreakHyphen/>
      </w:r>
      <w:r w:rsidRPr="00C55273">
        <w:t>066, as modified by D.21</w:t>
      </w:r>
      <w:r w:rsidR="00E54574">
        <w:noBreakHyphen/>
      </w:r>
      <w:r w:rsidRPr="00C55273">
        <w:t>11</w:t>
      </w:r>
      <w:r w:rsidR="00E54574">
        <w:noBreakHyphen/>
      </w:r>
      <w:r w:rsidRPr="00C55273">
        <w:t>029, is about making information publicly accessible to the greatest extent possible while protecting certain market</w:t>
      </w:r>
      <w:r w:rsidR="00E54574">
        <w:noBreakHyphen/>
      </w:r>
      <w:r w:rsidRPr="00C55273">
        <w:t>sensitive information. As such, the party seeking confidentiality protection for data in RPS Plans must make claims consistent with the confidentiality matrices in D.06</w:t>
      </w:r>
      <w:r w:rsidR="00E54574">
        <w:noBreakHyphen/>
      </w:r>
      <w:r w:rsidRPr="00C55273">
        <w:t>06</w:t>
      </w:r>
      <w:r w:rsidR="00E54574">
        <w:noBreakHyphen/>
      </w:r>
      <w:r w:rsidRPr="00C55273">
        <w:t>066, as modified</w:t>
      </w:r>
      <w:r w:rsidR="00E81F50">
        <w:t xml:space="preserve"> by</w:t>
      </w:r>
      <w:r w:rsidRPr="00C55273">
        <w:t xml:space="preserve"> D.21</w:t>
      </w:r>
      <w:r w:rsidR="00E54574">
        <w:noBreakHyphen/>
      </w:r>
      <w:r w:rsidRPr="00C55273">
        <w:t>11</w:t>
      </w:r>
      <w:r w:rsidR="00E54574">
        <w:noBreakHyphen/>
      </w:r>
      <w:r w:rsidRPr="00C55273">
        <w:t>029. The party seeking confidentiality bears the burden of proof.</w:t>
      </w:r>
    </w:p>
    <w:p w:rsidR="00D174F7" w:rsidP="00F277D4" w:rsidRDefault="00D174F7" w14:paraId="1FB1EF6A" w14:textId="1B1B6F17">
      <w:pPr>
        <w:pStyle w:val="Standard"/>
      </w:pPr>
      <w:r w:rsidRPr="00C55273">
        <w:t>We find some retail sellers have excessively redacted the information, which is out of compliance with prior C</w:t>
      </w:r>
      <w:r w:rsidR="00DD5ABF">
        <w:t>ommission</w:t>
      </w:r>
      <w:r w:rsidRPr="00C55273">
        <w:t xml:space="preserve"> guidance. The table below lists retail sellers for whom Commission review found unauthorized redactions. Final </w:t>
      </w:r>
      <w:r w:rsidR="00950E04">
        <w:t>2025 RPS</w:t>
      </w:r>
      <w:r w:rsidRPr="00C55273">
        <w:t xml:space="preserve"> Plans must be revised to comply with the guidance in D.06</w:t>
      </w:r>
      <w:r w:rsidR="00E54574">
        <w:noBreakHyphen/>
      </w:r>
      <w:r w:rsidRPr="00C55273">
        <w:t>06</w:t>
      </w:r>
      <w:r w:rsidR="00E54574">
        <w:noBreakHyphen/>
      </w:r>
      <w:r w:rsidRPr="00C55273">
        <w:t>066, as modified by D.21</w:t>
      </w:r>
      <w:r w:rsidR="00E54574">
        <w:noBreakHyphen/>
      </w:r>
      <w:r w:rsidRPr="00C55273">
        <w:t>11</w:t>
      </w:r>
      <w:r w:rsidR="00E54574">
        <w:noBreakHyphen/>
      </w:r>
      <w:r w:rsidRPr="00C55273">
        <w:t>029.</w:t>
      </w:r>
    </w:p>
    <w:p w:rsidR="001A7E18" w:rsidP="005A00BE" w:rsidRDefault="00F920D3" w14:paraId="55803C34" w14:textId="6726D5EC">
      <w:pPr>
        <w:pStyle w:val="TableTitleBody"/>
        <w:rPr>
          <w:b w:val="0"/>
          <w:bCs w:val="0"/>
        </w:rPr>
      </w:pPr>
      <w:r>
        <w:t>Table 1</w:t>
      </w:r>
      <w:r w:rsidR="001A7E18">
        <w:t>2</w:t>
      </w:r>
      <w:r w:rsidR="00CD5830">
        <w:rPr>
          <w:b w:val="0"/>
          <w:bCs w:val="0"/>
        </w:rPr>
        <w:t xml:space="preserve">:  </w:t>
      </w:r>
      <w:r w:rsidR="001A7E18">
        <w:t>Confidentiality Redactions and Commission Findings</w:t>
      </w:r>
    </w:p>
    <w:tbl>
      <w:tblPr>
        <w:tblStyle w:val="TableGrid"/>
        <w:tblW w:w="9360" w:type="dxa"/>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CellMar>
          <w:top w:w="58" w:type="dxa"/>
          <w:bottom w:w="58" w:type="dxa"/>
        </w:tblCellMar>
        <w:tblLook w:val="06A0" w:firstRow="1" w:lastRow="0" w:firstColumn="1" w:lastColumn="0" w:noHBand="1" w:noVBand="1"/>
      </w:tblPr>
      <w:tblGrid>
        <w:gridCol w:w="3052"/>
        <w:gridCol w:w="6308"/>
      </w:tblGrid>
      <w:tr w:rsidRPr="00FD69E7" w:rsidR="001A7E18" w:rsidTr="005A00BE" w14:paraId="3D916F35" w14:textId="77777777">
        <w:trPr>
          <w:tblHeader/>
        </w:trPr>
        <w:tc>
          <w:tcPr>
            <w:tcW w:w="3052" w:type="dxa"/>
            <w:shd w:val="clear" w:color="auto" w:fill="D0CECE" w:themeFill="background2" w:themeFillShade="E6"/>
            <w:tcMar>
              <w:left w:w="105" w:type="dxa"/>
              <w:right w:w="105" w:type="dxa"/>
            </w:tcMar>
            <w:vAlign w:val="bottom"/>
          </w:tcPr>
          <w:p w:rsidRPr="00FD69E7" w:rsidR="001A7E18" w:rsidP="005A00BE" w:rsidRDefault="001A7E18" w14:paraId="64726F4D" w14:textId="07A0F6DE">
            <w:pPr>
              <w:keepNext/>
              <w:spacing w:line="240" w:lineRule="auto"/>
              <w:ind w:firstLine="0"/>
              <w:jc w:val="center"/>
              <w:rPr>
                <w:rFonts w:eastAsia="Calibri" w:cs="Calibri"/>
                <w:b/>
                <w:bCs/>
                <w:szCs w:val="24"/>
              </w:rPr>
            </w:pPr>
            <w:r w:rsidRPr="00FD69E7">
              <w:rPr>
                <w:rFonts w:eastAsia="Calibri" w:cs="Calibri"/>
                <w:b/>
                <w:bCs/>
                <w:szCs w:val="24"/>
              </w:rPr>
              <w:t>Retail Seller</w:t>
            </w:r>
          </w:p>
        </w:tc>
        <w:tc>
          <w:tcPr>
            <w:tcW w:w="6308" w:type="dxa"/>
            <w:shd w:val="clear" w:color="auto" w:fill="D0CECE" w:themeFill="background2" w:themeFillShade="E6"/>
            <w:tcMar>
              <w:left w:w="105" w:type="dxa"/>
              <w:right w:w="105" w:type="dxa"/>
            </w:tcMar>
            <w:vAlign w:val="bottom"/>
          </w:tcPr>
          <w:p w:rsidRPr="00FD69E7" w:rsidR="001A7E18" w:rsidP="005A00BE" w:rsidRDefault="001A7E18" w14:paraId="1524BDC8" w14:textId="77777777">
            <w:pPr>
              <w:keepNext/>
              <w:spacing w:line="240" w:lineRule="auto"/>
              <w:ind w:firstLine="0"/>
              <w:jc w:val="center"/>
              <w:rPr>
                <w:rFonts w:eastAsiaTheme="minorEastAsia"/>
                <w:b/>
                <w:bCs/>
                <w:szCs w:val="24"/>
              </w:rPr>
            </w:pPr>
            <w:r w:rsidRPr="00FD69E7">
              <w:rPr>
                <w:rFonts w:eastAsiaTheme="minorEastAsia"/>
                <w:b/>
                <w:bCs/>
                <w:szCs w:val="24"/>
              </w:rPr>
              <w:t>Commission Finding</w:t>
            </w:r>
          </w:p>
        </w:tc>
      </w:tr>
      <w:tr w:rsidRPr="00FD69E7" w:rsidR="001A7E18" w:rsidTr="005A00BE" w14:paraId="53497BD3" w14:textId="77777777">
        <w:tc>
          <w:tcPr>
            <w:tcW w:w="3052" w:type="dxa"/>
            <w:tcMar>
              <w:left w:w="105" w:type="dxa"/>
              <w:right w:w="105" w:type="dxa"/>
            </w:tcMar>
          </w:tcPr>
          <w:p w:rsidR="005A00BE" w:rsidP="00F277D4" w:rsidRDefault="001A7E18" w14:paraId="767CAFC4" w14:textId="77777777">
            <w:pPr>
              <w:spacing w:line="240" w:lineRule="auto"/>
              <w:ind w:firstLine="0"/>
              <w:rPr>
                <w:rFonts w:eastAsia="Calibri" w:cs="Calibri"/>
                <w:szCs w:val="24"/>
              </w:rPr>
            </w:pPr>
            <w:r w:rsidRPr="005A00BE">
              <w:rPr>
                <w:rFonts w:eastAsia="Calibri" w:cs="Calibri"/>
                <w:szCs w:val="24"/>
              </w:rPr>
              <w:t xml:space="preserve">Central Coast </w:t>
            </w:r>
          </w:p>
          <w:p w:rsidRPr="005A00BE" w:rsidR="001A7E18" w:rsidP="00F277D4" w:rsidRDefault="001A7E18" w14:paraId="0F641E05" w14:textId="2A00A9BE">
            <w:pPr>
              <w:spacing w:line="240" w:lineRule="auto"/>
              <w:ind w:firstLine="0"/>
              <w:rPr>
                <w:rFonts w:eastAsia="Calibri" w:cs="Calibri"/>
                <w:szCs w:val="24"/>
              </w:rPr>
            </w:pPr>
            <w:r w:rsidRPr="005A00BE">
              <w:rPr>
                <w:rFonts w:eastAsia="Calibri" w:cs="Calibri"/>
                <w:szCs w:val="24"/>
              </w:rPr>
              <w:t>Community Energy</w:t>
            </w:r>
          </w:p>
        </w:tc>
        <w:tc>
          <w:tcPr>
            <w:tcW w:w="6308" w:type="dxa"/>
            <w:tcMar>
              <w:left w:w="105" w:type="dxa"/>
              <w:right w:w="105" w:type="dxa"/>
            </w:tcMar>
          </w:tcPr>
          <w:p w:rsidRPr="00FD69E7" w:rsidR="001A7E18" w:rsidP="005A00BE" w:rsidRDefault="001A7E18" w14:paraId="5D909007" w14:textId="30197426">
            <w:pPr>
              <w:spacing w:after="240" w:line="240" w:lineRule="auto"/>
              <w:ind w:firstLine="0"/>
              <w:rPr>
                <w:rFonts w:eastAsia="Book Antiqua" w:cs="Book Antiqua"/>
                <w:color w:val="000000" w:themeColor="text1"/>
                <w:szCs w:val="24"/>
              </w:rPr>
            </w:pPr>
            <w:r w:rsidRPr="00FD69E7">
              <w:rPr>
                <w:rFonts w:eastAsia="Book Antiqua" w:cs="Book Antiqua"/>
                <w:color w:val="000000" w:themeColor="text1"/>
                <w:szCs w:val="24"/>
              </w:rPr>
              <w:t>The columns for the years 2028</w:t>
            </w:r>
            <w:r w:rsidR="00E54574">
              <w:rPr>
                <w:rFonts w:eastAsia="Book Antiqua" w:cs="Book Antiqua"/>
                <w:color w:val="000000" w:themeColor="text1"/>
                <w:szCs w:val="24"/>
              </w:rPr>
              <w:noBreakHyphen/>
            </w:r>
            <w:r w:rsidRPr="00FD69E7">
              <w:rPr>
                <w:rFonts w:eastAsia="Book Antiqua" w:cs="Book Antiqua"/>
                <w:color w:val="000000" w:themeColor="text1"/>
                <w:szCs w:val="24"/>
              </w:rPr>
              <w:t xml:space="preserve">2035 on </w:t>
            </w:r>
            <w:r w:rsidR="003C48F7">
              <w:rPr>
                <w:rFonts w:eastAsia="Book Antiqua" w:cs="Book Antiqua"/>
                <w:color w:val="000000" w:themeColor="text1"/>
                <w:szCs w:val="24"/>
              </w:rPr>
              <w:t>Figure </w:t>
            </w:r>
            <w:r w:rsidRPr="00FD69E7">
              <w:rPr>
                <w:rFonts w:eastAsia="Book Antiqua" w:cs="Book Antiqua"/>
                <w:color w:val="000000" w:themeColor="text1"/>
                <w:szCs w:val="24"/>
              </w:rPr>
              <w:t xml:space="preserve">1 on </w:t>
            </w:r>
            <w:r w:rsidR="00FD21B9">
              <w:rPr>
                <w:rFonts w:eastAsia="Book Antiqua" w:cs="Book Antiqua"/>
                <w:color w:val="000000" w:themeColor="text1"/>
                <w:szCs w:val="24"/>
              </w:rPr>
              <w:t>page </w:t>
            </w:r>
            <w:r w:rsidRPr="00FD69E7">
              <w:rPr>
                <w:rFonts w:eastAsia="Book Antiqua" w:cs="Book Antiqua"/>
                <w:color w:val="000000" w:themeColor="text1"/>
                <w:szCs w:val="24"/>
              </w:rPr>
              <w:t xml:space="preserve">12 of its Draft </w:t>
            </w:r>
            <w:r w:rsidR="00950E04">
              <w:rPr>
                <w:rFonts w:eastAsia="Book Antiqua" w:cs="Book Antiqua"/>
                <w:color w:val="000000" w:themeColor="text1"/>
                <w:szCs w:val="24"/>
              </w:rPr>
              <w:t>2025 RPS</w:t>
            </w:r>
            <w:r w:rsidRPr="00FD69E7">
              <w:rPr>
                <w:rFonts w:eastAsia="Book Antiqua" w:cs="Book Antiqua"/>
                <w:color w:val="000000" w:themeColor="text1"/>
                <w:szCs w:val="24"/>
              </w:rPr>
              <w:t xml:space="preserve"> Plan (redlined plan, at 14) are inappropriately redacted. Energy forecasts </w:t>
            </w:r>
            <w:r w:rsidRPr="00FD69E7">
              <w:rPr>
                <w:rFonts w:eastAsia="Book Antiqua" w:cs="Book Antiqua"/>
                <w:color w:val="000000" w:themeColor="text1"/>
                <w:szCs w:val="24"/>
              </w:rPr>
              <w:lastRenderedPageBreak/>
              <w:t>are confidential for the future two years and current year</w:t>
            </w:r>
            <w:r w:rsidRPr="00FD69E7" w:rsidR="00FD69E7">
              <w:rPr>
                <w:rFonts w:eastAsia="Book Antiqua" w:cs="Book Antiqua"/>
                <w:color w:val="000000" w:themeColor="text1"/>
                <w:szCs w:val="24"/>
              </w:rPr>
              <w:t>/</w:t>
            </w:r>
            <w:r w:rsidRPr="00FD69E7">
              <w:rPr>
                <w:rFonts w:eastAsia="Book Antiqua" w:cs="Book Antiqua"/>
                <w:color w:val="000000" w:themeColor="text1"/>
                <w:szCs w:val="24"/>
              </w:rPr>
              <w:t>year of filing.</w:t>
            </w:r>
          </w:p>
          <w:p w:rsidRPr="00FD69E7" w:rsidR="00E5394B" w:rsidP="005A00BE" w:rsidRDefault="001A7E18" w14:paraId="751549AC" w14:textId="47C0312E">
            <w:pPr>
              <w:spacing w:after="240" w:line="240" w:lineRule="auto"/>
              <w:ind w:firstLine="0"/>
              <w:rPr>
                <w:rFonts w:eastAsia="Book Antiqua" w:cs="Book Antiqua"/>
                <w:color w:val="000000" w:themeColor="text1"/>
                <w:szCs w:val="24"/>
              </w:rPr>
            </w:pPr>
            <w:r w:rsidRPr="00FD69E7">
              <w:rPr>
                <w:rFonts w:eastAsia="Book Antiqua" w:cs="Book Antiqua"/>
                <w:color w:val="000000" w:themeColor="text1"/>
                <w:szCs w:val="24"/>
              </w:rPr>
              <w:t xml:space="preserve">Various rows on </w:t>
            </w:r>
            <w:r w:rsidR="00F920D3">
              <w:rPr>
                <w:rFonts w:eastAsia="Book Antiqua" w:cs="Book Antiqua"/>
                <w:color w:val="000000" w:themeColor="text1"/>
                <w:szCs w:val="24"/>
              </w:rPr>
              <w:t>Table </w:t>
            </w:r>
            <w:r w:rsidRPr="00FD69E7">
              <w:rPr>
                <w:rFonts w:eastAsia="Book Antiqua" w:cs="Book Antiqua"/>
                <w:color w:val="000000" w:themeColor="text1"/>
                <w:szCs w:val="24"/>
              </w:rPr>
              <w:t xml:space="preserve">1 on </w:t>
            </w:r>
            <w:r w:rsidR="00FD21B9">
              <w:rPr>
                <w:rFonts w:eastAsia="Book Antiqua" w:cs="Book Antiqua"/>
                <w:color w:val="000000" w:themeColor="text1"/>
                <w:szCs w:val="24"/>
              </w:rPr>
              <w:t>page </w:t>
            </w:r>
            <w:r w:rsidRPr="00FD69E7">
              <w:rPr>
                <w:rFonts w:eastAsia="Book Antiqua" w:cs="Book Antiqua"/>
                <w:color w:val="000000" w:themeColor="text1"/>
                <w:szCs w:val="24"/>
              </w:rPr>
              <w:t>12 (redlined plan, at 14</w:t>
            </w:r>
            <w:r w:rsidR="00E54574">
              <w:rPr>
                <w:rFonts w:eastAsia="Book Antiqua" w:cs="Book Antiqua"/>
                <w:color w:val="000000" w:themeColor="text1"/>
                <w:szCs w:val="24"/>
              </w:rPr>
              <w:noBreakHyphen/>
            </w:r>
            <w:r w:rsidRPr="00FD69E7">
              <w:rPr>
                <w:rFonts w:eastAsia="Book Antiqua" w:cs="Book Antiqua"/>
                <w:color w:val="000000" w:themeColor="text1"/>
                <w:szCs w:val="24"/>
              </w:rPr>
              <w:t>15) are inappropriately redacted:</w:t>
            </w:r>
          </w:p>
          <w:p w:rsidRPr="00FD69E7" w:rsidR="001A7E18" w:rsidP="005A00BE" w:rsidRDefault="001A7E18" w14:paraId="3F67710F" w14:textId="2887128B">
            <w:pPr>
              <w:spacing w:after="120" w:line="240" w:lineRule="auto"/>
              <w:ind w:left="835" w:hanging="475"/>
              <w:rPr>
                <w:rFonts w:eastAsia="Book Antiqua" w:cs="Book Antiqua"/>
                <w:color w:val="000000" w:themeColor="text1"/>
                <w:szCs w:val="24"/>
              </w:rPr>
            </w:pPr>
            <w:r w:rsidRPr="00FD69E7">
              <w:rPr>
                <w:rFonts w:eastAsia="Book Antiqua" w:cs="Book Antiqua"/>
                <w:color w:val="000000" w:themeColor="text1"/>
                <w:szCs w:val="24"/>
              </w:rPr>
              <w:t>(1)</w:t>
            </w:r>
            <w:r w:rsidR="005A00BE">
              <w:rPr>
                <w:rFonts w:eastAsia="Book Antiqua" w:cs="Book Antiqua"/>
                <w:color w:val="000000" w:themeColor="text1"/>
                <w:szCs w:val="24"/>
              </w:rPr>
              <w:tab/>
              <w:t>“</w:t>
            </w:r>
            <w:r w:rsidRPr="00FD69E7">
              <w:rPr>
                <w:rFonts w:eastAsia="Book Antiqua" w:cs="Book Antiqua"/>
                <w:color w:val="000000" w:themeColor="text1"/>
                <w:szCs w:val="24"/>
              </w:rPr>
              <w:t>State RPS Requirement</w:t>
            </w:r>
            <w:r w:rsidR="005A00BE">
              <w:rPr>
                <w:rFonts w:eastAsia="Book Antiqua" w:cs="Book Antiqua"/>
                <w:color w:val="000000" w:themeColor="text1"/>
                <w:szCs w:val="24"/>
              </w:rPr>
              <w:t>”</w:t>
            </w:r>
            <w:r w:rsidRPr="00FD69E7">
              <w:rPr>
                <w:rFonts w:eastAsia="Book Antiqua" w:cs="Book Antiqua"/>
                <w:color w:val="000000" w:themeColor="text1"/>
                <w:szCs w:val="24"/>
              </w:rPr>
              <w:t xml:space="preserve"> percentages for the years 2025</w:t>
            </w:r>
            <w:r w:rsidR="00E54574">
              <w:rPr>
                <w:rFonts w:eastAsia="Book Antiqua" w:cs="Book Antiqua"/>
                <w:color w:val="000000" w:themeColor="text1"/>
                <w:szCs w:val="24"/>
              </w:rPr>
              <w:noBreakHyphen/>
            </w:r>
            <w:r w:rsidRPr="00FD69E7">
              <w:rPr>
                <w:rFonts w:eastAsia="Book Antiqua" w:cs="Book Antiqua"/>
                <w:color w:val="000000" w:themeColor="text1"/>
                <w:szCs w:val="24"/>
              </w:rPr>
              <w:t>2035 must be unredacted. These percentages are not energy forecasts, they are RPS program compliance requirements.</w:t>
            </w:r>
          </w:p>
          <w:p w:rsidRPr="00FD69E7" w:rsidR="001A7E18" w:rsidP="005A00BE" w:rsidRDefault="001A7E18" w14:paraId="7E6926E2" w14:textId="73FE6428">
            <w:pPr>
              <w:spacing w:after="120" w:line="240" w:lineRule="auto"/>
              <w:ind w:left="835" w:hanging="475"/>
              <w:rPr>
                <w:rFonts w:eastAsia="Book Antiqua" w:cs="Book Antiqua"/>
                <w:color w:val="000000" w:themeColor="text1"/>
                <w:szCs w:val="24"/>
              </w:rPr>
            </w:pPr>
            <w:r w:rsidRPr="00FD69E7">
              <w:rPr>
                <w:rFonts w:eastAsia="Book Antiqua" w:cs="Book Antiqua"/>
                <w:color w:val="000000" w:themeColor="text1"/>
                <w:szCs w:val="24"/>
              </w:rPr>
              <w:t>(2)</w:t>
            </w:r>
            <w:r w:rsidR="005A00BE">
              <w:rPr>
                <w:rFonts w:eastAsia="Book Antiqua" w:cs="Book Antiqua"/>
                <w:color w:val="000000" w:themeColor="text1"/>
                <w:szCs w:val="24"/>
              </w:rPr>
              <w:tab/>
              <w:t>“</w:t>
            </w:r>
            <w:r w:rsidRPr="00FD69E7">
              <w:rPr>
                <w:rFonts w:eastAsia="Book Antiqua" w:cs="Book Antiqua"/>
                <w:color w:val="000000" w:themeColor="text1"/>
                <w:szCs w:val="24"/>
              </w:rPr>
              <w:t>Executed Long</w:t>
            </w:r>
            <w:r w:rsidR="00E54574">
              <w:rPr>
                <w:rFonts w:eastAsia="Book Antiqua" w:cs="Book Antiqua"/>
                <w:color w:val="000000" w:themeColor="text1"/>
                <w:szCs w:val="24"/>
              </w:rPr>
              <w:noBreakHyphen/>
            </w:r>
            <w:r w:rsidRPr="00FD69E7">
              <w:rPr>
                <w:rFonts w:eastAsia="Book Antiqua" w:cs="Book Antiqua"/>
                <w:color w:val="000000" w:themeColor="text1"/>
                <w:szCs w:val="24"/>
              </w:rPr>
              <w:t>term Procurement</w:t>
            </w:r>
            <w:r w:rsidR="005A00BE">
              <w:rPr>
                <w:rFonts w:eastAsia="Book Antiqua" w:cs="Book Antiqua"/>
                <w:color w:val="000000" w:themeColor="text1"/>
                <w:szCs w:val="24"/>
              </w:rPr>
              <w:t>”</w:t>
            </w:r>
            <w:r w:rsidRPr="00FD69E7">
              <w:rPr>
                <w:rFonts w:eastAsia="Book Antiqua" w:cs="Book Antiqua"/>
                <w:color w:val="000000" w:themeColor="text1"/>
                <w:szCs w:val="24"/>
              </w:rPr>
              <w:t xml:space="preserve"> percentages for the years 2028</w:t>
            </w:r>
            <w:r w:rsidR="00E54574">
              <w:rPr>
                <w:rFonts w:eastAsia="Book Antiqua" w:cs="Book Antiqua"/>
                <w:color w:val="000000" w:themeColor="text1"/>
                <w:szCs w:val="24"/>
              </w:rPr>
              <w:noBreakHyphen/>
            </w:r>
            <w:r w:rsidRPr="00FD69E7">
              <w:rPr>
                <w:rFonts w:eastAsia="Book Antiqua" w:cs="Book Antiqua"/>
                <w:color w:val="000000" w:themeColor="text1"/>
                <w:szCs w:val="24"/>
              </w:rPr>
              <w:t>2035 must be unredacted. Energy forecasts are confidential for the future two years and current year</w:t>
            </w:r>
            <w:r w:rsidRPr="00FD69E7" w:rsidR="00FD69E7">
              <w:rPr>
                <w:rFonts w:eastAsia="Book Antiqua" w:cs="Book Antiqua"/>
                <w:color w:val="000000" w:themeColor="text1"/>
                <w:szCs w:val="24"/>
              </w:rPr>
              <w:t>/</w:t>
            </w:r>
            <w:r w:rsidRPr="00FD69E7">
              <w:rPr>
                <w:rFonts w:eastAsia="Book Antiqua" w:cs="Book Antiqua"/>
                <w:color w:val="000000" w:themeColor="text1"/>
                <w:szCs w:val="24"/>
              </w:rPr>
              <w:t>year of filing.</w:t>
            </w:r>
          </w:p>
          <w:p w:rsidRPr="00FD69E7" w:rsidR="001A7E18" w:rsidP="005A00BE" w:rsidRDefault="001A7E18" w14:paraId="2305B586" w14:textId="498FC021">
            <w:pPr>
              <w:spacing w:after="120" w:line="240" w:lineRule="auto"/>
              <w:ind w:left="835" w:hanging="475"/>
              <w:rPr>
                <w:rFonts w:eastAsia="Book Antiqua" w:cs="Book Antiqua"/>
                <w:color w:val="000000" w:themeColor="text1"/>
                <w:szCs w:val="24"/>
              </w:rPr>
            </w:pPr>
            <w:r w:rsidRPr="00FD69E7">
              <w:rPr>
                <w:rFonts w:eastAsia="Book Antiqua" w:cs="Book Antiqua"/>
                <w:color w:val="000000" w:themeColor="text1"/>
                <w:szCs w:val="24"/>
              </w:rPr>
              <w:t>(3)</w:t>
            </w:r>
            <w:r w:rsidR="005A00BE">
              <w:rPr>
                <w:rFonts w:eastAsia="Book Antiqua" w:cs="Book Antiqua"/>
                <w:color w:val="000000" w:themeColor="text1"/>
                <w:szCs w:val="24"/>
              </w:rPr>
              <w:tab/>
              <w:t>“</w:t>
            </w:r>
            <w:r w:rsidRPr="00FD69E7">
              <w:rPr>
                <w:rFonts w:eastAsia="Book Antiqua" w:cs="Book Antiqua"/>
                <w:color w:val="000000" w:themeColor="text1"/>
                <w:szCs w:val="24"/>
              </w:rPr>
              <w:t>Executed Long</w:t>
            </w:r>
            <w:r w:rsidR="00E54574">
              <w:rPr>
                <w:rFonts w:eastAsia="Book Antiqua" w:cs="Book Antiqua"/>
                <w:color w:val="000000" w:themeColor="text1"/>
                <w:szCs w:val="24"/>
              </w:rPr>
              <w:noBreakHyphen/>
            </w:r>
            <w:r w:rsidRPr="00FD69E7">
              <w:rPr>
                <w:rFonts w:eastAsia="Book Antiqua" w:cs="Book Antiqua"/>
                <w:color w:val="000000" w:themeColor="text1"/>
                <w:szCs w:val="24"/>
              </w:rPr>
              <w:t>term Procurement</w:t>
            </w:r>
            <w:r w:rsidR="005A00BE">
              <w:rPr>
                <w:rFonts w:eastAsia="Book Antiqua" w:cs="Book Antiqua"/>
                <w:color w:val="000000" w:themeColor="text1"/>
                <w:szCs w:val="24"/>
              </w:rPr>
              <w:t>”</w:t>
            </w:r>
            <w:r w:rsidRPr="00FD69E7">
              <w:rPr>
                <w:rFonts w:eastAsia="Book Antiqua" w:cs="Book Antiqua"/>
                <w:color w:val="000000" w:themeColor="text1"/>
                <w:szCs w:val="24"/>
              </w:rPr>
              <w:t xml:space="preserve"> percentages for the years 2028</w:t>
            </w:r>
            <w:r w:rsidR="00E54574">
              <w:rPr>
                <w:rFonts w:eastAsia="Book Antiqua" w:cs="Book Antiqua"/>
                <w:color w:val="000000" w:themeColor="text1"/>
                <w:szCs w:val="24"/>
              </w:rPr>
              <w:noBreakHyphen/>
            </w:r>
            <w:r w:rsidRPr="00FD69E7">
              <w:rPr>
                <w:rFonts w:eastAsia="Book Antiqua" w:cs="Book Antiqua"/>
                <w:color w:val="000000" w:themeColor="text1"/>
                <w:szCs w:val="24"/>
              </w:rPr>
              <w:t>2035 must be unredacted. Energy forecasts are confidential for the future two years and current year</w:t>
            </w:r>
            <w:r w:rsidRPr="00FD69E7" w:rsidR="00FD69E7">
              <w:rPr>
                <w:rFonts w:eastAsia="Book Antiqua" w:cs="Book Antiqua"/>
                <w:color w:val="000000" w:themeColor="text1"/>
                <w:szCs w:val="24"/>
              </w:rPr>
              <w:t>/</w:t>
            </w:r>
            <w:r w:rsidRPr="00FD69E7">
              <w:rPr>
                <w:rFonts w:eastAsia="Book Antiqua" w:cs="Book Antiqua"/>
                <w:color w:val="000000" w:themeColor="text1"/>
                <w:szCs w:val="24"/>
              </w:rPr>
              <w:t>year of filing.</w:t>
            </w:r>
          </w:p>
          <w:p w:rsidRPr="00FD69E7" w:rsidR="001A7E18" w:rsidP="005A00BE" w:rsidRDefault="001A7E18" w14:paraId="158B0C69" w14:textId="580F0B59">
            <w:pPr>
              <w:spacing w:after="240" w:line="240" w:lineRule="auto"/>
              <w:ind w:firstLine="0"/>
              <w:rPr>
                <w:rFonts w:eastAsia="Book Antiqua" w:cs="Book Antiqua"/>
                <w:color w:val="000000" w:themeColor="text1"/>
                <w:szCs w:val="24"/>
              </w:rPr>
            </w:pPr>
            <w:r w:rsidRPr="00FD69E7">
              <w:rPr>
                <w:rFonts w:eastAsia="Book Antiqua" w:cs="Book Antiqua"/>
                <w:color w:val="000000" w:themeColor="text1"/>
                <w:szCs w:val="24"/>
              </w:rPr>
              <w:t xml:space="preserve">There are three redactions of procured capacity information on </w:t>
            </w:r>
            <w:r w:rsidR="00FD21B9">
              <w:rPr>
                <w:rFonts w:eastAsia="Book Antiqua" w:cs="Book Antiqua"/>
                <w:color w:val="000000" w:themeColor="text1"/>
                <w:szCs w:val="24"/>
              </w:rPr>
              <w:t>page </w:t>
            </w:r>
            <w:r w:rsidRPr="00FD69E7">
              <w:rPr>
                <w:rFonts w:eastAsia="Book Antiqua" w:cs="Book Antiqua"/>
                <w:color w:val="000000" w:themeColor="text1"/>
                <w:szCs w:val="24"/>
              </w:rPr>
              <w:t xml:space="preserve">14 of its Draft </w:t>
            </w:r>
            <w:r w:rsidR="00950E04">
              <w:rPr>
                <w:rFonts w:eastAsia="Book Antiqua" w:cs="Book Antiqua"/>
                <w:color w:val="000000" w:themeColor="text1"/>
                <w:szCs w:val="24"/>
              </w:rPr>
              <w:t>2025 RPS</w:t>
            </w:r>
            <w:r w:rsidRPr="00FD69E7">
              <w:rPr>
                <w:rFonts w:eastAsia="Book Antiqua" w:cs="Book Antiqua"/>
                <w:color w:val="000000" w:themeColor="text1"/>
                <w:szCs w:val="24"/>
              </w:rPr>
              <w:t xml:space="preserve"> Plan which are not claimed in its </w:t>
            </w:r>
            <w:r w:rsidRPr="00FD69E7" w:rsidR="00BA4E21">
              <w:rPr>
                <w:rFonts w:eastAsia="Book Antiqua" w:cs="Book Antiqua"/>
                <w:color w:val="000000" w:themeColor="text1"/>
                <w:szCs w:val="24"/>
              </w:rPr>
              <w:t>Motion to File Under Seal (</w:t>
            </w:r>
            <w:r w:rsidRPr="00FD69E7">
              <w:rPr>
                <w:rFonts w:eastAsia="Book Antiqua" w:cs="Book Antiqua"/>
                <w:color w:val="000000" w:themeColor="text1"/>
                <w:szCs w:val="24"/>
              </w:rPr>
              <w:t>MFUS</w:t>
            </w:r>
            <w:r w:rsidRPr="00FD69E7" w:rsidR="00BA4E21">
              <w:rPr>
                <w:rFonts w:eastAsia="Book Antiqua" w:cs="Book Antiqua"/>
                <w:color w:val="000000" w:themeColor="text1"/>
                <w:szCs w:val="24"/>
              </w:rPr>
              <w:t>)</w:t>
            </w:r>
            <w:r w:rsidRPr="00FD69E7">
              <w:rPr>
                <w:rFonts w:eastAsia="Book Antiqua" w:cs="Book Antiqua"/>
                <w:color w:val="000000" w:themeColor="text1"/>
                <w:szCs w:val="24"/>
              </w:rPr>
              <w:t>. Central Coast Community Energy must either update its MFUS with more specific information to justify these redactions or must remove the redactions.</w:t>
            </w:r>
          </w:p>
          <w:p w:rsidRPr="00FD69E7" w:rsidR="001A7E18" w:rsidP="005A00BE" w:rsidRDefault="001A7E18" w14:paraId="0EE07086" w14:textId="1F307491">
            <w:pPr>
              <w:spacing w:after="240" w:line="240" w:lineRule="auto"/>
              <w:ind w:firstLine="0"/>
              <w:rPr>
                <w:rFonts w:eastAsiaTheme="minorEastAsia"/>
                <w:szCs w:val="24"/>
              </w:rPr>
            </w:pPr>
            <w:r w:rsidRPr="00FD69E7">
              <w:rPr>
                <w:rFonts w:eastAsia="Book Antiqua" w:cs="Book Antiqua"/>
                <w:color w:val="000000" w:themeColor="text1"/>
                <w:szCs w:val="24"/>
              </w:rPr>
              <w:t xml:space="preserve">There are two redactions of procured capacity information on </w:t>
            </w:r>
            <w:r w:rsidR="00FD21B9">
              <w:rPr>
                <w:rFonts w:eastAsia="Book Antiqua" w:cs="Book Antiqua"/>
                <w:color w:val="000000" w:themeColor="text1"/>
                <w:szCs w:val="24"/>
              </w:rPr>
              <w:t>page </w:t>
            </w:r>
            <w:r w:rsidRPr="00FD69E7">
              <w:rPr>
                <w:rFonts w:eastAsia="Book Antiqua" w:cs="Book Antiqua"/>
                <w:color w:val="000000" w:themeColor="text1"/>
                <w:szCs w:val="24"/>
              </w:rPr>
              <w:t xml:space="preserve">21 of its </w:t>
            </w:r>
            <w:r w:rsidRPr="00D1607F" w:rsidR="00D1607F">
              <w:rPr>
                <w:rFonts w:eastAsia="Book Antiqua" w:cs="Book Antiqua"/>
                <w:color w:val="000000" w:themeColor="text1"/>
                <w:szCs w:val="24"/>
              </w:rPr>
              <w:t>Draft 2025 RPS Plan</w:t>
            </w:r>
            <w:r w:rsidR="00D1607F">
              <w:rPr>
                <w:rFonts w:eastAsia="Book Antiqua" w:cs="Book Antiqua"/>
                <w:color w:val="000000" w:themeColor="text1"/>
                <w:szCs w:val="24"/>
              </w:rPr>
              <w:t xml:space="preserve"> </w:t>
            </w:r>
            <w:r w:rsidRPr="00FD69E7">
              <w:rPr>
                <w:rFonts w:eastAsia="Book Antiqua" w:cs="Book Antiqua"/>
                <w:color w:val="000000" w:themeColor="text1"/>
                <w:szCs w:val="24"/>
              </w:rPr>
              <w:t>which are unsupported in its MFUS. Central Coast Community Energy must either update its MFUS with more specific information to justify these redactions or must remove the redactions.</w:t>
            </w:r>
          </w:p>
        </w:tc>
      </w:tr>
      <w:tr w:rsidRPr="00FD69E7" w:rsidR="001A7E18" w:rsidTr="005A00BE" w14:paraId="670F2E51" w14:textId="77777777">
        <w:tc>
          <w:tcPr>
            <w:tcW w:w="3052" w:type="dxa"/>
            <w:tcMar>
              <w:left w:w="105" w:type="dxa"/>
              <w:right w:w="105" w:type="dxa"/>
            </w:tcMar>
          </w:tcPr>
          <w:p w:rsidRPr="005A00BE" w:rsidR="001A7E18" w:rsidP="00F277D4" w:rsidRDefault="001A7E18" w14:paraId="452041DE" w14:textId="5D7A4410">
            <w:pPr>
              <w:spacing w:line="240" w:lineRule="auto"/>
              <w:ind w:firstLine="0"/>
              <w:rPr>
                <w:rFonts w:eastAsia="Calibri" w:cs="Calibri"/>
                <w:szCs w:val="24"/>
              </w:rPr>
            </w:pPr>
            <w:r w:rsidRPr="005A00BE">
              <w:rPr>
                <w:rFonts w:eastAsia="Calibri" w:cs="Calibri"/>
                <w:szCs w:val="24"/>
              </w:rPr>
              <w:lastRenderedPageBreak/>
              <w:t>Marin Clean Energy</w:t>
            </w:r>
          </w:p>
        </w:tc>
        <w:tc>
          <w:tcPr>
            <w:tcW w:w="6308" w:type="dxa"/>
            <w:tcMar>
              <w:left w:w="105" w:type="dxa"/>
              <w:right w:w="105" w:type="dxa"/>
            </w:tcMar>
          </w:tcPr>
          <w:p w:rsidRPr="00FD69E7" w:rsidR="001A7E18" w:rsidP="005A00BE" w:rsidRDefault="001A7E18" w14:paraId="018BB0ED" w14:textId="38A50734">
            <w:pPr>
              <w:spacing w:after="240" w:line="240" w:lineRule="auto"/>
              <w:ind w:firstLine="0"/>
              <w:rPr>
                <w:rFonts w:eastAsiaTheme="minorEastAsia"/>
                <w:szCs w:val="24"/>
              </w:rPr>
            </w:pPr>
            <w:r w:rsidRPr="00FD69E7">
              <w:rPr>
                <w:rFonts w:eastAsia="Book Antiqua" w:cs="Book Antiqua"/>
                <w:color w:val="000000" w:themeColor="text1"/>
                <w:szCs w:val="24"/>
              </w:rPr>
              <w:t>The Contract Start Dates and Contract End Dates on the PDSU template are inappropriately redacted for all the projects on the table except for the Cormorant and Allium projects. Contract terms and price information are confidential until 30 days after the commercial operation date or 18</w:t>
            </w:r>
            <w:r w:rsidR="00E54574">
              <w:rPr>
                <w:rFonts w:eastAsia="Book Antiqua" w:cs="Book Antiqua"/>
                <w:color w:val="000000" w:themeColor="text1"/>
                <w:szCs w:val="24"/>
              </w:rPr>
              <w:noBreakHyphen/>
            </w:r>
            <w:r w:rsidRPr="00FD69E7">
              <w:rPr>
                <w:rFonts w:eastAsia="Book Antiqua" w:cs="Book Antiqua"/>
                <w:color w:val="000000" w:themeColor="text1"/>
                <w:szCs w:val="24"/>
              </w:rPr>
              <w:t>months after contract execution.</w:t>
            </w:r>
          </w:p>
        </w:tc>
      </w:tr>
      <w:tr w:rsidRPr="00FD69E7" w:rsidR="001A7E18" w:rsidTr="005A00BE" w14:paraId="5D18D7EF" w14:textId="77777777">
        <w:tc>
          <w:tcPr>
            <w:tcW w:w="3052" w:type="dxa"/>
            <w:tcMar>
              <w:left w:w="105" w:type="dxa"/>
              <w:right w:w="105" w:type="dxa"/>
            </w:tcMar>
          </w:tcPr>
          <w:p w:rsidR="005A00BE" w:rsidP="00F277D4" w:rsidRDefault="001A7E18" w14:paraId="6AAD6659" w14:textId="5176624D">
            <w:pPr>
              <w:spacing w:line="240" w:lineRule="auto"/>
              <w:ind w:firstLine="0"/>
              <w:rPr>
                <w:rFonts w:eastAsia="Calibri" w:cs="Calibri"/>
                <w:szCs w:val="24"/>
              </w:rPr>
            </w:pPr>
            <w:r w:rsidRPr="005A00BE">
              <w:rPr>
                <w:rFonts w:eastAsia="Calibri" w:cs="Calibri"/>
                <w:szCs w:val="24"/>
              </w:rPr>
              <w:t>Orange County</w:t>
            </w:r>
          </w:p>
          <w:p w:rsidRPr="005A00BE" w:rsidR="001A7E18" w:rsidP="00F277D4" w:rsidRDefault="001A7E18" w14:paraId="4C70B870" w14:textId="286FF8ED">
            <w:pPr>
              <w:spacing w:line="240" w:lineRule="auto"/>
              <w:ind w:firstLine="0"/>
              <w:rPr>
                <w:rFonts w:eastAsia="Calibri" w:cs="Calibri"/>
                <w:szCs w:val="24"/>
              </w:rPr>
            </w:pPr>
            <w:r w:rsidRPr="005A00BE">
              <w:rPr>
                <w:rFonts w:eastAsia="Calibri" w:cs="Calibri"/>
                <w:szCs w:val="24"/>
              </w:rPr>
              <w:t>Power Authority</w:t>
            </w:r>
          </w:p>
        </w:tc>
        <w:tc>
          <w:tcPr>
            <w:tcW w:w="6308" w:type="dxa"/>
            <w:tcMar>
              <w:left w:w="105" w:type="dxa"/>
              <w:right w:w="105" w:type="dxa"/>
            </w:tcMar>
          </w:tcPr>
          <w:p w:rsidRPr="00FD69E7" w:rsidR="001A7E18" w:rsidP="005A00BE" w:rsidRDefault="001A7E18" w14:paraId="1B606BEB" w14:textId="6A241F3C">
            <w:pPr>
              <w:spacing w:after="240" w:line="240" w:lineRule="auto"/>
              <w:ind w:firstLine="0"/>
              <w:rPr>
                <w:rFonts w:eastAsiaTheme="minorEastAsia"/>
                <w:szCs w:val="24"/>
              </w:rPr>
            </w:pPr>
            <w:r w:rsidRPr="00FD69E7">
              <w:rPr>
                <w:rFonts w:eastAsia="Book Antiqua" w:cs="Book Antiqua"/>
                <w:color w:val="000000" w:themeColor="text1"/>
                <w:szCs w:val="24"/>
              </w:rPr>
              <w:t>The Expected Annual Generation and Total Contract Volume figures on the PDSU template are inappropriately redacted. Orange County Power Authority must either update its MFUS with more specific information to justify these redactions or must remove the redactions. Contract terms and price information are confidential until 30 days after the commercial operation date or 18</w:t>
            </w:r>
            <w:r w:rsidR="00DB7EDE">
              <w:rPr>
                <w:rFonts w:eastAsia="Book Antiqua" w:cs="Book Antiqua"/>
                <w:color w:val="000000" w:themeColor="text1"/>
                <w:szCs w:val="24"/>
              </w:rPr>
              <w:t xml:space="preserve"> </w:t>
            </w:r>
            <w:r w:rsidRPr="00FD69E7">
              <w:rPr>
                <w:rFonts w:eastAsia="Book Antiqua" w:cs="Book Antiqua"/>
                <w:color w:val="000000" w:themeColor="text1"/>
                <w:szCs w:val="24"/>
              </w:rPr>
              <w:t>months after contract execution.</w:t>
            </w:r>
          </w:p>
        </w:tc>
      </w:tr>
      <w:tr w:rsidRPr="00FD69E7" w:rsidR="001A7E18" w:rsidTr="005A00BE" w14:paraId="7B745C9C" w14:textId="77777777">
        <w:tc>
          <w:tcPr>
            <w:tcW w:w="3052" w:type="dxa"/>
            <w:tcMar>
              <w:left w:w="105" w:type="dxa"/>
              <w:right w:w="105" w:type="dxa"/>
            </w:tcMar>
          </w:tcPr>
          <w:p w:rsidRPr="005A00BE" w:rsidR="001A7E18" w:rsidP="00F277D4" w:rsidRDefault="001A7E18" w14:paraId="13CBBD8E" w14:textId="7913F2B7">
            <w:pPr>
              <w:spacing w:line="240" w:lineRule="auto"/>
              <w:ind w:firstLine="0"/>
              <w:rPr>
                <w:rFonts w:eastAsia="Calibri" w:cs="Calibri"/>
                <w:szCs w:val="24"/>
              </w:rPr>
            </w:pPr>
            <w:r w:rsidRPr="005A00BE">
              <w:rPr>
                <w:rFonts w:eastAsia="Calibri" w:cs="Calibri"/>
                <w:szCs w:val="24"/>
              </w:rPr>
              <w:t>Peninsula Clean Energy</w:t>
            </w:r>
          </w:p>
        </w:tc>
        <w:tc>
          <w:tcPr>
            <w:tcW w:w="6308" w:type="dxa"/>
            <w:tcMar>
              <w:left w:w="105" w:type="dxa"/>
              <w:right w:w="105" w:type="dxa"/>
            </w:tcMar>
          </w:tcPr>
          <w:p w:rsidRPr="00FD69E7" w:rsidR="001A7E18" w:rsidP="005A00BE" w:rsidRDefault="001A7E18" w14:paraId="0A33ACAF" w14:textId="4319ED1F">
            <w:pPr>
              <w:spacing w:after="240" w:line="240" w:lineRule="auto"/>
              <w:ind w:firstLine="0"/>
              <w:rPr>
                <w:rFonts w:eastAsia="Book Antiqua" w:cs="Book Antiqua"/>
                <w:color w:val="000000" w:themeColor="text1"/>
                <w:szCs w:val="24"/>
              </w:rPr>
            </w:pPr>
            <w:r w:rsidRPr="00FD69E7">
              <w:rPr>
                <w:rFonts w:eastAsia="Book Antiqua" w:cs="Book Antiqua"/>
                <w:color w:val="000000" w:themeColor="text1"/>
                <w:szCs w:val="24"/>
              </w:rPr>
              <w:t>Peninsula Clean Energy</w:t>
            </w:r>
            <w:r w:rsidR="005A00BE">
              <w:rPr>
                <w:rFonts w:eastAsia="Book Antiqua" w:cs="Book Antiqua"/>
                <w:color w:val="000000" w:themeColor="text1"/>
                <w:szCs w:val="24"/>
              </w:rPr>
              <w:t>’</w:t>
            </w:r>
            <w:r w:rsidRPr="00FD69E7">
              <w:rPr>
                <w:rFonts w:eastAsia="Book Antiqua" w:cs="Book Antiqua"/>
                <w:color w:val="000000" w:themeColor="text1"/>
                <w:szCs w:val="24"/>
              </w:rPr>
              <w:t>s MFUS does not explain why the Project Name, Location information, Contract Length, Contract Start and End Dates, Contract Capacity, Expected Annual Generation, Total Contract Volume, and Commercial Operation Date columns are redacted</w:t>
            </w:r>
            <w:r w:rsidR="008B764C">
              <w:rPr>
                <w:rFonts w:eastAsia="Book Antiqua" w:cs="Book Antiqua"/>
                <w:color w:val="000000" w:themeColor="text1"/>
                <w:szCs w:val="24"/>
              </w:rPr>
              <w:t xml:space="preserve"> on the PDSU template</w:t>
            </w:r>
            <w:r w:rsidRPr="00FD69E7">
              <w:rPr>
                <w:rFonts w:eastAsia="Book Antiqua" w:cs="Book Antiqua"/>
                <w:color w:val="000000" w:themeColor="text1"/>
                <w:szCs w:val="24"/>
              </w:rPr>
              <w:t>. Contract terms and price information are confidential until 30 days after the commercial operation date or 18</w:t>
            </w:r>
            <w:r w:rsidR="00D5499F">
              <w:rPr>
                <w:rFonts w:eastAsia="Book Antiqua" w:cs="Book Antiqua"/>
                <w:color w:val="000000" w:themeColor="text1"/>
                <w:szCs w:val="24"/>
              </w:rPr>
              <w:t xml:space="preserve"> </w:t>
            </w:r>
            <w:r w:rsidRPr="00FD69E7">
              <w:rPr>
                <w:rFonts w:eastAsia="Book Antiqua" w:cs="Book Antiqua"/>
                <w:color w:val="000000" w:themeColor="text1"/>
                <w:szCs w:val="24"/>
              </w:rPr>
              <w:t>months after contract execution. Peninsula Clean Energy must either update its MFUS with more specific information to justify these redactions or must remove the redactions.</w:t>
            </w:r>
          </w:p>
        </w:tc>
      </w:tr>
      <w:tr w:rsidRPr="00FD69E7" w:rsidR="002D2FA8" w:rsidTr="005A00BE" w14:paraId="7D9EACE2" w14:textId="77777777">
        <w:tc>
          <w:tcPr>
            <w:tcW w:w="3052" w:type="dxa"/>
            <w:tcMar>
              <w:left w:w="105" w:type="dxa"/>
              <w:right w:w="105" w:type="dxa"/>
            </w:tcMar>
          </w:tcPr>
          <w:p w:rsidRPr="005A00BE" w:rsidR="002D2FA8" w:rsidP="00F277D4" w:rsidRDefault="002D2FA8" w14:paraId="472069CA" w14:textId="4CB5CD2C">
            <w:pPr>
              <w:spacing w:line="240" w:lineRule="auto"/>
              <w:ind w:firstLine="0"/>
              <w:rPr>
                <w:rFonts w:eastAsia="Calibri" w:cs="Calibri"/>
                <w:szCs w:val="24"/>
              </w:rPr>
            </w:pPr>
            <w:r>
              <w:rPr>
                <w:rFonts w:eastAsia="Calibri" w:cs="Calibri"/>
                <w:szCs w:val="24"/>
              </w:rPr>
              <w:t>San Jose Clean Energy</w:t>
            </w:r>
          </w:p>
        </w:tc>
        <w:tc>
          <w:tcPr>
            <w:tcW w:w="6308" w:type="dxa"/>
            <w:tcMar>
              <w:left w:w="105" w:type="dxa"/>
              <w:right w:w="105" w:type="dxa"/>
            </w:tcMar>
          </w:tcPr>
          <w:p w:rsidRPr="00FD69E7" w:rsidR="002D2FA8" w:rsidP="005A00BE" w:rsidRDefault="002D2FA8" w14:paraId="4187463F" w14:textId="5A29169E">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San</w:t>
            </w:r>
            <w:r w:rsidR="00077C22">
              <w:rPr>
                <w:rFonts w:eastAsia="Book Antiqua" w:cs="Book Antiqua"/>
                <w:color w:val="000000" w:themeColor="text1"/>
                <w:szCs w:val="24"/>
              </w:rPr>
              <w:t> </w:t>
            </w:r>
            <w:r w:rsidRPr="002D2FA8">
              <w:rPr>
                <w:rFonts w:eastAsia="Book Antiqua" w:cs="Book Antiqua"/>
                <w:color w:val="000000" w:themeColor="text1"/>
                <w:szCs w:val="24"/>
              </w:rPr>
              <w:t xml:space="preserve">Jose Clean Energy inappropriately redacts variables Fa, Fb, F, Ga, and Gb for the years 2028 and beyond on its RNS template. This information pertains to “gross RPS position”, which can only be redacted for the current year and two forecast years (while “net RPS position”, or “optimized net short”, </w:t>
            </w:r>
            <w:r w:rsidRPr="002D2FA8">
              <w:rPr>
                <w:rFonts w:eastAsia="Book Antiqua" w:cs="Book Antiqua"/>
                <w:color w:val="000000" w:themeColor="text1"/>
                <w:szCs w:val="24"/>
              </w:rPr>
              <w:lastRenderedPageBreak/>
              <w:t>information that pertains to REC bank usage can be redacted indefinitely for all future years). San</w:t>
            </w:r>
            <w:r w:rsidR="00077C22">
              <w:rPr>
                <w:rFonts w:eastAsia="Book Antiqua" w:cs="Book Antiqua"/>
                <w:color w:val="000000" w:themeColor="text1"/>
                <w:szCs w:val="24"/>
              </w:rPr>
              <w:t> </w:t>
            </w:r>
            <w:r w:rsidRPr="002D2FA8">
              <w:rPr>
                <w:rFonts w:eastAsia="Book Antiqua" w:cs="Book Antiqua"/>
                <w:color w:val="000000" w:themeColor="text1"/>
                <w:szCs w:val="24"/>
              </w:rPr>
              <w:t>Jose Clean Energy must update its MFUS with more specific information to justify these redactions or must remove the redactions.</w:t>
            </w:r>
          </w:p>
        </w:tc>
      </w:tr>
      <w:tr w:rsidRPr="00FD69E7" w:rsidR="002D2FA8" w:rsidTr="005A00BE" w14:paraId="55D2980B" w14:textId="77777777">
        <w:tc>
          <w:tcPr>
            <w:tcW w:w="3052" w:type="dxa"/>
            <w:tcMar>
              <w:left w:w="105" w:type="dxa"/>
              <w:right w:w="105" w:type="dxa"/>
            </w:tcMar>
          </w:tcPr>
          <w:p w:rsidR="00077C22" w:rsidP="00F277D4" w:rsidRDefault="002D2FA8" w14:paraId="538F7BB3" w14:textId="7DF7E082">
            <w:pPr>
              <w:spacing w:line="240" w:lineRule="auto"/>
              <w:ind w:firstLine="0"/>
              <w:rPr>
                <w:rFonts w:eastAsia="Calibri" w:cs="Calibri"/>
                <w:szCs w:val="24"/>
              </w:rPr>
            </w:pPr>
            <w:r>
              <w:rPr>
                <w:rFonts w:eastAsia="Calibri" w:cs="Calibri"/>
                <w:szCs w:val="24"/>
              </w:rPr>
              <w:lastRenderedPageBreak/>
              <w:t>Silicon Valley</w:t>
            </w:r>
          </w:p>
          <w:p w:rsidR="002D2FA8" w:rsidP="00F277D4" w:rsidRDefault="002D2FA8" w14:paraId="54E6E1C9" w14:textId="5D67009D">
            <w:pPr>
              <w:spacing w:line="240" w:lineRule="auto"/>
              <w:ind w:firstLine="0"/>
              <w:rPr>
                <w:rFonts w:eastAsia="Calibri" w:cs="Calibri"/>
                <w:szCs w:val="24"/>
              </w:rPr>
            </w:pPr>
            <w:r>
              <w:rPr>
                <w:rFonts w:eastAsia="Calibri" w:cs="Calibri"/>
                <w:szCs w:val="24"/>
              </w:rPr>
              <w:t xml:space="preserve">Clean Energy </w:t>
            </w:r>
            <w:r w:rsidR="007607C0">
              <w:rPr>
                <w:rFonts w:eastAsia="Calibri" w:cs="Calibri"/>
                <w:szCs w:val="24"/>
              </w:rPr>
              <w:t>Authority</w:t>
            </w:r>
          </w:p>
        </w:tc>
        <w:tc>
          <w:tcPr>
            <w:tcW w:w="6308" w:type="dxa"/>
            <w:tcMar>
              <w:left w:w="105" w:type="dxa"/>
              <w:right w:w="105" w:type="dxa"/>
            </w:tcMar>
          </w:tcPr>
          <w:p w:rsidRPr="002D2FA8" w:rsidR="002D2FA8" w:rsidP="002D2FA8" w:rsidRDefault="002D2FA8" w14:paraId="1368B519" w14:textId="7A8A9F21">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On page</w:t>
            </w:r>
            <w:r w:rsidR="00077C22">
              <w:rPr>
                <w:rFonts w:eastAsia="Book Antiqua" w:cs="Book Antiqua"/>
                <w:color w:val="000000" w:themeColor="text1"/>
                <w:szCs w:val="24"/>
              </w:rPr>
              <w:t> </w:t>
            </w:r>
            <w:r w:rsidRPr="002D2FA8">
              <w:rPr>
                <w:rFonts w:eastAsia="Book Antiqua" w:cs="Book Antiqua"/>
                <w:color w:val="000000" w:themeColor="text1"/>
                <w:szCs w:val="24"/>
              </w:rPr>
              <w:t>16 of its Draft 2025 RPS Plan, Silicon Valley Clean Energy Authority redacts a sentence but does not claim confidentiality protection for it in its MFUS. Silicon Valley Clean Energy Authority must update its MFUS with more specific information to justify these redactions or must remove the redactions.</w:t>
            </w:r>
          </w:p>
          <w:p w:rsidRPr="002D2FA8" w:rsidR="002D2FA8" w:rsidP="002D2FA8" w:rsidRDefault="002D2FA8" w14:paraId="3870AE11" w14:textId="43E1935B">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Silicon Valley Clean Energy Authority inappropriately redacts variables Ga and Gb for the years 2028 and beyond on its RNS template. This information pertains to “gross RPS position”, which can only be redacted for the current year and two forecast years (while “net RPS position</w:t>
            </w:r>
            <w:r w:rsidR="00793C0B">
              <w:rPr>
                <w:rFonts w:eastAsia="Book Antiqua" w:cs="Book Antiqua"/>
                <w:color w:val="000000" w:themeColor="text1"/>
                <w:szCs w:val="24"/>
              </w:rPr>
              <w:t>,</w:t>
            </w:r>
            <w:r w:rsidRPr="002D2FA8">
              <w:rPr>
                <w:rFonts w:eastAsia="Book Antiqua" w:cs="Book Antiqua"/>
                <w:color w:val="000000" w:themeColor="text1"/>
                <w:szCs w:val="24"/>
              </w:rPr>
              <w:t>” or “optimized net short</w:t>
            </w:r>
            <w:r w:rsidR="00793C0B">
              <w:rPr>
                <w:rFonts w:eastAsia="Book Antiqua" w:cs="Book Antiqua"/>
                <w:color w:val="000000" w:themeColor="text1"/>
                <w:szCs w:val="24"/>
              </w:rPr>
              <w:t>,</w:t>
            </w:r>
            <w:r w:rsidRPr="002D2FA8">
              <w:rPr>
                <w:rFonts w:eastAsia="Book Antiqua" w:cs="Book Antiqua"/>
                <w:color w:val="000000" w:themeColor="text1"/>
                <w:szCs w:val="24"/>
              </w:rPr>
              <w:t>” information that pertains to REC bank usage can be redacted indefinitely for all future years). Silicon Valley Clean Energy Authority must update its MFUS with more specific information to justify these redactions or must remove the redactions.</w:t>
            </w:r>
          </w:p>
        </w:tc>
      </w:tr>
      <w:tr w:rsidRPr="00FD69E7" w:rsidR="002D2FA8" w:rsidTr="005A00BE" w14:paraId="60F9338F" w14:textId="77777777">
        <w:tc>
          <w:tcPr>
            <w:tcW w:w="3052" w:type="dxa"/>
            <w:tcMar>
              <w:left w:w="105" w:type="dxa"/>
              <w:right w:w="105" w:type="dxa"/>
            </w:tcMar>
          </w:tcPr>
          <w:p w:rsidR="00203CC0" w:rsidP="00F277D4" w:rsidRDefault="002D2FA8" w14:paraId="2E62674C" w14:textId="77777777">
            <w:pPr>
              <w:spacing w:line="240" w:lineRule="auto"/>
              <w:ind w:firstLine="0"/>
              <w:rPr>
                <w:rFonts w:eastAsia="Calibri" w:cs="Calibri"/>
                <w:szCs w:val="24"/>
              </w:rPr>
            </w:pPr>
            <w:r>
              <w:rPr>
                <w:rFonts w:eastAsia="Calibri" w:cs="Calibri"/>
                <w:szCs w:val="24"/>
              </w:rPr>
              <w:t>Sonoma Clean</w:t>
            </w:r>
          </w:p>
          <w:p w:rsidR="007D3E78" w:rsidP="00203CC0" w:rsidRDefault="002D2FA8" w14:paraId="769727BC" w14:textId="37981437">
            <w:pPr>
              <w:spacing w:line="240" w:lineRule="auto"/>
              <w:ind w:firstLine="0"/>
              <w:rPr>
                <w:rFonts w:eastAsia="Calibri" w:cs="Calibri"/>
                <w:szCs w:val="24"/>
              </w:rPr>
            </w:pPr>
            <w:r>
              <w:rPr>
                <w:rFonts w:eastAsia="Calibri" w:cs="Calibri"/>
                <w:szCs w:val="24"/>
              </w:rPr>
              <w:t>Power</w:t>
            </w:r>
            <w:r w:rsidR="00203CC0">
              <w:rPr>
                <w:rFonts w:eastAsia="Calibri" w:cs="Calibri"/>
                <w:szCs w:val="24"/>
              </w:rPr>
              <w:t xml:space="preserve"> </w:t>
            </w:r>
            <w:r w:rsidR="007D3E78">
              <w:rPr>
                <w:rFonts w:eastAsia="Calibri" w:cs="Calibri"/>
                <w:szCs w:val="24"/>
              </w:rPr>
              <w:t>Authority</w:t>
            </w:r>
          </w:p>
        </w:tc>
        <w:tc>
          <w:tcPr>
            <w:tcW w:w="6308" w:type="dxa"/>
            <w:tcMar>
              <w:left w:w="105" w:type="dxa"/>
              <w:right w:w="105" w:type="dxa"/>
            </w:tcMar>
          </w:tcPr>
          <w:p w:rsidRPr="002D2FA8" w:rsidR="002D2FA8" w:rsidP="002D2FA8" w:rsidRDefault="002D2FA8" w14:paraId="1FDC496A" w14:textId="09CF74BC">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In Section</w:t>
            </w:r>
            <w:r w:rsidR="00203CC0">
              <w:rPr>
                <w:rFonts w:eastAsia="Book Antiqua" w:cs="Book Antiqua"/>
                <w:color w:val="000000" w:themeColor="text1"/>
                <w:szCs w:val="24"/>
              </w:rPr>
              <w:t> </w:t>
            </w:r>
            <w:r w:rsidRPr="002D2FA8">
              <w:rPr>
                <w:rFonts w:eastAsia="Book Antiqua" w:cs="Book Antiqua"/>
                <w:color w:val="000000" w:themeColor="text1"/>
                <w:szCs w:val="24"/>
              </w:rPr>
              <w:t>V (Project Development Status), Sonoma Clean Power</w:t>
            </w:r>
            <w:r w:rsidR="00203CC0">
              <w:rPr>
                <w:rFonts w:eastAsia="Book Antiqua" w:cs="Book Antiqua"/>
                <w:color w:val="000000" w:themeColor="text1"/>
                <w:szCs w:val="24"/>
              </w:rPr>
              <w:t xml:space="preserve"> Authority</w:t>
            </w:r>
            <w:r w:rsidRPr="002D2FA8">
              <w:rPr>
                <w:rFonts w:eastAsia="Book Antiqua" w:cs="Book Antiqua"/>
                <w:color w:val="000000" w:themeColor="text1"/>
                <w:szCs w:val="24"/>
              </w:rPr>
              <w:t>’s MFUS does not explain why for some of its developing projects, the project names, contract capacity, contract lengths, expected annual generation, total contract volume, and locations are redacted. Sonoma Clean Power</w:t>
            </w:r>
            <w:r w:rsidR="00203CC0">
              <w:rPr>
                <w:rFonts w:eastAsia="Book Antiqua" w:cs="Book Antiqua"/>
                <w:color w:val="000000" w:themeColor="text1"/>
                <w:szCs w:val="24"/>
              </w:rPr>
              <w:t xml:space="preserve"> Authority</w:t>
            </w:r>
            <w:r w:rsidRPr="002D2FA8">
              <w:rPr>
                <w:rFonts w:eastAsia="Book Antiqua" w:cs="Book Antiqua"/>
                <w:color w:val="000000" w:themeColor="text1"/>
                <w:szCs w:val="24"/>
              </w:rPr>
              <w:t xml:space="preserve"> must either update its MFUS with more specific information to justify these redactions or must remove the redactions.</w:t>
            </w:r>
          </w:p>
        </w:tc>
      </w:tr>
      <w:tr w:rsidRPr="00FD69E7" w:rsidR="002D2FA8" w:rsidTr="005A00BE" w14:paraId="075B4F8E" w14:textId="77777777">
        <w:tc>
          <w:tcPr>
            <w:tcW w:w="3052" w:type="dxa"/>
            <w:tcMar>
              <w:left w:w="105" w:type="dxa"/>
              <w:right w:w="105" w:type="dxa"/>
            </w:tcMar>
          </w:tcPr>
          <w:p w:rsidR="005A5CCB" w:rsidP="00F277D4" w:rsidRDefault="002D2FA8" w14:paraId="31B461B8" w14:textId="77777777">
            <w:pPr>
              <w:spacing w:line="240" w:lineRule="auto"/>
              <w:ind w:firstLine="0"/>
              <w:rPr>
                <w:rFonts w:eastAsia="Calibri" w:cs="Calibri"/>
                <w:szCs w:val="24"/>
              </w:rPr>
            </w:pPr>
            <w:r>
              <w:rPr>
                <w:rFonts w:eastAsia="Calibri" w:cs="Calibri"/>
                <w:szCs w:val="24"/>
              </w:rPr>
              <w:lastRenderedPageBreak/>
              <w:t>Valley Clean</w:t>
            </w:r>
          </w:p>
          <w:p w:rsidR="002D2FA8" w:rsidP="00F277D4" w:rsidRDefault="002D2FA8" w14:paraId="11C8D3CB" w14:textId="422F7550">
            <w:pPr>
              <w:spacing w:line="240" w:lineRule="auto"/>
              <w:ind w:firstLine="0"/>
              <w:rPr>
                <w:rFonts w:eastAsia="Calibri" w:cs="Calibri"/>
                <w:szCs w:val="24"/>
              </w:rPr>
            </w:pPr>
            <w:r>
              <w:rPr>
                <w:rFonts w:eastAsia="Calibri" w:cs="Calibri"/>
                <w:szCs w:val="24"/>
              </w:rPr>
              <w:t>Energy</w:t>
            </w:r>
            <w:r w:rsidR="007607C0">
              <w:rPr>
                <w:rFonts w:eastAsia="Calibri" w:cs="Calibri"/>
                <w:szCs w:val="24"/>
              </w:rPr>
              <w:t xml:space="preserve"> Alliance</w:t>
            </w:r>
          </w:p>
        </w:tc>
        <w:tc>
          <w:tcPr>
            <w:tcW w:w="6308" w:type="dxa"/>
            <w:tcMar>
              <w:left w:w="105" w:type="dxa"/>
              <w:right w:w="105" w:type="dxa"/>
            </w:tcMar>
          </w:tcPr>
          <w:p w:rsidRPr="002D2FA8" w:rsidR="002D2FA8" w:rsidP="002D2FA8" w:rsidRDefault="002D2FA8" w14:paraId="1BC6CDFE" w14:textId="691280D0">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 xml:space="preserve">Valley Clean Energy </w:t>
            </w:r>
            <w:r w:rsidR="00203CC0">
              <w:rPr>
                <w:rFonts w:eastAsia="Book Antiqua" w:cs="Book Antiqua"/>
                <w:color w:val="000000" w:themeColor="text1"/>
                <w:szCs w:val="24"/>
              </w:rPr>
              <w:t xml:space="preserve">Alliance </w:t>
            </w:r>
            <w:r w:rsidRPr="002D2FA8">
              <w:rPr>
                <w:rFonts w:eastAsia="Book Antiqua" w:cs="Book Antiqua"/>
                <w:color w:val="000000" w:themeColor="text1"/>
                <w:szCs w:val="24"/>
              </w:rPr>
              <w:t>redacts capacity amounts for contracts in development on pages</w:t>
            </w:r>
            <w:r w:rsidR="00203CC0">
              <w:rPr>
                <w:rFonts w:eastAsia="Book Antiqua" w:cs="Book Antiqua"/>
                <w:color w:val="000000" w:themeColor="text1"/>
                <w:szCs w:val="24"/>
              </w:rPr>
              <w:t> </w:t>
            </w:r>
            <w:r w:rsidRPr="002D2FA8">
              <w:rPr>
                <w:rFonts w:eastAsia="Book Antiqua" w:cs="Book Antiqua"/>
                <w:color w:val="000000" w:themeColor="text1"/>
                <w:szCs w:val="24"/>
              </w:rPr>
              <w:t>6, 36, and 47 of its Draft 2025 RPS Plan narrative but does not claim confidential treatment for these redactions in its MFUS. Valley Clean Energy</w:t>
            </w:r>
            <w:r w:rsidR="00203CC0">
              <w:rPr>
                <w:rFonts w:eastAsia="Book Antiqua" w:cs="Book Antiqua"/>
                <w:color w:val="000000" w:themeColor="text1"/>
                <w:szCs w:val="24"/>
              </w:rPr>
              <w:t xml:space="preserve"> Alliance</w:t>
            </w:r>
            <w:r w:rsidRPr="002D2FA8">
              <w:rPr>
                <w:rFonts w:eastAsia="Book Antiqua" w:cs="Book Antiqua"/>
                <w:color w:val="000000" w:themeColor="text1"/>
                <w:szCs w:val="24"/>
              </w:rPr>
              <w:t xml:space="preserve"> must either update its MFUS with more specific information to justify these redactions or must remove the redactions.</w:t>
            </w:r>
          </w:p>
          <w:p w:rsidRPr="002D2FA8" w:rsidR="002D2FA8" w:rsidP="002D2FA8" w:rsidRDefault="002D2FA8" w14:paraId="6071C339" w14:textId="663A155E">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 xml:space="preserve">Valley Clean Energy </w:t>
            </w:r>
            <w:r w:rsidR="00203CC0">
              <w:rPr>
                <w:rFonts w:eastAsia="Book Antiqua" w:cs="Book Antiqua"/>
                <w:color w:val="000000" w:themeColor="text1"/>
                <w:szCs w:val="24"/>
              </w:rPr>
              <w:t xml:space="preserve">Alliance </w:t>
            </w:r>
            <w:r w:rsidRPr="002D2FA8">
              <w:rPr>
                <w:rFonts w:eastAsia="Book Antiqua" w:cs="Book Antiqua"/>
                <w:color w:val="000000" w:themeColor="text1"/>
                <w:szCs w:val="24"/>
              </w:rPr>
              <w:t>redacts capacity amounts, location, and term lengths for contracts in development on pages</w:t>
            </w:r>
            <w:r w:rsidR="00203CC0">
              <w:rPr>
                <w:rFonts w:eastAsia="Book Antiqua" w:cs="Book Antiqua"/>
                <w:color w:val="000000" w:themeColor="text1"/>
                <w:szCs w:val="24"/>
              </w:rPr>
              <w:t> </w:t>
            </w:r>
            <w:r w:rsidRPr="002D2FA8">
              <w:rPr>
                <w:rFonts w:eastAsia="Book Antiqua" w:cs="Book Antiqua"/>
                <w:color w:val="000000" w:themeColor="text1"/>
                <w:szCs w:val="24"/>
              </w:rPr>
              <w:t xml:space="preserve">17, 68, and 70 of its Draft 2025 RPS Plan narrative but does not claim confidential treatment for these redactions in its MFUS. Valley Clean Energy </w:t>
            </w:r>
            <w:r w:rsidR="00203CC0">
              <w:rPr>
                <w:rFonts w:eastAsia="Book Antiqua" w:cs="Book Antiqua"/>
                <w:color w:val="000000" w:themeColor="text1"/>
                <w:szCs w:val="24"/>
              </w:rPr>
              <w:t xml:space="preserve">Alliance </w:t>
            </w:r>
            <w:r w:rsidRPr="002D2FA8">
              <w:rPr>
                <w:rFonts w:eastAsia="Book Antiqua" w:cs="Book Antiqua"/>
                <w:color w:val="000000" w:themeColor="text1"/>
                <w:szCs w:val="24"/>
              </w:rPr>
              <w:t>must either update its MFUS with more specific information to justify these redactions or must remove the redactions.</w:t>
            </w:r>
          </w:p>
        </w:tc>
      </w:tr>
      <w:tr w:rsidRPr="00FD69E7" w:rsidR="002D2FA8" w:rsidTr="005A00BE" w14:paraId="51C2EC04" w14:textId="77777777">
        <w:tc>
          <w:tcPr>
            <w:tcW w:w="3052" w:type="dxa"/>
            <w:tcMar>
              <w:left w:w="105" w:type="dxa"/>
              <w:right w:w="105" w:type="dxa"/>
            </w:tcMar>
          </w:tcPr>
          <w:p w:rsidR="002D2FA8" w:rsidP="00F277D4" w:rsidRDefault="002D2FA8" w14:paraId="703FC49D" w14:textId="3ACB4B5A">
            <w:pPr>
              <w:spacing w:line="240" w:lineRule="auto"/>
              <w:ind w:firstLine="0"/>
              <w:rPr>
                <w:rFonts w:eastAsia="Calibri" w:cs="Calibri"/>
                <w:szCs w:val="24"/>
              </w:rPr>
            </w:pPr>
            <w:r>
              <w:rPr>
                <w:rFonts w:eastAsia="Calibri" w:cs="Calibri"/>
                <w:szCs w:val="24"/>
              </w:rPr>
              <w:t>3</w:t>
            </w:r>
            <w:r w:rsidR="00421809">
              <w:rPr>
                <w:rFonts w:eastAsia="Calibri" w:cs="Calibri"/>
                <w:szCs w:val="24"/>
              </w:rPr>
              <w:t> </w:t>
            </w:r>
            <w:r>
              <w:rPr>
                <w:rFonts w:eastAsia="Calibri" w:cs="Calibri"/>
                <w:szCs w:val="24"/>
              </w:rPr>
              <w:t>Phases Renewables</w:t>
            </w:r>
          </w:p>
        </w:tc>
        <w:tc>
          <w:tcPr>
            <w:tcW w:w="6308" w:type="dxa"/>
            <w:tcMar>
              <w:left w:w="105" w:type="dxa"/>
              <w:right w:w="105" w:type="dxa"/>
            </w:tcMar>
          </w:tcPr>
          <w:p w:rsidRPr="002D2FA8" w:rsidR="002D2FA8" w:rsidP="002D2FA8" w:rsidRDefault="002D2FA8" w14:paraId="5966A488" w14:textId="77748918">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In its MFUS, 3</w:t>
            </w:r>
            <w:r w:rsidR="00421809">
              <w:rPr>
                <w:rFonts w:eastAsia="Book Antiqua" w:cs="Book Antiqua"/>
                <w:color w:val="000000" w:themeColor="text1"/>
                <w:szCs w:val="24"/>
              </w:rPr>
              <w:t> </w:t>
            </w:r>
            <w:r w:rsidRPr="002D2FA8">
              <w:rPr>
                <w:rFonts w:eastAsia="Book Antiqua" w:cs="Book Antiqua"/>
                <w:color w:val="000000" w:themeColor="text1"/>
                <w:szCs w:val="24"/>
              </w:rPr>
              <w:t>Phases Renewables claims confidential protection for redactions in a transportation electrification forecast table in Section</w:t>
            </w:r>
            <w:r w:rsidR="00421809">
              <w:rPr>
                <w:rFonts w:eastAsia="Book Antiqua" w:cs="Book Antiqua"/>
                <w:color w:val="000000" w:themeColor="text1"/>
                <w:szCs w:val="24"/>
              </w:rPr>
              <w:t> </w:t>
            </w:r>
            <w:r w:rsidRPr="002D2FA8">
              <w:rPr>
                <w:rFonts w:eastAsia="Book Antiqua" w:cs="Book Antiqua"/>
                <w:color w:val="000000" w:themeColor="text1"/>
                <w:szCs w:val="24"/>
              </w:rPr>
              <w:t xml:space="preserve">IV.A.1 of its Draft 2025 RPS Plan. However, in its Draft 2025 RPS Plan, the table appears in another section, </w:t>
            </w:r>
            <w:r w:rsidRPr="002D2FA8">
              <w:rPr>
                <w:rFonts w:eastAsia="Book Antiqua" w:cs="Book Antiqua"/>
                <w:color w:val="000000" w:themeColor="text1"/>
                <w:szCs w:val="24"/>
                <w:u w:val="single"/>
              </w:rPr>
              <w:t>Section</w:t>
            </w:r>
            <w:r w:rsidR="00421809">
              <w:rPr>
                <w:rFonts w:eastAsia="Book Antiqua" w:cs="Book Antiqua"/>
                <w:color w:val="000000" w:themeColor="text1"/>
                <w:szCs w:val="24"/>
                <w:u w:val="single"/>
              </w:rPr>
              <w:t> </w:t>
            </w:r>
            <w:r w:rsidRPr="002D2FA8">
              <w:rPr>
                <w:rFonts w:eastAsia="Book Antiqua" w:cs="Book Antiqua"/>
                <w:color w:val="000000" w:themeColor="text1"/>
                <w:szCs w:val="24"/>
                <w:u w:val="single"/>
              </w:rPr>
              <w:t>IV.B.1</w:t>
            </w:r>
            <w:r w:rsidRPr="00421809">
              <w:rPr>
                <w:rFonts w:eastAsia="Book Antiqua" w:cs="Book Antiqua"/>
                <w:color w:val="000000" w:themeColor="text1"/>
                <w:szCs w:val="24"/>
              </w:rPr>
              <w:t>.</w:t>
            </w:r>
            <w:r w:rsidRPr="002D2FA8">
              <w:rPr>
                <w:rFonts w:eastAsia="Book Antiqua" w:cs="Book Antiqua"/>
                <w:color w:val="000000" w:themeColor="text1"/>
                <w:szCs w:val="24"/>
              </w:rPr>
              <w:t xml:space="preserve">  3</w:t>
            </w:r>
            <w:r w:rsidR="00421809">
              <w:rPr>
                <w:rFonts w:eastAsia="Book Antiqua" w:cs="Book Antiqua"/>
                <w:color w:val="000000" w:themeColor="text1"/>
                <w:szCs w:val="24"/>
              </w:rPr>
              <w:t> </w:t>
            </w:r>
            <w:r w:rsidRPr="002D2FA8">
              <w:rPr>
                <w:rFonts w:eastAsia="Book Antiqua" w:cs="Book Antiqua"/>
                <w:color w:val="000000" w:themeColor="text1"/>
                <w:szCs w:val="24"/>
              </w:rPr>
              <w:t>Phases Renewables must clarify the location of these redactions in its MFUS in order to receive confidential treatment for the redactions.</w:t>
            </w:r>
          </w:p>
        </w:tc>
      </w:tr>
      <w:tr w:rsidRPr="00FD69E7" w:rsidR="002D2FA8" w:rsidTr="005A00BE" w14:paraId="4C79E673" w14:textId="77777777">
        <w:tc>
          <w:tcPr>
            <w:tcW w:w="3052" w:type="dxa"/>
            <w:tcMar>
              <w:left w:w="105" w:type="dxa"/>
              <w:right w:w="105" w:type="dxa"/>
            </w:tcMar>
          </w:tcPr>
          <w:p w:rsidR="002D2FA8" w:rsidP="00F277D4" w:rsidRDefault="002D2FA8" w14:paraId="5A322822" w14:textId="42C0B40D">
            <w:pPr>
              <w:spacing w:line="240" w:lineRule="auto"/>
              <w:ind w:firstLine="0"/>
              <w:rPr>
                <w:rFonts w:eastAsia="Calibri" w:cs="Calibri"/>
                <w:szCs w:val="24"/>
              </w:rPr>
            </w:pPr>
            <w:r>
              <w:rPr>
                <w:rFonts w:eastAsia="Calibri" w:cs="Calibri"/>
                <w:szCs w:val="24"/>
              </w:rPr>
              <w:t>BP Energy</w:t>
            </w:r>
          </w:p>
        </w:tc>
        <w:tc>
          <w:tcPr>
            <w:tcW w:w="6308" w:type="dxa"/>
            <w:tcMar>
              <w:left w:w="105" w:type="dxa"/>
              <w:right w:w="105" w:type="dxa"/>
            </w:tcMar>
          </w:tcPr>
          <w:p w:rsidRPr="002D2FA8" w:rsidR="002D2FA8" w:rsidP="002D2FA8" w:rsidRDefault="002D2FA8" w14:paraId="513A8129" w14:textId="2CF01673">
            <w:pPr>
              <w:spacing w:after="240" w:line="240" w:lineRule="auto"/>
              <w:ind w:firstLine="0"/>
              <w:rPr>
                <w:rFonts w:eastAsia="Book Antiqua" w:cs="Book Antiqua"/>
                <w:color w:val="000000" w:themeColor="text1"/>
                <w:szCs w:val="24"/>
              </w:rPr>
            </w:pPr>
            <w:r w:rsidRPr="002D2FA8">
              <w:rPr>
                <w:rFonts w:eastAsia="Book Antiqua" w:cs="Book Antiqua"/>
                <w:color w:val="000000" w:themeColor="text1"/>
                <w:szCs w:val="24"/>
              </w:rPr>
              <w:t xml:space="preserve">In its MFUS, BP Energy claims confidential protection for redactions in a transportation electrification forecast table in “Section IV.A.1” of its Draft 2025 RPS Plan. However, in its Draft 2025 RPS Plan, the table appears in another section, </w:t>
            </w:r>
            <w:r w:rsidRPr="002D2FA8">
              <w:rPr>
                <w:rFonts w:eastAsia="Book Antiqua" w:cs="Book Antiqua"/>
                <w:color w:val="000000" w:themeColor="text1"/>
                <w:szCs w:val="24"/>
                <w:u w:val="single"/>
              </w:rPr>
              <w:t>Section</w:t>
            </w:r>
            <w:r w:rsidR="00044FD9">
              <w:rPr>
                <w:rFonts w:eastAsia="Book Antiqua" w:cs="Book Antiqua"/>
                <w:color w:val="000000" w:themeColor="text1"/>
                <w:szCs w:val="24"/>
                <w:u w:val="single"/>
              </w:rPr>
              <w:t> </w:t>
            </w:r>
            <w:r w:rsidRPr="002D2FA8">
              <w:rPr>
                <w:rFonts w:eastAsia="Book Antiqua" w:cs="Book Antiqua"/>
                <w:color w:val="000000" w:themeColor="text1"/>
                <w:szCs w:val="24"/>
                <w:u w:val="single"/>
              </w:rPr>
              <w:t>IV.B.1</w:t>
            </w:r>
            <w:r w:rsidRPr="0027670F">
              <w:rPr>
                <w:rFonts w:eastAsia="Book Antiqua" w:cs="Book Antiqua"/>
                <w:color w:val="000000" w:themeColor="text1"/>
                <w:szCs w:val="24"/>
              </w:rPr>
              <w:t>.</w:t>
            </w:r>
            <w:r w:rsidRPr="002D2FA8">
              <w:rPr>
                <w:rFonts w:eastAsia="Book Antiqua" w:cs="Book Antiqua"/>
                <w:color w:val="000000" w:themeColor="text1"/>
                <w:szCs w:val="24"/>
              </w:rPr>
              <w:t xml:space="preserve">  BP Energy must clarify the location </w:t>
            </w:r>
            <w:r w:rsidRPr="002D2FA8">
              <w:rPr>
                <w:rFonts w:eastAsia="Book Antiqua" w:cs="Book Antiqua"/>
                <w:color w:val="000000" w:themeColor="text1"/>
                <w:szCs w:val="24"/>
              </w:rPr>
              <w:lastRenderedPageBreak/>
              <w:t>of these redactions in its MFUS in order to receive confidential treatment for the redactions.</w:t>
            </w:r>
          </w:p>
        </w:tc>
      </w:tr>
      <w:tr w:rsidRPr="00FD69E7" w:rsidR="002D2FA8" w:rsidTr="005A00BE" w14:paraId="1CC0CB97" w14:textId="77777777">
        <w:tc>
          <w:tcPr>
            <w:tcW w:w="3052" w:type="dxa"/>
            <w:tcMar>
              <w:left w:w="105" w:type="dxa"/>
              <w:right w:w="105" w:type="dxa"/>
            </w:tcMar>
          </w:tcPr>
          <w:p w:rsidR="002D2FA8" w:rsidP="00F277D4" w:rsidRDefault="002D2FA8" w14:paraId="38659B95" w14:textId="12F82933">
            <w:pPr>
              <w:spacing w:line="240" w:lineRule="auto"/>
              <w:ind w:firstLine="0"/>
              <w:rPr>
                <w:rFonts w:eastAsia="Calibri" w:cs="Calibri"/>
                <w:szCs w:val="24"/>
              </w:rPr>
            </w:pPr>
            <w:r>
              <w:rPr>
                <w:rFonts w:eastAsia="Calibri" w:cs="Calibri"/>
                <w:szCs w:val="24"/>
              </w:rPr>
              <w:lastRenderedPageBreak/>
              <w:t>Shell Energy</w:t>
            </w:r>
          </w:p>
        </w:tc>
        <w:tc>
          <w:tcPr>
            <w:tcW w:w="6308" w:type="dxa"/>
            <w:tcMar>
              <w:left w:w="105" w:type="dxa"/>
              <w:right w:w="105" w:type="dxa"/>
            </w:tcMar>
          </w:tcPr>
          <w:p w:rsidRPr="007D3E78" w:rsidR="007D3E78" w:rsidP="007D3E78" w:rsidRDefault="007D3E78" w14:paraId="3F2C97FC" w14:textId="44645DCB">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10 of its Draft 2025 RPS Plan, Shell Energy inappropriately redacts the “Total Retail Sales (MWh)” figures in the “Compliance Period</w:t>
            </w:r>
            <w:r w:rsidR="005A4784">
              <w:rPr>
                <w:rFonts w:eastAsia="Book Antiqua" w:cs="Book Antiqua"/>
                <w:color w:val="000000" w:themeColor="text1"/>
                <w:szCs w:val="24"/>
              </w:rPr>
              <w:t> </w:t>
            </w:r>
            <w:r w:rsidRPr="007D3E78">
              <w:rPr>
                <w:rFonts w:eastAsia="Book Antiqua" w:cs="Book Antiqua"/>
                <w:color w:val="000000" w:themeColor="text1"/>
                <w:szCs w:val="24"/>
              </w:rPr>
              <w:t>4 (2021</w:t>
            </w:r>
            <w:r w:rsidR="00E54574">
              <w:rPr>
                <w:rFonts w:eastAsia="Book Antiqua" w:cs="Book Antiqua"/>
                <w:color w:val="000000" w:themeColor="text1"/>
                <w:szCs w:val="24"/>
              </w:rPr>
              <w:noBreakHyphen/>
            </w:r>
            <w:r w:rsidRPr="007D3E78">
              <w:rPr>
                <w:rFonts w:eastAsia="Book Antiqua" w:cs="Book Antiqua"/>
                <w:color w:val="000000" w:themeColor="text1"/>
                <w:szCs w:val="24"/>
              </w:rPr>
              <w:t>2024)” column. This is past information, and current and forecast retail sales (load) data is only confidential for the current year/year of filing and the two subsequent forecast years. Also, Shell Energy’s public RNS Template publicly discloses retail sales figures. Shell Energy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p w:rsidRPr="007D3E78" w:rsidR="007D3E78" w:rsidP="007D3E78" w:rsidRDefault="007D3E78" w14:paraId="2D7B48F3" w14:textId="1B4FF071">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10 of its Draft 2025 RPS Plan, Shell Energy inappropriately redacts the “Total Long Term RPS Eligible Procurement (MWh)</w:t>
            </w:r>
            <w:r w:rsidR="00793C0B">
              <w:rPr>
                <w:rFonts w:eastAsia="Book Antiqua" w:cs="Book Antiqua"/>
                <w:color w:val="000000" w:themeColor="text1"/>
                <w:szCs w:val="24"/>
              </w:rPr>
              <w:t>,</w:t>
            </w:r>
            <w:r w:rsidRPr="007D3E78">
              <w:rPr>
                <w:rFonts w:eastAsia="Book Antiqua" w:cs="Book Antiqua"/>
                <w:color w:val="000000" w:themeColor="text1"/>
                <w:szCs w:val="24"/>
              </w:rPr>
              <w:t>” “65% of SENA RPS Long Term Requirement (MWh)</w:t>
            </w:r>
            <w:r w:rsidR="00793C0B">
              <w:rPr>
                <w:rFonts w:eastAsia="Book Antiqua" w:cs="Book Antiqua"/>
                <w:color w:val="000000" w:themeColor="text1"/>
                <w:szCs w:val="24"/>
              </w:rPr>
              <w:t>,</w:t>
            </w:r>
            <w:r w:rsidRPr="007D3E78">
              <w:rPr>
                <w:rFonts w:eastAsia="Book Antiqua" w:cs="Book Antiqua"/>
                <w:color w:val="000000" w:themeColor="text1"/>
                <w:szCs w:val="24"/>
              </w:rPr>
              <w:t>” “Compliance Total</w:t>
            </w:r>
            <w:r w:rsidR="00793C0B">
              <w:rPr>
                <w:rFonts w:eastAsia="Book Antiqua" w:cs="Book Antiqua"/>
                <w:color w:val="000000" w:themeColor="text1"/>
                <w:szCs w:val="24"/>
              </w:rPr>
              <w:t>,</w:t>
            </w:r>
            <w:r w:rsidRPr="007D3E78">
              <w:rPr>
                <w:rFonts w:eastAsia="Book Antiqua" w:cs="Book Antiqua"/>
                <w:color w:val="000000" w:themeColor="text1"/>
                <w:szCs w:val="24"/>
              </w:rPr>
              <w:t>” and “65% of Compliance Total</w:t>
            </w:r>
            <w:r>
              <w:rPr>
                <w:rFonts w:eastAsia="Book Antiqua" w:cs="Book Antiqua"/>
                <w:color w:val="000000" w:themeColor="text1"/>
                <w:szCs w:val="24"/>
              </w:rPr>
              <w:t>”</w:t>
            </w:r>
            <w:r w:rsidRPr="007D3E78">
              <w:rPr>
                <w:rFonts w:eastAsia="Book Antiqua" w:cs="Book Antiqua"/>
                <w:color w:val="000000" w:themeColor="text1"/>
                <w:szCs w:val="24"/>
              </w:rPr>
              <w:t xml:space="preserve"> figures in the “Compliance Period</w:t>
            </w:r>
            <w:r w:rsidR="005A4784">
              <w:rPr>
                <w:rFonts w:eastAsia="Book Antiqua" w:cs="Book Antiqua"/>
                <w:color w:val="000000" w:themeColor="text1"/>
                <w:szCs w:val="24"/>
              </w:rPr>
              <w:t> </w:t>
            </w:r>
            <w:r w:rsidRPr="007D3E78">
              <w:rPr>
                <w:rFonts w:eastAsia="Book Antiqua" w:cs="Book Antiqua"/>
                <w:color w:val="000000" w:themeColor="text1"/>
                <w:szCs w:val="24"/>
              </w:rPr>
              <w:t>4 (2021</w:t>
            </w:r>
            <w:r w:rsidR="00E54574">
              <w:rPr>
                <w:rFonts w:eastAsia="Book Antiqua" w:cs="Book Antiqua"/>
                <w:color w:val="000000" w:themeColor="text1"/>
                <w:szCs w:val="24"/>
              </w:rPr>
              <w:noBreakHyphen/>
            </w:r>
            <w:r w:rsidRPr="007D3E78">
              <w:rPr>
                <w:rFonts w:eastAsia="Book Antiqua" w:cs="Book Antiqua"/>
                <w:color w:val="000000" w:themeColor="text1"/>
                <w:szCs w:val="24"/>
              </w:rPr>
              <w:t>2024)” column. This is past information, and current and forecast energy supply data is only confidential for the current year/year of filing and the two subsequent forecast years. Shell Energy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p w:rsidRPr="007D3E78" w:rsidR="007D3E78" w:rsidP="007D3E78" w:rsidRDefault="007D3E78" w14:paraId="3C6A5EEF" w14:textId="15A66D67">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10 of its Draft 2025 RPS Plan, on the bar chart, Shell Energy inappropriately redacts the “Total Retail Sales (MWh)</w:t>
            </w:r>
            <w:r w:rsidR="00793C0B">
              <w:rPr>
                <w:rFonts w:eastAsia="Book Antiqua" w:cs="Book Antiqua"/>
                <w:color w:val="000000" w:themeColor="text1"/>
                <w:szCs w:val="24"/>
              </w:rPr>
              <w:t>,</w:t>
            </w:r>
            <w:r w:rsidRPr="007D3E78">
              <w:rPr>
                <w:rFonts w:eastAsia="Book Antiqua" w:cs="Book Antiqua"/>
                <w:color w:val="000000" w:themeColor="text1"/>
                <w:szCs w:val="24"/>
              </w:rPr>
              <w:t>” “Total Long Term RPS Eligible Procurement (MWh)</w:t>
            </w:r>
            <w:r w:rsidR="00793C0B">
              <w:rPr>
                <w:rFonts w:eastAsia="Book Antiqua" w:cs="Book Antiqua"/>
                <w:color w:val="000000" w:themeColor="text1"/>
                <w:szCs w:val="24"/>
              </w:rPr>
              <w:t>,</w:t>
            </w:r>
            <w:r w:rsidRPr="007D3E78">
              <w:rPr>
                <w:rFonts w:eastAsia="Book Antiqua" w:cs="Book Antiqua"/>
                <w:color w:val="000000" w:themeColor="text1"/>
                <w:szCs w:val="24"/>
              </w:rPr>
              <w:t>” and “65% of SENA RPS Long Term Requirement (MWh)” bars in the “Compliance Period</w:t>
            </w:r>
            <w:r w:rsidR="005A4784">
              <w:rPr>
                <w:rFonts w:eastAsia="Book Antiqua" w:cs="Book Antiqua"/>
                <w:color w:val="000000" w:themeColor="text1"/>
                <w:szCs w:val="24"/>
              </w:rPr>
              <w:t> </w:t>
            </w:r>
            <w:r w:rsidRPr="007D3E78">
              <w:rPr>
                <w:rFonts w:eastAsia="Book Antiqua" w:cs="Book Antiqua"/>
                <w:color w:val="000000" w:themeColor="text1"/>
                <w:szCs w:val="24"/>
              </w:rPr>
              <w:t>4 (2021</w:t>
            </w:r>
            <w:r w:rsidR="00E54574">
              <w:rPr>
                <w:rFonts w:eastAsia="Book Antiqua" w:cs="Book Antiqua"/>
                <w:color w:val="000000" w:themeColor="text1"/>
                <w:szCs w:val="24"/>
              </w:rPr>
              <w:noBreakHyphen/>
            </w:r>
            <w:r w:rsidRPr="007D3E78">
              <w:rPr>
                <w:rFonts w:eastAsia="Book Antiqua" w:cs="Book Antiqua"/>
                <w:color w:val="000000" w:themeColor="text1"/>
                <w:szCs w:val="24"/>
              </w:rPr>
              <w:t xml:space="preserve">2024)” group of bars. This is past information, and current and forecast retail sales (load) and energy supply data is only confidential for the current year/year of filing and the two subsequent forecast years. Also, Shell </w:t>
            </w:r>
            <w:r w:rsidRPr="007D3E78">
              <w:rPr>
                <w:rFonts w:eastAsia="Book Antiqua" w:cs="Book Antiqua"/>
                <w:color w:val="000000" w:themeColor="text1"/>
                <w:szCs w:val="24"/>
              </w:rPr>
              <w:lastRenderedPageBreak/>
              <w:t>Energy’s public RNS Template discloses retail sales figures. Shell Energy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p w:rsidRPr="007D3E78" w:rsidR="007D3E78" w:rsidP="007D3E78" w:rsidRDefault="007D3E78" w14:paraId="4F5E4B65" w14:textId="0FF0A68F">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10 of its Draft 2025 RPS Plan, Shell Energy inappropriately redacts the “Total Retail Sales (MWh)” figures in the “Compliance Period</w:t>
            </w:r>
            <w:r w:rsidR="005A4784">
              <w:rPr>
                <w:rFonts w:eastAsia="Book Antiqua" w:cs="Book Antiqua"/>
                <w:color w:val="000000" w:themeColor="text1"/>
                <w:szCs w:val="24"/>
              </w:rPr>
              <w:t> </w:t>
            </w:r>
            <w:r w:rsidRPr="007D3E78">
              <w:rPr>
                <w:rFonts w:eastAsia="Book Antiqua" w:cs="Book Antiqua"/>
                <w:color w:val="000000" w:themeColor="text1"/>
                <w:szCs w:val="24"/>
              </w:rPr>
              <w:t>6 (2028</w:t>
            </w:r>
            <w:r w:rsidR="00E54574">
              <w:rPr>
                <w:rFonts w:eastAsia="Book Antiqua" w:cs="Book Antiqua"/>
                <w:color w:val="000000" w:themeColor="text1"/>
                <w:szCs w:val="24"/>
              </w:rPr>
              <w:noBreakHyphen/>
            </w:r>
            <w:r w:rsidRPr="007D3E78">
              <w:rPr>
                <w:rFonts w:eastAsia="Book Antiqua" w:cs="Book Antiqua"/>
                <w:color w:val="000000" w:themeColor="text1"/>
                <w:szCs w:val="24"/>
              </w:rPr>
              <w:t>2030)” column. Current and forecast retail sales (load) data is only confidential for the current year/year of filing and the two subsequent forecast years. Also, Shell Energy’s public RNS Template publicly discloses retail sales figures. Shell Energy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p w:rsidRPr="007D3E78" w:rsidR="007D3E78" w:rsidP="007D3E78" w:rsidRDefault="007D3E78" w14:paraId="7D32F80F" w14:textId="7F93E36B">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10 of its Draft 2025 RPS Plan, Shell Energy inappropriately redacts the “Total Long Term RPS Eligible Procurement (MWh)</w:t>
            </w:r>
            <w:r w:rsidR="00793C0B">
              <w:rPr>
                <w:rFonts w:eastAsia="Book Antiqua" w:cs="Book Antiqua"/>
                <w:color w:val="000000" w:themeColor="text1"/>
                <w:szCs w:val="24"/>
              </w:rPr>
              <w:t>,</w:t>
            </w:r>
            <w:r w:rsidRPr="007D3E78">
              <w:rPr>
                <w:rFonts w:eastAsia="Book Antiqua" w:cs="Book Antiqua"/>
                <w:color w:val="000000" w:themeColor="text1"/>
                <w:szCs w:val="24"/>
              </w:rPr>
              <w:t>” “65% of SENA RPS Long Term Requirement (MWh)</w:t>
            </w:r>
            <w:r w:rsidR="00793C0B">
              <w:rPr>
                <w:rFonts w:eastAsia="Book Antiqua" w:cs="Book Antiqua"/>
                <w:color w:val="000000" w:themeColor="text1"/>
                <w:szCs w:val="24"/>
              </w:rPr>
              <w:t>,</w:t>
            </w:r>
            <w:r w:rsidRPr="007D3E78">
              <w:rPr>
                <w:rFonts w:eastAsia="Book Antiqua" w:cs="Book Antiqua"/>
                <w:color w:val="000000" w:themeColor="text1"/>
                <w:szCs w:val="24"/>
              </w:rPr>
              <w:t>” “Compliance Total</w:t>
            </w:r>
            <w:r w:rsidR="00793C0B">
              <w:rPr>
                <w:rFonts w:eastAsia="Book Antiqua" w:cs="Book Antiqua"/>
                <w:color w:val="000000" w:themeColor="text1"/>
                <w:szCs w:val="24"/>
              </w:rPr>
              <w:t>,</w:t>
            </w:r>
            <w:r w:rsidRPr="007D3E78">
              <w:rPr>
                <w:rFonts w:eastAsia="Book Antiqua" w:cs="Book Antiqua"/>
                <w:color w:val="000000" w:themeColor="text1"/>
                <w:szCs w:val="24"/>
              </w:rPr>
              <w:t>” and “65% of Compliance Total“ figures in the “Compliance Period</w:t>
            </w:r>
            <w:r w:rsidR="005A4784">
              <w:rPr>
                <w:rFonts w:eastAsia="Book Antiqua" w:cs="Book Antiqua"/>
                <w:color w:val="000000" w:themeColor="text1"/>
                <w:szCs w:val="24"/>
              </w:rPr>
              <w:t> </w:t>
            </w:r>
            <w:r w:rsidRPr="007D3E78">
              <w:rPr>
                <w:rFonts w:eastAsia="Book Antiqua" w:cs="Book Antiqua"/>
                <w:color w:val="000000" w:themeColor="text1"/>
                <w:szCs w:val="24"/>
              </w:rPr>
              <w:t>6 (2028</w:t>
            </w:r>
            <w:r w:rsidR="00E54574">
              <w:rPr>
                <w:rFonts w:eastAsia="Book Antiqua" w:cs="Book Antiqua"/>
                <w:color w:val="000000" w:themeColor="text1"/>
                <w:szCs w:val="24"/>
              </w:rPr>
              <w:noBreakHyphen/>
            </w:r>
            <w:r w:rsidRPr="007D3E78">
              <w:rPr>
                <w:rFonts w:eastAsia="Book Antiqua" w:cs="Book Antiqua"/>
                <w:color w:val="000000" w:themeColor="text1"/>
                <w:szCs w:val="24"/>
              </w:rPr>
              <w:t>2030)” column. Current and forecast energy supply data is only confidential for the current year/year of filing and the two subsequent forecast years. Shell Energy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p w:rsidRPr="002D2FA8" w:rsidR="002D2FA8" w:rsidP="007D3E78" w:rsidRDefault="007D3E78" w14:paraId="2D0E6837" w14:textId="4B8B3D03">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10 of its Draft 2025 RPS Plan, on the bar chart, Shell Energy inappropriately redacts the “Total Retail Sales (MWh)</w:t>
            </w:r>
            <w:r w:rsidR="00C72383">
              <w:rPr>
                <w:rFonts w:eastAsia="Book Antiqua" w:cs="Book Antiqua"/>
                <w:color w:val="000000" w:themeColor="text1"/>
                <w:szCs w:val="24"/>
              </w:rPr>
              <w:t>,</w:t>
            </w:r>
            <w:r w:rsidRPr="007D3E78">
              <w:rPr>
                <w:rFonts w:eastAsia="Book Antiqua" w:cs="Book Antiqua"/>
                <w:color w:val="000000" w:themeColor="text1"/>
                <w:szCs w:val="24"/>
              </w:rPr>
              <w:t>” “Total Long Term RPS Eligible Procurement (MWh)</w:t>
            </w:r>
            <w:r w:rsidR="00C72383">
              <w:rPr>
                <w:rFonts w:eastAsia="Book Antiqua" w:cs="Book Antiqua"/>
                <w:color w:val="000000" w:themeColor="text1"/>
                <w:szCs w:val="24"/>
              </w:rPr>
              <w:t>,</w:t>
            </w:r>
            <w:r w:rsidRPr="007D3E78">
              <w:rPr>
                <w:rFonts w:eastAsia="Book Antiqua" w:cs="Book Antiqua"/>
                <w:color w:val="000000" w:themeColor="text1"/>
                <w:szCs w:val="24"/>
              </w:rPr>
              <w:t>” and “65% of SENA RPS Long Term Requirement (MWh)” bars in the “Compliance Period</w:t>
            </w:r>
            <w:r w:rsidR="005A4784">
              <w:rPr>
                <w:rFonts w:eastAsia="Book Antiqua" w:cs="Book Antiqua"/>
                <w:color w:val="000000" w:themeColor="text1"/>
                <w:szCs w:val="24"/>
              </w:rPr>
              <w:t> </w:t>
            </w:r>
            <w:r w:rsidRPr="007D3E78">
              <w:rPr>
                <w:rFonts w:eastAsia="Book Antiqua" w:cs="Book Antiqua"/>
                <w:color w:val="000000" w:themeColor="text1"/>
                <w:szCs w:val="24"/>
              </w:rPr>
              <w:t>6 (2028</w:t>
            </w:r>
            <w:r w:rsidR="00E54574">
              <w:rPr>
                <w:rFonts w:eastAsia="Book Antiqua" w:cs="Book Antiqua"/>
                <w:color w:val="000000" w:themeColor="text1"/>
                <w:szCs w:val="24"/>
              </w:rPr>
              <w:noBreakHyphen/>
            </w:r>
            <w:r w:rsidRPr="007D3E78">
              <w:rPr>
                <w:rFonts w:eastAsia="Book Antiqua" w:cs="Book Antiqua"/>
                <w:color w:val="000000" w:themeColor="text1"/>
                <w:szCs w:val="24"/>
              </w:rPr>
              <w:t>2030)” group of bars. Current and forecast retail sales (load) and energy supply data is only confidential for the current year/year of filing and the two subsequent forecast years. Also, Shell Energy’s public RNS Template discloses retail sales figures. Shell Energy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tc>
      </w:tr>
      <w:tr w:rsidRPr="00FD69E7" w:rsidR="007D3E78" w:rsidTr="005A00BE" w14:paraId="7074E803" w14:textId="77777777">
        <w:tc>
          <w:tcPr>
            <w:tcW w:w="3052" w:type="dxa"/>
            <w:tcMar>
              <w:left w:w="105" w:type="dxa"/>
              <w:right w:w="105" w:type="dxa"/>
            </w:tcMar>
          </w:tcPr>
          <w:p w:rsidR="005A4784" w:rsidP="00F277D4" w:rsidRDefault="007607C0" w14:paraId="6C65EE3F" w14:textId="32F455C4">
            <w:pPr>
              <w:spacing w:line="240" w:lineRule="auto"/>
              <w:ind w:firstLine="0"/>
              <w:rPr>
                <w:rFonts w:eastAsia="Calibri" w:cs="Calibri"/>
                <w:szCs w:val="24"/>
              </w:rPr>
            </w:pPr>
            <w:r w:rsidRPr="007607C0">
              <w:rPr>
                <w:rFonts w:eastAsia="Calibri" w:cs="Calibri"/>
                <w:szCs w:val="24"/>
              </w:rPr>
              <w:lastRenderedPageBreak/>
              <w:t>The Regents of the</w:t>
            </w:r>
          </w:p>
          <w:p w:rsidR="007D3E78" w:rsidP="00F277D4" w:rsidRDefault="007607C0" w14:paraId="2CDC15E9" w14:textId="0DC8D37C">
            <w:pPr>
              <w:spacing w:line="240" w:lineRule="auto"/>
              <w:ind w:firstLine="0"/>
              <w:rPr>
                <w:rFonts w:eastAsia="Calibri" w:cs="Calibri"/>
                <w:szCs w:val="24"/>
              </w:rPr>
            </w:pPr>
            <w:r w:rsidRPr="007607C0">
              <w:rPr>
                <w:rFonts w:eastAsia="Calibri" w:cs="Calibri"/>
                <w:szCs w:val="24"/>
              </w:rPr>
              <w:t>University of California</w:t>
            </w:r>
          </w:p>
        </w:tc>
        <w:tc>
          <w:tcPr>
            <w:tcW w:w="6308" w:type="dxa"/>
            <w:tcMar>
              <w:left w:w="105" w:type="dxa"/>
              <w:right w:w="105" w:type="dxa"/>
            </w:tcMar>
          </w:tcPr>
          <w:p w:rsidRPr="007D3E78" w:rsidR="007D3E78" w:rsidP="007D3E78" w:rsidRDefault="007D3E78" w14:paraId="12415C0C" w14:textId="0751DE94">
            <w:pPr>
              <w:spacing w:after="240" w:line="240" w:lineRule="auto"/>
              <w:ind w:firstLine="0"/>
              <w:rPr>
                <w:rFonts w:eastAsia="Book Antiqua" w:cs="Book Antiqua"/>
                <w:color w:val="000000" w:themeColor="text1"/>
                <w:szCs w:val="24"/>
              </w:rPr>
            </w:pPr>
            <w:r w:rsidRPr="007D3E78">
              <w:rPr>
                <w:rFonts w:eastAsia="Book Antiqua" w:cs="Book Antiqua"/>
                <w:color w:val="000000" w:themeColor="text1"/>
                <w:szCs w:val="24"/>
              </w:rPr>
              <w:t>In Figure</w:t>
            </w:r>
            <w:r w:rsidR="005A4784">
              <w:rPr>
                <w:rFonts w:eastAsia="Book Antiqua" w:cs="Book Antiqua"/>
                <w:color w:val="000000" w:themeColor="text1"/>
                <w:szCs w:val="24"/>
              </w:rPr>
              <w:t> </w:t>
            </w:r>
            <w:r w:rsidRPr="007D3E78">
              <w:rPr>
                <w:rFonts w:eastAsia="Book Antiqua" w:cs="Book Antiqua"/>
                <w:color w:val="000000" w:themeColor="text1"/>
                <w:szCs w:val="24"/>
              </w:rPr>
              <w:t>1 on page</w:t>
            </w:r>
            <w:r w:rsidR="005A4784">
              <w:rPr>
                <w:rFonts w:eastAsia="Book Antiqua" w:cs="Book Antiqua"/>
                <w:color w:val="000000" w:themeColor="text1"/>
                <w:szCs w:val="24"/>
              </w:rPr>
              <w:t> </w:t>
            </w:r>
            <w:r w:rsidRPr="007D3E78">
              <w:rPr>
                <w:rFonts w:eastAsia="Book Antiqua" w:cs="Book Antiqua"/>
                <w:color w:val="000000" w:themeColor="text1"/>
                <w:szCs w:val="24"/>
              </w:rPr>
              <w:t>11 of its Draft 2025 RPS Plan, on the bar chart, UC Regents inappropriately redacts the Long</w:t>
            </w:r>
            <w:r w:rsidR="00E54574">
              <w:rPr>
                <w:rFonts w:eastAsia="Book Antiqua" w:cs="Book Antiqua"/>
                <w:color w:val="000000" w:themeColor="text1"/>
                <w:szCs w:val="24"/>
              </w:rPr>
              <w:noBreakHyphen/>
            </w:r>
            <w:r w:rsidRPr="007D3E78">
              <w:rPr>
                <w:rFonts w:eastAsia="Book Antiqua" w:cs="Book Antiqua"/>
                <w:color w:val="000000" w:themeColor="text1"/>
                <w:szCs w:val="24"/>
              </w:rPr>
              <w:t>term RNS figures represented in the bars for the years 2028, 2029, and 2030. Current and forecast energy supply data is only confidential for the current year/year of filing and the two subsequent forecast years. UC Regents must un</w:t>
            </w:r>
            <w:r w:rsidR="00E54574">
              <w:rPr>
                <w:rFonts w:eastAsia="Book Antiqua" w:cs="Book Antiqua"/>
                <w:color w:val="000000" w:themeColor="text1"/>
                <w:szCs w:val="24"/>
              </w:rPr>
              <w:noBreakHyphen/>
            </w:r>
            <w:r w:rsidRPr="007D3E78">
              <w:rPr>
                <w:rFonts w:eastAsia="Book Antiqua" w:cs="Book Antiqua"/>
                <w:color w:val="000000" w:themeColor="text1"/>
                <w:szCs w:val="24"/>
              </w:rPr>
              <w:t>redact these figures.</w:t>
            </w:r>
          </w:p>
        </w:tc>
      </w:tr>
    </w:tbl>
    <w:p w:rsidRPr="00E40D44" w:rsidR="00E40D44" w:rsidP="00F277D4" w:rsidRDefault="00E40D44" w14:paraId="7F729114" w14:textId="347D4B80">
      <w:pPr>
        <w:pStyle w:val="StandardTableSub"/>
      </w:pPr>
    </w:p>
    <w:p w:rsidR="00124420" w:rsidP="00F277D4" w:rsidRDefault="00124420" w14:paraId="53892D0D" w14:textId="122CDF60">
      <w:pPr>
        <w:pStyle w:val="Heading1"/>
      </w:pPr>
      <w:bookmarkStart w:name="_Toc214004390" w:id="149"/>
      <w:r>
        <w:t>Summary of Public Comments</w:t>
      </w:r>
      <w:bookmarkEnd w:id="149"/>
    </w:p>
    <w:p w:rsidRPr="00124420" w:rsidR="00124420" w:rsidP="00124420" w:rsidRDefault="00124420" w14:paraId="169E27CB" w14:textId="5A3CD119">
      <w:pPr>
        <w:pStyle w:val="Standard"/>
      </w:pPr>
      <w:r w:rsidRPr="00124420">
        <w:t>Rule</w:t>
      </w:r>
      <w:r w:rsidR="00E54574">
        <w:t> </w:t>
      </w:r>
      <w:r w:rsidRPr="00124420">
        <w:t>1.18 of the Commission’s Rules of Practice and Procedure (Rules) allows any member of the public to submit written comment in any Commission proceeding using the “Public Comment” tab of the online Docket Card for that proceeding on the Commission’s website. Rule</w:t>
      </w:r>
      <w:r w:rsidR="00E54574">
        <w:t> </w:t>
      </w:r>
      <w:r w:rsidRPr="00124420">
        <w:t>1.18(b) requires that relevant written comment submitted in a proceeding be summarized in the final decision issued in that proceeding. There are no relevant public comments on the Docket Card of this proceeding beyond the party comments mentioned herein.</w:t>
      </w:r>
    </w:p>
    <w:p w:rsidR="005939A5" w:rsidP="00F277D4" w:rsidRDefault="005939A5" w14:paraId="371C8592" w14:textId="6F3B5DC4">
      <w:pPr>
        <w:pStyle w:val="Heading1"/>
      </w:pPr>
      <w:bookmarkStart w:name="_Toc212716186" w:id="150"/>
      <w:bookmarkStart w:name="_Toc214004391" w:id="151"/>
      <w:r>
        <w:t>Comments on Proposed Decision</w:t>
      </w:r>
      <w:bookmarkEnd w:id="31"/>
      <w:bookmarkEnd w:id="150"/>
      <w:bookmarkEnd w:id="151"/>
    </w:p>
    <w:p w:rsidR="005939A5" w:rsidP="00F277D4" w:rsidRDefault="005C58FA" w14:paraId="2D3FA570" w14:textId="56E0C604">
      <w:pPr>
        <w:pStyle w:val="Standard"/>
      </w:pPr>
      <w:r w:rsidRPr="00E64288">
        <w:t xml:space="preserve">The proposed decision of ALJ </w:t>
      </w:r>
      <w:r w:rsidRPr="00E64288" w:rsidR="008B01A4">
        <w:t>Nilgun Atamturk</w:t>
      </w:r>
      <w:r w:rsidR="008B01A4">
        <w:t xml:space="preserve"> </w:t>
      </w:r>
      <w:r>
        <w:t xml:space="preserve">in this matter was mailed to the parties in accordance with </w:t>
      </w:r>
      <w:r w:rsidR="00F81267">
        <w:t>Pub. Util.</w:t>
      </w:r>
      <w:r w:rsidR="0072220F">
        <w:t xml:space="preserve"> Code </w:t>
      </w:r>
      <w:r w:rsidR="009850E3">
        <w:t>Section </w:t>
      </w:r>
      <w:r>
        <w:t xml:space="preserve">311 and comments were allowed under </w:t>
      </w:r>
      <w:r w:rsidR="0072220F">
        <w:t>Rule </w:t>
      </w:r>
      <w:r>
        <w:t>14.3.</w:t>
      </w:r>
      <w:r w:rsidR="0039324D">
        <w:t xml:space="preserve"> </w:t>
      </w:r>
      <w:r>
        <w:t xml:space="preserve">Comments were filed on </w:t>
      </w:r>
      <w:r w:rsidR="006D24FB">
        <w:t>December</w:t>
      </w:r>
      <w:r w:rsidR="00C85273">
        <w:t> </w:t>
      </w:r>
      <w:r w:rsidR="006D24FB">
        <w:t>4, 2025, by Ava Community Energy, PG&amp;E, and San</w:t>
      </w:r>
      <w:r w:rsidR="00C85273">
        <w:t> </w:t>
      </w:r>
      <w:r w:rsidR="006D24FB">
        <w:t>Diego Community Power and Clean Energy Alliance. R</w:t>
      </w:r>
      <w:r>
        <w:t xml:space="preserve">eply comments were filed on </w:t>
      </w:r>
      <w:r w:rsidR="006D24FB">
        <w:t>December</w:t>
      </w:r>
      <w:r w:rsidR="00C85273">
        <w:t> </w:t>
      </w:r>
      <w:r w:rsidR="006D24FB">
        <w:t xml:space="preserve">9, 2025, </w:t>
      </w:r>
      <w:r>
        <w:t xml:space="preserve">by </w:t>
      </w:r>
      <w:r w:rsidR="006D24FB">
        <w:t>the Joint CCAs, PG&amp;E, SCE</w:t>
      </w:r>
      <w:r w:rsidR="00C85273">
        <w:t>,</w:t>
      </w:r>
      <w:r w:rsidR="006D24FB">
        <w:t xml:space="preserve"> and SDG&amp;E</w:t>
      </w:r>
      <w:r w:rsidRPr="00C878D5" w:rsidR="00C878D5">
        <w:t>.</w:t>
      </w:r>
    </w:p>
    <w:p w:rsidR="0033402B" w:rsidP="00F277D4" w:rsidRDefault="0033402B" w14:paraId="06F9B9D0" w14:textId="7E58525A">
      <w:pPr>
        <w:pStyle w:val="Standard"/>
      </w:pPr>
      <w:r>
        <w:t>Pursuant to Rule</w:t>
      </w:r>
      <w:r w:rsidR="00C85273">
        <w:t> </w:t>
      </w:r>
      <w:r>
        <w:t>14.3(c), “[comments shall focus on factual, legal or technical errors in the proposed decision and citing such errors shall make specific references to the record or applicable law. Comments which fail to do so will be accorded no weight.” Pursuant to Rule</w:t>
      </w:r>
      <w:r w:rsidR="00C85273">
        <w:t> </w:t>
      </w:r>
      <w:r>
        <w:t xml:space="preserve">14.3(d), replies to comments “shall </w:t>
      </w:r>
      <w:r>
        <w:lastRenderedPageBreak/>
        <w:t>be limited to identifying misrepresentations of law, fact or condition of the record contained in the comments of other parties.”</w:t>
      </w:r>
    </w:p>
    <w:p w:rsidR="00290FF7" w:rsidP="00290FF7" w:rsidRDefault="0033402B" w14:paraId="2F8F13CF" w14:textId="6282114A">
      <w:pPr>
        <w:pStyle w:val="Standard"/>
      </w:pPr>
      <w:r>
        <w:t>We have carefully reviewed and considered the parties’ comments</w:t>
      </w:r>
      <w:r w:rsidR="00214826">
        <w:t xml:space="preserve"> and replies,</w:t>
      </w:r>
      <w:r>
        <w:t xml:space="preserve"> and</w:t>
      </w:r>
      <w:r w:rsidR="002149A2">
        <w:t xml:space="preserve"> concluded that no </w:t>
      </w:r>
      <w:r w:rsidR="00214826">
        <w:t>party</w:t>
      </w:r>
      <w:r>
        <w:t xml:space="preserve"> raise</w:t>
      </w:r>
      <w:r w:rsidR="002149A2">
        <w:t>d</w:t>
      </w:r>
      <w:r>
        <w:t xml:space="preserve"> any factual, legal, or technical errors that would warrant modifications to the proposed decision.</w:t>
      </w:r>
      <w:r w:rsidR="00557B3F">
        <w:t xml:space="preserve"> The proposed changes concern issues that are outside the scope of this proceeding.</w:t>
      </w:r>
    </w:p>
    <w:p w:rsidRPr="00C45A09" w:rsidR="00C45A09" w:rsidP="00C45A09" w:rsidRDefault="00C45A09" w14:paraId="13F9603A" w14:textId="7A00A119">
      <w:pPr>
        <w:pStyle w:val="Standard"/>
      </w:pPr>
      <w:r w:rsidRPr="00C45A09">
        <w:t>In its comments, PG&amp;E asks the Commission to allow short</w:t>
      </w:r>
      <w:r w:rsidR="00C85273">
        <w:noBreakHyphen/>
      </w:r>
      <w:r w:rsidRPr="00C45A09">
        <w:t>term RPS procurement when it would help lower bundled customer costs. This request stems from issues raised in PG&amp;E’s 2025 ERRA Forecast proceeding. PG&amp;E seeks added flexibility so it can adjust procurement if the Commission assigns a cost to the pre</w:t>
      </w:r>
      <w:r w:rsidR="00C85273">
        <w:noBreakHyphen/>
      </w:r>
      <w:r w:rsidRPr="00C45A09">
        <w:t>2019 RPS bank, maintain compliance and limit cost impacts for bundled customers. The Joint CCAs do not object to PG&amp;E’s request for the authority to procure additional short</w:t>
      </w:r>
      <w:r w:rsidR="00C85273">
        <w:noBreakHyphen/>
      </w:r>
      <w:r w:rsidRPr="00C45A09">
        <w:t>term RPS products, but they object to PG&amp;E’s characterization of the justification for its request and the specific language that PG&amp;E proposes for the relevant findings of fact and conclusions of law.</w:t>
      </w:r>
      <w:r w:rsidRPr="00C45A09">
        <w:rPr>
          <w:vertAlign w:val="superscript"/>
        </w:rPr>
        <w:footnoteReference w:id="119"/>
      </w:r>
    </w:p>
    <w:p w:rsidR="00C45A09" w:rsidP="00290FF7" w:rsidRDefault="00C45A09" w14:paraId="3BF313C1" w14:textId="04374C52">
      <w:pPr>
        <w:pStyle w:val="Standard"/>
      </w:pPr>
      <w:r>
        <w:t>The proposed decision already grants PG&amp;E the authority and flexibility to conduct short</w:t>
      </w:r>
      <w:r w:rsidR="00C85273">
        <w:noBreakHyphen/>
      </w:r>
      <w:r>
        <w:t>term procurement to manage its RPS portfolio.</w:t>
      </w:r>
      <w:r w:rsidR="00FF05E4">
        <w:rPr>
          <w:rStyle w:val="FootnoteReference"/>
        </w:rPr>
        <w:footnoteReference w:id="120"/>
      </w:r>
      <w:r>
        <w:t xml:space="preserve"> Because no party objected to PG&amp;E’s short</w:t>
      </w:r>
      <w:r w:rsidR="00C85273">
        <w:noBreakHyphen/>
      </w:r>
      <w:r>
        <w:t xml:space="preserve">term procurement authority, we decline to address any further justifications or arguments </w:t>
      </w:r>
      <w:r w:rsidR="005E0298">
        <w:t xml:space="preserve">supporting PG&amp;E’s request </w:t>
      </w:r>
      <w:r>
        <w:t>relating to the outcome of another Commission proceeding.</w:t>
      </w:r>
    </w:p>
    <w:p w:rsidRPr="008B01A4" w:rsidR="008C7017" w:rsidP="00F277D4" w:rsidRDefault="00290FF7" w14:paraId="554B7F75" w14:textId="7EA73A2B">
      <w:pPr>
        <w:pStyle w:val="Standard"/>
        <w:rPr>
          <w:highlight w:val="yellow"/>
        </w:rPr>
      </w:pPr>
      <w:r>
        <w:t xml:space="preserve">We have revised the proposed decision to clarify the following: </w:t>
      </w:r>
      <w:r w:rsidR="00C85273">
        <w:t>(</w:t>
      </w:r>
      <w:r>
        <w:t>1)</w:t>
      </w:r>
      <w:r w:rsidR="00C85273">
        <w:t> </w:t>
      </w:r>
      <w:r w:rsidR="00CA0083">
        <w:t>Consistent with D.25</w:t>
      </w:r>
      <w:r w:rsidR="00C85273">
        <w:noBreakHyphen/>
      </w:r>
      <w:r w:rsidR="00CA0083">
        <w:t>12</w:t>
      </w:r>
      <w:r w:rsidR="00C85273">
        <w:noBreakHyphen/>
      </w:r>
      <w:r w:rsidR="00CA0083">
        <w:t xml:space="preserve">008, </w:t>
      </w:r>
      <w:r w:rsidRPr="003900E0" w:rsidR="003900E0">
        <w:t xml:space="preserve">SDG&amp;E’s request for </w:t>
      </w:r>
      <w:r w:rsidR="003900E0">
        <w:t xml:space="preserve">authority </w:t>
      </w:r>
      <w:r w:rsidRPr="003900E0" w:rsidR="003900E0">
        <w:t>to use banked RECs</w:t>
      </w:r>
      <w:r w:rsidR="003900E0">
        <w:t xml:space="preserve"> </w:t>
      </w:r>
      <w:r w:rsidR="00214826">
        <w:t>is granted</w:t>
      </w:r>
      <w:r w:rsidR="006A1F57">
        <w:t>,</w:t>
      </w:r>
      <w:r w:rsidR="00214826">
        <w:t xml:space="preserve"> </w:t>
      </w:r>
      <w:r w:rsidRPr="003900E0" w:rsidR="003900E0">
        <w:t xml:space="preserve">subject to the condition that </w:t>
      </w:r>
      <w:r w:rsidR="003900E0">
        <w:t>SDG&amp;E</w:t>
      </w:r>
      <w:r w:rsidRPr="003900E0" w:rsidR="003900E0">
        <w:t xml:space="preserve"> exhaust RECs banked after </w:t>
      </w:r>
      <w:r w:rsidRPr="003900E0" w:rsidR="003900E0">
        <w:lastRenderedPageBreak/>
        <w:t>2018 before using pre</w:t>
      </w:r>
      <w:r w:rsidR="00C85273">
        <w:noBreakHyphen/>
      </w:r>
      <w:r w:rsidRPr="003900E0" w:rsidR="003900E0">
        <w:t>2019 banked RECs</w:t>
      </w:r>
      <w:r>
        <w:t xml:space="preserve">; </w:t>
      </w:r>
      <w:r w:rsidR="00C85273">
        <w:t>and (</w:t>
      </w:r>
      <w:r>
        <w:t>2)</w:t>
      </w:r>
      <w:r w:rsidR="00C85273">
        <w:t> </w:t>
      </w:r>
      <w:r w:rsidR="00E31C2A">
        <w:t>t</w:t>
      </w:r>
      <w:r>
        <w:t xml:space="preserve">he </w:t>
      </w:r>
      <w:r w:rsidR="00E31C2A">
        <w:t xml:space="preserve">Final </w:t>
      </w:r>
      <w:r>
        <w:t>2025 RPS Plans will go into effect ten days after filing, unless suspended by the Energy Division Director</w:t>
      </w:r>
      <w:r w:rsidRPr="007C2CD6" w:rsidR="007C2CD6">
        <w:t xml:space="preserve"> within the 10</w:t>
      </w:r>
      <w:r w:rsidR="00C85273">
        <w:noBreakHyphen/>
      </w:r>
      <w:r w:rsidRPr="007C2CD6" w:rsidR="007C2CD6">
        <w:t>day period following the filings</w:t>
      </w:r>
      <w:r>
        <w:t>.</w:t>
      </w:r>
    </w:p>
    <w:p w:rsidR="005939A5" w:rsidP="00F277D4" w:rsidRDefault="005939A5" w14:paraId="7DBA8104" w14:textId="77777777">
      <w:pPr>
        <w:pStyle w:val="Heading1"/>
      </w:pPr>
      <w:bookmarkStart w:name="_Toc8123724" w:id="152"/>
      <w:bookmarkStart w:name="_Toc212716187" w:id="153"/>
      <w:bookmarkStart w:name="_Toc214004392" w:id="154"/>
      <w:r>
        <w:t>Assignment of Proceeding</w:t>
      </w:r>
      <w:bookmarkEnd w:id="152"/>
      <w:bookmarkEnd w:id="153"/>
      <w:bookmarkEnd w:id="154"/>
    </w:p>
    <w:p w:rsidR="005939A5" w:rsidP="00F277D4" w:rsidRDefault="002706F7" w14:paraId="76F473A8" w14:textId="5106237C">
      <w:pPr>
        <w:pStyle w:val="Standard"/>
      </w:pPr>
      <w:r>
        <w:t>John Reynolds</w:t>
      </w:r>
      <w:r w:rsidR="005939A5">
        <w:t xml:space="preserve"> is the assigned Commissioner and </w:t>
      </w:r>
      <w:r>
        <w:t>Nilgun Atamturk</w:t>
      </w:r>
      <w:r w:rsidR="000819F4">
        <w:t xml:space="preserve"> and </w:t>
      </w:r>
      <w:r w:rsidR="00B173A5">
        <w:t>Darryl J</w:t>
      </w:r>
      <w:r w:rsidR="000819F4">
        <w:t>. Gruen</w:t>
      </w:r>
      <w:r w:rsidR="005939A5">
        <w:t xml:space="preserve"> </w:t>
      </w:r>
      <w:r w:rsidR="000819F4">
        <w:t>are</w:t>
      </w:r>
      <w:r w:rsidR="005939A5">
        <w:t xml:space="preserve"> the assigned </w:t>
      </w:r>
      <w:r w:rsidR="000C5099">
        <w:t>ALJ</w:t>
      </w:r>
      <w:r w:rsidR="000819F4">
        <w:t>s</w:t>
      </w:r>
      <w:r w:rsidR="005939A5">
        <w:t xml:space="preserve"> in this proceeding.</w:t>
      </w:r>
    </w:p>
    <w:p w:rsidR="005939A5" w:rsidP="00F277D4" w:rsidRDefault="005939A5" w14:paraId="1B05E1F4" w14:textId="77777777">
      <w:pPr>
        <w:pStyle w:val="Dummy"/>
      </w:pPr>
      <w:bookmarkStart w:name="_Toc8123725" w:id="155"/>
      <w:bookmarkStart w:name="_Toc212716188" w:id="156"/>
      <w:bookmarkStart w:name="_Toc214004393" w:id="157"/>
      <w:r>
        <w:t>Findings of Fact</w:t>
      </w:r>
      <w:bookmarkEnd w:id="155"/>
      <w:bookmarkEnd w:id="156"/>
      <w:bookmarkEnd w:id="157"/>
    </w:p>
    <w:p w:rsidRPr="00CE4B84" w:rsidR="00CE4B84" w:rsidP="00F277D4" w:rsidRDefault="00CE4B84" w14:paraId="791A608D" w14:textId="71FA0E52">
      <w:pPr>
        <w:pStyle w:val="FoF"/>
      </w:pPr>
      <w:r w:rsidRPr="00CE4B84">
        <w:t xml:space="preserve">Three IOUs, three SMJUs, 25 CCAs, and 10 ESPs submitted Draft </w:t>
      </w:r>
      <w:r w:rsidR="00950E04">
        <w:t>2025 RPS</w:t>
      </w:r>
      <w:r w:rsidRPr="00CE4B84">
        <w:t xml:space="preserve"> Plans.</w:t>
      </w:r>
    </w:p>
    <w:p w:rsidRPr="001E2A62" w:rsidR="00F62B7A" w:rsidP="00F277D4" w:rsidRDefault="00CE4B84" w14:paraId="4BBA1319" w14:textId="41C7C289">
      <w:pPr>
        <w:pStyle w:val="FoF"/>
      </w:pPr>
      <w:r w:rsidRPr="00CE4B84">
        <w:t xml:space="preserve">All but </w:t>
      </w:r>
      <w:r w:rsidR="001F7654">
        <w:t>two</w:t>
      </w:r>
      <w:r w:rsidRPr="00CE4B84">
        <w:t xml:space="preserve"> retail sellers are forecasted to meet the 65</w:t>
      </w:r>
      <w:r w:rsidR="008C0F68">
        <w:t> percent</w:t>
      </w:r>
      <w:r w:rsidRPr="00CE4B84">
        <w:t xml:space="preserve"> long</w:t>
      </w:r>
      <w:r w:rsidR="00E54574">
        <w:noBreakHyphen/>
      </w:r>
      <w:r w:rsidRPr="00CE4B84">
        <w:t>term contract procurement requirement</w:t>
      </w:r>
      <w:r w:rsidR="001F7654">
        <w:t xml:space="preserve"> in the 2025</w:t>
      </w:r>
      <w:r w:rsidR="00E54574">
        <w:noBreakHyphen/>
      </w:r>
      <w:r w:rsidR="001F7654">
        <w:t>2027 compliance period (</w:t>
      </w:r>
      <w:r w:rsidR="00412BD7">
        <w:t>CP </w:t>
      </w:r>
      <w:r w:rsidR="001F7654">
        <w:t>5)</w:t>
      </w:r>
      <w:r>
        <w:t>.</w:t>
      </w:r>
    </w:p>
    <w:p w:rsidR="008E6AE6" w:rsidP="00F277D4" w:rsidRDefault="006B22B5" w14:paraId="6B17D92F" w14:textId="4668BC1D">
      <w:pPr>
        <w:pStyle w:val="FoF"/>
      </w:pPr>
      <w:r w:rsidRPr="006B22B5">
        <w:t>For 202</w:t>
      </w:r>
      <w:r>
        <w:t>4</w:t>
      </w:r>
      <w:r w:rsidRPr="006B22B5">
        <w:t xml:space="preserve">, the IOUs reported that </w:t>
      </w:r>
      <w:r w:rsidRPr="001F7654">
        <w:t>4</w:t>
      </w:r>
      <w:r w:rsidR="00C954D5">
        <w:t>4</w:t>
      </w:r>
      <w:r w:rsidR="008C0F68">
        <w:t> percent</w:t>
      </w:r>
      <w:r w:rsidRPr="006B22B5">
        <w:t xml:space="preserve"> of PG&amp;E</w:t>
      </w:r>
      <w:r w:rsidR="005A00BE">
        <w:t>’</w:t>
      </w:r>
      <w:r w:rsidRPr="006B22B5">
        <w:t xml:space="preserve">s load, </w:t>
      </w:r>
      <w:r w:rsidRPr="001F7654">
        <w:t>4</w:t>
      </w:r>
      <w:r w:rsidR="00C954D5">
        <w:t>9</w:t>
      </w:r>
      <w:r w:rsidR="008C0F68">
        <w:t> percent</w:t>
      </w:r>
      <w:r w:rsidRPr="006B22B5">
        <w:t xml:space="preserve"> of SCE</w:t>
      </w:r>
      <w:r w:rsidR="005A00BE">
        <w:t>’</w:t>
      </w:r>
      <w:r w:rsidRPr="006B22B5">
        <w:t xml:space="preserve">s load, and </w:t>
      </w:r>
      <w:r w:rsidRPr="001F7654">
        <w:t>4</w:t>
      </w:r>
      <w:r w:rsidR="001F7654">
        <w:t>9.</w:t>
      </w:r>
      <w:r w:rsidR="00780510">
        <w:t>99</w:t>
      </w:r>
      <w:r w:rsidR="008C0F68">
        <w:t> percent</w:t>
      </w:r>
      <w:r w:rsidRPr="006B22B5">
        <w:t xml:space="preserve"> of SDG&amp;E</w:t>
      </w:r>
      <w:r w:rsidR="005A00BE">
        <w:t>’</w:t>
      </w:r>
      <w:r w:rsidRPr="006B22B5">
        <w:t>s load was met by RPS</w:t>
      </w:r>
      <w:r w:rsidR="00E54574">
        <w:noBreakHyphen/>
      </w:r>
      <w:r w:rsidRPr="006B22B5">
        <w:t>eligible resources</w:t>
      </w:r>
      <w:r>
        <w:t>.</w:t>
      </w:r>
    </w:p>
    <w:p w:rsidR="00177FF7" w:rsidP="00F277D4" w:rsidRDefault="00177FF7" w14:paraId="44C5DE27" w14:textId="55736211">
      <w:pPr>
        <w:pStyle w:val="FoF"/>
      </w:pPr>
      <w:r w:rsidRPr="00177FF7">
        <w:t>In D.25</w:t>
      </w:r>
      <w:r w:rsidR="00E54574">
        <w:noBreakHyphen/>
      </w:r>
      <w:r w:rsidRPr="00177FF7">
        <w:t>08</w:t>
      </w:r>
      <w:r w:rsidR="00E54574">
        <w:noBreakHyphen/>
      </w:r>
      <w:r w:rsidRPr="00177FF7">
        <w:t>009, the Commission noted that it may consider the oversight of short</w:t>
      </w:r>
      <w:r w:rsidR="00E54574">
        <w:noBreakHyphen/>
      </w:r>
      <w:r w:rsidRPr="00177FF7">
        <w:t>term transactions, among other procurement transactions, in the new IRP proceeding, the RA proceeding or its successor, or another applicable proceeding</w:t>
      </w:r>
      <w:r>
        <w:t>.</w:t>
      </w:r>
    </w:p>
    <w:p w:rsidR="0019091E" w:rsidP="00F277D4" w:rsidRDefault="0019091E" w14:paraId="73B73D2B" w14:textId="7C942EB1">
      <w:pPr>
        <w:pStyle w:val="FoF"/>
      </w:pPr>
      <w:r w:rsidRPr="0019091E">
        <w:t>The R.25</w:t>
      </w:r>
      <w:r w:rsidR="00E54574">
        <w:noBreakHyphen/>
      </w:r>
      <w:r w:rsidRPr="0019091E">
        <w:t>06</w:t>
      </w:r>
      <w:r w:rsidR="00E54574">
        <w:noBreakHyphen/>
      </w:r>
      <w:r w:rsidRPr="0019091E">
        <w:t xml:space="preserve">019 scoping memo and ruling issued on </w:t>
      </w:r>
      <w:r w:rsidR="00C72383">
        <w:t>October</w:t>
      </w:r>
      <w:r w:rsidR="00E54574">
        <w:t> </w:t>
      </w:r>
      <w:r w:rsidR="00C72383">
        <w:t>28, 2025</w:t>
      </w:r>
      <w:r w:rsidRPr="0019091E">
        <w:t xml:space="preserve"> expressly includes within its scope the review and necessary modifications to the IOU bundled procurement plans, procurement rules and oversight, activities associated with </w:t>
      </w:r>
      <w:r w:rsidR="00F81267">
        <w:t>Pub. Util. Code Section 454</w:t>
      </w:r>
      <w:r w:rsidRPr="0019091E">
        <w:t>.5, and any other issues that materially impact procurement policies, practices, and/or procedures, including proposals for oversight processes for short</w:t>
      </w:r>
      <w:r w:rsidR="00E54574">
        <w:noBreakHyphen/>
      </w:r>
      <w:r w:rsidRPr="0019091E">
        <w:t>term RPS transactions</w:t>
      </w:r>
      <w:r w:rsidR="007E3937">
        <w:t>.</w:t>
      </w:r>
    </w:p>
    <w:p w:rsidR="000306F4" w:rsidP="00F277D4" w:rsidRDefault="000306F4" w14:paraId="7C079C1B" w14:textId="3DD55C9D">
      <w:pPr>
        <w:pStyle w:val="FoF"/>
      </w:pPr>
      <w:r w:rsidRPr="000306F4">
        <w:t>PG&amp;E</w:t>
      </w:r>
      <w:r w:rsidR="005A00BE">
        <w:t>’</w:t>
      </w:r>
      <w:r w:rsidRPr="000306F4">
        <w:t xml:space="preserve">s Draft </w:t>
      </w:r>
      <w:r w:rsidR="00950E04">
        <w:t>2025 RPS</w:t>
      </w:r>
      <w:r w:rsidRPr="000306F4">
        <w:t xml:space="preserve"> Plan contains the required elements in </w:t>
      </w:r>
      <w:r w:rsidR="00F920D3">
        <w:t>Table </w:t>
      </w:r>
      <w:r w:rsidRPr="000306F4">
        <w:t>1 of the 202</w:t>
      </w:r>
      <w:r>
        <w:t>5</w:t>
      </w:r>
      <w:r w:rsidRPr="000306F4">
        <w:t xml:space="preserve"> ACR.</w:t>
      </w:r>
    </w:p>
    <w:p w:rsidR="00C25486" w:rsidP="00F277D4" w:rsidRDefault="007802CB" w14:paraId="44EF0953" w14:textId="5864F6EF">
      <w:pPr>
        <w:pStyle w:val="FoF"/>
      </w:pPr>
      <w:r w:rsidRPr="007802CB">
        <w:lastRenderedPageBreak/>
        <w:t xml:space="preserve">PG&amp;E </w:t>
      </w:r>
      <w:r>
        <w:t>has</w:t>
      </w:r>
      <w:r w:rsidRPr="007802CB">
        <w:t xml:space="preserve"> a sustained physical RPS short position beginning in 2023</w:t>
      </w:r>
      <w:r>
        <w:t>.</w:t>
      </w:r>
    </w:p>
    <w:p w:rsidR="007802CB" w:rsidP="00F277D4" w:rsidRDefault="007802CB" w14:paraId="33D8A68E" w14:textId="79775A0E">
      <w:pPr>
        <w:pStyle w:val="FoF"/>
      </w:pPr>
      <w:r>
        <w:t>Key factors affecting PG&amp;E</w:t>
      </w:r>
      <w:r w:rsidR="005A00BE">
        <w:t>’</w:t>
      </w:r>
      <w:r>
        <w:t xml:space="preserve">s RPS position are VAMO processes, changes in load forecast due to data center load growth, and </w:t>
      </w:r>
      <w:r w:rsidRPr="007802CB">
        <w:t>the reduction of RPS resources that were borrowed to meet GTSR program requirements</w:t>
      </w:r>
      <w:r>
        <w:t>.</w:t>
      </w:r>
    </w:p>
    <w:p w:rsidR="00EC123D" w:rsidP="00F277D4" w:rsidRDefault="00EC123D" w14:paraId="657A9C4A" w14:textId="5F042EBB">
      <w:pPr>
        <w:pStyle w:val="FoF"/>
      </w:pPr>
      <w:r>
        <w:t>U</w:t>
      </w:r>
      <w:r w:rsidRPr="00EC123D">
        <w:t>sing its existing RPS</w:t>
      </w:r>
      <w:r w:rsidR="00E54574">
        <w:noBreakHyphen/>
      </w:r>
      <w:r w:rsidRPr="00EC123D">
        <w:t xml:space="preserve">eligible portfolio as well as banked resources </w:t>
      </w:r>
      <w:r>
        <w:t xml:space="preserve">will help PG&amp;E </w:t>
      </w:r>
      <w:r w:rsidRPr="00EC123D">
        <w:t>meet its RPS compliance needs</w:t>
      </w:r>
      <w:r>
        <w:t xml:space="preserve"> and </w:t>
      </w:r>
      <w:r w:rsidRPr="00EC123D">
        <w:t>support customer affordability</w:t>
      </w:r>
      <w:r>
        <w:t>.</w:t>
      </w:r>
    </w:p>
    <w:p w:rsidR="008A1D87" w:rsidP="00F277D4" w:rsidRDefault="00456D21" w14:paraId="72AF5EC6" w14:textId="0C0E0219">
      <w:pPr>
        <w:pStyle w:val="FoF"/>
      </w:pPr>
      <w:r>
        <w:t>B</w:t>
      </w:r>
      <w:r w:rsidRPr="00456D21">
        <w:t>egin</w:t>
      </w:r>
      <w:r>
        <w:t>ning</w:t>
      </w:r>
      <w:r w:rsidRPr="00456D21">
        <w:t xml:space="preserve"> procurement early</w:t>
      </w:r>
      <w:r w:rsidR="00C72383">
        <w:t>,</w:t>
      </w:r>
      <w:r w:rsidRPr="00456D21">
        <w:t xml:space="preserve"> but in a gradual manner</w:t>
      </w:r>
      <w:r w:rsidR="00C72383">
        <w:t>,</w:t>
      </w:r>
      <w:r w:rsidRPr="00456D21">
        <w:t xml:space="preserve"> </w:t>
      </w:r>
      <w:r>
        <w:t xml:space="preserve">may help PG&amp;E </w:t>
      </w:r>
      <w:r w:rsidRPr="00456D21">
        <w:t>reduce over</w:t>
      </w:r>
      <w:r w:rsidR="00E54574">
        <w:noBreakHyphen/>
      </w:r>
      <w:r w:rsidRPr="00456D21">
        <w:t>procurement risk</w:t>
      </w:r>
      <w:r>
        <w:t>.</w:t>
      </w:r>
    </w:p>
    <w:p w:rsidR="00C25486" w:rsidP="00F277D4" w:rsidRDefault="00C25486" w14:paraId="551C5B42" w14:textId="502F5F18">
      <w:pPr>
        <w:pStyle w:val="FoF"/>
      </w:pPr>
      <w:r w:rsidRPr="00C25486">
        <w:t>Because data center load growth may accelerate demand, and federal policy changes raise costs and complicate project development, begin</w:t>
      </w:r>
      <w:r w:rsidR="007E3937">
        <w:t>ning to</w:t>
      </w:r>
      <w:r w:rsidRPr="00C25486">
        <w:t xml:space="preserve"> procure </w:t>
      </w:r>
      <w:r w:rsidR="007E3937">
        <w:t>in this planning cycle</w:t>
      </w:r>
      <w:r w:rsidRPr="00C25486">
        <w:t xml:space="preserve"> </w:t>
      </w:r>
      <w:r w:rsidR="007E3937">
        <w:t>may</w:t>
      </w:r>
      <w:r w:rsidRPr="00C25486">
        <w:t xml:space="preserve"> reduce risks </w:t>
      </w:r>
      <w:r w:rsidR="007E3937">
        <w:t>for PG&amp;E</w:t>
      </w:r>
      <w:r w:rsidR="005A00BE">
        <w:t>’</w:t>
      </w:r>
      <w:r w:rsidR="007E3937">
        <w:t xml:space="preserve">s portfolio </w:t>
      </w:r>
      <w:r w:rsidRPr="00C25486">
        <w:t>related to cost, development, regulatory changes and compliance</w:t>
      </w:r>
      <w:r>
        <w:t>.</w:t>
      </w:r>
    </w:p>
    <w:p w:rsidR="008A1D87" w:rsidP="00F277D4" w:rsidRDefault="003E610E" w14:paraId="72B310CE" w14:textId="36257585">
      <w:pPr>
        <w:pStyle w:val="FoF"/>
      </w:pPr>
      <w:r>
        <w:t xml:space="preserve">While </w:t>
      </w:r>
      <w:r w:rsidRPr="00C25486" w:rsidR="00C25486">
        <w:t>short</w:t>
      </w:r>
      <w:r w:rsidR="00E54574">
        <w:noBreakHyphen/>
      </w:r>
      <w:r w:rsidRPr="00C25486" w:rsidR="00C25486">
        <w:t>term purchases help PG&amp;E fill near</w:t>
      </w:r>
      <w:r w:rsidR="00E54574">
        <w:noBreakHyphen/>
      </w:r>
      <w:r w:rsidRPr="00C25486" w:rsidR="00C25486">
        <w:t>term RNS gaps, long</w:t>
      </w:r>
      <w:r w:rsidR="00E54574">
        <w:noBreakHyphen/>
      </w:r>
      <w:r w:rsidRPr="00C25486" w:rsidR="00C25486">
        <w:t xml:space="preserve">term contracts </w:t>
      </w:r>
      <w:r w:rsidR="00CD70BD">
        <w:t xml:space="preserve">could </w:t>
      </w:r>
      <w:r w:rsidRPr="00C25486" w:rsidR="00CD70BD">
        <w:t>provide</w:t>
      </w:r>
      <w:r w:rsidRPr="00C25486" w:rsidR="00C25486">
        <w:t xml:space="preserve"> stability and help meet state</w:t>
      </w:r>
      <w:r w:rsidR="005A00BE">
        <w:t>’</w:t>
      </w:r>
      <w:r w:rsidRPr="00C25486" w:rsidR="00C25486">
        <w:t>s long</w:t>
      </w:r>
      <w:r w:rsidR="00E54574">
        <w:noBreakHyphen/>
      </w:r>
      <w:r w:rsidRPr="00C25486" w:rsidR="00C25486">
        <w:t xml:space="preserve">term </w:t>
      </w:r>
      <w:r w:rsidRPr="00C25486" w:rsidR="003A142D">
        <w:t>contracting</w:t>
      </w:r>
      <w:r w:rsidRPr="00C25486" w:rsidR="00C25486">
        <w:t xml:space="preserve"> requirements under </w:t>
      </w:r>
      <w:r w:rsidR="00F139CD">
        <w:t>SB </w:t>
      </w:r>
      <w:r w:rsidRPr="00C25486" w:rsidR="00C25486">
        <w:t>350.</w:t>
      </w:r>
    </w:p>
    <w:p w:rsidR="00C25486" w:rsidP="00F277D4" w:rsidRDefault="00C25486" w14:paraId="542B1C1D" w14:textId="73D09DA0">
      <w:pPr>
        <w:pStyle w:val="FoF"/>
      </w:pPr>
      <w:r w:rsidRPr="00C25486">
        <w:t xml:space="preserve">Combining </w:t>
      </w:r>
      <w:r w:rsidR="00C511B3">
        <w:t xml:space="preserve">transactions of </w:t>
      </w:r>
      <w:r w:rsidRPr="00C25486">
        <w:t>both short</w:t>
      </w:r>
      <w:r w:rsidR="00E54574">
        <w:noBreakHyphen/>
      </w:r>
      <w:r w:rsidRPr="00C25486">
        <w:t>term and long</w:t>
      </w:r>
      <w:r w:rsidR="00E54574">
        <w:noBreakHyphen/>
      </w:r>
      <w:r w:rsidRPr="00C25486">
        <w:t xml:space="preserve">term </w:t>
      </w:r>
      <w:r w:rsidR="00C511B3">
        <w:t>RPS</w:t>
      </w:r>
      <w:r w:rsidR="00E54574">
        <w:noBreakHyphen/>
      </w:r>
      <w:r w:rsidR="00C511B3">
        <w:t xml:space="preserve">eligible </w:t>
      </w:r>
      <w:r w:rsidRPr="00C25486" w:rsidR="003A142D">
        <w:t>products</w:t>
      </w:r>
      <w:r w:rsidRPr="00C25486">
        <w:t xml:space="preserve"> allows the IOUs</w:t>
      </w:r>
      <w:r w:rsidR="00C72383">
        <w:t xml:space="preserve"> to</w:t>
      </w:r>
      <w:r w:rsidRPr="00C25486">
        <w:t xml:space="preserve"> balance resource types, terms</w:t>
      </w:r>
      <w:r w:rsidR="00C72383">
        <w:t>,</w:t>
      </w:r>
      <w:r w:rsidRPr="00C25486">
        <w:t xml:space="preserve"> and risk exposures.</w:t>
      </w:r>
    </w:p>
    <w:p w:rsidR="00C25486" w:rsidP="00F277D4" w:rsidRDefault="00C25486" w14:paraId="07D2089B" w14:textId="4746E7E9">
      <w:pPr>
        <w:pStyle w:val="FoF"/>
      </w:pPr>
      <w:r w:rsidRPr="00C25486">
        <w:t>Pursuing contract amendments related to but not limited to contract price reductions, extension of contract terms, increased buyer curtailment flexibility, and repowers of existing facilities and/or upgrades of existing facility equipment may provide value to PG&amp;E</w:t>
      </w:r>
      <w:r w:rsidR="005A00BE">
        <w:t>’</w:t>
      </w:r>
      <w:r w:rsidRPr="00C25486">
        <w:t>s customers</w:t>
      </w:r>
      <w:r>
        <w:t>.</w:t>
      </w:r>
    </w:p>
    <w:p w:rsidR="00C25486" w:rsidP="00F277D4" w:rsidRDefault="00C25486" w14:paraId="017828DC" w14:textId="569B09EB">
      <w:pPr>
        <w:pStyle w:val="FoF"/>
      </w:pPr>
      <w:r>
        <w:t>Bilateral negotiations</w:t>
      </w:r>
      <w:r w:rsidRPr="00C25486">
        <w:t xml:space="preserve"> may allow PG&amp;E to transact swiftly</w:t>
      </w:r>
      <w:r w:rsidR="0010191F">
        <w:t xml:space="preserve"> and take advantage of opportunities to optimize its portfolio</w:t>
      </w:r>
      <w:r>
        <w:t>.</w:t>
      </w:r>
    </w:p>
    <w:p w:rsidR="00C25486" w:rsidP="00F277D4" w:rsidRDefault="00C25486" w14:paraId="5ED1C21F" w14:textId="2F844605">
      <w:pPr>
        <w:pStyle w:val="FoF"/>
      </w:pPr>
      <w:r w:rsidRPr="00C25486">
        <w:t xml:space="preserve">Extending the authority to transact bundled </w:t>
      </w:r>
      <w:r w:rsidR="00681A89">
        <w:t xml:space="preserve">and unbundled </w:t>
      </w:r>
      <w:r w:rsidRPr="00C25486">
        <w:t>RPS sales for less than five years forward provides PG&amp;E flexibility</w:t>
      </w:r>
      <w:r w:rsidR="00681A89">
        <w:t xml:space="preserve"> to manage its portfolio</w:t>
      </w:r>
      <w:r>
        <w:t>.</w:t>
      </w:r>
    </w:p>
    <w:p w:rsidR="00C25486" w:rsidP="00F277D4" w:rsidRDefault="004D34B2" w14:paraId="7C90846D" w14:textId="18417251">
      <w:pPr>
        <w:pStyle w:val="FoF"/>
      </w:pPr>
      <w:r w:rsidRPr="004D34B2">
        <w:lastRenderedPageBreak/>
        <w:t>Participating in other market participants</w:t>
      </w:r>
      <w:r w:rsidR="005A00BE">
        <w:t>’</w:t>
      </w:r>
      <w:r w:rsidRPr="004D34B2">
        <w:t xml:space="preserve"> competitive solicitations may maximize value for PG&amp;E</w:t>
      </w:r>
      <w:r w:rsidR="005A00BE">
        <w:t>’</w:t>
      </w:r>
      <w:r w:rsidRPr="004D34B2">
        <w:t>s customers</w:t>
      </w:r>
      <w:r>
        <w:t>.</w:t>
      </w:r>
    </w:p>
    <w:p w:rsidR="004D34B2" w:rsidP="00F277D4" w:rsidRDefault="004D34B2" w14:paraId="7DC5F7B5" w14:textId="6FA4E51E">
      <w:pPr>
        <w:pStyle w:val="FoF"/>
      </w:pPr>
      <w:r>
        <w:t>Being able to transact via brokers and exchanges may provide PG&amp;E flexibility</w:t>
      </w:r>
      <w:r w:rsidR="00681A89">
        <w:t xml:space="preserve"> to manage its portfolio</w:t>
      </w:r>
      <w:r>
        <w:t>.</w:t>
      </w:r>
    </w:p>
    <w:p w:rsidR="00C25486" w:rsidP="00F277D4" w:rsidRDefault="004D34B2" w14:paraId="32854A53" w14:textId="0A13265C">
      <w:pPr>
        <w:pStyle w:val="FoF"/>
      </w:pPr>
      <w:r>
        <w:t xml:space="preserve">The ability to retire RECs for LCFS credits will provide flexibility </w:t>
      </w:r>
      <w:r w:rsidR="00C511B3">
        <w:t xml:space="preserve">and </w:t>
      </w:r>
      <w:r w:rsidRPr="00C511B3" w:rsidR="00C511B3">
        <w:t>demonstrate that PG&amp;E is utilizing zero carbon</w:t>
      </w:r>
      <w:r w:rsidR="00E54574">
        <w:noBreakHyphen/>
      </w:r>
      <w:r w:rsidRPr="00C511B3" w:rsidR="00C511B3">
        <w:t>intensity electricity for EV charging</w:t>
      </w:r>
      <w:r w:rsidR="00C511B3">
        <w:t>.</w:t>
      </w:r>
    </w:p>
    <w:p w:rsidR="002438DC" w:rsidP="00F277D4" w:rsidRDefault="002438DC" w14:paraId="54FE0EA0" w14:textId="4C6DBC88">
      <w:pPr>
        <w:pStyle w:val="FoF"/>
      </w:pPr>
      <w:r w:rsidRPr="002438DC">
        <w:t>PG&amp;E</w:t>
      </w:r>
      <w:r w:rsidR="005A00BE">
        <w:t>’</w:t>
      </w:r>
      <w:r w:rsidRPr="002438DC">
        <w:t xml:space="preserve">s Draft </w:t>
      </w:r>
      <w:r w:rsidR="00950E04">
        <w:t>2025 RPS</w:t>
      </w:r>
      <w:r w:rsidRPr="002438DC">
        <w:t xml:space="preserve"> Plan meets the requirements of the 2025 ACR except for the</w:t>
      </w:r>
      <w:r w:rsidR="000B770E">
        <w:t xml:space="preserve"> </w:t>
      </w:r>
      <w:r w:rsidRPr="002438DC">
        <w:t xml:space="preserve">inconsistency </w:t>
      </w:r>
      <w:r w:rsidR="000B770E">
        <w:t>identified in</w:t>
      </w:r>
      <w:r w:rsidRPr="002438DC">
        <w:t xml:space="preserve"> </w:t>
      </w:r>
      <w:r w:rsidR="009850E3">
        <w:t>Section </w:t>
      </w:r>
      <w:r w:rsidRPr="002438DC">
        <w:t>V</w:t>
      </w:r>
      <w:r w:rsidR="00BC2231">
        <w:t xml:space="preserve"> (</w:t>
      </w:r>
      <w:r w:rsidRPr="002438DC">
        <w:t>Project Development Status Update</w:t>
      </w:r>
      <w:r w:rsidR="00BC2231">
        <w:t>)</w:t>
      </w:r>
      <w:r w:rsidRPr="002438DC">
        <w:t xml:space="preserve"> of its Plan.</w:t>
      </w:r>
    </w:p>
    <w:p w:rsidR="005A6099" w:rsidP="00F277D4" w:rsidRDefault="005A6099" w14:paraId="795778E0" w14:textId="54AAA61D">
      <w:pPr>
        <w:pStyle w:val="FoF"/>
      </w:pPr>
      <w:r>
        <w:t>SCE</w:t>
      </w:r>
      <w:r w:rsidR="005A00BE">
        <w:t>’</w:t>
      </w:r>
      <w:r>
        <w:t xml:space="preserve">s Updated Draft </w:t>
      </w:r>
      <w:r w:rsidR="00950E04">
        <w:t>2025 RPS</w:t>
      </w:r>
      <w:r>
        <w:t xml:space="preserve"> Plan contains each of the elements required in </w:t>
      </w:r>
      <w:r w:rsidR="00F920D3">
        <w:t>Table </w:t>
      </w:r>
      <w:r>
        <w:t>1 of the 202</w:t>
      </w:r>
      <w:r w:rsidR="00E330BD">
        <w:t>5</w:t>
      </w:r>
      <w:r>
        <w:t xml:space="preserve"> ACR.</w:t>
      </w:r>
    </w:p>
    <w:p w:rsidR="005A6099" w:rsidP="00F277D4" w:rsidRDefault="005A6099" w14:paraId="33249335" w14:textId="4689DF88">
      <w:pPr>
        <w:pStyle w:val="FoF"/>
      </w:pPr>
      <w:r w:rsidRPr="005A6099">
        <w:t>SCE forecasts a need for additional RPS</w:t>
      </w:r>
      <w:r w:rsidR="00E54574">
        <w:noBreakHyphen/>
      </w:r>
      <w:r w:rsidRPr="005A6099">
        <w:t xml:space="preserve">eligible resources to meet its RPS </w:t>
      </w:r>
      <w:r w:rsidR="00412BD7">
        <w:t>CP </w:t>
      </w:r>
      <w:r w:rsidRPr="005A6099">
        <w:t>6 requirements</w:t>
      </w:r>
      <w:r>
        <w:t>.</w:t>
      </w:r>
    </w:p>
    <w:p w:rsidR="005A6099" w:rsidP="00F277D4" w:rsidRDefault="005A6099" w14:paraId="052C65F7" w14:textId="79D7AD74">
      <w:pPr>
        <w:pStyle w:val="FoF"/>
      </w:pPr>
      <w:r w:rsidRPr="005A6099">
        <w:t>According to SCE</w:t>
      </w:r>
      <w:r w:rsidR="005A00BE">
        <w:t>’</w:t>
      </w:r>
      <w:r w:rsidRPr="005A6099">
        <w:t>s deterministic analysis, SCE will need to procure 17,748</w:t>
      </w:r>
      <w:r w:rsidR="006446E7">
        <w:t> GWh</w:t>
      </w:r>
      <w:r w:rsidRPr="005A6099">
        <w:t xml:space="preserve"> by the end of </w:t>
      </w:r>
      <w:r w:rsidR="00412BD7">
        <w:t>CP </w:t>
      </w:r>
      <w:r w:rsidRPr="005A6099">
        <w:t xml:space="preserve">6 to meet its </w:t>
      </w:r>
      <w:r w:rsidR="00412BD7">
        <w:t>CP </w:t>
      </w:r>
      <w:r w:rsidRPr="005A6099">
        <w:t>6 RPS compliance requirements</w:t>
      </w:r>
      <w:r>
        <w:t>.</w:t>
      </w:r>
    </w:p>
    <w:p w:rsidR="001C60FB" w:rsidP="00F277D4" w:rsidRDefault="001C60FB" w14:paraId="772A0272" w14:textId="07266B96">
      <w:pPr>
        <w:pStyle w:val="FoF"/>
      </w:pPr>
      <w:r w:rsidRPr="001C60FB">
        <w:t>If uncertainty is accounted for, SCE may need to procure up to 29,400 GWh of additional RPS eligible new and existing resources to meet its CP</w:t>
      </w:r>
      <w:r w:rsidR="00E54574">
        <w:t> </w:t>
      </w:r>
      <w:r w:rsidRPr="001C60FB">
        <w:t>6 RPS requirements</w:t>
      </w:r>
    </w:p>
    <w:p w:rsidR="005A6099" w:rsidP="00F277D4" w:rsidRDefault="005A6099" w14:paraId="459E5165" w14:textId="14F62BC7">
      <w:pPr>
        <w:pStyle w:val="FoF"/>
      </w:pPr>
      <w:r w:rsidRPr="005A6099">
        <w:t>The key factor affecting SCE</w:t>
      </w:r>
      <w:r w:rsidR="005A00BE">
        <w:t>’</w:t>
      </w:r>
      <w:r w:rsidRPr="005A6099">
        <w:t>s RPS position is the change in annual energy demand</w:t>
      </w:r>
      <w:r>
        <w:t xml:space="preserve"> driven by </w:t>
      </w:r>
      <w:r w:rsidRPr="005A6099">
        <w:t>data center load and lower solar PV generation due to updated behind</w:t>
      </w:r>
      <w:r w:rsidR="00E54574">
        <w:noBreakHyphen/>
      </w:r>
      <w:r w:rsidRPr="005A6099">
        <w:t>the</w:t>
      </w:r>
      <w:r w:rsidR="00E54574">
        <w:noBreakHyphen/>
      </w:r>
      <w:r w:rsidRPr="005A6099">
        <w:t>meter cost estimates, and the City of Huntington Beach reverting to bundled service with SCE</w:t>
      </w:r>
      <w:r>
        <w:t>.</w:t>
      </w:r>
    </w:p>
    <w:p w:rsidR="00073F08" w:rsidP="00A55A63" w:rsidRDefault="005A6099" w14:paraId="6FDF3D77" w14:textId="76969892">
      <w:pPr>
        <w:pStyle w:val="FoF"/>
      </w:pPr>
      <w:r>
        <w:t xml:space="preserve">SCE needs flexibility to purchase </w:t>
      </w:r>
      <w:r w:rsidR="00521801">
        <w:t>PCC </w:t>
      </w:r>
      <w:r>
        <w:t xml:space="preserve">1, </w:t>
      </w:r>
      <w:r w:rsidR="00521801">
        <w:t>PCC </w:t>
      </w:r>
      <w:r>
        <w:t xml:space="preserve">2, and </w:t>
      </w:r>
      <w:r w:rsidR="00521801">
        <w:t>PCC </w:t>
      </w:r>
      <w:r>
        <w:t xml:space="preserve">3 RECs to ensure continued compliance with RPS requirements in </w:t>
      </w:r>
      <w:r w:rsidR="00412BD7">
        <w:t>CP </w:t>
      </w:r>
      <w:r>
        <w:t xml:space="preserve">5 and help meet the requirements for </w:t>
      </w:r>
      <w:r w:rsidR="00412BD7">
        <w:t>CP </w:t>
      </w:r>
      <w:r>
        <w:t>6.</w:t>
      </w:r>
    </w:p>
    <w:p w:rsidR="005A6099" w:rsidP="00F277D4" w:rsidRDefault="00521801" w14:paraId="431E63DD" w14:textId="59F89362">
      <w:pPr>
        <w:pStyle w:val="FoF"/>
      </w:pPr>
      <w:r>
        <w:lastRenderedPageBreak/>
        <w:t>PCC </w:t>
      </w:r>
      <w:r w:rsidR="005A6099">
        <w:t xml:space="preserve">1, </w:t>
      </w:r>
      <w:r>
        <w:t>PCC </w:t>
      </w:r>
      <w:r w:rsidR="005A6099">
        <w:t xml:space="preserve">2, and </w:t>
      </w:r>
      <w:r>
        <w:t>PCC </w:t>
      </w:r>
      <w:r w:rsidR="005A6099">
        <w:t>3 RECs sales will allow SCE to continue optimizing its portfolio.</w:t>
      </w:r>
    </w:p>
    <w:p w:rsidR="00073F08" w:rsidP="00F277D4" w:rsidRDefault="00073F08" w14:paraId="537343C0" w14:textId="52F9BF14">
      <w:pPr>
        <w:pStyle w:val="FoF"/>
      </w:pPr>
      <w:r>
        <w:t xml:space="preserve">SCE submitted changes to </w:t>
      </w:r>
      <w:r w:rsidRPr="00073F08">
        <w:t>its procurement protocols for new resources and existing resources, REC transaction protocols as the basis for all its REC transactions for short</w:t>
      </w:r>
      <w:r w:rsidR="00E54574">
        <w:noBreakHyphen/>
      </w:r>
      <w:r w:rsidRPr="00073F08">
        <w:t>term and long</w:t>
      </w:r>
      <w:r w:rsidR="00E54574">
        <w:noBreakHyphen/>
      </w:r>
      <w:r w:rsidRPr="00073F08">
        <w:t>term purchases and sales, and LCBF evaluation criteria, including consideration of workforce development and disadvantaged communities</w:t>
      </w:r>
      <w:r>
        <w:t>.</w:t>
      </w:r>
    </w:p>
    <w:p w:rsidR="004E03D1" w:rsidP="00F277D4" w:rsidRDefault="005A6099" w14:paraId="48AB8D9F" w14:textId="4ED01570">
      <w:pPr>
        <w:pStyle w:val="FoF"/>
      </w:pPr>
      <w:r>
        <w:t>SCE submitted changes to the 202</w:t>
      </w:r>
      <w:r w:rsidR="00073F08">
        <w:t>5</w:t>
      </w:r>
      <w:r>
        <w:t xml:space="preserve"> Pro Forma Renewable PPA</w:t>
      </w:r>
      <w:r w:rsidR="00073F08">
        <w:t xml:space="preserve">, </w:t>
      </w:r>
      <w:r w:rsidRPr="00073F08" w:rsidR="00073F08">
        <w:t xml:space="preserve">Pro Forma </w:t>
      </w:r>
      <w:r w:rsidR="00521801">
        <w:t>PCC </w:t>
      </w:r>
      <w:r w:rsidRPr="00073F08" w:rsidR="00073F08">
        <w:t>1 REC Agreement</w:t>
      </w:r>
      <w:r w:rsidR="00073F08">
        <w:t>,</w:t>
      </w:r>
      <w:r w:rsidRPr="00073F08" w:rsidR="00073F08">
        <w:t xml:space="preserve"> and Pro Forma </w:t>
      </w:r>
      <w:r w:rsidR="00521801">
        <w:t>PCC </w:t>
      </w:r>
      <w:r w:rsidRPr="00073F08" w:rsidR="00073F08">
        <w:t xml:space="preserve">3 REC Agreement </w:t>
      </w:r>
      <w:r>
        <w:t>to</w:t>
      </w:r>
      <w:r w:rsidR="00073F08">
        <w:t xml:space="preserve"> harmonize language among different versions</w:t>
      </w:r>
      <w:r w:rsidR="000B5C26">
        <w:t xml:space="preserve"> or implement minor changes</w:t>
      </w:r>
      <w:r w:rsidR="00073F08">
        <w:t>.</w:t>
      </w:r>
    </w:p>
    <w:p w:rsidR="006505A3" w:rsidP="00F277D4" w:rsidRDefault="00991C2F" w14:paraId="536EDC58" w14:textId="5478BA17">
      <w:pPr>
        <w:pStyle w:val="FoF"/>
      </w:pPr>
      <w:r>
        <w:t>C</w:t>
      </w:r>
      <w:r w:rsidRPr="006505A3" w:rsidR="006505A3">
        <w:t>ustomer participation in SCE</w:t>
      </w:r>
      <w:r w:rsidR="005A00BE">
        <w:t>’</w:t>
      </w:r>
      <w:r w:rsidRPr="006505A3" w:rsidR="006505A3">
        <w:t>s LCFS</w:t>
      </w:r>
      <w:r w:rsidR="00E54574">
        <w:noBreakHyphen/>
      </w:r>
      <w:r w:rsidRPr="006505A3" w:rsidR="006505A3">
        <w:t xml:space="preserve">funded programs </w:t>
      </w:r>
      <w:r>
        <w:t>is expected to</w:t>
      </w:r>
      <w:r w:rsidRPr="006505A3" w:rsidR="006505A3">
        <w:t xml:space="preserve"> increase over time as EV adoption increases and SCE</w:t>
      </w:r>
      <w:r w:rsidR="005A00BE">
        <w:t>’</w:t>
      </w:r>
      <w:r w:rsidRPr="006505A3" w:rsidR="006505A3">
        <w:t>s program operations mature.</w:t>
      </w:r>
    </w:p>
    <w:p w:rsidR="008A1D87" w:rsidP="00F277D4" w:rsidRDefault="00DC618B" w14:paraId="3ED5489F" w14:textId="6DB6D250">
      <w:pPr>
        <w:pStyle w:val="FoF"/>
      </w:pPr>
      <w:r>
        <w:t>There are no deficiencies in SCE</w:t>
      </w:r>
      <w:r w:rsidR="005A00BE">
        <w:t>’</w:t>
      </w:r>
      <w:r>
        <w:t xml:space="preserve">s Draft </w:t>
      </w:r>
      <w:r w:rsidR="00950E04">
        <w:t>2025 RPS</w:t>
      </w:r>
      <w:r>
        <w:t xml:space="preserve"> Plan.</w:t>
      </w:r>
    </w:p>
    <w:p w:rsidR="00FE0902" w:rsidP="00F277D4" w:rsidRDefault="00FE0902" w14:paraId="4454590F" w14:textId="23BD22BA">
      <w:pPr>
        <w:pStyle w:val="FoF"/>
      </w:pPr>
      <w:r w:rsidRPr="00FE0902">
        <w:t>SDG&amp;E</w:t>
      </w:r>
      <w:r w:rsidR="005A00BE">
        <w:t>’</w:t>
      </w:r>
      <w:r w:rsidRPr="00FE0902">
        <w:t xml:space="preserve">s Draft </w:t>
      </w:r>
      <w:r w:rsidR="00950E04">
        <w:t>2025 RPS</w:t>
      </w:r>
      <w:r w:rsidRPr="00FE0902">
        <w:t xml:space="preserve"> Plan contains the required elements </w:t>
      </w:r>
      <w:r w:rsidR="002E2587">
        <w:t xml:space="preserve">of the 2025 ACR except for the deficiencies identified in </w:t>
      </w:r>
      <w:r w:rsidR="009850E3">
        <w:t>Section </w:t>
      </w:r>
      <w:r w:rsidR="005B26B2">
        <w:t>6</w:t>
      </w:r>
      <w:r w:rsidR="002E2587">
        <w:t>.4.7 of this decision.</w:t>
      </w:r>
    </w:p>
    <w:p w:rsidR="004D5266" w:rsidP="00F277D4" w:rsidRDefault="004D5266" w14:paraId="3181EFEE" w14:textId="17C8D3DC">
      <w:pPr>
        <w:pStyle w:val="FoF"/>
      </w:pPr>
      <w:r>
        <w:t>L</w:t>
      </w:r>
      <w:r w:rsidRPr="00683599" w:rsidR="00683599">
        <w:t>oad departure commencing in 2021 and the VAMO process commencing in 2023 led to significant changes in SDG&amp;E</w:t>
      </w:r>
      <w:r w:rsidR="005A00BE">
        <w:t>’</w:t>
      </w:r>
      <w:r w:rsidRPr="00683599" w:rsidR="00683599">
        <w:t>s RPS portfolio</w:t>
      </w:r>
      <w:r>
        <w:t>.</w:t>
      </w:r>
    </w:p>
    <w:p w:rsidR="00E5394B" w:rsidP="00F277D4" w:rsidRDefault="00683599" w14:paraId="5619C6A6" w14:textId="77777777">
      <w:pPr>
        <w:pStyle w:val="FoF"/>
      </w:pPr>
      <w:r w:rsidRPr="00683599">
        <w:t>SDG&amp;E anticipates that its RPS position will fall short beginning in the current compliance period.</w:t>
      </w:r>
    </w:p>
    <w:p w:rsidR="00FE0902" w:rsidP="00F277D4" w:rsidRDefault="00FE0902" w14:paraId="4C94365C" w14:textId="1691C842">
      <w:pPr>
        <w:pStyle w:val="FoF"/>
      </w:pPr>
      <w:r>
        <w:t>Using banked RECs may help SDG&amp;E meet its RPS compliance requirements</w:t>
      </w:r>
      <w:r w:rsidR="009612F2">
        <w:t xml:space="preserve"> in a cost</w:t>
      </w:r>
      <w:r w:rsidR="00E54574">
        <w:noBreakHyphen/>
      </w:r>
      <w:r w:rsidR="009612F2">
        <w:t>effective manner</w:t>
      </w:r>
      <w:r>
        <w:t>.</w:t>
      </w:r>
    </w:p>
    <w:p w:rsidR="009612F2" w:rsidP="00F277D4" w:rsidRDefault="009612F2" w14:paraId="13F6A624" w14:textId="286112A3">
      <w:pPr>
        <w:pStyle w:val="FoF"/>
      </w:pPr>
      <w:r w:rsidRPr="009612F2">
        <w:t>REC purchases from new or existing resources, either through short</w:t>
      </w:r>
      <w:r w:rsidR="00E54574">
        <w:noBreakHyphen/>
      </w:r>
      <w:r w:rsidRPr="009612F2">
        <w:t>term or long</w:t>
      </w:r>
      <w:r w:rsidR="00E54574">
        <w:noBreakHyphen/>
      </w:r>
      <w:r w:rsidRPr="009612F2">
        <w:t>term contracts</w:t>
      </w:r>
      <w:r w:rsidR="00C72383">
        <w:t>,</w:t>
      </w:r>
      <w:r>
        <w:t xml:space="preserve"> may be beneficial to SDG&amp;E by providing flexibility to meet its portfolio needs in a cost</w:t>
      </w:r>
      <w:r w:rsidR="00E54574">
        <w:noBreakHyphen/>
      </w:r>
      <w:r>
        <w:t>effective manner.</w:t>
      </w:r>
    </w:p>
    <w:p w:rsidR="00FE0902" w:rsidP="00F277D4" w:rsidRDefault="00FE0902" w14:paraId="445C5C35" w14:textId="20BD76E4">
      <w:pPr>
        <w:pStyle w:val="FoF"/>
      </w:pPr>
      <w:r>
        <w:lastRenderedPageBreak/>
        <w:t>Selling RPS volumes not allocated to VAMO process and not used for RPS compliance may promote affordability for SDG&amp;E</w:t>
      </w:r>
      <w:r w:rsidR="005A00BE">
        <w:t>’</w:t>
      </w:r>
      <w:r>
        <w:t>s customers.</w:t>
      </w:r>
    </w:p>
    <w:p w:rsidR="009612F2" w:rsidP="00F277D4" w:rsidRDefault="009612F2" w14:paraId="328C24CA" w14:textId="5F0586EE">
      <w:pPr>
        <w:pStyle w:val="FoF"/>
      </w:pPr>
      <w:r>
        <w:t>Having f</w:t>
      </w:r>
      <w:r w:rsidRPr="009612F2">
        <w:t>lexibility to manage its RPS portfolio by conducting short</w:t>
      </w:r>
      <w:r w:rsidR="00E54574">
        <w:noBreakHyphen/>
      </w:r>
      <w:r w:rsidRPr="009612F2">
        <w:t>term REC sales, and both short</w:t>
      </w:r>
      <w:r w:rsidR="00E54574">
        <w:noBreakHyphen/>
      </w:r>
      <w:r w:rsidRPr="009612F2">
        <w:t>term and long</w:t>
      </w:r>
      <w:r w:rsidR="00E54574">
        <w:noBreakHyphen/>
      </w:r>
      <w:r w:rsidRPr="009612F2">
        <w:t>term RPS procurement in the same year would enable SDG&amp;E to meet compliance obligations, respond to increasing market competition, adapt to changing market conditions, and pursue the most cost</w:t>
      </w:r>
      <w:r w:rsidR="00E54574">
        <w:noBreakHyphen/>
      </w:r>
      <w:r w:rsidRPr="009612F2">
        <w:t>effective options for its bundled customers</w:t>
      </w:r>
      <w:r>
        <w:t>.</w:t>
      </w:r>
    </w:p>
    <w:p w:rsidR="008A1D87" w:rsidP="00F277D4" w:rsidRDefault="004D5266" w14:paraId="6BA5B36B" w14:textId="77777777">
      <w:pPr>
        <w:pStyle w:val="FoF"/>
      </w:pPr>
      <w:r>
        <w:t>Allowing SDG&amp;E to procure or sell RECs through participating in RFOs will provide SDG&amp;E flexibility in meeting its RPS obligations.</w:t>
      </w:r>
    </w:p>
    <w:p w:rsidRPr="000306F4" w:rsidR="002A45BB" w:rsidP="00F277D4" w:rsidRDefault="002A45BB" w14:paraId="110CCD00" w14:textId="0A90E4BD">
      <w:pPr>
        <w:pStyle w:val="FoF"/>
      </w:pPr>
      <w:r>
        <w:t xml:space="preserve">There are deficiencies in </w:t>
      </w:r>
      <w:r w:rsidR="0070488F">
        <w:t>three</w:t>
      </w:r>
      <w:r>
        <w:t xml:space="preserve"> sections of SDG&amp;E</w:t>
      </w:r>
      <w:r w:rsidR="005A00BE">
        <w:t>’</w:t>
      </w:r>
      <w:r>
        <w:t xml:space="preserve">s Draft </w:t>
      </w:r>
      <w:r w:rsidR="00950E04">
        <w:t>2025 RPS</w:t>
      </w:r>
      <w:r>
        <w:t xml:space="preserve"> Plan</w:t>
      </w:r>
      <w:r w:rsidR="00CD5830">
        <w:t xml:space="preserve">:  </w:t>
      </w:r>
      <w:r w:rsidRPr="009674E2" w:rsidR="009674E2">
        <w:t>Compliance with Recent Legislation</w:t>
      </w:r>
      <w:r w:rsidR="00B471F2">
        <w:t xml:space="preserve"> &amp; </w:t>
      </w:r>
      <w:r w:rsidRPr="009674E2" w:rsidR="009674E2">
        <w:t>Impact of Regulatory Changes</w:t>
      </w:r>
      <w:r w:rsidR="009674E2">
        <w:t xml:space="preserve">, </w:t>
      </w:r>
      <w:r w:rsidR="00432027">
        <w:t>PDSU</w:t>
      </w:r>
      <w:r w:rsidR="009674E2">
        <w:t>, and Cost Quantification.</w:t>
      </w:r>
    </w:p>
    <w:p w:rsidR="00771FCC" w:rsidP="00F277D4" w:rsidRDefault="00771FCC" w14:paraId="6FCA2356" w14:textId="0D10CA18">
      <w:pPr>
        <w:pStyle w:val="FoF"/>
      </w:pPr>
      <w:r>
        <w:t xml:space="preserve">The three SMJUs (BVES, PacifiCorp, and Liberty, collectively) need to procure more RPS eligible renewables beginning in </w:t>
      </w:r>
      <w:r w:rsidR="001F5CC5">
        <w:t>2025</w:t>
      </w:r>
      <w:r>
        <w:t xml:space="preserve"> to meet their respective RPS requirements.</w:t>
      </w:r>
    </w:p>
    <w:p w:rsidR="00E5394B" w:rsidP="00F277D4" w:rsidRDefault="00771FCC" w14:paraId="70EC55A6" w14:textId="2FEA2515">
      <w:pPr>
        <w:pStyle w:val="FoF"/>
      </w:pPr>
      <w:r>
        <w:t>BVES</w:t>
      </w:r>
      <w:r w:rsidR="005A00BE">
        <w:t>’</w:t>
      </w:r>
      <w:r>
        <w:t xml:space="preserve"> Draft </w:t>
      </w:r>
      <w:r w:rsidR="00950E04">
        <w:t>2025 RPS</w:t>
      </w:r>
      <w:r>
        <w:t xml:space="preserve"> Plan contains the required elements of the 2025 ACR</w:t>
      </w:r>
      <w:r w:rsidR="007F3736">
        <w:t>.</w:t>
      </w:r>
    </w:p>
    <w:p w:rsidR="00771FCC" w:rsidP="00F277D4" w:rsidRDefault="00771FCC" w14:paraId="67F7EDDA" w14:textId="5832CA0A">
      <w:pPr>
        <w:pStyle w:val="FoF"/>
      </w:pPr>
      <w:r>
        <w:t>Liberty</w:t>
      </w:r>
      <w:r w:rsidR="005A00BE">
        <w:t>’</w:t>
      </w:r>
      <w:r>
        <w:t xml:space="preserve">s Draft </w:t>
      </w:r>
      <w:r w:rsidR="00950E04">
        <w:t>2025 RPS</w:t>
      </w:r>
      <w:r>
        <w:t xml:space="preserve"> Plan contains the required elements of the 202</w:t>
      </w:r>
      <w:r w:rsidR="007F3736">
        <w:t>5</w:t>
      </w:r>
      <w:r>
        <w:t xml:space="preserve"> ACR</w:t>
      </w:r>
      <w:r w:rsidR="007F3736">
        <w:t xml:space="preserve"> </w:t>
      </w:r>
      <w:r w:rsidRPr="007F3736" w:rsidR="007F3736">
        <w:t>except for several deficiencies identified in the Long</w:t>
      </w:r>
      <w:r w:rsidR="00E54574">
        <w:noBreakHyphen/>
      </w:r>
      <w:r w:rsidRPr="007F3736" w:rsidR="007F3736">
        <w:t xml:space="preserve">Term Procurement and Bid Solicitation Protocols sections of its Draft </w:t>
      </w:r>
      <w:r w:rsidR="00950E04">
        <w:t>2025 RPS</w:t>
      </w:r>
      <w:r w:rsidRPr="007F3736" w:rsidR="007F3736">
        <w:t xml:space="preserve"> Plan</w:t>
      </w:r>
      <w:r w:rsidR="007F3736">
        <w:t>.</w:t>
      </w:r>
    </w:p>
    <w:p w:rsidR="008A1D87" w:rsidP="00F277D4" w:rsidRDefault="00771FCC" w14:paraId="2907B3B0" w14:textId="13B68E7E">
      <w:pPr>
        <w:pStyle w:val="FoF"/>
      </w:pPr>
      <w:r>
        <w:t>PacifiCorp</w:t>
      </w:r>
      <w:r w:rsidR="005A00BE">
        <w:t>’</w:t>
      </w:r>
      <w:r>
        <w:t xml:space="preserve">s Draft </w:t>
      </w:r>
      <w:r w:rsidR="00950E04">
        <w:t>2025 RPS</w:t>
      </w:r>
      <w:r>
        <w:t xml:space="preserve"> Plan contains the required elements of the 202</w:t>
      </w:r>
      <w:r w:rsidR="00411F99">
        <w:t>5</w:t>
      </w:r>
      <w:r>
        <w:t xml:space="preserve"> ACR</w:t>
      </w:r>
      <w:r w:rsidR="00113511">
        <w:t xml:space="preserve"> except for the missing information regarding its transportation electrification forecast.</w:t>
      </w:r>
    </w:p>
    <w:p w:rsidR="002E1121" w:rsidP="00F277D4" w:rsidRDefault="002E1121" w14:paraId="59AAD5B7" w14:textId="32C9AB0B">
      <w:pPr>
        <w:pStyle w:val="FoF"/>
      </w:pPr>
      <w:r>
        <w:t>Based on the CCAs</w:t>
      </w:r>
      <w:r w:rsidR="005A00BE">
        <w:t>’</w:t>
      </w:r>
      <w:r>
        <w:t xml:space="preserve"> RNS reporting, several CCAs are expected to need additional RPS procurement beginning in </w:t>
      </w:r>
      <w:r w:rsidRPr="00113511">
        <w:t>2025</w:t>
      </w:r>
      <w:r w:rsidR="00113511">
        <w:t xml:space="preserve"> or 2026</w:t>
      </w:r>
      <w:r>
        <w:t>.</w:t>
      </w:r>
    </w:p>
    <w:p w:rsidR="002E1121" w:rsidP="00F277D4" w:rsidRDefault="002E1121" w14:paraId="09D5A3A7" w14:textId="59BF8B56">
      <w:pPr>
        <w:pStyle w:val="FoF"/>
      </w:pPr>
      <w:r>
        <w:lastRenderedPageBreak/>
        <w:t xml:space="preserve">The ESPs will collectively need additional procurement to meet RPS obligations beginning in </w:t>
      </w:r>
      <w:r w:rsidRPr="00113511">
        <w:t>202</w:t>
      </w:r>
      <w:r w:rsidR="00113511">
        <w:t>6</w:t>
      </w:r>
      <w:r>
        <w:t>.</w:t>
      </w:r>
    </w:p>
    <w:p w:rsidR="002E1121" w:rsidP="00F277D4" w:rsidRDefault="002E1121" w14:paraId="25A2B82C" w14:textId="093CB837">
      <w:pPr>
        <w:pStyle w:val="FoF"/>
      </w:pPr>
      <w:r>
        <w:t>There are noted deficiencies in the CCAs</w:t>
      </w:r>
      <w:r w:rsidR="005A00BE">
        <w:t>’</w:t>
      </w:r>
      <w:r>
        <w:t xml:space="preserve"> and ESPs</w:t>
      </w:r>
      <w:r w:rsidR="005A00BE">
        <w:t>’</w:t>
      </w:r>
      <w:r>
        <w:t xml:space="preserve"> Draft </w:t>
      </w:r>
      <w:r w:rsidR="00950E04">
        <w:t>2025 RPS</w:t>
      </w:r>
      <w:r>
        <w:t xml:space="preserve"> Plans regarding the following sections</w:t>
      </w:r>
      <w:r w:rsidR="00CD5830">
        <w:t xml:space="preserve">:  </w:t>
      </w:r>
      <w:r w:rsidR="008865DA">
        <w:t xml:space="preserve">Portfolio Supply and Demand, </w:t>
      </w:r>
      <w:r>
        <w:t>Long</w:t>
      </w:r>
      <w:r w:rsidR="00E54574">
        <w:noBreakHyphen/>
      </w:r>
      <w:r>
        <w:t xml:space="preserve">Term Procurement, </w:t>
      </w:r>
      <w:r w:rsidR="008865DA">
        <w:t xml:space="preserve">Forecasting for Increased Transportation Electrification, </w:t>
      </w:r>
      <w:r>
        <w:t xml:space="preserve">Portfolio Optimization, </w:t>
      </w:r>
      <w:r w:rsidR="00432027">
        <w:t>PDSU</w:t>
      </w:r>
      <w:r>
        <w:t xml:space="preserve">, Potential Compliance Delays, </w:t>
      </w:r>
      <w:r w:rsidR="008865DA">
        <w:t xml:space="preserve">Risk Assessment, </w:t>
      </w:r>
      <w:r>
        <w:t>Lessons Learned</w:t>
      </w:r>
      <w:r w:rsidR="0064730E">
        <w:t xml:space="preserve"> — </w:t>
      </w:r>
      <w:r>
        <w:t>Risk Assessment, RNS Calculation</w:t>
      </w:r>
      <w:r w:rsidR="008865DA">
        <w:t>s</w:t>
      </w:r>
      <w:r>
        <w:t>, MMoP, Bid Solicitation Protocol, and Solicitation Protocols for Renewables Sales.</w:t>
      </w:r>
    </w:p>
    <w:p w:rsidR="000306F4" w:rsidP="00F277D4" w:rsidRDefault="007B3E69" w14:paraId="43C56155" w14:textId="1119DB29">
      <w:pPr>
        <w:pStyle w:val="FoF"/>
      </w:pPr>
      <w:r>
        <w:t xml:space="preserve">BREMUS </w:t>
      </w:r>
      <w:r w:rsidR="00C539BE">
        <w:t xml:space="preserve">has completed </w:t>
      </w:r>
      <w:r w:rsidR="00CD70BD">
        <w:t>deregistration,</w:t>
      </w:r>
      <w:r w:rsidR="00C539BE">
        <w:t xml:space="preserve"> and their ESP number was terminated effective May 2025.</w:t>
      </w:r>
    </w:p>
    <w:p w:rsidRPr="00C90A59" w:rsidR="00F913B1" w:rsidP="00F277D4" w:rsidRDefault="00F913B1" w14:paraId="6789CC92" w14:textId="4DC0D204">
      <w:pPr>
        <w:pStyle w:val="FoF"/>
      </w:pPr>
      <w:r w:rsidRPr="00C90A59">
        <w:t xml:space="preserve">SCE’s Motion to update its </w:t>
      </w:r>
      <w:r w:rsidR="00AB3B5C">
        <w:t xml:space="preserve">Draft 2025 </w:t>
      </w:r>
      <w:r w:rsidRPr="00C90A59">
        <w:t>RPS Plan</w:t>
      </w:r>
      <w:r w:rsidRPr="00C90A59" w:rsidR="007B261F">
        <w:t xml:space="preserve"> is submitted in compliance with 2025 ACR</w:t>
      </w:r>
      <w:r w:rsidRPr="00C90A59">
        <w:t>.</w:t>
      </w:r>
    </w:p>
    <w:p w:rsidRPr="00C90A59" w:rsidR="00F913B1" w:rsidP="00F277D4" w:rsidRDefault="00F913B1" w14:paraId="79677814" w14:textId="689A2F78">
      <w:pPr>
        <w:pStyle w:val="FoF"/>
      </w:pPr>
      <w:r w:rsidRPr="00C90A59">
        <w:t>SCE’s Motion to File its Updated RPS Plan under Seal</w:t>
      </w:r>
      <w:r w:rsidRPr="00C90A59" w:rsidR="007B261F">
        <w:t xml:space="preserve"> is reasonable since </w:t>
      </w:r>
      <w:r w:rsidRPr="00C90A59" w:rsidR="000F2CD3">
        <w:t>its updated Plan contains confidential, market</w:t>
      </w:r>
      <w:r w:rsidR="00E54574">
        <w:noBreakHyphen/>
      </w:r>
      <w:r w:rsidRPr="00C90A59" w:rsidR="000F2CD3">
        <w:t>sensitive information</w:t>
      </w:r>
      <w:r w:rsidRPr="00C90A59" w:rsidR="007B261F">
        <w:t>.</w:t>
      </w:r>
    </w:p>
    <w:p w:rsidRPr="00C90A59" w:rsidR="00F913B1" w:rsidP="00F277D4" w:rsidRDefault="00F913B1" w14:paraId="1C15F3A4" w14:textId="12B31957">
      <w:pPr>
        <w:pStyle w:val="FoF"/>
      </w:pPr>
      <w:r w:rsidRPr="00C90A59">
        <w:t xml:space="preserve">SDG&amp;E’s Motion to File </w:t>
      </w:r>
      <w:r w:rsidR="00033334">
        <w:t xml:space="preserve">its Updated RPS Plan </w:t>
      </w:r>
      <w:r w:rsidRPr="00C90A59">
        <w:t>under seal</w:t>
      </w:r>
      <w:r w:rsidRPr="00C90A59" w:rsidR="007B261F">
        <w:t xml:space="preserve"> is reasonable since </w:t>
      </w:r>
      <w:r w:rsidRPr="00C90A59" w:rsidR="000F2CD3">
        <w:t xml:space="preserve">SDG&amp;E’s </w:t>
      </w:r>
      <w:r w:rsidR="00033334">
        <w:t>U</w:t>
      </w:r>
      <w:r w:rsidRPr="00C90A59" w:rsidR="000F2CD3">
        <w:t>p</w:t>
      </w:r>
      <w:r w:rsidRPr="00C90A59" w:rsidR="002C39C2">
        <w:t>dated Plan</w:t>
      </w:r>
      <w:r w:rsidRPr="00C90A59" w:rsidR="007B261F">
        <w:t xml:space="preserve"> contain </w:t>
      </w:r>
      <w:r w:rsidRPr="00C90A59" w:rsidR="000F2CD3">
        <w:t>confidential, market</w:t>
      </w:r>
      <w:r w:rsidR="00E54574">
        <w:noBreakHyphen/>
      </w:r>
      <w:r w:rsidRPr="00C90A59" w:rsidR="000F2CD3">
        <w:t>sensitive information.</w:t>
      </w:r>
    </w:p>
    <w:p w:rsidR="00A018E5" w:rsidP="00F277D4" w:rsidRDefault="004B45C0" w14:paraId="696DF1D7" w14:textId="77651A3B">
      <w:pPr>
        <w:pStyle w:val="FoF"/>
      </w:pPr>
      <w:r>
        <w:t>Cal</w:t>
      </w:r>
      <w:r w:rsidR="000C5099">
        <w:t> </w:t>
      </w:r>
      <w:r>
        <w:t xml:space="preserve">Advocates’ motion to file its comments under seal is reasonable since </w:t>
      </w:r>
      <w:r w:rsidRPr="00F320C0" w:rsidR="00055142">
        <w:t>Cal</w:t>
      </w:r>
      <w:r w:rsidR="00E54574">
        <w:t> </w:t>
      </w:r>
      <w:r w:rsidRPr="00F320C0" w:rsidR="00055142">
        <w:t>Advocates’ Comments</w:t>
      </w:r>
      <w:r w:rsidR="00E92F23">
        <w:t xml:space="preserve"> </w:t>
      </w:r>
      <w:r w:rsidRPr="00A018E5" w:rsidR="00A018E5">
        <w:t>include multiple references to materials that are confidential</w:t>
      </w:r>
      <w:r w:rsidR="00A018E5">
        <w:t>.</w:t>
      </w:r>
    </w:p>
    <w:p w:rsidR="008A1D87" w:rsidP="00F277D4" w:rsidRDefault="000C5099" w14:paraId="38CEC09F" w14:textId="2271C338">
      <w:pPr>
        <w:pStyle w:val="FoF"/>
      </w:pPr>
      <w:r>
        <w:t>Cal Advoc</w:t>
      </w:r>
      <w:r w:rsidRPr="001A110F" w:rsidR="00DA4693">
        <w:t>ates</w:t>
      </w:r>
      <w:r w:rsidR="004B45C0">
        <w:t>’</w:t>
      </w:r>
      <w:r w:rsidRPr="001A110F" w:rsidR="00DA4693">
        <w:t xml:space="preserve"> Response</w:t>
      </w:r>
      <w:r w:rsidR="00D943D0">
        <w:t xml:space="preserve"> to Updated RPS Plans</w:t>
      </w:r>
      <w:r w:rsidRPr="001A110F" w:rsidR="00DA4693">
        <w:t xml:space="preserve"> </w:t>
      </w:r>
      <w:r w:rsidRPr="001A110F" w:rsidR="001A110F">
        <w:t>contains multiple references to materials that are confidential</w:t>
      </w:r>
      <w:r w:rsidR="001A110F">
        <w:t>.</w:t>
      </w:r>
    </w:p>
    <w:p w:rsidR="00DA4693" w:rsidP="00F277D4" w:rsidRDefault="00DA4693" w14:paraId="7DC2DE48" w14:textId="684F2C56">
      <w:pPr>
        <w:pStyle w:val="FoF"/>
      </w:pPr>
      <w:r>
        <w:t>SCE</w:t>
      </w:r>
      <w:r w:rsidR="005A00BE">
        <w:t>’</w:t>
      </w:r>
      <w:r>
        <w:t xml:space="preserve">s </w:t>
      </w:r>
      <w:r w:rsidR="00CD5830">
        <w:t>September </w:t>
      </w:r>
      <w:r>
        <w:t xml:space="preserve">5, </w:t>
      </w:r>
      <w:r w:rsidR="00CD70BD">
        <w:t>2025,</w:t>
      </w:r>
      <w:r>
        <w:t xml:space="preserve"> reply to </w:t>
      </w:r>
      <w:r w:rsidR="000C5099">
        <w:t>Cal Advoc</w:t>
      </w:r>
      <w:r>
        <w:t>ates Response contains market sensitive information.</w:t>
      </w:r>
    </w:p>
    <w:p w:rsidRPr="001E2A62" w:rsidR="001B5C65" w:rsidP="00F277D4" w:rsidRDefault="001B5C65" w14:paraId="31580AEE" w14:textId="1B62DF1D">
      <w:pPr>
        <w:pStyle w:val="FoF"/>
      </w:pPr>
      <w:r w:rsidRPr="001B5C65">
        <w:t xml:space="preserve">Retail sellers identified in </w:t>
      </w:r>
      <w:r w:rsidR="009850E3">
        <w:t>Section </w:t>
      </w:r>
      <w:r w:rsidR="00EE0256">
        <w:t>9</w:t>
      </w:r>
      <w:r w:rsidR="007E0115">
        <w:t>.4</w:t>
      </w:r>
      <w:r w:rsidRPr="001B5C65">
        <w:t xml:space="preserve"> of this decision have excessively redacted information in their Draft </w:t>
      </w:r>
      <w:r w:rsidR="00950E04">
        <w:t>2025 RPS</w:t>
      </w:r>
      <w:r w:rsidRPr="001B5C65">
        <w:t xml:space="preserve"> Plans</w:t>
      </w:r>
      <w:r w:rsidR="005579C1">
        <w:t>.</w:t>
      </w:r>
    </w:p>
    <w:p w:rsidR="005939A5" w:rsidP="00F277D4" w:rsidRDefault="005939A5" w14:paraId="0CF3E1DA" w14:textId="77777777">
      <w:pPr>
        <w:pStyle w:val="Dummy"/>
      </w:pPr>
      <w:bookmarkStart w:name="_Toc8123726" w:id="158"/>
      <w:bookmarkStart w:name="_Toc212716189" w:id="159"/>
      <w:bookmarkStart w:name="_Toc214004394" w:id="160"/>
      <w:r>
        <w:lastRenderedPageBreak/>
        <w:t>Conclusions of Law</w:t>
      </w:r>
      <w:bookmarkEnd w:id="158"/>
      <w:bookmarkEnd w:id="159"/>
      <w:bookmarkEnd w:id="160"/>
    </w:p>
    <w:p w:rsidR="00390890" w:rsidP="00F277D4" w:rsidRDefault="00390890" w14:paraId="0CA2A3A6" w14:textId="1B1AD4A4">
      <w:pPr>
        <w:pStyle w:val="CoL"/>
      </w:pPr>
      <w:r>
        <w:t>The IOUs</w:t>
      </w:r>
      <w:r w:rsidR="005A00BE">
        <w:t>’</w:t>
      </w:r>
      <w:r>
        <w:t xml:space="preserve"> requests to eliminate </w:t>
      </w:r>
      <w:r w:rsidR="00505B0A">
        <w:t xml:space="preserve">the </w:t>
      </w:r>
      <w:r w:rsidR="00AF70D1">
        <w:t>Tier 1</w:t>
      </w:r>
      <w:r>
        <w:t xml:space="preserve"> Advice Letter review process should be denied without prejudice.</w:t>
      </w:r>
    </w:p>
    <w:p w:rsidR="00390890" w:rsidP="00F277D4" w:rsidRDefault="00390890" w14:paraId="54388DF0" w14:textId="687C361B">
      <w:pPr>
        <w:pStyle w:val="CoL"/>
      </w:pPr>
      <w:r>
        <w:t>T</w:t>
      </w:r>
      <w:r w:rsidRPr="00390890">
        <w:t xml:space="preserve">he IOUs </w:t>
      </w:r>
      <w:r>
        <w:t>should continue to</w:t>
      </w:r>
      <w:r w:rsidRPr="00390890">
        <w:t xml:space="preserve"> file a </w:t>
      </w:r>
      <w:r w:rsidR="00AF70D1">
        <w:t>Tier 3</w:t>
      </w:r>
      <w:r w:rsidRPr="00390890">
        <w:t xml:space="preserve"> Advice Letter for approval of long</w:t>
      </w:r>
      <w:r w:rsidR="00E54574">
        <w:noBreakHyphen/>
      </w:r>
      <w:r w:rsidRPr="00390890">
        <w:t xml:space="preserve">term transactions and a </w:t>
      </w:r>
      <w:r w:rsidR="00AF70D1">
        <w:t>Tier 1</w:t>
      </w:r>
      <w:r w:rsidRPr="00390890">
        <w:t xml:space="preserve"> Advice Letter for short</w:t>
      </w:r>
      <w:r w:rsidR="00E54574">
        <w:noBreakHyphen/>
      </w:r>
      <w:r w:rsidRPr="00390890">
        <w:t>term transactions that are conducted in accordance with the transaction framework approved in their RPS Plans</w:t>
      </w:r>
      <w:r w:rsidR="0057693E">
        <w:t xml:space="preserve"> until the Commission considers the oversight of short</w:t>
      </w:r>
      <w:r w:rsidR="00E54574">
        <w:noBreakHyphen/>
      </w:r>
      <w:r w:rsidR="0057693E">
        <w:t>term transactions in R.25</w:t>
      </w:r>
      <w:r w:rsidR="00E54574">
        <w:noBreakHyphen/>
      </w:r>
      <w:r w:rsidR="0057693E">
        <w:t>06</w:t>
      </w:r>
      <w:r w:rsidR="00E54574">
        <w:noBreakHyphen/>
      </w:r>
      <w:r w:rsidR="0057693E">
        <w:t>019.</w:t>
      </w:r>
    </w:p>
    <w:p w:rsidRPr="001E2A62" w:rsidR="00932865" w:rsidP="00F277D4" w:rsidRDefault="000D3382" w14:paraId="032C32C1" w14:textId="04694334">
      <w:pPr>
        <w:pStyle w:val="CoL"/>
      </w:pPr>
      <w:r w:rsidRPr="000D3382">
        <w:t>PG&amp;E</w:t>
      </w:r>
      <w:r w:rsidR="005A00BE">
        <w:t>’</w:t>
      </w:r>
      <w:r w:rsidRPr="000D3382">
        <w:t xml:space="preserve">s Draft </w:t>
      </w:r>
      <w:r w:rsidR="00950E04">
        <w:t>2025 RPS</w:t>
      </w:r>
      <w:r w:rsidRPr="000D3382">
        <w:t xml:space="preserve"> Plan should be approved with modifications</w:t>
      </w:r>
      <w:r>
        <w:t>.</w:t>
      </w:r>
    </w:p>
    <w:p w:rsidR="000D3382" w:rsidP="00F277D4" w:rsidRDefault="000D3382" w14:paraId="1BF0737F" w14:textId="0F074102">
      <w:pPr>
        <w:pStyle w:val="CoL"/>
      </w:pPr>
      <w:r>
        <w:t>PG&amp;E</w:t>
      </w:r>
      <w:r w:rsidR="005A00BE">
        <w:t>’</w:t>
      </w:r>
      <w:r>
        <w:t xml:space="preserve">s request </w:t>
      </w:r>
      <w:r w:rsidR="00CE2A3B">
        <w:t xml:space="preserve">for authority </w:t>
      </w:r>
      <w:r>
        <w:t xml:space="preserve">to </w:t>
      </w:r>
      <w:r w:rsidR="00CE2A3B">
        <w:t>procure</w:t>
      </w:r>
      <w:r>
        <w:t xml:space="preserve"> long</w:t>
      </w:r>
      <w:r w:rsidR="00E54574">
        <w:noBreakHyphen/>
      </w:r>
      <w:r>
        <w:t>term and short</w:t>
      </w:r>
      <w:r w:rsidR="00E54574">
        <w:noBreakHyphen/>
      </w:r>
      <w:r>
        <w:t xml:space="preserve">term </w:t>
      </w:r>
      <w:r w:rsidR="00CE2A3B">
        <w:t>RPS contracts</w:t>
      </w:r>
      <w:r>
        <w:t xml:space="preserve"> should be approved.</w:t>
      </w:r>
    </w:p>
    <w:p w:rsidR="000D3382" w:rsidP="00F277D4" w:rsidRDefault="000D3382" w14:paraId="728B9EC8" w14:textId="02D30D32">
      <w:pPr>
        <w:pStyle w:val="CoL"/>
      </w:pPr>
      <w:r>
        <w:t>PG&amp;E should be authorized to optimize its existing portfolio of RPS</w:t>
      </w:r>
      <w:r w:rsidR="00E54574">
        <w:noBreakHyphen/>
      </w:r>
      <w:r>
        <w:t>eligible contracts by renegotiating these contracts.</w:t>
      </w:r>
    </w:p>
    <w:p w:rsidR="000D3382" w:rsidP="00F277D4" w:rsidRDefault="000D3382" w14:paraId="6C73FCB8" w14:textId="2D4824A8">
      <w:pPr>
        <w:pStyle w:val="CoL"/>
      </w:pPr>
      <w:r>
        <w:t>PG&amp;E</w:t>
      </w:r>
      <w:r w:rsidR="005A00BE">
        <w:t>’</w:t>
      </w:r>
      <w:r>
        <w:t xml:space="preserve">s request </w:t>
      </w:r>
      <w:r w:rsidR="00CE2A3B">
        <w:t xml:space="preserve">for authority </w:t>
      </w:r>
      <w:r>
        <w:t xml:space="preserve">to </w:t>
      </w:r>
      <w:r w:rsidR="00CE2A3B">
        <w:t>transact RPS products through</w:t>
      </w:r>
      <w:r>
        <w:t xml:space="preserve"> bilateral negotiations should be approved.</w:t>
      </w:r>
    </w:p>
    <w:p w:rsidR="000D3382" w:rsidP="00F277D4" w:rsidRDefault="000D3382" w14:paraId="38B32245" w14:textId="46D328F0">
      <w:pPr>
        <w:pStyle w:val="CoL"/>
      </w:pPr>
      <w:r>
        <w:t>PG&amp;E</w:t>
      </w:r>
      <w:r w:rsidR="005A00BE">
        <w:t>’</w:t>
      </w:r>
      <w:r>
        <w:t xml:space="preserve">s request to transact bundled </w:t>
      </w:r>
      <w:r w:rsidR="008B1693">
        <w:t xml:space="preserve">and unbundled </w:t>
      </w:r>
      <w:r>
        <w:t>RPS sales for deliveries of less than five years forward from the execution date should be approved.</w:t>
      </w:r>
    </w:p>
    <w:p w:rsidR="000D3382" w:rsidP="00F277D4" w:rsidRDefault="000D3382" w14:paraId="4B367B9F" w14:textId="11F460CC">
      <w:pPr>
        <w:pStyle w:val="CoL"/>
      </w:pPr>
      <w:r>
        <w:t>PG&amp;E should be authorized to participate in other market participants</w:t>
      </w:r>
      <w:r w:rsidR="005A00BE">
        <w:t>’</w:t>
      </w:r>
      <w:r>
        <w:t xml:space="preserve"> competitive solicitations.</w:t>
      </w:r>
    </w:p>
    <w:p w:rsidR="000D3382" w:rsidP="00F277D4" w:rsidRDefault="000D3382" w14:paraId="73308355" w14:textId="18F918F7">
      <w:pPr>
        <w:pStyle w:val="CoL"/>
      </w:pPr>
      <w:r>
        <w:t>PG&amp;E should be authorized to conduct RPS transactions through brokers and exchanges.</w:t>
      </w:r>
    </w:p>
    <w:p w:rsidR="000D3382" w:rsidP="00F277D4" w:rsidRDefault="000D3382" w14:paraId="272B48C5" w14:textId="2ED67E36">
      <w:pPr>
        <w:pStyle w:val="CoL"/>
      </w:pPr>
      <w:r>
        <w:t>PG&amp;E should be authorized to retire RECs for LCFS credits.</w:t>
      </w:r>
    </w:p>
    <w:p w:rsidR="008A1D87" w:rsidP="00F277D4" w:rsidRDefault="00667821" w14:paraId="63990863" w14:textId="2B824897">
      <w:pPr>
        <w:pStyle w:val="CoL"/>
      </w:pPr>
      <w:r>
        <w:t xml:space="preserve">PG&amp;E should correct the inconsistency identified in </w:t>
      </w:r>
      <w:r w:rsidR="009850E3">
        <w:t>Section </w:t>
      </w:r>
      <w:r>
        <w:t xml:space="preserve">V </w:t>
      </w:r>
      <w:r w:rsidR="006319D7">
        <w:t>(</w:t>
      </w:r>
      <w:r w:rsidRPr="002438DC" w:rsidR="006319D7">
        <w:t>Project Development Status Update</w:t>
      </w:r>
      <w:r w:rsidR="006319D7">
        <w:t>)</w:t>
      </w:r>
      <w:r>
        <w:t xml:space="preserve"> of its Draft </w:t>
      </w:r>
      <w:r w:rsidR="00950E04">
        <w:t>2025 RPS</w:t>
      </w:r>
      <w:r>
        <w:t xml:space="preserve"> Plan.</w:t>
      </w:r>
    </w:p>
    <w:p w:rsidR="001B482B" w:rsidP="00F277D4" w:rsidRDefault="001B482B" w14:paraId="76B7AD2A" w14:textId="1167B2D4">
      <w:pPr>
        <w:pStyle w:val="CoL"/>
      </w:pPr>
      <w:r>
        <w:lastRenderedPageBreak/>
        <w:t>SCE</w:t>
      </w:r>
      <w:r w:rsidR="005A00BE">
        <w:t>’</w:t>
      </w:r>
      <w:r>
        <w:t xml:space="preserve">s Updated Draft </w:t>
      </w:r>
      <w:r w:rsidR="00950E04">
        <w:t>2025 RPS</w:t>
      </w:r>
      <w:r>
        <w:t xml:space="preserve"> Plan should be approved with modifications.</w:t>
      </w:r>
    </w:p>
    <w:p w:rsidR="004933DB" w:rsidP="00F277D4" w:rsidRDefault="004933DB" w14:paraId="3EFE2D7C" w14:textId="2DEF71A8">
      <w:pPr>
        <w:pStyle w:val="CoL"/>
      </w:pPr>
      <w:r w:rsidRPr="004933DB">
        <w:t>SCE</w:t>
      </w:r>
      <w:r w:rsidR="005A00BE">
        <w:t>’</w:t>
      </w:r>
      <w:r w:rsidR="00CD70BD">
        <w:t>s</w:t>
      </w:r>
      <w:r w:rsidRPr="004933DB">
        <w:t xml:space="preserve"> request</w:t>
      </w:r>
      <w:r>
        <w:t xml:space="preserve"> for</w:t>
      </w:r>
      <w:r w:rsidRPr="004933DB">
        <w:t xml:space="preserve"> authority to procure additional RPS</w:t>
      </w:r>
      <w:r w:rsidR="00E54574">
        <w:noBreakHyphen/>
      </w:r>
      <w:r w:rsidRPr="004933DB">
        <w:t xml:space="preserve">eligible new and existing resources </w:t>
      </w:r>
      <w:r>
        <w:t>should be approved.</w:t>
      </w:r>
    </w:p>
    <w:p w:rsidR="008A1D87" w:rsidP="00F277D4" w:rsidRDefault="001B482B" w14:paraId="3A375DFC" w14:textId="046D6925">
      <w:pPr>
        <w:pStyle w:val="CoL"/>
      </w:pPr>
      <w:r>
        <w:t>SCE</w:t>
      </w:r>
      <w:r w:rsidR="005A00BE">
        <w:t>’</w:t>
      </w:r>
      <w:r>
        <w:t xml:space="preserve">s request to purchase and sell </w:t>
      </w:r>
      <w:r w:rsidR="00521801">
        <w:t>PCC </w:t>
      </w:r>
      <w:r>
        <w:t xml:space="preserve">1, </w:t>
      </w:r>
      <w:r w:rsidR="00521801">
        <w:t>PCC </w:t>
      </w:r>
      <w:r>
        <w:t xml:space="preserve">2, and </w:t>
      </w:r>
      <w:r w:rsidR="00521801">
        <w:t>PCC </w:t>
      </w:r>
      <w:r>
        <w:t>3 RECs should be approved.</w:t>
      </w:r>
    </w:p>
    <w:p w:rsidR="0000396F" w:rsidP="00F277D4" w:rsidRDefault="0000396F" w14:paraId="309CA8BD" w14:textId="56607275">
      <w:pPr>
        <w:pStyle w:val="CoL"/>
      </w:pPr>
      <w:r>
        <w:t>SCE</w:t>
      </w:r>
      <w:r w:rsidR="005A00BE">
        <w:t>’</w:t>
      </w:r>
      <w:r>
        <w:t>s</w:t>
      </w:r>
      <w:r w:rsidRPr="0000396F">
        <w:t xml:space="preserve"> procurement protocols for new resources and existing </w:t>
      </w:r>
      <w:r w:rsidRPr="0000396F" w:rsidR="00CD70BD">
        <w:t>resources, REC</w:t>
      </w:r>
      <w:r w:rsidRPr="0000396F">
        <w:t xml:space="preserve"> transaction protocols as the basis for all its REC transactions for short</w:t>
      </w:r>
      <w:r w:rsidR="00E54574">
        <w:noBreakHyphen/>
      </w:r>
      <w:r w:rsidRPr="0000396F">
        <w:t>term and long</w:t>
      </w:r>
      <w:r w:rsidR="00E54574">
        <w:noBreakHyphen/>
      </w:r>
      <w:r w:rsidRPr="0000396F">
        <w:t xml:space="preserve">term purchases and </w:t>
      </w:r>
      <w:r w:rsidRPr="0000396F" w:rsidR="00CD70BD">
        <w:t>sales, and</w:t>
      </w:r>
      <w:r w:rsidRPr="0000396F">
        <w:t xml:space="preserve"> LCBF evaluation criteria, including consideration of workforce development and disadvantaged communities</w:t>
      </w:r>
      <w:r>
        <w:t xml:space="preserve"> should be approved.</w:t>
      </w:r>
    </w:p>
    <w:p w:rsidR="0000396F" w:rsidP="00F277D4" w:rsidRDefault="0000396F" w14:paraId="2DB2E749" w14:textId="0CA5A310">
      <w:pPr>
        <w:pStyle w:val="CoL"/>
      </w:pPr>
      <w:r>
        <w:t>SCE</w:t>
      </w:r>
      <w:r w:rsidR="005A00BE">
        <w:t>’</w:t>
      </w:r>
      <w:r>
        <w:t xml:space="preserve">s </w:t>
      </w:r>
      <w:r w:rsidRPr="0000396F">
        <w:t>Pro Forma Renewable PPA</w:t>
      </w:r>
      <w:r>
        <w:t>,</w:t>
      </w:r>
      <w:r w:rsidRPr="0000396F">
        <w:t xml:space="preserve"> Pro Forma </w:t>
      </w:r>
      <w:r w:rsidR="00521801">
        <w:t>PCC </w:t>
      </w:r>
      <w:r w:rsidRPr="0000396F">
        <w:t>1 REC Agreement</w:t>
      </w:r>
      <w:r>
        <w:t>,</w:t>
      </w:r>
      <w:r w:rsidRPr="0000396F">
        <w:t xml:space="preserve"> and Pro Forma </w:t>
      </w:r>
      <w:r w:rsidR="00521801">
        <w:t>PCC </w:t>
      </w:r>
      <w:r w:rsidRPr="0000396F">
        <w:t>3 REC Agreement</w:t>
      </w:r>
      <w:r>
        <w:t xml:space="preserve"> should be approved.</w:t>
      </w:r>
    </w:p>
    <w:p w:rsidR="001B482B" w:rsidP="00F277D4" w:rsidRDefault="001B482B" w14:paraId="3069891A" w14:textId="3881FB53">
      <w:pPr>
        <w:pStyle w:val="CoL"/>
      </w:pPr>
      <w:r>
        <w:t>SCE</w:t>
      </w:r>
      <w:r w:rsidR="0000396F">
        <w:t xml:space="preserve"> should be allowed to </w:t>
      </w:r>
      <w:r w:rsidRPr="0000396F" w:rsidR="0000396F">
        <w:t>claim incremental LCFS credits through the retirement of RECs.</w:t>
      </w:r>
    </w:p>
    <w:p w:rsidR="00985C4A" w:rsidP="00F277D4" w:rsidRDefault="00985C4A" w14:paraId="4BF057C1" w14:textId="19AA1BEF">
      <w:pPr>
        <w:pStyle w:val="CoL"/>
      </w:pPr>
      <w:r w:rsidRPr="00985C4A">
        <w:t>SDG&amp;E</w:t>
      </w:r>
      <w:r w:rsidR="005A00BE">
        <w:t>’</w:t>
      </w:r>
      <w:r w:rsidRPr="00985C4A">
        <w:t xml:space="preserve">s Draft </w:t>
      </w:r>
      <w:r w:rsidR="00950E04">
        <w:t>2025 RPS</w:t>
      </w:r>
      <w:r w:rsidRPr="00985C4A">
        <w:t xml:space="preserve"> Plan should be approved with modifications</w:t>
      </w:r>
      <w:r>
        <w:t>.</w:t>
      </w:r>
    </w:p>
    <w:p w:rsidRPr="00985C4A" w:rsidR="00985C4A" w:rsidP="00F277D4" w:rsidRDefault="00985C4A" w14:paraId="5398955E" w14:textId="0D770478">
      <w:pPr>
        <w:pStyle w:val="CoL"/>
      </w:pPr>
      <w:r w:rsidRPr="00985C4A">
        <w:t>SDG&amp;E</w:t>
      </w:r>
      <w:r w:rsidR="005A00BE">
        <w:t>’</w:t>
      </w:r>
      <w:r w:rsidRPr="00985C4A">
        <w:t xml:space="preserve">s request for the </w:t>
      </w:r>
      <w:r w:rsidR="009114B8">
        <w:t>authority</w:t>
      </w:r>
      <w:r w:rsidRPr="00985C4A">
        <w:t xml:space="preserve"> to use banked RECs</w:t>
      </w:r>
      <w:r w:rsidR="009114B8">
        <w:t xml:space="preserve"> should be approved</w:t>
      </w:r>
      <w:r w:rsidR="009C15A4">
        <w:t>,</w:t>
      </w:r>
      <w:r w:rsidR="00B83979">
        <w:t xml:space="preserve"> subject to the condition that it exhaust RECs banked after 2018 before using pre</w:t>
      </w:r>
      <w:r w:rsidR="00F82B5D">
        <w:noBreakHyphen/>
      </w:r>
      <w:r w:rsidR="00B83979">
        <w:t>2019 banked RECs, as directed by D.25</w:t>
      </w:r>
      <w:r w:rsidR="00F82B5D">
        <w:noBreakHyphen/>
      </w:r>
      <w:r w:rsidR="00B83979">
        <w:t>12</w:t>
      </w:r>
      <w:r w:rsidR="00F82B5D">
        <w:noBreakHyphen/>
      </w:r>
      <w:r w:rsidR="00B83979">
        <w:t>008</w:t>
      </w:r>
      <w:r w:rsidRPr="00985C4A">
        <w:t>.</w:t>
      </w:r>
    </w:p>
    <w:p w:rsidR="00985C4A" w:rsidP="00F277D4" w:rsidRDefault="002C7A8C" w14:paraId="2EA3E4C6" w14:textId="7B677B6B">
      <w:pPr>
        <w:pStyle w:val="CoL"/>
      </w:pPr>
      <w:r w:rsidRPr="002C7A8C">
        <w:t>SDG&amp;E</w:t>
      </w:r>
      <w:r w:rsidR="005A00BE">
        <w:t>’</w:t>
      </w:r>
      <w:r w:rsidRPr="002C7A8C">
        <w:t>s request for the option to procure RECs for compliance through solicitations, bilateral agreements, or brokers and exchanges</w:t>
      </w:r>
      <w:r>
        <w:t xml:space="preserve"> should be approved.</w:t>
      </w:r>
    </w:p>
    <w:p w:rsidR="008A1D87" w:rsidP="00F277D4" w:rsidRDefault="002C7A8C" w14:paraId="78F07575" w14:textId="500F6488">
      <w:pPr>
        <w:pStyle w:val="CoL"/>
      </w:pPr>
      <w:r>
        <w:t>SDG&amp;E</w:t>
      </w:r>
      <w:r w:rsidR="005A00BE">
        <w:t>’</w:t>
      </w:r>
      <w:r>
        <w:t>s request for authority to sell RPS volumes should be approved.</w:t>
      </w:r>
    </w:p>
    <w:p w:rsidR="002C7A8C" w:rsidP="00F277D4" w:rsidRDefault="002C7A8C" w14:paraId="6B663E6A" w14:textId="3BA300BD">
      <w:pPr>
        <w:pStyle w:val="CoL"/>
      </w:pPr>
      <w:r>
        <w:t>SDG&amp;E</w:t>
      </w:r>
      <w:r w:rsidR="005A00BE">
        <w:t>’</w:t>
      </w:r>
      <w:r>
        <w:t>s request to buy and sell RECs in the same year should be approved.</w:t>
      </w:r>
    </w:p>
    <w:p w:rsidR="005B6E32" w:rsidP="00F277D4" w:rsidRDefault="005B6E32" w14:paraId="38AE34D1" w14:textId="3B1629FD">
      <w:pPr>
        <w:pStyle w:val="CoL"/>
      </w:pPr>
      <w:r w:rsidRPr="005B6E32">
        <w:t xml:space="preserve">SDG&amp;E should address in its </w:t>
      </w:r>
      <w:r w:rsidR="00425679">
        <w:t>F</w:t>
      </w:r>
      <w:r w:rsidRPr="005B6E32">
        <w:t xml:space="preserve">inal </w:t>
      </w:r>
      <w:r w:rsidR="00950E04">
        <w:t>2025 RPS</w:t>
      </w:r>
      <w:r w:rsidRPr="005B6E32">
        <w:t xml:space="preserve"> Plan the deficiencies listed in </w:t>
      </w:r>
      <w:r w:rsidR="009850E3">
        <w:t>Section </w:t>
      </w:r>
      <w:r w:rsidR="00EE0256">
        <w:t>6</w:t>
      </w:r>
      <w:r w:rsidRPr="005B6E32">
        <w:t>.</w:t>
      </w:r>
      <w:r w:rsidR="002C7A8C">
        <w:t>4</w:t>
      </w:r>
      <w:r w:rsidRPr="005B6E32">
        <w:t>.7 of this decision</w:t>
      </w:r>
      <w:r w:rsidR="002C7A8C">
        <w:t>.</w:t>
      </w:r>
    </w:p>
    <w:p w:rsidR="006A7D7F" w:rsidP="00F277D4" w:rsidRDefault="006A7D7F" w14:paraId="3695D3FC" w14:textId="52AB2622">
      <w:pPr>
        <w:pStyle w:val="CoL"/>
      </w:pPr>
      <w:r w:rsidRPr="006A7D7F">
        <w:lastRenderedPageBreak/>
        <w:t xml:space="preserve">The Draft </w:t>
      </w:r>
      <w:r w:rsidR="00950E04">
        <w:t>2025 RPS</w:t>
      </w:r>
      <w:r w:rsidRPr="006A7D7F">
        <w:t xml:space="preserve"> Plan filed by BVES should be approved </w:t>
      </w:r>
      <w:r w:rsidR="000F6C9B">
        <w:t>and deemed final</w:t>
      </w:r>
      <w:r w:rsidRPr="006A7D7F">
        <w:t>.</w:t>
      </w:r>
    </w:p>
    <w:p w:rsidR="000F6C9B" w:rsidP="00F277D4" w:rsidRDefault="000F6C9B" w14:paraId="0AA99E76" w14:textId="36503C5B">
      <w:pPr>
        <w:pStyle w:val="CoL"/>
      </w:pPr>
      <w:r w:rsidRPr="000F6C9B">
        <w:t xml:space="preserve">The Draft </w:t>
      </w:r>
      <w:r w:rsidR="00950E04">
        <w:t>2025 RPS</w:t>
      </w:r>
      <w:r w:rsidRPr="000F6C9B">
        <w:t xml:space="preserve"> Plan filed by </w:t>
      </w:r>
      <w:r>
        <w:t>Liberty</w:t>
      </w:r>
      <w:r w:rsidRPr="000F6C9B">
        <w:t xml:space="preserve"> should be approved </w:t>
      </w:r>
      <w:r>
        <w:t>with modifications.</w:t>
      </w:r>
    </w:p>
    <w:p w:rsidRPr="006A7D7F" w:rsidR="000F6C9B" w:rsidP="00F277D4" w:rsidRDefault="000F6C9B" w14:paraId="6E6C9F60" w14:textId="5C5594B4">
      <w:pPr>
        <w:pStyle w:val="CoL"/>
      </w:pPr>
      <w:r w:rsidRPr="000F6C9B">
        <w:t xml:space="preserve">Liberty </w:t>
      </w:r>
      <w:r>
        <w:t>should</w:t>
      </w:r>
      <w:r w:rsidRPr="000F6C9B">
        <w:t xml:space="preserve"> correct the deficiencies </w:t>
      </w:r>
      <w:r>
        <w:t xml:space="preserve">identified in </w:t>
      </w:r>
      <w:r w:rsidR="009850E3">
        <w:t>Section </w:t>
      </w:r>
      <w:r w:rsidR="00EE0256">
        <w:t>7</w:t>
      </w:r>
      <w:r>
        <w:t xml:space="preserve">.2 of this decision </w:t>
      </w:r>
      <w:r w:rsidRPr="000F6C9B">
        <w:t xml:space="preserve">in its </w:t>
      </w:r>
      <w:r w:rsidR="00425679">
        <w:t>F</w:t>
      </w:r>
      <w:r w:rsidRPr="000F6C9B">
        <w:t xml:space="preserve">inal </w:t>
      </w:r>
      <w:r w:rsidR="00950E04">
        <w:t>2025 RPS</w:t>
      </w:r>
      <w:r w:rsidRPr="000F6C9B">
        <w:t xml:space="preserve"> Plan</w:t>
      </w:r>
      <w:r>
        <w:t>.</w:t>
      </w:r>
    </w:p>
    <w:p w:rsidR="006A7D7F" w:rsidP="00F277D4" w:rsidRDefault="00FD6452" w14:paraId="24065B6A" w14:textId="3E67B607">
      <w:pPr>
        <w:pStyle w:val="CoL"/>
      </w:pPr>
      <w:r w:rsidRPr="00FD6452">
        <w:t xml:space="preserve">The Draft </w:t>
      </w:r>
      <w:r w:rsidR="00950E04">
        <w:t>2025 RPS</w:t>
      </w:r>
      <w:r w:rsidRPr="00FD6452">
        <w:t xml:space="preserve"> Plan filed by PacifiCorp should be approved </w:t>
      </w:r>
      <w:r w:rsidR="00505B0A">
        <w:t>with modifications</w:t>
      </w:r>
      <w:r>
        <w:t>.</w:t>
      </w:r>
    </w:p>
    <w:p w:rsidR="008C51C8" w:rsidP="00F277D4" w:rsidRDefault="008C51C8" w14:paraId="17C29F80" w14:textId="5A36B1FA">
      <w:pPr>
        <w:pStyle w:val="CoL"/>
      </w:pPr>
      <w:r>
        <w:t xml:space="preserve">PacifiCorp should correct the deficiencies identified in </w:t>
      </w:r>
      <w:r w:rsidR="009850E3">
        <w:t>Section </w:t>
      </w:r>
      <w:r w:rsidR="00EE0256">
        <w:t>7</w:t>
      </w:r>
      <w:r>
        <w:t xml:space="preserve">.3 of this decision in its Final </w:t>
      </w:r>
      <w:r w:rsidR="00950E04">
        <w:t>2025 RPS</w:t>
      </w:r>
      <w:r>
        <w:t xml:space="preserve"> Plan.</w:t>
      </w:r>
    </w:p>
    <w:p w:rsidRPr="00C76D1B" w:rsidR="00C76D1B" w:rsidP="00F277D4" w:rsidRDefault="00C76D1B" w14:paraId="5C41A55D" w14:textId="7D73A730">
      <w:pPr>
        <w:pStyle w:val="CoL"/>
      </w:pPr>
      <w:r w:rsidRPr="00C76D1B">
        <w:t xml:space="preserve">The CCAs and ESPs identified in this decision should correct the relevant section of their plans in their </w:t>
      </w:r>
      <w:r w:rsidR="00425679">
        <w:t>F</w:t>
      </w:r>
      <w:r w:rsidRPr="00C76D1B">
        <w:t xml:space="preserve">inal </w:t>
      </w:r>
      <w:r w:rsidR="00950E04">
        <w:t>2025 RPS</w:t>
      </w:r>
      <w:r w:rsidRPr="00C76D1B">
        <w:t xml:space="preserve"> Plans.</w:t>
      </w:r>
    </w:p>
    <w:p w:rsidR="00E30AEB" w:rsidP="00F277D4" w:rsidRDefault="00E30AEB" w14:paraId="45A5604A" w14:textId="6C364D2F">
      <w:pPr>
        <w:pStyle w:val="CoL"/>
      </w:pPr>
      <w:r>
        <w:t xml:space="preserve">The City of Palmdale </w:t>
      </w:r>
      <w:r w:rsidR="00AC2DAB">
        <w:t>should</w:t>
      </w:r>
      <w:r>
        <w:t xml:space="preserve"> update the Portfolio Supply and Demand section of its Draft </w:t>
      </w:r>
      <w:r w:rsidR="00950E04">
        <w:t>2025 RPS</w:t>
      </w:r>
      <w:r>
        <w:t xml:space="preserve"> Plan.</w:t>
      </w:r>
    </w:p>
    <w:p w:rsidR="00AC2DAB" w:rsidP="00F277D4" w:rsidRDefault="00AC2DAB" w14:paraId="75DE63FE" w14:textId="707F80AB">
      <w:pPr>
        <w:pStyle w:val="CoL"/>
      </w:pPr>
      <w:r>
        <w:t>CleanPowerSF should provide additional analysis for the Long</w:t>
      </w:r>
      <w:r w:rsidR="00F82B5D">
        <w:noBreakHyphen/>
      </w:r>
      <w:r>
        <w:t xml:space="preserve">Term Procurement section of its Draft </w:t>
      </w:r>
      <w:r w:rsidR="00950E04">
        <w:t>2025 RPS</w:t>
      </w:r>
      <w:r>
        <w:t xml:space="preserve"> Plan.</w:t>
      </w:r>
    </w:p>
    <w:p w:rsidR="00C76D1B" w:rsidP="00F277D4" w:rsidRDefault="0060138B" w14:paraId="563FD96D" w14:textId="5B689061">
      <w:pPr>
        <w:pStyle w:val="CoL"/>
      </w:pPr>
      <w:r>
        <w:t xml:space="preserve">Pilot Power must provide additional information pertaining to </w:t>
      </w:r>
      <w:r w:rsidR="00D52F6A">
        <w:t xml:space="preserve">its </w:t>
      </w:r>
      <w:r>
        <w:t>long</w:t>
      </w:r>
      <w:r w:rsidR="00F82B5D">
        <w:noBreakHyphen/>
      </w:r>
      <w:r>
        <w:t xml:space="preserve">term </w:t>
      </w:r>
      <w:r w:rsidR="00D52F6A">
        <w:t>RPS position in the Long</w:t>
      </w:r>
      <w:r w:rsidR="00F82B5D">
        <w:noBreakHyphen/>
      </w:r>
      <w:r w:rsidR="00D52F6A">
        <w:t xml:space="preserve">Term Procurement section of its Draft </w:t>
      </w:r>
      <w:r w:rsidR="00950E04">
        <w:t>2025 RPS</w:t>
      </w:r>
      <w:r w:rsidR="00D52F6A">
        <w:t xml:space="preserve"> Plan.</w:t>
      </w:r>
    </w:p>
    <w:p w:rsidR="00E5394B" w:rsidP="00F277D4" w:rsidRDefault="00DA6578" w14:paraId="23F166BD" w14:textId="6CA14E02">
      <w:pPr>
        <w:pStyle w:val="CoL"/>
      </w:pPr>
      <w:r>
        <w:t>Shell E</w:t>
      </w:r>
      <w:r w:rsidR="0060138B">
        <w:t>nergy should</w:t>
      </w:r>
      <w:r w:rsidRPr="0060138B" w:rsidR="0060138B">
        <w:t xml:space="preserve"> revise </w:t>
      </w:r>
      <w:r w:rsidR="0060138B">
        <w:t>the Long</w:t>
      </w:r>
      <w:r w:rsidR="00F82B5D">
        <w:noBreakHyphen/>
      </w:r>
      <w:r w:rsidR="0060138B">
        <w:t xml:space="preserve">Term Procurement </w:t>
      </w:r>
      <w:r w:rsidRPr="0060138B" w:rsidR="0060138B">
        <w:t xml:space="preserve">section </w:t>
      </w:r>
      <w:r w:rsidR="0060138B">
        <w:t xml:space="preserve">of its plan </w:t>
      </w:r>
      <w:r w:rsidRPr="0060138B" w:rsidR="0060138B">
        <w:t>to more accurately describe its long</w:t>
      </w:r>
      <w:r w:rsidR="00F82B5D">
        <w:noBreakHyphen/>
      </w:r>
      <w:r w:rsidRPr="0060138B" w:rsidR="0060138B">
        <w:t>term contracting position and to provide more concrete steps for how it will address its current long</w:t>
      </w:r>
      <w:r w:rsidR="00F82B5D">
        <w:noBreakHyphen/>
      </w:r>
      <w:r w:rsidRPr="0060138B" w:rsidR="0060138B">
        <w:t>term procurement shortfall.</w:t>
      </w:r>
    </w:p>
    <w:p w:rsidR="004264FC" w:rsidP="00F277D4" w:rsidRDefault="00B313FC" w14:paraId="6EE9C8D1" w14:textId="028584A0">
      <w:pPr>
        <w:pStyle w:val="CoL"/>
      </w:pPr>
      <w:r>
        <w:t xml:space="preserve">CCAs </w:t>
      </w:r>
      <w:r w:rsidR="007E1530">
        <w:t xml:space="preserve">and ESPs </w:t>
      </w:r>
      <w:r>
        <w:t xml:space="preserve">listed in </w:t>
      </w:r>
      <w:r w:rsidR="00F920D3">
        <w:t>Table </w:t>
      </w:r>
      <w:r>
        <w:t>3 of this decision should provide additional information regarding transportation electrification.</w:t>
      </w:r>
    </w:p>
    <w:p w:rsidR="009125C3" w:rsidP="00F277D4" w:rsidRDefault="00DA6578" w14:paraId="385D44C9" w14:textId="5B263F7E">
      <w:pPr>
        <w:pStyle w:val="CoL"/>
      </w:pPr>
      <w:r>
        <w:lastRenderedPageBreak/>
        <w:t>Shell E</w:t>
      </w:r>
      <w:r w:rsidRPr="009125C3" w:rsidR="009125C3">
        <w:t xml:space="preserve">nergy </w:t>
      </w:r>
      <w:r w:rsidR="009125C3">
        <w:t xml:space="preserve">should </w:t>
      </w:r>
      <w:r w:rsidRPr="009125C3" w:rsidR="009125C3">
        <w:t xml:space="preserve">provide </w:t>
      </w:r>
      <w:r w:rsidR="009125C3">
        <w:t>the Portfolio Optimization</w:t>
      </w:r>
      <w:r w:rsidRPr="009125C3" w:rsidR="009125C3">
        <w:t xml:space="preserve"> section and describe how it is planning to optimize its RPS portfolio</w:t>
      </w:r>
      <w:r w:rsidR="00E94D3F">
        <w:t xml:space="preserve"> in its </w:t>
      </w:r>
      <w:r w:rsidR="00425679">
        <w:t>F</w:t>
      </w:r>
      <w:r w:rsidR="00E94D3F">
        <w:t xml:space="preserve">inal </w:t>
      </w:r>
      <w:r w:rsidR="00950E04">
        <w:t>2025 RPS</w:t>
      </w:r>
      <w:r w:rsidR="00E94D3F">
        <w:t xml:space="preserve"> Plan</w:t>
      </w:r>
      <w:r w:rsidR="009125C3">
        <w:t>.</w:t>
      </w:r>
    </w:p>
    <w:p w:rsidR="008A1D87" w:rsidP="00F277D4" w:rsidRDefault="00E801F1" w14:paraId="4442EF00" w14:textId="7BDAA8FA">
      <w:pPr>
        <w:pStyle w:val="CoL"/>
      </w:pPr>
      <w:r>
        <w:t xml:space="preserve">Marin Clean Energy should resolve inconsistencies related to </w:t>
      </w:r>
      <w:r w:rsidR="00432027">
        <w:t>the PDSU</w:t>
      </w:r>
      <w:r>
        <w:t xml:space="preserve"> section of its Draft </w:t>
      </w:r>
      <w:r w:rsidR="00950E04">
        <w:t>2025 RPS</w:t>
      </w:r>
      <w:r>
        <w:t xml:space="preserve"> Plan.</w:t>
      </w:r>
    </w:p>
    <w:p w:rsidR="00240BB2" w:rsidP="00F277D4" w:rsidRDefault="00DA6578" w14:paraId="340CA6D8" w14:textId="70EF6D46">
      <w:pPr>
        <w:pStyle w:val="CoL"/>
      </w:pPr>
      <w:r>
        <w:t>Shell E</w:t>
      </w:r>
      <w:r w:rsidRPr="00240BB2" w:rsidR="00240BB2">
        <w:t xml:space="preserve">nergy </w:t>
      </w:r>
      <w:r w:rsidR="004264FC">
        <w:t>should</w:t>
      </w:r>
      <w:r w:rsidRPr="00240BB2" w:rsidR="00240BB2">
        <w:t xml:space="preserve"> resolve inconsistencies related to </w:t>
      </w:r>
      <w:r w:rsidR="00432027">
        <w:t>the PDSU</w:t>
      </w:r>
      <w:r w:rsidR="00E801F1">
        <w:t xml:space="preserve"> section</w:t>
      </w:r>
      <w:r w:rsidRPr="00240BB2" w:rsidR="00240BB2">
        <w:t xml:space="preserve"> in </w:t>
      </w:r>
      <w:r w:rsidR="00E801F1">
        <w:t>its</w:t>
      </w:r>
      <w:r w:rsidRPr="00240BB2" w:rsidR="00240BB2">
        <w:t xml:space="preserve"> Final </w:t>
      </w:r>
      <w:r w:rsidR="00950E04">
        <w:t>2025 RPS</w:t>
      </w:r>
      <w:r w:rsidRPr="00240BB2" w:rsidR="00240BB2">
        <w:t xml:space="preserve"> Plan</w:t>
      </w:r>
      <w:r w:rsidR="00240BB2">
        <w:t>.</w:t>
      </w:r>
    </w:p>
    <w:p w:rsidR="008A1D87" w:rsidP="00F277D4" w:rsidRDefault="00240BB2" w14:paraId="2AB569CA" w14:textId="4F886A86">
      <w:pPr>
        <w:pStyle w:val="CoL"/>
      </w:pPr>
      <w:r w:rsidRPr="00240BB2">
        <w:t xml:space="preserve">Commercial Energy </w:t>
      </w:r>
      <w:r>
        <w:t>should</w:t>
      </w:r>
      <w:r w:rsidRPr="00240BB2">
        <w:t xml:space="preserve"> describe how it would minimize or address this potential compliance delay in its Final </w:t>
      </w:r>
      <w:r w:rsidR="00950E04">
        <w:t>2025 RPS</w:t>
      </w:r>
      <w:r w:rsidRPr="00240BB2">
        <w:t xml:space="preserve"> Plan</w:t>
      </w:r>
      <w:r>
        <w:t>.</w:t>
      </w:r>
    </w:p>
    <w:p w:rsidR="008A1D87" w:rsidP="00F277D4" w:rsidRDefault="003F130A" w14:paraId="2A62DD84" w14:textId="1A0FF5BD">
      <w:pPr>
        <w:pStyle w:val="CoL"/>
      </w:pPr>
      <w:r>
        <w:t xml:space="preserve">CleanPowerSF should update or clarify information pertaining to risk assessment in its Final </w:t>
      </w:r>
      <w:r w:rsidR="00950E04">
        <w:t>2025 RPS</w:t>
      </w:r>
      <w:r>
        <w:t xml:space="preserve"> Plan.</w:t>
      </w:r>
    </w:p>
    <w:p w:rsidR="008A1D87" w:rsidP="00F277D4" w:rsidRDefault="00207595" w14:paraId="72B4C1F2" w14:textId="518DABBB">
      <w:pPr>
        <w:pStyle w:val="CoL"/>
      </w:pPr>
      <w:r w:rsidRPr="00207595">
        <w:t xml:space="preserve">Calpine Energy Solutions should update or clarify information pertaining to </w:t>
      </w:r>
      <w:r w:rsidRPr="00207595" w:rsidR="002B0D8D">
        <w:t>Lessons Learned</w:t>
      </w:r>
      <w:r w:rsidR="002B0D8D">
        <w:t xml:space="preserve"> — </w:t>
      </w:r>
      <w:r w:rsidRPr="00207595" w:rsidR="002B0D8D">
        <w:t>Risk Assessment</w:t>
      </w:r>
      <w:r w:rsidRPr="00207595">
        <w:t xml:space="preserve"> in its Final </w:t>
      </w:r>
      <w:r w:rsidR="00950E04">
        <w:t>2025 RPS</w:t>
      </w:r>
      <w:r w:rsidRPr="00207595">
        <w:t xml:space="preserve"> Plan.</w:t>
      </w:r>
    </w:p>
    <w:p w:rsidR="008A1D87" w:rsidP="00F277D4" w:rsidRDefault="0081756F" w14:paraId="4B91C393" w14:textId="22F4BA04">
      <w:pPr>
        <w:pStyle w:val="CoL"/>
      </w:pPr>
      <w:r>
        <w:t xml:space="preserve">The City of Pomona should clarify information pertaining to RNS calculations in its Final </w:t>
      </w:r>
      <w:r w:rsidR="00950E04">
        <w:t>2025 RPS</w:t>
      </w:r>
      <w:r>
        <w:t xml:space="preserve"> Plan.</w:t>
      </w:r>
    </w:p>
    <w:p w:rsidR="008A1D87" w:rsidP="00F277D4" w:rsidRDefault="0081756F" w14:paraId="167972B4" w14:textId="4DB3E2E9">
      <w:pPr>
        <w:pStyle w:val="CoL"/>
      </w:pPr>
      <w:r>
        <w:t xml:space="preserve">Lancaster Choice Energy should clarify </w:t>
      </w:r>
      <w:r w:rsidRPr="0081756F">
        <w:t xml:space="preserve">information pertaining to RNS calculations in its Final </w:t>
      </w:r>
      <w:r w:rsidR="00950E04">
        <w:t>2025 RPS</w:t>
      </w:r>
      <w:r w:rsidRPr="0081756F">
        <w:t xml:space="preserve"> Plan.</w:t>
      </w:r>
    </w:p>
    <w:p w:rsidR="008A1D87" w:rsidP="00F277D4" w:rsidRDefault="0081756F" w14:paraId="39986954" w14:textId="7E8BA507">
      <w:pPr>
        <w:pStyle w:val="CoL"/>
      </w:pPr>
      <w:r>
        <w:t xml:space="preserve">Pico Rivera should clarify </w:t>
      </w:r>
      <w:r w:rsidRPr="0081756F">
        <w:t xml:space="preserve">information pertaining to RNS calculations in its Final </w:t>
      </w:r>
      <w:r w:rsidR="00950E04">
        <w:t>2025 RPS</w:t>
      </w:r>
      <w:r w:rsidRPr="0081756F">
        <w:t xml:space="preserve"> Plan.</w:t>
      </w:r>
    </w:p>
    <w:p w:rsidR="008A1D87" w:rsidP="00F277D4" w:rsidRDefault="00DA6578" w14:paraId="4E55BF2C" w14:textId="7F56B5EF">
      <w:pPr>
        <w:pStyle w:val="CoL"/>
      </w:pPr>
      <w:r>
        <w:t>Shell E</w:t>
      </w:r>
      <w:r w:rsidR="0095710A">
        <w:t xml:space="preserve">nergy should revise its RNS calculations section of its Draft </w:t>
      </w:r>
      <w:r w:rsidR="00950E04">
        <w:t>2025 RPS</w:t>
      </w:r>
      <w:r w:rsidR="0095710A">
        <w:t xml:space="preserve"> Plan according to the directives provided in </w:t>
      </w:r>
      <w:r w:rsidR="009850E3">
        <w:t>Section </w:t>
      </w:r>
      <w:r w:rsidR="00EE0256">
        <w:t>8</w:t>
      </w:r>
      <w:r w:rsidR="0095710A">
        <w:t>.3.9 of this decision.</w:t>
      </w:r>
    </w:p>
    <w:p w:rsidR="008A1D87" w:rsidP="00F277D4" w:rsidRDefault="00F771D7" w14:paraId="235E5F94" w14:textId="3C8E842A">
      <w:pPr>
        <w:pStyle w:val="CoL"/>
      </w:pPr>
      <w:r>
        <w:t>The City of Palmdale should revise</w:t>
      </w:r>
      <w:r w:rsidR="00C72383">
        <w:t xml:space="preserve"> the</w:t>
      </w:r>
      <w:r>
        <w:t xml:space="preserve"> MMoP section of its Draft </w:t>
      </w:r>
      <w:r w:rsidR="00950E04">
        <w:t>2025 RPS</w:t>
      </w:r>
      <w:r>
        <w:t xml:space="preserve"> Plan as directed in </w:t>
      </w:r>
      <w:r w:rsidR="009850E3">
        <w:t>Section </w:t>
      </w:r>
      <w:r w:rsidR="00EE0256">
        <w:t>8</w:t>
      </w:r>
      <w:r>
        <w:t>.3.10 of this decision.</w:t>
      </w:r>
    </w:p>
    <w:p w:rsidR="00C956F6" w:rsidP="00F277D4" w:rsidRDefault="00C956F6" w14:paraId="4544DC9B" w14:textId="4271204A">
      <w:pPr>
        <w:pStyle w:val="CoL"/>
      </w:pPr>
      <w:r>
        <w:t xml:space="preserve">The City of </w:t>
      </w:r>
      <w:r w:rsidR="00B471F2">
        <w:t>Santa </w:t>
      </w:r>
      <w:r>
        <w:t>Barbara should</w:t>
      </w:r>
      <w:r w:rsidRPr="00C956F6">
        <w:t xml:space="preserve"> revise</w:t>
      </w:r>
      <w:r w:rsidR="00C72383">
        <w:t xml:space="preserve"> the</w:t>
      </w:r>
      <w:r w:rsidRPr="00C956F6">
        <w:t xml:space="preserve"> MMoP section of its Draft </w:t>
      </w:r>
      <w:r w:rsidR="00950E04">
        <w:t>2025 RPS</w:t>
      </w:r>
      <w:r w:rsidRPr="00C956F6">
        <w:t xml:space="preserve"> Plan as directed in </w:t>
      </w:r>
      <w:r w:rsidR="009850E3">
        <w:t>Section </w:t>
      </w:r>
      <w:r w:rsidR="00EE0256">
        <w:t>8</w:t>
      </w:r>
      <w:r w:rsidRPr="00C956F6">
        <w:t>.3.10 of this decision.</w:t>
      </w:r>
    </w:p>
    <w:p w:rsidR="008A1D87" w:rsidP="00F277D4" w:rsidRDefault="00DA6578" w14:paraId="784EFA14" w14:textId="2F672E00">
      <w:pPr>
        <w:pStyle w:val="CoL"/>
      </w:pPr>
      <w:r>
        <w:lastRenderedPageBreak/>
        <w:t>Shell E</w:t>
      </w:r>
      <w:r w:rsidR="00C956F6">
        <w:t xml:space="preserve">nergy should provide the missing MMoP section in its Final </w:t>
      </w:r>
      <w:r w:rsidR="00950E04">
        <w:t>2025 RPS</w:t>
      </w:r>
      <w:r w:rsidR="00C956F6">
        <w:t xml:space="preserve"> Plan.</w:t>
      </w:r>
    </w:p>
    <w:p w:rsidR="00FC652C" w:rsidP="00F277D4" w:rsidRDefault="00FC652C" w14:paraId="730D2950" w14:textId="08F09958">
      <w:pPr>
        <w:pStyle w:val="CoL"/>
      </w:pPr>
      <w:r>
        <w:t xml:space="preserve">The City of </w:t>
      </w:r>
      <w:r w:rsidR="00207595">
        <w:t>Palmdale</w:t>
      </w:r>
      <w:r>
        <w:t xml:space="preserve"> should </w:t>
      </w:r>
      <w:r w:rsidRPr="00FC652C">
        <w:t>revise</w:t>
      </w:r>
      <w:r>
        <w:t xml:space="preserve"> Bid Solicitation Protocol</w:t>
      </w:r>
      <w:r w:rsidRPr="00FC652C">
        <w:t xml:space="preserve"> section of its Draft </w:t>
      </w:r>
      <w:r w:rsidR="00950E04">
        <w:t>2025 RPS</w:t>
      </w:r>
      <w:r w:rsidRPr="00FC652C">
        <w:t xml:space="preserve"> Plan as directed in </w:t>
      </w:r>
      <w:r w:rsidR="009850E3">
        <w:t>Section </w:t>
      </w:r>
      <w:r w:rsidR="00EE0256">
        <w:t>8</w:t>
      </w:r>
      <w:r w:rsidRPr="00FC652C">
        <w:t>.3.1</w:t>
      </w:r>
      <w:r>
        <w:t>1</w:t>
      </w:r>
      <w:r w:rsidRPr="00FC652C">
        <w:t xml:space="preserve"> of this decision.</w:t>
      </w:r>
    </w:p>
    <w:p w:rsidR="009749BE" w:rsidP="00F277D4" w:rsidRDefault="00DA6578" w14:paraId="762CBDF1" w14:textId="11376C02">
      <w:pPr>
        <w:pStyle w:val="CoL"/>
      </w:pPr>
      <w:r>
        <w:t>Shell E</w:t>
      </w:r>
      <w:r w:rsidR="009749BE">
        <w:t xml:space="preserve">nergy should resolve the formatting issues pertaining to </w:t>
      </w:r>
      <w:r w:rsidR="00C72383">
        <w:t xml:space="preserve">the </w:t>
      </w:r>
      <w:r w:rsidRPr="009749BE" w:rsidR="009749BE">
        <w:t>Bid Solicitation Protocol section</w:t>
      </w:r>
      <w:r w:rsidR="009749BE">
        <w:t xml:space="preserve"> of its Draft </w:t>
      </w:r>
      <w:r w:rsidR="00950E04">
        <w:t>2025 RPS</w:t>
      </w:r>
      <w:r w:rsidR="009749BE">
        <w:t xml:space="preserve"> Plan as directed in </w:t>
      </w:r>
      <w:r w:rsidR="009850E3">
        <w:t>Section </w:t>
      </w:r>
      <w:r w:rsidR="00EE0256">
        <w:t>8</w:t>
      </w:r>
      <w:r w:rsidRPr="009749BE" w:rsidR="009749BE">
        <w:t>.3.11 of this decision</w:t>
      </w:r>
      <w:r w:rsidR="009749BE">
        <w:t>.</w:t>
      </w:r>
    </w:p>
    <w:p w:rsidR="008A1D87" w:rsidP="00F277D4" w:rsidRDefault="00DA6578" w14:paraId="182F136F" w14:textId="6B42D7A7">
      <w:pPr>
        <w:pStyle w:val="CoL"/>
      </w:pPr>
      <w:r>
        <w:t>Shell E</w:t>
      </w:r>
      <w:r w:rsidRPr="009749BE" w:rsidR="009749BE">
        <w:t xml:space="preserve">nergy should provide </w:t>
      </w:r>
      <w:r w:rsidR="009749BE">
        <w:t xml:space="preserve">Solicitation Protocols for Renewable </w:t>
      </w:r>
      <w:r w:rsidR="00CD70BD">
        <w:t xml:space="preserve">Sales </w:t>
      </w:r>
      <w:r w:rsidRPr="009749BE" w:rsidR="00CD70BD">
        <w:t>section</w:t>
      </w:r>
      <w:r w:rsidRPr="009749BE" w:rsidR="009749BE">
        <w:t xml:space="preserve"> </w:t>
      </w:r>
      <w:r w:rsidR="00207595">
        <w:t xml:space="preserve">of its Draft </w:t>
      </w:r>
      <w:r w:rsidR="00950E04">
        <w:t>2025 RPS</w:t>
      </w:r>
      <w:r w:rsidR="00207595">
        <w:t xml:space="preserve"> Plan </w:t>
      </w:r>
      <w:r w:rsidR="009749BE">
        <w:t xml:space="preserve">in </w:t>
      </w:r>
      <w:r w:rsidRPr="009749BE" w:rsidR="009749BE">
        <w:t>the correct section and formatting in accordance with the 2025 ACR instructions.</w:t>
      </w:r>
    </w:p>
    <w:p w:rsidR="008A1D87" w:rsidP="00F277D4" w:rsidRDefault="007B3E69" w14:paraId="3A7CB580" w14:textId="1637548F">
      <w:pPr>
        <w:pStyle w:val="CoL"/>
      </w:pPr>
      <w:r>
        <w:t>It is reasonable to grant BREMUS</w:t>
      </w:r>
      <w:r w:rsidR="00C72383">
        <w:t>’</w:t>
      </w:r>
      <w:r>
        <w:t xml:space="preserve"> motion to be exempt from filing this year</w:t>
      </w:r>
      <w:r w:rsidR="005A00BE">
        <w:t>’</w:t>
      </w:r>
      <w:r>
        <w:t>s and future years</w:t>
      </w:r>
      <w:r w:rsidR="005A00BE">
        <w:t>’</w:t>
      </w:r>
      <w:r>
        <w:t xml:space="preserve"> RPS Plans.</w:t>
      </w:r>
    </w:p>
    <w:p w:rsidRPr="00BE4F56" w:rsidR="00F913B1" w:rsidP="00F913B1" w:rsidRDefault="00F913B1" w14:paraId="0ACD9B87" w14:textId="0D49CEAD">
      <w:pPr>
        <w:pStyle w:val="CoL"/>
      </w:pPr>
      <w:r w:rsidRPr="00BE4F56">
        <w:t xml:space="preserve">SCE’s </w:t>
      </w:r>
      <w:r w:rsidRPr="00AB3B5C" w:rsidR="00AB3B5C">
        <w:t>and SDG&amp;E’s motions to update their Draft 2025 RPS Plans should be granted</w:t>
      </w:r>
      <w:r w:rsidRPr="00BE4F56" w:rsidR="006033CB">
        <w:t>.</w:t>
      </w:r>
    </w:p>
    <w:p w:rsidRPr="00BE4F56" w:rsidR="00F913B1" w:rsidP="00F913B1" w:rsidRDefault="00F913B1" w14:paraId="0CD43428" w14:textId="363700F0">
      <w:pPr>
        <w:pStyle w:val="CoL"/>
      </w:pPr>
      <w:r w:rsidRPr="00BE4F56">
        <w:t xml:space="preserve">SCE’s Motion to File its Updated RPS Plan under </w:t>
      </w:r>
      <w:r w:rsidR="00BE4F56">
        <w:t>s</w:t>
      </w:r>
      <w:r w:rsidRPr="00BE4F56">
        <w:t>eal</w:t>
      </w:r>
      <w:r w:rsidRPr="00BE4F56" w:rsidR="006033CB">
        <w:t xml:space="preserve"> should be granted.</w:t>
      </w:r>
    </w:p>
    <w:p w:rsidRPr="00BE4F56" w:rsidR="00F913B1" w:rsidP="00F913B1" w:rsidRDefault="00F913B1" w14:paraId="5DB5560D" w14:textId="7E95EA8B">
      <w:pPr>
        <w:pStyle w:val="CoL"/>
      </w:pPr>
      <w:r w:rsidRPr="00BE4F56">
        <w:t xml:space="preserve">SDG&amp;E’s Motion to File </w:t>
      </w:r>
      <w:r w:rsidR="00AB3B5C">
        <w:t xml:space="preserve">its Updated RPS Plan </w:t>
      </w:r>
      <w:r w:rsidRPr="00BE4F56">
        <w:t>under seal</w:t>
      </w:r>
      <w:r w:rsidRPr="00BE4F56" w:rsidR="006033CB">
        <w:t xml:space="preserve"> should be granted.</w:t>
      </w:r>
    </w:p>
    <w:p w:rsidR="008C6ED1" w:rsidP="00F277D4" w:rsidRDefault="00055142" w14:paraId="3265D02A" w14:textId="4BFD2D61">
      <w:pPr>
        <w:pStyle w:val="CoL"/>
      </w:pPr>
      <w:r>
        <w:t>The m</w:t>
      </w:r>
      <w:r w:rsidRPr="008C6ED1" w:rsidR="008C6ED1">
        <w:t xml:space="preserve">otion of </w:t>
      </w:r>
      <w:r w:rsidR="000C5099">
        <w:t>Cal Advoc</w:t>
      </w:r>
      <w:r w:rsidRPr="008C6ED1" w:rsidR="008C6ED1">
        <w:t xml:space="preserve">ates for an order allowing it to file under seal the confidential version of </w:t>
      </w:r>
      <w:r w:rsidR="00E92F23">
        <w:t>Cal Advocates’ Comments</w:t>
      </w:r>
      <w:r w:rsidR="008C6ED1">
        <w:t xml:space="preserve"> </w:t>
      </w:r>
      <w:r w:rsidR="001B4092">
        <w:t>should be</w:t>
      </w:r>
      <w:r w:rsidR="008C6ED1">
        <w:t xml:space="preserve"> granted.</w:t>
      </w:r>
    </w:p>
    <w:p w:rsidR="008C6ED1" w:rsidP="00AB3B5C" w:rsidRDefault="000C5099" w14:paraId="5745AA5B" w14:textId="513CD490">
      <w:pPr>
        <w:pStyle w:val="CoL"/>
      </w:pPr>
      <w:r>
        <w:t>Cal Advoc</w:t>
      </w:r>
      <w:r w:rsidRPr="008C6ED1" w:rsidR="008C6ED1">
        <w:t>ates</w:t>
      </w:r>
      <w:r w:rsidR="005A00BE">
        <w:t>’</w:t>
      </w:r>
      <w:r w:rsidRPr="008C6ED1" w:rsidR="008C6ED1">
        <w:t xml:space="preserve"> motion for leave to file under seal the confidential version of </w:t>
      </w:r>
      <w:r w:rsidR="004753BB">
        <w:t>Cal Advocates’ Response to Updated RPS Plans</w:t>
      </w:r>
      <w:r w:rsidRPr="008C6ED1" w:rsidR="008C6ED1">
        <w:t xml:space="preserve"> </w:t>
      </w:r>
      <w:r w:rsidR="001B4092">
        <w:t>should be</w:t>
      </w:r>
      <w:r w:rsidRPr="008C6ED1" w:rsidR="008C6ED1">
        <w:t xml:space="preserve"> granted</w:t>
      </w:r>
      <w:r w:rsidR="008C6ED1">
        <w:t>.</w:t>
      </w:r>
    </w:p>
    <w:p w:rsidRPr="003F2E2D" w:rsidR="003F2E2D" w:rsidP="00F277D4" w:rsidRDefault="003F2E2D" w14:paraId="2762DA1A" w14:textId="58578E6C">
      <w:pPr>
        <w:pStyle w:val="CoL"/>
      </w:pPr>
      <w:r w:rsidRPr="003F2E2D">
        <w:t xml:space="preserve">Retail sellers as identified in </w:t>
      </w:r>
      <w:r w:rsidR="00F920D3">
        <w:t>Table </w:t>
      </w:r>
      <w:r w:rsidR="007F2CE8">
        <w:t>12</w:t>
      </w:r>
      <w:r w:rsidRPr="003F2E2D">
        <w:t xml:space="preserve"> should un</w:t>
      </w:r>
      <w:r w:rsidR="00F82B5D">
        <w:noBreakHyphen/>
      </w:r>
      <w:r w:rsidRPr="003F2E2D">
        <w:t>redact non</w:t>
      </w:r>
      <w:r w:rsidR="00F82B5D">
        <w:noBreakHyphen/>
      </w:r>
      <w:r w:rsidRPr="003F2E2D">
        <w:t xml:space="preserve">confidential material in their Final </w:t>
      </w:r>
      <w:r w:rsidR="00950E04">
        <w:t>2025 RPS</w:t>
      </w:r>
      <w:r w:rsidRPr="003F2E2D">
        <w:t xml:space="preserve"> Plans to comply with guidance in D.06</w:t>
      </w:r>
      <w:r w:rsidR="00F82B5D">
        <w:noBreakHyphen/>
      </w:r>
      <w:r w:rsidRPr="003F2E2D">
        <w:t>06</w:t>
      </w:r>
      <w:r w:rsidR="00F82B5D">
        <w:noBreakHyphen/>
      </w:r>
      <w:r w:rsidRPr="003F2E2D">
        <w:t>066, as modified by D.21</w:t>
      </w:r>
      <w:r w:rsidR="00F82B5D">
        <w:noBreakHyphen/>
      </w:r>
      <w:r w:rsidRPr="003F2E2D">
        <w:t>11</w:t>
      </w:r>
      <w:r w:rsidR="00F82B5D">
        <w:noBreakHyphen/>
      </w:r>
      <w:r w:rsidRPr="003F2E2D">
        <w:t>029.</w:t>
      </w:r>
    </w:p>
    <w:p w:rsidRPr="001E2A62" w:rsidR="003F2E2D" w:rsidP="00F277D4" w:rsidRDefault="003F2E2D" w14:paraId="7C6D842D" w14:textId="1198BC39">
      <w:pPr>
        <w:pStyle w:val="CoL"/>
      </w:pPr>
      <w:r>
        <w:t>This proceeding should remain open.</w:t>
      </w:r>
    </w:p>
    <w:p w:rsidRPr="001F5768" w:rsidR="00BB0243" w:rsidP="00F277D4" w:rsidRDefault="005939A5" w14:paraId="323CBB6A" w14:textId="77777777">
      <w:pPr>
        <w:pStyle w:val="Mainex"/>
      </w:pPr>
      <w:bookmarkStart w:name="_Toc212716190" w:id="161"/>
      <w:bookmarkStart w:name="_Toc214004395" w:id="162"/>
      <w:r>
        <w:lastRenderedPageBreak/>
        <w:t>O</w:t>
      </w:r>
      <w:r w:rsidR="00722850">
        <w:t>RDER</w:t>
      </w:r>
      <w:bookmarkEnd w:id="161"/>
      <w:bookmarkEnd w:id="162"/>
    </w:p>
    <w:p w:rsidR="00BB0243" w:rsidP="00F277D4" w:rsidRDefault="00BB0243" w14:paraId="5EEEB011" w14:textId="77777777">
      <w:pPr>
        <w:pStyle w:val="Standard"/>
        <w:keepNext/>
      </w:pPr>
      <w:r w:rsidRPr="00F937FC">
        <w:rPr>
          <w:b/>
          <w:bCs/>
        </w:rPr>
        <w:t>IT IS ORDERED</w:t>
      </w:r>
      <w:r>
        <w:t xml:space="preserve"> that:</w:t>
      </w:r>
    </w:p>
    <w:p w:rsidR="008A1D87" w:rsidP="00F277D4" w:rsidRDefault="00F966D3" w14:paraId="3C50249E" w14:textId="1F14F951">
      <w:pPr>
        <w:pStyle w:val="OP"/>
      </w:pPr>
      <w:r>
        <w:t xml:space="preserve">Pursuant to the authority provided in Public Utilities Code </w:t>
      </w:r>
      <w:r w:rsidR="009850E3">
        <w:t>Section </w:t>
      </w:r>
      <w:r>
        <w:t>399.13(a)(1), the Draft 202</w:t>
      </w:r>
      <w:r w:rsidR="0009300D">
        <w:t>5</w:t>
      </w:r>
      <w:r>
        <w:t xml:space="preserve"> Renewables Portfolio Standard Procurement Plans filed by Pacific Gas and Electric Company, Southern California Edison</w:t>
      </w:r>
      <w:r w:rsidR="00F63DF1">
        <w:t xml:space="preserve"> Company</w:t>
      </w:r>
      <w:r>
        <w:t xml:space="preserve">, and </w:t>
      </w:r>
      <w:r w:rsidR="00B471F2">
        <w:t>San </w:t>
      </w:r>
      <w:r>
        <w:t>Diego Gas</w:t>
      </w:r>
      <w:r w:rsidR="00B471F2">
        <w:t xml:space="preserve"> &amp; </w:t>
      </w:r>
      <w:r>
        <w:t>Electric Company are accepted, as modified herein.</w:t>
      </w:r>
    </w:p>
    <w:p w:rsidR="00932865" w:rsidP="00F277D4" w:rsidRDefault="00474636" w14:paraId="05E55EDC" w14:textId="5EFF02AF">
      <w:pPr>
        <w:pStyle w:val="OP"/>
      </w:pPr>
      <w:r w:rsidRPr="00474636">
        <w:t xml:space="preserve">Pacific Gas and Electric Company, Southern California Edison Company, and </w:t>
      </w:r>
      <w:r w:rsidR="00B471F2">
        <w:t>San </w:t>
      </w:r>
      <w:r w:rsidRPr="00474636">
        <w:t>Diego Gas</w:t>
      </w:r>
      <w:r w:rsidR="00B471F2">
        <w:t xml:space="preserve"> &amp; </w:t>
      </w:r>
      <w:r w:rsidRPr="00474636">
        <w:t xml:space="preserve">Electric Company must file a clean version and a redlined copy of their Final Renewables Portfolio Standard Procurement Plans </w:t>
      </w:r>
      <w:r w:rsidR="004B45C0">
        <w:t xml:space="preserve">as a compliance filing in this proceeding </w:t>
      </w:r>
      <w:r w:rsidRPr="00474636">
        <w:t>within 30 days of the issuance date of this decision</w:t>
      </w:r>
      <w:r>
        <w:t>.</w:t>
      </w:r>
    </w:p>
    <w:p w:rsidR="00C50133" w:rsidP="00F277D4" w:rsidRDefault="00C50133" w14:paraId="2095D161" w14:textId="3680ADD5">
      <w:pPr>
        <w:pStyle w:val="OP"/>
      </w:pPr>
      <w:r w:rsidRPr="00C50133">
        <w:t>Pacific Gas and Electric Company</w:t>
      </w:r>
      <w:r w:rsidR="005A00BE">
        <w:t>’</w:t>
      </w:r>
      <w:r w:rsidRPr="00C50133">
        <w:t>s request fo</w:t>
      </w:r>
      <w:r>
        <w:t>r streamlined approval for short</w:t>
      </w:r>
      <w:r w:rsidR="00F82B5D">
        <w:noBreakHyphen/>
      </w:r>
      <w:r>
        <w:t xml:space="preserve">term </w:t>
      </w:r>
      <w:r w:rsidRPr="00474636" w:rsidR="002E219E">
        <w:t>Renewables Portfolio Standard</w:t>
      </w:r>
      <w:r w:rsidR="002E219E">
        <w:t xml:space="preserve"> </w:t>
      </w:r>
      <w:r>
        <w:t>transactions with terms of up to three years is denied</w:t>
      </w:r>
      <w:r w:rsidR="00DB21E8">
        <w:t xml:space="preserve"> without prejudice</w:t>
      </w:r>
      <w:r>
        <w:t>.</w:t>
      </w:r>
    </w:p>
    <w:p w:rsidR="00C50133" w:rsidP="00F277D4" w:rsidRDefault="00C50133" w14:paraId="5E29855F" w14:textId="1904BA0B">
      <w:pPr>
        <w:pStyle w:val="OP"/>
      </w:pPr>
      <w:r>
        <w:t>Pacific Gas and Electric Company</w:t>
      </w:r>
      <w:r w:rsidR="005A00BE">
        <w:t>’</w:t>
      </w:r>
      <w:r>
        <w:t xml:space="preserve">s request for </w:t>
      </w:r>
      <w:bookmarkStart w:name="_Hlk211408999" w:id="163"/>
      <w:r>
        <w:t>authority to procure short</w:t>
      </w:r>
      <w:r w:rsidR="00F82B5D">
        <w:noBreakHyphen/>
      </w:r>
      <w:r>
        <w:t>term and long</w:t>
      </w:r>
      <w:r w:rsidR="00F82B5D">
        <w:noBreakHyphen/>
      </w:r>
      <w:r>
        <w:t xml:space="preserve">term Renewables Portfolio Standard (RPS) eligible resources is approved to the extent the procurement is either needed to meet RPS needs or to comply with </w:t>
      </w:r>
      <w:r w:rsidR="00926DB1">
        <w:t xml:space="preserve">California Public Utilities </w:t>
      </w:r>
      <w:r>
        <w:t>Commission</w:t>
      </w:r>
      <w:r w:rsidR="005A00BE">
        <w:t>’</w:t>
      </w:r>
      <w:r>
        <w:t>s procurement</w:t>
      </w:r>
      <w:r w:rsidR="00F82B5D">
        <w:noBreakHyphen/>
      </w:r>
      <w:r>
        <w:t>related orders issued in the Integrated Resource Planning proceeding</w:t>
      </w:r>
      <w:bookmarkEnd w:id="163"/>
      <w:r>
        <w:t>.</w:t>
      </w:r>
    </w:p>
    <w:p w:rsidR="00C50133" w:rsidP="00F277D4" w:rsidRDefault="0030474D" w14:paraId="2A6B9A9F" w14:textId="35755869">
      <w:pPr>
        <w:pStyle w:val="OP"/>
      </w:pPr>
      <w:r w:rsidRPr="0030474D">
        <w:t>Pacific Gas and Electric Company is authorized to renegotiate the contracts in its Renewables Portfolio Standard portfolio</w:t>
      </w:r>
      <w:r>
        <w:t>.</w:t>
      </w:r>
    </w:p>
    <w:p w:rsidR="00C50133" w:rsidP="00F277D4" w:rsidRDefault="00C50133" w14:paraId="235C3255" w14:textId="47C2C0D7">
      <w:pPr>
        <w:pStyle w:val="OP"/>
      </w:pPr>
      <w:r w:rsidRPr="00C50133">
        <w:t>Pacific Gas and Electric Company</w:t>
      </w:r>
      <w:r w:rsidR="005A00BE">
        <w:t>’</w:t>
      </w:r>
      <w:r w:rsidRPr="00C50133">
        <w:t xml:space="preserve">s request to </w:t>
      </w:r>
      <w:r w:rsidR="00251059">
        <w:t xml:space="preserve">transact </w:t>
      </w:r>
      <w:r w:rsidRPr="00251059" w:rsidR="00251059">
        <w:t xml:space="preserve">Renewables Portfolio Standard </w:t>
      </w:r>
      <w:r w:rsidR="00251059">
        <w:t xml:space="preserve">eligible products via </w:t>
      </w:r>
      <w:r w:rsidRPr="00C50133">
        <w:t xml:space="preserve">bilateral negotiations </w:t>
      </w:r>
      <w:r>
        <w:t>is approved.</w:t>
      </w:r>
    </w:p>
    <w:p w:rsidR="00CB4088" w:rsidP="00F277D4" w:rsidRDefault="00C50133" w14:paraId="3B9BFE40" w14:textId="0D9641DF">
      <w:pPr>
        <w:pStyle w:val="OP"/>
      </w:pPr>
      <w:r>
        <w:lastRenderedPageBreak/>
        <w:t>Pacific Gas and Electric Company</w:t>
      </w:r>
      <w:r w:rsidR="005A00BE">
        <w:t>’</w:t>
      </w:r>
      <w:r>
        <w:t>s request to transact bundled</w:t>
      </w:r>
      <w:r w:rsidR="00CB4088">
        <w:t xml:space="preserve"> and unbundled</w:t>
      </w:r>
      <w:r>
        <w:t xml:space="preserve"> Renewables Portfolio Standard eligible product sales for deliveries of less than five years forward from the execution date is approved.</w:t>
      </w:r>
    </w:p>
    <w:p w:rsidR="00C50133" w:rsidP="00F277D4" w:rsidRDefault="00C50133" w14:paraId="5F0886EA" w14:textId="6A33A8A0">
      <w:pPr>
        <w:pStyle w:val="OP"/>
      </w:pPr>
      <w:r>
        <w:t>Pacific Gas and Electric Company is authorized to participate in other market participants</w:t>
      </w:r>
      <w:r w:rsidR="005A00BE">
        <w:t>’</w:t>
      </w:r>
      <w:r>
        <w:t xml:space="preserve"> competitive solicitations.</w:t>
      </w:r>
    </w:p>
    <w:p w:rsidR="008A1D87" w:rsidP="00F277D4" w:rsidRDefault="00C50133" w14:paraId="45E51952" w14:textId="77777777">
      <w:pPr>
        <w:pStyle w:val="OP"/>
      </w:pPr>
      <w:r>
        <w:t>Pacific Gas and Electric Company is authorized to conduct Renewables Portfolio Standard transactions through brokers and exchanges.</w:t>
      </w:r>
    </w:p>
    <w:p w:rsidR="00C50133" w:rsidP="00F277D4" w:rsidRDefault="00C50133" w14:paraId="08CEE4C4" w14:textId="6999A1E7">
      <w:pPr>
        <w:pStyle w:val="OP"/>
      </w:pPr>
      <w:r>
        <w:t>Pacific Gas and Electric Company is authorized to retire renewable energy credits for the Low Carbon Fuel Standard credits.</w:t>
      </w:r>
    </w:p>
    <w:p w:rsidR="008A1D87" w:rsidP="00F277D4" w:rsidRDefault="00EE4747" w14:paraId="5C43CDD6" w14:textId="0383F578">
      <w:pPr>
        <w:pStyle w:val="OP"/>
      </w:pPr>
      <w:r w:rsidRPr="00EE4747">
        <w:t>Pacific Gas and Electric Company</w:t>
      </w:r>
      <w:r>
        <w:t xml:space="preserve"> must address the deficiencies identified in </w:t>
      </w:r>
      <w:r w:rsidR="009850E3">
        <w:t>Section </w:t>
      </w:r>
      <w:r w:rsidR="00EE0256">
        <w:t>6</w:t>
      </w:r>
      <w:r>
        <w:t xml:space="preserve">.2.9 of this decision in its Final 2025 </w:t>
      </w:r>
      <w:r w:rsidRPr="00EE4747">
        <w:t>Renewables Portfolio Standard</w:t>
      </w:r>
      <w:r>
        <w:t xml:space="preserve"> Plan.</w:t>
      </w:r>
    </w:p>
    <w:p w:rsidR="00BE1672" w:rsidP="00F277D4" w:rsidRDefault="00BE1672" w14:paraId="2358E4CF" w14:textId="2A41842F">
      <w:pPr>
        <w:pStyle w:val="OP"/>
      </w:pPr>
      <w:r w:rsidRPr="00BE1672">
        <w:t>Southern California Edison Company</w:t>
      </w:r>
      <w:r>
        <w:t xml:space="preserve"> is authorized to procure additional </w:t>
      </w:r>
      <w:r w:rsidRPr="00BE1672">
        <w:t>Renewables Portfolio Standard</w:t>
      </w:r>
      <w:r w:rsidR="006C66E7">
        <w:t xml:space="preserve"> (RPS)</w:t>
      </w:r>
      <w:r>
        <w:t xml:space="preserve"> eligible resources</w:t>
      </w:r>
      <w:r w:rsidR="00895CB5">
        <w:t xml:space="preserve"> to </w:t>
      </w:r>
      <w:r w:rsidRPr="00895CB5" w:rsidR="00895CB5">
        <w:t xml:space="preserve">the extent the procurement is either needed to meet </w:t>
      </w:r>
      <w:r w:rsidR="006C66E7">
        <w:t xml:space="preserve">RPS </w:t>
      </w:r>
      <w:r w:rsidRPr="00895CB5" w:rsidR="00895CB5">
        <w:t xml:space="preserve">needs or to comply with </w:t>
      </w:r>
      <w:r w:rsidR="00075F84">
        <w:t xml:space="preserve">California Public Utilities </w:t>
      </w:r>
      <w:r w:rsidRPr="00895CB5" w:rsidR="00895CB5">
        <w:t>Commission</w:t>
      </w:r>
      <w:r w:rsidR="005A00BE">
        <w:t>’</w:t>
      </w:r>
      <w:r w:rsidRPr="00895CB5" w:rsidR="00895CB5">
        <w:t>s procurement</w:t>
      </w:r>
      <w:r w:rsidR="00F82B5D">
        <w:noBreakHyphen/>
      </w:r>
      <w:r w:rsidRPr="00895CB5" w:rsidR="00895CB5">
        <w:t>related orders issued in the Integrated Resource Planning proceeding</w:t>
      </w:r>
      <w:r w:rsidR="00895CB5">
        <w:t>.</w:t>
      </w:r>
    </w:p>
    <w:p w:rsidR="008A1D87" w:rsidP="00F277D4" w:rsidRDefault="00EA7EAD" w14:paraId="1A94C69E" w14:textId="5B0CCF9A">
      <w:pPr>
        <w:pStyle w:val="OP"/>
      </w:pPr>
      <w:r>
        <w:t>Southern California Edison Company is authorized to purchase and sell short</w:t>
      </w:r>
      <w:r w:rsidR="00F82B5D">
        <w:noBreakHyphen/>
      </w:r>
      <w:r>
        <w:t xml:space="preserve">term </w:t>
      </w:r>
      <w:r w:rsidR="009C3509">
        <w:t>and long</w:t>
      </w:r>
      <w:r w:rsidR="00F82B5D">
        <w:noBreakHyphen/>
      </w:r>
      <w:r w:rsidR="009C3509">
        <w:t xml:space="preserve">term </w:t>
      </w:r>
      <w:r>
        <w:t>portfolio content category (PCC)</w:t>
      </w:r>
      <w:r w:rsidR="0011334B">
        <w:t> </w:t>
      </w:r>
      <w:r>
        <w:t>1, PCC</w:t>
      </w:r>
      <w:r w:rsidR="0011334B">
        <w:t> </w:t>
      </w:r>
      <w:r>
        <w:t>2, and PCC</w:t>
      </w:r>
      <w:r w:rsidR="0011334B">
        <w:t> </w:t>
      </w:r>
      <w:r>
        <w:t>3 renewable energy credits.</w:t>
      </w:r>
    </w:p>
    <w:p w:rsidR="008A1D87" w:rsidP="00F277D4" w:rsidRDefault="00EA7EAD" w14:paraId="4E7A23D6" w14:textId="1A24F9CE">
      <w:pPr>
        <w:pStyle w:val="OP"/>
      </w:pPr>
      <w:r>
        <w:t>Southern California Edison Company is authorized to use solicitations, other market participants</w:t>
      </w:r>
      <w:r w:rsidR="005A00BE">
        <w:t>’</w:t>
      </w:r>
      <w:r>
        <w:t xml:space="preserve"> solicitations, bilateral contracts, brokers, and exchanges to procure renewable energy credits.</w:t>
      </w:r>
    </w:p>
    <w:p w:rsidR="00EA7EAD" w:rsidP="00F277D4" w:rsidRDefault="00EA7EAD" w14:paraId="5BA97EF6" w14:textId="0E079C1F">
      <w:pPr>
        <w:pStyle w:val="OP"/>
      </w:pPr>
      <w:r>
        <w:t>Southern California Edison Company</w:t>
      </w:r>
      <w:r w:rsidR="005A00BE">
        <w:t>’</w:t>
      </w:r>
      <w:r>
        <w:t xml:space="preserve">s revised bid solicitation protocols </w:t>
      </w:r>
      <w:r w:rsidR="0036491D">
        <w:t>are</w:t>
      </w:r>
      <w:r>
        <w:t xml:space="preserve"> approved.</w:t>
      </w:r>
    </w:p>
    <w:p w:rsidR="00EA7EAD" w:rsidP="00F277D4" w:rsidRDefault="00EA7EAD" w14:paraId="10788F31" w14:textId="0BE79E9A">
      <w:pPr>
        <w:pStyle w:val="OP"/>
      </w:pPr>
      <w:r>
        <w:t>Southern California Edison Company</w:t>
      </w:r>
      <w:r w:rsidR="005A00BE">
        <w:t>’</w:t>
      </w:r>
      <w:r>
        <w:t>s revised agreements are approved.</w:t>
      </w:r>
    </w:p>
    <w:p w:rsidR="008A1D87" w:rsidP="00F277D4" w:rsidRDefault="00EA7EAD" w14:paraId="0E35273B" w14:textId="77777777">
      <w:pPr>
        <w:pStyle w:val="OP"/>
      </w:pPr>
      <w:r>
        <w:lastRenderedPageBreak/>
        <w:t>Southern California Edison Company</w:t>
      </w:r>
      <w:r w:rsidRPr="00EA7EAD">
        <w:t xml:space="preserve"> is authorized to retire renewable energy credits for the Low Carbon Fuel Standard </w:t>
      </w:r>
      <w:r>
        <w:t>funded programs.</w:t>
      </w:r>
    </w:p>
    <w:p w:rsidR="00C50133" w:rsidP="00F277D4" w:rsidRDefault="00B471F2" w14:paraId="7605A995" w14:textId="741D99B4">
      <w:pPr>
        <w:pStyle w:val="OP"/>
      </w:pPr>
      <w:r>
        <w:t>San </w:t>
      </w:r>
      <w:r w:rsidR="00022402">
        <w:t>Diego Gas</w:t>
      </w:r>
      <w:r>
        <w:t xml:space="preserve"> &amp; </w:t>
      </w:r>
      <w:r w:rsidR="00022402">
        <w:t>Electric Company is authorized to use banked renewable energy credits consistent with excess procurement rules to meet its Renewables Portfolio Standard compliance requirements</w:t>
      </w:r>
      <w:r w:rsidR="006749C7">
        <w:t>,</w:t>
      </w:r>
      <w:r w:rsidR="00B83979">
        <w:t xml:space="preserve"> subject </w:t>
      </w:r>
      <w:r w:rsidRPr="00B83979" w:rsidR="00B83979">
        <w:t>to the condition that it exhaust RECs banked after 2018 before using pre</w:t>
      </w:r>
      <w:r w:rsidR="00F82B5D">
        <w:noBreakHyphen/>
      </w:r>
      <w:r w:rsidRPr="00B83979" w:rsidR="00B83979">
        <w:t>2019 banked RECs, as directed by D.25</w:t>
      </w:r>
      <w:r w:rsidR="00F82B5D">
        <w:noBreakHyphen/>
      </w:r>
      <w:r w:rsidRPr="00B83979" w:rsidR="00B83979">
        <w:t>12</w:t>
      </w:r>
      <w:r w:rsidR="00F82B5D">
        <w:noBreakHyphen/>
      </w:r>
      <w:r w:rsidRPr="00B83979" w:rsidR="00B83979">
        <w:t>008</w:t>
      </w:r>
      <w:r w:rsidR="00022402">
        <w:t>.</w:t>
      </w:r>
    </w:p>
    <w:p w:rsidR="00022402" w:rsidP="00F277D4" w:rsidRDefault="00B471F2" w14:paraId="5260AC9D" w14:textId="7E35BB65">
      <w:pPr>
        <w:pStyle w:val="OP"/>
      </w:pPr>
      <w:r>
        <w:t>San </w:t>
      </w:r>
      <w:r w:rsidR="00022402">
        <w:t>Diego Gas</w:t>
      </w:r>
      <w:r>
        <w:t xml:space="preserve"> &amp; </w:t>
      </w:r>
      <w:r w:rsidR="00022402">
        <w:t>Electric Company</w:t>
      </w:r>
      <w:r w:rsidR="005A00BE">
        <w:t>’</w:t>
      </w:r>
      <w:r w:rsidR="00022402">
        <w:t>s request to procure long</w:t>
      </w:r>
      <w:r w:rsidR="00F82B5D">
        <w:noBreakHyphen/>
      </w:r>
      <w:r w:rsidR="00022402">
        <w:t>term renewables portfolio standard eligible resources is approved</w:t>
      </w:r>
      <w:r w:rsidR="00895CB5">
        <w:t xml:space="preserve"> </w:t>
      </w:r>
      <w:r w:rsidRPr="00895CB5" w:rsidR="00895CB5">
        <w:t xml:space="preserve">to the extent the procurement is either needed to meet </w:t>
      </w:r>
      <w:r w:rsidR="0011334B">
        <w:t>Renewables Portfolio Standard</w:t>
      </w:r>
      <w:r w:rsidRPr="00895CB5" w:rsidR="00895CB5">
        <w:t xml:space="preserve"> needs or to comply with </w:t>
      </w:r>
      <w:r w:rsidR="00C72383">
        <w:t xml:space="preserve">the </w:t>
      </w:r>
      <w:r w:rsidR="0011334B">
        <w:t xml:space="preserve">California Public Utilities </w:t>
      </w:r>
      <w:r w:rsidRPr="00895CB5" w:rsidR="00895CB5">
        <w:t>Commission</w:t>
      </w:r>
      <w:r w:rsidR="005A00BE">
        <w:t>’</w:t>
      </w:r>
      <w:r w:rsidRPr="00895CB5" w:rsidR="00895CB5">
        <w:t>s procurement</w:t>
      </w:r>
      <w:r w:rsidR="00F82B5D">
        <w:noBreakHyphen/>
      </w:r>
      <w:r w:rsidRPr="00895CB5" w:rsidR="00895CB5">
        <w:t>related orders issued in the Integrated Resource Planning proceeding</w:t>
      </w:r>
    </w:p>
    <w:p w:rsidR="00736C26" w:rsidP="00F277D4" w:rsidRDefault="00B471F2" w14:paraId="117C9A4E" w14:textId="153F4A7C">
      <w:pPr>
        <w:pStyle w:val="OP"/>
      </w:pPr>
      <w:r>
        <w:t>San </w:t>
      </w:r>
      <w:r w:rsidR="00022402">
        <w:t>Diego Gas</w:t>
      </w:r>
      <w:r>
        <w:t xml:space="preserve"> &amp; </w:t>
      </w:r>
      <w:r w:rsidR="00022402">
        <w:t>Electric Company</w:t>
      </w:r>
      <w:r w:rsidR="00C72383">
        <w:t>’</w:t>
      </w:r>
      <w:r w:rsidR="00022402">
        <w:t xml:space="preserve">s request </w:t>
      </w:r>
      <w:r w:rsidR="00736C26">
        <w:t xml:space="preserve">to procure </w:t>
      </w:r>
      <w:r w:rsidRPr="00736C26" w:rsidR="00736C26">
        <w:t>renewable energy credits</w:t>
      </w:r>
      <w:r w:rsidR="00736C26">
        <w:t xml:space="preserve"> for compliance through </w:t>
      </w:r>
      <w:r w:rsidRPr="00736C26" w:rsidR="00736C26">
        <w:t>solicitations, bilateral agreements, or brokers and exchanges</w:t>
      </w:r>
      <w:r w:rsidR="00736C26">
        <w:t xml:space="preserve"> is approved.</w:t>
      </w:r>
    </w:p>
    <w:p w:rsidR="00736C26" w:rsidP="00F277D4" w:rsidRDefault="00B471F2" w14:paraId="31C7A446" w14:textId="2C767E4F">
      <w:pPr>
        <w:pStyle w:val="OP"/>
      </w:pPr>
      <w:r>
        <w:t>San </w:t>
      </w:r>
      <w:r w:rsidRPr="00736C26" w:rsidR="00736C26">
        <w:t>Diego Gas</w:t>
      </w:r>
      <w:r>
        <w:t xml:space="preserve"> &amp; </w:t>
      </w:r>
      <w:r w:rsidRPr="00736C26" w:rsidR="00736C26">
        <w:t>Electric Company</w:t>
      </w:r>
      <w:r w:rsidR="005A00BE">
        <w:t>’</w:t>
      </w:r>
      <w:r w:rsidR="00736C26">
        <w:t>s</w:t>
      </w:r>
      <w:r w:rsidRPr="00736C26" w:rsidR="00736C26">
        <w:t xml:space="preserve"> request</w:t>
      </w:r>
      <w:r w:rsidR="00736C26">
        <w:t xml:space="preserve"> for</w:t>
      </w:r>
      <w:r w:rsidRPr="00736C26" w:rsidR="00736C26">
        <w:t xml:space="preserve"> authorization to sell Renewables Portfolio Standard </w:t>
      </w:r>
      <w:r w:rsidR="00736C26">
        <w:t>eligible products</w:t>
      </w:r>
      <w:r w:rsidRPr="00736C26" w:rsidR="00736C26">
        <w:t xml:space="preserve"> </w:t>
      </w:r>
      <w:r w:rsidR="00736C26">
        <w:t>is approved.</w:t>
      </w:r>
    </w:p>
    <w:p w:rsidR="00022402" w:rsidP="00F277D4" w:rsidRDefault="00B471F2" w14:paraId="1FE7D1C1" w14:textId="7EEA301C">
      <w:pPr>
        <w:pStyle w:val="OP"/>
      </w:pPr>
      <w:r>
        <w:t>San </w:t>
      </w:r>
      <w:r w:rsidR="00022402">
        <w:t>Diego Gas</w:t>
      </w:r>
      <w:r>
        <w:t xml:space="preserve"> &amp; </w:t>
      </w:r>
      <w:r w:rsidR="00022402">
        <w:t>Electric Company</w:t>
      </w:r>
      <w:r w:rsidR="005A00BE">
        <w:t>’</w:t>
      </w:r>
      <w:r w:rsidR="00022402">
        <w:t xml:space="preserve">s request </w:t>
      </w:r>
      <w:r w:rsidR="00B25149">
        <w:t xml:space="preserve">to buy and sell </w:t>
      </w:r>
      <w:r w:rsidR="00022402">
        <w:t>renewable energy credit</w:t>
      </w:r>
      <w:r w:rsidR="00B25149">
        <w:t>s</w:t>
      </w:r>
      <w:r w:rsidR="00022402">
        <w:t xml:space="preserve"> </w:t>
      </w:r>
      <w:r w:rsidRPr="00736C26" w:rsidR="00736C26">
        <w:t xml:space="preserve">in the same year </w:t>
      </w:r>
      <w:r w:rsidR="00022402">
        <w:t>is approved.</w:t>
      </w:r>
    </w:p>
    <w:p w:rsidR="00022402" w:rsidP="00F277D4" w:rsidRDefault="00B471F2" w14:paraId="4A069930" w14:textId="440708FA">
      <w:pPr>
        <w:pStyle w:val="OP"/>
      </w:pPr>
      <w:r>
        <w:t>San </w:t>
      </w:r>
      <w:r w:rsidR="00022402">
        <w:t>Diego Gas</w:t>
      </w:r>
      <w:r>
        <w:t xml:space="preserve"> &amp; </w:t>
      </w:r>
      <w:r w:rsidR="00022402">
        <w:t xml:space="preserve">Electric Company is authorized to </w:t>
      </w:r>
      <w:r w:rsidR="00DD530C">
        <w:t xml:space="preserve">participate in </w:t>
      </w:r>
      <w:r w:rsidR="00585D94">
        <w:t>request</w:t>
      </w:r>
      <w:r w:rsidR="00DD530C">
        <w:t>s</w:t>
      </w:r>
      <w:r w:rsidR="00585D94">
        <w:t xml:space="preserve"> for offers, and </w:t>
      </w:r>
      <w:r w:rsidR="00DD530C">
        <w:t xml:space="preserve">use </w:t>
      </w:r>
      <w:r w:rsidR="00022402">
        <w:t>brokers and exchanges</w:t>
      </w:r>
      <w:r w:rsidR="00585D94">
        <w:t xml:space="preserve"> for procuring or selling renewable energy credits</w:t>
      </w:r>
      <w:r w:rsidR="00022402">
        <w:t>.</w:t>
      </w:r>
    </w:p>
    <w:p w:rsidR="00D42F4E" w:rsidP="00F277D4" w:rsidRDefault="00B471F2" w14:paraId="14A256EC" w14:textId="6B41DE09">
      <w:pPr>
        <w:pStyle w:val="OP"/>
      </w:pPr>
      <w:r>
        <w:t>San </w:t>
      </w:r>
      <w:r w:rsidRPr="00D42F4E" w:rsidR="00D42F4E">
        <w:t>Diego Gas</w:t>
      </w:r>
      <w:r>
        <w:t xml:space="preserve"> &amp; </w:t>
      </w:r>
      <w:r w:rsidRPr="00D42F4E" w:rsidR="00D42F4E">
        <w:t>Electric Company</w:t>
      </w:r>
      <w:r w:rsidR="005A00BE">
        <w:t>’</w:t>
      </w:r>
      <w:r w:rsidR="00D42F4E">
        <w:t>s request for an updated approval process for short</w:t>
      </w:r>
      <w:r w:rsidR="00F82B5D">
        <w:noBreakHyphen/>
      </w:r>
      <w:r w:rsidR="00D42F4E">
        <w:t>term transactions is denied without prejudice.</w:t>
      </w:r>
    </w:p>
    <w:p w:rsidR="00022402" w:rsidP="00F277D4" w:rsidRDefault="00B471F2" w14:paraId="5C4D50C8" w14:textId="381945CC">
      <w:pPr>
        <w:pStyle w:val="OP"/>
      </w:pPr>
      <w:r>
        <w:lastRenderedPageBreak/>
        <w:t>San </w:t>
      </w:r>
      <w:r w:rsidR="00022402">
        <w:t>Diego Gas</w:t>
      </w:r>
      <w:r>
        <w:t xml:space="preserve"> &amp; </w:t>
      </w:r>
      <w:r w:rsidR="00022402">
        <w:t xml:space="preserve">Electric Company should address the deficiencies listed in </w:t>
      </w:r>
      <w:r w:rsidR="009850E3">
        <w:t>Section </w:t>
      </w:r>
      <w:r w:rsidR="00EE0256">
        <w:t>6</w:t>
      </w:r>
      <w:r w:rsidR="00D42F4E">
        <w:t>.4.7</w:t>
      </w:r>
      <w:r w:rsidR="00022402">
        <w:t xml:space="preserve"> of this decision in its Final 2025 Renewables Portfolio Standard Plan.</w:t>
      </w:r>
    </w:p>
    <w:p w:rsidR="00781D35" w:rsidP="00F277D4" w:rsidRDefault="00781D35" w14:paraId="78F746BF" w14:textId="2E569EB2">
      <w:pPr>
        <w:pStyle w:val="OP"/>
      </w:pPr>
      <w:r>
        <w:t>Pacific Gas and Electric Company, Southern California Edison Company, and San</w:t>
      </w:r>
      <w:r w:rsidR="00ED46AD">
        <w:t> </w:t>
      </w:r>
      <w:r>
        <w:t>Diego Gas</w:t>
      </w:r>
      <w:r w:rsidR="00ED46AD">
        <w:t> </w:t>
      </w:r>
      <w:r>
        <w:t xml:space="preserve">&amp; Electric Company may issue solicitations to procure and/or sell Renewables Portfolio Standard </w:t>
      </w:r>
      <w:r w:rsidR="00ED46AD">
        <w:t xml:space="preserve">(RPS) </w:t>
      </w:r>
      <w:r>
        <w:t>volumes in accordance with the directives of this decision within 10 days of filing their Final 2025 RPS Procurement Plans, unless their Final 2025 RPS Procurement Plans are suspended by the Energy Division Director within the 10</w:t>
      </w:r>
      <w:r w:rsidR="00F82B5D">
        <w:noBreakHyphen/>
      </w:r>
      <w:r>
        <w:t>day period following the filings.</w:t>
      </w:r>
    </w:p>
    <w:p w:rsidR="00474636" w:rsidP="00F277D4" w:rsidRDefault="00474636" w14:paraId="12A52E59" w14:textId="482A9C53">
      <w:pPr>
        <w:pStyle w:val="OP"/>
      </w:pPr>
      <w:r>
        <w:t xml:space="preserve">Pursuant to the authority provided in Public Utilities Code </w:t>
      </w:r>
      <w:r w:rsidR="009850E3">
        <w:t>Section </w:t>
      </w:r>
      <w:r>
        <w:t>399.13(a)(1), the Draft 2025 Renewables Portfolio Standard Procurement Plan filed by Bear Valley Electric Service, Inc. is accepted and deemed final.</w:t>
      </w:r>
    </w:p>
    <w:p w:rsidR="00474636" w:rsidP="00F277D4" w:rsidRDefault="00474636" w14:paraId="65EFCCFE" w14:textId="36886691">
      <w:pPr>
        <w:pStyle w:val="OP"/>
      </w:pPr>
      <w:r>
        <w:t xml:space="preserve">Pursuant to the authority provided in Public Utilities Code </w:t>
      </w:r>
      <w:r w:rsidR="009850E3">
        <w:t>Section </w:t>
      </w:r>
      <w:r>
        <w:t xml:space="preserve">399.13(a)(1), the Draft 2025 Renewables Portfolio Standard Procurement Plan filed by Liberty Utilities (CalPeco Electric), LLC is accepted </w:t>
      </w:r>
      <w:r w:rsidR="00314841">
        <w:t>as modified</w:t>
      </w:r>
      <w:r>
        <w:t>.</w:t>
      </w:r>
    </w:p>
    <w:p w:rsidR="0087544B" w:rsidP="001D3A72" w:rsidRDefault="0087544B" w14:paraId="61BA569A" w14:textId="3C977947">
      <w:pPr>
        <w:pStyle w:val="OP"/>
      </w:pPr>
      <w:r>
        <w:t>Liberty Utilities (CalPeco Electric)</w:t>
      </w:r>
      <w:r w:rsidR="00405098">
        <w:t>, LLC</w:t>
      </w:r>
      <w:r>
        <w:t xml:space="preserve"> must address the deficiencies listed in </w:t>
      </w:r>
      <w:r w:rsidR="009850E3">
        <w:t>Section </w:t>
      </w:r>
      <w:r w:rsidR="00EE0256">
        <w:t>7</w:t>
      </w:r>
      <w:r w:rsidR="00895CB5">
        <w:t>.2</w:t>
      </w:r>
      <w:r>
        <w:t xml:space="preserve"> of this decision in its Final 2025 Renewable</w:t>
      </w:r>
      <w:r w:rsidR="000B22DE">
        <w:t>s</w:t>
      </w:r>
      <w:r>
        <w:t xml:space="preserve"> Portfolio Standard Plan</w:t>
      </w:r>
      <w:r w:rsidR="001D3A72">
        <w:t xml:space="preserve"> and </w:t>
      </w:r>
      <w:r w:rsidRPr="001D3A72" w:rsidR="001D3A72">
        <w:t xml:space="preserve">must file a clean version and a redlined copy of </w:t>
      </w:r>
      <w:r w:rsidR="001D3A72">
        <w:t>its</w:t>
      </w:r>
      <w:r w:rsidRPr="001D3A72" w:rsidR="001D3A72">
        <w:t xml:space="preserve"> Final Renewables Portfolio Standard Procurement Plan</w:t>
      </w:r>
      <w:r w:rsidR="001D3A72">
        <w:t xml:space="preserve"> </w:t>
      </w:r>
      <w:r w:rsidRPr="001D3A72" w:rsidR="001D3A72">
        <w:t>as a compliance filing in this proceeding within 30 days of the issuance date of this decision.</w:t>
      </w:r>
    </w:p>
    <w:p w:rsidR="00474636" w:rsidP="00F277D4" w:rsidRDefault="00474636" w14:paraId="51694D25" w14:textId="03F2042E">
      <w:pPr>
        <w:pStyle w:val="OP"/>
      </w:pPr>
      <w:r>
        <w:t xml:space="preserve">Pursuant to the authority provided in Public Utilities Code </w:t>
      </w:r>
      <w:r w:rsidR="009850E3">
        <w:t>Section </w:t>
      </w:r>
      <w:r>
        <w:t>399.13(a)(1), the Draft 2025 Renewables Portfolio Standard Procurement Plan filed by PacifiCorp</w:t>
      </w:r>
      <w:r w:rsidR="008C6522">
        <w:t xml:space="preserve"> d/b/a</w:t>
      </w:r>
      <w:r>
        <w:t xml:space="preserve"> Pacific Power is accepted a</w:t>
      </w:r>
      <w:r w:rsidR="0074550F">
        <w:t>s modified</w:t>
      </w:r>
      <w:r>
        <w:t>.</w:t>
      </w:r>
    </w:p>
    <w:p w:rsidR="0074550F" w:rsidP="00F277D4" w:rsidRDefault="0074550F" w14:paraId="0FCFD45B" w14:textId="1A146E4A">
      <w:pPr>
        <w:pStyle w:val="OP"/>
      </w:pPr>
      <w:r w:rsidRPr="0074550F">
        <w:t>PacifiCorp</w:t>
      </w:r>
      <w:r w:rsidR="008C6522">
        <w:t xml:space="preserve"> d/b/a</w:t>
      </w:r>
      <w:r w:rsidRPr="0074550F">
        <w:t xml:space="preserve"> Pacific Power</w:t>
      </w:r>
      <w:r>
        <w:t xml:space="preserve"> must address the deficiencies listed in </w:t>
      </w:r>
      <w:r w:rsidR="009850E3">
        <w:t>Section </w:t>
      </w:r>
      <w:r w:rsidR="00EE0256">
        <w:t>7</w:t>
      </w:r>
      <w:r>
        <w:t xml:space="preserve">.3 of this decision in its Final 2025 </w:t>
      </w:r>
      <w:r w:rsidRPr="0074550F">
        <w:t>Renewable</w:t>
      </w:r>
      <w:r w:rsidR="00D53995">
        <w:t>s</w:t>
      </w:r>
      <w:r w:rsidRPr="0074550F">
        <w:t xml:space="preserve"> Portfolio Standard Plan</w:t>
      </w:r>
      <w:r w:rsidR="001D3A72">
        <w:t xml:space="preserve"> </w:t>
      </w:r>
      <w:r w:rsidR="001D3A72">
        <w:lastRenderedPageBreak/>
        <w:t xml:space="preserve">and </w:t>
      </w:r>
      <w:r w:rsidRPr="001D3A72" w:rsidR="001D3A72">
        <w:t>must file a clean version and a redlined copy of its Final Renewables Portfolio Standard Procurement Plan as a compliance filing in this proceeding within 30 days of the issuance date of this decision</w:t>
      </w:r>
      <w:r>
        <w:t>.</w:t>
      </w:r>
    </w:p>
    <w:p w:rsidR="00BC094E" w:rsidP="00F277D4" w:rsidRDefault="00BC094E" w14:paraId="28F01173" w14:textId="79F4478D">
      <w:pPr>
        <w:pStyle w:val="OP"/>
      </w:pPr>
      <w:r>
        <w:t>The City of Palmdale</w:t>
      </w:r>
      <w:r w:rsidRPr="00BC094E">
        <w:t xml:space="preserve"> must file its Final 2025 Renewables Portfolio Standard Procurement Plan to address findings regarding</w:t>
      </w:r>
      <w:r>
        <w:t xml:space="preserve"> </w:t>
      </w:r>
      <w:r w:rsidR="00C72383">
        <w:t xml:space="preserve">the </w:t>
      </w:r>
      <w:r>
        <w:t xml:space="preserve">Portfolio Supply and Demand, Transportation Electrification, Minimum Margin of Procurement, and Bid Solicitation Protocol in </w:t>
      </w:r>
      <w:r w:rsidR="005635C6">
        <w:t>Sections </w:t>
      </w:r>
      <w:r w:rsidR="00EE0256">
        <w:t>8</w:t>
      </w:r>
      <w:r>
        <w:t xml:space="preserve">.3.1, </w:t>
      </w:r>
      <w:r w:rsidR="00EE0256">
        <w:t>8</w:t>
      </w:r>
      <w:r>
        <w:t xml:space="preserve">.3.3, </w:t>
      </w:r>
      <w:r w:rsidR="00EE0256">
        <w:t>8</w:t>
      </w:r>
      <w:r>
        <w:t xml:space="preserve">.3.10, </w:t>
      </w:r>
      <w:r w:rsidR="00C72383">
        <w:t xml:space="preserve">and </w:t>
      </w:r>
      <w:r w:rsidR="00EE0256">
        <w:t>8</w:t>
      </w:r>
      <w:r>
        <w:t>.3.11 of this decision.</w:t>
      </w:r>
    </w:p>
    <w:p w:rsidR="00B4596A" w:rsidP="00F277D4" w:rsidRDefault="00B4596A" w14:paraId="3E7905B4" w14:textId="2B69E469">
      <w:pPr>
        <w:pStyle w:val="OP"/>
      </w:pPr>
      <w:r w:rsidRPr="00B4596A">
        <w:t>The City of P</w:t>
      </w:r>
      <w:r>
        <w:t>omona</w:t>
      </w:r>
      <w:r w:rsidRPr="00B4596A">
        <w:t xml:space="preserve"> must file its Final 2025 Renewables Portfolio Standard Procurement Plan to address findings regarding </w:t>
      </w:r>
      <w:r w:rsidR="00C72383">
        <w:t xml:space="preserve">the </w:t>
      </w:r>
      <w:r>
        <w:t xml:space="preserve">Renewable Net Short Calculation </w:t>
      </w:r>
      <w:r w:rsidRPr="00B4596A">
        <w:t xml:space="preserve">in </w:t>
      </w:r>
      <w:r w:rsidR="009850E3">
        <w:t>Section </w:t>
      </w:r>
      <w:r w:rsidR="00EE0256">
        <w:t>8</w:t>
      </w:r>
      <w:r w:rsidRPr="00B4596A">
        <w:t>.3.</w:t>
      </w:r>
      <w:r>
        <w:t xml:space="preserve">9 </w:t>
      </w:r>
      <w:r w:rsidRPr="00B4596A">
        <w:t>of this decision.</w:t>
      </w:r>
    </w:p>
    <w:p w:rsidR="00FB4B42" w:rsidP="00F277D4" w:rsidRDefault="00FB4B42" w14:paraId="6C651057" w14:textId="186C511C">
      <w:pPr>
        <w:pStyle w:val="OP"/>
      </w:pPr>
      <w:r w:rsidRPr="00FB4B42">
        <w:t xml:space="preserve">The City of </w:t>
      </w:r>
      <w:r w:rsidR="00B471F2">
        <w:t>Santa </w:t>
      </w:r>
      <w:r>
        <w:t>Barbara</w:t>
      </w:r>
      <w:r w:rsidRPr="00FB4B42">
        <w:t xml:space="preserve"> must file its Final 2025 Renewables Portfolio</w:t>
      </w:r>
      <w:r>
        <w:t xml:space="preserve"> </w:t>
      </w:r>
      <w:r w:rsidRPr="00FB4B42">
        <w:t>Standard Procurement Plan to address findings regarding</w:t>
      </w:r>
      <w:r>
        <w:t xml:space="preserve"> </w:t>
      </w:r>
      <w:r w:rsidR="00C72383">
        <w:t xml:space="preserve">the </w:t>
      </w:r>
      <w:r w:rsidRPr="00FB4B42">
        <w:t>Minimum Margin of Procurement</w:t>
      </w:r>
      <w:r>
        <w:t xml:space="preserve"> in </w:t>
      </w:r>
      <w:r w:rsidR="009850E3">
        <w:t>Section </w:t>
      </w:r>
      <w:r w:rsidR="00EE0256">
        <w:t>8</w:t>
      </w:r>
      <w:r>
        <w:t>.3.10 of this decision.</w:t>
      </w:r>
    </w:p>
    <w:p w:rsidR="00DD73F2" w:rsidP="00F277D4" w:rsidRDefault="00DD73F2" w14:paraId="061AAB09" w14:textId="6D386ED5">
      <w:pPr>
        <w:pStyle w:val="OP"/>
      </w:pPr>
      <w:r>
        <w:t xml:space="preserve">CleanPowerSF </w:t>
      </w:r>
      <w:r w:rsidRPr="00DD73F2">
        <w:t xml:space="preserve">must file its Final 2025 Renewables Portfolio Standard Procurement Plan to address findings regarding </w:t>
      </w:r>
      <w:r w:rsidR="00C72383">
        <w:t xml:space="preserve">the </w:t>
      </w:r>
      <w:r>
        <w:t>Long</w:t>
      </w:r>
      <w:r w:rsidR="00F82B5D">
        <w:noBreakHyphen/>
      </w:r>
      <w:r>
        <w:t>Term Procurement and Risk Assessment</w:t>
      </w:r>
      <w:r w:rsidRPr="00DD73F2">
        <w:t xml:space="preserve"> in </w:t>
      </w:r>
      <w:r w:rsidR="005635C6">
        <w:t>Sections </w:t>
      </w:r>
      <w:r w:rsidR="00EE0256">
        <w:t>8</w:t>
      </w:r>
      <w:r w:rsidRPr="00DD73F2">
        <w:t>.3.</w:t>
      </w:r>
      <w:r>
        <w:t xml:space="preserve">2 and </w:t>
      </w:r>
      <w:r w:rsidR="00EE0256">
        <w:t>8</w:t>
      </w:r>
      <w:r w:rsidRPr="00DD73F2">
        <w:t>.3.</w:t>
      </w:r>
      <w:r>
        <w:t xml:space="preserve">7 </w:t>
      </w:r>
      <w:r w:rsidRPr="00DD73F2">
        <w:t>of this decision</w:t>
      </w:r>
      <w:r w:rsidR="002B5EF0">
        <w:t>.</w:t>
      </w:r>
    </w:p>
    <w:p w:rsidR="00B10FBD" w:rsidP="00F277D4" w:rsidRDefault="00B10FBD" w14:paraId="281CA1ED" w14:textId="66D42A34">
      <w:pPr>
        <w:pStyle w:val="OP"/>
      </w:pPr>
      <w:r>
        <w:t xml:space="preserve">Lancaster Choice Energy </w:t>
      </w:r>
      <w:r w:rsidRPr="00B10FBD">
        <w:t xml:space="preserve">must file its Final 2025 Renewables Portfolio Standard Procurement Plan to address findings regarding </w:t>
      </w:r>
      <w:r w:rsidR="00C72383">
        <w:t xml:space="preserve">the </w:t>
      </w:r>
      <w:r w:rsidRPr="00B10FBD">
        <w:t xml:space="preserve">Renewable Net Short Calculation in </w:t>
      </w:r>
      <w:r w:rsidR="009850E3">
        <w:t>Section </w:t>
      </w:r>
      <w:r w:rsidR="00EE0256">
        <w:t>8</w:t>
      </w:r>
      <w:r w:rsidRPr="00B10FBD">
        <w:t>.3.9 of this decision</w:t>
      </w:r>
      <w:r>
        <w:t>.</w:t>
      </w:r>
    </w:p>
    <w:p w:rsidR="00DC6A7E" w:rsidP="00F277D4" w:rsidRDefault="00DC6A7E" w14:paraId="5A5F7EE7" w14:textId="7463EAEC">
      <w:pPr>
        <w:pStyle w:val="OP"/>
      </w:pPr>
      <w:r>
        <w:t xml:space="preserve">Marin Clean Energy </w:t>
      </w:r>
      <w:r w:rsidRPr="00DC6A7E">
        <w:t xml:space="preserve">must file its Final 2025 Renewables Portfolio Standard Procurement Plan to address findings regarding </w:t>
      </w:r>
      <w:r w:rsidR="00C72383">
        <w:t xml:space="preserve">the </w:t>
      </w:r>
      <w:r>
        <w:t>Project Development Status Update</w:t>
      </w:r>
      <w:r w:rsidRPr="00DC6A7E">
        <w:t xml:space="preserve"> in </w:t>
      </w:r>
      <w:r w:rsidR="005635C6">
        <w:t>Sections </w:t>
      </w:r>
      <w:r w:rsidR="00EE0256">
        <w:t>8</w:t>
      </w:r>
      <w:r w:rsidRPr="00DC6A7E">
        <w:t>.3.</w:t>
      </w:r>
      <w:r>
        <w:t>5</w:t>
      </w:r>
      <w:r w:rsidR="00B673AA">
        <w:t xml:space="preserve"> </w:t>
      </w:r>
      <w:r w:rsidRPr="00DC6A7E">
        <w:t>of this decision</w:t>
      </w:r>
      <w:r w:rsidR="00B10FBD">
        <w:t>.</w:t>
      </w:r>
    </w:p>
    <w:p w:rsidR="00B10FBD" w:rsidP="00F277D4" w:rsidRDefault="00B10FBD" w14:paraId="17AC61E3" w14:textId="38385E5D">
      <w:pPr>
        <w:pStyle w:val="OP"/>
      </w:pPr>
      <w:r>
        <w:t xml:space="preserve">Pico Rivera Innovative Municipal Energy </w:t>
      </w:r>
      <w:r w:rsidRPr="00B10FBD">
        <w:t xml:space="preserve">must file its Final 2025 Renewables Portfolio Standard Procurement Plan to address findings regarding </w:t>
      </w:r>
      <w:r w:rsidR="00C72383">
        <w:t xml:space="preserve">the </w:t>
      </w:r>
      <w:r w:rsidRPr="00B10FBD">
        <w:t xml:space="preserve">Renewable Net Short Calculation in </w:t>
      </w:r>
      <w:r w:rsidR="009850E3">
        <w:t>Section </w:t>
      </w:r>
      <w:r w:rsidR="00EE0256">
        <w:t>8</w:t>
      </w:r>
      <w:r w:rsidRPr="00B10FBD">
        <w:t>.3.9 of this decision</w:t>
      </w:r>
      <w:r>
        <w:t>.</w:t>
      </w:r>
    </w:p>
    <w:p w:rsidRPr="00FD69E7" w:rsidR="008A1D87" w:rsidP="00F277D4" w:rsidRDefault="002B5EF0" w14:paraId="2658570A" w14:textId="6588EEB9">
      <w:pPr>
        <w:pStyle w:val="OP"/>
        <w:rPr>
          <w:rFonts w:eastAsia="Times New Roman" w:cs="Times New Roman"/>
          <w:szCs w:val="24"/>
        </w:rPr>
      </w:pPr>
      <w:r>
        <w:lastRenderedPageBreak/>
        <w:t xml:space="preserve">The following retail sellers </w:t>
      </w:r>
      <w:r w:rsidRPr="002B5EF0">
        <w:t xml:space="preserve">must file </w:t>
      </w:r>
      <w:r>
        <w:t>their</w:t>
      </w:r>
      <w:r w:rsidRPr="002B5EF0">
        <w:t xml:space="preserve"> Final 2025 Renewables Portfolio Standard Procurement Plan to address findings regarding</w:t>
      </w:r>
      <w:r w:rsidR="00C72383">
        <w:t xml:space="preserve"> the</w:t>
      </w:r>
      <w:r w:rsidRPr="002B5EF0">
        <w:t xml:space="preserve"> </w:t>
      </w:r>
      <w:r>
        <w:t>Forecasting for Increased Transportation Electrification</w:t>
      </w:r>
      <w:r w:rsidRPr="002B5EF0">
        <w:t xml:space="preserve"> in </w:t>
      </w:r>
      <w:r w:rsidR="009850E3">
        <w:t>Section </w:t>
      </w:r>
      <w:r w:rsidR="00EE0256">
        <w:t>8</w:t>
      </w:r>
      <w:r w:rsidRPr="002B5EF0">
        <w:t>.3.</w:t>
      </w:r>
      <w:r>
        <w:t>3</w:t>
      </w:r>
      <w:r w:rsidRPr="002B5EF0">
        <w:t xml:space="preserve"> of this decision</w:t>
      </w:r>
      <w:r w:rsidR="00CD5830">
        <w:t xml:space="preserve">:  </w:t>
      </w:r>
      <w:r w:rsidRPr="00FD69E7">
        <w:rPr>
          <w:rFonts w:eastAsia="Times New Roman" w:cs="Times New Roman"/>
          <w:szCs w:val="24"/>
        </w:rPr>
        <w:t xml:space="preserve">Apple Valley Choice Energy, Ava Community Energy, Central Coast Community Energy, City of Palmdale, City of Pomona, City of </w:t>
      </w:r>
      <w:r w:rsidRPr="00FD69E7" w:rsidR="00B471F2">
        <w:rPr>
          <w:rFonts w:eastAsia="Times New Roman" w:cs="Times New Roman"/>
          <w:szCs w:val="24"/>
        </w:rPr>
        <w:t>Santa </w:t>
      </w:r>
      <w:r w:rsidRPr="00FD69E7">
        <w:rPr>
          <w:rFonts w:eastAsia="Times New Roman" w:cs="Times New Roman"/>
          <w:szCs w:val="24"/>
        </w:rPr>
        <w:t xml:space="preserve">Barbara, Clean Energy Alliance, </w:t>
      </w:r>
      <w:r w:rsidRPr="00FD69E7" w:rsidR="00D31A57">
        <w:rPr>
          <w:rFonts w:eastAsia="Times New Roman" w:cs="Times New Roman"/>
          <w:szCs w:val="24"/>
        </w:rPr>
        <w:t xml:space="preserve">Lancaster Choice Energy, </w:t>
      </w:r>
      <w:r w:rsidRPr="00FD69E7">
        <w:rPr>
          <w:rFonts w:eastAsia="Times New Roman" w:cs="Times New Roman"/>
          <w:szCs w:val="24"/>
        </w:rPr>
        <w:t>Marin Clean Energy, Orange County Power Authority, Peninsula Clean Energy, Pico Rivera</w:t>
      </w:r>
      <w:r w:rsidRPr="00FD69E7" w:rsidR="00977DDE">
        <w:rPr>
          <w:rFonts w:eastAsia="Times New Roman" w:cs="Times New Roman"/>
          <w:szCs w:val="24"/>
        </w:rPr>
        <w:t xml:space="preserve"> Innovative Municipal Energy</w:t>
      </w:r>
      <w:r w:rsidRPr="00FD69E7">
        <w:rPr>
          <w:rFonts w:eastAsia="Times New Roman" w:cs="Times New Roman"/>
          <w:szCs w:val="24"/>
        </w:rPr>
        <w:t xml:space="preserve">, Pioneer Community Energy, Rancho Mirage Energy Authority, Redwood Coast Energy Authority, </w:t>
      </w:r>
      <w:r w:rsidRPr="00FD69E7" w:rsidR="00B471F2">
        <w:rPr>
          <w:rFonts w:eastAsia="Times New Roman" w:cs="Times New Roman"/>
          <w:szCs w:val="24"/>
        </w:rPr>
        <w:t>San </w:t>
      </w:r>
      <w:r w:rsidRPr="00FD69E7">
        <w:rPr>
          <w:rFonts w:eastAsia="Times New Roman" w:cs="Times New Roman"/>
          <w:szCs w:val="24"/>
        </w:rPr>
        <w:t>Jacinto Power</w:t>
      </w:r>
      <w:r w:rsidRPr="00FD69E7" w:rsidR="002B2351">
        <w:rPr>
          <w:rFonts w:eastAsia="Times New Roman" w:cs="Times New Roman"/>
          <w:szCs w:val="24"/>
        </w:rPr>
        <w:t xml:space="preserve">, </w:t>
      </w:r>
      <w:r w:rsidR="00565D53">
        <w:rPr>
          <w:rFonts w:eastAsia="Times New Roman" w:cs="Times New Roman"/>
          <w:szCs w:val="24"/>
        </w:rPr>
        <w:t>3 Phase</w:t>
      </w:r>
      <w:r w:rsidRPr="00FD69E7" w:rsidR="002B2351">
        <w:rPr>
          <w:rFonts w:eastAsia="Times New Roman" w:cs="Times New Roman"/>
          <w:szCs w:val="24"/>
        </w:rPr>
        <w:t xml:space="preserve"> Renewables, Inc., and BP Energy Retail Company California LLC</w:t>
      </w:r>
      <w:r w:rsidRPr="00FD69E7">
        <w:rPr>
          <w:rFonts w:eastAsia="Times New Roman" w:cs="Times New Roman"/>
          <w:szCs w:val="24"/>
        </w:rPr>
        <w:t>.</w:t>
      </w:r>
    </w:p>
    <w:p w:rsidR="008A1D87" w:rsidP="00F277D4" w:rsidRDefault="00B4596A" w14:paraId="487C8D2B" w14:textId="513B2059">
      <w:pPr>
        <w:pStyle w:val="OP"/>
      </w:pPr>
      <w:r w:rsidRPr="00B4596A">
        <w:t xml:space="preserve">Calpine Energy Solutions must file its Final 2025 Renewables Portfolio Standard Procurement Plan to address findings regarding </w:t>
      </w:r>
      <w:r w:rsidR="00C72383">
        <w:t xml:space="preserve">the </w:t>
      </w:r>
      <w:r w:rsidRPr="00B4596A">
        <w:t>Lessons Learned</w:t>
      </w:r>
      <w:r w:rsidR="00412BD7">
        <w:t xml:space="preserve"> — </w:t>
      </w:r>
      <w:r w:rsidRPr="00B4596A">
        <w:t xml:space="preserve">Risk Assessment in </w:t>
      </w:r>
      <w:r w:rsidR="009850E3">
        <w:t>Section </w:t>
      </w:r>
      <w:r w:rsidR="00EE0256">
        <w:t>8</w:t>
      </w:r>
      <w:r w:rsidRPr="00B4596A">
        <w:t>.3.</w:t>
      </w:r>
      <w:r>
        <w:t>8</w:t>
      </w:r>
      <w:r w:rsidRPr="00B4596A">
        <w:t xml:space="preserve"> of this decision.</w:t>
      </w:r>
    </w:p>
    <w:p w:rsidR="00407ADD" w:rsidP="00F277D4" w:rsidRDefault="00407ADD" w14:paraId="36A14D70" w14:textId="6454DACF">
      <w:pPr>
        <w:pStyle w:val="OP"/>
      </w:pPr>
      <w:r>
        <w:t>Commercial Energy</w:t>
      </w:r>
      <w:r w:rsidRPr="00407ADD">
        <w:t xml:space="preserve"> must file its Final 2025 Renewables Portfolio Standard Procurement Plan to address findings regarding</w:t>
      </w:r>
      <w:r>
        <w:t xml:space="preserve"> </w:t>
      </w:r>
      <w:r w:rsidR="00C72383">
        <w:t xml:space="preserve">the </w:t>
      </w:r>
      <w:r>
        <w:t xml:space="preserve">Potential Compliance Delays in </w:t>
      </w:r>
      <w:r w:rsidR="009850E3">
        <w:t>Section </w:t>
      </w:r>
      <w:r w:rsidR="00EE0256">
        <w:t>8</w:t>
      </w:r>
      <w:r>
        <w:t>.3.6 of this decision.</w:t>
      </w:r>
    </w:p>
    <w:p w:rsidR="00340B56" w:rsidP="00F277D4" w:rsidRDefault="00340B56" w14:paraId="00AEDAC4" w14:textId="20C9CF17">
      <w:pPr>
        <w:pStyle w:val="OP"/>
      </w:pPr>
      <w:r>
        <w:t xml:space="preserve">Pilot Power must file its Final 2025 </w:t>
      </w:r>
      <w:r w:rsidRPr="00340B56">
        <w:t xml:space="preserve">Renewables Portfolio Standard Procurement Plan </w:t>
      </w:r>
      <w:r>
        <w:t>to address findings regarding Long</w:t>
      </w:r>
      <w:r w:rsidR="00F82B5D">
        <w:noBreakHyphen/>
      </w:r>
      <w:r>
        <w:t xml:space="preserve">Term Procurement in </w:t>
      </w:r>
      <w:r w:rsidR="009850E3">
        <w:t>Section </w:t>
      </w:r>
      <w:r w:rsidR="00EE0256">
        <w:t>8</w:t>
      </w:r>
      <w:r w:rsidR="00BC094E">
        <w:t>.3.2</w:t>
      </w:r>
      <w:r>
        <w:t xml:space="preserve"> of this decision.</w:t>
      </w:r>
    </w:p>
    <w:p w:rsidR="00340B56" w:rsidP="00F277D4" w:rsidRDefault="00DA6578" w14:paraId="6F31CC72" w14:textId="4C9ACE23">
      <w:pPr>
        <w:pStyle w:val="OP"/>
      </w:pPr>
      <w:r>
        <w:t>Shell E</w:t>
      </w:r>
      <w:r w:rsidRPr="00C77DC0" w:rsidR="00C77DC0">
        <w:t xml:space="preserve">nergy Solutions </w:t>
      </w:r>
      <w:r w:rsidRPr="00340B56" w:rsidR="00340B56">
        <w:t xml:space="preserve">must file its Final 2025 Renewables Portfolio Standard Procurement Plan to address findings regarding </w:t>
      </w:r>
      <w:r w:rsidR="00340B56">
        <w:t>Long</w:t>
      </w:r>
      <w:r w:rsidR="00F82B5D">
        <w:noBreakHyphen/>
      </w:r>
      <w:r w:rsidR="00340B56">
        <w:t>Term Procurement, Portfolio Optimization, Project Development Status Update</w:t>
      </w:r>
      <w:r w:rsidR="002C67D7">
        <w:t>, Re</w:t>
      </w:r>
      <w:r w:rsidR="00FE68A0">
        <w:t>newable</w:t>
      </w:r>
      <w:r w:rsidR="002C67D7">
        <w:t xml:space="preserve"> Net Short Calculations, M</w:t>
      </w:r>
      <w:r w:rsidR="00A1263D">
        <w:t>inimum Margin of Procurement</w:t>
      </w:r>
      <w:r w:rsidR="002C67D7">
        <w:t>, Bid Solicitation Protocol, and Solicitation Protocol</w:t>
      </w:r>
      <w:r w:rsidR="00A1263D">
        <w:t>s for Renewables Sales</w:t>
      </w:r>
      <w:r w:rsidR="00340B56">
        <w:t xml:space="preserve"> in </w:t>
      </w:r>
      <w:r w:rsidR="005635C6">
        <w:t>Section </w:t>
      </w:r>
      <w:r w:rsidR="00EE0256">
        <w:t>8</w:t>
      </w:r>
      <w:r w:rsidR="002B1867">
        <w:t xml:space="preserve">.3.2, </w:t>
      </w:r>
      <w:r w:rsidR="00D524EE">
        <w:t>Sections </w:t>
      </w:r>
      <w:r w:rsidR="00EE0256">
        <w:t>8</w:t>
      </w:r>
      <w:r w:rsidR="002B1867">
        <w:t>.3.4</w:t>
      </w:r>
      <w:r w:rsidR="00F82B5D">
        <w:noBreakHyphen/>
      </w:r>
      <w:r w:rsidR="00EE0256">
        <w:t>8</w:t>
      </w:r>
      <w:r w:rsidR="002B1867">
        <w:t>.3.5,</w:t>
      </w:r>
      <w:r w:rsidR="00BD4A14">
        <w:t xml:space="preserve"> and</w:t>
      </w:r>
      <w:r w:rsidR="002B1867">
        <w:t xml:space="preserve"> </w:t>
      </w:r>
      <w:r w:rsidR="00D524EE">
        <w:t>Sections </w:t>
      </w:r>
      <w:r w:rsidR="00EE0256">
        <w:t>8</w:t>
      </w:r>
      <w:r w:rsidR="002B1867">
        <w:t>.3.9</w:t>
      </w:r>
      <w:r w:rsidR="00F82B5D">
        <w:noBreakHyphen/>
      </w:r>
      <w:r w:rsidR="00EE0256">
        <w:t>8</w:t>
      </w:r>
      <w:r w:rsidR="002B1867">
        <w:t>.3.12</w:t>
      </w:r>
      <w:r w:rsidR="00340B56">
        <w:t xml:space="preserve"> of this decision.</w:t>
      </w:r>
    </w:p>
    <w:p w:rsidRPr="00474636" w:rsidR="00474636" w:rsidP="00F277D4" w:rsidRDefault="00474636" w14:paraId="761EE2E6" w14:textId="5453E045">
      <w:pPr>
        <w:pStyle w:val="OP"/>
      </w:pPr>
      <w:r w:rsidRPr="00474636">
        <w:lastRenderedPageBreak/>
        <w:t xml:space="preserve">Pursuant to Public Utilities Code </w:t>
      </w:r>
      <w:r w:rsidR="009850E3">
        <w:t>Section </w:t>
      </w:r>
      <w:r w:rsidRPr="00474636">
        <w:t>365.1(c)(1), the Draft 202</w:t>
      </w:r>
      <w:r>
        <w:t>5</w:t>
      </w:r>
      <w:r w:rsidRPr="00474636">
        <w:t xml:space="preserve"> Renewables Portfolio Standard (RPS) Procurement Plans filed by the following Community Choice Aggregators are accepted and deemed final</w:t>
      </w:r>
      <w:r w:rsidR="00CD5830">
        <w:t xml:space="preserve">:  </w:t>
      </w:r>
      <w:r w:rsidRPr="00474636">
        <w:t xml:space="preserve">Clean Power Alliance of Southern California; </w:t>
      </w:r>
      <w:r w:rsidR="00D06892">
        <w:t xml:space="preserve">Desert Community Energy; King City Community Power; </w:t>
      </w:r>
      <w:r w:rsidR="00B471F2">
        <w:t>San </w:t>
      </w:r>
      <w:r w:rsidRPr="00474636">
        <w:t xml:space="preserve">Diego Community Power; </w:t>
      </w:r>
      <w:r w:rsidR="00B471F2">
        <w:t>San </w:t>
      </w:r>
      <w:r w:rsidR="00D06892">
        <w:t xml:space="preserve">Jose Clean Energy; </w:t>
      </w:r>
      <w:r w:rsidRPr="00474636">
        <w:t>Silicon Valley Clean Energy; Sonoma Clean Power Authority</w:t>
      </w:r>
      <w:r w:rsidR="00D06892">
        <w:t>; and Valley Clean Energy Alliance</w:t>
      </w:r>
      <w:r w:rsidRPr="00474636">
        <w:t xml:space="preserve">. All other Community Choice Aggregators listed in the Summary section of this decision must file their Final </w:t>
      </w:r>
      <w:r w:rsidR="00950E04">
        <w:t>2025 RPS</w:t>
      </w:r>
      <w:r w:rsidRPr="00474636">
        <w:t xml:space="preserve"> Procurement Plans </w:t>
      </w:r>
      <w:r w:rsidRPr="002064A9" w:rsidR="002064A9">
        <w:t xml:space="preserve">as a compliance filing in this proceeding </w:t>
      </w:r>
      <w:r w:rsidRPr="00474636">
        <w:t>within 30 days of the issuance date of this decision.</w:t>
      </w:r>
    </w:p>
    <w:p w:rsidR="00022402" w:rsidP="00F277D4" w:rsidRDefault="008C3446" w14:paraId="25BCC988" w14:textId="4179542C">
      <w:pPr>
        <w:pStyle w:val="OP"/>
      </w:pPr>
      <w:r w:rsidRPr="008C3446">
        <w:t xml:space="preserve">Pursuant to Public Utilities Code </w:t>
      </w:r>
      <w:r w:rsidR="009850E3">
        <w:t>Section </w:t>
      </w:r>
      <w:r w:rsidRPr="008C3446">
        <w:t>365.1(c)(1), the Draft 202</w:t>
      </w:r>
      <w:r>
        <w:t>5</w:t>
      </w:r>
      <w:r w:rsidRPr="008C3446">
        <w:t xml:space="preserve"> Renewables Portfolio Standard </w:t>
      </w:r>
      <w:r w:rsidR="00451525">
        <w:t xml:space="preserve">(RPS) </w:t>
      </w:r>
      <w:r w:rsidRPr="008C3446">
        <w:t>Procurement Plans filed by the following Electric Service Providers (ESP) are accepted and deemed final</w:t>
      </w:r>
      <w:r w:rsidR="00CD5830">
        <w:t xml:space="preserve">:  </w:t>
      </w:r>
      <w:r w:rsidRPr="00D84201" w:rsidR="00D84201">
        <w:t>Calpine Power America</w:t>
      </w:r>
      <w:r w:rsidR="00F82B5D">
        <w:noBreakHyphen/>
      </w:r>
      <w:r w:rsidRPr="00D84201" w:rsidR="00D84201">
        <w:t xml:space="preserve">CA, LLC; Constellation NewEnergy, </w:t>
      </w:r>
      <w:r w:rsidR="002273E0">
        <w:t>Inc.;</w:t>
      </w:r>
      <w:r w:rsidRPr="00D84201" w:rsidR="00D84201">
        <w:t xml:space="preserve"> Direct Energy Business, LLC; and The Regents of the University of California.</w:t>
      </w:r>
      <w:r w:rsidRPr="008C3446">
        <w:t xml:space="preserve"> All other ESPs listed in the Summary section of this decision must file their Final </w:t>
      </w:r>
      <w:r w:rsidR="00950E04">
        <w:t>2025 RPS</w:t>
      </w:r>
      <w:r w:rsidRPr="008C3446">
        <w:t xml:space="preserve"> Procurement Plans </w:t>
      </w:r>
      <w:r w:rsidRPr="002064A9" w:rsidR="002064A9">
        <w:t xml:space="preserve">as a compliance filing in this proceeding </w:t>
      </w:r>
      <w:r w:rsidRPr="008C3446">
        <w:t>within 30 days of the issuance date of this decision.</w:t>
      </w:r>
    </w:p>
    <w:p w:rsidR="00D72660" w:rsidP="00F277D4" w:rsidRDefault="00D72660" w14:paraId="28A4F9B5" w14:textId="2D20BDFA">
      <w:pPr>
        <w:pStyle w:val="OP"/>
      </w:pPr>
      <w:r w:rsidRPr="00D72660">
        <w:t>Any Draft 202</w:t>
      </w:r>
      <w:r>
        <w:t>5</w:t>
      </w:r>
      <w:r w:rsidRPr="00D72660">
        <w:t xml:space="preserve"> </w:t>
      </w:r>
      <w:r w:rsidRPr="008C3446" w:rsidR="0046100B">
        <w:t>Renewables Portfolio Standard</w:t>
      </w:r>
      <w:r w:rsidR="0046100B">
        <w:t xml:space="preserve"> </w:t>
      </w:r>
      <w:r w:rsidRPr="00D72660">
        <w:t>Plan that does not require a correction or clarification is deemed as final</w:t>
      </w:r>
      <w:r>
        <w:t>.</w:t>
      </w:r>
    </w:p>
    <w:p w:rsidR="00474636" w:rsidP="00F277D4" w:rsidRDefault="00793C0B" w14:paraId="0AB6DA6E" w14:textId="4DDA4763">
      <w:pPr>
        <w:pStyle w:val="OP"/>
      </w:pPr>
      <w:r>
        <w:t>The m</w:t>
      </w:r>
      <w:r w:rsidRPr="008C3446" w:rsidR="008C3446">
        <w:t>otion</w:t>
      </w:r>
      <w:r w:rsidR="00D72660">
        <w:t>s</w:t>
      </w:r>
      <w:r w:rsidRPr="008C3446" w:rsidR="008C3446">
        <w:t xml:space="preserve"> to update Draft 202</w:t>
      </w:r>
      <w:r w:rsidR="008C3446">
        <w:t>5</w:t>
      </w:r>
      <w:r w:rsidRPr="008C3446" w:rsidR="008C3446">
        <w:t xml:space="preserve"> </w:t>
      </w:r>
      <w:r w:rsidR="00D53995">
        <w:t>Renewables Portfolio Standard</w:t>
      </w:r>
      <w:r w:rsidRPr="008C3446" w:rsidR="008C3446">
        <w:t xml:space="preserve"> Procurement Plans </w:t>
      </w:r>
      <w:r>
        <w:t xml:space="preserve">and file them under seal, </w:t>
      </w:r>
      <w:r w:rsidRPr="008C3446" w:rsidR="008C3446">
        <w:t>filed by Southern California Edison Company</w:t>
      </w:r>
      <w:r w:rsidR="008C3446">
        <w:t xml:space="preserve"> </w:t>
      </w:r>
      <w:r w:rsidR="00D72660">
        <w:t xml:space="preserve">and </w:t>
      </w:r>
      <w:r w:rsidR="00B471F2">
        <w:t>San </w:t>
      </w:r>
      <w:r w:rsidR="00D72660">
        <w:t>Diego Gas</w:t>
      </w:r>
      <w:r w:rsidR="00B471F2">
        <w:t xml:space="preserve"> &amp; </w:t>
      </w:r>
      <w:r w:rsidR="00D72660">
        <w:t>Electric Company</w:t>
      </w:r>
      <w:r>
        <w:t>,</w:t>
      </w:r>
      <w:r w:rsidR="00D72660">
        <w:t xml:space="preserve"> are granted.</w:t>
      </w:r>
    </w:p>
    <w:p w:rsidR="0023111D" w:rsidP="00F277D4" w:rsidRDefault="00055142" w14:paraId="3451C555" w14:textId="0D0C426E">
      <w:pPr>
        <w:pStyle w:val="OP"/>
      </w:pPr>
      <w:r>
        <w:t>The m</w:t>
      </w:r>
      <w:r w:rsidRPr="00461D45" w:rsidR="00461D45">
        <w:t xml:space="preserve">otion of </w:t>
      </w:r>
      <w:r w:rsidR="0097141A">
        <w:t>Public Advocates Office</w:t>
      </w:r>
      <w:r w:rsidR="007A73EE">
        <w:t xml:space="preserve"> at the California Public Utilities Commission</w:t>
      </w:r>
      <w:r w:rsidRPr="00461D45" w:rsidR="00461D45">
        <w:t xml:space="preserve"> to file under seal the </w:t>
      </w:r>
      <w:r>
        <w:rPr>
          <w:i/>
          <w:iCs/>
        </w:rPr>
        <w:t>Cal</w:t>
      </w:r>
      <w:r w:rsidR="00E54574">
        <w:rPr>
          <w:i/>
          <w:iCs/>
        </w:rPr>
        <w:t> </w:t>
      </w:r>
      <w:r w:rsidRPr="00DD5043">
        <w:rPr>
          <w:i/>
          <w:iCs/>
        </w:rPr>
        <w:t>Advocates</w:t>
      </w:r>
      <w:r>
        <w:rPr>
          <w:i/>
          <w:iCs/>
        </w:rPr>
        <w:t>’</w:t>
      </w:r>
      <w:r w:rsidRPr="00DD5043">
        <w:rPr>
          <w:i/>
          <w:iCs/>
        </w:rPr>
        <w:t xml:space="preserve"> Comments on the Draft 2025 </w:t>
      </w:r>
      <w:r w:rsidRPr="00DD5043">
        <w:rPr>
          <w:i/>
          <w:iCs/>
        </w:rPr>
        <w:lastRenderedPageBreak/>
        <w:t>Renewables Portfolio Standard Procurement Plans (Confidential Version)</w:t>
      </w:r>
      <w:r>
        <w:t xml:space="preserve">, </w:t>
      </w:r>
      <w:r w:rsidRPr="00461D45" w:rsidR="00461D45">
        <w:t xml:space="preserve">filed </w:t>
      </w:r>
      <w:r w:rsidR="00CD5830">
        <w:t>July </w:t>
      </w:r>
      <w:r w:rsidRPr="00461D45" w:rsidR="00461D45">
        <w:t>28, 2025, is granted</w:t>
      </w:r>
      <w:r w:rsidR="00D72660">
        <w:t>.</w:t>
      </w:r>
    </w:p>
    <w:p w:rsidR="00D72660" w:rsidP="00F277D4" w:rsidRDefault="00793C0B" w14:paraId="5BB70B9B" w14:textId="63946667">
      <w:pPr>
        <w:pStyle w:val="OP"/>
      </w:pPr>
      <w:r>
        <w:t>The m</w:t>
      </w:r>
      <w:r w:rsidRPr="00D72660" w:rsidR="00D72660">
        <w:t xml:space="preserve">otion </w:t>
      </w:r>
      <w:r w:rsidR="00D94552">
        <w:t>of the Public Advocates Office</w:t>
      </w:r>
      <w:r w:rsidR="007A73EE">
        <w:t xml:space="preserve"> at the California Public Utilities Commission</w:t>
      </w:r>
      <w:r w:rsidR="00D94552">
        <w:t xml:space="preserve"> </w:t>
      </w:r>
      <w:r w:rsidRPr="00D72660" w:rsidR="00D72660">
        <w:t xml:space="preserve">for leave to file under seal </w:t>
      </w:r>
      <w:r w:rsidR="00D72660">
        <w:t xml:space="preserve">the confidential version of </w:t>
      </w:r>
      <w:r w:rsidR="00602A03">
        <w:t xml:space="preserve">the </w:t>
      </w:r>
      <w:r w:rsidRPr="00A55A63" w:rsidR="00D72660">
        <w:rPr>
          <w:i/>
          <w:iCs/>
        </w:rPr>
        <w:t>Response of the Public Advocates Office to Motions to Update Draft 2025 Renewables Portfolio Standard Procurement Plans</w:t>
      </w:r>
      <w:r w:rsidR="00602A03">
        <w:t>,</w:t>
      </w:r>
      <w:r w:rsidR="00720B8D">
        <w:t xml:space="preserve"> dated </w:t>
      </w:r>
      <w:r w:rsidR="00CD5830">
        <w:t>August </w:t>
      </w:r>
      <w:r w:rsidR="00720B8D">
        <w:t xml:space="preserve">26, 2025, </w:t>
      </w:r>
      <w:r w:rsidR="00D72660">
        <w:t>is granted.</w:t>
      </w:r>
    </w:p>
    <w:p w:rsidR="00071768" w:rsidP="00F277D4" w:rsidRDefault="00793C0B" w14:paraId="123650E8" w14:textId="7BB0ECAA">
      <w:pPr>
        <w:pStyle w:val="OP"/>
      </w:pPr>
      <w:r>
        <w:t xml:space="preserve">The </w:t>
      </w:r>
      <w:r w:rsidRPr="00DC5482" w:rsidR="00D94552">
        <w:rPr>
          <w:i/>
          <w:iCs/>
        </w:rPr>
        <w:t xml:space="preserve">Motion of Southern California Edison Company </w:t>
      </w:r>
      <w:r>
        <w:rPr>
          <w:i/>
          <w:iCs/>
        </w:rPr>
        <w:t>(U</w:t>
      </w:r>
      <w:r w:rsidR="00E54574">
        <w:rPr>
          <w:i/>
          <w:iCs/>
        </w:rPr>
        <w:t> </w:t>
      </w:r>
      <w:r>
        <w:rPr>
          <w:i/>
          <w:iCs/>
        </w:rPr>
        <w:t>388</w:t>
      </w:r>
      <w:r w:rsidR="00F82B5D">
        <w:rPr>
          <w:i/>
          <w:iCs/>
        </w:rPr>
        <w:noBreakHyphen/>
      </w:r>
      <w:r>
        <w:rPr>
          <w:i/>
          <w:iCs/>
        </w:rPr>
        <w:t xml:space="preserve">E) </w:t>
      </w:r>
      <w:r w:rsidRPr="00DC5482" w:rsidR="00D94552">
        <w:rPr>
          <w:i/>
          <w:iCs/>
        </w:rPr>
        <w:t xml:space="preserve">for leave to file </w:t>
      </w:r>
      <w:r w:rsidRPr="00DC5482" w:rsidR="009F1F66">
        <w:rPr>
          <w:i/>
          <w:iCs/>
        </w:rPr>
        <w:t>i</w:t>
      </w:r>
      <w:r w:rsidRPr="00DC5482" w:rsidR="00D94552">
        <w:rPr>
          <w:i/>
          <w:iCs/>
        </w:rPr>
        <w:t>ts Reply to the Public Advocates Office</w:t>
      </w:r>
      <w:r w:rsidRPr="00DC5482" w:rsidR="005A00BE">
        <w:rPr>
          <w:i/>
          <w:iCs/>
        </w:rPr>
        <w:t>’</w:t>
      </w:r>
      <w:r w:rsidRPr="00DC5482" w:rsidR="00D94552">
        <w:rPr>
          <w:i/>
          <w:iCs/>
        </w:rPr>
        <w:t xml:space="preserve">s Response on the Motion to Update the Draft </w:t>
      </w:r>
      <w:r w:rsidRPr="00DC5482" w:rsidR="00950E04">
        <w:rPr>
          <w:i/>
          <w:iCs/>
        </w:rPr>
        <w:t xml:space="preserve">2025 </w:t>
      </w:r>
      <w:r>
        <w:rPr>
          <w:i/>
          <w:iCs/>
        </w:rPr>
        <w:t>[</w:t>
      </w:r>
      <w:r w:rsidRPr="00DC5482" w:rsidR="00950E04">
        <w:rPr>
          <w:i/>
          <w:iCs/>
        </w:rPr>
        <w:t>R</w:t>
      </w:r>
      <w:r>
        <w:rPr>
          <w:i/>
          <w:iCs/>
        </w:rPr>
        <w:t xml:space="preserve">enewables </w:t>
      </w:r>
      <w:r w:rsidRPr="00DC5482" w:rsidR="00950E04">
        <w:rPr>
          <w:i/>
          <w:iCs/>
        </w:rPr>
        <w:t>P</w:t>
      </w:r>
      <w:r>
        <w:rPr>
          <w:i/>
          <w:iCs/>
        </w:rPr>
        <w:t xml:space="preserve">ortfolio </w:t>
      </w:r>
      <w:r w:rsidRPr="00DC5482" w:rsidR="00950E04">
        <w:rPr>
          <w:i/>
          <w:iCs/>
        </w:rPr>
        <w:t>S</w:t>
      </w:r>
      <w:r>
        <w:rPr>
          <w:i/>
          <w:iCs/>
        </w:rPr>
        <w:t>tandard]</w:t>
      </w:r>
      <w:r w:rsidRPr="00DC5482" w:rsidR="00D94552">
        <w:rPr>
          <w:i/>
          <w:iCs/>
        </w:rPr>
        <w:t xml:space="preserve"> Procurement Plan</w:t>
      </w:r>
      <w:r>
        <w:rPr>
          <w:i/>
          <w:iCs/>
        </w:rPr>
        <w:t xml:space="preserve"> under Seal</w:t>
      </w:r>
      <w:r>
        <w:t>,</w:t>
      </w:r>
      <w:r w:rsidR="00D94552">
        <w:t xml:space="preserve"> dated </w:t>
      </w:r>
      <w:r w:rsidR="00CD5830">
        <w:t>September </w:t>
      </w:r>
      <w:r w:rsidR="00D94552">
        <w:t>5, 2025, is granted</w:t>
      </w:r>
      <w:r w:rsidR="00071768">
        <w:t>.</w:t>
      </w:r>
    </w:p>
    <w:p w:rsidR="00071768" w:rsidP="00F277D4" w:rsidRDefault="00071768" w14:paraId="4C0B922B" w14:textId="082C2505">
      <w:pPr>
        <w:pStyle w:val="OP"/>
      </w:pPr>
      <w:r>
        <w:t>The motions seeking confidentiality filed by the retail sellers are granted, in part.</w:t>
      </w:r>
      <w:r w:rsidR="0039324D">
        <w:t xml:space="preserve"> </w:t>
      </w:r>
      <w:r>
        <w:t xml:space="preserve">As noted in </w:t>
      </w:r>
      <w:r w:rsidR="00F920D3">
        <w:t>Table </w:t>
      </w:r>
      <w:r w:rsidR="00AF4410">
        <w:t>12</w:t>
      </w:r>
      <w:r w:rsidR="00412BD7">
        <w:t xml:space="preserve"> — </w:t>
      </w:r>
      <w:r>
        <w:t xml:space="preserve">Confidentiality Redactions and Commission Findings in </w:t>
      </w:r>
      <w:r w:rsidR="009850E3">
        <w:t>Section </w:t>
      </w:r>
      <w:r w:rsidR="00EE0256">
        <w:t>9</w:t>
      </w:r>
      <w:r w:rsidR="00027BA8">
        <w:t>.4</w:t>
      </w:r>
      <w:r>
        <w:t xml:space="preserve"> of this decision, these retail sellers must each remove the excess redactions in their </w:t>
      </w:r>
      <w:r w:rsidR="0040129B">
        <w:t>Final</w:t>
      </w:r>
      <w:r>
        <w:t xml:space="preserve"> 202</w:t>
      </w:r>
      <w:r w:rsidR="0088062C">
        <w:t>5</w:t>
      </w:r>
      <w:r>
        <w:t xml:space="preserve"> </w:t>
      </w:r>
      <w:r w:rsidR="00D53995">
        <w:t>Renewables Portfolio Standard</w:t>
      </w:r>
      <w:r>
        <w:t xml:space="preserve"> </w:t>
      </w:r>
      <w:r w:rsidR="00F74239">
        <w:t xml:space="preserve">(RPS) </w:t>
      </w:r>
      <w:r>
        <w:t>Procurement Plans</w:t>
      </w:r>
      <w:r w:rsidR="00C72383">
        <w:t xml:space="preserve"> </w:t>
      </w:r>
      <w:r w:rsidRPr="00DC5482" w:rsidR="00DC5482">
        <w:t>within</w:t>
      </w:r>
      <w:r w:rsidRPr="00DC5482" w:rsidR="00C72383">
        <w:t xml:space="preserve"> 30 days of the issuance date of this decision</w:t>
      </w:r>
      <w:r w:rsidRPr="00DC5482">
        <w:t>.</w:t>
      </w:r>
    </w:p>
    <w:p w:rsidR="00071768" w:rsidP="00F277D4" w:rsidRDefault="00071768" w14:paraId="72F36B69" w14:textId="77777777">
      <w:pPr>
        <w:pStyle w:val="OP"/>
      </w:pPr>
      <w:r>
        <w:t>All rulings by the assigned Commissioner and the assigned Administrative Law Judge are affirmed.</w:t>
      </w:r>
    </w:p>
    <w:p w:rsidRPr="001E2A62" w:rsidR="00071768" w:rsidP="00F277D4" w:rsidRDefault="00071768" w14:paraId="14F0D725" w14:textId="6D244944">
      <w:pPr>
        <w:pStyle w:val="OP"/>
      </w:pPr>
      <w:r>
        <w:t>All motions not otherwise ruled on are deemed denied</w:t>
      </w:r>
      <w:r w:rsidR="00D72660">
        <w:t>.</w:t>
      </w:r>
    </w:p>
    <w:p w:rsidR="008A1D87" w:rsidP="002367ED" w:rsidRDefault="00E23CBB" w14:paraId="61CCD604" w14:textId="601E4FDE">
      <w:pPr>
        <w:pStyle w:val="OP"/>
        <w:keepNext/>
        <w:ind w:firstLine="547"/>
      </w:pPr>
      <w:r w:rsidRPr="001E2A62">
        <w:t>Rulemaking</w:t>
      </w:r>
      <w:r w:rsidR="00071768">
        <w:t xml:space="preserve"> 24</w:t>
      </w:r>
      <w:r w:rsidR="00F82B5D">
        <w:noBreakHyphen/>
      </w:r>
      <w:r w:rsidR="00071768">
        <w:t>01</w:t>
      </w:r>
      <w:r w:rsidR="00F82B5D">
        <w:noBreakHyphen/>
      </w:r>
      <w:r w:rsidR="00071768">
        <w:t>017 remains open.</w:t>
      </w:r>
    </w:p>
    <w:p w:rsidR="008F0116" w:rsidP="00F277D4" w:rsidRDefault="008F0116" w14:paraId="5CD6D91C" w14:textId="6D409624">
      <w:pPr>
        <w:pStyle w:val="Standard"/>
        <w:keepNext/>
      </w:pPr>
      <w:r>
        <w:t>This order is effective today.</w:t>
      </w:r>
    </w:p>
    <w:p w:rsidR="00714CF2" w:rsidP="00F277D4" w:rsidRDefault="008F0116" w14:paraId="3954019B" w14:textId="45D2E7A0">
      <w:pPr>
        <w:pStyle w:val="Standard"/>
        <w:keepNext/>
      </w:pPr>
      <w:r>
        <w:t xml:space="preserve">Dated </w:t>
      </w:r>
      <w:r w:rsidR="001D1FDD">
        <w:t>____________________</w:t>
      </w:r>
      <w:r>
        <w:t xml:space="preserve">, at </w:t>
      </w:r>
      <w:r w:rsidR="00737C2E">
        <w:t>Sacramento</w:t>
      </w:r>
      <w:r>
        <w:t>, California</w:t>
      </w:r>
      <w:r w:rsidR="00737C2E">
        <w:t>.</w:t>
      </w:r>
    </w:p>
    <w:p w:rsidR="00737C2E" w:rsidP="00F277D4" w:rsidRDefault="00737C2E" w14:paraId="51AD3CE1" w14:textId="77777777">
      <w:pPr>
        <w:pStyle w:val="Standard"/>
        <w:keepNext/>
      </w:pPr>
    </w:p>
    <w:p w:rsidR="00737C2E" w:rsidP="00F277D4" w:rsidRDefault="00737C2E" w14:paraId="328CDE47" w14:textId="77777777">
      <w:pPr>
        <w:pStyle w:val="Standard"/>
        <w:keepNext/>
      </w:pPr>
    </w:p>
    <w:p w:rsidRPr="00714CF2" w:rsidR="00737C2E" w:rsidP="00F277D4" w:rsidRDefault="00737C2E" w14:paraId="418DD198" w14:textId="77777777">
      <w:pPr>
        <w:pStyle w:val="Standard"/>
        <w:keepNext/>
      </w:pPr>
    </w:p>
    <w:sectPr w:rsidRPr="00714CF2" w:rsidR="00737C2E" w:rsidSect="004E4FD4">
      <w:footerReference w:type="default" r:id="rId19"/>
      <w:pgSz w:w="12240" w:h="15840"/>
      <w:pgMar w:top="1728" w:right="1440" w:bottom="1440" w:left="1440" w:header="720" w:footer="720" w:gutter="0"/>
      <w:pgNumType w:start="2"/>
      <w:cols w:space="720"/>
      <w:docGrid w:linePitch="360"/>
    </w:sectPr>
    <w:p>
      <w:r>
        <w:t xml:space="preserve"/>
      </w:r>
    </w:p>
    <w:p>
      <w:r>
        <w:t xml:space="preserve">Attachment 1: </w:t>
      </w:r>
    </w:p>
    <w:p>
      <w:hyperlink w:history="true" r:id="R050fdf03d1ce47e6">
        <w:r w:rsidRPr="00CB1292">
          <w:rPr>
            <w:rStyle w:val="Hyperlink"/>
            <w:color w:val="2E74B5" w:themeColor="accent1" w:themeShade="BF"/>
            <w:u w:val="single"/>
          </w:rPr>
          <w:t>R2401017 Atamturk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0D90" w14:textId="77777777" w:rsidR="00F70DFA" w:rsidRDefault="00F70DFA" w:rsidP="0098138E">
      <w:pPr>
        <w:spacing w:line="240" w:lineRule="auto"/>
      </w:pPr>
      <w:r>
        <w:separator/>
      </w:r>
    </w:p>
  </w:endnote>
  <w:endnote w:type="continuationSeparator" w:id="0">
    <w:p w14:paraId="2AAA3635" w14:textId="77777777" w:rsidR="00F70DFA" w:rsidRDefault="00F70DFA"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E5C4" w14:textId="133FE58E" w:rsidR="00F92385" w:rsidRDefault="00E54574" w:rsidP="00355B03">
    <w:pPr>
      <w:spacing w:line="240" w:lineRule="auto"/>
      <w:ind w:firstLine="0"/>
      <w:jc w:val="center"/>
    </w:pPr>
    <w:r>
      <w:noBreakHyphen/>
    </w:r>
    <w:r w:rsidR="00355B03">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355B03">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D0F3" w14:textId="745A3EC3" w:rsidR="00632207" w:rsidRDefault="0097688F" w:rsidP="00EF7FAE">
    <w:pPr>
      <w:tabs>
        <w:tab w:val="center" w:pos="4680"/>
      </w:tabs>
      <w:spacing w:line="240" w:lineRule="auto"/>
      <w:ind w:firstLine="0"/>
      <w:rPr>
        <w:noProof/>
      </w:rPr>
    </w:pPr>
    <w:r w:rsidRPr="0097688F">
      <w:rPr>
        <w:sz w:val="16"/>
      </w:rPr>
      <w:t>590906638</w:t>
    </w:r>
    <w:sdt>
      <w:sdtPr>
        <w:rPr>
          <w:sz w:val="16"/>
        </w:rPr>
        <w:id w:val="-1352874971"/>
        <w:docPartObj>
          <w:docPartGallery w:val="Page Numbers (Bottom of Page)"/>
          <w:docPartUnique/>
        </w:docPartObj>
      </w:sdtPr>
      <w:sdtEndPr>
        <w:rPr>
          <w:noProof/>
          <w:sz w:val="26"/>
        </w:rPr>
      </w:sdtEndPr>
      <w:sdtContent>
        <w:r w:rsidR="00632207">
          <w:rPr>
            <w:rFonts w:ascii="Arial" w:hAnsi="Arial" w:cs="Arial"/>
            <w:sz w:val="16"/>
            <w:szCs w:val="16"/>
          </w:rPr>
          <w:tab/>
        </w:r>
        <w:r w:rsidR="00E54574">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E54574">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2063" w14:textId="5088B91D" w:rsidR="00E23CBB" w:rsidRDefault="00E54574" w:rsidP="00EF7FAE">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5F51" w14:textId="77777777" w:rsidR="00F70DFA" w:rsidRDefault="00F70DFA" w:rsidP="00DF58E7">
      <w:pPr>
        <w:spacing w:line="240" w:lineRule="auto"/>
        <w:ind w:firstLine="0"/>
      </w:pPr>
      <w:r>
        <w:separator/>
      </w:r>
    </w:p>
  </w:footnote>
  <w:footnote w:type="continuationSeparator" w:id="0">
    <w:p w14:paraId="0ED97C3A" w14:textId="77777777" w:rsidR="00F70DFA" w:rsidRDefault="00F70DFA" w:rsidP="00DF58E7">
      <w:pPr>
        <w:spacing w:line="240" w:lineRule="auto"/>
        <w:ind w:firstLine="0"/>
      </w:pPr>
      <w:r>
        <w:continuationSeparator/>
      </w:r>
    </w:p>
  </w:footnote>
  <w:footnote w:type="continuationNotice" w:id="1">
    <w:p w14:paraId="5DC8289D" w14:textId="77777777" w:rsidR="00F70DFA" w:rsidRPr="00DF58E7" w:rsidRDefault="00F70DFA" w:rsidP="00DF58E7">
      <w:pPr>
        <w:spacing w:line="240" w:lineRule="auto"/>
        <w:ind w:firstLine="0"/>
        <w:jc w:val="right"/>
        <w:rPr>
          <w:i/>
          <w:sz w:val="22"/>
        </w:rPr>
      </w:pPr>
      <w:r w:rsidRPr="00DF58E7">
        <w:rPr>
          <w:i/>
          <w:sz w:val="22"/>
        </w:rPr>
        <w:t>Footnote continued on next page.</w:t>
      </w:r>
    </w:p>
  </w:footnote>
  <w:footnote w:id="2">
    <w:p w14:paraId="4EAAA81E" w14:textId="58E989DC" w:rsidR="00F92F91" w:rsidRDefault="00F92F91" w:rsidP="00F92F91">
      <w:pPr>
        <w:pStyle w:val="FootnoteText"/>
      </w:pPr>
      <w:r>
        <w:rPr>
          <w:rStyle w:val="FootnoteReference"/>
        </w:rPr>
        <w:footnoteRef/>
      </w:r>
      <w:r>
        <w:t xml:space="preserve"> </w:t>
      </w:r>
      <w:r w:rsidRPr="0097001B">
        <w:t xml:space="preserve">All references are to the </w:t>
      </w:r>
      <w:r w:rsidR="00F81267">
        <w:t>Pub</w:t>
      </w:r>
      <w:r w:rsidR="008C0F68">
        <w:t xml:space="preserve">lic </w:t>
      </w:r>
      <w:r w:rsidR="00F81267">
        <w:t>Util</w:t>
      </w:r>
      <w:r w:rsidR="008C0F68">
        <w:t>ities</w:t>
      </w:r>
      <w:r w:rsidRPr="0097001B">
        <w:t xml:space="preserve"> Code,</w:t>
      </w:r>
      <w:r>
        <w:t xml:space="preserve"> </w:t>
      </w:r>
      <w:r w:rsidRPr="0097001B">
        <w:t>unless otherwise noted</w:t>
      </w:r>
      <w:r>
        <w:t>.</w:t>
      </w:r>
    </w:p>
  </w:footnote>
  <w:footnote w:id="3">
    <w:p w14:paraId="0E51DC78" w14:textId="69604F6E" w:rsidR="00343C0B" w:rsidRDefault="00F92F91" w:rsidP="00343C0B">
      <w:pPr>
        <w:pStyle w:val="FootnoteText"/>
      </w:pPr>
      <w:r>
        <w:rPr>
          <w:rStyle w:val="FootnoteReference"/>
        </w:rPr>
        <w:footnoteRef/>
      </w:r>
      <w:r>
        <w:t xml:space="preserve"> </w:t>
      </w:r>
      <w:r w:rsidRPr="00E00C0F">
        <w:t xml:space="preserve">Pursuant to </w:t>
      </w:r>
      <w:r w:rsidR="00F81267">
        <w:t>Pub. Util.</w:t>
      </w:r>
      <w:r w:rsidRPr="00E00C0F">
        <w:t xml:space="preserve"> Code </w:t>
      </w:r>
      <w:r w:rsidR="009850E3">
        <w:t>Section </w:t>
      </w:r>
      <w:r w:rsidRPr="00E00C0F">
        <w:t>399.1</w:t>
      </w:r>
      <w:r w:rsidR="003A1B6A">
        <w:t>2(j)</w:t>
      </w:r>
      <w:r w:rsidRPr="00E00C0F">
        <w:t xml:space="preserve"> retail seller means an entity engaged in the retail sale of electricity to end</w:t>
      </w:r>
      <w:r w:rsidR="00E54574">
        <w:noBreakHyphen/>
      </w:r>
      <w:r w:rsidRPr="00E00C0F">
        <w:t>use customers</w:t>
      </w:r>
      <w:r w:rsidR="00343C0B">
        <w:t xml:space="preserve"> located within the state, including an electrical corporation, as defined in </w:t>
      </w:r>
      <w:r w:rsidR="009850E3">
        <w:t>Section </w:t>
      </w:r>
      <w:r w:rsidR="00343C0B">
        <w:t xml:space="preserve">218, a community choice aggregator, and an electric service provider, as defined in </w:t>
      </w:r>
      <w:r w:rsidR="009850E3">
        <w:t>Section </w:t>
      </w:r>
      <w:r w:rsidR="00343C0B">
        <w:t>218.3.</w:t>
      </w:r>
    </w:p>
  </w:footnote>
  <w:footnote w:id="4">
    <w:p w14:paraId="3B76A489" w14:textId="54F760B5" w:rsidR="004F2588" w:rsidRPr="004F2588" w:rsidRDefault="004F2588">
      <w:pPr>
        <w:pStyle w:val="FootnoteText"/>
      </w:pPr>
      <w:r>
        <w:rPr>
          <w:rStyle w:val="FootnoteReference"/>
        </w:rPr>
        <w:footnoteRef/>
      </w:r>
      <w:r>
        <w:t xml:space="preserve"> S</w:t>
      </w:r>
      <w:r w:rsidRPr="004F2588">
        <w:rPr>
          <w:i/>
          <w:iCs/>
        </w:rPr>
        <w:t>ee</w:t>
      </w:r>
      <w:r>
        <w:t xml:space="preserve"> 2025 ACR, </w:t>
      </w:r>
      <w:r w:rsidR="00F920D3">
        <w:t>Table </w:t>
      </w:r>
      <w:r>
        <w:t xml:space="preserve">1 Summary of Requirements for </w:t>
      </w:r>
      <w:r w:rsidR="00950E04">
        <w:t>2025 RPS</w:t>
      </w:r>
      <w:r>
        <w:t xml:space="preserve"> Plans, for the </w:t>
      </w:r>
      <w:r w:rsidR="000B50C0">
        <w:t>complete</w:t>
      </w:r>
      <w:r>
        <w:t xml:space="preserve"> list of </w:t>
      </w:r>
      <w:r w:rsidR="00950E04">
        <w:t>2025 RPS</w:t>
      </w:r>
      <w:r>
        <w:t xml:space="preserve"> Plan requirements.</w:t>
      </w:r>
    </w:p>
  </w:footnote>
  <w:footnote w:id="5">
    <w:p w14:paraId="41AAC80B" w14:textId="36E77E90" w:rsidR="00675646" w:rsidRDefault="00675646" w:rsidP="00675646">
      <w:pPr>
        <w:pStyle w:val="FootnoteText"/>
        <w:rPr>
          <w:lang w:val="en-ZW"/>
        </w:rPr>
      </w:pPr>
      <w:r>
        <w:rPr>
          <w:rStyle w:val="FootnoteReference"/>
        </w:rPr>
        <w:footnoteRef/>
      </w:r>
      <w:r>
        <w:t xml:space="preserve"> </w:t>
      </w:r>
      <w:r w:rsidR="00F81267">
        <w:t>Pub. Util.</w:t>
      </w:r>
      <w:r>
        <w:t xml:space="preserve"> Code </w:t>
      </w:r>
      <w:r w:rsidR="00FE4095">
        <w:t>§ </w:t>
      </w:r>
      <w:r>
        <w:t>399.13(a).</w:t>
      </w:r>
    </w:p>
  </w:footnote>
  <w:footnote w:id="6">
    <w:p w14:paraId="62708CF4" w14:textId="60D8E0F5" w:rsidR="00C10873" w:rsidRDefault="00C10873">
      <w:pPr>
        <w:pStyle w:val="FootnoteText"/>
      </w:pPr>
      <w:r>
        <w:rPr>
          <w:rStyle w:val="FootnoteReference"/>
        </w:rPr>
        <w:footnoteRef/>
      </w:r>
      <w:r>
        <w:t xml:space="preserve"> This assessment is based on </w:t>
      </w:r>
      <w:r w:rsidRPr="00C10873">
        <w:t>the retail seller</w:t>
      </w:r>
      <w:r>
        <w:t>s</w:t>
      </w:r>
      <w:r w:rsidR="005A00BE">
        <w:t>’</w:t>
      </w:r>
      <w:r w:rsidRPr="00C10873">
        <w:t xml:space="preserve"> mo</w:t>
      </w:r>
      <w:r>
        <w:t>st</w:t>
      </w:r>
      <w:r w:rsidRPr="00C10873">
        <w:t xml:space="preserve"> recent annual RPS compliance reports, submitted on</w:t>
      </w:r>
      <w:r>
        <w:t xml:space="preserve"> </w:t>
      </w:r>
      <w:r w:rsidR="00CD5830">
        <w:t>August </w:t>
      </w:r>
      <w:r>
        <w:t>1, 2025</w:t>
      </w:r>
      <w:r w:rsidR="00C80C80">
        <w:t xml:space="preserve">, approximately one month after Draft </w:t>
      </w:r>
      <w:r w:rsidR="00950E04">
        <w:t>2025 RPS</w:t>
      </w:r>
      <w:r w:rsidR="00C80C80">
        <w:t xml:space="preserve"> </w:t>
      </w:r>
      <w:r w:rsidR="00100E53">
        <w:t>Plans were</w:t>
      </w:r>
      <w:r w:rsidR="00C80C80">
        <w:t xml:space="preserve"> filed.</w:t>
      </w:r>
    </w:p>
  </w:footnote>
  <w:footnote w:id="7">
    <w:p w14:paraId="7A89B5D1" w14:textId="32141D73" w:rsidR="001D61FC" w:rsidRDefault="001D61FC">
      <w:pPr>
        <w:pStyle w:val="FootnoteText"/>
      </w:pPr>
      <w:r>
        <w:rPr>
          <w:rStyle w:val="FootnoteReference"/>
        </w:rPr>
        <w:footnoteRef/>
      </w:r>
      <w:r>
        <w:t xml:space="preserve"> D.24</w:t>
      </w:r>
      <w:r w:rsidR="00E54574">
        <w:noBreakHyphen/>
      </w:r>
      <w:r>
        <w:t>12</w:t>
      </w:r>
      <w:r w:rsidR="00E54574">
        <w:noBreakHyphen/>
      </w:r>
      <w:r>
        <w:t>035 at 11.</w:t>
      </w:r>
    </w:p>
  </w:footnote>
  <w:footnote w:id="8">
    <w:p w14:paraId="5A6BFE5D" w14:textId="20A08FD9" w:rsidR="00D86042" w:rsidRDefault="00D86042" w:rsidP="00D86042">
      <w:pPr>
        <w:pStyle w:val="FootnoteText"/>
      </w:pPr>
      <w:r>
        <w:rPr>
          <w:rStyle w:val="FootnoteReference"/>
        </w:rPr>
        <w:footnoteRef/>
      </w:r>
      <w:r>
        <w:t xml:space="preserve"> </w:t>
      </w:r>
      <w:r w:rsidR="000C5099">
        <w:t>Cal Advoc</w:t>
      </w:r>
      <w:r>
        <w:t xml:space="preserve">ates Comments on </w:t>
      </w:r>
      <w:r w:rsidR="00E203E9">
        <w:t xml:space="preserve">the Draft </w:t>
      </w:r>
      <w:r w:rsidR="00950E04">
        <w:t>2025 RPS</w:t>
      </w:r>
      <w:r>
        <w:t xml:space="preserve"> Plans</w:t>
      </w:r>
      <w:r w:rsidR="00E203E9">
        <w:t xml:space="preserve">, </w:t>
      </w:r>
      <w:r w:rsidR="00CD5830">
        <w:t>July </w:t>
      </w:r>
      <w:r w:rsidR="00E203E9">
        <w:t>28, 2025,</w:t>
      </w:r>
      <w:r>
        <w:t xml:space="preserve"> at</w:t>
      </w:r>
      <w:r w:rsidR="00E203E9">
        <w:t xml:space="preserve"> 1.</w:t>
      </w:r>
    </w:p>
  </w:footnote>
  <w:footnote w:id="9">
    <w:p w14:paraId="7C0A0C66" w14:textId="384A5D41" w:rsidR="00D86042" w:rsidRDefault="00D86042" w:rsidP="00D86042">
      <w:pPr>
        <w:pStyle w:val="FootnoteText"/>
      </w:pPr>
      <w:r>
        <w:rPr>
          <w:rStyle w:val="FootnoteReference"/>
        </w:rPr>
        <w:footnoteRef/>
      </w:r>
      <w:r>
        <w:t xml:space="preserve"> </w:t>
      </w:r>
      <w:r w:rsidR="000C5099">
        <w:t>Cal Advoc</w:t>
      </w:r>
      <w:r w:rsidR="004A5F5A" w:rsidRPr="004A5F5A">
        <w:t xml:space="preserve">ates Comments on the Draft </w:t>
      </w:r>
      <w:r w:rsidR="00950E04">
        <w:t>2025 RPS</w:t>
      </w:r>
      <w:r w:rsidR="004A5F5A" w:rsidRPr="004A5F5A">
        <w:t xml:space="preserve"> Plans, </w:t>
      </w:r>
      <w:r w:rsidR="00CD5830">
        <w:t>July </w:t>
      </w:r>
      <w:r w:rsidR="004A5F5A" w:rsidRPr="004A5F5A">
        <w:t>28, 2025</w:t>
      </w:r>
      <w:r w:rsidR="004A5F5A">
        <w:t xml:space="preserve">, </w:t>
      </w:r>
      <w:r>
        <w:t>at 1</w:t>
      </w:r>
      <w:r w:rsidR="00E54574">
        <w:noBreakHyphen/>
      </w:r>
      <w:r w:rsidR="002B46F5">
        <w:t>4</w:t>
      </w:r>
      <w:r>
        <w:t>.</w:t>
      </w:r>
    </w:p>
  </w:footnote>
  <w:footnote w:id="10">
    <w:p w14:paraId="288AA45C" w14:textId="68F07B2F" w:rsidR="00D86042" w:rsidRDefault="00D86042" w:rsidP="00D86042">
      <w:pPr>
        <w:pStyle w:val="FootnoteText"/>
      </w:pPr>
      <w:r>
        <w:rPr>
          <w:rStyle w:val="FootnoteReference"/>
        </w:rPr>
        <w:footnoteRef/>
      </w:r>
      <w:r>
        <w:t xml:space="preserve"> </w:t>
      </w:r>
      <w:r w:rsidR="000C5099">
        <w:t>Cal Advoc</w:t>
      </w:r>
      <w:r w:rsidR="004A5F5A" w:rsidRPr="004A5F5A">
        <w:t xml:space="preserve">ates Comments on the Draft </w:t>
      </w:r>
      <w:r w:rsidR="00950E04">
        <w:t>2025 RPS</w:t>
      </w:r>
      <w:r w:rsidR="004A5F5A" w:rsidRPr="004A5F5A">
        <w:t xml:space="preserve"> Plans, </w:t>
      </w:r>
      <w:r w:rsidR="00CD5830">
        <w:t>July </w:t>
      </w:r>
      <w:r w:rsidR="004A5F5A" w:rsidRPr="004A5F5A">
        <w:t>28, 2025</w:t>
      </w:r>
      <w:r w:rsidR="004A5F5A">
        <w:t xml:space="preserve">, </w:t>
      </w:r>
      <w:r>
        <w:t>at 4.</w:t>
      </w:r>
    </w:p>
  </w:footnote>
  <w:footnote w:id="11">
    <w:p w14:paraId="69D02846" w14:textId="1BCFB370" w:rsidR="00D86042" w:rsidRDefault="00D86042" w:rsidP="00D86042">
      <w:pPr>
        <w:pStyle w:val="FootnoteText"/>
      </w:pPr>
      <w:r>
        <w:rPr>
          <w:rStyle w:val="FootnoteReference"/>
        </w:rPr>
        <w:footnoteRef/>
      </w:r>
      <w:r>
        <w:t xml:space="preserve"> </w:t>
      </w:r>
      <w:r w:rsidR="000C5099">
        <w:t>Cal Advoc</w:t>
      </w:r>
      <w:r w:rsidR="004A5F5A" w:rsidRPr="004A5F5A">
        <w:t xml:space="preserve">ates Comments on the Draft </w:t>
      </w:r>
      <w:r w:rsidR="00950E04">
        <w:t>2025 RPS</w:t>
      </w:r>
      <w:r w:rsidR="004A5F5A" w:rsidRPr="004A5F5A">
        <w:t xml:space="preserve"> Plans, </w:t>
      </w:r>
      <w:r w:rsidR="00CD5830">
        <w:t>July </w:t>
      </w:r>
      <w:r w:rsidR="004A5F5A" w:rsidRPr="004A5F5A">
        <w:t>28, 2025</w:t>
      </w:r>
      <w:r w:rsidR="004A5F5A">
        <w:t xml:space="preserve">, </w:t>
      </w:r>
      <w:r>
        <w:t>at 5.</w:t>
      </w:r>
    </w:p>
  </w:footnote>
  <w:footnote w:id="12">
    <w:p w14:paraId="71A5F0E0" w14:textId="126291CA" w:rsidR="00D86042" w:rsidRDefault="00D86042" w:rsidP="00D86042">
      <w:pPr>
        <w:pStyle w:val="FootnoteText"/>
      </w:pPr>
      <w:r>
        <w:rPr>
          <w:rStyle w:val="FootnoteReference"/>
        </w:rPr>
        <w:footnoteRef/>
      </w:r>
      <w:r>
        <w:t xml:space="preserve"> </w:t>
      </w:r>
      <w:r w:rsidR="000C5099">
        <w:t>Cal Advoc</w:t>
      </w:r>
      <w:r w:rsidR="004A5F5A" w:rsidRPr="004A5F5A">
        <w:t xml:space="preserve">ates Comments on the Draft </w:t>
      </w:r>
      <w:r w:rsidR="00950E04">
        <w:t>2025 RPS</w:t>
      </w:r>
      <w:r w:rsidR="004A5F5A" w:rsidRPr="004A5F5A">
        <w:t xml:space="preserve"> Plans, </w:t>
      </w:r>
      <w:r w:rsidR="00CD5830">
        <w:t>July </w:t>
      </w:r>
      <w:r w:rsidR="004A5F5A" w:rsidRPr="004A5F5A">
        <w:t>28, 2025</w:t>
      </w:r>
      <w:r w:rsidR="004A5F5A">
        <w:t xml:space="preserve">, </w:t>
      </w:r>
      <w:r>
        <w:t>at</w:t>
      </w:r>
      <w:r w:rsidR="004A5F5A">
        <w:t xml:space="preserve"> </w:t>
      </w:r>
      <w:r>
        <w:t>6.</w:t>
      </w:r>
    </w:p>
  </w:footnote>
  <w:footnote w:id="13">
    <w:p w14:paraId="0616AD5A" w14:textId="49392EC5" w:rsidR="00D86042" w:rsidRDefault="00D86042" w:rsidP="00D86042">
      <w:pPr>
        <w:pStyle w:val="FootnoteText"/>
      </w:pPr>
      <w:r>
        <w:rPr>
          <w:rStyle w:val="FootnoteReference"/>
        </w:rPr>
        <w:footnoteRef/>
      </w:r>
      <w:r>
        <w:t xml:space="preserve"> </w:t>
      </w:r>
      <w:r w:rsidR="000C5099">
        <w:t>Cal Advoc</w:t>
      </w:r>
      <w:r w:rsidR="004A5F5A" w:rsidRPr="004A5F5A">
        <w:t xml:space="preserve">ates Comments on the Draft </w:t>
      </w:r>
      <w:r w:rsidR="00950E04">
        <w:t>2025 RPS</w:t>
      </w:r>
      <w:r w:rsidR="004A5F5A" w:rsidRPr="004A5F5A">
        <w:t xml:space="preserve"> Plans, </w:t>
      </w:r>
      <w:r w:rsidR="00CD5830">
        <w:t>July </w:t>
      </w:r>
      <w:r w:rsidR="004A5F5A" w:rsidRPr="004A5F5A">
        <w:t>28, 2025</w:t>
      </w:r>
      <w:r w:rsidR="004A5F5A">
        <w:t xml:space="preserve">, </w:t>
      </w:r>
      <w:r>
        <w:t>at 12</w:t>
      </w:r>
      <w:r w:rsidR="00E54574">
        <w:noBreakHyphen/>
      </w:r>
      <w:r>
        <w:t>13.</w:t>
      </w:r>
    </w:p>
  </w:footnote>
  <w:footnote w:id="14">
    <w:p w14:paraId="00960CDA" w14:textId="30BEA1BF" w:rsidR="00D149E9" w:rsidRDefault="00D149E9" w:rsidP="00D149E9">
      <w:pPr>
        <w:pStyle w:val="FootnoteText"/>
      </w:pPr>
      <w:r>
        <w:rPr>
          <w:rStyle w:val="FootnoteReference"/>
        </w:rPr>
        <w:footnoteRef/>
      </w:r>
      <w:r>
        <w:t xml:space="preserve"> D.19</w:t>
      </w:r>
      <w:r w:rsidR="00E54574">
        <w:noBreakHyphen/>
      </w:r>
      <w:r>
        <w:t>06</w:t>
      </w:r>
      <w:r w:rsidR="00E54574">
        <w:noBreakHyphen/>
      </w:r>
      <w:r>
        <w:t>023 at Ordering Paragraph (OP)</w:t>
      </w:r>
      <w:r w:rsidR="006876C0">
        <w:t> </w:t>
      </w:r>
      <w:r>
        <w:t>1.</w:t>
      </w:r>
    </w:p>
  </w:footnote>
  <w:footnote w:id="15">
    <w:p w14:paraId="1777B31B" w14:textId="4E903A30" w:rsidR="00D149E9" w:rsidRDefault="00D149E9" w:rsidP="00D149E9">
      <w:pPr>
        <w:pStyle w:val="FootnoteText"/>
      </w:pPr>
      <w:r>
        <w:rPr>
          <w:rStyle w:val="FootnoteReference"/>
        </w:rPr>
        <w:footnoteRef/>
      </w:r>
      <w:r>
        <w:t xml:space="preserve"> PG&amp;E Draft </w:t>
      </w:r>
      <w:r w:rsidR="00950E04">
        <w:t>2025 RPS</w:t>
      </w:r>
      <w:r>
        <w:t xml:space="preserve"> Plan at </w:t>
      </w:r>
      <w:r w:rsidR="006876C0">
        <w:t>Appendix </w:t>
      </w:r>
      <w:r w:rsidRPr="005A469A">
        <w:t>C.1 and C.2</w:t>
      </w:r>
      <w:r>
        <w:t>.</w:t>
      </w:r>
    </w:p>
  </w:footnote>
  <w:footnote w:id="16">
    <w:p w14:paraId="661ED738" w14:textId="5B83F94A" w:rsidR="00D149E9" w:rsidRDefault="00D149E9" w:rsidP="00D149E9">
      <w:pPr>
        <w:pStyle w:val="FootnoteText"/>
      </w:pPr>
      <w:r>
        <w:rPr>
          <w:rStyle w:val="FootnoteReference"/>
        </w:rPr>
        <w:footnoteRef/>
      </w:r>
      <w:r>
        <w:t xml:space="preserve"> SCE Draft </w:t>
      </w:r>
      <w:r w:rsidR="00950E04">
        <w:t>2025 RPS</w:t>
      </w:r>
      <w:r>
        <w:t xml:space="preserve"> Plan at</w:t>
      </w:r>
      <w:r w:rsidR="00102F90" w:rsidRPr="00102F90">
        <w:t xml:space="preserve"> </w:t>
      </w:r>
      <w:r w:rsidR="006876C0">
        <w:t>Appendix </w:t>
      </w:r>
      <w:r w:rsidR="00102F90" w:rsidRPr="00102F90">
        <w:t>C.1 and C.2.</w:t>
      </w:r>
    </w:p>
  </w:footnote>
  <w:footnote w:id="17">
    <w:p w14:paraId="48335E77" w14:textId="14E7CE1A" w:rsidR="00D149E9" w:rsidRDefault="00D149E9" w:rsidP="00D149E9">
      <w:pPr>
        <w:pStyle w:val="FootnoteText"/>
      </w:pPr>
      <w:r>
        <w:rPr>
          <w:rStyle w:val="FootnoteReference"/>
        </w:rPr>
        <w:footnoteRef/>
      </w:r>
      <w:r>
        <w:t xml:space="preserve"> SDG&amp;E Draft </w:t>
      </w:r>
      <w:r w:rsidR="00950E04">
        <w:t>2025 RPS</w:t>
      </w:r>
      <w:r>
        <w:t xml:space="preserve"> Plan at </w:t>
      </w:r>
      <w:r w:rsidR="006876C0">
        <w:t>Appendix </w:t>
      </w:r>
      <w:r w:rsidRPr="008A0B9C">
        <w:t>1a and 1b</w:t>
      </w:r>
      <w:r w:rsidRPr="004D4B40">
        <w:t>.</w:t>
      </w:r>
    </w:p>
  </w:footnote>
  <w:footnote w:id="18">
    <w:p w14:paraId="4D232D9A" w14:textId="1A5273DC" w:rsidR="000B2B5F" w:rsidRDefault="000B2B5F">
      <w:pPr>
        <w:pStyle w:val="FootnoteText"/>
      </w:pPr>
      <w:r>
        <w:rPr>
          <w:rStyle w:val="FootnoteReference"/>
        </w:rPr>
        <w:footnoteRef/>
      </w:r>
      <w:r>
        <w:t xml:space="preserve"> D.25</w:t>
      </w:r>
      <w:r w:rsidR="00E54574">
        <w:noBreakHyphen/>
      </w:r>
      <w:r>
        <w:t>08</w:t>
      </w:r>
      <w:r w:rsidR="00E54574">
        <w:noBreakHyphen/>
      </w:r>
      <w:r>
        <w:t>009 at 16.</w:t>
      </w:r>
    </w:p>
  </w:footnote>
  <w:footnote w:id="19">
    <w:p w14:paraId="2BAECA39" w14:textId="451BC4EB" w:rsidR="00C92B05" w:rsidRDefault="00C92B05">
      <w:pPr>
        <w:pStyle w:val="FootnoteText"/>
      </w:pPr>
      <w:r>
        <w:rPr>
          <w:rStyle w:val="FootnoteReference"/>
        </w:rPr>
        <w:footnoteRef/>
      </w:r>
      <w:r>
        <w:t xml:space="preserve"> SDG&amp;E</w:t>
      </w:r>
      <w:r w:rsidR="005A00BE">
        <w:t>’</w:t>
      </w:r>
      <w:r>
        <w:t>s Submittal at 69.</w:t>
      </w:r>
    </w:p>
  </w:footnote>
  <w:footnote w:id="20">
    <w:p w14:paraId="46E8E696" w14:textId="25A4A7FF" w:rsidR="00C92B05" w:rsidRDefault="00C92B05">
      <w:pPr>
        <w:pStyle w:val="FootnoteText"/>
      </w:pPr>
      <w:r>
        <w:rPr>
          <w:rStyle w:val="FootnoteReference"/>
        </w:rPr>
        <w:footnoteRef/>
      </w:r>
      <w:r>
        <w:t xml:space="preserve"> </w:t>
      </w:r>
      <w:r w:rsidR="000C5099">
        <w:t>Cal Advoc</w:t>
      </w:r>
      <w:r>
        <w:t>ates Response to Motions</w:t>
      </w:r>
      <w:r w:rsidR="00EE3EB2">
        <w:t xml:space="preserve"> to Update Draft </w:t>
      </w:r>
      <w:r w:rsidR="00950E04">
        <w:t>2025 RPS</w:t>
      </w:r>
      <w:r w:rsidR="00EE3EB2">
        <w:t xml:space="preserve"> Plans</w:t>
      </w:r>
      <w:r>
        <w:t xml:space="preserve">, </w:t>
      </w:r>
      <w:r w:rsidR="00CD5830">
        <w:t>August </w:t>
      </w:r>
      <w:r w:rsidR="00EE3EB2">
        <w:t>26, 2025</w:t>
      </w:r>
      <w:r>
        <w:t>, at 2.</w:t>
      </w:r>
    </w:p>
  </w:footnote>
  <w:footnote w:id="21">
    <w:p w14:paraId="07F85231" w14:textId="723CABB3" w:rsidR="00AE5F79" w:rsidRDefault="00AE5F79">
      <w:pPr>
        <w:pStyle w:val="FootnoteText"/>
      </w:pPr>
      <w:r>
        <w:rPr>
          <w:rStyle w:val="FootnoteReference"/>
        </w:rPr>
        <w:footnoteRef/>
      </w:r>
      <w:r>
        <w:t xml:space="preserve"> D.25</w:t>
      </w:r>
      <w:r w:rsidR="00E54574">
        <w:noBreakHyphen/>
      </w:r>
      <w:r>
        <w:t>08</w:t>
      </w:r>
      <w:r w:rsidR="00E54574">
        <w:noBreakHyphen/>
      </w:r>
      <w:r>
        <w:t>009 at 19.</w:t>
      </w:r>
    </w:p>
  </w:footnote>
  <w:footnote w:id="22">
    <w:p w14:paraId="5538C377" w14:textId="4FA50441" w:rsidR="00E3570B" w:rsidRDefault="00E3570B">
      <w:pPr>
        <w:pStyle w:val="FootnoteText"/>
      </w:pPr>
      <w:r>
        <w:rPr>
          <w:rStyle w:val="FootnoteReference"/>
        </w:rPr>
        <w:footnoteRef/>
      </w:r>
      <w:r>
        <w:t xml:space="preserve"> Order </w:t>
      </w:r>
      <w:r w:rsidR="00D21F98">
        <w:t xml:space="preserve">Initiating </w:t>
      </w:r>
      <w:r w:rsidR="00D21F98" w:rsidRPr="00D21F98">
        <w:t xml:space="preserve">Rulemaking to Continue Oversight of Electric Integrated Resource Planning and Procurement Processes </w:t>
      </w:r>
      <w:r>
        <w:t>at 2.</w:t>
      </w:r>
    </w:p>
  </w:footnote>
  <w:footnote w:id="23">
    <w:p w14:paraId="169D2825" w14:textId="2A32A329" w:rsidR="00FC4903" w:rsidRDefault="00FC4903">
      <w:pPr>
        <w:pStyle w:val="FootnoteText"/>
      </w:pPr>
      <w:r>
        <w:rPr>
          <w:rStyle w:val="FootnoteReference"/>
        </w:rPr>
        <w:footnoteRef/>
      </w:r>
      <w:r>
        <w:t xml:space="preserve"> R.25</w:t>
      </w:r>
      <w:r w:rsidR="00E54574">
        <w:noBreakHyphen/>
      </w:r>
      <w:r>
        <w:t>06</w:t>
      </w:r>
      <w:r w:rsidR="00E54574">
        <w:noBreakHyphen/>
      </w:r>
      <w:r>
        <w:t xml:space="preserve">019 </w:t>
      </w:r>
      <w:r w:rsidR="00A604F8">
        <w:t>Assigned Commissioner</w:t>
      </w:r>
      <w:r w:rsidR="005A00BE">
        <w:t>’</w:t>
      </w:r>
      <w:r w:rsidR="00A604F8">
        <w:t xml:space="preserve">s </w:t>
      </w:r>
      <w:r>
        <w:t xml:space="preserve">Scoping Memo and Ruling at </w:t>
      </w:r>
      <w:r w:rsidR="005B7069" w:rsidRPr="00370DD0">
        <w:t>9</w:t>
      </w:r>
      <w:r w:rsidRPr="005B7069">
        <w:t>.</w:t>
      </w:r>
    </w:p>
  </w:footnote>
  <w:footnote w:id="24">
    <w:p w14:paraId="0571013E" w14:textId="42A78228" w:rsidR="008C1AD1" w:rsidRDefault="008C1AD1">
      <w:pPr>
        <w:pStyle w:val="FootnoteText"/>
      </w:pPr>
      <w:r>
        <w:rPr>
          <w:rStyle w:val="FootnoteReference"/>
        </w:rPr>
        <w:footnoteRef/>
      </w:r>
      <w:r>
        <w:t xml:space="preserve"> PG&amp;E Draft </w:t>
      </w:r>
      <w:r w:rsidR="00950E04">
        <w:t>2025 RPS</w:t>
      </w:r>
      <w:r>
        <w:t xml:space="preserve"> Plan at 3.</w:t>
      </w:r>
    </w:p>
  </w:footnote>
  <w:footnote w:id="25">
    <w:p w14:paraId="6AD13F7A" w14:textId="3874BB5C" w:rsidR="00F670D6" w:rsidRDefault="00F670D6">
      <w:pPr>
        <w:pStyle w:val="FootnoteText"/>
      </w:pPr>
      <w:r>
        <w:rPr>
          <w:rStyle w:val="FootnoteReference"/>
        </w:rPr>
        <w:footnoteRef/>
      </w:r>
      <w:r>
        <w:t xml:space="preserve"> PG&amp;E Draft </w:t>
      </w:r>
      <w:r w:rsidR="00950E04">
        <w:t>2025 RPS</w:t>
      </w:r>
      <w:r w:rsidR="00A817A4">
        <w:t xml:space="preserve"> </w:t>
      </w:r>
      <w:r>
        <w:t>Plan at 4.</w:t>
      </w:r>
    </w:p>
  </w:footnote>
  <w:footnote w:id="26">
    <w:p w14:paraId="561183AB" w14:textId="6FDC984D" w:rsidR="00B658DB" w:rsidRDefault="00B658DB">
      <w:pPr>
        <w:pStyle w:val="FootnoteText"/>
      </w:pPr>
      <w:r>
        <w:rPr>
          <w:rStyle w:val="FootnoteReference"/>
        </w:rPr>
        <w:footnoteRef/>
      </w:r>
      <w:r>
        <w:t xml:space="preserve"> </w:t>
      </w:r>
      <w:r w:rsidRPr="00B658DB">
        <w:t xml:space="preserve">PG&amp;E Draft </w:t>
      </w:r>
      <w:r w:rsidR="00950E04">
        <w:t>2025 RPS</w:t>
      </w:r>
      <w:r w:rsidRPr="00B658DB">
        <w:t xml:space="preserve"> Plan at 5.</w:t>
      </w:r>
    </w:p>
  </w:footnote>
  <w:footnote w:id="27">
    <w:p w14:paraId="41EB2919" w14:textId="2D9AA47A" w:rsidR="00B658DB" w:rsidRDefault="00B658DB">
      <w:pPr>
        <w:pStyle w:val="FootnoteText"/>
      </w:pPr>
      <w:r>
        <w:rPr>
          <w:rStyle w:val="FootnoteReference"/>
        </w:rPr>
        <w:footnoteRef/>
      </w:r>
      <w:r>
        <w:t xml:space="preserve"> </w:t>
      </w:r>
      <w:r w:rsidRPr="00B658DB">
        <w:t xml:space="preserve">PG&amp;E Draft </w:t>
      </w:r>
      <w:r w:rsidR="00950E04">
        <w:t>2025 RPS</w:t>
      </w:r>
      <w:r w:rsidRPr="00B658DB">
        <w:t xml:space="preserve"> Plan at </w:t>
      </w:r>
      <w:r>
        <w:t>6</w:t>
      </w:r>
      <w:r w:rsidRPr="00B658DB">
        <w:t>.</w:t>
      </w:r>
    </w:p>
  </w:footnote>
  <w:footnote w:id="28">
    <w:p w14:paraId="2BE61A59" w14:textId="6A6B8EE0" w:rsidR="008C1AD1" w:rsidRDefault="008C1AD1">
      <w:pPr>
        <w:pStyle w:val="FootnoteText"/>
      </w:pPr>
      <w:r>
        <w:rPr>
          <w:rStyle w:val="FootnoteReference"/>
        </w:rPr>
        <w:footnoteRef/>
      </w:r>
      <w:r>
        <w:t xml:space="preserve"> </w:t>
      </w:r>
      <w:r w:rsidRPr="008C1AD1">
        <w:t xml:space="preserve">PG&amp;E Draft </w:t>
      </w:r>
      <w:r w:rsidR="00950E04">
        <w:t>2025 RPS</w:t>
      </w:r>
      <w:r w:rsidRPr="008C1AD1">
        <w:t xml:space="preserve"> Plan at 3</w:t>
      </w:r>
      <w:r>
        <w:t>.</w:t>
      </w:r>
    </w:p>
  </w:footnote>
  <w:footnote w:id="29">
    <w:p w14:paraId="79A9E02A" w14:textId="6443BA50" w:rsidR="003E184E" w:rsidRDefault="003E184E">
      <w:pPr>
        <w:pStyle w:val="FootnoteText"/>
      </w:pPr>
      <w:r>
        <w:rPr>
          <w:rStyle w:val="FootnoteReference"/>
        </w:rPr>
        <w:footnoteRef/>
      </w:r>
      <w:r>
        <w:t xml:space="preserve"> </w:t>
      </w:r>
      <w:r w:rsidRPr="003E184E">
        <w:t xml:space="preserve">PG&amp;E Draft </w:t>
      </w:r>
      <w:r w:rsidR="00950E04">
        <w:t>2025 RPS</w:t>
      </w:r>
      <w:r w:rsidRPr="003E184E">
        <w:t xml:space="preserve"> Plan at </w:t>
      </w:r>
      <w:r w:rsidR="00956410">
        <w:t>7</w:t>
      </w:r>
      <w:r w:rsidR="00E54574">
        <w:noBreakHyphen/>
      </w:r>
      <w:r w:rsidR="00956410">
        <w:t>8.</w:t>
      </w:r>
    </w:p>
  </w:footnote>
  <w:footnote w:id="30">
    <w:p w14:paraId="5E46D731" w14:textId="23302F51" w:rsidR="00956410" w:rsidRDefault="00956410">
      <w:pPr>
        <w:pStyle w:val="FootnoteText"/>
      </w:pPr>
      <w:r>
        <w:rPr>
          <w:rStyle w:val="FootnoteReference"/>
        </w:rPr>
        <w:footnoteRef/>
      </w:r>
      <w:r>
        <w:t xml:space="preserve"> </w:t>
      </w:r>
      <w:r w:rsidRPr="00956410">
        <w:t xml:space="preserve">PG&amp;E Draft </w:t>
      </w:r>
      <w:r w:rsidR="00950E04">
        <w:t>2025 RPS</w:t>
      </w:r>
      <w:r w:rsidRPr="00956410">
        <w:t xml:space="preserve"> Plan at </w:t>
      </w:r>
      <w:r>
        <w:t>57</w:t>
      </w:r>
      <w:r w:rsidR="00E54574">
        <w:noBreakHyphen/>
      </w:r>
      <w:r>
        <w:t>58.</w:t>
      </w:r>
    </w:p>
  </w:footnote>
  <w:footnote w:id="31">
    <w:p w14:paraId="0902F83B" w14:textId="67DB7E62" w:rsidR="004427D4" w:rsidRDefault="004427D4">
      <w:pPr>
        <w:pStyle w:val="FootnoteText"/>
      </w:pPr>
      <w:r>
        <w:rPr>
          <w:rStyle w:val="FootnoteReference"/>
        </w:rPr>
        <w:footnoteRef/>
      </w:r>
      <w:r>
        <w:t xml:space="preserve"> </w:t>
      </w:r>
      <w:r w:rsidR="000315F0" w:rsidRPr="000315F0">
        <w:t xml:space="preserve">PG&amp;E Draft </w:t>
      </w:r>
      <w:r w:rsidR="00950E04">
        <w:t>2025 RPS</w:t>
      </w:r>
      <w:r w:rsidR="000315F0" w:rsidRPr="000315F0">
        <w:t xml:space="preserve"> Plan at </w:t>
      </w:r>
      <w:r w:rsidR="000315F0">
        <w:t>127</w:t>
      </w:r>
      <w:r w:rsidR="000315F0" w:rsidRPr="000315F0">
        <w:t>.</w:t>
      </w:r>
    </w:p>
  </w:footnote>
  <w:footnote w:id="32">
    <w:p w14:paraId="7C403A68" w14:textId="6827CD16" w:rsidR="00645B8E" w:rsidRDefault="00645B8E">
      <w:pPr>
        <w:pStyle w:val="FootnoteText"/>
      </w:pPr>
      <w:r>
        <w:rPr>
          <w:rStyle w:val="FootnoteReference"/>
        </w:rPr>
        <w:footnoteRef/>
      </w:r>
      <w:r>
        <w:t xml:space="preserve"> </w:t>
      </w:r>
      <w:r w:rsidRPr="00645B8E">
        <w:t xml:space="preserve">PG&amp;E Draft </w:t>
      </w:r>
      <w:r w:rsidR="00950E04">
        <w:t>2025 RPS</w:t>
      </w:r>
      <w:r w:rsidRPr="00645B8E">
        <w:t xml:space="preserve"> Plan at </w:t>
      </w:r>
      <w:r w:rsidR="00C979CD">
        <w:t>7</w:t>
      </w:r>
      <w:r w:rsidR="00E54574">
        <w:noBreakHyphen/>
      </w:r>
      <w:r w:rsidR="00C979CD">
        <w:t xml:space="preserve">9, </w:t>
      </w:r>
      <w:r>
        <w:t>15</w:t>
      </w:r>
      <w:r w:rsidR="00C979CD">
        <w:t>, and 111</w:t>
      </w:r>
      <w:r>
        <w:t>.</w:t>
      </w:r>
    </w:p>
  </w:footnote>
  <w:footnote w:id="33">
    <w:p w14:paraId="66E19D0D" w14:textId="1A029C3D" w:rsidR="00296A6C" w:rsidRDefault="00296A6C">
      <w:pPr>
        <w:pStyle w:val="FootnoteText"/>
      </w:pPr>
      <w:r>
        <w:rPr>
          <w:rStyle w:val="FootnoteReference"/>
        </w:rPr>
        <w:footnoteRef/>
      </w:r>
      <w:r>
        <w:t xml:space="preserve"> </w:t>
      </w:r>
      <w:r w:rsidRPr="00296A6C">
        <w:t xml:space="preserve">PG&amp;E Draft </w:t>
      </w:r>
      <w:r w:rsidR="00950E04">
        <w:t>2025 RPS</w:t>
      </w:r>
      <w:r w:rsidRPr="00296A6C">
        <w:t xml:space="preserve"> Plan</w:t>
      </w:r>
      <w:r>
        <w:t xml:space="preserve"> at 15.</w:t>
      </w:r>
    </w:p>
  </w:footnote>
  <w:footnote w:id="34">
    <w:p w14:paraId="09B9C0D7" w14:textId="767C70DF" w:rsidR="00E34461" w:rsidRDefault="00E34461">
      <w:pPr>
        <w:pStyle w:val="FootnoteText"/>
      </w:pPr>
      <w:r>
        <w:rPr>
          <w:rStyle w:val="FootnoteReference"/>
        </w:rPr>
        <w:footnoteRef/>
      </w:r>
      <w:r>
        <w:t xml:space="preserve"> </w:t>
      </w:r>
      <w:r w:rsidRPr="00E34461">
        <w:t xml:space="preserve">PG&amp;E Draft </w:t>
      </w:r>
      <w:r w:rsidR="00950E04">
        <w:t>2025 RPS</w:t>
      </w:r>
      <w:r w:rsidRPr="00E34461">
        <w:t xml:space="preserve"> Plan at 15</w:t>
      </w:r>
      <w:r w:rsidR="00E54574">
        <w:noBreakHyphen/>
      </w:r>
      <w:r w:rsidRPr="00E34461">
        <w:t>16</w:t>
      </w:r>
      <w:r>
        <w:t>.</w:t>
      </w:r>
    </w:p>
  </w:footnote>
  <w:footnote w:id="35">
    <w:p w14:paraId="74CCAB3C" w14:textId="3F943DC9" w:rsidR="00913F8E" w:rsidRDefault="00913F8E">
      <w:pPr>
        <w:pStyle w:val="FootnoteText"/>
      </w:pPr>
      <w:r>
        <w:rPr>
          <w:rStyle w:val="FootnoteReference"/>
        </w:rPr>
        <w:footnoteRef/>
      </w:r>
      <w:r>
        <w:t xml:space="preserve"> </w:t>
      </w:r>
      <w:r w:rsidR="00DF2FA3">
        <w:t>D.24</w:t>
      </w:r>
      <w:r w:rsidR="00E54574">
        <w:noBreakHyphen/>
      </w:r>
      <w:r w:rsidR="00DF2FA3">
        <w:t>12</w:t>
      </w:r>
      <w:r w:rsidR="00E54574">
        <w:noBreakHyphen/>
      </w:r>
      <w:r w:rsidR="00DF2FA3">
        <w:t>035 at 17.</w:t>
      </w:r>
    </w:p>
  </w:footnote>
  <w:footnote w:id="36">
    <w:p w14:paraId="71B44881" w14:textId="3AD2DD6A" w:rsidR="00434793" w:rsidRDefault="00434793">
      <w:pPr>
        <w:pStyle w:val="FootnoteText"/>
      </w:pPr>
      <w:r>
        <w:rPr>
          <w:rStyle w:val="FootnoteReference"/>
        </w:rPr>
        <w:footnoteRef/>
      </w:r>
      <w:r>
        <w:t xml:space="preserve"> </w:t>
      </w:r>
      <w:r w:rsidR="00BA3197" w:rsidRPr="00BA3197">
        <w:t xml:space="preserve">PG&amp;E Draft </w:t>
      </w:r>
      <w:r w:rsidR="00950E04">
        <w:t>2025 RPS</w:t>
      </w:r>
      <w:r w:rsidR="00BA3197" w:rsidRPr="00BA3197">
        <w:t xml:space="preserve"> Plan at </w:t>
      </w:r>
      <w:r w:rsidR="00BA3197">
        <w:t>15</w:t>
      </w:r>
      <w:r w:rsidR="00E54574">
        <w:noBreakHyphen/>
      </w:r>
      <w:r w:rsidR="00BA3197">
        <w:t>16</w:t>
      </w:r>
      <w:r w:rsidR="00BA3197" w:rsidRPr="00BA3197">
        <w:t>.</w:t>
      </w:r>
    </w:p>
  </w:footnote>
  <w:footnote w:id="37">
    <w:p w14:paraId="1810826B" w14:textId="3BAB6200" w:rsidR="00BA3197" w:rsidRDefault="00BA3197">
      <w:pPr>
        <w:pStyle w:val="FootnoteText"/>
      </w:pPr>
      <w:r>
        <w:rPr>
          <w:rStyle w:val="FootnoteReference"/>
        </w:rPr>
        <w:footnoteRef/>
      </w:r>
      <w:r>
        <w:t xml:space="preserve"> </w:t>
      </w:r>
      <w:r w:rsidRPr="00BA3197">
        <w:t xml:space="preserve">PG&amp;E Draft </w:t>
      </w:r>
      <w:r w:rsidR="00950E04">
        <w:t>2025 RPS</w:t>
      </w:r>
      <w:r w:rsidRPr="00BA3197">
        <w:t xml:space="preserve"> Plan at </w:t>
      </w:r>
      <w:r>
        <w:t>16.</w:t>
      </w:r>
    </w:p>
  </w:footnote>
  <w:footnote w:id="38">
    <w:p w14:paraId="523BE82D" w14:textId="56A728E3" w:rsidR="0028429E" w:rsidRDefault="0028429E">
      <w:pPr>
        <w:pStyle w:val="FootnoteText"/>
      </w:pPr>
      <w:r>
        <w:rPr>
          <w:rStyle w:val="FootnoteReference"/>
        </w:rPr>
        <w:footnoteRef/>
      </w:r>
      <w:r>
        <w:t xml:space="preserve"> </w:t>
      </w:r>
      <w:r w:rsidR="00ED258B" w:rsidRPr="00ED258B">
        <w:t xml:space="preserve">PG&amp;E Draft </w:t>
      </w:r>
      <w:r w:rsidR="00950E04">
        <w:t>2025 RPS</w:t>
      </w:r>
      <w:r w:rsidR="00ED258B" w:rsidRPr="00ED258B">
        <w:t xml:space="preserve"> Plan at 16.</w:t>
      </w:r>
    </w:p>
  </w:footnote>
  <w:footnote w:id="39">
    <w:p w14:paraId="5CA7666E" w14:textId="3C5A932B" w:rsidR="00AE02BA" w:rsidRDefault="00AE02BA">
      <w:pPr>
        <w:pStyle w:val="FootnoteText"/>
      </w:pPr>
      <w:r>
        <w:rPr>
          <w:rStyle w:val="FootnoteReference"/>
        </w:rPr>
        <w:footnoteRef/>
      </w:r>
      <w:r>
        <w:t xml:space="preserve"> </w:t>
      </w:r>
      <w:r w:rsidRPr="00AE02BA">
        <w:t xml:space="preserve">PG&amp;E Draft </w:t>
      </w:r>
      <w:r w:rsidR="00950E04">
        <w:t>2025 RPS</w:t>
      </w:r>
      <w:r w:rsidRPr="00AE02BA">
        <w:t xml:space="preserve"> Plan at 1</w:t>
      </w:r>
      <w:r>
        <w:t>6.</w:t>
      </w:r>
    </w:p>
  </w:footnote>
  <w:footnote w:id="40">
    <w:p w14:paraId="04642B2A" w14:textId="3D180857" w:rsidR="004F088A" w:rsidRDefault="004F088A">
      <w:pPr>
        <w:pStyle w:val="FootnoteText"/>
      </w:pPr>
      <w:r>
        <w:rPr>
          <w:rStyle w:val="FootnoteReference"/>
        </w:rPr>
        <w:footnoteRef/>
      </w:r>
      <w:r>
        <w:t xml:space="preserve"> </w:t>
      </w:r>
      <w:r w:rsidR="00ED258B" w:rsidRPr="00ED258B">
        <w:t xml:space="preserve">PG&amp;E Draft </w:t>
      </w:r>
      <w:r w:rsidR="00950E04">
        <w:t>2025 RPS</w:t>
      </w:r>
      <w:r w:rsidR="00ED258B" w:rsidRPr="00ED258B">
        <w:t xml:space="preserve"> Plan at 1</w:t>
      </w:r>
      <w:r w:rsidR="00ED258B">
        <w:t>7</w:t>
      </w:r>
      <w:r w:rsidR="00ED258B" w:rsidRPr="00ED258B">
        <w:t>.</w:t>
      </w:r>
    </w:p>
  </w:footnote>
  <w:footnote w:id="41">
    <w:p w14:paraId="75579ECF" w14:textId="79EF1B38" w:rsidR="006927C1" w:rsidRDefault="006927C1">
      <w:pPr>
        <w:pStyle w:val="FootnoteText"/>
      </w:pPr>
      <w:r>
        <w:rPr>
          <w:rStyle w:val="FootnoteReference"/>
        </w:rPr>
        <w:footnoteRef/>
      </w:r>
      <w:r>
        <w:t xml:space="preserve"> </w:t>
      </w:r>
      <w:r w:rsidRPr="006927C1">
        <w:t xml:space="preserve">PG&amp;E Draft </w:t>
      </w:r>
      <w:r w:rsidR="00950E04">
        <w:t>2025 RPS</w:t>
      </w:r>
      <w:r w:rsidRPr="006927C1">
        <w:t xml:space="preserve"> Plan at 1</w:t>
      </w:r>
      <w:r>
        <w:t>7.</w:t>
      </w:r>
    </w:p>
  </w:footnote>
  <w:footnote w:id="42">
    <w:p w14:paraId="6A528AE9" w14:textId="073695F0" w:rsidR="000F349C" w:rsidRDefault="000F349C">
      <w:pPr>
        <w:pStyle w:val="FootnoteText"/>
      </w:pPr>
      <w:r>
        <w:rPr>
          <w:rStyle w:val="FootnoteReference"/>
        </w:rPr>
        <w:footnoteRef/>
      </w:r>
      <w:r>
        <w:t xml:space="preserve"> </w:t>
      </w:r>
      <w:r w:rsidRPr="000F349C">
        <w:t xml:space="preserve">PG&amp;E Draft </w:t>
      </w:r>
      <w:r w:rsidR="00950E04">
        <w:t>2025 RPS</w:t>
      </w:r>
      <w:r w:rsidRPr="000F349C">
        <w:t xml:space="preserve"> Plan at 1</w:t>
      </w:r>
      <w:r>
        <w:t>8</w:t>
      </w:r>
      <w:r w:rsidRPr="000F349C">
        <w:t>.</w:t>
      </w:r>
    </w:p>
  </w:footnote>
  <w:footnote w:id="43">
    <w:p w14:paraId="11148682" w14:textId="00D46C30" w:rsidR="001B39CF" w:rsidRDefault="001B39CF">
      <w:pPr>
        <w:pStyle w:val="FootnoteText"/>
      </w:pPr>
      <w:r>
        <w:rPr>
          <w:rStyle w:val="FootnoteReference"/>
        </w:rPr>
        <w:footnoteRef/>
      </w:r>
      <w:r>
        <w:t xml:space="preserve"> D.23</w:t>
      </w:r>
      <w:r w:rsidR="00E54574">
        <w:noBreakHyphen/>
      </w:r>
      <w:r>
        <w:t>12</w:t>
      </w:r>
      <w:r w:rsidR="00E54574">
        <w:noBreakHyphen/>
      </w:r>
      <w:r>
        <w:t xml:space="preserve">008 at </w:t>
      </w:r>
      <w:r w:rsidR="006876C0">
        <w:t>OP </w:t>
      </w:r>
      <w:r>
        <w:t>9</w:t>
      </w:r>
      <w:r w:rsidR="00126EB1">
        <w:t>.</w:t>
      </w:r>
    </w:p>
  </w:footnote>
  <w:footnote w:id="44">
    <w:p w14:paraId="1BDA67AC" w14:textId="4AF96D9E" w:rsidR="00126EB1" w:rsidRDefault="00126EB1">
      <w:pPr>
        <w:pStyle w:val="FootnoteText"/>
      </w:pPr>
      <w:r>
        <w:rPr>
          <w:rStyle w:val="FootnoteReference"/>
        </w:rPr>
        <w:footnoteRef/>
      </w:r>
      <w:r>
        <w:t xml:space="preserve"> </w:t>
      </w:r>
      <w:r w:rsidRPr="00126EB1">
        <w:t>D.24</w:t>
      </w:r>
      <w:r w:rsidR="00E54574">
        <w:noBreakHyphen/>
      </w:r>
      <w:r w:rsidRPr="00126EB1">
        <w:t>12</w:t>
      </w:r>
      <w:r w:rsidR="00E54574">
        <w:noBreakHyphen/>
      </w:r>
      <w:r w:rsidRPr="00126EB1">
        <w:t xml:space="preserve">035 at </w:t>
      </w:r>
      <w:r w:rsidR="006876C0">
        <w:t>OP </w:t>
      </w:r>
      <w:r>
        <w:t>15.</w:t>
      </w:r>
    </w:p>
  </w:footnote>
  <w:footnote w:id="45">
    <w:p w14:paraId="3954F5BF" w14:textId="56846393" w:rsidR="000F349C" w:rsidRDefault="000F349C">
      <w:pPr>
        <w:pStyle w:val="FootnoteText"/>
      </w:pPr>
      <w:r>
        <w:rPr>
          <w:rStyle w:val="FootnoteReference"/>
        </w:rPr>
        <w:footnoteRef/>
      </w:r>
      <w:r>
        <w:t xml:space="preserve"> </w:t>
      </w:r>
      <w:r w:rsidRPr="000F349C">
        <w:t xml:space="preserve">PG&amp;E Draft </w:t>
      </w:r>
      <w:r w:rsidR="00950E04">
        <w:t>2025 RPS</w:t>
      </w:r>
      <w:r w:rsidRPr="000F349C">
        <w:t xml:space="preserve"> Plan at 1</w:t>
      </w:r>
      <w:r>
        <w:t>9</w:t>
      </w:r>
      <w:r w:rsidRPr="000F349C">
        <w:t>.</w:t>
      </w:r>
    </w:p>
  </w:footnote>
  <w:footnote w:id="46">
    <w:p w14:paraId="761CDCD1" w14:textId="2DE2A0AB" w:rsidR="00AC3B6D" w:rsidRDefault="00AC3B6D">
      <w:pPr>
        <w:pStyle w:val="FootnoteText"/>
      </w:pPr>
      <w:r>
        <w:rPr>
          <w:rStyle w:val="FootnoteReference"/>
        </w:rPr>
        <w:footnoteRef/>
      </w:r>
      <w:r>
        <w:t xml:space="preserve"> </w:t>
      </w:r>
      <w:r w:rsidRPr="00AC3B6D">
        <w:t xml:space="preserve">SCE Draft </w:t>
      </w:r>
      <w:r w:rsidR="00950E04">
        <w:t>2025 RPS</w:t>
      </w:r>
      <w:r w:rsidRPr="00AC3B6D">
        <w:t xml:space="preserve"> Plan at 1</w:t>
      </w:r>
      <w:r>
        <w:t>.</w:t>
      </w:r>
    </w:p>
  </w:footnote>
  <w:footnote w:id="47">
    <w:p w14:paraId="5083D52A" w14:textId="63DB336D" w:rsidR="00AC3B6D" w:rsidRDefault="00AC3B6D">
      <w:pPr>
        <w:pStyle w:val="FootnoteText"/>
      </w:pPr>
      <w:r>
        <w:rPr>
          <w:rStyle w:val="FootnoteReference"/>
        </w:rPr>
        <w:footnoteRef/>
      </w:r>
      <w:r>
        <w:t xml:space="preserve"> </w:t>
      </w:r>
      <w:r w:rsidRPr="00AC3B6D">
        <w:t xml:space="preserve">SCE Draft </w:t>
      </w:r>
      <w:r w:rsidR="00950E04">
        <w:t>2025 RPS</w:t>
      </w:r>
      <w:r w:rsidRPr="00AC3B6D">
        <w:t xml:space="preserve"> Plan at 1</w:t>
      </w:r>
      <w:r>
        <w:t>.</w:t>
      </w:r>
    </w:p>
  </w:footnote>
  <w:footnote w:id="48">
    <w:p w14:paraId="56868CA9" w14:textId="16E32547" w:rsidR="00A904A8" w:rsidRDefault="00A904A8">
      <w:pPr>
        <w:pStyle w:val="FootnoteText"/>
      </w:pPr>
      <w:r>
        <w:rPr>
          <w:rStyle w:val="FootnoteReference"/>
        </w:rPr>
        <w:footnoteRef/>
      </w:r>
      <w:r>
        <w:t xml:space="preserve"> </w:t>
      </w:r>
      <w:r w:rsidRPr="00A904A8">
        <w:t xml:space="preserve">SCE Draft </w:t>
      </w:r>
      <w:r w:rsidR="00950E04">
        <w:t>2025 RPS</w:t>
      </w:r>
      <w:r w:rsidRPr="00A904A8">
        <w:t xml:space="preserve"> Plan at </w:t>
      </w:r>
      <w:r>
        <w:t>2</w:t>
      </w:r>
      <w:r w:rsidRPr="00A904A8">
        <w:t>.</w:t>
      </w:r>
    </w:p>
  </w:footnote>
  <w:footnote w:id="49">
    <w:p w14:paraId="418228F1" w14:textId="3CB4134D" w:rsidR="00551663" w:rsidRDefault="00551663">
      <w:pPr>
        <w:pStyle w:val="FootnoteText"/>
      </w:pPr>
      <w:r>
        <w:rPr>
          <w:rStyle w:val="FootnoteReference"/>
        </w:rPr>
        <w:footnoteRef/>
      </w:r>
      <w:r>
        <w:t xml:space="preserve"> </w:t>
      </w:r>
      <w:r w:rsidRPr="00551663">
        <w:t xml:space="preserve">SCE Draft </w:t>
      </w:r>
      <w:r w:rsidR="00950E04">
        <w:t>2025 RPS</w:t>
      </w:r>
      <w:r w:rsidRPr="00551663">
        <w:t xml:space="preserve"> Plan at 1</w:t>
      </w:r>
      <w:r>
        <w:t>4</w:t>
      </w:r>
      <w:r w:rsidR="00E54574">
        <w:noBreakHyphen/>
      </w:r>
      <w:r>
        <w:t>15.</w:t>
      </w:r>
    </w:p>
  </w:footnote>
  <w:footnote w:id="50">
    <w:p w14:paraId="5EB1EFA2" w14:textId="5BE72AEE" w:rsidR="00551663" w:rsidRDefault="00551663">
      <w:pPr>
        <w:pStyle w:val="FootnoteText"/>
      </w:pPr>
      <w:r>
        <w:rPr>
          <w:rStyle w:val="FootnoteReference"/>
        </w:rPr>
        <w:footnoteRef/>
      </w:r>
      <w:r>
        <w:t xml:space="preserve"> </w:t>
      </w:r>
      <w:r w:rsidRPr="00551663">
        <w:t xml:space="preserve">SCE Draft </w:t>
      </w:r>
      <w:r w:rsidR="00950E04">
        <w:t>2025 RPS</w:t>
      </w:r>
      <w:r w:rsidRPr="00551663">
        <w:t xml:space="preserve"> Plan at 1</w:t>
      </w:r>
      <w:r>
        <w:t>4</w:t>
      </w:r>
      <w:r w:rsidR="00E54574">
        <w:noBreakHyphen/>
      </w:r>
      <w:r>
        <w:t>15</w:t>
      </w:r>
      <w:r w:rsidR="00B85809">
        <w:t>.</w:t>
      </w:r>
    </w:p>
  </w:footnote>
  <w:footnote w:id="51">
    <w:p w14:paraId="2D1019A8" w14:textId="5171C820" w:rsidR="00B00E79" w:rsidRDefault="00B00E79">
      <w:pPr>
        <w:pStyle w:val="FootnoteText"/>
      </w:pPr>
      <w:r>
        <w:rPr>
          <w:rStyle w:val="FootnoteReference"/>
        </w:rPr>
        <w:footnoteRef/>
      </w:r>
      <w:r>
        <w:t xml:space="preserve"> </w:t>
      </w:r>
      <w:r w:rsidRPr="00B00E79">
        <w:t xml:space="preserve">SCE </w:t>
      </w:r>
      <w:r w:rsidR="00A817A4">
        <w:t xml:space="preserve">Draft </w:t>
      </w:r>
      <w:r w:rsidR="00950E04">
        <w:t>2025 RPS</w:t>
      </w:r>
      <w:r w:rsidR="00A817A4">
        <w:t xml:space="preserve"> </w:t>
      </w:r>
      <w:r w:rsidRPr="00B00E79">
        <w:t>Plan at 2</w:t>
      </w:r>
      <w:r>
        <w:t>.</w:t>
      </w:r>
    </w:p>
  </w:footnote>
  <w:footnote w:id="52">
    <w:p w14:paraId="2A884E3C" w14:textId="5887617F" w:rsidR="00B00E79" w:rsidRDefault="00B00E79">
      <w:pPr>
        <w:pStyle w:val="FootnoteText"/>
      </w:pPr>
      <w:r>
        <w:rPr>
          <w:rStyle w:val="FootnoteReference"/>
        </w:rPr>
        <w:footnoteRef/>
      </w:r>
      <w:r>
        <w:t xml:space="preserve"> </w:t>
      </w:r>
      <w:r w:rsidRPr="00B00E79">
        <w:t xml:space="preserve">SCE </w:t>
      </w:r>
      <w:r w:rsidR="00A817A4" w:rsidRPr="00A817A4">
        <w:t xml:space="preserve">Draft </w:t>
      </w:r>
      <w:r w:rsidR="00950E04">
        <w:t>2025 RPS</w:t>
      </w:r>
      <w:r w:rsidR="00A817A4" w:rsidRPr="00A817A4">
        <w:t xml:space="preserve"> </w:t>
      </w:r>
      <w:r w:rsidRPr="00B00E79">
        <w:t xml:space="preserve">Plan at </w:t>
      </w:r>
      <w:r>
        <w:t>11</w:t>
      </w:r>
      <w:r w:rsidR="00E54574">
        <w:noBreakHyphen/>
      </w:r>
      <w:r>
        <w:t>12.</w:t>
      </w:r>
    </w:p>
  </w:footnote>
  <w:footnote w:id="53">
    <w:p w14:paraId="39E3C5C0" w14:textId="5BE38655" w:rsidR="006975DE" w:rsidRDefault="006975DE">
      <w:pPr>
        <w:pStyle w:val="FootnoteText"/>
      </w:pPr>
      <w:r>
        <w:rPr>
          <w:rStyle w:val="FootnoteReference"/>
        </w:rPr>
        <w:footnoteRef/>
      </w:r>
      <w:r>
        <w:t xml:space="preserve"> </w:t>
      </w:r>
      <w:r w:rsidR="00535A9D" w:rsidRPr="00535A9D">
        <w:t xml:space="preserve">SCE </w:t>
      </w:r>
      <w:r w:rsidR="00A817A4" w:rsidRPr="00A817A4">
        <w:t xml:space="preserve">Draft </w:t>
      </w:r>
      <w:r w:rsidR="00950E04">
        <w:t>2025 RPS</w:t>
      </w:r>
      <w:r w:rsidR="00A817A4" w:rsidRPr="00A817A4">
        <w:t xml:space="preserve"> </w:t>
      </w:r>
      <w:r w:rsidR="00535A9D" w:rsidRPr="00535A9D">
        <w:t xml:space="preserve">Plan at </w:t>
      </w:r>
      <w:r w:rsidR="006876C0">
        <w:t>Appendix </w:t>
      </w:r>
      <w:r w:rsidR="00535A9D">
        <w:t>D.</w:t>
      </w:r>
    </w:p>
  </w:footnote>
  <w:footnote w:id="54">
    <w:p w14:paraId="470A6571" w14:textId="0659FFE2" w:rsidR="00A64F6C" w:rsidRDefault="00A64F6C">
      <w:pPr>
        <w:pStyle w:val="FootnoteText"/>
      </w:pPr>
      <w:r>
        <w:rPr>
          <w:rStyle w:val="FootnoteReference"/>
        </w:rPr>
        <w:footnoteRef/>
      </w:r>
      <w:r>
        <w:t xml:space="preserve"> SCE </w:t>
      </w:r>
      <w:r w:rsidR="00A817A4" w:rsidRPr="00A817A4">
        <w:t xml:space="preserve">Draft </w:t>
      </w:r>
      <w:r w:rsidR="00950E04">
        <w:t>2025 RPS</w:t>
      </w:r>
      <w:r w:rsidR="00A817A4" w:rsidRPr="00A817A4">
        <w:t xml:space="preserve"> </w:t>
      </w:r>
      <w:r>
        <w:t xml:space="preserve">Plan at 2, </w:t>
      </w:r>
      <w:r w:rsidR="00BB7B6E">
        <w:t>9</w:t>
      </w:r>
      <w:r w:rsidR="00E54574">
        <w:noBreakHyphen/>
      </w:r>
      <w:r>
        <w:t>12.</w:t>
      </w:r>
    </w:p>
  </w:footnote>
  <w:footnote w:id="55">
    <w:p w14:paraId="0DC27972" w14:textId="58E89752" w:rsidR="004057A4" w:rsidRDefault="004057A4">
      <w:pPr>
        <w:pStyle w:val="FootnoteText"/>
      </w:pPr>
      <w:r>
        <w:rPr>
          <w:rStyle w:val="FootnoteReference"/>
        </w:rPr>
        <w:footnoteRef/>
      </w:r>
      <w:r>
        <w:t xml:space="preserve"> </w:t>
      </w:r>
      <w:r w:rsidRPr="004057A4">
        <w:t xml:space="preserve">SCE </w:t>
      </w:r>
      <w:r w:rsidR="00A817A4" w:rsidRPr="00A817A4">
        <w:t xml:space="preserve">Draft </w:t>
      </w:r>
      <w:r w:rsidR="00950E04">
        <w:t>2025 RPS</w:t>
      </w:r>
      <w:r w:rsidR="00A817A4" w:rsidRPr="00A817A4">
        <w:t xml:space="preserve"> </w:t>
      </w:r>
      <w:r w:rsidRPr="004057A4">
        <w:t xml:space="preserve">Plan at </w:t>
      </w:r>
      <w:r>
        <w:t>3 and 11.</w:t>
      </w:r>
    </w:p>
  </w:footnote>
  <w:footnote w:id="56">
    <w:p w14:paraId="66BE6120" w14:textId="12A28D66" w:rsidR="004057A4" w:rsidRDefault="004057A4">
      <w:pPr>
        <w:pStyle w:val="FootnoteText"/>
      </w:pPr>
      <w:r>
        <w:rPr>
          <w:rStyle w:val="FootnoteReference"/>
        </w:rPr>
        <w:footnoteRef/>
      </w:r>
      <w:r>
        <w:t xml:space="preserve"> </w:t>
      </w:r>
      <w:r w:rsidRPr="004057A4">
        <w:t xml:space="preserve">SCE </w:t>
      </w:r>
      <w:r w:rsidR="00A817A4" w:rsidRPr="00A817A4">
        <w:t xml:space="preserve">Draft </w:t>
      </w:r>
      <w:r w:rsidR="00950E04">
        <w:t>2025 RPS</w:t>
      </w:r>
      <w:r w:rsidR="00A817A4" w:rsidRPr="00A817A4">
        <w:t xml:space="preserve"> </w:t>
      </w:r>
      <w:r w:rsidRPr="004057A4">
        <w:t xml:space="preserve">Plan at </w:t>
      </w:r>
      <w:r>
        <w:t>3</w:t>
      </w:r>
      <w:r w:rsidR="00E54574">
        <w:noBreakHyphen/>
      </w:r>
      <w:r>
        <w:t>4</w:t>
      </w:r>
      <w:r w:rsidRPr="004057A4">
        <w:t>.</w:t>
      </w:r>
    </w:p>
  </w:footnote>
  <w:footnote w:id="57">
    <w:p w14:paraId="52DE5240" w14:textId="2A4C4E68" w:rsidR="004853FE" w:rsidRDefault="004853FE">
      <w:pPr>
        <w:pStyle w:val="FootnoteText"/>
      </w:pPr>
      <w:r>
        <w:rPr>
          <w:rStyle w:val="FootnoteReference"/>
        </w:rPr>
        <w:footnoteRef/>
      </w:r>
      <w:r>
        <w:t xml:space="preserve"> </w:t>
      </w:r>
      <w:r w:rsidRPr="004853FE">
        <w:t xml:space="preserve">SCE </w:t>
      </w:r>
      <w:r w:rsidR="00A817A4" w:rsidRPr="00A817A4">
        <w:t xml:space="preserve">Draft </w:t>
      </w:r>
      <w:r w:rsidR="00950E04">
        <w:t>2025 RPS</w:t>
      </w:r>
      <w:r w:rsidR="00A817A4" w:rsidRPr="00A817A4">
        <w:t xml:space="preserve"> </w:t>
      </w:r>
      <w:r w:rsidRPr="004853FE">
        <w:t xml:space="preserve">Plan at </w:t>
      </w:r>
      <w:r>
        <w:t>12, 29.</w:t>
      </w:r>
    </w:p>
  </w:footnote>
  <w:footnote w:id="58">
    <w:p w14:paraId="1B6216CC" w14:textId="669B22A9" w:rsidR="004853FE" w:rsidRDefault="004853FE">
      <w:pPr>
        <w:pStyle w:val="FootnoteText"/>
      </w:pPr>
      <w:r>
        <w:rPr>
          <w:rStyle w:val="FootnoteReference"/>
        </w:rPr>
        <w:footnoteRef/>
      </w:r>
      <w:r>
        <w:t xml:space="preserve"> </w:t>
      </w:r>
      <w:bookmarkStart w:id="62" w:name="_Hlk209767017"/>
      <w:r w:rsidRPr="004853FE">
        <w:t xml:space="preserve">SCE </w:t>
      </w:r>
      <w:r w:rsidR="00A817A4" w:rsidRPr="00A817A4">
        <w:t xml:space="preserve">Draft </w:t>
      </w:r>
      <w:r w:rsidR="00950E04">
        <w:t>2025 RPS</w:t>
      </w:r>
      <w:r w:rsidR="00A817A4" w:rsidRPr="004853FE">
        <w:t xml:space="preserve"> </w:t>
      </w:r>
      <w:r w:rsidRPr="004853FE">
        <w:t>Plan at 12</w:t>
      </w:r>
      <w:r>
        <w:t>.</w:t>
      </w:r>
      <w:bookmarkEnd w:id="62"/>
    </w:p>
  </w:footnote>
  <w:footnote w:id="59">
    <w:p w14:paraId="7A2E2F42" w14:textId="1CB72A5D" w:rsidR="009B048D" w:rsidRDefault="009B048D">
      <w:pPr>
        <w:pStyle w:val="FootnoteText"/>
      </w:pPr>
      <w:r>
        <w:rPr>
          <w:rStyle w:val="FootnoteReference"/>
        </w:rPr>
        <w:footnoteRef/>
      </w:r>
      <w:r>
        <w:t xml:space="preserve"> </w:t>
      </w:r>
      <w:r w:rsidRPr="009B048D">
        <w:t xml:space="preserve">SCE </w:t>
      </w:r>
      <w:r w:rsidR="00A817A4" w:rsidRPr="00A817A4">
        <w:t xml:space="preserve">Draft </w:t>
      </w:r>
      <w:r w:rsidR="00950E04">
        <w:t>2025 RPS</w:t>
      </w:r>
      <w:r w:rsidR="00A817A4" w:rsidRPr="009B048D">
        <w:t xml:space="preserve"> </w:t>
      </w:r>
      <w:r w:rsidRPr="009B048D">
        <w:t xml:space="preserve">Plan at </w:t>
      </w:r>
      <w:r>
        <w:t>29.</w:t>
      </w:r>
    </w:p>
  </w:footnote>
  <w:footnote w:id="60">
    <w:p w14:paraId="37916DB0" w14:textId="03F04B35" w:rsidR="009B048D" w:rsidRDefault="009B048D">
      <w:pPr>
        <w:pStyle w:val="FootnoteText"/>
      </w:pPr>
      <w:r>
        <w:rPr>
          <w:rStyle w:val="FootnoteReference"/>
        </w:rPr>
        <w:footnoteRef/>
      </w:r>
      <w:r>
        <w:t xml:space="preserve"> </w:t>
      </w:r>
      <w:r w:rsidRPr="009B048D">
        <w:t xml:space="preserve">SCE </w:t>
      </w:r>
      <w:r w:rsidR="00A817A4" w:rsidRPr="00A817A4">
        <w:t xml:space="preserve">Draft </w:t>
      </w:r>
      <w:r w:rsidR="00950E04">
        <w:t>2025 RPS</w:t>
      </w:r>
      <w:r w:rsidR="00A817A4" w:rsidRPr="009B048D">
        <w:t xml:space="preserve"> </w:t>
      </w:r>
      <w:r w:rsidRPr="009B048D">
        <w:t>Plan at 9.</w:t>
      </w:r>
    </w:p>
  </w:footnote>
  <w:footnote w:id="61">
    <w:p w14:paraId="13EF7709" w14:textId="731370BF" w:rsidR="001544B5" w:rsidRDefault="001544B5" w:rsidP="001544B5">
      <w:pPr>
        <w:pStyle w:val="FootnoteText"/>
      </w:pPr>
      <w:r>
        <w:rPr>
          <w:rStyle w:val="FootnoteReference"/>
        </w:rPr>
        <w:footnoteRef/>
      </w:r>
      <w:r>
        <w:t xml:space="preserve"> </w:t>
      </w:r>
      <w:r w:rsidRPr="00A477F0">
        <w:t xml:space="preserve">SCE </w:t>
      </w:r>
      <w:r w:rsidRPr="00A817A4">
        <w:t xml:space="preserve">Draft </w:t>
      </w:r>
      <w:r w:rsidR="00950E04">
        <w:t>2025 RPS</w:t>
      </w:r>
      <w:r w:rsidRPr="00A477F0">
        <w:t xml:space="preserve"> Plan at </w:t>
      </w:r>
      <w:r>
        <w:t>10.</w:t>
      </w:r>
    </w:p>
  </w:footnote>
  <w:footnote w:id="62">
    <w:p w14:paraId="45F8827E" w14:textId="670F10CC" w:rsidR="00431BEB" w:rsidRDefault="00431BEB">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11.</w:t>
      </w:r>
    </w:p>
  </w:footnote>
  <w:footnote w:id="63">
    <w:p w14:paraId="7B1DCAA5" w14:textId="65C487B7" w:rsidR="00CE3A07" w:rsidRDefault="00CE3A07">
      <w:pPr>
        <w:pStyle w:val="FootnoteText"/>
      </w:pPr>
      <w:r>
        <w:rPr>
          <w:rStyle w:val="FootnoteReference"/>
        </w:rPr>
        <w:footnoteRef/>
      </w:r>
      <w:r>
        <w:t xml:space="preserve"> </w:t>
      </w:r>
      <w:r w:rsidRPr="00CE3A07">
        <w:t xml:space="preserve">SCE </w:t>
      </w:r>
      <w:r w:rsidR="00A817A4" w:rsidRPr="00A817A4">
        <w:t xml:space="preserve">Draft </w:t>
      </w:r>
      <w:r w:rsidR="00950E04">
        <w:t>2025 RPS</w:t>
      </w:r>
      <w:r w:rsidR="00A817A4" w:rsidRPr="00CE3A07">
        <w:t xml:space="preserve"> </w:t>
      </w:r>
      <w:r w:rsidRPr="00CE3A07">
        <w:t xml:space="preserve">Plan at </w:t>
      </w:r>
      <w:r>
        <w:t>11.</w:t>
      </w:r>
    </w:p>
  </w:footnote>
  <w:footnote w:id="64">
    <w:p w14:paraId="674F924D" w14:textId="33313DC4" w:rsidR="004D24C7" w:rsidRDefault="004D24C7">
      <w:pPr>
        <w:pStyle w:val="FootnoteText"/>
      </w:pPr>
      <w:r>
        <w:rPr>
          <w:rStyle w:val="FootnoteReference"/>
        </w:rPr>
        <w:footnoteRef/>
      </w:r>
      <w:r>
        <w:t xml:space="preserve"> </w:t>
      </w:r>
      <w:r w:rsidR="008B4577">
        <w:t>D.24</w:t>
      </w:r>
      <w:r w:rsidR="00E54574">
        <w:noBreakHyphen/>
      </w:r>
      <w:r w:rsidR="008B4577">
        <w:t>12</w:t>
      </w:r>
      <w:r w:rsidR="00E54574">
        <w:noBreakHyphen/>
      </w:r>
      <w:r w:rsidR="008B4577">
        <w:t>035 at 17.</w:t>
      </w:r>
    </w:p>
  </w:footnote>
  <w:footnote w:id="65">
    <w:p w14:paraId="14C88489" w14:textId="2243062A" w:rsidR="004D24C7" w:rsidRDefault="004D24C7">
      <w:pPr>
        <w:pStyle w:val="FootnoteText"/>
      </w:pPr>
      <w:r>
        <w:rPr>
          <w:rStyle w:val="FootnoteReference"/>
        </w:rPr>
        <w:footnoteRef/>
      </w:r>
      <w:r>
        <w:t xml:space="preserve"> D.24</w:t>
      </w:r>
      <w:r w:rsidR="00E54574">
        <w:noBreakHyphen/>
      </w:r>
      <w:r>
        <w:t>12</w:t>
      </w:r>
      <w:r w:rsidR="00E54574">
        <w:noBreakHyphen/>
      </w:r>
      <w:r>
        <w:t xml:space="preserve">035 at </w:t>
      </w:r>
      <w:r w:rsidR="008B4577">
        <w:t>17.</w:t>
      </w:r>
    </w:p>
  </w:footnote>
  <w:footnote w:id="66">
    <w:p w14:paraId="0DB01048" w14:textId="2CD5146B" w:rsidR="00B25F94" w:rsidRDefault="00B25F94">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13.</w:t>
      </w:r>
    </w:p>
  </w:footnote>
  <w:footnote w:id="67">
    <w:p w14:paraId="40579FF8" w14:textId="297471A2" w:rsidR="00B25F94" w:rsidRDefault="00B25F94">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13.</w:t>
      </w:r>
    </w:p>
  </w:footnote>
  <w:footnote w:id="68">
    <w:p w14:paraId="54C16B2B" w14:textId="49D0F86B" w:rsidR="0049419E" w:rsidRDefault="0049419E">
      <w:pPr>
        <w:pStyle w:val="FootnoteText"/>
      </w:pPr>
      <w:r>
        <w:rPr>
          <w:rStyle w:val="FootnoteReference"/>
        </w:rPr>
        <w:footnoteRef/>
      </w:r>
      <w:r>
        <w:t xml:space="preserve"> SCE </w:t>
      </w:r>
      <w:r w:rsidR="00A817A4" w:rsidRPr="00A817A4">
        <w:t xml:space="preserve">Draft </w:t>
      </w:r>
      <w:r w:rsidR="00950E04">
        <w:t>2025 RPS</w:t>
      </w:r>
      <w:r w:rsidR="00A817A4">
        <w:t xml:space="preserve"> </w:t>
      </w:r>
      <w:r>
        <w:t xml:space="preserve">Plan at 80, </w:t>
      </w:r>
      <w:r w:rsidR="006876C0">
        <w:t>Appendices </w:t>
      </w:r>
      <w:r>
        <w:t>I.1, I.2, J.1.</w:t>
      </w:r>
      <w:r w:rsidR="006876C0">
        <w:t>,</w:t>
      </w:r>
      <w:r>
        <w:t xml:space="preserve"> and J.2.</w:t>
      </w:r>
    </w:p>
  </w:footnote>
  <w:footnote w:id="69">
    <w:p w14:paraId="60A75735" w14:textId="00F2BA17" w:rsidR="0049419E" w:rsidRDefault="0049419E">
      <w:pPr>
        <w:pStyle w:val="FootnoteText"/>
      </w:pPr>
      <w:r>
        <w:rPr>
          <w:rStyle w:val="FootnoteReference"/>
        </w:rPr>
        <w:footnoteRef/>
      </w:r>
      <w:r>
        <w:t xml:space="preserve"> </w:t>
      </w:r>
      <w:r w:rsidRPr="0049419E">
        <w:t xml:space="preserve">SCE </w:t>
      </w:r>
      <w:r w:rsidR="00A817A4" w:rsidRPr="00A817A4">
        <w:t xml:space="preserve">Draft </w:t>
      </w:r>
      <w:r w:rsidR="00950E04">
        <w:t>2025 RPS</w:t>
      </w:r>
      <w:r w:rsidR="00A817A4" w:rsidRPr="0049419E">
        <w:t xml:space="preserve"> </w:t>
      </w:r>
      <w:r w:rsidRPr="0049419E">
        <w:t>Plan at 8</w:t>
      </w:r>
      <w:r>
        <w:t>1</w:t>
      </w:r>
      <w:r w:rsidRPr="0049419E">
        <w:t xml:space="preserve">, </w:t>
      </w:r>
      <w:r w:rsidR="006876C0">
        <w:t>Appendix </w:t>
      </w:r>
      <w:r>
        <w:t>M.1.</w:t>
      </w:r>
    </w:p>
  </w:footnote>
  <w:footnote w:id="70">
    <w:p w14:paraId="1310597F" w14:textId="0AB0D79C" w:rsidR="0009452B" w:rsidRDefault="0009452B">
      <w:pPr>
        <w:pStyle w:val="FootnoteText"/>
      </w:pPr>
      <w:r>
        <w:rPr>
          <w:rStyle w:val="FootnoteReference"/>
        </w:rPr>
        <w:footnoteRef/>
      </w:r>
      <w:r>
        <w:t xml:space="preserve"> SCE </w:t>
      </w:r>
      <w:r w:rsidR="00A817A4" w:rsidRPr="00A817A4">
        <w:t xml:space="preserve">Draft </w:t>
      </w:r>
      <w:r w:rsidR="00950E04">
        <w:t>2025 RPS</w:t>
      </w:r>
      <w:r w:rsidR="00A817A4">
        <w:t xml:space="preserve"> </w:t>
      </w:r>
      <w:r>
        <w:t xml:space="preserve">Plan </w:t>
      </w:r>
      <w:r w:rsidR="0049419E">
        <w:t xml:space="preserve">at 82 and </w:t>
      </w:r>
      <w:r w:rsidR="006876C0">
        <w:t>Appendix </w:t>
      </w:r>
      <w:r w:rsidR="0049419E">
        <w:t>H.1</w:t>
      </w:r>
      <w:r>
        <w:t>.</w:t>
      </w:r>
    </w:p>
  </w:footnote>
  <w:footnote w:id="71">
    <w:p w14:paraId="03BA8489" w14:textId="3199755F" w:rsidR="00E20465" w:rsidRDefault="00E20465">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82.</w:t>
      </w:r>
    </w:p>
  </w:footnote>
  <w:footnote w:id="72">
    <w:p w14:paraId="17B2BD3A" w14:textId="23320789" w:rsidR="000F1B22" w:rsidRDefault="000F1B22">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16</w:t>
      </w:r>
      <w:r w:rsidR="00E54574">
        <w:noBreakHyphen/>
      </w:r>
      <w:r>
        <w:t>17.</w:t>
      </w:r>
    </w:p>
  </w:footnote>
  <w:footnote w:id="73">
    <w:p w14:paraId="2FA6678D" w14:textId="2FE738BD" w:rsidR="00867A92" w:rsidRDefault="00867A92">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16</w:t>
      </w:r>
      <w:r w:rsidR="00E54574">
        <w:noBreakHyphen/>
      </w:r>
      <w:r>
        <w:t>17.</w:t>
      </w:r>
    </w:p>
  </w:footnote>
  <w:footnote w:id="74">
    <w:p w14:paraId="0BF5EC8F" w14:textId="0AB2FB9A" w:rsidR="00AC47B4" w:rsidRDefault="00AC47B4">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129.</w:t>
      </w:r>
    </w:p>
  </w:footnote>
  <w:footnote w:id="75">
    <w:p w14:paraId="24D10FB8" w14:textId="172B8B83" w:rsidR="00E44D69" w:rsidRDefault="00E44D69">
      <w:pPr>
        <w:pStyle w:val="FootnoteText"/>
      </w:pPr>
      <w:r>
        <w:rPr>
          <w:rStyle w:val="FootnoteReference"/>
        </w:rPr>
        <w:footnoteRef/>
      </w:r>
      <w:r>
        <w:t xml:space="preserve"> SCE </w:t>
      </w:r>
      <w:r w:rsidR="00A817A4" w:rsidRPr="00A817A4">
        <w:t xml:space="preserve">Draft </w:t>
      </w:r>
      <w:r w:rsidR="00950E04">
        <w:t>2025 RPS</w:t>
      </w:r>
      <w:r w:rsidR="00A817A4">
        <w:t xml:space="preserve"> </w:t>
      </w:r>
      <w:r>
        <w:t>Plan at 129.</w:t>
      </w:r>
    </w:p>
  </w:footnote>
  <w:footnote w:id="76">
    <w:p w14:paraId="2EA453FE" w14:textId="4D836A20" w:rsidR="00FE3EA1" w:rsidRDefault="00FE3EA1">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23.</w:t>
      </w:r>
    </w:p>
  </w:footnote>
  <w:footnote w:id="77">
    <w:p w14:paraId="1FAF04F1" w14:textId="05B25AB3" w:rsidR="00773D06" w:rsidRDefault="00773D06">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24.</w:t>
      </w:r>
    </w:p>
  </w:footnote>
  <w:footnote w:id="78">
    <w:p w14:paraId="3306B09E" w14:textId="2389AB23" w:rsidR="00262706" w:rsidRDefault="00262706">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24.</w:t>
      </w:r>
    </w:p>
  </w:footnote>
  <w:footnote w:id="79">
    <w:p w14:paraId="03070B86" w14:textId="3EE31C89" w:rsidR="00624134" w:rsidRDefault="00624134">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25.</w:t>
      </w:r>
    </w:p>
  </w:footnote>
  <w:footnote w:id="80">
    <w:p w14:paraId="6339287A" w14:textId="59E3F423" w:rsidR="00C72247" w:rsidRDefault="00C72247">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7</w:t>
      </w:r>
      <w:r w:rsidR="00AE049A">
        <w:t xml:space="preserve">, 24, </w:t>
      </w:r>
      <w:r w:rsidR="006876C0">
        <w:t>Appendix </w:t>
      </w:r>
      <w:r w:rsidR="00AE049A">
        <w:t>1</w:t>
      </w:r>
      <w:r>
        <w:t>.</w:t>
      </w:r>
    </w:p>
  </w:footnote>
  <w:footnote w:id="81">
    <w:p w14:paraId="70E4F21A" w14:textId="21B0DC58" w:rsidR="00E14873" w:rsidRDefault="00E14873">
      <w:pPr>
        <w:pStyle w:val="FootnoteText"/>
      </w:pPr>
      <w:r>
        <w:rPr>
          <w:rStyle w:val="FootnoteReference"/>
        </w:rPr>
        <w:footnoteRef/>
      </w:r>
      <w:r>
        <w:t xml:space="preserve"> D.25</w:t>
      </w:r>
      <w:r w:rsidR="003E14E2">
        <w:noBreakHyphen/>
      </w:r>
      <w:r>
        <w:t>12</w:t>
      </w:r>
      <w:r w:rsidR="003E14E2">
        <w:noBreakHyphen/>
      </w:r>
      <w:r>
        <w:t>008 at OP</w:t>
      </w:r>
      <w:r w:rsidR="003E14E2">
        <w:t> </w:t>
      </w:r>
      <w:r>
        <w:t>6.</w:t>
      </w:r>
    </w:p>
  </w:footnote>
  <w:footnote w:id="82">
    <w:p w14:paraId="4C956B40" w14:textId="0D1291DD" w:rsidR="009A7531" w:rsidRDefault="009A7531">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 xml:space="preserve">Plan at </w:t>
      </w:r>
      <w:r w:rsidR="00ED7F85">
        <w:t>8</w:t>
      </w:r>
      <w:r>
        <w:t>.</w:t>
      </w:r>
    </w:p>
  </w:footnote>
  <w:footnote w:id="83">
    <w:p w14:paraId="6ABCE5F6" w14:textId="6EBDD8C9" w:rsidR="005D139E" w:rsidRDefault="005D139E">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8</w:t>
      </w:r>
      <w:r w:rsidR="00A95856">
        <w:t xml:space="preserve">, 23, and </w:t>
      </w:r>
      <w:r w:rsidR="006876C0">
        <w:t>Appendix </w:t>
      </w:r>
      <w:r w:rsidR="00A95856">
        <w:t>1.</w:t>
      </w:r>
    </w:p>
  </w:footnote>
  <w:footnote w:id="84">
    <w:p w14:paraId="14DBCF50" w14:textId="23170082" w:rsidR="000F7A2B" w:rsidRDefault="000F7A2B">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24.</w:t>
      </w:r>
    </w:p>
  </w:footnote>
  <w:footnote w:id="85">
    <w:p w14:paraId="3B0F33DE" w14:textId="0F589E2D" w:rsidR="009443F3" w:rsidRDefault="009443F3" w:rsidP="009443F3">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 xml:space="preserve">Plan at </w:t>
      </w:r>
      <w:r w:rsidR="000D484E">
        <w:t>8</w:t>
      </w:r>
      <w:r>
        <w:t>.</w:t>
      </w:r>
    </w:p>
  </w:footnote>
  <w:footnote w:id="86">
    <w:p w14:paraId="763228DC" w14:textId="55B8D919" w:rsidR="002C6E08" w:rsidRDefault="002C6E08">
      <w:pPr>
        <w:pStyle w:val="FootnoteText"/>
      </w:pPr>
      <w:r>
        <w:rPr>
          <w:rStyle w:val="FootnoteReference"/>
        </w:rPr>
        <w:footnoteRef/>
      </w:r>
      <w:r>
        <w:t xml:space="preserve"> </w:t>
      </w:r>
      <w:r w:rsidRPr="002C6E08">
        <w:t xml:space="preserve">SDG&amp;E Draft </w:t>
      </w:r>
      <w:r w:rsidR="00950E04">
        <w:t>2025 RPS</w:t>
      </w:r>
      <w:r w:rsidRPr="002C6E08">
        <w:t xml:space="preserve"> Plan at 8</w:t>
      </w:r>
      <w:r>
        <w:t>.</w:t>
      </w:r>
    </w:p>
  </w:footnote>
  <w:footnote w:id="87">
    <w:p w14:paraId="367A4CE7" w14:textId="010F837E" w:rsidR="00724FA4" w:rsidRDefault="00724FA4">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 xml:space="preserve">Plan at 34 and </w:t>
      </w:r>
      <w:r w:rsidR="006876C0">
        <w:t>Appendix </w:t>
      </w:r>
      <w:r>
        <w:t>15.</w:t>
      </w:r>
    </w:p>
  </w:footnote>
  <w:footnote w:id="88">
    <w:p w14:paraId="7FEA63EF" w14:textId="2D5E503B" w:rsidR="005A74FC" w:rsidRDefault="005A74FC">
      <w:pPr>
        <w:pStyle w:val="FootnoteText"/>
      </w:pPr>
      <w:r>
        <w:rPr>
          <w:rStyle w:val="FootnoteReference"/>
        </w:rPr>
        <w:footnoteRef/>
      </w:r>
      <w:r>
        <w:t xml:space="preserve"> SDG&amp;E Draft </w:t>
      </w:r>
      <w:r w:rsidR="00950E04">
        <w:t>2025 RPS</w:t>
      </w:r>
      <w:r>
        <w:t xml:space="preserve"> Plan at 8.</w:t>
      </w:r>
    </w:p>
  </w:footnote>
  <w:footnote w:id="89">
    <w:p w14:paraId="71667175" w14:textId="2CD0C792" w:rsidR="00431EB8" w:rsidRDefault="00431EB8">
      <w:pPr>
        <w:pStyle w:val="FootnoteText"/>
      </w:pPr>
      <w:r>
        <w:rPr>
          <w:rStyle w:val="FootnoteReference"/>
        </w:rPr>
        <w:footnoteRef/>
      </w:r>
      <w:r>
        <w:t xml:space="preserve"> </w:t>
      </w:r>
      <w:r w:rsidR="00E4454D" w:rsidRPr="00E4454D">
        <w:t xml:space="preserve">SDG&amp;E Draft </w:t>
      </w:r>
      <w:r w:rsidR="00950E04">
        <w:t>2025 RPS</w:t>
      </w:r>
      <w:r w:rsidR="00E4454D" w:rsidRPr="00E4454D">
        <w:t xml:space="preserve"> Plan at 8</w:t>
      </w:r>
      <w:r w:rsidR="00E54574">
        <w:noBreakHyphen/>
      </w:r>
      <w:r w:rsidR="00E4454D" w:rsidRPr="00E4454D">
        <w:t>9</w:t>
      </w:r>
      <w:r w:rsidR="00E4454D">
        <w:t>, 24.</w:t>
      </w:r>
    </w:p>
  </w:footnote>
  <w:footnote w:id="90">
    <w:p w14:paraId="6BEC9583" w14:textId="592DAC4F" w:rsidR="00EF18A6" w:rsidRDefault="00EF18A6">
      <w:pPr>
        <w:pStyle w:val="FootnoteText"/>
      </w:pPr>
      <w:r>
        <w:rPr>
          <w:rStyle w:val="FootnoteReference"/>
        </w:rPr>
        <w:footnoteRef/>
      </w:r>
      <w:r>
        <w:t xml:space="preserve"> SDG&amp;E </w:t>
      </w:r>
      <w:r w:rsidR="00A817A4" w:rsidRPr="00A817A4">
        <w:t xml:space="preserve">Draft </w:t>
      </w:r>
      <w:r w:rsidR="00950E04">
        <w:t>2025 RPS</w:t>
      </w:r>
      <w:r w:rsidR="00A817A4">
        <w:t xml:space="preserve"> </w:t>
      </w:r>
      <w:r>
        <w:t>Plan at 9.</w:t>
      </w:r>
    </w:p>
  </w:footnote>
  <w:footnote w:id="91">
    <w:p w14:paraId="0562B3DB" w14:textId="4F6B0BAB" w:rsidR="007B0534" w:rsidRDefault="007B0534" w:rsidP="007B0534">
      <w:pPr>
        <w:pStyle w:val="FootnoteText"/>
      </w:pPr>
      <w:r>
        <w:rPr>
          <w:rStyle w:val="FootnoteReference"/>
        </w:rPr>
        <w:footnoteRef/>
      </w:r>
      <w:r>
        <w:t xml:space="preserve"> </w:t>
      </w:r>
      <w:r w:rsidR="00F81267">
        <w:t>Pub. Util.</w:t>
      </w:r>
      <w:r w:rsidRPr="008A31CE">
        <w:t xml:space="preserve"> Code </w:t>
      </w:r>
      <w:r w:rsidR="00FE4095">
        <w:t>§ </w:t>
      </w:r>
      <w:r w:rsidRPr="008A31CE">
        <w:t>399.17(b).</w:t>
      </w:r>
      <w:r>
        <w:t xml:space="preserve"> </w:t>
      </w:r>
      <w:r w:rsidRPr="008A31CE">
        <w:t xml:space="preserve">The </w:t>
      </w:r>
      <w:r w:rsidR="00754C47">
        <w:t>p</w:t>
      </w:r>
      <w:r w:rsidR="00754C47" w:rsidRPr="00754C47">
        <w:t>erformance</w:t>
      </w:r>
      <w:r w:rsidR="00E54574">
        <w:noBreakHyphen/>
      </w:r>
      <w:r w:rsidR="00754C47" w:rsidRPr="00754C47">
        <w:t>based ratemaking</w:t>
      </w:r>
      <w:r w:rsidRPr="008A31CE">
        <w:t xml:space="preserve"> limitations in </w:t>
      </w:r>
      <w:r w:rsidR="009850E3">
        <w:t>Section </w:t>
      </w:r>
      <w:r w:rsidRPr="008A31CE">
        <w:t>399.16 are explained in</w:t>
      </w:r>
      <w:r>
        <w:t xml:space="preserve"> </w:t>
      </w:r>
      <w:r w:rsidRPr="008A31CE">
        <w:t>D.11</w:t>
      </w:r>
      <w:r w:rsidR="00E54574">
        <w:noBreakHyphen/>
      </w:r>
      <w:r w:rsidRPr="008A31CE">
        <w:t>12</w:t>
      </w:r>
      <w:r w:rsidR="00E54574">
        <w:noBreakHyphen/>
      </w:r>
      <w:r w:rsidRPr="008A31CE">
        <w:t xml:space="preserve">052 </w:t>
      </w:r>
      <w:r w:rsidR="00EF674B">
        <w:t>Sections</w:t>
      </w:r>
      <w:r w:rsidR="00FE4095">
        <w:t> </w:t>
      </w:r>
      <w:r w:rsidRPr="008A31CE">
        <w:t>3.5</w:t>
      </w:r>
      <w:r w:rsidR="00E54574">
        <w:noBreakHyphen/>
      </w:r>
      <w:r w:rsidRPr="008A31CE">
        <w:t>3.7.</w:t>
      </w:r>
    </w:p>
  </w:footnote>
  <w:footnote w:id="92">
    <w:p w14:paraId="43FFE336" w14:textId="43975AB2" w:rsidR="00353B5D" w:rsidRDefault="00353B5D">
      <w:pPr>
        <w:pStyle w:val="FootnoteText"/>
      </w:pPr>
      <w:r>
        <w:rPr>
          <w:rStyle w:val="FootnoteReference"/>
        </w:rPr>
        <w:footnoteRef/>
      </w:r>
      <w:r>
        <w:t xml:space="preserve"> BVES </w:t>
      </w:r>
      <w:r w:rsidR="00887B42" w:rsidRPr="00887B42">
        <w:t xml:space="preserve">Draft </w:t>
      </w:r>
      <w:r w:rsidR="00950E04">
        <w:t>2025 RPS</w:t>
      </w:r>
      <w:r w:rsidR="00887B42">
        <w:t xml:space="preserve"> </w:t>
      </w:r>
      <w:r>
        <w:t>Plan at 2</w:t>
      </w:r>
      <w:r w:rsidR="00E54574">
        <w:noBreakHyphen/>
      </w:r>
      <w:r>
        <w:t>3</w:t>
      </w:r>
      <w:r w:rsidR="009B0D35">
        <w:t>, 12.</w:t>
      </w:r>
    </w:p>
  </w:footnote>
  <w:footnote w:id="93">
    <w:p w14:paraId="3072A2AD" w14:textId="7D5C1539" w:rsidR="007854F6" w:rsidRDefault="007854F6" w:rsidP="007854F6">
      <w:pPr>
        <w:pStyle w:val="FootnoteText"/>
      </w:pPr>
      <w:r>
        <w:rPr>
          <w:rStyle w:val="FootnoteReference"/>
        </w:rPr>
        <w:footnoteRef/>
      </w:r>
      <w:r>
        <w:t xml:space="preserve"> BVES </w:t>
      </w:r>
      <w:r w:rsidR="00887B42" w:rsidRPr="00887B42">
        <w:t xml:space="preserve">Draft </w:t>
      </w:r>
      <w:r w:rsidR="00950E04">
        <w:t>2025 RPS</w:t>
      </w:r>
      <w:r w:rsidR="00887B42" w:rsidRPr="00887B42">
        <w:t xml:space="preserve"> </w:t>
      </w:r>
      <w:r>
        <w:t>Plan at 3.</w:t>
      </w:r>
    </w:p>
  </w:footnote>
  <w:footnote w:id="94">
    <w:p w14:paraId="38D796A6" w14:textId="37E20041" w:rsidR="007854F6" w:rsidRDefault="007854F6" w:rsidP="007854F6">
      <w:pPr>
        <w:pStyle w:val="FootnoteText"/>
      </w:pPr>
      <w:r>
        <w:rPr>
          <w:rStyle w:val="FootnoteReference"/>
        </w:rPr>
        <w:footnoteRef/>
      </w:r>
      <w:r>
        <w:t xml:space="preserve"> BVES </w:t>
      </w:r>
      <w:r w:rsidR="00887B42" w:rsidRPr="00887B42">
        <w:t xml:space="preserve">Draft </w:t>
      </w:r>
      <w:r w:rsidR="00950E04">
        <w:t>2025 RPS</w:t>
      </w:r>
      <w:r w:rsidR="00887B42" w:rsidRPr="00887B42">
        <w:t xml:space="preserve"> </w:t>
      </w:r>
      <w:r>
        <w:t>Plan at 3.</w:t>
      </w:r>
    </w:p>
  </w:footnote>
  <w:footnote w:id="95">
    <w:p w14:paraId="39FCF838" w14:textId="3E8510EC" w:rsidR="007854F6" w:rsidRDefault="007854F6" w:rsidP="007854F6">
      <w:pPr>
        <w:pStyle w:val="FootnoteText"/>
      </w:pPr>
      <w:r>
        <w:rPr>
          <w:rStyle w:val="FootnoteReference"/>
        </w:rPr>
        <w:footnoteRef/>
      </w:r>
      <w:r>
        <w:t xml:space="preserve"> BVES </w:t>
      </w:r>
      <w:r w:rsidR="00371A9C">
        <w:t xml:space="preserve">Draft 2025 </w:t>
      </w:r>
      <w:r w:rsidR="005C7ABE">
        <w:t xml:space="preserve">RPS </w:t>
      </w:r>
      <w:r>
        <w:t>Plan at 2, 13.</w:t>
      </w:r>
    </w:p>
  </w:footnote>
  <w:footnote w:id="96">
    <w:p w14:paraId="2D22693D" w14:textId="034F5B6F" w:rsidR="00CE3E56" w:rsidRDefault="00CE3E56">
      <w:pPr>
        <w:pStyle w:val="FootnoteText"/>
      </w:pPr>
      <w:r>
        <w:rPr>
          <w:rStyle w:val="FootnoteReference"/>
        </w:rPr>
        <w:footnoteRef/>
      </w:r>
      <w:r>
        <w:t xml:space="preserve"> Liberty </w:t>
      </w:r>
      <w:r w:rsidR="00887B42" w:rsidRPr="00887B42">
        <w:t xml:space="preserve">Draft </w:t>
      </w:r>
      <w:r w:rsidR="00950E04">
        <w:t>2025 RPS</w:t>
      </w:r>
      <w:r w:rsidR="00887B42" w:rsidRPr="00887B42">
        <w:t xml:space="preserve"> Plan </w:t>
      </w:r>
      <w:r>
        <w:t xml:space="preserve">at </w:t>
      </w:r>
      <w:r w:rsidR="00D96703">
        <w:t xml:space="preserve">2, </w:t>
      </w:r>
      <w:r>
        <w:t>4.</w:t>
      </w:r>
    </w:p>
  </w:footnote>
  <w:footnote w:id="97">
    <w:p w14:paraId="318D0291" w14:textId="64399AC8" w:rsidR="00CE3E56" w:rsidRDefault="00CE3E56">
      <w:pPr>
        <w:pStyle w:val="FootnoteText"/>
      </w:pPr>
      <w:r>
        <w:rPr>
          <w:rStyle w:val="FootnoteReference"/>
        </w:rPr>
        <w:footnoteRef/>
      </w:r>
      <w:r>
        <w:t xml:space="preserve"> Liberty </w:t>
      </w:r>
      <w:r w:rsidR="00887B42" w:rsidRPr="00887B42">
        <w:t xml:space="preserve">Draft </w:t>
      </w:r>
      <w:r w:rsidR="00950E04">
        <w:t>2025 RPS</w:t>
      </w:r>
      <w:r w:rsidR="00887B42" w:rsidRPr="00887B42">
        <w:t xml:space="preserve"> Plan </w:t>
      </w:r>
      <w:r>
        <w:t>at 4.</w:t>
      </w:r>
    </w:p>
  </w:footnote>
  <w:footnote w:id="98">
    <w:p w14:paraId="47045A05" w14:textId="4D792995" w:rsidR="00CE3E56" w:rsidRDefault="00CE3E56" w:rsidP="00CE3E56">
      <w:pPr>
        <w:pStyle w:val="FootnoteText"/>
      </w:pPr>
      <w:r>
        <w:rPr>
          <w:rStyle w:val="FootnoteReference"/>
        </w:rPr>
        <w:footnoteRef/>
      </w:r>
      <w:r>
        <w:t xml:space="preserve"> Liberty </w:t>
      </w:r>
      <w:r w:rsidR="00887B42" w:rsidRPr="00887B42">
        <w:t xml:space="preserve">Draft </w:t>
      </w:r>
      <w:r w:rsidR="00950E04">
        <w:t>2025 RPS</w:t>
      </w:r>
      <w:r w:rsidR="00887B42" w:rsidRPr="00887B42">
        <w:t xml:space="preserve"> Plan </w:t>
      </w:r>
      <w:r>
        <w:t>at 3, 8</w:t>
      </w:r>
      <w:r w:rsidR="00E54574">
        <w:noBreakHyphen/>
      </w:r>
      <w:r>
        <w:t>9.</w:t>
      </w:r>
    </w:p>
  </w:footnote>
  <w:footnote w:id="99">
    <w:p w14:paraId="24129D87" w14:textId="4373CC9B" w:rsidR="00D96703" w:rsidRDefault="00D96703">
      <w:pPr>
        <w:pStyle w:val="FootnoteText"/>
      </w:pPr>
      <w:r>
        <w:rPr>
          <w:rStyle w:val="FootnoteReference"/>
        </w:rPr>
        <w:footnoteRef/>
      </w:r>
      <w:r>
        <w:t xml:space="preserve"> Liberty</w:t>
      </w:r>
      <w:r w:rsidR="00AC3136" w:rsidRPr="00AC3136">
        <w:t xml:space="preserve"> Draft </w:t>
      </w:r>
      <w:r w:rsidR="00950E04">
        <w:t>2025 RPS</w:t>
      </w:r>
      <w:r w:rsidR="00AC3136" w:rsidRPr="00AC3136">
        <w:t xml:space="preserve"> Plan</w:t>
      </w:r>
      <w:r>
        <w:t xml:space="preserve"> </w:t>
      </w:r>
      <w:r w:rsidR="0071558A">
        <w:t>at 10</w:t>
      </w:r>
      <w:r w:rsidR="006F565A">
        <w:t>.</w:t>
      </w:r>
    </w:p>
  </w:footnote>
  <w:footnote w:id="100">
    <w:p w14:paraId="77E5FFB5" w14:textId="7B3C817F" w:rsidR="00C566D9" w:rsidRDefault="00C566D9">
      <w:pPr>
        <w:pStyle w:val="FootnoteText"/>
      </w:pPr>
      <w:r>
        <w:rPr>
          <w:rStyle w:val="FootnoteReference"/>
        </w:rPr>
        <w:footnoteRef/>
      </w:r>
      <w:r>
        <w:t xml:space="preserve"> PacifiCorp </w:t>
      </w:r>
      <w:r w:rsidR="004474F6">
        <w:t xml:space="preserve">Draft </w:t>
      </w:r>
      <w:r w:rsidR="00950E04">
        <w:t>2025 RPS</w:t>
      </w:r>
      <w:r w:rsidR="004474F6">
        <w:t xml:space="preserve"> Plan </w:t>
      </w:r>
      <w:r>
        <w:t>at 5.</w:t>
      </w:r>
    </w:p>
  </w:footnote>
  <w:footnote w:id="101">
    <w:p w14:paraId="6EEF740E" w14:textId="63FE6886" w:rsidR="0043022F" w:rsidRDefault="0043022F" w:rsidP="0043022F">
      <w:pPr>
        <w:pStyle w:val="FootnoteText"/>
      </w:pPr>
      <w:r>
        <w:rPr>
          <w:rStyle w:val="FootnoteReference"/>
        </w:rPr>
        <w:footnoteRef/>
      </w:r>
      <w:r>
        <w:t xml:space="preserve"> PacifiCorp </w:t>
      </w:r>
      <w:r w:rsidR="004474F6">
        <w:t xml:space="preserve">Draft </w:t>
      </w:r>
      <w:r w:rsidR="00950E04">
        <w:t>2025 RPS</w:t>
      </w:r>
      <w:r w:rsidR="004474F6">
        <w:t xml:space="preserve"> Plan </w:t>
      </w:r>
      <w:r>
        <w:t>at 5.</w:t>
      </w:r>
    </w:p>
  </w:footnote>
  <w:footnote w:id="102">
    <w:p w14:paraId="0CFCA0C2" w14:textId="116BDEF9" w:rsidR="00C566D9" w:rsidRDefault="00C566D9">
      <w:pPr>
        <w:pStyle w:val="FootnoteText"/>
      </w:pPr>
      <w:r>
        <w:rPr>
          <w:rStyle w:val="FootnoteReference"/>
        </w:rPr>
        <w:footnoteRef/>
      </w:r>
      <w:r>
        <w:t xml:space="preserve"> PacifiCorp </w:t>
      </w:r>
      <w:r w:rsidR="004474F6">
        <w:t xml:space="preserve">Draft </w:t>
      </w:r>
      <w:r w:rsidR="00950E04">
        <w:t>2025 RPS</w:t>
      </w:r>
      <w:r w:rsidR="004474F6">
        <w:t xml:space="preserve"> Plan </w:t>
      </w:r>
      <w:r>
        <w:t>at B</w:t>
      </w:r>
      <w:r w:rsidR="00E54574">
        <w:noBreakHyphen/>
      </w:r>
      <w:r>
        <w:t>3.</w:t>
      </w:r>
    </w:p>
  </w:footnote>
  <w:footnote w:id="103">
    <w:p w14:paraId="69C8E3BE" w14:textId="2C93BED6" w:rsidR="00F007BC" w:rsidRDefault="00F007BC" w:rsidP="00F007BC">
      <w:pPr>
        <w:pStyle w:val="FootnoteText"/>
      </w:pPr>
      <w:r>
        <w:rPr>
          <w:rStyle w:val="FootnoteReference"/>
        </w:rPr>
        <w:footnoteRef/>
      </w:r>
      <w:r>
        <w:t xml:space="preserve"> </w:t>
      </w:r>
      <w:r w:rsidRPr="009A7423">
        <w:t>Based on an Energy Division staff analysis of aggregated retail seller 202</w:t>
      </w:r>
      <w:r>
        <w:t>5</w:t>
      </w:r>
      <w:r w:rsidRPr="009A7423">
        <w:t xml:space="preserve"> RNS templates, as submitted in their draft </w:t>
      </w:r>
      <w:r w:rsidR="00950E04">
        <w:t>2025 RPS</w:t>
      </w:r>
      <w:r w:rsidRPr="009A7423">
        <w:t xml:space="preserve"> Plans.</w:t>
      </w:r>
    </w:p>
  </w:footnote>
  <w:footnote w:id="104">
    <w:p w14:paraId="236701C5" w14:textId="77777777" w:rsidR="0055608A" w:rsidRDefault="0055608A" w:rsidP="0055608A">
      <w:pPr>
        <w:pStyle w:val="FootnoteText"/>
      </w:pPr>
      <w:r>
        <w:rPr>
          <w:rStyle w:val="FootnoteReference"/>
        </w:rPr>
        <w:footnoteRef/>
      </w:r>
      <w:r>
        <w:t xml:space="preserve"> 2025 ACR at 15.</w:t>
      </w:r>
    </w:p>
  </w:footnote>
  <w:footnote w:id="105">
    <w:p w14:paraId="4490D6FB" w14:textId="47935FA3" w:rsidR="00D91537" w:rsidRDefault="00D91537">
      <w:pPr>
        <w:pStyle w:val="FootnoteText"/>
      </w:pPr>
      <w:r>
        <w:rPr>
          <w:rStyle w:val="FootnoteReference"/>
        </w:rPr>
        <w:footnoteRef/>
      </w:r>
      <w:r>
        <w:t xml:space="preserve"> 2025 ACR at 15.</w:t>
      </w:r>
    </w:p>
  </w:footnote>
  <w:footnote w:id="106">
    <w:p w14:paraId="379E6B72" w14:textId="78524D2E" w:rsidR="001267DA" w:rsidRDefault="001267DA" w:rsidP="001267DA">
      <w:pPr>
        <w:pStyle w:val="FootnoteText"/>
      </w:pPr>
      <w:r>
        <w:rPr>
          <w:rStyle w:val="FootnoteReference"/>
        </w:rPr>
        <w:footnoteRef/>
      </w:r>
      <w:r>
        <w:t xml:space="preserve"> </w:t>
      </w:r>
      <w:r w:rsidR="00DA6578">
        <w:t>Shell E</w:t>
      </w:r>
      <w:r w:rsidR="00AE0F23">
        <w:t xml:space="preserve">nergy Draft </w:t>
      </w:r>
      <w:r w:rsidR="00950E04">
        <w:t>2025 RPS</w:t>
      </w:r>
      <w:r>
        <w:t xml:space="preserve"> Plan at 9.</w:t>
      </w:r>
    </w:p>
  </w:footnote>
  <w:footnote w:id="107">
    <w:p w14:paraId="538CC290" w14:textId="5A065746" w:rsidR="001267DA" w:rsidRDefault="001267DA" w:rsidP="001267DA">
      <w:pPr>
        <w:pStyle w:val="FootnoteText"/>
      </w:pPr>
      <w:r>
        <w:rPr>
          <w:rStyle w:val="FootnoteReference"/>
        </w:rPr>
        <w:footnoteRef/>
      </w:r>
      <w:r>
        <w:t xml:space="preserve"> </w:t>
      </w:r>
      <w:r w:rsidR="00DA6578">
        <w:t>Shell E</w:t>
      </w:r>
      <w:r w:rsidR="00AE0F23">
        <w:t xml:space="preserve">nergy Draft </w:t>
      </w:r>
      <w:r w:rsidR="00950E04">
        <w:t>2025 RPS</w:t>
      </w:r>
      <w:r>
        <w:t xml:space="preserve"> Plan at 9</w:t>
      </w:r>
      <w:r w:rsidR="00E54574">
        <w:noBreakHyphen/>
      </w:r>
      <w:r>
        <w:t>10.</w:t>
      </w:r>
    </w:p>
  </w:footnote>
  <w:footnote w:id="108">
    <w:p w14:paraId="127BB49E" w14:textId="303B0C88" w:rsidR="00BE348E" w:rsidRDefault="00BE348E">
      <w:pPr>
        <w:pStyle w:val="FootnoteText"/>
      </w:pPr>
      <w:r>
        <w:rPr>
          <w:rStyle w:val="FootnoteReference"/>
        </w:rPr>
        <w:footnoteRef/>
      </w:r>
      <w:r>
        <w:t xml:space="preserve"> 2025 ACR at 17</w:t>
      </w:r>
      <w:r w:rsidR="00E54574">
        <w:noBreakHyphen/>
      </w:r>
      <w:r>
        <w:t>18.</w:t>
      </w:r>
    </w:p>
  </w:footnote>
  <w:footnote w:id="109">
    <w:p w14:paraId="2743C9EC" w14:textId="21A0F045" w:rsidR="008C0AEC" w:rsidRDefault="008C0AEC">
      <w:pPr>
        <w:pStyle w:val="FootnoteText"/>
      </w:pPr>
      <w:r>
        <w:rPr>
          <w:rStyle w:val="FootnoteReference"/>
        </w:rPr>
        <w:footnoteRef/>
      </w:r>
      <w:r>
        <w:t xml:space="preserve"> 2025 ACR at 18.</w:t>
      </w:r>
    </w:p>
  </w:footnote>
  <w:footnote w:id="110">
    <w:p w14:paraId="2D7E0A25" w14:textId="63443288" w:rsidR="006A48E6" w:rsidRDefault="006A48E6">
      <w:pPr>
        <w:pStyle w:val="FootnoteText"/>
      </w:pPr>
      <w:r>
        <w:rPr>
          <w:rStyle w:val="FootnoteReference"/>
        </w:rPr>
        <w:footnoteRef/>
      </w:r>
      <w:r>
        <w:t xml:space="preserve"> 2025 ACR at 27.</w:t>
      </w:r>
    </w:p>
  </w:footnote>
  <w:footnote w:id="111">
    <w:p w14:paraId="1D7359D6" w14:textId="305500E7" w:rsidR="00292F75" w:rsidRDefault="00292F75">
      <w:pPr>
        <w:pStyle w:val="FootnoteText"/>
      </w:pPr>
      <w:r>
        <w:rPr>
          <w:rStyle w:val="FootnoteReference"/>
        </w:rPr>
        <w:footnoteRef/>
      </w:r>
      <w:r>
        <w:t xml:space="preserve"> 2025 ACR at 28.</w:t>
      </w:r>
    </w:p>
  </w:footnote>
  <w:footnote w:id="112">
    <w:p w14:paraId="62B577E4" w14:textId="0E518016" w:rsidR="00EA4974" w:rsidRDefault="00EA4974">
      <w:pPr>
        <w:pStyle w:val="FootnoteText"/>
      </w:pPr>
      <w:r>
        <w:rPr>
          <w:rStyle w:val="FootnoteReference"/>
        </w:rPr>
        <w:footnoteRef/>
      </w:r>
      <w:r>
        <w:t xml:space="preserve"> 2025 ACR at 28, fn.35.</w:t>
      </w:r>
    </w:p>
  </w:footnote>
  <w:footnote w:id="113">
    <w:p w14:paraId="21C9BF92" w14:textId="4A536FA9" w:rsidR="007E0D54" w:rsidRDefault="007E0D54">
      <w:pPr>
        <w:pStyle w:val="FootnoteText"/>
      </w:pPr>
      <w:r>
        <w:rPr>
          <w:rStyle w:val="FootnoteReference"/>
        </w:rPr>
        <w:footnoteRef/>
      </w:r>
      <w:r>
        <w:t xml:space="preserve"> 2025 ACR at</w:t>
      </w:r>
      <w:r w:rsidR="004D26E2">
        <w:t xml:space="preserve"> 10.</w:t>
      </w:r>
    </w:p>
  </w:footnote>
  <w:footnote w:id="114">
    <w:p w14:paraId="00661F00" w14:textId="4ED020EC" w:rsidR="000215D2" w:rsidRDefault="000215D2" w:rsidP="000215D2">
      <w:pPr>
        <w:pStyle w:val="FootnoteText"/>
      </w:pPr>
      <w:r>
        <w:rPr>
          <w:rStyle w:val="FootnoteReference"/>
        </w:rPr>
        <w:footnoteRef/>
      </w:r>
      <w:r>
        <w:t xml:space="preserve"> </w:t>
      </w:r>
      <w:r w:rsidR="00DA6578">
        <w:t>Shell E</w:t>
      </w:r>
      <w:r>
        <w:t xml:space="preserve">nergy Draft </w:t>
      </w:r>
      <w:r w:rsidR="00950E04">
        <w:t>2025 RPS</w:t>
      </w:r>
      <w:r>
        <w:t xml:space="preserve"> Plan at 42.</w:t>
      </w:r>
    </w:p>
  </w:footnote>
  <w:footnote w:id="115">
    <w:p w14:paraId="71C3CD06" w14:textId="77777777" w:rsidR="00981AD7" w:rsidRDefault="00981AD7" w:rsidP="00981AD7">
      <w:pPr>
        <w:pStyle w:val="FootnoteText"/>
      </w:pPr>
      <w:r>
        <w:rPr>
          <w:rStyle w:val="FootnoteReference"/>
        </w:rPr>
        <w:footnoteRef/>
      </w:r>
      <w:r>
        <w:t xml:space="preserve"> 2025 ACR at 10.</w:t>
      </w:r>
    </w:p>
  </w:footnote>
  <w:footnote w:id="116">
    <w:p w14:paraId="7BB8E87F" w14:textId="7DEF8194" w:rsidR="00023C1E" w:rsidRDefault="00023C1E">
      <w:pPr>
        <w:pStyle w:val="FootnoteText"/>
      </w:pPr>
      <w:r>
        <w:rPr>
          <w:rStyle w:val="FootnoteReference"/>
        </w:rPr>
        <w:footnoteRef/>
      </w:r>
      <w:r>
        <w:t xml:space="preserve"> 2025 ACR at 10.</w:t>
      </w:r>
    </w:p>
  </w:footnote>
  <w:footnote w:id="117">
    <w:p w14:paraId="4BC685E9" w14:textId="0E3004B0" w:rsidR="001F6FCC" w:rsidRDefault="001F6FCC">
      <w:pPr>
        <w:pStyle w:val="FootnoteText"/>
      </w:pPr>
      <w:r>
        <w:rPr>
          <w:rStyle w:val="FootnoteReference"/>
        </w:rPr>
        <w:footnoteRef/>
      </w:r>
      <w:r>
        <w:t xml:space="preserve"> </w:t>
      </w:r>
      <w:r w:rsidR="000C5099">
        <w:t>Cal Advoc</w:t>
      </w:r>
      <w:r w:rsidR="003C2331">
        <w:t xml:space="preserve">ates Motion, </w:t>
      </w:r>
      <w:r w:rsidR="00CD5830">
        <w:t>July </w:t>
      </w:r>
      <w:r w:rsidR="003C2331">
        <w:t>28, 2025, at 1, referencing PG&amp;E</w:t>
      </w:r>
      <w:r w:rsidR="005A00BE">
        <w:t>’</w:t>
      </w:r>
      <w:r w:rsidR="003C2331">
        <w:t>s and SCE</w:t>
      </w:r>
      <w:r w:rsidR="005A00BE">
        <w:t>’</w:t>
      </w:r>
      <w:r w:rsidR="003C2331">
        <w:t xml:space="preserve">s </w:t>
      </w:r>
      <w:r w:rsidR="00CD70BD">
        <w:t>Motions for</w:t>
      </w:r>
      <w:r w:rsidR="003C2331">
        <w:t xml:space="preserve"> Leave to File the Confidential Material in their Draft </w:t>
      </w:r>
      <w:r w:rsidR="00950E04">
        <w:t>2025 RPS</w:t>
      </w:r>
      <w:r w:rsidR="003C2331">
        <w:t xml:space="preserve"> Plans.</w:t>
      </w:r>
    </w:p>
  </w:footnote>
  <w:footnote w:id="118">
    <w:p w14:paraId="4644D280" w14:textId="2DFC54F2" w:rsidR="003C2331" w:rsidRDefault="003C2331">
      <w:pPr>
        <w:pStyle w:val="FootnoteText"/>
      </w:pPr>
      <w:r>
        <w:rPr>
          <w:rStyle w:val="FootnoteReference"/>
        </w:rPr>
        <w:footnoteRef/>
      </w:r>
      <w:r>
        <w:t xml:space="preserve"> </w:t>
      </w:r>
      <w:r w:rsidR="000C5099">
        <w:t>Cal Advoc</w:t>
      </w:r>
      <w:r w:rsidRPr="003C2331">
        <w:t xml:space="preserve">ates Motion, </w:t>
      </w:r>
      <w:r w:rsidR="00CD5830">
        <w:t>July </w:t>
      </w:r>
      <w:r w:rsidRPr="003C2331">
        <w:t xml:space="preserve">28, 2025, at </w:t>
      </w:r>
      <w:r>
        <w:t>2.</w:t>
      </w:r>
    </w:p>
  </w:footnote>
  <w:footnote w:id="119">
    <w:p w14:paraId="60ED4A8A" w14:textId="76255ADC" w:rsidR="00C45A09" w:rsidRDefault="00C45A09" w:rsidP="00C45A09">
      <w:pPr>
        <w:pStyle w:val="FootnoteText"/>
      </w:pPr>
      <w:r>
        <w:rPr>
          <w:rStyle w:val="FootnoteReference"/>
        </w:rPr>
        <w:footnoteRef/>
      </w:r>
      <w:r>
        <w:t xml:space="preserve"> Joint CCAs Reply Comments, December</w:t>
      </w:r>
      <w:r w:rsidR="005A034E">
        <w:t> </w:t>
      </w:r>
      <w:r>
        <w:t>9, 2025, at 2.</w:t>
      </w:r>
    </w:p>
  </w:footnote>
  <w:footnote w:id="120">
    <w:p w14:paraId="4EA164DF" w14:textId="507275CC" w:rsidR="00FF05E4" w:rsidRDefault="00FF05E4">
      <w:pPr>
        <w:pStyle w:val="FootnoteText"/>
      </w:pPr>
      <w:r>
        <w:rPr>
          <w:rStyle w:val="FootnoteReference"/>
        </w:rPr>
        <w:footnoteRef/>
      </w:r>
      <w:r>
        <w:t xml:space="preserve"> </w:t>
      </w:r>
      <w:r w:rsidRPr="005A034E">
        <w:rPr>
          <w:i/>
          <w:iCs/>
        </w:rPr>
        <w:t>See</w:t>
      </w:r>
      <w:r>
        <w:t xml:space="preserve"> Section</w:t>
      </w:r>
      <w:r w:rsidR="005A034E">
        <w:t> </w:t>
      </w:r>
      <w:r>
        <w:t>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28DC" w14:textId="06A0A8F3" w:rsidR="008E2C2A" w:rsidRPr="008E2C2A" w:rsidRDefault="008E2C2A" w:rsidP="00102098">
    <w:pPr>
      <w:pStyle w:val="Header"/>
      <w:tabs>
        <w:tab w:val="clear" w:pos="4680"/>
      </w:tabs>
      <w:ind w:firstLine="0"/>
    </w:pPr>
    <w:r w:rsidRPr="008E2C2A">
      <w:t>R</w:t>
    </w:r>
    <w:r>
      <w:t>.</w:t>
    </w:r>
    <w:r w:rsidRPr="008E2C2A">
      <w:t>24</w:t>
    </w:r>
    <w:r w:rsidR="00E54574">
      <w:noBreakHyphen/>
    </w:r>
    <w:r w:rsidRPr="008E2C2A">
      <w:t>01</w:t>
    </w:r>
    <w:r w:rsidR="00E54574">
      <w:noBreakHyphen/>
    </w:r>
    <w:r w:rsidRPr="008E2C2A">
      <w:t xml:space="preserve">017 </w:t>
    </w:r>
    <w:r>
      <w:t xml:space="preserve"> ALJ/NIL/nd3</w:t>
    </w:r>
    <w:r w:rsidRPr="008E2C2A">
      <w:tab/>
      <w:t>PROPOSED DECISION</w:t>
    </w:r>
    <w:r w:rsidR="006C421A">
      <w:t xml:space="preserve"> </w:t>
    </w:r>
    <w:r w:rsidR="006C421A" w:rsidRPr="006C421A">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5D63" w14:textId="77777777" w:rsidR="00C72021" w:rsidRPr="00102098" w:rsidRDefault="00C72021" w:rsidP="00102098">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010F9"/>
    <w:multiLevelType w:val="hybridMultilevel"/>
    <w:tmpl w:val="1A860166"/>
    <w:lvl w:ilvl="0" w:tplc="2B7C8544">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4924E65"/>
    <w:multiLevelType w:val="hybridMultilevel"/>
    <w:tmpl w:val="B680C5B4"/>
    <w:lvl w:ilvl="0" w:tplc="FFFFFFFF">
      <w:start w:val="1"/>
      <w:numFmt w:val="decimal"/>
      <w:lvlText w:val="%1."/>
      <w:lvlJc w:val="left"/>
      <w:pPr>
        <w:ind w:left="126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5F056CB"/>
    <w:multiLevelType w:val="multilevel"/>
    <w:tmpl w:val="18F4A5AC"/>
    <w:numStyleLink w:val="FoFCoLOP"/>
  </w:abstractNum>
  <w:abstractNum w:abstractNumId="5" w15:restartNumberingAfterBreak="0">
    <w:nsid w:val="16C65EEF"/>
    <w:multiLevelType w:val="hybridMultilevel"/>
    <w:tmpl w:val="550631CC"/>
    <w:lvl w:ilvl="0" w:tplc="2B7C85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AC2C0F"/>
    <w:multiLevelType w:val="multilevel"/>
    <w:tmpl w:val="EB628E08"/>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lvlText w:val="%3."/>
      <w:lvlJc w:val="left"/>
      <w:pPr>
        <w:ind w:left="1080" w:hanging="360"/>
      </w:pPr>
    </w:lvl>
    <w:lvl w:ilvl="3">
      <w:start w:val="1"/>
      <w:numFmt w:val="decimal"/>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lvlText w:val="%1.%2.%3.%4.%5."/>
      <w:lvlJc w:val="left"/>
      <w:pPr>
        <w:tabs>
          <w:tab w:val="num" w:pos="2880"/>
        </w:tabs>
        <w:ind w:left="2880" w:hanging="1440"/>
      </w:pPr>
      <w:rPr>
        <w:rFonts w:ascii="Arial" w:hAnsi="Arial" w:cs="Times New Roman" w:hint="default"/>
        <w:b/>
        <w:i w:val="0"/>
        <w:sz w:val="26"/>
      </w:rPr>
    </w:lvl>
    <w:lvl w:ilvl="5">
      <w:start w:val="1"/>
      <w:numFmt w:val="decimal"/>
      <w:lvlText w:val="%1.%2.%3.%4.%5.%6."/>
      <w:lvlJc w:val="left"/>
      <w:pPr>
        <w:tabs>
          <w:tab w:val="num" w:pos="3528"/>
        </w:tabs>
        <w:ind w:left="3528" w:hanging="1728"/>
      </w:pPr>
      <w:rPr>
        <w:rFonts w:ascii="Arial" w:hAnsi="Arial" w:cs="Times New Roman"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1FB58FE"/>
    <w:multiLevelType w:val="multilevel"/>
    <w:tmpl w:val="3C526EDE"/>
    <w:numStyleLink w:val="Headings"/>
  </w:abstractNum>
  <w:abstractNum w:abstractNumId="11" w15:restartNumberingAfterBreak="0">
    <w:nsid w:val="22666A45"/>
    <w:multiLevelType w:val="hybridMultilevel"/>
    <w:tmpl w:val="9E4C419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49AC09EA"/>
    <w:multiLevelType w:val="multilevel"/>
    <w:tmpl w:val="6052AC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3C6021"/>
    <w:multiLevelType w:val="hybridMultilevel"/>
    <w:tmpl w:val="9E4C4190"/>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3C526EDE"/>
    <w:numStyleLink w:val="Headings"/>
  </w:abstractNum>
  <w:abstractNum w:abstractNumId="20" w15:restartNumberingAfterBreak="0">
    <w:nsid w:val="61A25780"/>
    <w:multiLevelType w:val="multilevel"/>
    <w:tmpl w:val="A00A1DA2"/>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1" w15:restartNumberingAfterBreak="0">
    <w:nsid w:val="6D355657"/>
    <w:multiLevelType w:val="hybridMultilevel"/>
    <w:tmpl w:val="EC7632D8"/>
    <w:lvl w:ilvl="0" w:tplc="70386CEA">
      <w:start w:val="1"/>
      <w:numFmt w:val="decimal"/>
      <w:lvlText w:val="%1)"/>
      <w:lvlJc w:val="left"/>
      <w:pPr>
        <w:ind w:left="351" w:hanging="36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22" w15:restartNumberingAfterBreak="0">
    <w:nsid w:val="6E8647EA"/>
    <w:multiLevelType w:val="hybridMultilevel"/>
    <w:tmpl w:val="81529F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9A0AFE"/>
    <w:multiLevelType w:val="multilevel"/>
    <w:tmpl w:val="18F4A5AC"/>
    <w:numStyleLink w:val="FoFCoLOP"/>
  </w:abstractNum>
  <w:abstractNum w:abstractNumId="25" w15:restartNumberingAfterBreak="0">
    <w:nsid w:val="7C9BF919"/>
    <w:multiLevelType w:val="hybridMultilevel"/>
    <w:tmpl w:val="FCB8DC3C"/>
    <w:lvl w:ilvl="0" w:tplc="9E664B54">
      <w:start w:val="1"/>
      <w:numFmt w:val="bullet"/>
      <w:lvlText w:val=""/>
      <w:lvlJc w:val="left"/>
      <w:pPr>
        <w:ind w:left="720" w:hanging="360"/>
      </w:pPr>
      <w:rPr>
        <w:rFonts w:ascii="Symbol" w:hAnsi="Symbol" w:hint="default"/>
      </w:rPr>
    </w:lvl>
    <w:lvl w:ilvl="1" w:tplc="31DC55FE">
      <w:start w:val="1"/>
      <w:numFmt w:val="bullet"/>
      <w:lvlText w:val="o"/>
      <w:lvlJc w:val="left"/>
      <w:pPr>
        <w:ind w:left="1440" w:hanging="360"/>
      </w:pPr>
      <w:rPr>
        <w:rFonts w:ascii="Courier New" w:hAnsi="Courier New" w:hint="default"/>
      </w:rPr>
    </w:lvl>
    <w:lvl w:ilvl="2" w:tplc="4976BEDA">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8AC1AF6">
      <w:start w:val="1"/>
      <w:numFmt w:val="bullet"/>
      <w:lvlText w:val="o"/>
      <w:lvlJc w:val="left"/>
      <w:pPr>
        <w:ind w:left="3600" w:hanging="360"/>
      </w:pPr>
      <w:rPr>
        <w:rFonts w:ascii="Courier New" w:hAnsi="Courier New" w:hint="default"/>
      </w:rPr>
    </w:lvl>
    <w:lvl w:ilvl="5" w:tplc="B718A70E">
      <w:start w:val="1"/>
      <w:numFmt w:val="bullet"/>
      <w:lvlText w:val=""/>
      <w:lvlJc w:val="left"/>
      <w:pPr>
        <w:ind w:left="4320" w:hanging="360"/>
      </w:pPr>
      <w:rPr>
        <w:rFonts w:ascii="Wingdings" w:hAnsi="Wingdings" w:hint="default"/>
      </w:rPr>
    </w:lvl>
    <w:lvl w:ilvl="6" w:tplc="7654D434">
      <w:start w:val="1"/>
      <w:numFmt w:val="bullet"/>
      <w:lvlText w:val=""/>
      <w:lvlJc w:val="left"/>
      <w:pPr>
        <w:ind w:left="5040" w:hanging="360"/>
      </w:pPr>
      <w:rPr>
        <w:rFonts w:ascii="Symbol" w:hAnsi="Symbol" w:hint="default"/>
      </w:rPr>
    </w:lvl>
    <w:lvl w:ilvl="7" w:tplc="50B0EDEA">
      <w:start w:val="1"/>
      <w:numFmt w:val="bullet"/>
      <w:lvlText w:val="o"/>
      <w:lvlJc w:val="left"/>
      <w:pPr>
        <w:ind w:left="5760" w:hanging="360"/>
      </w:pPr>
      <w:rPr>
        <w:rFonts w:ascii="Courier New" w:hAnsi="Courier New" w:hint="default"/>
      </w:rPr>
    </w:lvl>
    <w:lvl w:ilvl="8" w:tplc="A92A37DE">
      <w:start w:val="1"/>
      <w:numFmt w:val="bullet"/>
      <w:lvlText w:val=""/>
      <w:lvlJc w:val="left"/>
      <w:pPr>
        <w:ind w:left="6480" w:hanging="360"/>
      </w:pPr>
      <w:rPr>
        <w:rFonts w:ascii="Wingdings" w:hAnsi="Wingdings" w:hint="default"/>
      </w:rPr>
    </w:lvl>
  </w:abstractNum>
  <w:num w:numId="1" w16cid:durableId="1354526949">
    <w:abstractNumId w:val="19"/>
  </w:num>
  <w:num w:numId="2" w16cid:durableId="140774137">
    <w:abstractNumId w:val="2"/>
  </w:num>
  <w:num w:numId="3" w16cid:durableId="1898543446">
    <w:abstractNumId w:val="18"/>
  </w:num>
  <w:num w:numId="4" w16cid:durableId="701521005">
    <w:abstractNumId w:val="4"/>
  </w:num>
  <w:num w:numId="5" w16cid:durableId="2017029027">
    <w:abstractNumId w:val="24"/>
  </w:num>
  <w:num w:numId="6" w16cid:durableId="973756952">
    <w:abstractNumId w:val="14"/>
  </w:num>
  <w:num w:numId="7" w16cid:durableId="827667741">
    <w:abstractNumId w:val="9"/>
  </w:num>
  <w:num w:numId="8" w16cid:durableId="1760327020">
    <w:abstractNumId w:val="23"/>
  </w:num>
  <w:num w:numId="9" w16cid:durableId="816924040">
    <w:abstractNumId w:val="0"/>
  </w:num>
  <w:num w:numId="10" w16cid:durableId="1817916489">
    <w:abstractNumId w:val="8"/>
  </w:num>
  <w:num w:numId="11" w16cid:durableId="291985460">
    <w:abstractNumId w:val="10"/>
  </w:num>
  <w:num w:numId="12" w16cid:durableId="467941983">
    <w:abstractNumId w:val="7"/>
  </w:num>
  <w:num w:numId="13" w16cid:durableId="712996464">
    <w:abstractNumId w:val="12"/>
  </w:num>
  <w:num w:numId="14" w16cid:durableId="1303778653">
    <w:abstractNumId w:val="13"/>
  </w:num>
  <w:num w:numId="15" w16cid:durableId="1714382259">
    <w:abstractNumId w:val="20"/>
  </w:num>
  <w:num w:numId="16" w16cid:durableId="548107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0"/>
  </w:num>
  <w:num w:numId="18" w16cid:durableId="1685783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3001086">
    <w:abstractNumId w:val="11"/>
  </w:num>
  <w:num w:numId="20" w16cid:durableId="2046707704">
    <w:abstractNumId w:val="3"/>
  </w:num>
  <w:num w:numId="21" w16cid:durableId="695159628">
    <w:abstractNumId w:val="25"/>
  </w:num>
  <w:num w:numId="22" w16cid:durableId="1626741678">
    <w:abstractNumId w:val="5"/>
  </w:num>
  <w:num w:numId="23" w16cid:durableId="1195116896">
    <w:abstractNumId w:val="15"/>
  </w:num>
  <w:num w:numId="24" w16cid:durableId="363677595">
    <w:abstractNumId w:val="22"/>
  </w:num>
  <w:num w:numId="25" w16cid:durableId="1664577345">
    <w:abstractNumId w:val="1"/>
  </w:num>
  <w:num w:numId="26" w16cid:durableId="633369508">
    <w:abstractNumId w:val="21"/>
  </w:num>
  <w:num w:numId="27" w16cid:durableId="1676691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1382665">
    <w:abstractNumId w:val="17"/>
  </w:num>
  <w:num w:numId="29" w16cid:durableId="7411004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06"/>
    <w:rsid w:val="00000F6A"/>
    <w:rsid w:val="0000254D"/>
    <w:rsid w:val="00002C2D"/>
    <w:rsid w:val="0000396F"/>
    <w:rsid w:val="000045BF"/>
    <w:rsid w:val="00007B5A"/>
    <w:rsid w:val="00017054"/>
    <w:rsid w:val="000215AF"/>
    <w:rsid w:val="000215D2"/>
    <w:rsid w:val="00022402"/>
    <w:rsid w:val="00022A40"/>
    <w:rsid w:val="00023C1E"/>
    <w:rsid w:val="000260B6"/>
    <w:rsid w:val="00026D83"/>
    <w:rsid w:val="00026DCB"/>
    <w:rsid w:val="00027BA8"/>
    <w:rsid w:val="000306F4"/>
    <w:rsid w:val="000309E8"/>
    <w:rsid w:val="000315F0"/>
    <w:rsid w:val="00031684"/>
    <w:rsid w:val="0003242A"/>
    <w:rsid w:val="00033334"/>
    <w:rsid w:val="00035C9E"/>
    <w:rsid w:val="00036EAF"/>
    <w:rsid w:val="00040206"/>
    <w:rsid w:val="00044BF1"/>
    <w:rsid w:val="00044FD9"/>
    <w:rsid w:val="000476E2"/>
    <w:rsid w:val="000517B2"/>
    <w:rsid w:val="00055142"/>
    <w:rsid w:val="00056330"/>
    <w:rsid w:val="00056C30"/>
    <w:rsid w:val="0005760D"/>
    <w:rsid w:val="00064F1F"/>
    <w:rsid w:val="00065551"/>
    <w:rsid w:val="00070362"/>
    <w:rsid w:val="00070DE1"/>
    <w:rsid w:val="0007115A"/>
    <w:rsid w:val="00071400"/>
    <w:rsid w:val="00071768"/>
    <w:rsid w:val="00073F08"/>
    <w:rsid w:val="00073F34"/>
    <w:rsid w:val="00075AF3"/>
    <w:rsid w:val="00075F84"/>
    <w:rsid w:val="00077C22"/>
    <w:rsid w:val="0008177D"/>
    <w:rsid w:val="000819F4"/>
    <w:rsid w:val="00083877"/>
    <w:rsid w:val="0008560D"/>
    <w:rsid w:val="0009045E"/>
    <w:rsid w:val="00090A81"/>
    <w:rsid w:val="0009300D"/>
    <w:rsid w:val="00093886"/>
    <w:rsid w:val="00094162"/>
    <w:rsid w:val="0009452B"/>
    <w:rsid w:val="000973C8"/>
    <w:rsid w:val="000A1A0A"/>
    <w:rsid w:val="000A2AA9"/>
    <w:rsid w:val="000A3DD0"/>
    <w:rsid w:val="000A56F2"/>
    <w:rsid w:val="000A676B"/>
    <w:rsid w:val="000A6E05"/>
    <w:rsid w:val="000A7B89"/>
    <w:rsid w:val="000B06B7"/>
    <w:rsid w:val="000B0835"/>
    <w:rsid w:val="000B12FA"/>
    <w:rsid w:val="000B22DE"/>
    <w:rsid w:val="000B2B5F"/>
    <w:rsid w:val="000B50C0"/>
    <w:rsid w:val="000B5108"/>
    <w:rsid w:val="000B51A1"/>
    <w:rsid w:val="000B5C26"/>
    <w:rsid w:val="000B6415"/>
    <w:rsid w:val="000B6615"/>
    <w:rsid w:val="000B770E"/>
    <w:rsid w:val="000C08BF"/>
    <w:rsid w:val="000C3A0E"/>
    <w:rsid w:val="000C3B9A"/>
    <w:rsid w:val="000C3C42"/>
    <w:rsid w:val="000C4A74"/>
    <w:rsid w:val="000C4D9B"/>
    <w:rsid w:val="000C5099"/>
    <w:rsid w:val="000C53E0"/>
    <w:rsid w:val="000C641E"/>
    <w:rsid w:val="000C722D"/>
    <w:rsid w:val="000D0130"/>
    <w:rsid w:val="000D01F7"/>
    <w:rsid w:val="000D08B0"/>
    <w:rsid w:val="000D1A63"/>
    <w:rsid w:val="000D25A8"/>
    <w:rsid w:val="000D3382"/>
    <w:rsid w:val="000D484E"/>
    <w:rsid w:val="000D4FA1"/>
    <w:rsid w:val="000D64DD"/>
    <w:rsid w:val="000E270A"/>
    <w:rsid w:val="000E47E4"/>
    <w:rsid w:val="000E4C53"/>
    <w:rsid w:val="000E4E8B"/>
    <w:rsid w:val="000E682E"/>
    <w:rsid w:val="000F1184"/>
    <w:rsid w:val="000F1951"/>
    <w:rsid w:val="000F1B22"/>
    <w:rsid w:val="000F2CD3"/>
    <w:rsid w:val="000F2FC4"/>
    <w:rsid w:val="000F349C"/>
    <w:rsid w:val="000F48C6"/>
    <w:rsid w:val="000F5BA3"/>
    <w:rsid w:val="000F6C9B"/>
    <w:rsid w:val="000F7A2B"/>
    <w:rsid w:val="00100E53"/>
    <w:rsid w:val="0010191F"/>
    <w:rsid w:val="00101D55"/>
    <w:rsid w:val="00102098"/>
    <w:rsid w:val="0010279C"/>
    <w:rsid w:val="00102F90"/>
    <w:rsid w:val="00102FB8"/>
    <w:rsid w:val="0010358C"/>
    <w:rsid w:val="00107C17"/>
    <w:rsid w:val="0011005B"/>
    <w:rsid w:val="001104A8"/>
    <w:rsid w:val="00111F73"/>
    <w:rsid w:val="0011334B"/>
    <w:rsid w:val="00113511"/>
    <w:rsid w:val="00121089"/>
    <w:rsid w:val="00124420"/>
    <w:rsid w:val="001262CB"/>
    <w:rsid w:val="001267DA"/>
    <w:rsid w:val="00126EB1"/>
    <w:rsid w:val="001301F4"/>
    <w:rsid w:val="001310B6"/>
    <w:rsid w:val="00134157"/>
    <w:rsid w:val="001356C4"/>
    <w:rsid w:val="00137BF5"/>
    <w:rsid w:val="00141154"/>
    <w:rsid w:val="00141315"/>
    <w:rsid w:val="00141A08"/>
    <w:rsid w:val="00143B78"/>
    <w:rsid w:val="00151881"/>
    <w:rsid w:val="001523B9"/>
    <w:rsid w:val="001526DA"/>
    <w:rsid w:val="00152B2A"/>
    <w:rsid w:val="001544B5"/>
    <w:rsid w:val="00154D7B"/>
    <w:rsid w:val="001558AF"/>
    <w:rsid w:val="00156838"/>
    <w:rsid w:val="00156F6C"/>
    <w:rsid w:val="00157E3A"/>
    <w:rsid w:val="0016069C"/>
    <w:rsid w:val="001669B2"/>
    <w:rsid w:val="00166B7B"/>
    <w:rsid w:val="00171975"/>
    <w:rsid w:val="001736C7"/>
    <w:rsid w:val="001738CB"/>
    <w:rsid w:val="001772A0"/>
    <w:rsid w:val="00177FF7"/>
    <w:rsid w:val="00181F06"/>
    <w:rsid w:val="00182658"/>
    <w:rsid w:val="00184A8F"/>
    <w:rsid w:val="00185064"/>
    <w:rsid w:val="00187651"/>
    <w:rsid w:val="0019091E"/>
    <w:rsid w:val="00192667"/>
    <w:rsid w:val="001933EC"/>
    <w:rsid w:val="001A110F"/>
    <w:rsid w:val="001A2A85"/>
    <w:rsid w:val="001A5369"/>
    <w:rsid w:val="001A7E18"/>
    <w:rsid w:val="001B006A"/>
    <w:rsid w:val="001B183C"/>
    <w:rsid w:val="001B186E"/>
    <w:rsid w:val="001B39CF"/>
    <w:rsid w:val="001B3F31"/>
    <w:rsid w:val="001B4092"/>
    <w:rsid w:val="001B482B"/>
    <w:rsid w:val="001B517E"/>
    <w:rsid w:val="001B5C65"/>
    <w:rsid w:val="001C1B26"/>
    <w:rsid w:val="001C25EC"/>
    <w:rsid w:val="001C363F"/>
    <w:rsid w:val="001C39E5"/>
    <w:rsid w:val="001C4D24"/>
    <w:rsid w:val="001C60FB"/>
    <w:rsid w:val="001C6321"/>
    <w:rsid w:val="001C7186"/>
    <w:rsid w:val="001C776A"/>
    <w:rsid w:val="001D07D5"/>
    <w:rsid w:val="001D1FDD"/>
    <w:rsid w:val="001D26BB"/>
    <w:rsid w:val="001D3A72"/>
    <w:rsid w:val="001D52E2"/>
    <w:rsid w:val="001D61FC"/>
    <w:rsid w:val="001E1468"/>
    <w:rsid w:val="001E2A62"/>
    <w:rsid w:val="001E2DCB"/>
    <w:rsid w:val="001E305F"/>
    <w:rsid w:val="001E30DD"/>
    <w:rsid w:val="001E4266"/>
    <w:rsid w:val="001E6351"/>
    <w:rsid w:val="001F09D0"/>
    <w:rsid w:val="001F2819"/>
    <w:rsid w:val="001F3196"/>
    <w:rsid w:val="001F371C"/>
    <w:rsid w:val="001F51E6"/>
    <w:rsid w:val="001F5768"/>
    <w:rsid w:val="001F5A6D"/>
    <w:rsid w:val="001F5CC5"/>
    <w:rsid w:val="001F60B2"/>
    <w:rsid w:val="001F62B3"/>
    <w:rsid w:val="001F6FB3"/>
    <w:rsid w:val="001F6FCC"/>
    <w:rsid w:val="001F7654"/>
    <w:rsid w:val="00201270"/>
    <w:rsid w:val="00203CC0"/>
    <w:rsid w:val="002043EC"/>
    <w:rsid w:val="00204E2D"/>
    <w:rsid w:val="002064A9"/>
    <w:rsid w:val="00207595"/>
    <w:rsid w:val="00214826"/>
    <w:rsid w:val="002149A2"/>
    <w:rsid w:val="0022083E"/>
    <w:rsid w:val="00220BE6"/>
    <w:rsid w:val="00220FCE"/>
    <w:rsid w:val="00221164"/>
    <w:rsid w:val="00221628"/>
    <w:rsid w:val="00221C5A"/>
    <w:rsid w:val="00225A01"/>
    <w:rsid w:val="00225CEE"/>
    <w:rsid w:val="00225F62"/>
    <w:rsid w:val="002273E0"/>
    <w:rsid w:val="0022746F"/>
    <w:rsid w:val="00227933"/>
    <w:rsid w:val="0023111D"/>
    <w:rsid w:val="00232A01"/>
    <w:rsid w:val="002348FD"/>
    <w:rsid w:val="00235330"/>
    <w:rsid w:val="002367ED"/>
    <w:rsid w:val="00237124"/>
    <w:rsid w:val="00237376"/>
    <w:rsid w:val="00240744"/>
    <w:rsid w:val="00240BB2"/>
    <w:rsid w:val="002438DC"/>
    <w:rsid w:val="00243D6F"/>
    <w:rsid w:val="00243DC0"/>
    <w:rsid w:val="002464FE"/>
    <w:rsid w:val="0024704C"/>
    <w:rsid w:val="00247477"/>
    <w:rsid w:val="00247496"/>
    <w:rsid w:val="00251059"/>
    <w:rsid w:val="002536C2"/>
    <w:rsid w:val="002571BD"/>
    <w:rsid w:val="00257709"/>
    <w:rsid w:val="0026254E"/>
    <w:rsid w:val="00262706"/>
    <w:rsid w:val="00264184"/>
    <w:rsid w:val="0026464F"/>
    <w:rsid w:val="00265BED"/>
    <w:rsid w:val="00270440"/>
    <w:rsid w:val="002705D5"/>
    <w:rsid w:val="002706F7"/>
    <w:rsid w:val="002713E7"/>
    <w:rsid w:val="00272CC1"/>
    <w:rsid w:val="00273046"/>
    <w:rsid w:val="00273FB5"/>
    <w:rsid w:val="002741D7"/>
    <w:rsid w:val="002759FB"/>
    <w:rsid w:val="0027670F"/>
    <w:rsid w:val="0027753D"/>
    <w:rsid w:val="0028025A"/>
    <w:rsid w:val="0028274E"/>
    <w:rsid w:val="00283180"/>
    <w:rsid w:val="0028359D"/>
    <w:rsid w:val="00284033"/>
    <w:rsid w:val="0028429E"/>
    <w:rsid w:val="00284D8D"/>
    <w:rsid w:val="002864E5"/>
    <w:rsid w:val="00287BC5"/>
    <w:rsid w:val="002902AE"/>
    <w:rsid w:val="002908F0"/>
    <w:rsid w:val="00290FF7"/>
    <w:rsid w:val="00292F75"/>
    <w:rsid w:val="002935E7"/>
    <w:rsid w:val="00293DEE"/>
    <w:rsid w:val="002958FA"/>
    <w:rsid w:val="00296A6C"/>
    <w:rsid w:val="002A03CD"/>
    <w:rsid w:val="002A0B5D"/>
    <w:rsid w:val="002A1BD3"/>
    <w:rsid w:val="002A1E71"/>
    <w:rsid w:val="002A3F97"/>
    <w:rsid w:val="002A45BB"/>
    <w:rsid w:val="002A463C"/>
    <w:rsid w:val="002A5AB1"/>
    <w:rsid w:val="002B0D8D"/>
    <w:rsid w:val="002B1867"/>
    <w:rsid w:val="002B1912"/>
    <w:rsid w:val="002B2351"/>
    <w:rsid w:val="002B2F08"/>
    <w:rsid w:val="002B46F5"/>
    <w:rsid w:val="002B53E0"/>
    <w:rsid w:val="002B5EF0"/>
    <w:rsid w:val="002C1C63"/>
    <w:rsid w:val="002C2334"/>
    <w:rsid w:val="002C38C4"/>
    <w:rsid w:val="002C39C2"/>
    <w:rsid w:val="002C67D7"/>
    <w:rsid w:val="002C6E08"/>
    <w:rsid w:val="002C7A8C"/>
    <w:rsid w:val="002C7FE9"/>
    <w:rsid w:val="002D0DC5"/>
    <w:rsid w:val="002D1F3D"/>
    <w:rsid w:val="002D2FA8"/>
    <w:rsid w:val="002D4806"/>
    <w:rsid w:val="002D4EFD"/>
    <w:rsid w:val="002E1121"/>
    <w:rsid w:val="002E126D"/>
    <w:rsid w:val="002E18E6"/>
    <w:rsid w:val="002E219E"/>
    <w:rsid w:val="002E2587"/>
    <w:rsid w:val="002E26E9"/>
    <w:rsid w:val="002E346E"/>
    <w:rsid w:val="002E6163"/>
    <w:rsid w:val="002E710B"/>
    <w:rsid w:val="002E7EA3"/>
    <w:rsid w:val="002F7948"/>
    <w:rsid w:val="00301C6A"/>
    <w:rsid w:val="0030474D"/>
    <w:rsid w:val="00313BF6"/>
    <w:rsid w:val="00313D31"/>
    <w:rsid w:val="00314841"/>
    <w:rsid w:val="00315A97"/>
    <w:rsid w:val="00316071"/>
    <w:rsid w:val="00316C00"/>
    <w:rsid w:val="003172AD"/>
    <w:rsid w:val="00317A90"/>
    <w:rsid w:val="00324010"/>
    <w:rsid w:val="003257E3"/>
    <w:rsid w:val="003265FB"/>
    <w:rsid w:val="00332804"/>
    <w:rsid w:val="003328F5"/>
    <w:rsid w:val="0033402B"/>
    <w:rsid w:val="003361A2"/>
    <w:rsid w:val="00336E1E"/>
    <w:rsid w:val="00340B56"/>
    <w:rsid w:val="00343C0B"/>
    <w:rsid w:val="00343E5C"/>
    <w:rsid w:val="00344FB8"/>
    <w:rsid w:val="00345297"/>
    <w:rsid w:val="00345E0A"/>
    <w:rsid w:val="003464C2"/>
    <w:rsid w:val="00346983"/>
    <w:rsid w:val="003479E3"/>
    <w:rsid w:val="0035207F"/>
    <w:rsid w:val="00352FD3"/>
    <w:rsid w:val="00353B5D"/>
    <w:rsid w:val="00355B03"/>
    <w:rsid w:val="0036017B"/>
    <w:rsid w:val="0036049F"/>
    <w:rsid w:val="00361BAF"/>
    <w:rsid w:val="003621CA"/>
    <w:rsid w:val="003626C9"/>
    <w:rsid w:val="00362755"/>
    <w:rsid w:val="00362D2B"/>
    <w:rsid w:val="00362DD9"/>
    <w:rsid w:val="0036392F"/>
    <w:rsid w:val="0036491D"/>
    <w:rsid w:val="00366DF8"/>
    <w:rsid w:val="003708DA"/>
    <w:rsid w:val="00370DD0"/>
    <w:rsid w:val="003712A5"/>
    <w:rsid w:val="00371401"/>
    <w:rsid w:val="00371A9C"/>
    <w:rsid w:val="00372617"/>
    <w:rsid w:val="00373B93"/>
    <w:rsid w:val="00375881"/>
    <w:rsid w:val="0037784C"/>
    <w:rsid w:val="00380CD1"/>
    <w:rsid w:val="00381170"/>
    <w:rsid w:val="003853EA"/>
    <w:rsid w:val="003900E0"/>
    <w:rsid w:val="00390890"/>
    <w:rsid w:val="003919A5"/>
    <w:rsid w:val="0039324D"/>
    <w:rsid w:val="003A02CA"/>
    <w:rsid w:val="003A1264"/>
    <w:rsid w:val="003A142D"/>
    <w:rsid w:val="003A16DE"/>
    <w:rsid w:val="003A1B6A"/>
    <w:rsid w:val="003A38F0"/>
    <w:rsid w:val="003A45F2"/>
    <w:rsid w:val="003A57FF"/>
    <w:rsid w:val="003B0F05"/>
    <w:rsid w:val="003B22D8"/>
    <w:rsid w:val="003B535D"/>
    <w:rsid w:val="003B5D05"/>
    <w:rsid w:val="003B6FBD"/>
    <w:rsid w:val="003B720F"/>
    <w:rsid w:val="003C0A97"/>
    <w:rsid w:val="003C19D1"/>
    <w:rsid w:val="003C2331"/>
    <w:rsid w:val="003C2336"/>
    <w:rsid w:val="003C3377"/>
    <w:rsid w:val="003C3BAD"/>
    <w:rsid w:val="003C48F7"/>
    <w:rsid w:val="003C4D84"/>
    <w:rsid w:val="003C58D8"/>
    <w:rsid w:val="003C7B58"/>
    <w:rsid w:val="003D0904"/>
    <w:rsid w:val="003D266D"/>
    <w:rsid w:val="003D759F"/>
    <w:rsid w:val="003D7F80"/>
    <w:rsid w:val="003E0743"/>
    <w:rsid w:val="003E0813"/>
    <w:rsid w:val="003E14E2"/>
    <w:rsid w:val="003E184E"/>
    <w:rsid w:val="003E1AF3"/>
    <w:rsid w:val="003E2950"/>
    <w:rsid w:val="003E3EA7"/>
    <w:rsid w:val="003E48FC"/>
    <w:rsid w:val="003E5454"/>
    <w:rsid w:val="003E610E"/>
    <w:rsid w:val="003E777D"/>
    <w:rsid w:val="003E785F"/>
    <w:rsid w:val="003E7A81"/>
    <w:rsid w:val="003F069A"/>
    <w:rsid w:val="003F130A"/>
    <w:rsid w:val="003F1BEA"/>
    <w:rsid w:val="003F25FA"/>
    <w:rsid w:val="003F2E2D"/>
    <w:rsid w:val="003F317F"/>
    <w:rsid w:val="003F4329"/>
    <w:rsid w:val="003F442A"/>
    <w:rsid w:val="003F4C61"/>
    <w:rsid w:val="003F5528"/>
    <w:rsid w:val="003F6A41"/>
    <w:rsid w:val="003F7530"/>
    <w:rsid w:val="004000BE"/>
    <w:rsid w:val="004000EB"/>
    <w:rsid w:val="0040129B"/>
    <w:rsid w:val="00405098"/>
    <w:rsid w:val="004057A4"/>
    <w:rsid w:val="00407ADD"/>
    <w:rsid w:val="004107BA"/>
    <w:rsid w:val="00410BA8"/>
    <w:rsid w:val="004114B7"/>
    <w:rsid w:val="00411720"/>
    <w:rsid w:val="00411F99"/>
    <w:rsid w:val="00412534"/>
    <w:rsid w:val="00412BD7"/>
    <w:rsid w:val="00412C83"/>
    <w:rsid w:val="00415339"/>
    <w:rsid w:val="00415C70"/>
    <w:rsid w:val="0042067E"/>
    <w:rsid w:val="00421809"/>
    <w:rsid w:val="0042233A"/>
    <w:rsid w:val="0042256F"/>
    <w:rsid w:val="00425679"/>
    <w:rsid w:val="00426014"/>
    <w:rsid w:val="004264FC"/>
    <w:rsid w:val="0043022F"/>
    <w:rsid w:val="00430AE0"/>
    <w:rsid w:val="00430EAB"/>
    <w:rsid w:val="00431BEB"/>
    <w:rsid w:val="00431EB8"/>
    <w:rsid w:val="00432027"/>
    <w:rsid w:val="004323F6"/>
    <w:rsid w:val="004328A6"/>
    <w:rsid w:val="00433C68"/>
    <w:rsid w:val="00434793"/>
    <w:rsid w:val="00434B39"/>
    <w:rsid w:val="00435BC7"/>
    <w:rsid w:val="00435C98"/>
    <w:rsid w:val="00435FCA"/>
    <w:rsid w:val="00437B2B"/>
    <w:rsid w:val="0044066D"/>
    <w:rsid w:val="00441422"/>
    <w:rsid w:val="00441781"/>
    <w:rsid w:val="00441899"/>
    <w:rsid w:val="004427D4"/>
    <w:rsid w:val="00442B51"/>
    <w:rsid w:val="00442FAC"/>
    <w:rsid w:val="0044617E"/>
    <w:rsid w:val="004474F6"/>
    <w:rsid w:val="00451525"/>
    <w:rsid w:val="00451C96"/>
    <w:rsid w:val="0045583A"/>
    <w:rsid w:val="004569E9"/>
    <w:rsid w:val="00456D21"/>
    <w:rsid w:val="00457106"/>
    <w:rsid w:val="0046078B"/>
    <w:rsid w:val="00460B7D"/>
    <w:rsid w:val="0046100B"/>
    <w:rsid w:val="004610EF"/>
    <w:rsid w:val="00461D45"/>
    <w:rsid w:val="004641AF"/>
    <w:rsid w:val="00467BD4"/>
    <w:rsid w:val="00470050"/>
    <w:rsid w:val="00473E79"/>
    <w:rsid w:val="00474636"/>
    <w:rsid w:val="004753BB"/>
    <w:rsid w:val="00475F94"/>
    <w:rsid w:val="0047690F"/>
    <w:rsid w:val="00477105"/>
    <w:rsid w:val="00477C47"/>
    <w:rsid w:val="00480CB0"/>
    <w:rsid w:val="004826C9"/>
    <w:rsid w:val="00483603"/>
    <w:rsid w:val="004853FE"/>
    <w:rsid w:val="0048669E"/>
    <w:rsid w:val="004872BE"/>
    <w:rsid w:val="00487459"/>
    <w:rsid w:val="00491D23"/>
    <w:rsid w:val="004933DB"/>
    <w:rsid w:val="0049419E"/>
    <w:rsid w:val="00494B96"/>
    <w:rsid w:val="004953D0"/>
    <w:rsid w:val="004A1EAD"/>
    <w:rsid w:val="004A3029"/>
    <w:rsid w:val="004A47BE"/>
    <w:rsid w:val="004A5F5A"/>
    <w:rsid w:val="004B34EA"/>
    <w:rsid w:val="004B45B5"/>
    <w:rsid w:val="004B45C0"/>
    <w:rsid w:val="004B4963"/>
    <w:rsid w:val="004B5494"/>
    <w:rsid w:val="004B66C4"/>
    <w:rsid w:val="004B792E"/>
    <w:rsid w:val="004C1072"/>
    <w:rsid w:val="004C560E"/>
    <w:rsid w:val="004C5DAF"/>
    <w:rsid w:val="004C69BF"/>
    <w:rsid w:val="004C7A2B"/>
    <w:rsid w:val="004C7D3A"/>
    <w:rsid w:val="004D24C7"/>
    <w:rsid w:val="004D26E2"/>
    <w:rsid w:val="004D34B2"/>
    <w:rsid w:val="004D4B40"/>
    <w:rsid w:val="004D5266"/>
    <w:rsid w:val="004D64E4"/>
    <w:rsid w:val="004D6A96"/>
    <w:rsid w:val="004D71F8"/>
    <w:rsid w:val="004E03D1"/>
    <w:rsid w:val="004E0CF8"/>
    <w:rsid w:val="004E1716"/>
    <w:rsid w:val="004E1831"/>
    <w:rsid w:val="004E41B1"/>
    <w:rsid w:val="004E4FD4"/>
    <w:rsid w:val="004E569E"/>
    <w:rsid w:val="004E603F"/>
    <w:rsid w:val="004F088A"/>
    <w:rsid w:val="004F1DE2"/>
    <w:rsid w:val="004F2588"/>
    <w:rsid w:val="004F3F25"/>
    <w:rsid w:val="004F4317"/>
    <w:rsid w:val="004F5DC2"/>
    <w:rsid w:val="004F634D"/>
    <w:rsid w:val="004F64EF"/>
    <w:rsid w:val="004F6FA3"/>
    <w:rsid w:val="004F7708"/>
    <w:rsid w:val="0050101F"/>
    <w:rsid w:val="005018A8"/>
    <w:rsid w:val="00502A09"/>
    <w:rsid w:val="0050341E"/>
    <w:rsid w:val="00503E5B"/>
    <w:rsid w:val="00504684"/>
    <w:rsid w:val="00505A39"/>
    <w:rsid w:val="00505B0A"/>
    <w:rsid w:val="00507740"/>
    <w:rsid w:val="00511828"/>
    <w:rsid w:val="0051263B"/>
    <w:rsid w:val="005127CC"/>
    <w:rsid w:val="005200A9"/>
    <w:rsid w:val="00520C84"/>
    <w:rsid w:val="00521801"/>
    <w:rsid w:val="005240BF"/>
    <w:rsid w:val="0052577C"/>
    <w:rsid w:val="00526570"/>
    <w:rsid w:val="005315A9"/>
    <w:rsid w:val="00533401"/>
    <w:rsid w:val="005355EE"/>
    <w:rsid w:val="00535A9D"/>
    <w:rsid w:val="00543AB3"/>
    <w:rsid w:val="0054408A"/>
    <w:rsid w:val="005453A0"/>
    <w:rsid w:val="0054606F"/>
    <w:rsid w:val="005473CD"/>
    <w:rsid w:val="005476B2"/>
    <w:rsid w:val="00547CF8"/>
    <w:rsid w:val="00551663"/>
    <w:rsid w:val="00553EBC"/>
    <w:rsid w:val="0055481D"/>
    <w:rsid w:val="00555F89"/>
    <w:rsid w:val="0055608A"/>
    <w:rsid w:val="005579C1"/>
    <w:rsid w:val="00557B3F"/>
    <w:rsid w:val="00560B6E"/>
    <w:rsid w:val="00560E68"/>
    <w:rsid w:val="005624BE"/>
    <w:rsid w:val="005624C3"/>
    <w:rsid w:val="0056287E"/>
    <w:rsid w:val="005635C6"/>
    <w:rsid w:val="00564B86"/>
    <w:rsid w:val="00565D53"/>
    <w:rsid w:val="00570902"/>
    <w:rsid w:val="0057311C"/>
    <w:rsid w:val="005737D1"/>
    <w:rsid w:val="0057693E"/>
    <w:rsid w:val="00576E01"/>
    <w:rsid w:val="00585390"/>
    <w:rsid w:val="00585D94"/>
    <w:rsid w:val="005860C5"/>
    <w:rsid w:val="005872B0"/>
    <w:rsid w:val="00587E6A"/>
    <w:rsid w:val="00587E8B"/>
    <w:rsid w:val="00591AA6"/>
    <w:rsid w:val="00591C0C"/>
    <w:rsid w:val="00591FEC"/>
    <w:rsid w:val="005927CB"/>
    <w:rsid w:val="00592CF0"/>
    <w:rsid w:val="00592F01"/>
    <w:rsid w:val="005939A5"/>
    <w:rsid w:val="00593EB4"/>
    <w:rsid w:val="005A00BE"/>
    <w:rsid w:val="005A034E"/>
    <w:rsid w:val="005A148C"/>
    <w:rsid w:val="005A2769"/>
    <w:rsid w:val="005A2CEC"/>
    <w:rsid w:val="005A418D"/>
    <w:rsid w:val="005A452A"/>
    <w:rsid w:val="005A469A"/>
    <w:rsid w:val="005A4784"/>
    <w:rsid w:val="005A524F"/>
    <w:rsid w:val="005A5CCB"/>
    <w:rsid w:val="005A6099"/>
    <w:rsid w:val="005A74FC"/>
    <w:rsid w:val="005A75D1"/>
    <w:rsid w:val="005A76BC"/>
    <w:rsid w:val="005B26B2"/>
    <w:rsid w:val="005B421C"/>
    <w:rsid w:val="005B6394"/>
    <w:rsid w:val="005B6E32"/>
    <w:rsid w:val="005B7069"/>
    <w:rsid w:val="005C128F"/>
    <w:rsid w:val="005C4133"/>
    <w:rsid w:val="005C415B"/>
    <w:rsid w:val="005C552D"/>
    <w:rsid w:val="005C58FA"/>
    <w:rsid w:val="005C7ABE"/>
    <w:rsid w:val="005D074B"/>
    <w:rsid w:val="005D0EEF"/>
    <w:rsid w:val="005D139E"/>
    <w:rsid w:val="005D519B"/>
    <w:rsid w:val="005D5BBB"/>
    <w:rsid w:val="005D6060"/>
    <w:rsid w:val="005E0298"/>
    <w:rsid w:val="005E5D83"/>
    <w:rsid w:val="005E75E6"/>
    <w:rsid w:val="005F1BBB"/>
    <w:rsid w:val="005F23A9"/>
    <w:rsid w:val="005F4B47"/>
    <w:rsid w:val="005F733D"/>
    <w:rsid w:val="005F75D4"/>
    <w:rsid w:val="005F77E2"/>
    <w:rsid w:val="0060018F"/>
    <w:rsid w:val="0060138B"/>
    <w:rsid w:val="00602183"/>
    <w:rsid w:val="00602A03"/>
    <w:rsid w:val="00602F63"/>
    <w:rsid w:val="00603238"/>
    <w:rsid w:val="006033CB"/>
    <w:rsid w:val="0060456C"/>
    <w:rsid w:val="00605C6C"/>
    <w:rsid w:val="00605FAB"/>
    <w:rsid w:val="006103E1"/>
    <w:rsid w:val="00611D5F"/>
    <w:rsid w:val="00617076"/>
    <w:rsid w:val="006201B7"/>
    <w:rsid w:val="006234B1"/>
    <w:rsid w:val="00624134"/>
    <w:rsid w:val="00625DDD"/>
    <w:rsid w:val="006262A6"/>
    <w:rsid w:val="00627C21"/>
    <w:rsid w:val="006319D7"/>
    <w:rsid w:val="00632207"/>
    <w:rsid w:val="0063491C"/>
    <w:rsid w:val="00634BDC"/>
    <w:rsid w:val="00635180"/>
    <w:rsid w:val="00635A76"/>
    <w:rsid w:val="00641A5C"/>
    <w:rsid w:val="006446E7"/>
    <w:rsid w:val="00644BF0"/>
    <w:rsid w:val="00645B8E"/>
    <w:rsid w:val="0064730E"/>
    <w:rsid w:val="006476B6"/>
    <w:rsid w:val="006505A3"/>
    <w:rsid w:val="00652C68"/>
    <w:rsid w:val="00655008"/>
    <w:rsid w:val="00660B8D"/>
    <w:rsid w:val="006612A3"/>
    <w:rsid w:val="00661AFE"/>
    <w:rsid w:val="0066250D"/>
    <w:rsid w:val="00667821"/>
    <w:rsid w:val="006749C7"/>
    <w:rsid w:val="00675646"/>
    <w:rsid w:val="00680F19"/>
    <w:rsid w:val="00681A89"/>
    <w:rsid w:val="00681EFF"/>
    <w:rsid w:val="00682150"/>
    <w:rsid w:val="00683599"/>
    <w:rsid w:val="00683B2C"/>
    <w:rsid w:val="0068615C"/>
    <w:rsid w:val="006876C0"/>
    <w:rsid w:val="00690F39"/>
    <w:rsid w:val="00690F63"/>
    <w:rsid w:val="0069158A"/>
    <w:rsid w:val="00691772"/>
    <w:rsid w:val="006927C1"/>
    <w:rsid w:val="00694119"/>
    <w:rsid w:val="0069420A"/>
    <w:rsid w:val="006951DE"/>
    <w:rsid w:val="00696C2D"/>
    <w:rsid w:val="006975DE"/>
    <w:rsid w:val="00697787"/>
    <w:rsid w:val="006A1F57"/>
    <w:rsid w:val="006A48E6"/>
    <w:rsid w:val="006A4940"/>
    <w:rsid w:val="006A6A28"/>
    <w:rsid w:val="006A7D7F"/>
    <w:rsid w:val="006B12CD"/>
    <w:rsid w:val="006B22B5"/>
    <w:rsid w:val="006B58E4"/>
    <w:rsid w:val="006B592C"/>
    <w:rsid w:val="006C147E"/>
    <w:rsid w:val="006C1F10"/>
    <w:rsid w:val="006C38A8"/>
    <w:rsid w:val="006C421A"/>
    <w:rsid w:val="006C45A7"/>
    <w:rsid w:val="006C4E4A"/>
    <w:rsid w:val="006C66E7"/>
    <w:rsid w:val="006C7009"/>
    <w:rsid w:val="006C7E39"/>
    <w:rsid w:val="006D1ED1"/>
    <w:rsid w:val="006D24FB"/>
    <w:rsid w:val="006D365D"/>
    <w:rsid w:val="006D4BD0"/>
    <w:rsid w:val="006D514A"/>
    <w:rsid w:val="006D5B90"/>
    <w:rsid w:val="006D614E"/>
    <w:rsid w:val="006D6C9F"/>
    <w:rsid w:val="006E1E0D"/>
    <w:rsid w:val="006E5E28"/>
    <w:rsid w:val="006E6574"/>
    <w:rsid w:val="006E7735"/>
    <w:rsid w:val="006E7D55"/>
    <w:rsid w:val="006E7E01"/>
    <w:rsid w:val="006F1D37"/>
    <w:rsid w:val="006F565A"/>
    <w:rsid w:val="006F75C7"/>
    <w:rsid w:val="007006B6"/>
    <w:rsid w:val="00702179"/>
    <w:rsid w:val="0070488F"/>
    <w:rsid w:val="00707AF0"/>
    <w:rsid w:val="00713311"/>
    <w:rsid w:val="00713C4C"/>
    <w:rsid w:val="00714CF2"/>
    <w:rsid w:val="0071558A"/>
    <w:rsid w:val="007156B9"/>
    <w:rsid w:val="00720817"/>
    <w:rsid w:val="00720B8D"/>
    <w:rsid w:val="0072161C"/>
    <w:rsid w:val="0072220F"/>
    <w:rsid w:val="00722850"/>
    <w:rsid w:val="00723BFF"/>
    <w:rsid w:val="00724FA4"/>
    <w:rsid w:val="00732AE5"/>
    <w:rsid w:val="00733165"/>
    <w:rsid w:val="007332E3"/>
    <w:rsid w:val="0073353F"/>
    <w:rsid w:val="00733963"/>
    <w:rsid w:val="007347C5"/>
    <w:rsid w:val="00735A0A"/>
    <w:rsid w:val="00735A91"/>
    <w:rsid w:val="00735E98"/>
    <w:rsid w:val="00736C26"/>
    <w:rsid w:val="00737753"/>
    <w:rsid w:val="00737C2E"/>
    <w:rsid w:val="00741AD5"/>
    <w:rsid w:val="00741B79"/>
    <w:rsid w:val="00742E45"/>
    <w:rsid w:val="007447AF"/>
    <w:rsid w:val="00744942"/>
    <w:rsid w:val="0074550F"/>
    <w:rsid w:val="00745C70"/>
    <w:rsid w:val="00750816"/>
    <w:rsid w:val="0075348D"/>
    <w:rsid w:val="00754A7C"/>
    <w:rsid w:val="00754C47"/>
    <w:rsid w:val="007607C0"/>
    <w:rsid w:val="007657C1"/>
    <w:rsid w:val="00767EE3"/>
    <w:rsid w:val="00771FCC"/>
    <w:rsid w:val="00772340"/>
    <w:rsid w:val="00773C45"/>
    <w:rsid w:val="00773D06"/>
    <w:rsid w:val="0077755F"/>
    <w:rsid w:val="00777F53"/>
    <w:rsid w:val="007802CB"/>
    <w:rsid w:val="00780510"/>
    <w:rsid w:val="007808BE"/>
    <w:rsid w:val="00781D35"/>
    <w:rsid w:val="0078364B"/>
    <w:rsid w:val="007854F6"/>
    <w:rsid w:val="007872C2"/>
    <w:rsid w:val="00790D1E"/>
    <w:rsid w:val="00790EE4"/>
    <w:rsid w:val="00793C0B"/>
    <w:rsid w:val="0079733C"/>
    <w:rsid w:val="007A02C1"/>
    <w:rsid w:val="007A35AE"/>
    <w:rsid w:val="007A406D"/>
    <w:rsid w:val="007A4C9C"/>
    <w:rsid w:val="007A512C"/>
    <w:rsid w:val="007A5B31"/>
    <w:rsid w:val="007A62B0"/>
    <w:rsid w:val="007A73EE"/>
    <w:rsid w:val="007B0534"/>
    <w:rsid w:val="007B1871"/>
    <w:rsid w:val="007B1A5E"/>
    <w:rsid w:val="007B223F"/>
    <w:rsid w:val="007B261F"/>
    <w:rsid w:val="007B297A"/>
    <w:rsid w:val="007B3E69"/>
    <w:rsid w:val="007B5AAE"/>
    <w:rsid w:val="007C121A"/>
    <w:rsid w:val="007C241A"/>
    <w:rsid w:val="007C25B3"/>
    <w:rsid w:val="007C2CD6"/>
    <w:rsid w:val="007C5054"/>
    <w:rsid w:val="007C52EE"/>
    <w:rsid w:val="007C5A0C"/>
    <w:rsid w:val="007D007E"/>
    <w:rsid w:val="007D1EC2"/>
    <w:rsid w:val="007D2FB0"/>
    <w:rsid w:val="007D3439"/>
    <w:rsid w:val="007D3E33"/>
    <w:rsid w:val="007D3E78"/>
    <w:rsid w:val="007D4CB8"/>
    <w:rsid w:val="007D5D07"/>
    <w:rsid w:val="007D70F0"/>
    <w:rsid w:val="007E0115"/>
    <w:rsid w:val="007E0541"/>
    <w:rsid w:val="007E0D54"/>
    <w:rsid w:val="007E0FEE"/>
    <w:rsid w:val="007E1530"/>
    <w:rsid w:val="007E3937"/>
    <w:rsid w:val="007E5134"/>
    <w:rsid w:val="007E516D"/>
    <w:rsid w:val="007F2017"/>
    <w:rsid w:val="007F2CE8"/>
    <w:rsid w:val="007F3433"/>
    <w:rsid w:val="007F3736"/>
    <w:rsid w:val="00801CF0"/>
    <w:rsid w:val="0080225A"/>
    <w:rsid w:val="00802787"/>
    <w:rsid w:val="008036C5"/>
    <w:rsid w:val="0080390E"/>
    <w:rsid w:val="00804D56"/>
    <w:rsid w:val="00804EA5"/>
    <w:rsid w:val="008062DD"/>
    <w:rsid w:val="00806A02"/>
    <w:rsid w:val="00810E73"/>
    <w:rsid w:val="00811863"/>
    <w:rsid w:val="0081378D"/>
    <w:rsid w:val="008147AE"/>
    <w:rsid w:val="008159CF"/>
    <w:rsid w:val="00816E05"/>
    <w:rsid w:val="0081756F"/>
    <w:rsid w:val="00825ADB"/>
    <w:rsid w:val="00831916"/>
    <w:rsid w:val="00832455"/>
    <w:rsid w:val="008331A7"/>
    <w:rsid w:val="008339BB"/>
    <w:rsid w:val="008360CA"/>
    <w:rsid w:val="00846319"/>
    <w:rsid w:val="0085564F"/>
    <w:rsid w:val="008564D1"/>
    <w:rsid w:val="00857ABB"/>
    <w:rsid w:val="008629B8"/>
    <w:rsid w:val="00863504"/>
    <w:rsid w:val="0086419A"/>
    <w:rsid w:val="00867A92"/>
    <w:rsid w:val="0087023B"/>
    <w:rsid w:val="00873636"/>
    <w:rsid w:val="00873DA1"/>
    <w:rsid w:val="0087454E"/>
    <w:rsid w:val="0087544B"/>
    <w:rsid w:val="0087631F"/>
    <w:rsid w:val="00876923"/>
    <w:rsid w:val="00877E6D"/>
    <w:rsid w:val="0088062C"/>
    <w:rsid w:val="008818AB"/>
    <w:rsid w:val="00882018"/>
    <w:rsid w:val="00882A5E"/>
    <w:rsid w:val="00883459"/>
    <w:rsid w:val="00883B52"/>
    <w:rsid w:val="00885168"/>
    <w:rsid w:val="008857E4"/>
    <w:rsid w:val="008865DA"/>
    <w:rsid w:val="0088731E"/>
    <w:rsid w:val="0088748B"/>
    <w:rsid w:val="00887B15"/>
    <w:rsid w:val="00887B42"/>
    <w:rsid w:val="00891D51"/>
    <w:rsid w:val="00895CB5"/>
    <w:rsid w:val="008A078B"/>
    <w:rsid w:val="008A08BF"/>
    <w:rsid w:val="008A0B9C"/>
    <w:rsid w:val="008A179F"/>
    <w:rsid w:val="008A1D87"/>
    <w:rsid w:val="008A28F2"/>
    <w:rsid w:val="008A3B8F"/>
    <w:rsid w:val="008A486F"/>
    <w:rsid w:val="008A51E4"/>
    <w:rsid w:val="008B01A4"/>
    <w:rsid w:val="008B0864"/>
    <w:rsid w:val="008B1297"/>
    <w:rsid w:val="008B1648"/>
    <w:rsid w:val="008B1693"/>
    <w:rsid w:val="008B175A"/>
    <w:rsid w:val="008B1E61"/>
    <w:rsid w:val="008B27BA"/>
    <w:rsid w:val="008B449C"/>
    <w:rsid w:val="008B4577"/>
    <w:rsid w:val="008B7200"/>
    <w:rsid w:val="008B764C"/>
    <w:rsid w:val="008C0125"/>
    <w:rsid w:val="008C01EF"/>
    <w:rsid w:val="008C073B"/>
    <w:rsid w:val="008C08AE"/>
    <w:rsid w:val="008C0AEC"/>
    <w:rsid w:val="008C0F68"/>
    <w:rsid w:val="008C1AD1"/>
    <w:rsid w:val="008C22E4"/>
    <w:rsid w:val="008C3446"/>
    <w:rsid w:val="008C3578"/>
    <w:rsid w:val="008C3CB7"/>
    <w:rsid w:val="008C51C8"/>
    <w:rsid w:val="008C6522"/>
    <w:rsid w:val="008C6BEE"/>
    <w:rsid w:val="008C6ED1"/>
    <w:rsid w:val="008C7017"/>
    <w:rsid w:val="008C73EB"/>
    <w:rsid w:val="008C7413"/>
    <w:rsid w:val="008D16B7"/>
    <w:rsid w:val="008D44BF"/>
    <w:rsid w:val="008D622B"/>
    <w:rsid w:val="008E2C2A"/>
    <w:rsid w:val="008E34D3"/>
    <w:rsid w:val="008E6AE6"/>
    <w:rsid w:val="008F0116"/>
    <w:rsid w:val="008F143D"/>
    <w:rsid w:val="008F38EA"/>
    <w:rsid w:val="009001FE"/>
    <w:rsid w:val="00901011"/>
    <w:rsid w:val="0090193C"/>
    <w:rsid w:val="00901EF5"/>
    <w:rsid w:val="00901F68"/>
    <w:rsid w:val="0090326E"/>
    <w:rsid w:val="009036C3"/>
    <w:rsid w:val="00903728"/>
    <w:rsid w:val="00903822"/>
    <w:rsid w:val="009114B8"/>
    <w:rsid w:val="00911A60"/>
    <w:rsid w:val="00911C97"/>
    <w:rsid w:val="009125C3"/>
    <w:rsid w:val="00913F8E"/>
    <w:rsid w:val="009140AF"/>
    <w:rsid w:val="00914F43"/>
    <w:rsid w:val="00916A8F"/>
    <w:rsid w:val="00916C1F"/>
    <w:rsid w:val="00920755"/>
    <w:rsid w:val="00921BA2"/>
    <w:rsid w:val="00922E73"/>
    <w:rsid w:val="00923435"/>
    <w:rsid w:val="009235ED"/>
    <w:rsid w:val="00926DB1"/>
    <w:rsid w:val="009317DA"/>
    <w:rsid w:val="00931DC3"/>
    <w:rsid w:val="00932865"/>
    <w:rsid w:val="00937360"/>
    <w:rsid w:val="0094387A"/>
    <w:rsid w:val="009443F3"/>
    <w:rsid w:val="0094443C"/>
    <w:rsid w:val="00946EF4"/>
    <w:rsid w:val="00950E04"/>
    <w:rsid w:val="00956410"/>
    <w:rsid w:val="0095710A"/>
    <w:rsid w:val="009612F2"/>
    <w:rsid w:val="00962EA3"/>
    <w:rsid w:val="00964801"/>
    <w:rsid w:val="00964809"/>
    <w:rsid w:val="009674E2"/>
    <w:rsid w:val="0097141A"/>
    <w:rsid w:val="00971806"/>
    <w:rsid w:val="00971E99"/>
    <w:rsid w:val="0097361C"/>
    <w:rsid w:val="009749BE"/>
    <w:rsid w:val="00975F62"/>
    <w:rsid w:val="0097688F"/>
    <w:rsid w:val="0097718F"/>
    <w:rsid w:val="00977DDE"/>
    <w:rsid w:val="00977FD3"/>
    <w:rsid w:val="00980437"/>
    <w:rsid w:val="0098138E"/>
    <w:rsid w:val="00981AD7"/>
    <w:rsid w:val="009849B9"/>
    <w:rsid w:val="009850E3"/>
    <w:rsid w:val="00985619"/>
    <w:rsid w:val="00985C4A"/>
    <w:rsid w:val="0098655A"/>
    <w:rsid w:val="009879C6"/>
    <w:rsid w:val="009907F7"/>
    <w:rsid w:val="00990D38"/>
    <w:rsid w:val="00990DE4"/>
    <w:rsid w:val="00991C2F"/>
    <w:rsid w:val="00994260"/>
    <w:rsid w:val="009948F8"/>
    <w:rsid w:val="009964FF"/>
    <w:rsid w:val="009A5159"/>
    <w:rsid w:val="009A6E36"/>
    <w:rsid w:val="009A706E"/>
    <w:rsid w:val="009A7531"/>
    <w:rsid w:val="009B048D"/>
    <w:rsid w:val="009B0D35"/>
    <w:rsid w:val="009B2305"/>
    <w:rsid w:val="009B34AE"/>
    <w:rsid w:val="009B46F0"/>
    <w:rsid w:val="009B4BB8"/>
    <w:rsid w:val="009B6950"/>
    <w:rsid w:val="009B7DB4"/>
    <w:rsid w:val="009C15A4"/>
    <w:rsid w:val="009C3509"/>
    <w:rsid w:val="009C444E"/>
    <w:rsid w:val="009D1A1C"/>
    <w:rsid w:val="009D1B2E"/>
    <w:rsid w:val="009D2155"/>
    <w:rsid w:val="009D2CBC"/>
    <w:rsid w:val="009D60C5"/>
    <w:rsid w:val="009E01C3"/>
    <w:rsid w:val="009E01F1"/>
    <w:rsid w:val="009E4E8D"/>
    <w:rsid w:val="009E6052"/>
    <w:rsid w:val="009E7C7F"/>
    <w:rsid w:val="009F0C42"/>
    <w:rsid w:val="009F1F66"/>
    <w:rsid w:val="009F21DA"/>
    <w:rsid w:val="009F255D"/>
    <w:rsid w:val="009F2AA8"/>
    <w:rsid w:val="009F4CE0"/>
    <w:rsid w:val="009F5460"/>
    <w:rsid w:val="00A00708"/>
    <w:rsid w:val="00A00DC6"/>
    <w:rsid w:val="00A018E5"/>
    <w:rsid w:val="00A0360F"/>
    <w:rsid w:val="00A05255"/>
    <w:rsid w:val="00A05B18"/>
    <w:rsid w:val="00A06A8B"/>
    <w:rsid w:val="00A06EBF"/>
    <w:rsid w:val="00A1030A"/>
    <w:rsid w:val="00A10C06"/>
    <w:rsid w:val="00A1116A"/>
    <w:rsid w:val="00A1263D"/>
    <w:rsid w:val="00A137C4"/>
    <w:rsid w:val="00A14136"/>
    <w:rsid w:val="00A141B9"/>
    <w:rsid w:val="00A1486A"/>
    <w:rsid w:val="00A15297"/>
    <w:rsid w:val="00A15AAE"/>
    <w:rsid w:val="00A161E7"/>
    <w:rsid w:val="00A17CE0"/>
    <w:rsid w:val="00A22F59"/>
    <w:rsid w:val="00A23D48"/>
    <w:rsid w:val="00A2504E"/>
    <w:rsid w:val="00A252FE"/>
    <w:rsid w:val="00A2740C"/>
    <w:rsid w:val="00A33671"/>
    <w:rsid w:val="00A34691"/>
    <w:rsid w:val="00A3484C"/>
    <w:rsid w:val="00A349E4"/>
    <w:rsid w:val="00A36453"/>
    <w:rsid w:val="00A36CC8"/>
    <w:rsid w:val="00A3776A"/>
    <w:rsid w:val="00A40FA5"/>
    <w:rsid w:val="00A42306"/>
    <w:rsid w:val="00A44E8D"/>
    <w:rsid w:val="00A4572A"/>
    <w:rsid w:val="00A457FF"/>
    <w:rsid w:val="00A46EA8"/>
    <w:rsid w:val="00A477F0"/>
    <w:rsid w:val="00A50430"/>
    <w:rsid w:val="00A505CF"/>
    <w:rsid w:val="00A5460B"/>
    <w:rsid w:val="00A55A63"/>
    <w:rsid w:val="00A55ACD"/>
    <w:rsid w:val="00A560F5"/>
    <w:rsid w:val="00A56472"/>
    <w:rsid w:val="00A567B4"/>
    <w:rsid w:val="00A604F8"/>
    <w:rsid w:val="00A6147C"/>
    <w:rsid w:val="00A61A47"/>
    <w:rsid w:val="00A63894"/>
    <w:rsid w:val="00A63BDF"/>
    <w:rsid w:val="00A640D0"/>
    <w:rsid w:val="00A64F6C"/>
    <w:rsid w:val="00A66760"/>
    <w:rsid w:val="00A713B7"/>
    <w:rsid w:val="00A742A9"/>
    <w:rsid w:val="00A74601"/>
    <w:rsid w:val="00A74FDF"/>
    <w:rsid w:val="00A774CF"/>
    <w:rsid w:val="00A77D81"/>
    <w:rsid w:val="00A806BD"/>
    <w:rsid w:val="00A817A4"/>
    <w:rsid w:val="00A82A15"/>
    <w:rsid w:val="00A846E6"/>
    <w:rsid w:val="00A85D27"/>
    <w:rsid w:val="00A904A8"/>
    <w:rsid w:val="00A91902"/>
    <w:rsid w:val="00A93F57"/>
    <w:rsid w:val="00A95856"/>
    <w:rsid w:val="00A9637F"/>
    <w:rsid w:val="00A96B89"/>
    <w:rsid w:val="00AA0168"/>
    <w:rsid w:val="00AA0713"/>
    <w:rsid w:val="00AA1781"/>
    <w:rsid w:val="00AA20B9"/>
    <w:rsid w:val="00AA73F8"/>
    <w:rsid w:val="00AB18BC"/>
    <w:rsid w:val="00AB3839"/>
    <w:rsid w:val="00AB3B5C"/>
    <w:rsid w:val="00AB5138"/>
    <w:rsid w:val="00AB77E0"/>
    <w:rsid w:val="00AB7875"/>
    <w:rsid w:val="00AC06BB"/>
    <w:rsid w:val="00AC0C78"/>
    <w:rsid w:val="00AC2109"/>
    <w:rsid w:val="00AC2DAB"/>
    <w:rsid w:val="00AC3136"/>
    <w:rsid w:val="00AC3B6D"/>
    <w:rsid w:val="00AC47B4"/>
    <w:rsid w:val="00AC68EE"/>
    <w:rsid w:val="00AC7908"/>
    <w:rsid w:val="00AC7BE3"/>
    <w:rsid w:val="00AD6B86"/>
    <w:rsid w:val="00AE02BA"/>
    <w:rsid w:val="00AE049A"/>
    <w:rsid w:val="00AE0F23"/>
    <w:rsid w:val="00AE132F"/>
    <w:rsid w:val="00AE4F82"/>
    <w:rsid w:val="00AE5F79"/>
    <w:rsid w:val="00AE7872"/>
    <w:rsid w:val="00AE7FF6"/>
    <w:rsid w:val="00AF0390"/>
    <w:rsid w:val="00AF2E8B"/>
    <w:rsid w:val="00AF36A3"/>
    <w:rsid w:val="00AF3C41"/>
    <w:rsid w:val="00AF4410"/>
    <w:rsid w:val="00AF70D1"/>
    <w:rsid w:val="00AF7119"/>
    <w:rsid w:val="00B00E79"/>
    <w:rsid w:val="00B01F7E"/>
    <w:rsid w:val="00B0465B"/>
    <w:rsid w:val="00B047F7"/>
    <w:rsid w:val="00B0671B"/>
    <w:rsid w:val="00B06CBD"/>
    <w:rsid w:val="00B07BC4"/>
    <w:rsid w:val="00B107AA"/>
    <w:rsid w:val="00B10FBD"/>
    <w:rsid w:val="00B11907"/>
    <w:rsid w:val="00B1334B"/>
    <w:rsid w:val="00B143BE"/>
    <w:rsid w:val="00B16772"/>
    <w:rsid w:val="00B16C2A"/>
    <w:rsid w:val="00B16DD1"/>
    <w:rsid w:val="00B173A5"/>
    <w:rsid w:val="00B17A09"/>
    <w:rsid w:val="00B20393"/>
    <w:rsid w:val="00B21902"/>
    <w:rsid w:val="00B23D20"/>
    <w:rsid w:val="00B25149"/>
    <w:rsid w:val="00B257ED"/>
    <w:rsid w:val="00B25B22"/>
    <w:rsid w:val="00B25F94"/>
    <w:rsid w:val="00B25FBC"/>
    <w:rsid w:val="00B3087D"/>
    <w:rsid w:val="00B313FC"/>
    <w:rsid w:val="00B32ADC"/>
    <w:rsid w:val="00B339C0"/>
    <w:rsid w:val="00B34794"/>
    <w:rsid w:val="00B354CC"/>
    <w:rsid w:val="00B35EAE"/>
    <w:rsid w:val="00B377F2"/>
    <w:rsid w:val="00B4208A"/>
    <w:rsid w:val="00B44114"/>
    <w:rsid w:val="00B4596A"/>
    <w:rsid w:val="00B46140"/>
    <w:rsid w:val="00B471F2"/>
    <w:rsid w:val="00B51E67"/>
    <w:rsid w:val="00B53006"/>
    <w:rsid w:val="00B53767"/>
    <w:rsid w:val="00B54666"/>
    <w:rsid w:val="00B60421"/>
    <w:rsid w:val="00B63ED7"/>
    <w:rsid w:val="00B63F1A"/>
    <w:rsid w:val="00B6428A"/>
    <w:rsid w:val="00B648AD"/>
    <w:rsid w:val="00B64C9B"/>
    <w:rsid w:val="00B658DB"/>
    <w:rsid w:val="00B666C0"/>
    <w:rsid w:val="00B673AA"/>
    <w:rsid w:val="00B71183"/>
    <w:rsid w:val="00B719EA"/>
    <w:rsid w:val="00B72739"/>
    <w:rsid w:val="00B73977"/>
    <w:rsid w:val="00B81EB6"/>
    <w:rsid w:val="00B82AB4"/>
    <w:rsid w:val="00B832FA"/>
    <w:rsid w:val="00B83979"/>
    <w:rsid w:val="00B83A37"/>
    <w:rsid w:val="00B83B7D"/>
    <w:rsid w:val="00B849DA"/>
    <w:rsid w:val="00B85809"/>
    <w:rsid w:val="00B85DA5"/>
    <w:rsid w:val="00B9183A"/>
    <w:rsid w:val="00B91C22"/>
    <w:rsid w:val="00B92973"/>
    <w:rsid w:val="00BA1B45"/>
    <w:rsid w:val="00BA2111"/>
    <w:rsid w:val="00BA3197"/>
    <w:rsid w:val="00BA3A94"/>
    <w:rsid w:val="00BA4DEF"/>
    <w:rsid w:val="00BA4E21"/>
    <w:rsid w:val="00BA60E5"/>
    <w:rsid w:val="00BA6B3F"/>
    <w:rsid w:val="00BA6C20"/>
    <w:rsid w:val="00BB0243"/>
    <w:rsid w:val="00BB4179"/>
    <w:rsid w:val="00BB7002"/>
    <w:rsid w:val="00BB7B6E"/>
    <w:rsid w:val="00BB7C39"/>
    <w:rsid w:val="00BC094E"/>
    <w:rsid w:val="00BC2231"/>
    <w:rsid w:val="00BC5C6B"/>
    <w:rsid w:val="00BC6FCA"/>
    <w:rsid w:val="00BD0B38"/>
    <w:rsid w:val="00BD12D2"/>
    <w:rsid w:val="00BD2096"/>
    <w:rsid w:val="00BD35A5"/>
    <w:rsid w:val="00BD420B"/>
    <w:rsid w:val="00BD4A14"/>
    <w:rsid w:val="00BD4DAA"/>
    <w:rsid w:val="00BD5BD7"/>
    <w:rsid w:val="00BE0190"/>
    <w:rsid w:val="00BE02DF"/>
    <w:rsid w:val="00BE0A23"/>
    <w:rsid w:val="00BE0C67"/>
    <w:rsid w:val="00BE1672"/>
    <w:rsid w:val="00BE348E"/>
    <w:rsid w:val="00BE4D21"/>
    <w:rsid w:val="00BE4F56"/>
    <w:rsid w:val="00BE6219"/>
    <w:rsid w:val="00BE7134"/>
    <w:rsid w:val="00BE7447"/>
    <w:rsid w:val="00BF07E9"/>
    <w:rsid w:val="00BF1D33"/>
    <w:rsid w:val="00BF2BDF"/>
    <w:rsid w:val="00BF4256"/>
    <w:rsid w:val="00C04750"/>
    <w:rsid w:val="00C10873"/>
    <w:rsid w:val="00C10B5F"/>
    <w:rsid w:val="00C12190"/>
    <w:rsid w:val="00C13DAF"/>
    <w:rsid w:val="00C143D9"/>
    <w:rsid w:val="00C21C29"/>
    <w:rsid w:val="00C25486"/>
    <w:rsid w:val="00C25743"/>
    <w:rsid w:val="00C26755"/>
    <w:rsid w:val="00C26E9A"/>
    <w:rsid w:val="00C3071B"/>
    <w:rsid w:val="00C32BBB"/>
    <w:rsid w:val="00C35272"/>
    <w:rsid w:val="00C36B04"/>
    <w:rsid w:val="00C37E73"/>
    <w:rsid w:val="00C41682"/>
    <w:rsid w:val="00C42799"/>
    <w:rsid w:val="00C4348A"/>
    <w:rsid w:val="00C44EEC"/>
    <w:rsid w:val="00C45A09"/>
    <w:rsid w:val="00C50133"/>
    <w:rsid w:val="00C511B3"/>
    <w:rsid w:val="00C539BE"/>
    <w:rsid w:val="00C5408C"/>
    <w:rsid w:val="00C540AA"/>
    <w:rsid w:val="00C543E1"/>
    <w:rsid w:val="00C56562"/>
    <w:rsid w:val="00C566D9"/>
    <w:rsid w:val="00C57609"/>
    <w:rsid w:val="00C57B15"/>
    <w:rsid w:val="00C62A51"/>
    <w:rsid w:val="00C62C00"/>
    <w:rsid w:val="00C63319"/>
    <w:rsid w:val="00C63930"/>
    <w:rsid w:val="00C64A1B"/>
    <w:rsid w:val="00C66828"/>
    <w:rsid w:val="00C70EAB"/>
    <w:rsid w:val="00C7100A"/>
    <w:rsid w:val="00C7119C"/>
    <w:rsid w:val="00C7167B"/>
    <w:rsid w:val="00C72021"/>
    <w:rsid w:val="00C72247"/>
    <w:rsid w:val="00C72383"/>
    <w:rsid w:val="00C72987"/>
    <w:rsid w:val="00C749A2"/>
    <w:rsid w:val="00C7659E"/>
    <w:rsid w:val="00C76D1B"/>
    <w:rsid w:val="00C77DC0"/>
    <w:rsid w:val="00C80C80"/>
    <w:rsid w:val="00C81389"/>
    <w:rsid w:val="00C84357"/>
    <w:rsid w:val="00C85273"/>
    <w:rsid w:val="00C878D5"/>
    <w:rsid w:val="00C9033B"/>
    <w:rsid w:val="00C90A59"/>
    <w:rsid w:val="00C911C2"/>
    <w:rsid w:val="00C913A1"/>
    <w:rsid w:val="00C91FF9"/>
    <w:rsid w:val="00C92B05"/>
    <w:rsid w:val="00C954D5"/>
    <w:rsid w:val="00C956F6"/>
    <w:rsid w:val="00C979CD"/>
    <w:rsid w:val="00CA0083"/>
    <w:rsid w:val="00CA0EBE"/>
    <w:rsid w:val="00CA0FDC"/>
    <w:rsid w:val="00CA29CE"/>
    <w:rsid w:val="00CA53B6"/>
    <w:rsid w:val="00CA68F4"/>
    <w:rsid w:val="00CB3222"/>
    <w:rsid w:val="00CB4088"/>
    <w:rsid w:val="00CB43FB"/>
    <w:rsid w:val="00CC05A2"/>
    <w:rsid w:val="00CC6A99"/>
    <w:rsid w:val="00CD0A17"/>
    <w:rsid w:val="00CD33F7"/>
    <w:rsid w:val="00CD41BD"/>
    <w:rsid w:val="00CD5830"/>
    <w:rsid w:val="00CD583C"/>
    <w:rsid w:val="00CD6F68"/>
    <w:rsid w:val="00CD70BD"/>
    <w:rsid w:val="00CE0E37"/>
    <w:rsid w:val="00CE2146"/>
    <w:rsid w:val="00CE2600"/>
    <w:rsid w:val="00CE2A3B"/>
    <w:rsid w:val="00CE3A07"/>
    <w:rsid w:val="00CE3E56"/>
    <w:rsid w:val="00CE4B84"/>
    <w:rsid w:val="00CE6E19"/>
    <w:rsid w:val="00CF37CA"/>
    <w:rsid w:val="00CF4861"/>
    <w:rsid w:val="00D00AA3"/>
    <w:rsid w:val="00D02E31"/>
    <w:rsid w:val="00D0504E"/>
    <w:rsid w:val="00D06892"/>
    <w:rsid w:val="00D07F73"/>
    <w:rsid w:val="00D142CA"/>
    <w:rsid w:val="00D14844"/>
    <w:rsid w:val="00D149E9"/>
    <w:rsid w:val="00D14E8C"/>
    <w:rsid w:val="00D156ED"/>
    <w:rsid w:val="00D1607F"/>
    <w:rsid w:val="00D16287"/>
    <w:rsid w:val="00D16F18"/>
    <w:rsid w:val="00D174F7"/>
    <w:rsid w:val="00D2041C"/>
    <w:rsid w:val="00D21F98"/>
    <w:rsid w:val="00D238C8"/>
    <w:rsid w:val="00D24BBB"/>
    <w:rsid w:val="00D25ADE"/>
    <w:rsid w:val="00D27C00"/>
    <w:rsid w:val="00D3138E"/>
    <w:rsid w:val="00D31A57"/>
    <w:rsid w:val="00D3322C"/>
    <w:rsid w:val="00D35FF3"/>
    <w:rsid w:val="00D36F91"/>
    <w:rsid w:val="00D37399"/>
    <w:rsid w:val="00D404C9"/>
    <w:rsid w:val="00D42F4E"/>
    <w:rsid w:val="00D43297"/>
    <w:rsid w:val="00D434BD"/>
    <w:rsid w:val="00D44DB6"/>
    <w:rsid w:val="00D456EC"/>
    <w:rsid w:val="00D467CE"/>
    <w:rsid w:val="00D47AB7"/>
    <w:rsid w:val="00D50119"/>
    <w:rsid w:val="00D51244"/>
    <w:rsid w:val="00D51CF6"/>
    <w:rsid w:val="00D524EE"/>
    <w:rsid w:val="00D52EDB"/>
    <w:rsid w:val="00D52F6A"/>
    <w:rsid w:val="00D53995"/>
    <w:rsid w:val="00D54842"/>
    <w:rsid w:val="00D5499F"/>
    <w:rsid w:val="00D54CEC"/>
    <w:rsid w:val="00D54D7F"/>
    <w:rsid w:val="00D57B08"/>
    <w:rsid w:val="00D60E86"/>
    <w:rsid w:val="00D61B0A"/>
    <w:rsid w:val="00D63D27"/>
    <w:rsid w:val="00D63E7B"/>
    <w:rsid w:val="00D65EE5"/>
    <w:rsid w:val="00D67DA4"/>
    <w:rsid w:val="00D70A3D"/>
    <w:rsid w:val="00D7195F"/>
    <w:rsid w:val="00D72660"/>
    <w:rsid w:val="00D737E1"/>
    <w:rsid w:val="00D75F7C"/>
    <w:rsid w:val="00D76A44"/>
    <w:rsid w:val="00D77D02"/>
    <w:rsid w:val="00D81822"/>
    <w:rsid w:val="00D82A43"/>
    <w:rsid w:val="00D83B50"/>
    <w:rsid w:val="00D84201"/>
    <w:rsid w:val="00D85A3D"/>
    <w:rsid w:val="00D85DBC"/>
    <w:rsid w:val="00D86042"/>
    <w:rsid w:val="00D87D9B"/>
    <w:rsid w:val="00D91537"/>
    <w:rsid w:val="00D92836"/>
    <w:rsid w:val="00D93048"/>
    <w:rsid w:val="00D943D0"/>
    <w:rsid w:val="00D94552"/>
    <w:rsid w:val="00D94685"/>
    <w:rsid w:val="00D94DA2"/>
    <w:rsid w:val="00D959B0"/>
    <w:rsid w:val="00D96703"/>
    <w:rsid w:val="00D9731C"/>
    <w:rsid w:val="00DA0A3F"/>
    <w:rsid w:val="00DA0CE5"/>
    <w:rsid w:val="00DA10C1"/>
    <w:rsid w:val="00DA3655"/>
    <w:rsid w:val="00DA36A6"/>
    <w:rsid w:val="00DA4693"/>
    <w:rsid w:val="00DA5D3A"/>
    <w:rsid w:val="00DA6311"/>
    <w:rsid w:val="00DA6578"/>
    <w:rsid w:val="00DA77EE"/>
    <w:rsid w:val="00DA7B5D"/>
    <w:rsid w:val="00DB00F8"/>
    <w:rsid w:val="00DB21E8"/>
    <w:rsid w:val="00DB3CC8"/>
    <w:rsid w:val="00DB7EDE"/>
    <w:rsid w:val="00DC143E"/>
    <w:rsid w:val="00DC2E7D"/>
    <w:rsid w:val="00DC5482"/>
    <w:rsid w:val="00DC618B"/>
    <w:rsid w:val="00DC6A7E"/>
    <w:rsid w:val="00DD01C5"/>
    <w:rsid w:val="00DD0A39"/>
    <w:rsid w:val="00DD0BC6"/>
    <w:rsid w:val="00DD0C33"/>
    <w:rsid w:val="00DD21BC"/>
    <w:rsid w:val="00DD399F"/>
    <w:rsid w:val="00DD491B"/>
    <w:rsid w:val="00DD4C7B"/>
    <w:rsid w:val="00DD5043"/>
    <w:rsid w:val="00DD530C"/>
    <w:rsid w:val="00DD5ABF"/>
    <w:rsid w:val="00DD73F2"/>
    <w:rsid w:val="00DE0C51"/>
    <w:rsid w:val="00DE0F63"/>
    <w:rsid w:val="00DE1D48"/>
    <w:rsid w:val="00DE2EFD"/>
    <w:rsid w:val="00DE50C6"/>
    <w:rsid w:val="00DE5973"/>
    <w:rsid w:val="00DE6156"/>
    <w:rsid w:val="00DE7169"/>
    <w:rsid w:val="00DF1370"/>
    <w:rsid w:val="00DF15B3"/>
    <w:rsid w:val="00DF28E0"/>
    <w:rsid w:val="00DF29FB"/>
    <w:rsid w:val="00DF2FA3"/>
    <w:rsid w:val="00DF3A08"/>
    <w:rsid w:val="00DF5469"/>
    <w:rsid w:val="00DF58E7"/>
    <w:rsid w:val="00DF79F1"/>
    <w:rsid w:val="00E02226"/>
    <w:rsid w:val="00E02562"/>
    <w:rsid w:val="00E03ED4"/>
    <w:rsid w:val="00E07B76"/>
    <w:rsid w:val="00E108A2"/>
    <w:rsid w:val="00E11876"/>
    <w:rsid w:val="00E14873"/>
    <w:rsid w:val="00E158FA"/>
    <w:rsid w:val="00E17C40"/>
    <w:rsid w:val="00E203E9"/>
    <w:rsid w:val="00E20465"/>
    <w:rsid w:val="00E20B30"/>
    <w:rsid w:val="00E222C1"/>
    <w:rsid w:val="00E22323"/>
    <w:rsid w:val="00E22349"/>
    <w:rsid w:val="00E23CBB"/>
    <w:rsid w:val="00E23F06"/>
    <w:rsid w:val="00E27567"/>
    <w:rsid w:val="00E30AEB"/>
    <w:rsid w:val="00E30C0C"/>
    <w:rsid w:val="00E31118"/>
    <w:rsid w:val="00E31C2A"/>
    <w:rsid w:val="00E31D78"/>
    <w:rsid w:val="00E32F82"/>
    <w:rsid w:val="00E330BD"/>
    <w:rsid w:val="00E3331B"/>
    <w:rsid w:val="00E34461"/>
    <w:rsid w:val="00E3570B"/>
    <w:rsid w:val="00E35C1A"/>
    <w:rsid w:val="00E35E90"/>
    <w:rsid w:val="00E37B59"/>
    <w:rsid w:val="00E40D44"/>
    <w:rsid w:val="00E42F60"/>
    <w:rsid w:val="00E430C8"/>
    <w:rsid w:val="00E4454D"/>
    <w:rsid w:val="00E44D69"/>
    <w:rsid w:val="00E47FF5"/>
    <w:rsid w:val="00E5052A"/>
    <w:rsid w:val="00E51572"/>
    <w:rsid w:val="00E518B4"/>
    <w:rsid w:val="00E53438"/>
    <w:rsid w:val="00E53895"/>
    <w:rsid w:val="00E5394B"/>
    <w:rsid w:val="00E541F1"/>
    <w:rsid w:val="00E54574"/>
    <w:rsid w:val="00E54D17"/>
    <w:rsid w:val="00E5665B"/>
    <w:rsid w:val="00E5752C"/>
    <w:rsid w:val="00E60084"/>
    <w:rsid w:val="00E64288"/>
    <w:rsid w:val="00E64BE9"/>
    <w:rsid w:val="00E64F2D"/>
    <w:rsid w:val="00E66B32"/>
    <w:rsid w:val="00E66F2A"/>
    <w:rsid w:val="00E725FC"/>
    <w:rsid w:val="00E74D19"/>
    <w:rsid w:val="00E76130"/>
    <w:rsid w:val="00E80178"/>
    <w:rsid w:val="00E801F1"/>
    <w:rsid w:val="00E81F50"/>
    <w:rsid w:val="00E82168"/>
    <w:rsid w:val="00E90841"/>
    <w:rsid w:val="00E92F23"/>
    <w:rsid w:val="00E93778"/>
    <w:rsid w:val="00E94D3F"/>
    <w:rsid w:val="00E952E3"/>
    <w:rsid w:val="00EA0D15"/>
    <w:rsid w:val="00EA1881"/>
    <w:rsid w:val="00EA1E82"/>
    <w:rsid w:val="00EA36C6"/>
    <w:rsid w:val="00EA3F37"/>
    <w:rsid w:val="00EA48F9"/>
    <w:rsid w:val="00EA4974"/>
    <w:rsid w:val="00EA7593"/>
    <w:rsid w:val="00EA7EAD"/>
    <w:rsid w:val="00EB197A"/>
    <w:rsid w:val="00EB6A32"/>
    <w:rsid w:val="00EB7E1E"/>
    <w:rsid w:val="00EC01CF"/>
    <w:rsid w:val="00EC03C3"/>
    <w:rsid w:val="00EC123D"/>
    <w:rsid w:val="00EC30F9"/>
    <w:rsid w:val="00EC4657"/>
    <w:rsid w:val="00EC6F80"/>
    <w:rsid w:val="00ED1EB8"/>
    <w:rsid w:val="00ED251E"/>
    <w:rsid w:val="00ED258B"/>
    <w:rsid w:val="00ED3566"/>
    <w:rsid w:val="00ED46AD"/>
    <w:rsid w:val="00ED5725"/>
    <w:rsid w:val="00ED7031"/>
    <w:rsid w:val="00ED7E8C"/>
    <w:rsid w:val="00ED7F85"/>
    <w:rsid w:val="00EE0256"/>
    <w:rsid w:val="00EE03B8"/>
    <w:rsid w:val="00EE3060"/>
    <w:rsid w:val="00EE321E"/>
    <w:rsid w:val="00EE3437"/>
    <w:rsid w:val="00EE3473"/>
    <w:rsid w:val="00EE3EB2"/>
    <w:rsid w:val="00EE4315"/>
    <w:rsid w:val="00EE4747"/>
    <w:rsid w:val="00EE49D6"/>
    <w:rsid w:val="00EE4D06"/>
    <w:rsid w:val="00EE5E35"/>
    <w:rsid w:val="00EE7F9B"/>
    <w:rsid w:val="00EF18A6"/>
    <w:rsid w:val="00EF23C7"/>
    <w:rsid w:val="00EF674B"/>
    <w:rsid w:val="00EF6925"/>
    <w:rsid w:val="00EF7FAE"/>
    <w:rsid w:val="00F007BC"/>
    <w:rsid w:val="00F023E7"/>
    <w:rsid w:val="00F056B3"/>
    <w:rsid w:val="00F0597D"/>
    <w:rsid w:val="00F11038"/>
    <w:rsid w:val="00F12118"/>
    <w:rsid w:val="00F12724"/>
    <w:rsid w:val="00F1282F"/>
    <w:rsid w:val="00F139CD"/>
    <w:rsid w:val="00F14061"/>
    <w:rsid w:val="00F15290"/>
    <w:rsid w:val="00F1698A"/>
    <w:rsid w:val="00F1771D"/>
    <w:rsid w:val="00F17C9E"/>
    <w:rsid w:val="00F26ED3"/>
    <w:rsid w:val="00F277D4"/>
    <w:rsid w:val="00F320C0"/>
    <w:rsid w:val="00F3239A"/>
    <w:rsid w:val="00F32AEA"/>
    <w:rsid w:val="00F33DD2"/>
    <w:rsid w:val="00F378C0"/>
    <w:rsid w:val="00F401F3"/>
    <w:rsid w:val="00F40641"/>
    <w:rsid w:val="00F4339A"/>
    <w:rsid w:val="00F44E3E"/>
    <w:rsid w:val="00F45955"/>
    <w:rsid w:val="00F4774D"/>
    <w:rsid w:val="00F525A5"/>
    <w:rsid w:val="00F62B7A"/>
    <w:rsid w:val="00F6397D"/>
    <w:rsid w:val="00F63DF1"/>
    <w:rsid w:val="00F65AD9"/>
    <w:rsid w:val="00F66399"/>
    <w:rsid w:val="00F670D6"/>
    <w:rsid w:val="00F6724D"/>
    <w:rsid w:val="00F70DC2"/>
    <w:rsid w:val="00F70DFA"/>
    <w:rsid w:val="00F7291C"/>
    <w:rsid w:val="00F7293E"/>
    <w:rsid w:val="00F74239"/>
    <w:rsid w:val="00F76650"/>
    <w:rsid w:val="00F771D7"/>
    <w:rsid w:val="00F77547"/>
    <w:rsid w:val="00F81267"/>
    <w:rsid w:val="00F81CAD"/>
    <w:rsid w:val="00F827EF"/>
    <w:rsid w:val="00F82B5D"/>
    <w:rsid w:val="00F851AD"/>
    <w:rsid w:val="00F86766"/>
    <w:rsid w:val="00F86A55"/>
    <w:rsid w:val="00F904AD"/>
    <w:rsid w:val="00F913B1"/>
    <w:rsid w:val="00F9187B"/>
    <w:rsid w:val="00F91A3B"/>
    <w:rsid w:val="00F920D3"/>
    <w:rsid w:val="00F92385"/>
    <w:rsid w:val="00F92E05"/>
    <w:rsid w:val="00F92F91"/>
    <w:rsid w:val="00F937FC"/>
    <w:rsid w:val="00F93824"/>
    <w:rsid w:val="00F93B68"/>
    <w:rsid w:val="00F966D3"/>
    <w:rsid w:val="00F9735E"/>
    <w:rsid w:val="00F97C28"/>
    <w:rsid w:val="00FA1B4F"/>
    <w:rsid w:val="00FA1CA8"/>
    <w:rsid w:val="00FA273F"/>
    <w:rsid w:val="00FA2FAE"/>
    <w:rsid w:val="00FA362B"/>
    <w:rsid w:val="00FA7505"/>
    <w:rsid w:val="00FB4B42"/>
    <w:rsid w:val="00FC47F9"/>
    <w:rsid w:val="00FC4903"/>
    <w:rsid w:val="00FC4997"/>
    <w:rsid w:val="00FC652C"/>
    <w:rsid w:val="00FC7CB4"/>
    <w:rsid w:val="00FD0727"/>
    <w:rsid w:val="00FD21B9"/>
    <w:rsid w:val="00FD361A"/>
    <w:rsid w:val="00FD6452"/>
    <w:rsid w:val="00FD69E7"/>
    <w:rsid w:val="00FD763B"/>
    <w:rsid w:val="00FD7E08"/>
    <w:rsid w:val="00FE0902"/>
    <w:rsid w:val="00FE2319"/>
    <w:rsid w:val="00FE2351"/>
    <w:rsid w:val="00FE337D"/>
    <w:rsid w:val="00FE3A81"/>
    <w:rsid w:val="00FE3EA1"/>
    <w:rsid w:val="00FE4095"/>
    <w:rsid w:val="00FE5580"/>
    <w:rsid w:val="00FE68A0"/>
    <w:rsid w:val="00FE693B"/>
    <w:rsid w:val="00FF046A"/>
    <w:rsid w:val="00FF054B"/>
    <w:rsid w:val="00FF05E4"/>
    <w:rsid w:val="00FF07CB"/>
    <w:rsid w:val="00FF110C"/>
    <w:rsid w:val="00FF38BE"/>
    <w:rsid w:val="00FF6174"/>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5C29"/>
  <w15:chartTrackingRefBased/>
  <w15:docId w15:val="{DF0C5556-D997-40CB-88A5-BC840C9B24F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107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694119"/>
    <w:pPr>
      <w:numPr>
        <w:ilvl w:val="2"/>
        <w:numId w:val="15"/>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F5768"/>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69411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1F5768"/>
    <w:pPr>
      <w:keepNext/>
      <w:spacing w:before="180" w:line="360" w:lineRule="auto"/>
      <w:outlineLvl w:val="0"/>
    </w:pPr>
    <w:rPr>
      <w:spacing w:val="120"/>
    </w:rPr>
  </w:style>
  <w:style w:type="paragraph" w:styleId="TOC2">
    <w:name w:val="toc 2"/>
    <w:basedOn w:val="Normal"/>
    <w:next w:val="Normal"/>
    <w:uiPriority w:val="39"/>
    <w:unhideWhenUsed/>
    <w:rsid w:val="00355B03"/>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355B03"/>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355B03"/>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table" w:customStyle="1" w:styleId="TableGrid1">
    <w:name w:val="Table Grid1"/>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6B1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292F75"/>
    <w:pPr>
      <w:ind w:left="720"/>
      <w:contextualSpacing/>
    </w:pPr>
  </w:style>
  <w:style w:type="table" w:customStyle="1" w:styleId="TableGrid9">
    <w:name w:val="Table Grid9"/>
    <w:basedOn w:val="TableNormal"/>
    <w:next w:val="TableGrid"/>
    <w:uiPriority w:val="59"/>
    <w:rsid w:val="00D373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ockQuoteH025">
    <w:name w:val="BlockQuoteH025"/>
    <w:basedOn w:val="Normal"/>
    <w:qFormat/>
    <w:rsid w:val="00CD5830"/>
    <w:pPr>
      <w:spacing w:after="120" w:line="240" w:lineRule="auto"/>
      <w:ind w:left="1080" w:right="1440" w:hanging="360"/>
    </w:pPr>
  </w:style>
  <w:style w:type="paragraph" w:customStyle="1" w:styleId="BlockQuoteBullet1">
    <w:name w:val="BlockQuoteBullet1"/>
    <w:basedOn w:val="Normal"/>
    <w:qFormat/>
    <w:rsid w:val="00CD5830"/>
    <w:pPr>
      <w:spacing w:after="120" w:line="240" w:lineRule="auto"/>
      <w:ind w:right="1440" w:firstLine="0"/>
    </w:pPr>
  </w:style>
  <w:style w:type="paragraph" w:customStyle="1" w:styleId="BlockQuoteH033">
    <w:name w:val="BlockQuoteH033"/>
    <w:basedOn w:val="Normal"/>
    <w:qFormat/>
    <w:rsid w:val="00F937FC"/>
    <w:pPr>
      <w:spacing w:after="120" w:line="240" w:lineRule="auto"/>
      <w:ind w:left="1195" w:right="1440" w:hanging="475"/>
    </w:pPr>
  </w:style>
  <w:style w:type="paragraph" w:customStyle="1" w:styleId="BlockQuoteH033subH025">
    <w:name w:val="BlockQuoteH033subH025"/>
    <w:basedOn w:val="BlockQuoteH033"/>
    <w:qFormat/>
    <w:rsid w:val="00F937FC"/>
    <w:pPr>
      <w:ind w:left="1555" w:hanging="360"/>
    </w:pPr>
  </w:style>
  <w:style w:type="paragraph" w:customStyle="1" w:styleId="StandardTableSub">
    <w:name w:val="StandardTableSub"/>
    <w:basedOn w:val="Standard"/>
    <w:rsid w:val="00F937FC"/>
    <w:pPr>
      <w:ind w:firstLine="0"/>
    </w:pPr>
    <w:rPr>
      <w:sz w:val="10"/>
    </w:rPr>
  </w:style>
  <w:style w:type="paragraph" w:customStyle="1" w:styleId="TableTitleBody">
    <w:name w:val="TableTitleBody"/>
    <w:basedOn w:val="Normal"/>
    <w:qFormat/>
    <w:rsid w:val="005927CB"/>
    <w:pPr>
      <w:keepNext/>
      <w:spacing w:after="120" w:line="240" w:lineRule="auto"/>
      <w:ind w:firstLine="0"/>
      <w:jc w:val="center"/>
    </w:pPr>
    <w:rPr>
      <w:b/>
      <w:bCs/>
    </w:rPr>
  </w:style>
  <w:style w:type="paragraph" w:customStyle="1" w:styleId="StandardFigure">
    <w:name w:val="StandardFigure"/>
    <w:basedOn w:val="Normal"/>
    <w:rsid w:val="00EE03B8"/>
    <w:pPr>
      <w:spacing w:after="240" w:line="240" w:lineRule="auto"/>
      <w:ind w:firstLine="0"/>
      <w:jc w:val="center"/>
    </w:pPr>
  </w:style>
  <w:style w:type="paragraph" w:styleId="BodyText">
    <w:name w:val="Body Text"/>
    <w:basedOn w:val="Normal"/>
    <w:link w:val="BodyTextChar"/>
    <w:unhideWhenUsed/>
    <w:rsid w:val="0039324D"/>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9324D"/>
    <w:rPr>
      <w:rFonts w:ascii="Times New Roman" w:eastAsia="Times New Roman" w:hAnsi="Times New Roman" w:cs="Times New Roman"/>
      <w:sz w:val="24"/>
      <w:szCs w:val="20"/>
    </w:rPr>
  </w:style>
  <w:style w:type="paragraph" w:customStyle="1" w:styleId="Note1">
    <w:name w:val="Note1"/>
    <w:basedOn w:val="Normal"/>
    <w:qFormat/>
    <w:rsid w:val="0039324D"/>
    <w:pPr>
      <w:spacing w:line="240" w:lineRule="auto"/>
      <w:ind w:left="533" w:hanging="533"/>
    </w:pPr>
    <w:rPr>
      <w:rFonts w:ascii="Times New Roman" w:hAnsi="Times New Roman"/>
      <w:iCs/>
      <w:sz w:val="20"/>
    </w:rPr>
  </w:style>
  <w:style w:type="paragraph" w:styleId="Revision">
    <w:name w:val="Revision"/>
    <w:hidden/>
    <w:uiPriority w:val="99"/>
    <w:semiHidden/>
    <w:rsid w:val="002D2FA8"/>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9317DA"/>
    <w:rPr>
      <w:sz w:val="16"/>
      <w:szCs w:val="16"/>
    </w:rPr>
  </w:style>
  <w:style w:type="paragraph" w:styleId="CommentText">
    <w:name w:val="annotation text"/>
    <w:basedOn w:val="Normal"/>
    <w:link w:val="CommentTextChar"/>
    <w:uiPriority w:val="99"/>
    <w:unhideWhenUsed/>
    <w:rsid w:val="009317DA"/>
    <w:pPr>
      <w:spacing w:line="240" w:lineRule="auto"/>
    </w:pPr>
    <w:rPr>
      <w:sz w:val="20"/>
      <w:szCs w:val="20"/>
    </w:rPr>
  </w:style>
  <w:style w:type="character" w:customStyle="1" w:styleId="CommentTextChar">
    <w:name w:val="Comment Text Char"/>
    <w:basedOn w:val="DefaultParagraphFont"/>
    <w:link w:val="CommentText"/>
    <w:uiPriority w:val="99"/>
    <w:rsid w:val="009317D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317DA"/>
    <w:rPr>
      <w:b/>
      <w:bCs/>
    </w:rPr>
  </w:style>
  <w:style w:type="character" w:customStyle="1" w:styleId="CommentSubjectChar">
    <w:name w:val="Comment Subject Char"/>
    <w:basedOn w:val="CommentTextChar"/>
    <w:link w:val="CommentSubject"/>
    <w:uiPriority w:val="99"/>
    <w:semiHidden/>
    <w:rsid w:val="009317DA"/>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1/K248/591248385.pdf" TargetMode="External" Id="R050fdf03d1ce47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98</ap:Pages>
  <ap:Words>22471</ap:Words>
  <ap:Characters>128090</ap:Characters>
  <ap:Application>Microsoft Office Word</ap:Application>
  <ap:DocSecurity>0</ap:DocSecurity>
  <ap:Lines>1067</ap:Lines>
  <ap:Paragraphs>300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150261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2025-12-15T14:08:21Z</dcterms:created>
  <dcterms:modified xsi:type="dcterms:W3CDTF">2025-12-15T14:08:21Z</dcterms:modified>
</cp:coreProperties>
</file>