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BB6" w:rsidP="00B11BB6" w:rsidRDefault="00887513" w14:paraId="78C7DD8F" w14:textId="77777777">
      <w:pPr>
        <w:tabs>
          <w:tab w:val="center" w:pos="4680"/>
          <w:tab w:val="right" w:pos="9360"/>
        </w:tabs>
        <w:spacing w:line="240" w:lineRule="auto"/>
        <w:ind w:firstLine="0"/>
      </w:pPr>
      <w:r>
        <w:t>COM/KDL/hma</w:t>
      </w:r>
      <w:r w:rsidR="007E0FEE">
        <w:tab/>
      </w:r>
      <w:r w:rsidR="00B11BB6">
        <w:t xml:space="preserve">          </w:t>
      </w:r>
      <w:r w:rsidR="00DA7B5D">
        <w:rPr>
          <w:rFonts w:ascii="Arial" w:hAnsi="Arial" w:cs="Arial"/>
          <w:b/>
          <w:sz w:val="32"/>
          <w:szCs w:val="32"/>
        </w:rPr>
        <w:t>PROPOSED DECISION</w:t>
      </w:r>
      <w:r w:rsidR="00B11BB6">
        <w:t xml:space="preserve">  </w:t>
      </w:r>
      <w:r w:rsidRPr="00EE4315" w:rsidR="00DA7B5D">
        <w:rPr>
          <w:b/>
        </w:rPr>
        <w:t>Agenda ID #</w:t>
      </w:r>
      <w:r w:rsidRPr="006C0FDD" w:rsidR="006C0FDD">
        <w:rPr>
          <w:b/>
          <w:bCs/>
        </w:rPr>
        <w:t>23855</w:t>
      </w:r>
      <w:r w:rsidR="00B11BB6">
        <w:rPr>
          <w:b/>
          <w:bCs/>
        </w:rPr>
        <w:t xml:space="preserve"> (Rev.1)</w:t>
      </w:r>
    </w:p>
    <w:p w:rsidR="00DA7B5D" w:rsidP="00B11BB6" w:rsidRDefault="00887513" w14:paraId="57399640" w14:textId="480EBF26">
      <w:pPr>
        <w:tabs>
          <w:tab w:val="center" w:pos="4680"/>
          <w:tab w:val="right" w:pos="9360"/>
        </w:tabs>
        <w:spacing w:line="240" w:lineRule="auto"/>
        <w:ind w:firstLine="0"/>
        <w:jc w:val="right"/>
        <w:rPr>
          <w:b/>
        </w:rPr>
      </w:pPr>
      <w:r>
        <w:rPr>
          <w:b/>
        </w:rPr>
        <w:t>Quasi-Legislative</w:t>
      </w:r>
    </w:p>
    <w:p w:rsidRPr="00EE4315" w:rsidR="00B11BB6" w:rsidP="00B11BB6" w:rsidRDefault="00B11BB6" w14:paraId="7F9ED7BA" w14:textId="4D047106">
      <w:pPr>
        <w:tabs>
          <w:tab w:val="center" w:pos="4680"/>
          <w:tab w:val="right" w:pos="9360"/>
        </w:tabs>
        <w:spacing w:line="240" w:lineRule="auto"/>
        <w:ind w:firstLine="0"/>
        <w:jc w:val="right"/>
        <w:rPr>
          <w:b/>
        </w:rPr>
      </w:pPr>
      <w:r>
        <w:rPr>
          <w:b/>
        </w:rPr>
        <w:t>12/15/2025 Item #32</w:t>
      </w:r>
    </w:p>
    <w:p w:rsidR="00DA7B5D" w:rsidP="00B11BB6" w:rsidRDefault="00DA7B5D" w14:paraId="5745F42F" w14:textId="77777777">
      <w:pPr>
        <w:spacing w:line="240" w:lineRule="auto"/>
        <w:ind w:firstLine="0"/>
      </w:pPr>
    </w:p>
    <w:p w:rsidR="00110D03" w:rsidP="00B11BB6" w:rsidRDefault="00110D03" w14:paraId="5A3B7113" w14:textId="77777777">
      <w:pPr>
        <w:spacing w:line="240" w:lineRule="auto"/>
        <w:ind w:firstLine="0"/>
      </w:pPr>
    </w:p>
    <w:p w:rsidR="00381655" w:rsidP="00381655" w:rsidRDefault="00DA7B5D" w14:paraId="4D922BCB" w14:textId="77777777">
      <w:pPr>
        <w:spacing w:line="240" w:lineRule="auto"/>
        <w:ind w:left="1080" w:hanging="1080"/>
        <w:rPr>
          <w:b/>
          <w:bCs/>
          <w:u w:val="single"/>
        </w:rPr>
      </w:pPr>
      <w:r>
        <w:t xml:space="preserve">Decision </w:t>
      </w:r>
      <w:r w:rsidRPr="00FD664E" w:rsidR="00FD664E">
        <w:rPr>
          <w:b/>
          <w:bCs/>
          <w:u w:val="single"/>
        </w:rPr>
        <w:t xml:space="preserve">PROPOSED DECISION OF </w:t>
      </w:r>
      <w:r w:rsidR="008B6629">
        <w:rPr>
          <w:b/>
          <w:bCs/>
          <w:u w:val="single"/>
        </w:rPr>
        <w:t>COMMISSIONER DOUGLAS</w:t>
      </w:r>
      <w:r w:rsidR="00381655">
        <w:rPr>
          <w:b/>
          <w:bCs/>
          <w:u w:val="single"/>
        </w:rPr>
        <w:t xml:space="preserve"> </w:t>
      </w:r>
    </w:p>
    <w:p w:rsidRPr="00FD664E" w:rsidR="00DA7B5D" w:rsidP="00381655" w:rsidRDefault="00FD664E" w14:paraId="31B58E3C" w14:textId="5DBD988C">
      <w:pPr>
        <w:spacing w:line="240" w:lineRule="auto"/>
        <w:ind w:left="1080" w:firstLine="0"/>
        <w:rPr>
          <w:b/>
          <w:bCs/>
          <w:u w:val="single"/>
        </w:rPr>
      </w:pPr>
      <w:r w:rsidRPr="00FD664E">
        <w:rPr>
          <w:b/>
          <w:bCs/>
          <w:u w:val="single"/>
        </w:rPr>
        <w:t>(Mailed 11/13/2025)</w:t>
      </w:r>
    </w:p>
    <w:p w:rsidR="00DA7B5D" w:rsidP="00BB0243" w:rsidRDefault="00DA7B5D" w14:paraId="1D1E6180" w14:textId="77777777">
      <w:pPr>
        <w:spacing w:line="240" w:lineRule="auto"/>
        <w:jc w:val="center"/>
        <w:rPr>
          <w:u w:val="single"/>
        </w:rPr>
      </w:pPr>
    </w:p>
    <w:p w:rsidR="00381655" w:rsidP="00BB0243" w:rsidRDefault="00381655" w14:paraId="31AFA168" w14:textId="77777777">
      <w:pPr>
        <w:spacing w:line="240" w:lineRule="auto"/>
        <w:jc w:val="center"/>
        <w:rPr>
          <w:u w:val="single"/>
        </w:rPr>
      </w:pPr>
    </w:p>
    <w:p w:rsidR="00DA7B5D" w:rsidP="00BB0243" w:rsidRDefault="00DA7B5D" w14:paraId="318F2CD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CB7F691"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421ED210"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8967D4" w14:paraId="187AF6F0" w14:textId="2CD4D147">
            <w:pPr>
              <w:spacing w:line="240" w:lineRule="auto"/>
              <w:ind w:firstLine="0"/>
              <w:rPr>
                <w:rFonts w:cs="Arial"/>
                <w:szCs w:val="26"/>
              </w:rPr>
            </w:pPr>
            <w:r>
              <w:rPr>
                <w:rFonts w:cs="Arial"/>
                <w:szCs w:val="26"/>
              </w:rPr>
              <w:t>Order Instituting Rulemaking to Establish Policies, Processes, and Rules to Ensure Safe and Reliable Gas Systems in California and Perform Long-Term Gas System Planning.</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8967D4" w14:paraId="40601BFF" w14:textId="1B0D0B0F">
            <w:pPr>
              <w:spacing w:line="240" w:lineRule="auto"/>
              <w:ind w:firstLine="0"/>
              <w:jc w:val="center"/>
              <w:rPr>
                <w:rFonts w:cs="Arial"/>
                <w:szCs w:val="26"/>
              </w:rPr>
            </w:pPr>
            <w:r>
              <w:rPr>
                <w:rFonts w:cs="Arial"/>
                <w:szCs w:val="26"/>
              </w:rPr>
              <w:t>Rulemaking 24-09-012</w:t>
            </w:r>
          </w:p>
        </w:tc>
      </w:tr>
    </w:tbl>
    <w:p w:rsidR="00DA7B5D" w:rsidP="008F0116" w:rsidRDefault="00DA7B5D" w14:paraId="336D9424" w14:textId="77777777">
      <w:pPr>
        <w:spacing w:line="240" w:lineRule="auto"/>
        <w:ind w:firstLine="0"/>
        <w:rPr>
          <w:rFonts w:ascii="Arial" w:hAnsi="Arial" w:cs="Arial"/>
          <w:sz w:val="24"/>
          <w:szCs w:val="24"/>
        </w:rPr>
      </w:pPr>
    </w:p>
    <w:p w:rsidR="00DA7B5D" w:rsidP="008F0116" w:rsidRDefault="00DA7B5D" w14:paraId="0DD90B3D" w14:textId="77777777">
      <w:pPr>
        <w:spacing w:line="240" w:lineRule="auto"/>
        <w:ind w:firstLine="0"/>
        <w:rPr>
          <w:rFonts w:ascii="Arial" w:hAnsi="Arial" w:cs="Arial"/>
          <w:sz w:val="24"/>
          <w:szCs w:val="24"/>
        </w:rPr>
      </w:pPr>
    </w:p>
    <w:p w:rsidRPr="00F92385" w:rsidR="00F92385" w:rsidP="00B3087D" w:rsidRDefault="008967D4" w14:paraId="5A90D4B0" w14:textId="5C6CE6C6">
      <w:pPr>
        <w:pStyle w:val="Dummy"/>
        <w:jc w:val="center"/>
        <w:sectPr w:rsidRPr="00F92385" w:rsidR="00F92385" w:rsidSect="00C9459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bookmarkStart w:name="_Toc216699672" w:id="0"/>
      <w:r>
        <w:t xml:space="preserve">DECISION DESIGNATING </w:t>
      </w:r>
      <w:r w:rsidR="004D683C">
        <w:t xml:space="preserve">INITIAL </w:t>
      </w:r>
      <w:r>
        <w:t>PRIORITY NEIGHBORHOOD DECARBONIZATION ZONES</w:t>
      </w:r>
      <w:bookmarkEnd w:id="0"/>
    </w:p>
    <w:p w:rsidRPr="001E2A62" w:rsidR="00D50119" w:rsidP="00F76650" w:rsidRDefault="00D50119" w14:paraId="013C4041"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7F79A8B2" w14:textId="43142B31">
      <w:pPr>
        <w:tabs>
          <w:tab w:val="right" w:pos="9360"/>
        </w:tabs>
        <w:ind w:firstLine="0"/>
      </w:pPr>
      <w:r>
        <w:tab/>
      </w:r>
      <w:r w:rsidRPr="00D50119">
        <w:rPr>
          <w:b/>
        </w:rPr>
        <w:t>Page</w:t>
      </w:r>
    </w:p>
    <w:sdt>
      <w:sdtPr>
        <w:id w:val="-1224440197"/>
        <w:docPartObj>
          <w:docPartGallery w:val="Table of Contents"/>
          <w:docPartUnique/>
        </w:docPartObj>
      </w:sdtPr>
      <w:sdtEndPr>
        <w:rPr>
          <w:b/>
          <w:bCs/>
          <w:noProof/>
        </w:rPr>
      </w:sdtEndPr>
      <w:sdtContent>
        <w:p w:rsidR="003465C8" w:rsidRDefault="008C7413" w14:paraId="5E119568" w14:textId="48514678">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6699672">
            <w:r w:rsidRPr="00D31CC1" w:rsidR="003465C8">
              <w:rPr>
                <w:rStyle w:val="Hyperlink"/>
                <w:noProof/>
              </w:rPr>
              <w:t>DECISION DESIGNATING INITIAL PRIORITY NEIGHBORHOOD DECARBONIZATION ZONES</w:t>
            </w:r>
            <w:r w:rsidR="003465C8">
              <w:rPr>
                <w:noProof/>
                <w:webHidden/>
              </w:rPr>
              <w:tab/>
            </w:r>
            <w:r w:rsidR="003465C8">
              <w:rPr>
                <w:noProof/>
                <w:webHidden/>
              </w:rPr>
              <w:fldChar w:fldCharType="begin"/>
            </w:r>
            <w:r w:rsidR="003465C8">
              <w:rPr>
                <w:noProof/>
                <w:webHidden/>
              </w:rPr>
              <w:instrText xml:space="preserve"> PAGEREF _Toc216699672 \h </w:instrText>
            </w:r>
            <w:r w:rsidR="003465C8">
              <w:rPr>
                <w:noProof/>
                <w:webHidden/>
              </w:rPr>
            </w:r>
            <w:r w:rsidR="003465C8">
              <w:rPr>
                <w:noProof/>
                <w:webHidden/>
              </w:rPr>
              <w:fldChar w:fldCharType="separate"/>
            </w:r>
            <w:r w:rsidR="001C3467">
              <w:rPr>
                <w:noProof/>
                <w:webHidden/>
              </w:rPr>
              <w:t>1</w:t>
            </w:r>
            <w:r w:rsidR="003465C8">
              <w:rPr>
                <w:noProof/>
                <w:webHidden/>
              </w:rPr>
              <w:fldChar w:fldCharType="end"/>
            </w:r>
          </w:hyperlink>
        </w:p>
        <w:p w:rsidR="003465C8" w:rsidRDefault="003465C8" w14:paraId="639D92CB" w14:textId="34A65E35">
          <w:pPr>
            <w:pStyle w:val="TOC1"/>
            <w:tabs>
              <w:tab w:val="right" w:leader="dot" w:pos="9350"/>
            </w:tabs>
            <w:rPr>
              <w:rFonts w:asciiTheme="minorHAnsi" w:hAnsiTheme="minorHAnsi" w:cstheme="minorBidi"/>
              <w:noProof/>
              <w:kern w:val="2"/>
              <w:sz w:val="24"/>
              <w:szCs w:val="24"/>
              <w14:ligatures w14:val="standardContextual"/>
            </w:rPr>
          </w:pPr>
          <w:hyperlink w:history="1" w:anchor="_Toc216699673">
            <w:r w:rsidRPr="00D31CC1">
              <w:rPr>
                <w:rStyle w:val="Hyperlink"/>
                <w:noProof/>
              </w:rPr>
              <w:t>Summary</w:t>
            </w:r>
            <w:r>
              <w:rPr>
                <w:noProof/>
                <w:webHidden/>
              </w:rPr>
              <w:tab/>
            </w:r>
            <w:r>
              <w:rPr>
                <w:noProof/>
                <w:webHidden/>
              </w:rPr>
              <w:fldChar w:fldCharType="begin"/>
            </w:r>
            <w:r>
              <w:rPr>
                <w:noProof/>
                <w:webHidden/>
              </w:rPr>
              <w:instrText xml:space="preserve"> PAGEREF _Toc216699673 \h </w:instrText>
            </w:r>
            <w:r>
              <w:rPr>
                <w:noProof/>
                <w:webHidden/>
              </w:rPr>
            </w:r>
            <w:r>
              <w:rPr>
                <w:noProof/>
                <w:webHidden/>
              </w:rPr>
              <w:fldChar w:fldCharType="separate"/>
            </w:r>
            <w:r w:rsidR="001C3467">
              <w:rPr>
                <w:noProof/>
                <w:webHidden/>
              </w:rPr>
              <w:t>2</w:t>
            </w:r>
            <w:r>
              <w:rPr>
                <w:noProof/>
                <w:webHidden/>
              </w:rPr>
              <w:fldChar w:fldCharType="end"/>
            </w:r>
          </w:hyperlink>
        </w:p>
        <w:p w:rsidR="003465C8" w:rsidRDefault="003465C8" w14:paraId="2F1551AF" w14:textId="5DF5B2A7">
          <w:pPr>
            <w:pStyle w:val="TOC1"/>
            <w:tabs>
              <w:tab w:val="right" w:leader="dot" w:pos="9350"/>
            </w:tabs>
            <w:rPr>
              <w:rFonts w:asciiTheme="minorHAnsi" w:hAnsiTheme="minorHAnsi" w:cstheme="minorBidi"/>
              <w:noProof/>
              <w:kern w:val="2"/>
              <w:sz w:val="24"/>
              <w:szCs w:val="24"/>
              <w14:ligatures w14:val="standardContextual"/>
            </w:rPr>
          </w:pPr>
          <w:hyperlink w:history="1" w:anchor="_Toc216699674">
            <w:r w:rsidRPr="00D31CC1">
              <w:rPr>
                <w:rStyle w:val="Hyperlink"/>
                <w:noProof/>
              </w:rPr>
              <w:t>1.</w:t>
            </w:r>
            <w:r>
              <w:rPr>
                <w:rFonts w:asciiTheme="minorHAnsi" w:hAnsiTheme="minorHAnsi" w:cstheme="minorBidi"/>
                <w:noProof/>
                <w:kern w:val="2"/>
                <w:sz w:val="24"/>
                <w:szCs w:val="24"/>
                <w14:ligatures w14:val="standardContextual"/>
              </w:rPr>
              <w:tab/>
            </w:r>
            <w:r w:rsidRPr="00D31CC1">
              <w:rPr>
                <w:rStyle w:val="Hyperlink"/>
                <w:noProof/>
              </w:rPr>
              <w:t>Background</w:t>
            </w:r>
            <w:r>
              <w:rPr>
                <w:noProof/>
                <w:webHidden/>
              </w:rPr>
              <w:tab/>
            </w:r>
            <w:r>
              <w:rPr>
                <w:noProof/>
                <w:webHidden/>
              </w:rPr>
              <w:fldChar w:fldCharType="begin"/>
            </w:r>
            <w:r>
              <w:rPr>
                <w:noProof/>
                <w:webHidden/>
              </w:rPr>
              <w:instrText xml:space="preserve"> PAGEREF _Toc216699674 \h </w:instrText>
            </w:r>
            <w:r>
              <w:rPr>
                <w:noProof/>
                <w:webHidden/>
              </w:rPr>
            </w:r>
            <w:r>
              <w:rPr>
                <w:noProof/>
                <w:webHidden/>
              </w:rPr>
              <w:fldChar w:fldCharType="separate"/>
            </w:r>
            <w:r w:rsidR="001C3467">
              <w:rPr>
                <w:noProof/>
                <w:webHidden/>
              </w:rPr>
              <w:t>2</w:t>
            </w:r>
            <w:r>
              <w:rPr>
                <w:noProof/>
                <w:webHidden/>
              </w:rPr>
              <w:fldChar w:fldCharType="end"/>
            </w:r>
          </w:hyperlink>
        </w:p>
        <w:p w:rsidR="003465C8" w:rsidRDefault="003465C8" w14:paraId="5FEB7B8B" w14:textId="101309EA">
          <w:pPr>
            <w:pStyle w:val="TOC2"/>
            <w:tabs>
              <w:tab w:val="right" w:leader="dot" w:pos="9350"/>
            </w:tabs>
            <w:rPr>
              <w:rFonts w:asciiTheme="minorHAnsi" w:hAnsiTheme="minorHAnsi" w:cstheme="minorBidi"/>
              <w:noProof/>
              <w:kern w:val="2"/>
              <w:sz w:val="24"/>
              <w:szCs w:val="24"/>
              <w14:ligatures w14:val="standardContextual"/>
            </w:rPr>
          </w:pPr>
          <w:hyperlink w:history="1" w:anchor="_Toc216699675">
            <w:r w:rsidRPr="00D31CC1">
              <w:rPr>
                <w:rStyle w:val="Hyperlink"/>
                <w:noProof/>
              </w:rPr>
              <w:t>1.1.</w:t>
            </w:r>
            <w:r>
              <w:rPr>
                <w:rFonts w:asciiTheme="minorHAnsi" w:hAnsiTheme="minorHAnsi" w:cstheme="minorBidi"/>
                <w:noProof/>
                <w:kern w:val="2"/>
                <w:sz w:val="24"/>
                <w:szCs w:val="24"/>
                <w14:ligatures w14:val="standardContextual"/>
              </w:rPr>
              <w:tab/>
            </w:r>
            <w:r w:rsidRPr="00D31CC1">
              <w:rPr>
                <w:rStyle w:val="Hyperlink"/>
                <w:noProof/>
              </w:rPr>
              <w:t>Submission Date</w:t>
            </w:r>
            <w:r>
              <w:rPr>
                <w:noProof/>
                <w:webHidden/>
              </w:rPr>
              <w:tab/>
            </w:r>
            <w:r>
              <w:rPr>
                <w:noProof/>
                <w:webHidden/>
              </w:rPr>
              <w:fldChar w:fldCharType="begin"/>
            </w:r>
            <w:r>
              <w:rPr>
                <w:noProof/>
                <w:webHidden/>
              </w:rPr>
              <w:instrText xml:space="preserve"> PAGEREF _Toc216699675 \h </w:instrText>
            </w:r>
            <w:r>
              <w:rPr>
                <w:noProof/>
                <w:webHidden/>
              </w:rPr>
            </w:r>
            <w:r>
              <w:rPr>
                <w:noProof/>
                <w:webHidden/>
              </w:rPr>
              <w:fldChar w:fldCharType="separate"/>
            </w:r>
            <w:r w:rsidR="001C3467">
              <w:rPr>
                <w:noProof/>
                <w:webHidden/>
              </w:rPr>
              <w:t>5</w:t>
            </w:r>
            <w:r>
              <w:rPr>
                <w:noProof/>
                <w:webHidden/>
              </w:rPr>
              <w:fldChar w:fldCharType="end"/>
            </w:r>
          </w:hyperlink>
        </w:p>
        <w:p w:rsidR="003465C8" w:rsidRDefault="003465C8" w14:paraId="67EF5C95" w14:textId="05A5CE4F">
          <w:pPr>
            <w:pStyle w:val="TOC1"/>
            <w:tabs>
              <w:tab w:val="right" w:leader="dot" w:pos="9350"/>
            </w:tabs>
            <w:rPr>
              <w:rFonts w:asciiTheme="minorHAnsi" w:hAnsiTheme="minorHAnsi" w:cstheme="minorBidi"/>
              <w:noProof/>
              <w:kern w:val="2"/>
              <w:sz w:val="24"/>
              <w:szCs w:val="24"/>
              <w14:ligatures w14:val="standardContextual"/>
            </w:rPr>
          </w:pPr>
          <w:hyperlink w:history="1" w:anchor="_Toc216699676">
            <w:r w:rsidRPr="00D31CC1">
              <w:rPr>
                <w:rStyle w:val="Hyperlink"/>
                <w:noProof/>
              </w:rPr>
              <w:t>2.</w:t>
            </w:r>
            <w:r>
              <w:rPr>
                <w:rFonts w:asciiTheme="minorHAnsi" w:hAnsiTheme="minorHAnsi" w:cstheme="minorBidi"/>
                <w:noProof/>
                <w:kern w:val="2"/>
                <w:sz w:val="24"/>
                <w:szCs w:val="24"/>
                <w14:ligatures w14:val="standardContextual"/>
              </w:rPr>
              <w:tab/>
            </w:r>
            <w:r w:rsidRPr="00D31CC1">
              <w:rPr>
                <w:rStyle w:val="Hyperlink"/>
                <w:noProof/>
              </w:rPr>
              <w:t>Issues Before the Commission</w:t>
            </w:r>
            <w:r>
              <w:rPr>
                <w:noProof/>
                <w:webHidden/>
              </w:rPr>
              <w:tab/>
            </w:r>
            <w:r>
              <w:rPr>
                <w:noProof/>
                <w:webHidden/>
              </w:rPr>
              <w:fldChar w:fldCharType="begin"/>
            </w:r>
            <w:r>
              <w:rPr>
                <w:noProof/>
                <w:webHidden/>
              </w:rPr>
              <w:instrText xml:space="preserve"> PAGEREF _Toc216699676 \h </w:instrText>
            </w:r>
            <w:r>
              <w:rPr>
                <w:noProof/>
                <w:webHidden/>
              </w:rPr>
            </w:r>
            <w:r>
              <w:rPr>
                <w:noProof/>
                <w:webHidden/>
              </w:rPr>
              <w:fldChar w:fldCharType="separate"/>
            </w:r>
            <w:r w:rsidR="001C3467">
              <w:rPr>
                <w:noProof/>
                <w:webHidden/>
              </w:rPr>
              <w:t>5</w:t>
            </w:r>
            <w:r>
              <w:rPr>
                <w:noProof/>
                <w:webHidden/>
              </w:rPr>
              <w:fldChar w:fldCharType="end"/>
            </w:r>
          </w:hyperlink>
        </w:p>
        <w:p w:rsidR="003465C8" w:rsidRDefault="003465C8" w14:paraId="64BFBF35" w14:textId="1CFD24DE">
          <w:pPr>
            <w:pStyle w:val="TOC1"/>
            <w:tabs>
              <w:tab w:val="right" w:leader="dot" w:pos="9350"/>
            </w:tabs>
            <w:rPr>
              <w:rFonts w:asciiTheme="minorHAnsi" w:hAnsiTheme="minorHAnsi" w:cstheme="minorBidi"/>
              <w:noProof/>
              <w:kern w:val="2"/>
              <w:sz w:val="24"/>
              <w:szCs w:val="24"/>
              <w14:ligatures w14:val="standardContextual"/>
            </w:rPr>
          </w:pPr>
          <w:hyperlink w:history="1" w:anchor="_Toc216699677">
            <w:r w:rsidRPr="00D31CC1">
              <w:rPr>
                <w:rStyle w:val="Hyperlink"/>
                <w:noProof/>
              </w:rPr>
              <w:t>3.</w:t>
            </w:r>
            <w:r>
              <w:rPr>
                <w:rFonts w:asciiTheme="minorHAnsi" w:hAnsiTheme="minorHAnsi" w:cstheme="minorBidi"/>
                <w:noProof/>
                <w:kern w:val="2"/>
                <w:sz w:val="24"/>
                <w:szCs w:val="24"/>
                <w14:ligatures w14:val="standardContextual"/>
              </w:rPr>
              <w:tab/>
            </w:r>
            <w:r w:rsidRPr="00D31CC1">
              <w:rPr>
                <w:rStyle w:val="Hyperlink"/>
                <w:noProof/>
              </w:rPr>
              <w:t>Discussion</w:t>
            </w:r>
            <w:r>
              <w:rPr>
                <w:noProof/>
                <w:webHidden/>
              </w:rPr>
              <w:tab/>
            </w:r>
            <w:r>
              <w:rPr>
                <w:noProof/>
                <w:webHidden/>
              </w:rPr>
              <w:fldChar w:fldCharType="begin"/>
            </w:r>
            <w:r>
              <w:rPr>
                <w:noProof/>
                <w:webHidden/>
              </w:rPr>
              <w:instrText xml:space="preserve"> PAGEREF _Toc216699677 \h </w:instrText>
            </w:r>
            <w:r>
              <w:rPr>
                <w:noProof/>
                <w:webHidden/>
              </w:rPr>
            </w:r>
            <w:r>
              <w:rPr>
                <w:noProof/>
                <w:webHidden/>
              </w:rPr>
              <w:fldChar w:fldCharType="separate"/>
            </w:r>
            <w:r w:rsidR="001C3467">
              <w:rPr>
                <w:noProof/>
                <w:webHidden/>
              </w:rPr>
              <w:t>5</w:t>
            </w:r>
            <w:r>
              <w:rPr>
                <w:noProof/>
                <w:webHidden/>
              </w:rPr>
              <w:fldChar w:fldCharType="end"/>
            </w:r>
          </w:hyperlink>
        </w:p>
        <w:p w:rsidR="003465C8" w:rsidRDefault="003465C8" w14:paraId="2B17307E" w14:textId="71C34138">
          <w:pPr>
            <w:pStyle w:val="TOC2"/>
            <w:tabs>
              <w:tab w:val="right" w:leader="dot" w:pos="9350"/>
            </w:tabs>
            <w:rPr>
              <w:rFonts w:asciiTheme="minorHAnsi" w:hAnsiTheme="minorHAnsi" w:cstheme="minorBidi"/>
              <w:noProof/>
              <w:kern w:val="2"/>
              <w:sz w:val="24"/>
              <w:szCs w:val="24"/>
              <w14:ligatures w14:val="standardContextual"/>
            </w:rPr>
          </w:pPr>
          <w:hyperlink w:history="1" w:anchor="_Toc216699678">
            <w:r w:rsidRPr="00D31CC1">
              <w:rPr>
                <w:rStyle w:val="Hyperlink"/>
                <w:noProof/>
              </w:rPr>
              <w:t>3.1.</w:t>
            </w:r>
            <w:r>
              <w:rPr>
                <w:rFonts w:asciiTheme="minorHAnsi" w:hAnsiTheme="minorHAnsi" w:cstheme="minorBidi"/>
                <w:noProof/>
                <w:kern w:val="2"/>
                <w:sz w:val="24"/>
                <w:szCs w:val="24"/>
                <w14:ligatures w14:val="standardContextual"/>
              </w:rPr>
              <w:tab/>
            </w:r>
            <w:r w:rsidRPr="00D31CC1">
              <w:rPr>
                <w:rStyle w:val="Hyperlink"/>
                <w:noProof/>
              </w:rPr>
              <w:t>Legal Standard</w:t>
            </w:r>
            <w:r>
              <w:rPr>
                <w:noProof/>
                <w:webHidden/>
              </w:rPr>
              <w:tab/>
            </w:r>
            <w:r>
              <w:rPr>
                <w:noProof/>
                <w:webHidden/>
              </w:rPr>
              <w:fldChar w:fldCharType="begin"/>
            </w:r>
            <w:r>
              <w:rPr>
                <w:noProof/>
                <w:webHidden/>
              </w:rPr>
              <w:instrText xml:space="preserve"> PAGEREF _Toc216699678 \h </w:instrText>
            </w:r>
            <w:r>
              <w:rPr>
                <w:noProof/>
                <w:webHidden/>
              </w:rPr>
            </w:r>
            <w:r>
              <w:rPr>
                <w:noProof/>
                <w:webHidden/>
              </w:rPr>
              <w:fldChar w:fldCharType="separate"/>
            </w:r>
            <w:r w:rsidR="001C3467">
              <w:rPr>
                <w:noProof/>
                <w:webHidden/>
              </w:rPr>
              <w:t>5</w:t>
            </w:r>
            <w:r>
              <w:rPr>
                <w:noProof/>
                <w:webHidden/>
              </w:rPr>
              <w:fldChar w:fldCharType="end"/>
            </w:r>
          </w:hyperlink>
        </w:p>
        <w:p w:rsidR="003465C8" w:rsidRDefault="003465C8" w14:paraId="33AC1C41" w14:textId="462CA23D">
          <w:pPr>
            <w:pStyle w:val="TOC2"/>
            <w:tabs>
              <w:tab w:val="right" w:leader="dot" w:pos="9350"/>
            </w:tabs>
            <w:rPr>
              <w:rFonts w:asciiTheme="minorHAnsi" w:hAnsiTheme="minorHAnsi" w:cstheme="minorBidi"/>
              <w:noProof/>
              <w:kern w:val="2"/>
              <w:sz w:val="24"/>
              <w:szCs w:val="24"/>
              <w14:ligatures w14:val="standardContextual"/>
            </w:rPr>
          </w:pPr>
          <w:hyperlink w:history="1" w:anchor="_Toc216699679">
            <w:r w:rsidRPr="00D31CC1">
              <w:rPr>
                <w:rStyle w:val="Hyperlink"/>
                <w:noProof/>
              </w:rPr>
              <w:t>3.2.</w:t>
            </w:r>
            <w:r>
              <w:rPr>
                <w:rFonts w:asciiTheme="minorHAnsi" w:hAnsiTheme="minorHAnsi" w:cstheme="minorBidi"/>
                <w:noProof/>
                <w:kern w:val="2"/>
                <w:sz w:val="24"/>
                <w:szCs w:val="24"/>
                <w14:ligatures w14:val="standardContextual"/>
              </w:rPr>
              <w:tab/>
            </w:r>
            <w:r w:rsidRPr="00D31CC1">
              <w:rPr>
                <w:rStyle w:val="Hyperlink"/>
                <w:noProof/>
              </w:rPr>
              <w:t>Record</w:t>
            </w:r>
            <w:r>
              <w:rPr>
                <w:noProof/>
                <w:webHidden/>
              </w:rPr>
              <w:tab/>
            </w:r>
            <w:r>
              <w:rPr>
                <w:noProof/>
                <w:webHidden/>
              </w:rPr>
              <w:fldChar w:fldCharType="begin"/>
            </w:r>
            <w:r>
              <w:rPr>
                <w:noProof/>
                <w:webHidden/>
              </w:rPr>
              <w:instrText xml:space="preserve"> PAGEREF _Toc216699679 \h </w:instrText>
            </w:r>
            <w:r>
              <w:rPr>
                <w:noProof/>
                <w:webHidden/>
              </w:rPr>
            </w:r>
            <w:r>
              <w:rPr>
                <w:noProof/>
                <w:webHidden/>
              </w:rPr>
              <w:fldChar w:fldCharType="separate"/>
            </w:r>
            <w:r w:rsidR="001C3467">
              <w:rPr>
                <w:noProof/>
                <w:webHidden/>
              </w:rPr>
              <w:t>7</w:t>
            </w:r>
            <w:r>
              <w:rPr>
                <w:noProof/>
                <w:webHidden/>
              </w:rPr>
              <w:fldChar w:fldCharType="end"/>
            </w:r>
          </w:hyperlink>
        </w:p>
        <w:p w:rsidR="003465C8" w:rsidRDefault="003465C8" w14:paraId="6CC4B237" w14:textId="14760E5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699680">
            <w:r w:rsidRPr="00D31CC1">
              <w:rPr>
                <w:rStyle w:val="Hyperlink"/>
                <w:noProof/>
              </w:rPr>
              <w:t>3.2.1.</w:t>
            </w:r>
            <w:r>
              <w:rPr>
                <w:rFonts w:asciiTheme="minorHAnsi" w:hAnsiTheme="minorHAnsi" w:cstheme="minorBidi"/>
                <w:noProof/>
                <w:kern w:val="2"/>
                <w:sz w:val="24"/>
                <w:szCs w:val="24"/>
                <w14:ligatures w14:val="standardContextual"/>
              </w:rPr>
              <w:tab/>
            </w:r>
            <w:r w:rsidRPr="00D31CC1">
              <w:rPr>
                <w:rStyle w:val="Hyperlink"/>
                <w:noProof/>
              </w:rPr>
              <w:t>Gas Corporations’ Recommendations</w:t>
            </w:r>
            <w:r>
              <w:rPr>
                <w:noProof/>
                <w:webHidden/>
              </w:rPr>
              <w:tab/>
            </w:r>
            <w:r>
              <w:rPr>
                <w:noProof/>
                <w:webHidden/>
              </w:rPr>
              <w:fldChar w:fldCharType="begin"/>
            </w:r>
            <w:r>
              <w:rPr>
                <w:noProof/>
                <w:webHidden/>
              </w:rPr>
              <w:instrText xml:space="preserve"> PAGEREF _Toc216699680 \h </w:instrText>
            </w:r>
            <w:r>
              <w:rPr>
                <w:noProof/>
                <w:webHidden/>
              </w:rPr>
            </w:r>
            <w:r>
              <w:rPr>
                <w:noProof/>
                <w:webHidden/>
              </w:rPr>
              <w:fldChar w:fldCharType="separate"/>
            </w:r>
            <w:r w:rsidR="001C3467">
              <w:rPr>
                <w:noProof/>
                <w:webHidden/>
              </w:rPr>
              <w:t>7</w:t>
            </w:r>
            <w:r>
              <w:rPr>
                <w:noProof/>
                <w:webHidden/>
              </w:rPr>
              <w:fldChar w:fldCharType="end"/>
            </w:r>
          </w:hyperlink>
        </w:p>
        <w:p w:rsidR="003465C8" w:rsidRDefault="003465C8" w14:paraId="50F5E88F" w14:textId="066D028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699681">
            <w:r w:rsidRPr="00D31CC1">
              <w:rPr>
                <w:rStyle w:val="Hyperlink"/>
                <w:noProof/>
              </w:rPr>
              <w:t>3.2.2.</w:t>
            </w:r>
            <w:r>
              <w:rPr>
                <w:rFonts w:asciiTheme="minorHAnsi" w:hAnsiTheme="minorHAnsi" w:cstheme="minorBidi"/>
                <w:noProof/>
                <w:kern w:val="2"/>
                <w:sz w:val="24"/>
                <w:szCs w:val="24"/>
                <w14:ligatures w14:val="standardContextual"/>
              </w:rPr>
              <w:tab/>
            </w:r>
            <w:r w:rsidRPr="00D31CC1">
              <w:rPr>
                <w:rStyle w:val="Hyperlink"/>
                <w:noProof/>
              </w:rPr>
              <w:t>Party Comments</w:t>
            </w:r>
            <w:r>
              <w:rPr>
                <w:noProof/>
                <w:webHidden/>
              </w:rPr>
              <w:tab/>
            </w:r>
            <w:r>
              <w:rPr>
                <w:noProof/>
                <w:webHidden/>
              </w:rPr>
              <w:fldChar w:fldCharType="begin"/>
            </w:r>
            <w:r>
              <w:rPr>
                <w:noProof/>
                <w:webHidden/>
              </w:rPr>
              <w:instrText xml:space="preserve"> PAGEREF _Toc216699681 \h </w:instrText>
            </w:r>
            <w:r>
              <w:rPr>
                <w:noProof/>
                <w:webHidden/>
              </w:rPr>
            </w:r>
            <w:r>
              <w:rPr>
                <w:noProof/>
                <w:webHidden/>
              </w:rPr>
              <w:fldChar w:fldCharType="separate"/>
            </w:r>
            <w:r w:rsidR="001C3467">
              <w:rPr>
                <w:noProof/>
                <w:webHidden/>
              </w:rPr>
              <w:t>9</w:t>
            </w:r>
            <w:r>
              <w:rPr>
                <w:noProof/>
                <w:webHidden/>
              </w:rPr>
              <w:fldChar w:fldCharType="end"/>
            </w:r>
          </w:hyperlink>
        </w:p>
        <w:p w:rsidR="003465C8" w:rsidRDefault="003465C8" w14:paraId="04E7841A" w14:textId="430AE55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699682">
            <w:r w:rsidRPr="00D31CC1">
              <w:rPr>
                <w:rStyle w:val="Hyperlink"/>
                <w:noProof/>
              </w:rPr>
              <w:t>3.2.3.</w:t>
            </w:r>
            <w:r>
              <w:rPr>
                <w:rFonts w:asciiTheme="minorHAnsi" w:hAnsiTheme="minorHAnsi" w:cstheme="minorBidi"/>
                <w:noProof/>
                <w:kern w:val="2"/>
                <w:sz w:val="24"/>
                <w:szCs w:val="24"/>
                <w14:ligatures w14:val="standardContextual"/>
              </w:rPr>
              <w:tab/>
            </w:r>
            <w:r w:rsidRPr="00D31CC1">
              <w:rPr>
                <w:rStyle w:val="Hyperlink"/>
                <w:noProof/>
              </w:rPr>
              <w:t>Gas Corporations’ Reply Comments</w:t>
            </w:r>
            <w:r>
              <w:rPr>
                <w:noProof/>
                <w:webHidden/>
              </w:rPr>
              <w:tab/>
            </w:r>
            <w:r>
              <w:rPr>
                <w:noProof/>
                <w:webHidden/>
              </w:rPr>
              <w:fldChar w:fldCharType="begin"/>
            </w:r>
            <w:r>
              <w:rPr>
                <w:noProof/>
                <w:webHidden/>
              </w:rPr>
              <w:instrText xml:space="preserve"> PAGEREF _Toc216699682 \h </w:instrText>
            </w:r>
            <w:r>
              <w:rPr>
                <w:noProof/>
                <w:webHidden/>
              </w:rPr>
            </w:r>
            <w:r>
              <w:rPr>
                <w:noProof/>
                <w:webHidden/>
              </w:rPr>
              <w:fldChar w:fldCharType="separate"/>
            </w:r>
            <w:r w:rsidR="001C3467">
              <w:rPr>
                <w:noProof/>
                <w:webHidden/>
              </w:rPr>
              <w:t>18</w:t>
            </w:r>
            <w:r>
              <w:rPr>
                <w:noProof/>
                <w:webHidden/>
              </w:rPr>
              <w:fldChar w:fldCharType="end"/>
            </w:r>
          </w:hyperlink>
        </w:p>
        <w:p w:rsidR="003465C8" w:rsidRDefault="003465C8" w14:paraId="40C39E3B" w14:textId="561AF30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699683">
            <w:r w:rsidRPr="00D31CC1">
              <w:rPr>
                <w:rStyle w:val="Hyperlink"/>
                <w:noProof/>
              </w:rPr>
              <w:t>3.2.4.</w:t>
            </w:r>
            <w:r>
              <w:rPr>
                <w:rFonts w:asciiTheme="minorHAnsi" w:hAnsiTheme="minorHAnsi" w:cstheme="minorBidi"/>
                <w:noProof/>
                <w:kern w:val="2"/>
                <w:sz w:val="24"/>
                <w:szCs w:val="24"/>
                <w14:ligatures w14:val="standardContextual"/>
              </w:rPr>
              <w:tab/>
            </w:r>
            <w:r w:rsidRPr="00D31CC1">
              <w:rPr>
                <w:rStyle w:val="Hyperlink"/>
                <w:noProof/>
              </w:rPr>
              <w:t>Public Comments</w:t>
            </w:r>
            <w:r>
              <w:rPr>
                <w:noProof/>
                <w:webHidden/>
              </w:rPr>
              <w:tab/>
            </w:r>
            <w:r>
              <w:rPr>
                <w:noProof/>
                <w:webHidden/>
              </w:rPr>
              <w:fldChar w:fldCharType="begin"/>
            </w:r>
            <w:r>
              <w:rPr>
                <w:noProof/>
                <w:webHidden/>
              </w:rPr>
              <w:instrText xml:space="preserve"> PAGEREF _Toc216699683 \h </w:instrText>
            </w:r>
            <w:r>
              <w:rPr>
                <w:noProof/>
                <w:webHidden/>
              </w:rPr>
            </w:r>
            <w:r>
              <w:rPr>
                <w:noProof/>
                <w:webHidden/>
              </w:rPr>
              <w:fldChar w:fldCharType="separate"/>
            </w:r>
            <w:r w:rsidR="001C3467">
              <w:rPr>
                <w:noProof/>
                <w:webHidden/>
              </w:rPr>
              <w:t>19</w:t>
            </w:r>
            <w:r>
              <w:rPr>
                <w:noProof/>
                <w:webHidden/>
              </w:rPr>
              <w:fldChar w:fldCharType="end"/>
            </w:r>
          </w:hyperlink>
        </w:p>
        <w:p w:rsidR="003465C8" w:rsidRDefault="003465C8" w14:paraId="2B9A0D89" w14:textId="1CD96712">
          <w:pPr>
            <w:pStyle w:val="TOC2"/>
            <w:tabs>
              <w:tab w:val="right" w:leader="dot" w:pos="9350"/>
            </w:tabs>
            <w:rPr>
              <w:rFonts w:asciiTheme="minorHAnsi" w:hAnsiTheme="minorHAnsi" w:cstheme="minorBidi"/>
              <w:noProof/>
              <w:kern w:val="2"/>
              <w:sz w:val="24"/>
              <w:szCs w:val="24"/>
              <w14:ligatures w14:val="standardContextual"/>
            </w:rPr>
          </w:pPr>
          <w:hyperlink w:history="1" w:anchor="_Toc216699684">
            <w:r w:rsidRPr="00D31CC1">
              <w:rPr>
                <w:rStyle w:val="Hyperlink"/>
                <w:noProof/>
              </w:rPr>
              <w:t>3.3.</w:t>
            </w:r>
            <w:r>
              <w:rPr>
                <w:rFonts w:asciiTheme="minorHAnsi" w:hAnsiTheme="minorHAnsi" w:cstheme="minorBidi"/>
                <w:noProof/>
                <w:kern w:val="2"/>
                <w:sz w:val="24"/>
                <w:szCs w:val="24"/>
                <w14:ligatures w14:val="standardContextual"/>
              </w:rPr>
              <w:tab/>
            </w:r>
            <w:r w:rsidRPr="00D31CC1">
              <w:rPr>
                <w:rStyle w:val="Hyperlink"/>
                <w:noProof/>
              </w:rPr>
              <w:t>Designation of Initial Decarbonization Zones</w:t>
            </w:r>
            <w:r>
              <w:rPr>
                <w:noProof/>
                <w:webHidden/>
              </w:rPr>
              <w:tab/>
            </w:r>
            <w:r>
              <w:rPr>
                <w:noProof/>
                <w:webHidden/>
              </w:rPr>
              <w:fldChar w:fldCharType="begin"/>
            </w:r>
            <w:r>
              <w:rPr>
                <w:noProof/>
                <w:webHidden/>
              </w:rPr>
              <w:instrText xml:space="preserve"> PAGEREF _Toc216699684 \h </w:instrText>
            </w:r>
            <w:r>
              <w:rPr>
                <w:noProof/>
                <w:webHidden/>
              </w:rPr>
            </w:r>
            <w:r>
              <w:rPr>
                <w:noProof/>
                <w:webHidden/>
              </w:rPr>
              <w:fldChar w:fldCharType="separate"/>
            </w:r>
            <w:r w:rsidR="001C3467">
              <w:rPr>
                <w:noProof/>
                <w:webHidden/>
              </w:rPr>
              <w:t>22</w:t>
            </w:r>
            <w:r>
              <w:rPr>
                <w:noProof/>
                <w:webHidden/>
              </w:rPr>
              <w:fldChar w:fldCharType="end"/>
            </w:r>
          </w:hyperlink>
        </w:p>
        <w:p w:rsidR="003465C8" w:rsidRDefault="003465C8" w14:paraId="5005FAEA" w14:textId="413FEBD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699685">
            <w:r w:rsidRPr="00D31CC1">
              <w:rPr>
                <w:rStyle w:val="Hyperlink"/>
                <w:noProof/>
              </w:rPr>
              <w:t>3.3.1.</w:t>
            </w:r>
            <w:r>
              <w:rPr>
                <w:rFonts w:asciiTheme="minorHAnsi" w:hAnsiTheme="minorHAnsi" w:cstheme="minorBidi"/>
                <w:noProof/>
                <w:kern w:val="2"/>
                <w:sz w:val="24"/>
                <w:szCs w:val="24"/>
                <w14:ligatures w14:val="standardContextual"/>
              </w:rPr>
              <w:tab/>
            </w:r>
            <w:r w:rsidRPr="00D31CC1">
              <w:rPr>
                <w:rStyle w:val="Hyperlink"/>
                <w:noProof/>
              </w:rPr>
              <w:t>Commitment to Updating Initial Decarbonization Zones</w:t>
            </w:r>
            <w:r>
              <w:rPr>
                <w:noProof/>
                <w:webHidden/>
              </w:rPr>
              <w:tab/>
            </w:r>
            <w:r>
              <w:rPr>
                <w:noProof/>
                <w:webHidden/>
              </w:rPr>
              <w:fldChar w:fldCharType="begin"/>
            </w:r>
            <w:r>
              <w:rPr>
                <w:noProof/>
                <w:webHidden/>
              </w:rPr>
              <w:instrText xml:space="preserve"> PAGEREF _Toc216699685 \h </w:instrText>
            </w:r>
            <w:r>
              <w:rPr>
                <w:noProof/>
                <w:webHidden/>
              </w:rPr>
            </w:r>
            <w:r>
              <w:rPr>
                <w:noProof/>
                <w:webHidden/>
              </w:rPr>
              <w:fldChar w:fldCharType="separate"/>
            </w:r>
            <w:r w:rsidR="001C3467">
              <w:rPr>
                <w:noProof/>
                <w:webHidden/>
              </w:rPr>
              <w:t>22</w:t>
            </w:r>
            <w:r>
              <w:rPr>
                <w:noProof/>
                <w:webHidden/>
              </w:rPr>
              <w:fldChar w:fldCharType="end"/>
            </w:r>
          </w:hyperlink>
        </w:p>
        <w:p w:rsidR="003465C8" w:rsidRDefault="003465C8" w14:paraId="1077BB0D" w14:textId="51D8589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699686">
            <w:r w:rsidRPr="00D31CC1">
              <w:rPr>
                <w:rStyle w:val="Hyperlink"/>
                <w:noProof/>
              </w:rPr>
              <w:t>3.3.2.</w:t>
            </w:r>
            <w:r>
              <w:rPr>
                <w:rFonts w:asciiTheme="minorHAnsi" w:hAnsiTheme="minorHAnsi" w:cstheme="minorBidi"/>
                <w:noProof/>
                <w:kern w:val="2"/>
                <w:sz w:val="24"/>
                <w:szCs w:val="24"/>
                <w14:ligatures w14:val="standardContextual"/>
              </w:rPr>
              <w:tab/>
            </w:r>
            <w:r w:rsidRPr="00D31CC1">
              <w:rPr>
                <w:rStyle w:val="Hyperlink"/>
                <w:noProof/>
              </w:rPr>
              <w:t>Methodology for Designating Initial Decarbonization Zones</w:t>
            </w:r>
            <w:r>
              <w:rPr>
                <w:noProof/>
                <w:webHidden/>
              </w:rPr>
              <w:tab/>
            </w:r>
            <w:r>
              <w:rPr>
                <w:noProof/>
                <w:webHidden/>
              </w:rPr>
              <w:fldChar w:fldCharType="begin"/>
            </w:r>
            <w:r>
              <w:rPr>
                <w:noProof/>
                <w:webHidden/>
              </w:rPr>
              <w:instrText xml:space="preserve"> PAGEREF _Toc216699686 \h </w:instrText>
            </w:r>
            <w:r>
              <w:rPr>
                <w:noProof/>
                <w:webHidden/>
              </w:rPr>
            </w:r>
            <w:r>
              <w:rPr>
                <w:noProof/>
                <w:webHidden/>
              </w:rPr>
              <w:fldChar w:fldCharType="separate"/>
            </w:r>
            <w:r w:rsidR="001C3467">
              <w:rPr>
                <w:noProof/>
                <w:webHidden/>
              </w:rPr>
              <w:t>27</w:t>
            </w:r>
            <w:r>
              <w:rPr>
                <w:noProof/>
                <w:webHidden/>
              </w:rPr>
              <w:fldChar w:fldCharType="end"/>
            </w:r>
          </w:hyperlink>
        </w:p>
        <w:p w:rsidR="003465C8" w:rsidRDefault="003465C8" w14:paraId="5C4FA59B" w14:textId="6613350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699687">
            <w:r w:rsidRPr="00D31CC1">
              <w:rPr>
                <w:rStyle w:val="Hyperlink"/>
                <w:noProof/>
              </w:rPr>
              <w:t>3.3.3.</w:t>
            </w:r>
            <w:r>
              <w:rPr>
                <w:rFonts w:asciiTheme="minorHAnsi" w:hAnsiTheme="minorHAnsi" w:cstheme="minorBidi"/>
                <w:noProof/>
                <w:kern w:val="2"/>
                <w:sz w:val="24"/>
                <w:szCs w:val="24"/>
                <w14:ligatures w14:val="standardContextual"/>
              </w:rPr>
              <w:tab/>
            </w:r>
            <w:r w:rsidRPr="00D31CC1">
              <w:rPr>
                <w:rStyle w:val="Hyperlink"/>
                <w:noProof/>
              </w:rPr>
              <w:t>Consideration of Section 662(a)(1)-(4) Factors</w:t>
            </w:r>
            <w:r>
              <w:rPr>
                <w:noProof/>
                <w:webHidden/>
              </w:rPr>
              <w:tab/>
            </w:r>
            <w:r>
              <w:rPr>
                <w:noProof/>
                <w:webHidden/>
              </w:rPr>
              <w:fldChar w:fldCharType="begin"/>
            </w:r>
            <w:r>
              <w:rPr>
                <w:noProof/>
                <w:webHidden/>
              </w:rPr>
              <w:instrText xml:space="preserve"> PAGEREF _Toc216699687 \h </w:instrText>
            </w:r>
            <w:r>
              <w:rPr>
                <w:noProof/>
                <w:webHidden/>
              </w:rPr>
            </w:r>
            <w:r>
              <w:rPr>
                <w:noProof/>
                <w:webHidden/>
              </w:rPr>
              <w:fldChar w:fldCharType="separate"/>
            </w:r>
            <w:r w:rsidR="001C3467">
              <w:rPr>
                <w:noProof/>
                <w:webHidden/>
              </w:rPr>
              <w:t>28</w:t>
            </w:r>
            <w:r>
              <w:rPr>
                <w:noProof/>
                <w:webHidden/>
              </w:rPr>
              <w:fldChar w:fldCharType="end"/>
            </w:r>
          </w:hyperlink>
        </w:p>
        <w:p w:rsidR="003465C8" w:rsidRDefault="003465C8" w14:paraId="76911AE0" w14:textId="4A8B626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699688">
            <w:r w:rsidRPr="00D31CC1">
              <w:rPr>
                <w:rStyle w:val="Hyperlink"/>
                <w:noProof/>
              </w:rPr>
              <w:t>3.3.3.1.</w:t>
            </w:r>
            <w:r>
              <w:rPr>
                <w:rFonts w:asciiTheme="minorHAnsi" w:hAnsiTheme="minorHAnsi" w:eastAsiaTheme="minorEastAsia"/>
                <w:noProof/>
                <w:kern w:val="2"/>
                <w:sz w:val="24"/>
                <w:szCs w:val="24"/>
                <w14:ligatures w14:val="standardContextual"/>
              </w:rPr>
              <w:tab/>
            </w:r>
            <w:r w:rsidRPr="00D31CC1">
              <w:rPr>
                <w:rStyle w:val="Hyperlink"/>
                <w:noProof/>
              </w:rPr>
              <w:t>Section 662(a)(3)</w:t>
            </w:r>
            <w:r>
              <w:rPr>
                <w:noProof/>
                <w:webHidden/>
              </w:rPr>
              <w:tab/>
            </w:r>
            <w:r>
              <w:rPr>
                <w:noProof/>
                <w:webHidden/>
              </w:rPr>
              <w:fldChar w:fldCharType="begin"/>
            </w:r>
            <w:r>
              <w:rPr>
                <w:noProof/>
                <w:webHidden/>
              </w:rPr>
              <w:instrText xml:space="preserve"> PAGEREF _Toc216699688 \h </w:instrText>
            </w:r>
            <w:r>
              <w:rPr>
                <w:noProof/>
                <w:webHidden/>
              </w:rPr>
            </w:r>
            <w:r>
              <w:rPr>
                <w:noProof/>
                <w:webHidden/>
              </w:rPr>
              <w:fldChar w:fldCharType="separate"/>
            </w:r>
            <w:r w:rsidR="001C3467">
              <w:rPr>
                <w:noProof/>
                <w:webHidden/>
              </w:rPr>
              <w:t>29</w:t>
            </w:r>
            <w:r>
              <w:rPr>
                <w:noProof/>
                <w:webHidden/>
              </w:rPr>
              <w:fldChar w:fldCharType="end"/>
            </w:r>
          </w:hyperlink>
        </w:p>
        <w:p w:rsidR="003465C8" w:rsidRDefault="003465C8" w14:paraId="37C0EEF9" w14:textId="38A2168B">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699689">
            <w:r w:rsidRPr="00D31CC1">
              <w:rPr>
                <w:rStyle w:val="Hyperlink"/>
                <w:noProof/>
              </w:rPr>
              <w:t>3.3.3.2.</w:t>
            </w:r>
            <w:r>
              <w:rPr>
                <w:rFonts w:asciiTheme="minorHAnsi" w:hAnsiTheme="minorHAnsi" w:eastAsiaTheme="minorEastAsia"/>
                <w:noProof/>
                <w:kern w:val="2"/>
                <w:sz w:val="24"/>
                <w:szCs w:val="24"/>
                <w14:ligatures w14:val="standardContextual"/>
              </w:rPr>
              <w:tab/>
            </w:r>
            <w:r w:rsidRPr="00D31CC1">
              <w:rPr>
                <w:rStyle w:val="Hyperlink"/>
                <w:noProof/>
              </w:rPr>
              <w:t>Section 662(a)(4)</w:t>
            </w:r>
            <w:r>
              <w:rPr>
                <w:noProof/>
                <w:webHidden/>
              </w:rPr>
              <w:tab/>
            </w:r>
            <w:r>
              <w:rPr>
                <w:noProof/>
                <w:webHidden/>
              </w:rPr>
              <w:fldChar w:fldCharType="begin"/>
            </w:r>
            <w:r>
              <w:rPr>
                <w:noProof/>
                <w:webHidden/>
              </w:rPr>
              <w:instrText xml:space="preserve"> PAGEREF _Toc216699689 \h </w:instrText>
            </w:r>
            <w:r>
              <w:rPr>
                <w:noProof/>
                <w:webHidden/>
              </w:rPr>
            </w:r>
            <w:r>
              <w:rPr>
                <w:noProof/>
                <w:webHidden/>
              </w:rPr>
              <w:fldChar w:fldCharType="separate"/>
            </w:r>
            <w:r w:rsidR="001C3467">
              <w:rPr>
                <w:noProof/>
                <w:webHidden/>
              </w:rPr>
              <w:t>31</w:t>
            </w:r>
            <w:r>
              <w:rPr>
                <w:noProof/>
                <w:webHidden/>
              </w:rPr>
              <w:fldChar w:fldCharType="end"/>
            </w:r>
          </w:hyperlink>
        </w:p>
        <w:p w:rsidR="003465C8" w:rsidRDefault="003465C8" w14:paraId="7F9C9A00" w14:textId="48452C1F">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699690">
            <w:r w:rsidRPr="00D31CC1">
              <w:rPr>
                <w:rStyle w:val="Hyperlink"/>
                <w:noProof/>
              </w:rPr>
              <w:t>3.3.3.3.</w:t>
            </w:r>
            <w:r>
              <w:rPr>
                <w:rFonts w:asciiTheme="minorHAnsi" w:hAnsiTheme="minorHAnsi" w:eastAsiaTheme="minorEastAsia"/>
                <w:noProof/>
                <w:kern w:val="2"/>
                <w:sz w:val="24"/>
                <w:szCs w:val="24"/>
                <w14:ligatures w14:val="standardContextual"/>
              </w:rPr>
              <w:tab/>
            </w:r>
            <w:r w:rsidRPr="00D31CC1">
              <w:rPr>
                <w:rStyle w:val="Hyperlink"/>
                <w:noProof/>
              </w:rPr>
              <w:t>Section 662(a)(2)</w:t>
            </w:r>
            <w:r>
              <w:rPr>
                <w:noProof/>
                <w:webHidden/>
              </w:rPr>
              <w:tab/>
            </w:r>
            <w:r>
              <w:rPr>
                <w:noProof/>
                <w:webHidden/>
              </w:rPr>
              <w:fldChar w:fldCharType="begin"/>
            </w:r>
            <w:r>
              <w:rPr>
                <w:noProof/>
                <w:webHidden/>
              </w:rPr>
              <w:instrText xml:space="preserve"> PAGEREF _Toc216699690 \h </w:instrText>
            </w:r>
            <w:r>
              <w:rPr>
                <w:noProof/>
                <w:webHidden/>
              </w:rPr>
            </w:r>
            <w:r>
              <w:rPr>
                <w:noProof/>
                <w:webHidden/>
              </w:rPr>
              <w:fldChar w:fldCharType="separate"/>
            </w:r>
            <w:r w:rsidR="001C3467">
              <w:rPr>
                <w:noProof/>
                <w:webHidden/>
              </w:rPr>
              <w:t>34</w:t>
            </w:r>
            <w:r>
              <w:rPr>
                <w:noProof/>
                <w:webHidden/>
              </w:rPr>
              <w:fldChar w:fldCharType="end"/>
            </w:r>
          </w:hyperlink>
        </w:p>
        <w:p w:rsidR="003465C8" w:rsidRDefault="003465C8" w14:paraId="35CCE025" w14:textId="7F5F7DA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699691">
            <w:r w:rsidRPr="00D31CC1">
              <w:rPr>
                <w:rStyle w:val="Hyperlink"/>
                <w:noProof/>
              </w:rPr>
              <w:t>3.3.3.4.</w:t>
            </w:r>
            <w:r>
              <w:rPr>
                <w:rFonts w:asciiTheme="minorHAnsi" w:hAnsiTheme="minorHAnsi" w:eastAsiaTheme="minorEastAsia"/>
                <w:noProof/>
                <w:kern w:val="2"/>
                <w:sz w:val="24"/>
                <w:szCs w:val="24"/>
                <w14:ligatures w14:val="standardContextual"/>
              </w:rPr>
              <w:tab/>
            </w:r>
            <w:r w:rsidRPr="00D31CC1">
              <w:rPr>
                <w:rStyle w:val="Hyperlink"/>
                <w:noProof/>
              </w:rPr>
              <w:t>Section 662(a)(1)</w:t>
            </w:r>
            <w:r>
              <w:rPr>
                <w:noProof/>
                <w:webHidden/>
              </w:rPr>
              <w:tab/>
            </w:r>
            <w:r>
              <w:rPr>
                <w:noProof/>
                <w:webHidden/>
              </w:rPr>
              <w:fldChar w:fldCharType="begin"/>
            </w:r>
            <w:r>
              <w:rPr>
                <w:noProof/>
                <w:webHidden/>
              </w:rPr>
              <w:instrText xml:space="preserve"> PAGEREF _Toc216699691 \h </w:instrText>
            </w:r>
            <w:r>
              <w:rPr>
                <w:noProof/>
                <w:webHidden/>
              </w:rPr>
            </w:r>
            <w:r>
              <w:rPr>
                <w:noProof/>
                <w:webHidden/>
              </w:rPr>
              <w:fldChar w:fldCharType="separate"/>
            </w:r>
            <w:r w:rsidR="001C3467">
              <w:rPr>
                <w:noProof/>
                <w:webHidden/>
              </w:rPr>
              <w:t>36</w:t>
            </w:r>
            <w:r>
              <w:rPr>
                <w:noProof/>
                <w:webHidden/>
              </w:rPr>
              <w:fldChar w:fldCharType="end"/>
            </w:r>
          </w:hyperlink>
        </w:p>
        <w:p w:rsidR="003465C8" w:rsidRDefault="003465C8" w14:paraId="0FBFC5E2" w14:textId="5324C9B5">
          <w:pPr>
            <w:pStyle w:val="TOC1"/>
            <w:tabs>
              <w:tab w:val="right" w:leader="dot" w:pos="9350"/>
            </w:tabs>
            <w:rPr>
              <w:rFonts w:asciiTheme="minorHAnsi" w:hAnsiTheme="minorHAnsi" w:cstheme="minorBidi"/>
              <w:noProof/>
              <w:kern w:val="2"/>
              <w:sz w:val="24"/>
              <w:szCs w:val="24"/>
              <w14:ligatures w14:val="standardContextual"/>
            </w:rPr>
          </w:pPr>
          <w:hyperlink w:history="1" w:anchor="_Toc216699692">
            <w:r w:rsidRPr="00D31CC1">
              <w:rPr>
                <w:rStyle w:val="Hyperlink"/>
                <w:noProof/>
              </w:rPr>
              <w:t>4.</w:t>
            </w:r>
            <w:r>
              <w:rPr>
                <w:rFonts w:asciiTheme="minorHAnsi" w:hAnsiTheme="minorHAnsi" w:cstheme="minorBidi"/>
                <w:noProof/>
                <w:kern w:val="2"/>
                <w:sz w:val="24"/>
                <w:szCs w:val="24"/>
                <w14:ligatures w14:val="standardContextual"/>
              </w:rPr>
              <w:tab/>
            </w:r>
            <w:r w:rsidRPr="00D31CC1">
              <w:rPr>
                <w:rStyle w:val="Hyperlink"/>
                <w:noProof/>
              </w:rPr>
              <w:t>Conclusion</w:t>
            </w:r>
            <w:r>
              <w:rPr>
                <w:noProof/>
                <w:webHidden/>
              </w:rPr>
              <w:tab/>
            </w:r>
            <w:r>
              <w:rPr>
                <w:noProof/>
                <w:webHidden/>
              </w:rPr>
              <w:fldChar w:fldCharType="begin"/>
            </w:r>
            <w:r>
              <w:rPr>
                <w:noProof/>
                <w:webHidden/>
              </w:rPr>
              <w:instrText xml:space="preserve"> PAGEREF _Toc216699692 \h </w:instrText>
            </w:r>
            <w:r>
              <w:rPr>
                <w:noProof/>
                <w:webHidden/>
              </w:rPr>
            </w:r>
            <w:r>
              <w:rPr>
                <w:noProof/>
                <w:webHidden/>
              </w:rPr>
              <w:fldChar w:fldCharType="separate"/>
            </w:r>
            <w:r w:rsidR="001C3467">
              <w:rPr>
                <w:noProof/>
                <w:webHidden/>
              </w:rPr>
              <w:t>38</w:t>
            </w:r>
            <w:r>
              <w:rPr>
                <w:noProof/>
                <w:webHidden/>
              </w:rPr>
              <w:fldChar w:fldCharType="end"/>
            </w:r>
          </w:hyperlink>
        </w:p>
        <w:p w:rsidR="003465C8" w:rsidRDefault="003465C8" w14:paraId="4B172BCB" w14:textId="40CF4EE4">
          <w:pPr>
            <w:pStyle w:val="TOC1"/>
            <w:tabs>
              <w:tab w:val="right" w:leader="dot" w:pos="9350"/>
            </w:tabs>
            <w:rPr>
              <w:rFonts w:asciiTheme="minorHAnsi" w:hAnsiTheme="minorHAnsi" w:cstheme="minorBidi"/>
              <w:noProof/>
              <w:kern w:val="2"/>
              <w:sz w:val="24"/>
              <w:szCs w:val="24"/>
              <w14:ligatures w14:val="standardContextual"/>
            </w:rPr>
          </w:pPr>
          <w:hyperlink w:history="1" w:anchor="_Toc216699693">
            <w:r w:rsidRPr="00D31CC1">
              <w:rPr>
                <w:rStyle w:val="Hyperlink"/>
                <w:noProof/>
              </w:rPr>
              <w:t>5.</w:t>
            </w:r>
            <w:r>
              <w:rPr>
                <w:rFonts w:asciiTheme="minorHAnsi" w:hAnsiTheme="minorHAnsi" w:cstheme="minorBidi"/>
                <w:noProof/>
                <w:kern w:val="2"/>
                <w:sz w:val="24"/>
                <w:szCs w:val="24"/>
                <w14:ligatures w14:val="standardContextual"/>
              </w:rPr>
              <w:tab/>
            </w:r>
            <w:r w:rsidRPr="00D31CC1">
              <w:rPr>
                <w:rStyle w:val="Hyperlink"/>
                <w:noProof/>
              </w:rPr>
              <w:t>Comments on Proposed Decision</w:t>
            </w:r>
            <w:r>
              <w:rPr>
                <w:noProof/>
                <w:webHidden/>
              </w:rPr>
              <w:tab/>
            </w:r>
            <w:r>
              <w:rPr>
                <w:noProof/>
                <w:webHidden/>
              </w:rPr>
              <w:fldChar w:fldCharType="begin"/>
            </w:r>
            <w:r>
              <w:rPr>
                <w:noProof/>
                <w:webHidden/>
              </w:rPr>
              <w:instrText xml:space="preserve"> PAGEREF _Toc216699693 \h </w:instrText>
            </w:r>
            <w:r>
              <w:rPr>
                <w:noProof/>
                <w:webHidden/>
              </w:rPr>
            </w:r>
            <w:r>
              <w:rPr>
                <w:noProof/>
                <w:webHidden/>
              </w:rPr>
              <w:fldChar w:fldCharType="separate"/>
            </w:r>
            <w:r w:rsidR="001C3467">
              <w:rPr>
                <w:noProof/>
                <w:webHidden/>
              </w:rPr>
              <w:t>38</w:t>
            </w:r>
            <w:r>
              <w:rPr>
                <w:noProof/>
                <w:webHidden/>
              </w:rPr>
              <w:fldChar w:fldCharType="end"/>
            </w:r>
          </w:hyperlink>
        </w:p>
        <w:p w:rsidR="003465C8" w:rsidRDefault="003465C8" w14:paraId="52F7E988" w14:textId="1D5FA9B7">
          <w:pPr>
            <w:pStyle w:val="TOC2"/>
            <w:tabs>
              <w:tab w:val="right" w:leader="dot" w:pos="9350"/>
            </w:tabs>
            <w:rPr>
              <w:rFonts w:asciiTheme="minorHAnsi" w:hAnsiTheme="minorHAnsi" w:cstheme="minorBidi"/>
              <w:noProof/>
              <w:kern w:val="2"/>
              <w:sz w:val="24"/>
              <w:szCs w:val="24"/>
              <w14:ligatures w14:val="standardContextual"/>
            </w:rPr>
          </w:pPr>
          <w:hyperlink w:history="1" w:anchor="_Toc216699694">
            <w:r w:rsidRPr="00D31CC1">
              <w:rPr>
                <w:rStyle w:val="Hyperlink"/>
                <w:noProof/>
              </w:rPr>
              <w:t>5.1.</w:t>
            </w:r>
            <w:r>
              <w:rPr>
                <w:rFonts w:asciiTheme="minorHAnsi" w:hAnsiTheme="minorHAnsi" w:cstheme="minorBidi"/>
                <w:noProof/>
                <w:kern w:val="2"/>
                <w:sz w:val="24"/>
                <w:szCs w:val="24"/>
                <w14:ligatures w14:val="standardContextual"/>
              </w:rPr>
              <w:tab/>
            </w:r>
            <w:r w:rsidRPr="00D31CC1">
              <w:rPr>
                <w:rStyle w:val="Hyperlink"/>
                <w:noProof/>
              </w:rPr>
              <w:t>Compliance Deadline</w:t>
            </w:r>
            <w:r>
              <w:rPr>
                <w:noProof/>
                <w:webHidden/>
              </w:rPr>
              <w:tab/>
            </w:r>
            <w:r>
              <w:rPr>
                <w:noProof/>
                <w:webHidden/>
              </w:rPr>
              <w:fldChar w:fldCharType="begin"/>
            </w:r>
            <w:r>
              <w:rPr>
                <w:noProof/>
                <w:webHidden/>
              </w:rPr>
              <w:instrText xml:space="preserve"> PAGEREF _Toc216699694 \h </w:instrText>
            </w:r>
            <w:r>
              <w:rPr>
                <w:noProof/>
                <w:webHidden/>
              </w:rPr>
            </w:r>
            <w:r>
              <w:rPr>
                <w:noProof/>
                <w:webHidden/>
              </w:rPr>
              <w:fldChar w:fldCharType="separate"/>
            </w:r>
            <w:r w:rsidR="001C3467">
              <w:rPr>
                <w:noProof/>
                <w:webHidden/>
              </w:rPr>
              <w:t>39</w:t>
            </w:r>
            <w:r>
              <w:rPr>
                <w:noProof/>
                <w:webHidden/>
              </w:rPr>
              <w:fldChar w:fldCharType="end"/>
            </w:r>
          </w:hyperlink>
        </w:p>
        <w:p w:rsidR="003465C8" w:rsidRDefault="003465C8" w14:paraId="0BC6D7A2" w14:textId="4BDDA5C9">
          <w:pPr>
            <w:pStyle w:val="TOC2"/>
            <w:tabs>
              <w:tab w:val="right" w:leader="dot" w:pos="9350"/>
            </w:tabs>
            <w:rPr>
              <w:rFonts w:asciiTheme="minorHAnsi" w:hAnsiTheme="minorHAnsi" w:cstheme="minorBidi"/>
              <w:noProof/>
              <w:kern w:val="2"/>
              <w:sz w:val="24"/>
              <w:szCs w:val="24"/>
              <w14:ligatures w14:val="standardContextual"/>
            </w:rPr>
          </w:pPr>
          <w:hyperlink w:history="1" w:anchor="_Toc216699695">
            <w:r w:rsidRPr="00D31CC1">
              <w:rPr>
                <w:rStyle w:val="Hyperlink"/>
                <w:noProof/>
              </w:rPr>
              <w:t>5.2.</w:t>
            </w:r>
            <w:r>
              <w:rPr>
                <w:rFonts w:asciiTheme="minorHAnsi" w:hAnsiTheme="minorHAnsi" w:cstheme="minorBidi"/>
                <w:noProof/>
                <w:kern w:val="2"/>
                <w:sz w:val="24"/>
                <w:szCs w:val="24"/>
                <w14:ligatures w14:val="standardContextual"/>
              </w:rPr>
              <w:tab/>
            </w:r>
            <w:r w:rsidRPr="00D31CC1">
              <w:rPr>
                <w:rStyle w:val="Hyperlink"/>
                <w:noProof/>
              </w:rPr>
              <w:t>Additional Initial Decarbonization Zones</w:t>
            </w:r>
            <w:r>
              <w:rPr>
                <w:noProof/>
                <w:webHidden/>
              </w:rPr>
              <w:tab/>
            </w:r>
            <w:r>
              <w:rPr>
                <w:noProof/>
                <w:webHidden/>
              </w:rPr>
              <w:fldChar w:fldCharType="begin"/>
            </w:r>
            <w:r>
              <w:rPr>
                <w:noProof/>
                <w:webHidden/>
              </w:rPr>
              <w:instrText xml:space="preserve"> PAGEREF _Toc216699695 \h </w:instrText>
            </w:r>
            <w:r>
              <w:rPr>
                <w:noProof/>
                <w:webHidden/>
              </w:rPr>
            </w:r>
            <w:r>
              <w:rPr>
                <w:noProof/>
                <w:webHidden/>
              </w:rPr>
              <w:fldChar w:fldCharType="separate"/>
            </w:r>
            <w:r w:rsidR="001C3467">
              <w:rPr>
                <w:noProof/>
                <w:webHidden/>
              </w:rPr>
              <w:t>39</w:t>
            </w:r>
            <w:r>
              <w:rPr>
                <w:noProof/>
                <w:webHidden/>
              </w:rPr>
              <w:fldChar w:fldCharType="end"/>
            </w:r>
          </w:hyperlink>
        </w:p>
        <w:p w:rsidR="003465C8" w:rsidRDefault="003465C8" w14:paraId="664B116E" w14:textId="491BD712">
          <w:pPr>
            <w:pStyle w:val="TOC2"/>
            <w:tabs>
              <w:tab w:val="right" w:leader="dot" w:pos="9350"/>
            </w:tabs>
            <w:rPr>
              <w:rFonts w:asciiTheme="minorHAnsi" w:hAnsiTheme="minorHAnsi" w:cstheme="minorBidi"/>
              <w:noProof/>
              <w:kern w:val="2"/>
              <w:sz w:val="24"/>
              <w:szCs w:val="24"/>
              <w14:ligatures w14:val="standardContextual"/>
            </w:rPr>
          </w:pPr>
          <w:hyperlink w:history="1" w:anchor="_Toc216699696">
            <w:r w:rsidRPr="00D31CC1">
              <w:rPr>
                <w:rStyle w:val="Hyperlink"/>
                <w:noProof/>
              </w:rPr>
              <w:t>5.3.</w:t>
            </w:r>
            <w:r>
              <w:rPr>
                <w:rFonts w:asciiTheme="minorHAnsi" w:hAnsiTheme="minorHAnsi" w:cstheme="minorBidi"/>
                <w:noProof/>
                <w:kern w:val="2"/>
                <w:sz w:val="24"/>
                <w:szCs w:val="24"/>
                <w14:ligatures w14:val="standardContextual"/>
              </w:rPr>
              <w:tab/>
            </w:r>
            <w:r w:rsidRPr="00D31CC1">
              <w:rPr>
                <w:rStyle w:val="Hyperlink"/>
                <w:noProof/>
              </w:rPr>
              <w:t>Community Outreach and Engagement</w:t>
            </w:r>
            <w:r>
              <w:rPr>
                <w:noProof/>
                <w:webHidden/>
              </w:rPr>
              <w:tab/>
            </w:r>
            <w:r>
              <w:rPr>
                <w:noProof/>
                <w:webHidden/>
              </w:rPr>
              <w:fldChar w:fldCharType="begin"/>
            </w:r>
            <w:r>
              <w:rPr>
                <w:noProof/>
                <w:webHidden/>
              </w:rPr>
              <w:instrText xml:space="preserve"> PAGEREF _Toc216699696 \h </w:instrText>
            </w:r>
            <w:r>
              <w:rPr>
                <w:noProof/>
                <w:webHidden/>
              </w:rPr>
            </w:r>
            <w:r>
              <w:rPr>
                <w:noProof/>
                <w:webHidden/>
              </w:rPr>
              <w:fldChar w:fldCharType="separate"/>
            </w:r>
            <w:r w:rsidR="001C3467">
              <w:rPr>
                <w:noProof/>
                <w:webHidden/>
              </w:rPr>
              <w:t>42</w:t>
            </w:r>
            <w:r>
              <w:rPr>
                <w:noProof/>
                <w:webHidden/>
              </w:rPr>
              <w:fldChar w:fldCharType="end"/>
            </w:r>
          </w:hyperlink>
        </w:p>
        <w:p w:rsidR="003465C8" w:rsidRDefault="003465C8" w14:paraId="68E88FE9" w14:textId="149BC076">
          <w:pPr>
            <w:pStyle w:val="TOC2"/>
            <w:tabs>
              <w:tab w:val="right" w:leader="dot" w:pos="9350"/>
            </w:tabs>
            <w:rPr>
              <w:rFonts w:asciiTheme="minorHAnsi" w:hAnsiTheme="minorHAnsi" w:cstheme="minorBidi"/>
              <w:noProof/>
              <w:kern w:val="2"/>
              <w:sz w:val="24"/>
              <w:szCs w:val="24"/>
              <w14:ligatures w14:val="standardContextual"/>
            </w:rPr>
          </w:pPr>
          <w:hyperlink w:history="1" w:anchor="_Toc216699697">
            <w:r w:rsidRPr="00D31CC1">
              <w:rPr>
                <w:rStyle w:val="Hyperlink"/>
                <w:noProof/>
              </w:rPr>
              <w:t>5.4.</w:t>
            </w:r>
            <w:r>
              <w:rPr>
                <w:rFonts w:asciiTheme="minorHAnsi" w:hAnsiTheme="minorHAnsi" w:cstheme="minorBidi"/>
                <w:noProof/>
                <w:kern w:val="2"/>
                <w:sz w:val="24"/>
                <w:szCs w:val="24"/>
                <w14:ligatures w14:val="standardContextual"/>
              </w:rPr>
              <w:tab/>
            </w:r>
            <w:r w:rsidRPr="00D31CC1">
              <w:rPr>
                <w:rStyle w:val="Hyperlink"/>
                <w:noProof/>
              </w:rPr>
              <w:t>Cost Recovery of Community Engagement</w:t>
            </w:r>
            <w:r>
              <w:rPr>
                <w:noProof/>
                <w:webHidden/>
              </w:rPr>
              <w:tab/>
            </w:r>
            <w:r>
              <w:rPr>
                <w:noProof/>
                <w:webHidden/>
              </w:rPr>
              <w:fldChar w:fldCharType="begin"/>
            </w:r>
            <w:r>
              <w:rPr>
                <w:noProof/>
                <w:webHidden/>
              </w:rPr>
              <w:instrText xml:space="preserve"> PAGEREF _Toc216699697 \h </w:instrText>
            </w:r>
            <w:r>
              <w:rPr>
                <w:noProof/>
                <w:webHidden/>
              </w:rPr>
            </w:r>
            <w:r>
              <w:rPr>
                <w:noProof/>
                <w:webHidden/>
              </w:rPr>
              <w:fldChar w:fldCharType="separate"/>
            </w:r>
            <w:r w:rsidR="001C3467">
              <w:rPr>
                <w:noProof/>
                <w:webHidden/>
              </w:rPr>
              <w:t>45</w:t>
            </w:r>
            <w:r>
              <w:rPr>
                <w:noProof/>
                <w:webHidden/>
              </w:rPr>
              <w:fldChar w:fldCharType="end"/>
            </w:r>
          </w:hyperlink>
        </w:p>
        <w:p w:rsidR="003465C8" w:rsidRDefault="003465C8" w14:paraId="3CE5CD83" w14:textId="3BD94624">
          <w:pPr>
            <w:pStyle w:val="TOC2"/>
            <w:tabs>
              <w:tab w:val="right" w:leader="dot" w:pos="9350"/>
            </w:tabs>
            <w:rPr>
              <w:rFonts w:asciiTheme="minorHAnsi" w:hAnsiTheme="minorHAnsi" w:cstheme="minorBidi"/>
              <w:noProof/>
              <w:kern w:val="2"/>
              <w:sz w:val="24"/>
              <w:szCs w:val="24"/>
              <w14:ligatures w14:val="standardContextual"/>
            </w:rPr>
          </w:pPr>
          <w:hyperlink w:history="1" w:anchor="_Toc216699698">
            <w:r w:rsidRPr="00D31CC1">
              <w:rPr>
                <w:rStyle w:val="Hyperlink"/>
                <w:noProof/>
              </w:rPr>
              <w:t>5.5.</w:t>
            </w:r>
            <w:r>
              <w:rPr>
                <w:rFonts w:asciiTheme="minorHAnsi" w:hAnsiTheme="minorHAnsi" w:cstheme="minorBidi"/>
                <w:noProof/>
                <w:kern w:val="2"/>
                <w:sz w:val="24"/>
                <w:szCs w:val="24"/>
                <w14:ligatures w14:val="standardContextual"/>
              </w:rPr>
              <w:tab/>
            </w:r>
            <w:r w:rsidRPr="00D31CC1">
              <w:rPr>
                <w:rStyle w:val="Hyperlink"/>
                <w:noProof/>
              </w:rPr>
              <w:t>Process for Updating Decarbonization Zones</w:t>
            </w:r>
            <w:r>
              <w:rPr>
                <w:noProof/>
                <w:webHidden/>
              </w:rPr>
              <w:tab/>
            </w:r>
            <w:r>
              <w:rPr>
                <w:noProof/>
                <w:webHidden/>
              </w:rPr>
              <w:fldChar w:fldCharType="begin"/>
            </w:r>
            <w:r>
              <w:rPr>
                <w:noProof/>
                <w:webHidden/>
              </w:rPr>
              <w:instrText xml:space="preserve"> PAGEREF _Toc216699698 \h </w:instrText>
            </w:r>
            <w:r>
              <w:rPr>
                <w:noProof/>
                <w:webHidden/>
              </w:rPr>
            </w:r>
            <w:r>
              <w:rPr>
                <w:noProof/>
                <w:webHidden/>
              </w:rPr>
              <w:fldChar w:fldCharType="separate"/>
            </w:r>
            <w:r w:rsidR="001C3467">
              <w:rPr>
                <w:noProof/>
                <w:webHidden/>
              </w:rPr>
              <w:t>46</w:t>
            </w:r>
            <w:r>
              <w:rPr>
                <w:noProof/>
                <w:webHidden/>
              </w:rPr>
              <w:fldChar w:fldCharType="end"/>
            </w:r>
          </w:hyperlink>
        </w:p>
        <w:p w:rsidR="003465C8" w:rsidRDefault="003465C8" w14:paraId="5709FBB2" w14:textId="6909D2EF">
          <w:pPr>
            <w:pStyle w:val="TOC2"/>
            <w:tabs>
              <w:tab w:val="right" w:leader="dot" w:pos="9350"/>
            </w:tabs>
            <w:rPr>
              <w:rFonts w:asciiTheme="minorHAnsi" w:hAnsiTheme="minorHAnsi" w:cstheme="minorBidi"/>
              <w:noProof/>
              <w:kern w:val="2"/>
              <w:sz w:val="24"/>
              <w:szCs w:val="24"/>
              <w14:ligatures w14:val="standardContextual"/>
            </w:rPr>
          </w:pPr>
          <w:hyperlink w:history="1" w:anchor="_Toc216699699">
            <w:r w:rsidRPr="00D31CC1">
              <w:rPr>
                <w:rStyle w:val="Hyperlink"/>
                <w:noProof/>
              </w:rPr>
              <w:t>5.6.</w:t>
            </w:r>
            <w:r>
              <w:rPr>
                <w:rFonts w:asciiTheme="minorHAnsi" w:hAnsiTheme="minorHAnsi" w:cstheme="minorBidi"/>
                <w:noProof/>
                <w:kern w:val="2"/>
                <w:sz w:val="24"/>
                <w:szCs w:val="24"/>
                <w14:ligatures w14:val="standardContextual"/>
              </w:rPr>
              <w:tab/>
            </w:r>
            <w:r w:rsidRPr="00D31CC1">
              <w:rPr>
                <w:rStyle w:val="Hyperlink"/>
                <w:noProof/>
              </w:rPr>
              <w:t>Review of Fact Sheet</w:t>
            </w:r>
            <w:r>
              <w:rPr>
                <w:noProof/>
                <w:webHidden/>
              </w:rPr>
              <w:tab/>
            </w:r>
            <w:r>
              <w:rPr>
                <w:noProof/>
                <w:webHidden/>
              </w:rPr>
              <w:fldChar w:fldCharType="begin"/>
            </w:r>
            <w:r>
              <w:rPr>
                <w:noProof/>
                <w:webHidden/>
              </w:rPr>
              <w:instrText xml:space="preserve"> PAGEREF _Toc216699699 \h </w:instrText>
            </w:r>
            <w:r>
              <w:rPr>
                <w:noProof/>
                <w:webHidden/>
              </w:rPr>
            </w:r>
            <w:r>
              <w:rPr>
                <w:noProof/>
                <w:webHidden/>
              </w:rPr>
              <w:fldChar w:fldCharType="separate"/>
            </w:r>
            <w:r w:rsidR="001C3467">
              <w:rPr>
                <w:noProof/>
                <w:webHidden/>
              </w:rPr>
              <w:t>48</w:t>
            </w:r>
            <w:r>
              <w:rPr>
                <w:noProof/>
                <w:webHidden/>
              </w:rPr>
              <w:fldChar w:fldCharType="end"/>
            </w:r>
          </w:hyperlink>
        </w:p>
        <w:p w:rsidR="003465C8" w:rsidRDefault="003465C8" w14:paraId="3509C517" w14:textId="03041A4C">
          <w:pPr>
            <w:pStyle w:val="TOC1"/>
            <w:tabs>
              <w:tab w:val="right" w:leader="dot" w:pos="9350"/>
            </w:tabs>
            <w:rPr>
              <w:rFonts w:asciiTheme="minorHAnsi" w:hAnsiTheme="minorHAnsi" w:cstheme="minorBidi"/>
              <w:noProof/>
              <w:kern w:val="2"/>
              <w:sz w:val="24"/>
              <w:szCs w:val="24"/>
              <w14:ligatures w14:val="standardContextual"/>
            </w:rPr>
          </w:pPr>
          <w:hyperlink w:history="1" w:anchor="_Toc216699700">
            <w:r w:rsidRPr="00D31CC1">
              <w:rPr>
                <w:rStyle w:val="Hyperlink"/>
                <w:noProof/>
              </w:rPr>
              <w:t>6.</w:t>
            </w:r>
            <w:r>
              <w:rPr>
                <w:rFonts w:asciiTheme="minorHAnsi" w:hAnsiTheme="minorHAnsi" w:cstheme="minorBidi"/>
                <w:noProof/>
                <w:kern w:val="2"/>
                <w:sz w:val="24"/>
                <w:szCs w:val="24"/>
                <w14:ligatures w14:val="standardContextual"/>
              </w:rPr>
              <w:tab/>
            </w:r>
            <w:r w:rsidRPr="00D31CC1">
              <w:rPr>
                <w:rStyle w:val="Hyperlink"/>
                <w:noProof/>
              </w:rPr>
              <w:t>Assignment of Proceeding</w:t>
            </w:r>
            <w:r>
              <w:rPr>
                <w:noProof/>
                <w:webHidden/>
              </w:rPr>
              <w:tab/>
            </w:r>
            <w:r>
              <w:rPr>
                <w:noProof/>
                <w:webHidden/>
              </w:rPr>
              <w:fldChar w:fldCharType="begin"/>
            </w:r>
            <w:r>
              <w:rPr>
                <w:noProof/>
                <w:webHidden/>
              </w:rPr>
              <w:instrText xml:space="preserve"> PAGEREF _Toc216699700 \h </w:instrText>
            </w:r>
            <w:r>
              <w:rPr>
                <w:noProof/>
                <w:webHidden/>
              </w:rPr>
            </w:r>
            <w:r>
              <w:rPr>
                <w:noProof/>
                <w:webHidden/>
              </w:rPr>
              <w:fldChar w:fldCharType="separate"/>
            </w:r>
            <w:r w:rsidR="001C3467">
              <w:rPr>
                <w:noProof/>
                <w:webHidden/>
              </w:rPr>
              <w:t>49</w:t>
            </w:r>
            <w:r>
              <w:rPr>
                <w:noProof/>
                <w:webHidden/>
              </w:rPr>
              <w:fldChar w:fldCharType="end"/>
            </w:r>
          </w:hyperlink>
        </w:p>
        <w:p w:rsidR="003465C8" w:rsidRDefault="003465C8" w14:paraId="52DACCA2" w14:textId="3BF5F295">
          <w:pPr>
            <w:pStyle w:val="TOC1"/>
            <w:tabs>
              <w:tab w:val="right" w:leader="dot" w:pos="9350"/>
            </w:tabs>
            <w:rPr>
              <w:rFonts w:asciiTheme="minorHAnsi" w:hAnsiTheme="minorHAnsi" w:cstheme="minorBidi"/>
              <w:noProof/>
              <w:kern w:val="2"/>
              <w:sz w:val="24"/>
              <w:szCs w:val="24"/>
              <w14:ligatures w14:val="standardContextual"/>
            </w:rPr>
          </w:pPr>
          <w:hyperlink w:history="1" w:anchor="_Toc216699701">
            <w:r w:rsidRPr="00D31CC1">
              <w:rPr>
                <w:rStyle w:val="Hyperlink"/>
                <w:noProof/>
              </w:rPr>
              <w:t>Findings of Fact</w:t>
            </w:r>
            <w:r>
              <w:rPr>
                <w:noProof/>
                <w:webHidden/>
              </w:rPr>
              <w:tab/>
            </w:r>
            <w:r>
              <w:rPr>
                <w:noProof/>
                <w:webHidden/>
              </w:rPr>
              <w:fldChar w:fldCharType="begin"/>
            </w:r>
            <w:r>
              <w:rPr>
                <w:noProof/>
                <w:webHidden/>
              </w:rPr>
              <w:instrText xml:space="preserve"> PAGEREF _Toc216699701 \h </w:instrText>
            </w:r>
            <w:r>
              <w:rPr>
                <w:noProof/>
                <w:webHidden/>
              </w:rPr>
            </w:r>
            <w:r>
              <w:rPr>
                <w:noProof/>
                <w:webHidden/>
              </w:rPr>
              <w:fldChar w:fldCharType="separate"/>
            </w:r>
            <w:r w:rsidR="001C3467">
              <w:rPr>
                <w:noProof/>
                <w:webHidden/>
              </w:rPr>
              <w:t>49</w:t>
            </w:r>
            <w:r>
              <w:rPr>
                <w:noProof/>
                <w:webHidden/>
              </w:rPr>
              <w:fldChar w:fldCharType="end"/>
            </w:r>
          </w:hyperlink>
        </w:p>
        <w:p w:rsidR="003465C8" w:rsidRDefault="003465C8" w14:paraId="2EE9556B" w14:textId="613B39E0">
          <w:pPr>
            <w:pStyle w:val="TOC1"/>
            <w:tabs>
              <w:tab w:val="right" w:leader="dot" w:pos="9350"/>
            </w:tabs>
            <w:rPr>
              <w:rFonts w:asciiTheme="minorHAnsi" w:hAnsiTheme="minorHAnsi" w:cstheme="minorBidi"/>
              <w:noProof/>
              <w:kern w:val="2"/>
              <w:sz w:val="24"/>
              <w:szCs w:val="24"/>
              <w14:ligatures w14:val="standardContextual"/>
            </w:rPr>
          </w:pPr>
          <w:hyperlink w:history="1" w:anchor="_Toc216699702">
            <w:r w:rsidRPr="00D31CC1">
              <w:rPr>
                <w:rStyle w:val="Hyperlink"/>
                <w:noProof/>
              </w:rPr>
              <w:t>Conclusions of Law</w:t>
            </w:r>
            <w:r>
              <w:rPr>
                <w:noProof/>
                <w:webHidden/>
              </w:rPr>
              <w:tab/>
            </w:r>
            <w:r>
              <w:rPr>
                <w:noProof/>
                <w:webHidden/>
              </w:rPr>
              <w:fldChar w:fldCharType="begin"/>
            </w:r>
            <w:r>
              <w:rPr>
                <w:noProof/>
                <w:webHidden/>
              </w:rPr>
              <w:instrText xml:space="preserve"> PAGEREF _Toc216699702 \h </w:instrText>
            </w:r>
            <w:r>
              <w:rPr>
                <w:noProof/>
                <w:webHidden/>
              </w:rPr>
            </w:r>
            <w:r>
              <w:rPr>
                <w:noProof/>
                <w:webHidden/>
              </w:rPr>
              <w:fldChar w:fldCharType="separate"/>
            </w:r>
            <w:r w:rsidR="001C3467">
              <w:rPr>
                <w:noProof/>
                <w:webHidden/>
              </w:rPr>
              <w:t>52</w:t>
            </w:r>
            <w:r>
              <w:rPr>
                <w:noProof/>
                <w:webHidden/>
              </w:rPr>
              <w:fldChar w:fldCharType="end"/>
            </w:r>
          </w:hyperlink>
        </w:p>
        <w:p w:rsidR="003465C8" w:rsidRDefault="003465C8" w14:paraId="487EB94B" w14:textId="63523383">
          <w:pPr>
            <w:pStyle w:val="TOC1"/>
            <w:tabs>
              <w:tab w:val="right" w:leader="dot" w:pos="9350"/>
            </w:tabs>
            <w:rPr>
              <w:rFonts w:asciiTheme="minorHAnsi" w:hAnsiTheme="minorHAnsi" w:cstheme="minorBidi"/>
              <w:noProof/>
              <w:kern w:val="2"/>
              <w:sz w:val="24"/>
              <w:szCs w:val="24"/>
              <w14:ligatures w14:val="standardContextual"/>
            </w:rPr>
          </w:pPr>
          <w:hyperlink w:history="1" w:anchor="_Toc216699703">
            <w:r w:rsidRPr="00D31CC1">
              <w:rPr>
                <w:rStyle w:val="Hyperlink"/>
                <w:noProof/>
              </w:rPr>
              <w:t>ORDER</w:t>
            </w:r>
            <w:r>
              <w:rPr>
                <w:noProof/>
                <w:webHidden/>
              </w:rPr>
              <w:tab/>
            </w:r>
            <w:r>
              <w:rPr>
                <w:noProof/>
                <w:webHidden/>
              </w:rPr>
              <w:fldChar w:fldCharType="begin"/>
            </w:r>
            <w:r>
              <w:rPr>
                <w:noProof/>
                <w:webHidden/>
              </w:rPr>
              <w:instrText xml:space="preserve"> PAGEREF _Toc216699703 \h </w:instrText>
            </w:r>
            <w:r>
              <w:rPr>
                <w:noProof/>
                <w:webHidden/>
              </w:rPr>
            </w:r>
            <w:r>
              <w:rPr>
                <w:noProof/>
                <w:webHidden/>
              </w:rPr>
              <w:fldChar w:fldCharType="separate"/>
            </w:r>
            <w:r w:rsidR="001C3467">
              <w:rPr>
                <w:noProof/>
                <w:webHidden/>
              </w:rPr>
              <w:t>55</w:t>
            </w:r>
            <w:r>
              <w:rPr>
                <w:noProof/>
                <w:webHidden/>
              </w:rPr>
              <w:fldChar w:fldCharType="end"/>
            </w:r>
          </w:hyperlink>
        </w:p>
        <w:p w:rsidR="00D82A43" w:rsidP="008C7413" w:rsidRDefault="008C7413" w14:paraId="788C1975" w14:textId="08FD4F5E">
          <w:pPr>
            <w:pStyle w:val="TOC1"/>
            <w:tabs>
              <w:tab w:val="right" w:leader="dot" w:pos="9350"/>
            </w:tabs>
          </w:pPr>
          <w:r>
            <w:rPr>
              <w:rFonts w:asciiTheme="minorHAnsi" w:hAnsiTheme="minorHAnsi"/>
              <w:sz w:val="22"/>
            </w:rPr>
            <w:fldChar w:fldCharType="end"/>
          </w:r>
        </w:p>
      </w:sdtContent>
    </w:sdt>
    <w:p w:rsidRPr="0098655A" w:rsidR="0098655A" w:rsidP="00D50119" w:rsidRDefault="0098655A" w14:paraId="31B996D0" w14:textId="5F7CD4AC">
      <w:pPr>
        <w:spacing w:line="240" w:lineRule="auto"/>
        <w:ind w:firstLine="0"/>
        <w:rPr>
          <w:rFonts w:cs="Arial"/>
          <w:szCs w:val="26"/>
        </w:rPr>
      </w:pPr>
      <w:r w:rsidRPr="0098655A">
        <w:rPr>
          <w:rFonts w:cs="Arial"/>
          <w:b/>
          <w:szCs w:val="26"/>
        </w:rPr>
        <w:t>Appendix A</w:t>
      </w:r>
      <w:r w:rsidRPr="0098655A">
        <w:rPr>
          <w:rFonts w:cs="Arial"/>
          <w:szCs w:val="26"/>
        </w:rPr>
        <w:t xml:space="preserve"> –</w:t>
      </w:r>
      <w:r w:rsidR="00E23CBB">
        <w:rPr>
          <w:rFonts w:cs="Arial"/>
          <w:szCs w:val="26"/>
        </w:rPr>
        <w:t xml:space="preserve"> </w:t>
      </w:r>
      <w:r w:rsidR="00694F5B">
        <w:rPr>
          <w:rFonts w:cs="Arial"/>
          <w:szCs w:val="26"/>
        </w:rPr>
        <w:t>Census Tracts Designated as Initial Decarbonization Zones</w:t>
      </w:r>
    </w:p>
    <w:p w:rsidRPr="00240755" w:rsidR="00D44DB6" w:rsidP="00D44DB6" w:rsidRDefault="00240755" w14:paraId="090B4F60" w14:textId="75F645F3">
      <w:pPr>
        <w:spacing w:line="240" w:lineRule="auto"/>
        <w:ind w:firstLine="0"/>
        <w:rPr>
          <w:rFonts w:cs="Arial"/>
          <w:szCs w:val="26"/>
        </w:rPr>
      </w:pPr>
      <w:r w:rsidRPr="005C72A9">
        <w:rPr>
          <w:rFonts w:cs="Arial"/>
          <w:b/>
          <w:bCs/>
          <w:szCs w:val="26"/>
        </w:rPr>
        <w:t xml:space="preserve">Appendix B </w:t>
      </w:r>
      <w:r w:rsidRPr="005C72A9">
        <w:rPr>
          <w:rFonts w:cs="Arial"/>
          <w:szCs w:val="26"/>
        </w:rPr>
        <w:t>– Map</w:t>
      </w:r>
      <w:r w:rsidR="005C72A9">
        <w:rPr>
          <w:rFonts w:cs="Arial"/>
          <w:szCs w:val="26"/>
        </w:rPr>
        <w:t xml:space="preserve"> of California Showing Initial Decarbonization Zones</w:t>
      </w:r>
      <w:r>
        <w:rPr>
          <w:rFonts w:cs="Arial"/>
          <w:szCs w:val="26"/>
        </w:rPr>
        <w:t xml:space="preserve"> </w:t>
      </w:r>
    </w:p>
    <w:p w:rsidRPr="00D44DB6" w:rsidR="00D44DB6" w:rsidP="00D44DB6" w:rsidRDefault="00D44DB6" w14:paraId="11F0CCCD" w14:textId="042B66F3">
      <w:pPr>
        <w:spacing w:line="240" w:lineRule="auto"/>
        <w:ind w:firstLine="0"/>
        <w:rPr>
          <w:rFonts w:cs="Arial"/>
          <w:i/>
          <w:szCs w:val="26"/>
        </w:rPr>
        <w:sectPr w:rsidRPr="00D44DB6" w:rsidR="00D44DB6" w:rsidSect="00D44DB6">
          <w:headerReference w:type="default" r:id="rId15"/>
          <w:footerReference w:type="default" r:id="rId16"/>
          <w:pgSz w:w="12240" w:h="15840"/>
          <w:pgMar w:top="1728" w:right="1440" w:bottom="1440" w:left="1440" w:header="720" w:footer="720" w:gutter="0"/>
          <w:pgNumType w:fmt="lowerRoman" w:start="1"/>
          <w:cols w:space="720"/>
          <w:docGrid w:linePitch="360"/>
        </w:sectPr>
      </w:pPr>
    </w:p>
    <w:p w:rsidR="0098655A" w:rsidP="00D82A43" w:rsidRDefault="005425AB" w14:paraId="5DED8D6B" w14:textId="0411EDA5">
      <w:pPr>
        <w:pStyle w:val="Main"/>
        <w:spacing w:after="240"/>
      </w:pPr>
      <w:r>
        <w:lastRenderedPageBreak/>
        <w:t xml:space="preserve">decision designating </w:t>
      </w:r>
      <w:r w:rsidR="004D683C">
        <w:t xml:space="preserve">initial </w:t>
      </w:r>
      <w:r>
        <w:t>priority neighborhood decarbonization zones</w:t>
      </w:r>
    </w:p>
    <w:p w:rsidR="005A148C" w:rsidP="005A148C" w:rsidRDefault="005A148C" w14:paraId="7D571D81" w14:textId="77777777">
      <w:pPr>
        <w:pStyle w:val="Dummy"/>
      </w:pPr>
      <w:bookmarkStart w:name="_Toc8123714" w:id="1"/>
      <w:bookmarkStart w:name="_Toc216699673" w:id="2"/>
      <w:r>
        <w:t>Summary</w:t>
      </w:r>
      <w:bookmarkEnd w:id="1"/>
      <w:bookmarkEnd w:id="2"/>
    </w:p>
    <w:p w:rsidR="003B1B41" w:rsidP="00A97609" w:rsidRDefault="005A148C" w14:paraId="1E3E52E5" w14:textId="63D796D8">
      <w:pPr>
        <w:pStyle w:val="Standard"/>
      </w:pPr>
      <w:r>
        <w:t>Th</w:t>
      </w:r>
      <w:r w:rsidR="00A97609">
        <w:t xml:space="preserve">is decision designates </w:t>
      </w:r>
      <w:r w:rsidR="004D683C">
        <w:t xml:space="preserve">initial </w:t>
      </w:r>
      <w:r w:rsidR="00A97609">
        <w:t>priority neighborhood decarbonization zones, as required by Public Utilities Code Section 662</w:t>
      </w:r>
      <w:r w:rsidR="004F6C83">
        <w:t>(a)</w:t>
      </w:r>
      <w:r w:rsidR="00A97609">
        <w:t xml:space="preserve">.  </w:t>
      </w:r>
      <w:r w:rsidR="003B1B41">
        <w:t xml:space="preserve">A table listing the census tracts that comprise the initial priority neighborhood decarbonization zones is included with this decision as Appendix </w:t>
      </w:r>
      <w:r w:rsidR="004C7E23">
        <w:t>A</w:t>
      </w:r>
      <w:r w:rsidR="003B1B41">
        <w:t xml:space="preserve">.  </w:t>
      </w:r>
      <w:r w:rsidR="00B2543F">
        <w:t xml:space="preserve">A map depicting the locations of the initial priority neighborhood decarbonization zones is included with this decision as Appendix B.  </w:t>
      </w:r>
      <w:r w:rsidR="00DA280D">
        <w:t>By January 16, 2026</w:t>
      </w:r>
      <w:r w:rsidR="007F2FF9">
        <w:t xml:space="preserve">, </w:t>
      </w:r>
      <w:r w:rsidR="003B1B41">
        <w:t xml:space="preserve">Pacific Gas and Electric Company, Southern California Gas Company, </w:t>
      </w:r>
      <w:r w:rsidR="005F4A92">
        <w:t xml:space="preserve">and </w:t>
      </w:r>
      <w:r w:rsidR="003B1B41">
        <w:t>San Diego Gas &amp; Electric Company</w:t>
      </w:r>
      <w:r w:rsidR="005F4A92">
        <w:t xml:space="preserve"> </w:t>
      </w:r>
      <w:r w:rsidR="00B2543F">
        <w:t>shall</w:t>
      </w:r>
      <w:r w:rsidR="003B1B41">
        <w:t xml:space="preserve"> </w:t>
      </w:r>
      <w:r w:rsidR="009F51D9">
        <w:t>update the maps they submitted to the Commission on July 1, 2025, to include</w:t>
      </w:r>
      <w:r w:rsidR="003B1B41">
        <w:t xml:space="preserve"> the initial priority neighborhood decarbonization zones.</w:t>
      </w:r>
      <w:r w:rsidR="005F4A92">
        <w:t xml:space="preserve">  </w:t>
      </w:r>
      <w:r w:rsidR="009F51D9">
        <w:t>This decision does not designate any init</w:t>
      </w:r>
      <w:r w:rsidR="005F4A92">
        <w:t>ial priority neighborhood decarbonization zones</w:t>
      </w:r>
      <w:r w:rsidR="006F5F6A">
        <w:t xml:space="preserve"> within </w:t>
      </w:r>
      <w:r w:rsidR="009F51D9">
        <w:t xml:space="preserve">Southwest Gas </w:t>
      </w:r>
      <w:r w:rsidR="007F2FF9">
        <w:t>Corporation’s</w:t>
      </w:r>
      <w:r w:rsidR="006F5F6A">
        <w:t xml:space="preserve"> service area</w:t>
      </w:r>
      <w:r w:rsidR="005F4A92">
        <w:t>.</w:t>
      </w:r>
      <w:r w:rsidR="00A1664D">
        <w:t xml:space="preserve">  Pacific Gas and Electric Company, Southern California Gas Company, San Diego Gas &amp; Electric Company</w:t>
      </w:r>
      <w:r w:rsidR="00B2543F">
        <w:t>, and Southwest Gas Corporation</w:t>
      </w:r>
      <w:r w:rsidR="00A1664D">
        <w:t xml:space="preserve"> are </w:t>
      </w:r>
      <w:bookmarkStart w:name="_Hlk213402513" w:id="3"/>
      <w:r w:rsidR="00A1664D">
        <w:t xml:space="preserve">also ordered to </w:t>
      </w:r>
      <w:r w:rsidR="00BE1C23">
        <w:t>conduct outreach</w:t>
      </w:r>
      <w:r w:rsidR="00FA7004">
        <w:t xml:space="preserve"> </w:t>
      </w:r>
      <w:r w:rsidR="005C72A9">
        <w:t xml:space="preserve">and </w:t>
      </w:r>
      <w:r w:rsidR="00A1664D">
        <w:t>host</w:t>
      </w:r>
      <w:r w:rsidR="00BE1C23">
        <w:t xml:space="preserve"> and record</w:t>
      </w:r>
      <w:r w:rsidR="005C72A9">
        <w:t xml:space="preserve"> one</w:t>
      </w:r>
      <w:r w:rsidR="00A1664D">
        <w:t xml:space="preserve"> </w:t>
      </w:r>
      <w:r w:rsidR="00BE1C23">
        <w:t xml:space="preserve">virtual </w:t>
      </w:r>
      <w:r w:rsidR="00A1664D">
        <w:t xml:space="preserve">Senate Bill 1221 information session in </w:t>
      </w:r>
      <w:r w:rsidR="005C72A9">
        <w:t xml:space="preserve">each of </w:t>
      </w:r>
      <w:r w:rsidR="00A1664D">
        <w:t xml:space="preserve">their service areas </w:t>
      </w:r>
      <w:r w:rsidR="00FA7004">
        <w:t>by March 15, 2026</w:t>
      </w:r>
      <w:r w:rsidR="00A1664D">
        <w:t>.</w:t>
      </w:r>
    </w:p>
    <w:bookmarkEnd w:id="3"/>
    <w:p w:rsidR="0073353F" w:rsidP="00A97609" w:rsidRDefault="00A97609" w14:paraId="04B63AC4" w14:textId="64B210E0">
      <w:pPr>
        <w:pStyle w:val="Standard"/>
      </w:pPr>
      <w:r>
        <w:t xml:space="preserve">The proceeding remains open. </w:t>
      </w:r>
    </w:p>
    <w:p w:rsidRPr="00121089" w:rsidR="005A148C" w:rsidP="00A55ACD" w:rsidRDefault="002C7FE9" w14:paraId="5DF92CEB" w14:textId="77777777">
      <w:pPr>
        <w:pStyle w:val="Heading1"/>
        <w:numPr>
          <w:ilvl w:val="0"/>
          <w:numId w:val="1"/>
        </w:numPr>
      </w:pPr>
      <w:bookmarkStart w:name="_Toc8123715" w:id="4"/>
      <w:bookmarkStart w:name="_Toc216699674" w:id="5"/>
      <w:r w:rsidRPr="00121089">
        <w:t>Background</w:t>
      </w:r>
      <w:bookmarkEnd w:id="4"/>
      <w:bookmarkEnd w:id="5"/>
    </w:p>
    <w:p w:rsidR="004659C1" w:rsidP="00B77FD0" w:rsidRDefault="008967D4" w14:paraId="60FF853A" w14:textId="367FBA95">
      <w:pPr>
        <w:pStyle w:val="Standard"/>
      </w:pPr>
      <w:bookmarkStart w:name="_Toc8123717" w:id="6"/>
      <w:r>
        <w:t>In 2024, the California Legislature passed Senate Bill (SB) 1221</w:t>
      </w:r>
      <w:r w:rsidR="00A153CE">
        <w:t>,</w:t>
      </w:r>
      <w:r w:rsidR="006F5F6A">
        <w:rPr>
          <w:rStyle w:val="FootnoteReference"/>
        </w:rPr>
        <w:footnoteReference w:id="2"/>
      </w:r>
      <w:r w:rsidR="00A153CE">
        <w:t xml:space="preserve"> which</w:t>
      </w:r>
      <w:r w:rsidR="00FA1954">
        <w:t xml:space="preserve"> was codified in </w:t>
      </w:r>
      <w:r w:rsidR="00497603">
        <w:t xml:space="preserve">the </w:t>
      </w:r>
      <w:r w:rsidR="00FA1954">
        <w:t>Public Utilities Code</w:t>
      </w:r>
      <w:r w:rsidR="00FA1954">
        <w:rPr>
          <w:i/>
          <w:iCs/>
        </w:rPr>
        <w:t>.</w:t>
      </w:r>
      <w:r w:rsidR="00B77FD0">
        <w:rPr>
          <w:rStyle w:val="FootnoteReference"/>
        </w:rPr>
        <w:footnoteReference w:id="3"/>
      </w:r>
      <w:r w:rsidR="00FA1954">
        <w:rPr>
          <w:i/>
          <w:iCs/>
        </w:rPr>
        <w:t xml:space="preserve">  </w:t>
      </w:r>
      <w:r w:rsidR="00FA1954">
        <w:t>Section 662</w:t>
      </w:r>
      <w:r w:rsidR="003B1B41">
        <w:t>(a)</w:t>
      </w:r>
      <w:r w:rsidR="00FA1954">
        <w:t xml:space="preserve"> </w:t>
      </w:r>
      <w:r>
        <w:t>requir</w:t>
      </w:r>
      <w:r w:rsidR="00FA1954">
        <w:t>es</w:t>
      </w:r>
      <w:r>
        <w:t xml:space="preserve"> the Commission to designate priority neighborhood decarbonization zones (decarbonization zones)</w:t>
      </w:r>
      <w:r w:rsidR="00FA1954">
        <w:t xml:space="preserve"> </w:t>
      </w:r>
      <w:r w:rsidR="007F2FF9">
        <w:lastRenderedPageBreak/>
        <w:t xml:space="preserve">on or </w:t>
      </w:r>
      <w:r w:rsidR="00FA1954">
        <w:t>before January 1, 2026</w:t>
      </w:r>
      <w:r>
        <w:t>.</w:t>
      </w:r>
      <w:r w:rsidR="00D37D6B">
        <w:t xml:space="preserve">  Decarbonization zones are geographic areas w</w:t>
      </w:r>
      <w:r w:rsidR="004D4306">
        <w:t>ithin which</w:t>
      </w:r>
      <w:r w:rsidR="00D37D6B">
        <w:t xml:space="preserve"> the Commission may authorize pilot projects </w:t>
      </w:r>
      <w:r w:rsidR="003B1B41">
        <w:t xml:space="preserve">through </w:t>
      </w:r>
      <w:r w:rsidR="00497603">
        <w:t>a voluntary program to facilitate cost-effective decarbonization (Pilot Program)</w:t>
      </w:r>
      <w:r w:rsidR="00D37D6B">
        <w:t>.</w:t>
      </w:r>
      <w:r w:rsidR="00497603">
        <w:rPr>
          <w:rStyle w:val="FootnoteReference"/>
        </w:rPr>
        <w:footnoteReference w:id="4"/>
      </w:r>
      <w:r w:rsidR="007E433A">
        <w:t xml:space="preserve">  </w:t>
      </w:r>
      <w:r w:rsidR="00497603">
        <w:t>G</w:t>
      </w:r>
      <w:r w:rsidR="007E433A">
        <w:t xml:space="preserve">as corporations </w:t>
      </w:r>
      <w:r w:rsidR="00497603">
        <w:t>must also</w:t>
      </w:r>
      <w:r w:rsidR="007E433A">
        <w:t xml:space="preserve"> include </w:t>
      </w:r>
      <w:r w:rsidR="00497603">
        <w:t xml:space="preserve">designated </w:t>
      </w:r>
      <w:r w:rsidR="007E433A">
        <w:t>decarbonization zones on maps they submit to the Commission annually.</w:t>
      </w:r>
      <w:r w:rsidR="00497603">
        <w:rPr>
          <w:rStyle w:val="FootnoteReference"/>
        </w:rPr>
        <w:footnoteReference w:id="5"/>
      </w:r>
      <w:r w:rsidR="00497603">
        <w:t xml:space="preserve">  </w:t>
      </w:r>
      <w:r w:rsidR="004659C1">
        <w:t>Section 662(d) permits the Commission to update the decarbonization zones as necessary following an opportunity for public comment.</w:t>
      </w:r>
    </w:p>
    <w:p w:rsidR="00D247D4" w:rsidP="008967D4" w:rsidRDefault="00FA1954" w14:paraId="606CB0EC" w14:textId="145B5FDC">
      <w:pPr>
        <w:pStyle w:val="Standard"/>
      </w:pPr>
      <w:r>
        <w:t>On June 5, 2025, the Administrative Law Judges issued a ruling directing Pacific Gas and Electric Company (PG&amp;E), Southern California Gas Company (SoCalGas), San Diego Gas &amp; Electric Company (SDG&amp;E), and Southwest Gas Corporation (Southwest Gas) (together, “Gas Corporations”) to file and serve recommendations for decarbonization zones in their service areas</w:t>
      </w:r>
      <w:r w:rsidR="00D247D4">
        <w:t xml:space="preserve">.  The ruling also invited parties to provide comments on the Gas Corporations’ </w:t>
      </w:r>
      <w:r w:rsidR="006F5F6A">
        <w:t>recommended</w:t>
      </w:r>
      <w:r w:rsidR="00D247D4">
        <w:t xml:space="preserve"> decarbonization zones.</w:t>
      </w:r>
    </w:p>
    <w:p w:rsidR="00D247D4" w:rsidP="008967D4" w:rsidRDefault="00D247D4" w14:paraId="0470891B" w14:textId="1380E6C5">
      <w:pPr>
        <w:pStyle w:val="Standard"/>
      </w:pPr>
      <w:r>
        <w:t xml:space="preserve">On June 12, 2025, the Administrative Law Judges issued a ruling setting remote Public Participation Hearings </w:t>
      </w:r>
      <w:r w:rsidR="004E3B11">
        <w:t xml:space="preserve">(PPHs) </w:t>
      </w:r>
      <w:r>
        <w:t xml:space="preserve">to consider comments </w:t>
      </w:r>
      <w:r w:rsidR="004E3B11">
        <w:t xml:space="preserve">from the public, not parties, </w:t>
      </w:r>
      <w:r>
        <w:t>on the designation of decarbonization zones</w:t>
      </w:r>
      <w:r w:rsidR="004E3B11">
        <w:t>.</w:t>
      </w:r>
      <w:r w:rsidR="004E3B11">
        <w:rPr>
          <w:rStyle w:val="FootnoteReference"/>
        </w:rPr>
        <w:footnoteReference w:id="6"/>
      </w:r>
    </w:p>
    <w:p w:rsidR="00497603" w:rsidP="004D683C" w:rsidRDefault="005B6CFE" w14:paraId="29C96C10" w14:textId="6F88FA8D">
      <w:pPr>
        <w:pStyle w:val="Standard"/>
      </w:pPr>
      <w:r>
        <w:t xml:space="preserve">On July 1, 2025, PG&amp;E, SDG&amp;E, </w:t>
      </w:r>
      <w:r w:rsidR="00B41F53">
        <w:t xml:space="preserve">SoCalGas, </w:t>
      </w:r>
      <w:r>
        <w:t xml:space="preserve">and Southwest Gas submitted maps to the Commission in compliance with </w:t>
      </w:r>
      <w:r w:rsidR="00497603">
        <w:t>SB 1221</w:t>
      </w:r>
      <w:r>
        <w:t xml:space="preserve"> and the Assigned Commissioner’s Ruling Issuing Senate Bill 1221 Mapping Directions to Utilities</w:t>
      </w:r>
      <w:r w:rsidR="006F5F6A">
        <w:t>,</w:t>
      </w:r>
      <w:r>
        <w:t xml:space="preserve"> issued on April 18, 2025.  </w:t>
      </w:r>
    </w:p>
    <w:p w:rsidR="00B03DC2" w:rsidP="00497603" w:rsidRDefault="00D247D4" w14:paraId="7D0C2926" w14:textId="77777777">
      <w:pPr>
        <w:pStyle w:val="Standard"/>
      </w:pPr>
      <w:r>
        <w:lastRenderedPageBreak/>
        <w:t>On July 21, 2025, PG&amp;E, SoCalGas</w:t>
      </w:r>
      <w:r w:rsidR="004E3B11">
        <w:t>/</w:t>
      </w:r>
      <w:r>
        <w:t>SDG&amp;E</w:t>
      </w:r>
      <w:r w:rsidR="005B6CFE">
        <w:t>, and Southwest Gas</w:t>
      </w:r>
      <w:r>
        <w:t xml:space="preserve"> filed </w:t>
      </w:r>
      <w:r w:rsidR="009A0295">
        <w:t>comments recommending</w:t>
      </w:r>
      <w:r>
        <w:t xml:space="preserve"> </w:t>
      </w:r>
      <w:r w:rsidR="009A0295">
        <w:t>the designation of certain</w:t>
      </w:r>
      <w:r>
        <w:t xml:space="preserve"> decarbonization zones</w:t>
      </w:r>
      <w:r w:rsidR="004E3B11">
        <w:t>.</w:t>
      </w:r>
      <w:r w:rsidR="00497603">
        <w:t xml:space="preserve">  </w:t>
      </w:r>
    </w:p>
    <w:p w:rsidR="00EF2FED" w:rsidP="00497603" w:rsidRDefault="004E3B11" w14:paraId="760D3E87" w14:textId="66EF152C">
      <w:pPr>
        <w:pStyle w:val="Standard"/>
      </w:pPr>
      <w:r>
        <w:t xml:space="preserve">On August 7, 2025, </w:t>
      </w:r>
      <w:r w:rsidR="00EF2FED">
        <w:t>the Administrative Law Judges hosted remote PPHs at 2:00 p.m. and 6:00 p.m.  There were 45 public commenters, 313 total callers, and 642 webcast views at the 2:00 p.m. PPH.  There were 14 public commenters, 55 callers, and 166 webcast views at the 6:00 p.m. PPH.</w:t>
      </w:r>
    </w:p>
    <w:p w:rsidR="00A85C9F" w:rsidP="004E3B11" w:rsidRDefault="00EF2FED" w14:paraId="4D46B3A5" w14:textId="451BC288">
      <w:pPr>
        <w:pStyle w:val="Standard"/>
      </w:pPr>
      <w:r>
        <w:t xml:space="preserve">On August 8, 2025, </w:t>
      </w:r>
      <w:r w:rsidR="00BF6130">
        <w:t>12</w:t>
      </w:r>
      <w:r>
        <w:t xml:space="preserve"> parties filed opening comments </w:t>
      </w:r>
      <w:r w:rsidR="004F6C83">
        <w:t>in response to</w:t>
      </w:r>
      <w:r>
        <w:t xml:space="preserve"> the Gas </w:t>
      </w:r>
      <w:r w:rsidR="00A85C9F">
        <w:t>Corporation</w:t>
      </w:r>
      <w:r>
        <w:t xml:space="preserve">s’ recommended decarbonization zones: </w:t>
      </w:r>
      <w:r w:rsidR="009A0295">
        <w:t>the Association of Bay Area Governments on behalf of the Bay Area Regional Energy Network program (BayREN) and the County of Ventura on behalf of the Tri-County Regional Energy Network program (3C-REN) (together, BayREN/3C-REN)</w:t>
      </w:r>
      <w:r w:rsidR="00BF6130">
        <w:t>;</w:t>
      </w:r>
      <w:r w:rsidR="00FE0ED7">
        <w:rPr>
          <w:rStyle w:val="FootnoteReference"/>
        </w:rPr>
        <w:footnoteReference w:id="7"/>
      </w:r>
      <w:r w:rsidR="009A0295">
        <w:t xml:space="preserve"> the Public Advocates Office at the California Public Utilities Commission (Cal Advocates); Central California Rural Regional Energy Network (CCR REN);</w:t>
      </w:r>
      <w:r w:rsidR="00FE0ED7">
        <w:rPr>
          <w:rStyle w:val="FootnoteReference"/>
        </w:rPr>
        <w:footnoteReference w:id="8"/>
      </w:r>
      <w:r w:rsidR="009A0295">
        <w:t xml:space="preserve"> Center for Accessible Technology (CforAT); the County of Contra Costa (Contra Costa); </w:t>
      </w:r>
      <w:r>
        <w:t>Contra Costa Building and Construction Trades Council; the Joint Community Choice Aggregators (Joint CCAs);</w:t>
      </w:r>
      <w:r>
        <w:rPr>
          <w:rStyle w:val="FootnoteReference"/>
        </w:rPr>
        <w:footnoteReference w:id="9"/>
      </w:r>
      <w:r>
        <w:t xml:space="preserve"> Marin Clean Energy;</w:t>
      </w:r>
      <w:r w:rsidR="00D1397A">
        <w:rPr>
          <w:rStyle w:val="FootnoteReference"/>
        </w:rPr>
        <w:footnoteReference w:id="10"/>
      </w:r>
      <w:r>
        <w:t xml:space="preserve"> Natural Resources Defense Council/Sierra Club (NRDC/Sierra Club); the City and County of San </w:t>
      </w:r>
      <w:r>
        <w:lastRenderedPageBreak/>
        <w:t xml:space="preserve">Francisco (San Francisco); Small Business Utility Advocates (SBUA); </w:t>
      </w:r>
      <w:r w:rsidR="00A85C9F">
        <w:t xml:space="preserve">and </w:t>
      </w:r>
      <w:r>
        <w:t>Southern California Edison Company (SCE)</w:t>
      </w:r>
      <w:r w:rsidR="00A85C9F">
        <w:t>.</w:t>
      </w:r>
    </w:p>
    <w:p w:rsidR="008967D4" w:rsidP="00A85C9F" w:rsidRDefault="00A85C9F" w14:paraId="43493630" w14:textId="64D11534">
      <w:pPr>
        <w:pStyle w:val="Standard"/>
        <w:ind w:firstLine="0"/>
      </w:pPr>
      <w:r>
        <w:tab/>
        <w:t xml:space="preserve">On </w:t>
      </w:r>
      <w:r w:rsidR="009A0295">
        <w:t>September</w:t>
      </w:r>
      <w:r>
        <w:t xml:space="preserve"> 10, 2025, </w:t>
      </w:r>
      <w:r w:rsidR="009A0295">
        <w:t>nine</w:t>
      </w:r>
      <w:r>
        <w:t xml:space="preserve"> parties filed reply comments </w:t>
      </w:r>
      <w:r w:rsidR="004F6C83">
        <w:t>in response to</w:t>
      </w:r>
      <w:r>
        <w:t xml:space="preserve"> the Gas </w:t>
      </w:r>
      <w:r w:rsidR="004F6C83">
        <w:t>Corporation</w:t>
      </w:r>
      <w:r>
        <w:t>s’ recommended decarbonization zones:</w:t>
      </w:r>
      <w:r w:rsidR="00EF2FED">
        <w:t xml:space="preserve"> </w:t>
      </w:r>
      <w:r w:rsidR="009A0295">
        <w:t>the California Municipal Utilities Association (CMUA); Contra Costa; the City of Elk Grove (Elk Grove); Indicated Shippers; the Joint CCAs; PG&amp;E; SoCalGas/SDG&amp;E; SCE; and The Utility Reform Network (TURN).</w:t>
      </w:r>
    </w:p>
    <w:p w:rsidR="00BF6130" w:rsidP="00BF6130" w:rsidRDefault="00BF6130" w14:paraId="65DCA8F0" w14:textId="00B1AAF6">
      <w:pPr>
        <w:pStyle w:val="Standard"/>
      </w:pPr>
      <w:r>
        <w:t xml:space="preserve">By September 10, 2025, the Commission had received </w:t>
      </w:r>
      <w:r w:rsidR="00D95520">
        <w:t xml:space="preserve">comments from </w:t>
      </w:r>
      <w:r>
        <w:t>2</w:t>
      </w:r>
      <w:r w:rsidR="00F332CD">
        <w:t>39</w:t>
      </w:r>
      <w:r>
        <w:t xml:space="preserve"> </w:t>
      </w:r>
      <w:r w:rsidR="00D95520">
        <w:t xml:space="preserve">members of the </w:t>
      </w:r>
      <w:r>
        <w:t xml:space="preserve">public relevant to the designation of decarbonization zones.  Commenters </w:t>
      </w:r>
      <w:r w:rsidR="00F332CD">
        <w:t>were</w:t>
      </w:r>
      <w:r>
        <w:t xml:space="preserve"> individuals</w:t>
      </w:r>
      <w:r w:rsidR="00F332CD">
        <w:t>, as well as</w:t>
      </w:r>
      <w:r>
        <w:t xml:space="preserve"> representatives from community organizations</w:t>
      </w:r>
      <w:r w:rsidR="007F2FF9">
        <w:t>,</w:t>
      </w:r>
      <w:r>
        <w:t xml:space="preserve"> local governments</w:t>
      </w:r>
      <w:r w:rsidR="007F2FF9">
        <w:t xml:space="preserve">, and </w:t>
      </w:r>
      <w:r w:rsidR="00CE402D">
        <w:t>the Sacramento Metropolitan Air Quality Management District</w:t>
      </w:r>
      <w:r>
        <w:t xml:space="preserve">.  </w:t>
      </w:r>
    </w:p>
    <w:p w:rsidR="00683B2C" w:rsidP="00683B2C" w:rsidRDefault="00683B2C" w14:paraId="60458E3A" w14:textId="77777777">
      <w:pPr>
        <w:pStyle w:val="Heading2"/>
      </w:pPr>
      <w:bookmarkStart w:name="_Toc216699675" w:id="7"/>
      <w:bookmarkEnd w:id="6"/>
      <w:r>
        <w:t>Submission Date</w:t>
      </w:r>
      <w:bookmarkEnd w:id="7"/>
    </w:p>
    <w:p w:rsidR="00683B2C" w:rsidP="00A85C9F" w:rsidRDefault="00683B2C" w14:paraId="0916639E" w14:textId="2C6FFBFB">
      <w:pPr>
        <w:pStyle w:val="Standard"/>
      </w:pPr>
      <w:r w:rsidRPr="00FF0265">
        <w:t xml:space="preserve">This matter was submitted on </w:t>
      </w:r>
      <w:r w:rsidR="00A85C9F">
        <w:t>September 10, 2025,</w:t>
      </w:r>
      <w:r w:rsidRPr="00FF0265">
        <w:t xml:space="preserve"> upon </w:t>
      </w:r>
      <w:r w:rsidR="00A85C9F">
        <w:t>the</w:t>
      </w:r>
      <w:r w:rsidRPr="00FF0265">
        <w:t xml:space="preserve"> filing</w:t>
      </w:r>
      <w:r w:rsidR="00A85C9F">
        <w:t xml:space="preserve"> of party reply comments </w:t>
      </w:r>
      <w:r w:rsidR="004F6C83">
        <w:t>in response to</w:t>
      </w:r>
      <w:r w:rsidR="00A85C9F">
        <w:t xml:space="preserve"> the Gas Corporations’ recommended decarbonization zones.</w:t>
      </w:r>
    </w:p>
    <w:p w:rsidR="005A148C" w:rsidP="005939A5" w:rsidRDefault="005939A5" w14:paraId="3C1B9B66" w14:textId="77777777">
      <w:pPr>
        <w:pStyle w:val="Heading1"/>
      </w:pPr>
      <w:bookmarkStart w:name="_Toc8123719" w:id="8"/>
      <w:bookmarkStart w:name="_Toc216699676" w:id="9"/>
      <w:r>
        <w:t xml:space="preserve">Issues Before the </w:t>
      </w:r>
      <w:bookmarkEnd w:id="8"/>
      <w:r w:rsidR="008A08BF">
        <w:t>Commission</w:t>
      </w:r>
      <w:bookmarkEnd w:id="9"/>
    </w:p>
    <w:p w:rsidR="004F6C83" w:rsidP="00FC520E" w:rsidRDefault="000241F9" w14:paraId="188D80A3" w14:textId="48C53F75">
      <w:pPr>
        <w:pStyle w:val="Standard"/>
      </w:pPr>
      <w:r>
        <w:t>T</w:t>
      </w:r>
      <w:r w:rsidR="00BA713A">
        <w:t xml:space="preserve">he sole issue before the Commission in </w:t>
      </w:r>
      <w:r w:rsidRPr="000241F9" w:rsidR="00BA713A">
        <w:t>this</w:t>
      </w:r>
      <w:r w:rsidR="00BA713A">
        <w:rPr>
          <w:i/>
          <w:iCs/>
        </w:rPr>
        <w:t xml:space="preserve"> </w:t>
      </w:r>
      <w:r w:rsidR="00BA713A">
        <w:t xml:space="preserve">decision is </w:t>
      </w:r>
      <w:r w:rsidR="00CC3536">
        <w:t xml:space="preserve">limited to </w:t>
      </w:r>
      <w:r w:rsidR="00BA713A">
        <w:t xml:space="preserve">compliance with </w:t>
      </w:r>
      <w:r w:rsidR="00CC3536">
        <w:t>the legislative requirement</w:t>
      </w:r>
      <w:r w:rsidR="00FC520E">
        <w:t xml:space="preserve"> to designate decarbonization zones </w:t>
      </w:r>
      <w:r w:rsidR="00CE402D">
        <w:t>on or before</w:t>
      </w:r>
      <w:r w:rsidR="00FC520E">
        <w:t xml:space="preserve"> January 1, 2026, as</w:t>
      </w:r>
      <w:r w:rsidR="00CC3536">
        <w:t xml:space="preserve"> described in </w:t>
      </w:r>
      <w:r w:rsidR="00BA713A">
        <w:t xml:space="preserve">Section </w:t>
      </w:r>
      <w:r w:rsidR="00CC3536">
        <w:t>662</w:t>
      </w:r>
      <w:r w:rsidR="004F6C83">
        <w:t>(a)</w:t>
      </w:r>
      <w:r w:rsidR="00CC3536">
        <w:t>.</w:t>
      </w:r>
      <w:r w:rsidR="000B788A">
        <w:t xml:space="preserve">  This decision does not address </w:t>
      </w:r>
      <w:r w:rsidR="00A518B6">
        <w:t xml:space="preserve">the process for future updates to the decarbonization zones; </w:t>
      </w:r>
      <w:r w:rsidR="000B788A">
        <w:t>the establishment of the Pilot Program</w:t>
      </w:r>
      <w:r w:rsidR="00A518B6">
        <w:t>;</w:t>
      </w:r>
      <w:r w:rsidR="000B788A">
        <w:t xml:space="preserve"> </w:t>
      </w:r>
      <w:r w:rsidR="00A518B6">
        <w:t>and</w:t>
      </w:r>
      <w:r w:rsidR="000B788A">
        <w:t xml:space="preserve"> how, where, when, and what pilot projects will be considered.  </w:t>
      </w:r>
      <w:r w:rsidR="00CC3536">
        <w:t xml:space="preserve"> </w:t>
      </w:r>
      <w:bookmarkStart w:name="_Toc8123720" w:id="10"/>
    </w:p>
    <w:p w:rsidR="005939A5" w:rsidP="005939A5" w:rsidRDefault="005939A5" w14:paraId="59D9EC80" w14:textId="34721B49">
      <w:pPr>
        <w:pStyle w:val="Heading1"/>
      </w:pPr>
      <w:bookmarkStart w:name="_Toc216699677" w:id="11"/>
      <w:r>
        <w:t>Discussion</w:t>
      </w:r>
      <w:bookmarkEnd w:id="10"/>
      <w:bookmarkEnd w:id="11"/>
    </w:p>
    <w:p w:rsidR="00EA36C6" w:rsidP="00D2041C" w:rsidRDefault="00F96DE9" w14:paraId="3B628258" w14:textId="4B8467B7">
      <w:pPr>
        <w:pStyle w:val="Heading2"/>
      </w:pPr>
      <w:bookmarkStart w:name="_Toc216699678" w:id="12"/>
      <w:r>
        <w:t>Legal Standard</w:t>
      </w:r>
      <w:bookmarkEnd w:id="12"/>
    </w:p>
    <w:p w:rsidR="00FC520E" w:rsidP="00497603" w:rsidRDefault="00FC520E" w14:paraId="0A4F999A" w14:textId="6C122329">
      <w:pPr>
        <w:pStyle w:val="Standard"/>
      </w:pPr>
      <w:r>
        <w:t xml:space="preserve">Section 662(a) </w:t>
      </w:r>
      <w:r w:rsidR="00497603">
        <w:t xml:space="preserve">requires the Commission to designate decarbonization zones “following recommendations from each gas corporation and the </w:t>
      </w:r>
      <w:r w:rsidR="00497603">
        <w:lastRenderedPageBreak/>
        <w:t xml:space="preserve">opportunity for public comment.”  </w:t>
      </w:r>
      <w:r>
        <w:t xml:space="preserve">In designating the </w:t>
      </w:r>
      <w:r w:rsidR="00497603">
        <w:t xml:space="preserve">decarbonization </w:t>
      </w:r>
      <w:r>
        <w:t>zones, the Com</w:t>
      </w:r>
      <w:r w:rsidR="00497603">
        <w:t xml:space="preserve">mission must </w:t>
      </w:r>
      <w:r>
        <w:t>consider factors that include, but are not limited to, the following:</w:t>
      </w:r>
    </w:p>
    <w:p w:rsidR="00FC520E" w:rsidP="004D16A5" w:rsidRDefault="00FC520E" w14:paraId="2AC46424" w14:textId="3857D2E2">
      <w:pPr>
        <w:pStyle w:val="Standard"/>
        <w:numPr>
          <w:ilvl w:val="0"/>
          <w:numId w:val="25"/>
        </w:numPr>
        <w:spacing w:after="160" w:line="240" w:lineRule="auto"/>
        <w:ind w:left="1080" w:right="1440"/>
      </w:pPr>
      <w:r>
        <w:t xml:space="preserve">Presence of disadvantaged or low-income communities in high-temperature climate zones or low-temperature climate zones that </w:t>
      </w:r>
      <w:r w:rsidR="00323569">
        <w:t>disproportionately</w:t>
      </w:r>
      <w:r>
        <w:t xml:space="preserve"> lack cooling or heating.</w:t>
      </w:r>
    </w:p>
    <w:p w:rsidR="00FC520E" w:rsidP="004D16A5" w:rsidRDefault="00FC520E" w14:paraId="4B427F96" w14:textId="77777777">
      <w:pPr>
        <w:pStyle w:val="Standard"/>
        <w:numPr>
          <w:ilvl w:val="0"/>
          <w:numId w:val="25"/>
        </w:numPr>
        <w:spacing w:after="160" w:line="240" w:lineRule="auto"/>
        <w:ind w:left="1080" w:right="1440"/>
      </w:pPr>
      <w:r>
        <w:t xml:space="preserve">Presence of environmental and social justice communities as defined in the Commission’s </w:t>
      </w:r>
      <w:r w:rsidRPr="00CE402D">
        <w:rPr>
          <w:i/>
          <w:iCs/>
        </w:rPr>
        <w:t>Environmental and Social Justice Action Plan</w:t>
      </w:r>
      <w:r>
        <w:t>.</w:t>
      </w:r>
    </w:p>
    <w:p w:rsidR="00FC520E" w:rsidP="004D16A5" w:rsidRDefault="00FC520E" w14:paraId="51257469" w14:textId="77777777">
      <w:pPr>
        <w:pStyle w:val="Standard"/>
        <w:numPr>
          <w:ilvl w:val="0"/>
          <w:numId w:val="25"/>
        </w:numPr>
        <w:spacing w:after="160" w:line="240" w:lineRule="auto"/>
        <w:ind w:left="1080" w:right="1440"/>
      </w:pPr>
      <w:r>
        <w:t>Availability of supportive local government or community partners.</w:t>
      </w:r>
    </w:p>
    <w:p w:rsidR="00FC520E" w:rsidP="004D16A5" w:rsidRDefault="00FC520E" w14:paraId="24EFAE99" w14:textId="586C1A28">
      <w:pPr>
        <w:pStyle w:val="Standard"/>
        <w:numPr>
          <w:ilvl w:val="0"/>
          <w:numId w:val="25"/>
        </w:numPr>
        <w:spacing w:after="160" w:line="240" w:lineRule="auto"/>
        <w:ind w:left="1080" w:right="1440"/>
      </w:pPr>
      <w:r>
        <w:t>Concentration of gas distribution line replacement projects.</w:t>
      </w:r>
    </w:p>
    <w:p w:rsidR="00E66858" w:rsidP="00E66858" w:rsidRDefault="00E57342" w14:paraId="6E774BED" w14:textId="3B3AB269">
      <w:pPr>
        <w:pStyle w:val="Standard"/>
      </w:pPr>
      <w:r>
        <w:t>As referenced in Section 662(a)(2), t</w:t>
      </w:r>
      <w:r w:rsidR="00E66858">
        <w:t xml:space="preserve">he Commission’s </w:t>
      </w:r>
      <w:r w:rsidRPr="00E57342" w:rsidR="00E66858">
        <w:rPr>
          <w:i/>
          <w:iCs/>
        </w:rPr>
        <w:t>Environmental and Social Justice Action Plan</w:t>
      </w:r>
      <w:r w:rsidR="00E66858">
        <w:t xml:space="preserve"> defines “environmental and social justice communities” as:</w:t>
      </w:r>
    </w:p>
    <w:p w:rsidR="00E66858" w:rsidP="004D16A5" w:rsidRDefault="00E66858" w14:paraId="71A8AD32" w14:textId="77777777">
      <w:pPr>
        <w:pStyle w:val="Standard"/>
        <w:spacing w:after="160" w:line="240" w:lineRule="auto"/>
        <w:ind w:left="720" w:right="1440" w:firstLine="0"/>
      </w:pPr>
      <w:r>
        <w:t>…predominantly communities of color or low-income communities that are underrepresented in the policy setting or decision-making process, subject to a disproportionate impact from one or more environmental hazards, and are likely to experience disparate implementation of environmental regulations and socioeconomic investments in their communities.</w:t>
      </w:r>
      <w:r>
        <w:rPr>
          <w:rStyle w:val="FootnoteReference"/>
        </w:rPr>
        <w:footnoteReference w:id="11"/>
      </w:r>
    </w:p>
    <w:p w:rsidR="00E66858" w:rsidP="00E66858" w:rsidRDefault="00E66858" w14:paraId="6F0938CB" w14:textId="05F865B6">
      <w:pPr>
        <w:pStyle w:val="Standard"/>
        <w:ind w:firstLine="0"/>
      </w:pPr>
      <w:r>
        <w:t>Under this definition, the Commission targets the following communities</w:t>
      </w:r>
      <w:r w:rsidR="00BF6130">
        <w:t xml:space="preserve"> when implementing its </w:t>
      </w:r>
      <w:r w:rsidR="00BF6130">
        <w:rPr>
          <w:i/>
          <w:iCs/>
        </w:rPr>
        <w:t>Environmental and Social Justice Action Plan</w:t>
      </w:r>
      <w:r>
        <w:t>:</w:t>
      </w:r>
    </w:p>
    <w:p w:rsidR="00E66858" w:rsidP="004D16A5" w:rsidRDefault="00E66858" w14:paraId="07AF1CE8" w14:textId="55BCC959">
      <w:pPr>
        <w:pStyle w:val="ListNum"/>
        <w:numPr>
          <w:ilvl w:val="0"/>
          <w:numId w:val="23"/>
        </w:numPr>
        <w:ind w:left="1080" w:right="1440"/>
      </w:pPr>
      <w:r>
        <w:t>Disadvantaged Communities, defined as census tracts that score in the top 25</w:t>
      </w:r>
      <w:r w:rsidR="00B2543F">
        <w:t xml:space="preserve"> percent</w:t>
      </w:r>
      <w:r>
        <w:t xml:space="preserve"> of CalEnviroScreen 3.0, along with those that score within the highest 5</w:t>
      </w:r>
      <w:r w:rsidR="00B2543F">
        <w:t xml:space="preserve"> percent</w:t>
      </w:r>
      <w:r>
        <w:t xml:space="preserve"> of </w:t>
      </w:r>
      <w:r>
        <w:lastRenderedPageBreak/>
        <w:t>CalEnviroScreen 3.0’s Pollution Burden but do not receive an overall CalEnviroScreen score;</w:t>
      </w:r>
      <w:r w:rsidR="007A02A1">
        <w:rPr>
          <w:rStyle w:val="FootnoteReference"/>
        </w:rPr>
        <w:footnoteReference w:id="12"/>
      </w:r>
    </w:p>
    <w:p w:rsidR="00E66858" w:rsidP="004D16A5" w:rsidRDefault="00E66858" w14:paraId="115B2D57" w14:textId="2562A3ED">
      <w:pPr>
        <w:pStyle w:val="ListNum"/>
        <w:numPr>
          <w:ilvl w:val="0"/>
          <w:numId w:val="23"/>
        </w:numPr>
        <w:ind w:left="1080" w:right="1440"/>
      </w:pPr>
      <w:r>
        <w:t>All Tribal lands;</w:t>
      </w:r>
      <w:r w:rsidR="00BF6130">
        <w:rPr>
          <w:rStyle w:val="FootnoteReference"/>
        </w:rPr>
        <w:footnoteReference w:id="13"/>
      </w:r>
    </w:p>
    <w:p w:rsidR="00E66858" w:rsidP="004D16A5" w:rsidRDefault="00E66858" w14:paraId="681AFD60" w14:textId="4531AB93">
      <w:pPr>
        <w:pStyle w:val="ListNum"/>
        <w:numPr>
          <w:ilvl w:val="0"/>
          <w:numId w:val="23"/>
        </w:numPr>
        <w:ind w:left="1080" w:right="1440"/>
      </w:pPr>
      <w:r>
        <w:t xml:space="preserve">Low-income </w:t>
      </w:r>
      <w:r w:rsidR="00CD0010">
        <w:t>households</w:t>
      </w:r>
      <w:r>
        <w:t xml:space="preserve"> (</w:t>
      </w:r>
      <w:r w:rsidR="00CD0010">
        <w:t>Household incomes below 80 percent of the area median income</w:t>
      </w:r>
      <w:r>
        <w:t>)</w:t>
      </w:r>
      <w:r w:rsidR="00E57342">
        <w:t>; and</w:t>
      </w:r>
    </w:p>
    <w:p w:rsidR="00E57342" w:rsidP="004D16A5" w:rsidRDefault="00E57342" w14:paraId="6321EF41" w14:textId="02F06126">
      <w:pPr>
        <w:pStyle w:val="ListNum"/>
        <w:numPr>
          <w:ilvl w:val="0"/>
          <w:numId w:val="23"/>
        </w:numPr>
        <w:ind w:left="1080" w:right="1440"/>
      </w:pPr>
      <w:r>
        <w:t>Low-income census tracts (</w:t>
      </w:r>
      <w:r w:rsidR="00B2543F">
        <w:t>c</w:t>
      </w:r>
      <w:r>
        <w:t>ensus tracts where aggregated household incomes are less than 80 percent of area or state median income).</w:t>
      </w:r>
    </w:p>
    <w:p w:rsidR="000632C1" w:rsidP="0051088D" w:rsidRDefault="000632C1" w14:paraId="0BE00527" w14:textId="7231EB07">
      <w:pPr>
        <w:pStyle w:val="Heading2"/>
      </w:pPr>
      <w:bookmarkStart w:name="_Toc216699679" w:id="14"/>
      <w:bookmarkStart w:name="_Toc8123721" w:id="15"/>
      <w:r>
        <w:t>Record</w:t>
      </w:r>
      <w:bookmarkEnd w:id="14"/>
    </w:p>
    <w:p w:rsidRPr="000632C1" w:rsidR="000632C1" w:rsidP="000632C1" w:rsidRDefault="000632C1" w14:paraId="5BED8507" w14:textId="23F17962">
      <w:pPr>
        <w:pStyle w:val="Standard"/>
      </w:pPr>
      <w:r>
        <w:t>We rely on the following record to designate initial decarbonization zones.</w:t>
      </w:r>
    </w:p>
    <w:p w:rsidR="00F96DE9" w:rsidP="000632C1" w:rsidRDefault="00F96DE9" w14:paraId="592C70CB" w14:textId="53A569FE">
      <w:pPr>
        <w:pStyle w:val="Heading3"/>
      </w:pPr>
      <w:bookmarkStart w:name="_Toc216699680" w:id="16"/>
      <w:r>
        <w:t>Gas Corporations’ Recommendations</w:t>
      </w:r>
      <w:bookmarkEnd w:id="16"/>
    </w:p>
    <w:p w:rsidR="00FC520E" w:rsidP="00FC520E" w:rsidRDefault="00FC520E" w14:paraId="3D6A4717" w14:textId="450E2CE8">
      <w:pPr>
        <w:pStyle w:val="Standard"/>
      </w:pPr>
      <w:r>
        <w:t>On July 21, 2025, PG&amp;E, SoCalGas/SDG&amp;E</w:t>
      </w:r>
      <w:r w:rsidR="008D6A16">
        <w:t xml:space="preserve">, and Southwest Gas </w:t>
      </w:r>
      <w:r>
        <w:t xml:space="preserve">filed </w:t>
      </w:r>
      <w:r w:rsidR="00CE402D">
        <w:t xml:space="preserve">their </w:t>
      </w:r>
      <w:r>
        <w:t>recommend</w:t>
      </w:r>
      <w:r w:rsidR="00CE402D">
        <w:t>ations regarding</w:t>
      </w:r>
      <w:r>
        <w:t xml:space="preserve"> the designation of decarbonization zones.</w:t>
      </w:r>
    </w:p>
    <w:p w:rsidR="00FC4097" w:rsidP="00FC4097" w:rsidRDefault="00FC520E" w14:paraId="7D4F3316" w14:textId="3765CE5F">
      <w:pPr>
        <w:pStyle w:val="Standard"/>
      </w:pPr>
      <w:r>
        <w:t xml:space="preserve">PG&amp;E recommends that the Commission </w:t>
      </w:r>
      <w:r w:rsidR="008D6A16">
        <w:t xml:space="preserve">broadly </w:t>
      </w:r>
      <w:r>
        <w:t>designate all foreseeable gas distribution replacement projects as decarbonization zones.</w:t>
      </w:r>
      <w:r>
        <w:rPr>
          <w:rStyle w:val="FootnoteReference"/>
        </w:rPr>
        <w:footnoteReference w:id="14"/>
      </w:r>
      <w:r>
        <w:t xml:space="preserve">  </w:t>
      </w:r>
      <w:bookmarkStart w:name="_Hlk210977274" w:id="17"/>
      <w:r w:rsidR="008D6A16">
        <w:t xml:space="preserve">Regarding disadvantaged, low-income, and environmental and social justice communities, </w:t>
      </w:r>
      <w:r w:rsidR="00192986">
        <w:t>PG&amp;E asserts that applying equity measures over large areas would fail to capture local variations in need and access.</w:t>
      </w:r>
      <w:r w:rsidR="00192986">
        <w:rPr>
          <w:rStyle w:val="FootnoteReference"/>
        </w:rPr>
        <w:footnoteReference w:id="15"/>
      </w:r>
      <w:r w:rsidR="00192986">
        <w:t xml:space="preserve">  As such, </w:t>
      </w:r>
      <w:r w:rsidR="008D6A16">
        <w:t xml:space="preserve">PG&amp;E </w:t>
      </w:r>
      <w:r w:rsidR="001A3467">
        <w:t xml:space="preserve">states that </w:t>
      </w:r>
      <w:r w:rsidR="00EC5524">
        <w:t>they</w:t>
      </w:r>
      <w:r w:rsidR="001A3467">
        <w:t xml:space="preserve"> prefer</w:t>
      </w:r>
      <w:r w:rsidR="008D6A16">
        <w:t xml:space="preserve"> to demonstrate that a specific pilot project is serving a </w:t>
      </w:r>
      <w:r w:rsidR="001A3467">
        <w:t>community that has barriers to decarbonization.</w:t>
      </w:r>
      <w:r w:rsidR="001A3467">
        <w:rPr>
          <w:rStyle w:val="FootnoteReference"/>
        </w:rPr>
        <w:footnoteReference w:id="16"/>
      </w:r>
      <w:r w:rsidR="00497603">
        <w:t xml:space="preserve">  </w:t>
      </w:r>
      <w:bookmarkEnd w:id="17"/>
      <w:r w:rsidR="001A3467">
        <w:t>Regarding the presence of supportive local government or community partners, PG&amp;E</w:t>
      </w:r>
      <w:r>
        <w:t xml:space="preserve"> states </w:t>
      </w:r>
      <w:r w:rsidR="00EC5524">
        <w:t>that they</w:t>
      </w:r>
      <w:r>
        <w:t xml:space="preserve"> </w:t>
      </w:r>
      <w:r w:rsidR="00EC5524">
        <w:t>are</w:t>
      </w:r>
      <w:r w:rsidR="001A3467">
        <w:t xml:space="preserve"> </w:t>
      </w:r>
      <w:r>
        <w:t xml:space="preserve">proactively </w:t>
      </w:r>
      <w:r>
        <w:lastRenderedPageBreak/>
        <w:t xml:space="preserve">engaging its communities </w:t>
      </w:r>
      <w:r w:rsidR="001A3467">
        <w:t xml:space="preserve">and </w:t>
      </w:r>
      <w:r w:rsidR="00214E96">
        <w:t>assert</w:t>
      </w:r>
      <w:r w:rsidR="001A3467">
        <w:t>s that the process will take time</w:t>
      </w:r>
      <w:r>
        <w:t>.</w:t>
      </w:r>
      <w:r>
        <w:rPr>
          <w:rStyle w:val="FootnoteReference"/>
        </w:rPr>
        <w:footnoteReference w:id="17"/>
      </w:r>
      <w:r>
        <w:t xml:space="preserve">  Finally, </w:t>
      </w:r>
      <w:r w:rsidR="00FC4097">
        <w:t>PG&amp;E explains</w:t>
      </w:r>
      <w:r w:rsidR="006F5F6A">
        <w:t xml:space="preserve"> that</w:t>
      </w:r>
      <w:r w:rsidR="00FC4097">
        <w:t xml:space="preserve"> while decarbonization zones focus efforts, they should not “limit project submission or [act] as strict criteria for final project evaluation in lieu of evaluating the specific project’s ability to meet the criteria and intent outlined in statute.”</w:t>
      </w:r>
      <w:r w:rsidR="00FC4097">
        <w:rPr>
          <w:rStyle w:val="FootnoteReference"/>
        </w:rPr>
        <w:footnoteReference w:id="18"/>
      </w:r>
      <w:r w:rsidR="003340CF">
        <w:t xml:space="preserve">  </w:t>
      </w:r>
      <w:r w:rsidR="006F5F6A">
        <w:t xml:space="preserve">Similarly, </w:t>
      </w:r>
      <w:r w:rsidR="003340CF">
        <w:t>PG&amp;E argues that “[p]rematurely limiting geographic selection of pilot projects at this early stage may jeopardize selection of a sufficiently broad portfolio of projects.”</w:t>
      </w:r>
      <w:r w:rsidR="003340CF">
        <w:rPr>
          <w:rStyle w:val="FootnoteReference"/>
        </w:rPr>
        <w:footnoteReference w:id="19"/>
      </w:r>
    </w:p>
    <w:p w:rsidR="00074185" w:rsidP="00074185" w:rsidRDefault="00354CB5" w14:paraId="36AF9457" w14:textId="36FBC017">
      <w:pPr>
        <w:pStyle w:val="Standard"/>
      </w:pPr>
      <w:r>
        <w:t xml:space="preserve">SoCalGas/SDG&amp;E also </w:t>
      </w:r>
      <w:r w:rsidR="00214E96">
        <w:t>recommends</w:t>
      </w:r>
      <w:r>
        <w:t xml:space="preserve"> that the Commission’s designation of decarbonization zones should be broad and flexible at this early stage to avoid excluding potential pilot projects.</w:t>
      </w:r>
      <w:r>
        <w:rPr>
          <w:rStyle w:val="FootnoteReference"/>
        </w:rPr>
        <w:footnoteReference w:id="20"/>
      </w:r>
      <w:r>
        <w:t xml:space="preserve">  According to SoCalGas/SDG&amp;E, the most critical component</w:t>
      </w:r>
      <w:r w:rsidR="000439EA">
        <w:t xml:space="preserve"> to </w:t>
      </w:r>
      <w:r>
        <w:t xml:space="preserve">a cost-effective </w:t>
      </w:r>
      <w:r w:rsidR="000439EA">
        <w:t>pilot</w:t>
      </w:r>
      <w:r>
        <w:t xml:space="preserve"> project</w:t>
      </w:r>
      <w:r w:rsidR="000439EA">
        <w:t xml:space="preserve"> is</w:t>
      </w:r>
      <w:r>
        <w:t xml:space="preserve"> the occurrence of a foreseeable gas system replacement project.</w:t>
      </w:r>
      <w:r w:rsidR="000439EA">
        <w:rPr>
          <w:rStyle w:val="FootnoteReference"/>
        </w:rPr>
        <w:footnoteReference w:id="21"/>
      </w:r>
      <w:r>
        <w:t xml:space="preserve"> </w:t>
      </w:r>
      <w:r w:rsidR="00074185">
        <w:t xml:space="preserve"> </w:t>
      </w:r>
      <w:r w:rsidR="000439EA">
        <w:t xml:space="preserve">As such, SoCalGas/SDG&amp;E </w:t>
      </w:r>
      <w:r w:rsidR="00214E96">
        <w:t xml:space="preserve">recommends that the Commission </w:t>
      </w:r>
      <w:r w:rsidR="00CE402D">
        <w:t xml:space="preserve">start by </w:t>
      </w:r>
      <w:r w:rsidR="00214E96">
        <w:t>designat</w:t>
      </w:r>
      <w:r w:rsidR="00CE402D">
        <w:t>ing</w:t>
      </w:r>
      <w:r w:rsidR="00214E96">
        <w:t xml:space="preserve"> census tracts with a potential or foreseeable replacement project as a decarbonization zone,</w:t>
      </w:r>
      <w:r w:rsidR="000439EA">
        <w:t xml:space="preserve"> and then refine the approach after the </w:t>
      </w:r>
      <w:r w:rsidR="00FC4960">
        <w:t>P</w:t>
      </w:r>
      <w:r w:rsidR="00214E96">
        <w:t xml:space="preserve">ilot </w:t>
      </w:r>
      <w:r w:rsidR="00FC4960">
        <w:t>P</w:t>
      </w:r>
      <w:r w:rsidR="000439EA">
        <w:t>rogram is established.</w:t>
      </w:r>
      <w:r w:rsidR="000439EA">
        <w:rPr>
          <w:rStyle w:val="FootnoteReference"/>
        </w:rPr>
        <w:footnoteReference w:id="22"/>
      </w:r>
      <w:r w:rsidR="000439EA">
        <w:t xml:space="preserve">  </w:t>
      </w:r>
      <w:r w:rsidR="00082430">
        <w:t xml:space="preserve">Regarding the presence of supportive local government or community partners, SoCalGas/SDG&amp;E </w:t>
      </w:r>
      <w:r w:rsidR="00214E96">
        <w:t>recommends</w:t>
      </w:r>
      <w:r w:rsidR="00082430">
        <w:t xml:space="preserve"> considering jurisdictions with local “reach” </w:t>
      </w:r>
      <w:r w:rsidR="00CD0010">
        <w:t xml:space="preserve">building </w:t>
      </w:r>
      <w:r w:rsidR="00082430">
        <w:t>codes.</w:t>
      </w:r>
      <w:r w:rsidR="00082430">
        <w:rPr>
          <w:rStyle w:val="FootnoteReference"/>
        </w:rPr>
        <w:footnoteReference w:id="23"/>
      </w:r>
      <w:r w:rsidR="003E2235">
        <w:t xml:space="preserve">  </w:t>
      </w:r>
      <w:bookmarkStart w:name="_Hlk210977251" w:id="18"/>
      <w:r w:rsidR="003E2235">
        <w:t xml:space="preserve">Regarding areas that disproportionately lack access to cooling or heating, SoCalGas/SDG&amp;E </w:t>
      </w:r>
      <w:r w:rsidR="00214E96">
        <w:t>recommends</w:t>
      </w:r>
      <w:r w:rsidR="003E2235">
        <w:t xml:space="preserve"> </w:t>
      </w:r>
      <w:r w:rsidR="009C5276">
        <w:t>utilizing the</w:t>
      </w:r>
      <w:r w:rsidR="003E2235">
        <w:t xml:space="preserve"> California Energy </w:t>
      </w:r>
      <w:r w:rsidR="003E2235">
        <w:lastRenderedPageBreak/>
        <w:t>Commission (CEC) climate zones and Residential Appliance Saturation Survey (RASS) data.</w:t>
      </w:r>
      <w:r w:rsidR="003E2235">
        <w:rPr>
          <w:rStyle w:val="FootnoteReference"/>
        </w:rPr>
        <w:footnoteReference w:id="24"/>
      </w:r>
      <w:bookmarkEnd w:id="18"/>
      <w:r w:rsidR="00192986">
        <w:t xml:space="preserve">  SoCalGas/SDG&amp;E also </w:t>
      </w:r>
      <w:r w:rsidR="009C5276">
        <w:t>characterizes</w:t>
      </w:r>
      <w:r w:rsidR="00192986">
        <w:t xml:space="preserve"> the designation of decarbonization zones at this stage as premature.</w:t>
      </w:r>
      <w:r w:rsidR="00192986">
        <w:rPr>
          <w:rStyle w:val="FootnoteReference"/>
        </w:rPr>
        <w:footnoteReference w:id="25"/>
      </w:r>
    </w:p>
    <w:p w:rsidRPr="00074185" w:rsidR="00074185" w:rsidP="00074185" w:rsidRDefault="00074185" w14:paraId="6A96CFD2" w14:textId="76A79011">
      <w:pPr>
        <w:pStyle w:val="Standard"/>
      </w:pPr>
      <w:r>
        <w:t xml:space="preserve">Southwest Gas offers recommendations “on a tentative basis” that “should be subject to change” because </w:t>
      </w:r>
      <w:r w:rsidR="00EC5524">
        <w:t>they</w:t>
      </w:r>
      <w:r>
        <w:t xml:space="preserve"> assert that available information is limited, given time and resource constraints.</w:t>
      </w:r>
      <w:r>
        <w:rPr>
          <w:rStyle w:val="FootnoteReference"/>
        </w:rPr>
        <w:footnoteReference w:id="26"/>
      </w:r>
      <w:r>
        <w:t xml:space="preserve">  </w:t>
      </w:r>
      <w:r w:rsidR="00CD0010">
        <w:t xml:space="preserve">Southwest Gas mapped potential </w:t>
      </w:r>
      <w:r w:rsidR="00CE402D">
        <w:t xml:space="preserve">decarbonization </w:t>
      </w:r>
      <w:r w:rsidR="00CD0010">
        <w:t xml:space="preserve">zones incorporating aspects of all four factors.  First, </w:t>
      </w:r>
      <w:r w:rsidR="00EC5524">
        <w:t>they</w:t>
      </w:r>
      <w:r w:rsidR="00CD0010">
        <w:t xml:space="preserve"> screened </w:t>
      </w:r>
      <w:r w:rsidR="00CE402D">
        <w:t>for</w:t>
      </w:r>
      <w:r w:rsidR="00CD0010">
        <w:t xml:space="preserve"> disadvantaged</w:t>
      </w:r>
      <w:r w:rsidR="003A15B1">
        <w:t>, low-income, and environmental and social justice</w:t>
      </w:r>
      <w:r w:rsidR="00CD0010">
        <w:t xml:space="preserve"> communities with high concentrations of gas replacement projects.</w:t>
      </w:r>
      <w:r w:rsidR="003A15B1">
        <w:rPr>
          <w:rStyle w:val="FootnoteReference"/>
        </w:rPr>
        <w:footnoteReference w:id="27"/>
      </w:r>
      <w:r w:rsidR="00CD0010">
        <w:t xml:space="preserve">  Then,</w:t>
      </w:r>
      <w:r w:rsidR="00F545A3">
        <w:t xml:space="preserve"> Southwest Gas focused on areas based on its </w:t>
      </w:r>
      <w:r w:rsidR="00FC4960">
        <w:t>historical experience with partners implementing programs, such as the Low-Income</w:t>
      </w:r>
      <w:r w:rsidR="00F545A3">
        <w:t xml:space="preserve"> Home Energy Assistance Program and California Alternative Rates for Energy</w:t>
      </w:r>
      <w:r w:rsidR="003A15B1">
        <w:t xml:space="preserve"> Program</w:t>
      </w:r>
      <w:r w:rsidR="00F545A3">
        <w:t>.</w:t>
      </w:r>
      <w:r w:rsidR="00F545A3">
        <w:rPr>
          <w:rStyle w:val="FootnoteReference"/>
        </w:rPr>
        <w:footnoteReference w:id="28"/>
      </w:r>
      <w:r w:rsidR="00CD0010">
        <w:t xml:space="preserve">  </w:t>
      </w:r>
      <w:r>
        <w:t xml:space="preserve">However, Southwest Gas recognizes that </w:t>
      </w:r>
      <w:r w:rsidR="00DC3CD9">
        <w:t>they</w:t>
      </w:r>
      <w:r>
        <w:t xml:space="preserve"> do not know whether these government and </w:t>
      </w:r>
      <w:r w:rsidR="000439EA">
        <w:t>community</w:t>
      </w:r>
      <w:r>
        <w:t xml:space="preserve"> partners are supportive of SB 1221</w:t>
      </w:r>
      <w:r w:rsidR="00B2543F">
        <w:t>,</w:t>
      </w:r>
      <w:r>
        <w:t xml:space="preserve"> or if the entities possess the budget to engage in such efforts.</w:t>
      </w:r>
      <w:r>
        <w:rPr>
          <w:rStyle w:val="FootnoteReference"/>
        </w:rPr>
        <w:footnoteReference w:id="29"/>
      </w:r>
    </w:p>
    <w:p w:rsidR="00F96DE9" w:rsidP="000632C1" w:rsidRDefault="00F96DE9" w14:paraId="7215E04C" w14:textId="43B43E24">
      <w:pPr>
        <w:pStyle w:val="Heading3"/>
      </w:pPr>
      <w:bookmarkStart w:name="_Toc216699681" w:id="19"/>
      <w:r>
        <w:t>Party Comments</w:t>
      </w:r>
      <w:bookmarkEnd w:id="19"/>
    </w:p>
    <w:p w:rsidR="00500703" w:rsidP="00F96DE9" w:rsidRDefault="00500703" w14:paraId="35A5A0D9" w14:textId="5ADE9524">
      <w:pPr>
        <w:pStyle w:val="Standard"/>
      </w:pPr>
      <w:r>
        <w:t xml:space="preserve">The summaries below are limited to parties’ responses to the Gas Corporations’ </w:t>
      </w:r>
      <w:r w:rsidR="00214E96">
        <w:t xml:space="preserve">recommended </w:t>
      </w:r>
      <w:r>
        <w:t>decarbonization zones, the only issue before the Commission in this decision.</w:t>
      </w:r>
    </w:p>
    <w:p w:rsidR="00F96DE9" w:rsidP="00F96DE9" w:rsidRDefault="00CE402D" w14:paraId="2243BD90" w14:textId="1A3B6910">
      <w:pPr>
        <w:pStyle w:val="Standard"/>
      </w:pPr>
      <w:r>
        <w:lastRenderedPageBreak/>
        <w:t xml:space="preserve">While </w:t>
      </w:r>
      <w:r w:rsidR="004D1CF8">
        <w:t>BayREN</w:t>
      </w:r>
      <w:r>
        <w:t>/</w:t>
      </w:r>
      <w:r w:rsidR="004D1CF8">
        <w:t xml:space="preserve">3C-REN support identifying </w:t>
      </w:r>
      <w:r>
        <w:t xml:space="preserve">all </w:t>
      </w:r>
      <w:r w:rsidR="004D1CF8">
        <w:t>foreseeable pipeline replacement projects as decarbonization zones</w:t>
      </w:r>
      <w:r>
        <w:t>, they note that the approach does not prioritize the replacement projects</w:t>
      </w:r>
      <w:r w:rsidR="00EC5524">
        <w:t xml:space="preserve"> so the Commission, stakeholders, and the public can assess pilot project suitability</w:t>
      </w:r>
      <w:r w:rsidR="004D1CF8">
        <w:t>.</w:t>
      </w:r>
      <w:r w:rsidR="004D1CF8">
        <w:rPr>
          <w:rStyle w:val="FootnoteReference"/>
        </w:rPr>
        <w:footnoteReference w:id="30"/>
      </w:r>
      <w:r w:rsidR="004D1CF8">
        <w:t xml:space="preserve">  </w:t>
      </w:r>
      <w:r w:rsidR="00EC5524">
        <w:t xml:space="preserve">They </w:t>
      </w:r>
      <w:r w:rsidR="004D1CF8">
        <w:t xml:space="preserve">recommend that each Gas Corporation </w:t>
      </w:r>
      <w:r w:rsidR="00EC5524">
        <w:t>prioritize</w:t>
      </w:r>
      <w:r w:rsidR="004D1CF8">
        <w:t xml:space="preserve"> </w:t>
      </w:r>
      <w:r w:rsidR="00EC5524">
        <w:t>z</w:t>
      </w:r>
      <w:r w:rsidR="004D1CF8">
        <w:t xml:space="preserve">ones </w:t>
      </w:r>
      <w:r w:rsidR="00EC5524">
        <w:t>by</w:t>
      </w:r>
      <w:r w:rsidR="004D1CF8">
        <w:t xml:space="preserve">, at a minimum, the expected timeline for replacement and the SB 1221 </w:t>
      </w:r>
      <w:r w:rsidR="00EC5524">
        <w:t>factors</w:t>
      </w:r>
      <w:r w:rsidR="00F545A3">
        <w:t xml:space="preserve"> </w:t>
      </w:r>
      <w:r w:rsidR="004D1CF8">
        <w:t>that would be met.</w:t>
      </w:r>
      <w:r w:rsidR="004D1CF8">
        <w:rPr>
          <w:rStyle w:val="FootnoteReference"/>
        </w:rPr>
        <w:footnoteReference w:id="31"/>
      </w:r>
      <w:r w:rsidR="004D1CF8">
        <w:t xml:space="preserve">  BayREN</w:t>
      </w:r>
      <w:r w:rsidR="00EC5524">
        <w:t>/</w:t>
      </w:r>
      <w:r w:rsidR="00500703">
        <w:t xml:space="preserve">3C-REN </w:t>
      </w:r>
      <w:r w:rsidR="00EC5524">
        <w:t>express their support for pilot projects</w:t>
      </w:r>
      <w:r w:rsidR="00500703">
        <w:t>.</w:t>
      </w:r>
      <w:r w:rsidR="00500703">
        <w:rPr>
          <w:rStyle w:val="FootnoteReference"/>
        </w:rPr>
        <w:footnoteReference w:id="32"/>
      </w:r>
      <w:r w:rsidR="00500703">
        <w:t xml:space="preserve">  </w:t>
      </w:r>
      <w:r w:rsidR="00192986">
        <w:t xml:space="preserve">According to </w:t>
      </w:r>
      <w:r w:rsidR="00500703">
        <w:t>BayREN</w:t>
      </w:r>
      <w:r w:rsidR="00EC5524">
        <w:t>/</w:t>
      </w:r>
      <w:r w:rsidR="00500703">
        <w:t>3C-REN</w:t>
      </w:r>
      <w:r w:rsidR="00192986">
        <w:t>,</w:t>
      </w:r>
      <w:r w:rsidR="00500703">
        <w:t xml:space="preserve"> RENs can target their programs to viable candidates for decarbonization</w:t>
      </w:r>
      <w:r w:rsidR="00214E96">
        <w:t>,</w:t>
      </w:r>
      <w:r w:rsidR="00500703">
        <w:t xml:space="preserve"> and many REN programs focus on underserved and disadvantaged communities.</w:t>
      </w:r>
      <w:r w:rsidR="00500703">
        <w:rPr>
          <w:rStyle w:val="FootnoteReference"/>
        </w:rPr>
        <w:footnoteReference w:id="33"/>
      </w:r>
    </w:p>
    <w:p w:rsidR="00500703" w:rsidP="00F96DE9" w:rsidRDefault="004B0067" w14:paraId="0DEC44DD" w14:textId="27A12AD9">
      <w:pPr>
        <w:pStyle w:val="Standard"/>
      </w:pPr>
      <w:r>
        <w:t>Cal</w:t>
      </w:r>
      <w:r w:rsidR="0070746D">
        <w:t xml:space="preserve"> </w:t>
      </w:r>
      <w:r>
        <w:t xml:space="preserve">Advocates recommends that the Commission reject </w:t>
      </w:r>
      <w:r w:rsidR="00500703">
        <w:t>PG&amp;E and SoCalGas/SDG&amp;E’s proposal to designate all foreseeable pipeline projects as decarbonization zones</w:t>
      </w:r>
      <w:r>
        <w:t>.</w:t>
      </w:r>
      <w:r>
        <w:rPr>
          <w:rStyle w:val="FootnoteReference"/>
        </w:rPr>
        <w:footnoteReference w:id="34"/>
      </w:r>
      <w:r w:rsidR="0070746D">
        <w:t xml:space="preserve">  </w:t>
      </w:r>
      <w:r w:rsidR="00500703">
        <w:t xml:space="preserve">According to Cal Advocates, the universe of total gas pipeline projects should be </w:t>
      </w:r>
      <w:r w:rsidR="00EC5524">
        <w:t>restricted</w:t>
      </w:r>
      <w:r w:rsidR="00500703">
        <w:t xml:space="preserve"> to a smaller cohort of </w:t>
      </w:r>
      <w:r w:rsidR="00EC5524">
        <w:t xml:space="preserve">priority </w:t>
      </w:r>
      <w:r w:rsidR="00500703">
        <w:t xml:space="preserve">decarbonization zones, allowing stakeholders to comment meaningfully on other aspects of </w:t>
      </w:r>
      <w:r w:rsidR="00FC4960">
        <w:t xml:space="preserve">the </w:t>
      </w:r>
      <w:r w:rsidR="00500703">
        <w:t xml:space="preserve">SB 1221 </w:t>
      </w:r>
      <w:r w:rsidR="00FC4960">
        <w:t>P</w:t>
      </w:r>
      <w:r w:rsidR="00500703">
        <w:t xml:space="preserve">ilot </w:t>
      </w:r>
      <w:r w:rsidR="00FC4960">
        <w:t>P</w:t>
      </w:r>
      <w:r w:rsidR="00500703">
        <w:t>rogram</w:t>
      </w:r>
      <w:r w:rsidR="00F545A3">
        <w:t xml:space="preserve"> implementation</w:t>
      </w:r>
      <w:r w:rsidR="00500703">
        <w:t>.</w:t>
      </w:r>
      <w:r w:rsidR="00500703">
        <w:rPr>
          <w:rStyle w:val="FootnoteReference"/>
        </w:rPr>
        <w:footnoteReference w:id="35"/>
      </w:r>
      <w:r w:rsidR="00500703">
        <w:t xml:space="preserve">  </w:t>
      </w:r>
      <w:bookmarkStart w:name="_Hlk210977345" w:id="20"/>
      <w:r w:rsidR="00500703">
        <w:t xml:space="preserve">Cal Advocates </w:t>
      </w:r>
      <w:r w:rsidR="00EC5524">
        <w:t xml:space="preserve">also notes </w:t>
      </w:r>
      <w:r w:rsidR="00500703">
        <w:t>th</w:t>
      </w:r>
      <w:r w:rsidR="000A60C9">
        <w:t>at community engagement is</w:t>
      </w:r>
      <w:r w:rsidR="00500703">
        <w:t xml:space="preserve"> ”critical” to </w:t>
      </w:r>
      <w:r w:rsidR="000A60C9">
        <w:t xml:space="preserve">successful </w:t>
      </w:r>
      <w:r w:rsidR="00EC5524">
        <w:t>electrification and should be undertaken to the extent possible</w:t>
      </w:r>
      <w:r w:rsidR="00757454">
        <w:t>.</w:t>
      </w:r>
      <w:r w:rsidR="00EC5524">
        <w:rPr>
          <w:rStyle w:val="FootnoteReference"/>
        </w:rPr>
        <w:footnoteReference w:id="36"/>
      </w:r>
      <w:r w:rsidR="00757454">
        <w:t xml:space="preserve">  In addition, Cal Advocates asserts that Section 662(a)(1)’s requirement that the Commission consider the presence of disadvantaged communities with disproportionate heating or cooling difficulties </w:t>
      </w:r>
      <w:r w:rsidR="00757454">
        <w:lastRenderedPageBreak/>
        <w:t>is distinct from Section 662(a)(2)’s requirement to consider the presence of environmental and social justice communities.</w:t>
      </w:r>
      <w:r w:rsidR="00757454">
        <w:rPr>
          <w:rStyle w:val="FootnoteReference"/>
        </w:rPr>
        <w:footnoteReference w:id="37"/>
      </w:r>
      <w:r w:rsidR="00757454">
        <w:t xml:space="preserve"> </w:t>
      </w:r>
      <w:r w:rsidR="00500703">
        <w:t xml:space="preserve"> </w:t>
      </w:r>
      <w:bookmarkStart w:name="_Hlk210977357" w:id="21"/>
      <w:bookmarkEnd w:id="20"/>
      <w:r w:rsidR="009C5276">
        <w:t xml:space="preserve">Cal Advocates </w:t>
      </w:r>
      <w:r w:rsidR="00500703">
        <w:t xml:space="preserve">provides </w:t>
      </w:r>
      <w:r w:rsidR="00F545A3">
        <w:t>data sources</w:t>
      </w:r>
      <w:r w:rsidR="00500703">
        <w:t xml:space="preserve"> </w:t>
      </w:r>
      <w:r w:rsidR="000A60C9">
        <w:t xml:space="preserve">to </w:t>
      </w:r>
      <w:r w:rsidR="009C5276">
        <w:t>facilitate</w:t>
      </w:r>
      <w:r w:rsidR="000A60C9">
        <w:t xml:space="preserve"> </w:t>
      </w:r>
      <w:r w:rsidR="009C5276">
        <w:t xml:space="preserve">the Commission’s </w:t>
      </w:r>
      <w:r w:rsidR="000A60C9">
        <w:t>consideration o</w:t>
      </w:r>
      <w:r w:rsidR="009C5276">
        <w:t>f these factors</w:t>
      </w:r>
      <w:r w:rsidR="000A60C9">
        <w:t>.</w:t>
      </w:r>
      <w:r w:rsidR="000A60C9">
        <w:rPr>
          <w:rStyle w:val="FootnoteReference"/>
        </w:rPr>
        <w:footnoteReference w:id="38"/>
      </w:r>
      <w:r w:rsidR="00500703">
        <w:t xml:space="preserve">  </w:t>
      </w:r>
    </w:p>
    <w:bookmarkEnd w:id="21"/>
    <w:p w:rsidR="00FE33B4" w:rsidP="00F96DE9" w:rsidRDefault="00FE33B4" w14:paraId="11396C9E" w14:textId="322F32D6">
      <w:pPr>
        <w:pStyle w:val="Standard"/>
      </w:pPr>
      <w:r>
        <w:t xml:space="preserve">CCR REN </w:t>
      </w:r>
      <w:r w:rsidR="00EC5524">
        <w:t xml:space="preserve">recognizes </w:t>
      </w:r>
      <w:r w:rsidR="00610468">
        <w:t>the Gas Corporations</w:t>
      </w:r>
      <w:r w:rsidR="00F545A3">
        <w:t>’</w:t>
      </w:r>
      <w:r w:rsidR="00610468">
        <w:t xml:space="preserve"> assertion that information about the availability of supportive local government and community partners is currently limited.</w:t>
      </w:r>
      <w:r w:rsidR="00610468">
        <w:rPr>
          <w:rStyle w:val="FootnoteReference"/>
        </w:rPr>
        <w:footnoteReference w:id="39"/>
      </w:r>
      <w:r w:rsidR="00610468">
        <w:t xml:space="preserve">  </w:t>
      </w:r>
      <w:bookmarkStart w:name="_Hlk210977429" w:id="22"/>
      <w:r w:rsidR="00610468">
        <w:t xml:space="preserve">To assist Gas Corporations in ascertaining the availability of supportive local partners and selecting pilot sites, CCR REN </w:t>
      </w:r>
      <w:r w:rsidR="00EC5524">
        <w:t>supports</w:t>
      </w:r>
      <w:r w:rsidR="00610468">
        <w:t xml:space="preserve"> each Gas Corporation establish</w:t>
      </w:r>
      <w:r w:rsidR="00EC5524">
        <w:t>ing</w:t>
      </w:r>
      <w:r w:rsidR="00610468">
        <w:t xml:space="preserve"> a</w:t>
      </w:r>
      <w:r>
        <w:t xml:space="preserve"> Technical Advisory Committee </w:t>
      </w:r>
      <w:r w:rsidR="00610468">
        <w:t>to provide an effective forum for its participation moving forward</w:t>
      </w:r>
      <w:r>
        <w:t>.</w:t>
      </w:r>
      <w:r>
        <w:rPr>
          <w:rStyle w:val="FootnoteReference"/>
        </w:rPr>
        <w:footnoteReference w:id="40"/>
      </w:r>
    </w:p>
    <w:bookmarkEnd w:id="22"/>
    <w:p w:rsidR="00610468" w:rsidP="00610468" w:rsidRDefault="00610468" w14:paraId="662C61D4" w14:textId="712A0B47">
      <w:pPr>
        <w:pStyle w:val="Standard"/>
      </w:pPr>
      <w:r>
        <w:t xml:space="preserve">CforAT asserts that PG&amp;E’s </w:t>
      </w:r>
      <w:r w:rsidR="000F71FB">
        <w:t>and SoCalGas/SDG&amp;E</w:t>
      </w:r>
      <w:r w:rsidR="00F545A3">
        <w:t>’s</w:t>
      </w:r>
      <w:r w:rsidR="000F71FB">
        <w:t xml:space="preserve"> </w:t>
      </w:r>
      <w:r>
        <w:t>re</w:t>
      </w:r>
      <w:r w:rsidR="000F71FB">
        <w:t>commendations</w:t>
      </w:r>
      <w:r>
        <w:t xml:space="preserve"> to </w:t>
      </w:r>
      <w:r w:rsidR="000F71FB">
        <w:t xml:space="preserve">make all foreseeable pipeline </w:t>
      </w:r>
      <w:r>
        <w:t xml:space="preserve">projects </w:t>
      </w:r>
      <w:r w:rsidR="000F71FB">
        <w:t>the decarbonization zones “are not useful in any way</w:t>
      </w:r>
      <w:r>
        <w:t>.</w:t>
      </w:r>
      <w:r w:rsidR="000F71FB">
        <w:t>”</w:t>
      </w:r>
      <w:r>
        <w:rPr>
          <w:rStyle w:val="FootnoteReference"/>
        </w:rPr>
        <w:footnoteReference w:id="41"/>
      </w:r>
      <w:r>
        <w:t xml:space="preserve">  </w:t>
      </w:r>
      <w:r w:rsidR="000F71FB">
        <w:t xml:space="preserve">CforAT states that </w:t>
      </w:r>
      <w:r w:rsidR="00DC3CD9">
        <w:t>they</w:t>
      </w:r>
      <w:r w:rsidR="000F71FB">
        <w:t xml:space="preserve"> do not have the resources to conduct its own analysis of the gas maps and make its own recommendations for prioritization without a meaningful analysis by the Gas Corporations.</w:t>
      </w:r>
      <w:r w:rsidR="000F71FB">
        <w:rPr>
          <w:rStyle w:val="FootnoteReference"/>
        </w:rPr>
        <w:footnoteReference w:id="42"/>
      </w:r>
    </w:p>
    <w:p w:rsidR="00294D9D" w:rsidP="00F96DE9" w:rsidRDefault="00294D9D" w14:paraId="42B40351" w14:textId="21CE8697">
      <w:pPr>
        <w:pStyle w:val="Standard"/>
      </w:pPr>
      <w:bookmarkStart w:name="_Hlk210978240" w:id="23"/>
      <w:r>
        <w:t>CMUA supports parties</w:t>
      </w:r>
      <w:r w:rsidR="00B97E79">
        <w:t>’ comments</w:t>
      </w:r>
      <w:r>
        <w:t xml:space="preserve"> urging the creation of a process to allow local governments to engage directly in the decarbonization zone designation process.</w:t>
      </w:r>
      <w:r>
        <w:rPr>
          <w:rStyle w:val="FootnoteReference"/>
        </w:rPr>
        <w:footnoteReference w:id="43"/>
      </w:r>
      <w:r>
        <w:t xml:space="preserve">  </w:t>
      </w:r>
      <w:bookmarkEnd w:id="23"/>
      <w:r>
        <w:t xml:space="preserve">Specifically, CMUA recommends that the criteria used for designating decarbonization zones be made publicly available to enable a thorough review from local governments and community organizations in </w:t>
      </w:r>
      <w:r>
        <w:lastRenderedPageBreak/>
        <w:t>advance of the final decarbonization zone designation.</w:t>
      </w:r>
      <w:r>
        <w:rPr>
          <w:rStyle w:val="FootnoteReference"/>
        </w:rPr>
        <w:footnoteReference w:id="44"/>
      </w:r>
      <w:r>
        <w:t xml:space="preserve">  </w:t>
      </w:r>
      <w:bookmarkStart w:name="_Hlk210978292" w:id="24"/>
      <w:r>
        <w:t>CMUA also recommends that the Commission remain open to local government</w:t>
      </w:r>
      <w:r w:rsidR="00EC5524">
        <w:t>s</w:t>
      </w:r>
      <w:r w:rsidR="00BF6235">
        <w:t>’</w:t>
      </w:r>
      <w:r>
        <w:t xml:space="preserve"> interest in the decarbonization zone designation process and solicit more formalized feedback from non-utility entities.</w:t>
      </w:r>
      <w:r>
        <w:rPr>
          <w:rStyle w:val="FootnoteReference"/>
        </w:rPr>
        <w:footnoteReference w:id="45"/>
      </w:r>
    </w:p>
    <w:bookmarkEnd w:id="24"/>
    <w:p w:rsidR="00403B54" w:rsidP="00F96DE9" w:rsidRDefault="00CD3CE9" w14:paraId="2F98CB1F" w14:textId="0C083754">
      <w:pPr>
        <w:pStyle w:val="Standard"/>
      </w:pPr>
      <w:r>
        <w:t xml:space="preserve">Contra Costa </w:t>
      </w:r>
      <w:r w:rsidR="003A15B1">
        <w:t xml:space="preserve">is an available partner and </w:t>
      </w:r>
      <w:r>
        <w:t>supports PG&amp;E’s recommend</w:t>
      </w:r>
      <w:r w:rsidR="00C03FB1">
        <w:t>ation to designate all pipeline</w:t>
      </w:r>
      <w:r w:rsidR="00555110">
        <w:t xml:space="preserve"> replacement</w:t>
      </w:r>
      <w:r w:rsidR="00C03FB1">
        <w:t xml:space="preserve"> projects as decarbonization zones</w:t>
      </w:r>
      <w:r w:rsidR="00555110">
        <w:t>.</w:t>
      </w:r>
      <w:r w:rsidR="00555110">
        <w:rPr>
          <w:rStyle w:val="FootnoteReference"/>
        </w:rPr>
        <w:footnoteReference w:id="46"/>
      </w:r>
      <w:r w:rsidR="00555110">
        <w:t xml:space="preserve">  </w:t>
      </w:r>
      <w:r w:rsidR="00F92DEB">
        <w:t>Contra Costa also supports PG&amp;E’s preference to demonstrate that a specific proposed pilot project is serving a community that has barriers to moving to clean energy.</w:t>
      </w:r>
      <w:r w:rsidR="00F92DEB">
        <w:rPr>
          <w:rStyle w:val="FootnoteReference"/>
        </w:rPr>
        <w:footnoteReference w:id="47"/>
      </w:r>
      <w:r w:rsidR="00F92DEB">
        <w:t xml:space="preserve">  Contra Costa has participated in an informal session hosted by PG&amp;E and supports PG&amp;E’s continued engagement with local government partners.</w:t>
      </w:r>
      <w:r w:rsidR="003A15B1">
        <w:rPr>
          <w:rStyle w:val="FootnoteReference"/>
        </w:rPr>
        <w:footnoteReference w:id="48"/>
      </w:r>
      <w:r w:rsidR="00B97E79">
        <w:t xml:space="preserve">  </w:t>
      </w:r>
      <w:r w:rsidR="003A15B1">
        <w:t>Contra Costa emphasizes the importance of extensive community outreach and education about the opportunities created by SB 1221 pilot projects.</w:t>
      </w:r>
      <w:r w:rsidR="003A15B1">
        <w:rPr>
          <w:rStyle w:val="FootnoteReference"/>
        </w:rPr>
        <w:footnoteReference w:id="49"/>
      </w:r>
      <w:r w:rsidR="003A15B1">
        <w:t xml:space="preserve">  </w:t>
      </w:r>
      <w:r w:rsidR="00A36C35">
        <w:t xml:space="preserve">Finally, </w:t>
      </w:r>
      <w:r w:rsidR="002C7B59">
        <w:t xml:space="preserve">Contra Costa urges the Commission not to assume that </w:t>
      </w:r>
      <w:r w:rsidR="009C5276">
        <w:t>only</w:t>
      </w:r>
      <w:r w:rsidR="002C7B59">
        <w:t xml:space="preserve"> communities </w:t>
      </w:r>
      <w:r w:rsidR="009C5276">
        <w:t>that intervened in this proceeding are interested in decarbonization pilots</w:t>
      </w:r>
      <w:r w:rsidR="002C7B59">
        <w:t>.</w:t>
      </w:r>
      <w:r w:rsidR="002C7B59">
        <w:rPr>
          <w:rStyle w:val="FootnoteReference"/>
        </w:rPr>
        <w:footnoteReference w:id="50"/>
      </w:r>
      <w:r w:rsidR="002C7B59">
        <w:t xml:space="preserve">  </w:t>
      </w:r>
      <w:bookmarkStart w:name="_Hlk210978329" w:id="25"/>
      <w:r w:rsidR="002C7B59">
        <w:t xml:space="preserve">Instead, Contra Costa </w:t>
      </w:r>
      <w:r w:rsidR="0067679F">
        <w:t>encourages</w:t>
      </w:r>
      <w:r w:rsidR="002C7B59">
        <w:t xml:space="preserve"> the Commission to identify interested communities after</w:t>
      </w:r>
      <w:r w:rsidR="009C5276">
        <w:t xml:space="preserve"> an extensive community outreach and education process,</w:t>
      </w:r>
      <w:r w:rsidR="002C7B59">
        <w:t xml:space="preserve"> and further recommends that utilities fund community </w:t>
      </w:r>
      <w:r w:rsidR="00A36C35">
        <w:t>partners</w:t>
      </w:r>
      <w:r w:rsidR="002C7B59">
        <w:t xml:space="preserve"> and local governments to lead this work.</w:t>
      </w:r>
      <w:r w:rsidR="002C7B59">
        <w:rPr>
          <w:rStyle w:val="FootnoteReference"/>
        </w:rPr>
        <w:footnoteReference w:id="51"/>
      </w:r>
    </w:p>
    <w:bookmarkEnd w:id="25"/>
    <w:p w:rsidR="00403B54" w:rsidP="00F96DE9" w:rsidRDefault="005E0390" w14:paraId="04E05DC8" w14:textId="49005F52">
      <w:pPr>
        <w:pStyle w:val="Standard"/>
      </w:pPr>
      <w:r>
        <w:lastRenderedPageBreak/>
        <w:t>The Contra Costa Building and Construction Trades Council recommends focusing on areas that have both avoided cost potential and high levels of disadvantage.</w:t>
      </w:r>
      <w:r>
        <w:rPr>
          <w:rStyle w:val="FootnoteReference"/>
        </w:rPr>
        <w:footnoteReference w:id="52"/>
      </w:r>
      <w:r>
        <w:t xml:space="preserve">  </w:t>
      </w:r>
      <w:r w:rsidR="00EC5524">
        <w:t>They</w:t>
      </w:r>
      <w:r>
        <w:t xml:space="preserve"> also state that signaling areas with a combination of favorable conditions, including willing partners, would be helpful.</w:t>
      </w:r>
      <w:r>
        <w:rPr>
          <w:rStyle w:val="FootnoteReference"/>
        </w:rPr>
        <w:footnoteReference w:id="53"/>
      </w:r>
      <w:r>
        <w:t xml:space="preserve">  According to the Contra Costa Building and Construction Trades Council, the City of Richmond offers an example of a location with a shovel-ready project and significant public and stakeholder support.</w:t>
      </w:r>
      <w:r>
        <w:rPr>
          <w:rStyle w:val="FootnoteReference"/>
        </w:rPr>
        <w:footnoteReference w:id="54"/>
      </w:r>
      <w:r>
        <w:t xml:space="preserve">  The Contra Costa Building and Construction Trades Council also recommends </w:t>
      </w:r>
      <w:r w:rsidR="0067679F">
        <w:t xml:space="preserve">considering </w:t>
      </w:r>
      <w:r w:rsidR="00A36C35">
        <w:t>the designation of a decarbonization zone</w:t>
      </w:r>
      <w:r>
        <w:t xml:space="preserve"> in a recent wildfire zone</w:t>
      </w:r>
      <w:r w:rsidR="00A36C35">
        <w:t>, as well as in</w:t>
      </w:r>
      <w:r>
        <w:t xml:space="preserve"> a mobile home park.</w:t>
      </w:r>
      <w:r>
        <w:rPr>
          <w:rStyle w:val="FootnoteReference"/>
        </w:rPr>
        <w:footnoteReference w:id="55"/>
      </w:r>
    </w:p>
    <w:p w:rsidR="001312D2" w:rsidP="00F96DE9" w:rsidRDefault="001312D2" w14:paraId="350F1E39" w14:textId="3B0D7111">
      <w:pPr>
        <w:pStyle w:val="Standard"/>
      </w:pPr>
      <w:bookmarkStart w:name="_Hlk210978386" w:id="26"/>
      <w:r>
        <w:t xml:space="preserve">Elk Grove </w:t>
      </w:r>
      <w:r w:rsidR="003A15B1">
        <w:t xml:space="preserve">notes the importance of local government involvement to successful SB 1221 implementation and </w:t>
      </w:r>
      <w:r>
        <w:t>supports CCR REN’s recommendation to establish a Technical Advisory Committee</w:t>
      </w:r>
      <w:bookmarkEnd w:id="26"/>
      <w:r>
        <w:t>.</w:t>
      </w:r>
      <w:r>
        <w:rPr>
          <w:rStyle w:val="FootnoteReference"/>
        </w:rPr>
        <w:footnoteReference w:id="56"/>
      </w:r>
      <w:r>
        <w:t xml:space="preserve">  </w:t>
      </w:r>
      <w:r w:rsidR="00127E64">
        <w:t>Elk Grove</w:t>
      </w:r>
      <w:r>
        <w:t xml:space="preserve"> also urges the Commission to adopt </w:t>
      </w:r>
      <w:r w:rsidR="00A36C35">
        <w:t>a broad</w:t>
      </w:r>
      <w:r>
        <w:t xml:space="preserve"> definition of “local government support</w:t>
      </w:r>
      <w:r w:rsidR="00127E64">
        <w:t>” to avoid excluding qualified and supportive communities.</w:t>
      </w:r>
      <w:r w:rsidR="00127E64">
        <w:rPr>
          <w:rStyle w:val="FootnoteReference"/>
        </w:rPr>
        <w:footnoteReference w:id="57"/>
      </w:r>
      <w:r w:rsidR="00127E64">
        <w:t xml:space="preserve">  For example, Elk Grove recommends that the Commission consider </w:t>
      </w:r>
      <w:r w:rsidR="00027383">
        <w:t xml:space="preserve">local governments </w:t>
      </w:r>
      <w:r w:rsidR="00FC4960">
        <w:t xml:space="preserve">that </w:t>
      </w:r>
      <w:r w:rsidR="00127E64">
        <w:t>active</w:t>
      </w:r>
      <w:r w:rsidR="00027383">
        <w:t>ly</w:t>
      </w:r>
      <w:r w:rsidR="00127E64">
        <w:t xml:space="preserve"> participat</w:t>
      </w:r>
      <w:r w:rsidR="00027383">
        <w:t>e</w:t>
      </w:r>
      <w:r w:rsidR="00127E64">
        <w:t xml:space="preserve"> </w:t>
      </w:r>
      <w:r w:rsidR="00FC4960">
        <w:t>with</w:t>
      </w:r>
      <w:r w:rsidR="00127E64">
        <w:t xml:space="preserve"> multiple local government and communities partners, such as Assembly Bill 617 Community Steering Committees, climate readiness collaboratives, </w:t>
      </w:r>
      <w:r w:rsidR="00EC5524">
        <w:t>RENs</w:t>
      </w:r>
      <w:r w:rsidR="00127E64">
        <w:t xml:space="preserve">, or </w:t>
      </w:r>
      <w:r w:rsidR="00406FC9">
        <w:t xml:space="preserve">when local governments and community partners are </w:t>
      </w:r>
      <w:r w:rsidR="00406FC9">
        <w:lastRenderedPageBreak/>
        <w:t xml:space="preserve">parties to </w:t>
      </w:r>
      <w:r w:rsidR="00127E64">
        <w:t>memorand</w:t>
      </w:r>
      <w:r w:rsidR="007F70D7">
        <w:t>a</w:t>
      </w:r>
      <w:r w:rsidR="00127E64">
        <w:t xml:space="preserve"> of </w:t>
      </w:r>
      <w:r w:rsidR="00FC4960">
        <w:t>understanding</w:t>
      </w:r>
      <w:r w:rsidR="00127E64">
        <w:t>.</w:t>
      </w:r>
      <w:r w:rsidR="00127E64">
        <w:rPr>
          <w:rStyle w:val="FootnoteReference"/>
        </w:rPr>
        <w:footnoteReference w:id="58"/>
      </w:r>
      <w:r w:rsidR="00304EA8">
        <w:t xml:space="preserve">  Finally, </w:t>
      </w:r>
      <w:bookmarkStart w:name="_Hlk210978438" w:id="27"/>
      <w:r w:rsidR="00304EA8">
        <w:t>Elk Grove supports the position that the designation of decarbonization zones should incorporate local equity metrics.</w:t>
      </w:r>
      <w:r w:rsidR="00304EA8">
        <w:rPr>
          <w:rStyle w:val="FootnoteReference"/>
        </w:rPr>
        <w:footnoteReference w:id="59"/>
      </w:r>
    </w:p>
    <w:bookmarkEnd w:id="27"/>
    <w:p w:rsidR="007F70D7" w:rsidP="00F96DE9" w:rsidRDefault="007F70D7" w14:paraId="436E9F03" w14:textId="0DB7653B">
      <w:pPr>
        <w:pStyle w:val="Standard"/>
      </w:pPr>
      <w:r>
        <w:t>Indicated Shippers supports a broad approach to designating decarbonization zones.</w:t>
      </w:r>
      <w:r>
        <w:rPr>
          <w:rStyle w:val="FootnoteReference"/>
        </w:rPr>
        <w:footnoteReference w:id="60"/>
      </w:r>
      <w:r>
        <w:t xml:space="preserve">  According to Indicated Shippers, a broad approach would </w:t>
      </w:r>
      <w:r w:rsidR="00027383">
        <w:t>“</w:t>
      </w:r>
      <w:r>
        <w:t>preserve the Commission’s ability to select the most cost-effective</w:t>
      </w:r>
      <w:r w:rsidR="00027383">
        <w:t>,</w:t>
      </w:r>
      <w:r>
        <w:t xml:space="preserve"> successful pilots.</w:t>
      </w:r>
      <w:r w:rsidR="00027383">
        <w:t>”</w:t>
      </w:r>
      <w:r>
        <w:rPr>
          <w:rStyle w:val="FootnoteReference"/>
        </w:rPr>
        <w:footnoteReference w:id="61"/>
      </w:r>
      <w:r>
        <w:t xml:space="preserve">  Indicate</w:t>
      </w:r>
      <w:r w:rsidR="00027383">
        <w:t>d</w:t>
      </w:r>
      <w:r>
        <w:t xml:space="preserve"> Shippers does not support Cal Advocates’ recommendation to narrow the total gas pipeline projects to a smaller cohort.</w:t>
      </w:r>
      <w:r>
        <w:rPr>
          <w:rStyle w:val="FootnoteReference"/>
        </w:rPr>
        <w:footnoteReference w:id="62"/>
      </w:r>
      <w:r>
        <w:t xml:space="preserve">  </w:t>
      </w:r>
      <w:bookmarkStart w:name="_Hlk210978466" w:id="28"/>
      <w:r>
        <w:t>Finally, Indicated Shippers recommends that the Commission form a local government and partner working group to enable collaboration and deployment of pilot projects, equity metrics, and sources of non-ratepayer funding.</w:t>
      </w:r>
      <w:r>
        <w:rPr>
          <w:rStyle w:val="FootnoteReference"/>
        </w:rPr>
        <w:footnoteReference w:id="63"/>
      </w:r>
    </w:p>
    <w:bookmarkEnd w:id="28"/>
    <w:p w:rsidR="00FC4960" w:rsidP="00F96DE9" w:rsidRDefault="00760BD5" w14:paraId="34F34E6F" w14:textId="06310A45">
      <w:pPr>
        <w:pStyle w:val="Standard"/>
      </w:pPr>
      <w:r>
        <w:t xml:space="preserve">The Joint CCAs </w:t>
      </w:r>
      <w:r w:rsidR="00374892">
        <w:t xml:space="preserve">support the recommendation to </w:t>
      </w:r>
      <w:r w:rsidR="00EB0E08">
        <w:t xml:space="preserve">designate </w:t>
      </w:r>
      <w:r w:rsidR="00374892">
        <w:t xml:space="preserve">all sites with gas replacement projects </w:t>
      </w:r>
      <w:r w:rsidR="00EB0E08">
        <w:t>as decarbonization zones</w:t>
      </w:r>
      <w:r w:rsidR="00EC5524">
        <w:t xml:space="preserve"> initially</w:t>
      </w:r>
      <w:r w:rsidR="00EB0E08">
        <w:t xml:space="preserve">, as it preserves the </w:t>
      </w:r>
      <w:r w:rsidR="00374892">
        <w:t>flexibility to select viable pilot projects.</w:t>
      </w:r>
      <w:r w:rsidR="00374892">
        <w:rPr>
          <w:rStyle w:val="FootnoteReference"/>
        </w:rPr>
        <w:footnoteReference w:id="64"/>
      </w:r>
      <w:r w:rsidR="00374892">
        <w:t xml:space="preserve">  </w:t>
      </w:r>
      <w:r w:rsidR="00EC5524">
        <w:t>T</w:t>
      </w:r>
      <w:r w:rsidR="00EB0E08">
        <w:t xml:space="preserve">he Joint CCAs distinguish between the initial designation of decarbonization zones </w:t>
      </w:r>
      <w:r w:rsidR="003A15B1">
        <w:t xml:space="preserve">where they encourage a broad approach </w:t>
      </w:r>
      <w:r w:rsidR="00EB0E08">
        <w:t>and the final designation once the Commission develops the full suite of pilot project considerations.</w:t>
      </w:r>
      <w:r w:rsidR="00EB0E08">
        <w:rPr>
          <w:rStyle w:val="FootnoteReference"/>
        </w:rPr>
        <w:footnoteReference w:id="65"/>
      </w:r>
      <w:r w:rsidR="00EB0E08">
        <w:t xml:space="preserve">  The Joint CCAs </w:t>
      </w:r>
      <w:r w:rsidR="00EC5524">
        <w:t xml:space="preserve">also </w:t>
      </w:r>
      <w:r w:rsidR="00EB0E08">
        <w:t xml:space="preserve">recommend that these considerations be made publicly available to enable thorough review by local </w:t>
      </w:r>
      <w:r w:rsidR="00EB0E08">
        <w:lastRenderedPageBreak/>
        <w:t>governments and community stakeholders in advance of the final designation of decarbonization zones.</w:t>
      </w:r>
      <w:r w:rsidR="00EB0E08">
        <w:rPr>
          <w:rStyle w:val="FootnoteReference"/>
        </w:rPr>
        <w:footnoteReference w:id="66"/>
      </w:r>
      <w:r w:rsidR="00EB0E08">
        <w:t xml:space="preserve">  </w:t>
      </w:r>
      <w:r w:rsidR="00EC5524">
        <w:t>Finally</w:t>
      </w:r>
      <w:r w:rsidR="00EB0E08">
        <w:t xml:space="preserve">, </w:t>
      </w:r>
      <w:bookmarkStart w:name="_Hlk210978494" w:id="29"/>
      <w:r w:rsidR="00EB0E08">
        <w:t>the Joint CCAs recommend that the Commission develop a stakeholder engagement process that incorporates clear metrics for evaluating community support.</w:t>
      </w:r>
      <w:r w:rsidR="00EB0E08">
        <w:rPr>
          <w:rStyle w:val="FootnoteReference"/>
        </w:rPr>
        <w:footnoteReference w:id="67"/>
      </w:r>
      <w:r w:rsidR="00EB0E08">
        <w:t xml:space="preserve">  </w:t>
      </w:r>
      <w:bookmarkEnd w:id="29"/>
    </w:p>
    <w:p w:rsidR="00694B30" w:rsidP="00F96DE9" w:rsidRDefault="00694B30" w14:paraId="3AE24C46" w14:textId="0C843506">
      <w:pPr>
        <w:pStyle w:val="Standard"/>
      </w:pPr>
      <w:r>
        <w:t xml:space="preserve">Marin Clean Energy states that </w:t>
      </w:r>
      <w:r w:rsidR="00EC5524">
        <w:t>they</w:t>
      </w:r>
      <w:r>
        <w:t xml:space="preserve"> </w:t>
      </w:r>
      <w:r w:rsidR="00EC5524">
        <w:t>are</w:t>
      </w:r>
      <w:r>
        <w:t xml:space="preserve"> a supportive local government partner </w:t>
      </w:r>
      <w:r w:rsidR="00027383">
        <w:t>for</w:t>
      </w:r>
      <w:r w:rsidR="00D1397A">
        <w:t xml:space="preserve"> pilot projects</w:t>
      </w:r>
      <w:r>
        <w:t>.</w:t>
      </w:r>
      <w:r>
        <w:rPr>
          <w:rStyle w:val="FootnoteReference"/>
        </w:rPr>
        <w:footnoteReference w:id="68"/>
      </w:r>
      <w:r>
        <w:t xml:space="preserve">  Additionally, Marin Clean Energy </w:t>
      </w:r>
      <w:r w:rsidR="00166206">
        <w:t xml:space="preserve">recommends that the Commission provide meaningful pathways for communities to influence </w:t>
      </w:r>
      <w:r w:rsidR="00082430">
        <w:t>the selection of pilot project sites</w:t>
      </w:r>
      <w:r w:rsidR="00166206">
        <w:t>.</w:t>
      </w:r>
      <w:r w:rsidR="00166206">
        <w:rPr>
          <w:rStyle w:val="FootnoteReference"/>
        </w:rPr>
        <w:footnoteReference w:id="69"/>
      </w:r>
    </w:p>
    <w:p w:rsidR="00082430" w:rsidP="00BE5F31" w:rsidRDefault="00BE5F31" w14:paraId="669FB1B2" w14:textId="791ACB1A">
      <w:pPr>
        <w:pStyle w:val="Standard"/>
      </w:pPr>
      <w:r>
        <w:t xml:space="preserve">NRDC/Sierra Club </w:t>
      </w:r>
      <w:r w:rsidR="00082430">
        <w:t>do</w:t>
      </w:r>
      <w:r w:rsidR="00124EB5">
        <w:t>es</w:t>
      </w:r>
      <w:r w:rsidR="00082430">
        <w:t xml:space="preserve"> not support designating all areas with gas replacement project</w:t>
      </w:r>
      <w:r w:rsidR="0042073C">
        <w:t>s</w:t>
      </w:r>
      <w:r w:rsidR="00082430">
        <w:t xml:space="preserve"> as decarbonization zones.</w:t>
      </w:r>
      <w:r w:rsidR="00082430">
        <w:rPr>
          <w:rStyle w:val="FootnoteReference"/>
        </w:rPr>
        <w:footnoteReference w:id="70"/>
      </w:r>
      <w:r w:rsidR="00082430">
        <w:t xml:space="preserve">  Instead, NRDC/Sierra Club </w:t>
      </w:r>
      <w:r>
        <w:t>recommend</w:t>
      </w:r>
      <w:r w:rsidR="0067679F">
        <w:t>s</w:t>
      </w:r>
      <w:r>
        <w:t xml:space="preserve"> defin</w:t>
      </w:r>
      <w:r w:rsidR="0042073C">
        <w:t>ing</w:t>
      </w:r>
      <w:r>
        <w:t xml:space="preserve"> decarbonization zones as census tracts that (1) contain a foreseeable gas distribution line replacement project and (2) meet at least one of the criteria listed in Section 662 or an equity factor identified by stakeholders or the public.</w:t>
      </w:r>
      <w:r>
        <w:rPr>
          <w:rStyle w:val="FootnoteReference"/>
        </w:rPr>
        <w:footnoteReference w:id="71"/>
      </w:r>
      <w:r>
        <w:t xml:space="preserve">  </w:t>
      </w:r>
      <w:r w:rsidR="00082430">
        <w:t>Regarding</w:t>
      </w:r>
      <w:r>
        <w:t xml:space="preserve"> the availability of supportive local governments and </w:t>
      </w:r>
      <w:r w:rsidR="00082430">
        <w:t xml:space="preserve">community </w:t>
      </w:r>
      <w:r>
        <w:t xml:space="preserve">partners, </w:t>
      </w:r>
      <w:r w:rsidR="00082430">
        <w:t xml:space="preserve">NRDC/Sierra Club </w:t>
      </w:r>
      <w:r w:rsidR="00143364">
        <w:t xml:space="preserve">recommends looking to expressions of interest from parties and public comments.  They also </w:t>
      </w:r>
      <w:r w:rsidR="00082430">
        <w:t>support SoCalGas/SDG&amp;E’s recommendation to look to jurisdictions with reach</w:t>
      </w:r>
      <w:r w:rsidR="00DC3CD9">
        <w:t xml:space="preserve"> building</w:t>
      </w:r>
      <w:r w:rsidR="00082430">
        <w:t xml:space="preserve"> codes and </w:t>
      </w:r>
      <w:r w:rsidR="003E2235">
        <w:t>areas with</w:t>
      </w:r>
      <w:r w:rsidR="00082430">
        <w:t xml:space="preserve"> high electrification uptake incentives.</w:t>
      </w:r>
      <w:r w:rsidR="00082430">
        <w:rPr>
          <w:rStyle w:val="FootnoteReference"/>
        </w:rPr>
        <w:footnoteReference w:id="72"/>
      </w:r>
      <w:r w:rsidR="00082430">
        <w:t xml:space="preserve">  They also commend PG&amp;E’s effort to host a</w:t>
      </w:r>
      <w:r w:rsidR="003E2235">
        <w:t xml:space="preserve">n </w:t>
      </w:r>
      <w:r w:rsidR="00082430">
        <w:t xml:space="preserve">information session and recommend </w:t>
      </w:r>
      <w:r w:rsidR="0042073C">
        <w:t xml:space="preserve">that the </w:t>
      </w:r>
      <w:r w:rsidR="0042073C">
        <w:lastRenderedPageBreak/>
        <w:t xml:space="preserve">other Gas Corporations </w:t>
      </w:r>
      <w:r w:rsidR="00082430">
        <w:t>engage</w:t>
      </w:r>
      <w:r w:rsidR="0042073C">
        <w:t xml:space="preserve"> similarly</w:t>
      </w:r>
      <w:r w:rsidR="00082430">
        <w:t>.</w:t>
      </w:r>
      <w:r w:rsidR="00082430">
        <w:rPr>
          <w:rStyle w:val="FootnoteReference"/>
        </w:rPr>
        <w:footnoteReference w:id="73"/>
      </w:r>
      <w:r w:rsidR="003E2235">
        <w:t xml:space="preserve">  </w:t>
      </w:r>
      <w:bookmarkStart w:name="_Hlk210978576" w:id="30"/>
      <w:r w:rsidR="003E2235">
        <w:t>Regarding equity metrics, NRDC/Sierra Club recommend</w:t>
      </w:r>
      <w:r w:rsidR="0067679F">
        <w:t>s</w:t>
      </w:r>
      <w:r w:rsidR="003E2235">
        <w:t xml:space="preserve"> that the Commission use CEC climate zones, RASS data, and maps developed by the Department of Housing and Urban Development (HUD).</w:t>
      </w:r>
      <w:r w:rsidR="003E2235">
        <w:rPr>
          <w:rStyle w:val="FootnoteReference"/>
        </w:rPr>
        <w:footnoteReference w:id="74"/>
      </w:r>
      <w:r w:rsidR="003E2235">
        <w:t xml:space="preserve">  </w:t>
      </w:r>
      <w:bookmarkEnd w:id="30"/>
      <w:r w:rsidR="003E2235">
        <w:t>Finally, NRDC/Sierra Club urge</w:t>
      </w:r>
      <w:r w:rsidR="0067679F">
        <w:t>s</w:t>
      </w:r>
      <w:r w:rsidR="003E2235">
        <w:t xml:space="preserve"> the Commission to commit to updating the decarbonization zones designations </w:t>
      </w:r>
      <w:r w:rsidR="0042073C">
        <w:t>as more data becomes available from the Gas Corporations and during</w:t>
      </w:r>
      <w:r w:rsidR="003E2235">
        <w:t xml:space="preserve"> site selection</w:t>
      </w:r>
      <w:r w:rsidR="0042073C">
        <w:t>.</w:t>
      </w:r>
      <w:r w:rsidR="003E2235">
        <w:rPr>
          <w:rStyle w:val="FootnoteReference"/>
        </w:rPr>
        <w:footnoteReference w:id="75"/>
      </w:r>
    </w:p>
    <w:p w:rsidR="00323569" w:rsidP="00694B30" w:rsidRDefault="007965EE" w14:paraId="33CFE9E9" w14:textId="54508303">
      <w:pPr>
        <w:pStyle w:val="Standard"/>
      </w:pPr>
      <w:r>
        <w:t>San Francisco supports preliminarily designating all census tracts with foreseeable replacement projects as decarbonization zones to comply with the statutory deadline of January 1, 2026.</w:t>
      </w:r>
      <w:r w:rsidR="005F7E95">
        <w:rPr>
          <w:rStyle w:val="FootnoteReference"/>
        </w:rPr>
        <w:footnoteReference w:id="76"/>
      </w:r>
      <w:r w:rsidR="005F7E95">
        <w:t xml:space="preserve">  According to San Francisco, </w:t>
      </w:r>
      <w:r w:rsidR="005A4937">
        <w:t>it is reasonable to designate decarbonization zones broadly until the Commission has sufficient data to restrict potential pilot locations</w:t>
      </w:r>
      <w:r w:rsidR="005F7E95">
        <w:t>.</w:t>
      </w:r>
      <w:r w:rsidR="005F7E95">
        <w:rPr>
          <w:rStyle w:val="FootnoteReference"/>
        </w:rPr>
        <w:footnoteReference w:id="77"/>
      </w:r>
      <w:r w:rsidR="005F7E95">
        <w:t xml:space="preserve">  </w:t>
      </w:r>
      <w:r w:rsidR="00323569">
        <w:t>Regarding equity metrics, San Francisco supports the use of CalEnviroScreen, Commission-defined environmental and social justice communities, and detailed data available to local governments and organizations.</w:t>
      </w:r>
      <w:r w:rsidR="00323569">
        <w:rPr>
          <w:rStyle w:val="FootnoteReference"/>
        </w:rPr>
        <w:footnoteReference w:id="78"/>
      </w:r>
      <w:r w:rsidR="00323569">
        <w:t xml:space="preserve">  </w:t>
      </w:r>
      <w:bookmarkStart w:name="_Hlk210978615" w:id="31"/>
      <w:r w:rsidR="00323569">
        <w:t>San Francisco also urges the Commission to adopt a straightforward process for engaging local governments and community partners to inform the future designation of narrower decarbonization zones, including allowing local governments to recommend decarbonization zones.</w:t>
      </w:r>
      <w:r w:rsidR="00323569">
        <w:rPr>
          <w:rStyle w:val="FootnoteReference"/>
        </w:rPr>
        <w:footnoteReference w:id="79"/>
      </w:r>
    </w:p>
    <w:bookmarkEnd w:id="31"/>
    <w:p w:rsidR="00694B30" w:rsidP="00694B30" w:rsidRDefault="00694B30" w14:paraId="3E524E9C" w14:textId="5D5F8075">
      <w:pPr>
        <w:pStyle w:val="Standard"/>
      </w:pPr>
      <w:r>
        <w:lastRenderedPageBreak/>
        <w:t>SBUA recommends that the Commission consider small business customers within disadvantaged and social justice communities when designating decarbonization zones.</w:t>
      </w:r>
      <w:r>
        <w:rPr>
          <w:rStyle w:val="FootnoteReference"/>
        </w:rPr>
        <w:footnoteReference w:id="80"/>
      </w:r>
    </w:p>
    <w:p w:rsidR="00694B30" w:rsidP="00694B30" w:rsidRDefault="00694B30" w14:paraId="63F1C4B2" w14:textId="3E962754">
      <w:pPr>
        <w:pStyle w:val="Standard"/>
      </w:pPr>
      <w:r>
        <w:t xml:space="preserve">SCE agrees with </w:t>
      </w:r>
      <w:r w:rsidR="005B398D">
        <w:t>PG&amp;E, SoCalGas, SDG&amp;E, and Southwest Gas</w:t>
      </w:r>
      <w:r>
        <w:t xml:space="preserve"> that it is premature for the Commission to place geographic limitations on the decarbonization zones.</w:t>
      </w:r>
      <w:r>
        <w:rPr>
          <w:rStyle w:val="FootnoteReference"/>
        </w:rPr>
        <w:footnoteReference w:id="81"/>
      </w:r>
      <w:r>
        <w:t xml:space="preserve">  As such, SCE recommends that the Commission designate decarbonization zones broadly </w:t>
      </w:r>
      <w:r w:rsidR="005B398D">
        <w:t xml:space="preserve">as all pipeline projects identified on the </w:t>
      </w:r>
      <w:r w:rsidR="00C24D4C">
        <w:t>Gas Corporations’</w:t>
      </w:r>
      <w:r w:rsidR="005B398D">
        <w:t xml:space="preserve"> maps</w:t>
      </w:r>
      <w:r>
        <w:t>.</w:t>
      </w:r>
      <w:r>
        <w:rPr>
          <w:rStyle w:val="FootnoteReference"/>
        </w:rPr>
        <w:footnoteReference w:id="82"/>
      </w:r>
      <w:r>
        <w:t xml:space="preserve">  </w:t>
      </w:r>
      <w:r w:rsidR="0067679F">
        <w:t>Alternatively, SCE recommends that the Commission prioritize areas where</w:t>
      </w:r>
      <w:r>
        <w:t xml:space="preserve"> there is a need for replacement and at least one other SB 1221 factor is present.</w:t>
      </w:r>
      <w:r>
        <w:rPr>
          <w:rStyle w:val="FootnoteReference"/>
        </w:rPr>
        <w:footnoteReference w:id="83"/>
      </w:r>
      <w:r w:rsidR="00143364">
        <w:t xml:space="preserve">  SCE also recommends that the Commission develop independent criteria to designate zones.</w:t>
      </w:r>
      <w:r w:rsidR="00143364">
        <w:rPr>
          <w:rStyle w:val="FootnoteReference"/>
        </w:rPr>
        <w:footnoteReference w:id="84"/>
      </w:r>
    </w:p>
    <w:p w:rsidRPr="00F96DE9" w:rsidR="006F426F" w:rsidP="00694B30" w:rsidRDefault="006F426F" w14:paraId="524F5E4D" w14:textId="2F4DBBBF">
      <w:pPr>
        <w:pStyle w:val="Standard"/>
      </w:pPr>
      <w:r>
        <w:t xml:space="preserve">TURN supports </w:t>
      </w:r>
      <w:r w:rsidR="00143364">
        <w:t>including</w:t>
      </w:r>
      <w:r>
        <w:t xml:space="preserve"> replacement project schedules and CalEnviroScreen scoring to narrow the Gas Corporations’ recommended decarbonization zones.</w:t>
      </w:r>
      <w:r>
        <w:rPr>
          <w:rStyle w:val="FootnoteReference"/>
        </w:rPr>
        <w:footnoteReference w:id="85"/>
      </w:r>
      <w:r w:rsidR="004D161F">
        <w:t xml:space="preserve">  TURN also supports using additional </w:t>
      </w:r>
      <w:r w:rsidR="00011A13">
        <w:t>utility</w:t>
      </w:r>
      <w:r w:rsidR="004D161F">
        <w:t xml:space="preserve"> data to narrow the designations, including the number of services connected to each anticipated main replacement project</w:t>
      </w:r>
      <w:r w:rsidR="00143364">
        <w:t xml:space="preserve"> and the timing of replacement projects</w:t>
      </w:r>
      <w:r w:rsidR="004D161F">
        <w:t>.</w:t>
      </w:r>
      <w:r w:rsidR="004D161F">
        <w:rPr>
          <w:rStyle w:val="FootnoteReference"/>
        </w:rPr>
        <w:footnoteReference w:id="86"/>
      </w:r>
      <w:r w:rsidR="004D161F">
        <w:t xml:space="preserve">  </w:t>
      </w:r>
      <w:r w:rsidR="007B5F1D">
        <w:t xml:space="preserve">While TURN recognizes the difficulties in identifying decarbonization zones at this stage, </w:t>
      </w:r>
      <w:r w:rsidR="00EC5524">
        <w:t>they</w:t>
      </w:r>
      <w:r w:rsidR="007B5F1D">
        <w:t xml:space="preserve"> assert that the Gas Corporations’ request to designate zones broadly is unreasonable and makes it very difficult for parties to provide </w:t>
      </w:r>
      <w:r w:rsidR="007B5F1D">
        <w:lastRenderedPageBreak/>
        <w:t>meaningful public input.</w:t>
      </w:r>
      <w:r w:rsidR="007B5F1D">
        <w:rPr>
          <w:rStyle w:val="FootnoteReference"/>
        </w:rPr>
        <w:footnoteReference w:id="87"/>
      </w:r>
      <w:r w:rsidR="007B5F1D">
        <w:t xml:space="preserve">  As such, </w:t>
      </w:r>
      <w:bookmarkStart w:name="_Hlk210978649" w:id="33"/>
      <w:r w:rsidR="007B5F1D">
        <w:t xml:space="preserve">TURN recommends that the Commission require the Gas Corporations to provide additional data </w:t>
      </w:r>
      <w:r w:rsidR="00CE69F7">
        <w:t>before</w:t>
      </w:r>
      <w:r w:rsidR="007B5F1D">
        <w:t xml:space="preserve"> designating the decarbonization zones.</w:t>
      </w:r>
      <w:r w:rsidR="007B5F1D">
        <w:rPr>
          <w:rStyle w:val="FootnoteReference"/>
        </w:rPr>
        <w:footnoteReference w:id="88"/>
      </w:r>
      <w:r w:rsidR="007B5F1D">
        <w:t xml:space="preserve">  </w:t>
      </w:r>
      <w:bookmarkEnd w:id="33"/>
      <w:r w:rsidR="00D9368D">
        <w:t xml:space="preserve">TURN also recommends that the Commission develop a process, pursuant to Section </w:t>
      </w:r>
      <w:r w:rsidR="00B15961">
        <w:t>66</w:t>
      </w:r>
      <w:r w:rsidR="00D9368D">
        <w:t>2(d)</w:t>
      </w:r>
      <w:r w:rsidR="000F7290">
        <w:t>,</w:t>
      </w:r>
      <w:r w:rsidR="00D9368D">
        <w:t xml:space="preserve"> to update any decarbonization zones designations.</w:t>
      </w:r>
      <w:r w:rsidR="00D9368D">
        <w:rPr>
          <w:rStyle w:val="FootnoteReference"/>
        </w:rPr>
        <w:footnoteReference w:id="89"/>
      </w:r>
      <w:r w:rsidR="00D9368D">
        <w:t xml:space="preserve">  </w:t>
      </w:r>
    </w:p>
    <w:p w:rsidR="00B36F04" w:rsidP="000632C1" w:rsidRDefault="00B36F04" w14:paraId="57061343" w14:textId="08542704">
      <w:pPr>
        <w:pStyle w:val="Heading3"/>
      </w:pPr>
      <w:bookmarkStart w:name="_Toc216699682" w:id="34"/>
      <w:r>
        <w:t>Gas Corporations’ Reply Comments</w:t>
      </w:r>
      <w:bookmarkEnd w:id="34"/>
    </w:p>
    <w:p w:rsidR="004878D7" w:rsidP="004878D7" w:rsidRDefault="004878D7" w14:paraId="2F453F04" w14:textId="4B205288">
      <w:pPr>
        <w:pStyle w:val="Standard"/>
      </w:pPr>
      <w:r>
        <w:t>PG&amp;E agrees with NRDC/Sierra Club on the need for flexibility and project-specific, customer-centric information.</w:t>
      </w:r>
      <w:r>
        <w:rPr>
          <w:rStyle w:val="FootnoteReference"/>
        </w:rPr>
        <w:footnoteReference w:id="90"/>
      </w:r>
      <w:r w:rsidR="00494999">
        <w:t xml:space="preserve">  PG&amp;E also agrees with NRDC/Sierra Club’s recommendation to use maps developed by HUD to develop equity metrics.</w:t>
      </w:r>
      <w:r w:rsidR="00494999">
        <w:rPr>
          <w:rStyle w:val="FootnoteReference"/>
        </w:rPr>
        <w:footnoteReference w:id="91"/>
      </w:r>
      <w:r w:rsidR="00494999">
        <w:t xml:space="preserve">  Finally, PG&amp;E disagrees with Cal Advocates’ position to designate narrower decarbonization zones.  According to PG&amp;E, the Commission has full authority to provide flexibility in the designation of decarbonization zones.</w:t>
      </w:r>
      <w:r w:rsidR="00494999">
        <w:rPr>
          <w:rStyle w:val="FootnoteReference"/>
        </w:rPr>
        <w:footnoteReference w:id="92"/>
      </w:r>
    </w:p>
    <w:p w:rsidRPr="004878D7" w:rsidR="00494999" w:rsidP="004878D7" w:rsidRDefault="00494999" w14:paraId="54DED5EB" w14:textId="6776C755">
      <w:pPr>
        <w:pStyle w:val="Standard"/>
      </w:pPr>
      <w:r>
        <w:t xml:space="preserve">SoCalGas/SDG&amp;E and Southwest Gas </w:t>
      </w:r>
      <w:r w:rsidR="002B2A27">
        <w:t>affirm their support for broadly designated decarbonization zones.</w:t>
      </w:r>
      <w:r w:rsidR="002B2A27">
        <w:rPr>
          <w:rStyle w:val="FootnoteReference"/>
        </w:rPr>
        <w:footnoteReference w:id="93"/>
      </w:r>
      <w:r w:rsidR="002B2A27">
        <w:t xml:space="preserve">  According to SoCalGas/SDG&amp;E and Southwest Gas, SB 1221’s primary threshold for consideration is the existence of potential pipeline replacement projects.</w:t>
      </w:r>
      <w:r w:rsidR="002B2A27">
        <w:rPr>
          <w:rStyle w:val="FootnoteReference"/>
        </w:rPr>
        <w:footnoteReference w:id="94"/>
      </w:r>
      <w:r w:rsidR="002B2A27">
        <w:t xml:space="preserve">  If an area does not have these projects, it will be unlikely, if not impossible, for the pilot projects to be economically </w:t>
      </w:r>
      <w:r w:rsidR="002B2A27">
        <w:lastRenderedPageBreak/>
        <w:t>feasible.</w:t>
      </w:r>
      <w:r w:rsidR="002B2A27">
        <w:rPr>
          <w:rStyle w:val="FootnoteReference"/>
        </w:rPr>
        <w:footnoteReference w:id="95"/>
      </w:r>
      <w:r w:rsidR="002B2A27">
        <w:t xml:space="preserve">  Responding to Cal Advocates, </w:t>
      </w:r>
      <w:r w:rsidR="00443BC0">
        <w:t xml:space="preserve">Southwest Gas states that </w:t>
      </w:r>
      <w:r w:rsidR="00EC5524">
        <w:t>they</w:t>
      </w:r>
      <w:r w:rsidR="00443BC0">
        <w:t xml:space="preserve"> will consider revising its recommended decarbonization zones </w:t>
      </w:r>
      <w:r w:rsidR="00143364">
        <w:t>once additional information is available and analyzed, or required by the Commission</w:t>
      </w:r>
      <w:r w:rsidR="00443BC0">
        <w:t>.</w:t>
      </w:r>
      <w:r w:rsidR="00443BC0">
        <w:rPr>
          <w:rStyle w:val="FootnoteReference"/>
        </w:rPr>
        <w:footnoteReference w:id="96"/>
      </w:r>
      <w:r w:rsidR="00443BC0">
        <w:t xml:space="preserve"> </w:t>
      </w:r>
    </w:p>
    <w:p w:rsidR="00603238" w:rsidP="000632C1" w:rsidRDefault="000632C1" w14:paraId="052E3359" w14:textId="674DC54A">
      <w:pPr>
        <w:pStyle w:val="Heading3"/>
      </w:pPr>
      <w:bookmarkStart w:name="_Toc216699683" w:id="35"/>
      <w:r>
        <w:t>P</w:t>
      </w:r>
      <w:r w:rsidR="00603238">
        <w:t>ublic Comment</w:t>
      </w:r>
      <w:r>
        <w:t>s</w:t>
      </w:r>
      <w:bookmarkEnd w:id="35"/>
    </w:p>
    <w:p w:rsidR="00F25645" w:rsidP="00F25645" w:rsidRDefault="00F25645" w14:paraId="5E6EB209" w14:textId="0F620529">
      <w:r>
        <w:t xml:space="preserve">Section 662(a) requires the Commission to provide an opportunity for public comment before designating decarbonization zones.  In addition, </w:t>
      </w:r>
      <w:r w:rsidRPr="00950339" w:rsidR="00603238">
        <w:t xml:space="preserve">Rule 1.18 </w:t>
      </w:r>
      <w:r w:rsidR="00A36C35">
        <w:t xml:space="preserve">of the Commission’s Rules of Practice and Procedure (Rules) </w:t>
      </w:r>
      <w:r w:rsidRPr="00950339" w:rsidR="00603238">
        <w:t>allows any member of the public to submit written comment</w:t>
      </w:r>
      <w:r w:rsidR="008A161B">
        <w:t>s</w:t>
      </w:r>
      <w:r w:rsidRPr="00950339" w:rsidR="00603238">
        <w:t xml:space="preserve"> in any Commission proceeding using the “Public Comment” tab of the online Docket Card for that proceeding on the Commission’s website.</w:t>
      </w:r>
      <w:r w:rsidR="000F7290">
        <w:t xml:space="preserve">  According to Rule 1.18(a), all written public comments submitted in a proceeding that </w:t>
      </w:r>
      <w:r w:rsidR="00DC3CD9">
        <w:t>are</w:t>
      </w:r>
      <w:r w:rsidR="000F7290">
        <w:t xml:space="preserve"> received prior to the submission of the record are part of the administrative record.  Rule 1.18(b) further requires </w:t>
      </w:r>
      <w:r w:rsidRPr="00DC3CD9" w:rsidR="000F7290">
        <w:rPr>
          <w:i/>
          <w:iCs/>
        </w:rPr>
        <w:t>all</w:t>
      </w:r>
      <w:r w:rsidR="000F7290">
        <w:t xml:space="preserve"> written comments, whether received before or after the submission of the record, to be summarized in the final decision.</w:t>
      </w:r>
      <w:r w:rsidRPr="00950339" w:rsidR="00603238">
        <w:t xml:space="preserve">  </w:t>
      </w:r>
    </w:p>
    <w:p w:rsidR="00F25645" w:rsidP="00F25645" w:rsidRDefault="00F25645" w14:paraId="446AA032" w14:textId="4F1681AF">
      <w:r>
        <w:t>On August 7, 2025, the Commission hosted two PPHs.</w:t>
      </w:r>
      <w:r w:rsidR="001803D8">
        <w:t xml:space="preserve">  In total, 59 members of the public offered comment</w:t>
      </w:r>
      <w:r w:rsidR="00F10CE1">
        <w:t>s</w:t>
      </w:r>
      <w:r w:rsidR="001803D8">
        <w:t xml:space="preserve">.  Of the total 59 comments, 37 </w:t>
      </w:r>
      <w:r w:rsidR="00F41C77">
        <w:t xml:space="preserve">members of the public </w:t>
      </w:r>
      <w:r w:rsidR="001803D8">
        <w:t>opposed the implementation of SB 1221</w:t>
      </w:r>
      <w:r w:rsidR="00F41C77">
        <w:t>,</w:t>
      </w:r>
      <w:r w:rsidR="00E450D4">
        <w:rPr>
          <w:rStyle w:val="FootnoteReference"/>
        </w:rPr>
        <w:footnoteReference w:id="97"/>
      </w:r>
      <w:r w:rsidR="001803D8">
        <w:t xml:space="preserve"> and 2</w:t>
      </w:r>
      <w:r w:rsidR="00F41C77">
        <w:t>0</w:t>
      </w:r>
      <w:r w:rsidR="001803D8">
        <w:t xml:space="preserve"> supported decarbonization zones and pilots.  One commenter was neutral</w:t>
      </w:r>
      <w:r w:rsidR="00F41C77">
        <w:t xml:space="preserve"> or had an unclear position</w:t>
      </w:r>
      <w:r w:rsidR="001803D8">
        <w:t xml:space="preserve">.  </w:t>
      </w:r>
      <w:r w:rsidR="00F41C77">
        <w:t>Among the commenters who</w:t>
      </w:r>
      <w:r w:rsidR="001803D8">
        <w:t xml:space="preserve"> supported decarbonization zones and </w:t>
      </w:r>
      <w:r w:rsidR="001803D8">
        <w:lastRenderedPageBreak/>
        <w:t xml:space="preserve">pilots, eight </w:t>
      </w:r>
      <w:r w:rsidR="00124EB5">
        <w:t>represented</w:t>
      </w:r>
      <w:r w:rsidR="001803D8">
        <w:t xml:space="preserve"> local governments and community organizations.</w:t>
      </w:r>
      <w:r w:rsidR="001803D8">
        <w:rPr>
          <w:rStyle w:val="FootnoteReference"/>
        </w:rPr>
        <w:footnoteReference w:id="98"/>
      </w:r>
      <w:r w:rsidR="00124EB5">
        <w:t xml:space="preserve">  Separately, one local government representative</w:t>
      </w:r>
      <w:r w:rsidR="000F7290">
        <w:t xml:space="preserve"> for the City of Lompoc</w:t>
      </w:r>
      <w:r w:rsidR="00124EB5">
        <w:t xml:space="preserve"> expressed concern that designating a decarbonization zone across the city’s old town would </w:t>
      </w:r>
      <w:r w:rsidR="00F41C77">
        <w:t>“</w:t>
      </w:r>
      <w:r w:rsidR="00124EB5">
        <w:t>economically destroy</w:t>
      </w:r>
      <w:r w:rsidR="000F7290">
        <w:t>”</w:t>
      </w:r>
      <w:r w:rsidR="00124EB5">
        <w:t xml:space="preserve"> the area.</w:t>
      </w:r>
      <w:r w:rsidR="00F41C77">
        <w:rPr>
          <w:rStyle w:val="FootnoteReference"/>
        </w:rPr>
        <w:footnoteReference w:id="99"/>
      </w:r>
    </w:p>
    <w:p w:rsidR="000F7290" w:rsidP="000F7290" w:rsidRDefault="000F7290" w14:paraId="3153AAC0" w14:textId="33225827">
      <w:pPr>
        <w:pStyle w:val="Standard"/>
      </w:pPr>
      <w:r>
        <w:t xml:space="preserve">By September 10, 2025, when the record was submitted, the Commission had received </w:t>
      </w:r>
      <w:r w:rsidR="00D95520">
        <w:t xml:space="preserve">comments from </w:t>
      </w:r>
      <w:r>
        <w:t xml:space="preserve">239 </w:t>
      </w:r>
      <w:r w:rsidR="00D95520">
        <w:t xml:space="preserve">members of the </w:t>
      </w:r>
      <w:r>
        <w:t>public relevant to the designation of decarbonization</w:t>
      </w:r>
      <w:r w:rsidR="00DF351F">
        <w:t xml:space="preserve"> zones</w:t>
      </w:r>
      <w:r>
        <w:t xml:space="preserve">.  Commenters were individuals, as well as representatives from community organizations, local governments, and </w:t>
      </w:r>
      <w:r w:rsidR="00F41C77">
        <w:t>the Sacramento Metropolitan Air Quality Management District</w:t>
      </w:r>
      <w:r>
        <w:t>.  A</w:t>
      </w:r>
      <w:r w:rsidR="00044BC8">
        <w:t xml:space="preserve">s of </w:t>
      </w:r>
      <w:r w:rsidR="00CF5F15">
        <w:t>December 9</w:t>
      </w:r>
      <w:r w:rsidR="00044BC8">
        <w:t>, 2025, t</w:t>
      </w:r>
      <w:r w:rsidR="008A161B">
        <w:t>he Commission h</w:t>
      </w:r>
      <w:r w:rsidR="00265B76">
        <w:t>as</w:t>
      </w:r>
      <w:r w:rsidR="008A161B">
        <w:t xml:space="preserve"> received </w:t>
      </w:r>
      <w:r w:rsidR="000C66D2">
        <w:t xml:space="preserve">comments from </w:t>
      </w:r>
      <w:r w:rsidR="005E03F1">
        <w:t>2</w:t>
      </w:r>
      <w:r w:rsidR="00F61B49">
        <w:t>53</w:t>
      </w:r>
      <w:r w:rsidR="00856428">
        <w:t xml:space="preserve">  </w:t>
      </w:r>
      <w:r w:rsidR="000C66D2">
        <w:t>members of the public</w:t>
      </w:r>
      <w:r w:rsidR="00856428">
        <w:t xml:space="preserve"> </w:t>
      </w:r>
      <w:r w:rsidR="008A161B">
        <w:t>on the online Docket Card relevant to the designation of decarbonization zones.</w:t>
      </w:r>
      <w:r>
        <w:t xml:space="preserve">  In compliance with</w:t>
      </w:r>
      <w:r w:rsidR="008A161B">
        <w:t xml:space="preserve"> </w:t>
      </w:r>
      <w:r>
        <w:t>Section 662(a) and Rule 1.18(a) and (b), we consider all written comments submitted to the Docket Card.</w:t>
      </w:r>
    </w:p>
    <w:p w:rsidR="008A161B" w:rsidP="000F7290" w:rsidRDefault="001F70F7" w14:paraId="26E1B5CE" w14:textId="5038B73A">
      <w:pPr>
        <w:pStyle w:val="Standard"/>
      </w:pPr>
      <w:r>
        <w:t>Of the</w:t>
      </w:r>
      <w:r w:rsidR="000F7290">
        <w:t xml:space="preserve"> total </w:t>
      </w:r>
      <w:r w:rsidR="00F61B49">
        <w:t>253</w:t>
      </w:r>
      <w:r>
        <w:t xml:space="preserve"> public comments, 1</w:t>
      </w:r>
      <w:r w:rsidR="00CF5F15">
        <w:t>9</w:t>
      </w:r>
      <w:r>
        <w:t xml:space="preserve"> were submitted on behalf of government entities</w:t>
      </w:r>
      <w:r>
        <w:rPr>
          <w:rStyle w:val="FootnoteReference"/>
        </w:rPr>
        <w:footnoteReference w:id="100"/>
      </w:r>
      <w:r>
        <w:t xml:space="preserve"> and </w:t>
      </w:r>
      <w:r w:rsidR="00CF5F15">
        <w:t>2</w:t>
      </w:r>
      <w:r w:rsidR="00F61B49">
        <w:t>6</w:t>
      </w:r>
      <w:r>
        <w:t xml:space="preserve"> were submitted on behalf of community </w:t>
      </w:r>
      <w:r>
        <w:lastRenderedPageBreak/>
        <w:t>organizations.</w:t>
      </w:r>
      <w:r>
        <w:rPr>
          <w:rStyle w:val="FootnoteReference"/>
        </w:rPr>
        <w:footnoteReference w:id="101"/>
      </w:r>
      <w:r w:rsidR="00434306">
        <w:t xml:space="preserve">  All government entities and community organizations express</w:t>
      </w:r>
      <w:r w:rsidR="00044BC8">
        <w:t>ed</w:t>
      </w:r>
      <w:r w:rsidR="00434306">
        <w:t xml:space="preserve"> interest in the Commission designating a decarbonization zone within their </w:t>
      </w:r>
      <w:r w:rsidR="000D1A8D">
        <w:t>respective jurisdictions or geographic areas of focus</w:t>
      </w:r>
      <w:r w:rsidR="00434306">
        <w:t xml:space="preserve">. </w:t>
      </w:r>
      <w:r>
        <w:t xml:space="preserve"> </w:t>
      </w:r>
    </w:p>
    <w:p w:rsidR="000D23F2" w:rsidP="00603238" w:rsidRDefault="00904CC9" w14:paraId="41052826" w14:textId="62ECF942">
      <w:pPr>
        <w:pStyle w:val="Standard"/>
      </w:pPr>
      <w:r>
        <w:t xml:space="preserve">The remaining </w:t>
      </w:r>
      <w:r w:rsidR="00856428">
        <w:t>20</w:t>
      </w:r>
      <w:r w:rsidR="00F61B49">
        <w:t>8</w:t>
      </w:r>
      <w:r w:rsidR="00856428">
        <w:t xml:space="preserve"> </w:t>
      </w:r>
      <w:r>
        <w:t xml:space="preserve">public comments were from </w:t>
      </w:r>
      <w:r w:rsidR="00856428">
        <w:t>individuals</w:t>
      </w:r>
      <w:r>
        <w:t xml:space="preserve"> </w:t>
      </w:r>
      <w:r w:rsidR="00856428">
        <w:t xml:space="preserve">throughout the State of California, as well as one each from Virginia and </w:t>
      </w:r>
      <w:r>
        <w:t>Pennsylvania.</w:t>
      </w:r>
      <w:r w:rsidR="00856428">
        <w:t xml:space="preserve">  Of these 20</w:t>
      </w:r>
      <w:r w:rsidR="00F61B49">
        <w:t>8</w:t>
      </w:r>
      <w:r w:rsidR="00856428">
        <w:t xml:space="preserve"> public comments, 6</w:t>
      </w:r>
      <w:r w:rsidR="00F61B49">
        <w:t>5</w:t>
      </w:r>
      <w:r w:rsidR="00856428">
        <w:t xml:space="preserve"> support</w:t>
      </w:r>
      <w:r w:rsidR="00044BC8">
        <w:t>ed</w:t>
      </w:r>
      <w:r w:rsidR="00856428">
        <w:t xml:space="preserve"> the decarbonization </w:t>
      </w:r>
      <w:r w:rsidR="008B2D0E">
        <w:t>process described</w:t>
      </w:r>
      <w:r w:rsidR="00856428">
        <w:t xml:space="preserve"> in SB 1221.  The primary reason</w:t>
      </w:r>
      <w:r w:rsidR="002F6248">
        <w:t>s</w:t>
      </w:r>
      <w:r w:rsidR="00856428">
        <w:t xml:space="preserve"> members of the public cite</w:t>
      </w:r>
      <w:r w:rsidR="00044BC8">
        <w:t>d</w:t>
      </w:r>
      <w:r w:rsidR="00856428">
        <w:t xml:space="preserve"> for their support </w:t>
      </w:r>
      <w:r w:rsidR="002F6248">
        <w:t>are various</w:t>
      </w:r>
      <w:r w:rsidR="00856428">
        <w:t xml:space="preserve"> health</w:t>
      </w:r>
      <w:r w:rsidR="002F6248">
        <w:t xml:space="preserve"> concerns</w:t>
      </w:r>
      <w:r w:rsidR="00856428">
        <w:t xml:space="preserve">, followed by </w:t>
      </w:r>
      <w:r w:rsidR="00591952">
        <w:t>concerns about pollution and the need to address climate change.  Nine commenters request</w:t>
      </w:r>
      <w:r w:rsidR="00044BC8">
        <w:t>ed</w:t>
      </w:r>
      <w:r w:rsidR="00591952">
        <w:t xml:space="preserve"> that SDG&amp;E hold </w:t>
      </w:r>
      <w:r w:rsidR="000D1A8D">
        <w:t xml:space="preserve">public </w:t>
      </w:r>
      <w:r w:rsidR="00591952">
        <w:t>information sessions, and 16 request</w:t>
      </w:r>
      <w:r w:rsidR="00044BC8">
        <w:t>ed</w:t>
      </w:r>
      <w:r w:rsidR="00591952">
        <w:t xml:space="preserve"> that the Commission designate their neighborhood as a decarbonization zone.  Most members </w:t>
      </w:r>
      <w:r w:rsidR="000D1A8D">
        <w:t xml:space="preserve">of the public </w:t>
      </w:r>
      <w:r w:rsidR="00591952">
        <w:t>who express</w:t>
      </w:r>
      <w:r w:rsidR="000D1A8D">
        <w:t>ed</w:t>
      </w:r>
      <w:r w:rsidR="00591952">
        <w:t xml:space="preserve"> their support provided zip codes in San Diego County, followed by Alameda County.</w:t>
      </w:r>
    </w:p>
    <w:p w:rsidR="00F25645" w:rsidP="00603238" w:rsidRDefault="000D23F2" w14:paraId="740FC9DD" w14:textId="3E793011">
      <w:pPr>
        <w:pStyle w:val="Standard"/>
      </w:pPr>
      <w:r>
        <w:t xml:space="preserve">There were 135 public comments </w:t>
      </w:r>
      <w:r w:rsidR="00800714">
        <w:t>opposing</w:t>
      </w:r>
      <w:r>
        <w:t xml:space="preserve"> </w:t>
      </w:r>
      <w:r w:rsidR="00800714">
        <w:t>the implementation of SB 1221</w:t>
      </w:r>
      <w:r>
        <w:t>.</w:t>
      </w:r>
      <w:r w:rsidR="00800714">
        <w:t xml:space="preserve">  The primary reason members of the public cite</w:t>
      </w:r>
      <w:r w:rsidR="00044BC8">
        <w:t>d</w:t>
      </w:r>
      <w:r w:rsidR="00800714">
        <w:t xml:space="preserve"> for their opposition </w:t>
      </w:r>
      <w:r w:rsidR="00F10CE1">
        <w:t>is</w:t>
      </w:r>
      <w:r w:rsidR="00800714">
        <w:t xml:space="preserve"> reliability, followed by impacts on ratepayers and the cost of new appliances.  Many </w:t>
      </w:r>
      <w:r w:rsidR="00800714">
        <w:lastRenderedPageBreak/>
        <w:t>commenters also express</w:t>
      </w:r>
      <w:r w:rsidR="00044BC8">
        <w:t>ed</w:t>
      </w:r>
      <w:r w:rsidR="00800714">
        <w:t xml:space="preserve"> their support for consumer choice, their preference for gas energy sources, and opposition to government regulation.  Most members of the public who express</w:t>
      </w:r>
      <w:r w:rsidR="000D1A8D">
        <w:t>ed</w:t>
      </w:r>
      <w:r w:rsidR="00800714">
        <w:t xml:space="preserve"> </w:t>
      </w:r>
      <w:r w:rsidR="000D1A8D">
        <w:t xml:space="preserve">their </w:t>
      </w:r>
      <w:r w:rsidR="00800714">
        <w:t xml:space="preserve">opposition provided zip codes in Los Angeles, Riverside, Orange, and San Bernardino </w:t>
      </w:r>
      <w:r w:rsidR="002650F9">
        <w:t>c</w:t>
      </w:r>
      <w:r w:rsidR="00800714">
        <w:t>ounties.</w:t>
      </w:r>
    </w:p>
    <w:p w:rsidR="00300851" w:rsidP="00603238" w:rsidRDefault="00F25645" w14:paraId="3896EE7E" w14:textId="77777777">
      <w:pPr>
        <w:pStyle w:val="Standard"/>
      </w:pPr>
      <w:r>
        <w:t>The remaining eight public comments were neutral</w:t>
      </w:r>
      <w:r w:rsidR="003A7814">
        <w:t>,</w:t>
      </w:r>
      <w:r>
        <w:t xml:space="preserve"> or the commenter’s position was unclear.</w:t>
      </w:r>
    </w:p>
    <w:p w:rsidR="00856428" w:rsidP="00240755" w:rsidRDefault="00300851" w14:paraId="7095B340" w14:textId="0AA88E24">
      <w:pPr>
        <w:pStyle w:val="Standard"/>
      </w:pPr>
      <w:r>
        <w:t>While we recognize the comments we received, we also acknowledge that we have not heard from many California communities</w:t>
      </w:r>
      <w:r w:rsidR="00E11422">
        <w:t>.</w:t>
      </w:r>
      <w:r w:rsidR="00F522CF">
        <w:t xml:space="preserve">  </w:t>
      </w:r>
      <w:r w:rsidR="00DF351F">
        <w:t xml:space="preserve">In Section 3.3.1 below, we order </w:t>
      </w:r>
      <w:r w:rsidR="000C66D2">
        <w:t xml:space="preserve">each </w:t>
      </w:r>
      <w:r w:rsidR="00DF351F">
        <w:t xml:space="preserve">Gas Corporation to </w:t>
      </w:r>
      <w:r w:rsidR="00464C13">
        <w:t xml:space="preserve">provide </w:t>
      </w:r>
      <w:r w:rsidR="000C66D2">
        <w:t xml:space="preserve">specified </w:t>
      </w:r>
      <w:r w:rsidR="00464C13">
        <w:t>information to</w:t>
      </w:r>
      <w:r w:rsidR="00E11422">
        <w:t xml:space="preserve"> </w:t>
      </w:r>
      <w:r w:rsidR="00D95520">
        <w:t xml:space="preserve">tribal representatives, </w:t>
      </w:r>
      <w:r w:rsidR="00FA7004">
        <w:t xml:space="preserve">community </w:t>
      </w:r>
      <w:r w:rsidR="004E55B2">
        <w:t>organizations</w:t>
      </w:r>
      <w:r w:rsidR="00D95520">
        <w:t>, local governments, and representatives from LSEs</w:t>
      </w:r>
      <w:r w:rsidR="00FA7004">
        <w:t xml:space="preserve"> in diverse locations</w:t>
      </w:r>
      <w:r w:rsidR="00E11422">
        <w:t xml:space="preserve">, </w:t>
      </w:r>
      <w:r w:rsidR="00FA7004">
        <w:t>solicit feedback on local equity considerations</w:t>
      </w:r>
      <w:r w:rsidR="00E11422">
        <w:t>,</w:t>
      </w:r>
      <w:r w:rsidR="005C72A9">
        <w:t xml:space="preserve"> and </w:t>
      </w:r>
      <w:r w:rsidR="00DF351F">
        <w:t xml:space="preserve">hold </w:t>
      </w:r>
      <w:r w:rsidR="00E11422">
        <w:t xml:space="preserve">one </w:t>
      </w:r>
      <w:r w:rsidR="006F50A2">
        <w:t xml:space="preserve">virtual </w:t>
      </w:r>
      <w:r w:rsidR="00DF351F">
        <w:t>SB 1221</w:t>
      </w:r>
      <w:r w:rsidR="005C72A9">
        <w:t xml:space="preserve"> </w:t>
      </w:r>
      <w:r w:rsidR="00DF351F">
        <w:t xml:space="preserve">information session </w:t>
      </w:r>
      <w:r w:rsidR="00E11422">
        <w:t xml:space="preserve">before </w:t>
      </w:r>
      <w:r w:rsidR="00FA7004">
        <w:t>March 15</w:t>
      </w:r>
      <w:r w:rsidR="00E11422">
        <w:t xml:space="preserve">, 2026.  Our intent with this direction is </w:t>
      </w:r>
      <w:r w:rsidR="00240755">
        <w:t xml:space="preserve">to </w:t>
      </w:r>
      <w:r w:rsidR="00BB6CD7">
        <w:t xml:space="preserve">hear from more members of the public and </w:t>
      </w:r>
      <w:r w:rsidR="00240755">
        <w:t xml:space="preserve">raise awareness </w:t>
      </w:r>
      <w:r w:rsidR="00FA7004">
        <w:t xml:space="preserve">of SB 1221’s decarbonization opportunities </w:t>
      </w:r>
      <w:r w:rsidR="00240755">
        <w:t>in a broader range of geographic locations</w:t>
      </w:r>
      <w:r w:rsidR="00BB6CD7">
        <w:t xml:space="preserve"> and California communities</w:t>
      </w:r>
      <w:r w:rsidR="00240755">
        <w:t xml:space="preserve">.  </w:t>
      </w:r>
    </w:p>
    <w:p w:rsidR="005425AB" w:rsidP="005425AB" w:rsidRDefault="005425AB" w14:paraId="73FD9D26" w14:textId="19A9C337">
      <w:pPr>
        <w:pStyle w:val="Heading2"/>
      </w:pPr>
      <w:bookmarkStart w:name="_Toc216699684" w:id="36"/>
      <w:r>
        <w:t>D</w:t>
      </w:r>
      <w:r w:rsidR="000632C1">
        <w:t>esignation of Initial Decarbonization Zones</w:t>
      </w:r>
      <w:bookmarkEnd w:id="36"/>
    </w:p>
    <w:p w:rsidRPr="00F31C5B" w:rsidR="00F31C5B" w:rsidP="00F31C5B" w:rsidRDefault="00F31C5B" w14:paraId="0B382058" w14:textId="7CDF8764">
      <w:pPr>
        <w:pStyle w:val="Standard"/>
      </w:pPr>
      <w:r>
        <w:t xml:space="preserve">With the commitment, methodology, and considerations described below, we designate initial priority neighborhood decarbonization zones, as required by Section 662(a).  A table listing the census tracts that comprise the initial priority neighborhood decarbonization zones is included as Appendix </w:t>
      </w:r>
      <w:r w:rsidR="004C7E23">
        <w:t>A</w:t>
      </w:r>
      <w:r>
        <w:t>.</w:t>
      </w:r>
      <w:r w:rsidR="003D0839">
        <w:t xml:space="preserve">  A map depicting the locations of the initial priority neighborhood decarbonization zones is included with this decision as Appendix B.  </w:t>
      </w:r>
      <w:r>
        <w:t xml:space="preserve">  </w:t>
      </w:r>
    </w:p>
    <w:p w:rsidR="005175B4" w:rsidP="005175B4" w:rsidRDefault="005175B4" w14:paraId="66E196EF" w14:textId="2AB9C7B5">
      <w:pPr>
        <w:pStyle w:val="Heading3"/>
      </w:pPr>
      <w:bookmarkStart w:name="_Toc216699685" w:id="37"/>
      <w:r>
        <w:t xml:space="preserve">Commitment to Updating </w:t>
      </w:r>
      <w:r w:rsidR="000D1A8D">
        <w:t xml:space="preserve">Initial </w:t>
      </w:r>
      <w:r>
        <w:t>Decarbonization Zones</w:t>
      </w:r>
      <w:bookmarkEnd w:id="37"/>
    </w:p>
    <w:p w:rsidR="009F39F6" w:rsidP="00BA7D0D" w:rsidRDefault="00560115" w14:paraId="233D572A" w14:textId="4333CD2A">
      <w:pPr>
        <w:pStyle w:val="Standard"/>
      </w:pPr>
      <w:r>
        <w:t>Many</w:t>
      </w:r>
      <w:r w:rsidR="003340CF">
        <w:t xml:space="preserve"> parties recognize </w:t>
      </w:r>
      <w:r w:rsidR="0071353D">
        <w:t>that the Commission may need to update the decarbonization zones, as permitted by Section 662(d)</w:t>
      </w:r>
      <w:r w:rsidR="003340CF">
        <w:t>.</w:t>
      </w:r>
      <w:r w:rsidR="00BA7D0D">
        <w:t xml:space="preserve">  </w:t>
      </w:r>
      <w:r w:rsidR="003340CF">
        <w:t>PG&amp;E</w:t>
      </w:r>
      <w:r w:rsidR="007E14F8">
        <w:t xml:space="preserve">, </w:t>
      </w:r>
      <w:r w:rsidR="00C83339">
        <w:t xml:space="preserve">SCE, </w:t>
      </w:r>
      <w:r w:rsidR="007E14F8">
        <w:t>SoCalGas/SDG&amp;E, and</w:t>
      </w:r>
      <w:r w:rsidR="003340CF">
        <w:t xml:space="preserve"> Southwest Gas characterize the designation of </w:t>
      </w:r>
      <w:r w:rsidR="003340CF">
        <w:lastRenderedPageBreak/>
        <w:t>decarbonization zones at this stage as “premature</w:t>
      </w:r>
      <w:r w:rsidR="007E14F8">
        <w:t>,</w:t>
      </w:r>
      <w:r w:rsidR="003340CF">
        <w:t>”</w:t>
      </w:r>
      <w:r w:rsidR="007E14F8">
        <w:t xml:space="preserve"> given the limited information available </w:t>
      </w:r>
      <w:r w:rsidR="00D72274">
        <w:t>about</w:t>
      </w:r>
      <w:r w:rsidR="007E14F8">
        <w:t xml:space="preserve"> the </w:t>
      </w:r>
      <w:r w:rsidR="00D72274">
        <w:t>P</w:t>
      </w:r>
      <w:r w:rsidR="007E14F8">
        <w:t xml:space="preserve">ilot </w:t>
      </w:r>
      <w:r w:rsidR="00D72274">
        <w:t>P</w:t>
      </w:r>
      <w:r w:rsidR="007E14F8">
        <w:t>rogram.</w:t>
      </w:r>
      <w:r w:rsidR="003340CF">
        <w:rPr>
          <w:rStyle w:val="FootnoteReference"/>
        </w:rPr>
        <w:footnoteReference w:id="102"/>
      </w:r>
      <w:r w:rsidR="00C83339">
        <w:t xml:space="preserve">  The Joint CCAs </w:t>
      </w:r>
      <w:r w:rsidR="006C2149">
        <w:t xml:space="preserve">and San Francisco </w:t>
      </w:r>
      <w:r w:rsidR="00BA7D0D">
        <w:t xml:space="preserve">envision </w:t>
      </w:r>
      <w:r w:rsidR="00D72274">
        <w:t>an updated</w:t>
      </w:r>
      <w:r w:rsidR="00C83339">
        <w:t xml:space="preserve"> designation of decarbonization zones once the pilot </w:t>
      </w:r>
      <w:r w:rsidR="006C2149">
        <w:t>“program structure is more developed</w:t>
      </w:r>
      <w:r w:rsidR="00C83339">
        <w:t>.</w:t>
      </w:r>
      <w:r w:rsidR="006C2149">
        <w:t>”</w:t>
      </w:r>
      <w:r w:rsidR="00C83339">
        <w:rPr>
          <w:rStyle w:val="FootnoteReference"/>
        </w:rPr>
        <w:footnoteReference w:id="103"/>
      </w:r>
      <w:r w:rsidR="006C2149">
        <w:t xml:space="preserve">  </w:t>
      </w:r>
      <w:r w:rsidR="00B15961">
        <w:t>TURN recommends that the Commission develop a process to update the decarbonization zones.</w:t>
      </w:r>
      <w:r w:rsidR="00B15961">
        <w:rPr>
          <w:rStyle w:val="FootnoteReference"/>
        </w:rPr>
        <w:footnoteReference w:id="104"/>
      </w:r>
      <w:r w:rsidR="00B15961">
        <w:t xml:space="preserve">  </w:t>
      </w:r>
      <w:r w:rsidR="0025635C">
        <w:t xml:space="preserve">NRDC/Sierra Club </w:t>
      </w:r>
      <w:r w:rsidR="00D72274">
        <w:t>urges the</w:t>
      </w:r>
      <w:r w:rsidR="0025635C">
        <w:t xml:space="preserve"> Commission</w:t>
      </w:r>
      <w:r w:rsidR="00D72274">
        <w:t xml:space="preserve"> to</w:t>
      </w:r>
      <w:r w:rsidR="0025635C">
        <w:t xml:space="preserve"> “formally commit” to updating the decarbonization zone designations after more data becomes available.</w:t>
      </w:r>
      <w:r w:rsidR="00680E0E">
        <w:rPr>
          <w:rStyle w:val="FootnoteReference"/>
        </w:rPr>
        <w:footnoteReference w:id="105"/>
      </w:r>
    </w:p>
    <w:p w:rsidR="002650F9" w:rsidP="00F4175C" w:rsidRDefault="00560115" w14:paraId="755A7303" w14:textId="238DC55D">
      <w:pPr>
        <w:pStyle w:val="Standard"/>
      </w:pPr>
      <w:r>
        <w:t xml:space="preserve">Many parties also urge </w:t>
      </w:r>
      <w:r w:rsidR="002F6248">
        <w:t>the Commission</w:t>
      </w:r>
      <w:r>
        <w:t xml:space="preserve"> to </w:t>
      </w:r>
      <w:r w:rsidR="00AA263A">
        <w:t>facilitate, form, or establish new means and methods</w:t>
      </w:r>
      <w:r>
        <w:t xml:space="preserve"> to inform our consideration </w:t>
      </w:r>
      <w:r w:rsidR="00AA263A">
        <w:t xml:space="preserve">of designated decarbonization zones.  For example, CCR REN, CMUA, Contra Costa, Elk Grove, Indicated Shippers, the Joint CCAs, </w:t>
      </w:r>
      <w:r w:rsidR="00BF72AE">
        <w:t xml:space="preserve">NRDC/Sierra Club, </w:t>
      </w:r>
      <w:r w:rsidR="00AA263A">
        <w:t>and San Francisco recommend various forms of coordinated outreach and engagement with local governments and community partners.</w:t>
      </w:r>
      <w:r w:rsidR="00143364">
        <w:rPr>
          <w:rStyle w:val="FootnoteReference"/>
        </w:rPr>
        <w:footnoteReference w:id="106"/>
      </w:r>
      <w:r w:rsidR="002650F9">
        <w:t xml:space="preserve">  Members of the public also explicitly requested that we order SDG&amp;E to hold</w:t>
      </w:r>
      <w:r w:rsidRPr="002650F9" w:rsidR="002650F9">
        <w:t xml:space="preserve"> information sessions about </w:t>
      </w:r>
      <w:r w:rsidR="002650F9">
        <w:t>pilot</w:t>
      </w:r>
      <w:r w:rsidRPr="002650F9" w:rsidR="002650F9">
        <w:t xml:space="preserve"> </w:t>
      </w:r>
      <w:r w:rsidR="002650F9">
        <w:t>projects</w:t>
      </w:r>
      <w:r w:rsidRPr="002650F9" w:rsidR="002650F9">
        <w:t xml:space="preserve"> so communities can make decisions about their participation.</w:t>
      </w:r>
      <w:r w:rsidR="00BF72AE">
        <w:rPr>
          <w:rStyle w:val="FootnoteReference"/>
        </w:rPr>
        <w:footnoteReference w:id="107"/>
      </w:r>
    </w:p>
    <w:p w:rsidR="00EF3CC6" w:rsidP="0071353D" w:rsidRDefault="00AA263A" w14:paraId="1745CD68" w14:textId="70FC7C62">
      <w:pPr>
        <w:pStyle w:val="Standard"/>
      </w:pPr>
      <w:r>
        <w:lastRenderedPageBreak/>
        <w:t xml:space="preserve">Given the tight legislative deadline for designating decarbonization zones and the limited information </w:t>
      </w:r>
      <w:r w:rsidR="002F6248">
        <w:t xml:space="preserve">currently </w:t>
      </w:r>
      <w:r>
        <w:t>available, w</w:t>
      </w:r>
      <w:r w:rsidR="009F39F6">
        <w:t xml:space="preserve">e agree that </w:t>
      </w:r>
      <w:r w:rsidR="00D72274">
        <w:t xml:space="preserve">it will be essential to </w:t>
      </w:r>
      <w:r w:rsidR="00393A41">
        <w:t xml:space="preserve">allow for the opportunity to </w:t>
      </w:r>
      <w:r w:rsidR="00D72274">
        <w:t>update the decarbonization zones</w:t>
      </w:r>
      <w:r w:rsidR="009F39F6">
        <w:t xml:space="preserve">.  </w:t>
      </w:r>
      <w:r w:rsidR="00D72274">
        <w:t>We</w:t>
      </w:r>
      <w:r w:rsidR="003A7814">
        <w:t>, therefore,</w:t>
      </w:r>
      <w:r w:rsidR="00BA7D0D">
        <w:t xml:space="preserve"> </w:t>
      </w:r>
      <w:r w:rsidR="009F39F6">
        <w:t xml:space="preserve">adopt NRDC/Sierra Club’s recommendation </w:t>
      </w:r>
      <w:r w:rsidR="00BA7D0D">
        <w:t>to</w:t>
      </w:r>
      <w:r w:rsidR="009F39F6">
        <w:t xml:space="preserve"> formally commit to updating the</w:t>
      </w:r>
      <w:r w:rsidR="00BA7D0D">
        <w:t xml:space="preserve"> </w:t>
      </w:r>
      <w:r w:rsidR="003A7814">
        <w:t>“</w:t>
      </w:r>
      <w:r w:rsidR="00BA7D0D">
        <w:t>initial</w:t>
      </w:r>
      <w:r w:rsidR="003A7814">
        <w:t>”</w:t>
      </w:r>
      <w:r w:rsidR="00BA7D0D">
        <w:t xml:space="preserve"> </w:t>
      </w:r>
      <w:r w:rsidR="00D72274">
        <w:t xml:space="preserve">decarbonization </w:t>
      </w:r>
      <w:r w:rsidR="00BA7D0D">
        <w:t>zones</w:t>
      </w:r>
      <w:r w:rsidR="003A7814">
        <w:t xml:space="preserve"> designated by this decision</w:t>
      </w:r>
      <w:r w:rsidR="002028BD">
        <w:t xml:space="preserve"> by December 31, 2026</w:t>
      </w:r>
      <w:r w:rsidR="00CE3C1B">
        <w:t xml:space="preserve">.  </w:t>
      </w:r>
      <w:r w:rsidR="00C629F9">
        <w:t>Our emphasis for the future update will be on adding and/or refining</w:t>
      </w:r>
      <w:r w:rsidR="000D1A8D">
        <w:t xml:space="preserve"> the designated decarbonization zones.  </w:t>
      </w:r>
    </w:p>
    <w:p w:rsidR="0038786C" w:rsidP="0071353D" w:rsidRDefault="00FE5488" w14:paraId="48C09833" w14:textId="23790943">
      <w:pPr>
        <w:pStyle w:val="Standard"/>
      </w:pPr>
      <w:r w:rsidRPr="003A7814">
        <w:t>For example, w</w:t>
      </w:r>
      <w:r w:rsidRPr="003A7814" w:rsidR="00C629F9">
        <w:t xml:space="preserve">e may </w:t>
      </w:r>
      <w:r w:rsidRPr="003A7814">
        <w:t>add a decarbonization zone whe</w:t>
      </w:r>
      <w:r w:rsidR="00BB0D27">
        <w:t>re</w:t>
      </w:r>
      <w:r w:rsidRPr="003A7814">
        <w:t xml:space="preserve"> a </w:t>
      </w:r>
      <w:r w:rsidR="007E1778">
        <w:t>G</w:t>
      </w:r>
      <w:r w:rsidRPr="003A7814">
        <w:t xml:space="preserve">as </w:t>
      </w:r>
      <w:r w:rsidR="007E1778">
        <w:t>C</w:t>
      </w:r>
      <w:r w:rsidRPr="003A7814">
        <w:t xml:space="preserve">orporation has demonstrated </w:t>
      </w:r>
      <w:r w:rsidR="003A7814">
        <w:t xml:space="preserve">that a specific pilot project </w:t>
      </w:r>
      <w:r w:rsidR="00BB0D27">
        <w:t>will serve</w:t>
      </w:r>
      <w:r w:rsidR="003A7814">
        <w:t xml:space="preserve"> a community with barriers to decarbonization</w:t>
      </w:r>
      <w:r w:rsidR="00BB0D27">
        <w:t xml:space="preserve"> or meet other equity criteria</w:t>
      </w:r>
      <w:r w:rsidR="00EF3CC6">
        <w:t>.  We see merit in PG&amp;E’s recommendation that</w:t>
      </w:r>
      <w:r w:rsidR="0038786C">
        <w:t xml:space="preserve"> a pilot project should serve “a communit</w:t>
      </w:r>
      <w:r w:rsidR="00EF3CC6">
        <w:t>y that meets the intent of the need set out in the statute: that the community has barriers to access to decarbonization without assistance.”</w:t>
      </w:r>
      <w:r w:rsidRPr="003A7814" w:rsidR="000D1A8D">
        <w:rPr>
          <w:rStyle w:val="FootnoteReference"/>
        </w:rPr>
        <w:footnoteReference w:id="108"/>
      </w:r>
      <w:r w:rsidR="0038786C">
        <w:t xml:space="preserve">  </w:t>
      </w:r>
      <w:r w:rsidR="00BB0D27">
        <w:t>In our future update to the decarbonization zones</w:t>
      </w:r>
      <w:r w:rsidR="007E1778">
        <w:t xml:space="preserve">, we will </w:t>
      </w:r>
      <w:r w:rsidR="00BB0D27">
        <w:t>work with parties and the Gas Corporations to consider</w:t>
      </w:r>
      <w:r w:rsidR="007E1778">
        <w:t xml:space="preserve"> </w:t>
      </w:r>
      <w:r w:rsidR="00BB0D27">
        <w:t>ways Gas Corporations may make this showing</w:t>
      </w:r>
      <w:r w:rsidR="0038786C">
        <w:t>.</w:t>
      </w:r>
      <w:r w:rsidRPr="003A7814" w:rsidR="000D1A8D">
        <w:t xml:space="preserve">  </w:t>
      </w:r>
    </w:p>
    <w:p w:rsidR="00464C13" w:rsidP="00BB6CD7" w:rsidRDefault="00FE5488" w14:paraId="7BEC6EB7" w14:textId="3D5DBE90">
      <w:pPr>
        <w:pStyle w:val="Standard"/>
      </w:pPr>
      <w:bookmarkStart w:name="_Hlk216265806" w:id="38"/>
      <w:bookmarkStart w:name="_Hlk216265222" w:id="39"/>
      <w:bookmarkStart w:name="_Hlk213404620" w:id="40"/>
      <w:r w:rsidRPr="003A7814">
        <w:t xml:space="preserve">Additionally, we may add or refine decarbonization zones as more </w:t>
      </w:r>
      <w:r w:rsidRPr="003A7814" w:rsidR="00890A14">
        <w:t xml:space="preserve">local governments </w:t>
      </w:r>
      <w:r w:rsidRPr="003A7814">
        <w:t>and community organizations become</w:t>
      </w:r>
      <w:r w:rsidRPr="003A7814" w:rsidR="00890A14">
        <w:t xml:space="preserve"> aware of SB 1221</w:t>
      </w:r>
      <w:r w:rsidRPr="003A7814">
        <w:t xml:space="preserve"> and participate in future outreach efforts</w:t>
      </w:r>
      <w:r w:rsidRPr="003A7814" w:rsidR="00890A14">
        <w:t>.</w:t>
      </w:r>
      <w:bookmarkStart w:name="_Hlk212453571" w:id="41"/>
      <w:r w:rsidR="0038786C">
        <w:t xml:space="preserve">  </w:t>
      </w:r>
      <w:bookmarkStart w:name="_Hlk213422858" w:id="42"/>
      <w:r w:rsidR="0038786C">
        <w:t xml:space="preserve">To increase awareness, </w:t>
      </w:r>
      <w:r w:rsidR="002650F9">
        <w:t xml:space="preserve">we direct </w:t>
      </w:r>
      <w:r w:rsidR="00C477FC">
        <w:t>each</w:t>
      </w:r>
      <w:r w:rsidR="002650F9">
        <w:t xml:space="preserve"> Gas Corporation to </w:t>
      </w:r>
      <w:r w:rsidR="00FA7004">
        <w:t xml:space="preserve">(1) </w:t>
      </w:r>
      <w:r w:rsidR="00464C13">
        <w:t xml:space="preserve">provide </w:t>
      </w:r>
      <w:r w:rsidR="00A345A2">
        <w:t>the</w:t>
      </w:r>
      <w:r w:rsidR="0016682B">
        <w:t xml:space="preserve"> fact sheet</w:t>
      </w:r>
      <w:r w:rsidR="00464C13">
        <w:t xml:space="preserve"> </w:t>
      </w:r>
      <w:r w:rsidR="00A345A2">
        <w:t xml:space="preserve">from the Commission’s Public Advisor’s Office </w:t>
      </w:r>
      <w:r w:rsidR="00464C13">
        <w:t>to</w:t>
      </w:r>
      <w:r w:rsidR="00FA7004">
        <w:t xml:space="preserve"> </w:t>
      </w:r>
      <w:r w:rsidR="005E03F1">
        <w:t xml:space="preserve">tribal representatives in their service territory and </w:t>
      </w:r>
      <w:r w:rsidR="00FA7004">
        <w:t>communit</w:t>
      </w:r>
      <w:r w:rsidR="004D62BB">
        <w:t xml:space="preserve">y </w:t>
      </w:r>
      <w:r w:rsidR="00492855">
        <w:t>organizations</w:t>
      </w:r>
      <w:r w:rsidR="00FA7004">
        <w:t xml:space="preserve"> in diverse geographic locations</w:t>
      </w:r>
      <w:r w:rsidR="004D62BB">
        <w:t xml:space="preserve"> throughout their service territor</w:t>
      </w:r>
      <w:r w:rsidR="005E03F1">
        <w:t>y</w:t>
      </w:r>
      <w:r w:rsidR="00FA7004">
        <w:t xml:space="preserve">, including </w:t>
      </w:r>
      <w:r w:rsidR="004D62BB">
        <w:t>those</w:t>
      </w:r>
      <w:r w:rsidR="00FA7004">
        <w:t xml:space="preserve"> </w:t>
      </w:r>
      <w:r w:rsidR="004D62BB">
        <w:t>that represent or work with</w:t>
      </w:r>
      <w:r w:rsidR="00FA7004">
        <w:t xml:space="preserve"> disadvantaged, low-income, </w:t>
      </w:r>
      <w:r w:rsidR="00D73D76">
        <w:t>and/</w:t>
      </w:r>
      <w:r w:rsidR="00FA7004">
        <w:t>or environmental and social justice communities</w:t>
      </w:r>
      <w:r w:rsidR="002D6051">
        <w:t xml:space="preserve"> (</w:t>
      </w:r>
      <w:r w:rsidRPr="002D6051" w:rsidR="002D6051">
        <w:rPr>
          <w:i/>
          <w:iCs/>
        </w:rPr>
        <w:t>e.g.,</w:t>
      </w:r>
      <w:r w:rsidR="004D62BB">
        <w:t xml:space="preserve"> the American Lung </w:t>
      </w:r>
      <w:r w:rsidR="004D62BB">
        <w:lastRenderedPageBreak/>
        <w:t>Association</w:t>
      </w:r>
      <w:r w:rsidR="002D6051">
        <w:t>;</w:t>
      </w:r>
      <w:r w:rsidR="004D62BB">
        <w:t xml:space="preserve"> Breathe California</w:t>
      </w:r>
      <w:r w:rsidR="002D6051">
        <w:t>;</w:t>
      </w:r>
      <w:r w:rsidR="004D62BB">
        <w:t xml:space="preserve"> </w:t>
      </w:r>
      <w:r w:rsidR="000C66D2">
        <w:t xml:space="preserve">the Building, Energy, Equity and Power (BEEP) Coalition; </w:t>
      </w:r>
      <w:r w:rsidR="004D62BB">
        <w:t>local groups such as CARES (Comprehensive Asthma Remediation and Education Services, serving the Central Valley)</w:t>
      </w:r>
      <w:r w:rsidR="002D6051">
        <w:t xml:space="preserve">; </w:t>
      </w:r>
      <w:r w:rsidR="000C66D2">
        <w:t>OC Goes Solar; i</w:t>
      </w:r>
      <w:r w:rsidR="002D6051">
        <w:t xml:space="preserve">ndependent </w:t>
      </w:r>
      <w:r w:rsidR="000C66D2">
        <w:t>l</w:t>
      </w:r>
      <w:r w:rsidR="002D6051">
        <w:t xml:space="preserve">iving </w:t>
      </w:r>
      <w:r w:rsidR="000C66D2">
        <w:t>c</w:t>
      </w:r>
      <w:r w:rsidR="002D6051">
        <w:t>enters; disability-oriented community organizations)</w:t>
      </w:r>
      <w:r w:rsidR="000C66D2">
        <w:t>; and all organizations listed in Appendix A for tracts in the Gas Corporation’s service territory</w:t>
      </w:r>
      <w:r w:rsidR="00FA7004">
        <w:t>;</w:t>
      </w:r>
      <w:r w:rsidR="002D6051">
        <w:t xml:space="preserve"> (2) provide the fact sheet from the Commission’s Public Advisor’s Office to</w:t>
      </w:r>
      <w:r w:rsidR="005E03F1">
        <w:t xml:space="preserve"> </w:t>
      </w:r>
      <w:r w:rsidR="002D6051">
        <w:t>Load Serving Entity (LSE) representative</w:t>
      </w:r>
      <w:r w:rsidR="00415457">
        <w:t>s</w:t>
      </w:r>
      <w:r w:rsidR="002D6051">
        <w:t xml:space="preserve"> within their service territory;</w:t>
      </w:r>
      <w:r w:rsidR="00FA7004">
        <w:t xml:space="preserve"> (</w:t>
      </w:r>
      <w:r w:rsidR="002D6051">
        <w:t>3</w:t>
      </w:r>
      <w:r w:rsidR="00FA7004">
        <w:t xml:space="preserve">) </w:t>
      </w:r>
      <w:r w:rsidR="002D6051">
        <w:t xml:space="preserve">provide the fact sheet from the Commission’s Public Advisor’s Office to a </w:t>
      </w:r>
      <w:r w:rsidR="00B65750">
        <w:t>Director of Planning, Community Development, Housing, or similar department in each city and county of their service territory</w:t>
      </w:r>
      <w:r w:rsidR="005816AE">
        <w:t xml:space="preserve"> where they have identified a foreseeable pipeline replacement project</w:t>
      </w:r>
      <w:r w:rsidR="00B65750">
        <w:t xml:space="preserve">; </w:t>
      </w:r>
      <w:r w:rsidR="00FA7004">
        <w:t>(</w:t>
      </w:r>
      <w:r w:rsidR="002D6051">
        <w:t>4</w:t>
      </w:r>
      <w:r w:rsidR="00FA7004">
        <w:t>) host</w:t>
      </w:r>
      <w:r w:rsidR="002650F9">
        <w:t xml:space="preserve"> </w:t>
      </w:r>
      <w:r w:rsidR="00A345A2">
        <w:t xml:space="preserve">and record </w:t>
      </w:r>
      <w:r w:rsidR="00FA7004">
        <w:t>one</w:t>
      </w:r>
      <w:r w:rsidR="002650F9">
        <w:t xml:space="preserve"> </w:t>
      </w:r>
      <w:r w:rsidR="00A345A2">
        <w:t xml:space="preserve">virtual </w:t>
      </w:r>
      <w:r w:rsidR="00A1664D">
        <w:t xml:space="preserve">SB 1221 </w:t>
      </w:r>
      <w:r w:rsidR="002650F9">
        <w:t xml:space="preserve">information session for government representatives, community organizations, and members of the public in </w:t>
      </w:r>
      <w:r w:rsidR="005E03F1">
        <w:t>their service territory</w:t>
      </w:r>
      <w:r w:rsidR="002650F9">
        <w:t xml:space="preserve"> between January 1</w:t>
      </w:r>
      <w:r w:rsidR="000B3AEB">
        <w:t>5</w:t>
      </w:r>
      <w:r w:rsidR="002650F9">
        <w:t xml:space="preserve">, 2026, and </w:t>
      </w:r>
      <w:r w:rsidR="00FA7004">
        <w:t>March 15</w:t>
      </w:r>
      <w:r w:rsidR="002650F9">
        <w:t>, 2026</w:t>
      </w:r>
      <w:r w:rsidR="002D6051">
        <w:t xml:space="preserve">, to </w:t>
      </w:r>
      <w:r w:rsidR="00BE7CCB">
        <w:t xml:space="preserve">hear comments in support </w:t>
      </w:r>
      <w:r w:rsidR="00492855">
        <w:t>of</w:t>
      </w:r>
      <w:r w:rsidR="006F50A2">
        <w:t xml:space="preserve"> or</w:t>
      </w:r>
      <w:r w:rsidR="00BE7CCB">
        <w:t xml:space="preserve"> opposition to</w:t>
      </w:r>
      <w:r w:rsidR="002D6051">
        <w:t xml:space="preserve"> the designation of decarbonization zones </w:t>
      </w:r>
      <w:r w:rsidR="000C66D2">
        <w:t xml:space="preserve">in specific areas </w:t>
      </w:r>
      <w:r w:rsidR="002D6051">
        <w:t xml:space="preserve">and solicit feedback on SB 1221’s diversity and equity considerations, including feedback about local environmental hazards, the ability of homes and small businesses in the community </w:t>
      </w:r>
      <w:r w:rsidR="00415457">
        <w:t xml:space="preserve">to </w:t>
      </w:r>
      <w:r w:rsidR="002D6051">
        <w:t>access</w:t>
      </w:r>
      <w:r w:rsidR="00C90B5F">
        <w:t xml:space="preserve"> </w:t>
      </w:r>
      <w:r w:rsidR="002D6051">
        <w:t xml:space="preserve">cooling </w:t>
      </w:r>
      <w:r w:rsidR="00BE7CCB">
        <w:t>and/</w:t>
      </w:r>
      <w:r w:rsidR="002D6051">
        <w:t xml:space="preserve">or heating, </w:t>
      </w:r>
      <w:r w:rsidR="000C66D2">
        <w:t xml:space="preserve">health considerations, </w:t>
      </w:r>
      <w:r w:rsidR="002D6051">
        <w:t>and community barriers to decarbonization</w:t>
      </w:r>
      <w:r w:rsidR="00BE7CCB">
        <w:t xml:space="preserve">; (5) make </w:t>
      </w:r>
      <w:r w:rsidR="00D95520">
        <w:t>interpretation</w:t>
      </w:r>
      <w:r w:rsidR="00BE7CCB">
        <w:t xml:space="preserve"> services available at the information session</w:t>
      </w:r>
      <w:r w:rsidR="00D95520">
        <w:t xml:space="preserve"> if the Gas Corporation receives a request for interpretation at least five business days before the session</w:t>
      </w:r>
      <w:r w:rsidR="005E03F1">
        <w:t xml:space="preserve">; and (6) post the link to </w:t>
      </w:r>
      <w:r w:rsidR="00492855">
        <w:t xml:space="preserve">a recording of </w:t>
      </w:r>
      <w:r w:rsidR="005E03F1">
        <w:t xml:space="preserve">the </w:t>
      </w:r>
      <w:r w:rsidR="00492855">
        <w:t xml:space="preserve">virtual </w:t>
      </w:r>
      <w:r w:rsidR="005E03F1">
        <w:t>information session on their SB 1221 website</w:t>
      </w:r>
      <w:r w:rsidR="00415457">
        <w:t xml:space="preserve"> within five days after the virtual information session</w:t>
      </w:r>
      <w:r w:rsidR="002650F9">
        <w:t>.</w:t>
      </w:r>
      <w:r w:rsidR="00464C13">
        <w:t xml:space="preserve">  </w:t>
      </w:r>
      <w:r w:rsidR="002650F9">
        <w:t xml:space="preserve">  </w:t>
      </w:r>
    </w:p>
    <w:bookmarkEnd w:id="38"/>
    <w:p w:rsidR="00464C13" w:rsidP="00BB6CD7" w:rsidRDefault="0016682B" w14:paraId="5D0B4B4D" w14:textId="335D442B">
      <w:pPr>
        <w:pStyle w:val="Standard"/>
      </w:pPr>
      <w:r>
        <w:t>When conducting outreach to community partners and a</w:t>
      </w:r>
      <w:r w:rsidR="00A8075A">
        <w:t xml:space="preserve">t the </w:t>
      </w:r>
      <w:r w:rsidR="00A1664D">
        <w:t xml:space="preserve">SB 1221 </w:t>
      </w:r>
      <w:r w:rsidR="00A8075A">
        <w:t>information session</w:t>
      </w:r>
      <w:r>
        <w:t>(</w:t>
      </w:r>
      <w:r w:rsidR="00A8075A">
        <w:t>s</w:t>
      </w:r>
      <w:r>
        <w:t>)</w:t>
      </w:r>
      <w:r w:rsidR="00A8075A">
        <w:t xml:space="preserve">, </w:t>
      </w:r>
      <w:r w:rsidR="0078420E">
        <w:t>each</w:t>
      </w:r>
      <w:r w:rsidR="00A8075A">
        <w:t xml:space="preserve"> Gas Corporation shall </w:t>
      </w:r>
      <w:r>
        <w:t>use</w:t>
      </w:r>
      <w:r w:rsidR="0035154F">
        <w:t xml:space="preserve"> </w:t>
      </w:r>
      <w:r w:rsidR="00A345A2">
        <w:t>the</w:t>
      </w:r>
      <w:r w:rsidR="0035154F">
        <w:t xml:space="preserve"> fact sheet provided by the Commission’s Public Advisor’s Office and designate a point person for </w:t>
      </w:r>
      <w:r w:rsidR="0035154F">
        <w:lastRenderedPageBreak/>
        <w:t xml:space="preserve">supportive government representatives and community organizations to contact.  </w:t>
      </w:r>
      <w:r w:rsidR="00464C13">
        <w:t xml:space="preserve">At the SB 1221 information session(s), </w:t>
      </w:r>
      <w:r w:rsidR="0078420E">
        <w:t>each</w:t>
      </w:r>
      <w:r w:rsidR="0035154F">
        <w:t xml:space="preserve"> Gas Corporation shall </w:t>
      </w:r>
      <w:r w:rsidR="00464C13">
        <w:t xml:space="preserve">also </w:t>
      </w:r>
      <w:r w:rsidR="0035154F">
        <w:t xml:space="preserve">provide </w:t>
      </w:r>
      <w:r w:rsidR="00A345A2">
        <w:t>attendees with a l</w:t>
      </w:r>
      <w:r w:rsidR="00B65750">
        <w:t>i</w:t>
      </w:r>
      <w:r w:rsidR="00A345A2">
        <w:t xml:space="preserve">nk to the “Public Comment” tab of the R.24-09-012 online </w:t>
      </w:r>
      <w:r w:rsidR="005E03F1">
        <w:t>D</w:t>
      </w:r>
      <w:r w:rsidR="00A345A2">
        <w:t>ocket</w:t>
      </w:r>
      <w:r w:rsidR="005E03F1">
        <w:t xml:space="preserve"> Card</w:t>
      </w:r>
      <w:r w:rsidR="00464C13">
        <w:t>.</w:t>
      </w:r>
      <w:r w:rsidR="0035154F">
        <w:t xml:space="preserve"> </w:t>
      </w:r>
      <w:r w:rsidR="00BB6CD7">
        <w:t xml:space="preserve">To notice the information session, </w:t>
      </w:r>
      <w:r w:rsidR="0078420E">
        <w:t>each</w:t>
      </w:r>
      <w:r w:rsidR="00BB6CD7">
        <w:t xml:space="preserve"> Gas Corporation shall comply with the requirements described in this decision’s Ordering Paragraphs.</w:t>
      </w:r>
      <w:r w:rsidR="00415457">
        <w:t xml:space="preserve">  We encourage Gas Corporations to run the virtual information session similarly to the PPH</w:t>
      </w:r>
      <w:r w:rsidR="000B3AEB">
        <w:t>s</w:t>
      </w:r>
      <w:r w:rsidR="00415457">
        <w:t xml:space="preserve"> that occurred on August 7, 2025, with a brief introduction and opportunities for public comment.</w:t>
      </w:r>
    </w:p>
    <w:p w:rsidR="00BB6CD7" w:rsidP="00BB6CD7" w:rsidRDefault="0035154F" w14:paraId="4D844289" w14:textId="2516BF16">
      <w:pPr>
        <w:pStyle w:val="Standard"/>
      </w:pPr>
      <w:bookmarkStart w:name="_Hlk216265983" w:id="43"/>
      <w:bookmarkEnd w:id="39"/>
      <w:r>
        <w:t xml:space="preserve"> </w:t>
      </w:r>
      <w:r w:rsidR="00320038">
        <w:t xml:space="preserve">Through these directions, we intend to </w:t>
      </w:r>
      <w:r w:rsidR="00EB5067">
        <w:t>hear from more members of the public</w:t>
      </w:r>
      <w:r w:rsidR="00320038">
        <w:t>,</w:t>
      </w:r>
      <w:r w:rsidR="00EB5067">
        <w:t xml:space="preserve"> raise awareness of SB 1221’s decarbonization opportunities in a broader range of geographic locations and California communities</w:t>
      </w:r>
      <w:r w:rsidR="00320038">
        <w:t xml:space="preserve">, and inform our future decarbonization zone update.  </w:t>
      </w:r>
      <w:bookmarkStart w:name="_Hlk216333766" w:id="44"/>
      <w:r w:rsidR="00F61B49">
        <w:t>To inform a future update</w:t>
      </w:r>
      <w:r w:rsidR="0016682B">
        <w:t xml:space="preserve">, </w:t>
      </w:r>
      <w:r w:rsidR="0078420E">
        <w:t>each</w:t>
      </w:r>
      <w:r w:rsidR="00464C13">
        <w:t xml:space="preserve"> Gas Corporation shall file a Report in the docket of this Rulemaking </w:t>
      </w:r>
      <w:r w:rsidR="0016682B">
        <w:t xml:space="preserve">by April 1, 2026 </w:t>
      </w:r>
      <w:r w:rsidR="00464C13">
        <w:t xml:space="preserve">that details (1) which </w:t>
      </w:r>
      <w:r w:rsidR="005E03F1">
        <w:t>tribal representatives</w:t>
      </w:r>
      <w:r w:rsidR="00492855">
        <w:t>, LSE representatives,</w:t>
      </w:r>
      <w:r w:rsidR="005E03F1">
        <w:t xml:space="preserve"> and </w:t>
      </w:r>
      <w:r w:rsidR="00464C13">
        <w:t xml:space="preserve">community </w:t>
      </w:r>
      <w:r w:rsidR="00492855">
        <w:t>organizations</w:t>
      </w:r>
      <w:r w:rsidR="00464C13">
        <w:t xml:space="preserve"> </w:t>
      </w:r>
      <w:r w:rsidR="0016682B">
        <w:t>received</w:t>
      </w:r>
      <w:r w:rsidR="00464C13">
        <w:t xml:space="preserve"> </w:t>
      </w:r>
      <w:r w:rsidR="0016682B">
        <w:t xml:space="preserve">the fact sheet; </w:t>
      </w:r>
      <w:r w:rsidR="00A345A2">
        <w:t>(2) an attestation that</w:t>
      </w:r>
      <w:r w:rsidR="004D62BB">
        <w:t xml:space="preserve"> the fact sheet was provided to </w:t>
      </w:r>
      <w:r w:rsidR="00415457">
        <w:t>a</w:t>
      </w:r>
      <w:r w:rsidR="00A345A2">
        <w:t xml:space="preserve"> Director of Planning, Community Development, Housing, or similar department in every city and county </w:t>
      </w:r>
      <w:r w:rsidR="004D62BB">
        <w:t>in their service territory</w:t>
      </w:r>
      <w:r w:rsidR="00BF712B">
        <w:t xml:space="preserve"> where the Gas Corporation identified a foreseeable pipeline replacement project</w:t>
      </w:r>
      <w:r w:rsidR="004D62BB">
        <w:t>;</w:t>
      </w:r>
      <w:r w:rsidR="00A345A2">
        <w:t xml:space="preserve"> </w:t>
      </w:r>
      <w:r w:rsidR="0016682B">
        <w:t>(</w:t>
      </w:r>
      <w:r w:rsidR="004D62BB">
        <w:t>3</w:t>
      </w:r>
      <w:r w:rsidR="0016682B">
        <w:t xml:space="preserve">) any and all community </w:t>
      </w:r>
      <w:r w:rsidR="000C66D2">
        <w:t>organizations</w:t>
      </w:r>
      <w:r w:rsidR="0016682B">
        <w:t xml:space="preserve"> and local governments that expressed interest in </w:t>
      </w:r>
      <w:r w:rsidR="00A345A2">
        <w:t xml:space="preserve">or opposition to </w:t>
      </w:r>
      <w:r w:rsidR="0016682B">
        <w:t>participating in SB 1221’s decarbonization opportunities; (</w:t>
      </w:r>
      <w:r w:rsidR="005E03F1">
        <w:t>4</w:t>
      </w:r>
      <w:r w:rsidR="0016682B">
        <w:t>) any and all feedback the Gas Corporations received regarding SB 1221’s diversity and equity considerations; (</w:t>
      </w:r>
      <w:r w:rsidR="005E03F1">
        <w:t>5</w:t>
      </w:r>
      <w:r w:rsidR="0016682B">
        <w:t xml:space="preserve">) the date, time, and </w:t>
      </w:r>
      <w:r w:rsidR="004D62BB">
        <w:t xml:space="preserve">link to </w:t>
      </w:r>
      <w:r w:rsidR="00492855">
        <w:t xml:space="preserve">a recording of </w:t>
      </w:r>
      <w:r w:rsidR="004D62BB">
        <w:t>the virtual</w:t>
      </w:r>
      <w:r w:rsidR="0016682B">
        <w:t xml:space="preserve"> information session; (</w:t>
      </w:r>
      <w:r w:rsidR="005E03F1">
        <w:t>6</w:t>
      </w:r>
      <w:r w:rsidR="0016682B">
        <w:t>) documentation that the information session w</w:t>
      </w:r>
      <w:r w:rsidR="004D62BB">
        <w:t>as</w:t>
      </w:r>
      <w:r w:rsidR="0016682B">
        <w:t xml:space="preserve"> properly noticed; (</w:t>
      </w:r>
      <w:r w:rsidR="005E03F1">
        <w:t>7</w:t>
      </w:r>
      <w:r w:rsidR="0016682B">
        <w:t>) the Gas Corporation’s proposal for continuing community outreach efforts beyond April 1, 2026</w:t>
      </w:r>
      <w:r w:rsidR="004D62BB">
        <w:t>; and (</w:t>
      </w:r>
      <w:r w:rsidR="005E03F1">
        <w:t>8</w:t>
      </w:r>
      <w:r w:rsidR="004D62BB">
        <w:t xml:space="preserve">) the Gas Corporation’s </w:t>
      </w:r>
      <w:r w:rsidR="004D62BB">
        <w:lastRenderedPageBreak/>
        <w:t>recommendation for census tracts to be included in the decarbonization zone update</w:t>
      </w:r>
      <w:r w:rsidR="0016682B">
        <w:t xml:space="preserve">. </w:t>
      </w:r>
      <w:r w:rsidR="00464C13">
        <w:t xml:space="preserve"> </w:t>
      </w:r>
      <w:bookmarkEnd w:id="44"/>
    </w:p>
    <w:bookmarkEnd w:id="40"/>
    <w:bookmarkEnd w:id="42"/>
    <w:bookmarkEnd w:id="43"/>
    <w:p w:rsidR="003A7814" w:rsidP="0035154F" w:rsidRDefault="00DF351F" w14:paraId="548DE277" w14:textId="2147D5B2">
      <w:pPr>
        <w:pStyle w:val="Standard"/>
      </w:pPr>
      <w:r>
        <w:t xml:space="preserve">We also encourage local governments, community organizations, and members of the public to continue commenting </w:t>
      </w:r>
      <w:r w:rsidR="007F6B30">
        <w:t>through</w:t>
      </w:r>
      <w:r w:rsidRPr="00950339">
        <w:t xml:space="preserve"> the “Public Comment” tab </w:t>
      </w:r>
      <w:r w:rsidR="007F6B30">
        <w:t>on the online Docket Card to express support or opposition to pilot projects</w:t>
      </w:r>
      <w:r w:rsidR="004D456E">
        <w:t xml:space="preserve"> in their communities</w:t>
      </w:r>
      <w:r w:rsidR="007F6B30">
        <w:t>, and to inform us of potential challenges and opportunities</w:t>
      </w:r>
      <w:r>
        <w:t>.</w:t>
      </w:r>
      <w:r w:rsidR="00B65750">
        <w:t xml:space="preserve">  Local governments and community organizations requesting the designation of </w:t>
      </w:r>
      <w:r w:rsidR="00E54270">
        <w:t xml:space="preserve">an </w:t>
      </w:r>
      <w:r w:rsidR="00B65750">
        <w:t>additional decarbonization zone</w:t>
      </w:r>
      <w:r w:rsidR="00E54270">
        <w:t>(s)</w:t>
      </w:r>
      <w:r w:rsidR="00B65750">
        <w:t xml:space="preserve"> should specify the census tract</w:t>
      </w:r>
      <w:r w:rsidR="00E54270">
        <w:t>(s) using 11-digit tract numbers</w:t>
      </w:r>
      <w:r w:rsidR="00B65750">
        <w:t>.</w:t>
      </w:r>
      <w:r>
        <w:t xml:space="preserve">  </w:t>
      </w:r>
      <w:r w:rsidR="007F6B30">
        <w:t xml:space="preserve">We will consider </w:t>
      </w:r>
      <w:r w:rsidR="00F61B49">
        <w:t>public</w:t>
      </w:r>
      <w:r w:rsidR="007F6B30">
        <w:t xml:space="preserve"> comments, as well as party comments on future SB 1221-related rulings, as we gather more information </w:t>
      </w:r>
      <w:r w:rsidR="00E54270">
        <w:t>for</w:t>
      </w:r>
      <w:r w:rsidR="007F6B30">
        <w:t xml:space="preserve"> the </w:t>
      </w:r>
      <w:r w:rsidR="0078420E">
        <w:t>P</w:t>
      </w:r>
      <w:r w:rsidR="007F6B30">
        <w:t xml:space="preserve">ilot </w:t>
      </w:r>
      <w:r w:rsidR="0078420E">
        <w:t>P</w:t>
      </w:r>
      <w:r w:rsidR="007F6B30">
        <w:t xml:space="preserve">rogram and work to update the decarbonization zones.  </w:t>
      </w:r>
    </w:p>
    <w:p w:rsidRPr="005175B4" w:rsidR="005175B4" w:rsidP="005175B4" w:rsidRDefault="00CE3C1B" w14:paraId="3355ED23" w14:textId="6C4325CC">
      <w:pPr>
        <w:pStyle w:val="Heading3"/>
      </w:pPr>
      <w:bookmarkStart w:name="_Toc216699686" w:id="45"/>
      <w:bookmarkEnd w:id="41"/>
      <w:r>
        <w:t>Methodology for Designating Initial Decarbonization Zones</w:t>
      </w:r>
      <w:bookmarkEnd w:id="45"/>
    </w:p>
    <w:p w:rsidR="00520E1A" w:rsidP="00B027D9" w:rsidRDefault="00E13825" w14:paraId="48264034" w14:textId="5BDDC70F">
      <w:pPr>
        <w:pStyle w:val="Standard"/>
      </w:pPr>
      <w:r>
        <w:t xml:space="preserve">We </w:t>
      </w:r>
      <w:r w:rsidR="00B027D9">
        <w:t>designate the initial decarbonization zones a</w:t>
      </w:r>
      <w:r w:rsidR="00520E1A">
        <w:t xml:space="preserve">s census tracts that (1) </w:t>
      </w:r>
      <w:r w:rsidR="00D60B23">
        <w:t>have an “[a]vailability of supportive local government and community partners”</w:t>
      </w:r>
      <w:r w:rsidR="0064512C">
        <w:rPr>
          <w:rStyle w:val="FootnoteReference"/>
        </w:rPr>
        <w:footnoteReference w:id="109"/>
      </w:r>
      <w:r w:rsidR="00D60B23">
        <w:t xml:space="preserve"> and (2) include a “[c]oncentration of gas distribution replacement projects</w:t>
      </w:r>
      <w:r w:rsidR="0064512C">
        <w:t>.</w:t>
      </w:r>
      <w:r w:rsidR="00D60B23">
        <w:t>”</w:t>
      </w:r>
      <w:r w:rsidR="0064512C">
        <w:rPr>
          <w:rStyle w:val="FootnoteReference"/>
        </w:rPr>
        <w:footnoteReference w:id="110"/>
      </w:r>
      <w:r w:rsidR="00320038">
        <w:t xml:space="preserve">  </w:t>
      </w:r>
      <w:r w:rsidR="00697385">
        <w:t>Primarily relying on these two considerations is consistent with the recommendation</w:t>
      </w:r>
      <w:r w:rsidR="00B17F8A">
        <w:t xml:space="preserve"> of</w:t>
      </w:r>
      <w:r w:rsidR="00697385">
        <w:t xml:space="preserve"> SCE.</w:t>
      </w:r>
      <w:r w:rsidR="00697385">
        <w:rPr>
          <w:rStyle w:val="FootnoteReference"/>
        </w:rPr>
        <w:footnoteReference w:id="111"/>
      </w:r>
      <w:r w:rsidR="00697385">
        <w:t xml:space="preserve">  </w:t>
      </w:r>
      <w:r w:rsidR="00645FD5">
        <w:t>In counties where 25 or more census tracts have local support and a concentration of replacement projects, we</w:t>
      </w:r>
      <w:r w:rsidR="00320038">
        <w:t xml:space="preserve"> also </w:t>
      </w:r>
      <w:r w:rsidR="008A445C">
        <w:t>rel</w:t>
      </w:r>
      <w:r w:rsidR="00645FD5">
        <w:t>y</w:t>
      </w:r>
      <w:r w:rsidR="008A445C">
        <w:t xml:space="preserve"> on the</w:t>
      </w:r>
      <w:r w:rsidR="00320038">
        <w:t xml:space="preserve"> “[p]resence of environmental and social justice communities</w:t>
      </w:r>
      <w:r w:rsidR="00645FD5">
        <w:t>.</w:t>
      </w:r>
      <w:r w:rsidR="00320038">
        <w:t>”</w:t>
      </w:r>
      <w:r w:rsidR="008A445C">
        <w:rPr>
          <w:rStyle w:val="FootnoteReference"/>
        </w:rPr>
        <w:footnoteReference w:id="112"/>
      </w:r>
      <w:r w:rsidR="008A445C">
        <w:t xml:space="preserve"> </w:t>
      </w:r>
    </w:p>
    <w:p w:rsidR="008A445C" w:rsidP="00685C29" w:rsidRDefault="00520E1A" w14:paraId="644425E7" w14:textId="32B99DED">
      <w:pPr>
        <w:pStyle w:val="Standard"/>
      </w:pPr>
      <w:r>
        <w:lastRenderedPageBreak/>
        <w:t xml:space="preserve">Designating the initial </w:t>
      </w:r>
      <w:r w:rsidR="006810FD">
        <w:t xml:space="preserve">decarbonization </w:t>
      </w:r>
      <w:r>
        <w:t xml:space="preserve">zones at </w:t>
      </w:r>
      <w:r w:rsidR="00B027D9">
        <w:t>the census tract level</w:t>
      </w:r>
      <w:r>
        <w:t xml:space="preserve"> is consistent with</w:t>
      </w:r>
      <w:r w:rsidR="00E13825">
        <w:t xml:space="preserve"> </w:t>
      </w:r>
      <w:r>
        <w:t>the recommendations of SoCalGas/SDG&amp;E, NRDC/Sierra Club, and San Francisco, as well as the information provided by the Gas Corporations and the requests for zone designations from</w:t>
      </w:r>
      <w:r w:rsidR="00C03F58">
        <w:t xml:space="preserve"> local governments and community organizations.  Moreover, </w:t>
      </w:r>
      <w:bookmarkStart w:name="_Hlk212454982" w:id="46"/>
      <w:r w:rsidR="00C03F58">
        <w:t xml:space="preserve">designating </w:t>
      </w:r>
      <w:r w:rsidR="00B027D9">
        <w:t xml:space="preserve">the initial </w:t>
      </w:r>
      <w:r w:rsidR="006810FD">
        <w:t xml:space="preserve">decarbonization </w:t>
      </w:r>
      <w:r w:rsidR="00C03F58">
        <w:t xml:space="preserve">zones at the census tract level </w:t>
      </w:r>
      <w:r w:rsidR="00520A2A">
        <w:t>offers</w:t>
      </w:r>
      <w:r w:rsidR="00C03F58">
        <w:t xml:space="preserve"> </w:t>
      </w:r>
      <w:r w:rsidR="008E3E04">
        <w:t xml:space="preserve">flexibility, as </w:t>
      </w:r>
      <w:r w:rsidR="006810FD">
        <w:t xml:space="preserve">a variety of </w:t>
      </w:r>
      <w:r w:rsidR="00C03F58">
        <w:t>pilot project sizes</w:t>
      </w:r>
      <w:r w:rsidR="006810FD">
        <w:t xml:space="preserve"> may fit within them</w:t>
      </w:r>
      <w:r w:rsidR="00C03F58">
        <w:t>.</w:t>
      </w:r>
    </w:p>
    <w:bookmarkEnd w:id="46"/>
    <w:p w:rsidR="00286703" w:rsidP="00286703" w:rsidRDefault="00917CC9" w14:paraId="2795D32F" w14:textId="77777777">
      <w:pPr>
        <w:pStyle w:val="Standard"/>
      </w:pPr>
      <w:r>
        <w:t>W</w:t>
      </w:r>
      <w:r w:rsidR="00ED314B">
        <w:t xml:space="preserve">e see some merit in </w:t>
      </w:r>
      <w:r w:rsidR="00C66076">
        <w:t>the Gas Corporations’ and parties’</w:t>
      </w:r>
      <w:r w:rsidR="00A43FD7">
        <w:t xml:space="preserve"> recommendations to designat</w:t>
      </w:r>
      <w:r w:rsidR="00B027D9">
        <w:t>e the initial</w:t>
      </w:r>
      <w:r w:rsidR="00A43FD7">
        <w:t xml:space="preserve"> decarbonization zones broadly</w:t>
      </w:r>
      <w:r w:rsidR="002A57B2">
        <w:t xml:space="preserve">, </w:t>
      </w:r>
      <w:r>
        <w:t>so that we have flexibility when we consider pilot pro</w:t>
      </w:r>
      <w:r w:rsidR="00393A41">
        <w:t>ject submissions</w:t>
      </w:r>
      <w:r>
        <w:t xml:space="preserve">.  However, </w:t>
      </w:r>
      <w:r w:rsidR="00ED314B">
        <w:t xml:space="preserve">we are also </w:t>
      </w:r>
      <w:r w:rsidR="00246587">
        <w:t>persuaded by</w:t>
      </w:r>
      <w:r w:rsidR="00ED314B">
        <w:t xml:space="preserve"> the point raised by BayREN</w:t>
      </w:r>
      <w:r w:rsidR="004C0C1F">
        <w:t>/</w:t>
      </w:r>
      <w:r w:rsidR="00ED314B">
        <w:t>3C-REN, Cal Advocates, CforAT, and TURN</w:t>
      </w:r>
      <w:r w:rsidR="00EA724B">
        <w:t xml:space="preserve"> that</w:t>
      </w:r>
      <w:r w:rsidR="002A57B2">
        <w:t xml:space="preserve"> </w:t>
      </w:r>
      <w:r w:rsidR="00EA724B">
        <w:t>overly broad designations</w:t>
      </w:r>
      <w:r w:rsidR="001F696B">
        <w:t xml:space="preserve"> </w:t>
      </w:r>
      <w:r w:rsidR="00BB6CD7">
        <w:t xml:space="preserve">at this stage in the process </w:t>
      </w:r>
      <w:r w:rsidR="00ED314B">
        <w:t>make it difficult for stakeholders and the public to provide meaningful input.</w:t>
      </w:r>
      <w:r w:rsidR="00393A41">
        <w:t xml:space="preserve">  </w:t>
      </w:r>
      <w:r w:rsidR="00EA724B">
        <w:t xml:space="preserve">As such, we </w:t>
      </w:r>
      <w:r w:rsidR="006C6A46">
        <w:t xml:space="preserve">find it reasonable to adopt a methodology for designating the initial decarbonization zones that </w:t>
      </w:r>
      <w:r w:rsidR="00AF20C9">
        <w:t>i</w:t>
      </w:r>
      <w:r w:rsidR="00393A41">
        <w:t xml:space="preserve">s </w:t>
      </w:r>
      <w:r w:rsidR="006810FD">
        <w:t xml:space="preserve">both </w:t>
      </w:r>
      <w:r w:rsidR="00393A41">
        <w:t>reasonably</w:t>
      </w:r>
      <w:r w:rsidR="006C6A46">
        <w:t xml:space="preserve"> </w:t>
      </w:r>
      <w:r w:rsidR="00393A41">
        <w:t>flexible</w:t>
      </w:r>
      <w:r w:rsidR="002A57B2">
        <w:t xml:space="preserve"> </w:t>
      </w:r>
      <w:r w:rsidR="006C6A46">
        <w:t>for pilot project proposals</w:t>
      </w:r>
      <w:r w:rsidR="00393A41">
        <w:t xml:space="preserve"> and provides </w:t>
      </w:r>
      <w:r w:rsidR="006C6A46">
        <w:t>enough</w:t>
      </w:r>
      <w:r w:rsidR="002A57B2">
        <w:t xml:space="preserve"> information to </w:t>
      </w:r>
      <w:r w:rsidR="006C6A46">
        <w:t>facilitate</w:t>
      </w:r>
      <w:r w:rsidR="002A57B2">
        <w:t xml:space="preserve"> </w:t>
      </w:r>
      <w:r w:rsidR="006C6A46">
        <w:t xml:space="preserve">meaningful </w:t>
      </w:r>
      <w:r w:rsidR="002A57B2">
        <w:t>public and stakeholder</w:t>
      </w:r>
      <w:r w:rsidR="006C6A46">
        <w:t xml:space="preserve"> </w:t>
      </w:r>
      <w:r w:rsidR="00393A41">
        <w:t>engagement</w:t>
      </w:r>
      <w:r w:rsidR="002A57B2">
        <w:t>.</w:t>
      </w:r>
      <w:r w:rsidR="00FB2457">
        <w:t xml:space="preserve">  Our adopted methodology </w:t>
      </w:r>
      <w:r w:rsidR="00F31C5B">
        <w:t>for</w:t>
      </w:r>
      <w:r w:rsidR="00FB2457">
        <w:t xml:space="preserve"> designating </w:t>
      </w:r>
      <w:r w:rsidR="006C6A46">
        <w:t xml:space="preserve">initial </w:t>
      </w:r>
      <w:r w:rsidR="00FB2457">
        <w:t xml:space="preserve">decarbonization zones </w:t>
      </w:r>
      <w:r w:rsidR="006C6A46">
        <w:t xml:space="preserve">as census tracts </w:t>
      </w:r>
      <w:r w:rsidR="00F31C5B">
        <w:t>with</w:t>
      </w:r>
      <w:r w:rsidR="006C6A46">
        <w:t xml:space="preserve"> local </w:t>
      </w:r>
      <w:r w:rsidR="00697385">
        <w:t>support, a concentration of gas replacement projects, and the presence of environmental and social justice communities</w:t>
      </w:r>
      <w:r w:rsidR="006C6A46">
        <w:t xml:space="preserve"> is consistent with th</w:t>
      </w:r>
      <w:r w:rsidR="00AF20C9">
        <w:t>is</w:t>
      </w:r>
      <w:r w:rsidR="004D456E">
        <w:t xml:space="preserve"> objective. </w:t>
      </w:r>
      <w:bookmarkStart w:name="_Hlk211953760" w:id="47"/>
    </w:p>
    <w:p w:rsidR="008A7F31" w:rsidP="00286703" w:rsidRDefault="008A7F31" w14:paraId="57B5031A" w14:textId="0ADC5717">
      <w:pPr>
        <w:pStyle w:val="Heading3"/>
      </w:pPr>
      <w:bookmarkStart w:name="_Toc216699687" w:id="48"/>
      <w:r>
        <w:t>Consideration of Section 662(a)(1)-(4) Factors</w:t>
      </w:r>
      <w:bookmarkEnd w:id="48"/>
    </w:p>
    <w:p w:rsidR="006810FD" w:rsidP="00246587" w:rsidRDefault="00A43FD7" w14:paraId="418B023C" w14:textId="55E58CE6">
      <w:pPr>
        <w:pStyle w:val="Standard"/>
        <w:ind w:firstLine="0"/>
      </w:pPr>
      <w:r>
        <w:tab/>
      </w:r>
      <w:r w:rsidR="001A69DF">
        <w:t xml:space="preserve">We consider all the factors </w:t>
      </w:r>
      <w:r w:rsidR="00327CAB">
        <w:t xml:space="preserve">listed </w:t>
      </w:r>
      <w:r w:rsidR="00D72274">
        <w:t>in</w:t>
      </w:r>
      <w:r w:rsidR="00327CAB">
        <w:t xml:space="preserve"> Section 662(a)(1)-(4) when designating the initial decarbonization zones.</w:t>
      </w:r>
      <w:r w:rsidR="00327CAB">
        <w:rPr>
          <w:rStyle w:val="FootnoteReference"/>
        </w:rPr>
        <w:footnoteReference w:id="113"/>
      </w:r>
      <w:r w:rsidR="00327CAB">
        <w:t xml:space="preserve">  However, we </w:t>
      </w:r>
      <w:r w:rsidR="009F189E">
        <w:t xml:space="preserve">primarily rely on Section </w:t>
      </w:r>
      <w:r w:rsidR="009F189E">
        <w:lastRenderedPageBreak/>
        <w:t>662(a)</w:t>
      </w:r>
      <w:r w:rsidR="00F0139E">
        <w:t xml:space="preserve">(2), </w:t>
      </w:r>
      <w:r w:rsidR="009F189E">
        <w:t>(3)</w:t>
      </w:r>
      <w:r w:rsidR="00F0139E">
        <w:t>,</w:t>
      </w:r>
      <w:r w:rsidR="009F189E">
        <w:t xml:space="preserve"> and (4)</w:t>
      </w:r>
      <w:r w:rsidR="008A7F31">
        <w:t>.</w:t>
      </w:r>
      <w:r w:rsidR="009F189E">
        <w:t xml:space="preserve">  </w:t>
      </w:r>
      <w:r w:rsidR="00697385">
        <w:t>R</w:t>
      </w:r>
      <w:r w:rsidRPr="00697385" w:rsidR="009F189E">
        <w:t xml:space="preserve">elying on these factors enables us to </w:t>
      </w:r>
      <w:r w:rsidRPr="00697385" w:rsidR="00BB6CD7">
        <w:t xml:space="preserve">comply with the January 1, 2026, deadline to </w:t>
      </w:r>
      <w:r w:rsidRPr="00697385" w:rsidR="009F189E">
        <w:t>designate initial decarbonization zones in areas with the most local support (Section 662(a)(3))</w:t>
      </w:r>
      <w:r w:rsidR="00F0139E">
        <w:t>,</w:t>
      </w:r>
      <w:r w:rsidRPr="00697385" w:rsidR="009F189E">
        <w:t xml:space="preserve"> </w:t>
      </w:r>
      <w:r w:rsidRPr="00697385" w:rsidR="004C0C1F">
        <w:t>opportunities for</w:t>
      </w:r>
      <w:r w:rsidRPr="00697385" w:rsidR="009F189E">
        <w:t xml:space="preserve"> cost savings (Section 662(a)(4))</w:t>
      </w:r>
      <w:r w:rsidR="00F0139E">
        <w:t>, and the presence of environmental and social justice communities (Section 662(a)(2)</w:t>
      </w:r>
      <w:r w:rsidR="00D73D76">
        <w:t>)</w:t>
      </w:r>
      <w:r w:rsidRPr="00697385" w:rsidR="009F189E">
        <w:t>.</w:t>
      </w:r>
      <w:r w:rsidRPr="00697385" w:rsidR="00BB6CD7">
        <w:t xml:space="preserve">  It also furthers our ability to meet the deadline for </w:t>
      </w:r>
      <w:r w:rsidRPr="00697385" w:rsidR="001E2C2D">
        <w:t xml:space="preserve">establishing the </w:t>
      </w:r>
      <w:r w:rsidR="00D73D76">
        <w:t>P</w:t>
      </w:r>
      <w:r w:rsidRPr="00697385" w:rsidR="001E2C2D">
        <w:t xml:space="preserve">ilot </w:t>
      </w:r>
      <w:r w:rsidR="00D73D76">
        <w:t>P</w:t>
      </w:r>
      <w:r w:rsidRPr="00697385" w:rsidR="001E2C2D">
        <w:t>rogram.</w:t>
      </w:r>
      <w:r w:rsidRPr="00697385" w:rsidR="001E2C2D">
        <w:rPr>
          <w:rStyle w:val="FootnoteReference"/>
        </w:rPr>
        <w:footnoteReference w:id="114"/>
      </w:r>
    </w:p>
    <w:p w:rsidR="00246587" w:rsidP="006810FD" w:rsidRDefault="006810FD" w14:paraId="01CE6C5A" w14:textId="359B3227">
      <w:pPr>
        <w:pStyle w:val="Heading4"/>
      </w:pPr>
      <w:bookmarkStart w:name="_Toc216699688" w:id="49"/>
      <w:r>
        <w:t>Section 662(a)(3)</w:t>
      </w:r>
      <w:bookmarkEnd w:id="49"/>
      <w:r w:rsidR="009F189E">
        <w:t xml:space="preserve">  </w:t>
      </w:r>
    </w:p>
    <w:p w:rsidR="00347EAA" w:rsidP="00F134A9" w:rsidRDefault="0064512C" w14:paraId="23219660" w14:textId="662A6988">
      <w:pPr>
        <w:pStyle w:val="Standard"/>
      </w:pPr>
      <w:r>
        <w:t xml:space="preserve">We </w:t>
      </w:r>
      <w:r w:rsidR="004C0C1F">
        <w:t xml:space="preserve">first </w:t>
      </w:r>
      <w:r w:rsidR="00347EAA">
        <w:t>rel</w:t>
      </w:r>
      <w:r w:rsidR="004C0C1F">
        <w:t>y</w:t>
      </w:r>
      <w:r w:rsidR="00347EAA">
        <w:t xml:space="preserve"> on</w:t>
      </w:r>
      <w:r>
        <w:t xml:space="preserve"> the availability of local support</w:t>
      </w:r>
      <w:r w:rsidR="00CE0BEC">
        <w:t xml:space="preserve"> </w:t>
      </w:r>
      <w:r w:rsidR="00347EAA">
        <w:t xml:space="preserve">to narrow California’s 9,000 census tracts to </w:t>
      </w:r>
      <w:r w:rsidR="00E54270">
        <w:t>929 of which city governments, governmental organizations, and/or local organizations expressed interest</w:t>
      </w:r>
      <w:r w:rsidR="004C0C1F">
        <w:t xml:space="preserve">.  </w:t>
      </w:r>
      <w:r w:rsidR="00C030A6">
        <w:t>Numerous parties highlighted the importance of this factor.</w:t>
      </w:r>
      <w:r w:rsidR="00C030A6">
        <w:rPr>
          <w:rStyle w:val="FootnoteReference"/>
        </w:rPr>
        <w:footnoteReference w:id="115"/>
      </w:r>
      <w:r w:rsidR="00C030A6">
        <w:t xml:space="preserve">  PG&amp;E stated that “the presence of supportive local government or community partners is one of the two most important pieces necessary to ensure pilot success.”</w:t>
      </w:r>
      <w:r w:rsidR="00C030A6">
        <w:rPr>
          <w:rStyle w:val="FootnoteReference"/>
        </w:rPr>
        <w:footnoteReference w:id="116"/>
      </w:r>
      <w:r w:rsidR="00C030A6">
        <w:t xml:space="preserve">  Similarly, </w:t>
      </w:r>
      <w:r w:rsidR="004C0C1F">
        <w:t>Cal Advocates</w:t>
      </w:r>
      <w:r w:rsidR="00C030A6">
        <w:t xml:space="preserve"> noted that</w:t>
      </w:r>
      <w:r w:rsidR="004C0C1F">
        <w:t xml:space="preserve"> community engagement is ”critical.”</w:t>
      </w:r>
      <w:r w:rsidR="004C0C1F">
        <w:rPr>
          <w:rStyle w:val="FootnoteReference"/>
        </w:rPr>
        <w:footnoteReference w:id="117"/>
      </w:r>
      <w:r w:rsidR="004C0C1F">
        <w:t xml:space="preserve">  W</w:t>
      </w:r>
      <w:r w:rsidR="00347EAA">
        <w:t xml:space="preserve">e </w:t>
      </w:r>
      <w:r w:rsidR="004C0C1F">
        <w:t>agree</w:t>
      </w:r>
      <w:r w:rsidR="001E2C2D">
        <w:t xml:space="preserve"> with the parties that </w:t>
      </w:r>
      <w:r w:rsidR="001E2C2D">
        <w:lastRenderedPageBreak/>
        <w:t>highlighted the importance of this facto</w:t>
      </w:r>
      <w:r w:rsidR="0078420E">
        <w:t>r</w:t>
      </w:r>
      <w:r w:rsidR="001E2C2D">
        <w:t xml:space="preserve"> because</w:t>
      </w:r>
      <w:r w:rsidR="004C0C1F">
        <w:t xml:space="preserve"> s</w:t>
      </w:r>
      <w:r w:rsidR="00347EAA">
        <w:t>upportive communities are more likely to want pilot</w:t>
      </w:r>
      <w:r w:rsidR="00A711A8">
        <w:t xml:space="preserve"> projects</w:t>
      </w:r>
      <w:r w:rsidR="00347EAA">
        <w:t xml:space="preserve"> and</w:t>
      </w:r>
      <w:r w:rsidR="004C0C1F">
        <w:t xml:space="preserve"> </w:t>
      </w:r>
      <w:r w:rsidR="00347EAA">
        <w:t>implement them</w:t>
      </w:r>
      <w:r w:rsidR="004C0C1F">
        <w:t xml:space="preserve"> successfully</w:t>
      </w:r>
      <w:r w:rsidR="00347EAA">
        <w:t xml:space="preserve">.  </w:t>
      </w:r>
    </w:p>
    <w:p w:rsidR="00E02F69" w:rsidP="00F134A9" w:rsidRDefault="00347EAA" w14:paraId="267239DC" w14:textId="0EC74F1B">
      <w:pPr>
        <w:pStyle w:val="Standard"/>
      </w:pPr>
      <w:r>
        <w:t>The p</w:t>
      </w:r>
      <w:r w:rsidR="006810FD">
        <w:t>arties’</w:t>
      </w:r>
      <w:r w:rsidR="00CE0BEC">
        <w:t xml:space="preserve"> and </w:t>
      </w:r>
      <w:r w:rsidR="006810FD">
        <w:t xml:space="preserve">the </w:t>
      </w:r>
      <w:r w:rsidR="00CE0BEC">
        <w:t>public</w:t>
      </w:r>
      <w:r w:rsidR="006810FD">
        <w:t>’s</w:t>
      </w:r>
      <w:r w:rsidR="00CE0BEC">
        <w:t xml:space="preserve"> comments</w:t>
      </w:r>
      <w:r>
        <w:t xml:space="preserve"> </w:t>
      </w:r>
      <w:r w:rsidR="009F189E">
        <w:t>demonstrate</w:t>
      </w:r>
      <w:r w:rsidR="0064512C">
        <w:t xml:space="preserve"> </w:t>
      </w:r>
      <w:r w:rsidR="00D72274">
        <w:t>that n</w:t>
      </w:r>
      <w:r w:rsidR="00F134A9">
        <w:t xml:space="preserve">umerous city and county governments, </w:t>
      </w:r>
      <w:r w:rsidR="00D72274">
        <w:t>as well as other government organizations and non-governmental organizations,</w:t>
      </w:r>
      <w:r w:rsidR="00F134A9">
        <w:t xml:space="preserve"> </w:t>
      </w:r>
      <w:r w:rsidR="00D72274">
        <w:t>are available partners.</w:t>
      </w:r>
      <w:r w:rsidR="00F134A9">
        <w:rPr>
          <w:rStyle w:val="FootnoteReference"/>
        </w:rPr>
        <w:footnoteReference w:id="118"/>
      </w:r>
      <w:r w:rsidR="00F134A9">
        <w:t xml:space="preserve">  </w:t>
      </w:r>
      <w:r w:rsidR="00F904A0">
        <w:t xml:space="preserve">We interpret “available” to mean that the city government, other government organization, </w:t>
      </w:r>
      <w:r w:rsidR="00E54270">
        <w:t>or</w:t>
      </w:r>
      <w:r w:rsidR="00F904A0">
        <w:t xml:space="preserve"> non-governmental organization ha</w:t>
      </w:r>
      <w:r w:rsidR="00415457">
        <w:t>s</w:t>
      </w:r>
      <w:r w:rsidR="00F904A0">
        <w:t xml:space="preserve"> requested </w:t>
      </w:r>
      <w:r w:rsidR="00E02F69">
        <w:t>that specific census tracts or neighborhoods within their jurisdiction be designated as decarbonization zones</w:t>
      </w:r>
      <w:r w:rsidR="00E54270">
        <w:t xml:space="preserve"> in party or public comments</w:t>
      </w:r>
      <w:r w:rsidR="00E02F69">
        <w:t xml:space="preserve">.  </w:t>
      </w:r>
      <w:r w:rsidR="005816AE">
        <w:t>W</w:t>
      </w:r>
      <w:r w:rsidR="00E02F69">
        <w:t xml:space="preserve">e do not understand requests to be binding commitments to support any proposed pilot project.  </w:t>
      </w:r>
    </w:p>
    <w:p w:rsidR="00347EAA" w:rsidP="00F134A9" w:rsidRDefault="00726650" w14:paraId="470F72D0" w14:textId="041F7381">
      <w:pPr>
        <w:pStyle w:val="Standard"/>
      </w:pPr>
      <w:r>
        <w:t>W</w:t>
      </w:r>
      <w:r w:rsidR="009F189E">
        <w:t>hile</w:t>
      </w:r>
      <w:r>
        <w:t xml:space="preserve"> </w:t>
      </w:r>
      <w:r w:rsidR="009F189E">
        <w:t>we</w:t>
      </w:r>
      <w:r>
        <w:t xml:space="preserve"> designate </w:t>
      </w:r>
      <w:r w:rsidR="006810FD">
        <w:t xml:space="preserve">initial </w:t>
      </w:r>
      <w:r>
        <w:t xml:space="preserve">decarbonization zones within the </w:t>
      </w:r>
      <w:r w:rsidR="006810FD">
        <w:t>areas</w:t>
      </w:r>
      <w:r>
        <w:t xml:space="preserve"> </w:t>
      </w:r>
      <w:r w:rsidR="006810FD">
        <w:t xml:space="preserve">that </w:t>
      </w:r>
      <w:r w:rsidR="009F189E">
        <w:t>many</w:t>
      </w:r>
      <w:r>
        <w:t xml:space="preserve"> available partners</w:t>
      </w:r>
      <w:r w:rsidR="006810FD">
        <w:t xml:space="preserve"> requested</w:t>
      </w:r>
      <w:r w:rsidR="009F189E">
        <w:t xml:space="preserve">, </w:t>
      </w:r>
      <w:r>
        <w:t>s</w:t>
      </w:r>
      <w:r w:rsidR="00F134A9">
        <w:t xml:space="preserve">ome </w:t>
      </w:r>
      <w:r w:rsidR="005816AE">
        <w:t>organizations</w:t>
      </w:r>
      <w:r w:rsidR="006810FD">
        <w:t xml:space="preserve"> </w:t>
      </w:r>
      <w:r w:rsidR="00D72274">
        <w:t>requested that we designate large</w:t>
      </w:r>
      <w:r w:rsidR="00F134A9">
        <w:t xml:space="preserve"> areas</w:t>
      </w:r>
      <w:r w:rsidR="00D72274">
        <w:t xml:space="preserve"> as decarbonization zones</w:t>
      </w:r>
      <w:r w:rsidR="00F134A9">
        <w:t>.</w:t>
      </w:r>
      <w:r w:rsidR="00F134A9">
        <w:rPr>
          <w:rStyle w:val="FootnoteReference"/>
        </w:rPr>
        <w:footnoteReference w:id="119"/>
      </w:r>
      <w:r w:rsidR="00F134A9">
        <w:t xml:space="preserve">  </w:t>
      </w:r>
      <w:bookmarkStart w:name="_Hlk212455077" w:id="50"/>
      <w:r w:rsidRPr="004F633F" w:rsidR="00F134A9">
        <w:t xml:space="preserve">Granting </w:t>
      </w:r>
      <w:r w:rsidRPr="004F633F" w:rsidR="00AB07E8">
        <w:t>b</w:t>
      </w:r>
      <w:r w:rsidRPr="004F633F" w:rsidR="00F134A9">
        <w:t>road request</w:t>
      </w:r>
      <w:r w:rsidRPr="004F633F" w:rsidR="00AB07E8">
        <w:t>s</w:t>
      </w:r>
      <w:r w:rsidRPr="004F633F" w:rsidR="00F134A9">
        <w:t xml:space="preserve"> would </w:t>
      </w:r>
      <w:r w:rsidRPr="004F633F">
        <w:t>fail</w:t>
      </w:r>
      <w:r w:rsidRPr="004F633F" w:rsidR="006C6A46">
        <w:t xml:space="preserve"> to provide</w:t>
      </w:r>
      <w:r w:rsidRPr="004F633F" w:rsidR="00F134A9">
        <w:t xml:space="preserve"> </w:t>
      </w:r>
      <w:r w:rsidRPr="004F633F">
        <w:t>the public and stakeholders with meaningful information</w:t>
      </w:r>
      <w:r w:rsidRPr="004F633F" w:rsidR="001E2C2D">
        <w:t xml:space="preserve">.  </w:t>
      </w:r>
      <w:r w:rsidR="004F633F">
        <w:t xml:space="preserve">Instead, we designate census tracts with local support to prioritize areas where pilot projects are most likely to be successful.  These initial decarbonization zones may be updated as more information becomes available.  </w:t>
      </w:r>
      <w:bookmarkEnd w:id="50"/>
    </w:p>
    <w:p w:rsidR="00F134A9" w:rsidP="00F134A9" w:rsidRDefault="00D73D76" w14:paraId="06E1D4BB" w14:textId="459EE152">
      <w:pPr>
        <w:pStyle w:val="Standard"/>
      </w:pPr>
      <w:bookmarkStart w:name="_Hlk212455091" w:id="51"/>
      <w:r>
        <w:lastRenderedPageBreak/>
        <w:t>Through this exercise we</w:t>
      </w:r>
      <w:r w:rsidR="00F134A9">
        <w:t xml:space="preserve"> narrow the potential decarbonization zones to </w:t>
      </w:r>
      <w:r w:rsidR="00E54270">
        <w:t>929</w:t>
      </w:r>
      <w:r w:rsidR="00F134A9">
        <w:t xml:space="preserve"> census tracts (</w:t>
      </w:r>
      <w:r w:rsidR="00D60B23">
        <w:t xml:space="preserve">approximately </w:t>
      </w:r>
      <w:r w:rsidR="00F134A9">
        <w:t>10 percent of all California census tracts)</w:t>
      </w:r>
      <w:r w:rsidR="00695C29">
        <w:t xml:space="preserve"> for the first iteration of zones</w:t>
      </w:r>
      <w:r w:rsidR="00F134A9">
        <w:t xml:space="preserve">.  </w:t>
      </w:r>
      <w:bookmarkEnd w:id="51"/>
      <w:r w:rsidRPr="004F633F" w:rsidR="00F134A9">
        <w:t>We encourage organizations</w:t>
      </w:r>
      <w:r w:rsidRPr="004F633F" w:rsidR="00726650">
        <w:t xml:space="preserve"> that requested large areas</w:t>
      </w:r>
      <w:r w:rsidRPr="004F633F" w:rsidR="00F134A9">
        <w:t xml:space="preserve"> to remain </w:t>
      </w:r>
      <w:r w:rsidRPr="004F633F" w:rsidR="00695C29">
        <w:t xml:space="preserve">engaged and </w:t>
      </w:r>
      <w:r w:rsidR="004F633F">
        <w:t>help refine and modify the decarbonization zones when we update.</w:t>
      </w:r>
      <w:r w:rsidR="00F134A9">
        <w:t xml:space="preserve"> </w:t>
      </w:r>
    </w:p>
    <w:p w:rsidR="006810FD" w:rsidP="006810FD" w:rsidRDefault="006810FD" w14:paraId="3D6B1B3A" w14:textId="232DA2AF">
      <w:pPr>
        <w:pStyle w:val="Heading4"/>
      </w:pPr>
      <w:bookmarkStart w:name="_Toc216699689" w:id="52"/>
      <w:r>
        <w:t>Section 662(a)(4)</w:t>
      </w:r>
      <w:bookmarkEnd w:id="52"/>
    </w:p>
    <w:p w:rsidR="00E23C4B" w:rsidP="00F134A9" w:rsidRDefault="00CE0BEC" w14:paraId="0C1DFF5D" w14:textId="0584D8F2">
      <w:pPr>
        <w:pStyle w:val="Standard"/>
      </w:pPr>
      <w:r>
        <w:t>We next</w:t>
      </w:r>
      <w:r w:rsidR="00F134A9">
        <w:t xml:space="preserve"> </w:t>
      </w:r>
      <w:r w:rsidR="00347EAA">
        <w:t>rel</w:t>
      </w:r>
      <w:r w:rsidR="004C0C1F">
        <w:t>y</w:t>
      </w:r>
      <w:r w:rsidR="00347EAA">
        <w:t xml:space="preserve"> on </w:t>
      </w:r>
      <w:r>
        <w:t xml:space="preserve">the concentration of </w:t>
      </w:r>
      <w:r w:rsidR="00347EAA">
        <w:t xml:space="preserve">the Gas Corporations’ </w:t>
      </w:r>
      <w:r>
        <w:t xml:space="preserve">gas distribution line projects </w:t>
      </w:r>
      <w:r w:rsidR="00347EAA">
        <w:t xml:space="preserve">to narrow the </w:t>
      </w:r>
      <w:r w:rsidR="00E54270">
        <w:t>929</w:t>
      </w:r>
      <w:r w:rsidR="00347EAA">
        <w:t xml:space="preserve"> census tracts with local support to 1</w:t>
      </w:r>
      <w:r w:rsidR="00E54270">
        <w:t>39</w:t>
      </w:r>
      <w:r w:rsidR="00347EAA">
        <w:t xml:space="preserve">.  </w:t>
      </w:r>
      <w:r w:rsidR="00E23C4B">
        <w:t>The Gas Corporations and many parties emphasized the importance of this factor.</w:t>
      </w:r>
      <w:r w:rsidR="00E23C4B">
        <w:rPr>
          <w:rStyle w:val="FootnoteReference"/>
        </w:rPr>
        <w:footnoteReference w:id="120"/>
      </w:r>
      <w:r w:rsidR="00E23C4B">
        <w:t xml:space="preserve">  Indeed, SoCalGas/SDG&amp;E characterized the occurrence of a foreseeable gas system replacement project as “the most critical component of a successful cost-effective candidate project.”</w:t>
      </w:r>
      <w:r w:rsidR="00E23C4B">
        <w:rPr>
          <w:rStyle w:val="FootnoteReference"/>
        </w:rPr>
        <w:footnoteReference w:id="121"/>
      </w:r>
      <w:r w:rsidR="00E23C4B">
        <w:t xml:space="preserve"> </w:t>
      </w:r>
      <w:r w:rsidR="00E54270">
        <w:t xml:space="preserve"> </w:t>
      </w:r>
      <w:r w:rsidR="00E23C4B">
        <w:t xml:space="preserve">We agree to </w:t>
      </w:r>
      <w:r w:rsidR="0031203F">
        <w:t>an</w:t>
      </w:r>
      <w:r w:rsidR="00E23C4B">
        <w:t xml:space="preserve"> extent </w:t>
      </w:r>
      <w:r w:rsidR="0031203F">
        <w:t>—</w:t>
      </w:r>
      <w:r w:rsidR="00E23C4B">
        <w:t xml:space="preserve"> </w:t>
      </w:r>
      <w:bookmarkStart w:name="_Hlk212455120" w:id="53"/>
      <w:r w:rsidR="00E23C4B">
        <w:t xml:space="preserve">a concentration of gas distribution line projects represents an opportunity for cost savings.  </w:t>
      </w:r>
    </w:p>
    <w:bookmarkEnd w:id="53"/>
    <w:p w:rsidR="00F8275B" w:rsidP="0031203F" w:rsidRDefault="00C030A6" w14:paraId="1D85F560" w14:textId="595DF6AA">
      <w:pPr>
        <w:pStyle w:val="Standard"/>
      </w:pPr>
      <w:r>
        <w:t xml:space="preserve">BayREN/3C-REN </w:t>
      </w:r>
      <w:r w:rsidR="00926C09">
        <w:t xml:space="preserve">and TURN </w:t>
      </w:r>
      <w:r>
        <w:t>recommen</w:t>
      </w:r>
      <w:r w:rsidR="0078420E">
        <w:t>d</w:t>
      </w:r>
      <w:r>
        <w:t xml:space="preserve"> </w:t>
      </w:r>
      <w:r w:rsidR="00926C09">
        <w:t xml:space="preserve">prioritizing </w:t>
      </w:r>
      <w:r w:rsidR="008F776A">
        <w:t xml:space="preserve">the gas distribution line projects </w:t>
      </w:r>
      <w:r w:rsidR="00926C09">
        <w:t xml:space="preserve">by the expected </w:t>
      </w:r>
      <w:r w:rsidR="008F776A">
        <w:t xml:space="preserve">project </w:t>
      </w:r>
      <w:r w:rsidR="00926C09">
        <w:t>time</w:t>
      </w:r>
      <w:r w:rsidR="008F776A">
        <w:t>line</w:t>
      </w:r>
      <w:r w:rsidR="00926C09">
        <w:t>.</w:t>
      </w:r>
      <w:r w:rsidR="00926C09">
        <w:rPr>
          <w:rStyle w:val="FootnoteReference"/>
        </w:rPr>
        <w:footnoteReference w:id="122"/>
      </w:r>
      <w:r w:rsidR="00926C09">
        <w:t xml:space="preserve">  While TURN recognizes that </w:t>
      </w:r>
      <w:r w:rsidR="00E57457">
        <w:t>the Gas Corporations’ projects</w:t>
      </w:r>
      <w:r w:rsidR="00926C09">
        <w:t xml:space="preserve"> may not have firm start dates, they assume “that the relative risk scores of projects provide an approximate proxy for the relative timeline of future projects.”</w:t>
      </w:r>
      <w:r w:rsidR="00926C09">
        <w:rPr>
          <w:rStyle w:val="FootnoteReference"/>
        </w:rPr>
        <w:footnoteReference w:id="123"/>
      </w:r>
      <w:r w:rsidR="00F8275B">
        <w:t xml:space="preserve">  If this assumption is correct, TURN states that it </w:t>
      </w:r>
      <w:r w:rsidR="00F8275B">
        <w:lastRenderedPageBreak/>
        <w:t>“would provide an alternative methodology to use for designating later stage projects.”</w:t>
      </w:r>
      <w:r w:rsidR="00F8275B">
        <w:rPr>
          <w:rStyle w:val="FootnoteReference"/>
        </w:rPr>
        <w:footnoteReference w:id="124"/>
      </w:r>
    </w:p>
    <w:p w:rsidRPr="00006553" w:rsidR="00E57457" w:rsidP="0031203F" w:rsidRDefault="00006553" w14:paraId="56D59B78" w14:textId="4795B0F4">
      <w:pPr>
        <w:pStyle w:val="Standard"/>
      </w:pPr>
      <w:r>
        <w:t xml:space="preserve">We agree that project timelines are relevant to project planning, and that the maps the Gas Corporations submitted on July 1, 2025, reflect risk scores representing prioritization for gas replacement.  However, we are determining one set of decarbonization zones, not prioritizing within them.  Therefore, we include </w:t>
      </w:r>
      <w:r w:rsidR="00A5195A">
        <w:t xml:space="preserve">in our analysis </w:t>
      </w:r>
      <w:r>
        <w:t xml:space="preserve">all gas replacement projects with risk scores representing later years, </w:t>
      </w:r>
      <w:r>
        <w:rPr>
          <w:i/>
          <w:iCs/>
        </w:rPr>
        <w:t>i.e.</w:t>
      </w:r>
      <w:r>
        <w:t>, approximately 2028-2035.</w:t>
      </w:r>
      <w:r>
        <w:rPr>
          <w:rStyle w:val="FootnoteReference"/>
        </w:rPr>
        <w:footnoteReference w:id="125"/>
      </w:r>
      <w:r>
        <w:t xml:space="preserve">  </w:t>
      </w:r>
    </w:p>
    <w:p w:rsidR="0031203F" w:rsidP="0031203F" w:rsidRDefault="00E57457" w14:paraId="0D2CB2B0" w14:textId="5483710A">
      <w:pPr>
        <w:pStyle w:val="Standard"/>
      </w:pPr>
      <w:r>
        <w:t xml:space="preserve">By reviewing the percentage of gas mains scheduled for replacement between 2028 and 2035, we narrowed the </w:t>
      </w:r>
      <w:r w:rsidR="00E54270">
        <w:t>929</w:t>
      </w:r>
      <w:r>
        <w:t xml:space="preserve"> census tracts with local support to areas where 10 percent or more of the gas mains are scheduled for </w:t>
      </w:r>
      <w:r w:rsidR="00F134A9">
        <w:t xml:space="preserve">replacement.  </w:t>
      </w:r>
      <w:r w:rsidR="006810FD">
        <w:t xml:space="preserve">Selecting 10 percent as the threshold </w:t>
      </w:r>
      <w:r w:rsidR="005026BF">
        <w:t xml:space="preserve">is both reasonably flexible for pilot project proposals and provides enough information to facilitate meaningful public and stakeholder engagement.  </w:t>
      </w:r>
      <w:r w:rsidR="006810FD">
        <w:t>Making the threshold higher (</w:t>
      </w:r>
      <w:r w:rsidR="006810FD">
        <w:rPr>
          <w:i/>
          <w:iCs/>
        </w:rPr>
        <w:t xml:space="preserve">e.g., </w:t>
      </w:r>
      <w:r w:rsidR="006810FD">
        <w:t xml:space="preserve">15 percent) would exclude </w:t>
      </w:r>
      <w:r w:rsidR="00473E02">
        <w:t xml:space="preserve">too </w:t>
      </w:r>
      <w:r w:rsidR="006810FD">
        <w:t>many areas with local support, such as Los Angeles locations and Elk Grove</w:t>
      </w:r>
      <w:r w:rsidR="00695C29">
        <w:t>,</w:t>
      </w:r>
      <w:r>
        <w:t xml:space="preserve"> and potentially </w:t>
      </w:r>
      <w:r w:rsidR="00695C29">
        <w:t xml:space="preserve">negatively </w:t>
      </w:r>
      <w:r>
        <w:t>impact project success</w:t>
      </w:r>
      <w:r w:rsidR="006810FD">
        <w:t>.  Making the threshold less stringent would make almost all census tracts eligible</w:t>
      </w:r>
      <w:r w:rsidR="005026BF">
        <w:t>.  This would both</w:t>
      </w:r>
      <w:r w:rsidR="0031203F">
        <w:t xml:space="preserve"> </w:t>
      </w:r>
      <w:r w:rsidR="006810FD">
        <w:t>minimize the opportunities for cost savings</w:t>
      </w:r>
      <w:r w:rsidR="005026BF">
        <w:t xml:space="preserve"> and impact public and stakeholder involvement.</w:t>
      </w:r>
      <w:r w:rsidR="006810FD">
        <w:t xml:space="preserve">   </w:t>
      </w:r>
    </w:p>
    <w:p w:rsidR="001B3C54" w:rsidP="0031203F" w:rsidRDefault="00EF3CC6" w14:paraId="5ED54289" w14:textId="1C4C8086">
      <w:pPr>
        <w:pStyle w:val="Standard"/>
      </w:pPr>
      <w:r w:rsidRPr="004F633F">
        <w:t>W</w:t>
      </w:r>
      <w:r w:rsidRPr="004F633F" w:rsidR="00F134A9">
        <w:t xml:space="preserve">e also capped </w:t>
      </w:r>
      <w:r w:rsidR="004F633F">
        <w:t xml:space="preserve">our consideration of gas distribution line projects </w:t>
      </w:r>
      <w:r w:rsidRPr="004F633F" w:rsidR="00425B16">
        <w:t xml:space="preserve">at </w:t>
      </w:r>
      <w:r w:rsidRPr="004F633F" w:rsidR="001B3C54">
        <w:t xml:space="preserve">25 </w:t>
      </w:r>
      <w:r w:rsidRPr="004F633F" w:rsidR="00425B16">
        <w:t xml:space="preserve">census tracts per county </w:t>
      </w:r>
      <w:r w:rsidRPr="004F633F" w:rsidR="001B3C54">
        <w:t xml:space="preserve">to avoid overrepresentation </w:t>
      </w:r>
      <w:r w:rsidRPr="004F633F" w:rsidR="00695C29">
        <w:t>of</w:t>
      </w:r>
      <w:r w:rsidRPr="004F633F" w:rsidR="001B3C54">
        <w:t xml:space="preserve"> certain regions</w:t>
      </w:r>
      <w:r w:rsidRPr="004F633F" w:rsidR="00695C29">
        <w:t xml:space="preserve"> at this stage in the program</w:t>
      </w:r>
      <w:r w:rsidRPr="004F633F" w:rsidR="001B3C54">
        <w:t>.</w:t>
      </w:r>
      <w:r w:rsidR="001B3C54">
        <w:t xml:space="preserve">  Such overrepresentation would affect our ability to gather </w:t>
      </w:r>
      <w:r w:rsidR="001B3C54">
        <w:lastRenderedPageBreak/>
        <w:t xml:space="preserve">information from diverse neighborhoods with varying challenges across different utility service areas.  As we </w:t>
      </w:r>
      <w:r>
        <w:t>collect</w:t>
      </w:r>
      <w:r w:rsidR="001B3C54">
        <w:t xml:space="preserve"> more information and hear from more communities, we may adjust or eliminate the cap</w:t>
      </w:r>
      <w:r>
        <w:t xml:space="preserve"> in a future decarbonization zone update</w:t>
      </w:r>
      <w:r w:rsidR="001B3C54">
        <w:t>.</w:t>
      </w:r>
    </w:p>
    <w:p w:rsidRPr="00C66076" w:rsidR="00EF3CC6" w:rsidP="00EF3CC6" w:rsidRDefault="00EF3CC6" w14:paraId="30AF9495" w14:textId="73BF6D03">
      <w:pPr>
        <w:pStyle w:val="Standard"/>
      </w:pPr>
      <w:r>
        <w:t>For the initial decarbonization zones, t</w:t>
      </w:r>
      <w:r w:rsidR="001B3C54">
        <w:t>he cap impacts Alameda and San Diego counties</w:t>
      </w:r>
      <w:r w:rsidR="00F134A9">
        <w:t>.</w:t>
      </w:r>
      <w:r w:rsidR="0031203F">
        <w:t xml:space="preserve">  In Alameda and San Diego counties, public, governmental, and non-governmental organizations demonstrated strong support for decarbonization.  Alameda and San Diego counties also have many census tracts with gas mains scheduled for replacement.</w:t>
      </w:r>
      <w:r w:rsidR="007F03EF">
        <w:t xml:space="preserve">  </w:t>
      </w:r>
      <w:bookmarkStart w:name="_Hlk212455299" w:id="54"/>
      <w:bookmarkStart w:name="_Hlk212455268" w:id="55"/>
      <w:r>
        <w:t xml:space="preserve">If we designate all census tracts in these counties with local support and 10 percent or more of the gas mains scheduled for replacement, </w:t>
      </w:r>
      <w:r w:rsidR="00167F3B">
        <w:t xml:space="preserve">there would be a total of </w:t>
      </w:r>
      <w:r w:rsidR="00E54270">
        <w:t>345</w:t>
      </w:r>
      <w:r w:rsidR="00167F3B">
        <w:t xml:space="preserve"> census tracts with 60 in </w:t>
      </w:r>
      <w:r>
        <w:t>Alameda County (</w:t>
      </w:r>
      <w:r w:rsidR="00167F3B">
        <w:t>1</w:t>
      </w:r>
      <w:r w:rsidR="004C317B">
        <w:t>8</w:t>
      </w:r>
      <w:r>
        <w:t xml:space="preserve"> percent of the total), and </w:t>
      </w:r>
      <w:r w:rsidR="00167F3B">
        <w:t xml:space="preserve">196 in </w:t>
      </w:r>
      <w:r>
        <w:t>San Diego County (</w:t>
      </w:r>
      <w:r w:rsidR="00167F3B">
        <w:t>5</w:t>
      </w:r>
      <w:r w:rsidR="004C317B">
        <w:t>8</w:t>
      </w:r>
      <w:r>
        <w:t xml:space="preserve"> percent of the total).  </w:t>
      </w:r>
      <w:bookmarkStart w:name="_Hlk212455280" w:id="56"/>
      <w:r>
        <w:t>Imposing the cap ensures that Alameda and San Diego counties are not overrepresented in the initial designation of the decarbonization zones</w:t>
      </w:r>
      <w:bookmarkStart w:name="_Hlk212455288" w:id="57"/>
      <w:bookmarkEnd w:id="56"/>
      <w:r>
        <w:t xml:space="preserve">.  </w:t>
      </w:r>
      <w:bookmarkEnd w:id="57"/>
    </w:p>
    <w:p w:rsidR="001B3C54" w:rsidP="001B3C54" w:rsidRDefault="00EF3CC6" w14:paraId="4ADF1FB4" w14:textId="0EA7A857">
      <w:pPr>
        <w:pStyle w:val="Standard"/>
      </w:pPr>
      <w:r>
        <w:t>W</w:t>
      </w:r>
      <w:r w:rsidR="001B3C54">
        <w:t>e selected</w:t>
      </w:r>
      <w:r w:rsidRPr="00AB07E8" w:rsidR="001B3C54">
        <w:t xml:space="preserve"> 25 census tracts </w:t>
      </w:r>
      <w:r>
        <w:t xml:space="preserve">in Alameda and San Diego counties </w:t>
      </w:r>
      <w:r w:rsidR="001B3C54">
        <w:t>based on</w:t>
      </w:r>
      <w:r w:rsidRPr="00AB07E8" w:rsidR="001B3C54">
        <w:t xml:space="preserve"> the highest percentage of gas replacement projects</w:t>
      </w:r>
      <w:r>
        <w:t>.  However</w:t>
      </w:r>
      <w:r w:rsidR="001B3C54">
        <w:t xml:space="preserve">, we invite local governments, community organizations, and members of the public to inform us whether we should </w:t>
      </w:r>
      <w:r>
        <w:t>adjust or eliminate</w:t>
      </w:r>
      <w:r w:rsidR="001B3C54">
        <w:t xml:space="preserve"> the 25</w:t>
      </w:r>
      <w:r w:rsidR="004C317B">
        <w:t>-census</w:t>
      </w:r>
      <w:r w:rsidR="00B2543F">
        <w:t>-</w:t>
      </w:r>
      <w:r w:rsidR="004C317B">
        <w:t>tract cap in the</w:t>
      </w:r>
      <w:r w:rsidR="001B3C54">
        <w:t xml:space="preserve"> initial decarbonization zones</w:t>
      </w:r>
      <w:r>
        <w:t xml:space="preserve"> during our updates</w:t>
      </w:r>
      <w:bookmarkEnd w:id="54"/>
      <w:r w:rsidR="00695C29">
        <w:t>, and/or whether they suggest any process steps to refine the areas selected over time.</w:t>
      </w:r>
    </w:p>
    <w:bookmarkEnd w:id="55"/>
    <w:p w:rsidR="00B238D8" w:rsidP="00F134A9" w:rsidRDefault="0031203F" w14:paraId="046DCB08" w14:textId="73994499">
      <w:pPr>
        <w:pStyle w:val="Standard"/>
      </w:pPr>
      <w:r>
        <w:t xml:space="preserve"> Our</w:t>
      </w:r>
      <w:r w:rsidR="00F134A9">
        <w:t xml:space="preserve"> approach yield</w:t>
      </w:r>
      <w:r w:rsidR="00695C29">
        <w:t>s</w:t>
      </w:r>
      <w:r w:rsidR="00F134A9">
        <w:t xml:space="preserve"> 1</w:t>
      </w:r>
      <w:r w:rsidR="00E54270">
        <w:t>39</w:t>
      </w:r>
      <w:r w:rsidR="00F134A9">
        <w:t xml:space="preserve"> census tracts</w:t>
      </w:r>
      <w:r w:rsidR="00CF75A8">
        <w:t xml:space="preserve"> with at </w:t>
      </w:r>
      <w:r w:rsidR="006162F1">
        <w:t xml:space="preserve">least one census tract within </w:t>
      </w:r>
      <w:r w:rsidR="004C0C1F">
        <w:t>the</w:t>
      </w:r>
      <w:r w:rsidR="006162F1">
        <w:t xml:space="preserve"> jurisdiction of each county that requested inclusion</w:t>
      </w:r>
      <w:r w:rsidR="00B238D8">
        <w:t>:</w:t>
      </w:r>
    </w:p>
    <w:tbl>
      <w:tblPr>
        <w:tblStyle w:val="TableGrid"/>
        <w:tblW w:w="0" w:type="auto"/>
        <w:jc w:val="center"/>
        <w:tblLook w:val="04A0" w:firstRow="1" w:lastRow="0" w:firstColumn="1" w:lastColumn="0" w:noHBand="0" w:noVBand="1"/>
      </w:tblPr>
      <w:tblGrid>
        <w:gridCol w:w="2155"/>
        <w:gridCol w:w="2403"/>
      </w:tblGrid>
      <w:tr w:rsidR="00B238D8" w:rsidTr="00917CC9" w14:paraId="79876EBE" w14:textId="77777777">
        <w:trPr>
          <w:jc w:val="center"/>
        </w:trPr>
        <w:tc>
          <w:tcPr>
            <w:tcW w:w="4558" w:type="dxa"/>
            <w:gridSpan w:val="2"/>
          </w:tcPr>
          <w:p w:rsidRPr="00917CC9" w:rsidR="00B238D8" w:rsidP="00F134A9" w:rsidRDefault="00917CC9" w14:paraId="233D1626" w14:textId="50554C4E">
            <w:pPr>
              <w:pStyle w:val="Standard"/>
              <w:ind w:firstLine="0"/>
              <w:rPr>
                <w:b/>
                <w:bCs/>
              </w:rPr>
            </w:pPr>
            <w:bookmarkStart w:name="_Hlk213744876" w:id="58"/>
            <w:r w:rsidRPr="00917CC9">
              <w:rPr>
                <w:b/>
                <w:bCs/>
              </w:rPr>
              <w:t>Selected Tract County by County</w:t>
            </w:r>
          </w:p>
        </w:tc>
      </w:tr>
      <w:tr w:rsidR="00B238D8" w:rsidTr="00917CC9" w14:paraId="28593AE7" w14:textId="77777777">
        <w:trPr>
          <w:jc w:val="center"/>
        </w:trPr>
        <w:tc>
          <w:tcPr>
            <w:tcW w:w="2155" w:type="dxa"/>
          </w:tcPr>
          <w:p w:rsidR="00B238D8" w:rsidP="00F134A9" w:rsidRDefault="00B238D8" w14:paraId="5BB05F0A" w14:textId="022EF044">
            <w:pPr>
              <w:pStyle w:val="Standard"/>
              <w:ind w:firstLine="0"/>
            </w:pPr>
            <w:r>
              <w:t>Alameda</w:t>
            </w:r>
          </w:p>
        </w:tc>
        <w:tc>
          <w:tcPr>
            <w:tcW w:w="2403" w:type="dxa"/>
          </w:tcPr>
          <w:p w:rsidR="00B238D8" w:rsidP="00F134A9" w:rsidRDefault="00B238D8" w14:paraId="183AF1C1" w14:textId="535E2693">
            <w:pPr>
              <w:pStyle w:val="Standard"/>
              <w:ind w:firstLine="0"/>
            </w:pPr>
            <w:r>
              <w:t>25 tracts</w:t>
            </w:r>
          </w:p>
        </w:tc>
      </w:tr>
      <w:tr w:rsidR="00B238D8" w:rsidTr="00917CC9" w14:paraId="1525E948" w14:textId="77777777">
        <w:trPr>
          <w:jc w:val="center"/>
        </w:trPr>
        <w:tc>
          <w:tcPr>
            <w:tcW w:w="2155" w:type="dxa"/>
          </w:tcPr>
          <w:p w:rsidR="00B238D8" w:rsidP="00F134A9" w:rsidRDefault="00B238D8" w14:paraId="023575D5" w14:textId="40091C56">
            <w:pPr>
              <w:pStyle w:val="Standard"/>
              <w:ind w:firstLine="0"/>
            </w:pPr>
            <w:r>
              <w:t>Contra Costa</w:t>
            </w:r>
          </w:p>
        </w:tc>
        <w:tc>
          <w:tcPr>
            <w:tcW w:w="2403" w:type="dxa"/>
          </w:tcPr>
          <w:p w:rsidR="00B238D8" w:rsidP="00F134A9" w:rsidRDefault="00B238D8" w14:paraId="57F60B8C" w14:textId="43E36CDB">
            <w:pPr>
              <w:pStyle w:val="Standard"/>
              <w:ind w:firstLine="0"/>
            </w:pPr>
            <w:r>
              <w:t>14 tracts</w:t>
            </w:r>
          </w:p>
        </w:tc>
      </w:tr>
      <w:tr w:rsidR="00B238D8" w:rsidTr="00917CC9" w14:paraId="22226CEE" w14:textId="77777777">
        <w:trPr>
          <w:jc w:val="center"/>
        </w:trPr>
        <w:tc>
          <w:tcPr>
            <w:tcW w:w="2155" w:type="dxa"/>
          </w:tcPr>
          <w:p w:rsidR="00B238D8" w:rsidP="00F134A9" w:rsidRDefault="00B238D8" w14:paraId="6A733D74" w14:textId="672BDABD">
            <w:pPr>
              <w:pStyle w:val="Standard"/>
              <w:ind w:firstLine="0"/>
            </w:pPr>
            <w:r>
              <w:lastRenderedPageBreak/>
              <w:t>Los Angeles</w:t>
            </w:r>
          </w:p>
        </w:tc>
        <w:tc>
          <w:tcPr>
            <w:tcW w:w="2403" w:type="dxa"/>
          </w:tcPr>
          <w:p w:rsidR="00B238D8" w:rsidP="00F134A9" w:rsidRDefault="00E54270" w14:paraId="62098439" w14:textId="59E98C47">
            <w:pPr>
              <w:pStyle w:val="Standard"/>
              <w:ind w:firstLine="0"/>
            </w:pPr>
            <w:r>
              <w:t>9</w:t>
            </w:r>
            <w:r w:rsidR="00B238D8">
              <w:t xml:space="preserve"> tracts</w:t>
            </w:r>
          </w:p>
        </w:tc>
      </w:tr>
      <w:tr w:rsidR="00E54270" w:rsidTr="00917CC9" w14:paraId="7E6AE0E7" w14:textId="77777777">
        <w:trPr>
          <w:jc w:val="center"/>
        </w:trPr>
        <w:tc>
          <w:tcPr>
            <w:tcW w:w="2155" w:type="dxa"/>
          </w:tcPr>
          <w:p w:rsidR="00E54270" w:rsidP="00F134A9" w:rsidRDefault="00E54270" w14:paraId="7B8F94D1" w14:textId="2119A64C">
            <w:pPr>
              <w:pStyle w:val="Standard"/>
              <w:ind w:firstLine="0"/>
            </w:pPr>
            <w:r>
              <w:t>Monterey</w:t>
            </w:r>
          </w:p>
        </w:tc>
        <w:tc>
          <w:tcPr>
            <w:tcW w:w="2403" w:type="dxa"/>
          </w:tcPr>
          <w:p w:rsidR="00E54270" w:rsidP="00F134A9" w:rsidRDefault="00E54270" w14:paraId="4E4D16A7" w14:textId="0F93AD7A">
            <w:pPr>
              <w:pStyle w:val="Standard"/>
              <w:ind w:firstLine="0"/>
            </w:pPr>
            <w:r>
              <w:t>1 tract</w:t>
            </w:r>
          </w:p>
        </w:tc>
      </w:tr>
      <w:tr w:rsidR="00B238D8" w:rsidTr="00917CC9" w14:paraId="627F8D7C" w14:textId="77777777">
        <w:trPr>
          <w:jc w:val="center"/>
        </w:trPr>
        <w:tc>
          <w:tcPr>
            <w:tcW w:w="2155" w:type="dxa"/>
          </w:tcPr>
          <w:p w:rsidR="00B238D8" w:rsidP="00F134A9" w:rsidRDefault="00B238D8" w14:paraId="1DB9A15B" w14:textId="42BC3952">
            <w:pPr>
              <w:pStyle w:val="Standard"/>
              <w:ind w:firstLine="0"/>
            </w:pPr>
            <w:r>
              <w:t>Sacramento</w:t>
            </w:r>
          </w:p>
        </w:tc>
        <w:tc>
          <w:tcPr>
            <w:tcW w:w="2403" w:type="dxa"/>
          </w:tcPr>
          <w:p w:rsidR="00B238D8" w:rsidP="00F134A9" w:rsidRDefault="00B238D8" w14:paraId="756FF10E" w14:textId="0B2EC7F5">
            <w:pPr>
              <w:pStyle w:val="Standard"/>
              <w:ind w:firstLine="0"/>
            </w:pPr>
            <w:r>
              <w:t>13 tracts</w:t>
            </w:r>
          </w:p>
        </w:tc>
      </w:tr>
      <w:tr w:rsidR="00F61B49" w:rsidTr="00917CC9" w14:paraId="2D122818" w14:textId="77777777">
        <w:trPr>
          <w:jc w:val="center"/>
        </w:trPr>
        <w:tc>
          <w:tcPr>
            <w:tcW w:w="2155" w:type="dxa"/>
          </w:tcPr>
          <w:p w:rsidR="00F61B49" w:rsidP="00F134A9" w:rsidRDefault="00F61B49" w14:paraId="1D901626" w14:textId="5AB37134">
            <w:pPr>
              <w:pStyle w:val="Standard"/>
              <w:ind w:firstLine="0"/>
            </w:pPr>
            <w:r>
              <w:t>San Benito</w:t>
            </w:r>
          </w:p>
        </w:tc>
        <w:tc>
          <w:tcPr>
            <w:tcW w:w="2403" w:type="dxa"/>
          </w:tcPr>
          <w:p w:rsidR="00F61B49" w:rsidP="00F134A9" w:rsidRDefault="00B63122" w14:paraId="3BAE6980" w14:textId="45EE8D8E">
            <w:pPr>
              <w:pStyle w:val="Standard"/>
              <w:ind w:firstLine="0"/>
            </w:pPr>
            <w:r>
              <w:t xml:space="preserve">2 </w:t>
            </w:r>
            <w:r w:rsidR="00F61B49">
              <w:t>tracts</w:t>
            </w:r>
          </w:p>
        </w:tc>
      </w:tr>
      <w:tr w:rsidR="00B238D8" w:rsidTr="00917CC9" w14:paraId="3FE797EE" w14:textId="77777777">
        <w:trPr>
          <w:jc w:val="center"/>
        </w:trPr>
        <w:tc>
          <w:tcPr>
            <w:tcW w:w="2155" w:type="dxa"/>
          </w:tcPr>
          <w:p w:rsidR="00B238D8" w:rsidP="00F134A9" w:rsidRDefault="00B238D8" w14:paraId="5263C15C" w14:textId="64EABCFC">
            <w:pPr>
              <w:pStyle w:val="Standard"/>
              <w:ind w:firstLine="0"/>
            </w:pPr>
            <w:r>
              <w:t>San Diego</w:t>
            </w:r>
          </w:p>
        </w:tc>
        <w:tc>
          <w:tcPr>
            <w:tcW w:w="2403" w:type="dxa"/>
          </w:tcPr>
          <w:p w:rsidR="00B238D8" w:rsidP="00F134A9" w:rsidRDefault="00B238D8" w14:paraId="57FDD52A" w14:textId="1FB3E65F">
            <w:pPr>
              <w:pStyle w:val="Standard"/>
              <w:ind w:firstLine="0"/>
            </w:pPr>
            <w:r>
              <w:t>25 tracts</w:t>
            </w:r>
          </w:p>
        </w:tc>
      </w:tr>
      <w:tr w:rsidR="00B238D8" w:rsidTr="00917CC9" w14:paraId="3738FD0C" w14:textId="77777777">
        <w:trPr>
          <w:jc w:val="center"/>
        </w:trPr>
        <w:tc>
          <w:tcPr>
            <w:tcW w:w="2155" w:type="dxa"/>
          </w:tcPr>
          <w:p w:rsidR="00B238D8" w:rsidP="00F134A9" w:rsidRDefault="00B238D8" w14:paraId="5BAF60BF" w14:textId="3BD85DF9">
            <w:pPr>
              <w:pStyle w:val="Standard"/>
              <w:ind w:firstLine="0"/>
            </w:pPr>
            <w:r>
              <w:t>San Francisco</w:t>
            </w:r>
          </w:p>
        </w:tc>
        <w:tc>
          <w:tcPr>
            <w:tcW w:w="2403" w:type="dxa"/>
          </w:tcPr>
          <w:p w:rsidR="00B238D8" w:rsidP="00F134A9" w:rsidRDefault="00B238D8" w14:paraId="721F5627" w14:textId="25414A86">
            <w:pPr>
              <w:pStyle w:val="Standard"/>
              <w:ind w:firstLine="0"/>
            </w:pPr>
            <w:r>
              <w:t>3 tracts</w:t>
            </w:r>
          </w:p>
        </w:tc>
      </w:tr>
      <w:tr w:rsidR="00917CC9" w:rsidTr="00917CC9" w14:paraId="44D00210" w14:textId="77777777">
        <w:trPr>
          <w:jc w:val="center"/>
        </w:trPr>
        <w:tc>
          <w:tcPr>
            <w:tcW w:w="2155" w:type="dxa"/>
          </w:tcPr>
          <w:p w:rsidR="00917CC9" w:rsidP="00F134A9" w:rsidRDefault="00917CC9" w14:paraId="3EB474AF" w14:textId="545960E0">
            <w:pPr>
              <w:pStyle w:val="Standard"/>
              <w:ind w:firstLine="0"/>
            </w:pPr>
            <w:r>
              <w:t>San Mateo</w:t>
            </w:r>
          </w:p>
        </w:tc>
        <w:tc>
          <w:tcPr>
            <w:tcW w:w="2403" w:type="dxa"/>
          </w:tcPr>
          <w:p w:rsidR="00917CC9" w:rsidP="00F134A9" w:rsidRDefault="00917CC9" w14:paraId="2BED2C7A" w14:textId="30CE1F5E">
            <w:pPr>
              <w:pStyle w:val="Standard"/>
              <w:ind w:firstLine="0"/>
            </w:pPr>
            <w:r>
              <w:t>17 tracts</w:t>
            </w:r>
          </w:p>
        </w:tc>
      </w:tr>
      <w:tr w:rsidR="00B238D8" w:rsidTr="00917CC9" w14:paraId="2CD1F019" w14:textId="77777777">
        <w:trPr>
          <w:jc w:val="center"/>
        </w:trPr>
        <w:tc>
          <w:tcPr>
            <w:tcW w:w="2155" w:type="dxa"/>
          </w:tcPr>
          <w:p w:rsidR="00B238D8" w:rsidP="00F134A9" w:rsidRDefault="00B238D8" w14:paraId="7B9668CF" w14:textId="687D4BCA">
            <w:pPr>
              <w:pStyle w:val="Standard"/>
              <w:ind w:firstLine="0"/>
            </w:pPr>
            <w:r>
              <w:t>Santa Barbara</w:t>
            </w:r>
          </w:p>
        </w:tc>
        <w:tc>
          <w:tcPr>
            <w:tcW w:w="2403" w:type="dxa"/>
          </w:tcPr>
          <w:p w:rsidR="00B238D8" w:rsidP="00F134A9" w:rsidRDefault="00B63122" w14:paraId="543FC0BD" w14:textId="6FB772CE">
            <w:pPr>
              <w:pStyle w:val="Standard"/>
              <w:ind w:firstLine="0"/>
            </w:pPr>
            <w:r>
              <w:t>4</w:t>
            </w:r>
            <w:r w:rsidR="00B238D8">
              <w:t xml:space="preserve"> tracts</w:t>
            </w:r>
          </w:p>
        </w:tc>
      </w:tr>
      <w:tr w:rsidR="00B238D8" w:rsidTr="00917CC9" w14:paraId="578E7303" w14:textId="77777777">
        <w:trPr>
          <w:jc w:val="center"/>
        </w:trPr>
        <w:tc>
          <w:tcPr>
            <w:tcW w:w="2155" w:type="dxa"/>
          </w:tcPr>
          <w:p w:rsidR="00B238D8" w:rsidP="00F134A9" w:rsidRDefault="00B238D8" w14:paraId="42D9E3D5" w14:textId="2BD53421">
            <w:pPr>
              <w:pStyle w:val="Standard"/>
              <w:ind w:firstLine="0"/>
            </w:pPr>
            <w:r>
              <w:t>Santa Clara</w:t>
            </w:r>
          </w:p>
        </w:tc>
        <w:tc>
          <w:tcPr>
            <w:tcW w:w="2403" w:type="dxa"/>
          </w:tcPr>
          <w:p w:rsidR="00B238D8" w:rsidP="00F134A9" w:rsidRDefault="00B238D8" w14:paraId="3C0644E9" w14:textId="032292DF">
            <w:pPr>
              <w:pStyle w:val="Standard"/>
              <w:ind w:firstLine="0"/>
            </w:pPr>
            <w:r>
              <w:t>9 tracts</w:t>
            </w:r>
          </w:p>
        </w:tc>
      </w:tr>
      <w:tr w:rsidR="00B238D8" w:rsidTr="00917CC9" w14:paraId="47DB7BA2" w14:textId="77777777">
        <w:trPr>
          <w:jc w:val="center"/>
        </w:trPr>
        <w:tc>
          <w:tcPr>
            <w:tcW w:w="2155" w:type="dxa"/>
          </w:tcPr>
          <w:p w:rsidR="00B238D8" w:rsidP="00F134A9" w:rsidRDefault="00B238D8" w14:paraId="07879739" w14:textId="7C51FAB7">
            <w:pPr>
              <w:pStyle w:val="Standard"/>
              <w:ind w:firstLine="0"/>
            </w:pPr>
            <w:r>
              <w:t>Santa Cruz</w:t>
            </w:r>
          </w:p>
        </w:tc>
        <w:tc>
          <w:tcPr>
            <w:tcW w:w="2403" w:type="dxa"/>
          </w:tcPr>
          <w:p w:rsidR="00B238D8" w:rsidP="00F134A9" w:rsidRDefault="00B63122" w14:paraId="77C125FE" w14:textId="6BBC4211">
            <w:pPr>
              <w:pStyle w:val="Standard"/>
              <w:ind w:firstLine="0"/>
            </w:pPr>
            <w:r>
              <w:t>9</w:t>
            </w:r>
            <w:r w:rsidR="00B238D8">
              <w:t xml:space="preserve"> tracts</w:t>
            </w:r>
          </w:p>
        </w:tc>
      </w:tr>
      <w:tr w:rsidR="00B238D8" w:rsidTr="00917CC9" w14:paraId="090CDF9F" w14:textId="77777777">
        <w:trPr>
          <w:jc w:val="center"/>
        </w:trPr>
        <w:tc>
          <w:tcPr>
            <w:tcW w:w="2155" w:type="dxa"/>
          </w:tcPr>
          <w:p w:rsidR="00B238D8" w:rsidP="00F134A9" w:rsidRDefault="00917CC9" w14:paraId="17320D10" w14:textId="69F7F414">
            <w:pPr>
              <w:pStyle w:val="Standard"/>
              <w:ind w:firstLine="0"/>
            </w:pPr>
            <w:r>
              <w:t>Sonoma</w:t>
            </w:r>
          </w:p>
        </w:tc>
        <w:tc>
          <w:tcPr>
            <w:tcW w:w="2403" w:type="dxa"/>
          </w:tcPr>
          <w:p w:rsidR="00B238D8" w:rsidP="00F134A9" w:rsidRDefault="00917CC9" w14:paraId="762BCAB8" w14:textId="6FA8311B">
            <w:pPr>
              <w:pStyle w:val="Standard"/>
              <w:ind w:firstLine="0"/>
            </w:pPr>
            <w:r>
              <w:t>3 tracts</w:t>
            </w:r>
          </w:p>
        </w:tc>
      </w:tr>
      <w:tr w:rsidR="00B238D8" w:rsidTr="00917CC9" w14:paraId="00D9B965" w14:textId="77777777">
        <w:trPr>
          <w:jc w:val="center"/>
        </w:trPr>
        <w:tc>
          <w:tcPr>
            <w:tcW w:w="2155" w:type="dxa"/>
          </w:tcPr>
          <w:p w:rsidR="00B238D8" w:rsidP="00F134A9" w:rsidRDefault="00917CC9" w14:paraId="6AC834BB" w14:textId="286C64E5">
            <w:pPr>
              <w:pStyle w:val="Standard"/>
              <w:ind w:firstLine="0"/>
            </w:pPr>
            <w:r>
              <w:t>Stanislaus</w:t>
            </w:r>
          </w:p>
        </w:tc>
        <w:tc>
          <w:tcPr>
            <w:tcW w:w="2403" w:type="dxa"/>
          </w:tcPr>
          <w:p w:rsidR="00B238D8" w:rsidP="00F134A9" w:rsidRDefault="00917CC9" w14:paraId="1D9BE62B" w14:textId="703D21AB">
            <w:pPr>
              <w:pStyle w:val="Standard"/>
              <w:ind w:firstLine="0"/>
            </w:pPr>
            <w:r>
              <w:t>5 tracts</w:t>
            </w:r>
          </w:p>
        </w:tc>
      </w:tr>
    </w:tbl>
    <w:bookmarkEnd w:id="58"/>
    <w:p w:rsidR="00CF75A8" w:rsidP="00CF75A8" w:rsidRDefault="00CF75A8" w14:paraId="756CF7EE" w14:textId="77777777">
      <w:pPr>
        <w:pStyle w:val="Heading4"/>
        <w:numPr>
          <w:ilvl w:val="3"/>
          <w:numId w:val="26"/>
        </w:numPr>
        <w:spacing w:before="160"/>
      </w:pPr>
      <w:r>
        <w:t xml:space="preserve"> </w:t>
      </w:r>
      <w:bookmarkStart w:name="_Toc216699690" w:id="59"/>
      <w:r>
        <w:t>Section 662(a)(2)</w:t>
      </w:r>
      <w:bookmarkEnd w:id="59"/>
    </w:p>
    <w:p w:rsidR="00CF75A8" w:rsidP="00CF75A8" w:rsidRDefault="00CF75A8" w14:paraId="4F2AB14C" w14:textId="791FC2D7">
      <w:pPr>
        <w:pStyle w:val="Standard"/>
      </w:pPr>
      <w:r>
        <w:t xml:space="preserve">We next rely on the presence of environmental and social justice communities </w:t>
      </w:r>
      <w:r w:rsidR="008C5DD4">
        <w:t>to expand the 1</w:t>
      </w:r>
      <w:r w:rsidR="00B63122">
        <w:t>39</w:t>
      </w:r>
      <w:r w:rsidR="008C5DD4">
        <w:t xml:space="preserve"> census tracts to 1</w:t>
      </w:r>
      <w:r w:rsidR="00B63122">
        <w:t>51</w:t>
      </w:r>
      <w:r w:rsidR="008C5DD4">
        <w:t xml:space="preserve"> initial decarbonization zones.</w:t>
      </w:r>
    </w:p>
    <w:p w:rsidR="003157F3" w:rsidP="008E5A59" w:rsidRDefault="008E5A59" w14:paraId="6098E326" w14:textId="0C5908D8">
      <w:pPr>
        <w:pStyle w:val="Standard"/>
      </w:pPr>
      <w:bookmarkStart w:name="_Hlk213424167" w:id="60"/>
      <w:r>
        <w:t>In comments, parties express</w:t>
      </w:r>
      <w:r w:rsidR="00135C54">
        <w:t>ed</w:t>
      </w:r>
      <w:r>
        <w:t xml:space="preserve"> concern that the methodology we adopt for designating initial decarbonization zones w</w:t>
      </w:r>
      <w:r w:rsidR="00135C54">
        <w:t>ould</w:t>
      </w:r>
      <w:r>
        <w:t xml:space="preserve"> exclude viable communities.</w:t>
      </w:r>
      <w:r w:rsidR="003A68F3">
        <w:rPr>
          <w:rStyle w:val="FootnoteReference"/>
        </w:rPr>
        <w:footnoteReference w:id="126"/>
      </w:r>
      <w:r w:rsidR="00FF1651">
        <w:t xml:space="preserve">  We share this concern</w:t>
      </w:r>
      <w:r w:rsidR="00EF2567">
        <w:t xml:space="preserve"> and also recognize the Legislature’s finding that deployment of zero-emission alternatives under SB 1221 should prioritize benefits to disadvantaged and low-income communities</w:t>
      </w:r>
      <w:r w:rsidR="00FF1651">
        <w:t>.</w:t>
      </w:r>
      <w:r w:rsidR="00EF2567">
        <w:rPr>
          <w:rStyle w:val="FootnoteReference"/>
        </w:rPr>
        <w:footnoteReference w:id="127"/>
      </w:r>
      <w:r w:rsidR="00FF1651">
        <w:t xml:space="preserve">  </w:t>
      </w:r>
      <w:r w:rsidR="003157F3">
        <w:t xml:space="preserve">Accordingly, we expand the initial decarbonization zones in counties </w:t>
      </w:r>
      <w:r w:rsidR="00064285">
        <w:t xml:space="preserve">impacted </w:t>
      </w:r>
      <w:r w:rsidR="00064285">
        <w:lastRenderedPageBreak/>
        <w:t xml:space="preserve">by our 25-census-tract cap </w:t>
      </w:r>
      <w:r w:rsidR="003157F3">
        <w:t xml:space="preserve">to include </w:t>
      </w:r>
      <w:r w:rsidR="00613BC1">
        <w:t xml:space="preserve">certain </w:t>
      </w:r>
      <w:r w:rsidR="00AB098C">
        <w:t>census tracts with environmental and social justice communities.</w:t>
      </w:r>
    </w:p>
    <w:p w:rsidR="008A171B" w:rsidP="008A171B" w:rsidRDefault="003157F3" w14:paraId="64796253" w14:textId="5F03C2AA">
      <w:pPr>
        <w:pStyle w:val="Standard"/>
      </w:pPr>
      <w:r>
        <w:t xml:space="preserve">As described above, </w:t>
      </w:r>
      <w:r w:rsidR="00064285">
        <w:t xml:space="preserve">the only counties impacted by the cap are Alameda and San Diego counties.  There are </w:t>
      </w:r>
      <w:r>
        <w:t xml:space="preserve">an additional </w:t>
      </w:r>
      <w:r w:rsidR="004C317B">
        <w:t>3</w:t>
      </w:r>
      <w:r w:rsidR="00167F3B">
        <w:t>5</w:t>
      </w:r>
      <w:r>
        <w:t xml:space="preserve"> census tracts in Alameda County and 1</w:t>
      </w:r>
      <w:r w:rsidR="00167F3B">
        <w:t>71</w:t>
      </w:r>
      <w:r>
        <w:t xml:space="preserve"> census tracts in San Diego County </w:t>
      </w:r>
      <w:r w:rsidR="00064285">
        <w:t xml:space="preserve">that </w:t>
      </w:r>
      <w:r>
        <w:t xml:space="preserve">have local support and 10 percent or more of the gas mains scheduled for replacement. </w:t>
      </w:r>
      <w:r w:rsidR="008A171B">
        <w:t xml:space="preserve"> </w:t>
      </w:r>
      <w:r w:rsidR="009C42DC">
        <w:t>To identify which of these 2</w:t>
      </w:r>
      <w:r w:rsidR="004C317B">
        <w:t>0</w:t>
      </w:r>
      <w:r w:rsidR="009C42DC">
        <w:t>6 census tracts have environmental and social justice communities, w</w:t>
      </w:r>
      <w:r w:rsidR="008A171B">
        <w:t xml:space="preserve">e </w:t>
      </w:r>
      <w:r w:rsidR="00613BC1">
        <w:t xml:space="preserve">take an approach based on </w:t>
      </w:r>
      <w:r w:rsidR="008A171B">
        <w:t xml:space="preserve">the definition of "Disadvantaged Communities" from the Commission’s </w:t>
      </w:r>
      <w:r w:rsidR="008A171B">
        <w:rPr>
          <w:i/>
          <w:iCs/>
        </w:rPr>
        <w:t>Environmental and Social Justice Action Plan</w:t>
      </w:r>
      <w:r w:rsidR="009C42DC">
        <w:t>.</w:t>
      </w:r>
      <w:r w:rsidR="009C42DC">
        <w:rPr>
          <w:rStyle w:val="FootnoteReference"/>
        </w:rPr>
        <w:footnoteReference w:id="128"/>
      </w:r>
      <w:r w:rsidR="009C42DC">
        <w:t xml:space="preserve">  There are six census</w:t>
      </w:r>
      <w:r w:rsidR="00152429">
        <w:t xml:space="preserve"> tracts</w:t>
      </w:r>
      <w:r w:rsidR="009C42DC">
        <w:t xml:space="preserve"> in Alameda County and six census tracts in San Diego County that score </w:t>
      </w:r>
      <w:r w:rsidR="008A171B">
        <w:t>in the top 25 percent of CalEnviroScreen 4.0.</w:t>
      </w:r>
      <w:r w:rsidR="009C42DC">
        <w:rPr>
          <w:rStyle w:val="FootnoteReference"/>
        </w:rPr>
        <w:footnoteReference w:id="129"/>
      </w:r>
      <w:r w:rsidR="009C42DC">
        <w:t xml:space="preserve">  As such, we add these additional 12 census tracts </w:t>
      </w:r>
      <w:r w:rsidR="006D79FB">
        <w:t xml:space="preserve">to </w:t>
      </w:r>
      <w:r w:rsidR="009C42DC">
        <w:t>the 1</w:t>
      </w:r>
      <w:r w:rsidR="00B63122">
        <w:t>39</w:t>
      </w:r>
      <w:r w:rsidR="009C42DC">
        <w:t xml:space="preserve"> previously identified for a total of 1</w:t>
      </w:r>
      <w:r w:rsidR="00B63122">
        <w:t>51</w:t>
      </w:r>
      <w:r w:rsidR="009C42DC">
        <w:t xml:space="preserve"> initial decarbonization zones.</w:t>
      </w:r>
      <w:r w:rsidR="00064285">
        <w:rPr>
          <w:rStyle w:val="FootnoteReference"/>
        </w:rPr>
        <w:footnoteReference w:id="130"/>
      </w:r>
      <w:r w:rsidR="009C42DC">
        <w:t xml:space="preserve">  </w:t>
      </w:r>
    </w:p>
    <w:bookmarkEnd w:id="60"/>
    <w:p w:rsidR="00CF75A8" w:rsidP="00CF75A8" w:rsidRDefault="00064285" w14:paraId="707057B9" w14:textId="491BBAE6">
      <w:pPr>
        <w:pStyle w:val="Standard"/>
      </w:pPr>
      <w:r>
        <w:t xml:space="preserve">We also </w:t>
      </w:r>
      <w:r w:rsidR="00135C54">
        <w:t xml:space="preserve">look </w:t>
      </w:r>
      <w:r w:rsidR="004C317B">
        <w:t>at</w:t>
      </w:r>
      <w:r w:rsidR="00135C54">
        <w:t xml:space="preserve"> all 1</w:t>
      </w:r>
      <w:r w:rsidR="00F61B49">
        <w:t>5</w:t>
      </w:r>
      <w:r w:rsidR="00B63122">
        <w:t>1</w:t>
      </w:r>
      <w:r w:rsidR="00135C54">
        <w:t xml:space="preserve"> initial decarbonization zones to assess</w:t>
      </w:r>
      <w:r>
        <w:t xml:space="preserve"> the presence of environmental and social justice communities.  </w:t>
      </w:r>
      <w:r w:rsidR="00CF75A8">
        <w:t xml:space="preserve">Using the CalEnviroScreen (CES) composite score, we find that the initial decarbonization zones have an average CES percentile of </w:t>
      </w:r>
      <w:r w:rsidR="00167F3B">
        <w:t>51</w:t>
      </w:r>
      <w:r w:rsidR="00CF75A8">
        <w:t xml:space="preserve">, which is slightly </w:t>
      </w:r>
      <w:r w:rsidR="00167F3B">
        <w:t>above</w:t>
      </w:r>
      <w:r w:rsidR="00CF75A8">
        <w:t xml:space="preserve"> the statewide average (</w:t>
      </w:r>
      <w:r w:rsidR="00CF75A8">
        <w:rPr>
          <w:i/>
          <w:iCs/>
        </w:rPr>
        <w:t>i.e.</w:t>
      </w:r>
      <w:r w:rsidRPr="00C15B76" w:rsidR="00CF75A8">
        <w:t>,</w:t>
      </w:r>
      <w:r w:rsidR="00CF75A8">
        <w:rPr>
          <w:i/>
          <w:iCs/>
        </w:rPr>
        <w:t xml:space="preserve"> </w:t>
      </w:r>
      <w:r w:rsidR="00CF75A8">
        <w:lastRenderedPageBreak/>
        <w:t>50th percentile).</w:t>
      </w:r>
      <w:r w:rsidR="00CF75A8">
        <w:rPr>
          <w:rStyle w:val="FootnoteReference"/>
        </w:rPr>
        <w:footnoteReference w:id="131"/>
      </w:r>
      <w:r w:rsidR="00CF75A8">
        <w:t xml:space="preserve">  Asthma rates are one of the indicators that feed into the CES composite score and are a key indicator of health vulnerability.  While the initial decarbonization zones’ average asthma rate is at the 5</w:t>
      </w:r>
      <w:r w:rsidR="00167F3B">
        <w:t>8</w:t>
      </w:r>
      <w:r w:rsidR="00CF75A8">
        <w:t>th percentile (slightly above average), some of these zones have some of the highest asthma rates in the state.</w:t>
      </w:r>
      <w:r w:rsidR="00CF75A8">
        <w:rPr>
          <w:rStyle w:val="FootnoteReference"/>
        </w:rPr>
        <w:footnoteReference w:id="132"/>
      </w:r>
      <w:r w:rsidR="00CF75A8">
        <w:t xml:space="preserve">  </w:t>
      </w:r>
    </w:p>
    <w:p w:rsidR="00CF75A8" w:rsidP="00CF75A8" w:rsidRDefault="00CF75A8" w14:paraId="1F720D17" w14:textId="29979A58">
      <w:pPr>
        <w:pStyle w:val="Standard"/>
      </w:pPr>
      <w:r>
        <w:t xml:space="preserve">Given our </w:t>
      </w:r>
      <w:r w:rsidR="00064285">
        <w:t xml:space="preserve">designation of initial decarbonization zones in environmental and social justice communities and our </w:t>
      </w:r>
      <w:r>
        <w:t>commitment to updating the decarbonization zones, we find it reasonable to designate a range of initial decarbonization zones in a range of communities.  The initial decarbonization zones will enable us to gather information from diverse types of neighborhoods and learn from the experiences of pilot projects.</w:t>
      </w:r>
    </w:p>
    <w:p w:rsidR="00B845F8" w:rsidP="00CF75A8" w:rsidRDefault="00B845F8" w14:paraId="23D632E5" w14:textId="06344CC6">
      <w:pPr>
        <w:pStyle w:val="Heading4"/>
      </w:pPr>
      <w:bookmarkStart w:name="_Toc216699691" w:id="61"/>
      <w:r>
        <w:t>Section 662(a)(1)</w:t>
      </w:r>
      <w:bookmarkEnd w:id="61"/>
    </w:p>
    <w:p w:rsidR="004179EE" w:rsidP="004179EE" w:rsidRDefault="00B845F8" w14:paraId="24D73446" w14:textId="7AB87340">
      <w:pPr>
        <w:pStyle w:val="Standard"/>
      </w:pPr>
      <w:r>
        <w:t>W</w:t>
      </w:r>
      <w:r w:rsidR="00887F8F">
        <w:t>e consider whether the initial decarbonization zones contain the presence of disadvantaged or low-income communities in high-temperature climate zones or low-temperature climate zones that disproportionately lack heating or cooling.</w:t>
      </w:r>
      <w:r w:rsidR="005A16FE">
        <w:t xml:space="preserve">  We agree with Cal Advocates’ assertion that this factor is distinct from straightforward identification of environmental and social justice communities in Section 662(a)(2).</w:t>
      </w:r>
      <w:r w:rsidR="005A16FE">
        <w:rPr>
          <w:rStyle w:val="FootnoteReference"/>
        </w:rPr>
        <w:footnoteReference w:id="133"/>
      </w:r>
      <w:r w:rsidR="00E57457">
        <w:t xml:space="preserve">  We also agree with PG&amp;E that “there are many different credible measures of low-income qualification, and each includes and excludes sometimes significantly different portions of a given population depending on the specific criteria or method.”</w:t>
      </w:r>
      <w:r w:rsidR="00E57457">
        <w:rPr>
          <w:rStyle w:val="FootnoteReference"/>
        </w:rPr>
        <w:footnoteReference w:id="134"/>
      </w:r>
      <w:r w:rsidR="008245DB">
        <w:t xml:space="preserve">  Finally, we recognize </w:t>
      </w:r>
      <w:r w:rsidR="008245DB">
        <w:lastRenderedPageBreak/>
        <w:t>SoCalGas/SDG&amp;E’s point that SB 1221 offers an “opportunity to leverage learnings from the program in developing future policies around long-term gas planning and alternative investments.”</w:t>
      </w:r>
      <w:r w:rsidR="008245DB">
        <w:rPr>
          <w:rStyle w:val="FootnoteReference"/>
        </w:rPr>
        <w:footnoteReference w:id="135"/>
      </w:r>
      <w:r w:rsidR="008245DB">
        <w:t xml:space="preserve">  </w:t>
      </w:r>
      <w:r w:rsidR="005A16FE">
        <w:t xml:space="preserve">  </w:t>
      </w:r>
      <w:r w:rsidR="007B2F10">
        <w:t xml:space="preserve"> </w:t>
      </w:r>
      <w:r w:rsidR="00657902">
        <w:t xml:space="preserve"> </w:t>
      </w:r>
    </w:p>
    <w:p w:rsidR="00445E8E" w:rsidP="008C4091" w:rsidRDefault="008245DB" w14:paraId="4CBC5E6D" w14:textId="2421E59E">
      <w:pPr>
        <w:pStyle w:val="Standard"/>
      </w:pPr>
      <w:bookmarkStart w:name="_Hlk212455340" w:id="62"/>
      <w:r>
        <w:t xml:space="preserve">Accordingly, we did not rely on this factor to further narrow the initial decarbonization zones </w:t>
      </w:r>
      <w:r w:rsidR="008C4091">
        <w:t xml:space="preserve">for two reasons.  </w:t>
      </w:r>
      <w:bookmarkStart w:name="_Hlk212455348" w:id="63"/>
      <w:bookmarkEnd w:id="62"/>
      <w:r w:rsidR="008C4091">
        <w:t>First,</w:t>
      </w:r>
      <w:r>
        <w:t xml:space="preserve"> we aim to leverage the most learning opportunities at this early stage.  </w:t>
      </w:r>
      <w:bookmarkEnd w:id="63"/>
      <w:r w:rsidR="008C4091">
        <w:t>The 1</w:t>
      </w:r>
      <w:r w:rsidR="00D31E06">
        <w:t>5</w:t>
      </w:r>
      <w:r w:rsidR="00B63122">
        <w:t>1</w:t>
      </w:r>
      <w:r w:rsidR="008C4091">
        <w:t xml:space="preserve"> census tracts designated as initial decarbonization zones represent diverse neighborhoods, including some that may contain disadvantaged or low-income communities in high- or low-temperature climate zones that disproportionately lack heating or cooling.  For example, w</w:t>
      </w:r>
      <w:r>
        <w:t xml:space="preserve">e found that </w:t>
      </w:r>
      <w:bookmarkStart w:name="_Hlk212455368" w:id="64"/>
      <w:r>
        <w:t>approximately 6</w:t>
      </w:r>
      <w:r w:rsidR="00167F3B">
        <w:t>8</w:t>
      </w:r>
      <w:r>
        <w:t xml:space="preserve"> percent of initial decarbonization zones contain low-income households, according to the California Air Resources Board, “List of Priority Populations 4.0 Tool.”</w:t>
      </w:r>
      <w:bookmarkEnd w:id="64"/>
      <w:r>
        <w:rPr>
          <w:rStyle w:val="FootnoteReference"/>
        </w:rPr>
        <w:footnoteReference w:id="136"/>
      </w:r>
      <w:r>
        <w:t xml:space="preserve">  </w:t>
      </w:r>
      <w:bookmarkStart w:name="_Hlk212455355" w:id="65"/>
    </w:p>
    <w:p w:rsidR="008C4091" w:rsidP="008C4091" w:rsidRDefault="008C4091" w14:paraId="5F4CE16B" w14:textId="314B0B21">
      <w:pPr>
        <w:pStyle w:val="Standard"/>
      </w:pPr>
      <w:r>
        <w:t xml:space="preserve">Second, as Cal Advocates and PG&amp;E recognize, consideration </w:t>
      </w:r>
      <w:r w:rsidR="00613BC1">
        <w:t xml:space="preserve">of Section 662(a)(1) </w:t>
      </w:r>
      <w:r>
        <w:t xml:space="preserve">is distinct from identifying environmental and social justice communities and can be determined by a range of credible measures.  </w:t>
      </w:r>
      <w:bookmarkEnd w:id="65"/>
      <w:r>
        <w:t xml:space="preserve">While SoCalGas/SDG&amp;E, Cal Advocates, and NRDC/Sierra Club provided resources to inform our consideration, we need additional time, beyond January 1, 2026, to thoroughly assess available resources and </w:t>
      </w:r>
      <w:r w:rsidR="00B2543F">
        <w:t xml:space="preserve">further </w:t>
      </w:r>
      <w:r>
        <w:t xml:space="preserve">incorporate this factor into our methodology.  </w:t>
      </w:r>
    </w:p>
    <w:p w:rsidR="00887F8F" w:rsidP="004179EE" w:rsidRDefault="009139A8" w14:paraId="080287D9" w14:textId="7545B65B">
      <w:pPr>
        <w:pStyle w:val="Standard"/>
      </w:pPr>
      <w:r>
        <w:t xml:space="preserve">As such, we find it reasonable to defer </w:t>
      </w:r>
      <w:r w:rsidR="005A16FE">
        <w:t>applying</w:t>
      </w:r>
      <w:r w:rsidR="00CE0BEC">
        <w:t xml:space="preserve"> </w:t>
      </w:r>
      <w:r>
        <w:t xml:space="preserve">this factor </w:t>
      </w:r>
      <w:r w:rsidR="00CE0BEC">
        <w:t>u</w:t>
      </w:r>
      <w:r>
        <w:t xml:space="preserve">ntil </w:t>
      </w:r>
      <w:r w:rsidR="00AE0D59">
        <w:t>we update the initial decarbonization zones</w:t>
      </w:r>
      <w:r>
        <w:t>.</w:t>
      </w:r>
      <w:r w:rsidR="007B2F10">
        <w:t xml:space="preserve">   </w:t>
      </w:r>
    </w:p>
    <w:p w:rsidR="00FA1B4F" w:rsidP="00FA1B4F" w:rsidRDefault="005939A5" w14:paraId="7D4E6C1E" w14:textId="2D5E8925">
      <w:pPr>
        <w:pStyle w:val="Heading1"/>
      </w:pPr>
      <w:bookmarkStart w:name="_Toc216699692" w:id="66"/>
      <w:bookmarkEnd w:id="47"/>
      <w:r>
        <w:lastRenderedPageBreak/>
        <w:t>Conclusion</w:t>
      </w:r>
      <w:bookmarkEnd w:id="15"/>
      <w:bookmarkEnd w:id="66"/>
    </w:p>
    <w:p w:rsidR="00F31C5B" w:rsidP="00F31C5B" w:rsidRDefault="00F31C5B" w14:paraId="1DE2DE23" w14:textId="60708734">
      <w:pPr>
        <w:pStyle w:val="Standard"/>
      </w:pPr>
      <w:bookmarkStart w:name="_Toc8123723" w:id="67"/>
      <w:r>
        <w:t xml:space="preserve">This decision designates initial priority neighborhood decarbonization zones, as required </w:t>
      </w:r>
      <w:r w:rsidR="005D42E6">
        <w:t xml:space="preserve">by </w:t>
      </w:r>
      <w:r>
        <w:t xml:space="preserve">Section 662(a).  A table listing the census tracts that comprise the initial decarbonization zones is included as Appendix </w:t>
      </w:r>
      <w:r w:rsidR="004C7E23">
        <w:t>A</w:t>
      </w:r>
      <w:r>
        <w:t xml:space="preserve">.  </w:t>
      </w:r>
      <w:r w:rsidR="006D79FB">
        <w:t xml:space="preserve">A map depicting the locations of the initial priority neighborhood decarbonization zones is included with this decision as Appendix B.  </w:t>
      </w:r>
      <w:r w:rsidR="00DA280D">
        <w:t>By January 16, 2026</w:t>
      </w:r>
      <w:r w:rsidR="00C15B76">
        <w:t xml:space="preserve">, </w:t>
      </w:r>
      <w:r w:rsidR="005D42E6">
        <w:t xml:space="preserve">PG&amp;E, SoCalGas, </w:t>
      </w:r>
      <w:r w:rsidR="005F4A92">
        <w:t xml:space="preserve">and </w:t>
      </w:r>
      <w:r w:rsidR="005D42E6">
        <w:t>SDG&amp;E</w:t>
      </w:r>
      <w:r w:rsidR="005F4A92">
        <w:t xml:space="preserve"> </w:t>
      </w:r>
      <w:r w:rsidR="005D42E6">
        <w:t>shall</w:t>
      </w:r>
      <w:r>
        <w:t xml:space="preserve"> i</w:t>
      </w:r>
      <w:r w:rsidR="00C15B76">
        <w:t>nclude</w:t>
      </w:r>
      <w:r>
        <w:t xml:space="preserve"> the initial priority neighborhood decarbonization zones on th</w:t>
      </w:r>
      <w:r w:rsidR="005D42E6">
        <w:t>eir SB 1221 maps</w:t>
      </w:r>
      <w:r w:rsidR="004D4306">
        <w:t>, update their map user guides accordingly, and reflect these changes on their SB 1221 webpages</w:t>
      </w:r>
      <w:r>
        <w:t>.</w:t>
      </w:r>
      <w:r w:rsidR="005F4A92">
        <w:t xml:space="preserve">  There are no initial decarbonization zones in Southwest Gas’s service territory.</w:t>
      </w:r>
      <w:r w:rsidR="008F776A">
        <w:t xml:space="preserve">  PG&amp;E, SoCalGas, SDG&amp;E, and Southwest Gas are also required to </w:t>
      </w:r>
      <w:r w:rsidR="008A73D2">
        <w:t>provide information to</w:t>
      </w:r>
      <w:r w:rsidR="00135C54">
        <w:t xml:space="preserve"> </w:t>
      </w:r>
      <w:r w:rsidR="00415457">
        <w:t xml:space="preserve">tribal representatives, LSE representatives, government representatives, and </w:t>
      </w:r>
      <w:r w:rsidR="00135C54">
        <w:t xml:space="preserve">community </w:t>
      </w:r>
      <w:r w:rsidR="004E55B2">
        <w:t>organizations</w:t>
      </w:r>
      <w:r w:rsidR="00135C54">
        <w:t xml:space="preserve">, solicit feedback on SB 1221’s diversity and equity considerations, and </w:t>
      </w:r>
      <w:r w:rsidR="008F776A">
        <w:t>ho</w:t>
      </w:r>
      <w:r w:rsidR="00135C54">
        <w:t>st</w:t>
      </w:r>
      <w:r w:rsidR="008F776A">
        <w:t xml:space="preserve"> </w:t>
      </w:r>
      <w:r w:rsidR="00135C54">
        <w:t>one</w:t>
      </w:r>
      <w:r w:rsidR="008F776A">
        <w:t xml:space="preserve"> </w:t>
      </w:r>
      <w:r w:rsidR="006F50A2">
        <w:t xml:space="preserve">virtual </w:t>
      </w:r>
      <w:r w:rsidR="008F776A">
        <w:t>SB 1221 information session between January 1</w:t>
      </w:r>
      <w:r w:rsidR="00415457">
        <w:t>5</w:t>
      </w:r>
      <w:r w:rsidR="008F776A">
        <w:t xml:space="preserve">, 2026 and </w:t>
      </w:r>
      <w:r w:rsidR="00135C54">
        <w:t>March 15</w:t>
      </w:r>
      <w:r w:rsidR="008F776A">
        <w:t>, 2026.</w:t>
      </w:r>
    </w:p>
    <w:p w:rsidR="005939A5" w:rsidP="005939A5" w:rsidRDefault="005939A5" w14:paraId="3171E2B7" w14:textId="77777777">
      <w:pPr>
        <w:pStyle w:val="Heading1"/>
      </w:pPr>
      <w:bookmarkStart w:name="_Toc216699693" w:id="68"/>
      <w:r>
        <w:t>Comments on Proposed Decision</w:t>
      </w:r>
      <w:bookmarkEnd w:id="67"/>
      <w:bookmarkEnd w:id="68"/>
    </w:p>
    <w:p w:rsidR="005939A5" w:rsidP="005C58FA" w:rsidRDefault="005C58FA" w14:paraId="74E7B80A" w14:textId="7B60EF47">
      <w:pPr>
        <w:pStyle w:val="Standard"/>
      </w:pPr>
      <w:r w:rsidRPr="005425AB">
        <w:t xml:space="preserve">The proposed decision of Commissioner </w:t>
      </w:r>
      <w:r w:rsidR="00F31C5B">
        <w:t>Karen Douglas</w:t>
      </w:r>
      <w:r>
        <w:t xml:space="preserve"> in this matter was mailed to the parties in accordance with Section 311 of the Public Utilities Code and comments were allowed under Rule 14.3 of the Commission’s Rules of Practice and Procedure.  Comments were filed on </w:t>
      </w:r>
      <w:r w:rsidR="00DA280D">
        <w:t>December 3, 2025 by CCR REN; CforAT; CMUA; Contra Costa; Contra Costa Building and Construction Trades Council; Indicated Shippers; the Joint CCAs; M</w:t>
      </w:r>
      <w:r w:rsidR="008A73D2">
        <w:t>arin Clean Energy</w:t>
      </w:r>
      <w:r w:rsidR="00DA280D">
        <w:t>; NRDC/Sierra Club; PG&amp;E; San Francisco; SBUA; SCE; SoCalGas/SDG&amp;E; Southwest Gas; TURN; and UCAN.</w:t>
      </w:r>
      <w:r>
        <w:t xml:space="preserve"> </w:t>
      </w:r>
      <w:r w:rsidR="00DA280D">
        <w:t xml:space="preserve"> R</w:t>
      </w:r>
      <w:r>
        <w:t>eply comments were filed on</w:t>
      </w:r>
      <w:r w:rsidR="00DA280D">
        <w:t xml:space="preserve"> December 8, 2025</w:t>
      </w:r>
      <w:r>
        <w:t xml:space="preserve"> by </w:t>
      </w:r>
      <w:r w:rsidR="00DA280D">
        <w:t>Cal Advocates; CMUA; the Joint CCAs; PG&amp;E; SCE; SoCalG</w:t>
      </w:r>
      <w:r w:rsidR="005920AF">
        <w:t>a</w:t>
      </w:r>
      <w:r w:rsidR="00DA280D">
        <w:t>s/SDG&amp;E; and UCAN</w:t>
      </w:r>
      <w:r>
        <w:t>.</w:t>
      </w:r>
      <w:r w:rsidRPr="00C878D5" w:rsidR="00C878D5">
        <w:t xml:space="preserve"> </w:t>
      </w:r>
      <w:r w:rsidR="00E02F69">
        <w:t xml:space="preserve">  We summarize and respond to the comments below.</w:t>
      </w:r>
    </w:p>
    <w:p w:rsidR="00E02F69" w:rsidP="00E02F69" w:rsidRDefault="00E02F69" w14:paraId="0689FDB2" w14:textId="1CD004D4">
      <w:pPr>
        <w:pStyle w:val="Heading2"/>
      </w:pPr>
      <w:bookmarkStart w:name="_Toc216699694" w:id="69"/>
      <w:r>
        <w:lastRenderedPageBreak/>
        <w:t>Compliance Deadline</w:t>
      </w:r>
      <w:bookmarkEnd w:id="69"/>
    </w:p>
    <w:p w:rsidR="00E02F69" w:rsidP="005C58FA" w:rsidRDefault="00DA280D" w14:paraId="3670ADA7" w14:textId="77777777">
      <w:pPr>
        <w:pStyle w:val="Standard"/>
      </w:pPr>
      <w:r>
        <w:t>PG&amp;E request</w:t>
      </w:r>
      <w:r w:rsidR="00CC318C">
        <w:t>s</w:t>
      </w:r>
      <w:r>
        <w:t xml:space="preserve"> 45 days to comply with Ordering Paragraph 2 of this decision</w:t>
      </w:r>
      <w:r w:rsidR="00CC318C">
        <w:t xml:space="preserve"> </w:t>
      </w:r>
      <w:r>
        <w:t>due to year-end holidays.</w:t>
      </w:r>
      <w:r>
        <w:rPr>
          <w:rStyle w:val="FootnoteReference"/>
        </w:rPr>
        <w:footnoteReference w:id="137"/>
      </w:r>
      <w:r>
        <w:t xml:space="preserve">  UCAN</w:t>
      </w:r>
      <w:r w:rsidR="00CC318C">
        <w:t xml:space="preserve"> supports extending the deadline from the 15 days described in the proposed decision but recommends a deadline of January 16, 2026, because “the statutory deadlines dictate that the schedule remain as compressed as possible.”</w:t>
      </w:r>
      <w:r w:rsidR="00CC318C">
        <w:rPr>
          <w:rStyle w:val="FootnoteReference"/>
        </w:rPr>
        <w:footnoteReference w:id="138"/>
      </w:r>
      <w:r w:rsidR="00CC318C">
        <w:t xml:space="preserve">  </w:t>
      </w:r>
    </w:p>
    <w:p w:rsidR="00DA280D" w:rsidP="005C58FA" w:rsidRDefault="00CC318C" w14:paraId="512A8766" w14:textId="59C0ECC9">
      <w:pPr>
        <w:pStyle w:val="Standard"/>
      </w:pPr>
      <w:r>
        <w:t>Given the holidays, it is reasonable to extend the deadline.  However, PG&amp;E’s proposed 45-day extension would delay webpage updates to February 2, 2026.  We agree with UCAN</w:t>
      </w:r>
      <w:r w:rsidR="00D31E06">
        <w:t xml:space="preserve"> that</w:t>
      </w:r>
      <w:r>
        <w:t xml:space="preserve"> such a lengthy extension is unreasonable because of SB 1221’s statutory deadlines and the need to make information available to the public in a timely manner.  Therefore, we extend the deadline to January 16, 2026.  </w:t>
      </w:r>
    </w:p>
    <w:p w:rsidR="00E02F69" w:rsidP="00E02F69" w:rsidRDefault="00E02F69" w14:paraId="53F3C6FD" w14:textId="213E72DF">
      <w:pPr>
        <w:pStyle w:val="Heading2"/>
      </w:pPr>
      <w:bookmarkStart w:name="_Toc216699695" w:id="70"/>
      <w:r>
        <w:t>Additional Initial Decarbonization Zones</w:t>
      </w:r>
      <w:bookmarkEnd w:id="70"/>
    </w:p>
    <w:p w:rsidR="005964DE" w:rsidP="005C58FA" w:rsidRDefault="008B5337" w14:paraId="49DF24B7" w14:textId="17D86D63">
      <w:pPr>
        <w:pStyle w:val="Standard"/>
      </w:pPr>
      <w:r>
        <w:t xml:space="preserve">Many parties and </w:t>
      </w:r>
      <w:r w:rsidR="006F50A2">
        <w:t>commenters using the “Public Comment” tab of the proceeding’s Docket Card request</w:t>
      </w:r>
      <w:r>
        <w:t xml:space="preserve"> that we designate additional initial decarbonization zones</w:t>
      </w:r>
      <w:r w:rsidR="005964DE">
        <w:t xml:space="preserve">.  The </w:t>
      </w:r>
      <w:r w:rsidR="00B63122">
        <w:t xml:space="preserve">City of Goleta, the City of Santa Monica, </w:t>
      </w:r>
      <w:r w:rsidR="005964DE">
        <w:t xml:space="preserve">Contra Costa Building and Construction Trades Council, CCR REN, </w:t>
      </w:r>
      <w:r>
        <w:t>Alliance for Californians for Community Empowerment (</w:t>
      </w:r>
      <w:r w:rsidR="005964DE">
        <w:t>ACCE</w:t>
      </w:r>
      <w:r>
        <w:t>)</w:t>
      </w:r>
      <w:r w:rsidR="005964DE">
        <w:t>, E</w:t>
      </w:r>
      <w:r>
        <w:t xml:space="preserve">merald </w:t>
      </w:r>
      <w:r w:rsidR="005964DE">
        <w:t>C</w:t>
      </w:r>
      <w:r>
        <w:t xml:space="preserve">ities Collaborative of Northern </w:t>
      </w:r>
      <w:r w:rsidR="005964DE">
        <w:t>C</w:t>
      </w:r>
      <w:r>
        <w:t>alifornia (ECC)</w:t>
      </w:r>
      <w:r w:rsidR="005964DE">
        <w:t xml:space="preserve">, </w:t>
      </w:r>
      <w:r w:rsidR="00FC49E6">
        <w:t>People Organizing to Demand Environmental &amp; Economic Rights (</w:t>
      </w:r>
      <w:r w:rsidR="005964DE">
        <w:t>PODER</w:t>
      </w:r>
      <w:r w:rsidR="00FC49E6">
        <w:t>)</w:t>
      </w:r>
      <w:r>
        <w:t>, and Redeemer Community Partnership (RCP)</w:t>
      </w:r>
      <w:r w:rsidR="005964DE">
        <w:t xml:space="preserve"> request inclusion of specific census tracts</w:t>
      </w:r>
      <w:r>
        <w:t xml:space="preserve"> or neighborhoods</w:t>
      </w:r>
      <w:r w:rsidR="005964DE">
        <w:t>.</w:t>
      </w:r>
      <w:r>
        <w:rPr>
          <w:rStyle w:val="FootnoteReference"/>
        </w:rPr>
        <w:footnoteReference w:id="139"/>
      </w:r>
      <w:r w:rsidR="005964DE">
        <w:t xml:space="preserve">  </w:t>
      </w:r>
      <w:r>
        <w:lastRenderedPageBreak/>
        <w:t xml:space="preserve">Based on these requests and </w:t>
      </w:r>
      <w:r w:rsidR="005964DE">
        <w:t xml:space="preserve">the methodology described in this decision, we </w:t>
      </w:r>
      <w:r w:rsidR="00D31E06">
        <w:t xml:space="preserve">increased the </w:t>
      </w:r>
      <w:r w:rsidR="001D66E9">
        <w:t>number of initial decarbonization zones</w:t>
      </w:r>
      <w:r w:rsidR="00D31E06">
        <w:t xml:space="preserve"> to 15</w:t>
      </w:r>
      <w:r w:rsidR="00B63122">
        <w:t>1</w:t>
      </w:r>
      <w:r w:rsidR="00D31E06">
        <w:t>.  The increase represents</w:t>
      </w:r>
      <w:r w:rsidR="005964DE">
        <w:t xml:space="preserve"> </w:t>
      </w:r>
      <w:r w:rsidR="00FC49E6">
        <w:t>nine</w:t>
      </w:r>
      <w:r w:rsidR="005964DE">
        <w:t xml:space="preserve"> additional</w:t>
      </w:r>
      <w:r>
        <w:t xml:space="preserve"> initial decarbonization zones </w:t>
      </w:r>
      <w:r w:rsidR="005964DE">
        <w:t xml:space="preserve">in </w:t>
      </w:r>
      <w:r w:rsidR="008A73D2">
        <w:t xml:space="preserve">Los Angeles, </w:t>
      </w:r>
      <w:r w:rsidR="00B63122">
        <w:t xml:space="preserve">Monterey, </w:t>
      </w:r>
      <w:r w:rsidR="005964DE">
        <w:t xml:space="preserve">San Benito, Santa Barbara, </w:t>
      </w:r>
      <w:r w:rsidR="008A73D2">
        <w:t xml:space="preserve">and </w:t>
      </w:r>
      <w:r w:rsidR="005964DE">
        <w:t>Santa Cruz</w:t>
      </w:r>
      <w:r w:rsidR="008A73D2">
        <w:t xml:space="preserve"> </w:t>
      </w:r>
      <w:r w:rsidR="005964DE">
        <w:t>countie</w:t>
      </w:r>
      <w:r>
        <w:t>s</w:t>
      </w:r>
      <w:r w:rsidR="00D31E06">
        <w:t>, as shown</w:t>
      </w:r>
      <w:r>
        <w:t xml:space="preserve"> in Appendices A and B.</w:t>
      </w:r>
      <w:r w:rsidR="00B63122">
        <w:t xml:space="preserve">  Where cities and organizations expressed support for tracts already included in Appendix A, we added them to the list of requesters.</w:t>
      </w:r>
    </w:p>
    <w:p w:rsidR="006F50A2" w:rsidP="005C58FA" w:rsidRDefault="005964DE" w14:paraId="4F69DBC5" w14:textId="2C15C19A">
      <w:pPr>
        <w:pStyle w:val="Standard"/>
      </w:pPr>
      <w:r>
        <w:t xml:space="preserve">We did not identify </w:t>
      </w:r>
      <w:r w:rsidR="008B5337">
        <w:t>initial decarbonization zones</w:t>
      </w:r>
      <w:r>
        <w:t xml:space="preserve"> </w:t>
      </w:r>
      <w:r w:rsidR="00D60A03">
        <w:t>in which fewer</w:t>
      </w:r>
      <w:r>
        <w:t xml:space="preserve"> than 10 percent of the gas mains are scheduled for replacement, such as the </w:t>
      </w:r>
      <w:r w:rsidR="00242714">
        <w:t xml:space="preserve">additional </w:t>
      </w:r>
      <w:r w:rsidR="008B5337">
        <w:t>census tracts and neighborhoods</w:t>
      </w:r>
      <w:r>
        <w:t xml:space="preserve"> requested by the Contra Costa Building and Construction Trades Council, ACCE, ECC, PODER</w:t>
      </w:r>
      <w:r w:rsidR="001A61FC">
        <w:t>, and RCP</w:t>
      </w:r>
      <w:r>
        <w:t>.</w:t>
      </w:r>
      <w:r w:rsidR="001A61FC">
        <w:t xml:space="preserve">  We also did not incorporate requests that did not specify census tracts or neighborhoods, such as the BEEP Coalition’s request to designate many large and small </w:t>
      </w:r>
      <w:r w:rsidR="00BA4132">
        <w:t xml:space="preserve">California </w:t>
      </w:r>
      <w:r w:rsidR="001A61FC">
        <w:t>communities</w:t>
      </w:r>
      <w:r w:rsidR="00242714">
        <w:t>, OC Goes Solar’s request for zones in Orange County,</w:t>
      </w:r>
      <w:r w:rsidR="008B5337">
        <w:t xml:space="preserve"> and SCE’s request to designate </w:t>
      </w:r>
      <w:r w:rsidR="00242714">
        <w:t>at least</w:t>
      </w:r>
      <w:r w:rsidR="00FC49E6">
        <w:t xml:space="preserve"> </w:t>
      </w:r>
      <w:r w:rsidR="008B5337">
        <w:t>one zone in San Bernardino County</w:t>
      </w:r>
      <w:r w:rsidR="001A61FC">
        <w:t>.</w:t>
      </w:r>
      <w:r w:rsidR="003A3AEB">
        <w:rPr>
          <w:rStyle w:val="FootnoteReference"/>
        </w:rPr>
        <w:footnoteReference w:id="140"/>
      </w:r>
      <w:r w:rsidR="001A61FC">
        <w:t xml:space="preserve">  </w:t>
      </w:r>
    </w:p>
    <w:p w:rsidR="00980740" w:rsidP="005C58FA" w:rsidRDefault="00BA4132" w14:paraId="2C044AFC" w14:textId="0A17D598">
      <w:pPr>
        <w:pStyle w:val="Standard"/>
      </w:pPr>
      <w:r>
        <w:t xml:space="preserve">To designate additional </w:t>
      </w:r>
      <w:r w:rsidR="003A3AEB">
        <w:t xml:space="preserve">initial decarbonization </w:t>
      </w:r>
      <w:r>
        <w:t>zones, San Francisco</w:t>
      </w:r>
      <w:r w:rsidR="00DB190E">
        <w:t xml:space="preserve"> and</w:t>
      </w:r>
      <w:r>
        <w:t xml:space="preserve"> TURN recommend</w:t>
      </w:r>
      <w:r w:rsidR="008B5337">
        <w:t xml:space="preserve"> that the Commission modify its selection methodology.</w:t>
      </w:r>
      <w:r w:rsidR="005964DE">
        <w:t xml:space="preserve">  </w:t>
      </w:r>
      <w:r w:rsidR="003A3AEB">
        <w:t xml:space="preserve">Specifically, San Francisco recommends broadening the </w:t>
      </w:r>
      <w:r w:rsidR="001D66E9">
        <w:t xml:space="preserve">pipeline replacement criteria to include any </w:t>
      </w:r>
      <w:r w:rsidR="003A3AEB">
        <w:t>replacement over the next 10 years</w:t>
      </w:r>
      <w:r w:rsidR="00670030">
        <w:t>.</w:t>
      </w:r>
      <w:r w:rsidR="00670030">
        <w:rPr>
          <w:rStyle w:val="FootnoteReference"/>
        </w:rPr>
        <w:footnoteReference w:id="141"/>
      </w:r>
      <w:r w:rsidR="00670030">
        <w:t xml:space="preserve">  Once </w:t>
      </w:r>
      <w:r w:rsidR="001D66E9">
        <w:t>this broader criterion narrows the tracts, San Francisco recommends reducing them to initial decarbonization zones with CES scores at or above the 50th percentile</w:t>
      </w:r>
      <w:r w:rsidR="00670030">
        <w:t>.</w:t>
      </w:r>
      <w:r w:rsidR="00670030">
        <w:rPr>
          <w:rStyle w:val="FootnoteReference"/>
        </w:rPr>
        <w:footnoteReference w:id="142"/>
      </w:r>
      <w:r w:rsidR="00980740">
        <w:t xml:space="preserve">  </w:t>
      </w:r>
      <w:r w:rsidR="00670030">
        <w:t xml:space="preserve">Similarly, TURN recommends using a pipeline project concentration threshold of </w:t>
      </w:r>
      <w:r w:rsidR="00670030">
        <w:lastRenderedPageBreak/>
        <w:t>5 to 8 percent to capture more census tracts that might be located away from coastal areas (in hot or cold climate zones) and that have cost</w:t>
      </w:r>
      <w:r w:rsidR="001D66E9">
        <w:t>-</w:t>
      </w:r>
      <w:r w:rsidR="00670030">
        <w:t>effective projects.</w:t>
      </w:r>
      <w:r w:rsidR="00670030">
        <w:rPr>
          <w:rStyle w:val="FootnoteReference"/>
        </w:rPr>
        <w:footnoteReference w:id="143"/>
      </w:r>
      <w:r w:rsidR="00DB190E">
        <w:t xml:space="preserve">  </w:t>
      </w:r>
    </w:p>
    <w:p w:rsidR="00DB190E" w:rsidP="005C58FA" w:rsidRDefault="00980740" w14:paraId="0FB621A5" w14:textId="43C870B8">
      <w:pPr>
        <w:pStyle w:val="Standard"/>
      </w:pPr>
      <w:r>
        <w:t>We decline to adopt these recommendations.  First, we note that lowering the threshold</w:t>
      </w:r>
      <w:r w:rsidR="001D66E9">
        <w:t>, as recommended by TURN, will not capture additional tracts outside</w:t>
      </w:r>
      <w:r>
        <w:t xml:space="preserve"> coastal areas.  To enable the designation of decarbonization zones in California’s non-coastal regions, such as the mountains and Central Valley, more local governments and community </w:t>
      </w:r>
      <w:r w:rsidR="004E55B2">
        <w:t>organizations</w:t>
      </w:r>
      <w:r>
        <w:t xml:space="preserve"> must indicate their availability.  For this reason, the decision orders Gas Corporations to conduct outreach.</w:t>
      </w:r>
      <w:r w:rsidR="00DF7FC4">
        <w:rPr>
          <w:rStyle w:val="FootnoteReference"/>
        </w:rPr>
        <w:footnoteReference w:id="144"/>
      </w:r>
    </w:p>
    <w:p w:rsidR="00DB190E" w:rsidP="005C58FA" w:rsidRDefault="00DB190E" w14:paraId="39406257" w14:textId="5A4A6516">
      <w:pPr>
        <w:pStyle w:val="Standard"/>
      </w:pPr>
      <w:r>
        <w:t>Second, we agree with the Joint CCAs’ concern that vulnerable, disadvantaged, or marginalized communities could be exposed to high-risk aspects of the energy transition.</w:t>
      </w:r>
      <w:r>
        <w:rPr>
          <w:rStyle w:val="FootnoteReference"/>
        </w:rPr>
        <w:footnoteReference w:id="145"/>
      </w:r>
      <w:r>
        <w:t xml:space="preserve">  </w:t>
      </w:r>
      <w:r w:rsidR="006F50A2">
        <w:t xml:space="preserve">While inclusivity and access are essential, these objectives should be carefully integrated to avoid selecting communities “to serve on the frontline during periods of systematic change” without </w:t>
      </w:r>
      <w:r w:rsidR="00D60A03">
        <w:t>due consideration of relevant</w:t>
      </w:r>
      <w:r w:rsidR="00981037">
        <w:t xml:space="preserve"> factors</w:t>
      </w:r>
      <w:r w:rsidR="006F50A2">
        <w:t>.</w:t>
      </w:r>
      <w:r w:rsidR="006F50A2">
        <w:rPr>
          <w:rStyle w:val="FootnoteReference"/>
        </w:rPr>
        <w:footnoteReference w:id="146"/>
      </w:r>
      <w:r w:rsidR="006F50A2">
        <w:t xml:space="preserve"> </w:t>
      </w:r>
      <w:r>
        <w:t xml:space="preserve">Accordingly, we find </w:t>
      </w:r>
      <w:r w:rsidR="001D66E9">
        <w:t xml:space="preserve">it reasonable at this stage to prioritize cost-saving opportunities by narrowing the designation of </w:t>
      </w:r>
      <w:r>
        <w:t xml:space="preserve">initial decarbonization zones to census tracts where 10 percent or more of the gas mains are identified for replacement in 2028-2035.  </w:t>
      </w:r>
      <w:r w:rsidR="008A73D2">
        <w:t>T</w:t>
      </w:r>
      <w:r>
        <w:t xml:space="preserve">his methodology </w:t>
      </w:r>
      <w:r w:rsidR="008A73D2">
        <w:t xml:space="preserve">is </w:t>
      </w:r>
      <w:r w:rsidR="001D66E9">
        <w:t xml:space="preserve">used for </w:t>
      </w:r>
      <w:r w:rsidR="001D66E9">
        <w:lastRenderedPageBreak/>
        <w:t xml:space="preserve">the </w:t>
      </w:r>
      <w:r w:rsidRPr="001D66E9">
        <w:rPr>
          <w:i/>
          <w:iCs/>
        </w:rPr>
        <w:t>initial</w:t>
      </w:r>
      <w:r>
        <w:t xml:space="preserve"> decarbonization zones and may </w:t>
      </w:r>
      <w:r w:rsidR="008A73D2">
        <w:t xml:space="preserve">be </w:t>
      </w:r>
      <w:r>
        <w:t>revise</w:t>
      </w:r>
      <w:r w:rsidR="008A73D2">
        <w:t>d</w:t>
      </w:r>
      <w:r>
        <w:t xml:space="preserve"> or refine</w:t>
      </w:r>
      <w:r w:rsidR="008A73D2">
        <w:t>d</w:t>
      </w:r>
      <w:r>
        <w:t xml:space="preserve"> </w:t>
      </w:r>
      <w:r w:rsidR="008A73D2">
        <w:t>in a future update</w:t>
      </w:r>
      <w:r>
        <w:t>.</w:t>
      </w:r>
    </w:p>
    <w:p w:rsidR="006F50A2" w:rsidP="006F50A2" w:rsidRDefault="006F50A2" w14:paraId="7ABB0886" w14:textId="77777777">
      <w:pPr>
        <w:pStyle w:val="Standard"/>
      </w:pPr>
      <w:r>
        <w:t>We encourage parties and members of the public to continue submitting requests for decarbonization zones on the “Public Comment” tab of the proceeding’s Docket Card.</w:t>
      </w:r>
    </w:p>
    <w:p w:rsidR="00E02F69" w:rsidP="00E02F69" w:rsidRDefault="00E02F69" w14:paraId="4C85927D" w14:textId="600C43E0">
      <w:pPr>
        <w:pStyle w:val="Heading2"/>
      </w:pPr>
      <w:bookmarkStart w:name="_Toc216699696" w:id="71"/>
      <w:r>
        <w:t>Community Outreach and Engagement</w:t>
      </w:r>
      <w:bookmarkEnd w:id="71"/>
    </w:p>
    <w:p w:rsidR="00B23181" w:rsidP="005C58FA" w:rsidRDefault="00E02F69" w14:paraId="37ADCA5F" w14:textId="329DAF86">
      <w:pPr>
        <w:pStyle w:val="Standard"/>
      </w:pPr>
      <w:bookmarkStart w:name="_Hlk216262858" w:id="72"/>
      <w:r>
        <w:t xml:space="preserve">Many parties recommend requiring Gas Corporations to conduct more targeted community outreach and engagement.  CforAT recommends targeting communities with high asthma rates and organizations that work with </w:t>
      </w:r>
      <w:r w:rsidR="00AC303A">
        <w:t>these and disability communities, such as the American Lung Association, Breathe California, local groups such as CARES (Comprehensive Asthma Remediation and Education Services, serving the Central Valley), Independent Living Centers, and disability-oriented community organizations.</w:t>
      </w:r>
      <w:r w:rsidR="00AC303A">
        <w:rPr>
          <w:rStyle w:val="FootnoteReference"/>
        </w:rPr>
        <w:footnoteReference w:id="147"/>
      </w:r>
      <w:r w:rsidR="00AC303A">
        <w:t xml:space="preserve">  Contra Costa recommends requiring Gas Corporations to solicit feedback from local governments by providing the </w:t>
      </w:r>
      <w:r w:rsidR="008A73D2">
        <w:t>f</w:t>
      </w:r>
      <w:r w:rsidR="00AC303A">
        <w:t xml:space="preserve">act </w:t>
      </w:r>
      <w:r w:rsidR="008A73D2">
        <w:t>s</w:t>
      </w:r>
      <w:r w:rsidR="00AC303A">
        <w:t>heet and meeting with Directors of Planning, Community Development, Housing, or similar departments that work most closely with communities.</w:t>
      </w:r>
      <w:r w:rsidR="00AC303A">
        <w:rPr>
          <w:rStyle w:val="FootnoteReference"/>
        </w:rPr>
        <w:footnoteReference w:id="148"/>
      </w:r>
      <w:r w:rsidR="008D6184">
        <w:t xml:space="preserve">  The Joint CCAs recommend requiring Gas Corporations to target outreach to relevant local government and LSE representatives within each </w:t>
      </w:r>
      <w:r w:rsidR="00242714">
        <w:t>c</w:t>
      </w:r>
      <w:r w:rsidR="008D6184">
        <w:t>ounty of their service territory.</w:t>
      </w:r>
      <w:r w:rsidR="008D6184">
        <w:rPr>
          <w:rStyle w:val="FootnoteReference"/>
        </w:rPr>
        <w:footnoteReference w:id="149"/>
      </w:r>
      <w:r w:rsidR="008D6184">
        <w:t xml:space="preserve">  M</w:t>
      </w:r>
      <w:r w:rsidR="008A73D2">
        <w:t>arin Clean Energy</w:t>
      </w:r>
      <w:r w:rsidR="008D6184">
        <w:t xml:space="preserve"> recommends requiring </w:t>
      </w:r>
      <w:r w:rsidR="00B23181">
        <w:t>Gas Corporations to prioritize partnerships with trusted community-based organizations and local partners on community outreach.</w:t>
      </w:r>
      <w:r w:rsidR="00B23181">
        <w:rPr>
          <w:rStyle w:val="FootnoteReference"/>
        </w:rPr>
        <w:footnoteReference w:id="150"/>
      </w:r>
      <w:r w:rsidR="00B23181">
        <w:t xml:space="preserve"> </w:t>
      </w:r>
      <w:r w:rsidR="008A73D2">
        <w:t xml:space="preserve"> </w:t>
      </w:r>
      <w:r w:rsidR="00B23181">
        <w:t xml:space="preserve">SCE recommends directing Gas Corporations to collaborate with electric utilities and </w:t>
      </w:r>
      <w:r w:rsidR="00B23181">
        <w:lastRenderedPageBreak/>
        <w:t>relevant stakeholders on community outreach.</w:t>
      </w:r>
      <w:r w:rsidR="00B23181">
        <w:rPr>
          <w:rStyle w:val="FootnoteReference"/>
        </w:rPr>
        <w:footnoteReference w:id="151"/>
      </w:r>
      <w:r w:rsidR="007B721E">
        <w:t xml:space="preserve">  In public comments, the BEEP Coalition recommends that Gas Corporations design and implement outreach with community partners.</w:t>
      </w:r>
    </w:p>
    <w:p w:rsidR="00B23181" w:rsidP="00F11040" w:rsidRDefault="00B23181" w14:paraId="403FB949" w14:textId="6BD1DB92">
      <w:pPr>
        <w:pStyle w:val="Standard"/>
      </w:pPr>
      <w:r>
        <w:t xml:space="preserve">Parties also </w:t>
      </w:r>
      <w:r w:rsidR="00F11040">
        <w:t>provide</w:t>
      </w:r>
      <w:r>
        <w:t xml:space="preserve"> </w:t>
      </w:r>
      <w:r w:rsidR="00F11040">
        <w:t>recommendations regarding the required information session</w:t>
      </w:r>
      <w:r>
        <w:t xml:space="preserve">.  Contra Costa </w:t>
      </w:r>
      <w:r w:rsidR="008A73D2">
        <w:t xml:space="preserve">and SCE </w:t>
      </w:r>
      <w:r>
        <w:t xml:space="preserve">recommend that utilities host at least one information session in </w:t>
      </w:r>
      <w:r w:rsidR="008A73D2">
        <w:t>geographically diverse locations</w:t>
      </w:r>
      <w:r>
        <w:t xml:space="preserve"> of their service territories.</w:t>
      </w:r>
      <w:r>
        <w:rPr>
          <w:rStyle w:val="FootnoteReference"/>
        </w:rPr>
        <w:footnoteReference w:id="152"/>
      </w:r>
      <w:r>
        <w:t xml:space="preserve">  </w:t>
      </w:r>
      <w:r w:rsidR="00F11040">
        <w:t>NRDC/Sierra Club recommends that at least one information session be held in an inland location where potential projects have been identified, that the</w:t>
      </w:r>
      <w:r w:rsidR="008A73D2">
        <w:t xml:space="preserve"> information session</w:t>
      </w:r>
      <w:r w:rsidR="00F11040">
        <w:t xml:space="preserve"> occur after the Commission has ordered that the street-level locations of potential projects be included in the public maps, and that the</w:t>
      </w:r>
      <w:r w:rsidR="008A73D2">
        <w:t xml:space="preserve"> information</w:t>
      </w:r>
      <w:r w:rsidR="00F11040">
        <w:t xml:space="preserve"> be hybrid or virtual, available on the utilities’ websites, and interpreted in Spanish.</w:t>
      </w:r>
      <w:r w:rsidR="00F11040">
        <w:rPr>
          <w:rStyle w:val="FootnoteReference"/>
        </w:rPr>
        <w:footnoteReference w:id="153"/>
      </w:r>
      <w:r w:rsidR="00F11040">
        <w:t xml:space="preserve">  SoCalGas</w:t>
      </w:r>
      <w:r w:rsidR="005920AF">
        <w:t>/SDG&amp;E</w:t>
      </w:r>
      <w:r w:rsidR="00F11040">
        <w:t xml:space="preserve"> recommend</w:t>
      </w:r>
      <w:r w:rsidR="005920AF">
        <w:t>s</w:t>
      </w:r>
      <w:r w:rsidR="00F11040">
        <w:t xml:space="preserve"> that the decision extend the deadline for information sessions from March 15, 2026 to August 15, 2026, to facilitate alignment with the Pilot Program.</w:t>
      </w:r>
      <w:r w:rsidR="00F11040">
        <w:rPr>
          <w:rStyle w:val="FootnoteReference"/>
        </w:rPr>
        <w:footnoteReference w:id="154"/>
      </w:r>
      <w:r w:rsidR="005920AF">
        <w:t xml:space="preserve">  They also suggest that the Commission weigh the feedback from the initial information sessions before authorizing additional</w:t>
      </w:r>
      <w:r w:rsidR="008A73D2">
        <w:t xml:space="preserve"> ones</w:t>
      </w:r>
      <w:r w:rsidR="005920AF">
        <w:t>.</w:t>
      </w:r>
      <w:r w:rsidR="005920AF">
        <w:rPr>
          <w:rStyle w:val="FootnoteReference"/>
        </w:rPr>
        <w:footnoteReference w:id="155"/>
      </w:r>
      <w:r w:rsidR="007B721E">
        <w:t xml:space="preserve">  In public comments, the BEEP Coalition recommends that Gas Corporations hold at least two information sessions (one during traditional business hours and one during the evening), make translation services available, and provide written responses to all comments received.</w:t>
      </w:r>
    </w:p>
    <w:p w:rsidR="005964DE" w:rsidP="005C58FA" w:rsidRDefault="00B23181" w14:paraId="3568AE3A" w14:textId="6F93CD11">
      <w:pPr>
        <w:pStyle w:val="Standard"/>
      </w:pPr>
      <w:r>
        <w:lastRenderedPageBreak/>
        <w:t xml:space="preserve">UCAN expresses concern that general </w:t>
      </w:r>
      <w:r w:rsidR="006065B5">
        <w:t xml:space="preserve">communication requirements may allow </w:t>
      </w:r>
      <w:r w:rsidR="00F11040">
        <w:t xml:space="preserve">utilities to </w:t>
      </w:r>
      <w:r w:rsidR="006065B5">
        <w:t>recover</w:t>
      </w:r>
      <w:r w:rsidR="00F11040">
        <w:t xml:space="preserve"> costs</w:t>
      </w:r>
      <w:r w:rsidR="006065B5">
        <w:t xml:space="preserve"> for messaging that conflict with California policy.</w:t>
      </w:r>
      <w:r w:rsidR="006065B5">
        <w:rPr>
          <w:rStyle w:val="FootnoteReference"/>
        </w:rPr>
        <w:footnoteReference w:id="156"/>
      </w:r>
      <w:r w:rsidR="006065B5">
        <w:t xml:space="preserve">  For this reason, UCAN recommends</w:t>
      </w:r>
      <w:r w:rsidR="00EC3FDB">
        <w:t xml:space="preserve"> changes to the proposed decision to reduce the cost of community education, ensure government entities and community organizations have a point of contact for ongoing coordination, and streamline record development.</w:t>
      </w:r>
      <w:r w:rsidR="00EC3FDB">
        <w:rPr>
          <w:rStyle w:val="FootnoteReference"/>
        </w:rPr>
        <w:footnoteReference w:id="157"/>
      </w:r>
      <w:r w:rsidR="00EC3FDB">
        <w:t xml:space="preserve">  Specifically, UCAN recommends removing general directions for Gas Corporations to conduct outreach, directing all public comments to the public comment tab in the proceeding docket, and holding a single virtual, recorded information session.</w:t>
      </w:r>
      <w:r w:rsidR="00EC3FDB">
        <w:rPr>
          <w:rStyle w:val="FootnoteReference"/>
        </w:rPr>
        <w:footnoteReference w:id="158"/>
      </w:r>
      <w:r w:rsidR="006065B5">
        <w:t xml:space="preserve"> </w:t>
      </w:r>
    </w:p>
    <w:p w:rsidR="00F11040" w:rsidP="005C58FA" w:rsidRDefault="00F11040" w14:paraId="239B44BE" w14:textId="60B3115B">
      <w:pPr>
        <w:pStyle w:val="Standard"/>
      </w:pPr>
      <w:r>
        <w:t xml:space="preserve">PG&amp;E cautions against rigid, overly prescriptive outreach, especially when it </w:t>
      </w:r>
      <w:r w:rsidR="005920AF">
        <w:t>requires</w:t>
      </w:r>
      <w:r>
        <w:t xml:space="preserve"> resource-intensive coordination and approval from multiple stakeholders.</w:t>
      </w:r>
      <w:r>
        <w:rPr>
          <w:rStyle w:val="FootnoteReference"/>
        </w:rPr>
        <w:footnoteReference w:id="159"/>
      </w:r>
      <w:r w:rsidR="005920AF">
        <w:t xml:space="preserve">  Indicated Shippers and SoCalGas/SDG&amp;E support a </w:t>
      </w:r>
      <w:r w:rsidR="001D66E9">
        <w:t>multi-working-group process</w:t>
      </w:r>
      <w:r w:rsidR="005920AF">
        <w:t xml:space="preserve"> rather than utility-led outreach and information sessions.</w:t>
      </w:r>
      <w:r w:rsidR="005920AF">
        <w:rPr>
          <w:rStyle w:val="FootnoteReference"/>
        </w:rPr>
        <w:footnoteReference w:id="160"/>
      </w:r>
      <w:r w:rsidR="005920AF">
        <w:t xml:space="preserve">  SCE recommends that the Energy Division conduct additional outreach, if needed, to increase community awareness following submission of the April 1, 2026, </w:t>
      </w:r>
      <w:r w:rsidR="001D66E9">
        <w:t>R</w:t>
      </w:r>
      <w:r w:rsidR="005920AF">
        <w:t>eport.</w:t>
      </w:r>
      <w:r w:rsidR="005920AF">
        <w:rPr>
          <w:rStyle w:val="FootnoteReference"/>
        </w:rPr>
        <w:footnoteReference w:id="161"/>
      </w:r>
    </w:p>
    <w:p w:rsidR="005920AF" w:rsidP="005C58FA" w:rsidRDefault="005920AF" w14:paraId="5C4DB8DC" w14:textId="124444F5">
      <w:pPr>
        <w:pStyle w:val="Standard"/>
      </w:pPr>
      <w:r>
        <w:t xml:space="preserve">Based on party comments, we modify the proposed decision to </w:t>
      </w:r>
      <w:r w:rsidR="00D60A03">
        <w:t>direct that</w:t>
      </w:r>
      <w:r>
        <w:t xml:space="preserve"> Gas Corporations appropriately target community outreach to government</w:t>
      </w:r>
      <w:r w:rsidR="001D66E9">
        <w:t xml:space="preserve"> and tribal</w:t>
      </w:r>
      <w:r>
        <w:t xml:space="preserve"> representatives, community organizations, and electric utilities</w:t>
      </w:r>
      <w:r w:rsidR="007B721E">
        <w:t xml:space="preserve"> in a manner that does not result in unreasonable costs</w:t>
      </w:r>
      <w:r>
        <w:t xml:space="preserve">.  </w:t>
      </w:r>
      <w:r w:rsidR="007B721E">
        <w:t>Specifically, t</w:t>
      </w:r>
      <w:r w:rsidR="003959D0">
        <w:t xml:space="preserve">o reduce the cost of </w:t>
      </w:r>
      <w:r w:rsidR="003959D0">
        <w:lastRenderedPageBreak/>
        <w:t xml:space="preserve">community education, </w:t>
      </w:r>
      <w:r>
        <w:t xml:space="preserve">we </w:t>
      </w:r>
      <w:r w:rsidR="00BE7CCB">
        <w:t xml:space="preserve">require </w:t>
      </w:r>
      <w:r w:rsidR="00D60A03">
        <w:t>each Gas Corporation to host one virtual information session within</w:t>
      </w:r>
      <w:r>
        <w:t xml:space="preserve"> </w:t>
      </w:r>
      <w:r w:rsidR="003959D0">
        <w:t>its</w:t>
      </w:r>
      <w:r>
        <w:t xml:space="preserve"> service </w:t>
      </w:r>
      <w:r w:rsidR="003959D0">
        <w:t xml:space="preserve">territory.  </w:t>
      </w:r>
      <w:r w:rsidR="007B721E">
        <w:t xml:space="preserve">During the information session, </w:t>
      </w:r>
      <w:r w:rsidR="003959D0">
        <w:t xml:space="preserve">Gas Corporations </w:t>
      </w:r>
      <w:r w:rsidR="007B721E">
        <w:t xml:space="preserve">shall </w:t>
      </w:r>
      <w:r w:rsidR="00D60A03">
        <w:t xml:space="preserve">provide interpretation services upon receiving a request </w:t>
      </w:r>
      <w:r w:rsidR="00D95520">
        <w:t>at least five business days before the session</w:t>
      </w:r>
      <w:r w:rsidR="007B721E">
        <w:t xml:space="preserve">.  </w:t>
      </w:r>
      <w:r w:rsidR="003959D0">
        <w:t>Gas Corporations</w:t>
      </w:r>
      <w:r w:rsidR="007B721E">
        <w:t xml:space="preserve"> shall also record the information session and post the link </w:t>
      </w:r>
      <w:r w:rsidR="00492855">
        <w:t xml:space="preserve">to the recording </w:t>
      </w:r>
      <w:r w:rsidR="007B721E">
        <w:t>on their</w:t>
      </w:r>
      <w:r w:rsidR="003959D0">
        <w:t xml:space="preserve"> SB 1221 websites</w:t>
      </w:r>
      <w:r w:rsidR="00FC49E6">
        <w:t xml:space="preserve"> within five days</w:t>
      </w:r>
      <w:r w:rsidR="003959D0">
        <w:t>.  The Commission will also post a link to the information sessions on its SB 1221 website.</w:t>
      </w:r>
    </w:p>
    <w:p w:rsidR="003959D0" w:rsidP="005C58FA" w:rsidRDefault="003959D0" w14:paraId="7BD1BB68" w14:textId="11DA1811">
      <w:pPr>
        <w:pStyle w:val="Standard"/>
      </w:pPr>
      <w:r>
        <w:t xml:space="preserve">We decline to extend the deadline for Gas Corporations to host a virtual information session to August 15, 2026, as suggested by SoCalGas/SDG&amp;E.  The purpose of the information sessions is to educate California communities about opportunities under SB 1221 and </w:t>
      </w:r>
      <w:r w:rsidR="00D60A03">
        <w:t>to gather public feedback before the Pilot Program is established</w:t>
      </w:r>
      <w:r>
        <w:t>.  After we establish the Pilot Program</w:t>
      </w:r>
      <w:r w:rsidR="00242714">
        <w:t xml:space="preserve"> by July 1, 2026</w:t>
      </w:r>
      <w:r>
        <w:t>, Gas Corporations may be directed to conduct more community outreach.</w:t>
      </w:r>
    </w:p>
    <w:p w:rsidR="003959D0" w:rsidP="005C58FA" w:rsidRDefault="00EA0F34" w14:paraId="1803D0B6" w14:textId="02B2946A">
      <w:pPr>
        <w:pStyle w:val="Standard"/>
      </w:pPr>
      <w:r>
        <w:t xml:space="preserve">We also encourage outreach and engagement on SB 1221 implementation issues that are not utility-led. </w:t>
      </w:r>
      <w:r w:rsidR="003959D0">
        <w:t xml:space="preserve">The Energy Division </w:t>
      </w:r>
      <w:r w:rsidR="00242714">
        <w:t>may</w:t>
      </w:r>
      <w:r w:rsidR="003959D0">
        <w:t xml:space="preserve"> conduct community outreach </w:t>
      </w:r>
      <w:r>
        <w:t>in 2026.  The assigned Commission and/or Administrative Law Judges may also direct parties and stakeholders</w:t>
      </w:r>
      <w:r w:rsidR="003959D0">
        <w:t xml:space="preserve"> </w:t>
      </w:r>
      <w:r>
        <w:t xml:space="preserve">to form a working group to address the interrelated issues in SB 1221 pilot implementation, as needed.  </w:t>
      </w:r>
    </w:p>
    <w:p w:rsidR="003813AE" w:rsidP="003813AE" w:rsidRDefault="003813AE" w14:paraId="1CEA7454" w14:textId="7EBB5480">
      <w:pPr>
        <w:pStyle w:val="Heading2"/>
      </w:pPr>
      <w:bookmarkStart w:name="_Toc216699697" w:id="73"/>
      <w:r>
        <w:t>Cost Recovery of Community Engagement</w:t>
      </w:r>
      <w:bookmarkEnd w:id="73"/>
    </w:p>
    <w:p w:rsidR="003813AE" w:rsidP="003813AE" w:rsidRDefault="003813AE" w14:paraId="2854D04E" w14:textId="2BA933FD">
      <w:pPr>
        <w:pStyle w:val="Standard"/>
      </w:pPr>
      <w:r>
        <w:t>PG&amp;E, SoCalGas/SDG&amp;E, Southwest Gas, and SCE recommend that the Commission authorize cost recovery for the incremental, verifiable costs of expanded community, local government, and customer outreach</w:t>
      </w:r>
      <w:r w:rsidR="00D60A03">
        <w:t>, as well as</w:t>
      </w:r>
      <w:r>
        <w:t xml:space="preserve"> new reporting.</w:t>
      </w:r>
      <w:r>
        <w:rPr>
          <w:rStyle w:val="FootnoteReference"/>
        </w:rPr>
        <w:footnoteReference w:id="162"/>
      </w:r>
      <w:r>
        <w:t xml:space="preserve">  PG&amp;E and Southwest Gas support the use of the memorandum </w:t>
      </w:r>
      <w:r>
        <w:lastRenderedPageBreak/>
        <w:t>account authorized in Decision (D.) 25-07-016, and PG&amp;E states that it will file a Tier 1 advice letter within 30 days of the decision's issuance date to update the memorandum account and record these costs.</w:t>
      </w:r>
      <w:r>
        <w:rPr>
          <w:rStyle w:val="FootnoteReference"/>
        </w:rPr>
        <w:footnoteReference w:id="163"/>
      </w:r>
      <w:r>
        <w:t xml:space="preserve">  In contrast, SoCalGas/SDG&amp;E recommend</w:t>
      </w:r>
      <w:r w:rsidR="00B17F8A">
        <w:t>s</w:t>
      </w:r>
      <w:r>
        <w:t xml:space="preserve"> </w:t>
      </w:r>
      <w:r w:rsidR="00B17F8A">
        <w:t>establishing</w:t>
      </w:r>
      <w:r>
        <w:t xml:space="preserve"> a two-way balancing account</w:t>
      </w:r>
      <w:r w:rsidR="00B17F8A">
        <w:t>.</w:t>
      </w:r>
      <w:r w:rsidR="00B17F8A">
        <w:rPr>
          <w:rStyle w:val="FootnoteReference"/>
        </w:rPr>
        <w:footnoteReference w:id="164"/>
      </w:r>
    </w:p>
    <w:p w:rsidR="00B17F8A" w:rsidP="003813AE" w:rsidRDefault="00B17F8A" w14:paraId="0BF44B80" w14:textId="4B24239B">
      <w:pPr>
        <w:pStyle w:val="Standard"/>
      </w:pPr>
      <w:r>
        <w:t>Cal Advocates opposes authorizing utilities to track costs in this decision.  According to Cal Advocates, this decision is appropriately limited to the sole issue of designating decarbonization zones</w:t>
      </w:r>
      <w:r w:rsidR="00D60A03">
        <w:t>,</w:t>
      </w:r>
      <w:r>
        <w:t xml:space="preserve"> and parties will have an opportunity to consider cost recovery in Track 3.</w:t>
      </w:r>
      <w:r>
        <w:rPr>
          <w:rStyle w:val="FootnoteReference"/>
        </w:rPr>
        <w:footnoteReference w:id="165"/>
      </w:r>
    </w:p>
    <w:p w:rsidR="00B17F8A" w:rsidP="003813AE" w:rsidRDefault="00B17F8A" w14:paraId="556ADC01" w14:textId="5A2A8A46">
      <w:pPr>
        <w:pStyle w:val="Standard"/>
      </w:pPr>
      <w:r>
        <w:t xml:space="preserve">We decline to adopt </w:t>
      </w:r>
      <w:r w:rsidR="001D66E9">
        <w:t>the recommendations of PG&amp;E, SCE, SoCalGas/SDG&amp;E, and Southwest Gas</w:t>
      </w:r>
      <w:r>
        <w:t xml:space="preserve"> </w:t>
      </w:r>
      <w:r w:rsidR="00D31E06">
        <w:t>without prejudice</w:t>
      </w:r>
      <w:r>
        <w:t xml:space="preserve">.  </w:t>
      </w:r>
      <w:r w:rsidR="00242714">
        <w:t>T</w:t>
      </w:r>
      <w:r>
        <w:t xml:space="preserve">his decision does not </w:t>
      </w:r>
      <w:r w:rsidR="001D66E9">
        <w:t>require SCE to conduct outreach or file a Report; therefore, authorizing SCE to track costs would be inappropriate</w:t>
      </w:r>
      <w:r>
        <w:t xml:space="preserve">.  </w:t>
      </w:r>
      <w:r w:rsidR="001D66E9">
        <w:t>Instead, this decision directs the Gas Corporations to conduct outreach, host and record one information session, and file a Report by April 1, 2026</w:t>
      </w:r>
      <w:r>
        <w:t xml:space="preserve">.  To </w:t>
      </w:r>
      <w:r w:rsidR="00242714">
        <w:t>pursue cost</w:t>
      </w:r>
      <w:r>
        <w:t xml:space="preserve"> recovery, Gas Corporations may file a motion requesting authority to track costs associated with complying with this decision.  </w:t>
      </w:r>
      <w:r w:rsidR="00BF712B">
        <w:t>Gas Corporations are reminded that we will consider the reasonableness of costs tracked in a</w:t>
      </w:r>
      <w:r>
        <w:t xml:space="preserve"> memorandum account </w:t>
      </w:r>
      <w:r w:rsidR="00BF712B">
        <w:t>as of</w:t>
      </w:r>
      <w:r>
        <w:t xml:space="preserve"> the date the </w:t>
      </w:r>
      <w:r w:rsidR="00242714">
        <w:t>motion</w:t>
      </w:r>
      <w:r>
        <w:t xml:space="preserve"> is filed.   </w:t>
      </w:r>
    </w:p>
    <w:p w:rsidR="00E71AB6" w:rsidP="00E71AB6" w:rsidRDefault="00E71AB6" w14:paraId="034E7F25" w14:textId="68CF811D">
      <w:pPr>
        <w:pStyle w:val="Heading2"/>
      </w:pPr>
      <w:bookmarkStart w:name="_Toc216699698" w:id="74"/>
      <w:r>
        <w:t>Process for Updating Decarbonization Zones</w:t>
      </w:r>
      <w:bookmarkEnd w:id="74"/>
    </w:p>
    <w:p w:rsidR="00E71AB6" w:rsidP="00E71AB6" w:rsidRDefault="00E71AB6" w14:paraId="4FD19025" w14:textId="27914D38">
      <w:pPr>
        <w:pStyle w:val="Standard"/>
      </w:pPr>
      <w:r>
        <w:t xml:space="preserve">Parties recommend clarifying the process for updating decarbonization zones.  According to CMUA and the Joint CCAs, potentially supportive local governments and community partners may be waiting for more details about the </w:t>
      </w:r>
      <w:r>
        <w:lastRenderedPageBreak/>
        <w:t>Pilot Program before engaging.</w:t>
      </w:r>
      <w:r>
        <w:rPr>
          <w:rStyle w:val="FootnoteReference"/>
        </w:rPr>
        <w:footnoteReference w:id="166"/>
      </w:r>
      <w:r>
        <w:t xml:space="preserve">  CMUA recommends not finalizing decarbonization zones until after the first round of pilot projects has been submitted.</w:t>
      </w:r>
      <w:r>
        <w:rPr>
          <w:rStyle w:val="FootnoteReference"/>
        </w:rPr>
        <w:footnoteReference w:id="167"/>
      </w:r>
      <w:r>
        <w:t xml:space="preserve">  The Joint CCAs</w:t>
      </w:r>
      <w:r w:rsidR="003E6339">
        <w:t xml:space="preserve"> recommend releasing multiple updates to the decarbonization zones, including an update after the Pilot Program is established.</w:t>
      </w:r>
      <w:r w:rsidR="003E6339">
        <w:rPr>
          <w:rStyle w:val="FootnoteReference"/>
        </w:rPr>
        <w:footnoteReference w:id="168"/>
      </w:r>
      <w:r w:rsidR="003E6339">
        <w:t xml:space="preserve">  NRDC/Sierra Club recommends setting a date or clarifying the process for rolling updates to decarbonization zones.</w:t>
      </w:r>
      <w:r w:rsidR="003E6339">
        <w:rPr>
          <w:rStyle w:val="FootnoteReference"/>
        </w:rPr>
        <w:footnoteReference w:id="169"/>
      </w:r>
      <w:r w:rsidR="003E6339">
        <w:t xml:space="preserve">  CMUA, PG&amp;E, and SoCalGas/SDG&amp;E suggest allowing utilities to update decarbonization zone designations through the Advice Letter process.</w:t>
      </w:r>
      <w:r w:rsidR="003E6339">
        <w:rPr>
          <w:rStyle w:val="FootnoteReference"/>
        </w:rPr>
        <w:footnoteReference w:id="170"/>
      </w:r>
      <w:r w:rsidR="003E6339">
        <w:t xml:space="preserve">  TURN recommends clarifying that the Commission will update the initial zones by December 2026, require utilities to provide additional risk data in their April 1, 2026 Report</w:t>
      </w:r>
      <w:r w:rsidR="00BF712B">
        <w:t>,</w:t>
      </w:r>
      <w:r w:rsidR="003E6339">
        <w:t xml:space="preserve"> and treat</w:t>
      </w:r>
      <w:r w:rsidR="00242714">
        <w:t>ing</w:t>
      </w:r>
      <w:r w:rsidR="003E6339">
        <w:t xml:space="preserve"> zone designation as an iterative process.</w:t>
      </w:r>
      <w:r w:rsidR="003E6339">
        <w:rPr>
          <w:rStyle w:val="FootnoteReference"/>
        </w:rPr>
        <w:footnoteReference w:id="171"/>
      </w:r>
      <w:r w:rsidR="003E6339">
        <w:t xml:space="preserve">  UCAN recommends </w:t>
      </w:r>
      <w:r w:rsidR="00BF712B">
        <w:t xml:space="preserve">that </w:t>
      </w:r>
      <w:r w:rsidR="003E6339">
        <w:t>the Commission establish quarterly updates or, at a minimum, biennial updates after the opportunity for feedback.</w:t>
      </w:r>
      <w:r w:rsidR="003E6339">
        <w:rPr>
          <w:rStyle w:val="FootnoteReference"/>
        </w:rPr>
        <w:footnoteReference w:id="172"/>
      </w:r>
    </w:p>
    <w:p w:rsidR="00E71AB6" w:rsidP="00E71AB6" w:rsidRDefault="00E71AB6" w14:paraId="74C785DC" w14:textId="2C48BAB3">
      <w:pPr>
        <w:pStyle w:val="Standard"/>
      </w:pPr>
      <w:r>
        <w:t xml:space="preserve">In decarbonization updates, some parties recommend that we commit to certain designations.  Contra Costa recommends requiring that all updates to the initial decarbonization zones include one or more neighborhoods in </w:t>
      </w:r>
      <w:r>
        <w:lastRenderedPageBreak/>
        <w:t>unincorporated areas of counties.</w:t>
      </w:r>
      <w:r>
        <w:rPr>
          <w:rStyle w:val="FootnoteReference"/>
        </w:rPr>
        <w:footnoteReference w:id="173"/>
      </w:r>
      <w:r w:rsidR="003E6339">
        <w:t xml:space="preserve">  SCE recommends that </w:t>
      </w:r>
      <w:r w:rsidR="00D60A03">
        <w:t xml:space="preserve">the final decarbonization zone determination be proportionate to the </w:t>
      </w:r>
      <w:r w:rsidR="003E6339">
        <w:t>gas load.</w:t>
      </w:r>
      <w:r w:rsidR="003E6339">
        <w:rPr>
          <w:rStyle w:val="FootnoteReference"/>
        </w:rPr>
        <w:footnoteReference w:id="174"/>
      </w:r>
    </w:p>
    <w:p w:rsidR="003E6339" w:rsidP="00E71AB6" w:rsidRDefault="00BF712B" w14:paraId="0DE5B40C" w14:textId="253E657D">
      <w:pPr>
        <w:pStyle w:val="Standard"/>
      </w:pPr>
      <w:bookmarkStart w:name="_Hlk216269246" w:id="75"/>
      <w:r>
        <w:t>Given the</w:t>
      </w:r>
      <w:r w:rsidR="002028BD">
        <w:t xml:space="preserve"> iterative </w:t>
      </w:r>
      <w:r>
        <w:t xml:space="preserve">nature of </w:t>
      </w:r>
      <w:r w:rsidR="002028BD">
        <w:t>SB 1221</w:t>
      </w:r>
      <w:r>
        <w:t xml:space="preserve"> implementation</w:t>
      </w:r>
      <w:r w:rsidR="00242714">
        <w:t xml:space="preserve"> and our intention to update </w:t>
      </w:r>
      <w:r w:rsidR="00D60A03">
        <w:t>the zone criteria, we decline to commit to specific decarbonization zone designations or a detailed process at this time</w:t>
      </w:r>
      <w:r w:rsidR="002028BD">
        <w:t xml:space="preserve">.  However, </w:t>
      </w:r>
      <w:r>
        <w:t xml:space="preserve">we clarify that </w:t>
      </w:r>
      <w:r w:rsidR="002028BD">
        <w:t xml:space="preserve">the intent behind the April 1, 2026 Report directed by this decision is to enable an update to the decarbonization zones concurrently with the establishment of the Pilot Program.  If circumstances preclude an update at that time, we commit to updating them by December 31, 2026. </w:t>
      </w:r>
    </w:p>
    <w:p w:rsidR="00D31E06" w:rsidP="00E71AB6" w:rsidRDefault="00D31E06" w14:paraId="7144EF08" w14:textId="6C605A5B">
      <w:pPr>
        <w:pStyle w:val="Standard"/>
      </w:pPr>
      <w:r>
        <w:t xml:space="preserve">We also decline to allow Gas Corporations to update decarbonization zones through the Advice Letter process </w:t>
      </w:r>
      <w:r w:rsidR="00BF712B">
        <w:t>in this decision.</w:t>
      </w:r>
      <w:r>
        <w:t xml:space="preserve"> </w:t>
      </w:r>
      <w:r w:rsidR="00BF712B">
        <w:t xml:space="preserve"> Section 662(d) requires </w:t>
      </w:r>
      <w:r w:rsidR="00D60A03">
        <w:t>the public to have an opportunity to comment on updates</w:t>
      </w:r>
      <w:r w:rsidR="00BF712B">
        <w:t xml:space="preserve"> to the decarbonization zones.</w:t>
      </w:r>
    </w:p>
    <w:p w:rsidR="00254DC4" w:rsidP="00254DC4" w:rsidRDefault="00254DC4" w14:paraId="29F64D80" w14:textId="554E7FA1">
      <w:pPr>
        <w:pStyle w:val="Heading2"/>
      </w:pPr>
      <w:bookmarkStart w:name="_Toc216699699" w:id="76"/>
      <w:r>
        <w:t>Review of Fact Sheet</w:t>
      </w:r>
      <w:bookmarkEnd w:id="76"/>
    </w:p>
    <w:p w:rsidR="00254DC4" w:rsidP="00254DC4" w:rsidRDefault="00254DC4" w14:paraId="7DDE9AA7" w14:textId="109E23F3">
      <w:pPr>
        <w:pStyle w:val="Standard"/>
      </w:pPr>
      <w:r w:rsidRPr="00254DC4">
        <w:t>PG&amp;E and SoCalGas/SDG&amp;E re</w:t>
      </w:r>
      <w:r w:rsidRPr="00D31E06">
        <w:t>commend providing</w:t>
      </w:r>
      <w:r>
        <w:t xml:space="preserve"> the fact sheet to utilities to review for accuracy by January 1</w:t>
      </w:r>
      <w:r w:rsidR="00B63122">
        <w:t>5</w:t>
      </w:r>
      <w:r>
        <w:t>, 2026.</w:t>
      </w:r>
      <w:r>
        <w:rPr>
          <w:rStyle w:val="FootnoteReference"/>
        </w:rPr>
        <w:footnoteReference w:id="175"/>
      </w:r>
      <w:r w:rsidR="000671AB">
        <w:t xml:space="preserve">  </w:t>
      </w:r>
      <w:r w:rsidR="007B721E">
        <w:t xml:space="preserve">In public comments, the BEEP Coalition also requests that Gas Corporations incorporate community partner feedback into the fact sheet before finalizing distribution.  </w:t>
      </w:r>
      <w:r w:rsidR="000671AB">
        <w:t>While UCAN supports PG&amp;E’s request for a date-certain deadline for the fact sheet's completion, it opposes the recommendation that utilities review the fact sheet.</w:t>
      </w:r>
      <w:r w:rsidR="000671AB">
        <w:rPr>
          <w:rStyle w:val="FootnoteReference"/>
        </w:rPr>
        <w:footnoteReference w:id="176"/>
      </w:r>
      <w:r w:rsidR="000671AB">
        <w:t xml:space="preserve">  </w:t>
      </w:r>
      <w:r w:rsidR="000671AB">
        <w:lastRenderedPageBreak/>
        <w:t>According to UCAN, the Commission may determine what information the Gas Corporations must supply to gas customers.</w:t>
      </w:r>
      <w:r w:rsidR="000671AB">
        <w:rPr>
          <w:rStyle w:val="FootnoteReference"/>
        </w:rPr>
        <w:footnoteReference w:id="177"/>
      </w:r>
    </w:p>
    <w:p w:rsidRPr="00254DC4" w:rsidR="000671AB" w:rsidP="00254DC4" w:rsidRDefault="000671AB" w14:paraId="74C596CA" w14:textId="7CA025A7">
      <w:pPr>
        <w:pStyle w:val="Standard"/>
      </w:pPr>
      <w:r>
        <w:t xml:space="preserve">We agree.  While we can commit to </w:t>
      </w:r>
      <w:r w:rsidR="00A10721">
        <w:t>completing the fact sheet by January 1</w:t>
      </w:r>
      <w:r w:rsidR="00B63122">
        <w:t>5</w:t>
      </w:r>
      <w:r w:rsidR="00A10721">
        <w:t>, 2026, we will not provide it</w:t>
      </w:r>
      <w:r>
        <w:t xml:space="preserve"> for utility </w:t>
      </w:r>
      <w:r w:rsidR="00A10721">
        <w:t xml:space="preserve">or community partner </w:t>
      </w:r>
      <w:r>
        <w:t>review.  The fact sheet is a Commission product.</w:t>
      </w:r>
    </w:p>
    <w:p w:rsidR="005939A5" w:rsidP="005939A5" w:rsidRDefault="005939A5" w14:paraId="788C4D7E" w14:textId="77777777">
      <w:pPr>
        <w:pStyle w:val="Heading1"/>
      </w:pPr>
      <w:bookmarkStart w:name="_Toc8123724" w:id="77"/>
      <w:bookmarkStart w:name="_Toc216699700" w:id="78"/>
      <w:bookmarkEnd w:id="72"/>
      <w:bookmarkEnd w:id="75"/>
      <w:r>
        <w:t>Assignment of Proceeding</w:t>
      </w:r>
      <w:bookmarkEnd w:id="77"/>
      <w:bookmarkEnd w:id="78"/>
    </w:p>
    <w:p w:rsidR="005939A5" w:rsidP="006E6574" w:rsidRDefault="00F31C5B" w14:paraId="3985D056" w14:textId="51FD710B">
      <w:pPr>
        <w:pStyle w:val="Standard"/>
      </w:pPr>
      <w:r>
        <w:t>Karen Douglas</w:t>
      </w:r>
      <w:r w:rsidR="005939A5">
        <w:t xml:space="preserve"> is the assigned Commissioner and </w:t>
      </w:r>
      <w:r w:rsidR="005425AB">
        <w:t>Robyn Purchia and Paula Gruendling</w:t>
      </w:r>
      <w:r w:rsidR="005939A5">
        <w:t xml:space="preserve"> </w:t>
      </w:r>
      <w:r w:rsidR="005425AB">
        <w:t>are</w:t>
      </w:r>
      <w:r w:rsidR="005939A5">
        <w:t xml:space="preserve"> the assigned Administrative Law Judge</w:t>
      </w:r>
      <w:r w:rsidR="005425AB">
        <w:t>s</w:t>
      </w:r>
      <w:r w:rsidR="005939A5">
        <w:t xml:space="preserve"> in this proceeding.</w:t>
      </w:r>
    </w:p>
    <w:p w:rsidR="005939A5" w:rsidP="005939A5" w:rsidRDefault="005939A5" w14:paraId="5D964CEE" w14:textId="77777777">
      <w:pPr>
        <w:pStyle w:val="Dummy"/>
      </w:pPr>
      <w:bookmarkStart w:name="_Toc8123725" w:id="79"/>
      <w:bookmarkStart w:name="_Toc216699701" w:id="80"/>
      <w:r>
        <w:t>Findings of Fact</w:t>
      </w:r>
      <w:bookmarkEnd w:id="79"/>
      <w:bookmarkEnd w:id="80"/>
    </w:p>
    <w:p w:rsidRPr="001E2A62" w:rsidR="00B31E6E" w:rsidP="00B31E6E" w:rsidRDefault="00B31E6E" w14:paraId="7BE670F3" w14:textId="15B6ABDC">
      <w:pPr>
        <w:pStyle w:val="FoF"/>
      </w:pPr>
      <w:bookmarkStart w:name="_Toc8123726" w:id="81"/>
      <w:r>
        <w:t xml:space="preserve">Section 662(a) requires the Commission to designate decarbonization zones </w:t>
      </w:r>
      <w:r w:rsidR="004D4306">
        <w:t xml:space="preserve">on or </w:t>
      </w:r>
      <w:r>
        <w:t xml:space="preserve">before January 1, 2026.  </w:t>
      </w:r>
    </w:p>
    <w:p w:rsidR="00B31E6E" w:rsidP="00B31E6E" w:rsidRDefault="00B31E6E" w14:paraId="52880AD2" w14:textId="77777777">
      <w:pPr>
        <w:pStyle w:val="FoF"/>
      </w:pPr>
      <w:r>
        <w:t>Section 662(d) permits the Commission to update the decarbonization zones as necessary following an opportunity for public comment.</w:t>
      </w:r>
    </w:p>
    <w:p w:rsidR="00B31E6E" w:rsidP="00B31E6E" w:rsidRDefault="004D4306" w14:paraId="48140476" w14:textId="64B54A4A">
      <w:pPr>
        <w:pStyle w:val="FoF"/>
      </w:pPr>
      <w:r>
        <w:t>D</w:t>
      </w:r>
      <w:r w:rsidR="00B31E6E">
        <w:t>ecarbonization zones are geographic areas w</w:t>
      </w:r>
      <w:r>
        <w:t>ithin which</w:t>
      </w:r>
      <w:r w:rsidR="00B31E6E">
        <w:t xml:space="preserve"> the Commission may authorize pilot projects through the Pilot Program.</w:t>
      </w:r>
    </w:p>
    <w:p w:rsidR="00B31E6E" w:rsidP="00B31E6E" w:rsidRDefault="00B31E6E" w14:paraId="42FC0B78" w14:textId="5914BCEF">
      <w:pPr>
        <w:pStyle w:val="FoF"/>
      </w:pPr>
      <w:bookmarkStart w:name="_Hlk212021369" w:id="82"/>
      <w:r>
        <w:t xml:space="preserve">Section 661(a) requires </w:t>
      </w:r>
      <w:r w:rsidR="005A16FE">
        <w:t>G</w:t>
      </w:r>
      <w:r>
        <w:t xml:space="preserve">as </w:t>
      </w:r>
      <w:r w:rsidR="005A16FE">
        <w:t>C</w:t>
      </w:r>
      <w:r>
        <w:t xml:space="preserve">orporations to include </w:t>
      </w:r>
      <w:r w:rsidR="004D4306">
        <w:t>Commission-</w:t>
      </w:r>
      <w:r>
        <w:t>designated decarbonization zones on maps they submit to the Commission.</w:t>
      </w:r>
    </w:p>
    <w:bookmarkEnd w:id="82"/>
    <w:p w:rsidR="00B31E6E" w:rsidP="00B31E6E" w:rsidRDefault="00B31E6E" w14:paraId="5A50C3F3" w14:textId="3A9C387D">
      <w:pPr>
        <w:pStyle w:val="FoF"/>
      </w:pPr>
      <w:r>
        <w:t xml:space="preserve">Gas </w:t>
      </w:r>
      <w:r w:rsidR="005A16FE">
        <w:t>C</w:t>
      </w:r>
      <w:r>
        <w:t>orporations provided recommendations on the designation of decarbonization zones.</w:t>
      </w:r>
    </w:p>
    <w:p w:rsidR="00B31E6E" w:rsidP="00B31E6E" w:rsidRDefault="00B31E6E" w14:paraId="677A1472" w14:textId="3A73581D">
      <w:pPr>
        <w:pStyle w:val="FoF"/>
      </w:pPr>
      <w:r>
        <w:t>The Commission provided opportunit</w:t>
      </w:r>
      <w:r w:rsidR="005A16FE">
        <w:t>ies</w:t>
      </w:r>
      <w:r>
        <w:t xml:space="preserve"> for public comment on the designation of decarbonization zones.</w:t>
      </w:r>
    </w:p>
    <w:p w:rsidR="00B31E6E" w:rsidP="00B31E6E" w:rsidRDefault="00B31E6E" w14:paraId="516F4B14" w14:textId="68885345">
      <w:pPr>
        <w:pStyle w:val="FoF"/>
      </w:pPr>
      <w:r>
        <w:lastRenderedPageBreak/>
        <w:t xml:space="preserve">The adopted methodology for designating initial decarbonization zones </w:t>
      </w:r>
      <w:r w:rsidR="00AF20C9">
        <w:t>is reasonably flexible for pilot proposals and provides enough information to facilitate meaningful public and stakeholder comment.</w:t>
      </w:r>
    </w:p>
    <w:p w:rsidR="008F776A" w:rsidP="008F776A" w:rsidRDefault="008F776A" w14:paraId="37016D79" w14:textId="36396C70">
      <w:pPr>
        <w:pStyle w:val="FoF"/>
      </w:pPr>
      <w:r>
        <w:t>Designating the initial decarbonization zones at the census tract level offers flexibility, as a variety of pilot project sizes may fit within them.</w:t>
      </w:r>
    </w:p>
    <w:p w:rsidR="00B31E6E" w:rsidP="00B31E6E" w:rsidRDefault="00B31E6E" w14:paraId="35A02D29" w14:textId="77777777">
      <w:pPr>
        <w:pStyle w:val="FoF"/>
      </w:pPr>
      <w:r>
        <w:t>The Commission considered all factors listed in Sections 662(a)(1)-(4) when designating the initial decarbonization zones.</w:t>
      </w:r>
    </w:p>
    <w:p w:rsidR="008F776A" w:rsidP="008F776A" w:rsidRDefault="008F776A" w14:paraId="3A7423C9" w14:textId="3EDF9524">
      <w:pPr>
        <w:pStyle w:val="FoF"/>
      </w:pPr>
      <w:r>
        <w:t>Numerous parties highlighted the importance of local support to designating decarbonization zones.</w:t>
      </w:r>
      <w:r w:rsidR="00F904A0">
        <w:t xml:space="preserve">  Expressions of support for SB 1221 pilots are regarded as indications of interest rather than binding commitments. </w:t>
      </w:r>
    </w:p>
    <w:p w:rsidR="00B31E6E" w:rsidP="00B31E6E" w:rsidRDefault="00B31E6E" w14:paraId="5CF15123" w14:textId="3E1C50F4">
      <w:pPr>
        <w:pStyle w:val="FoF"/>
      </w:pPr>
      <w:r>
        <w:t>Numerous city and county governments, other government organizations</w:t>
      </w:r>
      <w:r w:rsidR="00CD1C0A">
        <w:t>,</w:t>
      </w:r>
      <w:r>
        <w:t xml:space="preserve"> and non-governmental organizations, </w:t>
      </w:r>
      <w:r w:rsidR="00CD1C0A">
        <w:t xml:space="preserve">representing </w:t>
      </w:r>
      <w:r w:rsidR="00242714">
        <w:t>at least 929</w:t>
      </w:r>
      <w:r w:rsidR="00CD1C0A">
        <w:t xml:space="preserve"> of California’s 9,000 census tracts, </w:t>
      </w:r>
      <w:r w:rsidR="00242714">
        <w:t>indicated support</w:t>
      </w:r>
      <w:r w:rsidR="00CD1C0A">
        <w:t xml:space="preserve"> for pilot projects</w:t>
      </w:r>
      <w:r>
        <w:t>.</w:t>
      </w:r>
    </w:p>
    <w:p w:rsidR="008F776A" w:rsidP="008F776A" w:rsidRDefault="008F776A" w14:paraId="14F945FD" w14:textId="77777777">
      <w:pPr>
        <w:pStyle w:val="FoF"/>
      </w:pPr>
      <w:r>
        <w:t>Supportive communities are more likely to want pilot projects and implement them successfully.</w:t>
      </w:r>
    </w:p>
    <w:p w:rsidR="008F776A" w:rsidP="008F776A" w:rsidRDefault="008F776A" w14:paraId="0FB457F7" w14:textId="1A476A87">
      <w:pPr>
        <w:pStyle w:val="FoF"/>
      </w:pPr>
      <w:r>
        <w:t xml:space="preserve">Granting local governments’ and/or community organizations’ </w:t>
      </w:r>
      <w:r w:rsidR="0048101F">
        <w:t>requests for broadly designated decarbonization zones within their jurisdiction</w:t>
      </w:r>
      <w:r w:rsidR="00242714">
        <w:t>s</w:t>
      </w:r>
      <w:r w:rsidR="0048101F">
        <w:t xml:space="preserve"> </w:t>
      </w:r>
      <w:r>
        <w:t xml:space="preserve">would fail to provide the public and stakeholders with meaningful information. </w:t>
      </w:r>
    </w:p>
    <w:p w:rsidR="0048101F" w:rsidP="0048101F" w:rsidRDefault="0048101F" w14:paraId="2AB22B77" w14:textId="0744DB2A">
      <w:pPr>
        <w:pStyle w:val="FoF"/>
      </w:pPr>
      <w:r>
        <w:t>Numerous parties emphasize the importance of considering gas distribution line projects when designating decarbonization zones.</w:t>
      </w:r>
    </w:p>
    <w:p w:rsidR="00CD1C0A" w:rsidP="00B31E6E" w:rsidRDefault="00CD1C0A" w14:paraId="50E9BED8" w14:textId="0F49462D">
      <w:pPr>
        <w:pStyle w:val="FoF"/>
      </w:pPr>
      <w:r>
        <w:t>A concentration of gas distribution line projects represents an opportunity for cost savings.</w:t>
      </w:r>
    </w:p>
    <w:p w:rsidR="00006553" w:rsidP="00006553" w:rsidRDefault="00006553" w14:paraId="4FDD188F" w14:textId="77777777">
      <w:pPr>
        <w:pStyle w:val="FoF"/>
      </w:pPr>
      <w:r>
        <w:t>Gas replacement project timelines are relevant to project planning and the maps the Gas Corporations submitted to the Commission on July 1, 2025, reflect risk scores representing prioritization for gas replacement.</w:t>
      </w:r>
    </w:p>
    <w:p w:rsidR="00CD1C0A" w:rsidP="00B31E6E" w:rsidRDefault="00CD1C0A" w14:paraId="09853C20" w14:textId="489AEFC8">
      <w:pPr>
        <w:pStyle w:val="FoF"/>
      </w:pPr>
      <w:r>
        <w:lastRenderedPageBreak/>
        <w:t xml:space="preserve">A threshold higher than 10 percent of gas mains scheduled for replacement excludes </w:t>
      </w:r>
      <w:r w:rsidR="00473E02">
        <w:t xml:space="preserve">too many </w:t>
      </w:r>
      <w:r>
        <w:t>areas with local support, such as Los Angeles locations and Elk Grove.</w:t>
      </w:r>
    </w:p>
    <w:p w:rsidR="00CD1C0A" w:rsidP="00B31E6E" w:rsidRDefault="00CD1C0A" w14:paraId="6354AC27" w14:textId="3D1368D0">
      <w:pPr>
        <w:pStyle w:val="FoF"/>
      </w:pPr>
      <w:r>
        <w:t xml:space="preserve">A threshold lower than 10 percent </w:t>
      </w:r>
      <w:r w:rsidR="005A16FE">
        <w:t xml:space="preserve">of gas mains scheduled for replacement </w:t>
      </w:r>
      <w:r>
        <w:t>makes almost all census tracts eligible for designation as a decarbonization zone.</w:t>
      </w:r>
    </w:p>
    <w:p w:rsidR="00CD1C0A" w:rsidP="00B31E6E" w:rsidRDefault="00CD1C0A" w14:paraId="458618BD" w14:textId="441EE04C">
      <w:pPr>
        <w:pStyle w:val="FoF"/>
      </w:pPr>
      <w:r>
        <w:t>In Alameda and San Diego counties, public, governmental, and non-governmental organizations demonstrated strong support for decarbonization at the county and city levels.</w:t>
      </w:r>
    </w:p>
    <w:p w:rsidR="00CD1C0A" w:rsidP="00B31E6E" w:rsidRDefault="00CD1C0A" w14:paraId="71CC2B23" w14:textId="6110CEC8">
      <w:pPr>
        <w:pStyle w:val="FoF"/>
      </w:pPr>
      <w:r>
        <w:t xml:space="preserve">Alameda and San Diego </w:t>
      </w:r>
      <w:r w:rsidR="005A16FE">
        <w:t>c</w:t>
      </w:r>
      <w:r>
        <w:t>ounties have many census tracts with gas mains scheduled for replacement.</w:t>
      </w:r>
    </w:p>
    <w:p w:rsidR="00FA42E3" w:rsidP="00B31E6E" w:rsidRDefault="00FA42E3" w14:paraId="33BBFBF1" w14:textId="6D88F574">
      <w:pPr>
        <w:pStyle w:val="FoF"/>
      </w:pPr>
      <w:r>
        <w:t>Without a 25-census-tract cap</w:t>
      </w:r>
      <w:r w:rsidR="0047737F">
        <w:t xml:space="preserve"> on the number of census tracts with local support and a concentration of gas distribution line replacement projects</w:t>
      </w:r>
      <w:r>
        <w:t xml:space="preserve">, Alameda County would have </w:t>
      </w:r>
      <w:r w:rsidR="00445E8E">
        <w:t>3</w:t>
      </w:r>
      <w:r w:rsidR="00167F3B">
        <w:t>5</w:t>
      </w:r>
      <w:r>
        <w:t xml:space="preserve"> additional initial decarbonization zones (</w:t>
      </w:r>
      <w:r w:rsidR="00167F3B">
        <w:t>1</w:t>
      </w:r>
      <w:r w:rsidR="00445E8E">
        <w:t>8</w:t>
      </w:r>
      <w:r>
        <w:t xml:space="preserve"> percent of the total), and San Diego County would have 1</w:t>
      </w:r>
      <w:r w:rsidR="00167F3B">
        <w:t>71</w:t>
      </w:r>
      <w:r>
        <w:t xml:space="preserve"> (</w:t>
      </w:r>
      <w:r w:rsidR="00167F3B">
        <w:t>5</w:t>
      </w:r>
      <w:r w:rsidR="00445E8E">
        <w:t>8</w:t>
      </w:r>
      <w:r>
        <w:t xml:space="preserve"> percent of the total). </w:t>
      </w:r>
    </w:p>
    <w:p w:rsidR="0048101F" w:rsidP="0048101F" w:rsidRDefault="0048101F" w14:paraId="10B6FF21" w14:textId="4333F9A6">
      <w:pPr>
        <w:pStyle w:val="FoF"/>
      </w:pPr>
      <w:r>
        <w:t xml:space="preserve">Allowing certain geographic areas to be overrepresented in our decarbonization zone designations would affect our ability to gather information from diverse neighborhoods with varying challenges across different utility service areas.  </w:t>
      </w:r>
    </w:p>
    <w:p w:rsidR="00CD1C0A" w:rsidP="00B31E6E" w:rsidRDefault="00CD1C0A" w14:paraId="572FF191" w14:textId="03B3683B">
      <w:pPr>
        <w:pStyle w:val="FoF"/>
      </w:pPr>
      <w:r>
        <w:t>The 25 census tracts chosen in Alameda and San Diego counties contain the highest percentage of gas replacement projects in their counties.</w:t>
      </w:r>
    </w:p>
    <w:p w:rsidR="0047737F" w:rsidP="0047737F" w:rsidRDefault="0047737F" w14:paraId="6A23E3C2" w14:textId="015D7ED0">
      <w:pPr>
        <w:pStyle w:val="FoF"/>
      </w:pPr>
      <w:r>
        <w:t>The Legislature found that deployment of zero-emission alternatives under SB 1221 should prioritize benefits to disadvantaged and low-income communities.</w:t>
      </w:r>
    </w:p>
    <w:p w:rsidR="0047737F" w:rsidP="0047737F" w:rsidRDefault="0047737F" w14:paraId="4BD74216" w14:textId="2C4234C4">
      <w:pPr>
        <w:pStyle w:val="FoF"/>
      </w:pPr>
      <w:r>
        <w:t xml:space="preserve">Out of </w:t>
      </w:r>
      <w:r w:rsidR="00445E8E">
        <w:t>3</w:t>
      </w:r>
      <w:r w:rsidR="00167F3B">
        <w:t>5</w:t>
      </w:r>
      <w:r>
        <w:t xml:space="preserve"> census tracts in Alameda County that fell outside the 25-census-tract cap, six census tracts score in the top 25 percent of CalEnviroScreen 4.0.</w:t>
      </w:r>
    </w:p>
    <w:p w:rsidR="0047737F" w:rsidP="0047737F" w:rsidRDefault="0047737F" w14:paraId="32D1DD89" w14:textId="5E0B6137">
      <w:pPr>
        <w:pStyle w:val="FoF"/>
      </w:pPr>
      <w:r>
        <w:lastRenderedPageBreak/>
        <w:t>Out of the 1</w:t>
      </w:r>
      <w:r w:rsidR="00167F3B">
        <w:t>71</w:t>
      </w:r>
      <w:r>
        <w:t xml:space="preserve"> census tracts in San Diego County that fell outside the 25-census-tract cap, six census tracts score in the top 25 percent of CalEnviroScreen 4.0.</w:t>
      </w:r>
    </w:p>
    <w:p w:rsidR="0047737F" w:rsidP="0047737F" w:rsidRDefault="0047737F" w14:paraId="4D6BC674" w14:textId="7B6A8E77">
      <w:pPr>
        <w:pStyle w:val="FoF"/>
      </w:pPr>
      <w:r>
        <w:t xml:space="preserve">The initial decarbonization zones have an average CES percentile </w:t>
      </w:r>
      <w:r w:rsidRPr="00242714">
        <w:t xml:space="preserve">of </w:t>
      </w:r>
      <w:r w:rsidRPr="00242714" w:rsidR="00167F3B">
        <w:t>51</w:t>
      </w:r>
      <w:r>
        <w:t>.</w:t>
      </w:r>
    </w:p>
    <w:p w:rsidR="0047737F" w:rsidP="0047737F" w:rsidRDefault="0047737F" w14:paraId="3AA93273" w14:textId="77777777">
      <w:pPr>
        <w:pStyle w:val="FoF"/>
      </w:pPr>
      <w:r>
        <w:t xml:space="preserve">Asthma rates are one of the indicators that feed into the CES composite score and are a key indicator of health vulnerability.  </w:t>
      </w:r>
    </w:p>
    <w:p w:rsidRPr="001E2A62" w:rsidR="0047737F" w:rsidP="0047737F" w:rsidRDefault="0047737F" w14:paraId="08013C40" w14:textId="41E861C4">
      <w:pPr>
        <w:pStyle w:val="FoF"/>
      </w:pPr>
      <w:r>
        <w:t xml:space="preserve">The initial decarbonization zones have an average asthma rate percentile of </w:t>
      </w:r>
      <w:r w:rsidRPr="00242714">
        <w:t>5</w:t>
      </w:r>
      <w:r w:rsidRPr="00242714" w:rsidR="00167F3B">
        <w:t>8</w:t>
      </w:r>
      <w:r>
        <w:t xml:space="preserve">.  </w:t>
      </w:r>
    </w:p>
    <w:p w:rsidR="00CD1C0A" w:rsidP="00B31E6E" w:rsidRDefault="00CD1C0A" w14:paraId="42B75BC6" w14:textId="0BB54DD5">
      <w:pPr>
        <w:pStyle w:val="FoF"/>
      </w:pPr>
      <w:r>
        <w:t>Our consideration of Section 662(a)(1) is distinct from our consideration of Section 662(a)(2).</w:t>
      </w:r>
    </w:p>
    <w:p w:rsidR="00CD1C0A" w:rsidP="00B31E6E" w:rsidRDefault="00CD1C0A" w14:paraId="3FE87681" w14:textId="5E66F1C4">
      <w:pPr>
        <w:pStyle w:val="FoF"/>
      </w:pPr>
      <w:r>
        <w:t>Numerous resources could inform our consideration of whether decarbonization zones contain the presence of disadvantaged or low-income communities in high-temperature climate zones or low-temperature climate zones that disproportionately lack heating or cooling.</w:t>
      </w:r>
    </w:p>
    <w:p w:rsidR="00CD1C0A" w:rsidP="00B31E6E" w:rsidRDefault="00FA42E3" w14:paraId="2F0AFE18" w14:textId="3118D1DD">
      <w:pPr>
        <w:pStyle w:val="FoF"/>
      </w:pPr>
      <w:r>
        <w:t xml:space="preserve">Approximately </w:t>
      </w:r>
      <w:r w:rsidRPr="00242714">
        <w:t>6</w:t>
      </w:r>
      <w:r w:rsidRPr="00242714" w:rsidR="00167F3B">
        <w:t>8</w:t>
      </w:r>
      <w:r>
        <w:t xml:space="preserve"> percent of initial decarbonization zones contain low-income households, according to the California Air Resources Board, “List of Priority Populations 4.0 Tool.”  </w:t>
      </w:r>
      <w:r w:rsidR="00CD1C0A">
        <w:t xml:space="preserve"> </w:t>
      </w:r>
    </w:p>
    <w:p w:rsidR="005939A5" w:rsidP="005939A5" w:rsidRDefault="005939A5" w14:paraId="18EB011B" w14:textId="77777777">
      <w:pPr>
        <w:pStyle w:val="Dummy"/>
      </w:pPr>
      <w:bookmarkStart w:name="_Toc216699702" w:id="83"/>
      <w:r>
        <w:t>Conclusions of Law</w:t>
      </w:r>
      <w:bookmarkEnd w:id="81"/>
      <w:bookmarkEnd w:id="83"/>
    </w:p>
    <w:p w:rsidRPr="001E2A62" w:rsidR="00B31E6E" w:rsidP="00B31E6E" w:rsidRDefault="00B31E6E" w14:paraId="324A6BD7" w14:textId="23CE3CDB">
      <w:pPr>
        <w:pStyle w:val="CoL"/>
      </w:pPr>
      <w:r>
        <w:t>It is reasonable to designate</w:t>
      </w:r>
      <w:r w:rsidR="00AF20C9">
        <w:t xml:space="preserve"> </w:t>
      </w:r>
      <w:r w:rsidR="00FA42E3">
        <w:t xml:space="preserve">the </w:t>
      </w:r>
      <w:r w:rsidR="00AF20C9">
        <w:t>1</w:t>
      </w:r>
      <w:r w:rsidR="00242714">
        <w:t>51</w:t>
      </w:r>
      <w:r>
        <w:t xml:space="preserve"> initial decarbonization zones shown in Appendix </w:t>
      </w:r>
      <w:r w:rsidR="00277C9F">
        <w:t>A</w:t>
      </w:r>
      <w:r>
        <w:t xml:space="preserve"> </w:t>
      </w:r>
      <w:r w:rsidR="00695C29">
        <w:t>of</w:t>
      </w:r>
      <w:r>
        <w:t xml:space="preserve"> this decision.</w:t>
      </w:r>
    </w:p>
    <w:p w:rsidR="00B31E6E" w:rsidP="00B31E6E" w:rsidRDefault="00B31E6E" w14:paraId="6C17D8F7" w14:textId="03A13727">
      <w:pPr>
        <w:pStyle w:val="CoL"/>
      </w:pPr>
      <w:r>
        <w:t>It is reasonable to commit to updating the initial decarbonization zones</w:t>
      </w:r>
      <w:r w:rsidR="002028BD">
        <w:t xml:space="preserve"> by December 31, 2026</w:t>
      </w:r>
      <w:r>
        <w:t>.</w:t>
      </w:r>
    </w:p>
    <w:p w:rsidR="00B31E6E" w:rsidP="00B31E6E" w:rsidRDefault="00B31E6E" w14:paraId="69EB6EF8" w14:textId="0AE39A29">
      <w:pPr>
        <w:pStyle w:val="CoL"/>
      </w:pPr>
      <w:r>
        <w:t>It is reasonable to designate the initial decarbonization zones as census tracts that (</w:t>
      </w:r>
      <w:r w:rsidR="00277C9F">
        <w:t>1</w:t>
      </w:r>
      <w:r>
        <w:t>) have available supportive local government or community partners</w:t>
      </w:r>
      <w:r w:rsidR="00277C9F">
        <w:t>, (2) contain a concentration of gas distribution line replacement projects</w:t>
      </w:r>
      <w:r w:rsidR="0047737F">
        <w:t>, and (3) contain a presence of environmental and social justice communities</w:t>
      </w:r>
      <w:r>
        <w:t xml:space="preserve">.  </w:t>
      </w:r>
    </w:p>
    <w:p w:rsidR="0048101F" w:rsidP="00B31E6E" w:rsidRDefault="0048101F" w14:paraId="51382178" w14:textId="4EC1026A">
      <w:pPr>
        <w:pStyle w:val="CoL"/>
      </w:pPr>
      <w:bookmarkStart w:name="_Hlk216333874" w:id="84"/>
      <w:r>
        <w:lastRenderedPageBreak/>
        <w:t xml:space="preserve">It is reasonable to require </w:t>
      </w:r>
      <w:r w:rsidR="00695C29">
        <w:t>each</w:t>
      </w:r>
      <w:r>
        <w:t xml:space="preserve"> Gas Corporation to</w:t>
      </w:r>
      <w:r w:rsidR="0047737F">
        <w:t xml:space="preserve"> (1) provide </w:t>
      </w:r>
      <w:r w:rsidR="00B65750">
        <w:t>the</w:t>
      </w:r>
      <w:r w:rsidR="0047737F">
        <w:t xml:space="preserve"> fact sheet </w:t>
      </w:r>
      <w:r w:rsidR="00B65750">
        <w:t xml:space="preserve">from the Commission’s Public Advisor’s Office </w:t>
      </w:r>
      <w:r w:rsidR="0047737F">
        <w:t xml:space="preserve">to </w:t>
      </w:r>
      <w:r w:rsidR="00BF712B">
        <w:t xml:space="preserve">tribal representatives in their service territory and </w:t>
      </w:r>
      <w:r w:rsidR="0047737F">
        <w:t xml:space="preserve">community </w:t>
      </w:r>
      <w:r w:rsidR="004E55B2">
        <w:t>organizations</w:t>
      </w:r>
      <w:r w:rsidR="0047737F">
        <w:t xml:space="preserve"> in diverse geographic locations</w:t>
      </w:r>
      <w:r w:rsidR="00B65750">
        <w:t xml:space="preserve"> throughout their service territory</w:t>
      </w:r>
      <w:r w:rsidR="0047737F">
        <w:t xml:space="preserve">, including </w:t>
      </w:r>
      <w:r w:rsidR="00B65750">
        <w:t>those that represent or work with</w:t>
      </w:r>
      <w:r w:rsidR="0047737F">
        <w:t xml:space="preserve"> disadvantaged, low-income, and/or environmental and social justice communities; (2) </w:t>
      </w:r>
      <w:r w:rsidR="00B65750">
        <w:t>provide the fact sheet from the Commission’s Public Advisor’s Office to a</w:t>
      </w:r>
      <w:r w:rsidR="00C90B5F">
        <w:t xml:space="preserve"> representative of each</w:t>
      </w:r>
      <w:r w:rsidR="00B65750">
        <w:t xml:space="preserve"> LSE of their service territory; (3) provide the fact sheet from the Commission’s Public Advisor’s Office to a Director of Planning, Community Development, Housing, or similar department in each city and county of their service territory</w:t>
      </w:r>
      <w:r w:rsidR="00BF712B">
        <w:t xml:space="preserve"> where they have identified a foreseeable pipeline replacement project</w:t>
      </w:r>
      <w:r w:rsidR="00B65750">
        <w:t xml:space="preserve">; (4) </w:t>
      </w:r>
      <w:r w:rsidR="0047737F">
        <w:t xml:space="preserve">host </w:t>
      </w:r>
      <w:r w:rsidR="00B65750">
        <w:t xml:space="preserve">and record </w:t>
      </w:r>
      <w:r w:rsidR="0047737F">
        <w:t xml:space="preserve">one </w:t>
      </w:r>
      <w:r w:rsidR="00BE7CCB">
        <w:t xml:space="preserve">virtual </w:t>
      </w:r>
      <w:r w:rsidR="0047737F">
        <w:t>SB 1221 information session for government representatives, community organizations, and members of the public in each of their service areas between January 1</w:t>
      </w:r>
      <w:r w:rsidR="00FC49E6">
        <w:t>5</w:t>
      </w:r>
      <w:r w:rsidR="0047737F">
        <w:t>, 2026, and March 15, 2026</w:t>
      </w:r>
      <w:r w:rsidR="00BE7CCB">
        <w:t xml:space="preserve">, to hear comments in support of </w:t>
      </w:r>
      <w:r w:rsidR="006F50A2">
        <w:t>or</w:t>
      </w:r>
      <w:r w:rsidR="00BE7CCB">
        <w:t xml:space="preserve"> opposition to the designation of decarbonization zones </w:t>
      </w:r>
      <w:r w:rsidR="00C90B5F">
        <w:t xml:space="preserve">in specific areas </w:t>
      </w:r>
      <w:r w:rsidR="00BE7CCB">
        <w:t xml:space="preserve">and solicit feedback on SB 1221’s diversity and equity considerations, including feedback about local environmental hazards, the ability of homes and small businesses in the community access </w:t>
      </w:r>
      <w:r w:rsidR="00C90B5F">
        <w:t xml:space="preserve">to </w:t>
      </w:r>
      <w:r w:rsidR="00BE7CCB">
        <w:t xml:space="preserve">cooling and/or heating, </w:t>
      </w:r>
      <w:r w:rsidR="00C90B5F">
        <w:t xml:space="preserve">health considerations, </w:t>
      </w:r>
      <w:r w:rsidR="00BE7CCB">
        <w:t>and community barriers to decarbonization; (5) make</w:t>
      </w:r>
      <w:r w:rsidR="00D95520">
        <w:t xml:space="preserve"> interpretation services available at the information session if the Gas Corporation receives a request for interpretation at least five business days before the session</w:t>
      </w:r>
      <w:r w:rsidR="00BF712B">
        <w:t xml:space="preserve">; and (6) post the link to </w:t>
      </w:r>
      <w:r w:rsidR="00492855">
        <w:t xml:space="preserve">a recording of </w:t>
      </w:r>
      <w:r w:rsidR="00BF712B">
        <w:t xml:space="preserve">the </w:t>
      </w:r>
      <w:r w:rsidR="00492855">
        <w:t xml:space="preserve">virtual </w:t>
      </w:r>
      <w:r w:rsidR="00BF712B">
        <w:t>information session on their SB 1221 website</w:t>
      </w:r>
      <w:r w:rsidR="00D62539">
        <w:t xml:space="preserve"> within five days of hosting the information session</w:t>
      </w:r>
      <w:r w:rsidR="0047737F">
        <w:t xml:space="preserve">.    </w:t>
      </w:r>
      <w:r>
        <w:t xml:space="preserve"> </w:t>
      </w:r>
    </w:p>
    <w:p w:rsidR="008756AD" w:rsidP="008756AD" w:rsidRDefault="008756AD" w14:paraId="17A5F260" w14:textId="0D3B475A">
      <w:pPr>
        <w:pStyle w:val="CoL"/>
      </w:pPr>
      <w:r>
        <w:t xml:space="preserve">It is reasonable to require each Gas Corporation to use </w:t>
      </w:r>
      <w:r w:rsidR="00BE7CCB">
        <w:t>the</w:t>
      </w:r>
      <w:r>
        <w:t xml:space="preserve"> fact sheet provided by the Commission’s Public Advisor’s Office and designate a point </w:t>
      </w:r>
      <w:r>
        <w:lastRenderedPageBreak/>
        <w:t>person for supportive government representatives and community organizations to contact when conducting outreach and at the SB 1221 information session.</w:t>
      </w:r>
    </w:p>
    <w:p w:rsidR="008756AD" w:rsidP="008756AD" w:rsidRDefault="008756AD" w14:paraId="6ACF12C6" w14:textId="362CF7CD">
      <w:pPr>
        <w:pStyle w:val="CoL"/>
      </w:pPr>
      <w:r>
        <w:t xml:space="preserve">It is reasonable to require </w:t>
      </w:r>
      <w:r w:rsidR="00613BC1">
        <w:t>each</w:t>
      </w:r>
      <w:r>
        <w:t xml:space="preserve"> Gas Corporation to provide </w:t>
      </w:r>
      <w:r w:rsidR="00BE7CCB">
        <w:t xml:space="preserve">attendees with a link to the “Public Comment” tab of the R.24-09-012 online </w:t>
      </w:r>
      <w:r w:rsidR="00BF712B">
        <w:t>D</w:t>
      </w:r>
      <w:r w:rsidR="00BE7CCB">
        <w:t>ocket</w:t>
      </w:r>
      <w:r w:rsidR="00BF712B">
        <w:t xml:space="preserve"> Card</w:t>
      </w:r>
      <w:r>
        <w:t xml:space="preserve">. </w:t>
      </w:r>
    </w:p>
    <w:p w:rsidR="008756AD" w:rsidP="008756AD" w:rsidRDefault="008756AD" w14:paraId="46D51940" w14:textId="304298BE">
      <w:pPr>
        <w:pStyle w:val="CoL"/>
      </w:pPr>
      <w:r>
        <w:t>It is reasonable to require each Gas Corporation to comply with the notice requirements described in this decision’s Ordering Paragraphs.</w:t>
      </w:r>
    </w:p>
    <w:p w:rsidR="008756AD" w:rsidP="00E03A90" w:rsidRDefault="008756AD" w14:paraId="7A5A19EB" w14:textId="7C4370E3">
      <w:pPr>
        <w:pStyle w:val="CoL"/>
      </w:pPr>
      <w:bookmarkStart w:name="_Hlk216273311" w:id="85"/>
      <w:r>
        <w:t>It is reasonable to require each Gas Corporation to file a Report in the docket of this Rulemaking by April 1, 2026 that details (1) which</w:t>
      </w:r>
      <w:r w:rsidR="00E03A90">
        <w:t xml:space="preserve"> tribal representatives</w:t>
      </w:r>
      <w:r w:rsidR="00492855">
        <w:t>, LSE representatives,</w:t>
      </w:r>
      <w:r w:rsidR="00E03A90">
        <w:t xml:space="preserve"> and</w:t>
      </w:r>
      <w:r>
        <w:t xml:space="preserve"> community </w:t>
      </w:r>
      <w:r w:rsidR="00492855">
        <w:t>organizations</w:t>
      </w:r>
      <w:r>
        <w:t xml:space="preserve"> received the fact sheet; </w:t>
      </w:r>
      <w:r w:rsidR="00BE7CCB">
        <w:t xml:space="preserve">(2) an attestation that the fact sheet was provided to </w:t>
      </w:r>
      <w:r w:rsidR="00D62539">
        <w:t>a</w:t>
      </w:r>
      <w:r w:rsidR="00BE7CCB">
        <w:t xml:space="preserve"> Director of Planning, Community Development, Housing, or similar department in every city and county in their service territory</w:t>
      </w:r>
      <w:r w:rsidR="00E03A90">
        <w:t xml:space="preserve"> where the Gas Corporation identified a foreseeable pipeline replacement project</w:t>
      </w:r>
      <w:r w:rsidR="00BE7CCB">
        <w:t xml:space="preserve">; </w:t>
      </w:r>
      <w:r>
        <w:t>(</w:t>
      </w:r>
      <w:r w:rsidR="00BE7CCB">
        <w:t>3</w:t>
      </w:r>
      <w:r>
        <w:t xml:space="preserve">) any and all community </w:t>
      </w:r>
      <w:r w:rsidR="00C90B5F">
        <w:t>organizations</w:t>
      </w:r>
      <w:r>
        <w:t xml:space="preserve"> and local governments that expressed interest in</w:t>
      </w:r>
      <w:r w:rsidR="00BE7CCB">
        <w:t xml:space="preserve"> or opposition to</w:t>
      </w:r>
      <w:r>
        <w:t xml:space="preserve"> participating in SB 1221’s decarbonization opportunities; (</w:t>
      </w:r>
      <w:r w:rsidR="009C5B11">
        <w:t>4</w:t>
      </w:r>
      <w:r>
        <w:t>) any and all feedback the Gas Corporations received regarding SB 1221’s diversity and equity considerations; (</w:t>
      </w:r>
      <w:r w:rsidR="009C5B11">
        <w:t>5</w:t>
      </w:r>
      <w:r>
        <w:t xml:space="preserve">) the date, time, and </w:t>
      </w:r>
      <w:r w:rsidR="00BE7CCB">
        <w:t xml:space="preserve">link to </w:t>
      </w:r>
      <w:r w:rsidR="00492855">
        <w:t xml:space="preserve">a recording of </w:t>
      </w:r>
      <w:r w:rsidR="00BE7CCB">
        <w:t>the virtual</w:t>
      </w:r>
      <w:r>
        <w:t xml:space="preserve"> information session; (</w:t>
      </w:r>
      <w:r w:rsidR="009C5B11">
        <w:t>6</w:t>
      </w:r>
      <w:r>
        <w:t>) documentation that the information session w</w:t>
      </w:r>
      <w:r w:rsidR="00E03A90">
        <w:t>as</w:t>
      </w:r>
      <w:r>
        <w:t xml:space="preserve"> properly noticed; (</w:t>
      </w:r>
      <w:r w:rsidR="009C5B11">
        <w:t>7</w:t>
      </w:r>
      <w:r>
        <w:t>) the Gas Corporation’s proposal for continuing community outreach efforts beyond April 1, 2026</w:t>
      </w:r>
      <w:r w:rsidR="00BE7CCB">
        <w:t>; and (</w:t>
      </w:r>
      <w:r w:rsidR="00E03A90">
        <w:t>8</w:t>
      </w:r>
      <w:r w:rsidR="00BE7CCB">
        <w:t>) the Gas Corporation’s recommendation for census tracts to be included in the decarbonization zone update</w:t>
      </w:r>
      <w:r>
        <w:t xml:space="preserve">.  </w:t>
      </w:r>
    </w:p>
    <w:bookmarkEnd w:id="84"/>
    <w:bookmarkEnd w:id="85"/>
    <w:p w:rsidR="00AF20C9" w:rsidP="00B31E6E" w:rsidRDefault="00CD1C0A" w14:paraId="552F3ABE" w14:textId="6B74FE01">
      <w:pPr>
        <w:pStyle w:val="CoL"/>
      </w:pPr>
      <w:r>
        <w:t>It is reasonable to anticipate that supportive communities are more likely to want pilot projects and have success implementing them.</w:t>
      </w:r>
    </w:p>
    <w:p w:rsidR="00CD1C0A" w:rsidP="00B31E6E" w:rsidRDefault="00CD1C0A" w14:paraId="30A62664" w14:textId="2278527D">
      <w:pPr>
        <w:pStyle w:val="CoL"/>
      </w:pPr>
      <w:r>
        <w:t>It is reasonable to deny requests to designate large areas as</w:t>
      </w:r>
      <w:r w:rsidR="00FA42E3">
        <w:t xml:space="preserve"> initial</w:t>
      </w:r>
      <w:r>
        <w:t xml:space="preserve"> decarbonization zones.</w:t>
      </w:r>
    </w:p>
    <w:p w:rsidR="00006553" w:rsidP="00B31E6E" w:rsidRDefault="00006553" w14:paraId="3109CB2C" w14:textId="27ABCC8A">
      <w:pPr>
        <w:pStyle w:val="CoL"/>
      </w:pPr>
      <w:r>
        <w:lastRenderedPageBreak/>
        <w:t xml:space="preserve">It is reasonable to consider all gas replacement projects with risk scores representing later years, </w:t>
      </w:r>
      <w:r>
        <w:rPr>
          <w:i/>
          <w:iCs/>
        </w:rPr>
        <w:t xml:space="preserve">i.e., </w:t>
      </w:r>
      <w:r>
        <w:t>approximately 2028-2035.</w:t>
      </w:r>
    </w:p>
    <w:p w:rsidR="00B31E6E" w:rsidP="00B31E6E" w:rsidRDefault="00B31E6E" w14:paraId="76F97F2E" w14:textId="6F3A7790">
      <w:pPr>
        <w:pStyle w:val="CoL"/>
      </w:pPr>
      <w:r>
        <w:t>It is reasonable to</w:t>
      </w:r>
      <w:r w:rsidR="00CD1C0A">
        <w:t xml:space="preserve"> narrow</w:t>
      </w:r>
      <w:r>
        <w:t xml:space="preserve"> </w:t>
      </w:r>
      <w:r w:rsidR="00CD1C0A">
        <w:t xml:space="preserve">the </w:t>
      </w:r>
      <w:r>
        <w:t xml:space="preserve">designation of the initial decarbonization zones to </w:t>
      </w:r>
      <w:r w:rsidR="00CD1C0A">
        <w:t>census tracts</w:t>
      </w:r>
      <w:r>
        <w:t xml:space="preserve"> where 10 percent or more of the gas mains are </w:t>
      </w:r>
      <w:r w:rsidR="00AF20C9">
        <w:t xml:space="preserve">identified </w:t>
      </w:r>
      <w:r>
        <w:t>for replacement</w:t>
      </w:r>
      <w:r w:rsidR="00AF20C9">
        <w:t xml:space="preserve"> in 2028-2035</w:t>
      </w:r>
      <w:r w:rsidR="00CD1C0A">
        <w:t>, so we can be flexible for pilot project proposals and provide enough information to facilitate meaningful public and stakeholder engagement.</w:t>
      </w:r>
    </w:p>
    <w:p w:rsidR="00B31E6E" w:rsidP="00B31E6E" w:rsidRDefault="00B31E6E" w14:paraId="5C90FFF8" w14:textId="09FCBAE4">
      <w:pPr>
        <w:pStyle w:val="CoL"/>
      </w:pPr>
      <w:r>
        <w:t xml:space="preserve">It is reasonable to </w:t>
      </w:r>
      <w:r w:rsidR="00CD1C0A">
        <w:t xml:space="preserve">impose a 25-census-tract </w:t>
      </w:r>
      <w:r>
        <w:t xml:space="preserve">cap </w:t>
      </w:r>
      <w:r w:rsidR="00CD1C0A">
        <w:t xml:space="preserve">on </w:t>
      </w:r>
      <w:r>
        <w:t>the number of designated census tracts</w:t>
      </w:r>
      <w:r w:rsidR="008756AD">
        <w:t xml:space="preserve"> with a concentration of gas distribution line replacement projects</w:t>
      </w:r>
      <w:r>
        <w:t xml:space="preserve"> </w:t>
      </w:r>
      <w:r w:rsidR="0038786C">
        <w:t>in all</w:t>
      </w:r>
      <w:r w:rsidR="00CD1C0A">
        <w:t xml:space="preserve"> </w:t>
      </w:r>
      <w:r w:rsidR="00AF20C9">
        <w:t>counties</w:t>
      </w:r>
      <w:r w:rsidR="00CD1C0A">
        <w:t xml:space="preserve"> for the initial decarbonization zones</w:t>
      </w:r>
      <w:r>
        <w:t>.</w:t>
      </w:r>
    </w:p>
    <w:p w:rsidR="008756AD" w:rsidP="009F51D9" w:rsidRDefault="008756AD" w14:paraId="27A54292" w14:textId="77777777">
      <w:pPr>
        <w:pStyle w:val="CoL"/>
      </w:pPr>
      <w:r>
        <w:t>It is reasonable to expand the initial decarbonization zones in counties impacted by our 25-census-tract cap to include census tracts with environmental and social justice communities.</w:t>
      </w:r>
    </w:p>
    <w:p w:rsidR="00B31E6E" w:rsidP="009F51D9" w:rsidRDefault="00B31E6E" w14:paraId="66FC8D0F" w14:textId="14F8E0E2">
      <w:pPr>
        <w:pStyle w:val="CoL"/>
      </w:pPr>
      <w:r>
        <w:t xml:space="preserve">It is reasonable to defer </w:t>
      </w:r>
      <w:r w:rsidR="00CE0BEC">
        <w:t>application</w:t>
      </w:r>
      <w:r>
        <w:t xml:space="preserve"> of the presence of disadvantaged or low-income communities in high-temperature climate zones or low-temperature climate zones that disproportionately lack heating or cooling until we </w:t>
      </w:r>
      <w:r w:rsidR="00AF20C9">
        <w:t>update the decarbonization zones</w:t>
      </w:r>
      <w:r>
        <w:t>.</w:t>
      </w:r>
    </w:p>
    <w:p w:rsidR="009F51D9" w:rsidP="009F51D9" w:rsidRDefault="009F51D9" w14:paraId="12EC45F0" w14:textId="426260FC">
      <w:pPr>
        <w:pStyle w:val="CoL"/>
      </w:pPr>
      <w:r>
        <w:t>Given our commitment to updating the decarbonization zones</w:t>
      </w:r>
      <w:r w:rsidR="002028BD">
        <w:t xml:space="preserve"> by December 31, 2026</w:t>
      </w:r>
      <w:r>
        <w:t xml:space="preserve">, it is reasonable to designate initial decarbonization zones in </w:t>
      </w:r>
      <w:r w:rsidR="003E6AAE">
        <w:t>a wide range of</w:t>
      </w:r>
      <w:r>
        <w:t xml:space="preserve"> communities.  </w:t>
      </w:r>
    </w:p>
    <w:p w:rsidR="00BB0243" w:rsidP="000A6E05" w:rsidRDefault="005939A5" w14:paraId="412E2B09" w14:textId="77777777">
      <w:pPr>
        <w:pStyle w:val="Mainex"/>
      </w:pPr>
      <w:bookmarkStart w:name="_Toc216699703" w:id="86"/>
      <w:r>
        <w:t>O</w:t>
      </w:r>
      <w:r w:rsidR="00722850">
        <w:t>RDER</w:t>
      </w:r>
      <w:bookmarkEnd w:id="86"/>
    </w:p>
    <w:p w:rsidR="00BB0243" w:rsidP="000A6E05" w:rsidRDefault="00BB0243" w14:paraId="2335D6FB" w14:textId="77777777">
      <w:pPr>
        <w:keepNext/>
      </w:pPr>
      <w:r w:rsidRPr="00BB0243">
        <w:rPr>
          <w:b/>
        </w:rPr>
        <w:t>IT IS ORDERED</w:t>
      </w:r>
      <w:r>
        <w:t xml:space="preserve"> that:</w:t>
      </w:r>
    </w:p>
    <w:p w:rsidR="00932865" w:rsidP="001E2A62" w:rsidRDefault="00B31E6E" w14:paraId="63852570" w14:textId="7673928B">
      <w:pPr>
        <w:pStyle w:val="OP"/>
      </w:pPr>
      <w:r>
        <w:t xml:space="preserve">In compliance with Public Utilities Code Section 662(a), the Commission designates the </w:t>
      </w:r>
      <w:r w:rsidR="009F51D9">
        <w:t>1</w:t>
      </w:r>
      <w:r w:rsidR="00492855">
        <w:t>51</w:t>
      </w:r>
      <w:r w:rsidR="009F51D9">
        <w:t xml:space="preserve"> </w:t>
      </w:r>
      <w:r>
        <w:t xml:space="preserve">initial priority neighborhood decarbonization zones, shown in Appendix </w:t>
      </w:r>
      <w:r w:rsidR="004C7E23">
        <w:t>A</w:t>
      </w:r>
      <w:r>
        <w:t xml:space="preserve"> to this decision.</w:t>
      </w:r>
    </w:p>
    <w:p w:rsidR="00B31E6E" w:rsidP="001E2A62" w:rsidRDefault="00B31E6E" w14:paraId="6478E633" w14:textId="4AC9DF13">
      <w:pPr>
        <w:pStyle w:val="OP"/>
      </w:pPr>
      <w:r>
        <w:lastRenderedPageBreak/>
        <w:t xml:space="preserve">As required by Public Utilities Code Section 661(a)(3), Pacific Gas and Electric Company, Southern California Gas Company, </w:t>
      </w:r>
      <w:r w:rsidR="00D820FA">
        <w:t xml:space="preserve">and </w:t>
      </w:r>
      <w:r>
        <w:t xml:space="preserve">San Diego Gas &amp; Electric Company shall </w:t>
      </w:r>
      <w:r w:rsidR="00473E02">
        <w:t xml:space="preserve">each </w:t>
      </w:r>
      <w:r w:rsidR="009F51D9">
        <w:t>complete the following three tasks</w:t>
      </w:r>
      <w:r w:rsidR="00DA280D">
        <w:t xml:space="preserve"> by January 16, 2026</w:t>
      </w:r>
      <w:r w:rsidR="00C94D7B">
        <w:t>:</w:t>
      </w:r>
      <w:r w:rsidR="009F51D9">
        <w:t xml:space="preserve"> (1) </w:t>
      </w:r>
      <w:r>
        <w:t>include the locations of the initial priority neighborhood decarbonization zones designated within their respective service areas on their maps</w:t>
      </w:r>
      <w:r w:rsidR="009F51D9">
        <w:t xml:space="preserve">; (2) update their map user guides to include information about the initial priority neighborhood decarbonization zones; and (3) reflect the initial priority neighborhood decarbonization zones on their Senate Bill 1221 webpages.  Once the three tasks described in this Ordering Paragraph are complete, Pacific Gas and Electric Company, Southern California Gas Company, and San Diego Gas &amp; Electric Company shall </w:t>
      </w:r>
      <w:r w:rsidR="00473E02">
        <w:t xml:space="preserve">each </w:t>
      </w:r>
      <w:r w:rsidR="009F51D9">
        <w:t>notify the service list for Rulemaking 24-09-012.</w:t>
      </w:r>
    </w:p>
    <w:p w:rsidR="008C4091" w:rsidP="001E2A62" w:rsidRDefault="008C4091" w14:paraId="1193D02C" w14:textId="44071B35">
      <w:pPr>
        <w:pStyle w:val="OP"/>
      </w:pPr>
      <w:r>
        <w:t xml:space="preserve">Pacific Gas and Electric Company, Southern California Gas Company, San Diego Gas &amp; Electric Company, and Southwest Gas Corporation shall </w:t>
      </w:r>
      <w:r w:rsidR="00473E02">
        <w:t xml:space="preserve">each </w:t>
      </w:r>
      <w:r w:rsidR="008756AD">
        <w:t xml:space="preserve">(1) </w:t>
      </w:r>
      <w:r w:rsidR="00BE7CCB">
        <w:t xml:space="preserve">provide the fact sheet from the Commission’s Public Advisor’s Office to </w:t>
      </w:r>
      <w:r w:rsidR="00E03A90">
        <w:t xml:space="preserve">tribal representatives in their service territory and </w:t>
      </w:r>
      <w:r w:rsidR="00BE7CCB">
        <w:t xml:space="preserve">community </w:t>
      </w:r>
      <w:r w:rsidR="00492855">
        <w:t>organizations</w:t>
      </w:r>
      <w:r w:rsidR="00BE7CCB">
        <w:t xml:space="preserve"> in diverse geographic locations, including those that represent or work with disadvantaged, low-income, and/or environmental and social justice communities</w:t>
      </w:r>
      <w:r w:rsidR="008756AD">
        <w:t xml:space="preserve">; (2) </w:t>
      </w:r>
      <w:r w:rsidR="00695075">
        <w:t xml:space="preserve">provide the fact sheet from the Commission’s Public Advisor’s Office to a </w:t>
      </w:r>
      <w:r w:rsidR="00C90B5F">
        <w:t xml:space="preserve">representative of each </w:t>
      </w:r>
      <w:r w:rsidR="00695075">
        <w:t>Lo</w:t>
      </w:r>
      <w:r w:rsidR="003106B8">
        <w:t>ad</w:t>
      </w:r>
      <w:r w:rsidR="00695075">
        <w:t xml:space="preserve"> Serving Entity </w:t>
      </w:r>
      <w:r w:rsidR="00C90B5F">
        <w:t>within</w:t>
      </w:r>
      <w:r w:rsidR="00695075">
        <w:t xml:space="preserve"> their service territory; (3) </w:t>
      </w:r>
      <w:r w:rsidR="00BE7CCB">
        <w:t>provide the fact sheet from the Commission’s Public Advisor’s Office to a Director of Planning, Community Development, Housing, or similar department in each city and county of their service territory</w:t>
      </w:r>
      <w:r w:rsidR="00E03A90">
        <w:t xml:space="preserve"> where they have identified a foreseeable pipeline replacement project</w:t>
      </w:r>
      <w:r w:rsidR="00BE7CCB">
        <w:t>; (</w:t>
      </w:r>
      <w:r w:rsidR="00695075">
        <w:t>4</w:t>
      </w:r>
      <w:r w:rsidR="00BE7CCB">
        <w:t>)</w:t>
      </w:r>
      <w:r w:rsidR="00695075">
        <w:t xml:space="preserve"> </w:t>
      </w:r>
      <w:r w:rsidR="008756AD">
        <w:t xml:space="preserve"> </w:t>
      </w:r>
      <w:r>
        <w:t>ho</w:t>
      </w:r>
      <w:r w:rsidR="008756AD">
        <w:t>st</w:t>
      </w:r>
      <w:r>
        <w:t xml:space="preserve"> </w:t>
      </w:r>
      <w:r w:rsidR="00695075">
        <w:t xml:space="preserve">and record </w:t>
      </w:r>
      <w:r w:rsidR="008756AD">
        <w:t>one</w:t>
      </w:r>
      <w:r>
        <w:t xml:space="preserve"> </w:t>
      </w:r>
      <w:r w:rsidR="00695075">
        <w:t xml:space="preserve">virtual </w:t>
      </w:r>
      <w:r>
        <w:t>S</w:t>
      </w:r>
      <w:r w:rsidR="002C0E62">
        <w:t xml:space="preserve">enate </w:t>
      </w:r>
      <w:r>
        <w:t>B</w:t>
      </w:r>
      <w:r w:rsidR="002C0E62">
        <w:t>ill</w:t>
      </w:r>
      <w:r>
        <w:t xml:space="preserve"> 1221 information session for government representatives, community organizations, and members of the public in </w:t>
      </w:r>
      <w:r w:rsidR="00695075">
        <w:t xml:space="preserve">each of </w:t>
      </w:r>
      <w:r>
        <w:t>their service areas between January 1</w:t>
      </w:r>
      <w:r w:rsidR="00D62539">
        <w:t>5</w:t>
      </w:r>
      <w:r>
        <w:t xml:space="preserve">, 2026, and </w:t>
      </w:r>
      <w:r w:rsidR="008756AD">
        <w:t>March 15</w:t>
      </w:r>
      <w:r>
        <w:t>, 2026</w:t>
      </w:r>
      <w:r w:rsidR="00695075">
        <w:t xml:space="preserve">, to hear comments in </w:t>
      </w:r>
      <w:r w:rsidR="00695075">
        <w:lastRenderedPageBreak/>
        <w:t xml:space="preserve">support </w:t>
      </w:r>
      <w:r w:rsidR="00492855">
        <w:t>of</w:t>
      </w:r>
      <w:r w:rsidR="00695075">
        <w:t xml:space="preserve"> </w:t>
      </w:r>
      <w:r w:rsidR="006F50A2">
        <w:t>or</w:t>
      </w:r>
      <w:r w:rsidR="00695075">
        <w:t xml:space="preserve"> opposition to the designation of decarbonization zones</w:t>
      </w:r>
      <w:r w:rsidR="00C90B5F">
        <w:t xml:space="preserve"> in specific areas</w:t>
      </w:r>
      <w:r w:rsidR="00695075">
        <w:t xml:space="preserve"> and solicit feedback on S</w:t>
      </w:r>
      <w:r w:rsidR="005C3E6B">
        <w:t xml:space="preserve">enate </w:t>
      </w:r>
      <w:r w:rsidR="00695075">
        <w:t>B</w:t>
      </w:r>
      <w:r w:rsidR="005C3E6B">
        <w:t>ill</w:t>
      </w:r>
      <w:r w:rsidR="00695075">
        <w:t xml:space="preserve"> 1221’s diversity and equity considerations, including feedback about local environmental hazards, the ability of homes and small businesses in the community access </w:t>
      </w:r>
      <w:r w:rsidR="00C90B5F">
        <w:t xml:space="preserve">to </w:t>
      </w:r>
      <w:r w:rsidR="00695075">
        <w:t xml:space="preserve">cooling and/or heating, </w:t>
      </w:r>
      <w:r w:rsidR="00C90B5F">
        <w:t xml:space="preserve">health considerations, </w:t>
      </w:r>
      <w:r w:rsidR="00695075">
        <w:t>and community barriers to decarbonization; (5) make</w:t>
      </w:r>
      <w:r w:rsidR="00D95520">
        <w:t xml:space="preserve"> interpretation services available at the information session if the Gas Corporation receives a request for interpretation at least five business days before the session</w:t>
      </w:r>
      <w:r w:rsidR="00E03A90">
        <w:t xml:space="preserve">; and (6) post </w:t>
      </w:r>
      <w:r w:rsidR="00492855">
        <w:t>a</w:t>
      </w:r>
      <w:r w:rsidR="00E03A90">
        <w:t xml:space="preserve"> link to the</w:t>
      </w:r>
      <w:r w:rsidR="00492855">
        <w:t xml:space="preserve"> recording of the virtual</w:t>
      </w:r>
      <w:r w:rsidR="00E03A90">
        <w:t xml:space="preserve"> information session on their S</w:t>
      </w:r>
      <w:r w:rsidR="005C3E6B">
        <w:t xml:space="preserve">enate </w:t>
      </w:r>
      <w:r w:rsidR="00E03A90">
        <w:t>B</w:t>
      </w:r>
      <w:r w:rsidR="005C3E6B">
        <w:t>ill</w:t>
      </w:r>
      <w:r w:rsidR="00E03A90">
        <w:t xml:space="preserve"> 1221 website</w:t>
      </w:r>
      <w:r w:rsidR="00D62539">
        <w:t xml:space="preserve"> within five days of hosting the information session</w:t>
      </w:r>
      <w:r>
        <w:t xml:space="preserve">.  </w:t>
      </w:r>
      <w:r w:rsidR="00152429">
        <w:t xml:space="preserve">When conducting outreach and at the </w:t>
      </w:r>
      <w:r>
        <w:t>S</w:t>
      </w:r>
      <w:r w:rsidR="002C0E62">
        <w:t xml:space="preserve">enate </w:t>
      </w:r>
      <w:r>
        <w:t>B</w:t>
      </w:r>
      <w:r w:rsidR="002C0E62">
        <w:t>ill</w:t>
      </w:r>
      <w:r>
        <w:t xml:space="preserve"> 1221 information session</w:t>
      </w:r>
      <w:r w:rsidR="00152429">
        <w:t>(</w:t>
      </w:r>
      <w:r>
        <w:t>s</w:t>
      </w:r>
      <w:r w:rsidR="00152429">
        <w:t>)</w:t>
      </w:r>
      <w:r>
        <w:t xml:space="preserve">, the Gas Corporations shall </w:t>
      </w:r>
      <w:r w:rsidR="00152429">
        <w:t xml:space="preserve">each use </w:t>
      </w:r>
      <w:r>
        <w:t xml:space="preserve">a fact sheet provided by the Commission’s Public Advisor’s Office and designate a point person for supportive government representatives and community organizations to contact.  </w:t>
      </w:r>
      <w:r w:rsidR="00613BC1">
        <w:t>A</w:t>
      </w:r>
      <w:r w:rsidR="00152429">
        <w:t>t the Senate Bill 1221 information session(s), t</w:t>
      </w:r>
      <w:r>
        <w:t xml:space="preserve">he Gas Corporations shall </w:t>
      </w:r>
      <w:r w:rsidR="00152429">
        <w:t xml:space="preserve">each </w:t>
      </w:r>
      <w:r>
        <w:t xml:space="preserve">provide </w:t>
      </w:r>
      <w:r w:rsidR="00695075">
        <w:t xml:space="preserve">attendees with a link to the “Public Comment” tab of the R.24-09-012 online </w:t>
      </w:r>
      <w:r w:rsidR="00E03A90">
        <w:t>D</w:t>
      </w:r>
      <w:r w:rsidR="00695075">
        <w:t>ocket</w:t>
      </w:r>
      <w:r w:rsidR="00E03A90">
        <w:t xml:space="preserve"> Card</w:t>
      </w:r>
      <w:r>
        <w:t>.</w:t>
      </w:r>
    </w:p>
    <w:p w:rsidR="008C4091" w:rsidP="001E2A62" w:rsidRDefault="008C4091" w14:paraId="234CBE9B" w14:textId="79655A3E">
      <w:pPr>
        <w:pStyle w:val="OP"/>
      </w:pPr>
      <w:r>
        <w:t xml:space="preserve">Pacific Gas and Electric Company, Southern California Gas Company, San Diego Gas &amp; Electric Company, and Southwest Gas Corporation </w:t>
      </w:r>
      <w:r w:rsidR="002E30DA">
        <w:t xml:space="preserve">shall </w:t>
      </w:r>
      <w:r w:rsidR="00473E02">
        <w:t xml:space="preserve">each </w:t>
      </w:r>
      <w:r w:rsidR="002E30DA">
        <w:t>comply with the following notice requirements for the S</w:t>
      </w:r>
      <w:r w:rsidR="002C0E62">
        <w:t xml:space="preserve">enate </w:t>
      </w:r>
      <w:r w:rsidR="002E30DA">
        <w:t>B</w:t>
      </w:r>
      <w:r w:rsidR="002C0E62">
        <w:t>ill</w:t>
      </w:r>
      <w:r w:rsidR="002E30DA">
        <w:t xml:space="preserve"> 1221 information session</w:t>
      </w:r>
      <w:r w:rsidR="00152429">
        <w:t>(</w:t>
      </w:r>
      <w:r w:rsidR="002E30DA">
        <w:t>s</w:t>
      </w:r>
      <w:r w:rsidR="00152429">
        <w:t>)</w:t>
      </w:r>
      <w:r w:rsidR="002E30DA">
        <w:t>:</w:t>
      </w:r>
    </w:p>
    <w:p w:rsidR="002E30DA" w:rsidP="002E30DA" w:rsidRDefault="002E30DA" w14:paraId="514C799E" w14:textId="0C81945C">
      <w:pPr>
        <w:pStyle w:val="OP"/>
        <w:numPr>
          <w:ilvl w:val="1"/>
          <w:numId w:val="5"/>
        </w:numPr>
      </w:pPr>
      <w:r>
        <w:t xml:space="preserve">Customer notifications: (1) Pacific Gas and Electric Company, Southern California Gas Company, San Diego Gas &amp; Electric Company, and Southwest Gas Corporation shall prepare a notice that informs their customers about the </w:t>
      </w:r>
      <w:r w:rsidR="00D62539">
        <w:t xml:space="preserve">virtual </w:t>
      </w:r>
      <w:r>
        <w:t>S</w:t>
      </w:r>
      <w:r w:rsidR="002C0E62">
        <w:t xml:space="preserve">enate </w:t>
      </w:r>
      <w:r>
        <w:t>B</w:t>
      </w:r>
      <w:r w:rsidR="002C0E62">
        <w:t>ill</w:t>
      </w:r>
      <w:r>
        <w:t xml:space="preserve"> 1221 information session, including a summary of S</w:t>
      </w:r>
      <w:r w:rsidR="002C0E62">
        <w:t xml:space="preserve">enate </w:t>
      </w:r>
      <w:r>
        <w:t>B</w:t>
      </w:r>
      <w:r w:rsidR="002C0E62">
        <w:t>ill</w:t>
      </w:r>
      <w:r>
        <w:t xml:space="preserve"> 1221, the date, time, and how to participate as a party or a member of the public in this Rulemaking.  (2)  </w:t>
      </w:r>
      <w:r>
        <w:lastRenderedPageBreak/>
        <w:t>Pacific Gas and Electric Company, Southern California Gas Company, San Diego Gas &amp; Electric Company, and Southwest Gas Corporation shall prepare the notice in English, Spanish, Chinese, and Tagalog informing their customers of the S</w:t>
      </w:r>
      <w:r w:rsidR="002C0E62">
        <w:t xml:space="preserve">enate </w:t>
      </w:r>
      <w:r>
        <w:t>B</w:t>
      </w:r>
      <w:r w:rsidR="002C0E62">
        <w:t>ill</w:t>
      </w:r>
      <w:r>
        <w:t xml:space="preserve"> 1221 information session and provide a draft of the notice to the Commission’s Public Advisor’s Office.  The Public Advisor’s Office may alter or require changes to the notice. (3) After the Public Advisor’s Office approves the language for the notice, Pacific Gas and Electric Company, Southern California Gas Company, San Diego Gas &amp; Electric Company, and Southwest Gas Corporation shall provide notice of </w:t>
      </w:r>
      <w:r w:rsidR="00152429">
        <w:t xml:space="preserve">the </w:t>
      </w:r>
      <w:r w:rsidR="00D62539">
        <w:t xml:space="preserve">virtual </w:t>
      </w:r>
      <w:r>
        <w:t>S</w:t>
      </w:r>
      <w:r w:rsidR="002C0E62">
        <w:t xml:space="preserve">enate </w:t>
      </w:r>
      <w:r>
        <w:t>B</w:t>
      </w:r>
      <w:r w:rsidR="002C0E62">
        <w:t>ill</w:t>
      </w:r>
      <w:r>
        <w:t xml:space="preserve"> 1221 information session through direct e-mail communication to those customers where e-mail addresses are available.  The subject line of the e-mail notices shall clearly notify the recipient that this is a S</w:t>
      </w:r>
      <w:r w:rsidR="002C0E62">
        <w:t xml:space="preserve">enate </w:t>
      </w:r>
      <w:r>
        <w:t>B</w:t>
      </w:r>
      <w:r w:rsidR="002C0E62">
        <w:t>ill</w:t>
      </w:r>
      <w:r>
        <w:t xml:space="preserve"> 1221 information session.  The electronic notice shall be sent no more than 30 days or less than 15 days prior to the</w:t>
      </w:r>
      <w:r w:rsidR="00D62539">
        <w:t xml:space="preserve"> virtual</w:t>
      </w:r>
      <w:r>
        <w:t xml:space="preserve"> S</w:t>
      </w:r>
      <w:r w:rsidR="002C0E62">
        <w:t xml:space="preserve">enate </w:t>
      </w:r>
      <w:r>
        <w:t>B</w:t>
      </w:r>
      <w:r w:rsidR="002C0E62">
        <w:t>ill</w:t>
      </w:r>
      <w:r>
        <w:t xml:space="preserve"> 1221 information session.    </w:t>
      </w:r>
    </w:p>
    <w:p w:rsidR="002E30DA" w:rsidP="002E30DA" w:rsidRDefault="002E30DA" w14:paraId="20FDB51D" w14:textId="2070295D">
      <w:pPr>
        <w:pStyle w:val="OP"/>
        <w:numPr>
          <w:ilvl w:val="1"/>
          <w:numId w:val="5"/>
        </w:numPr>
      </w:pPr>
      <w:r>
        <w:t xml:space="preserve">Newspaper Notifications: Pacific Gas and Electric Company, Southern California Gas Company, San Diego Gas &amp; Electric Company, and Southwest Gas Corporation shall cause the notice approved by the Commission’s Public Advisor’s Office to be published in one or more newspapers of general circulation in their general service areas not less than five days before the </w:t>
      </w:r>
      <w:r w:rsidR="00D62539">
        <w:t xml:space="preserve">virtual </w:t>
      </w:r>
      <w:r>
        <w:t>S</w:t>
      </w:r>
      <w:r w:rsidR="002C0E62">
        <w:t xml:space="preserve">enate </w:t>
      </w:r>
      <w:r>
        <w:t>B</w:t>
      </w:r>
      <w:r w:rsidR="002C0E62">
        <w:t>ill 1221</w:t>
      </w:r>
      <w:r>
        <w:t xml:space="preserve"> information session.  Prior to the publishing</w:t>
      </w:r>
      <w:r w:rsidR="002C0E62">
        <w:t>,</w:t>
      </w:r>
      <w:r>
        <w:t xml:space="preserve"> Pacific Gas and Electric Company, Southern California Gas Company, San Diego Gas &amp; Electric Company, and Southwest Gas Corporation </w:t>
      </w:r>
      <w:r w:rsidR="002C0E62">
        <w:t xml:space="preserve">shall </w:t>
      </w:r>
      <w:r w:rsidR="00152429">
        <w:t xml:space="preserve">each </w:t>
      </w:r>
      <w:r w:rsidR="002C0E62">
        <w:t xml:space="preserve">provide to the Public Advisor’s </w:t>
      </w:r>
      <w:r w:rsidR="002C0E62">
        <w:lastRenderedPageBreak/>
        <w:t>Office a list of the locations where the approved notice will be circulated.</w:t>
      </w:r>
    </w:p>
    <w:p w:rsidR="002C0E62" w:rsidP="002E30DA" w:rsidRDefault="002C0E62" w14:paraId="1FE3B72D" w14:textId="19A47CCB">
      <w:pPr>
        <w:pStyle w:val="OP"/>
        <w:numPr>
          <w:ilvl w:val="1"/>
          <w:numId w:val="5"/>
        </w:numPr>
      </w:pPr>
      <w:r>
        <w:t xml:space="preserve">Social Media, Website, and In-Office Notifications: Pacific Gas and Electric Company, Southern California Gas Company, San Diego Gas &amp; Electric Company, and Southwest Gas Corporation shall </w:t>
      </w:r>
      <w:r w:rsidR="00152429">
        <w:t xml:space="preserve">each </w:t>
      </w:r>
      <w:r>
        <w:t>cause the notice approved by the Commission’s Public Advisor’s Office to be published as follows: (1) on all social media platforms used by Pacific Gas and Electric Company, Southern California Gas Company, San Diego Gas &amp; Electric Company, and Southwest Gas Corporation; (2) on Pacific Gas and Electric Company, Southern California Gas Company, San Diego Gas &amp; Electric Company, and Southwest Gas Corporation’s websites in prominent locations; and (3) in all offices located in California where customers come into contact with a company customer service representative.</w:t>
      </w:r>
    </w:p>
    <w:p w:rsidR="00152429" w:rsidP="00902310" w:rsidRDefault="00152429" w14:paraId="79C72B23" w14:textId="770693D1">
      <w:pPr>
        <w:pStyle w:val="OP"/>
      </w:pPr>
      <w:r>
        <w:t xml:space="preserve">By April 1, 2026, Pacific Gas and Electric Company, Southern California Gas Company, San Diego Gas &amp; Electric Company, and Southwest Gas Corporation shall each file a Report in the docket of this Rulemaking that details (1) which </w:t>
      </w:r>
      <w:r w:rsidR="00E03A90">
        <w:t>tribal representatives</w:t>
      </w:r>
      <w:r w:rsidR="00492855">
        <w:t>, representatives from Load Serving Entities,</w:t>
      </w:r>
      <w:r w:rsidR="00E03A90">
        <w:t xml:space="preserve"> and </w:t>
      </w:r>
      <w:r>
        <w:t xml:space="preserve">community </w:t>
      </w:r>
      <w:r w:rsidR="00492855">
        <w:t>organizations</w:t>
      </w:r>
      <w:r>
        <w:t xml:space="preserve"> received the fact sheet; (2) </w:t>
      </w:r>
      <w:r w:rsidR="00F17A4F">
        <w:t xml:space="preserve">an attestation that the fact sheet was provided to </w:t>
      </w:r>
      <w:r w:rsidR="00D62539">
        <w:t>a</w:t>
      </w:r>
      <w:r w:rsidR="00F17A4F">
        <w:t xml:space="preserve"> Director of Planning, Community Development, Housing, or similar department in every city and county in their service territory</w:t>
      </w:r>
      <w:r w:rsidR="00E03A90">
        <w:t xml:space="preserve"> where the Gas Corporation identified a foreseeable pipeline replacement project</w:t>
      </w:r>
      <w:r w:rsidR="00F17A4F">
        <w:t xml:space="preserve">; (3) </w:t>
      </w:r>
      <w:r>
        <w:t xml:space="preserve">any and all community </w:t>
      </w:r>
      <w:r w:rsidR="00C90B5F">
        <w:t>organization</w:t>
      </w:r>
      <w:r>
        <w:t>s and local governments that expressed interest in participating in S</w:t>
      </w:r>
      <w:r w:rsidR="005C3E6B">
        <w:t xml:space="preserve">enate </w:t>
      </w:r>
      <w:r>
        <w:t>B</w:t>
      </w:r>
      <w:r w:rsidR="005C3E6B">
        <w:t>ill</w:t>
      </w:r>
      <w:r>
        <w:t xml:space="preserve"> 1221’s decarbonization opportunities; (</w:t>
      </w:r>
      <w:r w:rsidR="00F17A4F">
        <w:t>4</w:t>
      </w:r>
      <w:r>
        <w:t>) any and all feedback the Gas Corporations received regarding S</w:t>
      </w:r>
      <w:r w:rsidR="005C3E6B">
        <w:t xml:space="preserve">enate </w:t>
      </w:r>
      <w:r>
        <w:t>B</w:t>
      </w:r>
      <w:r w:rsidR="005C3E6B">
        <w:t>ill</w:t>
      </w:r>
      <w:r>
        <w:t xml:space="preserve"> 1221’s diversity and equity considerations; (</w:t>
      </w:r>
      <w:r w:rsidR="00F17A4F">
        <w:t>5</w:t>
      </w:r>
      <w:r>
        <w:t xml:space="preserve">) the date, time, and </w:t>
      </w:r>
      <w:r w:rsidR="00F17A4F">
        <w:t xml:space="preserve">link to </w:t>
      </w:r>
      <w:r w:rsidR="00492855">
        <w:t xml:space="preserve">a recording of </w:t>
      </w:r>
      <w:r w:rsidR="00F17A4F">
        <w:lastRenderedPageBreak/>
        <w:t>the virtual</w:t>
      </w:r>
      <w:r>
        <w:t xml:space="preserve"> information session; (</w:t>
      </w:r>
      <w:r w:rsidR="00F17A4F">
        <w:t>6</w:t>
      </w:r>
      <w:r>
        <w:t>) documentation that the information session w</w:t>
      </w:r>
      <w:r w:rsidR="00E03A90">
        <w:t>as</w:t>
      </w:r>
      <w:r>
        <w:t xml:space="preserve"> properly noticed; (</w:t>
      </w:r>
      <w:r w:rsidR="00F17A4F">
        <w:t>7</w:t>
      </w:r>
      <w:r>
        <w:t>) the Gas Corporation’s proposal for continuing community outreach efforts beyond April 1, 2026</w:t>
      </w:r>
      <w:r w:rsidR="00F17A4F">
        <w:t>; and (8) the Gas Corporation’s recommendation for census tracts to be included in the decarbonization zone update</w:t>
      </w:r>
      <w:r>
        <w:t xml:space="preserve">.  </w:t>
      </w:r>
    </w:p>
    <w:p w:rsidR="00F6397D" w:rsidP="00B3087D" w:rsidRDefault="00E23CBB" w14:paraId="05FA13C1" w14:textId="0626FE7D">
      <w:pPr>
        <w:pStyle w:val="OP"/>
      </w:pPr>
      <w:r w:rsidRPr="001E2A62">
        <w:t xml:space="preserve">Rulemaking </w:t>
      </w:r>
      <w:r w:rsidR="005425AB">
        <w:t>24-09-012 shall remain open</w:t>
      </w:r>
      <w:r w:rsidRPr="001E2A62">
        <w:t>.</w:t>
      </w:r>
    </w:p>
    <w:p w:rsidR="008F0116" w:rsidP="008F0116" w:rsidRDefault="008F0116" w14:paraId="65D49353" w14:textId="77777777">
      <w:r>
        <w:t>This order is effective today.</w:t>
      </w:r>
    </w:p>
    <w:p w:rsidRPr="00714CF2" w:rsidR="00714CF2" w:rsidP="00816E05" w:rsidRDefault="008F0116" w14:paraId="2724CA8B" w14:textId="77777777">
      <w:r>
        <w:t xml:space="preserve">Dated </w:t>
      </w:r>
      <w:r>
        <w:rPr>
          <w:u w:val="single"/>
        </w:rPr>
        <w:tab/>
      </w:r>
      <w:r>
        <w:rPr>
          <w:u w:val="single"/>
        </w:rPr>
        <w:tab/>
      </w:r>
      <w:r>
        <w:rPr>
          <w:u w:val="single"/>
        </w:rPr>
        <w:tab/>
      </w:r>
      <w:r>
        <w:rPr>
          <w:u w:val="single"/>
        </w:rPr>
        <w:tab/>
      </w:r>
      <w:r>
        <w:rPr>
          <w:u w:val="single"/>
        </w:rPr>
        <w:tab/>
      </w:r>
      <w:r>
        <w:t>, at San Francisco, California</w:t>
      </w:r>
    </w:p>
    <w:sectPr w:rsidRPr="00714CF2" w:rsidR="00714CF2" w:rsidSect="00C94594">
      <w:headerReference w:type="default" r:id="rId17"/>
      <w:pgSz w:w="12240" w:h="15840"/>
      <w:pgMar w:top="1728" w:right="1440" w:bottom="1440" w:left="1440" w:header="720" w:footer="720" w:gutter="0"/>
      <w:pgNumType w:start="2"/>
      <w:cols w:space="720"/>
      <w:docGrid w:linePitch="360"/>
    </w:sectPr>
    <w:p>
      <w:r>
        <w:t xml:space="preserve"/>
      </w:r>
    </w:p>
    <w:p>
      <w:r>
        <w:t xml:space="preserve">Attachment 1: </w:t>
      </w:r>
    </w:p>
    <w:p>
      <w:hyperlink w:history="true" r:id="Rd9122556b0c84121">
        <w:r w:rsidRPr="00CB1292">
          <w:rPr>
            <w:rStyle w:val="Hyperlink"/>
            <w:color w:val="2E74B5" w:themeColor="accent1" w:themeShade="BF"/>
            <w:u w:val="single"/>
          </w:rPr>
          <w:t>R.24-09-012 PD 12-18 Agenda COM Appendix A.pdf</w:t>
        </w:r>
      </w:hyperlink>
    </w:p>
    <w:p>
      <w:r>
        <w:t xml:space="preserve"/>
      </w:r>
    </w:p>
    <w:p>
      <w:r>
        <w:t xml:space="preserve">Attachment 2: </w:t>
      </w:r>
    </w:p>
    <w:p>
      <w:hyperlink w:history="true" r:id="Rd698e03bcce44855">
        <w:r w:rsidRPr="00CB1292">
          <w:rPr>
            <w:rStyle w:val="Hyperlink"/>
            <w:color w:val="2E74B5" w:themeColor="accent1" w:themeShade="BF"/>
            <w:u w:val="single"/>
          </w:rPr>
          <w:t>R2409012 Proposed Decision Decarb Zones Appendix B REV1.pdf</w:t>
        </w:r>
      </w:hyperlink>
    </w:p>
    <w:p>
      <w:r>
        <w:t xml:space="preserve"/>
      </w:r>
    </w:p>
    <w:p>
      <w:r>
        <w:t xml:space="preserve">Attachment 3: </w:t>
      </w:r>
    </w:p>
    <w:p>
      <w:hyperlink w:history="true" r:id="R4f13ce2f96ec4885">
        <w:r w:rsidRPr="00CB1292">
          <w:rPr>
            <w:rStyle w:val="Hyperlink"/>
            <w:color w:val="2E74B5" w:themeColor="accent1" w:themeShade="BF"/>
            <w:u w:val="single"/>
          </w:rPr>
          <w:t>Redline - R.24-09-012 PD 12-18 Agenda (COM) REV1.pdf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741C" w14:textId="77777777" w:rsidR="000C5E7E" w:rsidRDefault="000C5E7E" w:rsidP="0098138E">
      <w:pPr>
        <w:spacing w:line="240" w:lineRule="auto"/>
      </w:pPr>
      <w:r>
        <w:separator/>
      </w:r>
    </w:p>
  </w:endnote>
  <w:endnote w:type="continuationSeparator" w:id="0">
    <w:p w14:paraId="0D3260BC" w14:textId="77777777" w:rsidR="000C5E7E" w:rsidRDefault="000C5E7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1F7F"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3587" w14:textId="71C89DB7" w:rsidR="00632207" w:rsidRDefault="00000000"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3D7692">
          <w:rPr>
            <w:rFonts w:cs="Arial"/>
            <w:sz w:val="16"/>
            <w:szCs w:val="16"/>
          </w:rPr>
          <w:t>591031137</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60C2"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CEC1" w14:textId="77777777" w:rsidR="000C5E7E" w:rsidRDefault="000C5E7E" w:rsidP="00DF58E7">
      <w:pPr>
        <w:spacing w:line="240" w:lineRule="auto"/>
        <w:ind w:firstLine="0"/>
      </w:pPr>
      <w:r>
        <w:separator/>
      </w:r>
    </w:p>
  </w:footnote>
  <w:footnote w:type="continuationSeparator" w:id="0">
    <w:p w14:paraId="25E3E105" w14:textId="77777777" w:rsidR="000C5E7E" w:rsidRDefault="000C5E7E" w:rsidP="00DF58E7">
      <w:pPr>
        <w:spacing w:line="240" w:lineRule="auto"/>
        <w:ind w:firstLine="0"/>
      </w:pPr>
      <w:r>
        <w:continuationSeparator/>
      </w:r>
    </w:p>
  </w:footnote>
  <w:footnote w:type="continuationNotice" w:id="1">
    <w:p w14:paraId="4CB060EA" w14:textId="77777777" w:rsidR="000C5E7E" w:rsidRPr="00DF58E7" w:rsidRDefault="000C5E7E" w:rsidP="00DF58E7">
      <w:pPr>
        <w:spacing w:line="240" w:lineRule="auto"/>
        <w:ind w:firstLine="0"/>
        <w:jc w:val="right"/>
        <w:rPr>
          <w:i/>
          <w:sz w:val="22"/>
        </w:rPr>
      </w:pPr>
      <w:r w:rsidRPr="00DF58E7">
        <w:rPr>
          <w:i/>
          <w:sz w:val="22"/>
        </w:rPr>
        <w:t>Footnote continued on next page.</w:t>
      </w:r>
    </w:p>
  </w:footnote>
  <w:footnote w:id="2">
    <w:p w14:paraId="2F3C896A" w14:textId="7DD31CB6" w:rsidR="006F5F6A" w:rsidRDefault="006F5F6A">
      <w:pPr>
        <w:pStyle w:val="FootnoteText"/>
      </w:pPr>
      <w:r>
        <w:rPr>
          <w:rStyle w:val="FootnoteReference"/>
        </w:rPr>
        <w:footnoteRef/>
      </w:r>
      <w:r>
        <w:t xml:space="preserve"> Senate Bill (SB) 1221 (Min), Stats. 2024, ch. 602.</w:t>
      </w:r>
    </w:p>
  </w:footnote>
  <w:footnote w:id="3">
    <w:p w14:paraId="336B8FF9" w14:textId="4C78BFB6" w:rsidR="00B77FD0" w:rsidRDefault="00B77FD0" w:rsidP="00B77FD0">
      <w:pPr>
        <w:pStyle w:val="FootnoteText"/>
      </w:pPr>
      <w:r>
        <w:rPr>
          <w:rStyle w:val="FootnoteReference"/>
        </w:rPr>
        <w:footnoteRef/>
      </w:r>
      <w:r>
        <w:t xml:space="preserve"> All further references to “Section” are to sections of the Pub</w:t>
      </w:r>
      <w:r w:rsidR="00B41F53">
        <w:t>lic</w:t>
      </w:r>
      <w:r>
        <w:t xml:space="preserve"> Util</w:t>
      </w:r>
      <w:r w:rsidR="00B41F53">
        <w:t>ities (Pub. Util.)</w:t>
      </w:r>
      <w:r>
        <w:t xml:space="preserve"> Code unless otherwise noted.</w:t>
      </w:r>
    </w:p>
  </w:footnote>
  <w:footnote w:id="4">
    <w:p w14:paraId="442EC4B5" w14:textId="04622A0B" w:rsidR="00497603" w:rsidRPr="00497603" w:rsidRDefault="00497603">
      <w:pPr>
        <w:pStyle w:val="FootnoteText"/>
      </w:pPr>
      <w:r>
        <w:rPr>
          <w:rStyle w:val="FootnoteReference"/>
        </w:rPr>
        <w:footnoteRef/>
      </w:r>
      <w:r>
        <w:t xml:space="preserve"> </w:t>
      </w:r>
      <w:r w:rsidR="004D4306">
        <w:rPr>
          <w:i/>
          <w:iCs/>
        </w:rPr>
        <w:t xml:space="preserve">See </w:t>
      </w:r>
      <w:r>
        <w:t>Pub. Util. Code Section 663(a).</w:t>
      </w:r>
    </w:p>
  </w:footnote>
  <w:footnote w:id="5">
    <w:p w14:paraId="6BE5C7FB" w14:textId="7F21DFFF" w:rsidR="00497603" w:rsidRDefault="00497603">
      <w:pPr>
        <w:pStyle w:val="FootnoteText"/>
      </w:pPr>
      <w:r>
        <w:rPr>
          <w:rStyle w:val="FootnoteReference"/>
        </w:rPr>
        <w:footnoteRef/>
      </w:r>
      <w:r>
        <w:t xml:space="preserve"> Pub. Util. Code Section 661(a).</w:t>
      </w:r>
    </w:p>
  </w:footnote>
  <w:footnote w:id="6">
    <w:p w14:paraId="458CB7C4" w14:textId="41FE01EC" w:rsidR="004E3B11" w:rsidRDefault="004E3B11">
      <w:pPr>
        <w:pStyle w:val="FootnoteText"/>
      </w:pPr>
      <w:r>
        <w:rPr>
          <w:rStyle w:val="FootnoteReference"/>
        </w:rPr>
        <w:footnoteRef/>
      </w:r>
      <w:r>
        <w:t xml:space="preserve"> The ruling setting the PPHs was corrected on June 19, 2025, to correct the PPHs’ access information and, again, on July 8, 2025, to correct the public passcode for those wishing to join by phone. </w:t>
      </w:r>
    </w:p>
  </w:footnote>
  <w:footnote w:id="7">
    <w:p w14:paraId="16E56A6A" w14:textId="2A491920" w:rsidR="00FE0ED7" w:rsidRDefault="00FE0ED7">
      <w:pPr>
        <w:pStyle w:val="FootnoteText"/>
      </w:pPr>
      <w:r>
        <w:rPr>
          <w:rStyle w:val="FootnoteReference"/>
        </w:rPr>
        <w:footnoteRef/>
      </w:r>
      <w:r>
        <w:t xml:space="preserve"> BayREN and 3C-REN have Commission authorization to administer portfolios of energy efficiency programs.</w:t>
      </w:r>
      <w:r w:rsidR="00277C9F">
        <w:t xml:space="preserve">  </w:t>
      </w:r>
      <w:r>
        <w:t>BayREN is a program of nine San Francisco Bay Area counties and the Association of Bay Area Governments.  3C-REN is a program of the Ventura, Santa Barbara, and San Luis Obispo</w:t>
      </w:r>
      <w:r w:rsidR="00B41F53">
        <w:t xml:space="preserve"> counties</w:t>
      </w:r>
      <w:r>
        <w:t xml:space="preserve">. </w:t>
      </w:r>
    </w:p>
  </w:footnote>
  <w:footnote w:id="8">
    <w:p w14:paraId="1495DE73" w14:textId="58935F3F" w:rsidR="00FE0ED7" w:rsidRDefault="00FE0ED7">
      <w:pPr>
        <w:pStyle w:val="FootnoteText"/>
      </w:pPr>
      <w:r>
        <w:rPr>
          <w:rStyle w:val="FootnoteReference"/>
        </w:rPr>
        <w:footnoteRef/>
      </w:r>
      <w:r>
        <w:t xml:space="preserve"> CCR REN has Commission authorization to administer portfolios of energy efficiency programs.  </w:t>
      </w:r>
      <w:r w:rsidR="00EC5524">
        <w:t>They are</w:t>
      </w:r>
      <w:r>
        <w:t xml:space="preserve"> administered by San Luis Obispo</w:t>
      </w:r>
      <w:r w:rsidR="00F32AFE">
        <w:t xml:space="preserve"> County</w:t>
      </w:r>
      <w:r>
        <w:t xml:space="preserve"> and is comprised of an alliance including the Association of Monterey Bay Area Governments, The High Energy Sierra Foundation, and the San Joaquin Valley Clean Energy Organization.</w:t>
      </w:r>
    </w:p>
  </w:footnote>
  <w:footnote w:id="9">
    <w:p w14:paraId="3A212B27" w14:textId="7C094E26" w:rsidR="00EF2FED" w:rsidRDefault="00EF2FED">
      <w:pPr>
        <w:pStyle w:val="FootnoteText"/>
      </w:pPr>
      <w:r>
        <w:rPr>
          <w:rStyle w:val="FootnoteReference"/>
        </w:rPr>
        <w:footnoteRef/>
      </w:r>
      <w:r>
        <w:t xml:space="preserve"> For purposes of the August 8, 2025 opening comments, the Joint CCAs consist of Peninsula Clean Energy Authority, San Diego Community Power, San Jose Clean Energy, Silicon Valley Clean Energy Authority, and Sonoma Clean Power Authority.</w:t>
      </w:r>
    </w:p>
  </w:footnote>
  <w:footnote w:id="10">
    <w:p w14:paraId="1DA143D4" w14:textId="01E58D53" w:rsidR="00D1397A" w:rsidRDefault="00D1397A">
      <w:pPr>
        <w:pStyle w:val="FootnoteText"/>
      </w:pPr>
      <w:r>
        <w:rPr>
          <w:rStyle w:val="FootnoteReference"/>
        </w:rPr>
        <w:footnoteRef/>
      </w:r>
      <w:r>
        <w:t xml:space="preserve"> Marin Clean Energy provides electricity and energy programs to </w:t>
      </w:r>
      <w:r w:rsidR="00F32AFE">
        <w:t xml:space="preserve">38 </w:t>
      </w:r>
      <w:r>
        <w:t xml:space="preserve">communities </w:t>
      </w:r>
      <w:r w:rsidR="00F32AFE">
        <w:t>across</w:t>
      </w:r>
      <w:r>
        <w:t xml:space="preserve"> Contra Costa, Marin, Napa, and Solano counties.</w:t>
      </w:r>
    </w:p>
  </w:footnote>
  <w:footnote w:id="11">
    <w:p w14:paraId="5516EFFB" w14:textId="0213F852" w:rsidR="00E66858" w:rsidRPr="00733B76" w:rsidRDefault="00E66858" w:rsidP="00E66858">
      <w:pPr>
        <w:pStyle w:val="FootnoteText"/>
      </w:pPr>
      <w:r>
        <w:rPr>
          <w:rStyle w:val="FootnoteReference"/>
        </w:rPr>
        <w:footnoteRef/>
      </w:r>
      <w:r>
        <w:t xml:space="preserve"> </w:t>
      </w:r>
      <w:r w:rsidRPr="00A1664D">
        <w:rPr>
          <w:i/>
          <w:iCs/>
        </w:rPr>
        <w:t>Environmental and Social Justice Action Plan</w:t>
      </w:r>
      <w:r>
        <w:t xml:space="preserve"> at 2, </w:t>
      </w:r>
      <w:r>
        <w:rPr>
          <w:i/>
          <w:iCs/>
        </w:rPr>
        <w:t xml:space="preserve">available at </w:t>
      </w:r>
      <w:hyperlink r:id="rId1" w:history="1">
        <w:r w:rsidRPr="00733B76">
          <w:rPr>
            <w:rStyle w:val="Hyperlink"/>
          </w:rPr>
          <w:t>https://www.cpuc.ca.gov/-/media/cpuc-website/divisions/news-and-outreach/documents/news-office/key-issues/esj/esj-action-plan-v2jw.pdf</w:t>
        </w:r>
      </w:hyperlink>
      <w:r w:rsidR="0051088D">
        <w:t xml:space="preserve"> (last accessed</w:t>
      </w:r>
      <w:r w:rsidR="00F32AFE">
        <w:t xml:space="preserve"> Oct. 26, 2025)</w:t>
      </w:r>
      <w:r w:rsidRPr="00733B76">
        <w:t>.</w:t>
      </w:r>
    </w:p>
  </w:footnote>
  <w:footnote w:id="12">
    <w:p w14:paraId="758DE512" w14:textId="4440B7DF" w:rsidR="007A02A1" w:rsidRDefault="007A02A1">
      <w:pPr>
        <w:pStyle w:val="FootnoteText"/>
      </w:pPr>
      <w:r>
        <w:rPr>
          <w:rStyle w:val="FootnoteReference"/>
        </w:rPr>
        <w:footnoteRef/>
      </w:r>
      <w:r>
        <w:t xml:space="preserve"> </w:t>
      </w:r>
      <w:bookmarkStart w:id="13" w:name="_Hlk212640592"/>
      <w:r>
        <w:t xml:space="preserve">We </w:t>
      </w:r>
      <w:r w:rsidR="00B21029">
        <w:t>consider</w:t>
      </w:r>
      <w:r>
        <w:t xml:space="preserve"> the most current CalEnviroScreen dataset available (currently CalEnviroScreen 4.0).</w:t>
      </w:r>
      <w:bookmarkEnd w:id="13"/>
    </w:p>
  </w:footnote>
  <w:footnote w:id="13">
    <w:p w14:paraId="54378666" w14:textId="74719E8A" w:rsidR="00BF6130" w:rsidRPr="00406FC9" w:rsidRDefault="00BF6130">
      <w:pPr>
        <w:pStyle w:val="FootnoteText"/>
      </w:pPr>
      <w:r>
        <w:rPr>
          <w:rStyle w:val="FootnoteReference"/>
        </w:rPr>
        <w:footnoteRef/>
      </w:r>
      <w:r>
        <w:t xml:space="preserve"> Land within any Indian reservation as defined in 18 U.S.C. </w:t>
      </w:r>
      <w:r w:rsidR="0051088D">
        <w:t>Section</w:t>
      </w:r>
      <w:r>
        <w:t xml:space="preserve"> 1151(a).</w:t>
      </w:r>
      <w:r w:rsidR="00406FC9">
        <w:t xml:space="preserve">  The Commission may utilize the definition of “California Indian Count</w:t>
      </w:r>
      <w:r w:rsidR="000C66D2">
        <w:t>r</w:t>
      </w:r>
      <w:r w:rsidR="00406FC9">
        <w:t xml:space="preserve">y,” </w:t>
      </w:r>
      <w:r w:rsidR="00406FC9">
        <w:rPr>
          <w:i/>
          <w:iCs/>
        </w:rPr>
        <w:t xml:space="preserve">available at </w:t>
      </w:r>
      <w:hyperlink r:id="rId2" w:history="1">
        <w:r w:rsidR="00406FC9" w:rsidRPr="00D94E60">
          <w:rPr>
            <w:rStyle w:val="Hyperlink"/>
          </w:rPr>
          <w:t>https://www.courts.ca.gov/8710.htm</w:t>
        </w:r>
      </w:hyperlink>
      <w:r w:rsidR="00406FC9">
        <w:t xml:space="preserve"> (last accessed Oct. 21, 2025). (Environmental and Social Justice Action Plan at n.22.) </w:t>
      </w:r>
    </w:p>
  </w:footnote>
  <w:footnote w:id="14">
    <w:p w14:paraId="75424A2F" w14:textId="7DD7A698" w:rsidR="00FC520E" w:rsidRDefault="00FC520E" w:rsidP="00FC520E">
      <w:pPr>
        <w:pStyle w:val="FootnoteText"/>
      </w:pPr>
      <w:r>
        <w:rPr>
          <w:rStyle w:val="FootnoteReference"/>
        </w:rPr>
        <w:footnoteRef/>
      </w:r>
      <w:r>
        <w:t xml:space="preserve"> PG&amp;E Recommendations at 1</w:t>
      </w:r>
      <w:r w:rsidR="00F32AFE">
        <w:t>, 2</w:t>
      </w:r>
      <w:r>
        <w:t>.</w:t>
      </w:r>
    </w:p>
  </w:footnote>
  <w:footnote w:id="15">
    <w:p w14:paraId="5CB9200A" w14:textId="75484623" w:rsidR="00192986" w:rsidRDefault="00192986">
      <w:pPr>
        <w:pStyle w:val="FootnoteText"/>
      </w:pPr>
      <w:r>
        <w:rPr>
          <w:rStyle w:val="FootnoteReference"/>
        </w:rPr>
        <w:footnoteRef/>
      </w:r>
      <w:r>
        <w:t xml:space="preserve"> </w:t>
      </w:r>
      <w:r w:rsidR="006F6777">
        <w:rPr>
          <w:i/>
          <w:iCs/>
        </w:rPr>
        <w:t>Id</w:t>
      </w:r>
      <w:r w:rsidR="006F6777">
        <w:t>.</w:t>
      </w:r>
      <w:r>
        <w:t xml:space="preserve"> at 2.</w:t>
      </w:r>
    </w:p>
  </w:footnote>
  <w:footnote w:id="16">
    <w:p w14:paraId="709F8C2B" w14:textId="5F1B3ED7" w:rsidR="001A3467" w:rsidRDefault="001A3467">
      <w:pPr>
        <w:pStyle w:val="FootnoteText"/>
      </w:pPr>
      <w:r>
        <w:rPr>
          <w:rStyle w:val="FootnoteReference"/>
        </w:rPr>
        <w:footnoteRef/>
      </w:r>
      <w:r>
        <w:t xml:space="preserve"> </w:t>
      </w:r>
      <w:r w:rsidR="006F6777">
        <w:rPr>
          <w:i/>
          <w:iCs/>
        </w:rPr>
        <w:t>Id</w:t>
      </w:r>
      <w:r w:rsidR="006F6777">
        <w:t>.</w:t>
      </w:r>
      <w:r>
        <w:t xml:space="preserve"> at 3. </w:t>
      </w:r>
    </w:p>
  </w:footnote>
  <w:footnote w:id="17">
    <w:p w14:paraId="5C44328A" w14:textId="08DED82B" w:rsidR="00FC520E" w:rsidRDefault="00FC520E" w:rsidP="00FC520E">
      <w:pPr>
        <w:pStyle w:val="FootnoteText"/>
      </w:pPr>
      <w:r>
        <w:rPr>
          <w:rStyle w:val="FootnoteReference"/>
        </w:rPr>
        <w:footnoteRef/>
      </w:r>
      <w:r>
        <w:t xml:space="preserve"> </w:t>
      </w:r>
      <w:r w:rsidR="006F6777">
        <w:rPr>
          <w:i/>
          <w:iCs/>
        </w:rPr>
        <w:t>Ibid</w:t>
      </w:r>
      <w:r>
        <w:t>.</w:t>
      </w:r>
    </w:p>
  </w:footnote>
  <w:footnote w:id="18">
    <w:p w14:paraId="0229182E" w14:textId="1266402C" w:rsidR="00FC4097" w:rsidRDefault="00FC4097">
      <w:pPr>
        <w:pStyle w:val="FootnoteText"/>
      </w:pPr>
      <w:r>
        <w:rPr>
          <w:rStyle w:val="FootnoteReference"/>
        </w:rPr>
        <w:footnoteRef/>
      </w:r>
      <w:r>
        <w:t xml:space="preserve"> </w:t>
      </w:r>
      <w:r w:rsidR="006F6777">
        <w:rPr>
          <w:i/>
          <w:iCs/>
        </w:rPr>
        <w:t>Id</w:t>
      </w:r>
      <w:r w:rsidR="006F6777">
        <w:t>.</w:t>
      </w:r>
      <w:r>
        <w:t xml:space="preserve"> at 3-4.</w:t>
      </w:r>
    </w:p>
  </w:footnote>
  <w:footnote w:id="19">
    <w:p w14:paraId="5F43DE61" w14:textId="75BF3712" w:rsidR="003340CF" w:rsidRDefault="003340CF">
      <w:pPr>
        <w:pStyle w:val="FootnoteText"/>
      </w:pPr>
      <w:r>
        <w:rPr>
          <w:rStyle w:val="FootnoteReference"/>
        </w:rPr>
        <w:footnoteRef/>
      </w:r>
      <w:r>
        <w:t xml:space="preserve"> </w:t>
      </w:r>
      <w:r w:rsidR="006F6777">
        <w:rPr>
          <w:i/>
          <w:iCs/>
        </w:rPr>
        <w:t>Id</w:t>
      </w:r>
      <w:r w:rsidR="006F6777">
        <w:t>.</w:t>
      </w:r>
      <w:r>
        <w:t xml:space="preserve"> at 4.</w:t>
      </w:r>
    </w:p>
  </w:footnote>
  <w:footnote w:id="20">
    <w:p w14:paraId="2B2A7B38" w14:textId="4BC6E03B" w:rsidR="00354CB5" w:rsidRDefault="00354CB5">
      <w:pPr>
        <w:pStyle w:val="FootnoteText"/>
      </w:pPr>
      <w:r>
        <w:rPr>
          <w:rStyle w:val="FootnoteReference"/>
        </w:rPr>
        <w:footnoteRef/>
      </w:r>
      <w:r>
        <w:t xml:space="preserve"> SoCalGas/SDG&amp;E Recommendations at 3-4.</w:t>
      </w:r>
    </w:p>
  </w:footnote>
  <w:footnote w:id="21">
    <w:p w14:paraId="784CF3D3" w14:textId="575412E9" w:rsidR="000439EA" w:rsidRDefault="000439EA">
      <w:pPr>
        <w:pStyle w:val="FootnoteText"/>
      </w:pPr>
      <w:r>
        <w:rPr>
          <w:rStyle w:val="FootnoteReference"/>
        </w:rPr>
        <w:footnoteRef/>
      </w:r>
      <w:r>
        <w:t xml:space="preserve"> </w:t>
      </w:r>
      <w:r w:rsidR="006F6777">
        <w:rPr>
          <w:i/>
          <w:iCs/>
        </w:rPr>
        <w:t>Id</w:t>
      </w:r>
      <w:r w:rsidR="006F6777">
        <w:t>.</w:t>
      </w:r>
      <w:r>
        <w:t xml:space="preserve"> at 4.</w:t>
      </w:r>
    </w:p>
  </w:footnote>
  <w:footnote w:id="22">
    <w:p w14:paraId="3C7A9219" w14:textId="43B9D316" w:rsidR="000439EA" w:rsidRDefault="000439EA">
      <w:pPr>
        <w:pStyle w:val="FootnoteText"/>
      </w:pPr>
      <w:r>
        <w:rPr>
          <w:rStyle w:val="FootnoteReference"/>
        </w:rPr>
        <w:footnoteRef/>
      </w:r>
      <w:r>
        <w:t xml:space="preserve"> </w:t>
      </w:r>
      <w:r w:rsidR="006F6777">
        <w:rPr>
          <w:i/>
          <w:iCs/>
        </w:rPr>
        <w:t>Ibid</w:t>
      </w:r>
      <w:r>
        <w:t>.</w:t>
      </w:r>
    </w:p>
  </w:footnote>
  <w:footnote w:id="23">
    <w:p w14:paraId="0E1319A9" w14:textId="5636A9EE" w:rsidR="00082430" w:rsidRDefault="00082430">
      <w:pPr>
        <w:pStyle w:val="FootnoteText"/>
      </w:pPr>
      <w:r>
        <w:rPr>
          <w:rStyle w:val="FootnoteReference"/>
        </w:rPr>
        <w:footnoteRef/>
      </w:r>
      <w:r>
        <w:t xml:space="preserve"> </w:t>
      </w:r>
      <w:r w:rsidR="006F6777">
        <w:rPr>
          <w:i/>
          <w:iCs/>
        </w:rPr>
        <w:t>Id</w:t>
      </w:r>
      <w:r w:rsidR="006F6777">
        <w:t>.</w:t>
      </w:r>
      <w:r>
        <w:t xml:space="preserve"> at 2.</w:t>
      </w:r>
    </w:p>
  </w:footnote>
  <w:footnote w:id="24">
    <w:p w14:paraId="395C1431" w14:textId="0EF0CE9C" w:rsidR="003E2235" w:rsidRDefault="003E2235">
      <w:pPr>
        <w:pStyle w:val="FootnoteText"/>
      </w:pPr>
      <w:r>
        <w:rPr>
          <w:rStyle w:val="FootnoteReference"/>
        </w:rPr>
        <w:footnoteRef/>
      </w:r>
      <w:r>
        <w:t xml:space="preserve"> </w:t>
      </w:r>
      <w:r w:rsidR="006F6777">
        <w:rPr>
          <w:i/>
          <w:iCs/>
        </w:rPr>
        <w:t>Ibid</w:t>
      </w:r>
      <w:r>
        <w:t>.</w:t>
      </w:r>
    </w:p>
  </w:footnote>
  <w:footnote w:id="25">
    <w:p w14:paraId="22838BD5" w14:textId="14678CD3" w:rsidR="00192986" w:rsidRPr="00192986" w:rsidRDefault="00192986">
      <w:pPr>
        <w:pStyle w:val="FootnoteText"/>
      </w:pPr>
      <w:r>
        <w:rPr>
          <w:rStyle w:val="FootnoteReference"/>
        </w:rPr>
        <w:footnoteRef/>
      </w:r>
      <w:r>
        <w:t xml:space="preserve"> </w:t>
      </w:r>
      <w:r>
        <w:rPr>
          <w:i/>
          <w:iCs/>
        </w:rPr>
        <w:t xml:space="preserve">See </w:t>
      </w:r>
      <w:r w:rsidR="006F6777">
        <w:rPr>
          <w:i/>
          <w:iCs/>
        </w:rPr>
        <w:t>id.</w:t>
      </w:r>
      <w:r>
        <w:t xml:space="preserve"> at </w:t>
      </w:r>
      <w:r w:rsidR="003A15B1">
        <w:t>3 (stating “prioritization should not occur prior to establishing the program itself.”)</w:t>
      </w:r>
      <w:r>
        <w:t>.</w:t>
      </w:r>
    </w:p>
  </w:footnote>
  <w:footnote w:id="26">
    <w:p w14:paraId="22EAC8A1" w14:textId="77777777" w:rsidR="00074185" w:rsidRDefault="00074185" w:rsidP="00074185">
      <w:pPr>
        <w:pStyle w:val="FootnoteText"/>
      </w:pPr>
      <w:r>
        <w:rPr>
          <w:rStyle w:val="FootnoteReference"/>
        </w:rPr>
        <w:footnoteRef/>
      </w:r>
      <w:r>
        <w:t xml:space="preserve"> Southwest Gas Recommendations at 2.</w:t>
      </w:r>
    </w:p>
  </w:footnote>
  <w:footnote w:id="27">
    <w:p w14:paraId="6E8985E8" w14:textId="1493D94C" w:rsidR="003A15B1" w:rsidRPr="003A15B1" w:rsidRDefault="003A15B1">
      <w:pPr>
        <w:pStyle w:val="FootnoteText"/>
      </w:pPr>
      <w:r>
        <w:rPr>
          <w:rStyle w:val="FootnoteReference"/>
        </w:rPr>
        <w:footnoteRef/>
      </w:r>
      <w:r>
        <w:t xml:space="preserve"> </w:t>
      </w:r>
      <w:r>
        <w:rPr>
          <w:i/>
          <w:iCs/>
        </w:rPr>
        <w:t>Id</w:t>
      </w:r>
      <w:r>
        <w:t>. at 2.</w:t>
      </w:r>
    </w:p>
  </w:footnote>
  <w:footnote w:id="28">
    <w:p w14:paraId="6034487E" w14:textId="2295607B" w:rsidR="00F545A3" w:rsidRPr="00F545A3" w:rsidRDefault="00F545A3">
      <w:pPr>
        <w:pStyle w:val="FootnoteText"/>
      </w:pPr>
      <w:r>
        <w:rPr>
          <w:rStyle w:val="FootnoteReference"/>
        </w:rPr>
        <w:footnoteRef/>
      </w:r>
      <w:r>
        <w:t xml:space="preserve"> </w:t>
      </w:r>
      <w:r>
        <w:rPr>
          <w:i/>
          <w:iCs/>
        </w:rPr>
        <w:t>Ibid</w:t>
      </w:r>
      <w:r>
        <w:t>.</w:t>
      </w:r>
    </w:p>
  </w:footnote>
  <w:footnote w:id="29">
    <w:p w14:paraId="7443C3BF" w14:textId="77777777" w:rsidR="00074185" w:rsidRPr="00EE4CC0" w:rsidRDefault="00074185" w:rsidP="00074185">
      <w:pPr>
        <w:pStyle w:val="FootnoteText"/>
      </w:pPr>
      <w:r>
        <w:rPr>
          <w:rStyle w:val="FootnoteReference"/>
        </w:rPr>
        <w:footnoteRef/>
      </w:r>
      <w:r>
        <w:t xml:space="preserve"> </w:t>
      </w:r>
      <w:r>
        <w:rPr>
          <w:i/>
          <w:iCs/>
        </w:rPr>
        <w:t>Id.</w:t>
      </w:r>
      <w:r>
        <w:t xml:space="preserve"> at 2-3.</w:t>
      </w:r>
    </w:p>
  </w:footnote>
  <w:footnote w:id="30">
    <w:p w14:paraId="6C4FE6C8" w14:textId="49BC343D" w:rsidR="004D1CF8" w:rsidRDefault="004D1CF8">
      <w:pPr>
        <w:pStyle w:val="FootnoteText"/>
      </w:pPr>
      <w:r>
        <w:rPr>
          <w:rStyle w:val="FootnoteReference"/>
        </w:rPr>
        <w:footnoteRef/>
      </w:r>
      <w:r>
        <w:t xml:space="preserve"> BayREN/3C-REN </w:t>
      </w:r>
      <w:r w:rsidR="00500703">
        <w:t xml:space="preserve">Opening Comments </w:t>
      </w:r>
      <w:r>
        <w:t xml:space="preserve">at </w:t>
      </w:r>
      <w:r w:rsidR="00EC5524">
        <w:t xml:space="preserve">4, </w:t>
      </w:r>
      <w:r>
        <w:t>9.</w:t>
      </w:r>
    </w:p>
  </w:footnote>
  <w:footnote w:id="31">
    <w:p w14:paraId="5A68AA75" w14:textId="00B56E90" w:rsidR="004D1CF8" w:rsidRDefault="004D1CF8">
      <w:pPr>
        <w:pStyle w:val="FootnoteText"/>
      </w:pPr>
      <w:r>
        <w:rPr>
          <w:rStyle w:val="FootnoteReference"/>
        </w:rPr>
        <w:footnoteRef/>
      </w:r>
      <w:r>
        <w:t xml:space="preserve"> </w:t>
      </w:r>
      <w:r w:rsidR="006F6777">
        <w:rPr>
          <w:i/>
          <w:iCs/>
        </w:rPr>
        <w:t>Id</w:t>
      </w:r>
      <w:r w:rsidR="006F6777">
        <w:t>.</w:t>
      </w:r>
      <w:r w:rsidR="00500703">
        <w:t xml:space="preserve"> </w:t>
      </w:r>
      <w:r>
        <w:t>at 4, 9, 10.</w:t>
      </w:r>
    </w:p>
  </w:footnote>
  <w:footnote w:id="32">
    <w:p w14:paraId="08FBC231" w14:textId="053A75C8" w:rsidR="00500703" w:rsidRDefault="00500703">
      <w:pPr>
        <w:pStyle w:val="FootnoteText"/>
      </w:pPr>
      <w:r>
        <w:rPr>
          <w:rStyle w:val="FootnoteReference"/>
        </w:rPr>
        <w:footnoteRef/>
      </w:r>
      <w:r>
        <w:t xml:space="preserve"> </w:t>
      </w:r>
      <w:r w:rsidR="006F6777">
        <w:rPr>
          <w:i/>
          <w:iCs/>
        </w:rPr>
        <w:t>Id</w:t>
      </w:r>
      <w:r w:rsidR="006F6777">
        <w:t>.</w:t>
      </w:r>
      <w:r>
        <w:t xml:space="preserve"> at 7.</w:t>
      </w:r>
    </w:p>
  </w:footnote>
  <w:footnote w:id="33">
    <w:p w14:paraId="0529B2BF" w14:textId="1B1074E1" w:rsidR="00500703" w:rsidRDefault="00500703">
      <w:pPr>
        <w:pStyle w:val="FootnoteText"/>
      </w:pPr>
      <w:r>
        <w:rPr>
          <w:rStyle w:val="FootnoteReference"/>
        </w:rPr>
        <w:footnoteRef/>
      </w:r>
      <w:r>
        <w:t xml:space="preserve"> </w:t>
      </w:r>
      <w:r w:rsidR="006F6777">
        <w:rPr>
          <w:i/>
          <w:iCs/>
        </w:rPr>
        <w:t>Ibid</w:t>
      </w:r>
      <w:r>
        <w:t>.</w:t>
      </w:r>
    </w:p>
  </w:footnote>
  <w:footnote w:id="34">
    <w:p w14:paraId="4963F09B" w14:textId="2E2D8B64" w:rsidR="004B0067" w:rsidRDefault="004B0067">
      <w:pPr>
        <w:pStyle w:val="FootnoteText"/>
      </w:pPr>
      <w:r>
        <w:rPr>
          <w:rStyle w:val="FootnoteReference"/>
        </w:rPr>
        <w:footnoteRef/>
      </w:r>
      <w:r>
        <w:t xml:space="preserve"> Cal Advocates </w:t>
      </w:r>
      <w:r w:rsidR="00500703">
        <w:t xml:space="preserve">Opening Comments </w:t>
      </w:r>
      <w:r>
        <w:t xml:space="preserve">at </w:t>
      </w:r>
      <w:r w:rsidR="00500703">
        <w:t>2</w:t>
      </w:r>
      <w:r w:rsidR="00EC5524">
        <w:t>-</w:t>
      </w:r>
      <w:r>
        <w:t>4.</w:t>
      </w:r>
    </w:p>
  </w:footnote>
  <w:footnote w:id="35">
    <w:p w14:paraId="47EDAC6E" w14:textId="5CB7E25F" w:rsidR="00500703" w:rsidRDefault="00500703">
      <w:pPr>
        <w:pStyle w:val="FootnoteText"/>
      </w:pPr>
      <w:r>
        <w:rPr>
          <w:rStyle w:val="FootnoteReference"/>
        </w:rPr>
        <w:footnoteRef/>
      </w:r>
      <w:r>
        <w:t xml:space="preserve"> </w:t>
      </w:r>
      <w:r w:rsidR="006F6777">
        <w:rPr>
          <w:i/>
          <w:iCs/>
        </w:rPr>
        <w:t>Id.</w:t>
      </w:r>
      <w:r>
        <w:t xml:space="preserve"> at 4.</w:t>
      </w:r>
    </w:p>
  </w:footnote>
  <w:footnote w:id="36">
    <w:p w14:paraId="6CF58851" w14:textId="65255AD5" w:rsidR="00EC5524" w:rsidRPr="00EC5524" w:rsidRDefault="00EC5524">
      <w:pPr>
        <w:pStyle w:val="FootnoteText"/>
      </w:pPr>
      <w:r>
        <w:rPr>
          <w:rStyle w:val="FootnoteReference"/>
        </w:rPr>
        <w:footnoteRef/>
      </w:r>
      <w:r>
        <w:t xml:space="preserve"> </w:t>
      </w:r>
      <w:r>
        <w:rPr>
          <w:i/>
          <w:iCs/>
        </w:rPr>
        <w:t>Id</w:t>
      </w:r>
      <w:r>
        <w:t>. at 5-6.</w:t>
      </w:r>
    </w:p>
  </w:footnote>
  <w:footnote w:id="37">
    <w:p w14:paraId="74B63773" w14:textId="7E81C518" w:rsidR="00757454" w:rsidRDefault="00757454">
      <w:pPr>
        <w:pStyle w:val="FootnoteText"/>
      </w:pPr>
      <w:r>
        <w:rPr>
          <w:rStyle w:val="FootnoteReference"/>
        </w:rPr>
        <w:footnoteRef/>
      </w:r>
      <w:r>
        <w:t xml:space="preserve"> </w:t>
      </w:r>
      <w:r w:rsidR="006F6777">
        <w:rPr>
          <w:i/>
          <w:iCs/>
        </w:rPr>
        <w:t>Id</w:t>
      </w:r>
      <w:r w:rsidR="006F6777">
        <w:t>.</w:t>
      </w:r>
      <w:r>
        <w:t xml:space="preserve"> at 6.</w:t>
      </w:r>
    </w:p>
  </w:footnote>
  <w:footnote w:id="38">
    <w:p w14:paraId="08E492FD" w14:textId="6B57E7D9" w:rsidR="000A60C9" w:rsidRDefault="000A60C9">
      <w:pPr>
        <w:pStyle w:val="FootnoteText"/>
      </w:pPr>
      <w:r>
        <w:rPr>
          <w:rStyle w:val="FootnoteReference"/>
        </w:rPr>
        <w:footnoteRef/>
      </w:r>
      <w:r>
        <w:t xml:space="preserve"> </w:t>
      </w:r>
      <w:r w:rsidR="006F6777">
        <w:rPr>
          <w:i/>
          <w:iCs/>
        </w:rPr>
        <w:t>Id</w:t>
      </w:r>
      <w:r w:rsidR="006F6777">
        <w:t>.</w:t>
      </w:r>
      <w:r>
        <w:t xml:space="preserve"> at </w:t>
      </w:r>
      <w:r w:rsidR="00EC5524">
        <w:t>Appendix A</w:t>
      </w:r>
      <w:r>
        <w:t>.</w:t>
      </w:r>
    </w:p>
  </w:footnote>
  <w:footnote w:id="39">
    <w:p w14:paraId="7EDE6A42" w14:textId="50F6DBAA" w:rsidR="00610468" w:rsidRDefault="00610468">
      <w:pPr>
        <w:pStyle w:val="FootnoteText"/>
      </w:pPr>
      <w:r>
        <w:rPr>
          <w:rStyle w:val="FootnoteReference"/>
        </w:rPr>
        <w:footnoteRef/>
      </w:r>
      <w:r>
        <w:t xml:space="preserve"> CCR REN Opening Comments at 2-3.</w:t>
      </w:r>
    </w:p>
  </w:footnote>
  <w:footnote w:id="40">
    <w:p w14:paraId="38849C8E" w14:textId="14D624E5" w:rsidR="00FE33B4" w:rsidRDefault="00FE33B4">
      <w:pPr>
        <w:pStyle w:val="FootnoteText"/>
      </w:pPr>
      <w:r>
        <w:rPr>
          <w:rStyle w:val="FootnoteReference"/>
        </w:rPr>
        <w:footnoteRef/>
      </w:r>
      <w:r>
        <w:t xml:space="preserve"> </w:t>
      </w:r>
      <w:r w:rsidR="006F6777">
        <w:rPr>
          <w:i/>
          <w:iCs/>
        </w:rPr>
        <w:t>Id</w:t>
      </w:r>
      <w:r w:rsidR="006F6777">
        <w:t>.</w:t>
      </w:r>
      <w:r w:rsidR="00610468">
        <w:t xml:space="preserve"> </w:t>
      </w:r>
      <w:r>
        <w:t>at 3</w:t>
      </w:r>
      <w:r w:rsidR="00610468">
        <w:t>-4</w:t>
      </w:r>
      <w:r>
        <w:t>.</w:t>
      </w:r>
    </w:p>
  </w:footnote>
  <w:footnote w:id="41">
    <w:p w14:paraId="76BC21AC" w14:textId="3A75D267" w:rsidR="00610468" w:rsidRDefault="00610468" w:rsidP="00610468">
      <w:pPr>
        <w:pStyle w:val="FootnoteText"/>
      </w:pPr>
      <w:r>
        <w:rPr>
          <w:rStyle w:val="FootnoteReference"/>
        </w:rPr>
        <w:footnoteRef/>
      </w:r>
      <w:r>
        <w:t xml:space="preserve"> CforAT </w:t>
      </w:r>
      <w:r w:rsidR="000F71FB">
        <w:t xml:space="preserve">Opening Comments </w:t>
      </w:r>
      <w:r>
        <w:t>at 1</w:t>
      </w:r>
      <w:r w:rsidR="000F71FB">
        <w:t>-2</w:t>
      </w:r>
      <w:r>
        <w:t>.</w:t>
      </w:r>
    </w:p>
  </w:footnote>
  <w:footnote w:id="42">
    <w:p w14:paraId="0C36DBB0" w14:textId="1ADAB90E" w:rsidR="000F71FB" w:rsidRDefault="000F71FB">
      <w:pPr>
        <w:pStyle w:val="FootnoteText"/>
      </w:pPr>
      <w:r>
        <w:rPr>
          <w:rStyle w:val="FootnoteReference"/>
        </w:rPr>
        <w:footnoteRef/>
      </w:r>
      <w:r>
        <w:t xml:space="preserve"> </w:t>
      </w:r>
      <w:r w:rsidR="006F6777">
        <w:rPr>
          <w:i/>
          <w:iCs/>
        </w:rPr>
        <w:t>Id</w:t>
      </w:r>
      <w:r w:rsidR="006F6777">
        <w:t>.</w:t>
      </w:r>
      <w:r>
        <w:t xml:space="preserve"> at 3. </w:t>
      </w:r>
    </w:p>
  </w:footnote>
  <w:footnote w:id="43">
    <w:p w14:paraId="3F30F6FD" w14:textId="7BA7034E" w:rsidR="00294D9D" w:rsidRDefault="00294D9D">
      <w:pPr>
        <w:pStyle w:val="FootnoteText"/>
      </w:pPr>
      <w:r>
        <w:rPr>
          <w:rStyle w:val="FootnoteReference"/>
        </w:rPr>
        <w:footnoteRef/>
      </w:r>
      <w:r>
        <w:t xml:space="preserve"> CMUA Reply Comments at 3.</w:t>
      </w:r>
    </w:p>
  </w:footnote>
  <w:footnote w:id="44">
    <w:p w14:paraId="7FDCA431" w14:textId="5F2BE912" w:rsidR="00294D9D" w:rsidRDefault="00294D9D">
      <w:pPr>
        <w:pStyle w:val="FootnoteText"/>
      </w:pPr>
      <w:r>
        <w:rPr>
          <w:rStyle w:val="FootnoteReference"/>
        </w:rPr>
        <w:footnoteRef/>
      </w:r>
      <w:r>
        <w:t xml:space="preserve"> </w:t>
      </w:r>
      <w:r w:rsidR="006F6777">
        <w:rPr>
          <w:i/>
          <w:iCs/>
        </w:rPr>
        <w:t>Id</w:t>
      </w:r>
      <w:r w:rsidR="006F6777">
        <w:t>.</w:t>
      </w:r>
      <w:r>
        <w:t xml:space="preserve"> at 4 (supporting Joint CCAs Opening Comments).</w:t>
      </w:r>
    </w:p>
  </w:footnote>
  <w:footnote w:id="45">
    <w:p w14:paraId="1BA28660" w14:textId="42A84038" w:rsidR="00294D9D" w:rsidRDefault="00294D9D">
      <w:pPr>
        <w:pStyle w:val="FootnoteText"/>
      </w:pPr>
      <w:r>
        <w:rPr>
          <w:rStyle w:val="FootnoteReference"/>
        </w:rPr>
        <w:footnoteRef/>
      </w:r>
      <w:r>
        <w:t xml:space="preserve"> </w:t>
      </w:r>
      <w:r w:rsidR="006F6777">
        <w:rPr>
          <w:i/>
          <w:iCs/>
        </w:rPr>
        <w:t>Id</w:t>
      </w:r>
      <w:r w:rsidR="006F6777">
        <w:t>.</w:t>
      </w:r>
      <w:r>
        <w:t xml:space="preserve"> at 5-6.</w:t>
      </w:r>
    </w:p>
  </w:footnote>
  <w:footnote w:id="46">
    <w:p w14:paraId="00CD6B5D" w14:textId="1BE23022" w:rsidR="00555110" w:rsidRPr="003A15B1" w:rsidRDefault="00555110">
      <w:pPr>
        <w:pStyle w:val="FootnoteText"/>
      </w:pPr>
      <w:r>
        <w:rPr>
          <w:rStyle w:val="FootnoteReference"/>
        </w:rPr>
        <w:footnoteRef/>
      </w:r>
      <w:r>
        <w:t xml:space="preserve"> Contra Costa Opening Comments at </w:t>
      </w:r>
      <w:r w:rsidR="003A15B1">
        <w:t xml:space="preserve">1-2, </w:t>
      </w:r>
      <w:r>
        <w:t>3</w:t>
      </w:r>
      <w:r w:rsidR="003A15B1">
        <w:t xml:space="preserve">; </w:t>
      </w:r>
      <w:r w:rsidR="003A15B1">
        <w:rPr>
          <w:i/>
          <w:iCs/>
        </w:rPr>
        <w:t xml:space="preserve">see also </w:t>
      </w:r>
      <w:r w:rsidR="003A15B1">
        <w:t>Contra Costa Reply Comments at 6.</w:t>
      </w:r>
    </w:p>
  </w:footnote>
  <w:footnote w:id="47">
    <w:p w14:paraId="5E2E9F24" w14:textId="313F7795" w:rsidR="00F92DEB" w:rsidRDefault="00F92DEB">
      <w:pPr>
        <w:pStyle w:val="FootnoteText"/>
      </w:pPr>
      <w:r>
        <w:rPr>
          <w:rStyle w:val="FootnoteReference"/>
        </w:rPr>
        <w:footnoteRef/>
      </w:r>
      <w:r>
        <w:t xml:space="preserve"> </w:t>
      </w:r>
      <w:r w:rsidR="006F6777">
        <w:rPr>
          <w:i/>
          <w:iCs/>
        </w:rPr>
        <w:t>Id</w:t>
      </w:r>
      <w:r w:rsidR="006F6777">
        <w:t>.</w:t>
      </w:r>
      <w:r>
        <w:t xml:space="preserve"> at 3.</w:t>
      </w:r>
    </w:p>
  </w:footnote>
  <w:footnote w:id="48">
    <w:p w14:paraId="7C82DB75" w14:textId="7EC0D493" w:rsidR="003A15B1" w:rsidRPr="003A15B1" w:rsidRDefault="003A15B1">
      <w:pPr>
        <w:pStyle w:val="FootnoteText"/>
      </w:pPr>
      <w:r>
        <w:rPr>
          <w:rStyle w:val="FootnoteReference"/>
        </w:rPr>
        <w:footnoteRef/>
      </w:r>
      <w:r>
        <w:t xml:space="preserve"> </w:t>
      </w:r>
      <w:r>
        <w:rPr>
          <w:i/>
          <w:iCs/>
        </w:rPr>
        <w:t>Id</w:t>
      </w:r>
      <w:r>
        <w:t>. at 3-4.</w:t>
      </w:r>
    </w:p>
  </w:footnote>
  <w:footnote w:id="49">
    <w:p w14:paraId="323F5387" w14:textId="634D1C29" w:rsidR="003A15B1" w:rsidRDefault="003A15B1">
      <w:pPr>
        <w:pStyle w:val="FootnoteText"/>
      </w:pPr>
      <w:r>
        <w:rPr>
          <w:rStyle w:val="FootnoteReference"/>
        </w:rPr>
        <w:footnoteRef/>
      </w:r>
      <w:r>
        <w:t xml:space="preserve"> Contra Costa Reply Comments at 1.</w:t>
      </w:r>
    </w:p>
  </w:footnote>
  <w:footnote w:id="50">
    <w:p w14:paraId="7DDD8DDE" w14:textId="076D9AE7" w:rsidR="002C7B59" w:rsidRDefault="002C7B59">
      <w:pPr>
        <w:pStyle w:val="FootnoteText"/>
      </w:pPr>
      <w:r>
        <w:rPr>
          <w:rStyle w:val="FootnoteReference"/>
        </w:rPr>
        <w:footnoteRef/>
      </w:r>
      <w:r>
        <w:t xml:space="preserve"> </w:t>
      </w:r>
      <w:r w:rsidR="003A15B1">
        <w:rPr>
          <w:i/>
          <w:iCs/>
        </w:rPr>
        <w:t>Id</w:t>
      </w:r>
      <w:r w:rsidR="003A15B1">
        <w:t>.</w:t>
      </w:r>
      <w:r>
        <w:t xml:space="preserve"> at 2</w:t>
      </w:r>
      <w:r w:rsidR="003A15B1">
        <w:t>-3</w:t>
      </w:r>
      <w:r>
        <w:t>.</w:t>
      </w:r>
    </w:p>
  </w:footnote>
  <w:footnote w:id="51">
    <w:p w14:paraId="2B09F215" w14:textId="1B20DE99" w:rsidR="002C7B59" w:rsidRDefault="002C7B59">
      <w:pPr>
        <w:pStyle w:val="FootnoteText"/>
      </w:pPr>
      <w:r>
        <w:rPr>
          <w:rStyle w:val="FootnoteReference"/>
        </w:rPr>
        <w:footnoteRef/>
      </w:r>
      <w:r>
        <w:t xml:space="preserve"> </w:t>
      </w:r>
      <w:r w:rsidR="006F6777">
        <w:rPr>
          <w:i/>
          <w:iCs/>
        </w:rPr>
        <w:t>Id</w:t>
      </w:r>
      <w:r w:rsidR="006F6777">
        <w:t>.</w:t>
      </w:r>
      <w:r>
        <w:t xml:space="preserve"> at </w:t>
      </w:r>
      <w:r w:rsidR="003A15B1">
        <w:t>4-5.</w:t>
      </w:r>
    </w:p>
  </w:footnote>
  <w:footnote w:id="52">
    <w:p w14:paraId="2AB5E43A" w14:textId="046547D8" w:rsidR="005E0390" w:rsidRDefault="005E0390">
      <w:pPr>
        <w:pStyle w:val="FootnoteText"/>
      </w:pPr>
      <w:r>
        <w:rPr>
          <w:rStyle w:val="FootnoteReference"/>
        </w:rPr>
        <w:footnoteRef/>
      </w:r>
      <w:r>
        <w:t xml:space="preserve"> Contra Costa Building and Construction Trades Council Opening Comments at 2.</w:t>
      </w:r>
    </w:p>
  </w:footnote>
  <w:footnote w:id="53">
    <w:p w14:paraId="3CB2D3F2" w14:textId="51785560" w:rsidR="005E0390" w:rsidRDefault="005E0390">
      <w:pPr>
        <w:pStyle w:val="FootnoteText"/>
      </w:pPr>
      <w:r>
        <w:rPr>
          <w:rStyle w:val="FootnoteReference"/>
        </w:rPr>
        <w:footnoteRef/>
      </w:r>
      <w:r>
        <w:t xml:space="preserve"> </w:t>
      </w:r>
      <w:r w:rsidR="006F6777">
        <w:rPr>
          <w:i/>
          <w:iCs/>
        </w:rPr>
        <w:t>Id</w:t>
      </w:r>
      <w:r w:rsidR="006F6777">
        <w:t>.</w:t>
      </w:r>
      <w:r>
        <w:t xml:space="preserve"> at 2-3.</w:t>
      </w:r>
    </w:p>
  </w:footnote>
  <w:footnote w:id="54">
    <w:p w14:paraId="634DEB06" w14:textId="2F382727" w:rsidR="005E0390" w:rsidRDefault="005E0390">
      <w:pPr>
        <w:pStyle w:val="FootnoteText"/>
      </w:pPr>
      <w:r>
        <w:rPr>
          <w:rStyle w:val="FootnoteReference"/>
        </w:rPr>
        <w:footnoteRef/>
      </w:r>
      <w:r>
        <w:t xml:space="preserve"> </w:t>
      </w:r>
      <w:r w:rsidR="006F6777">
        <w:rPr>
          <w:i/>
          <w:iCs/>
        </w:rPr>
        <w:t>Id</w:t>
      </w:r>
      <w:r w:rsidR="006F6777">
        <w:t>.</w:t>
      </w:r>
      <w:r>
        <w:t xml:space="preserve"> at 3-4.</w:t>
      </w:r>
    </w:p>
  </w:footnote>
  <w:footnote w:id="55">
    <w:p w14:paraId="3ADA7C31" w14:textId="58F44C79" w:rsidR="005E0390" w:rsidRDefault="005E0390">
      <w:pPr>
        <w:pStyle w:val="FootnoteText"/>
      </w:pPr>
      <w:r>
        <w:rPr>
          <w:rStyle w:val="FootnoteReference"/>
        </w:rPr>
        <w:footnoteRef/>
      </w:r>
      <w:r>
        <w:t xml:space="preserve"> </w:t>
      </w:r>
      <w:r w:rsidR="006F6777">
        <w:rPr>
          <w:i/>
          <w:iCs/>
        </w:rPr>
        <w:t>Id</w:t>
      </w:r>
      <w:r w:rsidR="006F6777">
        <w:t>.</w:t>
      </w:r>
      <w:r>
        <w:t xml:space="preserve"> at 4.</w:t>
      </w:r>
    </w:p>
  </w:footnote>
  <w:footnote w:id="56">
    <w:p w14:paraId="5844988C" w14:textId="0620E91A" w:rsidR="001312D2" w:rsidRDefault="001312D2">
      <w:pPr>
        <w:pStyle w:val="FootnoteText"/>
      </w:pPr>
      <w:r>
        <w:rPr>
          <w:rStyle w:val="FootnoteReference"/>
        </w:rPr>
        <w:footnoteRef/>
      </w:r>
      <w:r>
        <w:t xml:space="preserve"> Elk Grove Reply Comments at 2.</w:t>
      </w:r>
    </w:p>
  </w:footnote>
  <w:footnote w:id="57">
    <w:p w14:paraId="4EDC14D9" w14:textId="6C4BBEA8" w:rsidR="00127E64" w:rsidRDefault="00127E64">
      <w:pPr>
        <w:pStyle w:val="FootnoteText"/>
      </w:pPr>
      <w:r>
        <w:rPr>
          <w:rStyle w:val="FootnoteReference"/>
        </w:rPr>
        <w:footnoteRef/>
      </w:r>
      <w:r>
        <w:t xml:space="preserve"> </w:t>
      </w:r>
      <w:r w:rsidR="006F6777">
        <w:rPr>
          <w:i/>
          <w:iCs/>
        </w:rPr>
        <w:t>Id</w:t>
      </w:r>
      <w:r w:rsidR="006F6777">
        <w:t>.</w:t>
      </w:r>
      <w:r>
        <w:t xml:space="preserve"> at 3.</w:t>
      </w:r>
    </w:p>
  </w:footnote>
  <w:footnote w:id="58">
    <w:p w14:paraId="33181757" w14:textId="5B2963E4" w:rsidR="00127E64" w:rsidRDefault="00127E64">
      <w:pPr>
        <w:pStyle w:val="FootnoteText"/>
      </w:pPr>
      <w:r>
        <w:rPr>
          <w:rStyle w:val="FootnoteReference"/>
        </w:rPr>
        <w:footnoteRef/>
      </w:r>
      <w:r>
        <w:t xml:space="preserve"> </w:t>
      </w:r>
      <w:r w:rsidR="006F6777">
        <w:rPr>
          <w:i/>
          <w:iCs/>
        </w:rPr>
        <w:t>Id</w:t>
      </w:r>
      <w:r w:rsidR="006F6777">
        <w:t>.</w:t>
      </w:r>
      <w:r w:rsidR="00304EA8">
        <w:t xml:space="preserve"> at 4.</w:t>
      </w:r>
    </w:p>
  </w:footnote>
  <w:footnote w:id="59">
    <w:p w14:paraId="6B173E52" w14:textId="0A31A5D6" w:rsidR="00304EA8" w:rsidRDefault="00304EA8">
      <w:pPr>
        <w:pStyle w:val="FootnoteText"/>
      </w:pPr>
      <w:r>
        <w:rPr>
          <w:rStyle w:val="FootnoteReference"/>
        </w:rPr>
        <w:footnoteRef/>
      </w:r>
      <w:r>
        <w:t xml:space="preserve"> </w:t>
      </w:r>
      <w:r w:rsidR="006F6777">
        <w:rPr>
          <w:i/>
          <w:iCs/>
        </w:rPr>
        <w:t>Ibid</w:t>
      </w:r>
      <w:r>
        <w:t>.</w:t>
      </w:r>
    </w:p>
  </w:footnote>
  <w:footnote w:id="60">
    <w:p w14:paraId="3CAD5106" w14:textId="1BBB0A26" w:rsidR="007F70D7" w:rsidRDefault="007F70D7">
      <w:pPr>
        <w:pStyle w:val="FootnoteText"/>
      </w:pPr>
      <w:r>
        <w:rPr>
          <w:rStyle w:val="FootnoteReference"/>
        </w:rPr>
        <w:footnoteRef/>
      </w:r>
      <w:r>
        <w:t xml:space="preserve"> Indicated Shippers Reply Comments at 2, 3.</w:t>
      </w:r>
    </w:p>
  </w:footnote>
  <w:footnote w:id="61">
    <w:p w14:paraId="212045F4" w14:textId="6ABFDAAF" w:rsidR="007F70D7" w:rsidRDefault="007F70D7">
      <w:pPr>
        <w:pStyle w:val="FootnoteText"/>
      </w:pPr>
      <w:r>
        <w:rPr>
          <w:rStyle w:val="FootnoteReference"/>
        </w:rPr>
        <w:footnoteRef/>
      </w:r>
      <w:r>
        <w:t xml:space="preserve"> </w:t>
      </w:r>
      <w:r w:rsidR="006F6777">
        <w:rPr>
          <w:i/>
          <w:iCs/>
        </w:rPr>
        <w:t>Id</w:t>
      </w:r>
      <w:r w:rsidR="006F6777">
        <w:t>.</w:t>
      </w:r>
      <w:r>
        <w:t xml:space="preserve"> at 2, 3-4.</w:t>
      </w:r>
    </w:p>
  </w:footnote>
  <w:footnote w:id="62">
    <w:p w14:paraId="0C361C53" w14:textId="448FE411" w:rsidR="007F70D7" w:rsidRDefault="007F70D7">
      <w:pPr>
        <w:pStyle w:val="FootnoteText"/>
      </w:pPr>
      <w:r>
        <w:rPr>
          <w:rStyle w:val="FootnoteReference"/>
        </w:rPr>
        <w:footnoteRef/>
      </w:r>
      <w:r>
        <w:t xml:space="preserve"> </w:t>
      </w:r>
      <w:r w:rsidR="006F6777">
        <w:rPr>
          <w:i/>
          <w:iCs/>
        </w:rPr>
        <w:t>Id</w:t>
      </w:r>
      <w:r w:rsidR="006F6777">
        <w:t>.</w:t>
      </w:r>
      <w:r>
        <w:t xml:space="preserve"> at 4-5.</w:t>
      </w:r>
    </w:p>
  </w:footnote>
  <w:footnote w:id="63">
    <w:p w14:paraId="2FF81AB4" w14:textId="0C6724E5" w:rsidR="007F70D7" w:rsidRDefault="007F70D7">
      <w:pPr>
        <w:pStyle w:val="FootnoteText"/>
      </w:pPr>
      <w:r>
        <w:rPr>
          <w:rStyle w:val="FootnoteReference"/>
        </w:rPr>
        <w:footnoteRef/>
      </w:r>
      <w:r>
        <w:t xml:space="preserve"> </w:t>
      </w:r>
      <w:r w:rsidR="006F6777">
        <w:rPr>
          <w:i/>
          <w:iCs/>
        </w:rPr>
        <w:t>Id</w:t>
      </w:r>
      <w:r w:rsidR="006F6777">
        <w:t>.</w:t>
      </w:r>
      <w:r>
        <w:t xml:space="preserve"> at 9.</w:t>
      </w:r>
    </w:p>
  </w:footnote>
  <w:footnote w:id="64">
    <w:p w14:paraId="17E2E398" w14:textId="6EDC3118" w:rsidR="00374892" w:rsidRDefault="00374892">
      <w:pPr>
        <w:pStyle w:val="FootnoteText"/>
      </w:pPr>
      <w:r>
        <w:rPr>
          <w:rStyle w:val="FootnoteReference"/>
        </w:rPr>
        <w:footnoteRef/>
      </w:r>
      <w:r>
        <w:t xml:space="preserve"> Joint CCAs Opening Comments at 2</w:t>
      </w:r>
      <w:r w:rsidR="00EB0E08">
        <w:t>, 3</w:t>
      </w:r>
      <w:r>
        <w:t xml:space="preserve">. </w:t>
      </w:r>
    </w:p>
  </w:footnote>
  <w:footnote w:id="65">
    <w:p w14:paraId="094E5A1A" w14:textId="2C0C68F4" w:rsidR="00EB0E08" w:rsidRDefault="00EB0E08">
      <w:pPr>
        <w:pStyle w:val="FootnoteText"/>
      </w:pPr>
      <w:r>
        <w:rPr>
          <w:rStyle w:val="FootnoteReference"/>
        </w:rPr>
        <w:footnoteRef/>
      </w:r>
      <w:r>
        <w:t xml:space="preserve"> </w:t>
      </w:r>
      <w:r w:rsidR="006F6777">
        <w:rPr>
          <w:i/>
          <w:iCs/>
        </w:rPr>
        <w:t>Id</w:t>
      </w:r>
      <w:r w:rsidR="006F6777">
        <w:t>.</w:t>
      </w:r>
      <w:r>
        <w:t xml:space="preserve"> at 3.</w:t>
      </w:r>
    </w:p>
  </w:footnote>
  <w:footnote w:id="66">
    <w:p w14:paraId="6F9A9F3F" w14:textId="79F00C35" w:rsidR="00EB0E08" w:rsidRDefault="00EB0E08">
      <w:pPr>
        <w:pStyle w:val="FootnoteText"/>
      </w:pPr>
      <w:r>
        <w:rPr>
          <w:rStyle w:val="FootnoteReference"/>
        </w:rPr>
        <w:footnoteRef/>
      </w:r>
      <w:r>
        <w:t xml:space="preserve"> </w:t>
      </w:r>
      <w:r w:rsidR="006F6777">
        <w:rPr>
          <w:i/>
          <w:iCs/>
        </w:rPr>
        <w:t>Ibid</w:t>
      </w:r>
      <w:r>
        <w:t xml:space="preserve">. </w:t>
      </w:r>
    </w:p>
  </w:footnote>
  <w:footnote w:id="67">
    <w:p w14:paraId="1B6468CF" w14:textId="0CF76CCD" w:rsidR="00EB0E08" w:rsidRDefault="00EB0E08">
      <w:pPr>
        <w:pStyle w:val="FootnoteText"/>
      </w:pPr>
      <w:r>
        <w:rPr>
          <w:rStyle w:val="FootnoteReference"/>
        </w:rPr>
        <w:footnoteRef/>
      </w:r>
      <w:r>
        <w:t xml:space="preserve"> </w:t>
      </w:r>
      <w:r w:rsidR="006F6777">
        <w:rPr>
          <w:i/>
          <w:iCs/>
        </w:rPr>
        <w:t>Id</w:t>
      </w:r>
      <w:r w:rsidR="006F6777">
        <w:t>.</w:t>
      </w:r>
      <w:r>
        <w:t xml:space="preserve"> at 4.</w:t>
      </w:r>
    </w:p>
  </w:footnote>
  <w:footnote w:id="68">
    <w:p w14:paraId="38D762B6" w14:textId="7C9510CE" w:rsidR="00694B30" w:rsidRDefault="00694B30">
      <w:pPr>
        <w:pStyle w:val="FootnoteText"/>
      </w:pPr>
      <w:r>
        <w:rPr>
          <w:rStyle w:val="FootnoteReference"/>
        </w:rPr>
        <w:footnoteRef/>
      </w:r>
      <w:r>
        <w:t xml:space="preserve"> Marin Clean Energy Opening Comments at </w:t>
      </w:r>
      <w:r w:rsidR="003A15B1">
        <w:t xml:space="preserve">2, </w:t>
      </w:r>
      <w:r>
        <w:t>3-4.</w:t>
      </w:r>
    </w:p>
  </w:footnote>
  <w:footnote w:id="69">
    <w:p w14:paraId="2A2268A8" w14:textId="53E07B0B" w:rsidR="00166206" w:rsidRDefault="00166206">
      <w:pPr>
        <w:pStyle w:val="FootnoteText"/>
      </w:pPr>
      <w:r>
        <w:rPr>
          <w:rStyle w:val="FootnoteReference"/>
        </w:rPr>
        <w:footnoteRef/>
      </w:r>
      <w:r>
        <w:t xml:space="preserve"> </w:t>
      </w:r>
      <w:r w:rsidR="006F6777">
        <w:rPr>
          <w:i/>
          <w:iCs/>
        </w:rPr>
        <w:t>Id</w:t>
      </w:r>
      <w:r w:rsidR="006F6777">
        <w:t>.</w:t>
      </w:r>
      <w:r>
        <w:t xml:space="preserve"> a</w:t>
      </w:r>
      <w:r w:rsidR="00082430">
        <w:t>t 4-5.</w:t>
      </w:r>
    </w:p>
  </w:footnote>
  <w:footnote w:id="70">
    <w:p w14:paraId="6B984C05" w14:textId="53809D1F" w:rsidR="00082430" w:rsidRDefault="00082430">
      <w:pPr>
        <w:pStyle w:val="FootnoteText"/>
      </w:pPr>
      <w:r>
        <w:rPr>
          <w:rStyle w:val="FootnoteReference"/>
        </w:rPr>
        <w:footnoteRef/>
      </w:r>
      <w:r>
        <w:t xml:space="preserve"> NRDC/Sierra Club Opening Comments at 1.</w:t>
      </w:r>
    </w:p>
  </w:footnote>
  <w:footnote w:id="71">
    <w:p w14:paraId="0387484D" w14:textId="15FF4F15" w:rsidR="00BE5F31" w:rsidRDefault="00BE5F31" w:rsidP="00BE5F31">
      <w:pPr>
        <w:pStyle w:val="FootnoteText"/>
      </w:pPr>
      <w:r>
        <w:rPr>
          <w:rStyle w:val="FootnoteReference"/>
        </w:rPr>
        <w:footnoteRef/>
      </w:r>
      <w:r>
        <w:t xml:space="preserve"> </w:t>
      </w:r>
      <w:r w:rsidR="006F6777">
        <w:rPr>
          <w:i/>
          <w:iCs/>
        </w:rPr>
        <w:t>Id</w:t>
      </w:r>
      <w:r w:rsidR="006F6777">
        <w:t>.</w:t>
      </w:r>
      <w:r w:rsidR="00082430">
        <w:t xml:space="preserve"> at 2, 3.</w:t>
      </w:r>
    </w:p>
  </w:footnote>
  <w:footnote w:id="72">
    <w:p w14:paraId="56F0C6EF" w14:textId="3F9CD294" w:rsidR="00082430" w:rsidRDefault="00082430">
      <w:pPr>
        <w:pStyle w:val="FootnoteText"/>
      </w:pPr>
      <w:r>
        <w:rPr>
          <w:rStyle w:val="FootnoteReference"/>
        </w:rPr>
        <w:footnoteRef/>
      </w:r>
      <w:r>
        <w:t xml:space="preserve"> </w:t>
      </w:r>
      <w:r w:rsidR="006F6777">
        <w:rPr>
          <w:i/>
          <w:iCs/>
        </w:rPr>
        <w:t>Id</w:t>
      </w:r>
      <w:r w:rsidR="006F6777">
        <w:t>.</w:t>
      </w:r>
      <w:r>
        <w:t xml:space="preserve"> at 3.</w:t>
      </w:r>
    </w:p>
  </w:footnote>
  <w:footnote w:id="73">
    <w:p w14:paraId="4B6A6004" w14:textId="212F663B" w:rsidR="00082430" w:rsidRDefault="00082430">
      <w:pPr>
        <w:pStyle w:val="FootnoteText"/>
      </w:pPr>
      <w:r>
        <w:rPr>
          <w:rStyle w:val="FootnoteReference"/>
        </w:rPr>
        <w:footnoteRef/>
      </w:r>
      <w:r>
        <w:t xml:space="preserve"> </w:t>
      </w:r>
      <w:r w:rsidR="006F6777">
        <w:rPr>
          <w:i/>
          <w:iCs/>
        </w:rPr>
        <w:t>Ibid</w:t>
      </w:r>
      <w:r>
        <w:t>.</w:t>
      </w:r>
    </w:p>
  </w:footnote>
  <w:footnote w:id="74">
    <w:p w14:paraId="00BAA3B5" w14:textId="14F62E1B" w:rsidR="003E2235" w:rsidRDefault="003E2235">
      <w:pPr>
        <w:pStyle w:val="FootnoteText"/>
      </w:pPr>
      <w:r>
        <w:rPr>
          <w:rStyle w:val="FootnoteReference"/>
        </w:rPr>
        <w:footnoteRef/>
      </w:r>
      <w:r>
        <w:t xml:space="preserve"> </w:t>
      </w:r>
      <w:r w:rsidR="006F6777">
        <w:rPr>
          <w:i/>
          <w:iCs/>
        </w:rPr>
        <w:t>Id</w:t>
      </w:r>
      <w:r w:rsidR="006F6777">
        <w:t>.</w:t>
      </w:r>
      <w:r>
        <w:t xml:space="preserve"> at 4.</w:t>
      </w:r>
    </w:p>
  </w:footnote>
  <w:footnote w:id="75">
    <w:p w14:paraId="4372E1FF" w14:textId="0F8F4D97" w:rsidR="003E2235" w:rsidRDefault="003E2235">
      <w:pPr>
        <w:pStyle w:val="FootnoteText"/>
      </w:pPr>
      <w:r>
        <w:rPr>
          <w:rStyle w:val="FootnoteReference"/>
        </w:rPr>
        <w:footnoteRef/>
      </w:r>
      <w:r>
        <w:t xml:space="preserve"> </w:t>
      </w:r>
      <w:r w:rsidR="006F6777">
        <w:rPr>
          <w:i/>
          <w:iCs/>
        </w:rPr>
        <w:t>Id</w:t>
      </w:r>
      <w:r w:rsidR="006F6777">
        <w:t>.</w:t>
      </w:r>
      <w:r>
        <w:t xml:space="preserve"> at 7.</w:t>
      </w:r>
    </w:p>
  </w:footnote>
  <w:footnote w:id="76">
    <w:p w14:paraId="11CD780D" w14:textId="4A0B357A" w:rsidR="005F7E95" w:rsidRDefault="005F7E95">
      <w:pPr>
        <w:pStyle w:val="FootnoteText"/>
      </w:pPr>
      <w:r>
        <w:rPr>
          <w:rStyle w:val="FootnoteReference"/>
        </w:rPr>
        <w:footnoteRef/>
      </w:r>
      <w:r>
        <w:t xml:space="preserve"> San Francisco </w:t>
      </w:r>
      <w:r w:rsidR="005A4937">
        <w:t>Opening Comments</w:t>
      </w:r>
      <w:r>
        <w:t xml:space="preserve"> at </w:t>
      </w:r>
      <w:r w:rsidR="005A4937">
        <w:t xml:space="preserve">1, </w:t>
      </w:r>
      <w:r>
        <w:t>2.</w:t>
      </w:r>
    </w:p>
  </w:footnote>
  <w:footnote w:id="77">
    <w:p w14:paraId="2289CE8A" w14:textId="4D18D85C" w:rsidR="005F7E95" w:rsidRDefault="005F7E95">
      <w:pPr>
        <w:pStyle w:val="FootnoteText"/>
      </w:pPr>
      <w:r>
        <w:rPr>
          <w:rStyle w:val="FootnoteReference"/>
        </w:rPr>
        <w:footnoteRef/>
      </w:r>
      <w:r>
        <w:t xml:space="preserve"> </w:t>
      </w:r>
      <w:r w:rsidR="006F6777">
        <w:rPr>
          <w:i/>
          <w:iCs/>
        </w:rPr>
        <w:t>Id</w:t>
      </w:r>
      <w:r w:rsidR="006F6777">
        <w:t>.</w:t>
      </w:r>
      <w:r>
        <w:t xml:space="preserve"> at 2.</w:t>
      </w:r>
    </w:p>
  </w:footnote>
  <w:footnote w:id="78">
    <w:p w14:paraId="09208146" w14:textId="25C73EEE" w:rsidR="00323569" w:rsidRDefault="00323569">
      <w:pPr>
        <w:pStyle w:val="FootnoteText"/>
      </w:pPr>
      <w:r>
        <w:rPr>
          <w:rStyle w:val="FootnoteReference"/>
        </w:rPr>
        <w:footnoteRef/>
      </w:r>
      <w:r>
        <w:t xml:space="preserve"> </w:t>
      </w:r>
      <w:r w:rsidR="006F6777">
        <w:rPr>
          <w:i/>
          <w:iCs/>
        </w:rPr>
        <w:t>Id</w:t>
      </w:r>
      <w:r w:rsidR="006F6777">
        <w:t>.</w:t>
      </w:r>
      <w:r>
        <w:t xml:space="preserve"> at 3.</w:t>
      </w:r>
    </w:p>
  </w:footnote>
  <w:footnote w:id="79">
    <w:p w14:paraId="2953C1CB" w14:textId="30A853DF" w:rsidR="00323569" w:rsidRDefault="00323569">
      <w:pPr>
        <w:pStyle w:val="FootnoteText"/>
      </w:pPr>
      <w:r>
        <w:rPr>
          <w:rStyle w:val="FootnoteReference"/>
        </w:rPr>
        <w:footnoteRef/>
      </w:r>
      <w:r>
        <w:t xml:space="preserve"> </w:t>
      </w:r>
      <w:r w:rsidR="006F6777">
        <w:rPr>
          <w:i/>
          <w:iCs/>
        </w:rPr>
        <w:t>Id</w:t>
      </w:r>
      <w:r w:rsidR="006F6777">
        <w:t>.</w:t>
      </w:r>
      <w:r>
        <w:t xml:space="preserve"> at 4, 5.</w:t>
      </w:r>
    </w:p>
  </w:footnote>
  <w:footnote w:id="80">
    <w:p w14:paraId="45485E6F" w14:textId="37C99AD4" w:rsidR="00694B30" w:rsidRDefault="00694B30">
      <w:pPr>
        <w:pStyle w:val="FootnoteText"/>
      </w:pPr>
      <w:r>
        <w:rPr>
          <w:rStyle w:val="FootnoteReference"/>
        </w:rPr>
        <w:footnoteRef/>
      </w:r>
      <w:r>
        <w:t xml:space="preserve"> SBUA Opening Comments at 1.</w:t>
      </w:r>
    </w:p>
  </w:footnote>
  <w:footnote w:id="81">
    <w:p w14:paraId="4D13C2D2" w14:textId="3B0D39DF" w:rsidR="00694B30" w:rsidRDefault="00694B30" w:rsidP="00694B30">
      <w:pPr>
        <w:pStyle w:val="FootnoteText"/>
      </w:pPr>
      <w:r>
        <w:rPr>
          <w:rStyle w:val="FootnoteReference"/>
        </w:rPr>
        <w:footnoteRef/>
      </w:r>
      <w:r>
        <w:t xml:space="preserve"> SCE Opening Comments at 2.</w:t>
      </w:r>
    </w:p>
  </w:footnote>
  <w:footnote w:id="82">
    <w:p w14:paraId="0A25CA2F" w14:textId="32F1CB25" w:rsidR="00694B30" w:rsidRDefault="00694B30" w:rsidP="00694B30">
      <w:pPr>
        <w:pStyle w:val="FootnoteText"/>
      </w:pPr>
      <w:r>
        <w:rPr>
          <w:rStyle w:val="FootnoteReference"/>
        </w:rPr>
        <w:footnoteRef/>
      </w:r>
      <w:r>
        <w:t xml:space="preserve"> </w:t>
      </w:r>
      <w:r w:rsidR="006F6777">
        <w:rPr>
          <w:i/>
          <w:iCs/>
        </w:rPr>
        <w:t>Id</w:t>
      </w:r>
      <w:r>
        <w:t>.</w:t>
      </w:r>
      <w:r w:rsidR="00143364">
        <w:t xml:space="preserve"> at 2, 3.</w:t>
      </w:r>
    </w:p>
  </w:footnote>
  <w:footnote w:id="83">
    <w:p w14:paraId="66CA2305" w14:textId="783B9732" w:rsidR="00694B30" w:rsidRDefault="00694B30" w:rsidP="00694B30">
      <w:pPr>
        <w:pStyle w:val="FootnoteText"/>
      </w:pPr>
      <w:r>
        <w:rPr>
          <w:rStyle w:val="FootnoteReference"/>
        </w:rPr>
        <w:footnoteRef/>
      </w:r>
      <w:r>
        <w:t xml:space="preserve"> </w:t>
      </w:r>
      <w:r w:rsidR="006F6777">
        <w:rPr>
          <w:i/>
          <w:iCs/>
        </w:rPr>
        <w:t>Id</w:t>
      </w:r>
      <w:r w:rsidR="006F6777">
        <w:t>.</w:t>
      </w:r>
      <w:r>
        <w:t xml:space="preserve"> at </w:t>
      </w:r>
      <w:r w:rsidR="00143364">
        <w:t>3-4</w:t>
      </w:r>
      <w:r>
        <w:t>.</w:t>
      </w:r>
    </w:p>
  </w:footnote>
  <w:footnote w:id="84">
    <w:p w14:paraId="216F9463" w14:textId="46A94173" w:rsidR="00143364" w:rsidRPr="00143364" w:rsidRDefault="00143364">
      <w:pPr>
        <w:pStyle w:val="FootnoteText"/>
      </w:pPr>
      <w:r>
        <w:rPr>
          <w:rStyle w:val="FootnoteReference"/>
        </w:rPr>
        <w:footnoteRef/>
      </w:r>
      <w:r>
        <w:t xml:space="preserve"> </w:t>
      </w:r>
      <w:r>
        <w:rPr>
          <w:i/>
          <w:iCs/>
        </w:rPr>
        <w:t>Id</w:t>
      </w:r>
      <w:r>
        <w:t>. at 4.</w:t>
      </w:r>
    </w:p>
  </w:footnote>
  <w:footnote w:id="85">
    <w:p w14:paraId="2C9F93B9" w14:textId="4B702D3F" w:rsidR="006F426F" w:rsidRDefault="006F426F">
      <w:pPr>
        <w:pStyle w:val="FootnoteText"/>
      </w:pPr>
      <w:r>
        <w:rPr>
          <w:rStyle w:val="FootnoteReference"/>
        </w:rPr>
        <w:footnoteRef/>
      </w:r>
      <w:r>
        <w:t xml:space="preserve"> </w:t>
      </w:r>
      <w:bookmarkStart w:id="32" w:name="_Hlk213422842"/>
      <w:r>
        <w:t>TURN Reply Comments at 5.</w:t>
      </w:r>
      <w:bookmarkEnd w:id="32"/>
    </w:p>
  </w:footnote>
  <w:footnote w:id="86">
    <w:p w14:paraId="47FCC8DF" w14:textId="689537D4" w:rsidR="004D161F" w:rsidRDefault="004D161F">
      <w:pPr>
        <w:pStyle w:val="FootnoteText"/>
      </w:pPr>
      <w:r>
        <w:rPr>
          <w:rStyle w:val="FootnoteReference"/>
        </w:rPr>
        <w:footnoteRef/>
      </w:r>
      <w:r>
        <w:t xml:space="preserve"> </w:t>
      </w:r>
      <w:r w:rsidR="006F6777">
        <w:rPr>
          <w:i/>
          <w:iCs/>
        </w:rPr>
        <w:t>Id</w:t>
      </w:r>
      <w:r w:rsidR="006F6777">
        <w:t>.</w:t>
      </w:r>
      <w:r>
        <w:t xml:space="preserve"> at 11-13</w:t>
      </w:r>
      <w:r w:rsidR="00011A13">
        <w:t xml:space="preserve"> (asserting “utilities should easily have available the number of services connected to each anticipated distribution mains replacement project.”)</w:t>
      </w:r>
      <w:r>
        <w:t>.</w:t>
      </w:r>
    </w:p>
  </w:footnote>
  <w:footnote w:id="87">
    <w:p w14:paraId="393012F5" w14:textId="7AF21A5C" w:rsidR="007B5F1D" w:rsidRDefault="007B5F1D" w:rsidP="007B5F1D">
      <w:pPr>
        <w:pStyle w:val="FootnoteText"/>
      </w:pPr>
      <w:r>
        <w:rPr>
          <w:rStyle w:val="FootnoteReference"/>
        </w:rPr>
        <w:footnoteRef/>
      </w:r>
      <w:r>
        <w:t xml:space="preserve"> </w:t>
      </w:r>
      <w:r w:rsidR="006F6777">
        <w:rPr>
          <w:i/>
          <w:iCs/>
        </w:rPr>
        <w:t>Id</w:t>
      </w:r>
      <w:r w:rsidR="006F6777">
        <w:t>.</w:t>
      </w:r>
      <w:r>
        <w:t xml:space="preserve"> at 8.</w:t>
      </w:r>
    </w:p>
  </w:footnote>
  <w:footnote w:id="88">
    <w:p w14:paraId="6DD892FE" w14:textId="51E0F3F7" w:rsidR="007B5F1D" w:rsidRDefault="007B5F1D">
      <w:pPr>
        <w:pStyle w:val="FootnoteText"/>
      </w:pPr>
      <w:r>
        <w:rPr>
          <w:rStyle w:val="FootnoteReference"/>
        </w:rPr>
        <w:footnoteRef/>
      </w:r>
      <w:r>
        <w:t xml:space="preserve"> </w:t>
      </w:r>
      <w:r w:rsidR="006F6777">
        <w:rPr>
          <w:i/>
          <w:iCs/>
        </w:rPr>
        <w:t>Id</w:t>
      </w:r>
      <w:r w:rsidR="006F6777">
        <w:t>.</w:t>
      </w:r>
      <w:r>
        <w:t xml:space="preserve"> at 18, 20</w:t>
      </w:r>
      <w:r w:rsidR="00CE69F7">
        <w:t>, 21.</w:t>
      </w:r>
    </w:p>
  </w:footnote>
  <w:footnote w:id="89">
    <w:p w14:paraId="490C5763" w14:textId="7F3036B5" w:rsidR="00D9368D" w:rsidRDefault="00D9368D">
      <w:pPr>
        <w:pStyle w:val="FootnoteText"/>
      </w:pPr>
      <w:r>
        <w:rPr>
          <w:rStyle w:val="FootnoteReference"/>
        </w:rPr>
        <w:footnoteRef/>
      </w:r>
      <w:r>
        <w:t xml:space="preserve"> </w:t>
      </w:r>
      <w:r w:rsidR="006F6777">
        <w:rPr>
          <w:i/>
          <w:iCs/>
        </w:rPr>
        <w:t>Id</w:t>
      </w:r>
      <w:r w:rsidR="006F6777">
        <w:t>.</w:t>
      </w:r>
      <w:r>
        <w:t xml:space="preserve"> at 7</w:t>
      </w:r>
      <w:r w:rsidR="00CE69F7">
        <w:t xml:space="preserve">, </w:t>
      </w:r>
      <w:r w:rsidR="00B15961">
        <w:t xml:space="preserve">8, </w:t>
      </w:r>
      <w:r w:rsidR="00CE69F7">
        <w:t>21</w:t>
      </w:r>
      <w:r>
        <w:t>.</w:t>
      </w:r>
    </w:p>
  </w:footnote>
  <w:footnote w:id="90">
    <w:p w14:paraId="2DCA3B1B" w14:textId="0B30B869" w:rsidR="004878D7" w:rsidRDefault="004878D7">
      <w:pPr>
        <w:pStyle w:val="FootnoteText"/>
      </w:pPr>
      <w:r>
        <w:rPr>
          <w:rStyle w:val="FootnoteReference"/>
        </w:rPr>
        <w:footnoteRef/>
      </w:r>
      <w:r>
        <w:t xml:space="preserve"> PG&amp;E Reply Comments at 1. </w:t>
      </w:r>
    </w:p>
  </w:footnote>
  <w:footnote w:id="91">
    <w:p w14:paraId="610568C3" w14:textId="2172C6FF" w:rsidR="00494999" w:rsidRDefault="00494999">
      <w:pPr>
        <w:pStyle w:val="FootnoteText"/>
      </w:pPr>
      <w:r>
        <w:rPr>
          <w:rStyle w:val="FootnoteReference"/>
        </w:rPr>
        <w:footnoteRef/>
      </w:r>
      <w:r>
        <w:t xml:space="preserve"> </w:t>
      </w:r>
      <w:r w:rsidR="006F6777">
        <w:rPr>
          <w:i/>
          <w:iCs/>
        </w:rPr>
        <w:t>Id</w:t>
      </w:r>
      <w:r w:rsidR="006F6777">
        <w:t>.</w:t>
      </w:r>
      <w:r>
        <w:t xml:space="preserve"> at 4-5.</w:t>
      </w:r>
    </w:p>
  </w:footnote>
  <w:footnote w:id="92">
    <w:p w14:paraId="4714DB33" w14:textId="7F0CB48F" w:rsidR="00494999" w:rsidRDefault="00494999">
      <w:pPr>
        <w:pStyle w:val="FootnoteText"/>
      </w:pPr>
      <w:r>
        <w:rPr>
          <w:rStyle w:val="FootnoteReference"/>
        </w:rPr>
        <w:footnoteRef/>
      </w:r>
      <w:r>
        <w:t xml:space="preserve"> </w:t>
      </w:r>
      <w:r w:rsidR="006F6777">
        <w:rPr>
          <w:i/>
          <w:iCs/>
        </w:rPr>
        <w:t>Id</w:t>
      </w:r>
      <w:r w:rsidR="006F6777">
        <w:t>.</w:t>
      </w:r>
      <w:r>
        <w:t xml:space="preserve"> at 6.</w:t>
      </w:r>
    </w:p>
  </w:footnote>
  <w:footnote w:id="93">
    <w:p w14:paraId="7B8E39CF" w14:textId="6662DA31" w:rsidR="002B2A27" w:rsidRDefault="002B2A27">
      <w:pPr>
        <w:pStyle w:val="FootnoteText"/>
      </w:pPr>
      <w:r>
        <w:rPr>
          <w:rStyle w:val="FootnoteReference"/>
        </w:rPr>
        <w:footnoteRef/>
      </w:r>
      <w:r>
        <w:t xml:space="preserve"> SoCalGas/SDG&amp;E and Southwest Gas Reply Comments at 1</w:t>
      </w:r>
      <w:r w:rsidR="00143364">
        <w:t>-2</w:t>
      </w:r>
      <w:r>
        <w:t>.</w:t>
      </w:r>
    </w:p>
  </w:footnote>
  <w:footnote w:id="94">
    <w:p w14:paraId="2C66B37D" w14:textId="0DE93F34" w:rsidR="002B2A27" w:rsidRDefault="002B2A27">
      <w:pPr>
        <w:pStyle w:val="FootnoteText"/>
      </w:pPr>
      <w:r>
        <w:rPr>
          <w:rStyle w:val="FootnoteReference"/>
        </w:rPr>
        <w:footnoteRef/>
      </w:r>
      <w:r>
        <w:t xml:space="preserve"> </w:t>
      </w:r>
      <w:r w:rsidR="006F6777">
        <w:rPr>
          <w:i/>
          <w:iCs/>
        </w:rPr>
        <w:t>Id</w:t>
      </w:r>
      <w:r w:rsidR="006F6777">
        <w:t>.</w:t>
      </w:r>
      <w:r>
        <w:t xml:space="preserve"> at 2.</w:t>
      </w:r>
    </w:p>
  </w:footnote>
  <w:footnote w:id="95">
    <w:p w14:paraId="11C19BDF" w14:textId="6A6B0065" w:rsidR="002B2A27" w:rsidRDefault="002B2A27">
      <w:pPr>
        <w:pStyle w:val="FootnoteText"/>
      </w:pPr>
      <w:r>
        <w:rPr>
          <w:rStyle w:val="FootnoteReference"/>
        </w:rPr>
        <w:footnoteRef/>
      </w:r>
      <w:r>
        <w:t xml:space="preserve"> </w:t>
      </w:r>
      <w:r w:rsidR="006F6777">
        <w:rPr>
          <w:i/>
          <w:iCs/>
        </w:rPr>
        <w:t>Ibid</w:t>
      </w:r>
      <w:r>
        <w:t>.</w:t>
      </w:r>
    </w:p>
  </w:footnote>
  <w:footnote w:id="96">
    <w:p w14:paraId="716F13D2" w14:textId="2A6E6D45" w:rsidR="00443BC0" w:rsidRDefault="00443BC0">
      <w:pPr>
        <w:pStyle w:val="FootnoteText"/>
      </w:pPr>
      <w:r>
        <w:rPr>
          <w:rStyle w:val="FootnoteReference"/>
        </w:rPr>
        <w:footnoteRef/>
      </w:r>
      <w:r>
        <w:t xml:space="preserve"> </w:t>
      </w:r>
      <w:r w:rsidR="006F6777">
        <w:rPr>
          <w:i/>
          <w:iCs/>
        </w:rPr>
        <w:t>Id</w:t>
      </w:r>
      <w:r w:rsidR="006F6777">
        <w:t>.</w:t>
      </w:r>
      <w:r>
        <w:t xml:space="preserve"> at </w:t>
      </w:r>
      <w:r w:rsidR="00143364">
        <w:t>5</w:t>
      </w:r>
      <w:r>
        <w:t>.</w:t>
      </w:r>
    </w:p>
  </w:footnote>
  <w:footnote w:id="97">
    <w:p w14:paraId="0B64441B" w14:textId="003CB8B0" w:rsidR="00E450D4" w:rsidRDefault="00E450D4">
      <w:pPr>
        <w:pStyle w:val="FootnoteText"/>
      </w:pPr>
      <w:r>
        <w:rPr>
          <w:rStyle w:val="FootnoteReference"/>
        </w:rPr>
        <w:footnoteRef/>
      </w:r>
      <w:r>
        <w:t xml:space="preserve"> There were 38 comments that expressed opposition to the implementation of SB 1221 during both PPHs.  However, one commenter provided two of these comments.  (</w:t>
      </w:r>
      <w:r>
        <w:rPr>
          <w:i/>
          <w:iCs/>
        </w:rPr>
        <w:t xml:space="preserve">Compare </w:t>
      </w:r>
      <w:r w:rsidR="00F41C77">
        <w:t xml:space="preserve">Reporter’s </w:t>
      </w:r>
      <w:r>
        <w:t>Tr</w:t>
      </w:r>
      <w:r w:rsidR="00F41C77">
        <w:t>anscript (RT)</w:t>
      </w:r>
      <w:r>
        <w:t xml:space="preserve"> at </w:t>
      </w:r>
      <w:r w:rsidR="00F41C77">
        <w:t xml:space="preserve">page </w:t>
      </w:r>
      <w:r>
        <w:t>21</w:t>
      </w:r>
      <w:r w:rsidR="00F41C77">
        <w:t>:</w:t>
      </w:r>
      <w:r>
        <w:t xml:space="preserve"> line 21</w:t>
      </w:r>
      <w:r w:rsidR="00F41C77">
        <w:t xml:space="preserve">-page </w:t>
      </w:r>
      <w:r>
        <w:t>23</w:t>
      </w:r>
      <w:r w:rsidR="00F41C77">
        <w:t>:</w:t>
      </w:r>
      <w:r>
        <w:t xml:space="preserve"> line 7, </w:t>
      </w:r>
      <w:r>
        <w:rPr>
          <w:i/>
          <w:iCs/>
        </w:rPr>
        <w:t xml:space="preserve">with </w:t>
      </w:r>
      <w:r w:rsidR="00F41C77">
        <w:t>RT</w:t>
      </w:r>
      <w:r>
        <w:t xml:space="preserve"> at </w:t>
      </w:r>
      <w:r w:rsidR="00F41C77">
        <w:t xml:space="preserve">page </w:t>
      </w:r>
      <w:r>
        <w:t>130</w:t>
      </w:r>
      <w:r w:rsidR="00F41C77">
        <w:t>:</w:t>
      </w:r>
      <w:r>
        <w:t xml:space="preserve"> line 12</w:t>
      </w:r>
      <w:r w:rsidR="00F41C77">
        <w:t xml:space="preserve">-page </w:t>
      </w:r>
      <w:r>
        <w:t>131</w:t>
      </w:r>
      <w:r w:rsidR="00F41C77">
        <w:t>:</w:t>
      </w:r>
      <w:r>
        <w:t xml:space="preserve"> line 20.)  Therefore, we identify a total of 37 members of the public that expressed opposition.</w:t>
      </w:r>
    </w:p>
  </w:footnote>
  <w:footnote w:id="98">
    <w:p w14:paraId="0F63EF16" w14:textId="79BEDA86" w:rsidR="001803D8" w:rsidRDefault="001803D8">
      <w:pPr>
        <w:pStyle w:val="FootnoteText"/>
      </w:pPr>
      <w:r>
        <w:rPr>
          <w:rStyle w:val="FootnoteReference"/>
        </w:rPr>
        <w:footnoteRef/>
      </w:r>
      <w:r>
        <w:t xml:space="preserve"> The Commission received comments from </w:t>
      </w:r>
      <w:r w:rsidR="005425AB">
        <w:t xml:space="preserve">Mr. Williams from the County of San Diego; </w:t>
      </w:r>
      <w:r>
        <w:t>Mr. Hoffland of the City of Santa Barbara; Ms. Sharpe and Ms. DeCastro from Central California Asthma Collaborative; Ms. Gomez and Ms. Pastrano from the Alliance of Californians for Community Empowerment in Richmond; Mr. Stilig from an unnamed environmental justice organization; and Mr. Parsa from Physicians for Social Responsibility.</w:t>
      </w:r>
    </w:p>
  </w:footnote>
  <w:footnote w:id="99">
    <w:p w14:paraId="2DBF6681" w14:textId="3AB021C8" w:rsidR="00F41C77" w:rsidRDefault="00F41C77">
      <w:pPr>
        <w:pStyle w:val="FootnoteText"/>
      </w:pPr>
      <w:r>
        <w:rPr>
          <w:rStyle w:val="FootnoteReference"/>
        </w:rPr>
        <w:footnoteRef/>
      </w:r>
      <w:r>
        <w:t xml:space="preserve"> RT at page 18: line 23-page 20: line 4.</w:t>
      </w:r>
    </w:p>
  </w:footnote>
  <w:footnote w:id="100">
    <w:p w14:paraId="488A87ED" w14:textId="1CBD42C2" w:rsidR="001F70F7" w:rsidRDefault="001F70F7">
      <w:pPr>
        <w:pStyle w:val="FootnoteText"/>
      </w:pPr>
      <w:r>
        <w:rPr>
          <w:rStyle w:val="FootnoteReference"/>
        </w:rPr>
        <w:footnoteRef/>
      </w:r>
      <w:r>
        <w:t xml:space="preserve"> The Commission received public comments from the (1) City of Chula Vista; (2) the City of San Diego; (3) the County of San Diego; (4) the City of Santa Barbara; (5) the City of Milpitas; (6) the City of Elk Grove; (7) the City of Albany; (8) the City of Menlo Park; (9) the City of Berkeley; (10) the City of Mountain View; (11) the Mayor of El Cerrito; (12) the Sacramento Metropolitan Air Quality Management District; (13) the City of Oakland; (14) the County of San Mateo; (15) the City of Petaluma; </w:t>
      </w:r>
      <w:r w:rsidR="00434306">
        <w:t xml:space="preserve">(16) CCR REN; </w:t>
      </w:r>
      <w:r>
        <w:t>(1</w:t>
      </w:r>
      <w:r w:rsidR="00434306">
        <w:t>7</w:t>
      </w:r>
      <w:r>
        <w:t>) the City of Santa Cruz (two comments); (1</w:t>
      </w:r>
      <w:r w:rsidR="00434306">
        <w:t>8</w:t>
      </w:r>
      <w:r>
        <w:t>) the City of Santa Monica</w:t>
      </w:r>
      <w:r w:rsidR="00CF5F15">
        <w:t>; and (19) the City of Goleta</w:t>
      </w:r>
      <w:r>
        <w:t>.</w:t>
      </w:r>
    </w:p>
  </w:footnote>
  <w:footnote w:id="101">
    <w:p w14:paraId="2C50FFA7" w14:textId="23B6D72F" w:rsidR="001F70F7" w:rsidRDefault="001F70F7">
      <w:pPr>
        <w:pStyle w:val="FootnoteText"/>
      </w:pPr>
      <w:r>
        <w:rPr>
          <w:rStyle w:val="FootnoteReference"/>
        </w:rPr>
        <w:footnoteRef/>
      </w:r>
      <w:r>
        <w:t xml:space="preserve"> The Commission received public comments from (1) the Environmental Center of San Diego (ECOSD); (2) the Building Energy, Equity &amp; Power (BEEP) Coalition</w:t>
      </w:r>
      <w:r w:rsidR="00CF5F15">
        <w:t xml:space="preserve"> (two comments)</w:t>
      </w:r>
      <w:r>
        <w:t>; (3) the San Diego Building Electrification Coalition; (4) the Climate Action Campaign (two comments); (5) CleanEarth4Kids.org; (6) Redeemer Community Partnership</w:t>
      </w:r>
      <w:r w:rsidR="00CF5F15">
        <w:t xml:space="preserve"> (two comments)</w:t>
      </w:r>
      <w:r>
        <w:t>; (7) Richmond Community Foundation; (8) CCA Workforce and Environmental Justice Alliance; (9) Community Action Partnership of Orange County; (10) Borel Neighborhood Association in the City of San Mateo; (11) Communities for a Better Environment; (12) Emerald Cities Collaborative Northern California</w:t>
      </w:r>
      <w:r w:rsidR="00CF5F15">
        <w:t xml:space="preserve"> (two comments)</w:t>
      </w:r>
      <w:r>
        <w:t xml:space="preserve">; (13) </w:t>
      </w:r>
      <w:r w:rsidR="00434306">
        <w:t>Valley Improvement Projects; (14) Alliance of Californians for Community Empowerment (Contra Costa) in partnership with Building Trades of Contra Costa County and the City of Richmond</w:t>
      </w:r>
      <w:r w:rsidR="00CF5F15">
        <w:t xml:space="preserve"> (two comments)</w:t>
      </w:r>
      <w:r w:rsidR="00434306">
        <w:t>; (15) Regeneracion; (16) Build It Green and Somos Mayfair; (17) Build It Green and Healthy Black Families; (18) Strategic Concepts in Organizing and Policy Education (SCOPE); (19) Reestablishing Stratford; (20) Menlo Spark; (21) Albany Climate Action Coalition;  (22) OC Goes Solar</w:t>
      </w:r>
      <w:r w:rsidR="00CF5F15">
        <w:t xml:space="preserve">; (23) People Organizing to Demand Environmental &amp; Economic Rights (PODER); (24) Healthy </w:t>
      </w:r>
      <w:r w:rsidR="00AD638A">
        <w:t>&amp;</w:t>
      </w:r>
      <w:r w:rsidR="00CF5F15">
        <w:t xml:space="preserve"> Active</w:t>
      </w:r>
      <w:r w:rsidR="00AD638A">
        <w:t xml:space="preserve"> Before 5; </w:t>
      </w:r>
      <w:r w:rsidR="00F61B49">
        <w:t>(25) Richmond Community Foundation; and (26) 350 Contra Costa</w:t>
      </w:r>
      <w:r w:rsidR="00434306">
        <w:t>.</w:t>
      </w:r>
    </w:p>
  </w:footnote>
  <w:footnote w:id="102">
    <w:p w14:paraId="517F8D34" w14:textId="08C45428" w:rsidR="003340CF" w:rsidRDefault="003340CF">
      <w:pPr>
        <w:pStyle w:val="FootnoteText"/>
      </w:pPr>
      <w:r>
        <w:rPr>
          <w:rStyle w:val="FootnoteReference"/>
        </w:rPr>
        <w:footnoteRef/>
      </w:r>
      <w:r>
        <w:t xml:space="preserve"> PG&amp;E Recommendations at 4; </w:t>
      </w:r>
      <w:r w:rsidR="00C83339">
        <w:t xml:space="preserve">SCE Opening Comments at 2; </w:t>
      </w:r>
      <w:r w:rsidR="007E14F8">
        <w:t xml:space="preserve">SoCalGas/SDG&amp;E Recommendations at 3; </w:t>
      </w:r>
      <w:r>
        <w:t>Southwest Gas Recommendations</w:t>
      </w:r>
      <w:r w:rsidR="007E14F8">
        <w:t xml:space="preserve"> at 2.</w:t>
      </w:r>
    </w:p>
  </w:footnote>
  <w:footnote w:id="103">
    <w:p w14:paraId="77FFFB88" w14:textId="2D48BA36" w:rsidR="00C83339" w:rsidRDefault="00C83339">
      <w:pPr>
        <w:pStyle w:val="FootnoteText"/>
      </w:pPr>
      <w:r>
        <w:rPr>
          <w:rStyle w:val="FootnoteReference"/>
        </w:rPr>
        <w:footnoteRef/>
      </w:r>
      <w:r>
        <w:t xml:space="preserve"> Joint CCAs Opening Comments at 3</w:t>
      </w:r>
      <w:r w:rsidR="006C2149">
        <w:t>; San Francisco Opening Comments at 1</w:t>
      </w:r>
      <w:r w:rsidR="00680E0E">
        <w:t xml:space="preserve">; </w:t>
      </w:r>
      <w:r w:rsidR="00680E0E" w:rsidRPr="00680E0E">
        <w:rPr>
          <w:i/>
          <w:iCs/>
        </w:rPr>
        <w:t>see also</w:t>
      </w:r>
      <w:r w:rsidR="00680E0E">
        <w:t xml:space="preserve"> BayREN</w:t>
      </w:r>
      <w:r w:rsidR="00143364">
        <w:t>/</w:t>
      </w:r>
      <w:r w:rsidR="00680E0E">
        <w:t>3C-REN Opening Comments at 10 (recognizing “future iterations of assessing [decarbonization zones]”).</w:t>
      </w:r>
    </w:p>
  </w:footnote>
  <w:footnote w:id="104">
    <w:p w14:paraId="39AA5D25" w14:textId="62A30299" w:rsidR="00B15961" w:rsidRDefault="00B15961">
      <w:pPr>
        <w:pStyle w:val="FootnoteText"/>
      </w:pPr>
      <w:r>
        <w:rPr>
          <w:rStyle w:val="FootnoteReference"/>
        </w:rPr>
        <w:footnoteRef/>
      </w:r>
      <w:r>
        <w:t xml:space="preserve"> TURN Reply Comments at 7, 8</w:t>
      </w:r>
      <w:r w:rsidR="0091114C">
        <w:t>, 21.</w:t>
      </w:r>
    </w:p>
  </w:footnote>
  <w:footnote w:id="105">
    <w:p w14:paraId="3F15A914" w14:textId="6E3FFCCD" w:rsidR="00680E0E" w:rsidRDefault="00680E0E">
      <w:pPr>
        <w:pStyle w:val="FootnoteText"/>
      </w:pPr>
      <w:r>
        <w:rPr>
          <w:rStyle w:val="FootnoteReference"/>
        </w:rPr>
        <w:footnoteRef/>
      </w:r>
      <w:r>
        <w:t xml:space="preserve"> NRDC/Sierra Club Opening Comments at 7.</w:t>
      </w:r>
    </w:p>
  </w:footnote>
  <w:footnote w:id="106">
    <w:p w14:paraId="1AEC6E5B" w14:textId="5D4EC7A1" w:rsidR="00143364" w:rsidRDefault="00143364">
      <w:pPr>
        <w:pStyle w:val="FootnoteText"/>
      </w:pPr>
      <w:r>
        <w:rPr>
          <w:rStyle w:val="FootnoteReference"/>
        </w:rPr>
        <w:footnoteRef/>
      </w:r>
      <w:r>
        <w:t xml:space="preserve"> </w:t>
      </w:r>
      <w:r>
        <w:rPr>
          <w:i/>
          <w:iCs/>
        </w:rPr>
        <w:t xml:space="preserve">See </w:t>
      </w:r>
      <w:r>
        <w:t xml:space="preserve">CCR REN Opening Comments at 3-4; CMUA Reply Comments at 3; Contra Costa Reply Comments at 5-6; Elk Grove Reply Comments at 2-3; </w:t>
      </w:r>
      <w:r w:rsidR="00BF72AE">
        <w:t>Indicated Shippers Reply Comments at 9; Joint CCAs Reply Comments at 3-4; NRDC/Sierra Club Opening Comments at 3; San Francisco Opening Comments at 4-5</w:t>
      </w:r>
      <w:r>
        <w:t>.</w:t>
      </w:r>
    </w:p>
  </w:footnote>
  <w:footnote w:id="107">
    <w:p w14:paraId="7AF70C72" w14:textId="4D428BA1" w:rsidR="00BF72AE" w:rsidRPr="00402C17" w:rsidRDefault="00BF72AE" w:rsidP="00BF72AE">
      <w:pPr>
        <w:pStyle w:val="FootnoteText"/>
      </w:pPr>
      <w:r>
        <w:rPr>
          <w:rStyle w:val="FootnoteReference"/>
        </w:rPr>
        <w:footnoteRef/>
      </w:r>
      <w:r>
        <w:t xml:space="preserve"> </w:t>
      </w:r>
      <w:r>
        <w:rPr>
          <w:i/>
          <w:iCs/>
        </w:rPr>
        <w:t xml:space="preserve">See </w:t>
      </w:r>
      <w:r>
        <w:t xml:space="preserve">Greta Busch, Antonia Darragh, Tyyne Parakhen, Chris Roberts, Dave Robertson, Diego Sandoval, Huxley Sidari, Jessie Stein, and Ronette Youmans public comments, </w:t>
      </w:r>
      <w:r>
        <w:rPr>
          <w:i/>
          <w:iCs/>
        </w:rPr>
        <w:t xml:space="preserve">available at </w:t>
      </w:r>
      <w:hyperlink r:id="rId3" w:history="1">
        <w:r w:rsidRPr="005C641E">
          <w:rPr>
            <w:rStyle w:val="Hyperlink"/>
          </w:rPr>
          <w:t>https://apps.cpuc.ca.gov/c/R2409012</w:t>
        </w:r>
      </w:hyperlink>
      <w:r>
        <w:t>.</w:t>
      </w:r>
    </w:p>
    <w:p w14:paraId="4776D85B" w14:textId="72A5749C" w:rsidR="00BF72AE" w:rsidRPr="00BF72AE" w:rsidRDefault="00BF72AE">
      <w:pPr>
        <w:pStyle w:val="FootnoteText"/>
      </w:pPr>
    </w:p>
  </w:footnote>
  <w:footnote w:id="108">
    <w:p w14:paraId="29CA9239" w14:textId="6F016AB5" w:rsidR="000D1A8D" w:rsidRDefault="000D1A8D" w:rsidP="000D1A8D">
      <w:pPr>
        <w:pStyle w:val="FootnoteText"/>
      </w:pPr>
      <w:r>
        <w:rPr>
          <w:rStyle w:val="FootnoteReference"/>
        </w:rPr>
        <w:footnoteRef/>
      </w:r>
      <w:r>
        <w:t xml:space="preserve"> </w:t>
      </w:r>
      <w:r w:rsidR="003A7814">
        <w:rPr>
          <w:i/>
          <w:iCs/>
        </w:rPr>
        <w:t xml:space="preserve">See </w:t>
      </w:r>
      <w:r>
        <w:t>PG&amp;E Recommendations at 3.</w:t>
      </w:r>
    </w:p>
  </w:footnote>
  <w:footnote w:id="109">
    <w:p w14:paraId="6726E9B0" w14:textId="330B1B1E" w:rsidR="0064512C" w:rsidRPr="0064512C" w:rsidRDefault="0064512C">
      <w:pPr>
        <w:pStyle w:val="FootnoteText"/>
      </w:pPr>
      <w:r>
        <w:rPr>
          <w:rStyle w:val="FootnoteReference"/>
        </w:rPr>
        <w:footnoteRef/>
      </w:r>
      <w:r>
        <w:t xml:space="preserve"> </w:t>
      </w:r>
      <w:r>
        <w:rPr>
          <w:i/>
          <w:iCs/>
        </w:rPr>
        <w:t xml:space="preserve">See </w:t>
      </w:r>
      <w:r>
        <w:t>Pub. Util. Code Section 662(a)(3).</w:t>
      </w:r>
    </w:p>
  </w:footnote>
  <w:footnote w:id="110">
    <w:p w14:paraId="57A4E3C1" w14:textId="0ADD6C3F" w:rsidR="0064512C" w:rsidRPr="0064512C" w:rsidRDefault="0064512C">
      <w:pPr>
        <w:pStyle w:val="FootnoteText"/>
      </w:pPr>
      <w:r>
        <w:rPr>
          <w:rStyle w:val="FootnoteReference"/>
        </w:rPr>
        <w:footnoteRef/>
      </w:r>
      <w:r>
        <w:t xml:space="preserve"> </w:t>
      </w:r>
      <w:r>
        <w:rPr>
          <w:i/>
          <w:iCs/>
        </w:rPr>
        <w:t xml:space="preserve">See </w:t>
      </w:r>
      <w:r>
        <w:t>Pub. Util. Code Section 662(a)(4).</w:t>
      </w:r>
    </w:p>
  </w:footnote>
  <w:footnote w:id="111">
    <w:p w14:paraId="7DFE0F29" w14:textId="3869DD39" w:rsidR="00697385" w:rsidRDefault="00697385" w:rsidP="00697385">
      <w:pPr>
        <w:pStyle w:val="FootnoteText"/>
      </w:pPr>
      <w:r>
        <w:rPr>
          <w:rStyle w:val="FootnoteReference"/>
        </w:rPr>
        <w:footnoteRef/>
      </w:r>
      <w:r>
        <w:t xml:space="preserve">  SCE Opening Comments at 3-4 (providing that if designating all replacement projects as decarbonization zones is too broad, “SCE recommends that the Commission prioritize areas in which there is a need for replacement and at least one other SB 1221 factor is present.”)</w:t>
      </w:r>
    </w:p>
  </w:footnote>
  <w:footnote w:id="112">
    <w:p w14:paraId="0CFDBB36" w14:textId="2A974223" w:rsidR="008A445C" w:rsidRPr="008A445C" w:rsidRDefault="008A445C">
      <w:pPr>
        <w:pStyle w:val="FootnoteText"/>
      </w:pPr>
      <w:r>
        <w:rPr>
          <w:rStyle w:val="FootnoteReference"/>
        </w:rPr>
        <w:footnoteRef/>
      </w:r>
      <w:r>
        <w:t xml:space="preserve"> </w:t>
      </w:r>
      <w:r>
        <w:rPr>
          <w:i/>
          <w:iCs/>
        </w:rPr>
        <w:t xml:space="preserve">See </w:t>
      </w:r>
      <w:r>
        <w:t>Pub. Util. Code Section 662(a)(2).</w:t>
      </w:r>
    </w:p>
  </w:footnote>
  <w:footnote w:id="113">
    <w:p w14:paraId="283A11AA" w14:textId="129F04BC" w:rsidR="00327CAB" w:rsidRDefault="00327CAB">
      <w:pPr>
        <w:pStyle w:val="FootnoteText"/>
      </w:pPr>
      <w:r>
        <w:rPr>
          <w:rStyle w:val="FootnoteReference"/>
        </w:rPr>
        <w:footnoteRef/>
      </w:r>
      <w:r>
        <w:t xml:space="preserve"> </w:t>
      </w:r>
      <w:r>
        <w:rPr>
          <w:i/>
          <w:iCs/>
        </w:rPr>
        <w:t>Se</w:t>
      </w:r>
      <w:r w:rsidR="006F6777">
        <w:rPr>
          <w:i/>
          <w:iCs/>
        </w:rPr>
        <w:t xml:space="preserve">e </w:t>
      </w:r>
      <w:r>
        <w:t>Pub. Util. Code Section 662(a)(1)-(4):</w:t>
      </w:r>
    </w:p>
    <w:p w14:paraId="3D849A32" w14:textId="5EB8379E" w:rsidR="00327CAB" w:rsidRDefault="00327CAB" w:rsidP="004C7E23">
      <w:pPr>
        <w:pStyle w:val="FootnoteText"/>
        <w:ind w:left="720" w:right="720"/>
      </w:pPr>
      <w:r>
        <w:t>In designating the zones, the commission shall consider factors that include, but are not limited to, all of the following:</w:t>
      </w:r>
    </w:p>
    <w:p w14:paraId="5037FB11" w14:textId="24BA3DA1" w:rsidR="00327CAB" w:rsidRDefault="00327CAB" w:rsidP="00912DA7">
      <w:pPr>
        <w:pStyle w:val="FootnoteText"/>
        <w:numPr>
          <w:ilvl w:val="0"/>
          <w:numId w:val="22"/>
        </w:numPr>
        <w:ind w:right="720"/>
      </w:pPr>
      <w:r>
        <w:t>Presence of disadvantaged or low-income communities in high-temperature climate zones or low-temperature climate zones that disproportionately lack cooling or heating.</w:t>
      </w:r>
    </w:p>
    <w:p w14:paraId="0F06CBF1" w14:textId="1F6FF7A4" w:rsidR="00327CAB" w:rsidRDefault="00327CAB" w:rsidP="00912DA7">
      <w:pPr>
        <w:pStyle w:val="FootnoteText"/>
        <w:numPr>
          <w:ilvl w:val="0"/>
          <w:numId w:val="22"/>
        </w:numPr>
        <w:ind w:right="720"/>
      </w:pPr>
      <w:r>
        <w:t>Presence of environmental and social justice communities as defined in the commission’s Environmental and Social Justice Action Plan.</w:t>
      </w:r>
    </w:p>
    <w:p w14:paraId="20F4A9EF" w14:textId="05EA17A1" w:rsidR="00327CAB" w:rsidRDefault="00327CAB" w:rsidP="00912DA7">
      <w:pPr>
        <w:pStyle w:val="FootnoteText"/>
        <w:numPr>
          <w:ilvl w:val="0"/>
          <w:numId w:val="22"/>
        </w:numPr>
        <w:ind w:right="720"/>
      </w:pPr>
      <w:r>
        <w:t>Availability of supportive local government or community partners.</w:t>
      </w:r>
    </w:p>
    <w:p w14:paraId="0EB249E0" w14:textId="514FA5AF" w:rsidR="00327CAB" w:rsidRPr="00327CAB" w:rsidRDefault="00327CAB" w:rsidP="00912DA7">
      <w:pPr>
        <w:pStyle w:val="FootnoteText"/>
        <w:numPr>
          <w:ilvl w:val="0"/>
          <w:numId w:val="22"/>
        </w:numPr>
        <w:ind w:right="720"/>
      </w:pPr>
      <w:r>
        <w:t>Concentration of gas distribution line replacement projects identified in the map submitted pursuant to Section 661.</w:t>
      </w:r>
    </w:p>
  </w:footnote>
  <w:footnote w:id="114">
    <w:p w14:paraId="68F43B46" w14:textId="215EECFB" w:rsidR="001E2C2D" w:rsidRPr="001E2C2D" w:rsidRDefault="001E2C2D">
      <w:pPr>
        <w:pStyle w:val="FootnoteText"/>
      </w:pPr>
      <w:r>
        <w:rPr>
          <w:rStyle w:val="FootnoteReference"/>
        </w:rPr>
        <w:footnoteRef/>
      </w:r>
      <w:r>
        <w:t xml:space="preserve"> </w:t>
      </w:r>
      <w:r>
        <w:rPr>
          <w:i/>
          <w:iCs/>
        </w:rPr>
        <w:t xml:space="preserve">See </w:t>
      </w:r>
      <w:r>
        <w:t>Pub. Util. Code Section 663(a).</w:t>
      </w:r>
    </w:p>
  </w:footnote>
  <w:footnote w:id="115">
    <w:p w14:paraId="782B3E60" w14:textId="51A63A5A" w:rsidR="00C030A6" w:rsidRPr="00C030A6" w:rsidRDefault="00C030A6">
      <w:pPr>
        <w:pStyle w:val="FootnoteText"/>
      </w:pPr>
      <w:r>
        <w:rPr>
          <w:rStyle w:val="FootnoteReference"/>
        </w:rPr>
        <w:footnoteRef/>
      </w:r>
      <w:r>
        <w:t xml:space="preserve"> </w:t>
      </w:r>
      <w:r>
        <w:rPr>
          <w:i/>
          <w:iCs/>
        </w:rPr>
        <w:t xml:space="preserve">See, e.g., </w:t>
      </w:r>
      <w:r>
        <w:t>Cal Advocates Opening Comments at 5-6; CMUA Reply Comments at 4; Elk Grove Reply Comments at 4; Marin Clean Energy Opening Comments at 4; PG&amp;E Recommendations at 3; San Francisco Opening Comments at 4.</w:t>
      </w:r>
    </w:p>
  </w:footnote>
  <w:footnote w:id="116">
    <w:p w14:paraId="605AB37F" w14:textId="013F678E" w:rsidR="00C030A6" w:rsidRDefault="00C030A6">
      <w:pPr>
        <w:pStyle w:val="FootnoteText"/>
      </w:pPr>
      <w:r>
        <w:rPr>
          <w:rStyle w:val="FootnoteReference"/>
        </w:rPr>
        <w:footnoteRef/>
      </w:r>
      <w:r>
        <w:t xml:space="preserve"> PG&amp;E Recommendations at 3. </w:t>
      </w:r>
    </w:p>
  </w:footnote>
  <w:footnote w:id="117">
    <w:p w14:paraId="07F9CFBB" w14:textId="3774F38A" w:rsidR="004C0C1F" w:rsidRPr="00EC5524" w:rsidRDefault="004C0C1F" w:rsidP="004C0C1F">
      <w:pPr>
        <w:pStyle w:val="FootnoteText"/>
      </w:pPr>
      <w:r>
        <w:rPr>
          <w:rStyle w:val="FootnoteReference"/>
        </w:rPr>
        <w:footnoteRef/>
      </w:r>
      <w:r>
        <w:t xml:space="preserve"> </w:t>
      </w:r>
      <w:r w:rsidR="00C030A6">
        <w:t>Cal Advocates Opening Comments</w:t>
      </w:r>
      <w:r>
        <w:t xml:space="preserve"> at 5-6.</w:t>
      </w:r>
    </w:p>
  </w:footnote>
  <w:footnote w:id="118">
    <w:p w14:paraId="53A3DA9F" w14:textId="63AFC40C" w:rsidR="00F134A9" w:rsidRPr="003741CE" w:rsidRDefault="00F134A9" w:rsidP="00F134A9">
      <w:pPr>
        <w:pStyle w:val="FootnoteText"/>
      </w:pPr>
      <w:r>
        <w:rPr>
          <w:rStyle w:val="FootnoteReference"/>
        </w:rPr>
        <w:footnoteRef/>
      </w:r>
      <w:r>
        <w:t xml:space="preserve"> </w:t>
      </w:r>
      <w:r>
        <w:rPr>
          <w:i/>
          <w:iCs/>
        </w:rPr>
        <w:t xml:space="preserve">See, e.g., </w:t>
      </w:r>
      <w:r>
        <w:t>City of Albany public comments; BayREN</w:t>
      </w:r>
      <w:r w:rsidR="00C030A6">
        <w:t>/</w:t>
      </w:r>
      <w:r>
        <w:t>3C-REN party comments; City of Berkeley public comments; CCR</w:t>
      </w:r>
      <w:r w:rsidR="00C030A6">
        <w:t xml:space="preserve"> R</w:t>
      </w:r>
      <w:r>
        <w:t>EN party and public comments; City of Chula Vista public comments; County of Contra Costa party comments; Joint CCAs party comments; City of El Cerrito public comments; City of Elk Grove party and public comments; Marin Clean Energy party comments; City of Menlo Park public comments; City of Milpitas public comments; City of Mountain View public comments; City of Oakland public comments; City of Peteluma public comments; Sacramento Metropolitan Air Quality Management District public comments; City of San Diego public comments; County of San Diego public comments; City and County of San Francisco party comments; County of San Mateo public comments; City of Santa Barbara public comments; City of Santa Cruz public comments; City of Santa Monica public comments</w:t>
      </w:r>
      <w:r w:rsidR="004C7E23">
        <w:t>.</w:t>
      </w:r>
      <w:r w:rsidR="005B20C6">
        <w:t xml:space="preserve">  There were no requests in Southwest Gas’s service territory.</w:t>
      </w:r>
    </w:p>
  </w:footnote>
  <w:footnote w:id="119">
    <w:p w14:paraId="5006F57B" w14:textId="61BC9CD1" w:rsidR="00F134A9" w:rsidRPr="00402C17" w:rsidRDefault="00F134A9" w:rsidP="00F134A9">
      <w:pPr>
        <w:pStyle w:val="FootnoteText"/>
      </w:pPr>
      <w:r>
        <w:rPr>
          <w:rStyle w:val="FootnoteReference"/>
        </w:rPr>
        <w:footnoteRef/>
      </w:r>
      <w:r>
        <w:t xml:space="preserve"> </w:t>
      </w:r>
      <w:r>
        <w:rPr>
          <w:i/>
          <w:iCs/>
        </w:rPr>
        <w:t>See</w:t>
      </w:r>
      <w:r w:rsidR="00AB07E8">
        <w:rPr>
          <w:i/>
          <w:iCs/>
        </w:rPr>
        <w:t>, e.g.,</w:t>
      </w:r>
      <w:r>
        <w:rPr>
          <w:i/>
          <w:iCs/>
        </w:rPr>
        <w:t xml:space="preserve"> </w:t>
      </w:r>
      <w:r>
        <w:t>CCR</w:t>
      </w:r>
      <w:r w:rsidR="00C030A6">
        <w:t xml:space="preserve"> R</w:t>
      </w:r>
      <w:r>
        <w:t xml:space="preserve">EN public comments (Sept. 11, 2025), </w:t>
      </w:r>
      <w:r>
        <w:rPr>
          <w:i/>
          <w:iCs/>
        </w:rPr>
        <w:t xml:space="preserve">available at </w:t>
      </w:r>
      <w:hyperlink r:id="rId4" w:history="1">
        <w:r w:rsidRPr="005C641E">
          <w:rPr>
            <w:rStyle w:val="Hyperlink"/>
          </w:rPr>
          <w:t>https://apps.cpuc.ca.gov/c/R2409012</w:t>
        </w:r>
      </w:hyperlink>
      <w:r w:rsidR="00AB07E8">
        <w:t xml:space="preserve"> (requesting that we designate all of PG&amp;E’s service territory)</w:t>
      </w:r>
      <w:r>
        <w:t>.</w:t>
      </w:r>
    </w:p>
  </w:footnote>
  <w:footnote w:id="120">
    <w:p w14:paraId="5765C2A1" w14:textId="355A253C" w:rsidR="00E23C4B" w:rsidRDefault="00E23C4B">
      <w:pPr>
        <w:pStyle w:val="FootnoteText"/>
      </w:pPr>
      <w:r>
        <w:rPr>
          <w:rStyle w:val="FootnoteReference"/>
        </w:rPr>
        <w:footnoteRef/>
      </w:r>
      <w:r>
        <w:t xml:space="preserve"> </w:t>
      </w:r>
      <w:r>
        <w:rPr>
          <w:i/>
          <w:iCs/>
        </w:rPr>
        <w:t xml:space="preserve">See, e.g., </w:t>
      </w:r>
      <w:r>
        <w:t xml:space="preserve">BayREN/3C-REN Opening Comments at 9; </w:t>
      </w:r>
      <w:r w:rsidR="0031203F">
        <w:t xml:space="preserve">Contra Costa Building and Construction Trades Council Opening Comments at 2; NRDC/Sierra Club Opening Comments at 2, 3; </w:t>
      </w:r>
      <w:r>
        <w:t>PG&amp;E Recommendations at 1; SoCalGas/SDG&amp;E Recommendations at 3-4</w:t>
      </w:r>
      <w:r w:rsidR="0031203F">
        <w:t>; TURN Reply Comments at 5.</w:t>
      </w:r>
    </w:p>
  </w:footnote>
  <w:footnote w:id="121">
    <w:p w14:paraId="79DA5515" w14:textId="6979F00B" w:rsidR="00E23C4B" w:rsidRDefault="00E23C4B">
      <w:pPr>
        <w:pStyle w:val="FootnoteText"/>
      </w:pPr>
      <w:r>
        <w:rPr>
          <w:rStyle w:val="FootnoteReference"/>
        </w:rPr>
        <w:footnoteRef/>
      </w:r>
      <w:r>
        <w:t xml:space="preserve"> SoCalGas/SDG&amp;E Recommendations at 4.</w:t>
      </w:r>
    </w:p>
  </w:footnote>
  <w:footnote w:id="122">
    <w:p w14:paraId="26379244" w14:textId="1BE18B22" w:rsidR="00926C09" w:rsidRDefault="00926C09">
      <w:pPr>
        <w:pStyle w:val="FootnoteText"/>
      </w:pPr>
      <w:r>
        <w:rPr>
          <w:rStyle w:val="FootnoteReference"/>
        </w:rPr>
        <w:footnoteRef/>
      </w:r>
      <w:r>
        <w:t xml:space="preserve"> BayREN/3C-REN Opening Comments at 9; TURN Reply Comments at 5.</w:t>
      </w:r>
    </w:p>
  </w:footnote>
  <w:footnote w:id="123">
    <w:p w14:paraId="5A3CBFF5" w14:textId="6C4C4030" w:rsidR="00926C09" w:rsidRDefault="00926C09">
      <w:pPr>
        <w:pStyle w:val="FootnoteText"/>
      </w:pPr>
      <w:r>
        <w:rPr>
          <w:rStyle w:val="FootnoteReference"/>
        </w:rPr>
        <w:footnoteRef/>
      </w:r>
      <w:r>
        <w:t xml:space="preserve"> TURN Reply Comments at 12.</w:t>
      </w:r>
    </w:p>
  </w:footnote>
  <w:footnote w:id="124">
    <w:p w14:paraId="78FCFE7F" w14:textId="16FF811C" w:rsidR="00F8275B" w:rsidRPr="00F8275B" w:rsidRDefault="00F8275B">
      <w:pPr>
        <w:pStyle w:val="FootnoteText"/>
      </w:pPr>
      <w:r>
        <w:rPr>
          <w:rStyle w:val="FootnoteReference"/>
        </w:rPr>
        <w:footnoteRef/>
      </w:r>
      <w:r>
        <w:t xml:space="preserve"> </w:t>
      </w:r>
      <w:r>
        <w:rPr>
          <w:i/>
          <w:iCs/>
        </w:rPr>
        <w:t>Id</w:t>
      </w:r>
      <w:r>
        <w:t>. at 13.</w:t>
      </w:r>
    </w:p>
  </w:footnote>
  <w:footnote w:id="125">
    <w:p w14:paraId="517AF22F" w14:textId="5F7D346F" w:rsidR="00006553" w:rsidRDefault="00006553">
      <w:pPr>
        <w:pStyle w:val="FootnoteText"/>
      </w:pPr>
      <w:r>
        <w:rPr>
          <w:rStyle w:val="FootnoteReference"/>
        </w:rPr>
        <w:footnoteRef/>
      </w:r>
      <w:r>
        <w:t xml:space="preserve"> We exclude projects that the Gas Corporations identified for replacement in 2026 and 2027 from the analysis because those timelines are likely too soon to allow time to plan alternatives.  We also note that SoCalGas’s map did not differentiate by year within 2028-2035 projects.</w:t>
      </w:r>
    </w:p>
  </w:footnote>
  <w:footnote w:id="126">
    <w:p w14:paraId="441C198A" w14:textId="1E841FD1" w:rsidR="003A68F3" w:rsidRDefault="003A68F3">
      <w:pPr>
        <w:pStyle w:val="FootnoteText"/>
      </w:pPr>
      <w:r>
        <w:rPr>
          <w:rStyle w:val="FootnoteReference"/>
        </w:rPr>
        <w:footnoteRef/>
      </w:r>
      <w:r>
        <w:t xml:space="preserve"> </w:t>
      </w:r>
      <w:r w:rsidR="00FF1651">
        <w:rPr>
          <w:i/>
          <w:iCs/>
        </w:rPr>
        <w:t xml:space="preserve">See, e.g., </w:t>
      </w:r>
      <w:r>
        <w:t>Contra Costa Opening Comments at 3</w:t>
      </w:r>
      <w:r w:rsidR="00FF1651">
        <w:t xml:space="preserve">; Indicated Shippers Reply Comments at 3-4; Joint CCAs Opening Comments at 2; SCE Opening Comments at 2. </w:t>
      </w:r>
    </w:p>
  </w:footnote>
  <w:footnote w:id="127">
    <w:p w14:paraId="3CF117D6" w14:textId="23DEF280" w:rsidR="00EF2567" w:rsidRDefault="00EF2567">
      <w:pPr>
        <w:pStyle w:val="FootnoteText"/>
      </w:pPr>
      <w:r>
        <w:rPr>
          <w:rStyle w:val="FootnoteReference"/>
        </w:rPr>
        <w:footnoteRef/>
      </w:r>
      <w:r>
        <w:t xml:space="preserve"> SB 1221, Stats. 2004, ch. 602, § 1(a)(8).</w:t>
      </w:r>
    </w:p>
  </w:footnote>
  <w:footnote w:id="128">
    <w:p w14:paraId="0D88BFB2" w14:textId="2C497382" w:rsidR="009C42DC" w:rsidRDefault="009C42DC" w:rsidP="009C42DC">
      <w:pPr>
        <w:pStyle w:val="FootnoteText"/>
      </w:pPr>
      <w:r>
        <w:rPr>
          <w:rStyle w:val="FootnoteReference"/>
        </w:rPr>
        <w:footnoteRef/>
      </w:r>
      <w:r>
        <w:t xml:space="preserve"> This consideration did not include Tribal communities or those that do not have an overall CalEnviroScreen score and score within the highest 5 percent of CalEnviroScreen 4.0’s Pollution Burden. </w:t>
      </w:r>
    </w:p>
  </w:footnote>
  <w:footnote w:id="129">
    <w:p w14:paraId="682521AF" w14:textId="0A47B2F7" w:rsidR="009C42DC" w:rsidRDefault="009C42DC">
      <w:pPr>
        <w:pStyle w:val="FootnoteText"/>
      </w:pPr>
      <w:r>
        <w:rPr>
          <w:rStyle w:val="FootnoteReference"/>
        </w:rPr>
        <w:footnoteRef/>
      </w:r>
      <w:r>
        <w:t xml:space="preserve"> Where tract borders changed between 2010 and 2020, we used weighted averages for the CalEnviroScreen score.</w:t>
      </w:r>
    </w:p>
  </w:footnote>
  <w:footnote w:id="130">
    <w:p w14:paraId="00FEAFFF" w14:textId="14A276AD" w:rsidR="00064285" w:rsidRDefault="00064285">
      <w:pPr>
        <w:pStyle w:val="FootnoteText"/>
      </w:pPr>
      <w:r>
        <w:rPr>
          <w:rStyle w:val="FootnoteReference"/>
        </w:rPr>
        <w:footnoteRef/>
      </w:r>
      <w:r>
        <w:t xml:space="preserve"> We specified the census tracts designated as initial decarbonization zones in Appendix A</w:t>
      </w:r>
      <w:r w:rsidR="00135C54">
        <w:t xml:space="preserve"> and provide a map of the initial decarbonization zones in Appendix B</w:t>
      </w:r>
      <w:r>
        <w:t xml:space="preserve">.  Tract ID numbers refer to 2020 census tracts.  Tracts with no gas services are not included.  The location of a particular tract ID may be identified by using the “Tracts” option at </w:t>
      </w:r>
      <w:r w:rsidRPr="000211B9">
        <w:t>https://data.census.gov/advanced</w:t>
      </w:r>
      <w:r>
        <w:t xml:space="preserve"> (accessed September 30, 2025).</w:t>
      </w:r>
    </w:p>
  </w:footnote>
  <w:footnote w:id="131">
    <w:p w14:paraId="25D2D1A2" w14:textId="77777777" w:rsidR="00CF75A8" w:rsidRDefault="00CF75A8" w:rsidP="00CF75A8">
      <w:pPr>
        <w:pStyle w:val="FootnoteText"/>
      </w:pPr>
      <w:r>
        <w:rPr>
          <w:rStyle w:val="FootnoteReference"/>
        </w:rPr>
        <w:footnoteRef/>
      </w:r>
      <w:r>
        <w:t xml:space="preserve"> The CES percentile ranged from a high of 94th percentile in Turlock to a low of 1st percentile in Berkeley.</w:t>
      </w:r>
    </w:p>
  </w:footnote>
  <w:footnote w:id="132">
    <w:p w14:paraId="23C10BF8" w14:textId="05A36F8A" w:rsidR="00CF75A8" w:rsidRDefault="00CF75A8" w:rsidP="00CF75A8">
      <w:pPr>
        <w:pStyle w:val="FootnoteText"/>
      </w:pPr>
      <w:r>
        <w:rPr>
          <w:rStyle w:val="FootnoteReference"/>
        </w:rPr>
        <w:footnoteRef/>
      </w:r>
      <w:r>
        <w:t xml:space="preserve"> The asthma rate percentile ranged from a low of 1st percentile in San Diego to a high of 99</w:t>
      </w:r>
      <w:r w:rsidR="006D79FB">
        <w:t>th</w:t>
      </w:r>
      <w:r>
        <w:t xml:space="preserve"> percentile in Oakland. </w:t>
      </w:r>
    </w:p>
  </w:footnote>
  <w:footnote w:id="133">
    <w:p w14:paraId="7988294A" w14:textId="77777777" w:rsidR="005A16FE" w:rsidRDefault="005A16FE" w:rsidP="005A16FE">
      <w:pPr>
        <w:pStyle w:val="FootnoteText"/>
      </w:pPr>
      <w:r>
        <w:rPr>
          <w:rStyle w:val="FootnoteReference"/>
        </w:rPr>
        <w:footnoteRef/>
      </w:r>
      <w:r>
        <w:t xml:space="preserve"> Cal Advocates Opening Comments at 6.</w:t>
      </w:r>
    </w:p>
  </w:footnote>
  <w:footnote w:id="134">
    <w:p w14:paraId="6ECCFADA" w14:textId="11C9ADE2" w:rsidR="00E57457" w:rsidRDefault="00E57457">
      <w:pPr>
        <w:pStyle w:val="FootnoteText"/>
      </w:pPr>
      <w:r>
        <w:rPr>
          <w:rStyle w:val="FootnoteReference"/>
        </w:rPr>
        <w:footnoteRef/>
      </w:r>
      <w:r>
        <w:t xml:space="preserve"> PG&amp;E Recommendations at 2-3.</w:t>
      </w:r>
    </w:p>
  </w:footnote>
  <w:footnote w:id="135">
    <w:p w14:paraId="112A6807" w14:textId="77777777" w:rsidR="008245DB" w:rsidRDefault="008245DB" w:rsidP="008245DB">
      <w:pPr>
        <w:pStyle w:val="FootnoteText"/>
      </w:pPr>
      <w:r>
        <w:rPr>
          <w:rStyle w:val="FootnoteReference"/>
        </w:rPr>
        <w:footnoteRef/>
      </w:r>
      <w:r>
        <w:t xml:space="preserve"> SoCalGas/SDG&amp;E Recommendations at 4.</w:t>
      </w:r>
    </w:p>
  </w:footnote>
  <w:footnote w:id="136">
    <w:p w14:paraId="2EF3EE20" w14:textId="77777777" w:rsidR="008245DB" w:rsidRPr="005A16FE" w:rsidRDefault="008245DB" w:rsidP="008245DB">
      <w:pPr>
        <w:pStyle w:val="FootnoteText"/>
        <w:rPr>
          <w:lang w:val="en-ZW"/>
        </w:rPr>
      </w:pPr>
      <w:r>
        <w:rPr>
          <w:rStyle w:val="FootnoteReference"/>
        </w:rPr>
        <w:footnoteRef/>
      </w:r>
      <w:r>
        <w:t xml:space="preserve"> </w:t>
      </w:r>
      <w:r>
        <w:rPr>
          <w:i/>
          <w:iCs/>
        </w:rPr>
        <w:t>See</w:t>
      </w:r>
      <w:r>
        <w:t xml:space="preserve"> CARB, “List of Priority Populations 4.0 Tool (Excel),” </w:t>
      </w:r>
      <w:r>
        <w:rPr>
          <w:i/>
          <w:iCs/>
        </w:rPr>
        <w:t xml:space="preserve">available at </w:t>
      </w:r>
      <w:hyperlink r:id="rId5" w:history="1">
        <w:r>
          <w:rPr>
            <w:rStyle w:val="Hyperlink"/>
          </w:rPr>
          <w:t>https://gis.carb.arb.ca.gov/portal/apps/experiencebuilder/experience/?id=5dc1218631fa46bc8d340b8e82548a6a&amp;page=Priority-Populations-4_0</w:t>
        </w:r>
      </w:hyperlink>
      <w:r>
        <w:t xml:space="preserve">. </w:t>
      </w:r>
    </w:p>
  </w:footnote>
  <w:footnote w:id="137">
    <w:p w14:paraId="54DD8F53" w14:textId="40003CE5" w:rsidR="00DA280D" w:rsidRDefault="00DA280D">
      <w:pPr>
        <w:pStyle w:val="FootnoteText"/>
      </w:pPr>
      <w:r>
        <w:rPr>
          <w:rStyle w:val="FootnoteReference"/>
        </w:rPr>
        <w:footnoteRef/>
      </w:r>
      <w:r>
        <w:t xml:space="preserve"> PG&amp;E Opening Comments on the Proposed Decision at 1, 5.</w:t>
      </w:r>
    </w:p>
  </w:footnote>
  <w:footnote w:id="138">
    <w:p w14:paraId="3874DA7A" w14:textId="22D23EB5" w:rsidR="00CC318C" w:rsidRDefault="00CC318C">
      <w:pPr>
        <w:pStyle w:val="FootnoteText"/>
      </w:pPr>
      <w:r>
        <w:rPr>
          <w:rStyle w:val="FootnoteReference"/>
        </w:rPr>
        <w:footnoteRef/>
      </w:r>
      <w:r>
        <w:t xml:space="preserve"> UCAN Reply Comments on the Proposed Decision at 1.</w:t>
      </w:r>
    </w:p>
  </w:footnote>
  <w:footnote w:id="139">
    <w:p w14:paraId="2CE6BC5B" w14:textId="505CBEC3" w:rsidR="008B5337" w:rsidRPr="003A3AEB" w:rsidRDefault="008B5337">
      <w:pPr>
        <w:pStyle w:val="FootnoteText"/>
      </w:pPr>
      <w:r>
        <w:rPr>
          <w:rStyle w:val="FootnoteReference"/>
        </w:rPr>
        <w:footnoteRef/>
      </w:r>
      <w:r>
        <w:t xml:space="preserve"> </w:t>
      </w:r>
      <w:r>
        <w:rPr>
          <w:i/>
          <w:iCs/>
        </w:rPr>
        <w:t>See</w:t>
      </w:r>
      <w:r>
        <w:t xml:space="preserve"> Contra Costa Building and Construction Trades Opening Comments on the Proposed Decision at 2; CCR REN Opening Comments on the Proposed Decision at 1-2; </w:t>
      </w:r>
      <w:r w:rsidR="003A3AEB">
        <w:rPr>
          <w:i/>
          <w:iCs/>
        </w:rPr>
        <w:t xml:space="preserve">see also </w:t>
      </w:r>
      <w:r w:rsidR="003A3AEB">
        <w:t xml:space="preserve">Public Comments from ACCE, ECC, PODER, and RCP, </w:t>
      </w:r>
      <w:r w:rsidR="003A3AEB">
        <w:rPr>
          <w:i/>
          <w:iCs/>
        </w:rPr>
        <w:t xml:space="preserve">available at </w:t>
      </w:r>
      <w:hyperlink r:id="rId6" w:history="1">
        <w:r w:rsidR="003A3AEB" w:rsidRPr="005C641E">
          <w:rPr>
            <w:rStyle w:val="Hyperlink"/>
          </w:rPr>
          <w:t>https://apps.cpuc.ca.gov/c/R2409012</w:t>
        </w:r>
      </w:hyperlink>
      <w:r w:rsidR="003A3AEB">
        <w:t xml:space="preserve">. </w:t>
      </w:r>
    </w:p>
  </w:footnote>
  <w:footnote w:id="140">
    <w:p w14:paraId="3E31DCA9" w14:textId="40CD8A41" w:rsidR="003A3AEB" w:rsidRPr="003A3AEB" w:rsidRDefault="003A3AEB">
      <w:pPr>
        <w:pStyle w:val="FootnoteText"/>
      </w:pPr>
      <w:r>
        <w:rPr>
          <w:rStyle w:val="FootnoteReference"/>
        </w:rPr>
        <w:footnoteRef/>
      </w:r>
      <w:r>
        <w:t xml:space="preserve"> </w:t>
      </w:r>
      <w:r>
        <w:rPr>
          <w:i/>
          <w:iCs/>
        </w:rPr>
        <w:t xml:space="preserve">See </w:t>
      </w:r>
      <w:r>
        <w:t xml:space="preserve">SCE Opening Comments on the Proposed Decision at 3; </w:t>
      </w:r>
      <w:r>
        <w:rPr>
          <w:i/>
          <w:iCs/>
        </w:rPr>
        <w:t>see also</w:t>
      </w:r>
      <w:r>
        <w:t xml:space="preserve"> Public Comments from the BEEP Coalition</w:t>
      </w:r>
      <w:r w:rsidR="00242714">
        <w:t xml:space="preserve"> and OC Goes Solar</w:t>
      </w:r>
      <w:r>
        <w:rPr>
          <w:i/>
          <w:iCs/>
        </w:rPr>
        <w:t xml:space="preserve">, available at </w:t>
      </w:r>
      <w:hyperlink r:id="rId7" w:history="1">
        <w:r w:rsidRPr="005C641E">
          <w:rPr>
            <w:rStyle w:val="Hyperlink"/>
          </w:rPr>
          <w:t>https://apps.cpuc.ca.gov/c/R2409012</w:t>
        </w:r>
      </w:hyperlink>
      <w:r>
        <w:t>.</w:t>
      </w:r>
    </w:p>
  </w:footnote>
  <w:footnote w:id="141">
    <w:p w14:paraId="2C1298EA" w14:textId="4B7D3468" w:rsidR="00670030" w:rsidRDefault="00670030">
      <w:pPr>
        <w:pStyle w:val="FootnoteText"/>
      </w:pPr>
      <w:r>
        <w:rPr>
          <w:rStyle w:val="FootnoteReference"/>
        </w:rPr>
        <w:footnoteRef/>
      </w:r>
      <w:r>
        <w:t xml:space="preserve"> San Francisco Opening Comments on the Proposed Decision at 2-3.</w:t>
      </w:r>
    </w:p>
  </w:footnote>
  <w:footnote w:id="142">
    <w:p w14:paraId="6A66F77E" w14:textId="79F0AD05" w:rsidR="00670030" w:rsidRPr="00670030" w:rsidRDefault="00670030">
      <w:pPr>
        <w:pStyle w:val="FootnoteText"/>
      </w:pPr>
      <w:r>
        <w:rPr>
          <w:rStyle w:val="FootnoteReference"/>
        </w:rPr>
        <w:footnoteRef/>
      </w:r>
      <w:r>
        <w:t xml:space="preserve"> </w:t>
      </w:r>
      <w:r>
        <w:rPr>
          <w:i/>
          <w:iCs/>
        </w:rPr>
        <w:t>Ibid</w:t>
      </w:r>
      <w:r>
        <w:t>.</w:t>
      </w:r>
    </w:p>
  </w:footnote>
  <w:footnote w:id="143">
    <w:p w14:paraId="5400CE9C" w14:textId="158B796C" w:rsidR="00670030" w:rsidRDefault="00670030">
      <w:pPr>
        <w:pStyle w:val="FootnoteText"/>
      </w:pPr>
      <w:r>
        <w:rPr>
          <w:rStyle w:val="FootnoteReference"/>
        </w:rPr>
        <w:footnoteRef/>
      </w:r>
      <w:r>
        <w:t xml:space="preserve"> TURN Opening Comments on the Proposed Decision at </w:t>
      </w:r>
      <w:r w:rsidR="00980740">
        <w:t>6-7</w:t>
      </w:r>
      <w:r w:rsidR="00DB190E">
        <w:t>.</w:t>
      </w:r>
    </w:p>
  </w:footnote>
  <w:footnote w:id="144">
    <w:p w14:paraId="7B990F7E" w14:textId="77777777" w:rsidR="00DF7FC4" w:rsidRDefault="00DF7FC4" w:rsidP="00DF7FC4">
      <w:pPr>
        <w:pStyle w:val="FootnoteText"/>
      </w:pPr>
      <w:r>
        <w:rPr>
          <w:rStyle w:val="FootnoteReference"/>
        </w:rPr>
        <w:footnoteRef/>
      </w:r>
      <w:r>
        <w:t xml:space="preserve"> NDRC/Sierra Club expresses concern about the lack of decarbonization zones designated in the Central Valley and recommends remedying this by adding a clear statement in the decision that Gas Corporations “may propose projects within Central Valley ESJ Communities, whether or not those communities have been designated in the initial tranche of [initial decarbonization zones], if the project would otherwise be eligible.” (NRDC/Sierra Club Opening Comments on the Proposed Decision at 3-5).  We decline to consider this recommendation because this decision is limited to the designation of decarbonization zones, not the process to site and determine potential pilot projects.</w:t>
      </w:r>
    </w:p>
  </w:footnote>
  <w:footnote w:id="145">
    <w:p w14:paraId="6427EE2A" w14:textId="2C18717F" w:rsidR="00DB190E" w:rsidRDefault="00DB190E">
      <w:pPr>
        <w:pStyle w:val="FootnoteText"/>
      </w:pPr>
      <w:r>
        <w:rPr>
          <w:rStyle w:val="FootnoteReference"/>
        </w:rPr>
        <w:footnoteRef/>
      </w:r>
      <w:r>
        <w:t xml:space="preserve"> Joint CCAs Reply Comments on the Proposed Decision at 2-3.</w:t>
      </w:r>
    </w:p>
  </w:footnote>
  <w:footnote w:id="146">
    <w:p w14:paraId="7E841A8D" w14:textId="55CA016B" w:rsidR="006F50A2" w:rsidRPr="006F50A2" w:rsidRDefault="006F50A2">
      <w:pPr>
        <w:pStyle w:val="FootnoteText"/>
      </w:pPr>
      <w:r>
        <w:rPr>
          <w:rStyle w:val="FootnoteReference"/>
        </w:rPr>
        <w:footnoteRef/>
      </w:r>
      <w:r>
        <w:t xml:space="preserve"> </w:t>
      </w:r>
      <w:r>
        <w:rPr>
          <w:i/>
          <w:iCs/>
        </w:rPr>
        <w:t>Id</w:t>
      </w:r>
      <w:r>
        <w:t>. at 2.</w:t>
      </w:r>
    </w:p>
  </w:footnote>
  <w:footnote w:id="147">
    <w:p w14:paraId="319CAC6B" w14:textId="5F886DAC" w:rsidR="00AC303A" w:rsidRDefault="00AC303A">
      <w:pPr>
        <w:pStyle w:val="FootnoteText"/>
      </w:pPr>
      <w:r>
        <w:rPr>
          <w:rStyle w:val="FootnoteReference"/>
        </w:rPr>
        <w:footnoteRef/>
      </w:r>
      <w:r>
        <w:t xml:space="preserve"> CforAT Opening Comments on the Proposed Decision at 2.</w:t>
      </w:r>
    </w:p>
  </w:footnote>
  <w:footnote w:id="148">
    <w:p w14:paraId="446C0AE5" w14:textId="65BC7A58" w:rsidR="00AC303A" w:rsidRDefault="00AC303A">
      <w:pPr>
        <w:pStyle w:val="FootnoteText"/>
      </w:pPr>
      <w:r>
        <w:rPr>
          <w:rStyle w:val="FootnoteReference"/>
        </w:rPr>
        <w:footnoteRef/>
      </w:r>
      <w:r>
        <w:t xml:space="preserve"> Contra Costa Opening Comments on the Proposed Decision at 4.</w:t>
      </w:r>
    </w:p>
  </w:footnote>
  <w:footnote w:id="149">
    <w:p w14:paraId="5BBF7591" w14:textId="21598C56" w:rsidR="008D6184" w:rsidRDefault="008D6184">
      <w:pPr>
        <w:pStyle w:val="FootnoteText"/>
      </w:pPr>
      <w:r>
        <w:rPr>
          <w:rStyle w:val="FootnoteReference"/>
        </w:rPr>
        <w:footnoteRef/>
      </w:r>
      <w:r>
        <w:t xml:space="preserve"> Joint CCAs Opening Comments on the Proposed Decision at 5.</w:t>
      </w:r>
    </w:p>
  </w:footnote>
  <w:footnote w:id="150">
    <w:p w14:paraId="5993E6E3" w14:textId="158C56D7" w:rsidR="00B23181" w:rsidRDefault="00B23181">
      <w:pPr>
        <w:pStyle w:val="FootnoteText"/>
      </w:pPr>
      <w:r>
        <w:rPr>
          <w:rStyle w:val="FootnoteReference"/>
        </w:rPr>
        <w:footnoteRef/>
      </w:r>
      <w:r>
        <w:t xml:space="preserve"> MCE Opening Comments on the Proposed Decision at 2.</w:t>
      </w:r>
    </w:p>
  </w:footnote>
  <w:footnote w:id="151">
    <w:p w14:paraId="7BFBBBDD" w14:textId="1A7FD1C9" w:rsidR="00B23181" w:rsidRDefault="00B23181">
      <w:pPr>
        <w:pStyle w:val="FootnoteText"/>
      </w:pPr>
      <w:r>
        <w:rPr>
          <w:rStyle w:val="FootnoteReference"/>
        </w:rPr>
        <w:footnoteRef/>
      </w:r>
      <w:r>
        <w:t xml:space="preserve"> SCE Opening Comments on the Proposed Decision at 4.</w:t>
      </w:r>
    </w:p>
  </w:footnote>
  <w:footnote w:id="152">
    <w:p w14:paraId="433F9322" w14:textId="0F1C82F3" w:rsidR="00B23181" w:rsidRDefault="00B23181">
      <w:pPr>
        <w:pStyle w:val="FootnoteText"/>
      </w:pPr>
      <w:r>
        <w:rPr>
          <w:rStyle w:val="FootnoteReference"/>
        </w:rPr>
        <w:footnoteRef/>
      </w:r>
      <w:r>
        <w:t xml:space="preserve"> Contra Costa Opening Comments on the Proposed Decision at 4</w:t>
      </w:r>
      <w:r w:rsidR="008A73D2">
        <w:t>; SCE Opening Comments on the Proposed Decision at 3.</w:t>
      </w:r>
    </w:p>
  </w:footnote>
  <w:footnote w:id="153">
    <w:p w14:paraId="3B56C2EC" w14:textId="7DA23D0E" w:rsidR="00F11040" w:rsidRDefault="00F11040">
      <w:pPr>
        <w:pStyle w:val="FootnoteText"/>
      </w:pPr>
      <w:r>
        <w:rPr>
          <w:rStyle w:val="FootnoteReference"/>
        </w:rPr>
        <w:footnoteRef/>
      </w:r>
      <w:r>
        <w:t xml:space="preserve"> NRDC/Sierra Club Opening Comments on the Proposed Decision at 2, 5-6.</w:t>
      </w:r>
    </w:p>
  </w:footnote>
  <w:footnote w:id="154">
    <w:p w14:paraId="0877A7D5" w14:textId="43731B37" w:rsidR="00F11040" w:rsidRDefault="00F11040">
      <w:pPr>
        <w:pStyle w:val="FootnoteText"/>
      </w:pPr>
      <w:r>
        <w:rPr>
          <w:rStyle w:val="FootnoteReference"/>
        </w:rPr>
        <w:footnoteRef/>
      </w:r>
      <w:r>
        <w:t xml:space="preserve"> SoCalGas/SDG&amp;E Opening Comments on the Proposed Decision at 2, 3-4.</w:t>
      </w:r>
    </w:p>
  </w:footnote>
  <w:footnote w:id="155">
    <w:p w14:paraId="75106159" w14:textId="63872870" w:rsidR="005920AF" w:rsidRDefault="005920AF">
      <w:pPr>
        <w:pStyle w:val="FootnoteText"/>
      </w:pPr>
      <w:r>
        <w:rPr>
          <w:rStyle w:val="FootnoteReference"/>
        </w:rPr>
        <w:footnoteRef/>
      </w:r>
      <w:r>
        <w:t xml:space="preserve"> SoCalGas/SDG&amp;E Reply Comments on the Proposed Decision at 3.</w:t>
      </w:r>
    </w:p>
  </w:footnote>
  <w:footnote w:id="156">
    <w:p w14:paraId="32684DDE" w14:textId="24FBF90F" w:rsidR="006065B5" w:rsidRDefault="006065B5">
      <w:pPr>
        <w:pStyle w:val="FootnoteText"/>
      </w:pPr>
      <w:r>
        <w:rPr>
          <w:rStyle w:val="FootnoteReference"/>
        </w:rPr>
        <w:footnoteRef/>
      </w:r>
      <w:r>
        <w:t xml:space="preserve"> UCAN Opening Comments on the Proposed Decision at </w:t>
      </w:r>
      <w:r w:rsidR="00EC3FDB">
        <w:t>5</w:t>
      </w:r>
      <w:r>
        <w:t>-9.</w:t>
      </w:r>
    </w:p>
  </w:footnote>
  <w:footnote w:id="157">
    <w:p w14:paraId="70BBCAB8" w14:textId="26788FB4" w:rsidR="00EC3FDB" w:rsidRDefault="00EC3FDB">
      <w:pPr>
        <w:pStyle w:val="FootnoteText"/>
      </w:pPr>
      <w:r>
        <w:rPr>
          <w:rStyle w:val="FootnoteReference"/>
        </w:rPr>
        <w:footnoteRef/>
      </w:r>
      <w:r>
        <w:t xml:space="preserve"> </w:t>
      </w:r>
      <w:r w:rsidR="00F11040">
        <w:rPr>
          <w:i/>
          <w:iCs/>
        </w:rPr>
        <w:t>Id</w:t>
      </w:r>
      <w:r w:rsidR="00F11040">
        <w:t>.</w:t>
      </w:r>
      <w:r w:rsidR="00F11040">
        <w:rPr>
          <w:i/>
          <w:iCs/>
        </w:rPr>
        <w:t xml:space="preserve"> </w:t>
      </w:r>
      <w:r>
        <w:t>at 8.</w:t>
      </w:r>
    </w:p>
  </w:footnote>
  <w:footnote w:id="158">
    <w:p w14:paraId="18B644FB" w14:textId="071CA44D" w:rsidR="00EC3FDB" w:rsidRDefault="00EC3FDB">
      <w:pPr>
        <w:pStyle w:val="FootnoteText"/>
      </w:pPr>
      <w:r>
        <w:rPr>
          <w:rStyle w:val="FootnoteReference"/>
        </w:rPr>
        <w:footnoteRef/>
      </w:r>
      <w:r>
        <w:t xml:space="preserve"> </w:t>
      </w:r>
      <w:r w:rsidR="00F11040">
        <w:rPr>
          <w:i/>
          <w:iCs/>
        </w:rPr>
        <w:t xml:space="preserve">Id. </w:t>
      </w:r>
      <w:r>
        <w:t>at 7.</w:t>
      </w:r>
    </w:p>
  </w:footnote>
  <w:footnote w:id="159">
    <w:p w14:paraId="4FC55541" w14:textId="49B2BA9F" w:rsidR="00F11040" w:rsidRDefault="00F11040">
      <w:pPr>
        <w:pStyle w:val="FootnoteText"/>
      </w:pPr>
      <w:r>
        <w:rPr>
          <w:rStyle w:val="FootnoteReference"/>
        </w:rPr>
        <w:footnoteRef/>
      </w:r>
      <w:r>
        <w:t xml:space="preserve"> PG&amp;E Reply Comments on the Proposed Decision at 3.</w:t>
      </w:r>
    </w:p>
  </w:footnote>
  <w:footnote w:id="160">
    <w:p w14:paraId="78CFC4E8" w14:textId="7A3CC99E" w:rsidR="005920AF" w:rsidRDefault="005920AF">
      <w:pPr>
        <w:pStyle w:val="FootnoteText"/>
      </w:pPr>
      <w:r>
        <w:rPr>
          <w:rStyle w:val="FootnoteReference"/>
        </w:rPr>
        <w:footnoteRef/>
      </w:r>
      <w:r>
        <w:t xml:space="preserve"> Indicated Shippers Opening Comments on the Proposed Decision at 3; SoCalGas/SDG&amp;E Reply Comments on the Proposed Decision at 3.</w:t>
      </w:r>
    </w:p>
  </w:footnote>
  <w:footnote w:id="161">
    <w:p w14:paraId="1047668F" w14:textId="79E39784" w:rsidR="005920AF" w:rsidRDefault="005920AF">
      <w:pPr>
        <w:pStyle w:val="FootnoteText"/>
      </w:pPr>
      <w:r>
        <w:rPr>
          <w:rStyle w:val="FootnoteReference"/>
        </w:rPr>
        <w:footnoteRef/>
      </w:r>
      <w:r>
        <w:t xml:space="preserve"> SCE Opening Comments on the Proposed Decision at 3.</w:t>
      </w:r>
    </w:p>
  </w:footnote>
  <w:footnote w:id="162">
    <w:p w14:paraId="0044E12D" w14:textId="3B4F9966" w:rsidR="003813AE" w:rsidRDefault="003813AE">
      <w:pPr>
        <w:pStyle w:val="FootnoteText"/>
      </w:pPr>
      <w:r>
        <w:rPr>
          <w:rStyle w:val="FootnoteReference"/>
        </w:rPr>
        <w:footnoteRef/>
      </w:r>
      <w:r>
        <w:t xml:space="preserve"> PG&amp;E Opening Comments on the Proposed Decision at 1, 5; SCE Reply Comments on the Proposed Decision at 3-4; SoCalGas/SDG&amp;E Opening Comments on the Proposed Decision at 2-3; Southwest Gas Opening Comments on the Proposed Decision at 1-2.</w:t>
      </w:r>
    </w:p>
  </w:footnote>
  <w:footnote w:id="163">
    <w:p w14:paraId="2C4D366A" w14:textId="0203E680" w:rsidR="003813AE" w:rsidRPr="003813AE" w:rsidRDefault="003813AE">
      <w:pPr>
        <w:pStyle w:val="FootnoteText"/>
      </w:pPr>
      <w:r>
        <w:rPr>
          <w:rStyle w:val="FootnoteReference"/>
        </w:rPr>
        <w:footnoteRef/>
      </w:r>
      <w:r>
        <w:t xml:space="preserve"> PG&amp;E Opening Comments on the Proposed Decision at 5; Southwest Gas Opening Comments on the Proposed Decision at 1-2.</w:t>
      </w:r>
    </w:p>
  </w:footnote>
  <w:footnote w:id="164">
    <w:p w14:paraId="15FD68C0" w14:textId="66EA445E" w:rsidR="00B17F8A" w:rsidRDefault="00B17F8A">
      <w:pPr>
        <w:pStyle w:val="FootnoteText"/>
      </w:pPr>
      <w:r>
        <w:rPr>
          <w:rStyle w:val="FootnoteReference"/>
        </w:rPr>
        <w:footnoteRef/>
      </w:r>
      <w:r>
        <w:t xml:space="preserve"> SoCalGas/SDG&amp;E Opening Comments on the Proposed Decision at 2-3.</w:t>
      </w:r>
    </w:p>
  </w:footnote>
  <w:footnote w:id="165">
    <w:p w14:paraId="2AE9CEEE" w14:textId="3A15D63F" w:rsidR="00B17F8A" w:rsidRDefault="00B17F8A">
      <w:pPr>
        <w:pStyle w:val="FootnoteText"/>
      </w:pPr>
      <w:r>
        <w:rPr>
          <w:rStyle w:val="FootnoteReference"/>
        </w:rPr>
        <w:footnoteRef/>
      </w:r>
      <w:r>
        <w:t xml:space="preserve"> Cal Advocates Reply Comments on the Proposed Decision at 2-4.</w:t>
      </w:r>
    </w:p>
  </w:footnote>
  <w:footnote w:id="166">
    <w:p w14:paraId="125BB12A" w14:textId="46E37FE8" w:rsidR="00E71AB6" w:rsidRDefault="00E71AB6">
      <w:pPr>
        <w:pStyle w:val="FootnoteText"/>
      </w:pPr>
      <w:r>
        <w:rPr>
          <w:rStyle w:val="FootnoteReference"/>
        </w:rPr>
        <w:footnoteRef/>
      </w:r>
      <w:r>
        <w:t xml:space="preserve"> CMUA Opening Comments on the Proposed Decision at 2-3; Joint CCAs Opening </w:t>
      </w:r>
      <w:r w:rsidR="003E6339">
        <w:t>Comments</w:t>
      </w:r>
      <w:r>
        <w:t xml:space="preserve"> on the Proposed Decision at 3.</w:t>
      </w:r>
    </w:p>
  </w:footnote>
  <w:footnote w:id="167">
    <w:p w14:paraId="0F1A1EA9" w14:textId="7DC6FCD2" w:rsidR="00E71AB6" w:rsidRDefault="00E71AB6">
      <w:pPr>
        <w:pStyle w:val="FootnoteText"/>
      </w:pPr>
      <w:r>
        <w:rPr>
          <w:rStyle w:val="FootnoteReference"/>
        </w:rPr>
        <w:footnoteRef/>
      </w:r>
      <w:r>
        <w:t xml:space="preserve"> CMUA Opening Comments on the Proposed Decision at 4.</w:t>
      </w:r>
    </w:p>
  </w:footnote>
  <w:footnote w:id="168">
    <w:p w14:paraId="2291BA72" w14:textId="1009B7AC" w:rsidR="003E6339" w:rsidRDefault="003E6339">
      <w:pPr>
        <w:pStyle w:val="FootnoteText"/>
      </w:pPr>
      <w:r>
        <w:rPr>
          <w:rStyle w:val="FootnoteReference"/>
        </w:rPr>
        <w:footnoteRef/>
      </w:r>
      <w:r>
        <w:t xml:space="preserve"> Joint CCAs Opening Comments on the Proposed Decision at 3.</w:t>
      </w:r>
    </w:p>
  </w:footnote>
  <w:footnote w:id="169">
    <w:p w14:paraId="5103319D" w14:textId="5780AAB1" w:rsidR="003E6339" w:rsidRDefault="003E6339">
      <w:pPr>
        <w:pStyle w:val="FootnoteText"/>
      </w:pPr>
      <w:r>
        <w:rPr>
          <w:rStyle w:val="FootnoteReference"/>
        </w:rPr>
        <w:footnoteRef/>
      </w:r>
      <w:r>
        <w:t xml:space="preserve"> NRDC/Sierra Club Opening Comments at 2, 5.</w:t>
      </w:r>
    </w:p>
  </w:footnote>
  <w:footnote w:id="170">
    <w:p w14:paraId="5EEFA4F4" w14:textId="47D85BA7" w:rsidR="003E6339" w:rsidRDefault="003E6339">
      <w:pPr>
        <w:pStyle w:val="FootnoteText"/>
      </w:pPr>
      <w:r>
        <w:rPr>
          <w:rStyle w:val="FootnoteReference"/>
        </w:rPr>
        <w:footnoteRef/>
      </w:r>
      <w:r>
        <w:t xml:space="preserve"> CMUA Reply Comments on the Proposed Decision at 1-2; PG&amp;E Opening Comments on the Proposed Decision at 1, 3; SoCalGas/SDG&amp;E Reply Comments on the Proposed Decision at 2.</w:t>
      </w:r>
    </w:p>
  </w:footnote>
  <w:footnote w:id="171">
    <w:p w14:paraId="62563ADE" w14:textId="1278E7F6" w:rsidR="003E6339" w:rsidRDefault="003E6339">
      <w:pPr>
        <w:pStyle w:val="FootnoteText"/>
      </w:pPr>
      <w:r>
        <w:rPr>
          <w:rStyle w:val="FootnoteReference"/>
        </w:rPr>
        <w:footnoteRef/>
      </w:r>
      <w:r>
        <w:t xml:space="preserve"> TURN Opening Comments on the Proposed Decision at 3, 8.</w:t>
      </w:r>
    </w:p>
  </w:footnote>
  <w:footnote w:id="172">
    <w:p w14:paraId="7995BC5C" w14:textId="2D1EB001" w:rsidR="003E6339" w:rsidRDefault="003E6339">
      <w:pPr>
        <w:pStyle w:val="FootnoteText"/>
      </w:pPr>
      <w:r>
        <w:rPr>
          <w:rStyle w:val="FootnoteReference"/>
        </w:rPr>
        <w:footnoteRef/>
      </w:r>
      <w:r>
        <w:t xml:space="preserve"> UCAN Reply Comments on the Proposed Decision at 2.</w:t>
      </w:r>
    </w:p>
  </w:footnote>
  <w:footnote w:id="173">
    <w:p w14:paraId="4107D6FE" w14:textId="5A779AC8" w:rsidR="00E71AB6" w:rsidRDefault="00E71AB6">
      <w:pPr>
        <w:pStyle w:val="FootnoteText"/>
      </w:pPr>
      <w:r>
        <w:rPr>
          <w:rStyle w:val="FootnoteReference"/>
        </w:rPr>
        <w:footnoteRef/>
      </w:r>
      <w:r>
        <w:t xml:space="preserve"> Contra Costa Opening Comments on the Proposed Decision at 2.</w:t>
      </w:r>
    </w:p>
  </w:footnote>
  <w:footnote w:id="174">
    <w:p w14:paraId="20F67F60" w14:textId="7DB1092D" w:rsidR="003E6339" w:rsidRDefault="003E6339">
      <w:pPr>
        <w:pStyle w:val="FootnoteText"/>
      </w:pPr>
      <w:r>
        <w:rPr>
          <w:rStyle w:val="FootnoteReference"/>
        </w:rPr>
        <w:footnoteRef/>
      </w:r>
      <w:r>
        <w:t xml:space="preserve"> SCE Opening Comments on the Proposed Decision at 2-3.</w:t>
      </w:r>
    </w:p>
  </w:footnote>
  <w:footnote w:id="175">
    <w:p w14:paraId="692EBE5F" w14:textId="0CA00EE1" w:rsidR="00254DC4" w:rsidRDefault="00254DC4">
      <w:pPr>
        <w:pStyle w:val="FootnoteText"/>
      </w:pPr>
      <w:r>
        <w:rPr>
          <w:rStyle w:val="FootnoteReference"/>
        </w:rPr>
        <w:footnoteRef/>
      </w:r>
      <w:r>
        <w:t xml:space="preserve"> PG&amp;E Opening Comments on the Proposed Decision at 2, 5-6</w:t>
      </w:r>
      <w:r w:rsidR="000671AB">
        <w:t xml:space="preserve">; SoCalGas/SDG&amp;E Opening Comments on the Proposed Decision at 2, 5. </w:t>
      </w:r>
    </w:p>
  </w:footnote>
  <w:footnote w:id="176">
    <w:p w14:paraId="5D66B1DB" w14:textId="6DB69D15" w:rsidR="000671AB" w:rsidRDefault="000671AB">
      <w:pPr>
        <w:pStyle w:val="FootnoteText"/>
      </w:pPr>
      <w:r>
        <w:rPr>
          <w:rStyle w:val="FootnoteReference"/>
        </w:rPr>
        <w:footnoteRef/>
      </w:r>
      <w:r>
        <w:t xml:space="preserve"> UCAN Reply Comments on the Proposed Decision at 2.</w:t>
      </w:r>
    </w:p>
  </w:footnote>
  <w:footnote w:id="177">
    <w:p w14:paraId="68731A1B" w14:textId="308A9D07" w:rsidR="000671AB" w:rsidRPr="000671AB" w:rsidRDefault="000671AB">
      <w:pPr>
        <w:pStyle w:val="FootnoteText"/>
      </w:pPr>
      <w:r>
        <w:rPr>
          <w:rStyle w:val="FootnoteReference"/>
        </w:rPr>
        <w:footnoteRef/>
      </w:r>
      <w:r>
        <w:t xml:space="preserve"> </w:t>
      </w:r>
      <w:r>
        <w:rPr>
          <w:i/>
          <w:iCs/>
        </w:rPr>
        <w:t>Ibid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B95C"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6A74F9D4"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751D" w14:textId="30654FF4" w:rsidR="00F92385" w:rsidRPr="00F92385" w:rsidRDefault="00F92385"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069" w14:textId="5E877FA4" w:rsidR="006959B9" w:rsidRDefault="006959B9" w:rsidP="00B3087D">
    <w:pPr>
      <w:pStyle w:val="Header"/>
      <w:tabs>
        <w:tab w:val="clear" w:pos="4680"/>
      </w:tabs>
      <w:ind w:firstLine="0"/>
      <w:rPr>
        <w:b/>
      </w:rPr>
    </w:pPr>
    <w:r>
      <w:t>R.24-09-012  COM/KDL/hma</w:t>
    </w:r>
    <w:r w:rsidR="00E23CBB">
      <w:tab/>
    </w:r>
    <w:r w:rsidR="00E23CBB">
      <w:rPr>
        <w:b/>
      </w:rPr>
      <w:t>PROPOSED DECISION</w:t>
    </w:r>
    <w:r w:rsidR="00C5506F">
      <w:rPr>
        <w:b/>
      </w:rPr>
      <w:t xml:space="preserve"> (R</w:t>
    </w:r>
    <w:r w:rsidR="00B11BB6">
      <w:rPr>
        <w:b/>
      </w:rPr>
      <w:t>ev</w:t>
    </w:r>
    <w:r w:rsidR="00C5506F">
      <w:rPr>
        <w:b/>
      </w:rPr>
      <w:t>.1)</w:t>
    </w:r>
  </w:p>
  <w:p w14:paraId="4E0A9635" w14:textId="77777777" w:rsidR="00291BB6" w:rsidRPr="00B3087D" w:rsidRDefault="00291BB6"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E729" w14:textId="2A7A27B4" w:rsidR="00291BB6" w:rsidRDefault="00291BB6" w:rsidP="00291BB6">
    <w:pPr>
      <w:pStyle w:val="Header"/>
      <w:tabs>
        <w:tab w:val="clear" w:pos="4680"/>
      </w:tabs>
      <w:ind w:firstLine="0"/>
      <w:rPr>
        <w:b/>
      </w:rPr>
    </w:pPr>
    <w:r>
      <w:t>R.24-09-012  COM/KDL/hma</w:t>
    </w:r>
    <w:r>
      <w:tab/>
    </w:r>
    <w:r>
      <w:rPr>
        <w:b/>
      </w:rPr>
      <w:t>PROPOSED DECISION</w:t>
    </w:r>
    <w:r w:rsidR="00B11BB6">
      <w:rPr>
        <w:b/>
      </w:rPr>
      <w:t xml:space="preserve"> (Rev.1)</w:t>
    </w:r>
  </w:p>
  <w:p w14:paraId="6DB8B712" w14:textId="77777777" w:rsidR="00291BB6" w:rsidRPr="00291BB6" w:rsidRDefault="00291BB6" w:rsidP="00291BB6">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270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7D42660"/>
    <w:multiLevelType w:val="hybridMultilevel"/>
    <w:tmpl w:val="BFA0D20E"/>
    <w:lvl w:ilvl="0" w:tplc="60AE87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8124D7"/>
    <w:multiLevelType w:val="multilevel"/>
    <w:tmpl w:val="3C526EDE"/>
    <w:numStyleLink w:val="Headings"/>
  </w:abstractNum>
  <w:abstractNum w:abstractNumId="10" w15:restartNumberingAfterBreak="0">
    <w:nsid w:val="328553C6"/>
    <w:multiLevelType w:val="hybridMultilevel"/>
    <w:tmpl w:val="8DC2ADA2"/>
    <w:lvl w:ilvl="0" w:tplc="D89A1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37336EB3"/>
    <w:multiLevelType w:val="hybridMultilevel"/>
    <w:tmpl w:val="082849BA"/>
    <w:lvl w:ilvl="0" w:tplc="7A0A5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6767FE"/>
    <w:multiLevelType w:val="hybridMultilevel"/>
    <w:tmpl w:val="010C8D1C"/>
    <w:lvl w:ilvl="0" w:tplc="77F8F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6509B2"/>
    <w:multiLevelType w:val="hybridMultilevel"/>
    <w:tmpl w:val="19C2A4FA"/>
    <w:lvl w:ilvl="0" w:tplc="E15AD1E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D042D7"/>
    <w:multiLevelType w:val="multilevel"/>
    <w:tmpl w:val="18F4A5AC"/>
    <w:numStyleLink w:val="FoFCoLOP"/>
  </w:abstractNum>
  <w:abstractNum w:abstractNumId="16" w15:restartNumberingAfterBreak="0">
    <w:nsid w:val="5A9E2171"/>
    <w:multiLevelType w:val="multilevel"/>
    <w:tmpl w:val="3C526EDE"/>
    <w:numStyleLink w:val="Headings"/>
  </w:abstractNum>
  <w:abstractNum w:abstractNumId="17" w15:restartNumberingAfterBreak="0">
    <w:nsid w:val="61A25780"/>
    <w:multiLevelType w:val="multilevel"/>
    <w:tmpl w:val="3C526EDE"/>
    <w:numStyleLink w:val="Headings"/>
  </w:abstractNum>
  <w:abstractNum w:abstractNumId="18" w15:restartNumberingAfterBreak="0">
    <w:nsid w:val="685D02EF"/>
    <w:multiLevelType w:val="hybridMultilevel"/>
    <w:tmpl w:val="69CE7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E10524"/>
    <w:multiLevelType w:val="hybridMultilevel"/>
    <w:tmpl w:val="9F5ADB30"/>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B75775"/>
    <w:multiLevelType w:val="hybridMultilevel"/>
    <w:tmpl w:val="D8B8C358"/>
    <w:lvl w:ilvl="0" w:tplc="60AE8730">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2" w15:restartNumberingAfterBreak="0">
    <w:nsid w:val="789A0AFE"/>
    <w:multiLevelType w:val="multilevel"/>
    <w:tmpl w:val="18F4A5AC"/>
    <w:numStyleLink w:val="FoFCoLOP"/>
  </w:abstractNum>
  <w:num w:numId="1" w16cid:durableId="1354526949">
    <w:abstractNumId w:val="16"/>
  </w:num>
  <w:num w:numId="2" w16cid:durableId="140774137">
    <w:abstractNumId w:val="1"/>
  </w:num>
  <w:num w:numId="3" w16cid:durableId="1898543446">
    <w:abstractNumId w:val="15"/>
  </w:num>
  <w:num w:numId="4" w16cid:durableId="701521005">
    <w:abstractNumId w:val="2"/>
  </w:num>
  <w:num w:numId="5" w16cid:durableId="2017029027">
    <w:abstractNumId w:val="22"/>
  </w:num>
  <w:num w:numId="6" w16cid:durableId="973756952">
    <w:abstractNumId w:val="11"/>
  </w:num>
  <w:num w:numId="7" w16cid:durableId="827667741">
    <w:abstractNumId w:val="5"/>
  </w:num>
  <w:num w:numId="8" w16cid:durableId="1760327020">
    <w:abstractNumId w:val="20"/>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9"/>
  </w:num>
  <w:num w:numId="15" w16cid:durableId="1714382259">
    <w:abstractNumId w:val="1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7"/>
  </w:num>
  <w:num w:numId="18" w16cid:durableId="836189449">
    <w:abstractNumId w:val="8"/>
  </w:num>
  <w:num w:numId="19" w16cid:durableId="769550432">
    <w:abstractNumId w:val="21"/>
  </w:num>
  <w:num w:numId="20" w16cid:durableId="544879148">
    <w:abstractNumId w:val="10"/>
  </w:num>
  <w:num w:numId="21" w16cid:durableId="1562406128">
    <w:abstractNumId w:val="14"/>
  </w:num>
  <w:num w:numId="22" w16cid:durableId="791293235">
    <w:abstractNumId w:val="13"/>
  </w:num>
  <w:num w:numId="23" w16cid:durableId="332491665">
    <w:abstractNumId w:val="18"/>
  </w:num>
  <w:num w:numId="24" w16cid:durableId="869807665">
    <w:abstractNumId w:val="12"/>
  </w:num>
  <w:num w:numId="25" w16cid:durableId="1913660630">
    <w:abstractNumId w:val="19"/>
  </w:num>
  <w:num w:numId="26" w16cid:durableId="194078881">
    <w:abstractNumId w:val="1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E9"/>
    <w:rsid w:val="00000F6A"/>
    <w:rsid w:val="0000567F"/>
    <w:rsid w:val="00006553"/>
    <w:rsid w:val="00011A13"/>
    <w:rsid w:val="00015330"/>
    <w:rsid w:val="00017E2E"/>
    <w:rsid w:val="000241F9"/>
    <w:rsid w:val="00027383"/>
    <w:rsid w:val="000439EA"/>
    <w:rsid w:val="00044BC8"/>
    <w:rsid w:val="000632C1"/>
    <w:rsid w:val="00064285"/>
    <w:rsid w:val="00065724"/>
    <w:rsid w:val="000671AB"/>
    <w:rsid w:val="0007115A"/>
    <w:rsid w:val="00074185"/>
    <w:rsid w:val="00082430"/>
    <w:rsid w:val="000973C8"/>
    <w:rsid w:val="000A2AA9"/>
    <w:rsid w:val="000A56F2"/>
    <w:rsid w:val="000A60C9"/>
    <w:rsid w:val="000A6E05"/>
    <w:rsid w:val="000B12FA"/>
    <w:rsid w:val="000B3AEB"/>
    <w:rsid w:val="000B788A"/>
    <w:rsid w:val="000C08BF"/>
    <w:rsid w:val="000C3B9A"/>
    <w:rsid w:val="000C5E7E"/>
    <w:rsid w:val="000C66D2"/>
    <w:rsid w:val="000D1A8D"/>
    <w:rsid w:val="000D23F2"/>
    <w:rsid w:val="000D25A8"/>
    <w:rsid w:val="000E270A"/>
    <w:rsid w:val="000E4C53"/>
    <w:rsid w:val="000E6C49"/>
    <w:rsid w:val="000F07AB"/>
    <w:rsid w:val="000F44AB"/>
    <w:rsid w:val="000F48C6"/>
    <w:rsid w:val="000F71FB"/>
    <w:rsid w:val="000F7290"/>
    <w:rsid w:val="00102E94"/>
    <w:rsid w:val="00110D03"/>
    <w:rsid w:val="00121089"/>
    <w:rsid w:val="00124648"/>
    <w:rsid w:val="00124EB5"/>
    <w:rsid w:val="00127E64"/>
    <w:rsid w:val="001312D2"/>
    <w:rsid w:val="00134304"/>
    <w:rsid w:val="00135C54"/>
    <w:rsid w:val="00143364"/>
    <w:rsid w:val="001503C6"/>
    <w:rsid w:val="00152429"/>
    <w:rsid w:val="00166206"/>
    <w:rsid w:val="0016682B"/>
    <w:rsid w:val="00167F3B"/>
    <w:rsid w:val="001803D8"/>
    <w:rsid w:val="00184A8F"/>
    <w:rsid w:val="00192986"/>
    <w:rsid w:val="00192D39"/>
    <w:rsid w:val="00193049"/>
    <w:rsid w:val="001937C9"/>
    <w:rsid w:val="001A0DB1"/>
    <w:rsid w:val="001A3467"/>
    <w:rsid w:val="001A61FC"/>
    <w:rsid w:val="001A69DF"/>
    <w:rsid w:val="001B3C54"/>
    <w:rsid w:val="001B57EA"/>
    <w:rsid w:val="001C3467"/>
    <w:rsid w:val="001C363F"/>
    <w:rsid w:val="001C3B57"/>
    <w:rsid w:val="001D66E9"/>
    <w:rsid w:val="001E2A62"/>
    <w:rsid w:val="001E2C2D"/>
    <w:rsid w:val="001F2819"/>
    <w:rsid w:val="001F696B"/>
    <w:rsid w:val="001F70F7"/>
    <w:rsid w:val="002028BD"/>
    <w:rsid w:val="002043EC"/>
    <w:rsid w:val="00214E96"/>
    <w:rsid w:val="002224D9"/>
    <w:rsid w:val="00222E50"/>
    <w:rsid w:val="00236B36"/>
    <w:rsid w:val="00240755"/>
    <w:rsid w:val="00241AD0"/>
    <w:rsid w:val="00242714"/>
    <w:rsid w:val="00243DC0"/>
    <w:rsid w:val="00246587"/>
    <w:rsid w:val="00247477"/>
    <w:rsid w:val="00254DC4"/>
    <w:rsid w:val="0025635C"/>
    <w:rsid w:val="00263923"/>
    <w:rsid w:val="002650F9"/>
    <w:rsid w:val="00265B76"/>
    <w:rsid w:val="00270440"/>
    <w:rsid w:val="00277C9F"/>
    <w:rsid w:val="0028343A"/>
    <w:rsid w:val="002847D0"/>
    <w:rsid w:val="00284D8D"/>
    <w:rsid w:val="0028630E"/>
    <w:rsid w:val="00286703"/>
    <w:rsid w:val="00287BC5"/>
    <w:rsid w:val="00291BB6"/>
    <w:rsid w:val="0029287B"/>
    <w:rsid w:val="00293565"/>
    <w:rsid w:val="00293DEE"/>
    <w:rsid w:val="00294D9D"/>
    <w:rsid w:val="002A0B5D"/>
    <w:rsid w:val="002A57B2"/>
    <w:rsid w:val="002B2A27"/>
    <w:rsid w:val="002B311B"/>
    <w:rsid w:val="002B592E"/>
    <w:rsid w:val="002C0E62"/>
    <w:rsid w:val="002C7B59"/>
    <w:rsid w:val="002C7FE9"/>
    <w:rsid w:val="002D0DC5"/>
    <w:rsid w:val="002D4EFD"/>
    <w:rsid w:val="002D6051"/>
    <w:rsid w:val="002E30DA"/>
    <w:rsid w:val="002E5677"/>
    <w:rsid w:val="002F6248"/>
    <w:rsid w:val="003001EC"/>
    <w:rsid w:val="00300851"/>
    <w:rsid w:val="00304EA8"/>
    <w:rsid w:val="003106B8"/>
    <w:rsid w:val="0031203F"/>
    <w:rsid w:val="003157F3"/>
    <w:rsid w:val="00315A97"/>
    <w:rsid w:val="00316071"/>
    <w:rsid w:val="00320038"/>
    <w:rsid w:val="00323569"/>
    <w:rsid w:val="00327CAB"/>
    <w:rsid w:val="003325B9"/>
    <w:rsid w:val="003340CF"/>
    <w:rsid w:val="00341627"/>
    <w:rsid w:val="00343E5C"/>
    <w:rsid w:val="00344FB8"/>
    <w:rsid w:val="003465C8"/>
    <w:rsid w:val="00347EAA"/>
    <w:rsid w:val="0035154F"/>
    <w:rsid w:val="00354CB5"/>
    <w:rsid w:val="0036017B"/>
    <w:rsid w:val="00360214"/>
    <w:rsid w:val="00362755"/>
    <w:rsid w:val="00373B93"/>
    <w:rsid w:val="003741CE"/>
    <w:rsid w:val="00374892"/>
    <w:rsid w:val="00380CD1"/>
    <w:rsid w:val="003813AE"/>
    <w:rsid w:val="00381655"/>
    <w:rsid w:val="0038786C"/>
    <w:rsid w:val="003910FC"/>
    <w:rsid w:val="00393A41"/>
    <w:rsid w:val="003959D0"/>
    <w:rsid w:val="003A02CA"/>
    <w:rsid w:val="003A0D13"/>
    <w:rsid w:val="003A15B1"/>
    <w:rsid w:val="003A38F0"/>
    <w:rsid w:val="003A3AEB"/>
    <w:rsid w:val="003A657A"/>
    <w:rsid w:val="003A68F3"/>
    <w:rsid w:val="003A7814"/>
    <w:rsid w:val="003B1B41"/>
    <w:rsid w:val="003D0839"/>
    <w:rsid w:val="003D7692"/>
    <w:rsid w:val="003E2235"/>
    <w:rsid w:val="003E6339"/>
    <w:rsid w:val="003E6AAE"/>
    <w:rsid w:val="003F069A"/>
    <w:rsid w:val="003F4329"/>
    <w:rsid w:val="00402C17"/>
    <w:rsid w:val="00403B54"/>
    <w:rsid w:val="00406FC9"/>
    <w:rsid w:val="00412534"/>
    <w:rsid w:val="00412C83"/>
    <w:rsid w:val="00415457"/>
    <w:rsid w:val="004179EE"/>
    <w:rsid w:val="0042073C"/>
    <w:rsid w:val="00425B16"/>
    <w:rsid w:val="00426014"/>
    <w:rsid w:val="00427DCB"/>
    <w:rsid w:val="00434306"/>
    <w:rsid w:val="00443BC0"/>
    <w:rsid w:val="00445539"/>
    <w:rsid w:val="00445E8E"/>
    <w:rsid w:val="0044617E"/>
    <w:rsid w:val="0045329C"/>
    <w:rsid w:val="0046078B"/>
    <w:rsid w:val="00460B7D"/>
    <w:rsid w:val="00464C13"/>
    <w:rsid w:val="004659C1"/>
    <w:rsid w:val="0046724F"/>
    <w:rsid w:val="00473979"/>
    <w:rsid w:val="00473E02"/>
    <w:rsid w:val="0047737F"/>
    <w:rsid w:val="00480CB0"/>
    <w:rsid w:val="0048101F"/>
    <w:rsid w:val="00483603"/>
    <w:rsid w:val="004878D7"/>
    <w:rsid w:val="00492855"/>
    <w:rsid w:val="00494999"/>
    <w:rsid w:val="00497603"/>
    <w:rsid w:val="004A1EAD"/>
    <w:rsid w:val="004A47BE"/>
    <w:rsid w:val="004B0067"/>
    <w:rsid w:val="004B34EA"/>
    <w:rsid w:val="004B5494"/>
    <w:rsid w:val="004C0C1F"/>
    <w:rsid w:val="004C317B"/>
    <w:rsid w:val="004C7A2B"/>
    <w:rsid w:val="004C7D3A"/>
    <w:rsid w:val="004C7E23"/>
    <w:rsid w:val="004D161F"/>
    <w:rsid w:val="004D16A5"/>
    <w:rsid w:val="004D1CF8"/>
    <w:rsid w:val="004D4306"/>
    <w:rsid w:val="004D456E"/>
    <w:rsid w:val="004D62BB"/>
    <w:rsid w:val="004D683C"/>
    <w:rsid w:val="004E0F53"/>
    <w:rsid w:val="004E30B5"/>
    <w:rsid w:val="004E3B11"/>
    <w:rsid w:val="004E55B2"/>
    <w:rsid w:val="004F0D89"/>
    <w:rsid w:val="004F633F"/>
    <w:rsid w:val="004F6C83"/>
    <w:rsid w:val="00500703"/>
    <w:rsid w:val="005018A8"/>
    <w:rsid w:val="005026BF"/>
    <w:rsid w:val="00505A39"/>
    <w:rsid w:val="0051088D"/>
    <w:rsid w:val="005153F9"/>
    <w:rsid w:val="00515F97"/>
    <w:rsid w:val="005175B4"/>
    <w:rsid w:val="005202FB"/>
    <w:rsid w:val="00520A2A"/>
    <w:rsid w:val="00520E1A"/>
    <w:rsid w:val="005240BF"/>
    <w:rsid w:val="005425AB"/>
    <w:rsid w:val="00555110"/>
    <w:rsid w:val="00555124"/>
    <w:rsid w:val="00560115"/>
    <w:rsid w:val="00561DA3"/>
    <w:rsid w:val="00561FB4"/>
    <w:rsid w:val="00571A6F"/>
    <w:rsid w:val="005816AE"/>
    <w:rsid w:val="005831DB"/>
    <w:rsid w:val="00585390"/>
    <w:rsid w:val="00585EF1"/>
    <w:rsid w:val="00591952"/>
    <w:rsid w:val="005920AF"/>
    <w:rsid w:val="005939A5"/>
    <w:rsid w:val="005964DE"/>
    <w:rsid w:val="005A0154"/>
    <w:rsid w:val="005A0D9A"/>
    <w:rsid w:val="005A148C"/>
    <w:rsid w:val="005A16FE"/>
    <w:rsid w:val="005A4937"/>
    <w:rsid w:val="005B20C6"/>
    <w:rsid w:val="005B398D"/>
    <w:rsid w:val="005B6CFE"/>
    <w:rsid w:val="005B7017"/>
    <w:rsid w:val="005C17FA"/>
    <w:rsid w:val="005C3E6B"/>
    <w:rsid w:val="005C58FA"/>
    <w:rsid w:val="005C72A9"/>
    <w:rsid w:val="005D42E6"/>
    <w:rsid w:val="005E0390"/>
    <w:rsid w:val="005E03F1"/>
    <w:rsid w:val="005F4A92"/>
    <w:rsid w:val="005F7E95"/>
    <w:rsid w:val="00603238"/>
    <w:rsid w:val="006065B5"/>
    <w:rsid w:val="006101BB"/>
    <w:rsid w:val="00610468"/>
    <w:rsid w:val="00613BC1"/>
    <w:rsid w:val="006162F1"/>
    <w:rsid w:val="00632207"/>
    <w:rsid w:val="0063491C"/>
    <w:rsid w:val="00641A5C"/>
    <w:rsid w:val="006432D1"/>
    <w:rsid w:val="0064512C"/>
    <w:rsid w:val="00645FD5"/>
    <w:rsid w:val="00657902"/>
    <w:rsid w:val="00661AFE"/>
    <w:rsid w:val="00667862"/>
    <w:rsid w:val="00670030"/>
    <w:rsid w:val="0067679F"/>
    <w:rsid w:val="00680E0E"/>
    <w:rsid w:val="00680F19"/>
    <w:rsid w:val="006810FD"/>
    <w:rsid w:val="00683B2C"/>
    <w:rsid w:val="00685C29"/>
    <w:rsid w:val="00694B30"/>
    <w:rsid w:val="00694F5B"/>
    <w:rsid w:val="00695075"/>
    <w:rsid w:val="006959B9"/>
    <w:rsid w:val="00695C29"/>
    <w:rsid w:val="00697385"/>
    <w:rsid w:val="006A042C"/>
    <w:rsid w:val="006B6E17"/>
    <w:rsid w:val="006C0FDD"/>
    <w:rsid w:val="006C1F10"/>
    <w:rsid w:val="006C2149"/>
    <w:rsid w:val="006C2F95"/>
    <w:rsid w:val="006C6A46"/>
    <w:rsid w:val="006D33F3"/>
    <w:rsid w:val="006D79FB"/>
    <w:rsid w:val="006E5E28"/>
    <w:rsid w:val="006E6574"/>
    <w:rsid w:val="006F426F"/>
    <w:rsid w:val="006F50A2"/>
    <w:rsid w:val="006F5F6A"/>
    <w:rsid w:val="006F6777"/>
    <w:rsid w:val="006F72E6"/>
    <w:rsid w:val="0070746D"/>
    <w:rsid w:val="0071353D"/>
    <w:rsid w:val="00714CF2"/>
    <w:rsid w:val="007156B9"/>
    <w:rsid w:val="00720817"/>
    <w:rsid w:val="00722850"/>
    <w:rsid w:val="00726650"/>
    <w:rsid w:val="0073353F"/>
    <w:rsid w:val="00733B76"/>
    <w:rsid w:val="00735A91"/>
    <w:rsid w:val="00736BE6"/>
    <w:rsid w:val="00742E45"/>
    <w:rsid w:val="007447AF"/>
    <w:rsid w:val="00750816"/>
    <w:rsid w:val="00753B65"/>
    <w:rsid w:val="00757454"/>
    <w:rsid w:val="00760BD5"/>
    <w:rsid w:val="007657C1"/>
    <w:rsid w:val="00776991"/>
    <w:rsid w:val="00776D21"/>
    <w:rsid w:val="0077755F"/>
    <w:rsid w:val="0078420E"/>
    <w:rsid w:val="00793419"/>
    <w:rsid w:val="007965EE"/>
    <w:rsid w:val="007A02A1"/>
    <w:rsid w:val="007A406D"/>
    <w:rsid w:val="007A62B0"/>
    <w:rsid w:val="007B2F10"/>
    <w:rsid w:val="007B33EE"/>
    <w:rsid w:val="007B5F1D"/>
    <w:rsid w:val="007B721E"/>
    <w:rsid w:val="007C01DF"/>
    <w:rsid w:val="007C1C09"/>
    <w:rsid w:val="007C5A0C"/>
    <w:rsid w:val="007D6846"/>
    <w:rsid w:val="007E0FEE"/>
    <w:rsid w:val="007E14F8"/>
    <w:rsid w:val="007E1778"/>
    <w:rsid w:val="007E3C4D"/>
    <w:rsid w:val="007E433A"/>
    <w:rsid w:val="007F03EF"/>
    <w:rsid w:val="007F1E30"/>
    <w:rsid w:val="007F2017"/>
    <w:rsid w:val="007F2FF9"/>
    <w:rsid w:val="007F6B30"/>
    <w:rsid w:val="007F70D7"/>
    <w:rsid w:val="007F72D5"/>
    <w:rsid w:val="00800714"/>
    <w:rsid w:val="0080390E"/>
    <w:rsid w:val="008159CF"/>
    <w:rsid w:val="00816E05"/>
    <w:rsid w:val="008245DB"/>
    <w:rsid w:val="00825A24"/>
    <w:rsid w:val="008339BB"/>
    <w:rsid w:val="00834083"/>
    <w:rsid w:val="0084716C"/>
    <w:rsid w:val="008544B2"/>
    <w:rsid w:val="00854CC3"/>
    <w:rsid w:val="00856428"/>
    <w:rsid w:val="0086419A"/>
    <w:rsid w:val="0087023B"/>
    <w:rsid w:val="008756AD"/>
    <w:rsid w:val="00887513"/>
    <w:rsid w:val="00887F8F"/>
    <w:rsid w:val="00890A14"/>
    <w:rsid w:val="008967D4"/>
    <w:rsid w:val="008A08BF"/>
    <w:rsid w:val="008A161B"/>
    <w:rsid w:val="008A171B"/>
    <w:rsid w:val="008A179F"/>
    <w:rsid w:val="008A445C"/>
    <w:rsid w:val="008A73D2"/>
    <w:rsid w:val="008A7F31"/>
    <w:rsid w:val="008B0864"/>
    <w:rsid w:val="008B175A"/>
    <w:rsid w:val="008B2C1D"/>
    <w:rsid w:val="008B2D0E"/>
    <w:rsid w:val="008B40C3"/>
    <w:rsid w:val="008B5337"/>
    <w:rsid w:val="008B5B66"/>
    <w:rsid w:val="008B6629"/>
    <w:rsid w:val="008C3CB7"/>
    <w:rsid w:val="008C4091"/>
    <w:rsid w:val="008C5A6E"/>
    <w:rsid w:val="008C5DD4"/>
    <w:rsid w:val="008C6AB7"/>
    <w:rsid w:val="008C7413"/>
    <w:rsid w:val="008D16B7"/>
    <w:rsid w:val="008D3329"/>
    <w:rsid w:val="008D4380"/>
    <w:rsid w:val="008D5DE5"/>
    <w:rsid w:val="008D6184"/>
    <w:rsid w:val="008D6567"/>
    <w:rsid w:val="008D6A16"/>
    <w:rsid w:val="008E3E04"/>
    <w:rsid w:val="008E5A59"/>
    <w:rsid w:val="008E6AE6"/>
    <w:rsid w:val="008F0116"/>
    <w:rsid w:val="008F143D"/>
    <w:rsid w:val="008F25AD"/>
    <w:rsid w:val="008F6FD5"/>
    <w:rsid w:val="008F776A"/>
    <w:rsid w:val="00902310"/>
    <w:rsid w:val="00904CC9"/>
    <w:rsid w:val="0091114C"/>
    <w:rsid w:val="00912DA7"/>
    <w:rsid w:val="009139A8"/>
    <w:rsid w:val="00917CC9"/>
    <w:rsid w:val="00926C09"/>
    <w:rsid w:val="00932865"/>
    <w:rsid w:val="00943190"/>
    <w:rsid w:val="00943E53"/>
    <w:rsid w:val="00950339"/>
    <w:rsid w:val="00975F0A"/>
    <w:rsid w:val="00980740"/>
    <w:rsid w:val="00981037"/>
    <w:rsid w:val="0098138E"/>
    <w:rsid w:val="00985BED"/>
    <w:rsid w:val="0098655A"/>
    <w:rsid w:val="009A0295"/>
    <w:rsid w:val="009A4D6E"/>
    <w:rsid w:val="009A6E36"/>
    <w:rsid w:val="009C42DC"/>
    <w:rsid w:val="009C5276"/>
    <w:rsid w:val="009C5B11"/>
    <w:rsid w:val="009E6052"/>
    <w:rsid w:val="009E7C7F"/>
    <w:rsid w:val="009F189E"/>
    <w:rsid w:val="009F39F6"/>
    <w:rsid w:val="009F51D9"/>
    <w:rsid w:val="00A049AA"/>
    <w:rsid w:val="00A10721"/>
    <w:rsid w:val="00A1516C"/>
    <w:rsid w:val="00A153CE"/>
    <w:rsid w:val="00A1664D"/>
    <w:rsid w:val="00A17CE0"/>
    <w:rsid w:val="00A216A2"/>
    <w:rsid w:val="00A233A1"/>
    <w:rsid w:val="00A23D48"/>
    <w:rsid w:val="00A345A2"/>
    <w:rsid w:val="00A36C35"/>
    <w:rsid w:val="00A42306"/>
    <w:rsid w:val="00A43FD7"/>
    <w:rsid w:val="00A44E8D"/>
    <w:rsid w:val="00A46EA8"/>
    <w:rsid w:val="00A518B6"/>
    <w:rsid w:val="00A5195A"/>
    <w:rsid w:val="00A55ACD"/>
    <w:rsid w:val="00A631B4"/>
    <w:rsid w:val="00A70F52"/>
    <w:rsid w:val="00A711A8"/>
    <w:rsid w:val="00A770D3"/>
    <w:rsid w:val="00A8075A"/>
    <w:rsid w:val="00A84E47"/>
    <w:rsid w:val="00A852EC"/>
    <w:rsid w:val="00A85C9F"/>
    <w:rsid w:val="00A85D27"/>
    <w:rsid w:val="00A925FF"/>
    <w:rsid w:val="00A97609"/>
    <w:rsid w:val="00AA263A"/>
    <w:rsid w:val="00AB07E8"/>
    <w:rsid w:val="00AB098C"/>
    <w:rsid w:val="00AB3097"/>
    <w:rsid w:val="00AB7875"/>
    <w:rsid w:val="00AC183E"/>
    <w:rsid w:val="00AC303A"/>
    <w:rsid w:val="00AC68EE"/>
    <w:rsid w:val="00AD0ACA"/>
    <w:rsid w:val="00AD1CC1"/>
    <w:rsid w:val="00AD638A"/>
    <w:rsid w:val="00AE0D59"/>
    <w:rsid w:val="00AE3898"/>
    <w:rsid w:val="00AE4CE8"/>
    <w:rsid w:val="00AF20C9"/>
    <w:rsid w:val="00AF7A6A"/>
    <w:rsid w:val="00B01161"/>
    <w:rsid w:val="00B01F7E"/>
    <w:rsid w:val="00B027D9"/>
    <w:rsid w:val="00B03DC2"/>
    <w:rsid w:val="00B11BB6"/>
    <w:rsid w:val="00B15961"/>
    <w:rsid w:val="00B16C2A"/>
    <w:rsid w:val="00B17F8A"/>
    <w:rsid w:val="00B21029"/>
    <w:rsid w:val="00B23181"/>
    <w:rsid w:val="00B238D8"/>
    <w:rsid w:val="00B2543F"/>
    <w:rsid w:val="00B3087D"/>
    <w:rsid w:val="00B31E6E"/>
    <w:rsid w:val="00B34794"/>
    <w:rsid w:val="00B36F04"/>
    <w:rsid w:val="00B41F53"/>
    <w:rsid w:val="00B51A35"/>
    <w:rsid w:val="00B5423B"/>
    <w:rsid w:val="00B60421"/>
    <w:rsid w:val="00B63122"/>
    <w:rsid w:val="00B65750"/>
    <w:rsid w:val="00B7468D"/>
    <w:rsid w:val="00B76A8E"/>
    <w:rsid w:val="00B77FD0"/>
    <w:rsid w:val="00B8128C"/>
    <w:rsid w:val="00B81A56"/>
    <w:rsid w:val="00B81EB6"/>
    <w:rsid w:val="00B826DC"/>
    <w:rsid w:val="00B845F8"/>
    <w:rsid w:val="00B872D6"/>
    <w:rsid w:val="00B97E79"/>
    <w:rsid w:val="00BA4132"/>
    <w:rsid w:val="00BA4258"/>
    <w:rsid w:val="00BA632B"/>
    <w:rsid w:val="00BA713A"/>
    <w:rsid w:val="00BA7D0D"/>
    <w:rsid w:val="00BB0243"/>
    <w:rsid w:val="00BB0D27"/>
    <w:rsid w:val="00BB6CD7"/>
    <w:rsid w:val="00BD1565"/>
    <w:rsid w:val="00BE1C23"/>
    <w:rsid w:val="00BE5F31"/>
    <w:rsid w:val="00BE61E8"/>
    <w:rsid w:val="00BE7CCB"/>
    <w:rsid w:val="00BF6130"/>
    <w:rsid w:val="00BF6235"/>
    <w:rsid w:val="00BF712B"/>
    <w:rsid w:val="00BF72AE"/>
    <w:rsid w:val="00C030A6"/>
    <w:rsid w:val="00C03F58"/>
    <w:rsid w:val="00C03FB1"/>
    <w:rsid w:val="00C042C9"/>
    <w:rsid w:val="00C10B5F"/>
    <w:rsid w:val="00C15B76"/>
    <w:rsid w:val="00C24D4C"/>
    <w:rsid w:val="00C44B04"/>
    <w:rsid w:val="00C477FC"/>
    <w:rsid w:val="00C5506F"/>
    <w:rsid w:val="00C6297C"/>
    <w:rsid w:val="00C629F9"/>
    <w:rsid w:val="00C66076"/>
    <w:rsid w:val="00C660AA"/>
    <w:rsid w:val="00C66A9C"/>
    <w:rsid w:val="00C82BC5"/>
    <w:rsid w:val="00C83339"/>
    <w:rsid w:val="00C878D5"/>
    <w:rsid w:val="00C9033B"/>
    <w:rsid w:val="00C90B5F"/>
    <w:rsid w:val="00C913A1"/>
    <w:rsid w:val="00C916D7"/>
    <w:rsid w:val="00C94594"/>
    <w:rsid w:val="00C94D7B"/>
    <w:rsid w:val="00CA030A"/>
    <w:rsid w:val="00CA510A"/>
    <w:rsid w:val="00CC318C"/>
    <w:rsid w:val="00CC3536"/>
    <w:rsid w:val="00CC6A99"/>
    <w:rsid w:val="00CD0010"/>
    <w:rsid w:val="00CD1C0A"/>
    <w:rsid w:val="00CD3CE9"/>
    <w:rsid w:val="00CE0BEC"/>
    <w:rsid w:val="00CE351E"/>
    <w:rsid w:val="00CE3C1B"/>
    <w:rsid w:val="00CE402D"/>
    <w:rsid w:val="00CE69F7"/>
    <w:rsid w:val="00CF5F15"/>
    <w:rsid w:val="00CF75A8"/>
    <w:rsid w:val="00D00AA3"/>
    <w:rsid w:val="00D0504E"/>
    <w:rsid w:val="00D07F73"/>
    <w:rsid w:val="00D1397A"/>
    <w:rsid w:val="00D14844"/>
    <w:rsid w:val="00D2041C"/>
    <w:rsid w:val="00D2370C"/>
    <w:rsid w:val="00D247D4"/>
    <w:rsid w:val="00D25ADE"/>
    <w:rsid w:val="00D31E06"/>
    <w:rsid w:val="00D37D6B"/>
    <w:rsid w:val="00D41A4B"/>
    <w:rsid w:val="00D42437"/>
    <w:rsid w:val="00D43297"/>
    <w:rsid w:val="00D44DB6"/>
    <w:rsid w:val="00D50119"/>
    <w:rsid w:val="00D60A03"/>
    <w:rsid w:val="00D60B23"/>
    <w:rsid w:val="00D62539"/>
    <w:rsid w:val="00D71D16"/>
    <w:rsid w:val="00D72274"/>
    <w:rsid w:val="00D73D76"/>
    <w:rsid w:val="00D771E3"/>
    <w:rsid w:val="00D820FA"/>
    <w:rsid w:val="00D82A43"/>
    <w:rsid w:val="00D8305D"/>
    <w:rsid w:val="00D9368D"/>
    <w:rsid w:val="00D9528C"/>
    <w:rsid w:val="00D95520"/>
    <w:rsid w:val="00DA280D"/>
    <w:rsid w:val="00DA7B5D"/>
    <w:rsid w:val="00DB190E"/>
    <w:rsid w:val="00DB5DF0"/>
    <w:rsid w:val="00DC3CD9"/>
    <w:rsid w:val="00DD10A0"/>
    <w:rsid w:val="00DF351F"/>
    <w:rsid w:val="00DF58E7"/>
    <w:rsid w:val="00DF5C63"/>
    <w:rsid w:val="00DF7FC4"/>
    <w:rsid w:val="00E02F69"/>
    <w:rsid w:val="00E03A90"/>
    <w:rsid w:val="00E11422"/>
    <w:rsid w:val="00E11876"/>
    <w:rsid w:val="00E13825"/>
    <w:rsid w:val="00E23C4B"/>
    <w:rsid w:val="00E23CBB"/>
    <w:rsid w:val="00E2774D"/>
    <w:rsid w:val="00E3524D"/>
    <w:rsid w:val="00E36D27"/>
    <w:rsid w:val="00E37B59"/>
    <w:rsid w:val="00E450D4"/>
    <w:rsid w:val="00E46C2D"/>
    <w:rsid w:val="00E47FF5"/>
    <w:rsid w:val="00E53438"/>
    <w:rsid w:val="00E54270"/>
    <w:rsid w:val="00E57342"/>
    <w:rsid w:val="00E57457"/>
    <w:rsid w:val="00E66858"/>
    <w:rsid w:val="00E706F4"/>
    <w:rsid w:val="00E71AB6"/>
    <w:rsid w:val="00E725FC"/>
    <w:rsid w:val="00E95FB3"/>
    <w:rsid w:val="00EA0F34"/>
    <w:rsid w:val="00EA35DF"/>
    <w:rsid w:val="00EA36C6"/>
    <w:rsid w:val="00EA724B"/>
    <w:rsid w:val="00EB0E08"/>
    <w:rsid w:val="00EB5067"/>
    <w:rsid w:val="00EC1502"/>
    <w:rsid w:val="00EC30F9"/>
    <w:rsid w:val="00EC3FDB"/>
    <w:rsid w:val="00EC5524"/>
    <w:rsid w:val="00EC7E76"/>
    <w:rsid w:val="00ED314B"/>
    <w:rsid w:val="00ED5725"/>
    <w:rsid w:val="00ED7031"/>
    <w:rsid w:val="00EE3060"/>
    <w:rsid w:val="00EE4315"/>
    <w:rsid w:val="00EE4CC0"/>
    <w:rsid w:val="00EE5AB0"/>
    <w:rsid w:val="00EE78B0"/>
    <w:rsid w:val="00EF0003"/>
    <w:rsid w:val="00EF2567"/>
    <w:rsid w:val="00EF2FED"/>
    <w:rsid w:val="00EF3CC6"/>
    <w:rsid w:val="00EF559E"/>
    <w:rsid w:val="00EF6925"/>
    <w:rsid w:val="00F0139E"/>
    <w:rsid w:val="00F10CE1"/>
    <w:rsid w:val="00F11040"/>
    <w:rsid w:val="00F12118"/>
    <w:rsid w:val="00F134A9"/>
    <w:rsid w:val="00F16018"/>
    <w:rsid w:val="00F16E32"/>
    <w:rsid w:val="00F17A4F"/>
    <w:rsid w:val="00F25645"/>
    <w:rsid w:val="00F26ED3"/>
    <w:rsid w:val="00F31C5B"/>
    <w:rsid w:val="00F32AFE"/>
    <w:rsid w:val="00F332CD"/>
    <w:rsid w:val="00F4175C"/>
    <w:rsid w:val="00F41C77"/>
    <w:rsid w:val="00F522CF"/>
    <w:rsid w:val="00F545A3"/>
    <w:rsid w:val="00F61B49"/>
    <w:rsid w:val="00F62B7A"/>
    <w:rsid w:val="00F6397D"/>
    <w:rsid w:val="00F7293E"/>
    <w:rsid w:val="00F74183"/>
    <w:rsid w:val="00F76650"/>
    <w:rsid w:val="00F8275B"/>
    <w:rsid w:val="00F8304A"/>
    <w:rsid w:val="00F904A0"/>
    <w:rsid w:val="00F9187B"/>
    <w:rsid w:val="00F92385"/>
    <w:rsid w:val="00F92DEB"/>
    <w:rsid w:val="00F94072"/>
    <w:rsid w:val="00F96DE9"/>
    <w:rsid w:val="00FA1954"/>
    <w:rsid w:val="00FA1B4F"/>
    <w:rsid w:val="00FA20F5"/>
    <w:rsid w:val="00FA42E3"/>
    <w:rsid w:val="00FA619C"/>
    <w:rsid w:val="00FA7004"/>
    <w:rsid w:val="00FB2457"/>
    <w:rsid w:val="00FC4097"/>
    <w:rsid w:val="00FC47F9"/>
    <w:rsid w:val="00FC4960"/>
    <w:rsid w:val="00FC49E6"/>
    <w:rsid w:val="00FC520E"/>
    <w:rsid w:val="00FD664E"/>
    <w:rsid w:val="00FE0ED7"/>
    <w:rsid w:val="00FE2351"/>
    <w:rsid w:val="00FE337D"/>
    <w:rsid w:val="00FE33B4"/>
    <w:rsid w:val="00FE5488"/>
    <w:rsid w:val="00FE5580"/>
    <w:rsid w:val="00FE7261"/>
    <w:rsid w:val="00FF110C"/>
    <w:rsid w:val="00FF1651"/>
    <w:rsid w:val="00FF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98DA5"/>
  <w15:chartTrackingRefBased/>
  <w15:docId w15:val="{40CE9E4B-6263-4CE8-B968-CDC5C9A1E3C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left="0" w:firstLine="547"/>
    </w:pPr>
  </w:style>
  <w:style w:type="paragraph" w:customStyle="1" w:styleId="CoL">
    <w:name w:val="CoL"/>
    <w:basedOn w:val="Standard"/>
    <w:uiPriority w:val="7"/>
    <w:qFormat/>
    <w:rsid w:val="001E2A62"/>
    <w:pPr>
      <w:numPr>
        <w:numId w:val="4"/>
      </w:numPr>
      <w:ind w:left="0"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ind w:left="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UnresolvedMention">
    <w:name w:val="Unresolved Mention"/>
    <w:basedOn w:val="DefaultParagraphFont"/>
    <w:uiPriority w:val="99"/>
    <w:semiHidden/>
    <w:unhideWhenUsed/>
    <w:rsid w:val="00402C17"/>
    <w:rPr>
      <w:color w:val="605E5C"/>
      <w:shd w:val="clear" w:color="auto" w:fill="E1DFDD"/>
    </w:rPr>
  </w:style>
  <w:style w:type="character" w:styleId="CommentReference">
    <w:name w:val="annotation reference"/>
    <w:basedOn w:val="DefaultParagraphFont"/>
    <w:uiPriority w:val="99"/>
    <w:semiHidden/>
    <w:unhideWhenUsed/>
    <w:rsid w:val="00BF6130"/>
    <w:rPr>
      <w:sz w:val="16"/>
      <w:szCs w:val="16"/>
    </w:rPr>
  </w:style>
  <w:style w:type="paragraph" w:styleId="CommentText">
    <w:name w:val="annotation text"/>
    <w:basedOn w:val="Normal"/>
    <w:link w:val="CommentTextChar"/>
    <w:uiPriority w:val="99"/>
    <w:unhideWhenUsed/>
    <w:rsid w:val="00BF6130"/>
    <w:pPr>
      <w:spacing w:line="240" w:lineRule="auto"/>
    </w:pPr>
    <w:rPr>
      <w:sz w:val="20"/>
      <w:szCs w:val="20"/>
    </w:rPr>
  </w:style>
  <w:style w:type="character" w:customStyle="1" w:styleId="CommentTextChar">
    <w:name w:val="Comment Text Char"/>
    <w:basedOn w:val="DefaultParagraphFont"/>
    <w:link w:val="CommentText"/>
    <w:uiPriority w:val="99"/>
    <w:rsid w:val="00BF6130"/>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F6130"/>
    <w:rPr>
      <w:b/>
      <w:bCs/>
    </w:rPr>
  </w:style>
  <w:style w:type="character" w:customStyle="1" w:styleId="CommentSubjectChar">
    <w:name w:val="Comment Subject Char"/>
    <w:basedOn w:val="CommentTextChar"/>
    <w:link w:val="CommentSubject"/>
    <w:uiPriority w:val="99"/>
    <w:semiHidden/>
    <w:rsid w:val="00BF6130"/>
    <w:rPr>
      <w:rFonts w:ascii="Book Antiqua" w:hAnsi="Book Antiqua"/>
      <w:b/>
      <w:bCs/>
      <w:sz w:val="20"/>
      <w:szCs w:val="20"/>
    </w:rPr>
  </w:style>
  <w:style w:type="character" w:styleId="FollowedHyperlink">
    <w:name w:val="FollowedHyperlink"/>
    <w:basedOn w:val="DefaultParagraphFont"/>
    <w:uiPriority w:val="99"/>
    <w:semiHidden/>
    <w:unhideWhenUsed/>
    <w:rsid w:val="00BF6130"/>
    <w:rPr>
      <w:color w:val="954F72" w:themeColor="followedHyperlink"/>
      <w:u w:val="single"/>
    </w:rPr>
  </w:style>
  <w:style w:type="paragraph" w:styleId="Revision">
    <w:name w:val="Revision"/>
    <w:hidden/>
    <w:uiPriority w:val="99"/>
    <w:semiHidden/>
    <w:rsid w:val="00AE0D59"/>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0/K892/590892609.pdf" TargetMode="External" Id="Rd9122556b0c84121" /><Relationship Type="http://schemas.openxmlformats.org/officeDocument/2006/relationships/hyperlink" Target="https://docs.cpuc.ca.gov/PublishedDocs/Published/G000/M591/K031/591031138.pdf" TargetMode="External" Id="Rd698e03bcce44855" /><Relationship Type="http://schemas.openxmlformats.org/officeDocument/2006/relationships/hyperlink" Target="https://docs.cpuc.ca.gov/PublishedDocs/Published/G000/M591/K234/591234578.pdf" TargetMode="External" Id="R4f13ce2f96ec4885" /></Relationships>
</file>

<file path=word/_rels/footnotes.xml.rels><?xml version="1.0" encoding="UTF-8" standalone="yes"?>
<Relationships xmlns="http://schemas.openxmlformats.org/package/2006/relationships"><Relationship Id="rId3" Type="http://schemas.openxmlformats.org/officeDocument/2006/relationships/hyperlink" Target="https://apps.cpuc.ca.gov/c/R2409012" TargetMode="External"/><Relationship Id="rId7" Type="http://schemas.openxmlformats.org/officeDocument/2006/relationships/hyperlink" Target="https://apps.cpuc.ca.gov/c/R2409012" TargetMode="External"/><Relationship Id="rId2" Type="http://schemas.openxmlformats.org/officeDocument/2006/relationships/hyperlink" Target="https://www.courts.ca.gov/8710.htm" TargetMode="External"/><Relationship Id="rId1" Type="http://schemas.openxmlformats.org/officeDocument/2006/relationships/hyperlink" Target="https://www.cpuc.ca.gov/-/media/cpuc-website/divisions/news-and-outreach/documents/news-office/key-issues/esj/esj-action-plan-v2jw.pdf" TargetMode="External"/><Relationship Id="rId6" Type="http://schemas.openxmlformats.org/officeDocument/2006/relationships/hyperlink" Target="https://apps.cpuc.ca.gov/c/R2409012" TargetMode="External"/><Relationship Id="rId5" Type="http://schemas.openxmlformats.org/officeDocument/2006/relationships/hyperlink" Target="https://gis.carb.arb.ca.gov/portal/apps/experiencebuilder/experience/?id=5dc1218631fa46bc8d340b8e82548a6a&amp;page=Priority-Populations-4_0" TargetMode="External"/><Relationship Id="rId4" Type="http://schemas.openxmlformats.org/officeDocument/2006/relationships/hyperlink" Target="https://apps.cpuc.ca.gov/c/R2409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61</ap:Pages>
  <ap:Words>13133</ap:Words>
  <ap:Characters>74862</ap:Characters>
  <ap:Application>Microsoft Office Word</ap:Application>
  <ap:DocSecurity>0</ap:DocSecurity>
  <ap:Lines>623</ap:Lines>
  <ap:Paragraphs>175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87820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2025-12-15T20:18:00Z</cp:lastPrinted>
  <dcterms:created xsi:type="dcterms:W3CDTF">2025-12-15T14:38:15Z</dcterms:created>
  <dcterms:modified xsi:type="dcterms:W3CDTF">2025-12-15T14:38:15Z</dcterms:modified>
</cp:coreProperties>
</file>