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3B40" w:rsidR="00B60421" w:rsidP="00C90365" w:rsidRDefault="00DF1A58" w14:paraId="06B1062D" w14:textId="34BD757D">
      <w:pPr>
        <w:tabs>
          <w:tab w:val="center" w:pos="4230"/>
          <w:tab w:val="right" w:pos="9360"/>
        </w:tabs>
        <w:spacing w:line="240" w:lineRule="auto"/>
        <w:ind w:firstLine="0"/>
      </w:pPr>
      <w:r>
        <w:t>ALJ/EO2/</w:t>
      </w:r>
      <w:proofErr w:type="spellStart"/>
      <w:r>
        <w:t>avs</w:t>
      </w:r>
      <w:proofErr w:type="spellEnd"/>
      <w:r w:rsidRPr="00A03B40" w:rsidR="007E0FEE">
        <w:tab/>
      </w:r>
      <w:r w:rsidRPr="00A03B40" w:rsidR="00DA7B5D">
        <w:rPr>
          <w:rFonts w:ascii="Arial" w:hAnsi="Arial" w:cs="Arial"/>
          <w:b/>
          <w:sz w:val="32"/>
          <w:szCs w:val="32"/>
        </w:rPr>
        <w:t>PROPOSED DECISION</w:t>
      </w:r>
      <w:r w:rsidRPr="00A03B40" w:rsidR="00DA7B5D">
        <w:tab/>
      </w:r>
      <w:r w:rsidRPr="00A03B40" w:rsidR="00DA7B5D">
        <w:rPr>
          <w:b/>
        </w:rPr>
        <w:t>Agenda ID #</w:t>
      </w:r>
      <w:r w:rsidR="00DF1A5E">
        <w:rPr>
          <w:b/>
        </w:rPr>
        <w:t>23883</w:t>
      </w:r>
      <w:r w:rsidR="00C90365">
        <w:rPr>
          <w:b/>
        </w:rPr>
        <w:t xml:space="preserve"> (REV 1)</w:t>
      </w:r>
    </w:p>
    <w:p w:rsidR="00DA7B5D" w:rsidP="00632207" w:rsidRDefault="00DF1A58" w14:paraId="5046A452" w14:textId="01A256DA">
      <w:pPr>
        <w:spacing w:line="240" w:lineRule="auto"/>
        <w:jc w:val="right"/>
        <w:rPr>
          <w:b/>
        </w:rPr>
      </w:pPr>
      <w:proofErr w:type="spellStart"/>
      <w:r>
        <w:rPr>
          <w:b/>
        </w:rPr>
        <w:t>Ratesetting</w:t>
      </w:r>
      <w:proofErr w:type="spellEnd"/>
    </w:p>
    <w:p w:rsidRPr="00A03B40" w:rsidR="00C90365" w:rsidP="00632207" w:rsidRDefault="00C90365" w14:paraId="560E166A" w14:textId="46604A02">
      <w:pPr>
        <w:spacing w:line="240" w:lineRule="auto"/>
        <w:jc w:val="right"/>
        <w:rPr>
          <w:b/>
        </w:rPr>
      </w:pPr>
      <w:r>
        <w:rPr>
          <w:b/>
        </w:rPr>
        <w:t>12/18/</w:t>
      </w:r>
      <w:proofErr w:type="gramStart"/>
      <w:r>
        <w:rPr>
          <w:b/>
        </w:rPr>
        <w:t>2025  Item</w:t>
      </w:r>
      <w:proofErr w:type="gramEnd"/>
      <w:r>
        <w:rPr>
          <w:b/>
        </w:rPr>
        <w:t xml:space="preserve"> 16</w:t>
      </w:r>
    </w:p>
    <w:p w:rsidRPr="00A03B40" w:rsidR="00DA7B5D" w:rsidP="008F0116" w:rsidRDefault="00DA7B5D" w14:paraId="411AAB91" w14:textId="77777777">
      <w:pPr>
        <w:ind w:firstLine="0"/>
      </w:pPr>
    </w:p>
    <w:p w:rsidRPr="00DF1A58" w:rsidR="00DA7B5D" w:rsidP="0098655A" w:rsidRDefault="00DA7B5D" w14:paraId="3734A1FC" w14:textId="21F72AA4">
      <w:pPr>
        <w:ind w:left="1080" w:hanging="1080"/>
        <w:rPr>
          <w:b/>
          <w:bCs/>
        </w:rPr>
      </w:pPr>
      <w:r w:rsidRPr="00A03B40">
        <w:t xml:space="preserve">Decision </w:t>
      </w:r>
      <w:r w:rsidRPr="00DF1A58" w:rsidR="00DF1A58">
        <w:rPr>
          <w:b/>
          <w:bCs/>
        </w:rPr>
        <w:t xml:space="preserve">PROPOSED DECISION OF ALJ </w:t>
      </w:r>
      <w:proofErr w:type="gramStart"/>
      <w:r w:rsidRPr="00DF1A58" w:rsidR="00DF1A58">
        <w:rPr>
          <w:b/>
          <w:bCs/>
        </w:rPr>
        <w:t>ODELL  (</w:t>
      </w:r>
      <w:proofErr w:type="gramEnd"/>
      <w:r w:rsidRPr="00DF1A58" w:rsidR="00DF1A58">
        <w:rPr>
          <w:b/>
          <w:bCs/>
        </w:rPr>
        <w:t xml:space="preserve">Mailed </w:t>
      </w:r>
      <w:r w:rsidR="00B90666">
        <w:rPr>
          <w:b/>
          <w:bCs/>
        </w:rPr>
        <w:t>11/</w:t>
      </w:r>
      <w:r w:rsidR="00A5179E">
        <w:rPr>
          <w:b/>
          <w:bCs/>
        </w:rPr>
        <w:t>2</w:t>
      </w:r>
      <w:r w:rsidR="00B90666">
        <w:rPr>
          <w:b/>
          <w:bCs/>
        </w:rPr>
        <w:t>4</w:t>
      </w:r>
      <w:r w:rsidRPr="00DF1A58" w:rsidR="00DF1A58">
        <w:rPr>
          <w:b/>
          <w:bCs/>
        </w:rPr>
        <w:t>/2025)</w:t>
      </w:r>
    </w:p>
    <w:p w:rsidRPr="00A03B40" w:rsidR="00DA7B5D" w:rsidP="00BB0243" w:rsidRDefault="00DA7B5D" w14:paraId="7936FEE2" w14:textId="77777777">
      <w:pPr>
        <w:spacing w:line="240" w:lineRule="auto"/>
        <w:jc w:val="center"/>
        <w:rPr>
          <w:u w:val="single"/>
        </w:rPr>
      </w:pPr>
    </w:p>
    <w:p w:rsidRPr="00A03B40" w:rsidR="00DA7B5D" w:rsidP="00BB0243" w:rsidRDefault="00DA7B5D" w14:paraId="4DDD2919" w14:textId="77777777">
      <w:pPr>
        <w:spacing w:line="240" w:lineRule="auto"/>
        <w:ind w:firstLine="0"/>
        <w:jc w:val="center"/>
        <w:rPr>
          <w:rFonts w:ascii="Arial" w:hAnsi="Arial" w:cs="Arial"/>
          <w:sz w:val="24"/>
          <w:szCs w:val="24"/>
        </w:rPr>
      </w:pPr>
      <w:r w:rsidRPr="00A03B40">
        <w:rPr>
          <w:rFonts w:ascii="Arial" w:hAnsi="Arial" w:cs="Arial"/>
          <w:b/>
          <w:sz w:val="24"/>
          <w:szCs w:val="24"/>
        </w:rPr>
        <w:t>BEFORE THE PUBLIC UTILITIES COMMISSION OF THE STATE OF CALIFORNIA</w:t>
      </w:r>
    </w:p>
    <w:p w:rsidRPr="00A03B40" w:rsidR="00DA7B5D" w:rsidP="008F0116" w:rsidRDefault="00DA7B5D" w14:paraId="387E8DCE"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A03B40" w:rsidR="00DA7B5D" w:rsidTr="00E725FC" w14:paraId="57BC7C32" w14:textId="77777777">
        <w:trPr>
          <w:jc w:val="center"/>
        </w:trPr>
        <w:tc>
          <w:tcPr>
            <w:tcW w:w="5040" w:type="dxa"/>
            <w:tcBorders>
              <w:top w:val="nil"/>
              <w:left w:val="nil"/>
              <w:bottom w:val="single" w:color="auto" w:sz="4" w:space="0"/>
              <w:right w:val="single" w:color="auto" w:sz="4" w:space="0"/>
            </w:tcBorders>
          </w:tcPr>
          <w:p w:rsidR="00DA7B5D" w:rsidP="00C10B5F" w:rsidRDefault="00860992" w14:paraId="0432B105" w14:textId="77777777">
            <w:pPr>
              <w:spacing w:line="240" w:lineRule="auto"/>
              <w:ind w:firstLine="0"/>
              <w:rPr>
                <w:rFonts w:cs="Arial"/>
                <w:szCs w:val="26"/>
              </w:rPr>
            </w:pPr>
            <w:r w:rsidRPr="00A03B40">
              <w:rPr>
                <w:rFonts w:cs="Arial"/>
                <w:szCs w:val="26"/>
              </w:rPr>
              <w:t>Application of Southern California Edison Company (U338E) for Approval of its 2026 ERRA Forecast Proceeding Revenue Requirement.</w:t>
            </w:r>
          </w:p>
          <w:p w:rsidRPr="00A03B40" w:rsidR="00DF1A58" w:rsidP="00C10B5F" w:rsidRDefault="00DF1A58" w14:paraId="6A12FCFD" w14:textId="38572CD2">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A03B40" w:rsidR="00DA7B5D" w:rsidP="00412C83" w:rsidRDefault="00860992" w14:paraId="758057FD" w14:textId="76229D1C">
            <w:pPr>
              <w:spacing w:line="240" w:lineRule="auto"/>
              <w:ind w:firstLine="0"/>
              <w:jc w:val="center"/>
              <w:rPr>
                <w:rFonts w:cs="Arial"/>
                <w:szCs w:val="26"/>
              </w:rPr>
            </w:pPr>
            <w:r w:rsidRPr="00A03B40">
              <w:rPr>
                <w:rFonts w:cs="Arial"/>
                <w:szCs w:val="26"/>
              </w:rPr>
              <w:t>Application 25-05-008</w:t>
            </w:r>
          </w:p>
        </w:tc>
      </w:tr>
    </w:tbl>
    <w:p w:rsidRPr="00A03B40" w:rsidR="00DA7B5D" w:rsidP="008F0116" w:rsidRDefault="00DA7B5D" w14:paraId="74F56A98" w14:textId="77777777">
      <w:pPr>
        <w:spacing w:line="240" w:lineRule="auto"/>
        <w:ind w:firstLine="0"/>
        <w:rPr>
          <w:rFonts w:ascii="Arial" w:hAnsi="Arial" w:cs="Arial"/>
          <w:sz w:val="24"/>
          <w:szCs w:val="24"/>
        </w:rPr>
      </w:pPr>
    </w:p>
    <w:p w:rsidRPr="00A03B40" w:rsidR="00DA7B5D" w:rsidP="008F0116" w:rsidRDefault="00DA7B5D" w14:paraId="060740A9" w14:textId="77777777">
      <w:pPr>
        <w:spacing w:line="240" w:lineRule="auto"/>
        <w:ind w:firstLine="0"/>
        <w:rPr>
          <w:rFonts w:ascii="Arial" w:hAnsi="Arial" w:cs="Arial"/>
          <w:sz w:val="24"/>
          <w:szCs w:val="24"/>
        </w:rPr>
      </w:pPr>
    </w:p>
    <w:p w:rsidRPr="00A03B40" w:rsidR="00E669B3" w:rsidP="00E669B3" w:rsidRDefault="00E669B3" w14:paraId="5F483530" w14:textId="1A6B0B42">
      <w:pPr>
        <w:pStyle w:val="Dummy"/>
        <w:jc w:val="center"/>
        <w:sectPr w:rsidRPr="00A03B40" w:rsidR="00E669B3" w:rsidSect="000A78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bookmarkStart w:name="_Toc214629844" w:id="0"/>
      <w:r w:rsidRPr="00A03B40">
        <w:t xml:space="preserve">DECISION APPROVING SOUTHERN CALIFORNIA EDISON COMPANY’S 2026 ENERGY RESOURCE RECOVERY ACCOUNT-RELATED </w:t>
      </w:r>
      <w:r w:rsidR="00AF37D1">
        <w:br/>
      </w:r>
      <w:r w:rsidRPr="00A03B40">
        <w:t>REVENUE REQUIREMENT FORECAST</w:t>
      </w:r>
      <w:bookmarkEnd w:id="0"/>
      <w:r w:rsidRPr="00A03B40">
        <w:t xml:space="preserve"> </w:t>
      </w:r>
    </w:p>
    <w:p w:rsidRPr="00A03B40" w:rsidR="00D50119" w:rsidP="00F76650" w:rsidRDefault="00D50119" w14:paraId="702D4934" w14:textId="77777777">
      <w:pPr>
        <w:pStyle w:val="Main"/>
        <w:rPr>
          <w:rFonts w:ascii="Book Antiqua" w:hAnsi="Book Antiqua"/>
        </w:rPr>
      </w:pPr>
      <w:r w:rsidRPr="00A03B40">
        <w:rPr>
          <w:rFonts w:ascii="Book Antiqua" w:hAnsi="Book Antiqua"/>
        </w:rPr>
        <w:lastRenderedPageBreak/>
        <w:t>TABLE OF CONTENTS</w:t>
      </w:r>
    </w:p>
    <w:p w:rsidRPr="00A03B40" w:rsidR="00D50119" w:rsidP="007E0FEE" w:rsidRDefault="00D50119" w14:paraId="145E36C5" w14:textId="77777777">
      <w:pPr>
        <w:tabs>
          <w:tab w:val="right" w:pos="9360"/>
        </w:tabs>
        <w:ind w:firstLine="0"/>
      </w:pPr>
      <w:r w:rsidRPr="00A03B40">
        <w:rPr>
          <w:b/>
        </w:rPr>
        <w:t>Title</w:t>
      </w:r>
      <w:r w:rsidRPr="00A03B40">
        <w:tab/>
      </w:r>
      <w:r w:rsidRPr="00A03B40">
        <w:rPr>
          <w:b/>
        </w:rPr>
        <w:t>Page</w:t>
      </w:r>
    </w:p>
    <w:sdt>
      <w:sdtPr>
        <w:id w:val="-1224440197"/>
        <w:docPartObj>
          <w:docPartGallery w:val="Table of Contents"/>
          <w:docPartUnique/>
        </w:docPartObj>
      </w:sdtPr>
      <w:sdtEndPr>
        <w:rPr>
          <w:b/>
          <w:bCs/>
          <w:noProof/>
        </w:rPr>
      </w:sdtEndPr>
      <w:sdtContent>
        <w:p w:rsidR="006E0D77" w:rsidP="0069713A" w:rsidRDefault="00B35ACF" w14:paraId="16AFFEA3" w14:textId="5F64C780">
          <w:pPr>
            <w:pStyle w:val="TOC1"/>
            <w:tabs>
              <w:tab w:val="right" w:leader="dot" w:pos="9350"/>
            </w:tabs>
            <w:ind w:left="0" w:firstLine="0"/>
            <w:rPr>
              <w:rFonts w:asciiTheme="minorHAnsi" w:hAnsiTheme="minorHAnsi" w:cstheme="minorBidi"/>
              <w:noProof/>
              <w:kern w:val="2"/>
              <w:sz w:val="24"/>
              <w:szCs w:val="24"/>
              <w14:ligatures w14:val="standardContextual"/>
            </w:rPr>
          </w:pPr>
          <w:r w:rsidRPr="00A03B40">
            <w:rPr>
              <w:rFonts w:asciiTheme="minorHAnsi" w:hAnsiTheme="minorHAnsi"/>
              <w:sz w:val="22"/>
            </w:rPr>
            <w:fldChar w:fldCharType="begin"/>
          </w:r>
          <w:r w:rsidRPr="00A03B40">
            <w:rPr>
              <w:rFonts w:asciiTheme="minorHAnsi" w:hAnsiTheme="minorHAnsi"/>
              <w:sz w:val="22"/>
            </w:rPr>
            <w:instrText xml:space="preserve"> TOC \o "1-3" \h \z \u </w:instrText>
          </w:r>
          <w:r w:rsidRPr="00A03B40">
            <w:rPr>
              <w:rFonts w:asciiTheme="minorHAnsi" w:hAnsiTheme="minorHAnsi"/>
              <w:sz w:val="22"/>
            </w:rPr>
            <w:fldChar w:fldCharType="separate"/>
          </w:r>
          <w:hyperlink w:history="1" w:anchor="_Toc214629844">
            <w:r w:rsidRPr="006E3642" w:rsidR="006E0D77">
              <w:rPr>
                <w:rStyle w:val="Hyperlink"/>
                <w:noProof/>
              </w:rPr>
              <w:t>DECISION APPROVING SOUTHERN CALIFORNIA EDISON COMPANY’S 2026 ENERGY RESOURCE RECOVERY ACCOUNT-RELATED  REVENUE REQUIREMENT FORECAST</w:t>
            </w:r>
            <w:r w:rsidR="006E0D77">
              <w:rPr>
                <w:noProof/>
                <w:webHidden/>
              </w:rPr>
              <w:tab/>
            </w:r>
            <w:r w:rsidR="006E0D77">
              <w:rPr>
                <w:noProof/>
                <w:webHidden/>
              </w:rPr>
              <w:fldChar w:fldCharType="begin"/>
            </w:r>
            <w:r w:rsidR="006E0D77">
              <w:rPr>
                <w:noProof/>
                <w:webHidden/>
              </w:rPr>
              <w:instrText xml:space="preserve"> PAGEREF _Toc214629844 \h </w:instrText>
            </w:r>
            <w:r w:rsidR="006E0D77">
              <w:rPr>
                <w:noProof/>
                <w:webHidden/>
              </w:rPr>
            </w:r>
            <w:r w:rsidR="006E0D77">
              <w:rPr>
                <w:noProof/>
                <w:webHidden/>
              </w:rPr>
              <w:fldChar w:fldCharType="separate"/>
            </w:r>
            <w:r w:rsidR="001738BD">
              <w:rPr>
                <w:noProof/>
                <w:webHidden/>
              </w:rPr>
              <w:t>1</w:t>
            </w:r>
            <w:r w:rsidR="006E0D77">
              <w:rPr>
                <w:noProof/>
                <w:webHidden/>
              </w:rPr>
              <w:fldChar w:fldCharType="end"/>
            </w:r>
          </w:hyperlink>
        </w:p>
        <w:p w:rsidR="006E0D77" w:rsidRDefault="006E0D77" w14:paraId="78C88063" w14:textId="21DC3943">
          <w:pPr>
            <w:pStyle w:val="TOC1"/>
            <w:tabs>
              <w:tab w:val="right" w:leader="dot" w:pos="9350"/>
            </w:tabs>
            <w:rPr>
              <w:rFonts w:asciiTheme="minorHAnsi" w:hAnsiTheme="minorHAnsi" w:cstheme="minorBidi"/>
              <w:noProof/>
              <w:kern w:val="2"/>
              <w:sz w:val="24"/>
              <w:szCs w:val="24"/>
              <w14:ligatures w14:val="standardContextual"/>
            </w:rPr>
          </w:pPr>
          <w:hyperlink w:history="1" w:anchor="_Toc214629845">
            <w:r w:rsidRPr="006E3642">
              <w:rPr>
                <w:rStyle w:val="Hyperlink"/>
                <w:noProof/>
              </w:rPr>
              <w:t>Summary</w:t>
            </w:r>
            <w:r>
              <w:rPr>
                <w:noProof/>
                <w:webHidden/>
              </w:rPr>
              <w:tab/>
            </w:r>
            <w:r>
              <w:rPr>
                <w:noProof/>
                <w:webHidden/>
              </w:rPr>
              <w:fldChar w:fldCharType="begin"/>
            </w:r>
            <w:r>
              <w:rPr>
                <w:noProof/>
                <w:webHidden/>
              </w:rPr>
              <w:instrText xml:space="preserve"> PAGEREF _Toc214629845 \h </w:instrText>
            </w:r>
            <w:r>
              <w:rPr>
                <w:noProof/>
                <w:webHidden/>
              </w:rPr>
            </w:r>
            <w:r>
              <w:rPr>
                <w:noProof/>
                <w:webHidden/>
              </w:rPr>
              <w:fldChar w:fldCharType="separate"/>
            </w:r>
            <w:r w:rsidR="001738BD">
              <w:rPr>
                <w:noProof/>
                <w:webHidden/>
              </w:rPr>
              <w:t>2</w:t>
            </w:r>
            <w:r>
              <w:rPr>
                <w:noProof/>
                <w:webHidden/>
              </w:rPr>
              <w:fldChar w:fldCharType="end"/>
            </w:r>
          </w:hyperlink>
        </w:p>
        <w:p w:rsidR="006E0D77" w:rsidRDefault="006E0D77" w14:paraId="3EF2599D" w14:textId="09997E24">
          <w:pPr>
            <w:pStyle w:val="TOC1"/>
            <w:tabs>
              <w:tab w:val="right" w:leader="dot" w:pos="9350"/>
            </w:tabs>
            <w:rPr>
              <w:rFonts w:asciiTheme="minorHAnsi" w:hAnsiTheme="minorHAnsi" w:cstheme="minorBidi"/>
              <w:noProof/>
              <w:kern w:val="2"/>
              <w:sz w:val="24"/>
              <w:szCs w:val="24"/>
              <w14:ligatures w14:val="standardContextual"/>
            </w:rPr>
          </w:pPr>
          <w:hyperlink w:history="1" w:anchor="_Toc214629846">
            <w:r w:rsidRPr="006E3642">
              <w:rPr>
                <w:rStyle w:val="Hyperlink"/>
                <w:noProof/>
              </w:rPr>
              <w:t>1.</w:t>
            </w:r>
            <w:r>
              <w:rPr>
                <w:rFonts w:asciiTheme="minorHAnsi" w:hAnsiTheme="minorHAnsi" w:cstheme="minorBidi"/>
                <w:noProof/>
                <w:kern w:val="2"/>
                <w:sz w:val="24"/>
                <w:szCs w:val="24"/>
                <w14:ligatures w14:val="standardContextual"/>
              </w:rPr>
              <w:tab/>
            </w:r>
            <w:r w:rsidRPr="006E3642">
              <w:rPr>
                <w:rStyle w:val="Hyperlink"/>
                <w:noProof/>
              </w:rPr>
              <w:t>Background</w:t>
            </w:r>
            <w:r>
              <w:rPr>
                <w:noProof/>
                <w:webHidden/>
              </w:rPr>
              <w:tab/>
            </w:r>
            <w:r>
              <w:rPr>
                <w:noProof/>
                <w:webHidden/>
              </w:rPr>
              <w:fldChar w:fldCharType="begin"/>
            </w:r>
            <w:r>
              <w:rPr>
                <w:noProof/>
                <w:webHidden/>
              </w:rPr>
              <w:instrText xml:space="preserve"> PAGEREF _Toc214629846 \h </w:instrText>
            </w:r>
            <w:r>
              <w:rPr>
                <w:noProof/>
                <w:webHidden/>
              </w:rPr>
            </w:r>
            <w:r>
              <w:rPr>
                <w:noProof/>
                <w:webHidden/>
              </w:rPr>
              <w:fldChar w:fldCharType="separate"/>
            </w:r>
            <w:r w:rsidR="001738BD">
              <w:rPr>
                <w:noProof/>
                <w:webHidden/>
              </w:rPr>
              <w:t>4</w:t>
            </w:r>
            <w:r>
              <w:rPr>
                <w:noProof/>
                <w:webHidden/>
              </w:rPr>
              <w:fldChar w:fldCharType="end"/>
            </w:r>
          </w:hyperlink>
        </w:p>
        <w:p w:rsidR="006E0D77" w:rsidRDefault="006E0D77" w14:paraId="7264BB6B" w14:textId="7B4DBC18">
          <w:pPr>
            <w:pStyle w:val="TOC2"/>
            <w:tabs>
              <w:tab w:val="right" w:leader="dot" w:pos="9350"/>
            </w:tabs>
            <w:rPr>
              <w:rFonts w:asciiTheme="minorHAnsi" w:hAnsiTheme="minorHAnsi" w:cstheme="minorBidi"/>
              <w:noProof/>
              <w:kern w:val="2"/>
              <w:sz w:val="24"/>
              <w:szCs w:val="24"/>
              <w14:ligatures w14:val="standardContextual"/>
            </w:rPr>
          </w:pPr>
          <w:hyperlink w:history="1" w:anchor="_Toc214629847">
            <w:r w:rsidRPr="006E3642">
              <w:rPr>
                <w:rStyle w:val="Hyperlink"/>
                <w:noProof/>
              </w:rPr>
              <w:t>1.1.</w:t>
            </w:r>
            <w:r>
              <w:rPr>
                <w:rFonts w:asciiTheme="minorHAnsi" w:hAnsiTheme="minorHAnsi" w:cstheme="minorBidi"/>
                <w:noProof/>
                <w:kern w:val="2"/>
                <w:sz w:val="24"/>
                <w:szCs w:val="24"/>
                <w14:ligatures w14:val="standardContextual"/>
              </w:rPr>
              <w:tab/>
            </w:r>
            <w:r w:rsidRPr="006E3642">
              <w:rPr>
                <w:rStyle w:val="Hyperlink"/>
                <w:noProof/>
              </w:rPr>
              <w:t>Energy Resource and Recovery Account Regulatory Background</w:t>
            </w:r>
            <w:r>
              <w:rPr>
                <w:noProof/>
                <w:webHidden/>
              </w:rPr>
              <w:tab/>
            </w:r>
            <w:r>
              <w:rPr>
                <w:noProof/>
                <w:webHidden/>
              </w:rPr>
              <w:fldChar w:fldCharType="begin"/>
            </w:r>
            <w:r>
              <w:rPr>
                <w:noProof/>
                <w:webHidden/>
              </w:rPr>
              <w:instrText xml:space="preserve"> PAGEREF _Toc214629847 \h </w:instrText>
            </w:r>
            <w:r>
              <w:rPr>
                <w:noProof/>
                <w:webHidden/>
              </w:rPr>
            </w:r>
            <w:r>
              <w:rPr>
                <w:noProof/>
                <w:webHidden/>
              </w:rPr>
              <w:fldChar w:fldCharType="separate"/>
            </w:r>
            <w:r w:rsidR="001738BD">
              <w:rPr>
                <w:noProof/>
                <w:webHidden/>
              </w:rPr>
              <w:t>5</w:t>
            </w:r>
            <w:r>
              <w:rPr>
                <w:noProof/>
                <w:webHidden/>
              </w:rPr>
              <w:fldChar w:fldCharType="end"/>
            </w:r>
          </w:hyperlink>
        </w:p>
        <w:p w:rsidR="006E0D77" w:rsidRDefault="006E0D77" w14:paraId="1D76DA7B" w14:textId="5E48A74E">
          <w:pPr>
            <w:pStyle w:val="TOC2"/>
            <w:tabs>
              <w:tab w:val="right" w:leader="dot" w:pos="9350"/>
            </w:tabs>
            <w:rPr>
              <w:rFonts w:asciiTheme="minorHAnsi" w:hAnsiTheme="minorHAnsi" w:cstheme="minorBidi"/>
              <w:noProof/>
              <w:kern w:val="2"/>
              <w:sz w:val="24"/>
              <w:szCs w:val="24"/>
              <w14:ligatures w14:val="standardContextual"/>
            </w:rPr>
          </w:pPr>
          <w:hyperlink w:history="1" w:anchor="_Toc214629848">
            <w:r w:rsidRPr="006E3642">
              <w:rPr>
                <w:rStyle w:val="Hyperlink"/>
                <w:noProof/>
              </w:rPr>
              <w:t>1.2.</w:t>
            </w:r>
            <w:r>
              <w:rPr>
                <w:rFonts w:asciiTheme="minorHAnsi" w:hAnsiTheme="minorHAnsi" w:cstheme="minorBidi"/>
                <w:noProof/>
                <w:kern w:val="2"/>
                <w:sz w:val="24"/>
                <w:szCs w:val="24"/>
                <w14:ligatures w14:val="standardContextual"/>
              </w:rPr>
              <w:tab/>
            </w:r>
            <w:r w:rsidRPr="006E3642">
              <w:rPr>
                <w:rStyle w:val="Hyperlink"/>
                <w:noProof/>
              </w:rPr>
              <w:t>Procedural Background</w:t>
            </w:r>
            <w:r>
              <w:rPr>
                <w:noProof/>
                <w:webHidden/>
              </w:rPr>
              <w:tab/>
            </w:r>
            <w:r>
              <w:rPr>
                <w:noProof/>
                <w:webHidden/>
              </w:rPr>
              <w:fldChar w:fldCharType="begin"/>
            </w:r>
            <w:r>
              <w:rPr>
                <w:noProof/>
                <w:webHidden/>
              </w:rPr>
              <w:instrText xml:space="preserve"> PAGEREF _Toc214629848 \h </w:instrText>
            </w:r>
            <w:r>
              <w:rPr>
                <w:noProof/>
                <w:webHidden/>
              </w:rPr>
            </w:r>
            <w:r>
              <w:rPr>
                <w:noProof/>
                <w:webHidden/>
              </w:rPr>
              <w:fldChar w:fldCharType="separate"/>
            </w:r>
            <w:r w:rsidR="001738BD">
              <w:rPr>
                <w:noProof/>
                <w:webHidden/>
              </w:rPr>
              <w:t>7</w:t>
            </w:r>
            <w:r>
              <w:rPr>
                <w:noProof/>
                <w:webHidden/>
              </w:rPr>
              <w:fldChar w:fldCharType="end"/>
            </w:r>
          </w:hyperlink>
        </w:p>
        <w:p w:rsidR="006E0D77" w:rsidRDefault="006E0D77" w14:paraId="73A855A8" w14:textId="5D81B1FB">
          <w:pPr>
            <w:pStyle w:val="TOC2"/>
            <w:tabs>
              <w:tab w:val="right" w:leader="dot" w:pos="9350"/>
            </w:tabs>
            <w:rPr>
              <w:rFonts w:asciiTheme="minorHAnsi" w:hAnsiTheme="minorHAnsi" w:cstheme="minorBidi"/>
              <w:noProof/>
              <w:kern w:val="2"/>
              <w:sz w:val="24"/>
              <w:szCs w:val="24"/>
              <w14:ligatures w14:val="standardContextual"/>
            </w:rPr>
          </w:pPr>
          <w:hyperlink w:history="1" w:anchor="_Toc214629849">
            <w:r w:rsidRPr="006E3642">
              <w:rPr>
                <w:rStyle w:val="Hyperlink"/>
                <w:noProof/>
              </w:rPr>
              <w:t>1.3.</w:t>
            </w:r>
            <w:r>
              <w:rPr>
                <w:rFonts w:asciiTheme="minorHAnsi" w:hAnsiTheme="minorHAnsi" w:cstheme="minorBidi"/>
                <w:noProof/>
                <w:kern w:val="2"/>
                <w:sz w:val="24"/>
                <w:szCs w:val="24"/>
                <w14:ligatures w14:val="standardContextual"/>
              </w:rPr>
              <w:tab/>
            </w:r>
            <w:r w:rsidRPr="006E3642">
              <w:rPr>
                <w:rStyle w:val="Hyperlink"/>
                <w:noProof/>
              </w:rPr>
              <w:t>Submission Date</w:t>
            </w:r>
            <w:r>
              <w:rPr>
                <w:noProof/>
                <w:webHidden/>
              </w:rPr>
              <w:tab/>
            </w:r>
            <w:r>
              <w:rPr>
                <w:noProof/>
                <w:webHidden/>
              </w:rPr>
              <w:fldChar w:fldCharType="begin"/>
            </w:r>
            <w:r>
              <w:rPr>
                <w:noProof/>
                <w:webHidden/>
              </w:rPr>
              <w:instrText xml:space="preserve"> PAGEREF _Toc214629849 \h </w:instrText>
            </w:r>
            <w:r>
              <w:rPr>
                <w:noProof/>
                <w:webHidden/>
              </w:rPr>
            </w:r>
            <w:r>
              <w:rPr>
                <w:noProof/>
                <w:webHidden/>
              </w:rPr>
              <w:fldChar w:fldCharType="separate"/>
            </w:r>
            <w:r w:rsidR="001738BD">
              <w:rPr>
                <w:noProof/>
                <w:webHidden/>
              </w:rPr>
              <w:t>10</w:t>
            </w:r>
            <w:r>
              <w:rPr>
                <w:noProof/>
                <w:webHidden/>
              </w:rPr>
              <w:fldChar w:fldCharType="end"/>
            </w:r>
          </w:hyperlink>
        </w:p>
        <w:p w:rsidR="006E0D77" w:rsidRDefault="006E0D77" w14:paraId="1BEAF7FB" w14:textId="34BE9E25">
          <w:pPr>
            <w:pStyle w:val="TOC1"/>
            <w:tabs>
              <w:tab w:val="right" w:leader="dot" w:pos="9350"/>
            </w:tabs>
            <w:rPr>
              <w:rFonts w:asciiTheme="minorHAnsi" w:hAnsiTheme="minorHAnsi" w:cstheme="minorBidi"/>
              <w:noProof/>
              <w:kern w:val="2"/>
              <w:sz w:val="24"/>
              <w:szCs w:val="24"/>
              <w14:ligatures w14:val="standardContextual"/>
            </w:rPr>
          </w:pPr>
          <w:hyperlink w:history="1" w:anchor="_Toc214629850">
            <w:r w:rsidRPr="006E3642">
              <w:rPr>
                <w:rStyle w:val="Hyperlink"/>
                <w:noProof/>
              </w:rPr>
              <w:t>2.</w:t>
            </w:r>
            <w:r>
              <w:rPr>
                <w:rFonts w:asciiTheme="minorHAnsi" w:hAnsiTheme="minorHAnsi" w:cstheme="minorBidi"/>
                <w:noProof/>
                <w:kern w:val="2"/>
                <w:sz w:val="24"/>
                <w:szCs w:val="24"/>
                <w14:ligatures w14:val="standardContextual"/>
              </w:rPr>
              <w:tab/>
            </w:r>
            <w:r w:rsidRPr="006E3642">
              <w:rPr>
                <w:rStyle w:val="Hyperlink"/>
                <w:noProof/>
              </w:rPr>
              <w:t>Jurisdiction</w:t>
            </w:r>
            <w:r>
              <w:rPr>
                <w:noProof/>
                <w:webHidden/>
              </w:rPr>
              <w:tab/>
            </w:r>
            <w:r>
              <w:rPr>
                <w:noProof/>
                <w:webHidden/>
              </w:rPr>
              <w:fldChar w:fldCharType="begin"/>
            </w:r>
            <w:r>
              <w:rPr>
                <w:noProof/>
                <w:webHidden/>
              </w:rPr>
              <w:instrText xml:space="preserve"> PAGEREF _Toc214629850 \h </w:instrText>
            </w:r>
            <w:r>
              <w:rPr>
                <w:noProof/>
                <w:webHidden/>
              </w:rPr>
            </w:r>
            <w:r>
              <w:rPr>
                <w:noProof/>
                <w:webHidden/>
              </w:rPr>
              <w:fldChar w:fldCharType="separate"/>
            </w:r>
            <w:r w:rsidR="001738BD">
              <w:rPr>
                <w:noProof/>
                <w:webHidden/>
              </w:rPr>
              <w:t>10</w:t>
            </w:r>
            <w:r>
              <w:rPr>
                <w:noProof/>
                <w:webHidden/>
              </w:rPr>
              <w:fldChar w:fldCharType="end"/>
            </w:r>
          </w:hyperlink>
        </w:p>
        <w:p w:rsidR="006E0D77" w:rsidRDefault="006E0D77" w14:paraId="20382C08" w14:textId="2FC9F536">
          <w:pPr>
            <w:pStyle w:val="TOC1"/>
            <w:tabs>
              <w:tab w:val="right" w:leader="dot" w:pos="9350"/>
            </w:tabs>
            <w:rPr>
              <w:rFonts w:asciiTheme="minorHAnsi" w:hAnsiTheme="minorHAnsi" w:cstheme="minorBidi"/>
              <w:noProof/>
              <w:kern w:val="2"/>
              <w:sz w:val="24"/>
              <w:szCs w:val="24"/>
              <w14:ligatures w14:val="standardContextual"/>
            </w:rPr>
          </w:pPr>
          <w:hyperlink w:history="1" w:anchor="_Toc214629851">
            <w:r w:rsidRPr="006E3642">
              <w:rPr>
                <w:rStyle w:val="Hyperlink"/>
                <w:noProof/>
              </w:rPr>
              <w:t>3.</w:t>
            </w:r>
            <w:r>
              <w:rPr>
                <w:rFonts w:asciiTheme="minorHAnsi" w:hAnsiTheme="minorHAnsi" w:cstheme="minorBidi"/>
                <w:noProof/>
                <w:kern w:val="2"/>
                <w:sz w:val="24"/>
                <w:szCs w:val="24"/>
                <w14:ligatures w14:val="standardContextual"/>
              </w:rPr>
              <w:tab/>
            </w:r>
            <w:r w:rsidRPr="006E3642">
              <w:rPr>
                <w:rStyle w:val="Hyperlink"/>
                <w:noProof/>
              </w:rPr>
              <w:t>Issues Before the Commission</w:t>
            </w:r>
            <w:r>
              <w:rPr>
                <w:noProof/>
                <w:webHidden/>
              </w:rPr>
              <w:tab/>
            </w:r>
            <w:r>
              <w:rPr>
                <w:noProof/>
                <w:webHidden/>
              </w:rPr>
              <w:fldChar w:fldCharType="begin"/>
            </w:r>
            <w:r>
              <w:rPr>
                <w:noProof/>
                <w:webHidden/>
              </w:rPr>
              <w:instrText xml:space="preserve"> PAGEREF _Toc214629851 \h </w:instrText>
            </w:r>
            <w:r>
              <w:rPr>
                <w:noProof/>
                <w:webHidden/>
              </w:rPr>
            </w:r>
            <w:r>
              <w:rPr>
                <w:noProof/>
                <w:webHidden/>
              </w:rPr>
              <w:fldChar w:fldCharType="separate"/>
            </w:r>
            <w:r w:rsidR="001738BD">
              <w:rPr>
                <w:noProof/>
                <w:webHidden/>
              </w:rPr>
              <w:t>10</w:t>
            </w:r>
            <w:r>
              <w:rPr>
                <w:noProof/>
                <w:webHidden/>
              </w:rPr>
              <w:fldChar w:fldCharType="end"/>
            </w:r>
          </w:hyperlink>
        </w:p>
        <w:p w:rsidR="006E0D77" w:rsidRDefault="006E0D77" w14:paraId="25FDEC33" w14:textId="77628AA4">
          <w:pPr>
            <w:pStyle w:val="TOC1"/>
            <w:tabs>
              <w:tab w:val="right" w:leader="dot" w:pos="9350"/>
            </w:tabs>
            <w:rPr>
              <w:rFonts w:asciiTheme="minorHAnsi" w:hAnsiTheme="minorHAnsi" w:cstheme="minorBidi"/>
              <w:noProof/>
              <w:kern w:val="2"/>
              <w:sz w:val="24"/>
              <w:szCs w:val="24"/>
              <w14:ligatures w14:val="standardContextual"/>
            </w:rPr>
          </w:pPr>
          <w:hyperlink w:history="1" w:anchor="_Toc214629852">
            <w:r w:rsidRPr="006E3642">
              <w:rPr>
                <w:rStyle w:val="Hyperlink"/>
                <w:noProof/>
              </w:rPr>
              <w:t>4.</w:t>
            </w:r>
            <w:r>
              <w:rPr>
                <w:rFonts w:asciiTheme="minorHAnsi" w:hAnsiTheme="minorHAnsi" w:cstheme="minorBidi"/>
                <w:noProof/>
                <w:kern w:val="2"/>
                <w:sz w:val="24"/>
                <w:szCs w:val="24"/>
                <w14:ligatures w14:val="standardContextual"/>
              </w:rPr>
              <w:tab/>
            </w:r>
            <w:r w:rsidRPr="006E3642">
              <w:rPr>
                <w:rStyle w:val="Hyperlink"/>
                <w:noProof/>
              </w:rPr>
              <w:t>2026 Energy Resource Recovery Account Forecast Overview and Sales Forecast Methodology</w:t>
            </w:r>
            <w:r>
              <w:rPr>
                <w:noProof/>
                <w:webHidden/>
              </w:rPr>
              <w:tab/>
            </w:r>
            <w:r>
              <w:rPr>
                <w:noProof/>
                <w:webHidden/>
              </w:rPr>
              <w:fldChar w:fldCharType="begin"/>
            </w:r>
            <w:r>
              <w:rPr>
                <w:noProof/>
                <w:webHidden/>
              </w:rPr>
              <w:instrText xml:space="preserve"> PAGEREF _Toc214629852 \h </w:instrText>
            </w:r>
            <w:r>
              <w:rPr>
                <w:noProof/>
                <w:webHidden/>
              </w:rPr>
            </w:r>
            <w:r>
              <w:rPr>
                <w:noProof/>
                <w:webHidden/>
              </w:rPr>
              <w:fldChar w:fldCharType="separate"/>
            </w:r>
            <w:r w:rsidR="001738BD">
              <w:rPr>
                <w:noProof/>
                <w:webHidden/>
              </w:rPr>
              <w:t>12</w:t>
            </w:r>
            <w:r>
              <w:rPr>
                <w:noProof/>
                <w:webHidden/>
              </w:rPr>
              <w:fldChar w:fldCharType="end"/>
            </w:r>
          </w:hyperlink>
        </w:p>
        <w:p w:rsidR="006E0D77" w:rsidRDefault="006E0D77" w14:paraId="195B2A56" w14:textId="7A34B5D2">
          <w:pPr>
            <w:pStyle w:val="TOC2"/>
            <w:tabs>
              <w:tab w:val="right" w:leader="dot" w:pos="9350"/>
            </w:tabs>
            <w:rPr>
              <w:rFonts w:asciiTheme="minorHAnsi" w:hAnsiTheme="minorHAnsi" w:cstheme="minorBidi"/>
              <w:noProof/>
              <w:kern w:val="2"/>
              <w:sz w:val="24"/>
              <w:szCs w:val="24"/>
              <w14:ligatures w14:val="standardContextual"/>
            </w:rPr>
          </w:pPr>
          <w:hyperlink w:history="1" w:anchor="_Toc214629853">
            <w:r w:rsidRPr="006E3642">
              <w:rPr>
                <w:rStyle w:val="Hyperlink"/>
                <w:noProof/>
              </w:rPr>
              <w:t>4.1.</w:t>
            </w:r>
            <w:r>
              <w:rPr>
                <w:rFonts w:asciiTheme="minorHAnsi" w:hAnsiTheme="minorHAnsi" w:cstheme="minorBidi"/>
                <w:noProof/>
                <w:kern w:val="2"/>
                <w:sz w:val="24"/>
                <w:szCs w:val="24"/>
                <w14:ligatures w14:val="standardContextual"/>
              </w:rPr>
              <w:tab/>
            </w:r>
            <w:r w:rsidRPr="006E3642">
              <w:rPr>
                <w:rStyle w:val="Hyperlink"/>
                <w:noProof/>
              </w:rPr>
              <w:t>2026 Electric Sales and Electric  Load Forecast Methodology</w:t>
            </w:r>
            <w:r>
              <w:rPr>
                <w:noProof/>
                <w:webHidden/>
              </w:rPr>
              <w:tab/>
            </w:r>
            <w:r>
              <w:rPr>
                <w:noProof/>
                <w:webHidden/>
              </w:rPr>
              <w:fldChar w:fldCharType="begin"/>
            </w:r>
            <w:r>
              <w:rPr>
                <w:noProof/>
                <w:webHidden/>
              </w:rPr>
              <w:instrText xml:space="preserve"> PAGEREF _Toc214629853 \h </w:instrText>
            </w:r>
            <w:r>
              <w:rPr>
                <w:noProof/>
                <w:webHidden/>
              </w:rPr>
            </w:r>
            <w:r>
              <w:rPr>
                <w:noProof/>
                <w:webHidden/>
              </w:rPr>
              <w:fldChar w:fldCharType="separate"/>
            </w:r>
            <w:r w:rsidR="001738BD">
              <w:rPr>
                <w:noProof/>
                <w:webHidden/>
              </w:rPr>
              <w:t>13</w:t>
            </w:r>
            <w:r>
              <w:rPr>
                <w:noProof/>
                <w:webHidden/>
              </w:rPr>
              <w:fldChar w:fldCharType="end"/>
            </w:r>
          </w:hyperlink>
        </w:p>
        <w:p w:rsidR="006E0D77" w:rsidRDefault="006E0D77" w14:paraId="5973D57F" w14:textId="78ADB009">
          <w:pPr>
            <w:pStyle w:val="TOC1"/>
            <w:tabs>
              <w:tab w:val="right" w:leader="dot" w:pos="9350"/>
            </w:tabs>
            <w:rPr>
              <w:rFonts w:asciiTheme="minorHAnsi" w:hAnsiTheme="minorHAnsi" w:cstheme="minorBidi"/>
              <w:noProof/>
              <w:kern w:val="2"/>
              <w:sz w:val="24"/>
              <w:szCs w:val="24"/>
              <w14:ligatures w14:val="standardContextual"/>
            </w:rPr>
          </w:pPr>
          <w:hyperlink w:history="1" w:anchor="_Toc214629854">
            <w:r w:rsidRPr="006E3642">
              <w:rPr>
                <w:rStyle w:val="Hyperlink"/>
                <w:noProof/>
              </w:rPr>
              <w:t>5.</w:t>
            </w:r>
            <w:r>
              <w:rPr>
                <w:rFonts w:asciiTheme="minorHAnsi" w:hAnsiTheme="minorHAnsi" w:cstheme="minorBidi"/>
                <w:noProof/>
                <w:kern w:val="2"/>
                <w:sz w:val="24"/>
                <w:szCs w:val="24"/>
                <w14:ligatures w14:val="standardContextual"/>
              </w:rPr>
              <w:tab/>
            </w:r>
            <w:r w:rsidRPr="006E3642">
              <w:rPr>
                <w:rStyle w:val="Hyperlink"/>
                <w:noProof/>
              </w:rPr>
              <w:t>Southern California Edison Company’s Portfolio of Resources and Procurement Cost Forecast Methodology</w:t>
            </w:r>
            <w:r>
              <w:rPr>
                <w:noProof/>
                <w:webHidden/>
              </w:rPr>
              <w:tab/>
            </w:r>
            <w:r>
              <w:rPr>
                <w:noProof/>
                <w:webHidden/>
              </w:rPr>
              <w:fldChar w:fldCharType="begin"/>
            </w:r>
            <w:r>
              <w:rPr>
                <w:noProof/>
                <w:webHidden/>
              </w:rPr>
              <w:instrText xml:space="preserve"> PAGEREF _Toc214629854 \h </w:instrText>
            </w:r>
            <w:r>
              <w:rPr>
                <w:noProof/>
                <w:webHidden/>
              </w:rPr>
            </w:r>
            <w:r>
              <w:rPr>
                <w:noProof/>
                <w:webHidden/>
              </w:rPr>
              <w:fldChar w:fldCharType="separate"/>
            </w:r>
            <w:r w:rsidR="001738BD">
              <w:rPr>
                <w:noProof/>
                <w:webHidden/>
              </w:rPr>
              <w:t>15</w:t>
            </w:r>
            <w:r>
              <w:rPr>
                <w:noProof/>
                <w:webHidden/>
              </w:rPr>
              <w:fldChar w:fldCharType="end"/>
            </w:r>
          </w:hyperlink>
        </w:p>
        <w:p w:rsidR="006E0D77" w:rsidRDefault="006E0D77" w14:paraId="4BD24214" w14:textId="5C841126">
          <w:pPr>
            <w:pStyle w:val="TOC2"/>
            <w:tabs>
              <w:tab w:val="right" w:leader="dot" w:pos="9350"/>
            </w:tabs>
            <w:rPr>
              <w:rFonts w:asciiTheme="minorHAnsi" w:hAnsiTheme="minorHAnsi" w:cstheme="minorBidi"/>
              <w:noProof/>
              <w:kern w:val="2"/>
              <w:sz w:val="24"/>
              <w:szCs w:val="24"/>
              <w14:ligatures w14:val="standardContextual"/>
            </w:rPr>
          </w:pPr>
          <w:hyperlink w:history="1" w:anchor="_Toc214629855">
            <w:r w:rsidRPr="006E3642">
              <w:rPr>
                <w:rStyle w:val="Hyperlink"/>
                <w:noProof/>
              </w:rPr>
              <w:t>5.1.</w:t>
            </w:r>
            <w:r>
              <w:rPr>
                <w:rFonts w:asciiTheme="minorHAnsi" w:hAnsiTheme="minorHAnsi" w:cstheme="minorBidi"/>
                <w:noProof/>
                <w:kern w:val="2"/>
                <w:sz w:val="24"/>
                <w:szCs w:val="24"/>
                <w14:ligatures w14:val="standardContextual"/>
              </w:rPr>
              <w:tab/>
            </w:r>
            <w:r w:rsidRPr="006E3642">
              <w:rPr>
                <w:rStyle w:val="Hyperlink"/>
                <w:noProof/>
              </w:rPr>
              <w:t>2026 Energy Production and  Cost Forecast Methodology</w:t>
            </w:r>
            <w:r>
              <w:rPr>
                <w:noProof/>
                <w:webHidden/>
              </w:rPr>
              <w:tab/>
            </w:r>
            <w:r>
              <w:rPr>
                <w:noProof/>
                <w:webHidden/>
              </w:rPr>
              <w:fldChar w:fldCharType="begin"/>
            </w:r>
            <w:r>
              <w:rPr>
                <w:noProof/>
                <w:webHidden/>
              </w:rPr>
              <w:instrText xml:space="preserve"> PAGEREF _Toc214629855 \h </w:instrText>
            </w:r>
            <w:r>
              <w:rPr>
                <w:noProof/>
                <w:webHidden/>
              </w:rPr>
            </w:r>
            <w:r>
              <w:rPr>
                <w:noProof/>
                <w:webHidden/>
              </w:rPr>
              <w:fldChar w:fldCharType="separate"/>
            </w:r>
            <w:r w:rsidR="001738BD">
              <w:rPr>
                <w:noProof/>
                <w:webHidden/>
              </w:rPr>
              <w:t>16</w:t>
            </w:r>
            <w:r>
              <w:rPr>
                <w:noProof/>
                <w:webHidden/>
              </w:rPr>
              <w:fldChar w:fldCharType="end"/>
            </w:r>
          </w:hyperlink>
        </w:p>
        <w:p w:rsidR="006E0D77" w:rsidRDefault="006E0D77" w14:paraId="5C3DC40B" w14:textId="04D682B6">
          <w:pPr>
            <w:pStyle w:val="TOC2"/>
            <w:tabs>
              <w:tab w:val="right" w:leader="dot" w:pos="9350"/>
            </w:tabs>
            <w:rPr>
              <w:rFonts w:asciiTheme="minorHAnsi" w:hAnsiTheme="minorHAnsi" w:cstheme="minorBidi"/>
              <w:noProof/>
              <w:kern w:val="2"/>
              <w:sz w:val="24"/>
              <w:szCs w:val="24"/>
              <w14:ligatures w14:val="standardContextual"/>
            </w:rPr>
          </w:pPr>
          <w:hyperlink w:history="1" w:anchor="_Toc214629856">
            <w:r w:rsidRPr="006E3642">
              <w:rPr>
                <w:rStyle w:val="Hyperlink"/>
                <w:noProof/>
              </w:rPr>
              <w:t>5.2.</w:t>
            </w:r>
            <w:r>
              <w:rPr>
                <w:rFonts w:asciiTheme="minorHAnsi" w:hAnsiTheme="minorHAnsi" w:cstheme="minorBidi"/>
                <w:noProof/>
                <w:kern w:val="2"/>
                <w:sz w:val="24"/>
                <w:szCs w:val="24"/>
                <w14:ligatures w14:val="standardContextual"/>
              </w:rPr>
              <w:tab/>
            </w:r>
            <w:r w:rsidRPr="006E3642">
              <w:rPr>
                <w:rStyle w:val="Hyperlink"/>
                <w:noProof/>
              </w:rPr>
              <w:t>Utility-Owned Generation  and Purchased Power</w:t>
            </w:r>
            <w:r>
              <w:rPr>
                <w:noProof/>
                <w:webHidden/>
              </w:rPr>
              <w:tab/>
            </w:r>
            <w:r>
              <w:rPr>
                <w:noProof/>
                <w:webHidden/>
              </w:rPr>
              <w:fldChar w:fldCharType="begin"/>
            </w:r>
            <w:r>
              <w:rPr>
                <w:noProof/>
                <w:webHidden/>
              </w:rPr>
              <w:instrText xml:space="preserve"> PAGEREF _Toc214629856 \h </w:instrText>
            </w:r>
            <w:r>
              <w:rPr>
                <w:noProof/>
                <w:webHidden/>
              </w:rPr>
            </w:r>
            <w:r>
              <w:rPr>
                <w:noProof/>
                <w:webHidden/>
              </w:rPr>
              <w:fldChar w:fldCharType="separate"/>
            </w:r>
            <w:r w:rsidR="001738BD">
              <w:rPr>
                <w:noProof/>
                <w:webHidden/>
              </w:rPr>
              <w:t>16</w:t>
            </w:r>
            <w:r>
              <w:rPr>
                <w:noProof/>
                <w:webHidden/>
              </w:rPr>
              <w:fldChar w:fldCharType="end"/>
            </w:r>
          </w:hyperlink>
        </w:p>
        <w:p w:rsidR="006E0D77" w:rsidRDefault="006E0D77" w14:paraId="4896BE7A" w14:textId="1160F03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57">
            <w:r w:rsidRPr="006E3642">
              <w:rPr>
                <w:rStyle w:val="Hyperlink"/>
                <w:noProof/>
              </w:rPr>
              <w:t>5.2.1.</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Hydroelectric Generating Facilities</w:t>
            </w:r>
            <w:r>
              <w:rPr>
                <w:noProof/>
                <w:webHidden/>
              </w:rPr>
              <w:tab/>
            </w:r>
            <w:r>
              <w:rPr>
                <w:noProof/>
                <w:webHidden/>
              </w:rPr>
              <w:fldChar w:fldCharType="begin"/>
            </w:r>
            <w:r>
              <w:rPr>
                <w:noProof/>
                <w:webHidden/>
              </w:rPr>
              <w:instrText xml:space="preserve"> PAGEREF _Toc214629857 \h </w:instrText>
            </w:r>
            <w:r>
              <w:rPr>
                <w:noProof/>
                <w:webHidden/>
              </w:rPr>
            </w:r>
            <w:r>
              <w:rPr>
                <w:noProof/>
                <w:webHidden/>
              </w:rPr>
              <w:fldChar w:fldCharType="separate"/>
            </w:r>
            <w:r w:rsidR="001738BD">
              <w:rPr>
                <w:noProof/>
                <w:webHidden/>
              </w:rPr>
              <w:t>18</w:t>
            </w:r>
            <w:r>
              <w:rPr>
                <w:noProof/>
                <w:webHidden/>
              </w:rPr>
              <w:fldChar w:fldCharType="end"/>
            </w:r>
          </w:hyperlink>
        </w:p>
        <w:p w:rsidR="006E0D77" w:rsidRDefault="006E0D77" w14:paraId="5A16180C" w14:textId="01BBE61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58">
            <w:r w:rsidRPr="006E3642">
              <w:rPr>
                <w:rStyle w:val="Hyperlink"/>
                <w:noProof/>
              </w:rPr>
              <w:t>5.2.2.</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Solar Photovoltaic Generation</w:t>
            </w:r>
            <w:r>
              <w:rPr>
                <w:noProof/>
                <w:webHidden/>
              </w:rPr>
              <w:tab/>
            </w:r>
            <w:r>
              <w:rPr>
                <w:noProof/>
                <w:webHidden/>
              </w:rPr>
              <w:fldChar w:fldCharType="begin"/>
            </w:r>
            <w:r>
              <w:rPr>
                <w:noProof/>
                <w:webHidden/>
              </w:rPr>
              <w:instrText xml:space="preserve"> PAGEREF _Toc214629858 \h </w:instrText>
            </w:r>
            <w:r>
              <w:rPr>
                <w:noProof/>
                <w:webHidden/>
              </w:rPr>
            </w:r>
            <w:r>
              <w:rPr>
                <w:noProof/>
                <w:webHidden/>
              </w:rPr>
              <w:fldChar w:fldCharType="separate"/>
            </w:r>
            <w:r w:rsidR="001738BD">
              <w:rPr>
                <w:noProof/>
                <w:webHidden/>
              </w:rPr>
              <w:t>19</w:t>
            </w:r>
            <w:r>
              <w:rPr>
                <w:noProof/>
                <w:webHidden/>
              </w:rPr>
              <w:fldChar w:fldCharType="end"/>
            </w:r>
          </w:hyperlink>
        </w:p>
        <w:p w:rsidR="006E0D77" w:rsidRDefault="006E0D77" w14:paraId="1CA57A60" w14:textId="1EE1F86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59">
            <w:r w:rsidRPr="006E3642">
              <w:rPr>
                <w:rStyle w:val="Hyperlink"/>
                <w:noProof/>
              </w:rPr>
              <w:t>5.2.3.</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Combined Heat and Power and Renewables</w:t>
            </w:r>
            <w:r>
              <w:rPr>
                <w:noProof/>
                <w:webHidden/>
              </w:rPr>
              <w:tab/>
            </w:r>
            <w:r>
              <w:rPr>
                <w:noProof/>
                <w:webHidden/>
              </w:rPr>
              <w:fldChar w:fldCharType="begin"/>
            </w:r>
            <w:r>
              <w:rPr>
                <w:noProof/>
                <w:webHidden/>
              </w:rPr>
              <w:instrText xml:space="preserve"> PAGEREF _Toc214629859 \h </w:instrText>
            </w:r>
            <w:r>
              <w:rPr>
                <w:noProof/>
                <w:webHidden/>
              </w:rPr>
            </w:r>
            <w:r>
              <w:rPr>
                <w:noProof/>
                <w:webHidden/>
              </w:rPr>
              <w:fldChar w:fldCharType="separate"/>
            </w:r>
            <w:r w:rsidR="001738BD">
              <w:rPr>
                <w:noProof/>
                <w:webHidden/>
              </w:rPr>
              <w:t>20</w:t>
            </w:r>
            <w:r>
              <w:rPr>
                <w:noProof/>
                <w:webHidden/>
              </w:rPr>
              <w:fldChar w:fldCharType="end"/>
            </w:r>
          </w:hyperlink>
        </w:p>
        <w:p w:rsidR="006E0D77" w:rsidRDefault="006E0D77" w14:paraId="13546B93" w14:textId="46B084D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0">
            <w:r w:rsidRPr="006E3642">
              <w:rPr>
                <w:rStyle w:val="Hyperlink"/>
                <w:noProof/>
              </w:rPr>
              <w:t>5.2.4.</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Utility-Owned Natural Gas Facilities</w:t>
            </w:r>
            <w:r>
              <w:rPr>
                <w:noProof/>
                <w:webHidden/>
              </w:rPr>
              <w:tab/>
            </w:r>
            <w:r>
              <w:rPr>
                <w:noProof/>
                <w:webHidden/>
              </w:rPr>
              <w:fldChar w:fldCharType="begin"/>
            </w:r>
            <w:r>
              <w:rPr>
                <w:noProof/>
                <w:webHidden/>
              </w:rPr>
              <w:instrText xml:space="preserve"> PAGEREF _Toc214629860 \h </w:instrText>
            </w:r>
            <w:r>
              <w:rPr>
                <w:noProof/>
                <w:webHidden/>
              </w:rPr>
            </w:r>
            <w:r>
              <w:rPr>
                <w:noProof/>
                <w:webHidden/>
              </w:rPr>
              <w:fldChar w:fldCharType="separate"/>
            </w:r>
            <w:r w:rsidR="001738BD">
              <w:rPr>
                <w:noProof/>
                <w:webHidden/>
              </w:rPr>
              <w:t>22</w:t>
            </w:r>
            <w:r>
              <w:rPr>
                <w:noProof/>
                <w:webHidden/>
              </w:rPr>
              <w:fldChar w:fldCharType="end"/>
            </w:r>
          </w:hyperlink>
        </w:p>
        <w:p w:rsidR="006E0D77" w:rsidRDefault="006E0D77" w14:paraId="28AFB0CF" w14:textId="212699A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1">
            <w:r w:rsidRPr="006E3642">
              <w:rPr>
                <w:rStyle w:val="Hyperlink"/>
                <w:noProof/>
              </w:rPr>
              <w:t>5.2.5.</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Inter Utility Contract Production</w:t>
            </w:r>
            <w:r>
              <w:rPr>
                <w:noProof/>
                <w:webHidden/>
              </w:rPr>
              <w:tab/>
            </w:r>
            <w:r>
              <w:rPr>
                <w:noProof/>
                <w:webHidden/>
              </w:rPr>
              <w:fldChar w:fldCharType="begin"/>
            </w:r>
            <w:r>
              <w:rPr>
                <w:noProof/>
                <w:webHidden/>
              </w:rPr>
              <w:instrText xml:space="preserve"> PAGEREF _Toc214629861 \h </w:instrText>
            </w:r>
            <w:r>
              <w:rPr>
                <w:noProof/>
                <w:webHidden/>
              </w:rPr>
            </w:r>
            <w:r>
              <w:rPr>
                <w:noProof/>
                <w:webHidden/>
              </w:rPr>
              <w:fldChar w:fldCharType="separate"/>
            </w:r>
            <w:r w:rsidR="001738BD">
              <w:rPr>
                <w:noProof/>
                <w:webHidden/>
              </w:rPr>
              <w:t>23</w:t>
            </w:r>
            <w:r>
              <w:rPr>
                <w:noProof/>
                <w:webHidden/>
              </w:rPr>
              <w:fldChar w:fldCharType="end"/>
            </w:r>
          </w:hyperlink>
        </w:p>
        <w:p w:rsidR="006E0D77" w:rsidRDefault="006E0D77" w14:paraId="771EB6D5" w14:textId="5C33BBB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2">
            <w:r w:rsidRPr="006E3642">
              <w:rPr>
                <w:rStyle w:val="Hyperlink"/>
                <w:noProof/>
              </w:rPr>
              <w:t>5.2.6.</w:t>
            </w:r>
            <w:r>
              <w:rPr>
                <w:rFonts w:asciiTheme="minorHAnsi" w:hAnsiTheme="minorHAnsi" w:cstheme="minorBidi"/>
                <w:noProof/>
                <w:kern w:val="2"/>
                <w:sz w:val="24"/>
                <w:szCs w:val="24"/>
                <w14:ligatures w14:val="standardContextual"/>
              </w:rPr>
              <w:tab/>
            </w:r>
            <w:r w:rsidRPr="006E3642">
              <w:rPr>
                <w:rStyle w:val="Hyperlink"/>
                <w:noProof/>
              </w:rPr>
              <w:t>Utility-Owned Generation and Purchased Power: New System Generation Cost Allocation Method Contracts</w:t>
            </w:r>
            <w:r>
              <w:rPr>
                <w:noProof/>
                <w:webHidden/>
              </w:rPr>
              <w:tab/>
            </w:r>
            <w:r>
              <w:rPr>
                <w:noProof/>
                <w:webHidden/>
              </w:rPr>
              <w:fldChar w:fldCharType="begin"/>
            </w:r>
            <w:r>
              <w:rPr>
                <w:noProof/>
                <w:webHidden/>
              </w:rPr>
              <w:instrText xml:space="preserve"> PAGEREF _Toc214629862 \h </w:instrText>
            </w:r>
            <w:r>
              <w:rPr>
                <w:noProof/>
                <w:webHidden/>
              </w:rPr>
            </w:r>
            <w:r>
              <w:rPr>
                <w:noProof/>
                <w:webHidden/>
              </w:rPr>
              <w:fldChar w:fldCharType="separate"/>
            </w:r>
            <w:r w:rsidR="001738BD">
              <w:rPr>
                <w:noProof/>
                <w:webHidden/>
              </w:rPr>
              <w:t>24</w:t>
            </w:r>
            <w:r>
              <w:rPr>
                <w:noProof/>
                <w:webHidden/>
              </w:rPr>
              <w:fldChar w:fldCharType="end"/>
            </w:r>
          </w:hyperlink>
        </w:p>
        <w:p w:rsidR="006E0D77" w:rsidRDefault="006E0D77" w14:paraId="70590E13" w14:textId="2080450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3">
            <w:r w:rsidRPr="006E3642">
              <w:rPr>
                <w:rStyle w:val="Hyperlink"/>
                <w:noProof/>
              </w:rPr>
              <w:t>5.2.7.</w:t>
            </w:r>
            <w:r>
              <w:rPr>
                <w:rFonts w:asciiTheme="minorHAnsi" w:hAnsiTheme="minorHAnsi" w:cstheme="minorBidi"/>
                <w:noProof/>
                <w:kern w:val="2"/>
                <w:sz w:val="24"/>
                <w:szCs w:val="24"/>
                <w14:ligatures w14:val="standardContextual"/>
              </w:rPr>
              <w:tab/>
            </w:r>
            <w:r w:rsidRPr="006E3642">
              <w:rPr>
                <w:rStyle w:val="Hyperlink"/>
                <w:noProof/>
              </w:rPr>
              <w:t>Utility-Owned Generation and Purchased Power: System Reliability Modified Cost Allocation Method-Related Costs</w:t>
            </w:r>
            <w:r>
              <w:rPr>
                <w:noProof/>
                <w:webHidden/>
              </w:rPr>
              <w:tab/>
            </w:r>
            <w:r>
              <w:rPr>
                <w:noProof/>
                <w:webHidden/>
              </w:rPr>
              <w:fldChar w:fldCharType="begin"/>
            </w:r>
            <w:r>
              <w:rPr>
                <w:noProof/>
                <w:webHidden/>
              </w:rPr>
              <w:instrText xml:space="preserve"> PAGEREF _Toc214629863 \h </w:instrText>
            </w:r>
            <w:r>
              <w:rPr>
                <w:noProof/>
                <w:webHidden/>
              </w:rPr>
            </w:r>
            <w:r>
              <w:rPr>
                <w:noProof/>
                <w:webHidden/>
              </w:rPr>
              <w:fldChar w:fldCharType="separate"/>
            </w:r>
            <w:r w:rsidR="001738BD">
              <w:rPr>
                <w:noProof/>
                <w:webHidden/>
              </w:rPr>
              <w:t>29</w:t>
            </w:r>
            <w:r>
              <w:rPr>
                <w:noProof/>
                <w:webHidden/>
              </w:rPr>
              <w:fldChar w:fldCharType="end"/>
            </w:r>
          </w:hyperlink>
        </w:p>
        <w:p w:rsidR="006E0D77" w:rsidRDefault="006E0D77" w14:paraId="237DE31E" w14:textId="0F97480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4">
            <w:r w:rsidRPr="006E3642">
              <w:rPr>
                <w:rStyle w:val="Hyperlink"/>
                <w:noProof/>
              </w:rPr>
              <w:t>5.2.8.</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Emergency Reliability Procurement</w:t>
            </w:r>
            <w:r>
              <w:rPr>
                <w:noProof/>
                <w:webHidden/>
              </w:rPr>
              <w:tab/>
            </w:r>
            <w:r>
              <w:rPr>
                <w:noProof/>
                <w:webHidden/>
              </w:rPr>
              <w:fldChar w:fldCharType="begin"/>
            </w:r>
            <w:r>
              <w:rPr>
                <w:noProof/>
                <w:webHidden/>
              </w:rPr>
              <w:instrText xml:space="preserve"> PAGEREF _Toc214629864 \h </w:instrText>
            </w:r>
            <w:r>
              <w:rPr>
                <w:noProof/>
                <w:webHidden/>
              </w:rPr>
            </w:r>
            <w:r>
              <w:rPr>
                <w:noProof/>
                <w:webHidden/>
              </w:rPr>
              <w:fldChar w:fldCharType="separate"/>
            </w:r>
            <w:r w:rsidR="001738BD">
              <w:rPr>
                <w:noProof/>
                <w:webHidden/>
              </w:rPr>
              <w:t>31</w:t>
            </w:r>
            <w:r>
              <w:rPr>
                <w:noProof/>
                <w:webHidden/>
              </w:rPr>
              <w:fldChar w:fldCharType="end"/>
            </w:r>
          </w:hyperlink>
        </w:p>
        <w:p w:rsidR="006E0D77" w:rsidRDefault="006E0D77" w14:paraId="2F7EC540" w14:textId="0C87B3C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65">
            <w:r w:rsidRPr="006E3642">
              <w:rPr>
                <w:rStyle w:val="Hyperlink"/>
                <w:noProof/>
              </w:rPr>
              <w:t>5.2.9.</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Mid-Term Reliability Procurement</w:t>
            </w:r>
            <w:r>
              <w:rPr>
                <w:noProof/>
                <w:webHidden/>
              </w:rPr>
              <w:tab/>
            </w:r>
            <w:r>
              <w:rPr>
                <w:noProof/>
                <w:webHidden/>
              </w:rPr>
              <w:fldChar w:fldCharType="begin"/>
            </w:r>
            <w:r>
              <w:rPr>
                <w:noProof/>
                <w:webHidden/>
              </w:rPr>
              <w:instrText xml:space="preserve"> PAGEREF _Toc214629865 \h </w:instrText>
            </w:r>
            <w:r>
              <w:rPr>
                <w:noProof/>
                <w:webHidden/>
              </w:rPr>
            </w:r>
            <w:r>
              <w:rPr>
                <w:noProof/>
                <w:webHidden/>
              </w:rPr>
              <w:fldChar w:fldCharType="separate"/>
            </w:r>
            <w:r w:rsidR="001738BD">
              <w:rPr>
                <w:noProof/>
                <w:webHidden/>
              </w:rPr>
              <w:t>32</w:t>
            </w:r>
            <w:r>
              <w:rPr>
                <w:noProof/>
                <w:webHidden/>
              </w:rPr>
              <w:fldChar w:fldCharType="end"/>
            </w:r>
          </w:hyperlink>
        </w:p>
        <w:p w:rsidR="006E0D77" w:rsidRDefault="006E0D77" w14:paraId="2D61E970" w14:textId="74DDD56D">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66">
            <w:r w:rsidRPr="006E3642">
              <w:rPr>
                <w:rStyle w:val="Hyperlink"/>
                <w:noProof/>
              </w:rPr>
              <w:t>5.2.10.</w:t>
            </w:r>
            <w:r>
              <w:rPr>
                <w:rFonts w:asciiTheme="minorHAnsi" w:hAnsiTheme="minorHAnsi" w:cstheme="minorBidi"/>
                <w:noProof/>
                <w:kern w:val="2"/>
                <w:sz w:val="24"/>
                <w:szCs w:val="24"/>
                <w14:ligatures w14:val="standardContextual"/>
              </w:rPr>
              <w:tab/>
            </w:r>
            <w:r w:rsidRPr="006E3642">
              <w:rPr>
                <w:rStyle w:val="Hyperlink"/>
                <w:noProof/>
              </w:rPr>
              <w:t>Utility-Owned Generation and Purchased Power: Imports Used for Mid-Term Reliability and Diablo Canyon Replacement</w:t>
            </w:r>
            <w:r>
              <w:rPr>
                <w:noProof/>
                <w:webHidden/>
              </w:rPr>
              <w:tab/>
            </w:r>
            <w:r>
              <w:rPr>
                <w:noProof/>
                <w:webHidden/>
              </w:rPr>
              <w:fldChar w:fldCharType="begin"/>
            </w:r>
            <w:r>
              <w:rPr>
                <w:noProof/>
                <w:webHidden/>
              </w:rPr>
              <w:instrText xml:space="preserve"> PAGEREF _Toc214629866 \h </w:instrText>
            </w:r>
            <w:r>
              <w:rPr>
                <w:noProof/>
                <w:webHidden/>
              </w:rPr>
            </w:r>
            <w:r>
              <w:rPr>
                <w:noProof/>
                <w:webHidden/>
              </w:rPr>
              <w:fldChar w:fldCharType="separate"/>
            </w:r>
            <w:r w:rsidR="001738BD">
              <w:rPr>
                <w:noProof/>
                <w:webHidden/>
              </w:rPr>
              <w:t>34</w:t>
            </w:r>
            <w:r>
              <w:rPr>
                <w:noProof/>
                <w:webHidden/>
              </w:rPr>
              <w:fldChar w:fldCharType="end"/>
            </w:r>
          </w:hyperlink>
        </w:p>
        <w:p w:rsidR="006E0D77" w:rsidRDefault="006E0D77" w14:paraId="20454894" w14:textId="407D43A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67">
            <w:r w:rsidRPr="006E3642">
              <w:rPr>
                <w:rStyle w:val="Hyperlink"/>
                <w:noProof/>
              </w:rPr>
              <w:t>5.2.11.</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Generic and Bilateral Resource Adequacy Contracts</w:t>
            </w:r>
            <w:r>
              <w:rPr>
                <w:noProof/>
                <w:webHidden/>
              </w:rPr>
              <w:tab/>
            </w:r>
            <w:r>
              <w:rPr>
                <w:noProof/>
                <w:webHidden/>
              </w:rPr>
              <w:fldChar w:fldCharType="begin"/>
            </w:r>
            <w:r>
              <w:rPr>
                <w:noProof/>
                <w:webHidden/>
              </w:rPr>
              <w:instrText xml:space="preserve"> PAGEREF _Toc214629867 \h </w:instrText>
            </w:r>
            <w:r>
              <w:rPr>
                <w:noProof/>
                <w:webHidden/>
              </w:rPr>
            </w:r>
            <w:r>
              <w:rPr>
                <w:noProof/>
                <w:webHidden/>
              </w:rPr>
              <w:fldChar w:fldCharType="separate"/>
            </w:r>
            <w:r w:rsidR="001738BD">
              <w:rPr>
                <w:noProof/>
                <w:webHidden/>
              </w:rPr>
              <w:t>35</w:t>
            </w:r>
            <w:r>
              <w:rPr>
                <w:noProof/>
                <w:webHidden/>
              </w:rPr>
              <w:fldChar w:fldCharType="end"/>
            </w:r>
          </w:hyperlink>
        </w:p>
        <w:p w:rsidR="006E0D77" w:rsidRDefault="006E0D77" w14:paraId="1CFE15E8" w14:textId="19A3D46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68">
            <w:r w:rsidRPr="006E3642">
              <w:rPr>
                <w:rStyle w:val="Hyperlink"/>
                <w:noProof/>
              </w:rPr>
              <w:t>5.2.12.</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Local Capacity Requirement Costs</w:t>
            </w:r>
            <w:r>
              <w:rPr>
                <w:noProof/>
                <w:webHidden/>
              </w:rPr>
              <w:tab/>
            </w:r>
            <w:r>
              <w:rPr>
                <w:noProof/>
                <w:webHidden/>
              </w:rPr>
              <w:fldChar w:fldCharType="begin"/>
            </w:r>
            <w:r>
              <w:rPr>
                <w:noProof/>
                <w:webHidden/>
              </w:rPr>
              <w:instrText xml:space="preserve"> PAGEREF _Toc214629868 \h </w:instrText>
            </w:r>
            <w:r>
              <w:rPr>
                <w:noProof/>
                <w:webHidden/>
              </w:rPr>
            </w:r>
            <w:r>
              <w:rPr>
                <w:noProof/>
                <w:webHidden/>
              </w:rPr>
              <w:fldChar w:fldCharType="separate"/>
            </w:r>
            <w:r w:rsidR="001738BD">
              <w:rPr>
                <w:noProof/>
                <w:webHidden/>
              </w:rPr>
              <w:t>36</w:t>
            </w:r>
            <w:r>
              <w:rPr>
                <w:noProof/>
                <w:webHidden/>
              </w:rPr>
              <w:fldChar w:fldCharType="end"/>
            </w:r>
          </w:hyperlink>
        </w:p>
        <w:p w:rsidR="006E0D77" w:rsidRDefault="006E0D77" w14:paraId="5A9B2B57" w14:textId="45D47C3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69">
            <w:r w:rsidRPr="006E3642">
              <w:rPr>
                <w:rStyle w:val="Hyperlink"/>
                <w:noProof/>
              </w:rPr>
              <w:t>5.2.13.</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Preferred Resources Pilot</w:t>
            </w:r>
            <w:r>
              <w:rPr>
                <w:noProof/>
                <w:webHidden/>
              </w:rPr>
              <w:tab/>
            </w:r>
            <w:r>
              <w:rPr>
                <w:noProof/>
                <w:webHidden/>
              </w:rPr>
              <w:fldChar w:fldCharType="begin"/>
            </w:r>
            <w:r>
              <w:rPr>
                <w:noProof/>
                <w:webHidden/>
              </w:rPr>
              <w:instrText xml:space="preserve"> PAGEREF _Toc214629869 \h </w:instrText>
            </w:r>
            <w:r>
              <w:rPr>
                <w:noProof/>
                <w:webHidden/>
              </w:rPr>
            </w:r>
            <w:r>
              <w:rPr>
                <w:noProof/>
                <w:webHidden/>
              </w:rPr>
              <w:fldChar w:fldCharType="separate"/>
            </w:r>
            <w:r w:rsidR="001738BD">
              <w:rPr>
                <w:noProof/>
                <w:webHidden/>
              </w:rPr>
              <w:t>37</w:t>
            </w:r>
            <w:r>
              <w:rPr>
                <w:noProof/>
                <w:webHidden/>
              </w:rPr>
              <w:fldChar w:fldCharType="end"/>
            </w:r>
          </w:hyperlink>
        </w:p>
        <w:p w:rsidR="006E0D77" w:rsidRDefault="006E0D77" w14:paraId="0DDA7C14" w14:textId="2F0D3E9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70">
            <w:r w:rsidRPr="006E3642">
              <w:rPr>
                <w:rStyle w:val="Hyperlink"/>
                <w:noProof/>
              </w:rPr>
              <w:t>5.2.14.</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Green Tariff Shared Renewables</w:t>
            </w:r>
            <w:r>
              <w:rPr>
                <w:noProof/>
                <w:webHidden/>
              </w:rPr>
              <w:tab/>
            </w:r>
            <w:r>
              <w:rPr>
                <w:noProof/>
                <w:webHidden/>
              </w:rPr>
              <w:fldChar w:fldCharType="begin"/>
            </w:r>
            <w:r>
              <w:rPr>
                <w:noProof/>
                <w:webHidden/>
              </w:rPr>
              <w:instrText xml:space="preserve"> PAGEREF _Toc214629870 \h </w:instrText>
            </w:r>
            <w:r>
              <w:rPr>
                <w:noProof/>
                <w:webHidden/>
              </w:rPr>
            </w:r>
            <w:r>
              <w:rPr>
                <w:noProof/>
                <w:webHidden/>
              </w:rPr>
              <w:fldChar w:fldCharType="separate"/>
            </w:r>
            <w:r w:rsidR="001738BD">
              <w:rPr>
                <w:noProof/>
                <w:webHidden/>
              </w:rPr>
              <w:t>38</w:t>
            </w:r>
            <w:r>
              <w:rPr>
                <w:noProof/>
                <w:webHidden/>
              </w:rPr>
              <w:fldChar w:fldCharType="end"/>
            </w:r>
          </w:hyperlink>
        </w:p>
        <w:p w:rsidR="006E0D77" w:rsidRDefault="006E0D77" w14:paraId="11D6CC15" w14:textId="2E848CB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71">
            <w:r w:rsidRPr="006E3642">
              <w:rPr>
                <w:rStyle w:val="Hyperlink"/>
                <w:noProof/>
              </w:rPr>
              <w:t>5.2.15.</w:t>
            </w:r>
            <w:r>
              <w:rPr>
                <w:rFonts w:asciiTheme="minorHAnsi" w:hAnsiTheme="minorHAnsi" w:cstheme="minorBidi"/>
                <w:noProof/>
                <w:kern w:val="2"/>
                <w:sz w:val="24"/>
                <w:szCs w:val="24"/>
                <w14:ligatures w14:val="standardContextual"/>
              </w:rPr>
              <w:tab/>
            </w:r>
            <w:r w:rsidRPr="006E3642">
              <w:rPr>
                <w:rStyle w:val="Hyperlink"/>
                <w:noProof/>
              </w:rPr>
              <w:t>Utility-Owned Generation and  Purchased Power: Nuclear Costs</w:t>
            </w:r>
            <w:r>
              <w:rPr>
                <w:noProof/>
                <w:webHidden/>
              </w:rPr>
              <w:tab/>
            </w:r>
            <w:r>
              <w:rPr>
                <w:noProof/>
                <w:webHidden/>
              </w:rPr>
              <w:fldChar w:fldCharType="begin"/>
            </w:r>
            <w:r>
              <w:rPr>
                <w:noProof/>
                <w:webHidden/>
              </w:rPr>
              <w:instrText xml:space="preserve"> PAGEREF _Toc214629871 \h </w:instrText>
            </w:r>
            <w:r>
              <w:rPr>
                <w:noProof/>
                <w:webHidden/>
              </w:rPr>
            </w:r>
            <w:r>
              <w:rPr>
                <w:noProof/>
                <w:webHidden/>
              </w:rPr>
              <w:fldChar w:fldCharType="separate"/>
            </w:r>
            <w:r w:rsidR="001738BD">
              <w:rPr>
                <w:noProof/>
                <w:webHidden/>
              </w:rPr>
              <w:t>40</w:t>
            </w:r>
            <w:r>
              <w:rPr>
                <w:noProof/>
                <w:webHidden/>
              </w:rPr>
              <w:fldChar w:fldCharType="end"/>
            </w:r>
          </w:hyperlink>
        </w:p>
        <w:p w:rsidR="006E0D77" w:rsidRDefault="006E0D77" w14:paraId="785FF9AC" w14:textId="3D8B743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72">
            <w:r w:rsidRPr="006E3642">
              <w:rPr>
                <w:rStyle w:val="Hyperlink"/>
                <w:noProof/>
              </w:rPr>
              <w:t>5.2.16.</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Santa Catalina Island Fuel Costs</w:t>
            </w:r>
            <w:r>
              <w:rPr>
                <w:noProof/>
                <w:webHidden/>
              </w:rPr>
              <w:tab/>
            </w:r>
            <w:r>
              <w:rPr>
                <w:noProof/>
                <w:webHidden/>
              </w:rPr>
              <w:fldChar w:fldCharType="begin"/>
            </w:r>
            <w:r>
              <w:rPr>
                <w:noProof/>
                <w:webHidden/>
              </w:rPr>
              <w:instrText xml:space="preserve"> PAGEREF _Toc214629872 \h </w:instrText>
            </w:r>
            <w:r>
              <w:rPr>
                <w:noProof/>
                <w:webHidden/>
              </w:rPr>
            </w:r>
            <w:r>
              <w:rPr>
                <w:noProof/>
                <w:webHidden/>
              </w:rPr>
              <w:fldChar w:fldCharType="separate"/>
            </w:r>
            <w:r w:rsidR="001738BD">
              <w:rPr>
                <w:noProof/>
                <w:webHidden/>
              </w:rPr>
              <w:t>42</w:t>
            </w:r>
            <w:r>
              <w:rPr>
                <w:noProof/>
                <w:webHidden/>
              </w:rPr>
              <w:fldChar w:fldCharType="end"/>
            </w:r>
          </w:hyperlink>
        </w:p>
        <w:p w:rsidR="006E0D77" w:rsidRDefault="006E0D77" w14:paraId="14FA3698" w14:textId="50E3F07D">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73">
            <w:r w:rsidRPr="006E3642">
              <w:rPr>
                <w:rStyle w:val="Hyperlink"/>
                <w:noProof/>
              </w:rPr>
              <w:t>5.2.17.</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Tree Mortality Contracts</w:t>
            </w:r>
            <w:r>
              <w:rPr>
                <w:noProof/>
                <w:webHidden/>
              </w:rPr>
              <w:tab/>
            </w:r>
            <w:r>
              <w:rPr>
                <w:noProof/>
                <w:webHidden/>
              </w:rPr>
              <w:fldChar w:fldCharType="begin"/>
            </w:r>
            <w:r>
              <w:rPr>
                <w:noProof/>
                <w:webHidden/>
              </w:rPr>
              <w:instrText xml:space="preserve"> PAGEREF _Toc214629873 \h </w:instrText>
            </w:r>
            <w:r>
              <w:rPr>
                <w:noProof/>
                <w:webHidden/>
              </w:rPr>
            </w:r>
            <w:r>
              <w:rPr>
                <w:noProof/>
                <w:webHidden/>
              </w:rPr>
              <w:fldChar w:fldCharType="separate"/>
            </w:r>
            <w:r w:rsidR="001738BD">
              <w:rPr>
                <w:noProof/>
                <w:webHidden/>
              </w:rPr>
              <w:t>45</w:t>
            </w:r>
            <w:r>
              <w:rPr>
                <w:noProof/>
                <w:webHidden/>
              </w:rPr>
              <w:fldChar w:fldCharType="end"/>
            </w:r>
          </w:hyperlink>
        </w:p>
        <w:p w:rsidR="006E0D77" w:rsidRDefault="006E0D77" w14:paraId="5E0D297A" w14:textId="043ED29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629874">
            <w:r w:rsidRPr="006E3642">
              <w:rPr>
                <w:rStyle w:val="Hyperlink"/>
                <w:noProof/>
              </w:rPr>
              <w:t>5.2.18.</w:t>
            </w:r>
            <w:r>
              <w:rPr>
                <w:rFonts w:asciiTheme="minorHAnsi" w:hAnsiTheme="minorHAnsi" w:cstheme="minorBidi"/>
                <w:noProof/>
                <w:kern w:val="2"/>
                <w:sz w:val="24"/>
                <w:szCs w:val="24"/>
                <w14:ligatures w14:val="standardContextual"/>
              </w:rPr>
              <w:tab/>
            </w:r>
            <w:r w:rsidRPr="006E3642">
              <w:rPr>
                <w:rStyle w:val="Hyperlink"/>
                <w:noProof/>
              </w:rPr>
              <w:t xml:space="preserve">Utility-Owned Generation and Purchased Power: </w:t>
            </w:r>
            <w:r w:rsidR="005D5297">
              <w:rPr>
                <w:rStyle w:val="Hyperlink"/>
                <w:noProof/>
              </w:rPr>
              <w:br/>
            </w:r>
            <w:r w:rsidRPr="006E3642">
              <w:rPr>
                <w:rStyle w:val="Hyperlink"/>
                <w:noProof/>
              </w:rPr>
              <w:t>Bioenergy Market Adjusting Tariff Contracts</w:t>
            </w:r>
            <w:r>
              <w:rPr>
                <w:noProof/>
                <w:webHidden/>
              </w:rPr>
              <w:tab/>
            </w:r>
            <w:r>
              <w:rPr>
                <w:noProof/>
                <w:webHidden/>
              </w:rPr>
              <w:fldChar w:fldCharType="begin"/>
            </w:r>
            <w:r>
              <w:rPr>
                <w:noProof/>
                <w:webHidden/>
              </w:rPr>
              <w:instrText xml:space="preserve"> PAGEREF _Toc214629874 \h </w:instrText>
            </w:r>
            <w:r>
              <w:rPr>
                <w:noProof/>
                <w:webHidden/>
              </w:rPr>
            </w:r>
            <w:r>
              <w:rPr>
                <w:noProof/>
                <w:webHidden/>
              </w:rPr>
              <w:fldChar w:fldCharType="separate"/>
            </w:r>
            <w:r w:rsidR="001738BD">
              <w:rPr>
                <w:noProof/>
                <w:webHidden/>
              </w:rPr>
              <w:t>46</w:t>
            </w:r>
            <w:r>
              <w:rPr>
                <w:noProof/>
                <w:webHidden/>
              </w:rPr>
              <w:fldChar w:fldCharType="end"/>
            </w:r>
          </w:hyperlink>
        </w:p>
        <w:p w:rsidR="006E0D77" w:rsidRDefault="006E0D77" w14:paraId="39FD195E" w14:textId="386B537E">
          <w:pPr>
            <w:pStyle w:val="TOC2"/>
            <w:tabs>
              <w:tab w:val="right" w:leader="dot" w:pos="9350"/>
            </w:tabs>
            <w:rPr>
              <w:rFonts w:asciiTheme="minorHAnsi" w:hAnsiTheme="minorHAnsi" w:cstheme="minorBidi"/>
              <w:noProof/>
              <w:kern w:val="2"/>
              <w:sz w:val="24"/>
              <w:szCs w:val="24"/>
              <w14:ligatures w14:val="standardContextual"/>
            </w:rPr>
          </w:pPr>
          <w:hyperlink w:history="1" w:anchor="_Toc214629875">
            <w:r w:rsidRPr="006E3642">
              <w:rPr>
                <w:rStyle w:val="Hyperlink"/>
                <w:noProof/>
              </w:rPr>
              <w:t>5.3.</w:t>
            </w:r>
            <w:r>
              <w:rPr>
                <w:rFonts w:asciiTheme="minorHAnsi" w:hAnsiTheme="minorHAnsi" w:cstheme="minorBidi"/>
                <w:noProof/>
                <w:kern w:val="2"/>
                <w:sz w:val="24"/>
                <w:szCs w:val="24"/>
                <w14:ligatures w14:val="standardContextual"/>
              </w:rPr>
              <w:tab/>
            </w:r>
            <w:r w:rsidRPr="006E3642">
              <w:rPr>
                <w:rStyle w:val="Hyperlink"/>
                <w:noProof/>
              </w:rPr>
              <w:t>Discussion of Southern California Edison Company’s Portfolio of Resources and Procurement Cost Forecast Methodology</w:t>
            </w:r>
            <w:r>
              <w:rPr>
                <w:noProof/>
                <w:webHidden/>
              </w:rPr>
              <w:tab/>
            </w:r>
            <w:r>
              <w:rPr>
                <w:noProof/>
                <w:webHidden/>
              </w:rPr>
              <w:fldChar w:fldCharType="begin"/>
            </w:r>
            <w:r>
              <w:rPr>
                <w:noProof/>
                <w:webHidden/>
              </w:rPr>
              <w:instrText xml:space="preserve"> PAGEREF _Toc214629875 \h </w:instrText>
            </w:r>
            <w:r>
              <w:rPr>
                <w:noProof/>
                <w:webHidden/>
              </w:rPr>
            </w:r>
            <w:r>
              <w:rPr>
                <w:noProof/>
                <w:webHidden/>
              </w:rPr>
              <w:fldChar w:fldCharType="separate"/>
            </w:r>
            <w:r w:rsidR="001738BD">
              <w:rPr>
                <w:noProof/>
                <w:webHidden/>
              </w:rPr>
              <w:t>47</w:t>
            </w:r>
            <w:r>
              <w:rPr>
                <w:noProof/>
                <w:webHidden/>
              </w:rPr>
              <w:fldChar w:fldCharType="end"/>
            </w:r>
          </w:hyperlink>
        </w:p>
        <w:p w:rsidR="006E0D77" w:rsidRDefault="006E0D77" w14:paraId="3DC30224" w14:textId="1F6604D1">
          <w:pPr>
            <w:pStyle w:val="TOC2"/>
            <w:tabs>
              <w:tab w:val="right" w:leader="dot" w:pos="9350"/>
            </w:tabs>
            <w:rPr>
              <w:rFonts w:asciiTheme="minorHAnsi" w:hAnsiTheme="minorHAnsi" w:cstheme="minorBidi"/>
              <w:noProof/>
              <w:kern w:val="2"/>
              <w:sz w:val="24"/>
              <w:szCs w:val="24"/>
              <w14:ligatures w14:val="standardContextual"/>
            </w:rPr>
          </w:pPr>
          <w:hyperlink w:history="1" w:anchor="_Toc214629876">
            <w:r w:rsidRPr="006E3642">
              <w:rPr>
                <w:rStyle w:val="Hyperlink"/>
                <w:noProof/>
              </w:rPr>
              <w:t>5.4.</w:t>
            </w:r>
            <w:r>
              <w:rPr>
                <w:rFonts w:asciiTheme="minorHAnsi" w:hAnsiTheme="minorHAnsi" w:cstheme="minorBidi"/>
                <w:noProof/>
                <w:kern w:val="2"/>
                <w:sz w:val="24"/>
                <w:szCs w:val="24"/>
                <w14:ligatures w14:val="standardContextual"/>
              </w:rPr>
              <w:tab/>
            </w:r>
            <w:r w:rsidRPr="006E3642">
              <w:rPr>
                <w:rStyle w:val="Hyperlink"/>
                <w:noProof/>
              </w:rPr>
              <w:t>Other Southern California Edison Company Programs and Costs</w:t>
            </w:r>
            <w:r>
              <w:rPr>
                <w:noProof/>
                <w:webHidden/>
              </w:rPr>
              <w:tab/>
            </w:r>
            <w:r>
              <w:rPr>
                <w:noProof/>
                <w:webHidden/>
              </w:rPr>
              <w:fldChar w:fldCharType="begin"/>
            </w:r>
            <w:r>
              <w:rPr>
                <w:noProof/>
                <w:webHidden/>
              </w:rPr>
              <w:instrText xml:space="preserve"> PAGEREF _Toc214629876 \h </w:instrText>
            </w:r>
            <w:r>
              <w:rPr>
                <w:noProof/>
                <w:webHidden/>
              </w:rPr>
            </w:r>
            <w:r>
              <w:rPr>
                <w:noProof/>
                <w:webHidden/>
              </w:rPr>
              <w:fldChar w:fldCharType="separate"/>
            </w:r>
            <w:r w:rsidR="001738BD">
              <w:rPr>
                <w:noProof/>
                <w:webHidden/>
              </w:rPr>
              <w:t>48</w:t>
            </w:r>
            <w:r>
              <w:rPr>
                <w:noProof/>
                <w:webHidden/>
              </w:rPr>
              <w:fldChar w:fldCharType="end"/>
            </w:r>
          </w:hyperlink>
        </w:p>
        <w:p w:rsidR="006E0D77" w:rsidRDefault="006E0D77" w14:paraId="7D35F47E" w14:textId="770D744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77">
            <w:r w:rsidRPr="006E3642">
              <w:rPr>
                <w:rStyle w:val="Hyperlink"/>
                <w:noProof/>
              </w:rPr>
              <w:t>5.4.1.</w:t>
            </w:r>
            <w:r>
              <w:rPr>
                <w:rFonts w:asciiTheme="minorHAnsi" w:hAnsiTheme="minorHAnsi" w:cstheme="minorBidi"/>
                <w:noProof/>
                <w:kern w:val="2"/>
                <w:sz w:val="24"/>
                <w:szCs w:val="24"/>
                <w14:ligatures w14:val="standardContextual"/>
              </w:rPr>
              <w:tab/>
            </w:r>
            <w:r w:rsidRPr="006E3642">
              <w:rPr>
                <w:rStyle w:val="Hyperlink"/>
                <w:noProof/>
              </w:rPr>
              <w:t>Other Programs and Costs:  Demand Response</w:t>
            </w:r>
            <w:r>
              <w:rPr>
                <w:noProof/>
                <w:webHidden/>
              </w:rPr>
              <w:tab/>
            </w:r>
            <w:r>
              <w:rPr>
                <w:noProof/>
                <w:webHidden/>
              </w:rPr>
              <w:fldChar w:fldCharType="begin"/>
            </w:r>
            <w:r>
              <w:rPr>
                <w:noProof/>
                <w:webHidden/>
              </w:rPr>
              <w:instrText xml:space="preserve"> PAGEREF _Toc214629877 \h </w:instrText>
            </w:r>
            <w:r>
              <w:rPr>
                <w:noProof/>
                <w:webHidden/>
              </w:rPr>
            </w:r>
            <w:r>
              <w:rPr>
                <w:noProof/>
                <w:webHidden/>
              </w:rPr>
              <w:fldChar w:fldCharType="separate"/>
            </w:r>
            <w:r w:rsidR="001738BD">
              <w:rPr>
                <w:noProof/>
                <w:webHidden/>
              </w:rPr>
              <w:t>48</w:t>
            </w:r>
            <w:r>
              <w:rPr>
                <w:noProof/>
                <w:webHidden/>
              </w:rPr>
              <w:fldChar w:fldCharType="end"/>
            </w:r>
          </w:hyperlink>
        </w:p>
        <w:p w:rsidR="006E0D77" w:rsidRDefault="006E0D77" w14:paraId="19F188AD" w14:textId="6638758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78">
            <w:r w:rsidRPr="006E3642">
              <w:rPr>
                <w:rStyle w:val="Hyperlink"/>
                <w:noProof/>
              </w:rPr>
              <w:t>5.4.2.</w:t>
            </w:r>
            <w:r>
              <w:rPr>
                <w:rFonts w:asciiTheme="minorHAnsi" w:hAnsiTheme="minorHAnsi" w:cstheme="minorBidi"/>
                <w:noProof/>
                <w:kern w:val="2"/>
                <w:sz w:val="24"/>
                <w:szCs w:val="24"/>
                <w14:ligatures w14:val="standardContextual"/>
              </w:rPr>
              <w:tab/>
            </w:r>
            <w:r w:rsidRPr="006E3642">
              <w:rPr>
                <w:rStyle w:val="Hyperlink"/>
                <w:noProof/>
              </w:rPr>
              <w:t xml:space="preserve">Other Programs and Costs: CAISO Costs, Load </w:t>
            </w:r>
            <w:r w:rsidR="005D5297">
              <w:rPr>
                <w:rStyle w:val="Hyperlink"/>
                <w:noProof/>
              </w:rPr>
              <w:br/>
            </w:r>
            <w:r w:rsidRPr="006E3642">
              <w:rPr>
                <w:rStyle w:val="Hyperlink"/>
                <w:noProof/>
              </w:rPr>
              <w:t>Procurement Charges,  and Energy Revenues</w:t>
            </w:r>
            <w:r>
              <w:rPr>
                <w:noProof/>
                <w:webHidden/>
              </w:rPr>
              <w:tab/>
            </w:r>
            <w:r>
              <w:rPr>
                <w:noProof/>
                <w:webHidden/>
              </w:rPr>
              <w:fldChar w:fldCharType="begin"/>
            </w:r>
            <w:r>
              <w:rPr>
                <w:noProof/>
                <w:webHidden/>
              </w:rPr>
              <w:instrText xml:space="preserve"> PAGEREF _Toc214629878 \h </w:instrText>
            </w:r>
            <w:r>
              <w:rPr>
                <w:noProof/>
                <w:webHidden/>
              </w:rPr>
            </w:r>
            <w:r>
              <w:rPr>
                <w:noProof/>
                <w:webHidden/>
              </w:rPr>
              <w:fldChar w:fldCharType="separate"/>
            </w:r>
            <w:r w:rsidR="001738BD">
              <w:rPr>
                <w:noProof/>
                <w:webHidden/>
              </w:rPr>
              <w:t>49</w:t>
            </w:r>
            <w:r>
              <w:rPr>
                <w:noProof/>
                <w:webHidden/>
              </w:rPr>
              <w:fldChar w:fldCharType="end"/>
            </w:r>
          </w:hyperlink>
        </w:p>
        <w:p w:rsidR="006E0D77" w:rsidRDefault="006E0D77" w14:paraId="621514E9" w14:textId="182B0FF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79">
            <w:r w:rsidRPr="006E3642">
              <w:rPr>
                <w:rStyle w:val="Hyperlink"/>
                <w:noProof/>
              </w:rPr>
              <w:t>5.4.3.</w:t>
            </w:r>
            <w:r>
              <w:rPr>
                <w:rFonts w:asciiTheme="minorHAnsi" w:hAnsiTheme="minorHAnsi" w:cstheme="minorBidi"/>
                <w:noProof/>
                <w:kern w:val="2"/>
                <w:sz w:val="24"/>
                <w:szCs w:val="24"/>
                <w14:ligatures w14:val="standardContextual"/>
              </w:rPr>
              <w:tab/>
            </w:r>
            <w:r w:rsidRPr="006E3642">
              <w:rPr>
                <w:rStyle w:val="Hyperlink"/>
                <w:noProof/>
              </w:rPr>
              <w:t>Other Programs and Costs:  Hedging Costs</w:t>
            </w:r>
            <w:r>
              <w:rPr>
                <w:noProof/>
                <w:webHidden/>
              </w:rPr>
              <w:tab/>
            </w:r>
            <w:r>
              <w:rPr>
                <w:noProof/>
                <w:webHidden/>
              </w:rPr>
              <w:fldChar w:fldCharType="begin"/>
            </w:r>
            <w:r>
              <w:rPr>
                <w:noProof/>
                <w:webHidden/>
              </w:rPr>
              <w:instrText xml:space="preserve"> PAGEREF _Toc214629879 \h </w:instrText>
            </w:r>
            <w:r>
              <w:rPr>
                <w:noProof/>
                <w:webHidden/>
              </w:rPr>
            </w:r>
            <w:r>
              <w:rPr>
                <w:noProof/>
                <w:webHidden/>
              </w:rPr>
              <w:fldChar w:fldCharType="separate"/>
            </w:r>
            <w:r w:rsidR="001738BD">
              <w:rPr>
                <w:noProof/>
                <w:webHidden/>
              </w:rPr>
              <w:t>51</w:t>
            </w:r>
            <w:r>
              <w:rPr>
                <w:noProof/>
                <w:webHidden/>
              </w:rPr>
              <w:fldChar w:fldCharType="end"/>
            </w:r>
          </w:hyperlink>
        </w:p>
        <w:p w:rsidR="006E0D77" w:rsidRDefault="006E0D77" w14:paraId="5DD01419" w14:textId="34BC382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0">
            <w:r w:rsidRPr="006E3642">
              <w:rPr>
                <w:rStyle w:val="Hyperlink"/>
                <w:noProof/>
              </w:rPr>
              <w:t>5.4.4.</w:t>
            </w:r>
            <w:r>
              <w:rPr>
                <w:rFonts w:asciiTheme="minorHAnsi" w:hAnsiTheme="minorHAnsi" w:cstheme="minorBidi"/>
                <w:noProof/>
                <w:kern w:val="2"/>
                <w:sz w:val="24"/>
                <w:szCs w:val="24"/>
                <w14:ligatures w14:val="standardContextual"/>
              </w:rPr>
              <w:tab/>
            </w:r>
            <w:r w:rsidRPr="006E3642">
              <w:rPr>
                <w:rStyle w:val="Hyperlink"/>
                <w:noProof/>
              </w:rPr>
              <w:t>Other Programs and Costs: Gas Transportation and Storage</w:t>
            </w:r>
            <w:r>
              <w:rPr>
                <w:noProof/>
                <w:webHidden/>
              </w:rPr>
              <w:tab/>
            </w:r>
            <w:r>
              <w:rPr>
                <w:noProof/>
                <w:webHidden/>
              </w:rPr>
              <w:fldChar w:fldCharType="begin"/>
            </w:r>
            <w:r>
              <w:rPr>
                <w:noProof/>
                <w:webHidden/>
              </w:rPr>
              <w:instrText xml:space="preserve"> PAGEREF _Toc214629880 \h </w:instrText>
            </w:r>
            <w:r>
              <w:rPr>
                <w:noProof/>
                <w:webHidden/>
              </w:rPr>
            </w:r>
            <w:r>
              <w:rPr>
                <w:noProof/>
                <w:webHidden/>
              </w:rPr>
              <w:fldChar w:fldCharType="separate"/>
            </w:r>
            <w:r w:rsidR="001738BD">
              <w:rPr>
                <w:noProof/>
                <w:webHidden/>
              </w:rPr>
              <w:t>52</w:t>
            </w:r>
            <w:r>
              <w:rPr>
                <w:noProof/>
                <w:webHidden/>
              </w:rPr>
              <w:fldChar w:fldCharType="end"/>
            </w:r>
          </w:hyperlink>
        </w:p>
        <w:p w:rsidR="006E0D77" w:rsidRDefault="006E0D77" w14:paraId="129FDAAD" w14:textId="553CB2C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1">
            <w:r w:rsidRPr="006E3642">
              <w:rPr>
                <w:rStyle w:val="Hyperlink"/>
                <w:noProof/>
              </w:rPr>
              <w:t>5.4.5.</w:t>
            </w:r>
            <w:r>
              <w:rPr>
                <w:rFonts w:asciiTheme="minorHAnsi" w:hAnsiTheme="minorHAnsi" w:cstheme="minorBidi"/>
                <w:noProof/>
                <w:kern w:val="2"/>
                <w:sz w:val="24"/>
                <w:szCs w:val="24"/>
                <w14:ligatures w14:val="standardContextual"/>
              </w:rPr>
              <w:tab/>
            </w:r>
            <w:r w:rsidRPr="006E3642">
              <w:rPr>
                <w:rStyle w:val="Hyperlink"/>
                <w:noProof/>
              </w:rPr>
              <w:t xml:space="preserve">Other Programs and Costs: Subscription Fees, </w:t>
            </w:r>
            <w:r w:rsidR="005D5297">
              <w:rPr>
                <w:rStyle w:val="Hyperlink"/>
                <w:noProof/>
              </w:rPr>
              <w:br/>
            </w:r>
            <w:r w:rsidRPr="006E3642">
              <w:rPr>
                <w:rStyle w:val="Hyperlink"/>
                <w:noProof/>
              </w:rPr>
              <w:t>Financing Costs, and Carrying Costs</w:t>
            </w:r>
            <w:r>
              <w:rPr>
                <w:noProof/>
                <w:webHidden/>
              </w:rPr>
              <w:tab/>
            </w:r>
            <w:r>
              <w:rPr>
                <w:noProof/>
                <w:webHidden/>
              </w:rPr>
              <w:fldChar w:fldCharType="begin"/>
            </w:r>
            <w:r>
              <w:rPr>
                <w:noProof/>
                <w:webHidden/>
              </w:rPr>
              <w:instrText xml:space="preserve"> PAGEREF _Toc214629881 \h </w:instrText>
            </w:r>
            <w:r>
              <w:rPr>
                <w:noProof/>
                <w:webHidden/>
              </w:rPr>
            </w:r>
            <w:r>
              <w:rPr>
                <w:noProof/>
                <w:webHidden/>
              </w:rPr>
              <w:fldChar w:fldCharType="separate"/>
            </w:r>
            <w:r w:rsidR="001738BD">
              <w:rPr>
                <w:noProof/>
                <w:webHidden/>
              </w:rPr>
              <w:t>53</w:t>
            </w:r>
            <w:r>
              <w:rPr>
                <w:noProof/>
                <w:webHidden/>
              </w:rPr>
              <w:fldChar w:fldCharType="end"/>
            </w:r>
          </w:hyperlink>
        </w:p>
        <w:p w:rsidR="006E0D77" w:rsidRDefault="006E0D77" w14:paraId="1994DF4A" w14:textId="5B906C7A">
          <w:pPr>
            <w:pStyle w:val="TOC1"/>
            <w:tabs>
              <w:tab w:val="right" w:leader="dot" w:pos="9350"/>
            </w:tabs>
            <w:rPr>
              <w:rFonts w:asciiTheme="minorHAnsi" w:hAnsiTheme="minorHAnsi" w:cstheme="minorBidi"/>
              <w:noProof/>
              <w:kern w:val="2"/>
              <w:sz w:val="24"/>
              <w:szCs w:val="24"/>
              <w14:ligatures w14:val="standardContextual"/>
            </w:rPr>
          </w:pPr>
          <w:hyperlink w:history="1" w:anchor="_Toc214629882">
            <w:r w:rsidRPr="006E3642">
              <w:rPr>
                <w:rStyle w:val="Hyperlink"/>
                <w:noProof/>
              </w:rPr>
              <w:t>6.</w:t>
            </w:r>
            <w:r>
              <w:rPr>
                <w:rFonts w:asciiTheme="minorHAnsi" w:hAnsiTheme="minorHAnsi" w:cstheme="minorBidi"/>
                <w:noProof/>
                <w:kern w:val="2"/>
                <w:sz w:val="24"/>
                <w:szCs w:val="24"/>
                <w14:ligatures w14:val="standardContextual"/>
              </w:rPr>
              <w:tab/>
            </w:r>
            <w:r w:rsidRPr="006E3642">
              <w:rPr>
                <w:rStyle w:val="Hyperlink"/>
                <w:noProof/>
              </w:rPr>
              <w:t>Greenhouse Gas Forecast Emissions Costs, Allowance Revenues, Program Allocations, and Customer Returns</w:t>
            </w:r>
            <w:r>
              <w:rPr>
                <w:noProof/>
                <w:webHidden/>
              </w:rPr>
              <w:tab/>
            </w:r>
            <w:r>
              <w:rPr>
                <w:noProof/>
                <w:webHidden/>
              </w:rPr>
              <w:fldChar w:fldCharType="begin"/>
            </w:r>
            <w:r>
              <w:rPr>
                <w:noProof/>
                <w:webHidden/>
              </w:rPr>
              <w:instrText xml:space="preserve"> PAGEREF _Toc214629882 \h </w:instrText>
            </w:r>
            <w:r>
              <w:rPr>
                <w:noProof/>
                <w:webHidden/>
              </w:rPr>
            </w:r>
            <w:r>
              <w:rPr>
                <w:noProof/>
                <w:webHidden/>
              </w:rPr>
              <w:fldChar w:fldCharType="separate"/>
            </w:r>
            <w:r w:rsidR="001738BD">
              <w:rPr>
                <w:noProof/>
                <w:webHidden/>
              </w:rPr>
              <w:t>57</w:t>
            </w:r>
            <w:r>
              <w:rPr>
                <w:noProof/>
                <w:webHidden/>
              </w:rPr>
              <w:fldChar w:fldCharType="end"/>
            </w:r>
          </w:hyperlink>
        </w:p>
        <w:p w:rsidR="006E0D77" w:rsidRDefault="006E0D77" w14:paraId="7F46D573" w14:textId="2D2D3574">
          <w:pPr>
            <w:pStyle w:val="TOC2"/>
            <w:tabs>
              <w:tab w:val="right" w:leader="dot" w:pos="9350"/>
            </w:tabs>
            <w:rPr>
              <w:rFonts w:asciiTheme="minorHAnsi" w:hAnsiTheme="minorHAnsi" w:cstheme="minorBidi"/>
              <w:noProof/>
              <w:kern w:val="2"/>
              <w:sz w:val="24"/>
              <w:szCs w:val="24"/>
              <w14:ligatures w14:val="standardContextual"/>
            </w:rPr>
          </w:pPr>
          <w:hyperlink w:history="1" w:anchor="_Toc214629883">
            <w:r w:rsidRPr="006E3642">
              <w:rPr>
                <w:rStyle w:val="Hyperlink"/>
                <w:noProof/>
              </w:rPr>
              <w:t>6.1.</w:t>
            </w:r>
            <w:r>
              <w:rPr>
                <w:rFonts w:asciiTheme="minorHAnsi" w:hAnsiTheme="minorHAnsi" w:cstheme="minorBidi"/>
                <w:noProof/>
                <w:kern w:val="2"/>
                <w:sz w:val="24"/>
                <w:szCs w:val="24"/>
                <w14:ligatures w14:val="standardContextual"/>
              </w:rPr>
              <w:tab/>
            </w:r>
            <w:r w:rsidRPr="006E3642">
              <w:rPr>
                <w:rStyle w:val="Hyperlink"/>
                <w:noProof/>
              </w:rPr>
              <w:t>Greenhouse Gas Forecasts:  Emissions Costs</w:t>
            </w:r>
            <w:r>
              <w:rPr>
                <w:noProof/>
                <w:webHidden/>
              </w:rPr>
              <w:tab/>
            </w:r>
            <w:r>
              <w:rPr>
                <w:noProof/>
                <w:webHidden/>
              </w:rPr>
              <w:fldChar w:fldCharType="begin"/>
            </w:r>
            <w:r>
              <w:rPr>
                <w:noProof/>
                <w:webHidden/>
              </w:rPr>
              <w:instrText xml:space="preserve"> PAGEREF _Toc214629883 \h </w:instrText>
            </w:r>
            <w:r>
              <w:rPr>
                <w:noProof/>
                <w:webHidden/>
              </w:rPr>
            </w:r>
            <w:r>
              <w:rPr>
                <w:noProof/>
                <w:webHidden/>
              </w:rPr>
              <w:fldChar w:fldCharType="separate"/>
            </w:r>
            <w:r w:rsidR="001738BD">
              <w:rPr>
                <w:noProof/>
                <w:webHidden/>
              </w:rPr>
              <w:t>58</w:t>
            </w:r>
            <w:r>
              <w:rPr>
                <w:noProof/>
                <w:webHidden/>
              </w:rPr>
              <w:fldChar w:fldCharType="end"/>
            </w:r>
          </w:hyperlink>
        </w:p>
        <w:p w:rsidR="006E0D77" w:rsidRDefault="006E0D77" w14:paraId="5B778620" w14:textId="5605558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4">
            <w:r w:rsidRPr="006E3642">
              <w:rPr>
                <w:rStyle w:val="Hyperlink"/>
                <w:noProof/>
              </w:rPr>
              <w:t>6.1.1.</w:t>
            </w:r>
            <w:r>
              <w:rPr>
                <w:rFonts w:asciiTheme="minorHAnsi" w:hAnsiTheme="minorHAnsi" w:cstheme="minorBidi"/>
                <w:noProof/>
                <w:kern w:val="2"/>
                <w:sz w:val="24"/>
                <w:szCs w:val="24"/>
                <w14:ligatures w14:val="standardContextual"/>
              </w:rPr>
              <w:tab/>
            </w:r>
            <w:r w:rsidRPr="006E3642">
              <w:rPr>
                <w:rStyle w:val="Hyperlink"/>
                <w:noProof/>
              </w:rPr>
              <w:t>Greenhouse Gas Forecasts: Discussion of Southern California Edison Company’s Forecast Greenhouse Gas Emissions Costs</w:t>
            </w:r>
            <w:r>
              <w:rPr>
                <w:noProof/>
                <w:webHidden/>
              </w:rPr>
              <w:tab/>
            </w:r>
            <w:r>
              <w:rPr>
                <w:noProof/>
                <w:webHidden/>
              </w:rPr>
              <w:fldChar w:fldCharType="begin"/>
            </w:r>
            <w:r>
              <w:rPr>
                <w:noProof/>
                <w:webHidden/>
              </w:rPr>
              <w:instrText xml:space="preserve"> PAGEREF _Toc214629884 \h </w:instrText>
            </w:r>
            <w:r>
              <w:rPr>
                <w:noProof/>
                <w:webHidden/>
              </w:rPr>
            </w:r>
            <w:r>
              <w:rPr>
                <w:noProof/>
                <w:webHidden/>
              </w:rPr>
              <w:fldChar w:fldCharType="separate"/>
            </w:r>
            <w:r w:rsidR="001738BD">
              <w:rPr>
                <w:noProof/>
                <w:webHidden/>
              </w:rPr>
              <w:t>61</w:t>
            </w:r>
            <w:r>
              <w:rPr>
                <w:noProof/>
                <w:webHidden/>
              </w:rPr>
              <w:fldChar w:fldCharType="end"/>
            </w:r>
          </w:hyperlink>
        </w:p>
        <w:p w:rsidR="006E0D77" w:rsidRDefault="006E0D77" w14:paraId="13616274" w14:textId="69F59CD0">
          <w:pPr>
            <w:pStyle w:val="TOC2"/>
            <w:tabs>
              <w:tab w:val="right" w:leader="dot" w:pos="9350"/>
            </w:tabs>
            <w:rPr>
              <w:rFonts w:asciiTheme="minorHAnsi" w:hAnsiTheme="minorHAnsi" w:cstheme="minorBidi"/>
              <w:noProof/>
              <w:kern w:val="2"/>
              <w:sz w:val="24"/>
              <w:szCs w:val="24"/>
              <w14:ligatures w14:val="standardContextual"/>
            </w:rPr>
          </w:pPr>
          <w:hyperlink w:history="1" w:anchor="_Toc214629885">
            <w:r w:rsidRPr="006E3642">
              <w:rPr>
                <w:rStyle w:val="Hyperlink"/>
                <w:noProof/>
              </w:rPr>
              <w:t>6.2.</w:t>
            </w:r>
            <w:r>
              <w:rPr>
                <w:rFonts w:asciiTheme="minorHAnsi" w:hAnsiTheme="minorHAnsi" w:cstheme="minorBidi"/>
                <w:noProof/>
                <w:kern w:val="2"/>
                <w:sz w:val="24"/>
                <w:szCs w:val="24"/>
                <w14:ligatures w14:val="standardContextual"/>
              </w:rPr>
              <w:tab/>
            </w:r>
            <w:r w:rsidRPr="006E3642">
              <w:rPr>
                <w:rStyle w:val="Hyperlink"/>
                <w:noProof/>
              </w:rPr>
              <w:t>Greenhouse Gas Forecasts: Calculation of 2026 Greenhouse Gas Allowance Revenues and Revenue Returns</w:t>
            </w:r>
            <w:r>
              <w:rPr>
                <w:noProof/>
                <w:webHidden/>
              </w:rPr>
              <w:tab/>
            </w:r>
            <w:r>
              <w:rPr>
                <w:noProof/>
                <w:webHidden/>
              </w:rPr>
              <w:fldChar w:fldCharType="begin"/>
            </w:r>
            <w:r>
              <w:rPr>
                <w:noProof/>
                <w:webHidden/>
              </w:rPr>
              <w:instrText xml:space="preserve"> PAGEREF _Toc214629885 \h </w:instrText>
            </w:r>
            <w:r>
              <w:rPr>
                <w:noProof/>
                <w:webHidden/>
              </w:rPr>
            </w:r>
            <w:r>
              <w:rPr>
                <w:noProof/>
                <w:webHidden/>
              </w:rPr>
              <w:fldChar w:fldCharType="separate"/>
            </w:r>
            <w:r w:rsidR="001738BD">
              <w:rPr>
                <w:noProof/>
                <w:webHidden/>
              </w:rPr>
              <w:t>61</w:t>
            </w:r>
            <w:r>
              <w:rPr>
                <w:noProof/>
                <w:webHidden/>
              </w:rPr>
              <w:fldChar w:fldCharType="end"/>
            </w:r>
          </w:hyperlink>
        </w:p>
        <w:p w:rsidR="006E0D77" w:rsidRDefault="006E0D77" w14:paraId="1A0AB40A" w14:textId="71DAB4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6">
            <w:r w:rsidRPr="006E3642">
              <w:rPr>
                <w:rStyle w:val="Hyperlink"/>
                <w:noProof/>
              </w:rPr>
              <w:t>6.2.1.</w:t>
            </w:r>
            <w:r>
              <w:rPr>
                <w:rFonts w:asciiTheme="minorHAnsi" w:hAnsiTheme="minorHAnsi" w:cstheme="minorBidi"/>
                <w:noProof/>
                <w:kern w:val="2"/>
                <w:sz w:val="24"/>
                <w:szCs w:val="24"/>
                <w14:ligatures w14:val="standardContextual"/>
              </w:rPr>
              <w:tab/>
            </w:r>
            <w:r w:rsidRPr="006E3642">
              <w:rPr>
                <w:rStyle w:val="Hyperlink"/>
                <w:noProof/>
              </w:rPr>
              <w:t>Greenhouse Gas Forecasts: 2026 Forecast Allowance Auction Revenues and 2025 Revenues True Up</w:t>
            </w:r>
            <w:r>
              <w:rPr>
                <w:noProof/>
                <w:webHidden/>
              </w:rPr>
              <w:tab/>
            </w:r>
            <w:r>
              <w:rPr>
                <w:noProof/>
                <w:webHidden/>
              </w:rPr>
              <w:fldChar w:fldCharType="begin"/>
            </w:r>
            <w:r>
              <w:rPr>
                <w:noProof/>
                <w:webHidden/>
              </w:rPr>
              <w:instrText xml:space="preserve"> PAGEREF _Toc214629886 \h </w:instrText>
            </w:r>
            <w:r>
              <w:rPr>
                <w:noProof/>
                <w:webHidden/>
              </w:rPr>
            </w:r>
            <w:r>
              <w:rPr>
                <w:noProof/>
                <w:webHidden/>
              </w:rPr>
              <w:fldChar w:fldCharType="separate"/>
            </w:r>
            <w:r w:rsidR="001738BD">
              <w:rPr>
                <w:noProof/>
                <w:webHidden/>
              </w:rPr>
              <w:t>62</w:t>
            </w:r>
            <w:r>
              <w:rPr>
                <w:noProof/>
                <w:webHidden/>
              </w:rPr>
              <w:fldChar w:fldCharType="end"/>
            </w:r>
          </w:hyperlink>
        </w:p>
        <w:p w:rsidR="006E0D77" w:rsidRDefault="006E0D77" w14:paraId="27A9AA71" w14:textId="191694F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7">
            <w:r w:rsidRPr="006E3642">
              <w:rPr>
                <w:rStyle w:val="Hyperlink"/>
                <w:noProof/>
              </w:rPr>
              <w:t>6.2.2.</w:t>
            </w:r>
            <w:r>
              <w:rPr>
                <w:rFonts w:asciiTheme="minorHAnsi" w:hAnsiTheme="minorHAnsi" w:cstheme="minorBidi"/>
                <w:noProof/>
                <w:kern w:val="2"/>
                <w:sz w:val="24"/>
                <w:szCs w:val="24"/>
                <w14:ligatures w14:val="standardContextual"/>
              </w:rPr>
              <w:tab/>
            </w:r>
            <w:r w:rsidRPr="006E3642">
              <w:rPr>
                <w:rStyle w:val="Hyperlink"/>
                <w:noProof/>
              </w:rPr>
              <w:t>Greenhouse Gas Forecasts: 2026 Greenhouse Gas Administrative Costs and True Up of 2025 Administrative Costs</w:t>
            </w:r>
            <w:r>
              <w:rPr>
                <w:noProof/>
                <w:webHidden/>
              </w:rPr>
              <w:tab/>
            </w:r>
            <w:r>
              <w:rPr>
                <w:noProof/>
                <w:webHidden/>
              </w:rPr>
              <w:fldChar w:fldCharType="begin"/>
            </w:r>
            <w:r>
              <w:rPr>
                <w:noProof/>
                <w:webHidden/>
              </w:rPr>
              <w:instrText xml:space="preserve"> PAGEREF _Toc214629887 \h </w:instrText>
            </w:r>
            <w:r>
              <w:rPr>
                <w:noProof/>
                <w:webHidden/>
              </w:rPr>
            </w:r>
            <w:r>
              <w:rPr>
                <w:noProof/>
                <w:webHidden/>
              </w:rPr>
              <w:fldChar w:fldCharType="separate"/>
            </w:r>
            <w:r w:rsidR="001738BD">
              <w:rPr>
                <w:noProof/>
                <w:webHidden/>
              </w:rPr>
              <w:t>64</w:t>
            </w:r>
            <w:r>
              <w:rPr>
                <w:noProof/>
                <w:webHidden/>
              </w:rPr>
              <w:fldChar w:fldCharType="end"/>
            </w:r>
          </w:hyperlink>
        </w:p>
        <w:p w:rsidR="006E0D77" w:rsidRDefault="006E0D77" w14:paraId="32FC7D7B" w14:textId="5624D661">
          <w:pPr>
            <w:pStyle w:val="TOC2"/>
            <w:tabs>
              <w:tab w:val="right" w:leader="dot" w:pos="9350"/>
            </w:tabs>
            <w:rPr>
              <w:rFonts w:asciiTheme="minorHAnsi" w:hAnsiTheme="minorHAnsi" w:cstheme="minorBidi"/>
              <w:noProof/>
              <w:kern w:val="2"/>
              <w:sz w:val="24"/>
              <w:szCs w:val="24"/>
              <w14:ligatures w14:val="standardContextual"/>
            </w:rPr>
          </w:pPr>
          <w:hyperlink w:history="1" w:anchor="_Toc214629888">
            <w:r w:rsidRPr="006E3642">
              <w:rPr>
                <w:rStyle w:val="Hyperlink"/>
                <w:noProof/>
              </w:rPr>
              <w:t>6.3.</w:t>
            </w:r>
            <w:r>
              <w:rPr>
                <w:rFonts w:asciiTheme="minorHAnsi" w:hAnsiTheme="minorHAnsi" w:cstheme="minorBidi"/>
                <w:noProof/>
                <w:kern w:val="2"/>
                <w:sz w:val="24"/>
                <w:szCs w:val="24"/>
                <w14:ligatures w14:val="standardContextual"/>
              </w:rPr>
              <w:tab/>
            </w:r>
            <w:r w:rsidRPr="006E3642">
              <w:rPr>
                <w:rStyle w:val="Hyperlink"/>
                <w:noProof/>
              </w:rPr>
              <w:t>Greenhouse Gas Forecasts:  2026 Clean Energy Program Set-Asides</w:t>
            </w:r>
            <w:r>
              <w:rPr>
                <w:noProof/>
                <w:webHidden/>
              </w:rPr>
              <w:tab/>
            </w:r>
            <w:r>
              <w:rPr>
                <w:noProof/>
                <w:webHidden/>
              </w:rPr>
              <w:fldChar w:fldCharType="begin"/>
            </w:r>
            <w:r>
              <w:rPr>
                <w:noProof/>
                <w:webHidden/>
              </w:rPr>
              <w:instrText xml:space="preserve"> PAGEREF _Toc214629888 \h </w:instrText>
            </w:r>
            <w:r>
              <w:rPr>
                <w:noProof/>
                <w:webHidden/>
              </w:rPr>
            </w:r>
            <w:r>
              <w:rPr>
                <w:noProof/>
                <w:webHidden/>
              </w:rPr>
              <w:fldChar w:fldCharType="separate"/>
            </w:r>
            <w:r w:rsidR="001738BD">
              <w:rPr>
                <w:noProof/>
                <w:webHidden/>
              </w:rPr>
              <w:t>66</w:t>
            </w:r>
            <w:r>
              <w:rPr>
                <w:noProof/>
                <w:webHidden/>
              </w:rPr>
              <w:fldChar w:fldCharType="end"/>
            </w:r>
          </w:hyperlink>
        </w:p>
        <w:p w:rsidR="006E0D77" w:rsidRDefault="006E0D77" w14:paraId="1B6695A7" w14:textId="029C199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89">
            <w:r w:rsidRPr="006E3642">
              <w:rPr>
                <w:rStyle w:val="Hyperlink"/>
                <w:noProof/>
              </w:rPr>
              <w:t>6.3.1.</w:t>
            </w:r>
            <w:r>
              <w:rPr>
                <w:rFonts w:asciiTheme="minorHAnsi" w:hAnsiTheme="minorHAnsi" w:cstheme="minorBidi"/>
                <w:noProof/>
                <w:kern w:val="2"/>
                <w:sz w:val="24"/>
                <w:szCs w:val="24"/>
                <w14:ligatures w14:val="standardContextual"/>
              </w:rPr>
              <w:tab/>
            </w:r>
            <w:r w:rsidRPr="006E3642">
              <w:rPr>
                <w:rStyle w:val="Hyperlink"/>
                <w:noProof/>
              </w:rPr>
              <w:t>2026 Clean Energy Program Set-Asides: Solar on Multifamily Affordable Housing Program</w:t>
            </w:r>
            <w:r>
              <w:rPr>
                <w:noProof/>
                <w:webHidden/>
              </w:rPr>
              <w:tab/>
            </w:r>
            <w:r>
              <w:rPr>
                <w:noProof/>
                <w:webHidden/>
              </w:rPr>
              <w:fldChar w:fldCharType="begin"/>
            </w:r>
            <w:r>
              <w:rPr>
                <w:noProof/>
                <w:webHidden/>
              </w:rPr>
              <w:instrText xml:space="preserve"> PAGEREF _Toc214629889 \h </w:instrText>
            </w:r>
            <w:r>
              <w:rPr>
                <w:noProof/>
                <w:webHidden/>
              </w:rPr>
            </w:r>
            <w:r>
              <w:rPr>
                <w:noProof/>
                <w:webHidden/>
              </w:rPr>
              <w:fldChar w:fldCharType="separate"/>
            </w:r>
            <w:r w:rsidR="001738BD">
              <w:rPr>
                <w:noProof/>
                <w:webHidden/>
              </w:rPr>
              <w:t>67</w:t>
            </w:r>
            <w:r>
              <w:rPr>
                <w:noProof/>
                <w:webHidden/>
              </w:rPr>
              <w:fldChar w:fldCharType="end"/>
            </w:r>
          </w:hyperlink>
        </w:p>
        <w:p w:rsidR="006E0D77" w:rsidRDefault="006E0D77" w14:paraId="4987E376" w14:textId="19F24EB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90">
            <w:r w:rsidRPr="006E3642">
              <w:rPr>
                <w:rStyle w:val="Hyperlink"/>
                <w:noProof/>
              </w:rPr>
              <w:t>6.3.2.</w:t>
            </w:r>
            <w:r>
              <w:rPr>
                <w:rFonts w:asciiTheme="minorHAnsi" w:hAnsiTheme="minorHAnsi" w:cstheme="minorBidi"/>
                <w:noProof/>
                <w:kern w:val="2"/>
                <w:sz w:val="24"/>
                <w:szCs w:val="24"/>
                <w14:ligatures w14:val="standardContextual"/>
              </w:rPr>
              <w:tab/>
            </w:r>
            <w:r w:rsidRPr="006E3642">
              <w:rPr>
                <w:rStyle w:val="Hyperlink"/>
                <w:noProof/>
              </w:rPr>
              <w:t xml:space="preserve">2026 Clean Energy Program Set-Asides: </w:t>
            </w:r>
            <w:r w:rsidR="005D5297">
              <w:rPr>
                <w:rStyle w:val="Hyperlink"/>
                <w:noProof/>
              </w:rPr>
              <w:br/>
            </w:r>
            <w:r w:rsidRPr="006E3642">
              <w:rPr>
                <w:rStyle w:val="Hyperlink"/>
                <w:noProof/>
              </w:rPr>
              <w:t>Disadvantaged Community Programs</w:t>
            </w:r>
            <w:r>
              <w:rPr>
                <w:noProof/>
                <w:webHidden/>
              </w:rPr>
              <w:tab/>
            </w:r>
            <w:r>
              <w:rPr>
                <w:noProof/>
                <w:webHidden/>
              </w:rPr>
              <w:fldChar w:fldCharType="begin"/>
            </w:r>
            <w:r>
              <w:rPr>
                <w:noProof/>
                <w:webHidden/>
              </w:rPr>
              <w:instrText xml:space="preserve"> PAGEREF _Toc214629890 \h </w:instrText>
            </w:r>
            <w:r>
              <w:rPr>
                <w:noProof/>
                <w:webHidden/>
              </w:rPr>
            </w:r>
            <w:r>
              <w:rPr>
                <w:noProof/>
                <w:webHidden/>
              </w:rPr>
              <w:fldChar w:fldCharType="separate"/>
            </w:r>
            <w:r w:rsidR="001738BD">
              <w:rPr>
                <w:noProof/>
                <w:webHidden/>
              </w:rPr>
              <w:t>68</w:t>
            </w:r>
            <w:r>
              <w:rPr>
                <w:noProof/>
                <w:webHidden/>
              </w:rPr>
              <w:fldChar w:fldCharType="end"/>
            </w:r>
          </w:hyperlink>
        </w:p>
        <w:p w:rsidR="006E0D77" w:rsidRDefault="006E0D77" w14:paraId="7D2DFDC1" w14:textId="1309373E">
          <w:pPr>
            <w:pStyle w:val="TOC2"/>
            <w:tabs>
              <w:tab w:val="right" w:leader="dot" w:pos="9350"/>
            </w:tabs>
            <w:rPr>
              <w:rFonts w:asciiTheme="minorHAnsi" w:hAnsiTheme="minorHAnsi" w:cstheme="minorBidi"/>
              <w:noProof/>
              <w:kern w:val="2"/>
              <w:sz w:val="24"/>
              <w:szCs w:val="24"/>
              <w14:ligatures w14:val="standardContextual"/>
            </w:rPr>
          </w:pPr>
          <w:hyperlink w:history="1" w:anchor="_Toc214629891">
            <w:r w:rsidRPr="006E3642">
              <w:rPr>
                <w:rStyle w:val="Hyperlink"/>
                <w:noProof/>
              </w:rPr>
              <w:t>6.4.</w:t>
            </w:r>
            <w:r>
              <w:rPr>
                <w:rFonts w:asciiTheme="minorHAnsi" w:hAnsiTheme="minorHAnsi" w:cstheme="minorBidi"/>
                <w:noProof/>
                <w:kern w:val="2"/>
                <w:sz w:val="24"/>
                <w:szCs w:val="24"/>
                <w14:ligatures w14:val="standardContextual"/>
              </w:rPr>
              <w:tab/>
            </w:r>
            <w:r w:rsidRPr="006E3642">
              <w:rPr>
                <w:rStyle w:val="Hyperlink"/>
                <w:noProof/>
              </w:rPr>
              <w:t>Greenhouse Gas Forecasts: 2026 California Climate Credit Calculation</w:t>
            </w:r>
            <w:r>
              <w:rPr>
                <w:noProof/>
                <w:webHidden/>
              </w:rPr>
              <w:tab/>
            </w:r>
            <w:r>
              <w:rPr>
                <w:noProof/>
                <w:webHidden/>
              </w:rPr>
              <w:fldChar w:fldCharType="begin"/>
            </w:r>
            <w:r>
              <w:rPr>
                <w:noProof/>
                <w:webHidden/>
              </w:rPr>
              <w:instrText xml:space="preserve"> PAGEREF _Toc214629891 \h </w:instrText>
            </w:r>
            <w:r>
              <w:rPr>
                <w:noProof/>
                <w:webHidden/>
              </w:rPr>
            </w:r>
            <w:r>
              <w:rPr>
                <w:noProof/>
                <w:webHidden/>
              </w:rPr>
              <w:fldChar w:fldCharType="separate"/>
            </w:r>
            <w:r w:rsidR="001738BD">
              <w:rPr>
                <w:noProof/>
                <w:webHidden/>
              </w:rPr>
              <w:t>70</w:t>
            </w:r>
            <w:r>
              <w:rPr>
                <w:noProof/>
                <w:webHidden/>
              </w:rPr>
              <w:fldChar w:fldCharType="end"/>
            </w:r>
          </w:hyperlink>
        </w:p>
        <w:p w:rsidR="006E0D77" w:rsidRDefault="006E0D77" w14:paraId="686CD7C9" w14:textId="7D815315">
          <w:pPr>
            <w:pStyle w:val="TOC2"/>
            <w:tabs>
              <w:tab w:val="right" w:leader="dot" w:pos="9350"/>
            </w:tabs>
            <w:rPr>
              <w:rFonts w:asciiTheme="minorHAnsi" w:hAnsiTheme="minorHAnsi" w:cstheme="minorBidi"/>
              <w:noProof/>
              <w:kern w:val="2"/>
              <w:sz w:val="24"/>
              <w:szCs w:val="24"/>
              <w14:ligatures w14:val="standardContextual"/>
            </w:rPr>
          </w:pPr>
          <w:hyperlink w:history="1" w:anchor="_Toc214629892">
            <w:r w:rsidRPr="006E3642">
              <w:rPr>
                <w:rStyle w:val="Hyperlink"/>
                <w:noProof/>
              </w:rPr>
              <w:t>6.5.</w:t>
            </w:r>
            <w:r>
              <w:rPr>
                <w:rFonts w:asciiTheme="minorHAnsi" w:hAnsiTheme="minorHAnsi" w:cstheme="minorBidi"/>
                <w:noProof/>
                <w:kern w:val="2"/>
                <w:sz w:val="24"/>
                <w:szCs w:val="24"/>
                <w14:ligatures w14:val="standardContextual"/>
              </w:rPr>
              <w:tab/>
            </w:r>
            <w:r w:rsidRPr="006E3642">
              <w:rPr>
                <w:rStyle w:val="Hyperlink"/>
                <w:noProof/>
              </w:rPr>
              <w:t>Greenhouse Gas Forecasts: Discussion</w:t>
            </w:r>
            <w:r>
              <w:rPr>
                <w:noProof/>
                <w:webHidden/>
              </w:rPr>
              <w:tab/>
            </w:r>
            <w:r>
              <w:rPr>
                <w:noProof/>
                <w:webHidden/>
              </w:rPr>
              <w:fldChar w:fldCharType="begin"/>
            </w:r>
            <w:r>
              <w:rPr>
                <w:noProof/>
                <w:webHidden/>
              </w:rPr>
              <w:instrText xml:space="preserve"> PAGEREF _Toc214629892 \h </w:instrText>
            </w:r>
            <w:r>
              <w:rPr>
                <w:noProof/>
                <w:webHidden/>
              </w:rPr>
            </w:r>
            <w:r>
              <w:rPr>
                <w:noProof/>
                <w:webHidden/>
              </w:rPr>
              <w:fldChar w:fldCharType="separate"/>
            </w:r>
            <w:r w:rsidR="001738BD">
              <w:rPr>
                <w:noProof/>
                <w:webHidden/>
              </w:rPr>
              <w:t>72</w:t>
            </w:r>
            <w:r>
              <w:rPr>
                <w:noProof/>
                <w:webHidden/>
              </w:rPr>
              <w:fldChar w:fldCharType="end"/>
            </w:r>
          </w:hyperlink>
        </w:p>
        <w:p w:rsidR="006E0D77" w:rsidRDefault="006E0D77" w14:paraId="329F31D5" w14:textId="49140536">
          <w:pPr>
            <w:pStyle w:val="TOC1"/>
            <w:tabs>
              <w:tab w:val="right" w:leader="dot" w:pos="9350"/>
            </w:tabs>
            <w:rPr>
              <w:rFonts w:asciiTheme="minorHAnsi" w:hAnsiTheme="minorHAnsi" w:cstheme="minorBidi"/>
              <w:noProof/>
              <w:kern w:val="2"/>
              <w:sz w:val="24"/>
              <w:szCs w:val="24"/>
              <w14:ligatures w14:val="standardContextual"/>
            </w:rPr>
          </w:pPr>
          <w:hyperlink w:history="1" w:anchor="_Toc214629893">
            <w:r w:rsidRPr="006E3642">
              <w:rPr>
                <w:rStyle w:val="Hyperlink"/>
                <w:noProof/>
              </w:rPr>
              <w:t>7.</w:t>
            </w:r>
            <w:r>
              <w:rPr>
                <w:rFonts w:asciiTheme="minorHAnsi" w:hAnsiTheme="minorHAnsi" w:cstheme="minorBidi"/>
                <w:noProof/>
                <w:kern w:val="2"/>
                <w:sz w:val="24"/>
                <w:szCs w:val="24"/>
                <w14:ligatures w14:val="standardContextual"/>
              </w:rPr>
              <w:tab/>
            </w:r>
            <w:r w:rsidRPr="006E3642">
              <w:rPr>
                <w:rStyle w:val="Hyperlink"/>
                <w:noProof/>
              </w:rPr>
              <w:t>Southern California Edison Company’s 2026 Energy Resource Recovery Account Revenue Requirement Forecasts, as Modified</w:t>
            </w:r>
            <w:r>
              <w:rPr>
                <w:noProof/>
                <w:webHidden/>
              </w:rPr>
              <w:tab/>
            </w:r>
            <w:r>
              <w:rPr>
                <w:noProof/>
                <w:webHidden/>
              </w:rPr>
              <w:fldChar w:fldCharType="begin"/>
            </w:r>
            <w:r>
              <w:rPr>
                <w:noProof/>
                <w:webHidden/>
              </w:rPr>
              <w:instrText xml:space="preserve"> PAGEREF _Toc214629893 \h </w:instrText>
            </w:r>
            <w:r>
              <w:rPr>
                <w:noProof/>
                <w:webHidden/>
              </w:rPr>
            </w:r>
            <w:r>
              <w:rPr>
                <w:noProof/>
                <w:webHidden/>
              </w:rPr>
              <w:fldChar w:fldCharType="separate"/>
            </w:r>
            <w:r w:rsidR="001738BD">
              <w:rPr>
                <w:noProof/>
                <w:webHidden/>
              </w:rPr>
              <w:t>73</w:t>
            </w:r>
            <w:r>
              <w:rPr>
                <w:noProof/>
                <w:webHidden/>
              </w:rPr>
              <w:fldChar w:fldCharType="end"/>
            </w:r>
          </w:hyperlink>
        </w:p>
        <w:p w:rsidR="006E0D77" w:rsidRDefault="006E0D77" w14:paraId="20477CDE" w14:textId="6EC3CCE0">
          <w:pPr>
            <w:pStyle w:val="TOC2"/>
            <w:tabs>
              <w:tab w:val="right" w:leader="dot" w:pos="9350"/>
            </w:tabs>
            <w:rPr>
              <w:rFonts w:asciiTheme="minorHAnsi" w:hAnsiTheme="minorHAnsi" w:cstheme="minorBidi"/>
              <w:noProof/>
              <w:kern w:val="2"/>
              <w:sz w:val="24"/>
              <w:szCs w:val="24"/>
              <w14:ligatures w14:val="standardContextual"/>
            </w:rPr>
          </w:pPr>
          <w:hyperlink w:history="1" w:anchor="_Toc214629894">
            <w:r w:rsidRPr="006E3642">
              <w:rPr>
                <w:rStyle w:val="Hyperlink"/>
                <w:noProof/>
              </w:rPr>
              <w:t>7.1.</w:t>
            </w:r>
            <w:r>
              <w:rPr>
                <w:rFonts w:asciiTheme="minorHAnsi" w:hAnsiTheme="minorHAnsi" w:cstheme="minorBidi"/>
                <w:noProof/>
                <w:kern w:val="2"/>
                <w:sz w:val="24"/>
                <w:szCs w:val="24"/>
                <w14:ligatures w14:val="standardContextual"/>
              </w:rPr>
              <w:tab/>
            </w:r>
            <w:r w:rsidRPr="006E3642">
              <w:rPr>
                <w:rStyle w:val="Hyperlink"/>
                <w:noProof/>
              </w:rPr>
              <w:t>Updated Generation Service  Revenue Requirement</w:t>
            </w:r>
            <w:r>
              <w:rPr>
                <w:noProof/>
                <w:webHidden/>
              </w:rPr>
              <w:tab/>
            </w:r>
            <w:r>
              <w:rPr>
                <w:noProof/>
                <w:webHidden/>
              </w:rPr>
              <w:fldChar w:fldCharType="begin"/>
            </w:r>
            <w:r>
              <w:rPr>
                <w:noProof/>
                <w:webHidden/>
              </w:rPr>
              <w:instrText xml:space="preserve"> PAGEREF _Toc214629894 \h </w:instrText>
            </w:r>
            <w:r>
              <w:rPr>
                <w:noProof/>
                <w:webHidden/>
              </w:rPr>
            </w:r>
            <w:r>
              <w:rPr>
                <w:noProof/>
                <w:webHidden/>
              </w:rPr>
              <w:fldChar w:fldCharType="separate"/>
            </w:r>
            <w:r w:rsidR="001738BD">
              <w:rPr>
                <w:noProof/>
                <w:webHidden/>
              </w:rPr>
              <w:t>75</w:t>
            </w:r>
            <w:r>
              <w:rPr>
                <w:noProof/>
                <w:webHidden/>
              </w:rPr>
              <w:fldChar w:fldCharType="end"/>
            </w:r>
          </w:hyperlink>
        </w:p>
        <w:p w:rsidR="006E0D77" w:rsidRDefault="006E0D77" w14:paraId="718E04DF" w14:textId="1B13994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95">
            <w:r w:rsidRPr="006E3642">
              <w:rPr>
                <w:rStyle w:val="Hyperlink"/>
                <w:noProof/>
              </w:rPr>
              <w:t>7.1.1.</w:t>
            </w:r>
            <w:r>
              <w:rPr>
                <w:rFonts w:asciiTheme="minorHAnsi" w:hAnsiTheme="minorHAnsi" w:cstheme="minorBidi"/>
                <w:noProof/>
                <w:kern w:val="2"/>
                <w:sz w:val="24"/>
                <w:szCs w:val="24"/>
                <w14:ligatures w14:val="standardContextual"/>
              </w:rPr>
              <w:tab/>
            </w:r>
            <w:r w:rsidRPr="006E3642">
              <w:rPr>
                <w:rStyle w:val="Hyperlink"/>
                <w:noProof/>
              </w:rPr>
              <w:t>Generation Service: Updated 2026 Energy Resource Recovery Account Balancing Account Forecast</w:t>
            </w:r>
            <w:r>
              <w:rPr>
                <w:noProof/>
                <w:webHidden/>
              </w:rPr>
              <w:tab/>
            </w:r>
            <w:r>
              <w:rPr>
                <w:noProof/>
                <w:webHidden/>
              </w:rPr>
              <w:fldChar w:fldCharType="begin"/>
            </w:r>
            <w:r>
              <w:rPr>
                <w:noProof/>
                <w:webHidden/>
              </w:rPr>
              <w:instrText xml:space="preserve"> PAGEREF _Toc214629895 \h </w:instrText>
            </w:r>
            <w:r>
              <w:rPr>
                <w:noProof/>
                <w:webHidden/>
              </w:rPr>
            </w:r>
            <w:r>
              <w:rPr>
                <w:noProof/>
                <w:webHidden/>
              </w:rPr>
              <w:fldChar w:fldCharType="separate"/>
            </w:r>
            <w:r w:rsidR="001738BD">
              <w:rPr>
                <w:noProof/>
                <w:webHidden/>
              </w:rPr>
              <w:t>75</w:t>
            </w:r>
            <w:r>
              <w:rPr>
                <w:noProof/>
                <w:webHidden/>
              </w:rPr>
              <w:fldChar w:fldCharType="end"/>
            </w:r>
          </w:hyperlink>
        </w:p>
        <w:p w:rsidR="006E0D77" w:rsidRDefault="006E0D77" w14:paraId="705DD000" w14:textId="7BDCCF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96">
            <w:r w:rsidRPr="006E3642">
              <w:rPr>
                <w:rStyle w:val="Hyperlink"/>
                <w:noProof/>
              </w:rPr>
              <w:t>7.1.2.</w:t>
            </w:r>
            <w:r>
              <w:rPr>
                <w:rFonts w:asciiTheme="minorHAnsi" w:hAnsiTheme="minorHAnsi" w:cstheme="minorBidi"/>
                <w:noProof/>
                <w:kern w:val="2"/>
                <w:sz w:val="24"/>
                <w:szCs w:val="24"/>
                <w14:ligatures w14:val="standardContextual"/>
              </w:rPr>
              <w:tab/>
            </w:r>
            <w:r w:rsidRPr="006E3642">
              <w:rPr>
                <w:rStyle w:val="Hyperlink"/>
                <w:noProof/>
              </w:rPr>
              <w:t xml:space="preserve">Generation Service: Updated 2026 Portfolio </w:t>
            </w:r>
            <w:r w:rsidR="005D5297">
              <w:rPr>
                <w:rStyle w:val="Hyperlink"/>
                <w:noProof/>
              </w:rPr>
              <w:br/>
            </w:r>
            <w:r w:rsidRPr="006E3642">
              <w:rPr>
                <w:rStyle w:val="Hyperlink"/>
                <w:noProof/>
              </w:rPr>
              <w:t>Allocation Balancing Account Forecast</w:t>
            </w:r>
            <w:r>
              <w:rPr>
                <w:noProof/>
                <w:webHidden/>
              </w:rPr>
              <w:tab/>
            </w:r>
            <w:r>
              <w:rPr>
                <w:noProof/>
                <w:webHidden/>
              </w:rPr>
              <w:fldChar w:fldCharType="begin"/>
            </w:r>
            <w:r>
              <w:rPr>
                <w:noProof/>
                <w:webHidden/>
              </w:rPr>
              <w:instrText xml:space="preserve"> PAGEREF _Toc214629896 \h </w:instrText>
            </w:r>
            <w:r>
              <w:rPr>
                <w:noProof/>
                <w:webHidden/>
              </w:rPr>
            </w:r>
            <w:r>
              <w:rPr>
                <w:noProof/>
                <w:webHidden/>
              </w:rPr>
              <w:fldChar w:fldCharType="separate"/>
            </w:r>
            <w:r w:rsidR="001738BD">
              <w:rPr>
                <w:noProof/>
                <w:webHidden/>
              </w:rPr>
              <w:t>77</w:t>
            </w:r>
            <w:r>
              <w:rPr>
                <w:noProof/>
                <w:webHidden/>
              </w:rPr>
              <w:fldChar w:fldCharType="end"/>
            </w:r>
          </w:hyperlink>
        </w:p>
        <w:p w:rsidR="006E0D77" w:rsidRDefault="006E0D77" w14:paraId="5A018CE7" w14:textId="2409E6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97">
            <w:r w:rsidRPr="006E3642">
              <w:rPr>
                <w:rStyle w:val="Hyperlink"/>
                <w:noProof/>
              </w:rPr>
              <w:t>7.1.3.</w:t>
            </w:r>
            <w:r>
              <w:rPr>
                <w:rFonts w:asciiTheme="minorHAnsi" w:hAnsiTheme="minorHAnsi" w:cstheme="minorBidi"/>
                <w:noProof/>
                <w:kern w:val="2"/>
                <w:sz w:val="24"/>
                <w:szCs w:val="24"/>
                <w14:ligatures w14:val="standardContextual"/>
              </w:rPr>
              <w:tab/>
            </w:r>
            <w:r w:rsidRPr="006E3642">
              <w:rPr>
                <w:rStyle w:val="Hyperlink"/>
                <w:noProof/>
              </w:rPr>
              <w:t>Generation Service: Updated 2026 Green Tariff Shared Renewables Balancing Account Forecast</w:t>
            </w:r>
            <w:r>
              <w:rPr>
                <w:noProof/>
                <w:webHidden/>
              </w:rPr>
              <w:tab/>
            </w:r>
            <w:r>
              <w:rPr>
                <w:noProof/>
                <w:webHidden/>
              </w:rPr>
              <w:fldChar w:fldCharType="begin"/>
            </w:r>
            <w:r>
              <w:rPr>
                <w:noProof/>
                <w:webHidden/>
              </w:rPr>
              <w:instrText xml:space="preserve"> PAGEREF _Toc214629897 \h </w:instrText>
            </w:r>
            <w:r>
              <w:rPr>
                <w:noProof/>
                <w:webHidden/>
              </w:rPr>
            </w:r>
            <w:r>
              <w:rPr>
                <w:noProof/>
                <w:webHidden/>
              </w:rPr>
              <w:fldChar w:fldCharType="separate"/>
            </w:r>
            <w:r w:rsidR="001738BD">
              <w:rPr>
                <w:noProof/>
                <w:webHidden/>
              </w:rPr>
              <w:t>79</w:t>
            </w:r>
            <w:r>
              <w:rPr>
                <w:noProof/>
                <w:webHidden/>
              </w:rPr>
              <w:fldChar w:fldCharType="end"/>
            </w:r>
          </w:hyperlink>
        </w:p>
        <w:p w:rsidR="006E0D77" w:rsidRDefault="006E0D77" w14:paraId="08877255" w14:textId="029DB15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898">
            <w:r w:rsidRPr="006E3642">
              <w:rPr>
                <w:rStyle w:val="Hyperlink"/>
                <w:noProof/>
              </w:rPr>
              <w:t>7.1.4.</w:t>
            </w:r>
            <w:r>
              <w:rPr>
                <w:rFonts w:asciiTheme="minorHAnsi" w:hAnsiTheme="minorHAnsi" w:cstheme="minorBidi"/>
                <w:noProof/>
                <w:kern w:val="2"/>
                <w:sz w:val="24"/>
                <w:szCs w:val="24"/>
                <w14:ligatures w14:val="standardContextual"/>
              </w:rPr>
              <w:tab/>
            </w:r>
            <w:r w:rsidRPr="006E3642">
              <w:rPr>
                <w:rStyle w:val="Hyperlink"/>
                <w:noProof/>
              </w:rPr>
              <w:t>Generation Service: Estimated Energy Settlement Refunds and Litigation Costs Tracking Account Year-End 2025 Balance</w:t>
            </w:r>
            <w:r>
              <w:rPr>
                <w:noProof/>
                <w:webHidden/>
              </w:rPr>
              <w:tab/>
            </w:r>
            <w:r>
              <w:rPr>
                <w:noProof/>
                <w:webHidden/>
              </w:rPr>
              <w:fldChar w:fldCharType="begin"/>
            </w:r>
            <w:r>
              <w:rPr>
                <w:noProof/>
                <w:webHidden/>
              </w:rPr>
              <w:instrText xml:space="preserve"> PAGEREF _Toc214629898 \h </w:instrText>
            </w:r>
            <w:r>
              <w:rPr>
                <w:noProof/>
                <w:webHidden/>
              </w:rPr>
            </w:r>
            <w:r>
              <w:rPr>
                <w:noProof/>
                <w:webHidden/>
              </w:rPr>
              <w:fldChar w:fldCharType="separate"/>
            </w:r>
            <w:r w:rsidR="001738BD">
              <w:rPr>
                <w:noProof/>
                <w:webHidden/>
              </w:rPr>
              <w:t>80</w:t>
            </w:r>
            <w:r>
              <w:rPr>
                <w:noProof/>
                <w:webHidden/>
              </w:rPr>
              <w:fldChar w:fldCharType="end"/>
            </w:r>
          </w:hyperlink>
        </w:p>
        <w:p w:rsidR="006E0D77" w:rsidRDefault="006E0D77" w14:paraId="4F39D662" w14:textId="281AAD43">
          <w:pPr>
            <w:pStyle w:val="TOC2"/>
            <w:tabs>
              <w:tab w:val="right" w:leader="dot" w:pos="9350"/>
            </w:tabs>
            <w:rPr>
              <w:rFonts w:asciiTheme="minorHAnsi" w:hAnsiTheme="minorHAnsi" w:cstheme="minorBidi"/>
              <w:noProof/>
              <w:kern w:val="2"/>
              <w:sz w:val="24"/>
              <w:szCs w:val="24"/>
              <w14:ligatures w14:val="standardContextual"/>
            </w:rPr>
          </w:pPr>
          <w:hyperlink w:history="1" w:anchor="_Toc214629899">
            <w:r w:rsidRPr="006E3642">
              <w:rPr>
                <w:rStyle w:val="Hyperlink"/>
                <w:noProof/>
              </w:rPr>
              <w:t>7.2.</w:t>
            </w:r>
            <w:r>
              <w:rPr>
                <w:rFonts w:asciiTheme="minorHAnsi" w:hAnsiTheme="minorHAnsi" w:cstheme="minorBidi"/>
                <w:noProof/>
                <w:kern w:val="2"/>
                <w:sz w:val="24"/>
                <w:szCs w:val="24"/>
                <w14:ligatures w14:val="standardContextual"/>
              </w:rPr>
              <w:tab/>
            </w:r>
            <w:r w:rsidRPr="006E3642">
              <w:rPr>
                <w:rStyle w:val="Hyperlink"/>
                <w:noProof/>
              </w:rPr>
              <w:t>Delivery Service Revenue Requirement</w:t>
            </w:r>
            <w:r>
              <w:rPr>
                <w:noProof/>
                <w:webHidden/>
              </w:rPr>
              <w:tab/>
            </w:r>
            <w:r>
              <w:rPr>
                <w:noProof/>
                <w:webHidden/>
              </w:rPr>
              <w:fldChar w:fldCharType="begin"/>
            </w:r>
            <w:r>
              <w:rPr>
                <w:noProof/>
                <w:webHidden/>
              </w:rPr>
              <w:instrText xml:space="preserve"> PAGEREF _Toc214629899 \h </w:instrText>
            </w:r>
            <w:r>
              <w:rPr>
                <w:noProof/>
                <w:webHidden/>
              </w:rPr>
            </w:r>
            <w:r>
              <w:rPr>
                <w:noProof/>
                <w:webHidden/>
              </w:rPr>
              <w:fldChar w:fldCharType="separate"/>
            </w:r>
            <w:r w:rsidR="001738BD">
              <w:rPr>
                <w:noProof/>
                <w:webHidden/>
              </w:rPr>
              <w:t>80</w:t>
            </w:r>
            <w:r>
              <w:rPr>
                <w:noProof/>
                <w:webHidden/>
              </w:rPr>
              <w:fldChar w:fldCharType="end"/>
            </w:r>
          </w:hyperlink>
        </w:p>
        <w:p w:rsidR="006E0D77" w:rsidRDefault="006E0D77" w14:paraId="78E24D95" w14:textId="183832C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0">
            <w:r w:rsidRPr="006E3642">
              <w:rPr>
                <w:rStyle w:val="Hyperlink"/>
                <w:noProof/>
              </w:rPr>
              <w:t>7.2.1.</w:t>
            </w:r>
            <w:r>
              <w:rPr>
                <w:rFonts w:asciiTheme="minorHAnsi" w:hAnsiTheme="minorHAnsi" w:cstheme="minorBidi"/>
                <w:noProof/>
                <w:kern w:val="2"/>
                <w:sz w:val="24"/>
                <w:szCs w:val="24"/>
                <w14:ligatures w14:val="standardContextual"/>
              </w:rPr>
              <w:tab/>
            </w:r>
            <w:r w:rsidRPr="006E3642">
              <w:rPr>
                <w:rStyle w:val="Hyperlink"/>
                <w:noProof/>
              </w:rPr>
              <w:t>Delivery Service: Updated New System Generation Balancing Account 2026 Forecast and Year-End 2025 Balance</w:t>
            </w:r>
            <w:r>
              <w:rPr>
                <w:noProof/>
                <w:webHidden/>
              </w:rPr>
              <w:tab/>
            </w:r>
            <w:r>
              <w:rPr>
                <w:noProof/>
                <w:webHidden/>
              </w:rPr>
              <w:fldChar w:fldCharType="begin"/>
            </w:r>
            <w:r>
              <w:rPr>
                <w:noProof/>
                <w:webHidden/>
              </w:rPr>
              <w:instrText xml:space="preserve"> PAGEREF _Toc214629900 \h </w:instrText>
            </w:r>
            <w:r>
              <w:rPr>
                <w:noProof/>
                <w:webHidden/>
              </w:rPr>
            </w:r>
            <w:r>
              <w:rPr>
                <w:noProof/>
                <w:webHidden/>
              </w:rPr>
              <w:fldChar w:fldCharType="separate"/>
            </w:r>
            <w:r w:rsidR="001738BD">
              <w:rPr>
                <w:noProof/>
                <w:webHidden/>
              </w:rPr>
              <w:t>82</w:t>
            </w:r>
            <w:r>
              <w:rPr>
                <w:noProof/>
                <w:webHidden/>
              </w:rPr>
              <w:fldChar w:fldCharType="end"/>
            </w:r>
          </w:hyperlink>
        </w:p>
        <w:p w:rsidR="006E0D77" w:rsidRDefault="006E0D77" w14:paraId="1CC7411F" w14:textId="2478DF1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1">
            <w:r w:rsidRPr="006E3642">
              <w:rPr>
                <w:rStyle w:val="Hyperlink"/>
                <w:noProof/>
              </w:rPr>
              <w:t>7.2.2.</w:t>
            </w:r>
            <w:r>
              <w:rPr>
                <w:rFonts w:asciiTheme="minorHAnsi" w:hAnsiTheme="minorHAnsi" w:cstheme="minorBidi"/>
                <w:noProof/>
                <w:kern w:val="2"/>
                <w:sz w:val="24"/>
                <w:szCs w:val="24"/>
                <w14:ligatures w14:val="standardContextual"/>
              </w:rPr>
              <w:tab/>
            </w:r>
            <w:r w:rsidRPr="006E3642">
              <w:rPr>
                <w:rStyle w:val="Hyperlink"/>
                <w:noProof/>
              </w:rPr>
              <w:t>Delivery Service: Updated Modified Cost Allocation Mechanism Balancing Account 2026 Forecast and Year End 2025 Balance</w:t>
            </w:r>
            <w:r>
              <w:rPr>
                <w:noProof/>
                <w:webHidden/>
              </w:rPr>
              <w:tab/>
            </w:r>
            <w:r>
              <w:rPr>
                <w:noProof/>
                <w:webHidden/>
              </w:rPr>
              <w:fldChar w:fldCharType="begin"/>
            </w:r>
            <w:r>
              <w:rPr>
                <w:noProof/>
                <w:webHidden/>
              </w:rPr>
              <w:instrText xml:space="preserve"> PAGEREF _Toc214629901 \h </w:instrText>
            </w:r>
            <w:r>
              <w:rPr>
                <w:noProof/>
                <w:webHidden/>
              </w:rPr>
            </w:r>
            <w:r>
              <w:rPr>
                <w:noProof/>
                <w:webHidden/>
              </w:rPr>
              <w:fldChar w:fldCharType="separate"/>
            </w:r>
            <w:r w:rsidR="001738BD">
              <w:rPr>
                <w:noProof/>
                <w:webHidden/>
              </w:rPr>
              <w:t>83</w:t>
            </w:r>
            <w:r>
              <w:rPr>
                <w:noProof/>
                <w:webHidden/>
              </w:rPr>
              <w:fldChar w:fldCharType="end"/>
            </w:r>
          </w:hyperlink>
        </w:p>
        <w:p w:rsidR="006E0D77" w:rsidRDefault="006E0D77" w14:paraId="2319FCA2" w14:textId="12A2ACA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2">
            <w:r w:rsidRPr="006E3642">
              <w:rPr>
                <w:rStyle w:val="Hyperlink"/>
                <w:noProof/>
              </w:rPr>
              <w:t>7.2.3.</w:t>
            </w:r>
            <w:r>
              <w:rPr>
                <w:rFonts w:asciiTheme="minorHAnsi" w:hAnsiTheme="minorHAnsi" w:cstheme="minorBidi"/>
                <w:noProof/>
                <w:kern w:val="2"/>
                <w:sz w:val="24"/>
                <w:szCs w:val="24"/>
                <w14:ligatures w14:val="standardContextual"/>
              </w:rPr>
              <w:tab/>
            </w:r>
            <w:r w:rsidRPr="006E3642">
              <w:rPr>
                <w:rStyle w:val="Hyperlink"/>
                <w:noProof/>
              </w:rPr>
              <w:t>Delivery Service: Updated 2026 Spent Nuclear Fuel Costs Forecast</w:t>
            </w:r>
            <w:r>
              <w:rPr>
                <w:noProof/>
                <w:webHidden/>
              </w:rPr>
              <w:tab/>
            </w:r>
            <w:r>
              <w:rPr>
                <w:noProof/>
                <w:webHidden/>
              </w:rPr>
              <w:fldChar w:fldCharType="begin"/>
            </w:r>
            <w:r>
              <w:rPr>
                <w:noProof/>
                <w:webHidden/>
              </w:rPr>
              <w:instrText xml:space="preserve"> PAGEREF _Toc214629902 \h </w:instrText>
            </w:r>
            <w:r>
              <w:rPr>
                <w:noProof/>
                <w:webHidden/>
              </w:rPr>
            </w:r>
            <w:r>
              <w:rPr>
                <w:noProof/>
                <w:webHidden/>
              </w:rPr>
              <w:fldChar w:fldCharType="separate"/>
            </w:r>
            <w:r w:rsidR="001738BD">
              <w:rPr>
                <w:noProof/>
                <w:webHidden/>
              </w:rPr>
              <w:t>84</w:t>
            </w:r>
            <w:r>
              <w:rPr>
                <w:noProof/>
                <w:webHidden/>
              </w:rPr>
              <w:fldChar w:fldCharType="end"/>
            </w:r>
          </w:hyperlink>
        </w:p>
        <w:p w:rsidR="006E0D77" w:rsidRDefault="006E0D77" w14:paraId="36FD996F" w14:textId="7CCA91B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3">
            <w:r w:rsidRPr="006E3642">
              <w:rPr>
                <w:rStyle w:val="Hyperlink"/>
                <w:noProof/>
              </w:rPr>
              <w:t>7.2.4.</w:t>
            </w:r>
            <w:r>
              <w:rPr>
                <w:rFonts w:asciiTheme="minorHAnsi" w:hAnsiTheme="minorHAnsi" w:cstheme="minorBidi"/>
                <w:noProof/>
                <w:kern w:val="2"/>
                <w:sz w:val="24"/>
                <w:szCs w:val="24"/>
                <w14:ligatures w14:val="standardContextual"/>
              </w:rPr>
              <w:tab/>
            </w:r>
            <w:r w:rsidRPr="006E3642">
              <w:rPr>
                <w:rStyle w:val="Hyperlink"/>
                <w:noProof/>
              </w:rPr>
              <w:t>Delivery Service: Updated 2026 Base Revenue Requirement Balancing Account-Distribution Sub-Account Forecast</w:t>
            </w:r>
            <w:r>
              <w:rPr>
                <w:noProof/>
                <w:webHidden/>
              </w:rPr>
              <w:tab/>
            </w:r>
            <w:r>
              <w:rPr>
                <w:noProof/>
                <w:webHidden/>
              </w:rPr>
              <w:fldChar w:fldCharType="begin"/>
            </w:r>
            <w:r>
              <w:rPr>
                <w:noProof/>
                <w:webHidden/>
              </w:rPr>
              <w:instrText xml:space="preserve"> PAGEREF _Toc214629903 \h </w:instrText>
            </w:r>
            <w:r>
              <w:rPr>
                <w:noProof/>
                <w:webHidden/>
              </w:rPr>
            </w:r>
            <w:r>
              <w:rPr>
                <w:noProof/>
                <w:webHidden/>
              </w:rPr>
              <w:fldChar w:fldCharType="separate"/>
            </w:r>
            <w:r w:rsidR="001738BD">
              <w:rPr>
                <w:noProof/>
                <w:webHidden/>
              </w:rPr>
              <w:t>85</w:t>
            </w:r>
            <w:r>
              <w:rPr>
                <w:noProof/>
                <w:webHidden/>
              </w:rPr>
              <w:fldChar w:fldCharType="end"/>
            </w:r>
          </w:hyperlink>
        </w:p>
        <w:p w:rsidR="006E0D77" w:rsidRDefault="006E0D77" w14:paraId="39F41536" w14:textId="289F34E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4">
            <w:r w:rsidRPr="006E3642">
              <w:rPr>
                <w:rStyle w:val="Hyperlink"/>
                <w:noProof/>
              </w:rPr>
              <w:t>7.2.5.</w:t>
            </w:r>
            <w:r>
              <w:rPr>
                <w:rFonts w:asciiTheme="minorHAnsi" w:hAnsiTheme="minorHAnsi" w:cstheme="minorBidi"/>
                <w:noProof/>
                <w:kern w:val="2"/>
                <w:sz w:val="24"/>
                <w:szCs w:val="24"/>
                <w14:ligatures w14:val="standardContextual"/>
              </w:rPr>
              <w:tab/>
            </w:r>
            <w:r w:rsidRPr="006E3642">
              <w:rPr>
                <w:rStyle w:val="Hyperlink"/>
                <w:noProof/>
              </w:rPr>
              <w:t>Delivery Service: Greenhouse Gas  Revenue Balancing Account</w:t>
            </w:r>
            <w:r>
              <w:rPr>
                <w:noProof/>
                <w:webHidden/>
              </w:rPr>
              <w:tab/>
            </w:r>
            <w:r>
              <w:rPr>
                <w:noProof/>
                <w:webHidden/>
              </w:rPr>
              <w:fldChar w:fldCharType="begin"/>
            </w:r>
            <w:r>
              <w:rPr>
                <w:noProof/>
                <w:webHidden/>
              </w:rPr>
              <w:instrText xml:space="preserve"> PAGEREF _Toc214629904 \h </w:instrText>
            </w:r>
            <w:r>
              <w:rPr>
                <w:noProof/>
                <w:webHidden/>
              </w:rPr>
            </w:r>
            <w:r>
              <w:rPr>
                <w:noProof/>
                <w:webHidden/>
              </w:rPr>
              <w:fldChar w:fldCharType="separate"/>
            </w:r>
            <w:r w:rsidR="001738BD">
              <w:rPr>
                <w:noProof/>
                <w:webHidden/>
              </w:rPr>
              <w:t>86</w:t>
            </w:r>
            <w:r>
              <w:rPr>
                <w:noProof/>
                <w:webHidden/>
              </w:rPr>
              <w:fldChar w:fldCharType="end"/>
            </w:r>
          </w:hyperlink>
        </w:p>
        <w:p w:rsidR="006E0D77" w:rsidRDefault="006E0D77" w14:paraId="63DE82F2" w14:textId="3E26104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5">
            <w:r w:rsidRPr="006E3642">
              <w:rPr>
                <w:rStyle w:val="Hyperlink"/>
                <w:noProof/>
              </w:rPr>
              <w:t>7.2.6.</w:t>
            </w:r>
            <w:r>
              <w:rPr>
                <w:rFonts w:asciiTheme="minorHAnsi" w:hAnsiTheme="minorHAnsi" w:cstheme="minorBidi"/>
                <w:noProof/>
                <w:kern w:val="2"/>
                <w:sz w:val="24"/>
                <w:szCs w:val="24"/>
                <w14:ligatures w14:val="standardContextual"/>
              </w:rPr>
              <w:tab/>
            </w:r>
            <w:r w:rsidRPr="006E3642">
              <w:rPr>
                <w:rStyle w:val="Hyperlink"/>
                <w:noProof/>
              </w:rPr>
              <w:t>Delivery Service: 2026 Public Purpose Program Charge Component Forecasts and Related 2025 Year-End Balances</w:t>
            </w:r>
            <w:r>
              <w:rPr>
                <w:noProof/>
                <w:webHidden/>
              </w:rPr>
              <w:tab/>
            </w:r>
            <w:r>
              <w:rPr>
                <w:noProof/>
                <w:webHidden/>
              </w:rPr>
              <w:fldChar w:fldCharType="begin"/>
            </w:r>
            <w:r>
              <w:rPr>
                <w:noProof/>
                <w:webHidden/>
              </w:rPr>
              <w:instrText xml:space="preserve"> PAGEREF _Toc214629905 \h </w:instrText>
            </w:r>
            <w:r>
              <w:rPr>
                <w:noProof/>
                <w:webHidden/>
              </w:rPr>
            </w:r>
            <w:r>
              <w:rPr>
                <w:noProof/>
                <w:webHidden/>
              </w:rPr>
              <w:fldChar w:fldCharType="separate"/>
            </w:r>
            <w:r w:rsidR="001738BD">
              <w:rPr>
                <w:noProof/>
                <w:webHidden/>
              </w:rPr>
              <w:t>87</w:t>
            </w:r>
            <w:r>
              <w:rPr>
                <w:noProof/>
                <w:webHidden/>
              </w:rPr>
              <w:fldChar w:fldCharType="end"/>
            </w:r>
          </w:hyperlink>
        </w:p>
        <w:p w:rsidR="006E0D77" w:rsidRDefault="006E0D77" w14:paraId="6A525EF2" w14:textId="69FBE6BF">
          <w:pPr>
            <w:pStyle w:val="TOC1"/>
            <w:tabs>
              <w:tab w:val="right" w:leader="dot" w:pos="9350"/>
            </w:tabs>
            <w:rPr>
              <w:rFonts w:asciiTheme="minorHAnsi" w:hAnsiTheme="minorHAnsi" w:cstheme="minorBidi"/>
              <w:noProof/>
              <w:kern w:val="2"/>
              <w:sz w:val="24"/>
              <w:szCs w:val="24"/>
              <w14:ligatures w14:val="standardContextual"/>
            </w:rPr>
          </w:pPr>
          <w:hyperlink w:history="1" w:anchor="_Toc214629906">
            <w:r w:rsidRPr="006E3642">
              <w:rPr>
                <w:rStyle w:val="Hyperlink"/>
                <w:noProof/>
              </w:rPr>
              <w:t>8.</w:t>
            </w:r>
            <w:r>
              <w:rPr>
                <w:rFonts w:asciiTheme="minorHAnsi" w:hAnsiTheme="minorHAnsi" w:cstheme="minorBidi"/>
                <w:noProof/>
                <w:kern w:val="2"/>
                <w:sz w:val="24"/>
                <w:szCs w:val="24"/>
                <w14:ligatures w14:val="standardContextual"/>
              </w:rPr>
              <w:tab/>
            </w:r>
            <w:r w:rsidRPr="006E3642">
              <w:rPr>
                <w:rStyle w:val="Hyperlink"/>
                <w:noProof/>
              </w:rPr>
              <w:t>Power Charge Indifference Adjustment</w:t>
            </w:r>
            <w:r>
              <w:rPr>
                <w:noProof/>
                <w:webHidden/>
              </w:rPr>
              <w:tab/>
            </w:r>
            <w:r>
              <w:rPr>
                <w:noProof/>
                <w:webHidden/>
              </w:rPr>
              <w:fldChar w:fldCharType="begin"/>
            </w:r>
            <w:r>
              <w:rPr>
                <w:noProof/>
                <w:webHidden/>
              </w:rPr>
              <w:instrText xml:space="preserve"> PAGEREF _Toc214629906 \h </w:instrText>
            </w:r>
            <w:r>
              <w:rPr>
                <w:noProof/>
                <w:webHidden/>
              </w:rPr>
            </w:r>
            <w:r>
              <w:rPr>
                <w:noProof/>
                <w:webHidden/>
              </w:rPr>
              <w:fldChar w:fldCharType="separate"/>
            </w:r>
            <w:r w:rsidR="001738BD">
              <w:rPr>
                <w:noProof/>
                <w:webHidden/>
              </w:rPr>
              <w:t>88</w:t>
            </w:r>
            <w:r>
              <w:rPr>
                <w:noProof/>
                <w:webHidden/>
              </w:rPr>
              <w:fldChar w:fldCharType="end"/>
            </w:r>
          </w:hyperlink>
        </w:p>
        <w:p w:rsidR="006E0D77" w:rsidRDefault="006E0D77" w14:paraId="75114C5E" w14:textId="6D8C2CE4">
          <w:pPr>
            <w:pStyle w:val="TOC2"/>
            <w:tabs>
              <w:tab w:val="right" w:leader="dot" w:pos="9350"/>
            </w:tabs>
            <w:rPr>
              <w:rFonts w:asciiTheme="minorHAnsi" w:hAnsiTheme="minorHAnsi" w:cstheme="minorBidi"/>
              <w:noProof/>
              <w:kern w:val="2"/>
              <w:sz w:val="24"/>
              <w:szCs w:val="24"/>
              <w14:ligatures w14:val="standardContextual"/>
            </w:rPr>
          </w:pPr>
          <w:hyperlink w:history="1" w:anchor="_Toc214629907">
            <w:r w:rsidRPr="006E3642">
              <w:rPr>
                <w:rStyle w:val="Hyperlink"/>
                <w:noProof/>
              </w:rPr>
              <w:t>8.1.</w:t>
            </w:r>
            <w:r>
              <w:rPr>
                <w:rFonts w:asciiTheme="minorHAnsi" w:hAnsiTheme="minorHAnsi" w:cstheme="minorBidi"/>
                <w:noProof/>
                <w:kern w:val="2"/>
                <w:sz w:val="24"/>
                <w:szCs w:val="24"/>
                <w14:ligatures w14:val="standardContextual"/>
              </w:rPr>
              <w:tab/>
            </w:r>
            <w:r w:rsidRPr="006E3642">
              <w:rPr>
                <w:rStyle w:val="Hyperlink"/>
                <w:noProof/>
              </w:rPr>
              <w:t>Power Charge Indifference Adjustment Background and Overview</w:t>
            </w:r>
            <w:r>
              <w:rPr>
                <w:noProof/>
                <w:webHidden/>
              </w:rPr>
              <w:tab/>
            </w:r>
            <w:r>
              <w:rPr>
                <w:noProof/>
                <w:webHidden/>
              </w:rPr>
              <w:fldChar w:fldCharType="begin"/>
            </w:r>
            <w:r>
              <w:rPr>
                <w:noProof/>
                <w:webHidden/>
              </w:rPr>
              <w:instrText xml:space="preserve"> PAGEREF _Toc214629907 \h </w:instrText>
            </w:r>
            <w:r>
              <w:rPr>
                <w:noProof/>
                <w:webHidden/>
              </w:rPr>
            </w:r>
            <w:r>
              <w:rPr>
                <w:noProof/>
                <w:webHidden/>
              </w:rPr>
              <w:fldChar w:fldCharType="separate"/>
            </w:r>
            <w:r w:rsidR="001738BD">
              <w:rPr>
                <w:noProof/>
                <w:webHidden/>
              </w:rPr>
              <w:t>89</w:t>
            </w:r>
            <w:r>
              <w:rPr>
                <w:noProof/>
                <w:webHidden/>
              </w:rPr>
              <w:fldChar w:fldCharType="end"/>
            </w:r>
          </w:hyperlink>
        </w:p>
        <w:p w:rsidR="006E0D77" w:rsidRDefault="006E0D77" w14:paraId="33ABA5EA" w14:textId="4D68434F">
          <w:pPr>
            <w:pStyle w:val="TOC2"/>
            <w:tabs>
              <w:tab w:val="right" w:leader="dot" w:pos="9350"/>
            </w:tabs>
            <w:rPr>
              <w:rFonts w:asciiTheme="minorHAnsi" w:hAnsiTheme="minorHAnsi" w:cstheme="minorBidi"/>
              <w:noProof/>
              <w:kern w:val="2"/>
              <w:sz w:val="24"/>
              <w:szCs w:val="24"/>
              <w14:ligatures w14:val="standardContextual"/>
            </w:rPr>
          </w:pPr>
          <w:hyperlink w:history="1" w:anchor="_Toc214629908">
            <w:r w:rsidRPr="006E3642">
              <w:rPr>
                <w:rStyle w:val="Hyperlink"/>
                <w:noProof/>
              </w:rPr>
              <w:t>8.2.</w:t>
            </w:r>
            <w:r>
              <w:rPr>
                <w:rFonts w:asciiTheme="minorHAnsi" w:hAnsiTheme="minorHAnsi" w:cstheme="minorBidi"/>
                <w:noProof/>
                <w:kern w:val="2"/>
                <w:sz w:val="24"/>
                <w:szCs w:val="24"/>
                <w14:ligatures w14:val="standardContextual"/>
              </w:rPr>
              <w:tab/>
            </w:r>
            <w:r w:rsidRPr="006E3642">
              <w:rPr>
                <w:rStyle w:val="Hyperlink"/>
                <w:noProof/>
              </w:rPr>
              <w:t xml:space="preserve">Updated Calculation of the 2026 Power Charge </w:t>
            </w:r>
            <w:r w:rsidR="005D5297">
              <w:rPr>
                <w:rStyle w:val="Hyperlink"/>
                <w:noProof/>
              </w:rPr>
              <w:br/>
            </w:r>
            <w:r w:rsidRPr="006E3642">
              <w:rPr>
                <w:rStyle w:val="Hyperlink"/>
                <w:noProof/>
              </w:rPr>
              <w:t>Indifference Adjustment</w:t>
            </w:r>
            <w:r>
              <w:rPr>
                <w:noProof/>
                <w:webHidden/>
              </w:rPr>
              <w:tab/>
            </w:r>
            <w:r>
              <w:rPr>
                <w:noProof/>
                <w:webHidden/>
              </w:rPr>
              <w:fldChar w:fldCharType="begin"/>
            </w:r>
            <w:r>
              <w:rPr>
                <w:noProof/>
                <w:webHidden/>
              </w:rPr>
              <w:instrText xml:space="preserve"> PAGEREF _Toc214629908 \h </w:instrText>
            </w:r>
            <w:r>
              <w:rPr>
                <w:noProof/>
                <w:webHidden/>
              </w:rPr>
            </w:r>
            <w:r>
              <w:rPr>
                <w:noProof/>
                <w:webHidden/>
              </w:rPr>
              <w:fldChar w:fldCharType="separate"/>
            </w:r>
            <w:r w:rsidR="001738BD">
              <w:rPr>
                <w:noProof/>
                <w:webHidden/>
              </w:rPr>
              <w:t>91</w:t>
            </w:r>
            <w:r>
              <w:rPr>
                <w:noProof/>
                <w:webHidden/>
              </w:rPr>
              <w:fldChar w:fldCharType="end"/>
            </w:r>
          </w:hyperlink>
        </w:p>
        <w:p w:rsidR="006E0D77" w:rsidRDefault="006E0D77" w14:paraId="5B08CDE9" w14:textId="5D6A09D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09">
            <w:r w:rsidRPr="006E3642">
              <w:rPr>
                <w:rStyle w:val="Hyperlink"/>
                <w:noProof/>
              </w:rPr>
              <w:t>8.2.1.</w:t>
            </w:r>
            <w:r>
              <w:rPr>
                <w:rFonts w:asciiTheme="minorHAnsi" w:hAnsiTheme="minorHAnsi" w:cstheme="minorBidi"/>
                <w:noProof/>
                <w:kern w:val="2"/>
                <w:sz w:val="24"/>
                <w:szCs w:val="24"/>
                <w14:ligatures w14:val="standardContextual"/>
              </w:rPr>
              <w:tab/>
            </w:r>
            <w:r w:rsidRPr="006E3642">
              <w:rPr>
                <w:rStyle w:val="Hyperlink"/>
                <w:noProof/>
              </w:rPr>
              <w:t>Updated Total Portfolio Cost</w:t>
            </w:r>
            <w:r>
              <w:rPr>
                <w:noProof/>
                <w:webHidden/>
              </w:rPr>
              <w:tab/>
            </w:r>
            <w:r>
              <w:rPr>
                <w:noProof/>
                <w:webHidden/>
              </w:rPr>
              <w:fldChar w:fldCharType="begin"/>
            </w:r>
            <w:r>
              <w:rPr>
                <w:noProof/>
                <w:webHidden/>
              </w:rPr>
              <w:instrText xml:space="preserve"> PAGEREF _Toc214629909 \h </w:instrText>
            </w:r>
            <w:r>
              <w:rPr>
                <w:noProof/>
                <w:webHidden/>
              </w:rPr>
            </w:r>
            <w:r>
              <w:rPr>
                <w:noProof/>
                <w:webHidden/>
              </w:rPr>
              <w:fldChar w:fldCharType="separate"/>
            </w:r>
            <w:r w:rsidR="001738BD">
              <w:rPr>
                <w:noProof/>
                <w:webHidden/>
              </w:rPr>
              <w:t>93</w:t>
            </w:r>
            <w:r>
              <w:rPr>
                <w:noProof/>
                <w:webHidden/>
              </w:rPr>
              <w:fldChar w:fldCharType="end"/>
            </w:r>
          </w:hyperlink>
        </w:p>
        <w:p w:rsidR="006E0D77" w:rsidRDefault="006E0D77" w14:paraId="7BD03D8E" w14:textId="6F6A150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10">
            <w:r w:rsidRPr="006E3642">
              <w:rPr>
                <w:rStyle w:val="Hyperlink"/>
                <w:noProof/>
              </w:rPr>
              <w:t>8.2.2.</w:t>
            </w:r>
            <w:r>
              <w:rPr>
                <w:rFonts w:asciiTheme="minorHAnsi" w:hAnsiTheme="minorHAnsi" w:cstheme="minorBidi"/>
                <w:noProof/>
                <w:kern w:val="2"/>
                <w:sz w:val="24"/>
                <w:szCs w:val="24"/>
                <w14:ligatures w14:val="standardContextual"/>
              </w:rPr>
              <w:tab/>
            </w:r>
            <w:r w:rsidRPr="006E3642">
              <w:rPr>
                <w:rStyle w:val="Hyperlink"/>
                <w:noProof/>
              </w:rPr>
              <w:t>Updated Total Portfolio Market Value</w:t>
            </w:r>
            <w:r>
              <w:rPr>
                <w:noProof/>
                <w:webHidden/>
              </w:rPr>
              <w:tab/>
            </w:r>
            <w:r>
              <w:rPr>
                <w:noProof/>
                <w:webHidden/>
              </w:rPr>
              <w:fldChar w:fldCharType="begin"/>
            </w:r>
            <w:r>
              <w:rPr>
                <w:noProof/>
                <w:webHidden/>
              </w:rPr>
              <w:instrText xml:space="preserve"> PAGEREF _Toc214629910 \h </w:instrText>
            </w:r>
            <w:r>
              <w:rPr>
                <w:noProof/>
                <w:webHidden/>
              </w:rPr>
            </w:r>
            <w:r>
              <w:rPr>
                <w:noProof/>
                <w:webHidden/>
              </w:rPr>
              <w:fldChar w:fldCharType="separate"/>
            </w:r>
            <w:r w:rsidR="001738BD">
              <w:rPr>
                <w:noProof/>
                <w:webHidden/>
              </w:rPr>
              <w:t>93</w:t>
            </w:r>
            <w:r>
              <w:rPr>
                <w:noProof/>
                <w:webHidden/>
              </w:rPr>
              <w:fldChar w:fldCharType="end"/>
            </w:r>
          </w:hyperlink>
        </w:p>
        <w:p w:rsidR="006E0D77" w:rsidRDefault="006E0D77" w14:paraId="7ED66F96" w14:textId="4F23ED0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11">
            <w:r w:rsidRPr="006E3642">
              <w:rPr>
                <w:rStyle w:val="Hyperlink"/>
                <w:noProof/>
              </w:rPr>
              <w:t>8.2.3.</w:t>
            </w:r>
            <w:r>
              <w:rPr>
                <w:rFonts w:asciiTheme="minorHAnsi" w:hAnsiTheme="minorHAnsi" w:cstheme="minorBidi"/>
                <w:noProof/>
                <w:kern w:val="2"/>
                <w:sz w:val="24"/>
                <w:szCs w:val="24"/>
                <w14:ligatures w14:val="standardContextual"/>
              </w:rPr>
              <w:tab/>
            </w:r>
            <w:r w:rsidRPr="006E3642">
              <w:rPr>
                <w:rStyle w:val="Hyperlink"/>
                <w:noProof/>
              </w:rPr>
              <w:t>Other Proposed Modifications to Southern California Edison Company’s Calculation of its 2026 Indifference Amount</w:t>
            </w:r>
            <w:r>
              <w:rPr>
                <w:noProof/>
                <w:webHidden/>
              </w:rPr>
              <w:tab/>
            </w:r>
            <w:r>
              <w:rPr>
                <w:noProof/>
                <w:webHidden/>
              </w:rPr>
              <w:fldChar w:fldCharType="begin"/>
            </w:r>
            <w:r>
              <w:rPr>
                <w:noProof/>
                <w:webHidden/>
              </w:rPr>
              <w:instrText xml:space="preserve"> PAGEREF _Toc214629911 \h </w:instrText>
            </w:r>
            <w:r>
              <w:rPr>
                <w:noProof/>
                <w:webHidden/>
              </w:rPr>
            </w:r>
            <w:r>
              <w:rPr>
                <w:noProof/>
                <w:webHidden/>
              </w:rPr>
              <w:fldChar w:fldCharType="separate"/>
            </w:r>
            <w:r w:rsidR="001738BD">
              <w:rPr>
                <w:noProof/>
                <w:webHidden/>
              </w:rPr>
              <w:t>111</w:t>
            </w:r>
            <w:r>
              <w:rPr>
                <w:noProof/>
                <w:webHidden/>
              </w:rPr>
              <w:fldChar w:fldCharType="end"/>
            </w:r>
          </w:hyperlink>
        </w:p>
        <w:p w:rsidR="006E0D77" w:rsidRDefault="006E0D77" w14:paraId="0383C934" w14:textId="23B574E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12">
            <w:r w:rsidRPr="006E3642">
              <w:rPr>
                <w:rStyle w:val="Hyperlink"/>
                <w:noProof/>
              </w:rPr>
              <w:t>8.2.4.</w:t>
            </w:r>
            <w:r>
              <w:rPr>
                <w:rFonts w:asciiTheme="minorHAnsi" w:hAnsiTheme="minorHAnsi" w:cstheme="minorBidi"/>
                <w:noProof/>
                <w:kern w:val="2"/>
                <w:sz w:val="24"/>
                <w:szCs w:val="24"/>
                <w14:ligatures w14:val="standardContextual"/>
              </w:rPr>
              <w:tab/>
            </w:r>
            <w:r w:rsidRPr="006E3642">
              <w:rPr>
                <w:rStyle w:val="Hyperlink"/>
                <w:noProof/>
              </w:rPr>
              <w:t>Other Items Included in Southern California Edison Company’s Proposed 2026 Power Charge Indifference Adjustment Rates</w:t>
            </w:r>
            <w:r>
              <w:rPr>
                <w:noProof/>
                <w:webHidden/>
              </w:rPr>
              <w:tab/>
            </w:r>
            <w:r>
              <w:rPr>
                <w:noProof/>
                <w:webHidden/>
              </w:rPr>
              <w:fldChar w:fldCharType="begin"/>
            </w:r>
            <w:r>
              <w:rPr>
                <w:noProof/>
                <w:webHidden/>
              </w:rPr>
              <w:instrText xml:space="preserve"> PAGEREF _Toc214629912 \h </w:instrText>
            </w:r>
            <w:r>
              <w:rPr>
                <w:noProof/>
                <w:webHidden/>
              </w:rPr>
            </w:r>
            <w:r>
              <w:rPr>
                <w:noProof/>
                <w:webHidden/>
              </w:rPr>
              <w:fldChar w:fldCharType="separate"/>
            </w:r>
            <w:r w:rsidR="001738BD">
              <w:rPr>
                <w:noProof/>
                <w:webHidden/>
              </w:rPr>
              <w:t>111</w:t>
            </w:r>
            <w:r>
              <w:rPr>
                <w:noProof/>
                <w:webHidden/>
              </w:rPr>
              <w:fldChar w:fldCharType="end"/>
            </w:r>
          </w:hyperlink>
        </w:p>
        <w:p w:rsidR="006E0D77" w:rsidRDefault="006E0D77" w14:paraId="71CA7F2B" w14:textId="0DFB4F0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629913">
            <w:r w:rsidRPr="006E3642">
              <w:rPr>
                <w:rStyle w:val="Hyperlink"/>
                <w:noProof/>
              </w:rPr>
              <w:t>8.2.5.</w:t>
            </w:r>
            <w:r>
              <w:rPr>
                <w:rFonts w:asciiTheme="minorHAnsi" w:hAnsiTheme="minorHAnsi" w:cstheme="minorBidi"/>
                <w:noProof/>
                <w:kern w:val="2"/>
                <w:sz w:val="24"/>
                <w:szCs w:val="24"/>
                <w14:ligatures w14:val="standardContextual"/>
              </w:rPr>
              <w:tab/>
            </w:r>
            <w:r w:rsidRPr="006E3642">
              <w:rPr>
                <w:rStyle w:val="Hyperlink"/>
                <w:noProof/>
              </w:rPr>
              <w:t>Other Proceedings that May Impact the 2026 Power Charge Indifference Adjustment</w:t>
            </w:r>
            <w:r>
              <w:rPr>
                <w:noProof/>
                <w:webHidden/>
              </w:rPr>
              <w:tab/>
            </w:r>
            <w:r>
              <w:rPr>
                <w:noProof/>
                <w:webHidden/>
              </w:rPr>
              <w:fldChar w:fldCharType="begin"/>
            </w:r>
            <w:r>
              <w:rPr>
                <w:noProof/>
                <w:webHidden/>
              </w:rPr>
              <w:instrText xml:space="preserve"> PAGEREF _Toc214629913 \h </w:instrText>
            </w:r>
            <w:r>
              <w:rPr>
                <w:noProof/>
                <w:webHidden/>
              </w:rPr>
            </w:r>
            <w:r>
              <w:rPr>
                <w:noProof/>
                <w:webHidden/>
              </w:rPr>
              <w:fldChar w:fldCharType="separate"/>
            </w:r>
            <w:r w:rsidR="001738BD">
              <w:rPr>
                <w:noProof/>
                <w:webHidden/>
              </w:rPr>
              <w:t>117</w:t>
            </w:r>
            <w:r>
              <w:rPr>
                <w:noProof/>
                <w:webHidden/>
              </w:rPr>
              <w:fldChar w:fldCharType="end"/>
            </w:r>
          </w:hyperlink>
        </w:p>
        <w:p w:rsidR="006E0D77" w:rsidRDefault="006E0D77" w14:paraId="007D8611" w14:textId="725ADF82">
          <w:pPr>
            <w:pStyle w:val="TOC2"/>
            <w:tabs>
              <w:tab w:val="right" w:leader="dot" w:pos="9350"/>
            </w:tabs>
            <w:rPr>
              <w:rFonts w:asciiTheme="minorHAnsi" w:hAnsiTheme="minorHAnsi" w:cstheme="minorBidi"/>
              <w:noProof/>
              <w:kern w:val="2"/>
              <w:sz w:val="24"/>
              <w:szCs w:val="24"/>
              <w14:ligatures w14:val="standardContextual"/>
            </w:rPr>
          </w:pPr>
          <w:hyperlink w:history="1" w:anchor="_Toc214629914">
            <w:r w:rsidRPr="006E3642">
              <w:rPr>
                <w:rStyle w:val="Hyperlink"/>
                <w:noProof/>
              </w:rPr>
              <w:t>8.3.</w:t>
            </w:r>
            <w:r>
              <w:rPr>
                <w:rFonts w:asciiTheme="minorHAnsi" w:hAnsiTheme="minorHAnsi" w:cstheme="minorBidi"/>
                <w:noProof/>
                <w:kern w:val="2"/>
                <w:sz w:val="24"/>
                <w:szCs w:val="24"/>
                <w14:ligatures w14:val="standardContextual"/>
              </w:rPr>
              <w:tab/>
            </w:r>
            <w:r w:rsidRPr="006E3642">
              <w:rPr>
                <w:rStyle w:val="Hyperlink"/>
                <w:noProof/>
              </w:rPr>
              <w:t xml:space="preserve">Approval of Southern California Edison Company’s </w:t>
            </w:r>
            <w:r w:rsidR="005D5297">
              <w:rPr>
                <w:rStyle w:val="Hyperlink"/>
                <w:noProof/>
              </w:rPr>
              <w:br/>
            </w:r>
            <w:r w:rsidRPr="006E3642">
              <w:rPr>
                <w:rStyle w:val="Hyperlink"/>
                <w:noProof/>
              </w:rPr>
              <w:t>2026 Indifference Amount</w:t>
            </w:r>
            <w:r>
              <w:rPr>
                <w:noProof/>
                <w:webHidden/>
              </w:rPr>
              <w:tab/>
            </w:r>
            <w:r>
              <w:rPr>
                <w:noProof/>
                <w:webHidden/>
              </w:rPr>
              <w:fldChar w:fldCharType="begin"/>
            </w:r>
            <w:r>
              <w:rPr>
                <w:noProof/>
                <w:webHidden/>
              </w:rPr>
              <w:instrText xml:space="preserve"> PAGEREF _Toc214629914 \h </w:instrText>
            </w:r>
            <w:r>
              <w:rPr>
                <w:noProof/>
                <w:webHidden/>
              </w:rPr>
            </w:r>
            <w:r>
              <w:rPr>
                <w:noProof/>
                <w:webHidden/>
              </w:rPr>
              <w:fldChar w:fldCharType="separate"/>
            </w:r>
            <w:r w:rsidR="001738BD">
              <w:rPr>
                <w:noProof/>
                <w:webHidden/>
              </w:rPr>
              <w:t>120</w:t>
            </w:r>
            <w:r>
              <w:rPr>
                <w:noProof/>
                <w:webHidden/>
              </w:rPr>
              <w:fldChar w:fldCharType="end"/>
            </w:r>
          </w:hyperlink>
        </w:p>
        <w:p w:rsidR="006E0D77" w:rsidRDefault="006E0D77" w14:paraId="6A8CEDF3" w14:textId="08929A70">
          <w:pPr>
            <w:pStyle w:val="TOC2"/>
            <w:tabs>
              <w:tab w:val="right" w:leader="dot" w:pos="9350"/>
            </w:tabs>
            <w:rPr>
              <w:rFonts w:asciiTheme="minorHAnsi" w:hAnsiTheme="minorHAnsi" w:cstheme="minorBidi"/>
              <w:noProof/>
              <w:kern w:val="2"/>
              <w:sz w:val="24"/>
              <w:szCs w:val="24"/>
              <w14:ligatures w14:val="standardContextual"/>
            </w:rPr>
          </w:pPr>
          <w:hyperlink w:history="1" w:anchor="_Toc214629915">
            <w:r w:rsidRPr="006E3642">
              <w:rPr>
                <w:rStyle w:val="Hyperlink"/>
                <w:noProof/>
              </w:rPr>
              <w:t>8.4.</w:t>
            </w:r>
            <w:r>
              <w:rPr>
                <w:rFonts w:asciiTheme="minorHAnsi" w:hAnsiTheme="minorHAnsi" w:cstheme="minorBidi"/>
                <w:noProof/>
                <w:kern w:val="2"/>
                <w:sz w:val="24"/>
                <w:szCs w:val="24"/>
                <w14:ligatures w14:val="standardContextual"/>
              </w:rPr>
              <w:tab/>
            </w:r>
            <w:r w:rsidRPr="006E3642">
              <w:rPr>
                <w:rStyle w:val="Hyperlink"/>
                <w:noProof/>
              </w:rPr>
              <w:t>2026 Competition Transition Charges</w:t>
            </w:r>
            <w:r>
              <w:rPr>
                <w:noProof/>
                <w:webHidden/>
              </w:rPr>
              <w:tab/>
            </w:r>
            <w:r>
              <w:rPr>
                <w:noProof/>
                <w:webHidden/>
              </w:rPr>
              <w:fldChar w:fldCharType="begin"/>
            </w:r>
            <w:r>
              <w:rPr>
                <w:noProof/>
                <w:webHidden/>
              </w:rPr>
              <w:instrText xml:space="preserve"> PAGEREF _Toc214629915 \h </w:instrText>
            </w:r>
            <w:r>
              <w:rPr>
                <w:noProof/>
                <w:webHidden/>
              </w:rPr>
            </w:r>
            <w:r>
              <w:rPr>
                <w:noProof/>
                <w:webHidden/>
              </w:rPr>
              <w:fldChar w:fldCharType="separate"/>
            </w:r>
            <w:r w:rsidR="001738BD">
              <w:rPr>
                <w:noProof/>
                <w:webHidden/>
              </w:rPr>
              <w:t>121</w:t>
            </w:r>
            <w:r>
              <w:rPr>
                <w:noProof/>
                <w:webHidden/>
              </w:rPr>
              <w:fldChar w:fldCharType="end"/>
            </w:r>
          </w:hyperlink>
        </w:p>
        <w:p w:rsidR="006E0D77" w:rsidRDefault="006E0D77" w14:paraId="3B9170D3" w14:textId="3096C319">
          <w:pPr>
            <w:pStyle w:val="TOC2"/>
            <w:tabs>
              <w:tab w:val="right" w:leader="dot" w:pos="9350"/>
            </w:tabs>
            <w:rPr>
              <w:rFonts w:asciiTheme="minorHAnsi" w:hAnsiTheme="minorHAnsi" w:cstheme="minorBidi"/>
              <w:noProof/>
              <w:kern w:val="2"/>
              <w:sz w:val="24"/>
              <w:szCs w:val="24"/>
              <w14:ligatures w14:val="standardContextual"/>
            </w:rPr>
          </w:pPr>
          <w:hyperlink w:history="1" w:anchor="_Toc214629916">
            <w:r w:rsidRPr="006E3642">
              <w:rPr>
                <w:rStyle w:val="Hyperlink"/>
                <w:noProof/>
              </w:rPr>
              <w:t>8.5.</w:t>
            </w:r>
            <w:r>
              <w:rPr>
                <w:rFonts w:asciiTheme="minorHAnsi" w:hAnsiTheme="minorHAnsi" w:cstheme="minorBidi"/>
                <w:noProof/>
                <w:kern w:val="2"/>
                <w:sz w:val="24"/>
                <w:szCs w:val="24"/>
                <w14:ligatures w14:val="standardContextual"/>
              </w:rPr>
              <w:tab/>
            </w:r>
            <w:r w:rsidRPr="006E3642">
              <w:rPr>
                <w:rStyle w:val="Hyperlink"/>
                <w:noProof/>
              </w:rPr>
              <w:t>2026 Power Charge Indifference  Adjustment Rates by Vintage</w:t>
            </w:r>
            <w:r>
              <w:rPr>
                <w:noProof/>
                <w:webHidden/>
              </w:rPr>
              <w:tab/>
            </w:r>
            <w:r>
              <w:rPr>
                <w:noProof/>
                <w:webHidden/>
              </w:rPr>
              <w:fldChar w:fldCharType="begin"/>
            </w:r>
            <w:r>
              <w:rPr>
                <w:noProof/>
                <w:webHidden/>
              </w:rPr>
              <w:instrText xml:space="preserve"> PAGEREF _Toc214629916 \h </w:instrText>
            </w:r>
            <w:r>
              <w:rPr>
                <w:noProof/>
                <w:webHidden/>
              </w:rPr>
            </w:r>
            <w:r>
              <w:rPr>
                <w:noProof/>
                <w:webHidden/>
              </w:rPr>
              <w:fldChar w:fldCharType="separate"/>
            </w:r>
            <w:r w:rsidR="001738BD">
              <w:rPr>
                <w:noProof/>
                <w:webHidden/>
              </w:rPr>
              <w:t>121</w:t>
            </w:r>
            <w:r>
              <w:rPr>
                <w:noProof/>
                <w:webHidden/>
              </w:rPr>
              <w:fldChar w:fldCharType="end"/>
            </w:r>
          </w:hyperlink>
        </w:p>
        <w:p w:rsidR="006E0D77" w:rsidRDefault="006E0D77" w14:paraId="55A22305" w14:textId="54C4E8F2">
          <w:pPr>
            <w:pStyle w:val="TOC1"/>
            <w:tabs>
              <w:tab w:val="right" w:leader="dot" w:pos="9350"/>
            </w:tabs>
            <w:rPr>
              <w:rFonts w:asciiTheme="minorHAnsi" w:hAnsiTheme="minorHAnsi" w:cstheme="minorBidi"/>
              <w:noProof/>
              <w:kern w:val="2"/>
              <w:sz w:val="24"/>
              <w:szCs w:val="24"/>
              <w14:ligatures w14:val="standardContextual"/>
            </w:rPr>
          </w:pPr>
          <w:hyperlink w:history="1" w:anchor="_Toc214629917">
            <w:r w:rsidRPr="006E3642">
              <w:rPr>
                <w:rStyle w:val="Hyperlink"/>
                <w:noProof/>
              </w:rPr>
              <w:t>9.</w:t>
            </w:r>
            <w:r>
              <w:rPr>
                <w:rFonts w:asciiTheme="minorHAnsi" w:hAnsiTheme="minorHAnsi" w:cstheme="minorBidi"/>
                <w:noProof/>
                <w:kern w:val="2"/>
                <w:sz w:val="24"/>
                <w:szCs w:val="24"/>
                <w14:ligatures w14:val="standardContextual"/>
              </w:rPr>
              <w:tab/>
            </w:r>
            <w:r w:rsidRPr="006E3642">
              <w:rPr>
                <w:rStyle w:val="Hyperlink"/>
                <w:noProof/>
              </w:rPr>
              <w:t>Approval of Southern California Edison Company’s 2026 Energy Resource Recovery Account Forecast Revenue Requirement</w:t>
            </w:r>
            <w:r>
              <w:rPr>
                <w:noProof/>
                <w:webHidden/>
              </w:rPr>
              <w:tab/>
            </w:r>
            <w:r>
              <w:rPr>
                <w:noProof/>
                <w:webHidden/>
              </w:rPr>
              <w:fldChar w:fldCharType="begin"/>
            </w:r>
            <w:r>
              <w:rPr>
                <w:noProof/>
                <w:webHidden/>
              </w:rPr>
              <w:instrText xml:space="preserve"> PAGEREF _Toc214629917 \h </w:instrText>
            </w:r>
            <w:r>
              <w:rPr>
                <w:noProof/>
                <w:webHidden/>
              </w:rPr>
            </w:r>
            <w:r>
              <w:rPr>
                <w:noProof/>
                <w:webHidden/>
              </w:rPr>
              <w:fldChar w:fldCharType="separate"/>
            </w:r>
            <w:r w:rsidR="001738BD">
              <w:rPr>
                <w:noProof/>
                <w:webHidden/>
              </w:rPr>
              <w:t>123</w:t>
            </w:r>
            <w:r>
              <w:rPr>
                <w:noProof/>
                <w:webHidden/>
              </w:rPr>
              <w:fldChar w:fldCharType="end"/>
            </w:r>
          </w:hyperlink>
        </w:p>
        <w:p w:rsidR="006E0D77" w:rsidRDefault="006E0D77" w14:paraId="482664E3" w14:textId="4C316EC9">
          <w:pPr>
            <w:pStyle w:val="TOC1"/>
            <w:tabs>
              <w:tab w:val="right" w:leader="dot" w:pos="9350"/>
            </w:tabs>
            <w:rPr>
              <w:rFonts w:asciiTheme="minorHAnsi" w:hAnsiTheme="minorHAnsi" w:cstheme="minorBidi"/>
              <w:noProof/>
              <w:kern w:val="2"/>
              <w:sz w:val="24"/>
              <w:szCs w:val="24"/>
              <w14:ligatures w14:val="standardContextual"/>
            </w:rPr>
          </w:pPr>
          <w:hyperlink w:history="1" w:anchor="_Toc214629918">
            <w:r w:rsidRPr="006E3642">
              <w:rPr>
                <w:rStyle w:val="Hyperlink"/>
                <w:noProof/>
              </w:rPr>
              <w:t>10.</w:t>
            </w:r>
            <w:r>
              <w:rPr>
                <w:rFonts w:asciiTheme="minorHAnsi" w:hAnsiTheme="minorHAnsi" w:cstheme="minorBidi"/>
                <w:noProof/>
                <w:kern w:val="2"/>
                <w:sz w:val="24"/>
                <w:szCs w:val="24"/>
                <w14:ligatures w14:val="standardContextual"/>
              </w:rPr>
              <w:tab/>
            </w:r>
            <w:r w:rsidRPr="006E3642">
              <w:rPr>
                <w:rStyle w:val="Hyperlink"/>
                <w:noProof/>
              </w:rPr>
              <w:t>2026 Energy Resource Recovery Account  Forecast Average Rates</w:t>
            </w:r>
            <w:r>
              <w:rPr>
                <w:noProof/>
                <w:webHidden/>
              </w:rPr>
              <w:tab/>
            </w:r>
            <w:r>
              <w:rPr>
                <w:noProof/>
                <w:webHidden/>
              </w:rPr>
              <w:fldChar w:fldCharType="begin"/>
            </w:r>
            <w:r>
              <w:rPr>
                <w:noProof/>
                <w:webHidden/>
              </w:rPr>
              <w:instrText xml:space="preserve"> PAGEREF _Toc214629918 \h </w:instrText>
            </w:r>
            <w:r>
              <w:rPr>
                <w:noProof/>
                <w:webHidden/>
              </w:rPr>
            </w:r>
            <w:r>
              <w:rPr>
                <w:noProof/>
                <w:webHidden/>
              </w:rPr>
              <w:fldChar w:fldCharType="separate"/>
            </w:r>
            <w:r w:rsidR="001738BD">
              <w:rPr>
                <w:noProof/>
                <w:webHidden/>
              </w:rPr>
              <w:t>123</w:t>
            </w:r>
            <w:r>
              <w:rPr>
                <w:noProof/>
                <w:webHidden/>
              </w:rPr>
              <w:fldChar w:fldCharType="end"/>
            </w:r>
          </w:hyperlink>
        </w:p>
        <w:p w:rsidR="006E0D77" w:rsidRDefault="006E0D77" w14:paraId="03F92BCA" w14:textId="3D8E005F">
          <w:pPr>
            <w:pStyle w:val="TOC1"/>
            <w:tabs>
              <w:tab w:val="right" w:leader="dot" w:pos="9350"/>
            </w:tabs>
            <w:rPr>
              <w:rFonts w:asciiTheme="minorHAnsi" w:hAnsiTheme="minorHAnsi" w:cstheme="minorBidi"/>
              <w:noProof/>
              <w:kern w:val="2"/>
              <w:sz w:val="24"/>
              <w:szCs w:val="24"/>
              <w14:ligatures w14:val="standardContextual"/>
            </w:rPr>
          </w:pPr>
          <w:hyperlink w:history="1" w:anchor="_Toc214629919">
            <w:r w:rsidRPr="006E3642">
              <w:rPr>
                <w:rStyle w:val="Hyperlink"/>
                <w:noProof/>
              </w:rPr>
              <w:t>11.</w:t>
            </w:r>
            <w:r>
              <w:rPr>
                <w:rFonts w:asciiTheme="minorHAnsi" w:hAnsiTheme="minorHAnsi" w:cstheme="minorBidi"/>
                <w:noProof/>
                <w:kern w:val="2"/>
                <w:sz w:val="24"/>
                <w:szCs w:val="24"/>
                <w14:ligatures w14:val="standardContextual"/>
              </w:rPr>
              <w:tab/>
            </w:r>
            <w:r w:rsidRPr="006E3642">
              <w:rPr>
                <w:rStyle w:val="Hyperlink"/>
                <w:noProof/>
              </w:rPr>
              <w:t>Safety and Environmental and  Social Justice Considerations</w:t>
            </w:r>
            <w:r>
              <w:rPr>
                <w:noProof/>
                <w:webHidden/>
              </w:rPr>
              <w:tab/>
            </w:r>
            <w:r>
              <w:rPr>
                <w:noProof/>
                <w:webHidden/>
              </w:rPr>
              <w:fldChar w:fldCharType="begin"/>
            </w:r>
            <w:r>
              <w:rPr>
                <w:noProof/>
                <w:webHidden/>
              </w:rPr>
              <w:instrText xml:space="preserve"> PAGEREF _Toc214629919 \h </w:instrText>
            </w:r>
            <w:r>
              <w:rPr>
                <w:noProof/>
                <w:webHidden/>
              </w:rPr>
            </w:r>
            <w:r>
              <w:rPr>
                <w:noProof/>
                <w:webHidden/>
              </w:rPr>
              <w:fldChar w:fldCharType="separate"/>
            </w:r>
            <w:r w:rsidR="001738BD">
              <w:rPr>
                <w:noProof/>
                <w:webHidden/>
              </w:rPr>
              <w:t>126</w:t>
            </w:r>
            <w:r>
              <w:rPr>
                <w:noProof/>
                <w:webHidden/>
              </w:rPr>
              <w:fldChar w:fldCharType="end"/>
            </w:r>
          </w:hyperlink>
        </w:p>
        <w:p w:rsidR="006E0D77" w:rsidRDefault="006E0D77" w14:paraId="09119743" w14:textId="2196E4AF">
          <w:pPr>
            <w:pStyle w:val="TOC1"/>
            <w:tabs>
              <w:tab w:val="right" w:leader="dot" w:pos="9350"/>
            </w:tabs>
            <w:rPr>
              <w:rFonts w:asciiTheme="minorHAnsi" w:hAnsiTheme="minorHAnsi" w:cstheme="minorBidi"/>
              <w:noProof/>
              <w:kern w:val="2"/>
              <w:sz w:val="24"/>
              <w:szCs w:val="24"/>
              <w14:ligatures w14:val="standardContextual"/>
            </w:rPr>
          </w:pPr>
          <w:hyperlink w:history="1" w:anchor="_Toc214629920">
            <w:r w:rsidRPr="006E3642">
              <w:rPr>
                <w:rStyle w:val="Hyperlink"/>
                <w:noProof/>
              </w:rPr>
              <w:t>12.</w:t>
            </w:r>
            <w:r>
              <w:rPr>
                <w:rFonts w:asciiTheme="minorHAnsi" w:hAnsiTheme="minorHAnsi" w:cstheme="minorBidi"/>
                <w:noProof/>
                <w:kern w:val="2"/>
                <w:sz w:val="24"/>
                <w:szCs w:val="24"/>
                <w14:ligatures w14:val="standardContextual"/>
              </w:rPr>
              <w:tab/>
            </w:r>
            <w:r w:rsidRPr="006E3642">
              <w:rPr>
                <w:rStyle w:val="Hyperlink"/>
                <w:noProof/>
              </w:rPr>
              <w:t>Compliance with the Authority  Granted Herein</w:t>
            </w:r>
            <w:r>
              <w:rPr>
                <w:noProof/>
                <w:webHidden/>
              </w:rPr>
              <w:tab/>
            </w:r>
            <w:r>
              <w:rPr>
                <w:noProof/>
                <w:webHidden/>
              </w:rPr>
              <w:fldChar w:fldCharType="begin"/>
            </w:r>
            <w:r>
              <w:rPr>
                <w:noProof/>
                <w:webHidden/>
              </w:rPr>
              <w:instrText xml:space="preserve"> PAGEREF _Toc214629920 \h </w:instrText>
            </w:r>
            <w:r>
              <w:rPr>
                <w:noProof/>
                <w:webHidden/>
              </w:rPr>
            </w:r>
            <w:r>
              <w:rPr>
                <w:noProof/>
                <w:webHidden/>
              </w:rPr>
              <w:fldChar w:fldCharType="separate"/>
            </w:r>
            <w:r w:rsidR="001738BD">
              <w:rPr>
                <w:noProof/>
                <w:webHidden/>
              </w:rPr>
              <w:t>126</w:t>
            </w:r>
            <w:r>
              <w:rPr>
                <w:noProof/>
                <w:webHidden/>
              </w:rPr>
              <w:fldChar w:fldCharType="end"/>
            </w:r>
          </w:hyperlink>
        </w:p>
        <w:p w:rsidR="006E0D77" w:rsidRDefault="006E0D77" w14:paraId="02E4A5A2" w14:textId="223C153D">
          <w:pPr>
            <w:pStyle w:val="TOC1"/>
            <w:tabs>
              <w:tab w:val="right" w:leader="dot" w:pos="9350"/>
            </w:tabs>
            <w:rPr>
              <w:rFonts w:asciiTheme="minorHAnsi" w:hAnsiTheme="minorHAnsi" w:cstheme="minorBidi"/>
              <w:noProof/>
              <w:kern w:val="2"/>
              <w:sz w:val="24"/>
              <w:szCs w:val="24"/>
              <w14:ligatures w14:val="standardContextual"/>
            </w:rPr>
          </w:pPr>
          <w:hyperlink w:history="1" w:anchor="_Toc214629921">
            <w:r w:rsidRPr="006E3642">
              <w:rPr>
                <w:rStyle w:val="Hyperlink"/>
                <w:noProof/>
              </w:rPr>
              <w:t>13.</w:t>
            </w:r>
            <w:r>
              <w:rPr>
                <w:rFonts w:asciiTheme="minorHAnsi" w:hAnsiTheme="minorHAnsi" w:cstheme="minorBidi"/>
                <w:noProof/>
                <w:kern w:val="2"/>
                <w:sz w:val="24"/>
                <w:szCs w:val="24"/>
                <w14:ligatures w14:val="standardContextual"/>
              </w:rPr>
              <w:tab/>
            </w:r>
            <w:r w:rsidRPr="006E3642">
              <w:rPr>
                <w:rStyle w:val="Hyperlink"/>
                <w:noProof/>
              </w:rPr>
              <w:t>Summary of Public Comment</w:t>
            </w:r>
            <w:r>
              <w:rPr>
                <w:noProof/>
                <w:webHidden/>
              </w:rPr>
              <w:tab/>
            </w:r>
            <w:r>
              <w:rPr>
                <w:noProof/>
                <w:webHidden/>
              </w:rPr>
              <w:fldChar w:fldCharType="begin"/>
            </w:r>
            <w:r>
              <w:rPr>
                <w:noProof/>
                <w:webHidden/>
              </w:rPr>
              <w:instrText xml:space="preserve"> PAGEREF _Toc214629921 \h </w:instrText>
            </w:r>
            <w:r>
              <w:rPr>
                <w:noProof/>
                <w:webHidden/>
              </w:rPr>
            </w:r>
            <w:r>
              <w:rPr>
                <w:noProof/>
                <w:webHidden/>
              </w:rPr>
              <w:fldChar w:fldCharType="separate"/>
            </w:r>
            <w:r w:rsidR="001738BD">
              <w:rPr>
                <w:noProof/>
                <w:webHidden/>
              </w:rPr>
              <w:t>127</w:t>
            </w:r>
            <w:r>
              <w:rPr>
                <w:noProof/>
                <w:webHidden/>
              </w:rPr>
              <w:fldChar w:fldCharType="end"/>
            </w:r>
          </w:hyperlink>
        </w:p>
        <w:p w:rsidR="006E0D77" w:rsidRDefault="006E0D77" w14:paraId="18B2E57C" w14:textId="1CCA9BEB">
          <w:pPr>
            <w:pStyle w:val="TOC1"/>
            <w:tabs>
              <w:tab w:val="right" w:leader="dot" w:pos="9350"/>
            </w:tabs>
            <w:rPr>
              <w:rFonts w:asciiTheme="minorHAnsi" w:hAnsiTheme="minorHAnsi" w:cstheme="minorBidi"/>
              <w:noProof/>
              <w:kern w:val="2"/>
              <w:sz w:val="24"/>
              <w:szCs w:val="24"/>
              <w14:ligatures w14:val="standardContextual"/>
            </w:rPr>
          </w:pPr>
          <w:hyperlink w:history="1" w:anchor="_Toc214629922">
            <w:r w:rsidRPr="006E3642">
              <w:rPr>
                <w:rStyle w:val="Hyperlink"/>
                <w:noProof/>
              </w:rPr>
              <w:t>14.</w:t>
            </w:r>
            <w:r>
              <w:rPr>
                <w:rFonts w:asciiTheme="minorHAnsi" w:hAnsiTheme="minorHAnsi" w:cstheme="minorBidi"/>
                <w:noProof/>
                <w:kern w:val="2"/>
                <w:sz w:val="24"/>
                <w:szCs w:val="24"/>
                <w14:ligatures w14:val="standardContextual"/>
              </w:rPr>
              <w:tab/>
            </w:r>
            <w:r w:rsidRPr="006E3642">
              <w:rPr>
                <w:rStyle w:val="Hyperlink"/>
                <w:noProof/>
              </w:rPr>
              <w:t xml:space="preserve">Procedural Matters: Motions for Entry of Testimony </w:t>
            </w:r>
            <w:r w:rsidR="005D5297">
              <w:rPr>
                <w:rStyle w:val="Hyperlink"/>
                <w:noProof/>
              </w:rPr>
              <w:br/>
            </w:r>
            <w:r w:rsidRPr="006E3642">
              <w:rPr>
                <w:rStyle w:val="Hyperlink"/>
                <w:noProof/>
              </w:rPr>
              <w:t>and to Seal Portions of the Record</w:t>
            </w:r>
            <w:r>
              <w:rPr>
                <w:noProof/>
                <w:webHidden/>
              </w:rPr>
              <w:tab/>
            </w:r>
            <w:r>
              <w:rPr>
                <w:noProof/>
                <w:webHidden/>
              </w:rPr>
              <w:fldChar w:fldCharType="begin"/>
            </w:r>
            <w:r>
              <w:rPr>
                <w:noProof/>
                <w:webHidden/>
              </w:rPr>
              <w:instrText xml:space="preserve"> PAGEREF _Toc214629922 \h </w:instrText>
            </w:r>
            <w:r>
              <w:rPr>
                <w:noProof/>
                <w:webHidden/>
              </w:rPr>
            </w:r>
            <w:r>
              <w:rPr>
                <w:noProof/>
                <w:webHidden/>
              </w:rPr>
              <w:fldChar w:fldCharType="separate"/>
            </w:r>
            <w:r w:rsidR="001738BD">
              <w:rPr>
                <w:noProof/>
                <w:webHidden/>
              </w:rPr>
              <w:t>128</w:t>
            </w:r>
            <w:r>
              <w:rPr>
                <w:noProof/>
                <w:webHidden/>
              </w:rPr>
              <w:fldChar w:fldCharType="end"/>
            </w:r>
          </w:hyperlink>
        </w:p>
        <w:p w:rsidR="006E0D77" w:rsidRDefault="006E0D77" w14:paraId="221A9148" w14:textId="6CDF8AFC">
          <w:pPr>
            <w:pStyle w:val="TOC1"/>
            <w:tabs>
              <w:tab w:val="right" w:leader="dot" w:pos="9350"/>
            </w:tabs>
            <w:rPr>
              <w:rFonts w:asciiTheme="minorHAnsi" w:hAnsiTheme="minorHAnsi" w:cstheme="minorBidi"/>
              <w:noProof/>
              <w:kern w:val="2"/>
              <w:sz w:val="24"/>
              <w:szCs w:val="24"/>
              <w14:ligatures w14:val="standardContextual"/>
            </w:rPr>
          </w:pPr>
          <w:hyperlink w:history="1" w:anchor="_Toc214629923">
            <w:r w:rsidRPr="006E3642">
              <w:rPr>
                <w:rStyle w:val="Hyperlink"/>
                <w:noProof/>
              </w:rPr>
              <w:t>15.</w:t>
            </w:r>
            <w:r>
              <w:rPr>
                <w:rFonts w:asciiTheme="minorHAnsi" w:hAnsiTheme="minorHAnsi" w:cstheme="minorBidi"/>
                <w:noProof/>
                <w:kern w:val="2"/>
                <w:sz w:val="24"/>
                <w:szCs w:val="24"/>
                <w14:ligatures w14:val="standardContextual"/>
              </w:rPr>
              <w:tab/>
            </w:r>
            <w:r w:rsidRPr="006E3642">
              <w:rPr>
                <w:rStyle w:val="Hyperlink"/>
                <w:noProof/>
              </w:rPr>
              <w:t>Comments on Proposed Decision</w:t>
            </w:r>
            <w:r>
              <w:rPr>
                <w:noProof/>
                <w:webHidden/>
              </w:rPr>
              <w:tab/>
            </w:r>
            <w:r>
              <w:rPr>
                <w:noProof/>
                <w:webHidden/>
              </w:rPr>
              <w:fldChar w:fldCharType="begin"/>
            </w:r>
            <w:r>
              <w:rPr>
                <w:noProof/>
                <w:webHidden/>
              </w:rPr>
              <w:instrText xml:space="preserve"> PAGEREF _Toc214629923 \h </w:instrText>
            </w:r>
            <w:r>
              <w:rPr>
                <w:noProof/>
                <w:webHidden/>
              </w:rPr>
            </w:r>
            <w:r>
              <w:rPr>
                <w:noProof/>
                <w:webHidden/>
              </w:rPr>
              <w:fldChar w:fldCharType="separate"/>
            </w:r>
            <w:r w:rsidR="001738BD">
              <w:rPr>
                <w:noProof/>
                <w:webHidden/>
              </w:rPr>
              <w:t>128</w:t>
            </w:r>
            <w:r>
              <w:rPr>
                <w:noProof/>
                <w:webHidden/>
              </w:rPr>
              <w:fldChar w:fldCharType="end"/>
            </w:r>
          </w:hyperlink>
        </w:p>
        <w:p w:rsidR="006E0D77" w:rsidRDefault="006E0D77" w14:paraId="7044295B" w14:textId="7D6825B9">
          <w:pPr>
            <w:pStyle w:val="TOC1"/>
            <w:tabs>
              <w:tab w:val="right" w:leader="dot" w:pos="9350"/>
            </w:tabs>
            <w:rPr>
              <w:rFonts w:asciiTheme="minorHAnsi" w:hAnsiTheme="minorHAnsi" w:cstheme="minorBidi"/>
              <w:noProof/>
              <w:kern w:val="2"/>
              <w:sz w:val="24"/>
              <w:szCs w:val="24"/>
              <w14:ligatures w14:val="standardContextual"/>
            </w:rPr>
          </w:pPr>
          <w:hyperlink w:history="1" w:anchor="_Toc214629924">
            <w:r w:rsidRPr="006E3642">
              <w:rPr>
                <w:rStyle w:val="Hyperlink"/>
                <w:noProof/>
              </w:rPr>
              <w:t>16.</w:t>
            </w:r>
            <w:r>
              <w:rPr>
                <w:rFonts w:asciiTheme="minorHAnsi" w:hAnsiTheme="minorHAnsi" w:cstheme="minorBidi"/>
                <w:noProof/>
                <w:kern w:val="2"/>
                <w:sz w:val="24"/>
                <w:szCs w:val="24"/>
                <w14:ligatures w14:val="standardContextual"/>
              </w:rPr>
              <w:tab/>
            </w:r>
            <w:r w:rsidRPr="006E3642">
              <w:rPr>
                <w:rStyle w:val="Hyperlink"/>
                <w:noProof/>
              </w:rPr>
              <w:t>Assignment of Proceeding</w:t>
            </w:r>
            <w:r>
              <w:rPr>
                <w:noProof/>
                <w:webHidden/>
              </w:rPr>
              <w:tab/>
            </w:r>
            <w:r>
              <w:rPr>
                <w:noProof/>
                <w:webHidden/>
              </w:rPr>
              <w:fldChar w:fldCharType="begin"/>
            </w:r>
            <w:r>
              <w:rPr>
                <w:noProof/>
                <w:webHidden/>
              </w:rPr>
              <w:instrText xml:space="preserve"> PAGEREF _Toc214629924 \h </w:instrText>
            </w:r>
            <w:r>
              <w:rPr>
                <w:noProof/>
                <w:webHidden/>
              </w:rPr>
            </w:r>
            <w:r>
              <w:rPr>
                <w:noProof/>
                <w:webHidden/>
              </w:rPr>
              <w:fldChar w:fldCharType="separate"/>
            </w:r>
            <w:r w:rsidR="001738BD">
              <w:rPr>
                <w:noProof/>
                <w:webHidden/>
              </w:rPr>
              <w:t>129</w:t>
            </w:r>
            <w:r>
              <w:rPr>
                <w:noProof/>
                <w:webHidden/>
              </w:rPr>
              <w:fldChar w:fldCharType="end"/>
            </w:r>
          </w:hyperlink>
        </w:p>
        <w:p w:rsidR="006E0D77" w:rsidRDefault="006E0D77" w14:paraId="01F37CBA" w14:textId="7646546A">
          <w:pPr>
            <w:pStyle w:val="TOC1"/>
            <w:tabs>
              <w:tab w:val="right" w:leader="dot" w:pos="9350"/>
            </w:tabs>
            <w:rPr>
              <w:rFonts w:asciiTheme="minorHAnsi" w:hAnsiTheme="minorHAnsi" w:cstheme="minorBidi"/>
              <w:noProof/>
              <w:kern w:val="2"/>
              <w:sz w:val="24"/>
              <w:szCs w:val="24"/>
              <w14:ligatures w14:val="standardContextual"/>
            </w:rPr>
          </w:pPr>
          <w:hyperlink w:history="1" w:anchor="_Toc214629925">
            <w:r w:rsidRPr="006E3642">
              <w:rPr>
                <w:rStyle w:val="Hyperlink"/>
                <w:noProof/>
              </w:rPr>
              <w:t>Findings of Fact</w:t>
            </w:r>
            <w:r>
              <w:rPr>
                <w:noProof/>
                <w:webHidden/>
              </w:rPr>
              <w:tab/>
            </w:r>
            <w:r>
              <w:rPr>
                <w:noProof/>
                <w:webHidden/>
              </w:rPr>
              <w:fldChar w:fldCharType="begin"/>
            </w:r>
            <w:r>
              <w:rPr>
                <w:noProof/>
                <w:webHidden/>
              </w:rPr>
              <w:instrText xml:space="preserve"> PAGEREF _Toc214629925 \h </w:instrText>
            </w:r>
            <w:r>
              <w:rPr>
                <w:noProof/>
                <w:webHidden/>
              </w:rPr>
            </w:r>
            <w:r>
              <w:rPr>
                <w:noProof/>
                <w:webHidden/>
              </w:rPr>
              <w:fldChar w:fldCharType="separate"/>
            </w:r>
            <w:r w:rsidR="001738BD">
              <w:rPr>
                <w:noProof/>
                <w:webHidden/>
              </w:rPr>
              <w:t>129</w:t>
            </w:r>
            <w:r>
              <w:rPr>
                <w:noProof/>
                <w:webHidden/>
              </w:rPr>
              <w:fldChar w:fldCharType="end"/>
            </w:r>
          </w:hyperlink>
        </w:p>
        <w:p w:rsidR="006E0D77" w:rsidRDefault="006E0D77" w14:paraId="75049800" w14:textId="2FEA6E6B">
          <w:pPr>
            <w:pStyle w:val="TOC1"/>
            <w:tabs>
              <w:tab w:val="right" w:leader="dot" w:pos="9350"/>
            </w:tabs>
            <w:rPr>
              <w:rFonts w:asciiTheme="minorHAnsi" w:hAnsiTheme="minorHAnsi" w:cstheme="minorBidi"/>
              <w:noProof/>
              <w:kern w:val="2"/>
              <w:sz w:val="24"/>
              <w:szCs w:val="24"/>
              <w14:ligatures w14:val="standardContextual"/>
            </w:rPr>
          </w:pPr>
          <w:hyperlink w:history="1" w:anchor="_Toc214629926">
            <w:r w:rsidRPr="006E3642">
              <w:rPr>
                <w:rStyle w:val="Hyperlink"/>
                <w:noProof/>
              </w:rPr>
              <w:t>Conclusions of Law</w:t>
            </w:r>
            <w:r>
              <w:rPr>
                <w:noProof/>
                <w:webHidden/>
              </w:rPr>
              <w:tab/>
            </w:r>
            <w:r>
              <w:rPr>
                <w:noProof/>
                <w:webHidden/>
              </w:rPr>
              <w:fldChar w:fldCharType="begin"/>
            </w:r>
            <w:r>
              <w:rPr>
                <w:noProof/>
                <w:webHidden/>
              </w:rPr>
              <w:instrText xml:space="preserve"> PAGEREF _Toc214629926 \h </w:instrText>
            </w:r>
            <w:r>
              <w:rPr>
                <w:noProof/>
                <w:webHidden/>
              </w:rPr>
            </w:r>
            <w:r>
              <w:rPr>
                <w:noProof/>
                <w:webHidden/>
              </w:rPr>
              <w:fldChar w:fldCharType="separate"/>
            </w:r>
            <w:r w:rsidR="001738BD">
              <w:rPr>
                <w:noProof/>
                <w:webHidden/>
              </w:rPr>
              <w:t>152</w:t>
            </w:r>
            <w:r>
              <w:rPr>
                <w:noProof/>
                <w:webHidden/>
              </w:rPr>
              <w:fldChar w:fldCharType="end"/>
            </w:r>
          </w:hyperlink>
        </w:p>
        <w:p w:rsidR="006E0D77" w:rsidRDefault="006E0D77" w14:paraId="4C482D31" w14:textId="0253487A">
          <w:pPr>
            <w:pStyle w:val="TOC1"/>
            <w:tabs>
              <w:tab w:val="right" w:leader="dot" w:pos="9350"/>
            </w:tabs>
            <w:rPr>
              <w:rFonts w:asciiTheme="minorHAnsi" w:hAnsiTheme="minorHAnsi" w:cstheme="minorBidi"/>
              <w:noProof/>
              <w:kern w:val="2"/>
              <w:sz w:val="24"/>
              <w:szCs w:val="24"/>
              <w14:ligatures w14:val="standardContextual"/>
            </w:rPr>
          </w:pPr>
          <w:hyperlink w:history="1" w:anchor="_Toc214629927">
            <w:r w:rsidRPr="006E3642">
              <w:rPr>
                <w:rStyle w:val="Hyperlink"/>
                <w:noProof/>
              </w:rPr>
              <w:t>ORDER</w:t>
            </w:r>
            <w:r>
              <w:rPr>
                <w:noProof/>
                <w:webHidden/>
              </w:rPr>
              <w:tab/>
            </w:r>
            <w:r>
              <w:rPr>
                <w:noProof/>
                <w:webHidden/>
              </w:rPr>
              <w:fldChar w:fldCharType="begin"/>
            </w:r>
            <w:r>
              <w:rPr>
                <w:noProof/>
                <w:webHidden/>
              </w:rPr>
              <w:instrText xml:space="preserve"> PAGEREF _Toc214629927 \h </w:instrText>
            </w:r>
            <w:r>
              <w:rPr>
                <w:noProof/>
                <w:webHidden/>
              </w:rPr>
            </w:r>
            <w:r>
              <w:rPr>
                <w:noProof/>
                <w:webHidden/>
              </w:rPr>
              <w:fldChar w:fldCharType="separate"/>
            </w:r>
            <w:r w:rsidR="001738BD">
              <w:rPr>
                <w:noProof/>
                <w:webHidden/>
              </w:rPr>
              <w:t>155</w:t>
            </w:r>
            <w:r>
              <w:rPr>
                <w:noProof/>
                <w:webHidden/>
              </w:rPr>
              <w:fldChar w:fldCharType="end"/>
            </w:r>
          </w:hyperlink>
        </w:p>
        <w:p w:rsidRPr="00A03B40" w:rsidR="00D82A43" w:rsidP="00B35ACF" w:rsidRDefault="00B35ACF" w14:paraId="56CCC321" w14:textId="07FA7EA8">
          <w:pPr>
            <w:pStyle w:val="TOC1"/>
            <w:tabs>
              <w:tab w:val="right" w:leader="dot" w:pos="9350"/>
            </w:tabs>
          </w:pPr>
          <w:r w:rsidRPr="00A03B40">
            <w:rPr>
              <w:rFonts w:asciiTheme="minorHAnsi" w:hAnsiTheme="minorHAnsi"/>
              <w:sz w:val="22"/>
            </w:rPr>
            <w:fldChar w:fldCharType="end"/>
          </w:r>
        </w:p>
      </w:sdtContent>
    </w:sdt>
    <w:p w:rsidRPr="00A03B40" w:rsidR="00D44DB6" w:rsidP="00D44DB6" w:rsidRDefault="00D44DB6" w14:paraId="5FE5A212" w14:textId="77777777">
      <w:pPr>
        <w:spacing w:line="240" w:lineRule="auto"/>
        <w:ind w:firstLine="0"/>
        <w:rPr>
          <w:rFonts w:cs="Arial"/>
          <w:szCs w:val="26"/>
        </w:rPr>
      </w:pPr>
    </w:p>
    <w:p w:rsidRPr="00A03B40" w:rsidR="00D44DB6" w:rsidP="00D44DB6" w:rsidRDefault="00D44DB6" w14:paraId="07877E0F" w14:textId="302B0533">
      <w:pPr>
        <w:spacing w:line="240" w:lineRule="auto"/>
        <w:ind w:firstLine="0"/>
        <w:rPr>
          <w:rFonts w:cs="Arial"/>
          <w:i/>
          <w:szCs w:val="26"/>
        </w:rPr>
        <w:sectPr w:rsidRPr="00A03B40" w:rsidR="00D44DB6" w:rsidSect="00D44DB6">
          <w:headerReference w:type="default" r:id="rId17"/>
          <w:footerReference w:type="default" r:id="rId18"/>
          <w:pgSz w:w="12240" w:h="15840"/>
          <w:pgMar w:top="1728" w:right="1440" w:bottom="1440" w:left="1440" w:header="720" w:footer="720" w:gutter="0"/>
          <w:pgNumType w:fmt="lowerRoman" w:start="1"/>
          <w:cols w:space="720"/>
          <w:docGrid w:linePitch="360"/>
        </w:sectPr>
      </w:pPr>
    </w:p>
    <w:p w:rsidRPr="00A03B40" w:rsidR="0098655A" w:rsidP="00653A44" w:rsidRDefault="00653A44" w14:paraId="73FBC00A" w14:textId="232A1FE8">
      <w:pPr>
        <w:pStyle w:val="Main"/>
        <w:spacing w:after="240"/>
      </w:pPr>
      <w:r w:rsidRPr="00A03B40">
        <w:lastRenderedPageBreak/>
        <w:t xml:space="preserve">DECISION APPROVING SOUTHERN CALIFORNIA EDISON COMPANY’S 2026 ENERGY RESOURCE RECOVERY ACCOUNT-RELATED </w:t>
      </w:r>
      <w:r>
        <w:br/>
      </w:r>
      <w:r w:rsidRPr="00A03B40">
        <w:t>REVENUE REQUIREMENT FORECAS</w:t>
      </w:r>
      <w:r>
        <w:t>T</w:t>
      </w:r>
    </w:p>
    <w:p w:rsidRPr="00A03B40" w:rsidR="005A148C" w:rsidP="005A148C" w:rsidRDefault="005A148C" w14:paraId="1C03417C" w14:textId="77777777">
      <w:pPr>
        <w:pStyle w:val="Dummy"/>
      </w:pPr>
      <w:bookmarkStart w:name="_Toc8123714" w:id="1"/>
      <w:bookmarkStart w:name="_Toc214629845" w:id="2"/>
      <w:r w:rsidRPr="00A03B40">
        <w:t>Summary</w:t>
      </w:r>
      <w:bookmarkEnd w:id="1"/>
      <w:bookmarkEnd w:id="2"/>
    </w:p>
    <w:p w:rsidRPr="00A03B40" w:rsidR="0073353F" w:rsidP="008C0E46" w:rsidRDefault="008C0E46" w14:paraId="4853F922" w14:textId="64E51737">
      <w:pPr>
        <w:pStyle w:val="Standard"/>
      </w:pPr>
      <w:r w:rsidRPr="00A03B40">
        <w:t xml:space="preserve">This </w:t>
      </w:r>
      <w:r w:rsidRPr="00A03B40" w:rsidR="000740A8">
        <w:t>D</w:t>
      </w:r>
      <w:r w:rsidRPr="00A03B40">
        <w:t>ecision approves, with modifications, Southern California Edison Company’s (SCE)</w:t>
      </w:r>
      <w:r w:rsidRPr="00A03B40" w:rsidR="003A0DFC">
        <w:t xml:space="preserve"> amended </w:t>
      </w:r>
      <w:r w:rsidRPr="00A03B40">
        <w:t>2026 Energy Resource Recovery Account (ERRA)</w:t>
      </w:r>
      <w:r w:rsidRPr="00A03B40" w:rsidR="00BC3B89">
        <w:rPr>
          <w:rStyle w:val="FootnoteReference"/>
        </w:rPr>
        <w:footnoteReference w:id="2"/>
      </w:r>
      <w:r w:rsidRPr="00A03B40">
        <w:t xml:space="preserve"> revenue requirement </w:t>
      </w:r>
      <w:r w:rsidRPr="00A03B40" w:rsidR="008F5FA9">
        <w:t>request</w:t>
      </w:r>
      <w:r w:rsidRPr="00A03B40" w:rsidR="00227D22">
        <w:t xml:space="preserve"> of</w:t>
      </w:r>
      <w:r w:rsidRPr="00A03B40">
        <w:t xml:space="preserve"> $</w:t>
      </w:r>
      <w:r w:rsidRPr="00A03B40" w:rsidR="00281D20">
        <w:t>4.</w:t>
      </w:r>
      <w:r w:rsidRPr="00A03B40" w:rsidR="00831AF0">
        <w:t>689</w:t>
      </w:r>
      <w:r w:rsidRPr="00A03B40">
        <w:t xml:space="preserve"> billion</w:t>
      </w:r>
      <w:r w:rsidRPr="00A03B40" w:rsidR="00A63F93">
        <w:t xml:space="preserve"> -</w:t>
      </w:r>
      <w:r w:rsidRPr="00A03B40">
        <w:t xml:space="preserve"> a</w:t>
      </w:r>
      <w:r w:rsidRPr="00A03B40" w:rsidR="00F40ECD">
        <w:t>n</w:t>
      </w:r>
      <w:r w:rsidRPr="00A03B40">
        <w:t xml:space="preserve"> </w:t>
      </w:r>
      <w:r w:rsidRPr="00A03B40" w:rsidR="00F40ECD">
        <w:t>in</w:t>
      </w:r>
      <w:r w:rsidRPr="00A03B40">
        <w:t>crease of $</w:t>
      </w:r>
      <w:r w:rsidRPr="00A03B40" w:rsidR="00F40ECD">
        <w:t>2</w:t>
      </w:r>
      <w:r w:rsidRPr="00A03B40" w:rsidR="00831AF0">
        <w:t>28.250</w:t>
      </w:r>
      <w:r w:rsidRPr="00A03B40">
        <w:t xml:space="preserve"> million, </w:t>
      </w:r>
      <w:r w:rsidRPr="00A03B40" w:rsidR="00BB26B8">
        <w:t>roughly 5</w:t>
      </w:r>
      <w:r w:rsidRPr="00A03B40" w:rsidR="00F40ECD">
        <w:t>.</w:t>
      </w:r>
      <w:r w:rsidRPr="00A03B40" w:rsidR="00BB26B8">
        <w:t>1</w:t>
      </w:r>
      <w:r w:rsidRPr="00A03B40" w:rsidR="00F40ECD">
        <w:t xml:space="preserve"> </w:t>
      </w:r>
      <w:r w:rsidRPr="00A03B40">
        <w:t>percent</w:t>
      </w:r>
      <w:r w:rsidRPr="00A03B40" w:rsidR="00C770B1">
        <w:t>,</w:t>
      </w:r>
      <w:r w:rsidRPr="00A03B40">
        <w:t xml:space="preserve"> </w:t>
      </w:r>
      <w:r w:rsidRPr="00A03B40" w:rsidR="00C71781">
        <w:t>above</w:t>
      </w:r>
      <w:r w:rsidRPr="00A03B40">
        <w:t xml:space="preserve"> the </w:t>
      </w:r>
      <w:r w:rsidRPr="00A03B40" w:rsidR="00C71781">
        <w:t xml:space="preserve">adopted </w:t>
      </w:r>
      <w:r w:rsidRPr="00A03B40" w:rsidR="004848FD">
        <w:t xml:space="preserve">2025 </w:t>
      </w:r>
      <w:r w:rsidRPr="00A03B40" w:rsidR="00A63F93">
        <w:t>ERRA revenue requirement</w:t>
      </w:r>
      <w:r w:rsidRPr="00A03B40">
        <w:t>.</w:t>
      </w:r>
      <w:r w:rsidRPr="00A03B40" w:rsidR="002A68CA">
        <w:t xml:space="preserve"> </w:t>
      </w:r>
    </w:p>
    <w:p w:rsidRPr="00A03B40" w:rsidR="001C1BCE" w:rsidP="001C1BCE" w:rsidRDefault="00110112" w14:paraId="1CAFD760" w14:textId="43B8924A">
      <w:pPr>
        <w:pStyle w:val="Standard"/>
      </w:pPr>
      <w:r w:rsidRPr="00A03B40">
        <w:t xml:space="preserve">While SCE’s overall ERRA revenue requirement will increase from what is included in current rates, </w:t>
      </w:r>
      <w:r w:rsidRPr="00A03B40" w:rsidR="008E4617">
        <w:t xml:space="preserve">the ERRA portion of </w:t>
      </w:r>
      <w:r w:rsidRPr="00A03B40" w:rsidR="00A63F93">
        <w:t xml:space="preserve">SCE’s </w:t>
      </w:r>
      <w:proofErr w:type="gramStart"/>
      <w:r w:rsidRPr="00A03B40" w:rsidR="00A63F93">
        <w:t>system</w:t>
      </w:r>
      <w:proofErr w:type="gramEnd"/>
      <w:r w:rsidRPr="00A03B40" w:rsidR="00A63F93">
        <w:t xml:space="preserve"> average </w:t>
      </w:r>
      <w:r w:rsidRPr="00A03B40" w:rsidR="00530E44">
        <w:t xml:space="preserve">generation </w:t>
      </w:r>
      <w:r w:rsidRPr="00A03B40" w:rsidR="00A63F93">
        <w:t xml:space="preserve">rates for bundled </w:t>
      </w:r>
      <w:r w:rsidRPr="00A03B40" w:rsidR="005A691C">
        <w:t xml:space="preserve">service </w:t>
      </w:r>
      <w:r w:rsidRPr="00A03B40" w:rsidR="00A63F93">
        <w:t xml:space="preserve">customers will </w:t>
      </w:r>
      <w:r w:rsidRPr="00A03B40">
        <w:t>decrease</w:t>
      </w:r>
      <w:r w:rsidRPr="00A03B40" w:rsidR="00A63F93">
        <w:t xml:space="preserve"> by approximately </w:t>
      </w:r>
      <w:r w:rsidRPr="00A03B40" w:rsidR="00BB26B8">
        <w:t>11</w:t>
      </w:r>
      <w:r w:rsidRPr="00A03B40">
        <w:t>.</w:t>
      </w:r>
      <w:r w:rsidRPr="00A03B40" w:rsidR="00BB26B8">
        <w:t>9</w:t>
      </w:r>
      <w:r w:rsidRPr="00A03B40">
        <w:t xml:space="preserve"> </w:t>
      </w:r>
      <w:r w:rsidRPr="00A03B40" w:rsidR="00A63F93">
        <w:t xml:space="preserve">percent as compared to rates effective on October 1, 2025, to </w:t>
      </w:r>
      <w:r w:rsidRPr="00A03B40" w:rsidR="00BB26B8">
        <w:t>10</w:t>
      </w:r>
      <w:r w:rsidRPr="00A03B40" w:rsidR="00A63F93">
        <w:t>.</w:t>
      </w:r>
      <w:r w:rsidRPr="00A03B40" w:rsidR="00BB26B8">
        <w:t>01</w:t>
      </w:r>
      <w:r w:rsidRPr="00A03B40" w:rsidR="00A63F93">
        <w:t xml:space="preserve">¢/kilowatt hour. </w:t>
      </w:r>
      <w:r w:rsidRPr="00A03B40" w:rsidR="00CC3D44">
        <w:t>SCE’s</w:t>
      </w:r>
      <w:r w:rsidRPr="00A03B40" w:rsidR="00A63F93">
        <w:t xml:space="preserve"> Power Charge Indifference Adjustment (PCIA) rates </w:t>
      </w:r>
      <w:r w:rsidRPr="00A03B40" w:rsidR="005A691C">
        <w:t xml:space="preserve">for unbundled service customers </w:t>
      </w:r>
      <w:r w:rsidRPr="00A03B40" w:rsidR="00A63F93">
        <w:t xml:space="preserve">will </w:t>
      </w:r>
      <w:r w:rsidRPr="00A03B40" w:rsidR="005A691C">
        <w:t>increase</w:t>
      </w:r>
      <w:r w:rsidRPr="00A03B40" w:rsidR="00C11205">
        <w:t xml:space="preserve"> </w:t>
      </w:r>
      <w:r w:rsidRPr="00A03B40" w:rsidR="00A63F93">
        <w:t xml:space="preserve">for </w:t>
      </w:r>
      <w:r w:rsidRPr="00A03B40" w:rsidR="00DF15A9">
        <w:t>all</w:t>
      </w:r>
      <w:r w:rsidRPr="00A03B40" w:rsidR="00A63F93">
        <w:t xml:space="preserve"> customer vintages in 202</w:t>
      </w:r>
      <w:r w:rsidRPr="00A03B40" w:rsidR="00CC3D44">
        <w:t>6</w:t>
      </w:r>
      <w:r w:rsidRPr="00A03B40" w:rsidR="00C11205">
        <w:t>.</w:t>
      </w:r>
      <w:r w:rsidRPr="00A03B40" w:rsidR="00A63F93">
        <w:t xml:space="preserve"> </w:t>
      </w:r>
    </w:p>
    <w:p w:rsidRPr="00A03B40" w:rsidR="008C0E46" w:rsidP="008C0E46" w:rsidRDefault="008C0E46" w14:paraId="46ED0EEC" w14:textId="2982186C">
      <w:pPr>
        <w:pStyle w:val="Standard"/>
      </w:pPr>
      <w:r w:rsidRPr="00A03B40">
        <w:t xml:space="preserve">The ERRA process allows SCE to recover its electricity procurement costs, including expenses for fuel and purchased power, </w:t>
      </w:r>
      <w:r w:rsidR="0004181E">
        <w:t>utility-owned</w:t>
      </w:r>
      <w:r w:rsidRPr="00A03B40">
        <w:t xml:space="preserve"> generation, California Independent System Operator related costs, related greenhouse gas</w:t>
      </w:r>
      <w:r w:rsidRPr="00A03B40" w:rsidR="00BB14E3">
        <w:t xml:space="preserve"> (GHG)</w:t>
      </w:r>
      <w:r w:rsidRPr="00A03B40">
        <w:t xml:space="preserve"> costs, and the </w:t>
      </w:r>
      <w:r w:rsidRPr="00A03B40" w:rsidR="00C865C4">
        <w:t xml:space="preserve">remaining </w:t>
      </w:r>
      <w:r w:rsidRPr="00A03B40">
        <w:t>costs of residual net short procurement requirements necessary to serve bundled customers.</w:t>
      </w:r>
      <w:r w:rsidRPr="00A03B40" w:rsidR="002A68CA">
        <w:t xml:space="preserve"> </w:t>
      </w:r>
      <w:r w:rsidRPr="00A03B40">
        <w:t>SCE is also authorized to propose a forecast of GHG allowance revenue return allocations</w:t>
      </w:r>
      <w:r w:rsidRPr="00A03B40" w:rsidR="005A691C">
        <w:t>,</w:t>
      </w:r>
      <w:r w:rsidRPr="00A03B40">
        <w:t xml:space="preserve"> estimated costs </w:t>
      </w:r>
      <w:r w:rsidRPr="00A03B40" w:rsidR="005A691C">
        <w:t>SCE will incur</w:t>
      </w:r>
      <w:r w:rsidRPr="00A03B40">
        <w:t xml:space="preserve"> as a central procurement entity</w:t>
      </w:r>
      <w:r w:rsidRPr="00A03B40" w:rsidR="005A691C">
        <w:t xml:space="preserve"> (that contracts for resources on </w:t>
      </w:r>
      <w:r w:rsidRPr="00A03B40" w:rsidR="005A691C">
        <w:lastRenderedPageBreak/>
        <w:t xml:space="preserve">behalf of other </w:t>
      </w:r>
      <w:r w:rsidRPr="00A03B40" w:rsidR="00227D22">
        <w:t xml:space="preserve">load serving entities </w:t>
      </w:r>
      <w:r w:rsidRPr="00A03B40" w:rsidR="005A691C">
        <w:t>in its service territory)</w:t>
      </w:r>
      <w:r w:rsidRPr="00A03B40">
        <w:t>, and common cost allocation proposals.</w:t>
      </w:r>
      <w:r w:rsidRPr="00A03B40" w:rsidR="00B66F50">
        <w:t xml:space="preserve"> Amounts adopted by this Decision will be implemented in rates</w:t>
      </w:r>
      <w:r w:rsidRPr="00A03B40" w:rsidR="00413DA7">
        <w:t xml:space="preserve"> in 2026</w:t>
      </w:r>
      <w:r w:rsidRPr="00A03B40" w:rsidR="00C36F2C">
        <w:t xml:space="preserve">, and any over- or under-charges compared with actual expenses incurred by SCE </w:t>
      </w:r>
      <w:r w:rsidRPr="00A03B40" w:rsidR="00413DA7">
        <w:t xml:space="preserve">in 2026 </w:t>
      </w:r>
      <w:r w:rsidRPr="00A03B40" w:rsidR="00C36F2C">
        <w:t>will be collected from or returned to customers.</w:t>
      </w:r>
      <w:r w:rsidRPr="00A03B40" w:rsidR="00B66F50">
        <w:t xml:space="preserve"> </w:t>
      </w:r>
    </w:p>
    <w:p w:rsidRPr="00A03B40" w:rsidR="002A3CE0" w:rsidP="00063A51" w:rsidRDefault="00A63F93" w14:paraId="2A15E26E" w14:textId="79FFE56E">
      <w:pPr>
        <w:pStyle w:val="Standard"/>
      </w:pPr>
      <w:r w:rsidRPr="00A03B40">
        <w:t xml:space="preserve">This </w:t>
      </w:r>
      <w:r w:rsidRPr="00A03B40" w:rsidR="009C59C0">
        <w:t>D</w:t>
      </w:r>
      <w:r w:rsidRPr="00A03B40">
        <w:t xml:space="preserve">ecision approves, as modified, </w:t>
      </w:r>
      <w:r w:rsidRPr="00A03B40" w:rsidR="00281D20">
        <w:t>SCE’s</w:t>
      </w:r>
      <w:r w:rsidRPr="00A03B40" w:rsidR="009C59C0">
        <w:t xml:space="preserve"> </w:t>
      </w:r>
      <w:r w:rsidRPr="00A03B40">
        <w:t xml:space="preserve">2026 ERRA forecast revenue requirement, comprised of its forecast generation service revenue requirement and delivery service revenue requirement, as shown in </w:t>
      </w:r>
      <w:r w:rsidRPr="00A03B40" w:rsidR="000740A8">
        <w:t xml:space="preserve">Table </w:t>
      </w:r>
      <w:r w:rsidRPr="00A03B40" w:rsidR="002D46B8">
        <w:t>S-</w:t>
      </w:r>
      <w:r w:rsidRPr="00A03B40" w:rsidR="000740A8">
        <w:t>1</w:t>
      </w:r>
      <w:r w:rsidRPr="00A03B40" w:rsidR="009C59C0">
        <w:t>, below</w:t>
      </w:r>
      <w:r w:rsidRPr="00A03B40">
        <w:t>.</w:t>
      </w:r>
      <w:r w:rsidRPr="00A03B40" w:rsidR="009C59C0">
        <w:t xml:space="preserve"> </w:t>
      </w:r>
      <w:r w:rsidRPr="00A03B40" w:rsidR="002A3CE0">
        <w:t>This Decision also approves the transfer of certain balances, including year-end 2025 balances, to their appropriate balancing accounts.</w:t>
      </w:r>
      <w:r w:rsidRPr="00A03B40" w:rsidR="00063A51">
        <w:t xml:space="preserve"> </w:t>
      </w:r>
    </w:p>
    <w:p w:rsidRPr="00A03B40" w:rsidR="007822D0" w:rsidP="008C0E46" w:rsidRDefault="0018105E" w14:paraId="2854AB51" w14:textId="7910592A">
      <w:pPr>
        <w:pStyle w:val="Standard"/>
      </w:pPr>
      <w:r w:rsidRPr="00A03B40">
        <w:t xml:space="preserve">Included within the </w:t>
      </w:r>
      <w:r w:rsidRPr="00A03B40" w:rsidR="007822D0">
        <w:t>amounts authorized for recovery</w:t>
      </w:r>
      <w:r w:rsidRPr="00A03B40" w:rsidR="007E2901">
        <w:t xml:space="preserve"> or return</w:t>
      </w:r>
      <w:r w:rsidRPr="00A03B40" w:rsidR="007822D0">
        <w:t xml:space="preserve"> listed below,</w:t>
      </w:r>
      <w:r w:rsidRPr="00A03B40" w:rsidR="00426958">
        <w:t xml:space="preserve"> this Decision approves SCE’s forecast </w:t>
      </w:r>
      <w:r w:rsidRPr="00A03B40" w:rsidR="00FB467F">
        <w:t xml:space="preserve">2026 </w:t>
      </w:r>
      <w:r w:rsidRPr="00A03B40" w:rsidR="00426958">
        <w:t xml:space="preserve">GHG </w:t>
      </w:r>
      <w:r w:rsidRPr="00A03B40" w:rsidR="00FB467F">
        <w:t xml:space="preserve">Cap-and-Trade </w:t>
      </w:r>
      <w:r w:rsidRPr="00A03B40" w:rsidR="00E20C7D">
        <w:t xml:space="preserve">compliance </w:t>
      </w:r>
      <w:r w:rsidRPr="00A03B40" w:rsidR="00FB467F">
        <w:t xml:space="preserve">costs, totaling </w:t>
      </w:r>
      <w:r w:rsidRPr="00A03B40" w:rsidR="00426958">
        <w:t>$</w:t>
      </w:r>
      <w:r w:rsidRPr="00A03B40" w:rsidR="00C11205">
        <w:t>349.789</w:t>
      </w:r>
      <w:r w:rsidRPr="00A03B40" w:rsidR="00426958">
        <w:t xml:space="preserve"> million. This </w:t>
      </w:r>
      <w:r w:rsidRPr="00A03B40">
        <w:t>D</w:t>
      </w:r>
      <w:r w:rsidRPr="00A03B40" w:rsidR="00426958">
        <w:t xml:space="preserve">ecision </w:t>
      </w:r>
      <w:r w:rsidRPr="00A03B40">
        <w:t>approves GHG allowance revenue allocations and</w:t>
      </w:r>
      <w:r w:rsidRPr="00A03B40" w:rsidR="00426958">
        <w:t xml:space="preserve"> directs SCE to distribute $</w:t>
      </w:r>
      <w:r w:rsidRPr="00A03B40" w:rsidR="00FB467F">
        <w:t xml:space="preserve">58.908 </w:t>
      </w:r>
      <w:r w:rsidRPr="00A03B40" w:rsidR="00426958">
        <w:t>million to Emissions-Intensive and Trade-Exposed customers and $</w:t>
      </w:r>
      <w:r w:rsidRPr="00A03B40" w:rsidR="00FB467F">
        <w:t>384.371</w:t>
      </w:r>
      <w:r w:rsidRPr="00A03B40" w:rsidR="00426958">
        <w:t xml:space="preserve"> million to residential and small business customers through the California Climate Credit</w:t>
      </w:r>
      <w:r w:rsidRPr="00A03B40" w:rsidR="00281D20">
        <w:t>, for a total of $443.279 million in revenue returns to customers</w:t>
      </w:r>
      <w:r w:rsidRPr="00A03B40" w:rsidR="00426958">
        <w:t xml:space="preserve">. </w:t>
      </w:r>
    </w:p>
    <w:p w:rsidR="001C1BCE" w:rsidP="008C0E46" w:rsidRDefault="001C1BCE" w14:paraId="36BB4D38" w14:textId="0CA4B2CD">
      <w:pPr>
        <w:pStyle w:val="Standard"/>
      </w:pPr>
      <w:r w:rsidRPr="00A03B40">
        <w:t xml:space="preserve">SCE will update </w:t>
      </w:r>
      <w:r w:rsidRPr="00A03B40" w:rsidR="0075109B">
        <w:t>its</w:t>
      </w:r>
      <w:r w:rsidRPr="00A03B40">
        <w:t xml:space="preserve"> </w:t>
      </w:r>
      <w:r w:rsidRPr="00A03B40" w:rsidR="00C1018E">
        <w:t>ERRA</w:t>
      </w:r>
      <w:r w:rsidRPr="00A03B40">
        <w:t xml:space="preserve"> revenue requirement to reflect 2025 year-end balances with recorded actual</w:t>
      </w:r>
      <w:r w:rsidRPr="00A03B40" w:rsidR="00FB467F">
        <w:t xml:space="preserve"> amounts</w:t>
      </w:r>
      <w:r w:rsidRPr="00A03B40">
        <w:t xml:space="preserve"> through November 2025, if available, and a forecast for December 2025. SCE will update these figures in </w:t>
      </w:r>
      <w:r w:rsidRPr="00A03B40" w:rsidR="0075109B">
        <w:t>its</w:t>
      </w:r>
      <w:r w:rsidRPr="00A03B40">
        <w:t xml:space="preserve"> initial Tier 1 </w:t>
      </w:r>
      <w:r w:rsidR="008806E1">
        <w:t>A</w:t>
      </w:r>
      <w:r w:rsidRPr="00A03B40">
        <w:t xml:space="preserve">dvice </w:t>
      </w:r>
      <w:r w:rsidR="008806E1">
        <w:t>L</w:t>
      </w:r>
      <w:r w:rsidRPr="00A03B40">
        <w:t>etter filed in conformance with this Decision, and implement the rate changes on January 1, 202</w:t>
      </w:r>
      <w:r w:rsidRPr="00A03B40" w:rsidR="0018105E">
        <w:t>6</w:t>
      </w:r>
      <w:r w:rsidRPr="00A03B40">
        <w:t>, in the Tier 1 Consolidated Revenue Requirement and Rate Change Advice Letter filed pursuant to Resolution E-5217.</w:t>
      </w:r>
    </w:p>
    <w:p w:rsidRPr="00A03B40" w:rsidR="00587B06" w:rsidP="008C0E46" w:rsidRDefault="00587B06" w14:paraId="62C85219" w14:textId="1A16E17B">
      <w:pPr>
        <w:pStyle w:val="Standard"/>
      </w:pPr>
      <w:r>
        <w:t>Table S-1, below, provides a summary of the revenue requirement adopted by this Decision and the corresponding amounts authorized for SCE’s 2025 ERRA revenue requirement.</w:t>
      </w:r>
    </w:p>
    <w:p w:rsidRPr="00A03B40" w:rsidR="00587B06" w:rsidP="00587B06" w:rsidRDefault="00587B06" w14:paraId="53BEF966" w14:textId="77777777">
      <w:pPr>
        <w:pStyle w:val="Standard"/>
        <w:keepNext/>
        <w:keepLines/>
        <w:spacing w:after="120" w:line="240" w:lineRule="auto"/>
        <w:ind w:firstLine="0"/>
        <w:jc w:val="center"/>
        <w:rPr>
          <w:b/>
          <w:bCs/>
        </w:rPr>
      </w:pPr>
      <w:r w:rsidRPr="00A03B40">
        <w:rPr>
          <w:b/>
          <w:bCs/>
        </w:rPr>
        <w:lastRenderedPageBreak/>
        <w:t>Table S-1: 2026 ERRA Forecast Revenue Requirement ($000)</w:t>
      </w:r>
    </w:p>
    <w:tbl>
      <w:tblPr>
        <w:tblStyle w:val="TableGrid"/>
        <w:tblW w:w="0" w:type="auto"/>
        <w:jc w:val="center"/>
        <w:tblLook w:val="04A0" w:firstRow="1" w:lastRow="0" w:firstColumn="1" w:lastColumn="0" w:noHBand="0" w:noVBand="1"/>
      </w:tblPr>
      <w:tblGrid>
        <w:gridCol w:w="3449"/>
        <w:gridCol w:w="1685"/>
        <w:gridCol w:w="1686"/>
        <w:gridCol w:w="1686"/>
      </w:tblGrid>
      <w:tr w:rsidRPr="00A03B40" w:rsidR="00587B06" w:rsidTr="002601C8" w14:paraId="69650F6F" w14:textId="77777777">
        <w:trPr>
          <w:jc w:val="center"/>
        </w:trPr>
        <w:tc>
          <w:tcPr>
            <w:tcW w:w="3449" w:type="dxa"/>
            <w:tcBorders>
              <w:top w:val="single" w:color="auto" w:sz="18" w:space="0"/>
              <w:left w:val="single" w:color="auto" w:sz="18" w:space="0"/>
              <w:bottom w:val="single" w:color="auto" w:sz="18" w:space="0"/>
              <w:right w:val="single" w:color="auto" w:sz="18" w:space="0"/>
            </w:tcBorders>
            <w:vAlign w:val="center"/>
          </w:tcPr>
          <w:p w:rsidRPr="00A03B40" w:rsidR="00587B06" w:rsidP="002601C8" w:rsidRDefault="00587B06" w14:paraId="6072B20B" w14:textId="77777777">
            <w:pPr>
              <w:pStyle w:val="Standard"/>
              <w:keepNext/>
              <w:keepLines/>
              <w:spacing w:line="240" w:lineRule="auto"/>
              <w:ind w:firstLine="0"/>
              <w:jc w:val="center"/>
              <w:rPr>
                <w:b/>
                <w:bCs/>
                <w:sz w:val="20"/>
                <w:szCs w:val="20"/>
              </w:rPr>
            </w:pPr>
            <w:r w:rsidRPr="00A03B40">
              <w:rPr>
                <w:b/>
                <w:bCs/>
                <w:sz w:val="20"/>
                <w:szCs w:val="20"/>
              </w:rPr>
              <w:t>Description</w:t>
            </w:r>
          </w:p>
        </w:tc>
        <w:tc>
          <w:tcPr>
            <w:tcW w:w="1685" w:type="dxa"/>
            <w:tcBorders>
              <w:top w:val="single" w:color="auto" w:sz="18" w:space="0"/>
              <w:left w:val="single" w:color="auto" w:sz="18" w:space="0"/>
              <w:bottom w:val="single" w:color="auto" w:sz="18" w:space="0"/>
              <w:right w:val="single" w:color="auto" w:sz="18" w:space="0"/>
            </w:tcBorders>
            <w:vAlign w:val="center"/>
          </w:tcPr>
          <w:p w:rsidRPr="00A03B40" w:rsidR="00587B06" w:rsidP="002601C8" w:rsidRDefault="00587B06" w14:paraId="2B2530BB" w14:textId="77777777">
            <w:pPr>
              <w:pStyle w:val="Standard"/>
              <w:keepNext/>
              <w:keepLines/>
              <w:spacing w:line="240" w:lineRule="auto"/>
              <w:ind w:firstLine="0"/>
              <w:jc w:val="center"/>
              <w:rPr>
                <w:b/>
                <w:bCs/>
                <w:sz w:val="20"/>
                <w:szCs w:val="20"/>
              </w:rPr>
            </w:pPr>
            <w:r w:rsidRPr="00A03B40">
              <w:rPr>
                <w:b/>
                <w:bCs/>
                <w:sz w:val="20"/>
                <w:szCs w:val="20"/>
              </w:rPr>
              <w:t>Authorized Amount</w:t>
            </w:r>
          </w:p>
        </w:tc>
        <w:tc>
          <w:tcPr>
            <w:tcW w:w="1686" w:type="dxa"/>
            <w:tcBorders>
              <w:top w:val="single" w:color="auto" w:sz="18" w:space="0"/>
              <w:left w:val="single" w:color="auto" w:sz="18" w:space="0"/>
              <w:bottom w:val="single" w:color="auto" w:sz="18" w:space="0"/>
              <w:right w:val="single" w:color="auto" w:sz="18" w:space="0"/>
            </w:tcBorders>
            <w:vAlign w:val="center"/>
          </w:tcPr>
          <w:p w:rsidRPr="00A03B40" w:rsidR="00587B06" w:rsidP="002601C8" w:rsidRDefault="00587B06" w14:paraId="4CCB3C84" w14:textId="77777777">
            <w:pPr>
              <w:pStyle w:val="Standard"/>
              <w:keepNext/>
              <w:keepLines/>
              <w:spacing w:line="240" w:lineRule="auto"/>
              <w:ind w:firstLine="0"/>
              <w:jc w:val="center"/>
              <w:rPr>
                <w:b/>
                <w:bCs/>
                <w:sz w:val="20"/>
                <w:szCs w:val="20"/>
              </w:rPr>
            </w:pPr>
            <w:r w:rsidRPr="00A03B40">
              <w:rPr>
                <w:b/>
                <w:bCs/>
                <w:sz w:val="20"/>
                <w:szCs w:val="20"/>
              </w:rPr>
              <w:t>Amount in Current Rates</w:t>
            </w:r>
            <w:r w:rsidRPr="00A03B40">
              <w:rPr>
                <w:rStyle w:val="FootnoteReference"/>
              </w:rPr>
              <w:footnoteReference w:id="3"/>
            </w:r>
          </w:p>
        </w:tc>
        <w:tc>
          <w:tcPr>
            <w:tcW w:w="1686" w:type="dxa"/>
            <w:tcBorders>
              <w:top w:val="single" w:color="auto" w:sz="18" w:space="0"/>
              <w:left w:val="single" w:color="auto" w:sz="18" w:space="0"/>
              <w:bottom w:val="single" w:color="auto" w:sz="18" w:space="0"/>
              <w:right w:val="single" w:color="auto" w:sz="18" w:space="0"/>
            </w:tcBorders>
            <w:vAlign w:val="center"/>
          </w:tcPr>
          <w:p w:rsidRPr="00A03B40" w:rsidR="00587B06" w:rsidP="002601C8" w:rsidRDefault="00587B06" w14:paraId="2BDD71D7" w14:textId="77777777">
            <w:pPr>
              <w:pStyle w:val="Standard"/>
              <w:keepNext/>
              <w:keepLines/>
              <w:spacing w:line="240" w:lineRule="auto"/>
              <w:ind w:firstLine="0"/>
              <w:jc w:val="center"/>
              <w:rPr>
                <w:b/>
                <w:bCs/>
                <w:sz w:val="20"/>
                <w:szCs w:val="20"/>
              </w:rPr>
            </w:pPr>
            <w:r w:rsidRPr="00A03B40">
              <w:rPr>
                <w:b/>
                <w:bCs/>
                <w:sz w:val="20"/>
                <w:szCs w:val="20"/>
              </w:rPr>
              <w:t>Revenue Requirement Change</w:t>
            </w:r>
          </w:p>
        </w:tc>
      </w:tr>
      <w:tr w:rsidRPr="00A03B40" w:rsidR="00587B06" w:rsidTr="002601C8" w14:paraId="227F396A" w14:textId="77777777">
        <w:trPr>
          <w:trHeight w:val="447"/>
          <w:jc w:val="center"/>
        </w:trPr>
        <w:tc>
          <w:tcPr>
            <w:tcW w:w="3449" w:type="dxa"/>
            <w:tcBorders>
              <w:top w:val="single" w:color="auto" w:sz="18" w:space="0"/>
              <w:left w:val="single" w:color="auto" w:sz="18" w:space="0"/>
            </w:tcBorders>
            <w:vAlign w:val="center"/>
          </w:tcPr>
          <w:p w:rsidRPr="00A03B40" w:rsidR="00587B06" w:rsidP="002601C8" w:rsidRDefault="00587B06" w14:paraId="650DF65B" w14:textId="77777777">
            <w:pPr>
              <w:pStyle w:val="Standard"/>
              <w:keepNext/>
              <w:keepLines/>
              <w:spacing w:line="240" w:lineRule="auto"/>
              <w:ind w:firstLine="0"/>
              <w:rPr>
                <w:sz w:val="20"/>
                <w:szCs w:val="20"/>
              </w:rPr>
            </w:pPr>
            <w:r w:rsidRPr="00A03B40">
              <w:rPr>
                <w:sz w:val="20"/>
                <w:szCs w:val="20"/>
              </w:rPr>
              <w:t>2026 Forecast Fuel and Purchased Power</w:t>
            </w:r>
          </w:p>
        </w:tc>
        <w:tc>
          <w:tcPr>
            <w:tcW w:w="1685" w:type="dxa"/>
            <w:tcBorders>
              <w:top w:val="single" w:color="auto" w:sz="18" w:space="0"/>
            </w:tcBorders>
            <w:vAlign w:val="center"/>
          </w:tcPr>
          <w:p w:rsidRPr="00A03B40" w:rsidR="00587B06" w:rsidP="002601C8" w:rsidRDefault="00587B06" w14:paraId="63B0E383" w14:textId="77777777">
            <w:pPr>
              <w:pStyle w:val="Standard"/>
              <w:keepNext/>
              <w:keepLines/>
              <w:spacing w:line="240" w:lineRule="auto"/>
              <w:ind w:firstLine="0"/>
              <w:jc w:val="right"/>
              <w:rPr>
                <w:sz w:val="20"/>
                <w:szCs w:val="20"/>
              </w:rPr>
            </w:pPr>
            <w:r w:rsidRPr="00A03B40">
              <w:rPr>
                <w:rFonts w:cs="Calibri"/>
                <w:color w:val="000000"/>
                <w:sz w:val="20"/>
                <w:szCs w:val="20"/>
              </w:rPr>
              <w:t xml:space="preserve"> $4,723,179 </w:t>
            </w:r>
          </w:p>
        </w:tc>
        <w:tc>
          <w:tcPr>
            <w:tcW w:w="1686" w:type="dxa"/>
            <w:tcBorders>
              <w:top w:val="single" w:color="auto" w:sz="18" w:space="0"/>
            </w:tcBorders>
            <w:vAlign w:val="center"/>
          </w:tcPr>
          <w:p w:rsidRPr="00A03B40" w:rsidR="00587B06" w:rsidP="002601C8" w:rsidRDefault="00587B06" w14:paraId="14150C5B" w14:textId="77777777">
            <w:pPr>
              <w:pStyle w:val="Standard"/>
              <w:keepNext/>
              <w:keepLines/>
              <w:spacing w:line="240" w:lineRule="auto"/>
              <w:ind w:firstLine="0"/>
              <w:jc w:val="right"/>
              <w:rPr>
                <w:sz w:val="20"/>
                <w:szCs w:val="20"/>
              </w:rPr>
            </w:pPr>
            <w:r w:rsidRPr="00A03B40">
              <w:rPr>
                <w:rFonts w:cs="Calibri"/>
                <w:color w:val="000000"/>
                <w:sz w:val="20"/>
                <w:szCs w:val="20"/>
              </w:rPr>
              <w:t xml:space="preserve"> $4,538,709 </w:t>
            </w:r>
          </w:p>
        </w:tc>
        <w:tc>
          <w:tcPr>
            <w:tcW w:w="1686" w:type="dxa"/>
            <w:tcBorders>
              <w:top w:val="single" w:color="auto" w:sz="18" w:space="0"/>
              <w:right w:val="single" w:color="auto" w:sz="18" w:space="0"/>
            </w:tcBorders>
            <w:vAlign w:val="center"/>
          </w:tcPr>
          <w:p w:rsidRPr="00A03B40" w:rsidR="00587B06" w:rsidP="002601C8" w:rsidRDefault="00587B06" w14:paraId="0687CAE4" w14:textId="77777777">
            <w:pPr>
              <w:pStyle w:val="Standard"/>
              <w:keepNext/>
              <w:keepLines/>
              <w:spacing w:line="240" w:lineRule="auto"/>
              <w:ind w:firstLine="0"/>
              <w:jc w:val="right"/>
              <w:rPr>
                <w:sz w:val="20"/>
                <w:szCs w:val="20"/>
              </w:rPr>
            </w:pPr>
            <w:r w:rsidRPr="00A03B40">
              <w:rPr>
                <w:rFonts w:cs="Calibri"/>
                <w:color w:val="000000"/>
                <w:sz w:val="20"/>
                <w:szCs w:val="20"/>
              </w:rPr>
              <w:t xml:space="preserve"> $184,470 </w:t>
            </w:r>
          </w:p>
        </w:tc>
      </w:tr>
      <w:tr w:rsidRPr="00A03B40" w:rsidR="00587B06" w:rsidTr="002601C8" w14:paraId="3EA7B9D3" w14:textId="77777777">
        <w:trPr>
          <w:trHeight w:val="447"/>
          <w:jc w:val="center"/>
        </w:trPr>
        <w:tc>
          <w:tcPr>
            <w:tcW w:w="3449" w:type="dxa"/>
            <w:tcBorders>
              <w:left w:val="single" w:color="auto" w:sz="18" w:space="0"/>
            </w:tcBorders>
            <w:vAlign w:val="center"/>
          </w:tcPr>
          <w:p w:rsidRPr="00A03B40" w:rsidR="00587B06" w:rsidP="002601C8" w:rsidRDefault="00587B06" w14:paraId="05CA4DE9" w14:textId="77777777">
            <w:pPr>
              <w:pStyle w:val="Standard"/>
              <w:spacing w:line="240" w:lineRule="auto"/>
              <w:ind w:firstLine="0"/>
              <w:rPr>
                <w:sz w:val="20"/>
                <w:szCs w:val="20"/>
              </w:rPr>
            </w:pPr>
            <w:r w:rsidRPr="00A03B40">
              <w:rPr>
                <w:sz w:val="20"/>
                <w:szCs w:val="20"/>
              </w:rPr>
              <w:t>Year-End 2025 ERRA Balancing Account (BA)</w:t>
            </w:r>
          </w:p>
        </w:tc>
        <w:tc>
          <w:tcPr>
            <w:tcW w:w="1685" w:type="dxa"/>
            <w:vAlign w:val="center"/>
          </w:tcPr>
          <w:p w:rsidRPr="00A03B40" w:rsidR="00587B06" w:rsidP="002601C8" w:rsidRDefault="00587B06" w14:paraId="3D1B922D" w14:textId="77777777">
            <w:pPr>
              <w:pStyle w:val="Standard"/>
              <w:spacing w:line="240" w:lineRule="auto"/>
              <w:ind w:firstLine="0"/>
              <w:contextualSpacing/>
              <w:jc w:val="right"/>
              <w:rPr>
                <w:sz w:val="20"/>
                <w:szCs w:val="20"/>
              </w:rPr>
            </w:pPr>
            <w:r w:rsidRPr="00A03B40">
              <w:rPr>
                <w:rFonts w:cs="Calibri"/>
                <w:color w:val="000000"/>
                <w:sz w:val="20"/>
                <w:szCs w:val="20"/>
              </w:rPr>
              <w:t xml:space="preserve"> $(898,645)</w:t>
            </w:r>
          </w:p>
        </w:tc>
        <w:tc>
          <w:tcPr>
            <w:tcW w:w="1686" w:type="dxa"/>
            <w:vAlign w:val="center"/>
          </w:tcPr>
          <w:p w:rsidRPr="00A03B40" w:rsidR="00587B06" w:rsidP="002601C8" w:rsidRDefault="00587B06" w14:paraId="65C39A78" w14:textId="77777777">
            <w:pPr>
              <w:pStyle w:val="Standard"/>
              <w:spacing w:line="240" w:lineRule="auto"/>
              <w:ind w:firstLine="0"/>
              <w:jc w:val="right"/>
              <w:rPr>
                <w:sz w:val="20"/>
                <w:szCs w:val="20"/>
              </w:rPr>
            </w:pPr>
            <w:r w:rsidRPr="00A03B40">
              <w:rPr>
                <w:rFonts w:cs="Calibri"/>
                <w:color w:val="000000"/>
                <w:sz w:val="20"/>
                <w:szCs w:val="20"/>
              </w:rPr>
              <w:t xml:space="preserve"> $(276,313)</w:t>
            </w:r>
          </w:p>
        </w:tc>
        <w:tc>
          <w:tcPr>
            <w:tcW w:w="1686" w:type="dxa"/>
            <w:tcBorders>
              <w:right w:val="single" w:color="auto" w:sz="18" w:space="0"/>
            </w:tcBorders>
            <w:vAlign w:val="center"/>
          </w:tcPr>
          <w:p w:rsidRPr="00A03B40" w:rsidR="00587B06" w:rsidP="002601C8" w:rsidRDefault="00587B06" w14:paraId="1C09CA6F" w14:textId="77777777">
            <w:pPr>
              <w:pStyle w:val="Standard"/>
              <w:spacing w:line="240" w:lineRule="auto"/>
              <w:ind w:firstLine="0"/>
              <w:jc w:val="right"/>
              <w:rPr>
                <w:sz w:val="20"/>
                <w:szCs w:val="20"/>
              </w:rPr>
            </w:pPr>
            <w:r w:rsidRPr="00A03B40">
              <w:rPr>
                <w:rFonts w:cs="Calibri"/>
                <w:color w:val="000000"/>
                <w:sz w:val="20"/>
                <w:szCs w:val="20"/>
              </w:rPr>
              <w:t xml:space="preserve"> $</w:t>
            </w:r>
            <w:r>
              <w:rPr>
                <w:rFonts w:cs="Calibri"/>
                <w:color w:val="000000"/>
                <w:sz w:val="20"/>
                <w:szCs w:val="20"/>
              </w:rPr>
              <w:t>(</w:t>
            </w:r>
            <w:r w:rsidRPr="00A03B40">
              <w:rPr>
                <w:rFonts w:cs="Calibri"/>
                <w:color w:val="000000"/>
                <w:sz w:val="20"/>
                <w:szCs w:val="20"/>
              </w:rPr>
              <w:t>622,331)</w:t>
            </w:r>
          </w:p>
        </w:tc>
      </w:tr>
      <w:tr w:rsidRPr="00A03B40" w:rsidR="00587B06" w:rsidTr="002601C8" w14:paraId="26BAB844" w14:textId="77777777">
        <w:trPr>
          <w:trHeight w:val="447"/>
          <w:jc w:val="center"/>
        </w:trPr>
        <w:tc>
          <w:tcPr>
            <w:tcW w:w="3449" w:type="dxa"/>
            <w:tcBorders>
              <w:left w:val="single" w:color="auto" w:sz="18" w:space="0"/>
            </w:tcBorders>
            <w:vAlign w:val="center"/>
          </w:tcPr>
          <w:p w:rsidRPr="00A03B40" w:rsidR="00587B06" w:rsidP="002601C8" w:rsidRDefault="00587B06" w14:paraId="4390A1A7" w14:textId="77777777">
            <w:pPr>
              <w:pStyle w:val="Standard"/>
              <w:spacing w:line="240" w:lineRule="auto"/>
              <w:ind w:firstLine="0"/>
              <w:rPr>
                <w:sz w:val="20"/>
                <w:szCs w:val="20"/>
              </w:rPr>
            </w:pPr>
            <w:r w:rsidRPr="00A03B40">
              <w:rPr>
                <w:sz w:val="20"/>
                <w:szCs w:val="20"/>
              </w:rPr>
              <w:t>Year-End 2025 Portfolio Allocation BA</w:t>
            </w:r>
          </w:p>
        </w:tc>
        <w:tc>
          <w:tcPr>
            <w:tcW w:w="1685" w:type="dxa"/>
            <w:vAlign w:val="center"/>
          </w:tcPr>
          <w:p w:rsidRPr="00A03B40" w:rsidR="00587B06" w:rsidP="002601C8" w:rsidRDefault="00587B06" w14:paraId="1E9660E2" w14:textId="77777777">
            <w:pPr>
              <w:pStyle w:val="Standard"/>
              <w:spacing w:line="240" w:lineRule="auto"/>
              <w:ind w:firstLine="0"/>
              <w:jc w:val="right"/>
              <w:rPr>
                <w:sz w:val="20"/>
                <w:szCs w:val="20"/>
              </w:rPr>
            </w:pPr>
            <w:r w:rsidRPr="00A03B40">
              <w:rPr>
                <w:rFonts w:cs="Calibri"/>
                <w:color w:val="000000"/>
                <w:sz w:val="20"/>
                <w:szCs w:val="20"/>
              </w:rPr>
              <w:t xml:space="preserve"> $1,318,350 </w:t>
            </w:r>
          </w:p>
        </w:tc>
        <w:tc>
          <w:tcPr>
            <w:tcW w:w="1686" w:type="dxa"/>
            <w:vAlign w:val="center"/>
          </w:tcPr>
          <w:p w:rsidRPr="00A03B40" w:rsidR="00587B06" w:rsidP="002601C8" w:rsidRDefault="00587B06" w14:paraId="0A0F7015" w14:textId="77777777">
            <w:pPr>
              <w:pStyle w:val="Standard"/>
              <w:spacing w:line="240" w:lineRule="auto"/>
              <w:ind w:firstLine="0"/>
              <w:jc w:val="right"/>
              <w:rPr>
                <w:sz w:val="20"/>
                <w:szCs w:val="20"/>
              </w:rPr>
            </w:pPr>
            <w:r w:rsidRPr="00A03B40">
              <w:rPr>
                <w:rFonts w:cs="Calibri"/>
                <w:color w:val="000000"/>
                <w:sz w:val="20"/>
                <w:szCs w:val="20"/>
              </w:rPr>
              <w:t xml:space="preserve"> $740,627 </w:t>
            </w:r>
          </w:p>
        </w:tc>
        <w:tc>
          <w:tcPr>
            <w:tcW w:w="1686" w:type="dxa"/>
            <w:tcBorders>
              <w:right w:val="single" w:color="auto" w:sz="18" w:space="0"/>
            </w:tcBorders>
            <w:vAlign w:val="center"/>
          </w:tcPr>
          <w:p w:rsidRPr="00A03B40" w:rsidR="00587B06" w:rsidP="002601C8" w:rsidRDefault="00587B06" w14:paraId="0D4B8F07" w14:textId="77777777">
            <w:pPr>
              <w:pStyle w:val="Standard"/>
              <w:spacing w:line="240" w:lineRule="auto"/>
              <w:ind w:firstLine="0"/>
              <w:jc w:val="right"/>
              <w:rPr>
                <w:sz w:val="20"/>
                <w:szCs w:val="20"/>
              </w:rPr>
            </w:pPr>
            <w:r w:rsidRPr="00A03B40">
              <w:rPr>
                <w:rFonts w:cs="Calibri"/>
                <w:color w:val="000000"/>
                <w:sz w:val="20"/>
                <w:szCs w:val="20"/>
              </w:rPr>
              <w:t xml:space="preserve"> $577,723 </w:t>
            </w:r>
          </w:p>
        </w:tc>
      </w:tr>
      <w:tr w:rsidRPr="00A03B40" w:rsidR="00587B06" w:rsidTr="002601C8" w14:paraId="1207A816" w14:textId="77777777">
        <w:trPr>
          <w:trHeight w:val="447"/>
          <w:jc w:val="center"/>
        </w:trPr>
        <w:tc>
          <w:tcPr>
            <w:tcW w:w="3449" w:type="dxa"/>
            <w:tcBorders>
              <w:left w:val="single" w:color="auto" w:sz="18" w:space="0"/>
            </w:tcBorders>
            <w:vAlign w:val="center"/>
          </w:tcPr>
          <w:p w:rsidRPr="00A03B40" w:rsidR="00587B06" w:rsidP="002601C8" w:rsidRDefault="00587B06" w14:paraId="643BCF6F" w14:textId="77777777">
            <w:pPr>
              <w:pStyle w:val="Standard"/>
              <w:spacing w:line="240" w:lineRule="auto"/>
              <w:ind w:firstLine="0"/>
              <w:rPr>
                <w:sz w:val="20"/>
                <w:szCs w:val="20"/>
              </w:rPr>
            </w:pPr>
            <w:r w:rsidRPr="00A03B40">
              <w:rPr>
                <w:sz w:val="20"/>
                <w:szCs w:val="20"/>
              </w:rPr>
              <w:t xml:space="preserve">Year-End 2025 Energy Settlements Memorandum Account </w:t>
            </w:r>
          </w:p>
        </w:tc>
        <w:tc>
          <w:tcPr>
            <w:tcW w:w="1685" w:type="dxa"/>
            <w:vAlign w:val="center"/>
          </w:tcPr>
          <w:p w:rsidRPr="00A03B40" w:rsidR="00587B06" w:rsidP="002601C8" w:rsidRDefault="00587B06" w14:paraId="6591C125" w14:textId="77777777">
            <w:pPr>
              <w:pStyle w:val="Standard"/>
              <w:spacing w:line="240" w:lineRule="auto"/>
              <w:ind w:firstLine="0"/>
              <w:jc w:val="right"/>
              <w:rPr>
                <w:sz w:val="20"/>
                <w:szCs w:val="20"/>
              </w:rPr>
            </w:pPr>
            <w:r w:rsidRPr="00A03B40">
              <w:rPr>
                <w:rFonts w:cs="Calibri"/>
                <w:color w:val="000000"/>
                <w:sz w:val="20"/>
                <w:szCs w:val="20"/>
              </w:rPr>
              <w:t xml:space="preserve"> $1,314 </w:t>
            </w:r>
          </w:p>
        </w:tc>
        <w:tc>
          <w:tcPr>
            <w:tcW w:w="1686" w:type="dxa"/>
            <w:vAlign w:val="center"/>
          </w:tcPr>
          <w:p w:rsidRPr="00A03B40" w:rsidR="00587B06" w:rsidP="002601C8" w:rsidRDefault="00587B06" w14:paraId="23AB90E5" w14:textId="77777777">
            <w:pPr>
              <w:pStyle w:val="Standard"/>
              <w:spacing w:line="240" w:lineRule="auto"/>
              <w:ind w:firstLine="0"/>
              <w:jc w:val="right"/>
              <w:rPr>
                <w:sz w:val="20"/>
                <w:szCs w:val="20"/>
              </w:rPr>
            </w:pPr>
            <w:r w:rsidRPr="00A03B40">
              <w:rPr>
                <w:rFonts w:cs="Calibri"/>
                <w:color w:val="000000"/>
                <w:sz w:val="20"/>
                <w:szCs w:val="20"/>
              </w:rPr>
              <w:t xml:space="preserve"> $(294)</w:t>
            </w:r>
          </w:p>
        </w:tc>
        <w:tc>
          <w:tcPr>
            <w:tcW w:w="1686" w:type="dxa"/>
            <w:tcBorders>
              <w:right w:val="single" w:color="auto" w:sz="18" w:space="0"/>
            </w:tcBorders>
            <w:vAlign w:val="center"/>
          </w:tcPr>
          <w:p w:rsidRPr="00A03B40" w:rsidR="00587B06" w:rsidP="002601C8" w:rsidRDefault="00587B06" w14:paraId="07E25C9D" w14:textId="77777777">
            <w:pPr>
              <w:pStyle w:val="Standard"/>
              <w:spacing w:line="240" w:lineRule="auto"/>
              <w:ind w:firstLine="0"/>
              <w:jc w:val="right"/>
              <w:rPr>
                <w:sz w:val="20"/>
                <w:szCs w:val="20"/>
              </w:rPr>
            </w:pPr>
            <w:r w:rsidRPr="00A03B40">
              <w:rPr>
                <w:rFonts w:cs="Calibri"/>
                <w:color w:val="000000"/>
                <w:sz w:val="20"/>
                <w:szCs w:val="20"/>
              </w:rPr>
              <w:t xml:space="preserve"> $1,608 </w:t>
            </w:r>
          </w:p>
        </w:tc>
      </w:tr>
      <w:tr w:rsidRPr="00A03B40" w:rsidR="00587B06" w:rsidTr="002601C8" w14:paraId="0D29AD31" w14:textId="77777777">
        <w:trPr>
          <w:trHeight w:val="447"/>
          <w:jc w:val="center"/>
        </w:trPr>
        <w:tc>
          <w:tcPr>
            <w:tcW w:w="3449" w:type="dxa"/>
            <w:tcBorders>
              <w:left w:val="single" w:color="auto" w:sz="18" w:space="0"/>
            </w:tcBorders>
            <w:vAlign w:val="center"/>
          </w:tcPr>
          <w:p w:rsidRPr="00A03B40" w:rsidR="00587B06" w:rsidP="002601C8" w:rsidRDefault="00587B06" w14:paraId="4AC81E8C" w14:textId="77777777">
            <w:pPr>
              <w:pStyle w:val="Standard"/>
              <w:spacing w:line="240" w:lineRule="auto"/>
              <w:ind w:firstLine="0"/>
              <w:rPr>
                <w:sz w:val="20"/>
                <w:szCs w:val="20"/>
              </w:rPr>
            </w:pPr>
            <w:r w:rsidRPr="00A03B40">
              <w:rPr>
                <w:sz w:val="20"/>
                <w:szCs w:val="20"/>
              </w:rPr>
              <w:t>Year-End 2025 New System Generation BA</w:t>
            </w:r>
          </w:p>
        </w:tc>
        <w:tc>
          <w:tcPr>
            <w:tcW w:w="1685" w:type="dxa"/>
            <w:vAlign w:val="center"/>
          </w:tcPr>
          <w:p w:rsidRPr="00A03B40" w:rsidR="00587B06" w:rsidP="002601C8" w:rsidRDefault="00587B06" w14:paraId="7A48B06E" w14:textId="77777777">
            <w:pPr>
              <w:pStyle w:val="Standard"/>
              <w:spacing w:line="240" w:lineRule="auto"/>
              <w:ind w:firstLine="0"/>
              <w:jc w:val="right"/>
              <w:rPr>
                <w:sz w:val="20"/>
                <w:szCs w:val="20"/>
              </w:rPr>
            </w:pPr>
            <w:r w:rsidRPr="00A03B40">
              <w:rPr>
                <w:rFonts w:cs="Calibri"/>
                <w:color w:val="000000"/>
                <w:sz w:val="20"/>
                <w:szCs w:val="20"/>
              </w:rPr>
              <w:t xml:space="preserve"> $(24,718)</w:t>
            </w:r>
          </w:p>
        </w:tc>
        <w:tc>
          <w:tcPr>
            <w:tcW w:w="1686" w:type="dxa"/>
            <w:vAlign w:val="center"/>
          </w:tcPr>
          <w:p w:rsidRPr="00A03B40" w:rsidR="00587B06" w:rsidP="002601C8" w:rsidRDefault="00587B06" w14:paraId="51A5686B" w14:textId="77777777">
            <w:pPr>
              <w:pStyle w:val="Standard"/>
              <w:spacing w:line="240" w:lineRule="auto"/>
              <w:ind w:firstLine="0"/>
              <w:jc w:val="right"/>
              <w:rPr>
                <w:sz w:val="20"/>
                <w:szCs w:val="20"/>
              </w:rPr>
            </w:pPr>
            <w:r w:rsidRPr="00A03B40">
              <w:rPr>
                <w:rFonts w:cs="Calibri"/>
                <w:color w:val="000000"/>
                <w:sz w:val="20"/>
                <w:szCs w:val="20"/>
              </w:rPr>
              <w:t xml:space="preserve"> $78,024 </w:t>
            </w:r>
          </w:p>
        </w:tc>
        <w:tc>
          <w:tcPr>
            <w:tcW w:w="1686" w:type="dxa"/>
            <w:tcBorders>
              <w:right w:val="single" w:color="auto" w:sz="18" w:space="0"/>
            </w:tcBorders>
            <w:vAlign w:val="center"/>
          </w:tcPr>
          <w:p w:rsidRPr="00A03B40" w:rsidR="00587B06" w:rsidP="002601C8" w:rsidRDefault="00587B06" w14:paraId="51A39F78" w14:textId="77777777">
            <w:pPr>
              <w:pStyle w:val="Standard"/>
              <w:spacing w:line="240" w:lineRule="auto"/>
              <w:ind w:firstLine="0"/>
              <w:jc w:val="right"/>
              <w:rPr>
                <w:sz w:val="20"/>
                <w:szCs w:val="20"/>
              </w:rPr>
            </w:pPr>
            <w:r w:rsidRPr="00A03B40">
              <w:rPr>
                <w:rFonts w:cs="Calibri"/>
                <w:color w:val="000000"/>
                <w:sz w:val="20"/>
                <w:szCs w:val="20"/>
              </w:rPr>
              <w:t xml:space="preserve"> $(102,742)</w:t>
            </w:r>
          </w:p>
        </w:tc>
      </w:tr>
      <w:tr w:rsidRPr="00A03B40" w:rsidR="00587B06" w:rsidTr="002601C8" w14:paraId="39E7FCDA" w14:textId="77777777">
        <w:trPr>
          <w:trHeight w:val="447"/>
          <w:jc w:val="center"/>
        </w:trPr>
        <w:tc>
          <w:tcPr>
            <w:tcW w:w="3449" w:type="dxa"/>
            <w:tcBorders>
              <w:left w:val="single" w:color="auto" w:sz="18" w:space="0"/>
            </w:tcBorders>
            <w:vAlign w:val="center"/>
          </w:tcPr>
          <w:p w:rsidRPr="00A03B40" w:rsidR="00587B06" w:rsidP="002601C8" w:rsidRDefault="00587B06" w14:paraId="12E5E82D" w14:textId="77777777">
            <w:pPr>
              <w:pStyle w:val="Standard"/>
              <w:spacing w:line="240" w:lineRule="auto"/>
              <w:ind w:firstLine="0"/>
              <w:rPr>
                <w:sz w:val="20"/>
                <w:szCs w:val="20"/>
              </w:rPr>
            </w:pPr>
            <w:r w:rsidRPr="00A03B40">
              <w:rPr>
                <w:sz w:val="20"/>
                <w:szCs w:val="20"/>
              </w:rPr>
              <w:t>Year-End 2025 Modified Cost Allocation BA</w:t>
            </w:r>
          </w:p>
        </w:tc>
        <w:tc>
          <w:tcPr>
            <w:tcW w:w="1685" w:type="dxa"/>
            <w:vAlign w:val="center"/>
          </w:tcPr>
          <w:p w:rsidRPr="00A03B40" w:rsidR="00587B06" w:rsidP="002601C8" w:rsidRDefault="00587B06" w14:paraId="1908C2BE" w14:textId="77777777">
            <w:pPr>
              <w:pStyle w:val="Standard"/>
              <w:spacing w:line="240" w:lineRule="auto"/>
              <w:ind w:firstLine="0"/>
              <w:jc w:val="right"/>
              <w:rPr>
                <w:sz w:val="20"/>
                <w:szCs w:val="20"/>
              </w:rPr>
            </w:pPr>
            <w:r w:rsidRPr="00A03B40">
              <w:rPr>
                <w:rFonts w:cs="Calibri"/>
                <w:color w:val="000000"/>
                <w:sz w:val="20"/>
                <w:szCs w:val="20"/>
              </w:rPr>
              <w:t xml:space="preserve"> $2,522 </w:t>
            </w:r>
          </w:p>
        </w:tc>
        <w:tc>
          <w:tcPr>
            <w:tcW w:w="1686" w:type="dxa"/>
            <w:vAlign w:val="center"/>
          </w:tcPr>
          <w:p w:rsidRPr="00A03B40" w:rsidR="00587B06" w:rsidP="002601C8" w:rsidRDefault="00587B06" w14:paraId="0023B5F0" w14:textId="77777777">
            <w:pPr>
              <w:pStyle w:val="Standard"/>
              <w:spacing w:line="240" w:lineRule="auto"/>
              <w:ind w:firstLine="0"/>
              <w:jc w:val="right"/>
              <w:rPr>
                <w:sz w:val="20"/>
                <w:szCs w:val="20"/>
              </w:rPr>
            </w:pPr>
            <w:r w:rsidRPr="00A03B40">
              <w:rPr>
                <w:rFonts w:cs="Calibri"/>
                <w:color w:val="000000"/>
                <w:sz w:val="20"/>
                <w:szCs w:val="20"/>
              </w:rPr>
              <w:t xml:space="preserve"> $3,151 </w:t>
            </w:r>
          </w:p>
        </w:tc>
        <w:tc>
          <w:tcPr>
            <w:tcW w:w="1686" w:type="dxa"/>
            <w:tcBorders>
              <w:right w:val="single" w:color="auto" w:sz="18" w:space="0"/>
            </w:tcBorders>
            <w:vAlign w:val="center"/>
          </w:tcPr>
          <w:p w:rsidRPr="00A03B40" w:rsidR="00587B06" w:rsidP="002601C8" w:rsidRDefault="00587B06" w14:paraId="75077387" w14:textId="77777777">
            <w:pPr>
              <w:pStyle w:val="Standard"/>
              <w:spacing w:line="240" w:lineRule="auto"/>
              <w:ind w:firstLine="0"/>
              <w:jc w:val="right"/>
              <w:rPr>
                <w:sz w:val="20"/>
                <w:szCs w:val="20"/>
              </w:rPr>
            </w:pPr>
            <w:r w:rsidRPr="00A03B40">
              <w:rPr>
                <w:rFonts w:cs="Calibri"/>
                <w:color w:val="000000"/>
                <w:sz w:val="20"/>
                <w:szCs w:val="20"/>
              </w:rPr>
              <w:t xml:space="preserve"> $(628)</w:t>
            </w:r>
          </w:p>
        </w:tc>
      </w:tr>
      <w:tr w:rsidRPr="00A03B40" w:rsidR="00587B06" w:rsidTr="002601C8" w14:paraId="0320BA28" w14:textId="77777777">
        <w:trPr>
          <w:trHeight w:val="447"/>
          <w:jc w:val="center"/>
        </w:trPr>
        <w:tc>
          <w:tcPr>
            <w:tcW w:w="3449" w:type="dxa"/>
            <w:tcBorders>
              <w:left w:val="single" w:color="auto" w:sz="18" w:space="0"/>
            </w:tcBorders>
            <w:vAlign w:val="center"/>
          </w:tcPr>
          <w:p w:rsidRPr="00A03B40" w:rsidR="00587B06" w:rsidP="002601C8" w:rsidRDefault="00587B06" w14:paraId="13DC1456" w14:textId="77777777">
            <w:pPr>
              <w:pStyle w:val="Standard"/>
              <w:spacing w:line="240" w:lineRule="auto"/>
              <w:ind w:firstLine="0"/>
              <w:rPr>
                <w:sz w:val="20"/>
                <w:szCs w:val="20"/>
              </w:rPr>
            </w:pPr>
            <w:r w:rsidRPr="00A03B40">
              <w:rPr>
                <w:sz w:val="20"/>
                <w:szCs w:val="20"/>
              </w:rPr>
              <w:t>Year-End 2025 Tree Mortality Non-</w:t>
            </w:r>
            <w:proofErr w:type="spellStart"/>
            <w:r w:rsidRPr="00A03B40">
              <w:rPr>
                <w:sz w:val="20"/>
                <w:szCs w:val="20"/>
              </w:rPr>
              <w:t>Bypassable</w:t>
            </w:r>
            <w:proofErr w:type="spellEnd"/>
            <w:r w:rsidRPr="00A03B40">
              <w:rPr>
                <w:sz w:val="20"/>
                <w:szCs w:val="20"/>
              </w:rPr>
              <w:t xml:space="preserve"> Charge (NBC) BA</w:t>
            </w:r>
          </w:p>
        </w:tc>
        <w:tc>
          <w:tcPr>
            <w:tcW w:w="1685" w:type="dxa"/>
            <w:vAlign w:val="center"/>
          </w:tcPr>
          <w:p w:rsidRPr="00A03B40" w:rsidR="00587B06" w:rsidP="002601C8" w:rsidRDefault="00587B06" w14:paraId="7D04D23F" w14:textId="77777777">
            <w:pPr>
              <w:pStyle w:val="Standard"/>
              <w:spacing w:line="240" w:lineRule="auto"/>
              <w:ind w:firstLine="0"/>
              <w:jc w:val="right"/>
              <w:rPr>
                <w:sz w:val="20"/>
                <w:szCs w:val="20"/>
              </w:rPr>
            </w:pPr>
            <w:r w:rsidRPr="00A03B40">
              <w:rPr>
                <w:rFonts w:cs="Calibri"/>
                <w:color w:val="000000"/>
                <w:sz w:val="20"/>
                <w:szCs w:val="20"/>
              </w:rPr>
              <w:t xml:space="preserve"> $14,240 </w:t>
            </w:r>
          </w:p>
        </w:tc>
        <w:tc>
          <w:tcPr>
            <w:tcW w:w="1686" w:type="dxa"/>
            <w:vAlign w:val="center"/>
          </w:tcPr>
          <w:p w:rsidRPr="00A03B40" w:rsidR="00587B06" w:rsidP="002601C8" w:rsidRDefault="00587B06" w14:paraId="3D02C521" w14:textId="77777777">
            <w:pPr>
              <w:pStyle w:val="Standard"/>
              <w:spacing w:line="240" w:lineRule="auto"/>
              <w:ind w:firstLine="0"/>
              <w:jc w:val="right"/>
              <w:rPr>
                <w:sz w:val="20"/>
                <w:szCs w:val="20"/>
              </w:rPr>
            </w:pPr>
            <w:r w:rsidRPr="00A03B40">
              <w:rPr>
                <w:rFonts w:cs="Calibri"/>
                <w:color w:val="000000"/>
                <w:sz w:val="20"/>
                <w:szCs w:val="20"/>
              </w:rPr>
              <w:t xml:space="preserve"> $21,243 </w:t>
            </w:r>
          </w:p>
        </w:tc>
        <w:tc>
          <w:tcPr>
            <w:tcW w:w="1686" w:type="dxa"/>
            <w:tcBorders>
              <w:right w:val="single" w:color="auto" w:sz="18" w:space="0"/>
            </w:tcBorders>
            <w:vAlign w:val="center"/>
          </w:tcPr>
          <w:p w:rsidRPr="00A03B40" w:rsidR="00587B06" w:rsidP="002601C8" w:rsidRDefault="00587B06" w14:paraId="2E5161C6" w14:textId="77777777">
            <w:pPr>
              <w:pStyle w:val="Standard"/>
              <w:spacing w:line="240" w:lineRule="auto"/>
              <w:ind w:firstLine="0"/>
              <w:jc w:val="right"/>
              <w:rPr>
                <w:sz w:val="20"/>
                <w:szCs w:val="20"/>
              </w:rPr>
            </w:pPr>
            <w:r w:rsidRPr="00A03B40">
              <w:rPr>
                <w:rFonts w:cs="Calibri"/>
                <w:color w:val="000000"/>
                <w:sz w:val="20"/>
                <w:szCs w:val="20"/>
              </w:rPr>
              <w:t xml:space="preserve"> $7,003 </w:t>
            </w:r>
          </w:p>
        </w:tc>
      </w:tr>
      <w:tr w:rsidRPr="00A03B40" w:rsidR="00587B06" w:rsidTr="002601C8" w14:paraId="711FDF93" w14:textId="77777777">
        <w:trPr>
          <w:trHeight w:val="447"/>
          <w:jc w:val="center"/>
        </w:trPr>
        <w:tc>
          <w:tcPr>
            <w:tcW w:w="3449" w:type="dxa"/>
            <w:tcBorders>
              <w:left w:val="single" w:color="auto" w:sz="18" w:space="0"/>
              <w:bottom w:val="single" w:color="auto" w:sz="4" w:space="0"/>
            </w:tcBorders>
            <w:vAlign w:val="center"/>
          </w:tcPr>
          <w:p w:rsidRPr="00A03B40" w:rsidR="00587B06" w:rsidP="002601C8" w:rsidRDefault="00587B06" w14:paraId="1992401D" w14:textId="77777777">
            <w:pPr>
              <w:pStyle w:val="Standard"/>
              <w:spacing w:line="240" w:lineRule="auto"/>
              <w:ind w:firstLine="0"/>
              <w:rPr>
                <w:sz w:val="20"/>
                <w:szCs w:val="20"/>
              </w:rPr>
            </w:pPr>
            <w:r w:rsidRPr="00A03B40">
              <w:rPr>
                <w:sz w:val="20"/>
                <w:szCs w:val="20"/>
              </w:rPr>
              <w:t xml:space="preserve">Year-End 2025 </w:t>
            </w:r>
            <w:proofErr w:type="spellStart"/>
            <w:r w:rsidRPr="00A03B40">
              <w:rPr>
                <w:sz w:val="20"/>
                <w:szCs w:val="20"/>
              </w:rPr>
              <w:t>BioMAT</w:t>
            </w:r>
            <w:proofErr w:type="spellEnd"/>
            <w:r w:rsidRPr="00A03B40">
              <w:rPr>
                <w:sz w:val="20"/>
                <w:szCs w:val="20"/>
              </w:rPr>
              <w:t xml:space="preserve"> NBCBMA</w:t>
            </w:r>
          </w:p>
        </w:tc>
        <w:tc>
          <w:tcPr>
            <w:tcW w:w="1685" w:type="dxa"/>
            <w:tcBorders>
              <w:bottom w:val="single" w:color="auto" w:sz="4" w:space="0"/>
            </w:tcBorders>
            <w:vAlign w:val="center"/>
          </w:tcPr>
          <w:p w:rsidRPr="00A03B40" w:rsidR="00587B06" w:rsidP="002601C8" w:rsidRDefault="00587B06" w14:paraId="1AB25921" w14:textId="77777777">
            <w:pPr>
              <w:pStyle w:val="Standard"/>
              <w:spacing w:line="240" w:lineRule="auto"/>
              <w:ind w:firstLine="0"/>
              <w:jc w:val="right"/>
              <w:rPr>
                <w:sz w:val="20"/>
                <w:szCs w:val="20"/>
              </w:rPr>
            </w:pPr>
            <w:r w:rsidRPr="00A03B40">
              <w:rPr>
                <w:rFonts w:cs="Calibri"/>
                <w:color w:val="000000"/>
                <w:sz w:val="20"/>
                <w:szCs w:val="20"/>
              </w:rPr>
              <w:t xml:space="preserve"> $(3,764)</w:t>
            </w:r>
          </w:p>
        </w:tc>
        <w:tc>
          <w:tcPr>
            <w:tcW w:w="1686" w:type="dxa"/>
            <w:tcBorders>
              <w:bottom w:val="single" w:color="auto" w:sz="4" w:space="0"/>
            </w:tcBorders>
            <w:vAlign w:val="center"/>
          </w:tcPr>
          <w:p w:rsidRPr="00A03B40" w:rsidR="00587B06" w:rsidP="002601C8" w:rsidRDefault="00587B06" w14:paraId="47120122" w14:textId="77777777">
            <w:pPr>
              <w:pStyle w:val="Standard"/>
              <w:spacing w:line="240" w:lineRule="auto"/>
              <w:ind w:firstLine="0"/>
              <w:jc w:val="right"/>
              <w:rPr>
                <w:sz w:val="20"/>
                <w:szCs w:val="20"/>
              </w:rPr>
            </w:pPr>
            <w:r w:rsidRPr="00A03B40">
              <w:rPr>
                <w:rFonts w:cs="Calibri"/>
                <w:color w:val="000000"/>
                <w:sz w:val="20"/>
                <w:szCs w:val="20"/>
              </w:rPr>
              <w:t xml:space="preserve"> $(2,842)</w:t>
            </w:r>
          </w:p>
        </w:tc>
        <w:tc>
          <w:tcPr>
            <w:tcW w:w="1686" w:type="dxa"/>
            <w:tcBorders>
              <w:bottom w:val="single" w:color="auto" w:sz="4" w:space="0"/>
              <w:right w:val="single" w:color="auto" w:sz="18" w:space="0"/>
            </w:tcBorders>
            <w:vAlign w:val="center"/>
          </w:tcPr>
          <w:p w:rsidRPr="00A03B40" w:rsidR="00587B06" w:rsidP="002601C8" w:rsidRDefault="00587B06" w14:paraId="18C24D65" w14:textId="77777777">
            <w:pPr>
              <w:pStyle w:val="Standard"/>
              <w:spacing w:line="240" w:lineRule="auto"/>
              <w:ind w:firstLine="0"/>
              <w:jc w:val="right"/>
              <w:rPr>
                <w:sz w:val="20"/>
                <w:szCs w:val="20"/>
              </w:rPr>
            </w:pPr>
            <w:r w:rsidRPr="00A03B40">
              <w:rPr>
                <w:rFonts w:cs="Calibri"/>
                <w:color w:val="000000"/>
                <w:sz w:val="20"/>
                <w:szCs w:val="20"/>
              </w:rPr>
              <w:t xml:space="preserve"> $(921)</w:t>
            </w:r>
          </w:p>
        </w:tc>
      </w:tr>
      <w:tr w:rsidRPr="00A03B40" w:rsidR="00587B06" w:rsidTr="002601C8" w14:paraId="0F3A4A6C" w14:textId="77777777">
        <w:trPr>
          <w:trHeight w:val="447"/>
          <w:jc w:val="center"/>
        </w:trPr>
        <w:tc>
          <w:tcPr>
            <w:tcW w:w="3449" w:type="dxa"/>
            <w:tcBorders>
              <w:left w:val="single" w:color="auto" w:sz="18" w:space="0"/>
              <w:bottom w:val="single" w:color="auto" w:sz="18" w:space="0"/>
            </w:tcBorders>
            <w:vAlign w:val="center"/>
          </w:tcPr>
          <w:p w:rsidRPr="00A03B40" w:rsidR="00587B06" w:rsidP="002601C8" w:rsidRDefault="00587B06" w14:paraId="6ED0F9F8" w14:textId="77777777">
            <w:pPr>
              <w:pStyle w:val="Standard"/>
              <w:spacing w:line="240" w:lineRule="auto"/>
              <w:ind w:firstLine="0"/>
              <w:rPr>
                <w:sz w:val="20"/>
                <w:szCs w:val="20"/>
              </w:rPr>
            </w:pPr>
            <w:r w:rsidRPr="00A03B40">
              <w:rPr>
                <w:sz w:val="20"/>
                <w:szCs w:val="20"/>
              </w:rPr>
              <w:t>GHG Allowance Revenues</w:t>
            </w:r>
          </w:p>
        </w:tc>
        <w:tc>
          <w:tcPr>
            <w:tcW w:w="1685" w:type="dxa"/>
            <w:tcBorders>
              <w:bottom w:val="single" w:color="auto" w:sz="18" w:space="0"/>
            </w:tcBorders>
            <w:vAlign w:val="center"/>
          </w:tcPr>
          <w:p w:rsidRPr="00A03B40" w:rsidR="00587B06" w:rsidP="002601C8" w:rsidRDefault="00587B06" w14:paraId="62128AC4" w14:textId="77777777">
            <w:pPr>
              <w:pStyle w:val="Standard"/>
              <w:spacing w:line="240" w:lineRule="auto"/>
              <w:ind w:firstLine="0"/>
              <w:jc w:val="right"/>
              <w:rPr>
                <w:sz w:val="20"/>
                <w:szCs w:val="20"/>
              </w:rPr>
            </w:pPr>
            <w:r w:rsidRPr="00A03B40">
              <w:rPr>
                <w:rFonts w:cs="Calibri"/>
                <w:color w:val="000000"/>
                <w:sz w:val="20"/>
                <w:szCs w:val="20"/>
              </w:rPr>
              <w:t xml:space="preserve"> $(443,279)</w:t>
            </w:r>
          </w:p>
        </w:tc>
        <w:tc>
          <w:tcPr>
            <w:tcW w:w="1686" w:type="dxa"/>
            <w:tcBorders>
              <w:bottom w:val="single" w:color="auto" w:sz="18" w:space="0"/>
            </w:tcBorders>
            <w:vAlign w:val="center"/>
          </w:tcPr>
          <w:p w:rsidRPr="00A03B40" w:rsidR="00587B06" w:rsidP="002601C8" w:rsidRDefault="00587B06" w14:paraId="7C625BCA" w14:textId="77777777">
            <w:pPr>
              <w:pStyle w:val="Standard"/>
              <w:spacing w:line="240" w:lineRule="auto"/>
              <w:ind w:firstLine="0"/>
              <w:jc w:val="right"/>
              <w:rPr>
                <w:sz w:val="20"/>
                <w:szCs w:val="20"/>
              </w:rPr>
            </w:pPr>
            <w:r w:rsidRPr="00A03B40">
              <w:rPr>
                <w:rFonts w:cs="Calibri"/>
                <w:color w:val="000000"/>
                <w:sz w:val="20"/>
                <w:szCs w:val="20"/>
              </w:rPr>
              <w:t xml:space="preserve"> $(641,624)</w:t>
            </w:r>
          </w:p>
        </w:tc>
        <w:tc>
          <w:tcPr>
            <w:tcW w:w="1686" w:type="dxa"/>
            <w:tcBorders>
              <w:bottom w:val="single" w:color="auto" w:sz="18" w:space="0"/>
              <w:right w:val="single" w:color="auto" w:sz="18" w:space="0"/>
            </w:tcBorders>
            <w:vAlign w:val="center"/>
          </w:tcPr>
          <w:p w:rsidRPr="00A03B40" w:rsidR="00587B06" w:rsidP="002601C8" w:rsidRDefault="00587B06" w14:paraId="6468455F" w14:textId="77777777">
            <w:pPr>
              <w:pStyle w:val="Standard"/>
              <w:spacing w:line="240" w:lineRule="auto"/>
              <w:ind w:firstLine="0"/>
              <w:jc w:val="right"/>
              <w:rPr>
                <w:sz w:val="20"/>
                <w:szCs w:val="20"/>
              </w:rPr>
            </w:pPr>
            <w:r w:rsidRPr="00A03B40">
              <w:rPr>
                <w:rFonts w:cs="Calibri"/>
                <w:color w:val="000000"/>
                <w:sz w:val="20"/>
                <w:szCs w:val="20"/>
              </w:rPr>
              <w:t xml:space="preserve"> $198,345 </w:t>
            </w:r>
          </w:p>
        </w:tc>
      </w:tr>
      <w:tr w:rsidRPr="00A03B40" w:rsidR="00587B06" w:rsidTr="002601C8" w14:paraId="1F36CB8B" w14:textId="77777777">
        <w:trPr>
          <w:trHeight w:val="447"/>
          <w:jc w:val="center"/>
        </w:trPr>
        <w:tc>
          <w:tcPr>
            <w:tcW w:w="3449" w:type="dxa"/>
            <w:tcBorders>
              <w:top w:val="single" w:color="auto" w:sz="18" w:space="0"/>
              <w:left w:val="single" w:color="auto" w:sz="18" w:space="0"/>
              <w:bottom w:val="single" w:color="auto" w:sz="18" w:space="0"/>
            </w:tcBorders>
            <w:vAlign w:val="center"/>
          </w:tcPr>
          <w:p w:rsidRPr="00A03B40" w:rsidR="00587B06" w:rsidP="002601C8" w:rsidRDefault="00587B06" w14:paraId="4A45BCD8" w14:textId="77777777">
            <w:pPr>
              <w:pStyle w:val="Standard"/>
              <w:spacing w:line="240" w:lineRule="auto"/>
              <w:ind w:firstLine="0"/>
              <w:rPr>
                <w:b/>
                <w:bCs/>
                <w:spacing w:val="-10"/>
                <w:sz w:val="20"/>
                <w:szCs w:val="20"/>
              </w:rPr>
            </w:pPr>
            <w:r w:rsidRPr="00A03B40">
              <w:rPr>
                <w:b/>
                <w:bCs/>
                <w:spacing w:val="-10"/>
                <w:sz w:val="20"/>
                <w:szCs w:val="20"/>
              </w:rPr>
              <w:t>Total ERRA Forecast Revenue Requirement</w:t>
            </w:r>
          </w:p>
        </w:tc>
        <w:tc>
          <w:tcPr>
            <w:tcW w:w="1685" w:type="dxa"/>
            <w:tcBorders>
              <w:top w:val="single" w:color="auto" w:sz="18" w:space="0"/>
              <w:bottom w:val="single" w:color="auto" w:sz="18" w:space="0"/>
            </w:tcBorders>
            <w:vAlign w:val="center"/>
          </w:tcPr>
          <w:p w:rsidRPr="00A03B40" w:rsidR="00587B06" w:rsidP="002601C8" w:rsidRDefault="00587B06" w14:paraId="706A795E" w14:textId="77777777">
            <w:pPr>
              <w:pStyle w:val="Standard"/>
              <w:spacing w:line="240" w:lineRule="auto"/>
              <w:ind w:firstLine="0"/>
              <w:jc w:val="right"/>
              <w:rPr>
                <w:sz w:val="20"/>
                <w:szCs w:val="20"/>
              </w:rPr>
            </w:pPr>
            <w:r w:rsidRPr="00A03B40">
              <w:rPr>
                <w:rFonts w:cs="Calibri"/>
                <w:color w:val="000000"/>
                <w:sz w:val="20"/>
                <w:szCs w:val="20"/>
              </w:rPr>
              <w:t xml:space="preserve"> $4,689,200 </w:t>
            </w:r>
          </w:p>
        </w:tc>
        <w:tc>
          <w:tcPr>
            <w:tcW w:w="1686" w:type="dxa"/>
            <w:tcBorders>
              <w:top w:val="single" w:color="auto" w:sz="18" w:space="0"/>
              <w:bottom w:val="single" w:color="auto" w:sz="18" w:space="0"/>
            </w:tcBorders>
            <w:vAlign w:val="center"/>
          </w:tcPr>
          <w:p w:rsidRPr="00A03B40" w:rsidR="00587B06" w:rsidP="002601C8" w:rsidRDefault="00587B06" w14:paraId="3FBEEF41" w14:textId="77777777">
            <w:pPr>
              <w:pStyle w:val="Standard"/>
              <w:spacing w:line="240" w:lineRule="auto"/>
              <w:ind w:firstLine="0"/>
              <w:jc w:val="right"/>
              <w:rPr>
                <w:sz w:val="20"/>
                <w:szCs w:val="20"/>
              </w:rPr>
            </w:pPr>
            <w:r w:rsidRPr="00A03B40">
              <w:rPr>
                <w:rFonts w:cs="Calibri"/>
                <w:color w:val="000000"/>
                <w:sz w:val="20"/>
                <w:szCs w:val="20"/>
              </w:rPr>
              <w:t xml:space="preserve"> $4,460,681 </w:t>
            </w:r>
          </w:p>
        </w:tc>
        <w:tc>
          <w:tcPr>
            <w:tcW w:w="1686" w:type="dxa"/>
            <w:tcBorders>
              <w:top w:val="single" w:color="auto" w:sz="18" w:space="0"/>
              <w:bottom w:val="single" w:color="auto" w:sz="18" w:space="0"/>
              <w:right w:val="single" w:color="auto" w:sz="18" w:space="0"/>
            </w:tcBorders>
            <w:vAlign w:val="center"/>
          </w:tcPr>
          <w:p w:rsidRPr="00A03B40" w:rsidR="00587B06" w:rsidP="002601C8" w:rsidRDefault="00587B06" w14:paraId="1AED5DDE" w14:textId="77777777">
            <w:pPr>
              <w:pStyle w:val="Standard"/>
              <w:spacing w:line="240" w:lineRule="auto"/>
              <w:ind w:firstLine="0"/>
              <w:jc w:val="right"/>
              <w:rPr>
                <w:sz w:val="20"/>
                <w:szCs w:val="20"/>
              </w:rPr>
            </w:pPr>
            <w:r w:rsidRPr="00A03B40">
              <w:rPr>
                <w:rFonts w:cs="Calibri"/>
                <w:color w:val="000000"/>
                <w:sz w:val="20"/>
                <w:szCs w:val="20"/>
              </w:rPr>
              <w:t xml:space="preserve"> $228,520 </w:t>
            </w:r>
          </w:p>
        </w:tc>
      </w:tr>
    </w:tbl>
    <w:p w:rsidRPr="00A03B40" w:rsidR="009C59C0" w:rsidP="00F536D7" w:rsidRDefault="000A5BBF" w14:paraId="768EFD36" w14:textId="4F4BFBB3">
      <w:pPr>
        <w:pStyle w:val="Standard"/>
        <w:spacing w:before="120"/>
      </w:pPr>
      <w:r w:rsidRPr="00A03B40">
        <w:t>Application 25-05-008 is closed.</w:t>
      </w:r>
    </w:p>
    <w:p w:rsidRPr="00A03B40" w:rsidR="005A148C" w:rsidP="00F536D7" w:rsidRDefault="002C7FE9" w14:paraId="588958BB" w14:textId="0925CC09">
      <w:pPr>
        <w:pStyle w:val="Heading1"/>
      </w:pPr>
      <w:bookmarkStart w:name="_Toc8123715" w:id="3"/>
      <w:bookmarkStart w:name="_Toc214629846" w:id="4"/>
      <w:r w:rsidRPr="00A03B40">
        <w:t>Background</w:t>
      </w:r>
      <w:bookmarkEnd w:id="3"/>
      <w:bookmarkEnd w:id="4"/>
    </w:p>
    <w:p w:rsidRPr="00A03B40" w:rsidR="002C7FE9" w:rsidP="00AB2028" w:rsidRDefault="008C0E46" w14:paraId="281DE470" w14:textId="608AE922">
      <w:pPr>
        <w:pStyle w:val="Standard"/>
        <w:widowControl w:val="0"/>
        <w:contextualSpacing/>
      </w:pPr>
      <w:r w:rsidRPr="00A03B40">
        <w:t xml:space="preserve">This section </w:t>
      </w:r>
      <w:r w:rsidRPr="00A03B40" w:rsidR="007D4699">
        <w:t xml:space="preserve">briefly </w:t>
      </w:r>
      <w:r w:rsidRPr="00A03B40">
        <w:t xml:space="preserve">describes the </w:t>
      </w:r>
      <w:r w:rsidRPr="00A03B40" w:rsidR="00A05760">
        <w:t xml:space="preserve">Energy Resource and Recovery Account </w:t>
      </w:r>
      <w:r w:rsidRPr="00A03B40" w:rsidR="004D32B9">
        <w:t>(ERRA)</w:t>
      </w:r>
      <w:r w:rsidRPr="00A03B40" w:rsidR="00A05760">
        <w:t xml:space="preserve"> </w:t>
      </w:r>
      <w:r w:rsidRPr="00A03B40">
        <w:t>regulatory background</w:t>
      </w:r>
      <w:r w:rsidRPr="00A03B40" w:rsidR="007D4699">
        <w:t xml:space="preserve"> and the costs authorized for recovery via th</w:t>
      </w:r>
      <w:r w:rsidRPr="00A03B40" w:rsidR="00C1018E">
        <w:t>e ERRA</w:t>
      </w:r>
      <w:r w:rsidRPr="00A03B40" w:rsidR="007D4699">
        <w:t xml:space="preserve"> process</w:t>
      </w:r>
      <w:r w:rsidRPr="00A03B40">
        <w:t xml:space="preserve">. This section also describes the procedural history of </w:t>
      </w:r>
      <w:r w:rsidRPr="00A03B40" w:rsidR="004D32B9">
        <w:t>Southern California Edison Company’s (</w:t>
      </w:r>
      <w:r w:rsidRPr="00A03B40">
        <w:t>SCE</w:t>
      </w:r>
      <w:r w:rsidRPr="00A03B40" w:rsidR="004D32B9">
        <w:t>)</w:t>
      </w:r>
      <w:r w:rsidRPr="00A03B40">
        <w:t xml:space="preserve"> 2026 ERRA </w:t>
      </w:r>
      <w:r w:rsidRPr="00A03B40" w:rsidR="00C1018E">
        <w:t>f</w:t>
      </w:r>
      <w:r w:rsidRPr="00A03B40" w:rsidR="00CC7C11">
        <w:t>orecast</w:t>
      </w:r>
      <w:r w:rsidRPr="00A03B40">
        <w:t xml:space="preserve"> application.</w:t>
      </w:r>
    </w:p>
    <w:p w:rsidRPr="00A03B40" w:rsidR="0063491C" w:rsidP="00AB2028" w:rsidRDefault="008C0E46" w14:paraId="1DD162BF" w14:textId="659ACD39">
      <w:pPr>
        <w:pStyle w:val="Heading2"/>
        <w:widowControl w:val="0"/>
        <w:contextualSpacing/>
      </w:pPr>
      <w:bookmarkStart w:name="_Toc8123716" w:id="5"/>
      <w:bookmarkStart w:name="_Toc214629847" w:id="6"/>
      <w:r w:rsidRPr="00A03B40">
        <w:lastRenderedPageBreak/>
        <w:t>Energy Resource and Recovery Account Regulatory</w:t>
      </w:r>
      <w:r w:rsidRPr="00A03B40" w:rsidR="0063491C">
        <w:t xml:space="preserve"> Background</w:t>
      </w:r>
      <w:bookmarkEnd w:id="5"/>
      <w:bookmarkEnd w:id="6"/>
    </w:p>
    <w:p w:rsidRPr="00A03B40" w:rsidR="00CC3D44" w:rsidP="00CC3D44" w:rsidRDefault="00CC3D44" w14:paraId="32158FF1" w14:textId="2AF04316">
      <w:pPr>
        <w:pStyle w:val="Standard"/>
      </w:pPr>
      <w:r w:rsidRPr="00A03B40">
        <w:t xml:space="preserve">Public Utilities </w:t>
      </w:r>
      <w:r w:rsidRPr="00A03B40" w:rsidR="00C1018E">
        <w:t xml:space="preserve">(Pub. Util.) </w:t>
      </w:r>
      <w:r w:rsidRPr="00A03B40">
        <w:t xml:space="preserve">Code </w:t>
      </w:r>
      <w:r w:rsidR="00170BB2">
        <w:t>S</w:t>
      </w:r>
      <w:r w:rsidRPr="00A03B40">
        <w:t xml:space="preserve">ection 454.5 (d) set standards by which the </w:t>
      </w:r>
      <w:r w:rsidRPr="00A03B40" w:rsidR="00E20C7D">
        <w:t>California Public Utilities Commission (</w:t>
      </w:r>
      <w:r w:rsidRPr="00A03B40">
        <w:t>Commission</w:t>
      </w:r>
      <w:r w:rsidRPr="00A03B40" w:rsidR="00E20C7D">
        <w:t xml:space="preserve">) must </w:t>
      </w:r>
      <w:r w:rsidRPr="00A03B40">
        <w:t xml:space="preserve">evaluate electric utilities’ procurement plans when these utilities resumed full procurement responsibilities </w:t>
      </w:r>
      <w:r w:rsidRPr="00A03B40" w:rsidR="00E20C7D">
        <w:t xml:space="preserve">after </w:t>
      </w:r>
      <w:r w:rsidRPr="00A03B40">
        <w:t>the</w:t>
      </w:r>
      <w:r w:rsidRPr="00A03B40" w:rsidR="00E20C7D">
        <w:t xml:space="preserve"> 2000-2001 California energy crisis</w:t>
      </w:r>
      <w:r w:rsidRPr="00A03B40">
        <w:t xml:space="preserve">. </w:t>
      </w:r>
      <w:r w:rsidRPr="00A03B40" w:rsidR="00351A75">
        <w:t>Subsequently, t</w:t>
      </w:r>
      <w:r w:rsidRPr="00A03B40">
        <w:t xml:space="preserve">he Commission created the ERRA process in </w:t>
      </w:r>
      <w:r w:rsidR="00170BB2">
        <w:t>Decision (</w:t>
      </w:r>
      <w:r w:rsidRPr="00A03B40">
        <w:t>D.</w:t>
      </w:r>
      <w:r w:rsidR="00170BB2">
        <w:t xml:space="preserve">) </w:t>
      </w:r>
      <w:r w:rsidRPr="00A03B40">
        <w:t>02-10-062</w:t>
      </w:r>
      <w:r w:rsidRPr="00A03B40" w:rsidR="00351A75">
        <w:t xml:space="preserve"> to provide for recovery of procurement costs</w:t>
      </w:r>
      <w:r w:rsidRPr="00A03B40">
        <w:t>.</w:t>
      </w:r>
      <w:r w:rsidRPr="00A03B40">
        <w:rPr>
          <w:rStyle w:val="FootnoteReference"/>
        </w:rPr>
        <w:footnoteReference w:id="4"/>
      </w:r>
      <w:r w:rsidRPr="00A03B40">
        <w:t xml:space="preserve"> </w:t>
      </w:r>
      <w:r w:rsidRPr="00A03B40" w:rsidR="00351A75">
        <w:t>T</w:t>
      </w:r>
      <w:r w:rsidRPr="00A03B40">
        <w:t xml:space="preserve">he Commission </w:t>
      </w:r>
      <w:r w:rsidRPr="00A03B40" w:rsidR="00351A75">
        <w:t xml:space="preserve">also </w:t>
      </w:r>
      <w:r w:rsidRPr="00A03B40">
        <w:t>adopted procurement policy priorities and minimum standards of utility behavior, including the responsibility to prudently administer contracts and generation resources</w:t>
      </w:r>
      <w:r w:rsidRPr="00A03B40" w:rsidR="00C1018E">
        <w:t>,</w:t>
      </w:r>
      <w:r w:rsidRPr="00A03B40">
        <w:t xml:space="preserve"> and </w:t>
      </w:r>
      <w:r w:rsidRPr="00A03B40" w:rsidR="00C1018E">
        <w:t xml:space="preserve">to </w:t>
      </w:r>
      <w:r w:rsidRPr="00A03B40">
        <w:t>dispatch energy in a least-cost manner,</w:t>
      </w:r>
      <w:r w:rsidRPr="00A03B40">
        <w:rPr>
          <w:rStyle w:val="FootnoteReference"/>
        </w:rPr>
        <w:footnoteReference w:id="5"/>
      </w:r>
      <w:r w:rsidRPr="00A03B40">
        <w:t xml:space="preserve"> </w:t>
      </w:r>
      <w:r w:rsidRPr="00A03B40" w:rsidR="00351A75">
        <w:t>considering</w:t>
      </w:r>
      <w:r w:rsidRPr="00A03B40">
        <w:t xml:space="preserve"> </w:t>
      </w:r>
      <w:r w:rsidRPr="00A03B40" w:rsidR="00A16C0B">
        <w:t xml:space="preserve">priorities including </w:t>
      </w:r>
      <w:r w:rsidRPr="00A03B40">
        <w:t xml:space="preserve">reliability and environmental </w:t>
      </w:r>
      <w:r w:rsidRPr="00A03B40" w:rsidR="00351A75">
        <w:t>sensitivity</w:t>
      </w:r>
      <w:r w:rsidRPr="00A03B40">
        <w:t>.</w:t>
      </w:r>
      <w:r w:rsidRPr="00A03B40">
        <w:rPr>
          <w:rStyle w:val="FootnoteReference"/>
        </w:rPr>
        <w:footnoteReference w:id="6"/>
      </w:r>
    </w:p>
    <w:p w:rsidR="00170BB2" w:rsidP="00AB2028" w:rsidRDefault="004D32B9" w14:paraId="6AFA052B" w14:textId="77777777">
      <w:pPr>
        <w:pStyle w:val="Standard"/>
        <w:widowControl w:val="0"/>
        <w:contextualSpacing/>
      </w:pPr>
      <w:r w:rsidRPr="00A03B40">
        <w:t>The ERRA process consists of: (1) an annual forecast proceeding to adopt a forecast of the utility’s electric procurement cost revenue requirement</w:t>
      </w:r>
      <w:r w:rsidRPr="00A03B40" w:rsidR="00E20C7D">
        <w:t xml:space="preserve"> </w:t>
      </w:r>
      <w:r w:rsidRPr="00A03B40">
        <w:t>for the upcoming year;</w:t>
      </w:r>
      <w:r w:rsidRPr="00A03B40" w:rsidR="005E3250">
        <w:rPr>
          <w:rStyle w:val="FootnoteReference"/>
        </w:rPr>
        <w:footnoteReference w:id="7"/>
      </w:r>
      <w:r w:rsidRPr="00A03B40">
        <w:t xml:space="preserve"> (2) an annual compliance proceeding to review the utility’s compliance in the pr</w:t>
      </w:r>
      <w:r w:rsidRPr="00A03B40" w:rsidR="00A16C0B">
        <w:t xml:space="preserve">ior </w:t>
      </w:r>
      <w:r w:rsidRPr="00A03B40">
        <w:t>year regarding energy resource contract administration, least</w:t>
      </w:r>
      <w:r w:rsidRPr="00A03B40" w:rsidR="005E3250">
        <w:t>-</w:t>
      </w:r>
      <w:r w:rsidRPr="00A03B40">
        <w:t xml:space="preserve">cost dispatch (LCD), fuel procurement, and prudent maintenance of </w:t>
      </w:r>
    </w:p>
    <w:p w:rsidRPr="00A03B40" w:rsidR="004D32B9" w:rsidP="00170BB2" w:rsidRDefault="004D32B9" w14:paraId="1ECC9B40" w14:textId="125A1FFB">
      <w:pPr>
        <w:pStyle w:val="Standard"/>
        <w:widowControl w:val="0"/>
        <w:ind w:firstLine="0"/>
        <w:contextualSpacing/>
      </w:pPr>
      <w:r w:rsidRPr="00A03B40">
        <w:t>utility-owned generation (UOG) and the ERRA Balancing Account</w:t>
      </w:r>
      <w:r w:rsidRPr="00A03B40" w:rsidR="00C1018E">
        <w:t xml:space="preserve"> (BA)</w:t>
      </w:r>
      <w:r w:rsidRPr="00A03B40">
        <w:t>; and (3)</w:t>
      </w:r>
      <w:r w:rsidR="003501AA">
        <w:t> </w:t>
      </w:r>
      <w:r w:rsidRPr="00A03B40" w:rsidR="00426958">
        <w:t>a</w:t>
      </w:r>
      <w:r w:rsidRPr="00A03B40">
        <w:t xml:space="preserve"> quarterly compliance report by which </w:t>
      </w:r>
      <w:r w:rsidRPr="00A03B40" w:rsidR="0075109B">
        <w:t xml:space="preserve">the Commission’s </w:t>
      </w:r>
      <w:r w:rsidRPr="00A03B40">
        <w:t xml:space="preserve">Energy Division reviews utility procurement transactions “to ensure the prices, types of products, </w:t>
      </w:r>
      <w:r w:rsidRPr="00A03B40">
        <w:lastRenderedPageBreak/>
        <w:t>and quantities of each product conform to the approved plan.”</w:t>
      </w:r>
      <w:r w:rsidRPr="00A03B40">
        <w:rPr>
          <w:rStyle w:val="FootnoteReference"/>
        </w:rPr>
        <w:footnoteReference w:id="8"/>
      </w:r>
    </w:p>
    <w:p w:rsidRPr="00A03B40" w:rsidR="00C93082" w:rsidP="00F97160" w:rsidRDefault="00A16C0B" w14:paraId="5C562B93" w14:textId="5A441245">
      <w:pPr>
        <w:pStyle w:val="Standard"/>
        <w:widowControl w:val="0"/>
        <w:contextualSpacing/>
      </w:pPr>
      <w:r w:rsidRPr="00A03B40">
        <w:t>As a part of ERRA forecast proceedings, utilities forecast their</w:t>
      </w:r>
      <w:r w:rsidRPr="00A03B40" w:rsidR="00A97197">
        <w:t xml:space="preserve"> Cost</w:t>
      </w:r>
      <w:r w:rsidRPr="00A03B40" w:rsidR="00143100">
        <w:t xml:space="preserve"> </w:t>
      </w:r>
      <w:r w:rsidRPr="00A03B40" w:rsidR="00A97197">
        <w:t>Responsibility Surcharge</w:t>
      </w:r>
      <w:r w:rsidRPr="00A03B40" w:rsidR="00F440D7">
        <w:t>s</w:t>
      </w:r>
      <w:r w:rsidRPr="00A03B40" w:rsidR="00A00F63">
        <w:t xml:space="preserve"> (CRS)</w:t>
      </w:r>
      <w:r w:rsidRPr="00A03B40" w:rsidR="00A97197">
        <w:t xml:space="preserve">, which </w:t>
      </w:r>
      <w:r w:rsidRPr="00A03B40" w:rsidR="00A00F63">
        <w:t xml:space="preserve">originally </w:t>
      </w:r>
      <w:r w:rsidR="0004181E">
        <w:t>included</w:t>
      </w:r>
      <w:r w:rsidRPr="00A03B40" w:rsidR="00A97197">
        <w:t xml:space="preserve"> the Competition Transition Charge</w:t>
      </w:r>
      <w:r w:rsidRPr="00A03B40" w:rsidR="00A00F63">
        <w:t xml:space="preserve"> (CTC)</w:t>
      </w:r>
      <w:r w:rsidRPr="00A03B40" w:rsidR="00A97197">
        <w:t>.</w:t>
      </w:r>
      <w:r w:rsidRPr="00A03B40" w:rsidR="00A00F63">
        <w:rPr>
          <w:rStyle w:val="FootnoteReference"/>
        </w:rPr>
        <w:footnoteReference w:id="9"/>
      </w:r>
      <w:r w:rsidRPr="00A03B40" w:rsidR="00A97197">
        <w:t xml:space="preserve"> </w:t>
      </w:r>
      <w:r w:rsidRPr="00A03B40" w:rsidR="0041399A">
        <w:t xml:space="preserve">The CTC is used to recover the above-market costs of resources procured prior to market restructuring after the 2000-2001 </w:t>
      </w:r>
      <w:r w:rsidRPr="00A03B40" w:rsidR="00143100">
        <w:t>e</w:t>
      </w:r>
      <w:r w:rsidRPr="00A03B40" w:rsidR="0041399A">
        <w:t xml:space="preserve">nergy </w:t>
      </w:r>
      <w:r w:rsidRPr="00A03B40" w:rsidR="00143100">
        <w:t>c</w:t>
      </w:r>
      <w:r w:rsidRPr="00A03B40" w:rsidR="0041399A">
        <w:t xml:space="preserve">risis. In 2006, the Commission adopted </w:t>
      </w:r>
      <w:r w:rsidRPr="00A03B40">
        <w:t xml:space="preserve">an additional CRS component: </w:t>
      </w:r>
      <w:r w:rsidRPr="00A03B40" w:rsidR="0041399A">
        <w:t>the Power Charge Indifference Adjustment (PCIA)</w:t>
      </w:r>
      <w:r w:rsidRPr="00A03B40" w:rsidR="00EE5BE8">
        <w:t>.</w:t>
      </w:r>
      <w:r w:rsidRPr="00A03B40" w:rsidR="00F94A12">
        <w:rPr>
          <w:rStyle w:val="FootnoteReference"/>
        </w:rPr>
        <w:footnoteReference w:id="10"/>
      </w:r>
      <w:r w:rsidRPr="00A03B40" w:rsidR="00F94A12">
        <w:t xml:space="preserve"> </w:t>
      </w:r>
      <w:r w:rsidRPr="00A03B40" w:rsidR="00EE5BE8">
        <w:t>Today, the PCIA is used to</w:t>
      </w:r>
      <w:r w:rsidRPr="00A03B40">
        <w:t xml:space="preserve"> </w:t>
      </w:r>
      <w:r w:rsidRPr="00A03B40" w:rsidR="0041399A">
        <w:t>determin</w:t>
      </w:r>
      <w:r w:rsidRPr="00A03B40" w:rsidR="00EE5BE8">
        <w:t>e</w:t>
      </w:r>
      <w:r w:rsidRPr="00A03B40" w:rsidR="0041399A">
        <w:t xml:space="preserve"> </w:t>
      </w:r>
      <w:r w:rsidRPr="00A03B40" w:rsidR="00426958">
        <w:t>and allocat</w:t>
      </w:r>
      <w:r w:rsidRPr="00A03B40" w:rsidR="00EE5BE8">
        <w:t>e</w:t>
      </w:r>
      <w:r w:rsidRPr="00A03B40" w:rsidR="00426958">
        <w:t xml:space="preserve"> </w:t>
      </w:r>
      <w:r w:rsidRPr="00A03B40">
        <w:t xml:space="preserve">across bundled and </w:t>
      </w:r>
      <w:r w:rsidR="009B1DF9">
        <w:t>Departing Load (DL)</w:t>
      </w:r>
      <w:r w:rsidRPr="00A03B40">
        <w:t xml:space="preserve"> customers </w:t>
      </w:r>
      <w:r w:rsidRPr="00A03B40" w:rsidR="0041399A">
        <w:t xml:space="preserve">the above-market costs </w:t>
      </w:r>
      <w:r w:rsidRPr="00A03B40" w:rsidR="00EE5BE8">
        <w:t>of</w:t>
      </w:r>
      <w:r w:rsidRPr="00A03B40" w:rsidR="0041399A">
        <w:t xml:space="preserve"> </w:t>
      </w:r>
      <w:r w:rsidRPr="00A03B40" w:rsidR="00EE5BE8">
        <w:t>resources procured in part on behalf of unbundled customers before they left utility generation service</w:t>
      </w:r>
      <w:r w:rsidRPr="00A03B40" w:rsidR="0041399A">
        <w:t>.</w:t>
      </w:r>
      <w:r w:rsidRPr="00A03B40" w:rsidR="00F94A12">
        <w:rPr>
          <w:rStyle w:val="FootnoteReference"/>
        </w:rPr>
        <w:footnoteReference w:id="11"/>
      </w:r>
      <w:r w:rsidRPr="00A03B40" w:rsidR="0041399A">
        <w:t xml:space="preserve"> </w:t>
      </w:r>
      <w:r w:rsidRPr="00A03B40" w:rsidR="00D90E97">
        <w:t>Utilities recover b</w:t>
      </w:r>
      <w:r w:rsidRPr="00A03B40" w:rsidR="00426958">
        <w:t>undled customers’ share of these costs via generation rates</w:t>
      </w:r>
      <w:r w:rsidRPr="00A03B40" w:rsidR="00EE5BE8">
        <w:t xml:space="preserve"> and recover </w:t>
      </w:r>
      <w:r w:rsidR="0004181E">
        <w:t>departed</w:t>
      </w:r>
      <w:r w:rsidRPr="00A03B40" w:rsidR="0004181E">
        <w:t xml:space="preserve"> </w:t>
      </w:r>
      <w:r w:rsidRPr="00A03B40" w:rsidR="00EE5BE8">
        <w:t xml:space="preserve">customers’ share via the </w:t>
      </w:r>
      <w:r w:rsidR="0004181E">
        <w:t>PCIA methodology</w:t>
      </w:r>
      <w:r w:rsidRPr="00A03B40" w:rsidR="00EE5BE8">
        <w:t>.</w:t>
      </w:r>
      <w:r w:rsidR="0004181E">
        <w:rPr>
          <w:rStyle w:val="FootnoteReference"/>
        </w:rPr>
        <w:footnoteReference w:id="12"/>
      </w:r>
    </w:p>
    <w:p w:rsidR="00740376" w:rsidP="00AB2028" w:rsidRDefault="008C3F8C" w14:paraId="36BCBE23" w14:textId="407D4F46">
      <w:pPr>
        <w:pStyle w:val="Standard"/>
        <w:widowControl w:val="0"/>
        <w:contextualSpacing/>
      </w:pPr>
      <w:r w:rsidRPr="00A03B40">
        <w:t>Finally, e</w:t>
      </w:r>
      <w:r w:rsidRPr="00A03B40" w:rsidR="00A16C0B">
        <w:t xml:space="preserve">lectric utilities must include </w:t>
      </w:r>
      <w:r w:rsidRPr="00A03B40" w:rsidR="005E0101">
        <w:t>in their ERRA forecasts</w:t>
      </w:r>
      <w:r w:rsidRPr="00A03B40" w:rsidR="00CF21FC">
        <w:t xml:space="preserve"> estimate</w:t>
      </w:r>
      <w:r w:rsidRPr="00A03B40" w:rsidR="005040F4">
        <w:t>s</w:t>
      </w:r>
      <w:r w:rsidRPr="00A03B40" w:rsidR="00A16C0B">
        <w:t xml:space="preserve"> of </w:t>
      </w:r>
      <w:r w:rsidRPr="00A03B40" w:rsidR="005E0101">
        <w:t xml:space="preserve">the costs they will incur to comply with Assembly Bill (AB) 32, the California </w:t>
      </w:r>
      <w:r w:rsidRPr="00A03B40" w:rsidR="005E0101">
        <w:lastRenderedPageBreak/>
        <w:t>Global Warming Solutions Act of 2006</w:t>
      </w:r>
      <w:r w:rsidRPr="00A03B40" w:rsidR="00A16C0B">
        <w:t>.</w:t>
      </w:r>
      <w:r w:rsidRPr="00A03B40" w:rsidR="00EC59CD">
        <w:rPr>
          <w:rStyle w:val="FootnoteReference"/>
        </w:rPr>
        <w:footnoteReference w:id="13"/>
      </w:r>
      <w:r w:rsidRPr="00A03B40" w:rsidR="00A16C0B">
        <w:t xml:space="preserve"> The utilities must also forecast GHG allowance revenues</w:t>
      </w:r>
      <w:r w:rsidRPr="00A03B40" w:rsidR="00CF21FC">
        <w:t xml:space="preserve">, intended to be returned to customers to offset the costs of GHG </w:t>
      </w:r>
      <w:r w:rsidRPr="00A03B40" w:rsidR="00143100">
        <w:t xml:space="preserve">program </w:t>
      </w:r>
      <w:r w:rsidRPr="00A03B40" w:rsidR="00CF21FC">
        <w:t>compliance,</w:t>
      </w:r>
      <w:r w:rsidRPr="00A03B40" w:rsidR="005E0101">
        <w:t xml:space="preserve"> </w:t>
      </w:r>
      <w:r w:rsidRPr="00A03B40" w:rsidR="00A16C0B">
        <w:t xml:space="preserve">and </w:t>
      </w:r>
      <w:r w:rsidRPr="00A03B40" w:rsidR="00143100">
        <w:t xml:space="preserve">must </w:t>
      </w:r>
      <w:r w:rsidRPr="00A03B40" w:rsidR="00A16C0B">
        <w:t xml:space="preserve">propose clean energy program funding </w:t>
      </w:r>
    </w:p>
    <w:p w:rsidRPr="00A03B40" w:rsidR="00A16C0B" w:rsidP="00740376" w:rsidRDefault="00A16C0B" w14:paraId="1AF26842" w14:textId="057A8D09">
      <w:pPr>
        <w:pStyle w:val="Standard"/>
        <w:widowControl w:val="0"/>
        <w:ind w:firstLine="0"/>
        <w:contextualSpacing/>
      </w:pPr>
      <w:proofErr w:type="gramStart"/>
      <w:r w:rsidRPr="00A03B40">
        <w:t>set-asides</w:t>
      </w:r>
      <w:proofErr w:type="gramEnd"/>
      <w:r w:rsidRPr="00A03B40">
        <w:t xml:space="preserve"> and customer </w:t>
      </w:r>
      <w:r w:rsidRPr="00A03B40" w:rsidR="005E0101">
        <w:t xml:space="preserve">revenue </w:t>
      </w:r>
      <w:r w:rsidRPr="00A03B40">
        <w:t>return</w:t>
      </w:r>
      <w:r w:rsidRPr="00A03B40" w:rsidR="005040F4">
        <w:t xml:space="preserve"> amounts</w:t>
      </w:r>
      <w:r w:rsidRPr="00A03B40">
        <w:t>.</w:t>
      </w:r>
    </w:p>
    <w:p w:rsidRPr="00A03B40" w:rsidR="0063491C" w:rsidP="00AB2028" w:rsidRDefault="0063491C" w14:paraId="3CE814BC" w14:textId="77777777">
      <w:pPr>
        <w:pStyle w:val="Heading2"/>
        <w:widowControl w:val="0"/>
        <w:contextualSpacing/>
      </w:pPr>
      <w:bookmarkStart w:name="_Toc8123717" w:id="8"/>
      <w:bookmarkStart w:name="_Toc214629848" w:id="9"/>
      <w:r w:rsidRPr="00A03B40">
        <w:t>Procedural Background</w:t>
      </w:r>
      <w:bookmarkEnd w:id="8"/>
      <w:bookmarkEnd w:id="9"/>
    </w:p>
    <w:p w:rsidRPr="00A03B40" w:rsidR="007D4699" w:rsidP="00AB2028" w:rsidRDefault="007D4699" w14:paraId="2DDD1796" w14:textId="39461AB1">
      <w:pPr>
        <w:pStyle w:val="Standard"/>
        <w:widowControl w:val="0"/>
        <w:contextualSpacing/>
      </w:pPr>
      <w:r w:rsidRPr="00A03B40">
        <w:t xml:space="preserve"> SCE filed Application (A.) 25-05-008 </w:t>
      </w:r>
      <w:r w:rsidRPr="00A03B40" w:rsidR="00EE4958">
        <w:t xml:space="preserve">(Application) </w:t>
      </w:r>
      <w:r w:rsidRPr="00A03B40" w:rsidR="0041399A">
        <w:t>on May 15, 2025</w:t>
      </w:r>
      <w:r w:rsidRPr="00A03B40" w:rsidR="00143100">
        <w:t xml:space="preserve"> (May</w:t>
      </w:r>
      <w:r w:rsidR="00C62221">
        <w:t> </w:t>
      </w:r>
      <w:r w:rsidRPr="00A03B40" w:rsidR="00143100">
        <w:t>Filing)</w:t>
      </w:r>
      <w:r w:rsidRPr="00A03B40" w:rsidR="0041399A">
        <w:t xml:space="preserve">, </w:t>
      </w:r>
      <w:r w:rsidRPr="00A03B40">
        <w:t xml:space="preserve">requesting Commission </w:t>
      </w:r>
      <w:r w:rsidRPr="00A03B40" w:rsidR="00213F07">
        <w:t>adoption</w:t>
      </w:r>
      <w:r w:rsidRPr="00A03B40">
        <w:t xml:space="preserve"> of </w:t>
      </w:r>
      <w:r w:rsidRPr="00A03B40" w:rsidR="00213F07">
        <w:t>a</w:t>
      </w:r>
      <w:r w:rsidRPr="00A03B40">
        <w:t xml:space="preserve"> 2026 ERRA forecast revenue requirement </w:t>
      </w:r>
      <w:r w:rsidRPr="00A03B40" w:rsidR="002A3CE0">
        <w:t>totaling $4.385 billion</w:t>
      </w:r>
      <w:r w:rsidRPr="00A03B40" w:rsidR="00EE4958">
        <w:t xml:space="preserve">, representing a decrease of $75.555 million from the revenue requirement </w:t>
      </w:r>
      <w:r w:rsidRPr="00A03B40" w:rsidR="00131EBC">
        <w:t>in rates at that time</w:t>
      </w:r>
      <w:r w:rsidRPr="00A03B40">
        <w:t>.</w:t>
      </w:r>
      <w:r w:rsidRPr="00A03B40" w:rsidR="002A3CE0">
        <w:rPr>
          <w:rStyle w:val="FootnoteReference"/>
        </w:rPr>
        <w:footnoteReference w:id="14"/>
      </w:r>
      <w:r w:rsidRPr="00A03B40">
        <w:t xml:space="preserve"> </w:t>
      </w:r>
    </w:p>
    <w:p w:rsidRPr="00A03B40" w:rsidR="007D4699" w:rsidP="00AB2028" w:rsidRDefault="007D4699" w14:paraId="15DEAC69" w14:textId="2D921D14">
      <w:pPr>
        <w:pStyle w:val="Standard"/>
        <w:widowControl w:val="0"/>
        <w:contextualSpacing/>
      </w:pPr>
      <w:r w:rsidRPr="00A03B40">
        <w:t>On June 18, 2025</w:t>
      </w:r>
      <w:r w:rsidRPr="00A03B40" w:rsidR="008B6C9A">
        <w:t>, the Direct Access Customer Coalition</w:t>
      </w:r>
      <w:r w:rsidRPr="00A03B40">
        <w:t xml:space="preserve"> </w:t>
      </w:r>
      <w:r w:rsidRPr="00A03B40" w:rsidR="008B6C9A">
        <w:t xml:space="preserve">(DACC) </w:t>
      </w:r>
      <w:r w:rsidRPr="00A03B40">
        <w:t xml:space="preserve">filed </w:t>
      </w:r>
      <w:r w:rsidRPr="00A03B40" w:rsidR="008B6C9A">
        <w:t xml:space="preserve">a </w:t>
      </w:r>
      <w:r w:rsidRPr="00A03B40">
        <w:t>timely response to the Application</w:t>
      </w:r>
      <w:r w:rsidRPr="00A03B40" w:rsidR="005D54B0">
        <w:t xml:space="preserve"> and </w:t>
      </w:r>
      <w:r w:rsidRPr="00A03B40" w:rsidR="008B6C9A">
        <w:t>the California Community Choice Association (</w:t>
      </w:r>
      <w:proofErr w:type="spellStart"/>
      <w:r w:rsidRPr="00A03B40" w:rsidR="008B6C9A">
        <w:t>CalCCA</w:t>
      </w:r>
      <w:proofErr w:type="spellEnd"/>
      <w:r w:rsidRPr="00A03B40" w:rsidR="008B6C9A">
        <w:t xml:space="preserve">) and the Public Advocates Office at the California Public Utilities Commission (Cal Advocates) filed </w:t>
      </w:r>
      <w:r w:rsidRPr="00A03B40" w:rsidR="005D54B0">
        <w:t xml:space="preserve">timely </w:t>
      </w:r>
      <w:r w:rsidRPr="00A03B40" w:rsidR="008B6C9A">
        <w:t>protests to the Application</w:t>
      </w:r>
      <w:r w:rsidRPr="00A03B40">
        <w:t>.</w:t>
      </w:r>
      <w:r w:rsidRPr="00A03B40" w:rsidR="002A68CA">
        <w:t xml:space="preserve"> </w:t>
      </w:r>
      <w:r w:rsidRPr="00A03B40">
        <w:t xml:space="preserve">On June </w:t>
      </w:r>
      <w:r w:rsidRPr="00A03B40" w:rsidR="008B6C9A">
        <w:t>30</w:t>
      </w:r>
      <w:r w:rsidRPr="00A03B40">
        <w:t xml:space="preserve">, </w:t>
      </w:r>
      <w:r w:rsidRPr="00A03B40" w:rsidR="008B6C9A">
        <w:t xml:space="preserve">2025, </w:t>
      </w:r>
      <w:r w:rsidRPr="00A03B40">
        <w:t xml:space="preserve">SCE filed a </w:t>
      </w:r>
      <w:r w:rsidRPr="00A03B40" w:rsidR="006763B2">
        <w:t xml:space="preserve">timely </w:t>
      </w:r>
      <w:r w:rsidRPr="00A03B40">
        <w:t>reply to parties’ protests</w:t>
      </w:r>
      <w:r w:rsidRPr="00A03B40" w:rsidR="008B6C9A">
        <w:t xml:space="preserve"> and </w:t>
      </w:r>
      <w:proofErr w:type="gramStart"/>
      <w:r w:rsidRPr="00A03B40" w:rsidR="008B6C9A">
        <w:t>response</w:t>
      </w:r>
      <w:proofErr w:type="gramEnd"/>
      <w:r w:rsidRPr="00A03B40">
        <w:t>.</w:t>
      </w:r>
    </w:p>
    <w:p w:rsidRPr="00A03B40" w:rsidR="00F464B1" w:rsidP="00AB2028" w:rsidRDefault="007D4699" w14:paraId="08526FB3" w14:textId="54F545A7">
      <w:pPr>
        <w:pStyle w:val="Standard"/>
        <w:widowControl w:val="0"/>
        <w:contextualSpacing/>
      </w:pPr>
      <w:r w:rsidRPr="00A03B40">
        <w:t xml:space="preserve">On July 10, 2025, the assigned Administrative Law Judge (ALJ) held a </w:t>
      </w:r>
      <w:proofErr w:type="gramStart"/>
      <w:r w:rsidRPr="00A03B40">
        <w:t>prehearing</w:t>
      </w:r>
      <w:proofErr w:type="gramEnd"/>
      <w:r w:rsidRPr="00A03B40">
        <w:t xml:space="preserve"> conference (PHC) to discuss the issues of law and fact and determine the need for hearing and </w:t>
      </w:r>
      <w:r w:rsidRPr="00A03B40" w:rsidR="005D54B0">
        <w:t xml:space="preserve">a </w:t>
      </w:r>
      <w:r w:rsidRPr="00A03B40">
        <w:t xml:space="preserve">schedule for resolving the </w:t>
      </w:r>
      <w:r w:rsidRPr="00A03B40" w:rsidR="005D54B0">
        <w:t>Application</w:t>
      </w:r>
      <w:r w:rsidRPr="00A03B40">
        <w:t xml:space="preserve">. At the PHC, parties </w:t>
      </w:r>
      <w:proofErr w:type="gramStart"/>
      <w:r w:rsidRPr="00A03B40">
        <w:t xml:space="preserve">stipulated </w:t>
      </w:r>
      <w:r w:rsidR="00FF3653">
        <w:t>to</w:t>
      </w:r>
      <w:proofErr w:type="gramEnd"/>
      <w:r w:rsidR="00FF3653">
        <w:t xml:space="preserve"> </w:t>
      </w:r>
      <w:r w:rsidRPr="00A03B40">
        <w:t xml:space="preserve">a reduced comment period for the proposed decision in this </w:t>
      </w:r>
      <w:r w:rsidRPr="00A03B40">
        <w:lastRenderedPageBreak/>
        <w:t>proceeding.</w:t>
      </w:r>
      <w:r w:rsidRPr="00A03B40" w:rsidR="00042B53">
        <w:rPr>
          <w:rStyle w:val="FootnoteReference"/>
        </w:rPr>
        <w:footnoteReference w:id="15"/>
      </w:r>
      <w:r w:rsidRPr="00A03B40">
        <w:t xml:space="preserve"> </w:t>
      </w:r>
      <w:r w:rsidRPr="00A03B40" w:rsidR="00F464B1">
        <w:t>Also at the PHC the ALJ asked SCE whether it had incorporated data center demand into its 2026 ERRA forecast.</w:t>
      </w:r>
      <w:r w:rsidRPr="00A03B40" w:rsidR="005040F4">
        <w:rPr>
          <w:rStyle w:val="FootnoteReference"/>
        </w:rPr>
        <w:footnoteReference w:id="16"/>
      </w:r>
      <w:r w:rsidRPr="00A03B40" w:rsidR="00F464B1">
        <w:t xml:space="preserve">  </w:t>
      </w:r>
    </w:p>
    <w:p w:rsidRPr="00A03B40" w:rsidR="007E2901" w:rsidP="00AB2028" w:rsidRDefault="00F464B1" w14:paraId="13DD4C03" w14:textId="61D765FB">
      <w:pPr>
        <w:pStyle w:val="Standard"/>
        <w:widowControl w:val="0"/>
        <w:contextualSpacing/>
      </w:pPr>
      <w:r w:rsidRPr="00A03B40">
        <w:t xml:space="preserve">On July 14, 2025, SCE responded via email to </w:t>
      </w:r>
      <w:proofErr w:type="gramStart"/>
      <w:r w:rsidRPr="00A03B40">
        <w:t>the ALJ’s</w:t>
      </w:r>
      <w:proofErr w:type="gramEnd"/>
      <w:r w:rsidRPr="00A03B40">
        <w:t xml:space="preserve"> question regarding data center demand. On July 15, 2025, </w:t>
      </w:r>
      <w:proofErr w:type="gramStart"/>
      <w:r w:rsidRPr="00A03B40">
        <w:t>the ALJ</w:t>
      </w:r>
      <w:proofErr w:type="gramEnd"/>
      <w:r w:rsidRPr="00A03B40">
        <w:t xml:space="preserve"> issued an email ruling that included SCE’s data center demand email and </w:t>
      </w:r>
      <w:r w:rsidRPr="00A03B40" w:rsidR="000A03B7">
        <w:t>provided opportunity</w:t>
      </w:r>
      <w:r w:rsidRPr="00A03B40">
        <w:t xml:space="preserve"> for party comment. No party provided comment on SCE’s data center demand forecast.</w:t>
      </w:r>
    </w:p>
    <w:p w:rsidRPr="00A03B40" w:rsidR="007D4699" w:rsidP="00AB2028" w:rsidRDefault="007D4699" w14:paraId="15CED5E1" w14:textId="4A7E4CCF">
      <w:pPr>
        <w:pStyle w:val="Standard"/>
        <w:widowControl w:val="0"/>
        <w:contextualSpacing/>
      </w:pPr>
      <w:r w:rsidRPr="00A03B40">
        <w:t xml:space="preserve">The assigned Commissioner issued a Scoping Memo on </w:t>
      </w:r>
      <w:r w:rsidRPr="00A03B40" w:rsidR="008B6C9A">
        <w:t>July 17, 2025</w:t>
      </w:r>
      <w:r w:rsidRPr="00A03B40">
        <w:t>.</w:t>
      </w:r>
    </w:p>
    <w:p w:rsidRPr="00A03B40" w:rsidR="00D76D55" w:rsidP="00AB2028" w:rsidRDefault="00D76D55" w14:paraId="3B417C60" w14:textId="01854840">
      <w:pPr>
        <w:pStyle w:val="Standard"/>
        <w:widowControl w:val="0"/>
        <w:contextualSpacing/>
      </w:pPr>
      <w:r w:rsidRPr="00A03B40">
        <w:t>On July 18, 2025, SCE filed and served its Proof of Compliance with Rules</w:t>
      </w:r>
      <w:r w:rsidR="00C62221">
        <w:t> </w:t>
      </w:r>
      <w:r w:rsidRPr="00A03B40">
        <w:t xml:space="preserve">3.2 (B), (C), and (D) of the Commission’s Rules of Practice and Procedure (Rules); these Rules require SCE to provide the public with notice of its </w:t>
      </w:r>
      <w:proofErr w:type="gramStart"/>
      <w:r w:rsidRPr="00A03B40">
        <w:t>Application</w:t>
      </w:r>
      <w:proofErr w:type="gramEnd"/>
      <w:r w:rsidRPr="00A03B40">
        <w:t>.</w:t>
      </w:r>
    </w:p>
    <w:p w:rsidRPr="00A03B40" w:rsidR="005C1F26" w:rsidP="00AB2028" w:rsidRDefault="007D4699" w14:paraId="5C291E7D" w14:textId="6F71E688">
      <w:pPr>
        <w:pStyle w:val="Standard"/>
        <w:widowControl w:val="0"/>
        <w:contextualSpacing/>
      </w:pPr>
      <w:r w:rsidRPr="00A03B40">
        <w:t>On August 15, 2025</w:t>
      </w:r>
      <w:r w:rsidRPr="00A03B40" w:rsidR="008B6C9A">
        <w:t>,</w:t>
      </w:r>
      <w:r w:rsidRPr="00A03B40">
        <w:t xml:space="preserve"> </w:t>
      </w:r>
      <w:proofErr w:type="spellStart"/>
      <w:r w:rsidRPr="00A03B40">
        <w:t>CalCCA</w:t>
      </w:r>
      <w:proofErr w:type="spellEnd"/>
      <w:r w:rsidRPr="00A03B40">
        <w:t xml:space="preserve"> served intervenor testimony</w:t>
      </w:r>
      <w:r w:rsidRPr="00A03B40" w:rsidR="006763B2">
        <w:t xml:space="preserve"> which</w:t>
      </w:r>
      <w:r w:rsidRPr="00A03B40" w:rsidR="007E2901">
        <w:t xml:space="preserve"> object</w:t>
      </w:r>
      <w:r w:rsidRPr="00A03B40" w:rsidR="006763B2">
        <w:t>ed</w:t>
      </w:r>
      <w:r w:rsidRPr="00A03B40" w:rsidR="007E2901">
        <w:t xml:space="preserve"> to or propos</w:t>
      </w:r>
      <w:r w:rsidRPr="00A03B40" w:rsidR="006763B2">
        <w:t>ed</w:t>
      </w:r>
      <w:r w:rsidRPr="00A03B40" w:rsidR="007E2901">
        <w:t xml:space="preserve"> corrections for aspects of SCE’s proposed 2026 </w:t>
      </w:r>
      <w:r w:rsidR="0004181E">
        <w:t>PCIA</w:t>
      </w:r>
      <w:r w:rsidRPr="00A03B40" w:rsidR="007E2901">
        <w:t xml:space="preserve"> revenue requirement</w:t>
      </w:r>
      <w:r w:rsidRPr="00A03B40">
        <w:t xml:space="preserve">. On </w:t>
      </w:r>
      <w:r w:rsidRPr="00A03B40" w:rsidR="008B6C9A">
        <w:t>September 8</w:t>
      </w:r>
      <w:r w:rsidRPr="00A03B40">
        <w:t>,</w:t>
      </w:r>
      <w:r w:rsidRPr="00A03B40" w:rsidR="008B6C9A">
        <w:t xml:space="preserve"> 2025,</w:t>
      </w:r>
      <w:r w:rsidRPr="00A03B40">
        <w:t xml:space="preserve"> SCE served rebuttal testimony. </w:t>
      </w:r>
    </w:p>
    <w:p w:rsidRPr="00A03B40" w:rsidR="00042B53" w:rsidP="00AB2028" w:rsidRDefault="00042B53" w14:paraId="20CF3807" w14:textId="1DB08BAA">
      <w:pPr>
        <w:pStyle w:val="Standard"/>
        <w:widowControl w:val="0"/>
        <w:contextualSpacing/>
      </w:pPr>
      <w:r w:rsidRPr="00A03B40">
        <w:t>On September 8, 2025, the ALJ issued a ruling providing notice of and instructions for an in-person evidentiary hearing scheduled for September 2</w:t>
      </w:r>
      <w:r w:rsidRPr="00A03B40" w:rsidR="007E2901">
        <w:t>2, September 26, and September 30-October 2, 2025.</w:t>
      </w:r>
      <w:r w:rsidRPr="00A03B40">
        <w:t xml:space="preserve"> </w:t>
      </w:r>
    </w:p>
    <w:p w:rsidRPr="00A03B40" w:rsidR="005C1F26" w:rsidP="00AB2028" w:rsidRDefault="007D4699" w14:paraId="15D8A758" w14:textId="045BA091">
      <w:pPr>
        <w:pStyle w:val="Standard"/>
        <w:widowControl w:val="0"/>
        <w:contextualSpacing/>
      </w:pPr>
      <w:r w:rsidRPr="00A03B40">
        <w:t xml:space="preserve">On </w:t>
      </w:r>
      <w:r w:rsidRPr="00A03B40" w:rsidR="005C1F26">
        <w:t>September 15, 2025</w:t>
      </w:r>
      <w:r w:rsidRPr="00A03B40">
        <w:t>,</w:t>
      </w:r>
      <w:r w:rsidRPr="00A03B40">
        <w:rPr>
          <w:spacing w:val="-4"/>
        </w:rPr>
        <w:t xml:space="preserve"> </w:t>
      </w:r>
      <w:r w:rsidRPr="00A03B40" w:rsidR="005C1F26">
        <w:t>SCE</w:t>
      </w:r>
      <w:r w:rsidRPr="00A03B40">
        <w:rPr>
          <w:spacing w:val="-5"/>
        </w:rPr>
        <w:t xml:space="preserve"> </w:t>
      </w:r>
      <w:r w:rsidRPr="00A03B40">
        <w:t>filed</w:t>
      </w:r>
      <w:r w:rsidRPr="00A03B40">
        <w:rPr>
          <w:spacing w:val="-5"/>
        </w:rPr>
        <w:t xml:space="preserve"> </w:t>
      </w:r>
      <w:r w:rsidRPr="00A03B40" w:rsidR="005C1F26">
        <w:rPr>
          <w:spacing w:val="-5"/>
        </w:rPr>
        <w:t xml:space="preserve">and served </w:t>
      </w:r>
      <w:r w:rsidRPr="00A03B40">
        <w:t>a</w:t>
      </w:r>
      <w:r w:rsidRPr="00A03B40">
        <w:rPr>
          <w:spacing w:val="-4"/>
        </w:rPr>
        <w:t xml:space="preserve"> </w:t>
      </w:r>
      <w:r w:rsidRPr="00A03B40" w:rsidR="005C1F26">
        <w:rPr>
          <w:spacing w:val="-4"/>
        </w:rPr>
        <w:t xml:space="preserve">public version of a </w:t>
      </w:r>
      <w:r w:rsidRPr="00A03B40">
        <w:t>joint</w:t>
      </w:r>
      <w:r w:rsidRPr="00A03B40">
        <w:rPr>
          <w:spacing w:val="-4"/>
        </w:rPr>
        <w:t xml:space="preserve"> </w:t>
      </w:r>
      <w:r w:rsidRPr="00A03B40">
        <w:t>case</w:t>
      </w:r>
      <w:r w:rsidRPr="00A03B40">
        <w:rPr>
          <w:spacing w:val="-4"/>
        </w:rPr>
        <w:t xml:space="preserve"> </w:t>
      </w:r>
      <w:r w:rsidRPr="00A03B40">
        <w:t>management</w:t>
      </w:r>
      <w:r w:rsidRPr="00A03B40">
        <w:rPr>
          <w:spacing w:val="-4"/>
        </w:rPr>
        <w:t xml:space="preserve"> </w:t>
      </w:r>
      <w:r w:rsidRPr="00A03B40">
        <w:t>statement</w:t>
      </w:r>
      <w:r w:rsidRPr="00A03B40" w:rsidR="005C1F26">
        <w:t xml:space="preserve"> (JCM Statement) on behalf of </w:t>
      </w:r>
      <w:r w:rsidRPr="00A03B40" w:rsidR="006763B2">
        <w:t>itself, Cal</w:t>
      </w:r>
      <w:r w:rsidRPr="00A03B40" w:rsidR="00E364EF">
        <w:t xml:space="preserve"> </w:t>
      </w:r>
      <w:r w:rsidRPr="00A03B40" w:rsidR="006763B2">
        <w:t xml:space="preserve">Advocates, </w:t>
      </w:r>
      <w:proofErr w:type="spellStart"/>
      <w:r w:rsidRPr="00A03B40" w:rsidR="006763B2">
        <w:t>CalCCA</w:t>
      </w:r>
      <w:proofErr w:type="spellEnd"/>
      <w:r w:rsidRPr="00A03B40" w:rsidR="006763B2">
        <w:t>, and DACC (the parties)</w:t>
      </w:r>
      <w:r w:rsidRPr="00A03B40" w:rsidR="005C1F26">
        <w:t xml:space="preserve">; SCE </w:t>
      </w:r>
      <w:r w:rsidRPr="00A03B40" w:rsidR="00D76D55">
        <w:t xml:space="preserve">also </w:t>
      </w:r>
      <w:r w:rsidRPr="00A03B40" w:rsidR="006763B2">
        <w:t>filed and served</w:t>
      </w:r>
      <w:r w:rsidRPr="00A03B40" w:rsidR="005C1F26">
        <w:t xml:space="preserve"> </w:t>
      </w:r>
      <w:r w:rsidRPr="00A03B40" w:rsidR="006763B2">
        <w:t xml:space="preserve">an accompanying motion requesting leave </w:t>
      </w:r>
      <w:r w:rsidRPr="00A03B40" w:rsidR="00E364EF">
        <w:t xml:space="preserve">to </w:t>
      </w:r>
      <w:r w:rsidRPr="00A03B40" w:rsidR="006763B2">
        <w:t xml:space="preserve">file a Confidential JCM Statement under seal. </w:t>
      </w:r>
      <w:r w:rsidRPr="00A03B40" w:rsidR="00E364EF">
        <w:t>In the</w:t>
      </w:r>
      <w:r w:rsidRPr="00A03B40" w:rsidR="005C1F26">
        <w:t xml:space="preserve"> JCM Statement, </w:t>
      </w:r>
      <w:proofErr w:type="spellStart"/>
      <w:r w:rsidRPr="00A03B40" w:rsidR="005C1F26">
        <w:t>CalCCA</w:t>
      </w:r>
      <w:proofErr w:type="spellEnd"/>
      <w:r w:rsidRPr="00A03B40" w:rsidR="005C1F26">
        <w:t xml:space="preserve"> requested one hour of evidentiary hearings.</w:t>
      </w:r>
      <w:r w:rsidRPr="00A03B40" w:rsidR="005C1F26">
        <w:rPr>
          <w:rStyle w:val="FootnoteReference"/>
        </w:rPr>
        <w:footnoteReference w:id="17"/>
      </w:r>
      <w:r w:rsidRPr="00A03B40" w:rsidR="002A68CA">
        <w:t xml:space="preserve"> </w:t>
      </w:r>
      <w:r w:rsidRPr="00A03B40" w:rsidR="005C1F26">
        <w:t xml:space="preserve">SCE </w:t>
      </w:r>
      <w:r w:rsidRPr="00A03B40" w:rsidR="005C1F26">
        <w:lastRenderedPageBreak/>
        <w:t xml:space="preserve">opposed </w:t>
      </w:r>
      <w:proofErr w:type="spellStart"/>
      <w:r w:rsidRPr="00A03B40" w:rsidR="005C1F26">
        <w:t>CalCCA’s</w:t>
      </w:r>
      <w:proofErr w:type="spellEnd"/>
      <w:r w:rsidRPr="00A03B40" w:rsidR="005C1F26">
        <w:t xml:space="preserve"> request for hearings and stated that evidentiary hearings were not necessary.</w:t>
      </w:r>
      <w:r w:rsidRPr="00A03B40" w:rsidR="002A68CA">
        <w:t xml:space="preserve"> </w:t>
      </w:r>
      <w:r w:rsidRPr="00A03B40" w:rsidR="005C1F26">
        <w:t xml:space="preserve">Cal Advocates stated that it did not believe hearings </w:t>
      </w:r>
      <w:r w:rsidRPr="00A03B40" w:rsidR="00E364EF">
        <w:t>we</w:t>
      </w:r>
      <w:r w:rsidRPr="00A03B40" w:rsidR="005C1F26">
        <w:t xml:space="preserve">re necessary but </w:t>
      </w:r>
      <w:r w:rsidRPr="00A03B40" w:rsidR="00131EBC">
        <w:t>di</w:t>
      </w:r>
      <w:r w:rsidRPr="00A03B40" w:rsidR="005C1F26">
        <w:t>d not oppose hearings requested by other parties.</w:t>
      </w:r>
      <w:r w:rsidRPr="00A03B40" w:rsidR="002A68CA">
        <w:t xml:space="preserve"> </w:t>
      </w:r>
      <w:r w:rsidRPr="00A03B40" w:rsidR="005C1F26">
        <w:t>DACC stated that it did not oppose hearings requested by other parties.</w:t>
      </w:r>
      <w:r w:rsidRPr="00A03B40" w:rsidR="005C1F26">
        <w:rPr>
          <w:rStyle w:val="FootnoteReference"/>
        </w:rPr>
        <w:footnoteReference w:id="18"/>
      </w:r>
    </w:p>
    <w:p w:rsidRPr="00A03B40" w:rsidR="007D4699" w:rsidP="00AB2028" w:rsidRDefault="00143100" w14:paraId="1E4BD6B4" w14:textId="4396AD7A">
      <w:pPr>
        <w:pStyle w:val="Standard"/>
        <w:widowControl w:val="0"/>
        <w:contextualSpacing/>
      </w:pPr>
      <w:r w:rsidRPr="00A03B40">
        <w:t xml:space="preserve">On </w:t>
      </w:r>
      <w:r w:rsidRPr="00A03B40" w:rsidR="001F50FA">
        <w:t>October 1, 2025</w:t>
      </w:r>
      <w:r w:rsidRPr="00A03B40" w:rsidR="007D4699">
        <w:t>, the Commission</w:t>
      </w:r>
      <w:r w:rsidRPr="00A03B40" w:rsidR="001F50FA">
        <w:t>’s Energy Division</w:t>
      </w:r>
      <w:r w:rsidRPr="00A03B40" w:rsidR="007D4699">
        <w:t xml:space="preserve"> </w:t>
      </w:r>
      <w:r w:rsidRPr="00A03B40" w:rsidR="001F50FA">
        <w:t xml:space="preserve">published </w:t>
      </w:r>
      <w:r w:rsidRPr="00A03B40" w:rsidR="008E1F63">
        <w:t>its</w:t>
      </w:r>
      <w:r w:rsidRPr="00A03B40" w:rsidR="001F50FA">
        <w:t xml:space="preserve"> </w:t>
      </w:r>
      <w:r w:rsidRPr="00A03B40" w:rsidR="007D4699">
        <w:t>Market Price Benchmark</w:t>
      </w:r>
      <w:r w:rsidRPr="00A03B40" w:rsidR="001F50FA">
        <w:t>s</w:t>
      </w:r>
      <w:r w:rsidRPr="00A03B40" w:rsidR="007D4699">
        <w:t xml:space="preserve"> (MPB)</w:t>
      </w:r>
      <w:r w:rsidRPr="00A03B40" w:rsidR="001F50FA">
        <w:t xml:space="preserve"> </w:t>
      </w:r>
      <w:r w:rsidRPr="00A03B40" w:rsidR="008E1F63">
        <w:t xml:space="preserve">Calculations 2025. </w:t>
      </w:r>
    </w:p>
    <w:p w:rsidRPr="00A03B40" w:rsidR="00143100" w:rsidP="00841DED" w:rsidRDefault="007D4699" w14:paraId="1BAC668F" w14:textId="6CE7DAEB">
      <w:pPr>
        <w:pStyle w:val="Standard"/>
        <w:widowControl w:val="0"/>
        <w:contextualSpacing/>
      </w:pPr>
      <w:r w:rsidRPr="00A03B40">
        <w:t>SCE served its October Update</w:t>
      </w:r>
      <w:r w:rsidRPr="00A03B40" w:rsidR="00143100">
        <w:t>, Exhibit SCE-05,</w:t>
      </w:r>
      <w:r w:rsidRPr="00A03B40">
        <w:t xml:space="preserve"> on </w:t>
      </w:r>
      <w:r w:rsidRPr="00A03B40" w:rsidR="00143100">
        <w:t>October 15, 2025</w:t>
      </w:r>
      <w:r w:rsidRPr="00A03B40">
        <w:t>.</w:t>
      </w:r>
      <w:r w:rsidRPr="00A03B40" w:rsidR="002A68CA">
        <w:t xml:space="preserve"> </w:t>
      </w:r>
      <w:r w:rsidRPr="00A03B40" w:rsidR="0002293A">
        <w:t xml:space="preserve">SCE provided a complete version of its public October Update on October 16, 2025. </w:t>
      </w:r>
      <w:r w:rsidRPr="00A03B40" w:rsidR="00143100">
        <w:t xml:space="preserve">SCE’s October Update increased </w:t>
      </w:r>
      <w:proofErr w:type="gramStart"/>
      <w:r w:rsidRPr="00A03B40" w:rsidR="00143100">
        <w:t>SCE’s</w:t>
      </w:r>
      <w:proofErr w:type="gramEnd"/>
      <w:r w:rsidRPr="00A03B40" w:rsidR="00143100">
        <w:t xml:space="preserve"> proposed 2026 ERRA revenue requirement from $4.385 billio</w:t>
      </w:r>
      <w:r w:rsidRPr="00A03B40" w:rsidR="00131EBC">
        <w:t>n</w:t>
      </w:r>
      <w:r w:rsidRPr="00A03B40" w:rsidR="00143100">
        <w:t xml:space="preserve"> to $4.759 billion. </w:t>
      </w:r>
      <w:r w:rsidRPr="00A03B40" w:rsidR="00841DED">
        <w:t>SCE’s October Update included significant changes to the projected year-end 2025 balances in SCE’s ERRA BA and PABA, largely driven by the decreases in the 2025 Final R</w:t>
      </w:r>
      <w:r w:rsidRPr="00A03B40" w:rsidR="00773CF6">
        <w:t xml:space="preserve">esource </w:t>
      </w:r>
      <w:r w:rsidRPr="00A03B40" w:rsidR="00841DED">
        <w:t>A</w:t>
      </w:r>
      <w:r w:rsidRPr="00A03B40" w:rsidR="00773CF6">
        <w:t>dequacy</w:t>
      </w:r>
      <w:r w:rsidRPr="00A03B40" w:rsidR="007D7F6C">
        <w:t xml:space="preserve"> (RA)</w:t>
      </w:r>
      <w:r w:rsidRPr="00A03B40" w:rsidR="00841DED">
        <w:t xml:space="preserve"> and </w:t>
      </w:r>
      <w:r w:rsidRPr="00A03B40" w:rsidR="007D7F6C">
        <w:t>Renewable Portfolio Standard (</w:t>
      </w:r>
      <w:r w:rsidRPr="00A03B40" w:rsidR="00841DED">
        <w:t>RPS</w:t>
      </w:r>
      <w:r w:rsidRPr="00A03B40" w:rsidR="007D7F6C">
        <w:t>)</w:t>
      </w:r>
      <w:r w:rsidRPr="00A03B40" w:rsidR="00841DED">
        <w:t xml:space="preserve"> </w:t>
      </w:r>
      <w:r w:rsidRPr="00A03B40" w:rsidR="007D7F6C">
        <w:t>MPBs</w:t>
      </w:r>
      <w:r w:rsidRPr="00A03B40" w:rsidR="00841DED">
        <w:t xml:space="preserve">. </w:t>
      </w:r>
      <w:r w:rsidRPr="00A03B40" w:rsidR="00773CF6">
        <w:t xml:space="preserve">SCE’s October Update also noted that it had exceeded its Trigger Balance as of September 30, 2025, </w:t>
      </w:r>
      <w:r w:rsidRPr="00A03B40" w:rsidR="007D7F6C">
        <w:t xml:space="preserve">again, </w:t>
      </w:r>
      <w:r w:rsidRPr="00A03B40" w:rsidR="00773CF6">
        <w:t xml:space="preserve">largely </w:t>
      </w:r>
      <w:proofErr w:type="gramStart"/>
      <w:r w:rsidRPr="00A03B40" w:rsidR="00773CF6">
        <w:t>as a result of</w:t>
      </w:r>
      <w:proofErr w:type="gramEnd"/>
      <w:r w:rsidRPr="00A03B40" w:rsidR="00773CF6">
        <w:t xml:space="preserve"> application of the Final 2025</w:t>
      </w:r>
      <w:r w:rsidRPr="00A03B40" w:rsidR="00F93E20">
        <w:t xml:space="preserve"> MPBs</w:t>
      </w:r>
      <w:r w:rsidRPr="00A03B40" w:rsidR="007D7F6C">
        <w:t xml:space="preserve">. </w:t>
      </w:r>
    </w:p>
    <w:p w:rsidRPr="00A03B40" w:rsidR="00831AF0" w:rsidP="00841DED" w:rsidRDefault="00831AF0" w14:paraId="4D3B42E8" w14:textId="6F8C335B">
      <w:pPr>
        <w:pStyle w:val="Standard"/>
        <w:widowControl w:val="0"/>
        <w:contextualSpacing/>
      </w:pPr>
      <w:r w:rsidRPr="00A03B40">
        <w:t>After the close of business on October 27, 2025, SCE served an Amended October Update</w:t>
      </w:r>
      <w:r w:rsidRPr="00A03B40" w:rsidR="005D54B0">
        <w:t>, Exhibit SCE-05A,</w:t>
      </w:r>
      <w:r w:rsidRPr="00A03B40">
        <w:t xml:space="preserve"> containing what SCE describes as two corrections to its October Update</w:t>
      </w:r>
      <w:r w:rsidRPr="00A03B40" w:rsidR="003A0DFC">
        <w:t>, discussed below</w:t>
      </w:r>
      <w:r w:rsidRPr="00A03B40">
        <w:t xml:space="preserve">. SCE’s Amended October Update proposed a </w:t>
      </w:r>
      <w:r w:rsidRPr="00A03B40" w:rsidR="00F93E20">
        <w:t xml:space="preserve">$4.689 billion </w:t>
      </w:r>
      <w:r w:rsidRPr="00A03B40">
        <w:t>2026 revenue requirement</w:t>
      </w:r>
      <w:r w:rsidRPr="00A03B40" w:rsidR="00F93E20">
        <w:t xml:space="preserve">, </w:t>
      </w:r>
      <w:r w:rsidRPr="00A03B40" w:rsidR="00DA5CF5">
        <w:t>1.5 percent</w:t>
      </w:r>
      <w:r w:rsidRPr="00A03B40">
        <w:t xml:space="preserve"> less than </w:t>
      </w:r>
      <w:r w:rsidRPr="00A03B40" w:rsidR="00DA5CF5">
        <w:t>that</w:t>
      </w:r>
      <w:r w:rsidRPr="00A03B40">
        <w:t xml:space="preserve"> proposed in SCE’s October Update.</w:t>
      </w:r>
      <w:r w:rsidRPr="00A03B40" w:rsidR="00E149F9">
        <w:t xml:space="preserve"> </w:t>
      </w:r>
      <w:r w:rsidRPr="00A03B40" w:rsidR="00131EBC">
        <w:t xml:space="preserve">SCE requested that SCE-05A replace SCE-05 in its entirety. </w:t>
      </w:r>
      <w:r w:rsidRPr="00A03B40" w:rsidR="00E149F9">
        <w:t xml:space="preserve">This Decision </w:t>
      </w:r>
      <w:r w:rsidRPr="00A03B40" w:rsidR="00131EBC">
        <w:t>relies on</w:t>
      </w:r>
      <w:r w:rsidRPr="00A03B40" w:rsidR="00E149F9">
        <w:t xml:space="preserve"> SCE’s Amended October Update.</w:t>
      </w:r>
    </w:p>
    <w:p w:rsidRPr="00A03B40" w:rsidR="00F93E20" w:rsidP="00AB2028" w:rsidRDefault="00F93E20" w14:paraId="0116991F" w14:textId="75E3F79E">
      <w:pPr>
        <w:pStyle w:val="Standard"/>
        <w:widowControl w:val="0"/>
        <w:contextualSpacing/>
      </w:pPr>
      <w:r w:rsidRPr="00A03B40">
        <w:t xml:space="preserve">On October 28, 2025, </w:t>
      </w:r>
      <w:proofErr w:type="spellStart"/>
      <w:r w:rsidRPr="00A03B40">
        <w:t>CalCCA</w:t>
      </w:r>
      <w:proofErr w:type="spellEnd"/>
      <w:r w:rsidRPr="00A03B40">
        <w:t xml:space="preserve"> served Exhibit CalCCA-02</w:t>
      </w:r>
      <w:r w:rsidRPr="00A03B40" w:rsidR="00375CD7">
        <w:t xml:space="preserve">, and </w:t>
      </w:r>
      <w:proofErr w:type="spellStart"/>
      <w:r w:rsidRPr="00A03B40">
        <w:t>CalCCA</w:t>
      </w:r>
      <w:proofErr w:type="spellEnd"/>
      <w:r w:rsidRPr="00A03B40">
        <w:t xml:space="preserve"> and SCE filed and served a Joint Motion to Offer Prepared Testimonies and Exhibit into Evidence and a Joint Motion to Seal a Portion of the Evidentiary Record. </w:t>
      </w:r>
    </w:p>
    <w:p w:rsidRPr="00A03B40" w:rsidR="007D4699" w:rsidP="00AB2028" w:rsidRDefault="007D4699" w14:paraId="5E788158" w14:textId="6092F5C8">
      <w:pPr>
        <w:pStyle w:val="Standard"/>
        <w:widowControl w:val="0"/>
        <w:contextualSpacing/>
      </w:pPr>
      <w:r w:rsidRPr="00A03B40">
        <w:lastRenderedPageBreak/>
        <w:t xml:space="preserve">On </w:t>
      </w:r>
      <w:r w:rsidRPr="00A03B40" w:rsidR="00DA5CF5">
        <w:t>October 29, 2025</w:t>
      </w:r>
      <w:r w:rsidRPr="00A03B40">
        <w:t xml:space="preserve">, </w:t>
      </w:r>
      <w:r w:rsidRPr="00A03B40" w:rsidR="001040C9">
        <w:t>SCE filed</w:t>
      </w:r>
      <w:r w:rsidRPr="00A03B40" w:rsidR="00375CD7">
        <w:t xml:space="preserve"> and served</w:t>
      </w:r>
      <w:r w:rsidRPr="00A03B40" w:rsidR="001040C9">
        <w:t xml:space="preserve"> an Opening Brief and </w:t>
      </w:r>
      <w:proofErr w:type="spellStart"/>
      <w:r w:rsidRPr="00A03B40" w:rsidR="001040C9">
        <w:t>CalCCA</w:t>
      </w:r>
      <w:proofErr w:type="spellEnd"/>
      <w:r w:rsidRPr="00A03B40">
        <w:t xml:space="preserve"> filed </w:t>
      </w:r>
      <w:r w:rsidRPr="00A03B40" w:rsidR="00375CD7">
        <w:t xml:space="preserve">and served </w:t>
      </w:r>
      <w:r w:rsidRPr="00A03B40" w:rsidR="001040C9">
        <w:t xml:space="preserve">a document combining </w:t>
      </w:r>
      <w:r w:rsidRPr="00A03B40">
        <w:t xml:space="preserve">comments on SCE’s </w:t>
      </w:r>
      <w:r w:rsidRPr="00A03B40" w:rsidR="00E149F9">
        <w:t xml:space="preserve">Amended </w:t>
      </w:r>
      <w:r w:rsidRPr="00A03B40">
        <w:t>October Update</w:t>
      </w:r>
      <w:r w:rsidRPr="00A03B40" w:rsidR="001040C9">
        <w:t xml:space="preserve"> and an Opening Brief</w:t>
      </w:r>
      <w:r w:rsidRPr="00A03B40">
        <w:t>.</w:t>
      </w:r>
      <w:r w:rsidRPr="00A03B40" w:rsidR="00375CD7">
        <w:t xml:space="preserve"> Both parties filed and served motions requesting leave to file confidential versions of these documents under seal.</w:t>
      </w:r>
    </w:p>
    <w:p w:rsidRPr="00A03B40" w:rsidR="00E57620" w:rsidP="00AB2028" w:rsidRDefault="00E57620" w14:paraId="06852B1A" w14:textId="08E95D01">
      <w:pPr>
        <w:pStyle w:val="Standard"/>
        <w:widowControl w:val="0"/>
        <w:contextualSpacing/>
      </w:pPr>
      <w:r w:rsidRPr="00A03B40">
        <w:t xml:space="preserve">On </w:t>
      </w:r>
      <w:r w:rsidRPr="00A03B40" w:rsidR="00146B6E">
        <w:t>October 30, 2025</w:t>
      </w:r>
      <w:r w:rsidRPr="00A03B40">
        <w:t xml:space="preserve">, SCE filed Advice Letter </w:t>
      </w:r>
      <w:r w:rsidRPr="00A03B40" w:rsidR="00146B6E">
        <w:t>(AL)</w:t>
      </w:r>
      <w:r w:rsidRPr="00A03B40" w:rsidR="0013424F">
        <w:t xml:space="preserve"> 5664-E</w:t>
      </w:r>
      <w:r w:rsidRPr="00A03B40">
        <w:t>, notifying the Commission that it</w:t>
      </w:r>
      <w:r w:rsidRPr="00A03B40" w:rsidR="00146B6E">
        <w:t>s</w:t>
      </w:r>
      <w:r w:rsidRPr="00A03B40">
        <w:t xml:space="preserve"> ERRA</w:t>
      </w:r>
      <w:r w:rsidRPr="00A03B40" w:rsidR="0013424F">
        <w:t xml:space="preserve"> Trigger</w:t>
      </w:r>
      <w:r w:rsidRPr="00A03B40">
        <w:t xml:space="preserve"> </w:t>
      </w:r>
      <w:r w:rsidRPr="00A03B40" w:rsidR="0013424F">
        <w:t>B</w:t>
      </w:r>
      <w:r w:rsidRPr="00A03B40">
        <w:t xml:space="preserve">alance had exceeded its </w:t>
      </w:r>
      <w:r w:rsidRPr="00A03B40" w:rsidR="00146B6E">
        <w:t>four percent T</w:t>
      </w:r>
      <w:r w:rsidRPr="00A03B40">
        <w:t xml:space="preserve">rigger </w:t>
      </w:r>
      <w:r w:rsidRPr="00A03B40" w:rsidR="00146B6E">
        <w:t>P</w:t>
      </w:r>
      <w:r w:rsidRPr="00A03B40">
        <w:t>oint</w:t>
      </w:r>
      <w:r w:rsidRPr="00A03B40" w:rsidR="00146B6E">
        <w:t xml:space="preserve"> as of September 30, 2025.</w:t>
      </w:r>
      <w:r w:rsidRPr="00A03B40">
        <w:t xml:space="preserve"> </w:t>
      </w:r>
      <w:r w:rsidRPr="00A03B40" w:rsidR="00146B6E">
        <w:t xml:space="preserve">In this AL, SCE states that its Trigger Balance will </w:t>
      </w:r>
      <w:proofErr w:type="gramStart"/>
      <w:r w:rsidRPr="00A03B40" w:rsidR="00146B6E">
        <w:t>self</w:t>
      </w:r>
      <w:proofErr w:type="gramEnd"/>
      <w:r w:rsidRPr="00A03B40" w:rsidR="00146B6E">
        <w:t xml:space="preserve">-correct within 120 days </w:t>
      </w:r>
      <w:r w:rsidRPr="00A03B40" w:rsidR="00F93E20">
        <w:t>due to</w:t>
      </w:r>
      <w:r w:rsidRPr="00A03B40" w:rsidR="00146B6E">
        <w:t xml:space="preserve"> adoption of the rates at issue in this Decision. SCE</w:t>
      </w:r>
      <w:r w:rsidRPr="00A03B40" w:rsidR="00F93E20">
        <w:t xml:space="preserve"> </w:t>
      </w:r>
      <w:r w:rsidRPr="00A03B40" w:rsidR="00146B6E">
        <w:t>requested no rate changes to address the Trigger Balance exceedance.</w:t>
      </w:r>
    </w:p>
    <w:p w:rsidR="00146B6E" w:rsidP="00AB2028" w:rsidRDefault="007D4699" w14:paraId="42C81EEE" w14:textId="282EA12A">
      <w:pPr>
        <w:pStyle w:val="Standard"/>
        <w:widowControl w:val="0"/>
        <w:contextualSpacing/>
      </w:pPr>
      <w:r w:rsidRPr="00A03B40">
        <w:t>On</w:t>
      </w:r>
      <w:r w:rsidRPr="00A03B40" w:rsidR="00146B6E">
        <w:t xml:space="preserve"> November 4, </w:t>
      </w:r>
      <w:proofErr w:type="gramStart"/>
      <w:r w:rsidRPr="00A03B40" w:rsidR="00146B6E">
        <w:t>2025</w:t>
      </w:r>
      <w:proofErr w:type="gramEnd"/>
      <w:r w:rsidRPr="00A03B40" w:rsidR="00146B6E">
        <w:t xml:space="preserve"> SCE and </w:t>
      </w:r>
      <w:proofErr w:type="spellStart"/>
      <w:r w:rsidRPr="00A03B40" w:rsidR="00146B6E">
        <w:t>CalCCA</w:t>
      </w:r>
      <w:proofErr w:type="spellEnd"/>
      <w:r w:rsidRPr="00A03B40" w:rsidR="00146B6E">
        <w:t xml:space="preserve"> filed </w:t>
      </w:r>
      <w:proofErr w:type="gramStart"/>
      <w:r w:rsidRPr="00A03B40" w:rsidR="00146B6E">
        <w:t>reply</w:t>
      </w:r>
      <w:proofErr w:type="gramEnd"/>
      <w:r w:rsidRPr="00A03B40" w:rsidR="00146B6E">
        <w:t xml:space="preserve"> briefs.</w:t>
      </w:r>
    </w:p>
    <w:p w:rsidRPr="00A03B40" w:rsidR="00683B2C" w:rsidP="00AB2028" w:rsidRDefault="00683B2C" w14:paraId="25884A80" w14:textId="77777777">
      <w:pPr>
        <w:pStyle w:val="Heading2"/>
        <w:widowControl w:val="0"/>
        <w:contextualSpacing/>
      </w:pPr>
      <w:bookmarkStart w:name="_Toc214629849" w:id="10"/>
      <w:r w:rsidRPr="00A03B40">
        <w:t>Submission Date</w:t>
      </w:r>
      <w:bookmarkEnd w:id="10"/>
    </w:p>
    <w:p w:rsidRPr="00A03B40" w:rsidR="00683B2C" w:rsidP="00AB2028" w:rsidRDefault="00683B2C" w14:paraId="005222A8" w14:textId="0A142F97">
      <w:pPr>
        <w:pStyle w:val="Standard"/>
        <w:widowControl w:val="0"/>
        <w:contextualSpacing/>
      </w:pPr>
      <w:r w:rsidRPr="00A03B40">
        <w:t xml:space="preserve">This matter was submitted on </w:t>
      </w:r>
      <w:r w:rsidRPr="00A03B40" w:rsidR="007579D8">
        <w:t>November 4, 2025,</w:t>
      </w:r>
      <w:r w:rsidRPr="00A03B40">
        <w:t xml:space="preserve"> upon </w:t>
      </w:r>
      <w:proofErr w:type="gramStart"/>
      <w:r w:rsidRPr="00A03B40" w:rsidR="008B6C9A">
        <w:t>filing of</w:t>
      </w:r>
      <w:proofErr w:type="gramEnd"/>
      <w:r w:rsidRPr="00A03B40">
        <w:t xml:space="preserve"> </w:t>
      </w:r>
      <w:proofErr w:type="gramStart"/>
      <w:r w:rsidRPr="00A03B40">
        <w:t>reply</w:t>
      </w:r>
      <w:proofErr w:type="gramEnd"/>
      <w:r w:rsidR="00175D63">
        <w:t> </w:t>
      </w:r>
      <w:r w:rsidRPr="00A03B40">
        <w:t>briefs.</w:t>
      </w:r>
    </w:p>
    <w:p w:rsidRPr="00A03B40" w:rsidR="005A148C" w:rsidP="00AB2028" w:rsidRDefault="0063491C" w14:paraId="6A083BDA" w14:textId="15F4D375">
      <w:pPr>
        <w:pStyle w:val="Heading1"/>
        <w:widowControl w:val="0"/>
        <w:contextualSpacing/>
      </w:pPr>
      <w:bookmarkStart w:name="_Toc8123718" w:id="11"/>
      <w:bookmarkStart w:name="_Toc214629850" w:id="12"/>
      <w:r w:rsidRPr="00A03B40">
        <w:t>Jurisdiction</w:t>
      </w:r>
      <w:bookmarkEnd w:id="11"/>
      <w:bookmarkEnd w:id="12"/>
    </w:p>
    <w:p w:rsidRPr="00A03B40" w:rsidR="007D4699" w:rsidP="00AB2028" w:rsidRDefault="007D4699" w14:paraId="2CE18CB3" w14:textId="23DE944B">
      <w:pPr>
        <w:pStyle w:val="Standard"/>
        <w:widowControl w:val="0"/>
        <w:contextualSpacing/>
      </w:pPr>
      <w:bookmarkStart w:name="_Toc8123719" w:id="13"/>
      <w:r w:rsidRPr="00A03B40">
        <w:t xml:space="preserve">The ERRA process was established pursuant to </w:t>
      </w:r>
      <w:r w:rsidRPr="00A03B40" w:rsidR="005040F4">
        <w:t xml:space="preserve">Pub. Util. </w:t>
      </w:r>
      <w:r w:rsidRPr="00A03B40">
        <w:t xml:space="preserve">Code </w:t>
      </w:r>
      <w:r w:rsidR="003501AA">
        <w:t>S</w:t>
      </w:r>
      <w:r w:rsidRPr="00A03B40" w:rsidR="005040F4">
        <w:t>ection</w:t>
      </w:r>
      <w:r w:rsidR="003501AA">
        <w:t> </w:t>
      </w:r>
      <w:r w:rsidRPr="00A03B40">
        <w:t>454.5(d)</w:t>
      </w:r>
      <w:r w:rsidRPr="00A03B40" w:rsidR="000D6FEF">
        <w:t>,</w:t>
      </w:r>
      <w:r w:rsidRPr="00A03B40">
        <w:t xml:space="preserve"> </w:t>
      </w:r>
      <w:r w:rsidRPr="00A03B40" w:rsidR="00D76D55">
        <w:t xml:space="preserve">Commission </w:t>
      </w:r>
      <w:r w:rsidRPr="00A03B40">
        <w:t>Rules 2.1 and 3.2, and D.02-10-062.</w:t>
      </w:r>
    </w:p>
    <w:p w:rsidRPr="00A03B40" w:rsidR="007D4699" w:rsidP="00AB2028" w:rsidRDefault="005939A5" w14:paraId="3F37185F" w14:textId="773A3EC7">
      <w:pPr>
        <w:pStyle w:val="Heading1"/>
        <w:widowControl w:val="0"/>
        <w:contextualSpacing/>
      </w:pPr>
      <w:bookmarkStart w:name="_Toc214629851" w:id="14"/>
      <w:r w:rsidRPr="00A03B40">
        <w:t xml:space="preserve">Issues Before the </w:t>
      </w:r>
      <w:bookmarkEnd w:id="13"/>
      <w:r w:rsidRPr="00A03B40" w:rsidR="008A08BF">
        <w:t>Commission</w:t>
      </w:r>
      <w:bookmarkStart w:name="_Toc8123720" w:id="15"/>
      <w:bookmarkEnd w:id="14"/>
    </w:p>
    <w:p w:rsidRPr="00A03B40" w:rsidR="00D0600A" w:rsidP="00AB2028" w:rsidRDefault="00D0600A" w14:paraId="3A13FED9" w14:textId="77777777">
      <w:pPr>
        <w:pStyle w:val="Standard"/>
        <w:widowControl w:val="0"/>
        <w:contextualSpacing/>
      </w:pPr>
      <w:r w:rsidRPr="00A03B40">
        <w:t xml:space="preserve">The issues to be determined or otherwise considered are: </w:t>
      </w:r>
    </w:p>
    <w:p w:rsidRPr="00A03B40" w:rsidR="00D0600A" w:rsidP="00C44216" w:rsidRDefault="00D0600A" w14:paraId="42CAC88B" w14:textId="77777777">
      <w:pPr>
        <w:pStyle w:val="Standard"/>
        <w:widowControl w:val="0"/>
        <w:numPr>
          <w:ilvl w:val="0"/>
          <w:numId w:val="8"/>
        </w:numPr>
        <w:spacing w:line="240" w:lineRule="auto"/>
        <w:ind w:left="1080" w:right="1440"/>
        <w:contextualSpacing/>
      </w:pPr>
      <w:r w:rsidRPr="00A03B40">
        <w:t xml:space="preserve">Whether </w:t>
      </w:r>
      <w:proofErr w:type="gramStart"/>
      <w:r w:rsidRPr="00A03B40">
        <w:t>SCE’s</w:t>
      </w:r>
      <w:proofErr w:type="gramEnd"/>
      <w:r w:rsidRPr="00A03B40">
        <w:t xml:space="preserve"> requested 2026 ERRA forecast revenue requirement is reasonable, including but not limited to consideration of the following: </w:t>
      </w:r>
    </w:p>
    <w:p w:rsidRPr="00A03B40" w:rsidR="00D0600A" w:rsidP="00C44216" w:rsidRDefault="00D0600A" w14:paraId="17F0488B" w14:textId="77777777">
      <w:pPr>
        <w:pStyle w:val="Standard"/>
        <w:widowControl w:val="0"/>
        <w:numPr>
          <w:ilvl w:val="0"/>
          <w:numId w:val="9"/>
        </w:numPr>
        <w:ind w:left="1440" w:right="1440"/>
        <w:contextualSpacing/>
      </w:pPr>
      <w:r w:rsidRPr="00A03B40">
        <w:t xml:space="preserve">SCE’s forecast of electric sales and electric </w:t>
      </w:r>
      <w:proofErr w:type="gramStart"/>
      <w:r w:rsidRPr="00A03B40">
        <w:t>load;</w:t>
      </w:r>
      <w:proofErr w:type="gramEnd"/>
      <w:r w:rsidRPr="00A03B40">
        <w:t xml:space="preserve"> </w:t>
      </w:r>
    </w:p>
    <w:p w:rsidRPr="00A03B40" w:rsidR="005224D9" w:rsidP="00C44216" w:rsidRDefault="00D0600A" w14:paraId="42547F55" w14:textId="4647E874">
      <w:pPr>
        <w:pStyle w:val="Standard"/>
        <w:widowControl w:val="0"/>
        <w:numPr>
          <w:ilvl w:val="0"/>
          <w:numId w:val="9"/>
        </w:numPr>
        <w:spacing w:line="240" w:lineRule="auto"/>
        <w:ind w:left="1440" w:right="1440"/>
        <w:contextualSpacing/>
      </w:pPr>
      <w:r w:rsidRPr="00A03B40">
        <w:t>SCE’s forecast of costs for fuel and purchased power expenses (F&amp;PP</w:t>
      </w:r>
      <w:proofErr w:type="gramStart"/>
      <w:r w:rsidRPr="00A03B40">
        <w:t>);</w:t>
      </w:r>
      <w:proofErr w:type="gramEnd"/>
      <w:r w:rsidRPr="00A03B40">
        <w:t xml:space="preserve"> </w:t>
      </w:r>
    </w:p>
    <w:p w:rsidRPr="00A03B40" w:rsidR="00D0600A" w:rsidP="00C44216" w:rsidRDefault="00D0600A" w14:paraId="387DE924" w14:textId="77777777">
      <w:pPr>
        <w:pStyle w:val="Standard"/>
        <w:widowControl w:val="0"/>
        <w:numPr>
          <w:ilvl w:val="0"/>
          <w:numId w:val="9"/>
        </w:numPr>
        <w:spacing w:before="240"/>
        <w:ind w:left="1440" w:right="1440"/>
        <w:contextualSpacing/>
      </w:pPr>
      <w:r w:rsidRPr="00A03B40">
        <w:t xml:space="preserve">SCE’s forecast of costs for nuclear fuel </w:t>
      </w:r>
      <w:proofErr w:type="gramStart"/>
      <w:r w:rsidRPr="00A03B40">
        <w:t>expenses;</w:t>
      </w:r>
      <w:proofErr w:type="gramEnd"/>
      <w:r w:rsidRPr="00A03B40">
        <w:t xml:space="preserve"> </w:t>
      </w:r>
    </w:p>
    <w:p w:rsidRPr="00A03B40" w:rsidR="00D0600A" w:rsidP="00C44216" w:rsidRDefault="00D0600A" w14:paraId="74045C7A" w14:textId="77777777">
      <w:pPr>
        <w:pStyle w:val="Standard"/>
        <w:widowControl w:val="0"/>
        <w:numPr>
          <w:ilvl w:val="0"/>
          <w:numId w:val="9"/>
        </w:numPr>
        <w:ind w:left="1440" w:right="1440"/>
        <w:contextualSpacing/>
      </w:pPr>
      <w:r w:rsidRPr="00A03B40">
        <w:t xml:space="preserve">SCE’s forecast of greenhouse gas (GHG) </w:t>
      </w:r>
      <w:proofErr w:type="gramStart"/>
      <w:r w:rsidRPr="00A03B40">
        <w:t>costs;</w:t>
      </w:r>
      <w:proofErr w:type="gramEnd"/>
      <w:r w:rsidRPr="00A03B40">
        <w:t xml:space="preserve"> </w:t>
      </w:r>
    </w:p>
    <w:p w:rsidRPr="00A03B40" w:rsidR="00D0600A" w:rsidP="00C44216" w:rsidRDefault="00D0600A" w14:paraId="0AE84819" w14:textId="069715C8">
      <w:pPr>
        <w:pStyle w:val="Standard"/>
        <w:widowControl w:val="0"/>
        <w:numPr>
          <w:ilvl w:val="0"/>
          <w:numId w:val="9"/>
        </w:numPr>
        <w:spacing w:after="120" w:line="240" w:lineRule="auto"/>
        <w:ind w:left="1440" w:right="1440"/>
      </w:pPr>
      <w:r w:rsidRPr="00A03B40">
        <w:t>Annual true</w:t>
      </w:r>
      <w:r w:rsidR="006E0D77">
        <w:t xml:space="preserve"> </w:t>
      </w:r>
      <w:r w:rsidRPr="00A03B40">
        <w:t>ups for certain memorandum accounts (MAs) and balancing accounts (BAs</w:t>
      </w:r>
      <w:proofErr w:type="gramStart"/>
      <w:r w:rsidRPr="00A03B40">
        <w:t>)</w:t>
      </w:r>
      <w:r w:rsidRPr="00A03B40" w:rsidR="0079546A">
        <w:t>;</w:t>
      </w:r>
      <w:proofErr w:type="gramEnd"/>
      <w:r w:rsidRPr="00A03B40">
        <w:t xml:space="preserve"> </w:t>
      </w:r>
    </w:p>
    <w:p w:rsidRPr="00A03B40" w:rsidR="00D0600A" w:rsidP="00C44216" w:rsidRDefault="00D0600A" w14:paraId="15B54FC5" w14:textId="77777777">
      <w:pPr>
        <w:pStyle w:val="Standard"/>
        <w:widowControl w:val="0"/>
        <w:numPr>
          <w:ilvl w:val="0"/>
          <w:numId w:val="8"/>
        </w:numPr>
        <w:spacing w:after="120" w:line="240" w:lineRule="auto"/>
        <w:ind w:left="1080" w:right="1440"/>
      </w:pPr>
      <w:r w:rsidRPr="00A03B40">
        <w:lastRenderedPageBreak/>
        <w:t xml:space="preserve">Whether SCE’s forecast of GHG allowance revenue return allocations for energy-intensive trade-exposed customers, small business customers, and the residential customer California Climate Credit is </w:t>
      </w:r>
      <w:proofErr w:type="gramStart"/>
      <w:r w:rsidRPr="00A03B40">
        <w:t>reasonable;</w:t>
      </w:r>
      <w:proofErr w:type="gramEnd"/>
      <w:r w:rsidRPr="00A03B40">
        <w:t xml:space="preserve"> </w:t>
      </w:r>
    </w:p>
    <w:p w:rsidRPr="00A03B40" w:rsidR="00D0600A" w:rsidP="00C44216" w:rsidRDefault="00D0600A" w14:paraId="4CAA72B5" w14:textId="08687194">
      <w:pPr>
        <w:pStyle w:val="Standard"/>
        <w:widowControl w:val="0"/>
        <w:numPr>
          <w:ilvl w:val="0"/>
          <w:numId w:val="8"/>
        </w:numPr>
        <w:spacing w:after="120" w:line="240" w:lineRule="auto"/>
        <w:ind w:left="1080" w:right="1440"/>
      </w:pPr>
      <w:r w:rsidRPr="00A03B40">
        <w:t xml:space="preserve">Whether SCE’s forecast of GHG revenues and expenses set aside for (a) clean energy and energy efficiency programs and GHG program administration and (b) customer education and outreach plan costs are </w:t>
      </w:r>
      <w:proofErr w:type="gramStart"/>
      <w:r w:rsidRPr="00A03B40">
        <w:t>reasonable;</w:t>
      </w:r>
      <w:proofErr w:type="gramEnd"/>
    </w:p>
    <w:p w:rsidRPr="00A03B40" w:rsidR="00D0600A" w:rsidP="00C44216" w:rsidRDefault="00D0600A" w14:paraId="16B51DB9" w14:textId="57C7C64B">
      <w:pPr>
        <w:pStyle w:val="Standard"/>
        <w:widowControl w:val="0"/>
        <w:numPr>
          <w:ilvl w:val="0"/>
          <w:numId w:val="8"/>
        </w:numPr>
        <w:spacing w:after="120" w:line="240" w:lineRule="auto"/>
        <w:ind w:left="1080" w:right="1440"/>
      </w:pPr>
      <w:r w:rsidRPr="00A03B40">
        <w:t xml:space="preserve">Whether SCE’s forecast of Central Procurement Entity related costs is </w:t>
      </w:r>
      <w:proofErr w:type="gramStart"/>
      <w:r w:rsidRPr="00A03B40">
        <w:t>reasonable;</w:t>
      </w:r>
      <w:proofErr w:type="gramEnd"/>
      <w:r w:rsidRPr="00A03B40">
        <w:t xml:space="preserve"> </w:t>
      </w:r>
    </w:p>
    <w:p w:rsidRPr="00A03B40" w:rsidR="00D0600A" w:rsidP="00C44216" w:rsidRDefault="00D0600A" w14:paraId="58F7EB98" w14:textId="31D15430">
      <w:pPr>
        <w:pStyle w:val="Standard"/>
        <w:widowControl w:val="0"/>
        <w:numPr>
          <w:ilvl w:val="0"/>
          <w:numId w:val="8"/>
        </w:numPr>
        <w:spacing w:after="120" w:line="240" w:lineRule="auto"/>
        <w:ind w:left="1080" w:right="1440"/>
      </w:pPr>
      <w:r w:rsidRPr="00A03B40">
        <w:t xml:space="preserve">Whether the Cost Allocation Mechanism rates are </w:t>
      </w:r>
      <w:proofErr w:type="gramStart"/>
      <w:r w:rsidRPr="00A03B40">
        <w:t>reasonable;</w:t>
      </w:r>
      <w:proofErr w:type="gramEnd"/>
      <w:r w:rsidRPr="00A03B40">
        <w:t xml:space="preserve"> </w:t>
      </w:r>
    </w:p>
    <w:p w:rsidRPr="00A03B40" w:rsidR="00D0600A" w:rsidP="00C44216" w:rsidRDefault="00D0600A" w14:paraId="54827732" w14:textId="77777777">
      <w:pPr>
        <w:pStyle w:val="Standard"/>
        <w:widowControl w:val="0"/>
        <w:numPr>
          <w:ilvl w:val="0"/>
          <w:numId w:val="8"/>
        </w:numPr>
        <w:spacing w:after="120" w:line="240" w:lineRule="auto"/>
        <w:ind w:left="1080" w:right="1440"/>
      </w:pPr>
      <w:r w:rsidRPr="00A03B40">
        <w:t xml:space="preserve">Whether SCE’s calculations of the Power Charge Indifference Adjustment (PCIA) and Competition Transition Charge are reasonable, including discussion of the following: </w:t>
      </w:r>
    </w:p>
    <w:p w:rsidRPr="00A03B40" w:rsidR="005224D9" w:rsidP="00C44216" w:rsidRDefault="00D0600A" w14:paraId="3B4AFA93" w14:textId="3BEB2B23">
      <w:pPr>
        <w:pStyle w:val="Standard"/>
        <w:widowControl w:val="0"/>
        <w:numPr>
          <w:ilvl w:val="0"/>
          <w:numId w:val="10"/>
        </w:numPr>
        <w:spacing w:before="120" w:line="240" w:lineRule="auto"/>
        <w:ind w:left="1440" w:right="1440"/>
      </w:pPr>
      <w:r w:rsidRPr="00A03B40">
        <w:t xml:space="preserve">Treatment of resource adequacy (RA) resources and associated costs in the </w:t>
      </w:r>
      <w:proofErr w:type="gramStart"/>
      <w:r w:rsidRPr="00A03B40">
        <w:t>PCIA;</w:t>
      </w:r>
      <w:proofErr w:type="gramEnd"/>
      <w:r w:rsidRPr="00A03B40" w:rsidR="002A68CA">
        <w:t xml:space="preserve"> </w:t>
      </w:r>
    </w:p>
    <w:p w:rsidRPr="00A03B40" w:rsidR="005224D9" w:rsidP="00C44216" w:rsidRDefault="00D0600A" w14:paraId="6624D6B4" w14:textId="6AC04086">
      <w:pPr>
        <w:pStyle w:val="Standard"/>
        <w:widowControl w:val="0"/>
        <w:numPr>
          <w:ilvl w:val="0"/>
          <w:numId w:val="10"/>
        </w:numPr>
        <w:spacing w:before="120" w:line="240" w:lineRule="auto"/>
        <w:ind w:left="1440" w:right="1440"/>
      </w:pPr>
      <w:r w:rsidRPr="00A03B40">
        <w:t xml:space="preserve">Treatment of Renewable Portfolio Standard (RPS) resources with excess RPS value and allocation of RPS sales across </w:t>
      </w:r>
      <w:proofErr w:type="gramStart"/>
      <w:r w:rsidRPr="00A03B40">
        <w:t>vintages;</w:t>
      </w:r>
      <w:proofErr w:type="gramEnd"/>
    </w:p>
    <w:p w:rsidRPr="00A03B40" w:rsidR="005224D9" w:rsidP="00C44216" w:rsidRDefault="00D0600A" w14:paraId="712025EA" w14:textId="4272EFEA">
      <w:pPr>
        <w:pStyle w:val="Standard"/>
        <w:widowControl w:val="0"/>
        <w:numPr>
          <w:ilvl w:val="0"/>
          <w:numId w:val="10"/>
        </w:numPr>
        <w:spacing w:before="120" w:line="240" w:lineRule="auto"/>
        <w:ind w:left="1440" w:right="1440"/>
      </w:pPr>
      <w:r w:rsidRPr="00A03B40">
        <w:t xml:space="preserve">Calculation of the indifference </w:t>
      </w:r>
      <w:proofErr w:type="gramStart"/>
      <w:r w:rsidRPr="00A03B40">
        <w:t>amount;</w:t>
      </w:r>
      <w:proofErr w:type="gramEnd"/>
    </w:p>
    <w:p w:rsidRPr="00A03B40" w:rsidR="005224D9" w:rsidP="00C44216" w:rsidRDefault="00D0600A" w14:paraId="593E8022" w14:textId="7B32C303">
      <w:pPr>
        <w:pStyle w:val="Standard"/>
        <w:widowControl w:val="0"/>
        <w:numPr>
          <w:ilvl w:val="0"/>
          <w:numId w:val="10"/>
        </w:numPr>
        <w:spacing w:before="120" w:after="120" w:line="240" w:lineRule="auto"/>
        <w:ind w:left="1440" w:right="1440"/>
      </w:pPr>
      <w:r w:rsidRPr="00A03B40">
        <w:t>Calculation of the year-end Portfolio Allocation BA balance; and</w:t>
      </w:r>
    </w:p>
    <w:p w:rsidRPr="00A03B40" w:rsidR="00D0600A" w:rsidP="00B31A17" w:rsidRDefault="00D0600A" w14:paraId="75AF588A" w14:textId="55DE17A8">
      <w:pPr>
        <w:pStyle w:val="Standard"/>
        <w:widowControl w:val="0"/>
        <w:numPr>
          <w:ilvl w:val="0"/>
          <w:numId w:val="10"/>
        </w:numPr>
        <w:spacing w:before="120" w:after="120" w:line="240" w:lineRule="auto"/>
        <w:ind w:left="1440" w:right="1440"/>
      </w:pPr>
      <w:r w:rsidRPr="00A03B40">
        <w:t xml:space="preserve">Allocation of indifference charges across vintages and customer </w:t>
      </w:r>
      <w:proofErr w:type="gramStart"/>
      <w:r w:rsidRPr="00A03B40">
        <w:t>classes;</w:t>
      </w:r>
      <w:proofErr w:type="gramEnd"/>
      <w:r w:rsidRPr="00A03B40">
        <w:t xml:space="preserve"> </w:t>
      </w:r>
    </w:p>
    <w:p w:rsidR="00AB2028" w:rsidP="00C44216" w:rsidRDefault="00D0600A" w14:paraId="643F793C" w14:textId="77777777">
      <w:pPr>
        <w:pStyle w:val="Standard"/>
        <w:widowControl w:val="0"/>
        <w:numPr>
          <w:ilvl w:val="0"/>
          <w:numId w:val="8"/>
        </w:numPr>
        <w:spacing w:after="120" w:line="240" w:lineRule="auto"/>
        <w:ind w:left="1080" w:right="1440"/>
      </w:pPr>
      <w:r w:rsidRPr="00A03B40">
        <w:t>Whether SCE’s requests and methods used to determine the issues described above comply with all applicable rules, regulations, and decisions for all customer categories; and</w:t>
      </w:r>
    </w:p>
    <w:p w:rsidRPr="00A03B40" w:rsidR="00260715" w:rsidP="00C44216" w:rsidRDefault="00260715" w14:paraId="53F784D4" w14:textId="35810935">
      <w:pPr>
        <w:pStyle w:val="Standard"/>
        <w:widowControl w:val="0"/>
        <w:numPr>
          <w:ilvl w:val="0"/>
          <w:numId w:val="8"/>
        </w:numPr>
        <w:spacing w:after="120" w:line="240" w:lineRule="auto"/>
        <w:ind w:left="1080" w:right="1440"/>
      </w:pPr>
      <w:r w:rsidRPr="00A03B40">
        <w:t>Whether there are any safety concerns, or environmental or social justice considerations raised by the Application.</w:t>
      </w:r>
    </w:p>
    <w:p w:rsidRPr="00A03B40" w:rsidR="003E54B2" w:rsidP="00DB4175" w:rsidRDefault="008A36A4" w14:paraId="45399C91" w14:textId="36DB054B">
      <w:pPr>
        <w:pStyle w:val="Standard"/>
        <w:widowControl w:val="0"/>
        <w:contextualSpacing/>
      </w:pPr>
      <w:r w:rsidRPr="00A03B40">
        <w:t xml:space="preserve">The disputed issues in this case relate to </w:t>
      </w:r>
      <w:r w:rsidRPr="00A03B40" w:rsidR="0061221D">
        <w:t>I</w:t>
      </w:r>
      <w:r w:rsidRPr="00A03B40">
        <w:t>ssues 1, 6, and 7, above</w:t>
      </w:r>
      <w:r w:rsidRPr="00A03B40" w:rsidR="0061221D">
        <w:t xml:space="preserve">, and </w:t>
      </w:r>
      <w:r w:rsidRPr="00A03B40" w:rsidR="0061221D">
        <w:lastRenderedPageBreak/>
        <w:t xml:space="preserve">concern </w:t>
      </w:r>
      <w:proofErr w:type="gramStart"/>
      <w:r w:rsidRPr="00A03B40" w:rsidR="0061221D">
        <w:t>SCE’s</w:t>
      </w:r>
      <w:proofErr w:type="gramEnd"/>
      <w:r w:rsidRPr="00A03B40" w:rsidR="0061221D">
        <w:t xml:space="preserve"> proposed PCIA revenue requirement</w:t>
      </w:r>
      <w:r w:rsidRPr="00A03B40">
        <w:t>.</w:t>
      </w:r>
      <w:r w:rsidRPr="00A03B40">
        <w:rPr>
          <w:rStyle w:val="FootnoteReference"/>
        </w:rPr>
        <w:footnoteReference w:id="19"/>
      </w:r>
      <w:r w:rsidRPr="00A03B40" w:rsidR="002A68CA">
        <w:t xml:space="preserve"> </w:t>
      </w:r>
      <w:r w:rsidRPr="00A03B40" w:rsidR="0061221D">
        <w:t>This Decision</w:t>
      </w:r>
      <w:r w:rsidRPr="00A03B40" w:rsidR="000D6FEF">
        <w:t xml:space="preserve"> discus</w:t>
      </w:r>
      <w:r w:rsidRPr="00A03B40" w:rsidR="0061221D">
        <w:t>ses</w:t>
      </w:r>
      <w:r w:rsidRPr="00A03B40" w:rsidR="000D6FEF">
        <w:t xml:space="preserve"> disputed issues in Section</w:t>
      </w:r>
      <w:r w:rsidRPr="00A03B40" w:rsidR="0061221D">
        <w:t>s 7 and 8</w:t>
      </w:r>
      <w:r w:rsidRPr="00A03B40" w:rsidR="000D6FEF">
        <w:t>.</w:t>
      </w:r>
      <w:r w:rsidRPr="00A03B40" w:rsidR="00FA3447">
        <w:t xml:space="preserve"> </w:t>
      </w:r>
    </w:p>
    <w:p w:rsidRPr="00A03B40" w:rsidR="00AD5F6C" w:rsidP="005939A5" w:rsidRDefault="000D6FEF" w14:paraId="3E3AF215" w14:textId="794EFB03">
      <w:pPr>
        <w:pStyle w:val="Heading1"/>
      </w:pPr>
      <w:bookmarkStart w:name="_Toc214629852" w:id="16"/>
      <w:r w:rsidRPr="00A03B40">
        <w:t xml:space="preserve">2026 Energy Resource Recovery Account Forecast Overview and </w:t>
      </w:r>
      <w:r w:rsidRPr="00A03B40" w:rsidR="00CA3EE2">
        <w:t xml:space="preserve">Sales Forecast </w:t>
      </w:r>
      <w:r w:rsidRPr="00A03B40">
        <w:t>Methodology</w:t>
      </w:r>
      <w:bookmarkEnd w:id="16"/>
      <w:r w:rsidRPr="00A03B40">
        <w:t xml:space="preserve"> </w:t>
      </w:r>
    </w:p>
    <w:p w:rsidRPr="00A03B40" w:rsidR="000D6FEF" w:rsidP="005A3EAC" w:rsidRDefault="000C7F7C" w14:paraId="4EFB24C4" w14:textId="08219168">
      <w:pPr>
        <w:pStyle w:val="ListAlpha"/>
        <w:numPr>
          <w:ilvl w:val="0"/>
          <w:numId w:val="0"/>
        </w:numPr>
        <w:spacing w:after="0" w:line="360" w:lineRule="auto"/>
        <w:ind w:firstLine="720"/>
      </w:pPr>
      <w:r w:rsidRPr="00A03B40">
        <w:t xml:space="preserve">SCE’s </w:t>
      </w:r>
      <w:r w:rsidRPr="00A03B40" w:rsidR="00D003FA">
        <w:t xml:space="preserve">2026 </w:t>
      </w:r>
      <w:r w:rsidRPr="00A03B40" w:rsidR="00003469">
        <w:t xml:space="preserve">ERRA </w:t>
      </w:r>
      <w:r w:rsidRPr="00A03B40" w:rsidR="0033347D">
        <w:t>f</w:t>
      </w:r>
      <w:r w:rsidRPr="00A03B40" w:rsidR="00003469">
        <w:t>orecast revenue requirement</w:t>
      </w:r>
      <w:r w:rsidRPr="00A03B40">
        <w:t xml:space="preserve"> costs are associated with </w:t>
      </w:r>
      <w:r w:rsidRPr="00A03B40" w:rsidR="000A75D1">
        <w:t xml:space="preserve">the </w:t>
      </w:r>
      <w:r w:rsidRPr="00B31A17" w:rsidR="00F71402">
        <w:t>F&amp;PP</w:t>
      </w:r>
      <w:r w:rsidRPr="00A03B40" w:rsidR="00F71402">
        <w:t xml:space="preserve"> costs of SCE’s UOG, purchased power contracts, financing, various carrying costs, and procurement contracts to meet reliability requirements set by the Commission. </w:t>
      </w:r>
      <w:r w:rsidRPr="00A03B40" w:rsidR="00003469">
        <w:t>SCE</w:t>
      </w:r>
      <w:r w:rsidRPr="00A03B40" w:rsidR="001570DF">
        <w:t>’s</w:t>
      </w:r>
      <w:r w:rsidRPr="00A03B40" w:rsidR="00003469">
        <w:t xml:space="preserve"> </w:t>
      </w:r>
      <w:r w:rsidRPr="00A03B40" w:rsidR="00F71402">
        <w:t xml:space="preserve">F&amp;PP </w:t>
      </w:r>
      <w:proofErr w:type="gramStart"/>
      <w:r w:rsidRPr="00A03B40" w:rsidR="000740A8">
        <w:t>revenue requirement</w:t>
      </w:r>
      <w:proofErr w:type="gramEnd"/>
      <w:r w:rsidRPr="00A03B40" w:rsidR="000740A8">
        <w:t xml:space="preserve"> forecast </w:t>
      </w:r>
      <w:proofErr w:type="gramStart"/>
      <w:r w:rsidRPr="00A03B40" w:rsidR="000740A8">
        <w:t>is</w:t>
      </w:r>
      <w:proofErr w:type="gramEnd"/>
      <w:r w:rsidRPr="00A03B40" w:rsidR="000740A8">
        <w:t xml:space="preserve"> </w:t>
      </w:r>
      <w:r w:rsidRPr="00A03B40" w:rsidR="00F71402">
        <w:t>developed to provide sufficient energy to meet customer</w:t>
      </w:r>
      <w:r w:rsidRPr="00A03B40" w:rsidR="000A75D1">
        <w:t xml:space="preserve"> demand, </w:t>
      </w:r>
      <w:r w:rsidRPr="00A03B40" w:rsidR="000A75D1">
        <w:rPr>
          <w:i/>
          <w:iCs/>
        </w:rPr>
        <w:t>i.e.</w:t>
      </w:r>
      <w:r w:rsidRPr="00A03B40" w:rsidR="000A75D1">
        <w:t xml:space="preserve">, </w:t>
      </w:r>
      <w:r w:rsidRPr="00A03B40" w:rsidR="000740A8">
        <w:t xml:space="preserve">the number of customers and energy sales </w:t>
      </w:r>
      <w:r w:rsidRPr="00A03B40" w:rsidR="000A75D1">
        <w:t xml:space="preserve">per customer that </w:t>
      </w:r>
      <w:r w:rsidRPr="00A03B40" w:rsidR="000740A8">
        <w:t xml:space="preserve">SCE forecasts for 2026. </w:t>
      </w:r>
      <w:r w:rsidRPr="00A03B40" w:rsidR="00F71402">
        <w:t>SCE forecasts customer sales as described below.</w:t>
      </w:r>
    </w:p>
    <w:p w:rsidRPr="00A03B40" w:rsidR="00DF15A9" w:rsidP="005A3EAC" w:rsidRDefault="00DF15A9" w14:paraId="64659563" w14:textId="227BDCE1">
      <w:pPr>
        <w:pStyle w:val="Standard"/>
        <w:widowControl w:val="0"/>
        <w:contextualSpacing/>
      </w:pPr>
      <w:r w:rsidRPr="00A03B40">
        <w:t>As noted above, on October 27, 2025, SCE served an Amended October Update, Exhibit SCE-05A, containing what SCE describes as two corrections to its October Update. First, the Amended October Update corrects SCE’s omission of general rate case (GRC) revenues into its Billed Revenue Allocation Table (BRAT), which is used to determine how applicable customer revenues are distributed to generation related balancing accounts. SCE also include</w:t>
      </w:r>
      <w:r w:rsidRPr="00A03B40" w:rsidR="005A3EAC">
        <w:t>s</w:t>
      </w:r>
      <w:r w:rsidRPr="00A03B40">
        <w:t xml:space="preserve"> two 2026 </w:t>
      </w:r>
      <w:r w:rsidRPr="00A03B40" w:rsidR="005A3EAC">
        <w:t>RA</w:t>
      </w:r>
      <w:r w:rsidRPr="00A03B40">
        <w:t xml:space="preserve"> contracts in its Amended October Update that had been included in SCE’s May Filing but inadvertently omitted from the October Update.</w:t>
      </w:r>
      <w:r w:rsidRPr="00A03B40">
        <w:rPr>
          <w:rStyle w:val="FootnoteReference"/>
        </w:rPr>
        <w:footnoteReference w:id="20"/>
      </w:r>
      <w:r w:rsidRPr="00A03B40">
        <w:t xml:space="preserve"> </w:t>
      </w:r>
      <w:r w:rsidRPr="00A03B40" w:rsidR="005A3EAC">
        <w:t xml:space="preserve">SCE’s Amended October Update also included an update to SCE’s RA Optimizer. </w:t>
      </w:r>
      <w:r w:rsidRPr="00A03B40">
        <w:t xml:space="preserve">These corrections </w:t>
      </w:r>
      <w:r w:rsidRPr="00A03B40" w:rsidR="005A3EAC">
        <w:t xml:space="preserve">and updates </w:t>
      </w:r>
      <w:r w:rsidRPr="00A03B40">
        <w:t xml:space="preserve">impacted the forecast 2026 </w:t>
      </w:r>
      <w:r w:rsidRPr="00A03B40" w:rsidR="005A3EAC">
        <w:t xml:space="preserve">and 2025 true-up </w:t>
      </w:r>
      <w:r w:rsidRPr="00A03B40">
        <w:t xml:space="preserve">ERRA BA and PABA </w:t>
      </w:r>
      <w:r w:rsidRPr="00A03B40" w:rsidR="005A3EAC">
        <w:t xml:space="preserve">balances. Separately, SCE’s Amended October Update also updates the authorized revenue forecast for October-December 2025 to reflect the updated authorized amount from SCE’s test-year (TY) 2025 </w:t>
      </w:r>
      <w:r w:rsidRPr="00A03B40" w:rsidR="009917FF">
        <w:t xml:space="preserve">general rate case </w:t>
      </w:r>
      <w:r w:rsidRPr="00A03B40" w:rsidR="009917FF">
        <w:lastRenderedPageBreak/>
        <w:t>(</w:t>
      </w:r>
      <w:r w:rsidRPr="00A03B40" w:rsidR="005A3EAC">
        <w:t>GRC</w:t>
      </w:r>
      <w:r w:rsidRPr="00A03B40" w:rsidR="009917FF">
        <w:t>)</w:t>
      </w:r>
      <w:r w:rsidRPr="00A03B40" w:rsidR="005A3EAC">
        <w:t xml:space="preserve"> Decision.</w:t>
      </w:r>
      <w:r w:rsidRPr="00A03B40" w:rsidR="005A3EAC">
        <w:rPr>
          <w:rStyle w:val="FootnoteReference"/>
        </w:rPr>
        <w:footnoteReference w:id="21"/>
      </w:r>
    </w:p>
    <w:p w:rsidRPr="00A03B40" w:rsidR="000740A8" w:rsidP="00AB2028" w:rsidRDefault="000740A8" w14:paraId="7F4EBD85" w14:textId="64816848">
      <w:pPr>
        <w:pStyle w:val="Heading2"/>
        <w:keepNext w:val="0"/>
        <w:keepLines w:val="0"/>
        <w:widowControl w:val="0"/>
        <w:contextualSpacing/>
      </w:pPr>
      <w:bookmarkStart w:name="_Toc214629853" w:id="17"/>
      <w:r w:rsidRPr="00A03B40">
        <w:t xml:space="preserve">2026 </w:t>
      </w:r>
      <w:r w:rsidRPr="00A03B40" w:rsidR="00E62B5D">
        <w:t xml:space="preserve">Electric </w:t>
      </w:r>
      <w:r w:rsidRPr="00A03B40">
        <w:t xml:space="preserve">Sales </w:t>
      </w:r>
      <w:r w:rsidRPr="00A03B40" w:rsidR="00E62B5D">
        <w:t xml:space="preserve">and Electric </w:t>
      </w:r>
      <w:r w:rsidR="00A208AF">
        <w:br/>
      </w:r>
      <w:r w:rsidRPr="00A03B40" w:rsidR="00E62B5D">
        <w:t xml:space="preserve">Load </w:t>
      </w:r>
      <w:r w:rsidRPr="00A03B40">
        <w:t>Forecast Methodology</w:t>
      </w:r>
      <w:bookmarkEnd w:id="17"/>
      <w:r w:rsidRPr="00A03B40">
        <w:t xml:space="preserve"> </w:t>
      </w:r>
    </w:p>
    <w:p w:rsidRPr="00A03B40" w:rsidR="00AD5F6C" w:rsidP="00DB4175" w:rsidRDefault="00AD5F6C" w14:paraId="530FE931" w14:textId="091B9FE1">
      <w:pPr>
        <w:pStyle w:val="ListAlpha"/>
        <w:widowControl w:val="0"/>
        <w:numPr>
          <w:ilvl w:val="0"/>
          <w:numId w:val="0"/>
        </w:numPr>
        <w:spacing w:after="0" w:line="360" w:lineRule="auto"/>
        <w:ind w:firstLine="720"/>
        <w:contextualSpacing/>
      </w:pPr>
      <w:r w:rsidRPr="00A03B40">
        <w:t xml:space="preserve">The Commission adopts </w:t>
      </w:r>
      <w:proofErr w:type="gramStart"/>
      <w:r w:rsidRPr="00A03B40">
        <w:t>SCE’s</w:t>
      </w:r>
      <w:proofErr w:type="gramEnd"/>
      <w:r w:rsidRPr="00A03B40">
        <w:t xml:space="preserve"> proposed 2026 </w:t>
      </w:r>
      <w:r w:rsidRPr="00A03B40" w:rsidR="00860992">
        <w:t>forecast</w:t>
      </w:r>
      <w:r w:rsidRPr="00A03B40" w:rsidR="0041426A">
        <w:t>s</w:t>
      </w:r>
      <w:r w:rsidRPr="00A03B40" w:rsidR="00860992">
        <w:t xml:space="preserve"> </w:t>
      </w:r>
      <w:r w:rsidRPr="00A03B40" w:rsidR="0041426A">
        <w:t xml:space="preserve">of </w:t>
      </w:r>
      <w:r w:rsidRPr="00A03B40" w:rsidR="00860992">
        <w:t>electric sales and electric load</w:t>
      </w:r>
      <w:r w:rsidRPr="00A03B40">
        <w:t xml:space="preserve">. SCE forecasts total retail </w:t>
      </w:r>
      <w:r w:rsidRPr="00A03B40" w:rsidR="00C039A8">
        <w:t xml:space="preserve">net electricity </w:t>
      </w:r>
      <w:r w:rsidRPr="00A03B40">
        <w:t>sales of 78,773 gigawatt hours (GWh) in 2025 and 80,447 GWh in 2026; recorded sales totaled 79,502 GWh in 2024.</w:t>
      </w:r>
      <w:r w:rsidRPr="00A03B40">
        <w:rPr>
          <w:rStyle w:val="FootnoteReference"/>
        </w:rPr>
        <w:footnoteReference w:id="22"/>
      </w:r>
      <w:r w:rsidRPr="00A03B40" w:rsidR="002A68CA">
        <w:t xml:space="preserve"> </w:t>
      </w:r>
      <w:r w:rsidRPr="00A03B40" w:rsidR="001040C9">
        <w:t>SCE’s forecasts represent</w:t>
      </w:r>
      <w:r w:rsidRPr="00A03B40">
        <w:t xml:space="preserve"> a slight decrease in total retail sales of </w:t>
      </w:r>
      <w:r w:rsidRPr="00A03B40" w:rsidR="00574F77">
        <w:t>roughly one</w:t>
      </w:r>
      <w:r w:rsidRPr="00A03B40">
        <w:t xml:space="preserve"> percent in 2025 and an increase of </w:t>
      </w:r>
      <w:r w:rsidRPr="00A03B40" w:rsidR="003E6D97">
        <w:t>2.2</w:t>
      </w:r>
      <w:r w:rsidRPr="00A03B40">
        <w:t xml:space="preserve"> percent in 2026. SCE states that the slight decrease in projected 2025 sales compared to 2024 actual sales </w:t>
      </w:r>
      <w:r w:rsidRPr="00A03B40" w:rsidR="009917FF">
        <w:t xml:space="preserve">results from </w:t>
      </w:r>
      <w:r w:rsidRPr="00A03B40">
        <w:t>normal weather assumption for 2025 relative to the hot weather conditions experienced in 2024. SCE states that the anticipated increase in 2026 is mainly due to a projected increase in electricity</w:t>
      </w:r>
      <w:r w:rsidRPr="00A03B40" w:rsidR="009917FF">
        <w:t xml:space="preserve"> use</w:t>
      </w:r>
      <w:r w:rsidRPr="00A03B40">
        <w:t xml:space="preserve"> from increased space cooling load and transportation electrification loads.</w:t>
      </w:r>
    </w:p>
    <w:p w:rsidRPr="00A03B40" w:rsidR="00AD5F6C" w:rsidP="00DB4175" w:rsidRDefault="001D1A57" w14:paraId="2471E148" w14:textId="1875C05B">
      <w:pPr>
        <w:pStyle w:val="ListAlpha"/>
        <w:widowControl w:val="0"/>
        <w:numPr>
          <w:ilvl w:val="0"/>
          <w:numId w:val="0"/>
        </w:numPr>
        <w:spacing w:after="0" w:line="360" w:lineRule="auto"/>
        <w:ind w:firstLine="720"/>
        <w:contextualSpacing/>
      </w:pPr>
      <w:r w:rsidRPr="00A03B40">
        <w:t>SCE bases its bundled service customer sales forecast on a total retail sales forecast developed in December 2024.</w:t>
      </w:r>
      <w:r w:rsidRPr="00A03B40">
        <w:rPr>
          <w:rStyle w:val="FootnoteReference"/>
        </w:rPr>
        <w:footnoteReference w:id="23"/>
      </w:r>
      <w:r w:rsidRPr="00A03B40">
        <w:t xml:space="preserve"> </w:t>
      </w:r>
      <w:r w:rsidRPr="00A03B40" w:rsidR="00AD5F6C">
        <w:t xml:space="preserve">SCE </w:t>
      </w:r>
      <w:r w:rsidRPr="00A03B40">
        <w:t>projects its total retail sales forecast using</w:t>
      </w:r>
      <w:r w:rsidRPr="00A03B40" w:rsidR="00AD5F6C">
        <w:t xml:space="preserve"> econometric models</w:t>
      </w:r>
      <w:r w:rsidRPr="00A03B40">
        <w:t>.</w:t>
      </w:r>
      <w:r w:rsidRPr="00A03B40" w:rsidR="00AD5F6C">
        <w:rPr>
          <w:rStyle w:val="FootnoteReference"/>
        </w:rPr>
        <w:footnoteReference w:id="24"/>
      </w:r>
      <w:r w:rsidRPr="00A03B40">
        <w:t xml:space="preserve"> </w:t>
      </w:r>
      <w:r w:rsidRPr="00A03B40" w:rsidR="00AD5F6C">
        <w:t xml:space="preserve">SCE states that the retail sales forecast </w:t>
      </w:r>
      <w:r w:rsidRPr="00A03B40">
        <w:t>represents</w:t>
      </w:r>
      <w:r w:rsidRPr="00A03B40" w:rsidR="00AD5F6C">
        <w:t xml:space="preserve"> the sum of forecast sales in seven customer classes</w:t>
      </w:r>
      <w:r w:rsidRPr="00A03B40" w:rsidR="003E4D43">
        <w:t>,</w:t>
      </w:r>
      <w:r w:rsidRPr="00A03B40" w:rsidR="003E4D43">
        <w:rPr>
          <w:rStyle w:val="FootnoteReference"/>
        </w:rPr>
        <w:t xml:space="preserve"> </w:t>
      </w:r>
      <w:r w:rsidRPr="00A03B40" w:rsidR="003E4D43">
        <w:t>measured at the customer meter</w:t>
      </w:r>
      <w:r w:rsidRPr="00A03B40" w:rsidR="00AD5F6C">
        <w:t>.</w:t>
      </w:r>
      <w:r w:rsidRPr="00A03B40" w:rsidR="002A68CA">
        <w:t xml:space="preserve"> </w:t>
      </w:r>
      <w:r w:rsidRPr="00A03B40" w:rsidR="00AD5F6C">
        <w:t xml:space="preserve">The sales forecast for each class is the product of two separate forecasts: a forecast of electricity consumption per customer or per building square foot, and </w:t>
      </w:r>
      <w:r w:rsidRPr="00A03B40" w:rsidR="00AD5F6C">
        <w:lastRenderedPageBreak/>
        <w:t xml:space="preserve">a forecast of the </w:t>
      </w:r>
      <w:r w:rsidRPr="00A03B40" w:rsidR="003D6D66">
        <w:t xml:space="preserve">total </w:t>
      </w:r>
      <w:r w:rsidRPr="00A03B40" w:rsidR="00AD5F6C">
        <w:t>number of customers or total building square feet.</w:t>
      </w:r>
      <w:r w:rsidRPr="00A03B40" w:rsidR="00746514">
        <w:rPr>
          <w:rStyle w:val="FootnoteReference"/>
        </w:rPr>
        <w:t xml:space="preserve"> </w:t>
      </w:r>
      <w:r w:rsidRPr="00A03B40" w:rsidR="00746514">
        <w:rPr>
          <w:rStyle w:val="FootnoteReference"/>
        </w:rPr>
        <w:footnoteReference w:id="25"/>
      </w:r>
      <w:r w:rsidRPr="00A03B40" w:rsidR="00746514">
        <w:rPr>
          <w:vertAlign w:val="superscript"/>
        </w:rPr>
        <w:t>,</w:t>
      </w:r>
      <w:r w:rsidRPr="00A03B40" w:rsidR="00F464B1">
        <w:rPr>
          <w:rStyle w:val="FootnoteReference"/>
        </w:rPr>
        <w:t xml:space="preserve"> </w:t>
      </w:r>
      <w:r w:rsidRPr="00A03B40" w:rsidR="00F464B1">
        <w:rPr>
          <w:rStyle w:val="FootnoteReference"/>
        </w:rPr>
        <w:footnoteReference w:id="26"/>
      </w:r>
    </w:p>
    <w:p w:rsidRPr="00A03B40" w:rsidR="00AB2028" w:rsidP="00DB4175" w:rsidRDefault="005A1094" w14:paraId="3CA17311" w14:textId="668AD9FA">
      <w:pPr>
        <w:pStyle w:val="ListAlpha"/>
        <w:widowControl w:val="0"/>
        <w:numPr>
          <w:ilvl w:val="0"/>
          <w:numId w:val="0"/>
        </w:numPr>
        <w:spacing w:line="360" w:lineRule="auto"/>
        <w:ind w:firstLine="720"/>
        <w:contextualSpacing/>
      </w:pPr>
      <w:r w:rsidRPr="00A03B40">
        <w:t>SCE testifies that t</w:t>
      </w:r>
      <w:r w:rsidRPr="00A03B40" w:rsidR="00AD5F6C">
        <w:t xml:space="preserve">he econometric modelling that creates </w:t>
      </w:r>
      <w:r w:rsidRPr="00A03B40" w:rsidR="00E64B04">
        <w:t>its</w:t>
      </w:r>
      <w:r w:rsidRPr="00A03B40" w:rsidR="00AD5F6C">
        <w:t xml:space="preserve"> retail sales forecast </w:t>
      </w:r>
      <w:r w:rsidRPr="00A03B40" w:rsidR="009917FF">
        <w:t>considers</w:t>
      </w:r>
      <w:r w:rsidRPr="00A03B40" w:rsidR="00AD5F6C">
        <w:t xml:space="preserve"> variables including weather projections, electricity rates, number of billing days, employment, personal income indices, and building stock.</w:t>
      </w:r>
      <w:r w:rsidRPr="00A03B40" w:rsidR="00AD5F6C">
        <w:rPr>
          <w:rStyle w:val="FootnoteReference"/>
        </w:rPr>
        <w:footnoteReference w:id="27"/>
      </w:r>
      <w:r w:rsidRPr="00A03B40" w:rsidR="002A68CA">
        <w:t xml:space="preserve"> </w:t>
      </w:r>
      <w:r w:rsidRPr="00A03B40" w:rsidR="003E4D43">
        <w:t>SCE</w:t>
      </w:r>
      <w:r w:rsidRPr="00A03B40" w:rsidR="00A41D91">
        <w:t xml:space="preserve"> </w:t>
      </w:r>
      <w:r w:rsidRPr="00A03B40" w:rsidR="009757BA">
        <w:t>adjust</w:t>
      </w:r>
      <w:r w:rsidRPr="00A03B40" w:rsidR="00E64B04">
        <w:t>s</w:t>
      </w:r>
      <w:r w:rsidRPr="00A03B40" w:rsidR="003E4D43">
        <w:t xml:space="preserve"> the model</w:t>
      </w:r>
      <w:r w:rsidRPr="00A03B40" w:rsidR="009757BA">
        <w:t xml:space="preserve"> </w:t>
      </w:r>
      <w:r w:rsidRPr="00A03B40" w:rsidR="00A41D91">
        <w:t xml:space="preserve">results </w:t>
      </w:r>
      <w:r w:rsidRPr="00A03B40" w:rsidR="009757BA">
        <w:t>to reflect current trends, including, for example, to reflect forecasted strong behind-the-meter solar generation growth expected due to building code requirements.</w:t>
      </w:r>
      <w:r w:rsidRPr="00A03B40" w:rsidR="009757BA">
        <w:rPr>
          <w:rStyle w:val="FootnoteReference"/>
        </w:rPr>
        <w:footnoteReference w:id="28"/>
      </w:r>
      <w:r w:rsidRPr="00A03B40" w:rsidR="00AB2028">
        <w:tab/>
      </w:r>
    </w:p>
    <w:p w:rsidRPr="00A03B40" w:rsidR="00AD5F6C" w:rsidP="00AB2028" w:rsidRDefault="00AB2028" w14:paraId="5B1378FA" w14:textId="12AC32FC">
      <w:pPr>
        <w:pStyle w:val="ListAlpha"/>
        <w:widowControl w:val="0"/>
        <w:numPr>
          <w:ilvl w:val="0"/>
          <w:numId w:val="0"/>
        </w:numPr>
        <w:spacing w:after="0" w:line="360" w:lineRule="auto"/>
        <w:ind w:firstLine="720"/>
      </w:pPr>
      <w:r w:rsidRPr="00A03B40">
        <w:t>SCE forecasts residential customer growth based primarily on population growth</w:t>
      </w:r>
      <w:r w:rsidRPr="00A03B40" w:rsidR="0041426A">
        <w:t xml:space="preserve"> and</w:t>
      </w:r>
      <w:r w:rsidRPr="00A03B40" w:rsidR="00E64B04">
        <w:t xml:space="preserve"> assumes </w:t>
      </w:r>
      <w:r w:rsidRPr="00A03B40">
        <w:t>commercial customer growth is tied to residential customer growth, while industrial customer growth is related to changes in manufacturing employment</w:t>
      </w:r>
      <w:r w:rsidRPr="00A03B40" w:rsidR="00AD5F6C">
        <w:t>.</w:t>
      </w:r>
      <w:r w:rsidRPr="00A03B40" w:rsidR="00AD5F6C">
        <w:rPr>
          <w:rStyle w:val="FootnoteReference"/>
        </w:rPr>
        <w:footnoteReference w:id="29"/>
      </w:r>
      <w:r w:rsidRPr="00A03B40" w:rsidR="002A68CA">
        <w:t xml:space="preserve"> </w:t>
      </w:r>
      <w:r w:rsidRPr="00A03B40" w:rsidR="00AD5F6C">
        <w:t xml:space="preserve">SCE forecasts </w:t>
      </w:r>
      <w:r w:rsidRPr="00A03B40" w:rsidR="003E4D43">
        <w:t>its</w:t>
      </w:r>
      <w:r w:rsidRPr="00A03B40" w:rsidR="00AD5F6C">
        <w:t xml:space="preserve"> total retail customer</w:t>
      </w:r>
      <w:r w:rsidRPr="00A03B40" w:rsidR="003E4D43">
        <w:t xml:space="preserve"> count</w:t>
      </w:r>
      <w:r w:rsidRPr="00A03B40" w:rsidR="00AD5F6C">
        <w:t xml:space="preserve"> to increase by 0.6</w:t>
      </w:r>
      <w:r w:rsidR="00496725">
        <w:t> </w:t>
      </w:r>
      <w:r w:rsidRPr="00A03B40" w:rsidR="00AD5F6C">
        <w:t>percent in 2025 and 0.7 percent in 2026.</w:t>
      </w:r>
      <w:r w:rsidRPr="00A03B40" w:rsidR="00AD5F6C">
        <w:rPr>
          <w:rStyle w:val="FootnoteReference"/>
        </w:rPr>
        <w:footnoteReference w:id="30"/>
      </w:r>
    </w:p>
    <w:p w:rsidRPr="00A03B40" w:rsidR="001B5962" w:rsidP="00AB2028" w:rsidRDefault="001B5962" w14:paraId="0CF1C2E3" w14:textId="1309C2CE">
      <w:pPr>
        <w:pStyle w:val="ListAlpha"/>
        <w:widowControl w:val="0"/>
        <w:numPr>
          <w:ilvl w:val="0"/>
          <w:numId w:val="0"/>
        </w:numPr>
        <w:spacing w:after="0" w:line="360" w:lineRule="auto"/>
        <w:ind w:firstLine="720"/>
        <w:contextualSpacing/>
        <w:rPr>
          <w:spacing w:val="-2"/>
        </w:rPr>
      </w:pPr>
      <w:bookmarkStart w:name="_Hlk210720640" w:id="18"/>
      <w:r w:rsidRPr="00A03B40">
        <w:rPr>
          <w:spacing w:val="-2"/>
        </w:rPr>
        <w:t xml:space="preserve">SCE determines hourly </w:t>
      </w:r>
      <w:r w:rsidRPr="00A03B40" w:rsidR="00D46113">
        <w:rPr>
          <w:spacing w:val="-2"/>
        </w:rPr>
        <w:t xml:space="preserve">bundled service customer </w:t>
      </w:r>
      <w:r w:rsidRPr="00A03B40">
        <w:rPr>
          <w:spacing w:val="-2"/>
        </w:rPr>
        <w:t>loads by applying an hourly load shape to the annual bundled energy forecast. The hourly load shapes are created using econometric modelling</w:t>
      </w:r>
      <w:bookmarkEnd w:id="18"/>
      <w:r w:rsidRPr="00A03B40">
        <w:rPr>
          <w:spacing w:val="-2"/>
        </w:rPr>
        <w:t>.</w:t>
      </w:r>
      <w:r w:rsidRPr="00A03B40">
        <w:rPr>
          <w:rStyle w:val="FootnoteReference"/>
          <w:spacing w:val="-2"/>
        </w:rPr>
        <w:footnoteReference w:id="31"/>
      </w:r>
      <w:r w:rsidRPr="00A03B40">
        <w:rPr>
          <w:spacing w:val="-2"/>
        </w:rPr>
        <w:t xml:space="preserve"> </w:t>
      </w:r>
    </w:p>
    <w:p w:rsidRPr="00A03B40" w:rsidR="00AD5F6C" w:rsidP="006A4D45" w:rsidRDefault="00AD5F6C" w14:paraId="65679D71" w14:textId="2185B18F">
      <w:pPr>
        <w:pStyle w:val="ListAlpha"/>
        <w:numPr>
          <w:ilvl w:val="0"/>
          <w:numId w:val="0"/>
        </w:numPr>
        <w:spacing w:after="0" w:line="360" w:lineRule="auto"/>
        <w:ind w:firstLine="720"/>
        <w:contextualSpacing/>
        <w:rPr>
          <w:spacing w:val="-2"/>
        </w:rPr>
      </w:pPr>
      <w:r w:rsidRPr="00A03B40">
        <w:lastRenderedPageBreak/>
        <w:t xml:space="preserve">No </w:t>
      </w:r>
      <w:r w:rsidRPr="00A03B40" w:rsidR="009F5C65">
        <w:t>intervenors</w:t>
      </w:r>
      <w:r w:rsidRPr="00A03B40">
        <w:t xml:space="preserve"> addressed SCE’s </w:t>
      </w:r>
      <w:r w:rsidRPr="00A03B40" w:rsidR="00A6104E">
        <w:t>forecast</w:t>
      </w:r>
      <w:r w:rsidRPr="00A03B40" w:rsidR="0041426A">
        <w:t xml:space="preserve"> </w:t>
      </w:r>
      <w:r w:rsidRPr="00A03B40" w:rsidR="00A6104E">
        <w:t xml:space="preserve">electric sales </w:t>
      </w:r>
      <w:r w:rsidRPr="00A03B40" w:rsidR="0041426A">
        <w:t>or</w:t>
      </w:r>
      <w:r w:rsidRPr="00A03B40" w:rsidR="00A6104E">
        <w:t xml:space="preserve"> electric load </w:t>
      </w:r>
      <w:r w:rsidRPr="00A03B40">
        <w:t xml:space="preserve">testimony </w:t>
      </w:r>
      <w:r w:rsidRPr="00A03B40" w:rsidR="00A6104E">
        <w:t>or</w:t>
      </w:r>
      <w:r w:rsidRPr="00A03B40">
        <w:t xml:space="preserve"> </w:t>
      </w:r>
      <w:proofErr w:type="gramStart"/>
      <w:r w:rsidRPr="00A03B40">
        <w:t>workpapers</w:t>
      </w:r>
      <w:proofErr w:type="gramEnd"/>
      <w:r w:rsidRPr="00A03B40">
        <w:t>.</w:t>
      </w:r>
      <w:r w:rsidRPr="00A03B40" w:rsidR="002A68CA">
        <w:t xml:space="preserve"> </w:t>
      </w:r>
      <w:r w:rsidRPr="00A03B40">
        <w:t xml:space="preserve">After reviewing SCE’s </w:t>
      </w:r>
      <w:r w:rsidRPr="00A03B40" w:rsidR="00A6104E">
        <w:t>testimony</w:t>
      </w:r>
      <w:r w:rsidRPr="00A03B40" w:rsidR="009F5C65">
        <w:t xml:space="preserve"> and</w:t>
      </w:r>
      <w:r w:rsidRPr="00A03B40">
        <w:t xml:space="preserve"> workpapers, we find SCE’s forecast 2026 electric sales and electric load to be</w:t>
      </w:r>
      <w:r w:rsidRPr="00A03B40" w:rsidR="00A6104E">
        <w:t xml:space="preserve"> </w:t>
      </w:r>
      <w:r w:rsidRPr="00A03B40">
        <w:t>reasonable and therefore approve them.</w:t>
      </w:r>
    </w:p>
    <w:p w:rsidRPr="00A03B40" w:rsidR="004F6A99" w:rsidP="005939A5" w:rsidRDefault="002A4CDC" w14:paraId="70E30884" w14:textId="50B01F96">
      <w:pPr>
        <w:pStyle w:val="Heading1"/>
      </w:pPr>
      <w:bookmarkStart w:name="_Toc214629854" w:id="19"/>
      <w:r w:rsidRPr="00A03B40">
        <w:t>Southern California Edison Company’s Portfolio of Resources and Procurement Cost Forecast Methodology</w:t>
      </w:r>
      <w:bookmarkEnd w:id="19"/>
    </w:p>
    <w:p w:rsidR="003501AA" w:rsidP="0041426A" w:rsidRDefault="004F6A99" w14:paraId="15642334" w14:textId="77777777">
      <w:pPr>
        <w:pStyle w:val="Standard"/>
      </w:pPr>
      <w:r w:rsidRPr="00A03B40">
        <w:t xml:space="preserve">This section discusses </w:t>
      </w:r>
      <w:r w:rsidRPr="00A03B40" w:rsidR="003F3F5B">
        <w:t xml:space="preserve">the </w:t>
      </w:r>
      <w:r w:rsidRPr="00A03B40">
        <w:t>portfolio of resources SCE intends to use to satisfy customer demand in 2026</w:t>
      </w:r>
      <w:r w:rsidRPr="00A03B40" w:rsidR="00913B91">
        <w:t xml:space="preserve"> and the methods and factors SCE uses to forecast capacity, production, and related costs and revenues</w:t>
      </w:r>
      <w:r w:rsidRPr="00A03B40">
        <w:t>.</w:t>
      </w:r>
      <w:r w:rsidRPr="00A03B40" w:rsidR="002A68CA">
        <w:t xml:space="preserve"> </w:t>
      </w:r>
      <w:r w:rsidRPr="00A03B40" w:rsidR="003F3F5B">
        <w:t>SCE’s</w:t>
      </w:r>
      <w:r w:rsidRPr="00A03B40" w:rsidR="00860992">
        <w:t xml:space="preserve"> resources include </w:t>
      </w:r>
      <w:bookmarkStart w:name="_Hlk210724364" w:id="20"/>
      <w:r w:rsidRPr="00A03B40" w:rsidR="00860992">
        <w:t>UOG</w:t>
      </w:r>
      <w:r w:rsidRPr="00A03B40" w:rsidR="0046436B">
        <w:t xml:space="preserve">, including </w:t>
      </w:r>
      <w:r w:rsidRPr="00B31A17" w:rsidR="0046436B">
        <w:t>UO</w:t>
      </w:r>
      <w:r w:rsidRPr="00A03B40" w:rsidR="00860992">
        <w:t xml:space="preserve"> </w:t>
      </w:r>
      <w:r w:rsidRPr="00A03B40" w:rsidR="009C08AE">
        <w:t>nuclear</w:t>
      </w:r>
      <w:r w:rsidRPr="00A03B40" w:rsidR="000E240F">
        <w:t xml:space="preserve"> generation</w:t>
      </w:r>
      <w:r w:rsidRPr="00A03B40" w:rsidR="009C08AE">
        <w:t xml:space="preserve">, </w:t>
      </w:r>
      <w:r w:rsidRPr="00A03B40" w:rsidR="0046436B">
        <w:t xml:space="preserve">UO </w:t>
      </w:r>
      <w:r w:rsidRPr="00A03B40" w:rsidR="009C08AE">
        <w:t>hydroelectric</w:t>
      </w:r>
      <w:r w:rsidRPr="00A03B40" w:rsidR="000E240F">
        <w:t xml:space="preserve"> generation</w:t>
      </w:r>
      <w:r w:rsidRPr="00A03B40" w:rsidR="009C08AE">
        <w:t xml:space="preserve">, </w:t>
      </w:r>
      <w:r w:rsidRPr="00A03B40" w:rsidR="0046436B">
        <w:t xml:space="preserve">UO </w:t>
      </w:r>
      <w:r w:rsidRPr="00A03B40" w:rsidR="000E240F">
        <w:t>fossil fuel generation (</w:t>
      </w:r>
      <w:r w:rsidRPr="00A03B40" w:rsidR="00366251">
        <w:rPr>
          <w:i/>
          <w:iCs/>
        </w:rPr>
        <w:t>e.g.</w:t>
      </w:r>
      <w:r w:rsidRPr="00A03B40" w:rsidR="00366251">
        <w:t xml:space="preserve">, </w:t>
      </w:r>
      <w:r w:rsidRPr="00A03B40" w:rsidR="000E240F">
        <w:t xml:space="preserve">natural gas), </w:t>
      </w:r>
      <w:r w:rsidRPr="00A03B40" w:rsidR="0046436B">
        <w:t xml:space="preserve">UO </w:t>
      </w:r>
      <w:r w:rsidRPr="00A03B40" w:rsidR="009C08AE">
        <w:t>renewable generation resources</w:t>
      </w:r>
      <w:r w:rsidRPr="00A03B40" w:rsidR="00366251">
        <w:t>, and UO storage</w:t>
      </w:r>
      <w:r w:rsidRPr="00A03B40" w:rsidR="00860992">
        <w:t>.</w:t>
      </w:r>
      <w:r w:rsidRPr="00A03B40" w:rsidR="00366251">
        <w:rPr>
          <w:rStyle w:val="FootnoteReference"/>
        </w:rPr>
        <w:footnoteReference w:id="32"/>
      </w:r>
      <w:r w:rsidRPr="00A03B40" w:rsidR="002A68CA">
        <w:t xml:space="preserve"> </w:t>
      </w:r>
      <w:r w:rsidRPr="00A03B40" w:rsidR="00860992">
        <w:t xml:space="preserve">SCE’s </w:t>
      </w:r>
      <w:r w:rsidRPr="00A03B40" w:rsidR="00366251">
        <w:t>purchased power</w:t>
      </w:r>
      <w:r w:rsidRPr="00A03B40" w:rsidR="00860992">
        <w:t xml:space="preserve"> resources include combined heat-and-power (CHP)</w:t>
      </w:r>
      <w:r w:rsidRPr="00A03B40" w:rsidR="00366251">
        <w:t xml:space="preserve"> and</w:t>
      </w:r>
      <w:r w:rsidRPr="00A03B40" w:rsidR="00860992">
        <w:t xml:space="preserve"> renewable </w:t>
      </w:r>
      <w:r w:rsidRPr="00A03B40" w:rsidR="00366251">
        <w:t>resources</w:t>
      </w:r>
      <w:r w:rsidRPr="00A03B40" w:rsidR="00860992">
        <w:t>, inter-utility and bilateral contracts, and anticipated future</w:t>
      </w:r>
      <w:r w:rsidRPr="00A03B40" w:rsidR="009C08AE">
        <w:t xml:space="preserve"> solicitations and market purchases</w:t>
      </w:r>
      <w:r w:rsidRPr="00A03B40" w:rsidR="00D46113">
        <w:t xml:space="preserve"> estimated based on proxy capacity costs</w:t>
      </w:r>
      <w:r w:rsidRPr="00A03B40" w:rsidR="009C08AE">
        <w:t>.</w:t>
      </w:r>
      <w:r w:rsidRPr="00A03B40" w:rsidR="00D46113">
        <w:rPr>
          <w:rStyle w:val="FootnoteReference"/>
        </w:rPr>
        <w:footnoteReference w:id="33"/>
      </w:r>
      <w:r w:rsidRPr="00A03B40" w:rsidR="002A68CA">
        <w:t xml:space="preserve"> </w:t>
      </w:r>
      <w:r w:rsidRPr="00A03B40" w:rsidR="009C08AE">
        <w:t>Finally, SCE’s 2026 forecast includes the costs of procurement contracts SCE entered into to meet Commission reliability requirements.</w:t>
      </w:r>
      <w:r w:rsidRPr="00A03B40" w:rsidR="00D46113">
        <w:rPr>
          <w:rStyle w:val="FootnoteReference"/>
        </w:rPr>
        <w:footnoteReference w:id="34"/>
      </w:r>
      <w:r w:rsidRPr="00A03B40" w:rsidR="002A68CA">
        <w:t xml:space="preserve"> </w:t>
      </w:r>
      <w:r w:rsidRPr="00A03B40" w:rsidR="001B080B">
        <w:t xml:space="preserve">After describing SCE’s portfolio of resources, this section describes the other </w:t>
      </w:r>
    </w:p>
    <w:p w:rsidRPr="00A03B40" w:rsidR="001B080B" w:rsidP="003501AA" w:rsidRDefault="001B080B" w14:paraId="4FB107D4" w14:textId="63823625">
      <w:pPr>
        <w:pStyle w:val="Standard"/>
        <w:ind w:firstLine="0"/>
      </w:pPr>
      <w:r w:rsidRPr="00A03B40">
        <w:t>F&amp;PP-related costs for which recovery is requested, including CAISO costs, carrying costs, and hedging costs.</w:t>
      </w:r>
    </w:p>
    <w:p w:rsidRPr="00A03B40" w:rsidR="00776E6D" w:rsidP="00AD5F6C" w:rsidRDefault="00776E6D" w14:paraId="18BEA3CC" w14:textId="732C9CC0">
      <w:pPr>
        <w:pStyle w:val="Heading2"/>
      </w:pPr>
      <w:bookmarkStart w:name="_Toc214629855" w:id="21"/>
      <w:bookmarkEnd w:id="20"/>
      <w:r w:rsidRPr="00A03B40">
        <w:lastRenderedPageBreak/>
        <w:t xml:space="preserve">2026 Energy </w:t>
      </w:r>
      <w:r w:rsidRPr="00A03B40" w:rsidR="00E62B5D">
        <w:t xml:space="preserve">Production </w:t>
      </w:r>
      <w:r w:rsidRPr="00A03B40">
        <w:t xml:space="preserve">and </w:t>
      </w:r>
      <w:r w:rsidR="00496725">
        <w:br/>
      </w:r>
      <w:r w:rsidRPr="00A03B40">
        <w:t>Cost Forecast Methodology</w:t>
      </w:r>
      <w:bookmarkEnd w:id="21"/>
    </w:p>
    <w:p w:rsidRPr="00A03B40" w:rsidR="00776E6D" w:rsidP="00776E6D" w:rsidRDefault="00700967" w14:paraId="1AC23333" w14:textId="2D7404B2">
      <w:pPr>
        <w:pStyle w:val="Standard"/>
      </w:pPr>
      <w:r w:rsidRPr="00A03B40">
        <w:t>SCE develops its production and cost forecast</w:t>
      </w:r>
      <w:r w:rsidRPr="00A03B40" w:rsidR="00542D7D">
        <w:t>s</w:t>
      </w:r>
      <w:r w:rsidRPr="00A03B40">
        <w:t xml:space="preserve"> using PLEXOS software. </w:t>
      </w:r>
      <w:r w:rsidRPr="00A03B40" w:rsidR="00776E6D">
        <w:t>SCE</w:t>
      </w:r>
      <w:r w:rsidRPr="00A03B40" w:rsidR="001B080B">
        <w:t>’s</w:t>
      </w:r>
      <w:r w:rsidRPr="00A03B40" w:rsidR="00776E6D">
        <w:t xml:space="preserve"> PLEXOS software models</w:t>
      </w:r>
      <w:bookmarkStart w:name="_Hlk210723586" w:id="22"/>
      <w:r w:rsidRPr="00A03B40" w:rsidR="00776E6D">
        <w:t xml:space="preserve"> (1) forecast the least-cost dispatch </w:t>
      </w:r>
      <w:r w:rsidRPr="00A03B40" w:rsidR="009F5C65">
        <w:t xml:space="preserve">(LCD) </w:t>
      </w:r>
      <w:r w:rsidRPr="00A03B40" w:rsidR="00776E6D">
        <w:t>of dispatchable resources in SCE’s portfolio; (2) optimize hydroelectric dispatch; and (3) perform Monte Carlo simulations of forced outage rates of individual units.</w:t>
      </w:r>
      <w:bookmarkEnd w:id="22"/>
      <w:r w:rsidRPr="00A03B40" w:rsidR="00776E6D">
        <w:rPr>
          <w:rStyle w:val="FootnoteReference"/>
        </w:rPr>
        <w:footnoteReference w:id="35"/>
      </w:r>
      <w:r w:rsidRPr="00A03B40" w:rsidR="00776E6D">
        <w:t xml:space="preserve"> SCE states that “[t]he simulated dispatch is based on </w:t>
      </w:r>
      <w:bookmarkStart w:name="_Hlk210723494" w:id="23"/>
      <w:r w:rsidRPr="00A03B40" w:rsidR="00776E6D">
        <w:t>a forecast of power,</w:t>
      </w:r>
      <w:r w:rsidRPr="00A03B40" w:rsidR="00776E6D">
        <w:rPr>
          <w:rStyle w:val="FootnoteReference"/>
        </w:rPr>
        <w:footnoteReference w:id="36"/>
      </w:r>
      <w:r w:rsidRPr="00A03B40" w:rsidR="00776E6D">
        <w:t xml:space="preserve"> gas,</w:t>
      </w:r>
      <w:r w:rsidRPr="00A03B40" w:rsidR="00776E6D">
        <w:rPr>
          <w:rStyle w:val="FootnoteReference"/>
        </w:rPr>
        <w:footnoteReference w:id="37"/>
      </w:r>
      <w:r w:rsidRPr="00A03B40" w:rsidR="00776E6D">
        <w:t xml:space="preserve"> and GHG prices, physical constraints of each generating unit, and contractual limitations</w:t>
      </w:r>
      <w:bookmarkEnd w:id="23"/>
      <w:r w:rsidRPr="00A03B40" w:rsidR="00776E6D">
        <w:t>.”</w:t>
      </w:r>
      <w:r w:rsidRPr="00A03B40" w:rsidR="00776E6D">
        <w:rPr>
          <w:rStyle w:val="FootnoteReference"/>
        </w:rPr>
        <w:footnoteReference w:id="38"/>
      </w:r>
    </w:p>
    <w:p w:rsidRPr="00A03B40" w:rsidR="00776E6D" w:rsidP="00776E6D" w:rsidRDefault="00776E6D" w14:paraId="6B987752" w14:textId="1A514CAF">
      <w:pPr>
        <w:pStyle w:val="Standard"/>
      </w:pPr>
      <w:r w:rsidRPr="00A03B40">
        <w:t>The discussions throughout this section contain factors that influence the availability of a given resource to serve customer demand in 2026</w:t>
      </w:r>
      <w:r w:rsidRPr="00A03B40" w:rsidR="00700967">
        <w:t xml:space="preserve">, </w:t>
      </w:r>
      <w:r w:rsidRPr="00A03B40" w:rsidR="00700967">
        <w:rPr>
          <w:i/>
          <w:iCs/>
        </w:rPr>
        <w:t>i.e.</w:t>
      </w:r>
      <w:r w:rsidRPr="00A03B40" w:rsidR="00700967">
        <w:t xml:space="preserve">, the factors that shape SCE’s development of </w:t>
      </w:r>
      <w:r w:rsidRPr="00A03B40" w:rsidR="00C34796">
        <w:t>its</w:t>
      </w:r>
      <w:r w:rsidRPr="00A03B40" w:rsidR="00700967">
        <w:t xml:space="preserve"> LCD modelling inputs</w:t>
      </w:r>
      <w:r w:rsidRPr="00A03B40">
        <w:t xml:space="preserve">. The information that SCE provides regarding its portfolio (and that we summarize here) helps the Commission determine the reasonableness of the projected 2026 costs of these resources, which the Commission reviews in </w:t>
      </w:r>
      <w:r w:rsidRPr="00A03B40" w:rsidR="00542D7D">
        <w:t xml:space="preserve">full in </w:t>
      </w:r>
      <w:r w:rsidRPr="00A03B40">
        <w:t xml:space="preserve">Sections 7 and 8, below. </w:t>
      </w:r>
    </w:p>
    <w:p w:rsidRPr="00A03B40" w:rsidR="00AD5F6C" w:rsidP="00AD5F6C" w:rsidRDefault="00AD5F6C" w14:paraId="263F3161" w14:textId="37D01508">
      <w:pPr>
        <w:pStyle w:val="Heading2"/>
      </w:pPr>
      <w:bookmarkStart w:name="_Toc214629856" w:id="24"/>
      <w:r w:rsidRPr="00A03B40">
        <w:t xml:space="preserve">Utility-Owned Generation </w:t>
      </w:r>
      <w:r w:rsidR="00496725">
        <w:br/>
      </w:r>
      <w:r w:rsidRPr="00A03B40">
        <w:t>and Purchased Power</w:t>
      </w:r>
      <w:bookmarkEnd w:id="24"/>
    </w:p>
    <w:p w:rsidRPr="00A03B40" w:rsidR="009C08AE" w:rsidP="009C08AE" w:rsidRDefault="00542D7D" w14:paraId="463E4AB2" w14:textId="4C0E26C5">
      <w:pPr>
        <w:pStyle w:val="Standard"/>
      </w:pPr>
      <w:r w:rsidRPr="00A03B40">
        <w:t xml:space="preserve">SCE forecasts a total </w:t>
      </w:r>
      <w:r w:rsidRPr="00A03B40" w:rsidR="00B5585A">
        <w:t xml:space="preserve">2026 </w:t>
      </w:r>
      <w:r w:rsidRPr="00A03B40">
        <w:t xml:space="preserve">F&amp;PP </w:t>
      </w:r>
      <w:r w:rsidRPr="00A03B40" w:rsidR="004D4A3A">
        <w:t xml:space="preserve">cost </w:t>
      </w:r>
      <w:r w:rsidRPr="00A03B40">
        <w:t>of $</w:t>
      </w:r>
      <w:r w:rsidRPr="00A03B40" w:rsidR="00B5585A">
        <w:t>4.</w:t>
      </w:r>
      <w:r w:rsidRPr="00A03B40" w:rsidR="00C34796">
        <w:t>723</w:t>
      </w:r>
      <w:r w:rsidRPr="00A03B40" w:rsidR="00B5585A">
        <w:t xml:space="preserve"> billion</w:t>
      </w:r>
      <w:r w:rsidRPr="00A03B40">
        <w:t xml:space="preserve">. </w:t>
      </w:r>
      <w:r w:rsidRPr="00A03B40" w:rsidR="009C08AE">
        <w:t>SCE</w:t>
      </w:r>
      <w:r w:rsidRPr="00A03B40" w:rsidR="006A4D45">
        <w:t xml:space="preserve"> states that its </w:t>
      </w:r>
      <w:r w:rsidRPr="00A03B40" w:rsidR="000A75D1">
        <w:t xml:space="preserve">2026 </w:t>
      </w:r>
      <w:r w:rsidRPr="00A03B40" w:rsidR="006A4D45">
        <w:t xml:space="preserve">forecast </w:t>
      </w:r>
      <w:r w:rsidRPr="00A03B40" w:rsidR="000A75D1">
        <w:t xml:space="preserve">of F&amp;PP </w:t>
      </w:r>
      <w:r w:rsidRPr="00A03B40" w:rsidR="006A4D45">
        <w:t xml:space="preserve">costs </w:t>
      </w:r>
      <w:r w:rsidR="00151328">
        <w:t>will be</w:t>
      </w:r>
      <w:r w:rsidRPr="00A03B40" w:rsidR="006A4D45">
        <w:t xml:space="preserve"> greater than the </w:t>
      </w:r>
      <w:r w:rsidR="00151328">
        <w:t xml:space="preserve">$4.539 billion in F&amp;PP </w:t>
      </w:r>
      <w:r w:rsidRPr="00A03B40" w:rsidR="00366251">
        <w:t>costs</w:t>
      </w:r>
      <w:r w:rsidRPr="00A03B40" w:rsidR="006A4D45">
        <w:t xml:space="preserve"> </w:t>
      </w:r>
      <w:r w:rsidR="00151328">
        <w:lastRenderedPageBreak/>
        <w:t>adopted in</w:t>
      </w:r>
      <w:r w:rsidRPr="00A03B40" w:rsidR="006A4D45">
        <w:t xml:space="preserve"> SCE’s 2025 </w:t>
      </w:r>
      <w:r w:rsidRPr="00A03B40" w:rsidR="00366251">
        <w:t xml:space="preserve">ERRA </w:t>
      </w:r>
      <w:r w:rsidRPr="00A03B40" w:rsidR="006A4D45">
        <w:t>forecast</w:t>
      </w:r>
      <w:r w:rsidR="00151328">
        <w:t>,</w:t>
      </w:r>
      <w:r w:rsidRPr="00A03B40" w:rsidR="006A4D45">
        <w:t xml:space="preserve"> based on increases and decreases in various cost categories.</w:t>
      </w:r>
      <w:r w:rsidRPr="00A03B40" w:rsidR="000A75D1">
        <w:rPr>
          <w:rStyle w:val="FootnoteReference"/>
        </w:rPr>
        <w:footnoteReference w:id="39"/>
      </w:r>
    </w:p>
    <w:p w:rsidRPr="00A03B40" w:rsidR="006A4D45" w:rsidP="004C43F0" w:rsidRDefault="004D4A3A" w14:paraId="382DB28F" w14:textId="7C5B48FD">
      <w:pPr>
        <w:pStyle w:val="Standard"/>
      </w:pPr>
      <w:r w:rsidRPr="00A03B40">
        <w:t xml:space="preserve">In its Amended October Update, </w:t>
      </w:r>
      <w:r w:rsidRPr="00A03B40" w:rsidR="00913B91">
        <w:t>SCE s</w:t>
      </w:r>
      <w:r w:rsidRPr="00A03B40" w:rsidR="00F85E68">
        <w:t>ummariz</w:t>
      </w:r>
      <w:r w:rsidRPr="00A03B40" w:rsidR="00913B91">
        <w:t>es</w:t>
      </w:r>
      <w:r w:rsidRPr="00A03B40" w:rsidR="00F85E68">
        <w:t xml:space="preserve"> trends that impact its 2026 production </w:t>
      </w:r>
      <w:r w:rsidRPr="00A03B40" w:rsidR="00522ED9">
        <w:t xml:space="preserve">and </w:t>
      </w:r>
      <w:r w:rsidRPr="00A03B40" w:rsidR="00F85E68">
        <w:t>cost forecast,</w:t>
      </w:r>
      <w:r w:rsidRPr="00A03B40" w:rsidR="005D3A7C">
        <w:t xml:space="preserve"> </w:t>
      </w:r>
      <w:r w:rsidRPr="00A03B40" w:rsidR="00F85E68">
        <w:t>not</w:t>
      </w:r>
      <w:r w:rsidRPr="00A03B40" w:rsidR="00913B91">
        <w:t>ing</w:t>
      </w:r>
      <w:r w:rsidRPr="00A03B40" w:rsidR="00F85E68">
        <w:t xml:space="preserve"> that its</w:t>
      </w:r>
      <w:r w:rsidRPr="00A03B40" w:rsidR="006A4D45">
        <w:t xml:space="preserve"> projected </w:t>
      </w:r>
      <w:r w:rsidRPr="00A03B40" w:rsidR="004C43F0">
        <w:t xml:space="preserve">2026 </w:t>
      </w:r>
      <w:r w:rsidRPr="00A03B40" w:rsidR="006A4D45">
        <w:t xml:space="preserve">net bundled load forecast increased </w:t>
      </w:r>
      <w:r w:rsidRPr="00A03B40" w:rsidR="001B080B">
        <w:t xml:space="preserve">roughly </w:t>
      </w:r>
      <w:r w:rsidRPr="00A03B40" w:rsidR="00FF215B">
        <w:t>three</w:t>
      </w:r>
      <w:r w:rsidRPr="00A03B40" w:rsidR="006A4D45">
        <w:t xml:space="preserve"> percent from 2025 projected load</w:t>
      </w:r>
      <w:r w:rsidRPr="00A03B40" w:rsidR="004C43F0">
        <w:t xml:space="preserve">, increasing </w:t>
      </w:r>
      <w:r w:rsidRPr="00A03B40" w:rsidR="00BF2C99">
        <w:t xml:space="preserve">forecast </w:t>
      </w:r>
      <w:r w:rsidRPr="00A03B40" w:rsidR="004C43F0">
        <w:t>procurement costs</w:t>
      </w:r>
      <w:r w:rsidRPr="00A03B40" w:rsidR="006A4D45">
        <w:t>.</w:t>
      </w:r>
      <w:r w:rsidRPr="00A03B40" w:rsidR="004C43F0">
        <w:rPr>
          <w:rStyle w:val="FootnoteReference"/>
        </w:rPr>
        <w:footnoteReference w:id="40"/>
      </w:r>
      <w:r w:rsidRPr="00A03B40" w:rsidR="002A68CA">
        <w:t xml:space="preserve"> </w:t>
      </w:r>
      <w:r w:rsidRPr="00A03B40" w:rsidR="004C43F0">
        <w:t>Lower projected SP</w:t>
      </w:r>
      <w:r w:rsidRPr="00A03B40" w:rsidR="00C25BEE">
        <w:t>-</w:t>
      </w:r>
      <w:r w:rsidRPr="00A03B40" w:rsidR="004C43F0">
        <w:t xml:space="preserve">15 power prices and higher projected gas prices cause the implied market heat rate to drop, decreasing generation forecasts from SCE’s gas dispatchable portfolio; this will increase </w:t>
      </w:r>
      <w:r w:rsidRPr="00A03B40" w:rsidR="00814AAF">
        <w:t xml:space="preserve">load </w:t>
      </w:r>
      <w:r w:rsidRPr="00A03B40" w:rsidR="004C43F0">
        <w:t>procurement costs and decrease market revenues</w:t>
      </w:r>
      <w:r w:rsidRPr="00A03B40" w:rsidR="00700967">
        <w:t>.</w:t>
      </w:r>
      <w:r w:rsidRPr="00A03B40" w:rsidR="00814AAF">
        <w:rPr>
          <w:rStyle w:val="FootnoteReference"/>
        </w:rPr>
        <w:footnoteReference w:id="41"/>
      </w:r>
      <w:r w:rsidRPr="00A03B40" w:rsidR="002A68CA">
        <w:t xml:space="preserve"> </w:t>
      </w:r>
      <w:r w:rsidRPr="00A03B40" w:rsidR="004C43F0">
        <w:t>SCE projects additional fuel and GHG costs due to energy put-option rights to be exercised in 2026 for local capacity requirement dispatchable units; this will increase gas and direct GHG costs, increase mark</w:t>
      </w:r>
      <w:r w:rsidRPr="00A03B40" w:rsidR="00FF215B">
        <w:t xml:space="preserve">et </w:t>
      </w:r>
      <w:r w:rsidRPr="00A03B40" w:rsidR="004C43F0">
        <w:t>revenues, and decrease hedging costs.</w:t>
      </w:r>
      <w:r w:rsidRPr="00A03B40" w:rsidR="002A68CA">
        <w:t xml:space="preserve"> </w:t>
      </w:r>
      <w:r w:rsidRPr="00A03B40" w:rsidR="004C43F0">
        <w:t>Finally, SCE note</w:t>
      </w:r>
      <w:r w:rsidRPr="00A03B40" w:rsidR="00927F56">
        <w:t>s</w:t>
      </w:r>
      <w:r w:rsidRPr="00A03B40" w:rsidR="004C43F0">
        <w:t xml:space="preserve"> that procurement for reliability purposes in 2026 will increase costs, offset by related higher forecast </w:t>
      </w:r>
      <w:r w:rsidRPr="00A03B40" w:rsidR="008623BB">
        <w:t>RA</w:t>
      </w:r>
      <w:r w:rsidRPr="00A03B40" w:rsidR="004C43F0">
        <w:t xml:space="preserve"> sales revenues and energy benefits.</w:t>
      </w:r>
    </w:p>
    <w:p w:rsidRPr="00A03B40" w:rsidR="00BF2C99" w:rsidP="00BF2C99" w:rsidRDefault="00BF2C99" w14:paraId="34C28231" w14:textId="76ACDDD1">
      <w:pPr>
        <w:pStyle w:val="Standard"/>
        <w:rPr>
          <w:b/>
          <w:bCs/>
        </w:rPr>
      </w:pPr>
      <w:r w:rsidRPr="00A03B40">
        <w:t xml:space="preserve">SCE’s </w:t>
      </w:r>
      <w:r w:rsidRPr="00A03B40" w:rsidR="004D4A3A">
        <w:t xml:space="preserve">Amended </w:t>
      </w:r>
      <w:r w:rsidRPr="00A03B40">
        <w:t xml:space="preserve">October Update maintains these overall trends, and explains </w:t>
      </w:r>
      <w:r w:rsidRPr="00A03B40" w:rsidR="005F1226">
        <w:t>the overall increase in projected costs</w:t>
      </w:r>
      <w:r w:rsidRPr="00A03B40">
        <w:t xml:space="preserve"> between its May Filing and </w:t>
      </w:r>
      <w:r w:rsidRPr="00A03B40" w:rsidR="004D4A3A">
        <w:t xml:space="preserve">Amended </w:t>
      </w:r>
      <w:r w:rsidRPr="00A03B40">
        <w:t>October Update F&amp;PP estimate</w:t>
      </w:r>
      <w:r w:rsidRPr="00A03B40" w:rsidR="005F1226">
        <w:t>s</w:t>
      </w:r>
      <w:r w:rsidRPr="00A03B40">
        <w:t xml:space="preserve"> as follows: additional Mid-Term Reliability (MTR) solar and energy storage contracts, the removal of terminated resources, changes in commercial online dates, and lower contractual prices due to federal tax credits </w:t>
      </w:r>
      <w:r w:rsidRPr="00A03B40" w:rsidR="005F1226">
        <w:t xml:space="preserve">all </w:t>
      </w:r>
      <w:r w:rsidRPr="00A03B40">
        <w:t xml:space="preserve">net to an increase in RA procurement costs; </w:t>
      </w:r>
      <w:bookmarkStart w:name="_Hlk211857842" w:id="25"/>
      <w:r w:rsidRPr="00A03B40">
        <w:t xml:space="preserve">the removal of forecast bridge energy exports due to elimination of the option for LSEs to use bridge contracts for the procurement requirements discussed in Section 5.2.10 of this Decision results in decreased direct GHG costs </w:t>
      </w:r>
      <w:bookmarkEnd w:id="25"/>
      <w:r w:rsidRPr="00A03B40">
        <w:t xml:space="preserve">and decreased hedging costs; </w:t>
      </w:r>
      <w:r w:rsidRPr="00A03B40">
        <w:lastRenderedPageBreak/>
        <w:t>decreases in the MPBs lead</w:t>
      </w:r>
      <w:r w:rsidRPr="00A03B40" w:rsidR="005F1226">
        <w:t>s</w:t>
      </w:r>
      <w:r w:rsidRPr="00A03B40">
        <w:t xml:space="preserve"> to lower revenues from Modified Cost Allocation Mechanism (MCAM) sales and lower revenues from Voluntary Allocation sales</w:t>
      </w:r>
      <w:r w:rsidRPr="00A03B40" w:rsidR="005F1226">
        <w:t>,</w:t>
      </w:r>
      <w:r w:rsidRPr="00A03B40">
        <w:t xml:space="preserve"> </w:t>
      </w:r>
      <w:r w:rsidRPr="00A03B40" w:rsidR="005F1226">
        <w:t xml:space="preserve">which </w:t>
      </w:r>
      <w:r w:rsidRPr="00A03B40">
        <w:t>decreas</w:t>
      </w:r>
      <w:r w:rsidRPr="00A03B40" w:rsidR="005F1226">
        <w:t>es</w:t>
      </w:r>
      <w:r w:rsidRPr="00A03B40">
        <w:t xml:space="preserve"> projected RA sales and REC sales revenue</w:t>
      </w:r>
      <w:r w:rsidRPr="00A03B40" w:rsidR="005F1226">
        <w:t>;</w:t>
      </w:r>
      <w:r w:rsidRPr="00A03B40">
        <w:t xml:space="preserve"> and </w:t>
      </w:r>
      <w:r w:rsidRPr="00A03B40" w:rsidR="005F1226">
        <w:t xml:space="preserve">finally, </w:t>
      </w:r>
      <w:r w:rsidRPr="00A03B40">
        <w:t>updated forecast outage information and resource characteristics for SCE’s gas-fired UOG</w:t>
      </w:r>
      <w:r w:rsidRPr="00A03B40" w:rsidR="005F1226">
        <w:t xml:space="preserve"> </w:t>
      </w:r>
      <w:r w:rsidRPr="00A03B40">
        <w:t>ultimately decrease SCE’s projected UOG and CAM fuel costs, and decrease PABA and CAM market revenues.</w:t>
      </w:r>
      <w:r w:rsidRPr="00A03B40" w:rsidR="005F1226">
        <w:t xml:space="preserve"> SCE’s </w:t>
      </w:r>
      <w:r w:rsidRPr="00A03B40" w:rsidR="001B080B">
        <w:t xml:space="preserve">Amended </w:t>
      </w:r>
      <w:r w:rsidRPr="00A03B40" w:rsidR="005F1226">
        <w:t>October Update forecast also updates its RA position in response to final 2026 requirements.</w:t>
      </w:r>
      <w:r w:rsidRPr="00A03B40" w:rsidR="005F1226">
        <w:rPr>
          <w:rStyle w:val="FootnoteReference"/>
        </w:rPr>
        <w:footnoteReference w:id="42"/>
      </w:r>
    </w:p>
    <w:p w:rsidRPr="00A03B40" w:rsidR="00AD5F6C" w:rsidP="00FE1D94" w:rsidRDefault="0004181E" w14:paraId="6F381160" w14:textId="32713263">
      <w:pPr>
        <w:pStyle w:val="Heading3"/>
      </w:pPr>
      <w:bookmarkStart w:name="_Toc214629857" w:id="26"/>
      <w:r>
        <w:t>Utility-Owned</w:t>
      </w:r>
      <w:r w:rsidRPr="00A03B40" w:rsidR="00FE1D94">
        <w:t xml:space="preserve"> Generation and Purchased Power: Hydroelectric Generating Facilities</w:t>
      </w:r>
      <w:bookmarkEnd w:id="26"/>
      <w:r w:rsidRPr="00A03B40" w:rsidR="00FE1D94">
        <w:t xml:space="preserve"> </w:t>
      </w:r>
    </w:p>
    <w:p w:rsidRPr="00A03B40" w:rsidR="006310FD" w:rsidP="006310FD" w:rsidRDefault="006310FD" w14:paraId="0AFB6B50" w14:textId="0D824AC5">
      <w:pPr>
        <w:pStyle w:val="Standard"/>
      </w:pPr>
      <w:r w:rsidRPr="00A03B40">
        <w:t xml:space="preserve">SCE </w:t>
      </w:r>
      <w:r w:rsidRPr="00A03B40" w:rsidR="00927F56">
        <w:t xml:space="preserve">includes in its 2026 ERRA </w:t>
      </w:r>
      <w:r w:rsidRPr="00A03B40" w:rsidR="00CC7C11">
        <w:t>forecast</w:t>
      </w:r>
      <w:r w:rsidRPr="00A03B40" w:rsidR="002656DC">
        <w:t xml:space="preserve"> </w:t>
      </w:r>
      <w:r w:rsidRPr="00A03B40" w:rsidR="00927F56">
        <w:t xml:space="preserve">the </w:t>
      </w:r>
      <w:r w:rsidRPr="00A03B40" w:rsidR="002656DC">
        <w:t xml:space="preserve">forecast energy </w:t>
      </w:r>
      <w:r w:rsidRPr="00A03B40" w:rsidR="00927F56">
        <w:t xml:space="preserve">production </w:t>
      </w:r>
      <w:r w:rsidRPr="00A03B40" w:rsidR="004E0553">
        <w:t xml:space="preserve">from </w:t>
      </w:r>
      <w:r w:rsidRPr="00A03B40" w:rsidR="002656DC">
        <w:t>and capacity related</w:t>
      </w:r>
      <w:r w:rsidRPr="00A03B40">
        <w:t xml:space="preserve"> </w:t>
      </w:r>
      <w:r w:rsidRPr="00A03B40" w:rsidR="001B080B">
        <w:t xml:space="preserve">to </w:t>
      </w:r>
      <w:r w:rsidRPr="00A03B40" w:rsidR="002656DC">
        <w:t>a subset of its hydroelectric generation facilities.</w:t>
      </w:r>
      <w:r w:rsidRPr="00A03B40" w:rsidR="002A68CA">
        <w:t xml:space="preserve"> </w:t>
      </w:r>
      <w:r w:rsidRPr="00A03B40" w:rsidR="002656DC">
        <w:t xml:space="preserve">SCE operates </w:t>
      </w:r>
      <w:r w:rsidRPr="00A03B40">
        <w:t xml:space="preserve">32 hydroelectric generating facilities </w:t>
      </w:r>
      <w:r w:rsidRPr="00A03B40" w:rsidR="00127300">
        <w:t>in</w:t>
      </w:r>
      <w:r w:rsidRPr="00A03B40">
        <w:t xml:space="preserve"> California, providing </w:t>
      </w:r>
      <w:r w:rsidRPr="00A03B40" w:rsidR="00B563D8">
        <w:t xml:space="preserve">approximately </w:t>
      </w:r>
      <w:r w:rsidRPr="00A03B40">
        <w:t>1,164 megawatts (MW) of nameplate capacity. SCE</w:t>
      </w:r>
      <w:r w:rsidRPr="00A03B40" w:rsidR="00542D7D">
        <w:t xml:space="preserve"> divides its</w:t>
      </w:r>
      <w:r w:rsidRPr="00A03B40">
        <w:t xml:space="preserve"> hydroelectric generation</w:t>
      </w:r>
      <w:r w:rsidRPr="00A03B40" w:rsidR="00542D7D">
        <w:t xml:space="preserve"> </w:t>
      </w:r>
      <w:r w:rsidRPr="00A03B40">
        <w:t>into two regions: SCE’s Northern Division, known as the Big Creek Project, produces 1,015 MW of nameplate capacity while SCE’s Eastern Division produces 161 MW of nameplate capacity.</w:t>
      </w:r>
      <w:r w:rsidRPr="00A03B40" w:rsidR="008623BB">
        <w:rPr>
          <w:rStyle w:val="FootnoteReference"/>
        </w:rPr>
        <w:footnoteReference w:id="43"/>
      </w:r>
      <w:r w:rsidRPr="00A03B40" w:rsidR="002A68CA">
        <w:t xml:space="preserve"> </w:t>
      </w:r>
      <w:r w:rsidRPr="00A03B40">
        <w:t xml:space="preserve"> </w:t>
      </w:r>
    </w:p>
    <w:p w:rsidRPr="00A03B40" w:rsidR="00561EDA" w:rsidP="00561EDA" w:rsidRDefault="00561EDA" w14:paraId="332629A6" w14:textId="288BC70A">
      <w:pPr>
        <w:pStyle w:val="Standard"/>
      </w:pPr>
      <w:r w:rsidRPr="00A03B40">
        <w:t xml:space="preserve">SCE </w:t>
      </w:r>
      <w:r w:rsidRPr="00A03B40" w:rsidR="005B67AC">
        <w:t>operates</w:t>
      </w:r>
      <w:r w:rsidRPr="00A03B40">
        <w:t xml:space="preserve"> </w:t>
      </w:r>
      <w:r w:rsidRPr="00A03B40" w:rsidR="00574CC2">
        <w:t xml:space="preserve">the </w:t>
      </w:r>
      <w:r w:rsidRPr="00A03B40">
        <w:t>Big Creek Project at full capacity (when possible) during the highest economic value hours. The Big Creek Project provides ancillary services to the CAISO market when not operating at full capacity, serving as a flexible, dispatchable resource for most of the year.</w:t>
      </w:r>
      <w:r w:rsidRPr="00A03B40">
        <w:rPr>
          <w:rStyle w:val="FootnoteReference"/>
        </w:rPr>
        <w:footnoteReference w:id="44"/>
      </w:r>
      <w:r w:rsidRPr="00A03B40">
        <w:t xml:space="preserve"> SCE</w:t>
      </w:r>
      <w:r w:rsidRPr="00A03B40" w:rsidR="005B67AC">
        <w:t xml:space="preserve">’s </w:t>
      </w:r>
      <w:r w:rsidRPr="00A03B40">
        <w:t xml:space="preserve">Eastern Division facilities, on the other hand, are “predominantly run-of-the-river, non-dispatchable resources[,]” with output highly dependent on hydrological </w:t>
      </w:r>
      <w:r w:rsidRPr="00A03B40">
        <w:lastRenderedPageBreak/>
        <w:t>conditions.</w:t>
      </w:r>
      <w:r w:rsidRPr="00A03B40" w:rsidR="0001399E">
        <w:rPr>
          <w:rStyle w:val="FootnoteReference"/>
        </w:rPr>
        <w:footnoteReference w:id="45"/>
      </w:r>
      <w:r w:rsidRPr="00A03B40">
        <w:t xml:space="preserve"> </w:t>
      </w:r>
      <w:r w:rsidRPr="00A03B40" w:rsidR="00464707">
        <w:t>SCE states that its forecast energy production assumes an average hydrological year for 2026 and incorporates SCE’s best estimate of upcoming outages and unavailability in 2026.</w:t>
      </w:r>
    </w:p>
    <w:p w:rsidRPr="00A03B40" w:rsidR="00860992" w:rsidP="000133F6" w:rsidRDefault="00561EDA" w14:paraId="547F239E" w14:textId="6ECAA142">
      <w:pPr>
        <w:pStyle w:val="Standard"/>
      </w:pPr>
      <w:r w:rsidRPr="00A03B40">
        <w:t>SCE’s forecast of hydro</w:t>
      </w:r>
      <w:r w:rsidRPr="00A03B40" w:rsidR="00574CC2">
        <w:t>electric</w:t>
      </w:r>
      <w:r w:rsidRPr="00A03B40">
        <w:t xml:space="preserve"> production in 2026 differs from its 2025 forecast in that </w:t>
      </w:r>
      <w:r w:rsidRPr="00A03B40" w:rsidR="003C42A2">
        <w:t>SCE excludes from its 2026 forecast the energy and capacity forecasts</w:t>
      </w:r>
      <w:r w:rsidRPr="00A03B40">
        <w:t xml:space="preserve"> typically associated with facilities SCE intends to sell.</w:t>
      </w:r>
      <w:r w:rsidRPr="00A03B40" w:rsidR="002A68CA">
        <w:t xml:space="preserve"> </w:t>
      </w:r>
      <w:r w:rsidRPr="00A03B40">
        <w:t xml:space="preserve">Since </w:t>
      </w:r>
      <w:r w:rsidRPr="00A03B40" w:rsidR="003C42A2">
        <w:t>August</w:t>
      </w:r>
      <w:r w:rsidR="00D20046">
        <w:t> </w:t>
      </w:r>
      <w:r w:rsidRPr="00A03B40">
        <w:t>2024, SCE has filed three applications requesting authority from the Commission to sell ten hydrogeneration facilities with a combined capacity of roughly 17.5 MW.</w:t>
      </w:r>
      <w:r w:rsidRPr="00A03B40" w:rsidR="002A68CA">
        <w:t xml:space="preserve"> </w:t>
      </w:r>
      <w:r w:rsidRPr="00A03B40" w:rsidR="008623BB">
        <w:t>As of October 16, 2025</w:t>
      </w:r>
      <w:r w:rsidRPr="00A03B40" w:rsidR="0001399E">
        <w:t xml:space="preserve">, </w:t>
      </w:r>
      <w:r w:rsidRPr="00A03B40" w:rsidR="00A73784">
        <w:t>one application has been approved, and the others are pending</w:t>
      </w:r>
      <w:r w:rsidRPr="00A03B40" w:rsidR="0065040C">
        <w:t>, as described in Section 8.2.5</w:t>
      </w:r>
      <w:r w:rsidRPr="00A03B40" w:rsidR="0001399E">
        <w:t>.</w:t>
      </w:r>
      <w:r w:rsidRPr="00A03B40" w:rsidR="00A73784">
        <w:rPr>
          <w:rStyle w:val="FootnoteReference"/>
        </w:rPr>
        <w:footnoteReference w:id="46"/>
      </w:r>
      <w:r w:rsidRPr="00A03B40" w:rsidR="002A68CA">
        <w:t xml:space="preserve"> </w:t>
      </w:r>
    </w:p>
    <w:p w:rsidRPr="00A03B40" w:rsidR="00FE1D94" w:rsidP="00FE1D94" w:rsidRDefault="0004181E" w14:paraId="5F0EF8E6" w14:textId="37E86E58">
      <w:pPr>
        <w:pStyle w:val="Heading3"/>
      </w:pPr>
      <w:bookmarkStart w:name="_Toc214629858" w:id="27"/>
      <w:r>
        <w:t>Utility-Owned</w:t>
      </w:r>
      <w:r w:rsidRPr="00A03B40" w:rsidR="00FE1D94">
        <w:t xml:space="preserve"> Generation and Purchased Power: </w:t>
      </w:r>
      <w:r w:rsidRPr="00A03B40" w:rsidR="0002293A">
        <w:t xml:space="preserve">Solar </w:t>
      </w:r>
      <w:r w:rsidRPr="00A03B40" w:rsidR="00FE1D94">
        <w:t>Photovoltaic Generation</w:t>
      </w:r>
      <w:bookmarkEnd w:id="27"/>
      <w:r w:rsidRPr="00A03B40" w:rsidR="00FE1D94">
        <w:t xml:space="preserve"> </w:t>
      </w:r>
    </w:p>
    <w:p w:rsidR="00D20046" w:rsidP="00E575E2" w:rsidRDefault="00607E7C" w14:paraId="2F922A55" w14:textId="77777777">
      <w:pPr>
        <w:pStyle w:val="Standard"/>
      </w:pPr>
      <w:r w:rsidRPr="00A03B40">
        <w:t>SCE includes in its 2026 ERRA</w:t>
      </w:r>
      <w:r w:rsidRPr="00A03B40" w:rsidR="00CC7C11">
        <w:t xml:space="preserve"> forecast</w:t>
      </w:r>
      <w:r w:rsidRPr="00A03B40">
        <w:t xml:space="preserve"> the </w:t>
      </w:r>
      <w:r w:rsidRPr="00A03B40" w:rsidR="002656DC">
        <w:t xml:space="preserve">anticipated </w:t>
      </w:r>
      <w:r w:rsidRPr="00A03B40" w:rsidR="001E71AB">
        <w:t xml:space="preserve">energy </w:t>
      </w:r>
      <w:r w:rsidRPr="00A03B40" w:rsidR="002656DC">
        <w:t xml:space="preserve">production from its last remaining </w:t>
      </w:r>
      <w:r w:rsidRPr="00A03B40" w:rsidR="0058604D">
        <w:t xml:space="preserve">Solar Photovoltaic Program (SPVP) </w:t>
      </w:r>
      <w:r w:rsidRPr="00A03B40" w:rsidR="002656DC">
        <w:t>site</w:t>
      </w:r>
      <w:r w:rsidRPr="00A03B40" w:rsidR="005B67AC">
        <w:t xml:space="preserve">: </w:t>
      </w:r>
      <w:r w:rsidRPr="00A03B40" w:rsidR="0065040C">
        <w:t>S</w:t>
      </w:r>
      <w:r w:rsidRPr="00A03B40" w:rsidR="005B67AC">
        <w:t>ite 42</w:t>
      </w:r>
      <w:r w:rsidRPr="00A03B40" w:rsidR="002656DC">
        <w:t>.</w:t>
      </w:r>
      <w:r w:rsidRPr="00A03B40" w:rsidR="002A68CA">
        <w:t xml:space="preserve"> </w:t>
      </w:r>
    </w:p>
    <w:p w:rsidR="00D20046" w:rsidP="00D20046" w:rsidRDefault="00F97AF8" w14:paraId="4E06A733" w14:textId="77777777">
      <w:pPr>
        <w:pStyle w:val="Standard"/>
        <w:ind w:firstLine="0"/>
      </w:pPr>
      <w:r w:rsidRPr="00A03B40">
        <w:t xml:space="preserve">D.13-05-033 authorized SCE </w:t>
      </w:r>
      <w:r w:rsidRPr="00A03B40" w:rsidR="00C04ADD">
        <w:t xml:space="preserve">to install, </w:t>
      </w:r>
      <w:r w:rsidRPr="00A03B40">
        <w:t>own, and operate up to 91 MW of</w:t>
      </w:r>
      <w:r w:rsidRPr="00A03B40" w:rsidR="00FF215B">
        <w:t xml:space="preserve"> </w:t>
      </w:r>
      <w:r w:rsidRPr="00A03B40" w:rsidR="00254B20">
        <w:t xml:space="preserve">SPV </w:t>
      </w:r>
      <w:r w:rsidRPr="00A03B40">
        <w:t>generation on commercial rooftop space and ground sites within its service territory.</w:t>
      </w:r>
      <w:r w:rsidRPr="00A03B40" w:rsidR="00207D79">
        <w:rPr>
          <w:rStyle w:val="FootnoteReference"/>
        </w:rPr>
        <w:footnoteReference w:id="47"/>
      </w:r>
      <w:r w:rsidRPr="00A03B40" w:rsidR="002A68CA">
        <w:t xml:space="preserve"> </w:t>
      </w:r>
      <w:r w:rsidRPr="00A03B40" w:rsidR="00E575E2">
        <w:t xml:space="preserve">In 2022, SCE </w:t>
      </w:r>
      <w:r w:rsidRPr="00A03B40" w:rsidR="00C04ADD">
        <w:t>analyzed</w:t>
      </w:r>
      <w:r w:rsidRPr="00A03B40" w:rsidR="00E575E2">
        <w:t xml:space="preserve"> </w:t>
      </w:r>
      <w:r w:rsidRPr="00A03B40" w:rsidR="00574CC2">
        <w:t>its</w:t>
      </w:r>
      <w:r w:rsidRPr="00A03B40" w:rsidR="00E575E2">
        <w:t xml:space="preserve"> SPVP portfolio</w:t>
      </w:r>
      <w:r w:rsidRPr="00A03B40" w:rsidR="00C04ADD">
        <w:t xml:space="preserve"> and determined </w:t>
      </w:r>
      <w:r w:rsidRPr="00A03B40" w:rsidR="00E575E2">
        <w:t xml:space="preserve">that retirement of the sites was the </w:t>
      </w:r>
      <w:r w:rsidRPr="00A03B40" w:rsidR="00574CC2">
        <w:t xml:space="preserve">least-cost option </w:t>
      </w:r>
      <w:r w:rsidRPr="00A03B40" w:rsidR="00C04ADD">
        <w:t>considering</w:t>
      </w:r>
      <w:r w:rsidRPr="00A03B40" w:rsidR="00574CC2">
        <w:t xml:space="preserve"> safety issues and </w:t>
      </w:r>
      <w:r w:rsidRPr="00A03B40" w:rsidR="00574CC2">
        <w:lastRenderedPageBreak/>
        <w:t>declining revenues that failed to recoup the costs of needed upgrades</w:t>
      </w:r>
      <w:r w:rsidRPr="00A03B40" w:rsidR="00E575E2">
        <w:t xml:space="preserve">. </w:t>
      </w:r>
      <w:r w:rsidRPr="00A03B40">
        <w:t xml:space="preserve">SCE has been de-energizing its </w:t>
      </w:r>
      <w:r w:rsidRPr="00A03B40" w:rsidR="0058604D">
        <w:t>SPVP</w:t>
      </w:r>
      <w:r w:rsidRPr="00A03B40">
        <w:t xml:space="preserve"> sites over time; however, </w:t>
      </w:r>
      <w:r w:rsidRPr="00A03B40" w:rsidR="0065040C">
        <w:t>S</w:t>
      </w:r>
      <w:r w:rsidRPr="00A03B40" w:rsidR="005B67AC">
        <w:t>ite 42</w:t>
      </w:r>
      <w:r w:rsidRPr="00A03B40">
        <w:t xml:space="preserve"> will not be fully </w:t>
      </w:r>
    </w:p>
    <w:p w:rsidRPr="00A03B40" w:rsidR="00F97AF8" w:rsidP="00D20046" w:rsidRDefault="00F97AF8" w14:paraId="1C2DD581" w14:textId="1402E48D">
      <w:pPr>
        <w:pStyle w:val="Standard"/>
        <w:ind w:firstLine="0"/>
      </w:pPr>
      <w:r w:rsidRPr="00A03B40">
        <w:t xml:space="preserve">de-energized until </w:t>
      </w:r>
      <w:r w:rsidRPr="00A03B40" w:rsidR="00254B20">
        <w:t>year-end</w:t>
      </w:r>
      <w:r w:rsidRPr="00A03B40">
        <w:t xml:space="preserve"> 2026.</w:t>
      </w:r>
      <w:r w:rsidRPr="00A03B40">
        <w:rPr>
          <w:rStyle w:val="FootnoteReference"/>
        </w:rPr>
        <w:footnoteReference w:id="48"/>
      </w:r>
      <w:r w:rsidRPr="00A03B40" w:rsidR="002A68CA">
        <w:t xml:space="preserve"> </w:t>
      </w:r>
      <w:r w:rsidRPr="00A03B40">
        <w:t>Site 42 is rated at approximately 9 MW.</w:t>
      </w:r>
      <w:r w:rsidRPr="00A03B40">
        <w:rPr>
          <w:rStyle w:val="FootnoteReference"/>
        </w:rPr>
        <w:footnoteReference w:id="49"/>
      </w:r>
      <w:r w:rsidRPr="00A03B40">
        <w:t xml:space="preserve"> Its </w:t>
      </w:r>
      <w:r w:rsidRPr="00A03B40" w:rsidR="0058604D">
        <w:t xml:space="preserve">confidential </w:t>
      </w:r>
      <w:r w:rsidRPr="00A03B40">
        <w:t>2026 production forecast</w:t>
      </w:r>
      <w:r w:rsidRPr="00A03B40" w:rsidR="002656DC">
        <w:t xml:space="preserve"> is</w:t>
      </w:r>
      <w:r w:rsidRPr="00A03B40">
        <w:t xml:space="preserve"> based on the previous year’s project capacity factor.</w:t>
      </w:r>
      <w:r w:rsidRPr="00A03B40">
        <w:rPr>
          <w:rStyle w:val="FootnoteReference"/>
        </w:rPr>
        <w:footnoteReference w:id="50"/>
      </w:r>
      <w:r w:rsidRPr="00A03B40" w:rsidR="002A68CA">
        <w:t xml:space="preserve"> </w:t>
      </w:r>
    </w:p>
    <w:p w:rsidRPr="00A03B40" w:rsidR="00F97AF8" w:rsidP="00F97AF8" w:rsidRDefault="0004181E" w14:paraId="6137F53E" w14:textId="1DCF4397">
      <w:pPr>
        <w:pStyle w:val="Heading3"/>
      </w:pPr>
      <w:bookmarkStart w:name="_Toc214629859" w:id="28"/>
      <w:r>
        <w:t>Utility-Owned</w:t>
      </w:r>
      <w:r w:rsidRPr="00A03B40" w:rsidR="00F97AF8">
        <w:t xml:space="preserve"> Generation and Purchased Power: </w:t>
      </w:r>
      <w:r w:rsidRPr="00A03B40" w:rsidR="003C66DC">
        <w:t>Combined Heat and Power and Renewables</w:t>
      </w:r>
      <w:bookmarkEnd w:id="28"/>
      <w:r w:rsidRPr="00A03B40" w:rsidR="002A68CA">
        <w:t xml:space="preserve"> </w:t>
      </w:r>
    </w:p>
    <w:p w:rsidRPr="00A03B40" w:rsidR="00130139" w:rsidP="00F97AF8" w:rsidRDefault="003C42A2" w14:paraId="43154021" w14:textId="239C8BD2">
      <w:pPr>
        <w:pStyle w:val="Standard"/>
      </w:pPr>
      <w:r w:rsidRPr="00A03B40">
        <w:t xml:space="preserve">SCE includes in its 2026 ERRA </w:t>
      </w:r>
      <w:r w:rsidRPr="00A03B40" w:rsidR="00CC7C11">
        <w:t>forecast</w:t>
      </w:r>
      <w:r w:rsidRPr="00A03B40">
        <w:t xml:space="preserve"> the anticipated energy production, energy costs, and capacity costs </w:t>
      </w:r>
      <w:r w:rsidRPr="00A03B40" w:rsidR="00207D79">
        <w:t>of</w:t>
      </w:r>
      <w:r w:rsidRPr="00A03B40">
        <w:t xml:space="preserve"> </w:t>
      </w:r>
      <w:r w:rsidRPr="00A03B40" w:rsidR="00542D7D">
        <w:t xml:space="preserve">its </w:t>
      </w:r>
      <w:r w:rsidRPr="00A03B40">
        <w:t xml:space="preserve">combined heat and power (CHP) </w:t>
      </w:r>
      <w:r w:rsidRPr="00A03B40" w:rsidR="007F5ECD">
        <w:t xml:space="preserve">and renewables </w:t>
      </w:r>
      <w:r w:rsidRPr="00A03B40">
        <w:t>projects.</w:t>
      </w:r>
      <w:r w:rsidRPr="00A03B40" w:rsidR="00130139">
        <w:t xml:space="preserve"> The energy deliveries from SCE’s CHP and renewables projects are measured at the generators’ meters and are effectively “must take” energy. </w:t>
      </w:r>
      <w:r w:rsidRPr="00A03B40" w:rsidR="00F97AF8">
        <w:t>SCE’s CHP and renewables projects that deliver energy have approximately 1</w:t>
      </w:r>
      <w:r w:rsidRPr="00A03B40" w:rsidR="004D2B40">
        <w:t>1</w:t>
      </w:r>
      <w:r w:rsidRPr="00A03B40" w:rsidR="00F97AF8">
        <w:t>,</w:t>
      </w:r>
      <w:r w:rsidRPr="00A03B40" w:rsidR="004D2B40">
        <w:t>045</w:t>
      </w:r>
      <w:r w:rsidRPr="00A03B40" w:rsidR="00F97AF8">
        <w:t xml:space="preserve"> MW of contract capacity.</w:t>
      </w:r>
      <w:r w:rsidRPr="00A03B40" w:rsidR="00F97AF8">
        <w:rPr>
          <w:rStyle w:val="FootnoteReference"/>
        </w:rPr>
        <w:footnoteReference w:id="51"/>
      </w:r>
      <w:r w:rsidRPr="00A03B40" w:rsidR="002A68CA">
        <w:t xml:space="preserve"> </w:t>
      </w:r>
    </w:p>
    <w:p w:rsidRPr="00A03B40" w:rsidR="00E837B6" w:rsidP="00130139" w:rsidRDefault="003C7867" w14:paraId="7F73A278" w14:textId="562BBAD2">
      <w:pPr>
        <w:pStyle w:val="Standard"/>
      </w:pPr>
      <w:r w:rsidRPr="00A03B40">
        <w:t>SCE forecasts monthly energy deliveries from CHP and renewables projects based on the historical performance of each project.</w:t>
      </w:r>
      <w:r w:rsidRPr="00A03B40">
        <w:rPr>
          <w:rStyle w:val="FootnoteReference"/>
        </w:rPr>
        <w:footnoteReference w:id="52"/>
      </w:r>
      <w:r w:rsidRPr="00A03B40" w:rsidR="002A68CA">
        <w:t xml:space="preserve"> </w:t>
      </w:r>
      <w:r w:rsidRPr="00A03B40" w:rsidR="00E837B6">
        <w:t>SCE</w:t>
      </w:r>
      <w:r w:rsidRPr="00A03B40" w:rsidR="0058604D">
        <w:t xml:space="preserve">’s average annual capacity factors for the six renewable technologies are </w:t>
      </w:r>
      <w:r w:rsidRPr="00A03B40" w:rsidR="00E837B6">
        <w:t>as follows:</w:t>
      </w:r>
    </w:p>
    <w:p w:rsidRPr="00A03B40" w:rsidR="00E837B6" w:rsidP="00A8407E" w:rsidRDefault="00E837B6" w14:paraId="122CCB16" w14:textId="53AB0335">
      <w:pPr>
        <w:pStyle w:val="TableText"/>
        <w:keepNext/>
        <w:keepLines/>
        <w:spacing w:after="120"/>
        <w:contextualSpacing w:val="0"/>
        <w:jc w:val="center"/>
        <w:rPr>
          <w:b/>
          <w:bCs/>
          <w:sz w:val="26"/>
          <w:szCs w:val="26"/>
        </w:rPr>
      </w:pPr>
      <w:r w:rsidRPr="00A03B40">
        <w:rPr>
          <w:b/>
          <w:bCs/>
          <w:sz w:val="26"/>
          <w:szCs w:val="26"/>
        </w:rPr>
        <w:lastRenderedPageBreak/>
        <w:t xml:space="preserve">Table </w:t>
      </w:r>
      <w:r w:rsidRPr="00A03B40" w:rsidR="0065040C">
        <w:rPr>
          <w:b/>
          <w:bCs/>
          <w:sz w:val="26"/>
          <w:szCs w:val="26"/>
        </w:rPr>
        <w:t>5-1</w:t>
      </w:r>
      <w:r w:rsidRPr="00A03B40">
        <w:rPr>
          <w:b/>
          <w:bCs/>
          <w:sz w:val="26"/>
          <w:szCs w:val="26"/>
        </w:rPr>
        <w:t>: SCE’s Annual Capacity Factors by Technology</w:t>
      </w:r>
      <w:r w:rsidRPr="00A03B40" w:rsidR="00542D7D">
        <w:rPr>
          <w:rStyle w:val="FootnoteReference"/>
        </w:rPr>
        <w:footnoteReference w:id="53"/>
      </w:r>
    </w:p>
    <w:tbl>
      <w:tblPr>
        <w:tblStyle w:val="TableGrid"/>
        <w:tblW w:w="0" w:type="auto"/>
        <w:jc w:val="center"/>
        <w:tblLook w:val="04A0" w:firstRow="1" w:lastRow="0" w:firstColumn="1" w:lastColumn="0" w:noHBand="0" w:noVBand="1"/>
      </w:tblPr>
      <w:tblGrid>
        <w:gridCol w:w="3645"/>
        <w:gridCol w:w="3645"/>
      </w:tblGrid>
      <w:tr w:rsidRPr="00A03B40" w:rsidR="00775603" w:rsidTr="00775603" w14:paraId="3CF6268D" w14:textId="77777777">
        <w:trPr>
          <w:tblHeader/>
          <w:jc w:val="center"/>
        </w:trPr>
        <w:tc>
          <w:tcPr>
            <w:tcW w:w="3645" w:type="dxa"/>
            <w:vAlign w:val="center"/>
          </w:tcPr>
          <w:p w:rsidRPr="00775603" w:rsidR="00775603" w:rsidP="00A8407E" w:rsidRDefault="00775603" w14:paraId="4581B5E0" w14:textId="313F7E8B">
            <w:pPr>
              <w:pStyle w:val="Standard"/>
              <w:keepNext/>
              <w:keepLines/>
              <w:ind w:firstLine="0"/>
              <w:jc w:val="center"/>
              <w:rPr>
                <w:b/>
                <w:bCs/>
              </w:rPr>
            </w:pPr>
            <w:r w:rsidRPr="00775603">
              <w:rPr>
                <w:b/>
                <w:bCs/>
              </w:rPr>
              <w:t>Technology</w:t>
            </w:r>
          </w:p>
        </w:tc>
        <w:tc>
          <w:tcPr>
            <w:tcW w:w="3645" w:type="dxa"/>
            <w:vAlign w:val="center"/>
          </w:tcPr>
          <w:p w:rsidRPr="00775603" w:rsidR="00775603" w:rsidP="00A8407E" w:rsidRDefault="00775603" w14:paraId="1C2B1CA2" w14:textId="6D64C8AD">
            <w:pPr>
              <w:pStyle w:val="Standard"/>
              <w:keepNext/>
              <w:keepLines/>
              <w:ind w:firstLine="0"/>
              <w:jc w:val="center"/>
              <w:rPr>
                <w:b/>
                <w:bCs/>
              </w:rPr>
            </w:pPr>
            <w:r w:rsidRPr="00775603">
              <w:rPr>
                <w:b/>
                <w:bCs/>
              </w:rPr>
              <w:t>Capacity Factor</w:t>
            </w:r>
          </w:p>
        </w:tc>
      </w:tr>
      <w:tr w:rsidRPr="00A03B40" w:rsidR="00E837B6" w:rsidTr="00F12AD2" w14:paraId="544F61EA" w14:textId="77777777">
        <w:trPr>
          <w:jc w:val="center"/>
        </w:trPr>
        <w:tc>
          <w:tcPr>
            <w:tcW w:w="3645" w:type="dxa"/>
            <w:vAlign w:val="center"/>
          </w:tcPr>
          <w:p w:rsidRPr="00A03B40" w:rsidR="00E837B6" w:rsidP="00A8407E" w:rsidRDefault="00E837B6" w14:paraId="5B77CE5A" w14:textId="77777777">
            <w:pPr>
              <w:pStyle w:val="Standard"/>
              <w:keepNext/>
              <w:keepLines/>
              <w:ind w:firstLine="0"/>
              <w:jc w:val="center"/>
            </w:pPr>
            <w:r w:rsidRPr="00A03B40">
              <w:t>Biomass</w:t>
            </w:r>
          </w:p>
        </w:tc>
        <w:tc>
          <w:tcPr>
            <w:tcW w:w="3645" w:type="dxa"/>
            <w:vAlign w:val="center"/>
          </w:tcPr>
          <w:p w:rsidRPr="00A03B40" w:rsidR="00E837B6" w:rsidP="00A8407E" w:rsidRDefault="00E837B6" w14:paraId="1E3437DA" w14:textId="24DD0360">
            <w:pPr>
              <w:pStyle w:val="Standard"/>
              <w:keepNext/>
              <w:keepLines/>
              <w:ind w:firstLine="0"/>
              <w:jc w:val="center"/>
            </w:pPr>
            <w:r w:rsidRPr="00A03B40">
              <w:t>7</w:t>
            </w:r>
            <w:r w:rsidRPr="00A03B40" w:rsidR="004D2B40">
              <w:t>0</w:t>
            </w:r>
            <w:r w:rsidRPr="00A03B40">
              <w:t>.</w:t>
            </w:r>
            <w:r w:rsidRPr="00A03B40" w:rsidR="004D2B40">
              <w:t>6</w:t>
            </w:r>
            <w:r w:rsidRPr="00A03B40">
              <w:t>%</w:t>
            </w:r>
          </w:p>
        </w:tc>
      </w:tr>
      <w:tr w:rsidRPr="00A03B40" w:rsidR="00E837B6" w:rsidTr="00F12AD2" w14:paraId="5D56D243" w14:textId="77777777">
        <w:trPr>
          <w:jc w:val="center"/>
        </w:trPr>
        <w:tc>
          <w:tcPr>
            <w:tcW w:w="3645" w:type="dxa"/>
            <w:vAlign w:val="center"/>
          </w:tcPr>
          <w:p w:rsidRPr="00A03B40" w:rsidR="00E837B6" w:rsidP="00A8407E" w:rsidRDefault="00E837B6" w14:paraId="046C1EEF" w14:textId="77777777">
            <w:pPr>
              <w:pStyle w:val="Standard"/>
              <w:keepNext/>
              <w:keepLines/>
              <w:ind w:firstLine="0"/>
              <w:jc w:val="center"/>
            </w:pPr>
            <w:r w:rsidRPr="00A03B40">
              <w:t>Cogeneration</w:t>
            </w:r>
          </w:p>
        </w:tc>
        <w:tc>
          <w:tcPr>
            <w:tcW w:w="3645" w:type="dxa"/>
            <w:vAlign w:val="center"/>
          </w:tcPr>
          <w:p w:rsidRPr="00A03B40" w:rsidR="00E837B6" w:rsidP="00A8407E" w:rsidRDefault="004D2B40" w14:paraId="42EB70E5" w14:textId="793DD20B">
            <w:pPr>
              <w:pStyle w:val="Standard"/>
              <w:keepNext/>
              <w:keepLines/>
              <w:ind w:firstLine="0"/>
              <w:jc w:val="center"/>
            </w:pPr>
            <w:r w:rsidRPr="00A03B40">
              <w:t>26</w:t>
            </w:r>
            <w:r w:rsidRPr="00A03B40" w:rsidR="00E837B6">
              <w:t>.</w:t>
            </w:r>
            <w:r w:rsidRPr="00A03B40">
              <w:t>9</w:t>
            </w:r>
            <w:r w:rsidRPr="00A03B40" w:rsidR="00E837B6">
              <w:t>%</w:t>
            </w:r>
          </w:p>
        </w:tc>
      </w:tr>
      <w:tr w:rsidRPr="00A03B40" w:rsidR="00E837B6" w:rsidTr="00F12AD2" w14:paraId="69B51B08" w14:textId="77777777">
        <w:trPr>
          <w:jc w:val="center"/>
        </w:trPr>
        <w:tc>
          <w:tcPr>
            <w:tcW w:w="3645" w:type="dxa"/>
            <w:vAlign w:val="center"/>
          </w:tcPr>
          <w:p w:rsidRPr="00A03B40" w:rsidR="00E837B6" w:rsidP="00F12AD2" w:rsidRDefault="00E837B6" w14:paraId="66CD42B5" w14:textId="77777777">
            <w:pPr>
              <w:pStyle w:val="Standard"/>
              <w:ind w:firstLine="0"/>
              <w:jc w:val="center"/>
            </w:pPr>
            <w:r w:rsidRPr="00A03B40">
              <w:t>Geothermal</w:t>
            </w:r>
          </w:p>
        </w:tc>
        <w:tc>
          <w:tcPr>
            <w:tcW w:w="3645" w:type="dxa"/>
            <w:vAlign w:val="center"/>
          </w:tcPr>
          <w:p w:rsidRPr="00A03B40" w:rsidR="00E837B6" w:rsidP="00F12AD2" w:rsidRDefault="004D2B40" w14:paraId="6B8508F2" w14:textId="5F0E4F0C">
            <w:pPr>
              <w:pStyle w:val="Standard"/>
              <w:ind w:firstLine="0"/>
              <w:jc w:val="center"/>
            </w:pPr>
            <w:r w:rsidRPr="00A03B40">
              <w:t>51</w:t>
            </w:r>
            <w:r w:rsidRPr="00A03B40" w:rsidR="00E837B6">
              <w:t>.0%</w:t>
            </w:r>
          </w:p>
        </w:tc>
      </w:tr>
      <w:tr w:rsidRPr="00A03B40" w:rsidR="00E837B6" w:rsidTr="00F12AD2" w14:paraId="343783D9" w14:textId="77777777">
        <w:trPr>
          <w:jc w:val="center"/>
        </w:trPr>
        <w:tc>
          <w:tcPr>
            <w:tcW w:w="3645" w:type="dxa"/>
            <w:vAlign w:val="center"/>
          </w:tcPr>
          <w:p w:rsidRPr="00A03B40" w:rsidR="00E837B6" w:rsidP="00F12AD2" w:rsidRDefault="00E837B6" w14:paraId="63DAEA21" w14:textId="77777777">
            <w:pPr>
              <w:pStyle w:val="Standard"/>
              <w:ind w:firstLine="0"/>
              <w:jc w:val="center"/>
            </w:pPr>
            <w:r w:rsidRPr="00A03B40">
              <w:t>Small hydrogeneration</w:t>
            </w:r>
          </w:p>
        </w:tc>
        <w:tc>
          <w:tcPr>
            <w:tcW w:w="3645" w:type="dxa"/>
            <w:vAlign w:val="center"/>
          </w:tcPr>
          <w:p w:rsidRPr="00A03B40" w:rsidR="00E837B6" w:rsidP="00F12AD2" w:rsidRDefault="004D2B40" w14:paraId="6054E73A" w14:textId="4996EE83">
            <w:pPr>
              <w:pStyle w:val="Standard"/>
              <w:ind w:firstLine="0"/>
              <w:jc w:val="center"/>
            </w:pPr>
            <w:r w:rsidRPr="00A03B40">
              <w:t>20</w:t>
            </w:r>
            <w:r w:rsidRPr="00A03B40" w:rsidR="00E837B6">
              <w:t>.</w:t>
            </w:r>
            <w:r w:rsidRPr="00A03B40">
              <w:t>6</w:t>
            </w:r>
            <w:r w:rsidRPr="00A03B40" w:rsidR="00E837B6">
              <w:t>%</w:t>
            </w:r>
          </w:p>
        </w:tc>
      </w:tr>
      <w:tr w:rsidRPr="00A03B40" w:rsidR="00E837B6" w:rsidTr="00F12AD2" w14:paraId="2FDDD6DE" w14:textId="77777777">
        <w:trPr>
          <w:jc w:val="center"/>
        </w:trPr>
        <w:tc>
          <w:tcPr>
            <w:tcW w:w="3645" w:type="dxa"/>
            <w:vAlign w:val="center"/>
          </w:tcPr>
          <w:p w:rsidRPr="00A03B40" w:rsidR="00E837B6" w:rsidP="00F12AD2" w:rsidRDefault="00E837B6" w14:paraId="50C9E543" w14:textId="77777777">
            <w:pPr>
              <w:pStyle w:val="Standard"/>
              <w:ind w:firstLine="0"/>
              <w:jc w:val="center"/>
            </w:pPr>
            <w:r w:rsidRPr="00A03B40">
              <w:t>Solar</w:t>
            </w:r>
          </w:p>
        </w:tc>
        <w:tc>
          <w:tcPr>
            <w:tcW w:w="3645" w:type="dxa"/>
            <w:vAlign w:val="center"/>
          </w:tcPr>
          <w:p w:rsidRPr="00A03B40" w:rsidR="00E837B6" w:rsidP="00F12AD2" w:rsidRDefault="00E837B6" w14:paraId="6C6D157A" w14:textId="10516FE7">
            <w:pPr>
              <w:pStyle w:val="Standard"/>
              <w:ind w:firstLine="0"/>
              <w:jc w:val="center"/>
            </w:pPr>
            <w:r w:rsidRPr="00A03B40">
              <w:t>27.</w:t>
            </w:r>
            <w:r w:rsidRPr="00A03B40" w:rsidR="004D2B40">
              <w:t>2</w:t>
            </w:r>
            <w:r w:rsidRPr="00A03B40">
              <w:t>%</w:t>
            </w:r>
          </w:p>
        </w:tc>
      </w:tr>
      <w:tr w:rsidRPr="00A03B40" w:rsidR="00E837B6" w:rsidTr="00F12AD2" w14:paraId="0CB84CAA" w14:textId="77777777">
        <w:trPr>
          <w:jc w:val="center"/>
        </w:trPr>
        <w:tc>
          <w:tcPr>
            <w:tcW w:w="3645" w:type="dxa"/>
            <w:vAlign w:val="center"/>
          </w:tcPr>
          <w:p w:rsidRPr="00A03B40" w:rsidR="00E837B6" w:rsidP="00F12AD2" w:rsidRDefault="00E837B6" w14:paraId="6C88CBB3" w14:textId="77777777">
            <w:pPr>
              <w:pStyle w:val="Standard"/>
              <w:ind w:firstLine="0"/>
              <w:jc w:val="center"/>
            </w:pPr>
            <w:r w:rsidRPr="00A03B40">
              <w:t>Wind</w:t>
            </w:r>
          </w:p>
        </w:tc>
        <w:tc>
          <w:tcPr>
            <w:tcW w:w="3645" w:type="dxa"/>
            <w:vAlign w:val="center"/>
          </w:tcPr>
          <w:p w:rsidRPr="00A03B40" w:rsidR="00E837B6" w:rsidP="00F12AD2" w:rsidRDefault="00E837B6" w14:paraId="56FB960D" w14:textId="181BF114">
            <w:pPr>
              <w:pStyle w:val="Standard"/>
              <w:ind w:firstLine="0"/>
              <w:jc w:val="center"/>
            </w:pPr>
            <w:r w:rsidRPr="00A03B40">
              <w:t>2</w:t>
            </w:r>
            <w:r w:rsidRPr="00A03B40" w:rsidR="004D2B40">
              <w:t>7</w:t>
            </w:r>
            <w:r w:rsidRPr="00A03B40">
              <w:t>.</w:t>
            </w:r>
            <w:r w:rsidRPr="00A03B40" w:rsidR="004D2B40">
              <w:t>8</w:t>
            </w:r>
            <w:r w:rsidRPr="00A03B40">
              <w:t>%</w:t>
            </w:r>
          </w:p>
        </w:tc>
      </w:tr>
    </w:tbl>
    <w:p w:rsidRPr="00A03B40" w:rsidR="00130139" w:rsidP="00130139" w:rsidRDefault="00542D7D" w14:paraId="69A69133" w14:textId="2BF4D348">
      <w:pPr>
        <w:pStyle w:val="Standard"/>
        <w:spacing w:before="240"/>
      </w:pPr>
      <w:r w:rsidRPr="00A03B40">
        <w:t xml:space="preserve">SCE expects </w:t>
      </w:r>
      <w:r w:rsidRPr="00A03B40" w:rsidR="004D2B40">
        <w:t>13</w:t>
      </w:r>
      <w:r w:rsidRPr="00A03B40" w:rsidR="00130139">
        <w:t xml:space="preserve"> solar projects</w:t>
      </w:r>
      <w:r w:rsidRPr="00A03B40">
        <w:t xml:space="preserve"> </w:t>
      </w:r>
      <w:r w:rsidRPr="00A03B40" w:rsidR="00130139">
        <w:t>to begin delivering energy during 2026</w:t>
      </w:r>
      <w:r w:rsidRPr="00A03B40">
        <w:t>.</w:t>
      </w:r>
      <w:r w:rsidRPr="00A03B40" w:rsidR="00130139">
        <w:t xml:space="preserve"> </w:t>
      </w:r>
      <w:r w:rsidRPr="00A03B40">
        <w:t>B</w:t>
      </w:r>
      <w:r w:rsidRPr="00A03B40" w:rsidR="00130139">
        <w:t xml:space="preserve">ecause new projects </w:t>
      </w:r>
      <w:r w:rsidRPr="00A03B40" w:rsidR="00C04ADD">
        <w:t>lack</w:t>
      </w:r>
      <w:r w:rsidRPr="00A03B40" w:rsidR="00130139">
        <w:t xml:space="preserve"> historical performance data, SCE bases their projected deliveries on contractually expected deliveries, discounted by the</w:t>
      </w:r>
      <w:r w:rsidRPr="00A03B40" w:rsidR="00F12AD2">
        <w:t xml:space="preserve"> projects’</w:t>
      </w:r>
      <w:r w:rsidRPr="00A03B40" w:rsidR="00130139">
        <w:t xml:space="preserve"> expected probabilities of successful development.</w:t>
      </w:r>
      <w:r w:rsidRPr="00A03B40" w:rsidR="00130139">
        <w:rPr>
          <w:rStyle w:val="FootnoteReference"/>
        </w:rPr>
        <w:footnoteReference w:id="54"/>
      </w:r>
      <w:r w:rsidRPr="00A03B40" w:rsidR="00130139">
        <w:t xml:space="preserve"> SCE’s production and </w:t>
      </w:r>
      <w:r w:rsidRPr="00A03B40" w:rsidR="00254B20">
        <w:t>cost</w:t>
      </w:r>
      <w:r w:rsidRPr="00A03B40" w:rsidR="00130139">
        <w:t xml:space="preserve"> forecasts inc</w:t>
      </w:r>
      <w:r w:rsidRPr="00A03B40" w:rsidR="00C04ADD">
        <w:t>orporate</w:t>
      </w:r>
      <w:r w:rsidRPr="00A03B40" w:rsidR="00130139">
        <w:t xml:space="preserve"> estimated curtailments from its solar and wind portfolios</w:t>
      </w:r>
      <w:r w:rsidRPr="00A03B40" w:rsidR="00C04ADD">
        <w:t>.</w:t>
      </w:r>
      <w:r w:rsidRPr="00A03B40" w:rsidR="00130139">
        <w:rPr>
          <w:rStyle w:val="FootnoteReference"/>
        </w:rPr>
        <w:footnoteReference w:id="55"/>
      </w:r>
    </w:p>
    <w:p w:rsidRPr="00A03B40" w:rsidR="006A2868" w:rsidP="007F5ECD" w:rsidRDefault="00585BC1" w14:paraId="3B33FD51" w14:textId="5D6000F4">
      <w:pPr>
        <w:pStyle w:val="Standard"/>
        <w:widowControl w:val="0"/>
      </w:pPr>
      <w:r w:rsidRPr="00A03B40">
        <w:t xml:space="preserve">Many of </w:t>
      </w:r>
      <w:r w:rsidRPr="00A03B40" w:rsidR="00F97AF8">
        <w:t>SCE</w:t>
      </w:r>
      <w:r w:rsidRPr="00A03B40" w:rsidR="00130139">
        <w:t>’s</w:t>
      </w:r>
      <w:r w:rsidRPr="00A03B40" w:rsidR="00F97AF8">
        <w:t xml:space="preserve"> </w:t>
      </w:r>
      <w:r w:rsidRPr="00A03B40" w:rsidR="00130139">
        <w:t>renewables and CHP projects</w:t>
      </w:r>
      <w:r w:rsidRPr="00A03B40" w:rsidR="00E837B6">
        <w:t xml:space="preserve"> </w:t>
      </w:r>
      <w:r w:rsidRPr="00A03B40" w:rsidR="00130139">
        <w:t xml:space="preserve">have </w:t>
      </w:r>
      <w:r w:rsidRPr="00A03B40" w:rsidR="00E837B6">
        <w:t>contract-specific</w:t>
      </w:r>
      <w:r w:rsidRPr="00A03B40" w:rsidR="00130139">
        <w:t xml:space="preserve"> energy and capacity prices</w:t>
      </w:r>
      <w:r w:rsidRPr="00A03B40" w:rsidR="00F97AF8">
        <w:t>.</w:t>
      </w:r>
      <w:r w:rsidRPr="00A03B40" w:rsidR="00130139">
        <w:rPr>
          <w:rStyle w:val="FootnoteReference"/>
        </w:rPr>
        <w:footnoteReference w:id="56"/>
      </w:r>
      <w:r w:rsidRPr="00A03B40" w:rsidR="002A68CA">
        <w:t xml:space="preserve"> </w:t>
      </w:r>
      <w:r w:rsidRPr="00A03B40" w:rsidR="00130139">
        <w:t>Most of SCE’s</w:t>
      </w:r>
      <w:r w:rsidRPr="00A03B40" w:rsidR="00F97AF8">
        <w:t xml:space="preserve"> qualifying facility (QF) projects </w:t>
      </w:r>
      <w:r w:rsidRPr="00A03B40" w:rsidR="00852941">
        <w:t>are</w:t>
      </w:r>
      <w:r w:rsidRPr="00A03B40" w:rsidR="00F97AF8">
        <w:t xml:space="preserve"> paid at the posted avoided cost of energy price under standard offer contracts (SOC)</w:t>
      </w:r>
      <w:r w:rsidRPr="00A03B40" w:rsidR="00E837B6">
        <w:rPr>
          <w:rStyle w:val="FootnoteReference"/>
        </w:rPr>
        <w:footnoteReference w:id="57"/>
      </w:r>
      <w:r w:rsidRPr="00A03B40" w:rsidR="006A2868">
        <w:t xml:space="preserve"> </w:t>
      </w:r>
      <w:r w:rsidRPr="00A03B40" w:rsidR="006A2868">
        <w:lastRenderedPageBreak/>
        <w:t xml:space="preserve">while the project’s forecast capacity price is either the firm or as-available avoided </w:t>
      </w:r>
      <w:proofErr w:type="gramStart"/>
      <w:r w:rsidRPr="00A03B40" w:rsidR="006A2868">
        <w:t>capacity price</w:t>
      </w:r>
      <w:proofErr w:type="gramEnd"/>
      <w:r w:rsidRPr="00A03B40" w:rsidR="006A2868">
        <w:t xml:space="preserve"> depending on the project’s specific dedicated capacity</w:t>
      </w:r>
      <w:r w:rsidRPr="00A03B40" w:rsidR="00667E82">
        <w:t>.</w:t>
      </w:r>
    </w:p>
    <w:p w:rsidRPr="00A03B40" w:rsidR="000353C0" w:rsidP="00EF7B0C" w:rsidRDefault="0004181E" w14:paraId="7F9979F7" w14:textId="0EFF356A">
      <w:pPr>
        <w:pStyle w:val="Heading3"/>
      </w:pPr>
      <w:bookmarkStart w:name="_Toc214629860" w:id="29"/>
      <w:r>
        <w:t>Utility-Owned</w:t>
      </w:r>
      <w:r w:rsidRPr="00A03B40" w:rsidR="000353C0">
        <w:t xml:space="preserve"> Generation and Purchased Power: </w:t>
      </w:r>
      <w:r>
        <w:t>Utility-Owned</w:t>
      </w:r>
      <w:r w:rsidRPr="00A03B40" w:rsidR="000353C0">
        <w:t xml:space="preserve"> Natural Gas Facilities</w:t>
      </w:r>
      <w:bookmarkEnd w:id="29"/>
    </w:p>
    <w:p w:rsidRPr="00A03B40" w:rsidR="00FD08BA" w:rsidP="00FD08BA" w:rsidRDefault="00FD08BA" w14:paraId="2CE8472C" w14:textId="68874203">
      <w:pPr>
        <w:pStyle w:val="Standard"/>
      </w:pPr>
      <w:r w:rsidRPr="00A03B40">
        <w:t xml:space="preserve">SCE includes the </w:t>
      </w:r>
      <w:r w:rsidRPr="00A03B40" w:rsidR="00797A1D">
        <w:t>estimated production from and natural gas costs of</w:t>
      </w:r>
      <w:r w:rsidRPr="00A03B40">
        <w:t xml:space="preserve"> its five black-start capable, dispatchable Peaker units in its 2026 ERRA forecast. These units have a combined capacity of 245 MW. The capacity and non-fuel variable costs associated with these </w:t>
      </w:r>
      <w:proofErr w:type="spellStart"/>
      <w:r w:rsidRPr="00A03B40">
        <w:t>Peakers</w:t>
      </w:r>
      <w:proofErr w:type="spellEnd"/>
      <w:r w:rsidRPr="00A03B40">
        <w:t xml:space="preserve"> are included in SCE’s GRC revenue requirement and so are not included in this ERRA forecast.</w:t>
      </w:r>
      <w:r w:rsidRPr="00A03B40">
        <w:rPr>
          <w:rStyle w:val="FootnoteReference"/>
        </w:rPr>
        <w:footnoteReference w:id="58"/>
      </w:r>
      <w:r w:rsidRPr="00A03B40">
        <w:t xml:space="preserve"> </w:t>
      </w:r>
    </w:p>
    <w:p w:rsidRPr="00A03B40" w:rsidR="00FD08BA" w:rsidP="00FD08BA" w:rsidRDefault="00876DF8" w14:paraId="64F94B42" w14:textId="2150AA32">
      <w:pPr>
        <w:pStyle w:val="Standard"/>
      </w:pPr>
      <w:r w:rsidRPr="00A03B40">
        <w:t>In addition</w:t>
      </w:r>
      <w:r w:rsidRPr="00A03B40" w:rsidR="00542D7D">
        <w:t xml:space="preserve"> to amounts related to the Peaker units</w:t>
      </w:r>
      <w:r w:rsidRPr="00A03B40">
        <w:t xml:space="preserve">, </w:t>
      </w:r>
      <w:r w:rsidRPr="00A03B40" w:rsidR="00FD08BA">
        <w:t xml:space="preserve">SCE includes the </w:t>
      </w:r>
      <w:r w:rsidRPr="00A03B40" w:rsidR="00254B20">
        <w:t>forecast</w:t>
      </w:r>
      <w:r w:rsidRPr="00A03B40" w:rsidR="00FD08BA">
        <w:t xml:space="preserve"> </w:t>
      </w:r>
      <w:r w:rsidRPr="00A03B40" w:rsidR="0011680A">
        <w:t xml:space="preserve">energy </w:t>
      </w:r>
      <w:r w:rsidRPr="00A03B40" w:rsidR="00797A1D">
        <w:t>production, as well as</w:t>
      </w:r>
      <w:r w:rsidRPr="00A03B40" w:rsidR="00FD08BA">
        <w:t xml:space="preserve"> capital</w:t>
      </w:r>
      <w:r w:rsidRPr="00A03B40" w:rsidR="00744EFA">
        <w:t>,</w:t>
      </w:r>
      <w:r w:rsidRPr="00A03B40" w:rsidR="00FD08BA">
        <w:t xml:space="preserve"> </w:t>
      </w:r>
      <w:r w:rsidRPr="00A03B40" w:rsidR="0011680A">
        <w:t>natural gas</w:t>
      </w:r>
      <w:r w:rsidRPr="00A03B40" w:rsidR="00744EFA">
        <w:t>, and GHG</w:t>
      </w:r>
      <w:r w:rsidRPr="00A03B40" w:rsidR="00FD08BA">
        <w:t xml:space="preserve"> costs </w:t>
      </w:r>
      <w:r w:rsidRPr="00A03B40" w:rsidR="00254B20">
        <w:t>relating to</w:t>
      </w:r>
      <w:r w:rsidRPr="00A03B40" w:rsidR="00FD08BA">
        <w:t xml:space="preserve"> Mountainview Generating Station in its 2026 </w:t>
      </w:r>
      <w:r w:rsidRPr="00A03B40" w:rsidR="00254B20">
        <w:t>ERRA forecast,</w:t>
      </w:r>
      <w:r w:rsidRPr="00A03B40" w:rsidR="00FD08BA">
        <w:t xml:space="preserve"> pursuant to D.18-10-019.</w:t>
      </w:r>
      <w:r w:rsidRPr="00A03B40" w:rsidR="00FD08BA">
        <w:rPr>
          <w:rStyle w:val="FootnoteReference"/>
        </w:rPr>
        <w:footnoteReference w:id="59"/>
      </w:r>
      <w:r w:rsidRPr="00A03B40" w:rsidR="00FD08BA">
        <w:t xml:space="preserve"> SCE  state</w:t>
      </w:r>
      <w:r w:rsidR="00A86AD6">
        <w:t>s that</w:t>
      </w:r>
      <w:r w:rsidRPr="00A03B40" w:rsidR="00FD08BA">
        <w:t xml:space="preserve"> the current capacity of this generation station</w:t>
      </w:r>
      <w:r w:rsidR="00A86AD6">
        <w:t xml:space="preserve"> is</w:t>
      </w:r>
      <w:r w:rsidR="007370CE">
        <w:t xml:space="preserve"> </w:t>
      </w:r>
      <w:r w:rsidR="00A86AD6">
        <w:t xml:space="preserve">1,110 </w:t>
      </w:r>
      <w:r w:rsidRPr="00A03B40" w:rsidR="00FD08BA">
        <w:t>MW.</w:t>
      </w:r>
      <w:r w:rsidRPr="00A03B40" w:rsidR="00FD08BA">
        <w:rPr>
          <w:rStyle w:val="FootnoteReference"/>
        </w:rPr>
        <w:footnoteReference w:id="60"/>
      </w:r>
      <w:r w:rsidRPr="00A03B40" w:rsidR="002A68CA">
        <w:t xml:space="preserve"> </w:t>
      </w:r>
      <w:r w:rsidRPr="00A03B40" w:rsidR="00865882">
        <w:t xml:space="preserve">As noted above, </w:t>
      </w:r>
      <w:r w:rsidRPr="00A03B40" w:rsidR="00FD08BA">
        <w:t xml:space="preserve">SCE projects gas prices to be </w:t>
      </w:r>
      <w:r w:rsidRPr="00A03B40" w:rsidR="00744EFA">
        <w:t>five</w:t>
      </w:r>
      <w:r w:rsidRPr="00A03B40" w:rsidR="00FD08BA">
        <w:t xml:space="preserve"> percent higher in 2026 compared to those </w:t>
      </w:r>
      <w:r w:rsidRPr="00A03B40" w:rsidR="00300B68">
        <w:t xml:space="preserve">it </w:t>
      </w:r>
      <w:r w:rsidRPr="00A03B40" w:rsidR="00FD08BA">
        <w:t>projected for 2025</w:t>
      </w:r>
      <w:r w:rsidRPr="00A03B40" w:rsidR="00797A1D">
        <w:t>, ultimately lowering forecast volumes of generation from SCE’s gas dispatchable portfolio</w:t>
      </w:r>
      <w:r w:rsidRPr="00A03B40" w:rsidR="00FD08BA">
        <w:t>.</w:t>
      </w:r>
      <w:r w:rsidRPr="00A03B40" w:rsidR="00FD08BA">
        <w:rPr>
          <w:rStyle w:val="FootnoteReference"/>
        </w:rPr>
        <w:footnoteReference w:id="61"/>
      </w:r>
    </w:p>
    <w:p w:rsidRPr="00A03B40" w:rsidR="007D6194" w:rsidP="00EF7B0C" w:rsidRDefault="0004181E" w14:paraId="3BC68B34" w14:textId="347EC3ED">
      <w:pPr>
        <w:pStyle w:val="Heading3"/>
      </w:pPr>
      <w:bookmarkStart w:name="_Toc214629861" w:id="30"/>
      <w:r>
        <w:lastRenderedPageBreak/>
        <w:t>Utility-Owned</w:t>
      </w:r>
      <w:r w:rsidRPr="00A03B40" w:rsidR="007D6194">
        <w:t xml:space="preserve"> Generation and Purchased Power: Inter </w:t>
      </w:r>
      <w:r w:rsidRPr="00A03B40" w:rsidR="003D05CE">
        <w:t>Utility</w:t>
      </w:r>
      <w:r w:rsidRPr="00A03B40" w:rsidR="007D6194">
        <w:t xml:space="preserve"> Contract Production</w:t>
      </w:r>
      <w:bookmarkEnd w:id="30"/>
    </w:p>
    <w:p w:rsidRPr="00A03B40" w:rsidR="00656FC9" w:rsidP="001F13A7" w:rsidRDefault="007D6194" w14:paraId="4E0AFEFD" w14:textId="43BB89E2">
      <w:pPr>
        <w:pStyle w:val="Standard"/>
      </w:pPr>
      <w:r w:rsidRPr="00A03B40">
        <w:t xml:space="preserve">SCE includes in its 2026 ERRA forecast the </w:t>
      </w:r>
      <w:r w:rsidRPr="00A03B40" w:rsidR="00656FC9">
        <w:t xml:space="preserve">anticipated energy and capacity </w:t>
      </w:r>
      <w:r w:rsidRPr="00A03B40">
        <w:t xml:space="preserve">costs of </w:t>
      </w:r>
      <w:r w:rsidRPr="00A03B40" w:rsidR="00656FC9">
        <w:t>forecast</w:t>
      </w:r>
      <w:r w:rsidRPr="00A03B40">
        <w:t xml:space="preserve"> deliveries from a fifty-year agreement executed with the </w:t>
      </w:r>
      <w:bookmarkStart w:name="_Hlk210731997" w:id="31"/>
      <w:r w:rsidRPr="00A03B40">
        <w:t>Western Area Power Administration (WAPA) and the U.S. Bureau of Reclamation</w:t>
      </w:r>
      <w:bookmarkEnd w:id="31"/>
      <w:r w:rsidRPr="00A03B40">
        <w:t xml:space="preserve">. Under the terms of this agreement, SCE has a 2026 entitlement of 280.245 MW of contingent capacity and 238.16 GWh of firm energy generated by the Boulder Canyon Project at </w:t>
      </w:r>
      <w:proofErr w:type="gramStart"/>
      <w:r w:rsidRPr="00A03B40">
        <w:t>the Hoover</w:t>
      </w:r>
      <w:proofErr w:type="gramEnd"/>
      <w:r w:rsidRPr="00A03B40">
        <w:t xml:space="preserve"> Dam.</w:t>
      </w:r>
      <w:r w:rsidRPr="00A03B40">
        <w:rPr>
          <w:rStyle w:val="FootnoteReference"/>
        </w:rPr>
        <w:footnoteReference w:id="62"/>
      </w:r>
      <w:r w:rsidRPr="00A03B40" w:rsidR="002A68CA">
        <w:t xml:space="preserve"> </w:t>
      </w:r>
    </w:p>
    <w:p w:rsidR="00543709" w:rsidP="00865882" w:rsidRDefault="007D6194" w14:paraId="5D725A07" w14:textId="5564DBAC">
      <w:pPr>
        <w:pStyle w:val="Standard"/>
      </w:pPr>
      <w:r w:rsidRPr="00A03B40">
        <w:t>SCE states that due to ongoing drought conditions in the Rocky Mountains, and subsequent lower surface elevation levels in Lake Mead, the amounts of capacity and firm energy available to SCE will be curtailed from those entitlement amounts, potentially reaching as low as 1</w:t>
      </w:r>
      <w:r w:rsidRPr="00A03B40" w:rsidR="00744EFA">
        <w:t>00</w:t>
      </w:r>
      <w:r w:rsidRPr="00A03B40">
        <w:t xml:space="preserve"> MW and 9 GWh, respectively.</w:t>
      </w:r>
      <w:r w:rsidRPr="00A03B40" w:rsidR="002A68CA">
        <w:t xml:space="preserve"> </w:t>
      </w:r>
      <w:r w:rsidRPr="00A03B40" w:rsidR="00290509">
        <w:t>SCE forecasts inter-utility contract purchases of 15</w:t>
      </w:r>
      <w:r w:rsidRPr="00A03B40" w:rsidR="00A36CEA">
        <w:t>6</w:t>
      </w:r>
      <w:r w:rsidRPr="00A03B40" w:rsidR="00290509">
        <w:t xml:space="preserve"> GWh in 2026</w:t>
      </w:r>
      <w:r w:rsidRPr="00A03B40" w:rsidR="00B563D8">
        <w:t xml:space="preserve">, and inbound capacity </w:t>
      </w:r>
      <w:r w:rsidRPr="00A03B40" w:rsidR="00F464B1">
        <w:t xml:space="preserve">averaging </w:t>
      </w:r>
      <w:r w:rsidRPr="00A03B40" w:rsidR="00A36CEA">
        <w:t xml:space="preserve">approximately </w:t>
      </w:r>
      <w:r w:rsidRPr="00A03B40" w:rsidR="00F464B1">
        <w:t>151</w:t>
      </w:r>
      <w:r w:rsidRPr="00A03B40" w:rsidR="00B563D8">
        <w:t xml:space="preserve"> MW</w:t>
      </w:r>
      <w:r w:rsidRPr="00A03B40" w:rsidR="00F464B1">
        <w:t xml:space="preserve"> per month</w:t>
      </w:r>
      <w:r w:rsidRPr="00A03B40" w:rsidR="00290509">
        <w:t>.</w:t>
      </w:r>
      <w:r w:rsidRPr="00A03B40" w:rsidR="00290509">
        <w:rPr>
          <w:rStyle w:val="FootnoteReference"/>
        </w:rPr>
        <w:footnoteReference w:id="63"/>
      </w:r>
      <w:r w:rsidRPr="00A03B40" w:rsidR="00290509">
        <w:t xml:space="preserve"> </w:t>
      </w:r>
      <w:r w:rsidRPr="00A03B40" w:rsidR="00214677">
        <w:t>SCE states</w:t>
      </w:r>
      <w:r w:rsidRPr="00A03B40" w:rsidR="00D4775A">
        <w:t>:</w:t>
      </w:r>
      <w:r w:rsidRPr="00A03B40" w:rsidR="00214677">
        <w:t xml:space="preserve"> “[d]</w:t>
      </w:r>
      <w:proofErr w:type="spellStart"/>
      <w:r w:rsidRPr="00A03B40" w:rsidR="00214677">
        <w:t>uring</w:t>
      </w:r>
      <w:proofErr w:type="spellEnd"/>
      <w:r w:rsidRPr="00A03B40" w:rsidR="00214677">
        <w:t xml:space="preserve"> periods when Hoover is unable to provide energy in amounts equal to the firm energy, the WAPA is obligated to provide any deficit, if requested by the purchaser, at a rate equal to the WAPA’s cost to acquire.”</w:t>
      </w:r>
      <w:r w:rsidRPr="00A03B40" w:rsidR="00214677">
        <w:rPr>
          <w:rStyle w:val="FootnoteReference"/>
        </w:rPr>
        <w:footnoteReference w:id="64"/>
      </w:r>
      <w:r w:rsidRPr="00A03B40" w:rsidR="00214677">
        <w:t xml:space="preserve"> </w:t>
      </w:r>
      <w:bookmarkStart w:name="_Toc203653975" w:id="32"/>
    </w:p>
    <w:p w:rsidRPr="00A03B40" w:rsidR="00656FC9" w:rsidP="000C4CB2" w:rsidRDefault="0004181E" w14:paraId="70D5FCF4" w14:textId="28A80F0E">
      <w:pPr>
        <w:pStyle w:val="Heading3"/>
      </w:pPr>
      <w:bookmarkStart w:name="_Toc214629862" w:id="33"/>
      <w:bookmarkEnd w:id="32"/>
      <w:r>
        <w:lastRenderedPageBreak/>
        <w:t>Utility-Owned</w:t>
      </w:r>
      <w:r w:rsidRPr="00A03B40" w:rsidR="001F13A7">
        <w:t xml:space="preserve"> Generation and Purchased Power: </w:t>
      </w:r>
      <w:r w:rsidRPr="00A03B40" w:rsidR="000218AD">
        <w:t xml:space="preserve">New System Generation </w:t>
      </w:r>
      <w:r w:rsidRPr="00A03B40" w:rsidR="00DE74C2">
        <w:t>Cost Allocation Method</w:t>
      </w:r>
      <w:r w:rsidRPr="00A03B40" w:rsidR="00656FC9">
        <w:t xml:space="preserve"> Contracts</w:t>
      </w:r>
      <w:bookmarkEnd w:id="33"/>
    </w:p>
    <w:p w:rsidRPr="00A03B40" w:rsidR="00FF350F" w:rsidP="000C4CB2" w:rsidRDefault="009D2ABB" w14:paraId="06FA724F" w14:textId="21450E3A">
      <w:pPr>
        <w:pStyle w:val="Standard"/>
        <w:keepNext/>
        <w:keepLines/>
      </w:pPr>
      <w:bookmarkStart w:name="_Hlk210738603" w:id="34"/>
      <w:r w:rsidRPr="00A03B40">
        <w:t xml:space="preserve">SCE includes in its 2026 ERRA forecast the </w:t>
      </w:r>
      <w:r w:rsidRPr="00A03B40" w:rsidR="003A2C15">
        <w:t xml:space="preserve">anticipated </w:t>
      </w:r>
      <w:r w:rsidRPr="00A03B40" w:rsidR="00415CF6">
        <w:t xml:space="preserve">energy </w:t>
      </w:r>
      <w:r w:rsidRPr="00A03B40" w:rsidR="00FE072E">
        <w:t>costs</w:t>
      </w:r>
      <w:r w:rsidRPr="00A03B40" w:rsidR="00415CF6">
        <w:t>, energy revenues, and capacity costs</w:t>
      </w:r>
      <w:r w:rsidRPr="00A03B40">
        <w:t xml:space="preserve"> of New System Generation resources</w:t>
      </w:r>
      <w:bookmarkEnd w:id="34"/>
      <w:r w:rsidRPr="00A03B40">
        <w:t>.</w:t>
      </w:r>
      <w:r w:rsidRPr="00A03B40" w:rsidR="00415CF6">
        <w:rPr>
          <w:rStyle w:val="FootnoteReference"/>
        </w:rPr>
        <w:footnoteReference w:id="65"/>
      </w:r>
    </w:p>
    <w:p w:rsidRPr="00A03B40" w:rsidR="00A41EA9" w:rsidP="00FF350F" w:rsidRDefault="00524F70" w14:paraId="01CBFB38" w14:textId="6AF0BB59">
      <w:pPr>
        <w:pStyle w:val="Standard"/>
        <w:ind w:firstLine="0"/>
      </w:pPr>
      <w:r w:rsidRPr="00A03B40">
        <w:t>In 2006, the Commission</w:t>
      </w:r>
      <w:r w:rsidRPr="00A03B40" w:rsidR="000218AD">
        <w:t xml:space="preserve"> </w:t>
      </w:r>
      <w:r w:rsidRPr="00A03B40" w:rsidR="003C1AAA">
        <w:t>required</w:t>
      </w:r>
      <w:r w:rsidRPr="00A03B40" w:rsidR="003A2C15">
        <w:t xml:space="preserve"> </w:t>
      </w:r>
      <w:r w:rsidRPr="00A03B40" w:rsidR="005D4119">
        <w:t xml:space="preserve">SCE </w:t>
      </w:r>
      <w:r w:rsidRPr="00A03B40" w:rsidR="003A2C15">
        <w:t xml:space="preserve">to procure </w:t>
      </w:r>
      <w:r w:rsidRPr="00A03B40" w:rsidR="003C1AAA">
        <w:t>“N</w:t>
      </w:r>
      <w:r w:rsidRPr="00A03B40" w:rsidR="003A2C15">
        <w:t xml:space="preserve">ew </w:t>
      </w:r>
      <w:r w:rsidRPr="00A03B40" w:rsidR="003C1AAA">
        <w:t>S</w:t>
      </w:r>
      <w:r w:rsidRPr="00A03B40" w:rsidR="00A207CB">
        <w:t xml:space="preserve">ystem </w:t>
      </w:r>
      <w:r w:rsidRPr="00A03B40" w:rsidR="003C1AAA">
        <w:t>G</w:t>
      </w:r>
      <w:r w:rsidRPr="00A03B40" w:rsidR="003A2C15">
        <w:t>eneration</w:t>
      </w:r>
      <w:r w:rsidRPr="00A03B40" w:rsidR="003C1AAA">
        <w:t>”</w:t>
      </w:r>
      <w:r w:rsidRPr="00A03B40" w:rsidR="003A2C15">
        <w:t xml:space="preserve"> through long-term power purchase agreements (PPA)</w:t>
      </w:r>
      <w:r w:rsidRPr="00A03B40" w:rsidR="005D4119">
        <w:t xml:space="preserve"> </w:t>
      </w:r>
      <w:r w:rsidRPr="00A03B40" w:rsidR="002568DE">
        <w:t>entered</w:t>
      </w:r>
      <w:r w:rsidRPr="00A03B40" w:rsidR="005D4119">
        <w:t xml:space="preserve"> on behalf of bundled and unbundled customers across </w:t>
      </w:r>
      <w:r w:rsidRPr="00A03B40" w:rsidR="00CA0E0C">
        <w:t xml:space="preserve">its </w:t>
      </w:r>
      <w:r w:rsidRPr="00A03B40" w:rsidR="005D4119">
        <w:t>service territor</w:t>
      </w:r>
      <w:r w:rsidRPr="00A03B40" w:rsidR="00CA0E0C">
        <w:t>y</w:t>
      </w:r>
      <w:r w:rsidRPr="00A03B40" w:rsidR="003A2C15">
        <w:t>.</w:t>
      </w:r>
      <w:r w:rsidRPr="00A03B40" w:rsidR="003A2C15">
        <w:rPr>
          <w:rStyle w:val="FootnoteReference"/>
        </w:rPr>
        <w:footnoteReference w:id="66"/>
      </w:r>
      <w:r w:rsidRPr="00A03B40" w:rsidR="002A68CA">
        <w:t xml:space="preserve"> </w:t>
      </w:r>
    </w:p>
    <w:p w:rsidRPr="00A03B40" w:rsidR="0088061D" w:rsidP="00543709" w:rsidRDefault="00FE00EA" w14:paraId="4E0F7CF6" w14:textId="3EA055EF">
      <w:pPr>
        <w:pStyle w:val="Standard"/>
        <w:widowControl w:val="0"/>
      </w:pPr>
      <w:r w:rsidRPr="00A03B40">
        <w:t>In the same decision, the Commission unbundled t</w:t>
      </w:r>
      <w:r w:rsidRPr="00A03B40" w:rsidR="003C1AAA">
        <w:t xml:space="preserve">he capacity rights for </w:t>
      </w:r>
      <w:r w:rsidRPr="00A03B40" w:rsidR="00CA0E0C">
        <w:t xml:space="preserve">these </w:t>
      </w:r>
      <w:r w:rsidRPr="00A03B40" w:rsidR="003C1AAA">
        <w:t>New System Generation resources from the energy components;</w:t>
      </w:r>
      <w:r w:rsidRPr="00A03B40" w:rsidR="003C1AAA">
        <w:rPr>
          <w:rStyle w:val="FootnoteReference"/>
        </w:rPr>
        <w:footnoteReference w:id="67"/>
      </w:r>
      <w:r w:rsidRPr="00A03B40" w:rsidR="003C1AAA">
        <w:t xml:space="preserve"> the </w:t>
      </w:r>
      <w:r w:rsidRPr="00A03B40" w:rsidR="00543709">
        <w:t>load serving entities (</w:t>
      </w:r>
      <w:r w:rsidRPr="00A03B40" w:rsidR="003C1AAA">
        <w:t>LSEs</w:t>
      </w:r>
      <w:r w:rsidRPr="00A03B40" w:rsidR="00543709">
        <w:t>)</w:t>
      </w:r>
      <w:r w:rsidRPr="00A03B40" w:rsidR="003C1AAA">
        <w:t xml:space="preserve"> in the IOUs respective service territories are allocated the capacity rights that can </w:t>
      </w:r>
      <w:r w:rsidRPr="00A03B40">
        <w:t xml:space="preserve">then </w:t>
      </w:r>
      <w:r w:rsidRPr="00A03B40" w:rsidR="003C1AAA">
        <w:t>be applied to each LSE’s resource adequacy requirements.</w:t>
      </w:r>
      <w:r w:rsidRPr="00A03B40" w:rsidR="003C1AAA">
        <w:rPr>
          <w:rStyle w:val="FootnoteReference"/>
        </w:rPr>
        <w:footnoteReference w:id="68"/>
      </w:r>
      <w:r w:rsidRPr="00A03B40" w:rsidR="002A68CA">
        <w:t xml:space="preserve"> </w:t>
      </w:r>
      <w:r w:rsidRPr="00A03B40" w:rsidR="002276F0">
        <w:t xml:space="preserve">The Commission adopted the Cost Allocation Mechanism </w:t>
      </w:r>
      <w:r w:rsidRPr="00A03B40" w:rsidR="00074E46">
        <w:t xml:space="preserve">(CAM) </w:t>
      </w:r>
      <w:r w:rsidRPr="00A03B40" w:rsidR="002276F0">
        <w:t xml:space="preserve">to allocate the costs </w:t>
      </w:r>
      <w:r w:rsidRPr="00A03B40" w:rsidR="0088061D">
        <w:t>and benefits of these resources</w:t>
      </w:r>
      <w:r w:rsidRPr="00A03B40" w:rsidR="009D622B">
        <w:t>:</w:t>
      </w:r>
      <w:r w:rsidRPr="00A03B40" w:rsidR="0088061D">
        <w:t xml:space="preserve"> the costs and benefits of the resource adequacy capacity component</w:t>
      </w:r>
      <w:r w:rsidRPr="00A03B40" w:rsidR="0088061D">
        <w:rPr>
          <w:rStyle w:val="FootnoteReference"/>
        </w:rPr>
        <w:footnoteReference w:id="69"/>
      </w:r>
      <w:r w:rsidRPr="00A03B40" w:rsidR="0088061D">
        <w:t xml:space="preserve"> </w:t>
      </w:r>
      <w:r w:rsidRPr="00A03B40" w:rsidR="009D622B">
        <w:t xml:space="preserve">are </w:t>
      </w:r>
      <w:r w:rsidRPr="00A03B40" w:rsidR="0088061D">
        <w:t>socialized to all customers connected to the utility’s distribution system</w:t>
      </w:r>
      <w:r w:rsidRPr="00A03B40" w:rsidR="00543709">
        <w:t>;</w:t>
      </w:r>
      <w:r w:rsidRPr="00A03B40" w:rsidR="0088061D">
        <w:t xml:space="preserve"> the costs and benefits of the</w:t>
      </w:r>
      <w:r w:rsidRPr="00A03B40" w:rsidR="00543709">
        <w:t xml:space="preserve"> </w:t>
      </w:r>
      <w:r w:rsidRPr="00A03B40" w:rsidR="0088061D">
        <w:t xml:space="preserve">energy </w:t>
      </w:r>
      <w:r w:rsidRPr="00A03B40" w:rsidR="0088061D">
        <w:lastRenderedPageBreak/>
        <w:t xml:space="preserve">component </w:t>
      </w:r>
      <w:r w:rsidRPr="00A03B40" w:rsidR="009D622B">
        <w:t xml:space="preserve">are </w:t>
      </w:r>
      <w:r w:rsidRPr="00A03B40" w:rsidR="0088061D">
        <w:t>assigned “to those that value the energy the most.”</w:t>
      </w:r>
      <w:r w:rsidRPr="00A03B40" w:rsidR="0088061D">
        <w:rPr>
          <w:rStyle w:val="FootnoteReference"/>
        </w:rPr>
        <w:footnoteReference w:id="70"/>
      </w:r>
      <w:r w:rsidRPr="00A03B40" w:rsidR="0088061D">
        <w:t xml:space="preserve"> </w:t>
      </w:r>
    </w:p>
    <w:p w:rsidRPr="00A03B40" w:rsidR="002276F0" w:rsidP="0088061D" w:rsidRDefault="0088061D" w14:paraId="2768348D" w14:textId="3DA39C32">
      <w:pPr>
        <w:pStyle w:val="Standard"/>
      </w:pPr>
      <w:r w:rsidRPr="00A03B40">
        <w:t>To effectuate this distribution of energy rights, p</w:t>
      </w:r>
      <w:r w:rsidRPr="00A03B40" w:rsidR="002276F0">
        <w:t>ursuant to D.07-09-44 and the Joint Party Proposal adopted therein, SCE holds the dispatch rights for all New System Generation contracts and distributes the energy rights via auction.</w:t>
      </w:r>
      <w:r w:rsidRPr="00A03B40">
        <w:rPr>
          <w:rStyle w:val="FootnoteReference"/>
        </w:rPr>
        <w:t xml:space="preserve"> </w:t>
      </w:r>
      <w:r w:rsidRPr="00A03B40">
        <w:rPr>
          <w:rStyle w:val="FootnoteReference"/>
        </w:rPr>
        <w:footnoteReference w:id="71"/>
      </w:r>
      <w:r w:rsidRPr="00A03B40" w:rsidR="002A68CA">
        <w:t xml:space="preserve"> </w:t>
      </w:r>
      <w:r w:rsidRPr="00A03B40" w:rsidR="00FE00EA">
        <w:t xml:space="preserve">SCE forecasts 2026 energy revenues from these resources based on </w:t>
      </w:r>
      <w:r w:rsidRPr="00A03B40" w:rsidR="00CA0E0C">
        <w:t>LCD</w:t>
      </w:r>
      <w:r w:rsidRPr="00A03B40" w:rsidR="00FE00EA">
        <w:t>.</w:t>
      </w:r>
      <w:r w:rsidRPr="00A03B40" w:rsidR="00FE00EA">
        <w:rPr>
          <w:rStyle w:val="FootnoteReference"/>
        </w:rPr>
        <w:footnoteReference w:id="72"/>
      </w:r>
      <w:r w:rsidRPr="00A03B40" w:rsidR="002A68CA">
        <w:t xml:space="preserve"> </w:t>
      </w:r>
      <w:r w:rsidRPr="00A03B40" w:rsidR="007064F7">
        <w:t>The costs and revenues related to these resources are tracked in the New System Generation Balancing Account (NSGBA).</w:t>
      </w:r>
      <w:r w:rsidRPr="00A03B40" w:rsidR="007064F7">
        <w:rPr>
          <w:rStyle w:val="FootnoteReference"/>
        </w:rPr>
        <w:footnoteReference w:id="73"/>
      </w:r>
      <w:r w:rsidRPr="00A03B40" w:rsidR="002A68CA">
        <w:t xml:space="preserve"> </w:t>
      </w:r>
      <w:r w:rsidRPr="00A03B40" w:rsidR="007064F7">
        <w:t xml:space="preserve"> </w:t>
      </w:r>
    </w:p>
    <w:p w:rsidRPr="00A03B40" w:rsidR="0085224D" w:rsidP="0085224D" w:rsidRDefault="00FE00EA" w14:paraId="617E2043" w14:textId="2B259B4B">
      <w:pPr>
        <w:pStyle w:val="Standard"/>
      </w:pPr>
      <w:r w:rsidRPr="00A03B40">
        <w:t xml:space="preserve">Commission decisions have since </w:t>
      </w:r>
      <w:r w:rsidRPr="00A03B40" w:rsidR="002568DE">
        <w:t xml:space="preserve">(1) </w:t>
      </w:r>
      <w:r w:rsidRPr="00A03B40">
        <w:t xml:space="preserve">expanded the scope of resources to which the CAM may apply and </w:t>
      </w:r>
      <w:r w:rsidRPr="00A03B40" w:rsidR="002568DE">
        <w:t xml:space="preserve">(2) </w:t>
      </w:r>
      <w:r w:rsidRPr="00A03B40">
        <w:t>modified CAM processes.</w:t>
      </w:r>
      <w:r w:rsidRPr="00A03B40" w:rsidR="002A68CA">
        <w:t xml:space="preserve"> </w:t>
      </w:r>
      <w:r w:rsidRPr="00A03B40" w:rsidR="002568DE">
        <w:t xml:space="preserve">For example, in </w:t>
      </w:r>
      <w:bookmarkStart w:name="_Hlk211172969" w:id="36"/>
      <w:r w:rsidRPr="00A03B40" w:rsidR="002568DE">
        <w:t>D.10-12-035</w:t>
      </w:r>
      <w:bookmarkEnd w:id="36"/>
      <w:r w:rsidRPr="00A03B40" w:rsidR="002568DE">
        <w:t xml:space="preserve">, the Commission allowed SCE to allocate </w:t>
      </w:r>
      <w:r w:rsidRPr="00A03B40" w:rsidR="00C0460D">
        <w:t xml:space="preserve">via the CAM the net capacity </w:t>
      </w:r>
      <w:r w:rsidRPr="00A03B40" w:rsidR="002568DE">
        <w:t xml:space="preserve">costs associated with CHP generation procured on behalf of Direct Access customers’ Electric Service Providers </w:t>
      </w:r>
      <w:r w:rsidRPr="00A03B40" w:rsidR="00222CC7">
        <w:t xml:space="preserve">(ESPs) </w:t>
      </w:r>
      <w:r w:rsidRPr="00A03B40" w:rsidR="002568DE">
        <w:t>and CCAs.</w:t>
      </w:r>
      <w:r w:rsidRPr="00A03B40" w:rsidR="002568DE">
        <w:rPr>
          <w:rStyle w:val="FootnoteReference"/>
        </w:rPr>
        <w:footnoteReference w:id="74"/>
      </w:r>
      <w:r w:rsidRPr="00A03B40" w:rsidR="002A68CA">
        <w:t xml:space="preserve"> </w:t>
      </w:r>
      <w:r w:rsidRPr="00A03B40" w:rsidR="000218AD">
        <w:t xml:space="preserve">In D.11-05-005, the Commission </w:t>
      </w:r>
      <w:r w:rsidRPr="00A03B40" w:rsidR="005D3260">
        <w:t>modified the CAM</w:t>
      </w:r>
      <w:r w:rsidRPr="00A03B40" w:rsidR="000218AD">
        <w:t xml:space="preserve"> process</w:t>
      </w:r>
      <w:r w:rsidRPr="00A03B40" w:rsidR="00550C49">
        <w:t>, in part</w:t>
      </w:r>
      <w:r w:rsidRPr="00A03B40" w:rsidR="000218AD">
        <w:t xml:space="preserve"> </w:t>
      </w:r>
      <w:r w:rsidRPr="00A03B40" w:rsidR="005D3260">
        <w:t xml:space="preserve">by </w:t>
      </w:r>
      <w:r w:rsidRPr="00A03B40" w:rsidR="00550C49">
        <w:t>expand</w:t>
      </w:r>
      <w:r w:rsidRPr="00A03B40" w:rsidR="00290509">
        <w:t>ing</w:t>
      </w:r>
      <w:r w:rsidRPr="00A03B40" w:rsidR="00550C49">
        <w:t xml:space="preserve"> CAM treatment to </w:t>
      </w:r>
      <w:r w:rsidRPr="00A03B40" w:rsidR="00C465E6">
        <w:t>UOG</w:t>
      </w:r>
      <w:r w:rsidRPr="00A03B40" w:rsidR="00550C49">
        <w:t xml:space="preserve"> </w:t>
      </w:r>
      <w:r w:rsidRPr="00A03B40" w:rsidR="00EB5064">
        <w:t>if</w:t>
      </w:r>
      <w:r w:rsidRPr="00A03B40" w:rsidR="00550C49">
        <w:t xml:space="preserve"> the Commission determines </w:t>
      </w:r>
      <w:r w:rsidRPr="00A03B40" w:rsidR="00EB5064">
        <w:t>a UOG</w:t>
      </w:r>
      <w:r w:rsidRPr="00A03B40" w:rsidR="00550C49">
        <w:t xml:space="preserve"> resource is needed for system or local area reliability</w:t>
      </w:r>
      <w:r w:rsidRPr="00A03B40">
        <w:t>.</w:t>
      </w:r>
      <w:r w:rsidRPr="00A03B40">
        <w:rPr>
          <w:rStyle w:val="FootnoteReference"/>
        </w:rPr>
        <w:footnoteReference w:id="75"/>
      </w:r>
      <w:r w:rsidRPr="00A03B40" w:rsidR="002A68CA">
        <w:t xml:space="preserve"> </w:t>
      </w:r>
      <w:r w:rsidRPr="00A03B40" w:rsidR="00A41EA9">
        <w:t xml:space="preserve">Lastly, the capacity costs of certain bankrupt non-IOU LSEs (or of those LSEs that cease to provide retail service) revert to the </w:t>
      </w:r>
      <w:r w:rsidRPr="00A03B40" w:rsidR="00A41EA9">
        <w:lastRenderedPageBreak/>
        <w:t>relevant IOU for CAM recovery, if those costs were originally recovered under the Modified Cost Allocation Mechanism (MCAM</w:t>
      </w:r>
      <w:r w:rsidRPr="00A03B40" w:rsidR="00C25BEE">
        <w:t>, discussed below</w:t>
      </w:r>
      <w:r w:rsidRPr="00A03B40" w:rsidR="00A41EA9">
        <w:t>).</w:t>
      </w:r>
      <w:r w:rsidRPr="00A03B40" w:rsidR="00A41EA9">
        <w:rPr>
          <w:rStyle w:val="FootnoteReference"/>
        </w:rPr>
        <w:footnoteReference w:id="76"/>
      </w:r>
    </w:p>
    <w:p w:rsidRPr="00A03B40" w:rsidR="002F258D" w:rsidP="0085224D" w:rsidRDefault="00426D01" w14:paraId="03463B77" w14:textId="5322CEDF">
      <w:pPr>
        <w:pStyle w:val="Standard"/>
      </w:pPr>
      <w:r w:rsidRPr="00A03B40">
        <w:t>SCE describes three decisions in which the Commission (1) required the IOUs to address summer emergency reliability by contracting for additional capacity and (2) authorized CAM recovery for these contracts.</w:t>
      </w:r>
      <w:r w:rsidRPr="00A03B40">
        <w:rPr>
          <w:rStyle w:val="FootnoteReference"/>
        </w:rPr>
        <w:footnoteReference w:id="77"/>
      </w:r>
      <w:r w:rsidRPr="00A03B40" w:rsidR="002A68CA">
        <w:t xml:space="preserve"> </w:t>
      </w:r>
      <w:r w:rsidRPr="00A03B40" w:rsidR="00A41EA9">
        <w:t>SCE lists the contracts and UOG resources for which the Commission has authorized CAM cost recovery in testimony.</w:t>
      </w:r>
      <w:r w:rsidRPr="00A03B40" w:rsidR="00A41EA9">
        <w:rPr>
          <w:rStyle w:val="FootnoteReference"/>
        </w:rPr>
        <w:footnoteReference w:id="78"/>
      </w:r>
      <w:r w:rsidRPr="00A03B40" w:rsidR="00A41EA9">
        <w:t xml:space="preserve"> </w:t>
      </w:r>
    </w:p>
    <w:p w:rsidRPr="00A03B40" w:rsidR="001D33FA" w:rsidP="001D33FA" w:rsidRDefault="001D33FA" w14:paraId="20BBCB41" w14:textId="30CC56F1">
      <w:pPr>
        <w:pStyle w:val="Heading4"/>
      </w:pPr>
      <w:r w:rsidRPr="00A03B40">
        <w:t xml:space="preserve">New System Generation: Central Procurement </w:t>
      </w:r>
      <w:r w:rsidRPr="00A03B40" w:rsidR="00FD50BD">
        <w:t xml:space="preserve">Entity </w:t>
      </w:r>
      <w:r w:rsidRPr="00A03B40">
        <w:t>Costs for Local Resource Adequacy</w:t>
      </w:r>
    </w:p>
    <w:p w:rsidRPr="00A03B40" w:rsidR="00900075" w:rsidP="00900075" w:rsidRDefault="001D33FA" w14:paraId="2D029FD3" w14:textId="60EA90E3">
      <w:pPr>
        <w:pStyle w:val="Standard"/>
      </w:pPr>
      <w:r w:rsidRPr="00A03B40">
        <w:t xml:space="preserve">SCE includes the </w:t>
      </w:r>
      <w:r w:rsidRPr="00A03B40" w:rsidR="00FD50BD">
        <w:t>forecast</w:t>
      </w:r>
      <w:r w:rsidRPr="00A03B40" w:rsidR="0087797C">
        <w:t xml:space="preserve"> </w:t>
      </w:r>
      <w:r w:rsidRPr="00A03B40" w:rsidR="002B29F5">
        <w:t xml:space="preserve">net </w:t>
      </w:r>
      <w:r w:rsidRPr="00A03B40" w:rsidR="0087797C">
        <w:t>procurement and administrative</w:t>
      </w:r>
      <w:r w:rsidRPr="00A03B40" w:rsidR="00FD50BD">
        <w:t xml:space="preserve"> </w:t>
      </w:r>
      <w:r w:rsidRPr="00A03B40">
        <w:t>costs</w:t>
      </w:r>
      <w:r w:rsidRPr="00A03B40" w:rsidR="00FD50BD">
        <w:t xml:space="preserve"> </w:t>
      </w:r>
      <w:r w:rsidRPr="00A03B40">
        <w:t xml:space="preserve">related to its role as a Central Procurement Entity </w:t>
      </w:r>
      <w:r w:rsidRPr="00A03B40" w:rsidR="001708EE">
        <w:t xml:space="preserve">(CPE) </w:t>
      </w:r>
      <w:r w:rsidRPr="00A03B40">
        <w:t xml:space="preserve">in its 2026 ERRA </w:t>
      </w:r>
      <w:r w:rsidRPr="00A03B40" w:rsidR="00CC7C11">
        <w:t>forecast</w:t>
      </w:r>
      <w:r w:rsidRPr="00A03B40">
        <w:t>.</w:t>
      </w:r>
      <w:r w:rsidRPr="00A03B40" w:rsidR="002A68CA">
        <w:t xml:space="preserve"> </w:t>
      </w:r>
      <w:r w:rsidRPr="00A03B40">
        <w:t>I</w:t>
      </w:r>
      <w:r w:rsidRPr="00A03B40" w:rsidR="007064F7">
        <w:t xml:space="preserve">n </w:t>
      </w:r>
      <w:bookmarkStart w:name="_Hlk211173049" w:id="37"/>
      <w:r w:rsidRPr="00A03B40" w:rsidR="007064F7">
        <w:t>D.20-06-002</w:t>
      </w:r>
      <w:r w:rsidRPr="00A03B40" w:rsidR="00EB5064">
        <w:t>,</w:t>
      </w:r>
      <w:r w:rsidRPr="00A03B40" w:rsidR="007064F7">
        <w:t xml:space="preserve"> </w:t>
      </w:r>
      <w:bookmarkEnd w:id="37"/>
      <w:r w:rsidRPr="00A03B40" w:rsidR="007064F7">
        <w:t xml:space="preserve">the Commission designated SCE </w:t>
      </w:r>
      <w:r w:rsidRPr="00A03B40" w:rsidR="00EB5064">
        <w:t xml:space="preserve">as </w:t>
      </w:r>
      <w:r w:rsidRPr="00A03B40" w:rsidR="007064F7">
        <w:t xml:space="preserve">the </w:t>
      </w:r>
      <w:r w:rsidRPr="00A03B40" w:rsidR="00FD50BD">
        <w:t xml:space="preserve">CPE </w:t>
      </w:r>
      <w:r w:rsidRPr="00A03B40" w:rsidR="007064F7">
        <w:t xml:space="preserve">for its distribution area, tasking </w:t>
      </w:r>
      <w:r w:rsidRPr="00A03B40">
        <w:t>SCE</w:t>
      </w:r>
      <w:r w:rsidRPr="00A03B40" w:rsidR="007064F7">
        <w:t xml:space="preserve"> with multi-year local </w:t>
      </w:r>
      <w:r w:rsidRPr="00A03B40" w:rsidR="001222A6">
        <w:t>resource adequacy</w:t>
      </w:r>
      <w:r w:rsidRPr="00A03B40" w:rsidR="007064F7">
        <w:t xml:space="preserve"> </w:t>
      </w:r>
      <w:r w:rsidRPr="00A03B40" w:rsidR="002B29F5">
        <w:t xml:space="preserve">(Local RA) </w:t>
      </w:r>
      <w:r w:rsidRPr="00A03B40" w:rsidR="007064F7">
        <w:t xml:space="preserve">procurement </w:t>
      </w:r>
      <w:r w:rsidRPr="00A03B40">
        <w:t xml:space="preserve">obligations </w:t>
      </w:r>
      <w:r w:rsidRPr="00A03B40" w:rsidR="009D622B">
        <w:t>starting</w:t>
      </w:r>
      <w:r w:rsidRPr="00A03B40" w:rsidR="007064F7">
        <w:t xml:space="preserve"> with the 2023 compliance year.</w:t>
      </w:r>
      <w:r w:rsidRPr="00A03B40" w:rsidR="002A68CA">
        <w:t xml:space="preserve"> </w:t>
      </w:r>
      <w:r w:rsidRPr="00A03B40" w:rsidR="007064F7">
        <w:t xml:space="preserve">That decision adopts CAM as the cost recovery </w:t>
      </w:r>
      <w:r w:rsidRPr="00B31A17" w:rsidR="007064F7">
        <w:t xml:space="preserve">mechanism for the </w:t>
      </w:r>
      <w:r w:rsidRPr="00B31A17" w:rsidR="001222A6">
        <w:t>resources</w:t>
      </w:r>
      <w:r w:rsidRPr="00B31A17" w:rsidR="007064F7">
        <w:t xml:space="preserve"> and the administrative costs</w:t>
      </w:r>
      <w:r w:rsidRPr="00B31A17" w:rsidR="00074E46">
        <w:t xml:space="preserve"> of </w:t>
      </w:r>
      <w:r w:rsidRPr="00B31A17" w:rsidR="00074E46">
        <w:lastRenderedPageBreak/>
        <w:t>acting as CPE</w:t>
      </w:r>
      <w:r w:rsidRPr="00B31A17" w:rsidR="007064F7">
        <w:t>.</w:t>
      </w:r>
      <w:r w:rsidRPr="00B31A17" w:rsidR="001222A6">
        <w:rPr>
          <w:rStyle w:val="FootnoteReference"/>
        </w:rPr>
        <w:footnoteReference w:id="79"/>
      </w:r>
      <w:r w:rsidRPr="00B31A17" w:rsidR="002A68CA">
        <w:t xml:space="preserve"> </w:t>
      </w:r>
      <w:r w:rsidRPr="00B31A17" w:rsidR="00F011EA">
        <w:t xml:space="preserve">D.23-06-029 adopted additional </w:t>
      </w:r>
      <w:r w:rsidRPr="00B31A17" w:rsidR="00CD17C0">
        <w:t>local and flexible capacity procurement requirements</w:t>
      </w:r>
      <w:r w:rsidRPr="00B31A17" w:rsidR="00F011EA">
        <w:t>.</w:t>
      </w:r>
      <w:r w:rsidRPr="00B31A17" w:rsidR="00290509">
        <w:rPr>
          <w:rStyle w:val="FootnoteReference"/>
        </w:rPr>
        <w:footnoteReference w:id="80"/>
      </w:r>
      <w:r w:rsidRPr="00B31A17" w:rsidR="00290509">
        <w:t xml:space="preserve"> </w:t>
      </w:r>
      <w:r w:rsidRPr="00B31A17" w:rsidR="0087797C">
        <w:t>All procurement</w:t>
      </w:r>
      <w:r w:rsidRPr="00A03B40" w:rsidR="0087797C">
        <w:t xml:space="preserve"> conducted by SCE as the CPE is separate from procurement conducted by SCE for SCE’s bundled service customers.</w:t>
      </w:r>
      <w:r w:rsidRPr="00A03B40" w:rsidR="0087797C">
        <w:rPr>
          <w:rStyle w:val="FootnoteReference"/>
        </w:rPr>
        <w:footnoteReference w:id="81"/>
      </w:r>
      <w:r w:rsidRPr="00A03B40" w:rsidR="00900075">
        <w:t xml:space="preserve"> </w:t>
      </w:r>
      <w:bookmarkStart w:name="_Hlk211173079" w:id="38"/>
      <w:r w:rsidRPr="00A03B40" w:rsidR="00F011EA">
        <w:t xml:space="preserve">D.22-03-034 </w:t>
      </w:r>
      <w:bookmarkEnd w:id="38"/>
      <w:r w:rsidRPr="00A03B40" w:rsidR="00F011EA">
        <w:t xml:space="preserve">requires that CPE procurement costs be forecast and implemented through rates in the ERRA proceeding and documented in a separate chapter of </w:t>
      </w:r>
      <w:r w:rsidRPr="00A03B40" w:rsidR="00290509">
        <w:t xml:space="preserve">a utility’s </w:t>
      </w:r>
      <w:r w:rsidRPr="00A03B40" w:rsidR="00F011EA">
        <w:t>ERRA forecast.</w:t>
      </w:r>
      <w:r w:rsidRPr="00A03B40" w:rsidR="00290509">
        <w:rPr>
          <w:rStyle w:val="FootnoteReference"/>
        </w:rPr>
        <w:footnoteReference w:id="82"/>
      </w:r>
      <w:r w:rsidRPr="00A03B40" w:rsidR="002A68CA">
        <w:t xml:space="preserve"> </w:t>
      </w:r>
    </w:p>
    <w:p w:rsidRPr="00A03B40" w:rsidR="0065040C" w:rsidP="00900075" w:rsidRDefault="002F258D" w14:paraId="09A7560B" w14:textId="4DF3521E">
      <w:pPr>
        <w:pStyle w:val="Standard"/>
      </w:pPr>
      <w:r w:rsidRPr="00A03B40">
        <w:t xml:space="preserve">In Exhibit SCE-02, as updated in Exhibit SCE-07, SCE describes </w:t>
      </w:r>
      <w:r w:rsidRPr="00A03B40" w:rsidR="0069612B">
        <w:t>its 2026 CPE cost forecast as including</w:t>
      </w:r>
      <w:r w:rsidRPr="00A03B40" w:rsidR="00FF6F7A">
        <w:t xml:space="preserve">: </w:t>
      </w:r>
      <w:r w:rsidRPr="00A03B40" w:rsidR="00426D01">
        <w:t xml:space="preserve">(1) </w:t>
      </w:r>
      <w:r w:rsidRPr="00A03B40" w:rsidR="00FF6F7A">
        <w:t xml:space="preserve">the </w:t>
      </w:r>
      <w:r w:rsidRPr="00A03B40" w:rsidR="0069612B">
        <w:t xml:space="preserve">net procurement </w:t>
      </w:r>
      <w:r w:rsidRPr="00A03B40" w:rsidR="00FF6F7A">
        <w:t>costs of resources from SCE’s 2021 and 2022 Local RA Requests for Offers</w:t>
      </w:r>
      <w:r w:rsidRPr="00A03B40" w:rsidR="006E3F53">
        <w:t xml:space="preserve"> (RFO)</w:t>
      </w:r>
      <w:r w:rsidRPr="00A03B40" w:rsidR="00426D01">
        <w:t>,</w:t>
      </w:r>
      <w:r w:rsidRPr="00A03B40" w:rsidR="00FF6F7A">
        <w:rPr>
          <w:rStyle w:val="FootnoteReference"/>
        </w:rPr>
        <w:footnoteReference w:id="83"/>
      </w:r>
      <w:r w:rsidRPr="00A03B40" w:rsidR="00426D01">
        <w:t xml:space="preserve"> </w:t>
      </w:r>
      <w:r w:rsidRPr="00A03B40" w:rsidR="00FD50BD">
        <w:t xml:space="preserve">(2) non-energy related CAISO costs and credits, </w:t>
      </w:r>
      <w:r w:rsidRPr="00A03B40" w:rsidR="00426D01">
        <w:t>and (</w:t>
      </w:r>
      <w:r w:rsidRPr="00A03B40" w:rsidR="00D13B14">
        <w:t>3</w:t>
      </w:r>
      <w:r w:rsidRPr="00A03B40" w:rsidR="00426D01">
        <w:t xml:space="preserve">) </w:t>
      </w:r>
      <w:r w:rsidRPr="00A03B40">
        <w:t>administrative costs</w:t>
      </w:r>
      <w:r w:rsidRPr="00A03B40" w:rsidR="00D13B14">
        <w:t xml:space="preserve"> of $250,000</w:t>
      </w:r>
      <w:r w:rsidRPr="00A03B40" w:rsidR="00426D01">
        <w:t>.</w:t>
      </w:r>
      <w:r w:rsidRPr="00A03B40" w:rsidR="0069612B">
        <w:rPr>
          <w:rStyle w:val="FootnoteReference"/>
        </w:rPr>
        <w:footnoteReference w:id="84"/>
      </w:r>
      <w:r w:rsidRPr="00A03B40" w:rsidR="002A68CA">
        <w:t xml:space="preserve"> </w:t>
      </w:r>
      <w:r w:rsidRPr="00A03B40" w:rsidR="0065040C">
        <w:t>CPE-related p</w:t>
      </w:r>
      <w:r w:rsidRPr="00A03B40" w:rsidR="0069612B">
        <w:t>rocurement costs are forecast to have increased slightly from 2025, and administrative costs are forecast as the standard expenses SCE incurs to use an independent evaluator to participate in its CPE RFOs</w:t>
      </w:r>
      <w:r w:rsidRPr="00A03B40" w:rsidR="00DE58A2">
        <w:t xml:space="preserve">, based on the cost of </w:t>
      </w:r>
      <w:r w:rsidRPr="00A03B40" w:rsidR="00900075">
        <w:t>SCE’s</w:t>
      </w:r>
      <w:r w:rsidRPr="00A03B40" w:rsidR="00DE58A2">
        <w:t xml:space="preserve"> most recent CPE solicitation</w:t>
      </w:r>
      <w:r w:rsidRPr="00A03B40" w:rsidR="0069612B">
        <w:t>.</w:t>
      </w:r>
      <w:r w:rsidRPr="00A03B40" w:rsidR="0069612B">
        <w:rPr>
          <w:rStyle w:val="FootnoteReference"/>
        </w:rPr>
        <w:footnoteReference w:id="85"/>
      </w:r>
      <w:r w:rsidRPr="00A03B40" w:rsidR="002A68CA">
        <w:t xml:space="preserve"> </w:t>
      </w:r>
      <w:r w:rsidRPr="00A03B40" w:rsidR="00FF6F7A">
        <w:t>The non-energy costs of th</w:t>
      </w:r>
      <w:r w:rsidRPr="00A03B40" w:rsidR="0069612B">
        <w:t>e</w:t>
      </w:r>
      <w:r w:rsidRPr="00A03B40" w:rsidR="00FF6F7A">
        <w:t xml:space="preserve"> </w:t>
      </w:r>
      <w:r w:rsidRPr="00A03B40" w:rsidR="0069612B">
        <w:t xml:space="preserve">related </w:t>
      </w:r>
      <w:r w:rsidRPr="00A03B40" w:rsidR="00FF6F7A">
        <w:t>procurement described by SCE include only Grid Management Charges</w:t>
      </w:r>
      <w:r w:rsidRPr="00A03B40" w:rsidR="0069612B">
        <w:t>,</w:t>
      </w:r>
      <w:r w:rsidRPr="00A03B40" w:rsidR="0069612B">
        <w:rPr>
          <w:rFonts w:ascii="TimesNewRoman" w:hAnsi="TimesNewRoman" w:cs="TimesNewRoman"/>
          <w:sz w:val="24"/>
          <w:szCs w:val="24"/>
        </w:rPr>
        <w:t xml:space="preserve"> </w:t>
      </w:r>
      <w:r w:rsidRPr="00A03B40" w:rsidR="0069612B">
        <w:t>which are costs related to SCE-CPE’s participation in the market, and two small</w:t>
      </w:r>
      <w:r w:rsidRPr="00A03B40" w:rsidR="00D13B14">
        <w:t>,</w:t>
      </w:r>
      <w:r w:rsidRPr="00A03B40" w:rsidR="0069612B">
        <w:t xml:space="preserve"> related credits</w:t>
      </w:r>
      <w:r w:rsidRPr="00A03B40" w:rsidR="00FF6F7A">
        <w:t>.</w:t>
      </w:r>
      <w:r w:rsidRPr="00A03B40" w:rsidR="002A68CA">
        <w:t xml:space="preserve"> </w:t>
      </w:r>
      <w:r w:rsidRPr="00A03B40" w:rsidR="0069612B">
        <w:lastRenderedPageBreak/>
        <w:t xml:space="preserve">SCE uses the Centralized Local Procurement </w:t>
      </w:r>
      <w:r w:rsidRPr="00A03B40">
        <w:t xml:space="preserve">Sub-Account </w:t>
      </w:r>
      <w:r w:rsidRPr="00A03B40" w:rsidR="00FF6F7A">
        <w:t xml:space="preserve">(CLPSA) of the NSGBA </w:t>
      </w:r>
      <w:r w:rsidRPr="00A03B40" w:rsidR="0069612B">
        <w:t>to track CPE costs</w:t>
      </w:r>
      <w:r w:rsidRPr="00A03B40">
        <w:t>.</w:t>
      </w:r>
      <w:r w:rsidRPr="00A03B40" w:rsidR="0069612B">
        <w:rPr>
          <w:rStyle w:val="FootnoteReference"/>
        </w:rPr>
        <w:footnoteReference w:id="86"/>
      </w:r>
    </w:p>
    <w:p w:rsidRPr="00A03B40" w:rsidR="00D24DA8" w:rsidP="006E3F53" w:rsidRDefault="00D24DA8" w14:paraId="61AE7B34" w14:textId="642DBD06">
      <w:pPr>
        <w:pStyle w:val="Standard"/>
      </w:pPr>
      <w:r w:rsidRPr="00A03B40">
        <w:t xml:space="preserve">SCE’s </w:t>
      </w:r>
      <w:r w:rsidRPr="00A03B40" w:rsidR="00574F77">
        <w:t xml:space="preserve">Amended </w:t>
      </w:r>
      <w:r w:rsidRPr="00A03B40">
        <w:t xml:space="preserve">October Update includes information on </w:t>
      </w:r>
      <w:r w:rsidRPr="00A03B40" w:rsidR="006E3F53">
        <w:t xml:space="preserve">two </w:t>
      </w:r>
      <w:r w:rsidRPr="00A03B40">
        <w:t>CAISO market enhancements</w:t>
      </w:r>
      <w:r w:rsidRPr="00A03B40" w:rsidR="006E3F53">
        <w:t xml:space="preserve"> CAISO expects to roll out throughout 2026: Day-Ahead Market Enhancements (DAME) and the Extended Day-Ahead Market</w:t>
      </w:r>
      <w:r w:rsidRPr="00A03B40">
        <w:t xml:space="preserve"> </w:t>
      </w:r>
      <w:r w:rsidRPr="00A03B40" w:rsidR="006E3F53">
        <w:t>(EDAM). These initiatives are intended to improve both system reliability and market efficiency. However, because these are new variables, SCE does not include any anticipated related costs or revenues in its 2026 ERRA forecast.</w:t>
      </w:r>
      <w:r w:rsidRPr="00A03B40" w:rsidR="006E3F53">
        <w:rPr>
          <w:rStyle w:val="FootnoteReference"/>
        </w:rPr>
        <w:footnoteReference w:id="87"/>
      </w:r>
      <w:r w:rsidRPr="00A03B40" w:rsidR="006E3F53">
        <w:t xml:space="preserve"> SCE also notes in its </w:t>
      </w:r>
      <w:r w:rsidRPr="00A03B40" w:rsidR="00EB5064">
        <w:t xml:space="preserve">Amended </w:t>
      </w:r>
      <w:r w:rsidRPr="00A03B40" w:rsidR="006E3F53">
        <w:t>October Update that SCE-CPE did not select any offers for its 2025 SCE-CPE Local RA RFO, as SCE determined LSEs had contracted for sufficient local resources in the Local Area Basin and Big Creek-Ventura local areas that met 2026 through 2028 compliance requirements.</w:t>
      </w:r>
      <w:r w:rsidRPr="00A03B40" w:rsidR="006E3F53">
        <w:rPr>
          <w:rStyle w:val="FootnoteReference"/>
        </w:rPr>
        <w:footnoteReference w:id="88"/>
      </w:r>
    </w:p>
    <w:p w:rsidRPr="00A03B40" w:rsidR="00BD57BD" w:rsidP="00F011EA" w:rsidRDefault="00BD57BD" w14:paraId="2C3AAAB2" w14:textId="2C3BB54F">
      <w:pPr>
        <w:pStyle w:val="Standard"/>
      </w:pPr>
      <w:r w:rsidRPr="00A03B40">
        <w:t xml:space="preserve">No party has opposed SCE’s forecast of CPE-related costs. We find SCE’s forecasts </w:t>
      </w:r>
      <w:proofErr w:type="gramStart"/>
      <w:r w:rsidRPr="00A03B40">
        <w:t>of</w:t>
      </w:r>
      <w:proofErr w:type="gramEnd"/>
      <w:r w:rsidRPr="00A03B40">
        <w:t xml:space="preserve"> 2026 CPE-related procurement and administrative costs to be forecast and allocated </w:t>
      </w:r>
      <w:proofErr w:type="gramStart"/>
      <w:r w:rsidRPr="00A03B40">
        <w:t>consistent</w:t>
      </w:r>
      <w:proofErr w:type="gramEnd"/>
      <w:r w:rsidRPr="00A03B40">
        <w:t xml:space="preserve"> with Commission rules. SCE’s CPE cost forecast is reasonable and approved.</w:t>
      </w:r>
    </w:p>
    <w:p w:rsidRPr="00A03B40" w:rsidR="0069612B" w:rsidP="0069612B" w:rsidRDefault="0069612B" w14:paraId="68004004" w14:textId="3821643B">
      <w:pPr>
        <w:pStyle w:val="Heading4"/>
      </w:pPr>
      <w:r w:rsidRPr="00A03B40">
        <w:t>New System Generation</w:t>
      </w:r>
      <w:r w:rsidRPr="00A03B40" w:rsidR="001D33FA">
        <w:t>:</w:t>
      </w:r>
      <w:r w:rsidRPr="00A03B40">
        <w:t xml:space="preserve"> </w:t>
      </w:r>
      <w:r w:rsidR="001C656B">
        <w:br/>
      </w:r>
      <w:r w:rsidR="0004181E">
        <w:t>Utility-Owned</w:t>
      </w:r>
      <w:r w:rsidRPr="00A03B40">
        <w:t xml:space="preserve"> Storage</w:t>
      </w:r>
    </w:p>
    <w:p w:rsidRPr="00A03B40" w:rsidR="007064F7" w:rsidP="001D33FA" w:rsidRDefault="0069612B" w14:paraId="02A031E1" w14:textId="2D4B452F">
      <w:pPr>
        <w:pStyle w:val="Standard"/>
      </w:pPr>
      <w:r w:rsidRPr="00A03B40">
        <w:t xml:space="preserve">SCE includes </w:t>
      </w:r>
      <w:r w:rsidRPr="00A03B40" w:rsidR="00DF7DC3">
        <w:t xml:space="preserve">its 2026 ERRA forecast the </w:t>
      </w:r>
      <w:r w:rsidRPr="00A03B40" w:rsidR="00A41EA9">
        <w:t>anticipated storage</w:t>
      </w:r>
      <w:r w:rsidRPr="00A03B40" w:rsidR="001D33FA">
        <w:t xml:space="preserve"> costs </w:t>
      </w:r>
      <w:r w:rsidRPr="00A03B40" w:rsidR="00FE072E">
        <w:t xml:space="preserve">and </w:t>
      </w:r>
      <w:r w:rsidRPr="00A03B40" w:rsidR="00A41EA9">
        <w:t xml:space="preserve">market </w:t>
      </w:r>
      <w:r w:rsidRPr="00A03B40" w:rsidR="00FE072E">
        <w:t xml:space="preserve">revenues </w:t>
      </w:r>
      <w:r w:rsidRPr="00A03B40" w:rsidR="001D33FA">
        <w:t xml:space="preserve">related to energy storage authorized as part of its 2015 </w:t>
      </w:r>
      <w:r w:rsidRPr="00A03B40" w:rsidR="00EB5064">
        <w:t>GRC</w:t>
      </w:r>
      <w:r w:rsidRPr="00A03B40" w:rsidR="00290581">
        <w:t>.</w:t>
      </w:r>
      <w:r w:rsidRPr="00A03B40" w:rsidR="00F84176">
        <w:rPr>
          <w:rStyle w:val="FootnoteReference"/>
        </w:rPr>
        <w:footnoteReference w:id="89"/>
      </w:r>
      <w:r w:rsidRPr="00A03B40" w:rsidR="00290581">
        <w:t xml:space="preserve"> </w:t>
      </w:r>
      <w:r w:rsidRPr="00A03B40" w:rsidR="00DF7DC3">
        <w:t xml:space="preserve">This </w:t>
      </w:r>
      <w:r w:rsidR="0004181E">
        <w:t>utility-owned</w:t>
      </w:r>
      <w:r w:rsidRPr="00A03B40" w:rsidR="00DF7DC3">
        <w:t xml:space="preserve"> storage (UOS) resource, known as DESI 2, or the UOS Titanium project, will be a CAISO market resource of 1.4 MW/ 3.7 MWh, and </w:t>
      </w:r>
      <w:r w:rsidRPr="00A03B40" w:rsidR="00DF7DC3">
        <w:lastRenderedPageBreak/>
        <w:t xml:space="preserve">has an estimated CAISO market start date </w:t>
      </w:r>
      <w:r w:rsidRPr="00A03B40" w:rsidR="006E3F53">
        <w:t>in</w:t>
      </w:r>
      <w:r w:rsidRPr="00A03B40" w:rsidR="009723E5">
        <w:t xml:space="preserve"> the fourth quarter of</w:t>
      </w:r>
      <w:r w:rsidRPr="00A03B40" w:rsidR="00DF7DC3">
        <w:t xml:space="preserve"> 2025. </w:t>
      </w:r>
      <w:r w:rsidRPr="00A03B40" w:rsidR="00290581">
        <w:t>SCE</w:t>
      </w:r>
      <w:r w:rsidRPr="00A03B40" w:rsidR="001D33FA">
        <w:t xml:space="preserve"> </w:t>
      </w:r>
      <w:r w:rsidRPr="00A03B40" w:rsidR="0004187C">
        <w:t xml:space="preserve">tracks </w:t>
      </w:r>
      <w:r w:rsidRPr="00A03B40" w:rsidR="001D33FA">
        <w:t>storage charging costs and revenues associated with this resource through the NSGBA.</w:t>
      </w:r>
      <w:r w:rsidRPr="00A03B40" w:rsidR="009723E5">
        <w:rPr>
          <w:rStyle w:val="FootnoteReference"/>
        </w:rPr>
        <w:footnoteReference w:id="90"/>
      </w:r>
    </w:p>
    <w:p w:rsidRPr="00A03B40" w:rsidR="00EC7A21" w:rsidP="001F13A7" w:rsidRDefault="0004181E" w14:paraId="681C2200" w14:textId="306D543A">
      <w:pPr>
        <w:pStyle w:val="Heading3"/>
      </w:pPr>
      <w:bookmarkStart w:name="_Toc214629863" w:id="40"/>
      <w:r>
        <w:t>Utility-Owned</w:t>
      </w:r>
      <w:r w:rsidRPr="00A03B40" w:rsidR="001F13A7">
        <w:t xml:space="preserve"> Generation and Purchased Power: </w:t>
      </w:r>
      <w:r w:rsidRPr="00A03B40" w:rsidR="00EC7A21">
        <w:t>System Reliability Modified Cost Allocation Method-Related Costs</w:t>
      </w:r>
      <w:bookmarkEnd w:id="40"/>
    </w:p>
    <w:p w:rsidR="001C656B" w:rsidP="0004187C" w:rsidRDefault="00370B99" w14:paraId="59B044A1" w14:textId="77777777">
      <w:pPr>
        <w:pStyle w:val="Standard"/>
        <w:widowControl w:val="0"/>
      </w:pPr>
      <w:r w:rsidRPr="00A03B40">
        <w:t xml:space="preserve">SCE includes in its 2026 ERRA forecast the </w:t>
      </w:r>
      <w:r w:rsidRPr="00A03B40" w:rsidR="0053194D">
        <w:t>capacity</w:t>
      </w:r>
      <w:r w:rsidRPr="00A03B40" w:rsidR="00BF5664">
        <w:t xml:space="preserve"> </w:t>
      </w:r>
      <w:r w:rsidRPr="00A03B40">
        <w:t xml:space="preserve">costs of </w:t>
      </w:r>
      <w:r w:rsidRPr="00A03B40" w:rsidR="00B47030">
        <w:t>and related revenues f</w:t>
      </w:r>
      <w:r w:rsidRPr="00A03B40" w:rsidR="0004187C">
        <w:t>rom</w:t>
      </w:r>
      <w:r w:rsidRPr="00A03B40" w:rsidR="00B47030">
        <w:t xml:space="preserve"> </w:t>
      </w:r>
      <w:r w:rsidRPr="00A03B40">
        <w:t xml:space="preserve">resources procured pursuant to </w:t>
      </w:r>
      <w:bookmarkStart w:name="_Hlk211173473" w:id="41"/>
      <w:r w:rsidRPr="00A03B40">
        <w:t>D.19-11-016</w:t>
      </w:r>
      <w:bookmarkEnd w:id="41"/>
      <w:r w:rsidRPr="00A03B40">
        <w:t>, in which the Commission directed utilities to conduct System Reliability Requests for Offers (SRRFO) for incremental system resource adequacy capacity</w:t>
      </w:r>
      <w:r w:rsidRPr="00A03B40" w:rsidR="00255FC4">
        <w:t xml:space="preserve"> for 2021-2023</w:t>
      </w:r>
      <w:r w:rsidRPr="00A03B40">
        <w:t>.</w:t>
      </w:r>
      <w:r w:rsidRPr="00A03B40" w:rsidR="002A68CA">
        <w:t xml:space="preserve"> </w:t>
      </w:r>
    </w:p>
    <w:p w:rsidR="001C656B" w:rsidP="001C656B" w:rsidRDefault="00370B99" w14:paraId="16186952" w14:textId="77777777">
      <w:pPr>
        <w:pStyle w:val="Standard"/>
        <w:widowControl w:val="0"/>
        <w:ind w:firstLine="0"/>
      </w:pPr>
      <w:r w:rsidRPr="00A03B40">
        <w:t xml:space="preserve">D.19-11-016 directed SCE to procure 1,184.7 MW of incremental </w:t>
      </w:r>
      <w:r w:rsidRPr="00A03B40" w:rsidR="00F248DC">
        <w:t xml:space="preserve">system </w:t>
      </w:r>
      <w:r w:rsidRPr="00A03B40">
        <w:t>RA capacity</w:t>
      </w:r>
      <w:r w:rsidRPr="00A03B40" w:rsidR="00C46A50">
        <w:t xml:space="preserve"> on behalf of its bundled </w:t>
      </w:r>
      <w:proofErr w:type="gramStart"/>
      <w:r w:rsidRPr="00A03B40" w:rsidR="00C46A50">
        <w:t>customers</w:t>
      </w:r>
      <w:r w:rsidRPr="00A03B40" w:rsidR="00255FC4">
        <w:t>, and</w:t>
      </w:r>
      <w:proofErr w:type="gramEnd"/>
      <w:r w:rsidRPr="00A03B40" w:rsidR="00255FC4">
        <w:t xml:space="preserve"> similarly adopted “self-procurement” requirements for other </w:t>
      </w:r>
      <w:r w:rsidRPr="00A03B40" w:rsidR="0004187C">
        <w:t>LSEs</w:t>
      </w:r>
      <w:r w:rsidRPr="00A03B40" w:rsidR="00C46A50">
        <w:t>.</w:t>
      </w:r>
      <w:r w:rsidRPr="00A03B40" w:rsidR="00C46A50">
        <w:rPr>
          <w:rStyle w:val="FootnoteReference"/>
        </w:rPr>
        <w:footnoteReference w:id="91"/>
      </w:r>
      <w:r w:rsidRPr="00A03B40" w:rsidR="002A68CA">
        <w:t xml:space="preserve"> </w:t>
      </w:r>
      <w:r w:rsidRPr="00A03B40" w:rsidR="005E7AA5">
        <w:t xml:space="preserve">D.19-11-016 also directed the incumbent IOUs to procure additional generation capacity on behalf of other </w:t>
      </w:r>
      <w:r w:rsidRPr="00A03B40" w:rsidR="0004187C">
        <w:t xml:space="preserve">LSEs </w:t>
      </w:r>
      <w:r w:rsidRPr="00A03B40" w:rsidR="005E7AA5">
        <w:t xml:space="preserve">in their service territories that either (a) elected to opt out of </w:t>
      </w:r>
    </w:p>
    <w:p w:rsidRPr="00A03B40" w:rsidR="005E7AA5" w:rsidP="001C656B" w:rsidRDefault="005E7AA5" w14:paraId="5C0DD57B" w14:textId="66677D24">
      <w:pPr>
        <w:pStyle w:val="Standard"/>
        <w:widowControl w:val="0"/>
        <w:ind w:firstLine="0"/>
      </w:pPr>
      <w:r w:rsidRPr="00A03B40">
        <w:t>self-procurement (“opt-out procurement”) or (b) failed to acquire their share of required capacity after electing to do so (“backstop procurement”)</w:t>
      </w:r>
      <w:r w:rsidRPr="00A03B40" w:rsidR="0053194D">
        <w:t xml:space="preserve">. </w:t>
      </w:r>
      <w:r w:rsidRPr="00A03B40" w:rsidR="00EC4EF3">
        <w:t>SCE’s additional procurement requirement related to opt-out LSE elections was 56.6</w:t>
      </w:r>
      <w:r w:rsidR="00EA47D8">
        <w:t> </w:t>
      </w:r>
      <w:r w:rsidRPr="00A03B40" w:rsidR="00EC4EF3">
        <w:t>MW.</w:t>
      </w:r>
      <w:r w:rsidRPr="00A03B40" w:rsidR="00EC4EF3">
        <w:rPr>
          <w:rStyle w:val="FootnoteReference"/>
        </w:rPr>
        <w:footnoteReference w:id="92"/>
      </w:r>
      <w:r w:rsidRPr="00A03B40" w:rsidR="0053194D">
        <w:t xml:space="preserve"> This decision deferred creating the cost recovery mechanism for this procurement.</w:t>
      </w:r>
      <w:r w:rsidRPr="00A03B40" w:rsidR="0053194D">
        <w:rPr>
          <w:rStyle w:val="FootnoteReference"/>
        </w:rPr>
        <w:footnoteReference w:id="93"/>
      </w:r>
    </w:p>
    <w:p w:rsidRPr="00A03B40" w:rsidR="007D077C" w:rsidP="005E7AA5" w:rsidRDefault="00C46A50" w14:paraId="606F4A37" w14:textId="5B0634EF">
      <w:pPr>
        <w:pStyle w:val="Standard"/>
        <w:keepNext/>
        <w:widowControl w:val="0"/>
        <w:contextualSpacing/>
      </w:pPr>
      <w:r w:rsidRPr="00A03B40">
        <w:lastRenderedPageBreak/>
        <w:t>A</w:t>
      </w:r>
      <w:r w:rsidRPr="00A03B40" w:rsidR="00370B99">
        <w:t xml:space="preserve">fter initiating its 2019 </w:t>
      </w:r>
      <w:r w:rsidRPr="00A03B40" w:rsidR="005E7AA5">
        <w:t>SRRFO</w:t>
      </w:r>
      <w:r w:rsidRPr="00A03B40" w:rsidR="00370B99">
        <w:t xml:space="preserve">, SCE procured </w:t>
      </w:r>
      <w:r w:rsidRPr="00A03B40" w:rsidR="005E7AA5">
        <w:t>the</w:t>
      </w:r>
      <w:r w:rsidRPr="00A03B40" w:rsidR="00370B99">
        <w:t xml:space="preserve"> capacity </w:t>
      </w:r>
      <w:r w:rsidRPr="00A03B40" w:rsidR="005E7AA5">
        <w:t xml:space="preserve">required by D.19-11-016 </w:t>
      </w:r>
      <w:r w:rsidRPr="00A03B40" w:rsidR="00370B99">
        <w:t>via seven “Fast Track” contracts for new energy storage resources (totaling approximately 678 MW of incremental RA system capacity</w:t>
      </w:r>
      <w:r w:rsidRPr="00A03B40" w:rsidR="00201C99">
        <w:t>, 770 MW nameplate capacity</w:t>
      </w:r>
      <w:r w:rsidRPr="00A03B40" w:rsidR="00370B99">
        <w:t xml:space="preserve">) that were approved in Resolution </w:t>
      </w:r>
      <w:r w:rsidRPr="00A03B40" w:rsidR="00585285">
        <w:t xml:space="preserve">(Res.) </w:t>
      </w:r>
      <w:r w:rsidRPr="00A03B40" w:rsidR="00370B99">
        <w:t>E-5101, and an additional five “Standard Track” contracts that were approved in Res</w:t>
      </w:r>
      <w:r w:rsidRPr="00A03B40" w:rsidR="00585285">
        <w:t>.</w:t>
      </w:r>
      <w:r w:rsidRPr="00A03B40" w:rsidR="00370B99">
        <w:t xml:space="preserve"> E-5142 (totaling approximately 590 MW of nameplate capacity).</w:t>
      </w:r>
      <w:r w:rsidRPr="00A03B40" w:rsidR="00370B99">
        <w:rPr>
          <w:rStyle w:val="FootnoteReference"/>
        </w:rPr>
        <w:footnoteReference w:id="94"/>
      </w:r>
      <w:r w:rsidRPr="00A03B40" w:rsidR="002A68CA">
        <w:t xml:space="preserve"> </w:t>
      </w:r>
      <w:r w:rsidRPr="00A03B40" w:rsidR="007D077C">
        <w:t xml:space="preserve"> </w:t>
      </w:r>
    </w:p>
    <w:p w:rsidR="001C656B" w:rsidP="005E7AA5" w:rsidRDefault="005E7AA5" w14:paraId="4628B4EA" w14:textId="77777777">
      <w:pPr>
        <w:pStyle w:val="Standard"/>
      </w:pPr>
      <w:r w:rsidRPr="00A03B40">
        <w:t>I</w:t>
      </w:r>
      <w:r w:rsidRPr="00A03B40" w:rsidR="007D077C">
        <w:t xml:space="preserve">n </w:t>
      </w:r>
      <w:bookmarkStart w:name="_Hlk211173502" w:id="42"/>
      <w:r w:rsidRPr="00A03B40" w:rsidR="009D50A6">
        <w:t>D.22-05-015</w:t>
      </w:r>
      <w:bookmarkEnd w:id="42"/>
      <w:r w:rsidRPr="00A03B40" w:rsidR="007D077C">
        <w:t xml:space="preserve">, the Commission </w:t>
      </w:r>
      <w:r w:rsidRPr="00A03B40" w:rsidR="009D50A6">
        <w:t xml:space="preserve">adopted </w:t>
      </w:r>
      <w:r w:rsidRPr="00A03B40" w:rsidR="00F760BF">
        <w:t>the</w:t>
      </w:r>
      <w:r w:rsidRPr="00A03B40" w:rsidR="009D50A6">
        <w:t xml:space="preserve"> MCAM to ensure that the net costs of the opt-out </w:t>
      </w:r>
      <w:r w:rsidRPr="00A03B40">
        <w:t xml:space="preserve">procurement </w:t>
      </w:r>
      <w:r w:rsidRPr="00A03B40" w:rsidR="009D50A6">
        <w:t xml:space="preserve">and backstop procurement required by </w:t>
      </w:r>
    </w:p>
    <w:p w:rsidRPr="00A03B40" w:rsidR="005E7AA5" w:rsidP="001C656B" w:rsidRDefault="009D50A6" w14:paraId="7366E54C" w14:textId="1232E931">
      <w:pPr>
        <w:pStyle w:val="Standard"/>
        <w:ind w:firstLine="0"/>
      </w:pPr>
      <w:r w:rsidRPr="00A03B40">
        <w:t xml:space="preserve">D.19-11-016 and </w:t>
      </w:r>
      <w:r w:rsidRPr="00A03B40" w:rsidR="00456A89">
        <w:t xml:space="preserve">the </w:t>
      </w:r>
      <w:bookmarkStart w:name="_Hlk211173540" w:id="43"/>
      <w:r w:rsidRPr="00A03B40" w:rsidR="00456A89">
        <w:t xml:space="preserve">backstop procurement required by </w:t>
      </w:r>
      <w:r w:rsidRPr="00A03B40">
        <w:t>D.21-06-035</w:t>
      </w:r>
      <w:bookmarkEnd w:id="43"/>
      <w:r w:rsidRPr="00A03B40" w:rsidR="008E0322">
        <w:rPr>
          <w:rStyle w:val="FootnoteReference"/>
        </w:rPr>
        <w:footnoteReference w:id="95"/>
      </w:r>
      <w:r w:rsidRPr="00A03B40">
        <w:t xml:space="preserve"> are allocated fairly, economically, and in accordance with the law.</w:t>
      </w:r>
      <w:r w:rsidRPr="00A03B40">
        <w:rPr>
          <w:rStyle w:val="FootnoteReference"/>
        </w:rPr>
        <w:footnoteReference w:id="96"/>
      </w:r>
      <w:r w:rsidRPr="00A03B40" w:rsidR="002A68CA">
        <w:t xml:space="preserve"> </w:t>
      </w:r>
      <w:r w:rsidRPr="00A03B40">
        <w:t>D.22-05-015 authorized the use of non-</w:t>
      </w:r>
      <w:proofErr w:type="spellStart"/>
      <w:r w:rsidRPr="00A03B40">
        <w:t>bypassable</w:t>
      </w:r>
      <w:proofErr w:type="spellEnd"/>
      <w:r w:rsidRPr="00A03B40">
        <w:t xml:space="preserve"> customer charges to recover those costs, as well as the costs of any backstop procurement associated with any future </w:t>
      </w:r>
      <w:r w:rsidRPr="00A03B40" w:rsidR="00952D0F">
        <w:t>Integrated Resource Planning (</w:t>
      </w:r>
      <w:r w:rsidRPr="00A03B40">
        <w:t>IRP</w:t>
      </w:r>
      <w:r w:rsidRPr="00A03B40" w:rsidR="00952D0F">
        <w:t>)</w:t>
      </w:r>
      <w:r w:rsidRPr="00A03B40">
        <w:t>-related procurement orders made by the Commission.</w:t>
      </w:r>
      <w:r w:rsidRPr="00A03B40">
        <w:rPr>
          <w:rStyle w:val="FootnoteReference"/>
        </w:rPr>
        <w:footnoteReference w:id="97"/>
      </w:r>
      <w:r w:rsidRPr="00A03B40" w:rsidR="002A68CA">
        <w:t xml:space="preserve"> </w:t>
      </w:r>
      <w:r w:rsidRPr="00A03B40" w:rsidR="003D249D">
        <w:t xml:space="preserve">Finally, D.22-05-015 also adopted a one-time provision allowing non-IOU LSEs to negotiate purchasing the portion of D.19-11-016 capacity that the IOU had procured on behalf of customers who, after 2019, </w:t>
      </w:r>
      <w:r w:rsidRPr="00A03B40" w:rsidR="0053194D">
        <w:t>left</w:t>
      </w:r>
      <w:r w:rsidRPr="00A03B40" w:rsidR="003D249D">
        <w:t xml:space="preserve"> IOU service for the purchasing LSE’s service.</w:t>
      </w:r>
      <w:r w:rsidRPr="00A03B40" w:rsidR="003D249D">
        <w:rPr>
          <w:rStyle w:val="FootnoteReference"/>
        </w:rPr>
        <w:footnoteReference w:id="98"/>
      </w:r>
    </w:p>
    <w:p w:rsidRPr="00A03B40" w:rsidR="00EB5064" w:rsidP="00EB5064" w:rsidRDefault="00FA6124" w14:paraId="008CC432" w14:textId="77777777">
      <w:pPr>
        <w:pStyle w:val="Standard"/>
      </w:pPr>
      <w:r w:rsidRPr="00A03B40">
        <w:lastRenderedPageBreak/>
        <w:t>SCE’s costs associated with system reliability resources procured pursuant to D.19-11-016 were initially recorded in the System Reliability Procurement Memorandum Account (SRPMA).</w:t>
      </w:r>
      <w:r w:rsidRPr="00A03B40">
        <w:rPr>
          <w:rStyle w:val="FootnoteReference"/>
        </w:rPr>
        <w:footnoteReference w:id="99"/>
      </w:r>
      <w:r w:rsidRPr="00A03B40">
        <w:t xml:space="preserve"> However, once the Commission adopted the MCAM and the MCAM Balancing Account (MCAMBA), SCE was authorized to allocate and transfer the SRPMA’s recorded costs between the PABA, MCAMBA, and NSGBA, as appropriate, based on which customers were responsible for the costs of the required procurement. SCE completed this transfer in January 2023, and has, since that time, segmented SRRFO costs to its PABA, MCAMBA, and NSGBA.</w:t>
      </w:r>
      <w:r w:rsidRPr="00A03B40" w:rsidR="00C57EE4">
        <w:rPr>
          <w:rStyle w:val="FootnoteReference"/>
        </w:rPr>
        <w:footnoteReference w:id="100"/>
      </w:r>
    </w:p>
    <w:p w:rsidRPr="00A03B40" w:rsidR="009D50A6" w:rsidP="00EB5064" w:rsidRDefault="009D50A6" w14:paraId="1BCF2532" w14:textId="5C13D986">
      <w:pPr>
        <w:pStyle w:val="Standard"/>
      </w:pPr>
      <w:r w:rsidRPr="00A03B40">
        <w:t>Unlike CAM</w:t>
      </w:r>
      <w:r w:rsidRPr="00A03B40" w:rsidR="005E7AA5">
        <w:t>-eligible</w:t>
      </w:r>
      <w:r w:rsidRPr="00A03B40">
        <w:t xml:space="preserve"> costs</w:t>
      </w:r>
      <w:r w:rsidRPr="00A03B40" w:rsidR="005E7AA5">
        <w:t xml:space="preserve"> recorded in the NSGBA</w:t>
      </w:r>
      <w:r w:rsidRPr="00A03B40">
        <w:t xml:space="preserve">, </w:t>
      </w:r>
      <w:r w:rsidRPr="00A03B40" w:rsidR="007D7A4E">
        <w:t xml:space="preserve">which are collected from all </w:t>
      </w:r>
      <w:proofErr w:type="gramStart"/>
      <w:r w:rsidRPr="00A03B40" w:rsidR="00201C99">
        <w:t>benefitting</w:t>
      </w:r>
      <w:proofErr w:type="gramEnd"/>
      <w:r w:rsidRPr="00A03B40" w:rsidR="007D7A4E">
        <w:t xml:space="preserve"> customers,</w:t>
      </w:r>
      <w:r w:rsidRPr="00A03B40" w:rsidR="005E7AA5">
        <w:t xml:space="preserve"> </w:t>
      </w:r>
      <w:r w:rsidRPr="00A03B40">
        <w:t>MCAM costs are recovered only from the customers of LSEs that opted out of or failed to meet procurement obligations.</w:t>
      </w:r>
      <w:r w:rsidRPr="00A03B40" w:rsidR="007D7A4E">
        <w:rPr>
          <w:rStyle w:val="FootnoteReference"/>
        </w:rPr>
        <w:footnoteReference w:id="101"/>
      </w:r>
      <w:r w:rsidRPr="00A03B40" w:rsidR="002A68CA">
        <w:t xml:space="preserve"> </w:t>
      </w:r>
    </w:p>
    <w:p w:rsidRPr="00A03B40" w:rsidR="00952D0F" w:rsidP="001F13A7" w:rsidRDefault="0004181E" w14:paraId="6287F76A" w14:textId="2E58584D">
      <w:pPr>
        <w:pStyle w:val="Heading3"/>
      </w:pPr>
      <w:bookmarkStart w:name="_Toc214629864" w:id="44"/>
      <w:r>
        <w:t>Utility-Owned</w:t>
      </w:r>
      <w:r w:rsidRPr="00A03B40" w:rsidR="001F13A7">
        <w:t xml:space="preserve"> Generation and Purchased Power: </w:t>
      </w:r>
      <w:r w:rsidRPr="00A03B40" w:rsidR="00952D0F">
        <w:t>Emergency Reliability Procurement</w:t>
      </w:r>
      <w:bookmarkEnd w:id="44"/>
    </w:p>
    <w:p w:rsidR="00B65A1C" w:rsidP="0053194D" w:rsidRDefault="00952D0F" w14:paraId="47A8A19C" w14:textId="77777777">
      <w:pPr>
        <w:pStyle w:val="Standard"/>
      </w:pPr>
      <w:bookmarkStart w:name="_Hlk210742036" w:id="45"/>
      <w:r w:rsidRPr="00A03B40">
        <w:t xml:space="preserve">SCE includes in its 2026 ERRA forecast the </w:t>
      </w:r>
      <w:r w:rsidRPr="00A03B40" w:rsidR="00EC715D">
        <w:t xml:space="preserve">remaining </w:t>
      </w:r>
      <w:r w:rsidRPr="00A03B40" w:rsidR="00030847">
        <w:t xml:space="preserve">capacity costs </w:t>
      </w:r>
      <w:r w:rsidRPr="00A03B40">
        <w:t xml:space="preserve">of </w:t>
      </w:r>
      <w:r w:rsidRPr="00A03B40" w:rsidR="00FC71F6">
        <w:t xml:space="preserve">summer </w:t>
      </w:r>
      <w:r w:rsidRPr="00A03B40">
        <w:t xml:space="preserve">emergency reliability procurement authorized </w:t>
      </w:r>
      <w:r w:rsidRPr="00A03B40" w:rsidR="004D46B6">
        <w:t>by</w:t>
      </w:r>
      <w:r w:rsidRPr="00A03B40">
        <w:t xml:space="preserve"> </w:t>
      </w:r>
      <w:bookmarkStart w:name="_Hlk211174197" w:id="46"/>
      <w:r w:rsidRPr="00A03B40">
        <w:t xml:space="preserve">D.21-02-028, </w:t>
      </w:r>
    </w:p>
    <w:p w:rsidR="000D0266" w:rsidP="00B65A1C" w:rsidRDefault="00952D0F" w14:paraId="58C9ACAA" w14:textId="77777777">
      <w:pPr>
        <w:pStyle w:val="Standard"/>
        <w:ind w:firstLine="0"/>
      </w:pPr>
      <w:r w:rsidRPr="00A03B40">
        <w:t>D.21-03-056, and D.21-12-015</w:t>
      </w:r>
      <w:bookmarkEnd w:id="46"/>
      <w:r w:rsidRPr="00A03B40">
        <w:t>.</w:t>
      </w:r>
      <w:bookmarkEnd w:id="45"/>
      <w:r w:rsidRPr="00A03B40">
        <w:rPr>
          <w:rStyle w:val="FootnoteReference"/>
        </w:rPr>
        <w:footnoteReference w:id="102"/>
      </w:r>
      <w:r w:rsidRPr="00A03B40" w:rsidR="002A68CA">
        <w:t xml:space="preserve"> </w:t>
      </w:r>
      <w:r w:rsidRPr="00A03B40" w:rsidR="00FC71F6">
        <w:t xml:space="preserve">These costs are tracked in the </w:t>
      </w:r>
      <w:r w:rsidRPr="00A03B40" w:rsidR="0004187C">
        <w:t>NSGBA</w:t>
      </w:r>
      <w:r w:rsidRPr="00A03B40" w:rsidR="00FC71F6">
        <w:t>.</w:t>
      </w:r>
      <w:r w:rsidRPr="00A03B40" w:rsidR="00573074">
        <w:rPr>
          <w:rStyle w:val="FootnoteReference"/>
        </w:rPr>
        <w:footnoteReference w:id="103"/>
      </w:r>
      <w:r w:rsidRPr="00A03B40" w:rsidR="0053194D">
        <w:t xml:space="preserve"> </w:t>
      </w:r>
    </w:p>
    <w:p w:rsidRPr="00A03B40" w:rsidR="008858BF" w:rsidP="00B65A1C" w:rsidRDefault="00EC715D" w14:paraId="55240C9A" w14:textId="385CBCF4">
      <w:pPr>
        <w:pStyle w:val="Standard"/>
        <w:ind w:firstLine="0"/>
      </w:pPr>
      <w:r w:rsidRPr="00A03B40">
        <w:lastRenderedPageBreak/>
        <w:t xml:space="preserve">D.21-02-028 directed IOUs to contract for capacity to serve peak and net peak demand in the summer </w:t>
      </w:r>
      <w:r w:rsidRPr="00A03B40" w:rsidR="006E0C0C">
        <w:t xml:space="preserve">of </w:t>
      </w:r>
      <w:r w:rsidRPr="00A03B40">
        <w:t xml:space="preserve">2021, and to seek approval for recovery of the costs </w:t>
      </w:r>
      <w:r w:rsidRPr="00A03B40" w:rsidR="0053194D">
        <w:t>via</w:t>
      </w:r>
      <w:r w:rsidRPr="00A03B40">
        <w:t xml:space="preserve"> the CAM.</w:t>
      </w:r>
      <w:r w:rsidRPr="00A03B40" w:rsidR="00854612">
        <w:rPr>
          <w:rStyle w:val="FootnoteReference"/>
        </w:rPr>
        <w:footnoteReference w:id="104"/>
      </w:r>
      <w:r w:rsidRPr="00A03B40" w:rsidR="002A68CA">
        <w:t xml:space="preserve"> </w:t>
      </w:r>
    </w:p>
    <w:p w:rsidRPr="00A03B40" w:rsidR="008858BF" w:rsidP="00370B99" w:rsidRDefault="00EC715D" w14:paraId="387DDF73" w14:textId="7BB7E36B">
      <w:pPr>
        <w:pStyle w:val="Standard"/>
      </w:pPr>
      <w:r w:rsidRPr="00A03B40">
        <w:t xml:space="preserve">In D.21-03-056, the Commission authorized </w:t>
      </w:r>
      <w:r w:rsidRPr="00A03B40" w:rsidR="00854612">
        <w:t xml:space="preserve">supply and demand-side measures to address reliability issues in the summers of 2021 and 2022, including authorizing </w:t>
      </w:r>
      <w:r w:rsidRPr="00A03B40">
        <w:t xml:space="preserve">the IOUs to procure </w:t>
      </w:r>
      <w:r w:rsidRPr="00A03B40" w:rsidR="0053194D">
        <w:t xml:space="preserve">the </w:t>
      </w:r>
      <w:r w:rsidRPr="00A03B40">
        <w:t>resources</w:t>
      </w:r>
      <w:r w:rsidRPr="00A03B40" w:rsidR="0053194D">
        <w:t xml:space="preserve"> needed</w:t>
      </w:r>
      <w:r w:rsidRPr="00A03B40">
        <w:t xml:space="preserve"> to meet the summer 2021 and 2022 effective planning reserve margin</w:t>
      </w:r>
      <w:r w:rsidRPr="00A03B40" w:rsidR="005034BC">
        <w:t xml:space="preserve"> (PRM)</w:t>
      </w:r>
      <w:r w:rsidRPr="00A03B40">
        <w:t xml:space="preserve"> of 17.5 percent, with cost recovery </w:t>
      </w:r>
      <w:r w:rsidRPr="00A03B40" w:rsidR="00600F1F">
        <w:t xml:space="preserve">of the incremental procurement above SCE’s own </w:t>
      </w:r>
      <w:r w:rsidRPr="00A03B40" w:rsidR="005034BC">
        <w:t xml:space="preserve">15 </w:t>
      </w:r>
      <w:r w:rsidRPr="00A03B40" w:rsidR="00600F1F">
        <w:t xml:space="preserve">percent PRM coming </w:t>
      </w:r>
      <w:r w:rsidRPr="00A03B40">
        <w:t>from all benefitting customers via the CAM.</w:t>
      </w:r>
      <w:r w:rsidRPr="00A03B40" w:rsidR="00854612">
        <w:rPr>
          <w:rStyle w:val="FootnoteReference"/>
        </w:rPr>
        <w:footnoteReference w:id="105"/>
      </w:r>
      <w:r w:rsidRPr="00A03B40" w:rsidR="002A68CA">
        <w:t xml:space="preserve"> </w:t>
      </w:r>
    </w:p>
    <w:p w:rsidRPr="00A03B40" w:rsidR="00370B99" w:rsidP="00370B99" w:rsidRDefault="00EC715D" w14:paraId="351C128B" w14:textId="34B71B65">
      <w:pPr>
        <w:pStyle w:val="Standard"/>
      </w:pPr>
      <w:r w:rsidRPr="00A03B40">
        <w:t xml:space="preserve">In D.21-12-015, the Commission adopted </w:t>
      </w:r>
      <w:r w:rsidRPr="00A03B40" w:rsidR="00916DC0">
        <w:t xml:space="preserve">several supply and demand-side </w:t>
      </w:r>
      <w:r w:rsidRPr="00A03B40">
        <w:t xml:space="preserve">requirements </w:t>
      </w:r>
      <w:r w:rsidRPr="00A03B40" w:rsidR="00916DC0">
        <w:t xml:space="preserve">to address </w:t>
      </w:r>
      <w:r w:rsidRPr="00A03B40" w:rsidR="00854612">
        <w:t xml:space="preserve">resource </w:t>
      </w:r>
      <w:r w:rsidRPr="00A03B40" w:rsidR="00916DC0">
        <w:t xml:space="preserve">reliability </w:t>
      </w:r>
      <w:r w:rsidRPr="00A03B40">
        <w:t>for summer</w:t>
      </w:r>
      <w:r w:rsidRPr="00A03B40" w:rsidR="00EB5064">
        <w:t xml:space="preserve"> in</w:t>
      </w:r>
      <w:r w:rsidRPr="00A03B40">
        <w:t xml:space="preserve"> 2022 and 2023</w:t>
      </w:r>
      <w:r w:rsidRPr="00A03B40" w:rsidR="00D123C7">
        <w:t>, including additional incremental procurement requirements</w:t>
      </w:r>
      <w:r w:rsidRPr="00A03B40">
        <w:t>.</w:t>
      </w:r>
      <w:r w:rsidRPr="00A03B40" w:rsidR="00916DC0">
        <w:rPr>
          <w:rStyle w:val="FootnoteReference"/>
        </w:rPr>
        <w:footnoteReference w:id="106"/>
      </w:r>
      <w:r w:rsidRPr="00A03B40" w:rsidR="002A68CA">
        <w:t xml:space="preserve"> </w:t>
      </w:r>
      <w:r w:rsidRPr="00A03B40" w:rsidR="00E73DDC">
        <w:t xml:space="preserve">The </w:t>
      </w:r>
      <w:r w:rsidRPr="00A03B40" w:rsidR="00EB5064">
        <w:t xml:space="preserve">Commission authorized CAM recovery of the </w:t>
      </w:r>
      <w:r w:rsidRPr="00A03B40" w:rsidR="00E73DDC">
        <w:t>net costs of the incremental procurement required by this decision.</w:t>
      </w:r>
      <w:r w:rsidRPr="00A03B40" w:rsidR="00E73DDC">
        <w:rPr>
          <w:rStyle w:val="FootnoteReference"/>
        </w:rPr>
        <w:footnoteReference w:id="107"/>
      </w:r>
    </w:p>
    <w:p w:rsidRPr="00A03B40" w:rsidR="00E73DDC" w:rsidP="001F13A7" w:rsidRDefault="0004181E" w14:paraId="768826EE" w14:textId="473D038D">
      <w:pPr>
        <w:pStyle w:val="Heading3"/>
      </w:pPr>
      <w:bookmarkStart w:name="_Toc214629865" w:id="47"/>
      <w:r>
        <w:t>Utility-Owned</w:t>
      </w:r>
      <w:r w:rsidRPr="00A03B40" w:rsidR="001F13A7">
        <w:t xml:space="preserve"> Generation and Purchased Power: </w:t>
      </w:r>
      <w:r w:rsidRPr="00A03B40" w:rsidR="00E73DDC">
        <w:t>Mid-Term Reliability Procurement</w:t>
      </w:r>
      <w:bookmarkEnd w:id="47"/>
    </w:p>
    <w:p w:rsidRPr="00A03B40" w:rsidR="008858BF" w:rsidP="008858BF" w:rsidRDefault="00E73DDC" w14:paraId="70D30A8B" w14:textId="731B2BE5">
      <w:pPr>
        <w:pStyle w:val="Standard"/>
      </w:pPr>
      <w:r w:rsidRPr="00A03B40">
        <w:t xml:space="preserve">In its 2026 ERRA </w:t>
      </w:r>
      <w:r w:rsidRPr="00A03B40" w:rsidR="00CC7C11">
        <w:t>forecast</w:t>
      </w:r>
      <w:r w:rsidRPr="00A03B40">
        <w:t xml:space="preserve">, </w:t>
      </w:r>
      <w:bookmarkStart w:name="_Hlk210742228" w:id="48"/>
      <w:r w:rsidRPr="00A03B40">
        <w:t xml:space="preserve">SCE includes the </w:t>
      </w:r>
      <w:r w:rsidRPr="00A03B40" w:rsidR="008858BF">
        <w:t xml:space="preserve">estimated </w:t>
      </w:r>
      <w:r w:rsidRPr="00A03B40">
        <w:t xml:space="preserve">remaining </w:t>
      </w:r>
      <w:r w:rsidRPr="00A03B40" w:rsidR="00030847">
        <w:t xml:space="preserve">capacity </w:t>
      </w:r>
      <w:r w:rsidRPr="00A03B40">
        <w:t xml:space="preserve">costs of contracts secured to meet mid-term reliability </w:t>
      </w:r>
      <w:r w:rsidRPr="00A03B40" w:rsidR="00030847">
        <w:t xml:space="preserve">(MTR) </w:t>
      </w:r>
      <w:r w:rsidRPr="00A03B40">
        <w:t>requirements adopted in D.21-06-035 and D.23-02-040</w:t>
      </w:r>
      <w:bookmarkEnd w:id="48"/>
      <w:r w:rsidRPr="00A03B40">
        <w:t>.</w:t>
      </w:r>
      <w:r w:rsidRPr="00A03B40" w:rsidR="008858BF">
        <w:rPr>
          <w:rStyle w:val="FootnoteReference"/>
        </w:rPr>
        <w:footnoteReference w:id="108"/>
      </w:r>
      <w:r w:rsidRPr="00A03B40" w:rsidR="002A68CA">
        <w:t xml:space="preserve"> </w:t>
      </w:r>
      <w:r w:rsidRPr="00A03B40">
        <w:t xml:space="preserve">D.21-06-035 addressed </w:t>
      </w:r>
      <w:r w:rsidRPr="00A03B40" w:rsidR="002C0CA7">
        <w:t>MTR</w:t>
      </w:r>
      <w:r w:rsidRPr="00A03B40">
        <w:t xml:space="preserve"> needs across CAISO’s operating system</w:t>
      </w:r>
      <w:r w:rsidRPr="00A03B40" w:rsidR="008858BF">
        <w:rPr>
          <w:rFonts w:ascii="TimesNewRoman" w:hAnsi="TimesNewRoman" w:cs="TimesNewRoman"/>
          <w:sz w:val="24"/>
          <w:szCs w:val="24"/>
        </w:rPr>
        <w:t xml:space="preserve"> </w:t>
      </w:r>
      <w:r w:rsidRPr="00A03B40" w:rsidR="008858BF">
        <w:t xml:space="preserve">by requiring at least 11,500 MW of additional net qualifying capacity (NQC) to be procured by all LSEs subject to the </w:t>
      </w:r>
      <w:r w:rsidRPr="00A03B40" w:rsidR="008858BF">
        <w:lastRenderedPageBreak/>
        <w:t>Commission’s integrated resource planning (IRP) authority.</w:t>
      </w:r>
      <w:r w:rsidRPr="00A03B40" w:rsidR="008858BF">
        <w:rPr>
          <w:rStyle w:val="FootnoteReference"/>
        </w:rPr>
        <w:footnoteReference w:id="109"/>
      </w:r>
      <w:r w:rsidRPr="00A03B40" w:rsidR="002A68CA">
        <w:t xml:space="preserve"> </w:t>
      </w:r>
      <w:r w:rsidRPr="00A03B40" w:rsidR="00BF5664">
        <w:t xml:space="preserve">SCE’s portion of the required </w:t>
      </w:r>
      <w:bookmarkStart w:name="_Hlk210742281" w:id="49"/>
      <w:r w:rsidRPr="00A03B40" w:rsidR="00BF5664">
        <w:t>capacity was 4,052 MW</w:t>
      </w:r>
      <w:bookmarkEnd w:id="49"/>
      <w:r w:rsidRPr="00A03B40" w:rsidR="00BF5664">
        <w:t>.</w:t>
      </w:r>
      <w:r w:rsidRPr="00A03B40" w:rsidR="001C2E88">
        <w:rPr>
          <w:rStyle w:val="FootnoteReference"/>
        </w:rPr>
        <w:footnoteReference w:id="110"/>
      </w:r>
      <w:r w:rsidRPr="00A03B40" w:rsidR="002A68CA">
        <w:t xml:space="preserve"> </w:t>
      </w:r>
      <w:r w:rsidRPr="00A03B40">
        <w:t xml:space="preserve">SCE launched its </w:t>
      </w:r>
      <w:r w:rsidRPr="00A03B40" w:rsidR="00196DC1">
        <w:t>MTR</w:t>
      </w:r>
      <w:r w:rsidRPr="00A03B40">
        <w:t xml:space="preserve"> Request for Offers (MTRRFO) for resources to come online in 2023-2026 on July 30, 2021.</w:t>
      </w:r>
      <w:r w:rsidRPr="00A03B40" w:rsidR="008858BF">
        <w:rPr>
          <w:rStyle w:val="FootnoteReference"/>
        </w:rPr>
        <w:footnoteReference w:id="111"/>
      </w:r>
      <w:r w:rsidRPr="00A03B40" w:rsidR="002A68CA">
        <w:t xml:space="preserve"> </w:t>
      </w:r>
    </w:p>
    <w:p w:rsidR="000D0266" w:rsidP="00196DC1" w:rsidRDefault="008858BF" w14:paraId="1A1CEB12" w14:textId="77777777">
      <w:pPr>
        <w:pStyle w:val="Standard"/>
        <w:widowControl w:val="0"/>
      </w:pPr>
      <w:r w:rsidRPr="00A03B40">
        <w:t>In D.23-02-040</w:t>
      </w:r>
      <w:r w:rsidRPr="00A03B40" w:rsidR="00D371F3">
        <w:t>,</w:t>
      </w:r>
      <w:r w:rsidRPr="00A03B40">
        <w:t xml:space="preserve"> the Commission </w:t>
      </w:r>
      <w:r w:rsidRPr="00A03B40" w:rsidR="00D371F3">
        <w:t xml:space="preserve">required supplemental </w:t>
      </w:r>
      <w:r w:rsidRPr="00A03B40" w:rsidR="00EB5064">
        <w:t>MTR</w:t>
      </w:r>
      <w:r w:rsidRPr="00A03B40" w:rsidR="00D371F3">
        <w:t xml:space="preserve"> procurement of 4,000 MWs of NQC in addition to the amounts ordered in D.21-06-035, based on updated California Energy Commission load forecasting suggesting additional capacity was needed due to increased demand, the impacts of climate change, unexpected fossil fuel generation system retirements, and the likelihood of delays in the procurement of long lead time resources required by </w:t>
      </w:r>
    </w:p>
    <w:p w:rsidRPr="00A03B40" w:rsidR="00E73DDC" w:rsidP="000D0266" w:rsidRDefault="00D371F3" w14:paraId="11830E63" w14:textId="4BF1E64D">
      <w:pPr>
        <w:pStyle w:val="Standard"/>
        <w:widowControl w:val="0"/>
        <w:ind w:firstLine="0"/>
      </w:pPr>
      <w:r w:rsidRPr="00A03B40">
        <w:t>D.21-06-035.</w:t>
      </w:r>
      <w:r w:rsidRPr="00A03B40">
        <w:rPr>
          <w:rStyle w:val="FootnoteReference"/>
        </w:rPr>
        <w:footnoteReference w:id="112"/>
      </w:r>
      <w:r w:rsidRPr="00A03B40" w:rsidR="005133EB">
        <w:t xml:space="preserve"> </w:t>
      </w:r>
      <w:bookmarkStart w:name="_Hlk210742818" w:id="50"/>
      <w:r w:rsidRPr="00A03B40" w:rsidR="005133EB">
        <w:t>SCE’s bundled customer share of this required procurement was 1,367 MW, and its Direct Access share was 172 MW.</w:t>
      </w:r>
      <w:bookmarkEnd w:id="50"/>
      <w:r w:rsidRPr="00A03B40" w:rsidR="00E124AC">
        <w:rPr>
          <w:rStyle w:val="FootnoteReference"/>
        </w:rPr>
        <w:footnoteReference w:id="113"/>
      </w:r>
    </w:p>
    <w:p w:rsidRPr="00A03B40" w:rsidR="009879D2" w:rsidP="009879D2" w:rsidRDefault="00E73DDC" w14:paraId="14AE8D38" w14:textId="458EB4FB">
      <w:pPr>
        <w:pStyle w:val="Standard"/>
      </w:pPr>
      <w:r w:rsidRPr="00A03B40">
        <w:t xml:space="preserve"> </w:t>
      </w:r>
      <w:r w:rsidRPr="00A03B40" w:rsidR="0086512D">
        <w:t xml:space="preserve">SCE </w:t>
      </w:r>
      <w:r w:rsidRPr="00A03B40" w:rsidR="00856846">
        <w:t>states that</w:t>
      </w:r>
      <w:r w:rsidRPr="00A03B40" w:rsidR="00E22624">
        <w:t xml:space="preserve">, through </w:t>
      </w:r>
      <w:r w:rsidRPr="00A03B40" w:rsidR="00196DC1">
        <w:t xml:space="preserve">its </w:t>
      </w:r>
      <w:r w:rsidRPr="00A03B40" w:rsidR="00E22624">
        <w:t>phased MTRRFOs,</w:t>
      </w:r>
      <w:r w:rsidRPr="00A03B40" w:rsidR="00856846">
        <w:t xml:space="preserve"> it </w:t>
      </w:r>
      <w:r w:rsidRPr="00A03B40" w:rsidR="0086512D">
        <w:t xml:space="preserve">has executed contracts for a number of energy storage and renewable energy projects </w:t>
      </w:r>
      <w:r w:rsidRPr="00A03B40" w:rsidR="00EB5064">
        <w:t>that</w:t>
      </w:r>
      <w:r w:rsidRPr="00A03B40" w:rsidR="0086512D">
        <w:t xml:space="preserve"> were approved in Res</w:t>
      </w:r>
      <w:r w:rsidRPr="00A03B40" w:rsidR="00A75DD0">
        <w:t>.</w:t>
      </w:r>
      <w:r w:rsidRPr="00A03B40" w:rsidR="0086512D">
        <w:t xml:space="preserve"> E-5205, E-5225, E-5234, E-5251, E-5253, E-5271, E-5307, E-5309, E-5313, E-5316, and E-5333, E-5334, </w:t>
      </w:r>
      <w:r w:rsidRPr="00A03B40" w:rsidR="009C3FD8">
        <w:t>E-5344, E-5365</w:t>
      </w:r>
      <w:r w:rsidRPr="00A03B40" w:rsidR="00974D9C">
        <w:t>, and E-5419</w:t>
      </w:r>
      <w:r w:rsidRPr="00A03B40" w:rsidR="000B3250">
        <w:t>.</w:t>
      </w:r>
      <w:r w:rsidRPr="00A03B40" w:rsidR="000B3250">
        <w:rPr>
          <w:rStyle w:val="FootnoteReference"/>
        </w:rPr>
        <w:footnoteReference w:id="114"/>
      </w:r>
      <w:r w:rsidRPr="00A03B40" w:rsidR="002A68CA">
        <w:t xml:space="preserve"> </w:t>
      </w:r>
      <w:r w:rsidRPr="00A03B40" w:rsidR="00974D9C">
        <w:t>Seven</w:t>
      </w:r>
      <w:r w:rsidRPr="00A03B40" w:rsidR="009C3FD8">
        <w:t xml:space="preserve"> </w:t>
      </w:r>
      <w:r w:rsidRPr="00A03B40" w:rsidR="000B3250">
        <w:t>of SCE’s MTR</w:t>
      </w:r>
      <w:r w:rsidRPr="00A03B40" w:rsidR="00EB5064">
        <w:t xml:space="preserve"> </w:t>
      </w:r>
      <w:r w:rsidRPr="00A03B40" w:rsidR="000B3250">
        <w:t>A</w:t>
      </w:r>
      <w:r w:rsidRPr="00A03B40" w:rsidR="00643071">
        <w:t>L</w:t>
      </w:r>
      <w:r w:rsidRPr="00A03B40" w:rsidR="009C3FD8">
        <w:t>s were approved without an accompanying resolution (AL</w:t>
      </w:r>
      <w:r w:rsidRPr="00A03B40" w:rsidR="00643071">
        <w:t>s</w:t>
      </w:r>
      <w:r w:rsidRPr="00A03B40" w:rsidR="009C3FD8">
        <w:t xml:space="preserve"> 5336-E, 5386-E, 5446</w:t>
      </w:r>
      <w:r w:rsidRPr="00A03B40" w:rsidR="006C461A">
        <w:t>-E</w:t>
      </w:r>
      <w:r w:rsidRPr="00A03B40" w:rsidR="00974D9C">
        <w:t>, 5470-E, 5517-E, 5537-E, and 5593-E</w:t>
      </w:r>
      <w:r w:rsidRPr="00A03B40" w:rsidR="009C3FD8">
        <w:t>).</w:t>
      </w:r>
      <w:r w:rsidRPr="00A03B40" w:rsidR="000B3250">
        <w:rPr>
          <w:rStyle w:val="FootnoteReference"/>
        </w:rPr>
        <w:footnoteReference w:id="115"/>
      </w:r>
      <w:r w:rsidRPr="00A03B40" w:rsidR="002A68CA">
        <w:t xml:space="preserve"> </w:t>
      </w:r>
      <w:r w:rsidRPr="00A03B40" w:rsidR="009C3FD8">
        <w:t xml:space="preserve">SCE </w:t>
      </w:r>
      <w:r w:rsidRPr="00A03B40" w:rsidR="00C6105E">
        <w:t>has</w:t>
      </w:r>
      <w:r w:rsidRPr="00A03B40" w:rsidR="009C3FD8">
        <w:t xml:space="preserve"> </w:t>
      </w:r>
      <w:r w:rsidRPr="00A03B40" w:rsidR="00974D9C">
        <w:t>one</w:t>
      </w:r>
      <w:r w:rsidRPr="00A03B40" w:rsidR="009C3FD8">
        <w:t xml:space="preserve"> A</w:t>
      </w:r>
      <w:r w:rsidRPr="00A03B40" w:rsidR="000B3250">
        <w:t>L</w:t>
      </w:r>
      <w:r w:rsidRPr="00A03B40" w:rsidR="009C3FD8">
        <w:t xml:space="preserve"> requesting </w:t>
      </w:r>
      <w:r w:rsidRPr="00A03B40" w:rsidR="009C3FD8">
        <w:lastRenderedPageBreak/>
        <w:t xml:space="preserve">approvals related to MTR </w:t>
      </w:r>
      <w:r w:rsidRPr="00A03B40" w:rsidR="005133EB">
        <w:t xml:space="preserve">contracts </w:t>
      </w:r>
      <w:r w:rsidRPr="00A03B40" w:rsidR="009C3FD8">
        <w:t xml:space="preserve">pending before the Commission. </w:t>
      </w:r>
      <w:r w:rsidRPr="00A03B40" w:rsidR="000B3250">
        <w:t xml:space="preserve">SCE’s 2026 </w:t>
      </w:r>
      <w:r w:rsidRPr="00A03B40" w:rsidR="003A1C90">
        <w:t xml:space="preserve">forecast </w:t>
      </w:r>
      <w:r w:rsidRPr="00A03B40" w:rsidR="000B3250">
        <w:t xml:space="preserve">of the </w:t>
      </w:r>
      <w:r w:rsidRPr="00A03B40" w:rsidR="003A1C90">
        <w:t>capacity costs for the MTR res</w:t>
      </w:r>
      <w:r w:rsidRPr="00A03B40" w:rsidR="000B3250">
        <w:t>ources listed above are tracked in the PABA.</w:t>
      </w:r>
      <w:r w:rsidRPr="00A03B40" w:rsidR="000B3250">
        <w:rPr>
          <w:rStyle w:val="FootnoteReference"/>
        </w:rPr>
        <w:footnoteReference w:id="116"/>
      </w:r>
    </w:p>
    <w:p w:rsidRPr="00A03B40" w:rsidR="009879D2" w:rsidP="009879D2" w:rsidRDefault="009879D2" w14:paraId="17FDDCFE" w14:textId="4081040C">
      <w:pPr>
        <w:pStyle w:val="Standard"/>
      </w:pPr>
      <w:r w:rsidRPr="00A03B40">
        <w:t xml:space="preserve">In its </w:t>
      </w:r>
      <w:r w:rsidRPr="00A03B40" w:rsidR="00BA55A4">
        <w:t xml:space="preserve">Amended </w:t>
      </w:r>
      <w:r w:rsidRPr="00A03B40">
        <w:t xml:space="preserve">October Update, SCE revises </w:t>
      </w:r>
      <w:r w:rsidRPr="00A03B40" w:rsidR="00A75DD0">
        <w:t xml:space="preserve">its </w:t>
      </w:r>
      <w:r w:rsidRPr="00A03B40">
        <w:t>cost recovery for two MTR contracts due to the reallocation of capacity to meet MTR requirements, as authorized in Res.</w:t>
      </w:r>
      <w:r w:rsidRPr="00A03B40" w:rsidR="00A75DD0">
        <w:t xml:space="preserve"> </w:t>
      </w:r>
      <w:r w:rsidRPr="00A03B40">
        <w:t>E-5240 and E-5365.</w:t>
      </w:r>
      <w:r w:rsidRPr="00A03B40">
        <w:rPr>
          <w:rStyle w:val="FootnoteReference"/>
        </w:rPr>
        <w:footnoteReference w:id="117"/>
      </w:r>
    </w:p>
    <w:p w:rsidRPr="00A03B40" w:rsidR="000B3250" w:rsidP="001F13A7" w:rsidRDefault="0004181E" w14:paraId="1A42AA8C" w14:textId="67BF53BD">
      <w:pPr>
        <w:pStyle w:val="Heading3"/>
      </w:pPr>
      <w:bookmarkStart w:name="_Toc214629866" w:id="51"/>
      <w:r>
        <w:t>Utility-Owned</w:t>
      </w:r>
      <w:r w:rsidRPr="00A03B40" w:rsidR="001F13A7">
        <w:t xml:space="preserve"> Generation and Purchased Power: </w:t>
      </w:r>
      <w:r w:rsidRPr="00A03B40" w:rsidR="000B3250">
        <w:t>Imports Used for Mid-Term Reliability and Diablo Canyon Replacement</w:t>
      </w:r>
      <w:bookmarkEnd w:id="51"/>
    </w:p>
    <w:p w:rsidRPr="00A03B40" w:rsidR="00856846" w:rsidP="00B16130" w:rsidRDefault="009879D2" w14:paraId="5621FA91" w14:textId="41DAA08C">
      <w:pPr>
        <w:pStyle w:val="Standard"/>
      </w:pPr>
      <w:bookmarkStart w:name="_Hlk210813660" w:id="52"/>
      <w:r w:rsidRPr="00A03B40">
        <w:t xml:space="preserve">SCE’s May Filing included </w:t>
      </w:r>
      <w:r w:rsidRPr="00A03B40" w:rsidR="000B3250">
        <w:t xml:space="preserve">in its 2026 </w:t>
      </w:r>
      <w:r w:rsidRPr="00A03B40" w:rsidR="00860FA9">
        <w:t xml:space="preserve">ERRA </w:t>
      </w:r>
      <w:r w:rsidRPr="00A03B40" w:rsidR="00CC7C11">
        <w:t>forecast</w:t>
      </w:r>
      <w:r w:rsidRPr="00A03B40" w:rsidR="000B3250">
        <w:t xml:space="preserve"> </w:t>
      </w:r>
      <w:bookmarkStart w:name="_Hlk210815260" w:id="53"/>
      <w:r w:rsidRPr="00A03B40" w:rsidR="00333AD8">
        <w:t xml:space="preserve">cost assumptions related to </w:t>
      </w:r>
      <w:r w:rsidRPr="00A03B40" w:rsidR="000B3250">
        <w:t>MTR bridge procurement and Diablo Canyon Replacement</w:t>
      </w:r>
      <w:r w:rsidRPr="00A03B40" w:rsidR="00860FA9">
        <w:t xml:space="preserve"> </w:t>
      </w:r>
      <w:r w:rsidRPr="00A03B40" w:rsidR="00B16130">
        <w:t xml:space="preserve">procurement </w:t>
      </w:r>
      <w:r w:rsidRPr="00A03B40" w:rsidR="00860FA9">
        <w:t>costs</w:t>
      </w:r>
      <w:bookmarkEnd w:id="52"/>
      <w:bookmarkEnd w:id="53"/>
      <w:r w:rsidRPr="00A03B40" w:rsidR="00333AD8">
        <w:t>, originally required under D.21-06-035</w:t>
      </w:r>
      <w:r w:rsidRPr="00A03B40" w:rsidR="007F45FF">
        <w:t xml:space="preserve"> and D.23-02-040 (as modified by D.24-02-047), discussed in Section 5.2.9 above</w:t>
      </w:r>
      <w:r w:rsidRPr="00A03B40" w:rsidR="000B3250">
        <w:t>.</w:t>
      </w:r>
      <w:r w:rsidRPr="00A03B40" w:rsidR="00B16130">
        <w:rPr>
          <w:rStyle w:val="FootnoteReference"/>
        </w:rPr>
        <w:footnoteReference w:id="118"/>
      </w:r>
      <w:r w:rsidRPr="00A03B40" w:rsidR="002A68CA">
        <w:t xml:space="preserve"> </w:t>
      </w:r>
      <w:r w:rsidRPr="00A03B40" w:rsidR="00B16130">
        <w:t xml:space="preserve">SCE noted </w:t>
      </w:r>
      <w:r w:rsidRPr="00A03B40" w:rsidR="00A75DD0">
        <w:t xml:space="preserve">in its May Filing </w:t>
      </w:r>
      <w:r w:rsidRPr="00A03B40" w:rsidR="00B16130">
        <w:t>that these assumptions may change based on its then-pending petition for modification (PFM) of D.23-02-040 and D.24-02-047.</w:t>
      </w:r>
      <w:r w:rsidRPr="00A03B40" w:rsidR="00B16130">
        <w:rPr>
          <w:rStyle w:val="FootnoteReference"/>
        </w:rPr>
        <w:footnoteReference w:id="119"/>
      </w:r>
      <w:r w:rsidRPr="00A03B40" w:rsidR="00B16130">
        <w:t xml:space="preserve"> </w:t>
      </w:r>
    </w:p>
    <w:p w:rsidR="000D0266" w:rsidP="00EB36B5" w:rsidRDefault="00B16130" w14:paraId="2F18E11F" w14:textId="77777777">
      <w:pPr>
        <w:pStyle w:val="Standard"/>
      </w:pPr>
      <w:r w:rsidRPr="00A03B40">
        <w:t>Pursuant to D.25-09-007, which adopted SCE’s PFM in part, SCE</w:t>
      </w:r>
      <w:r w:rsidRPr="00A03B40" w:rsidR="00A75DD0">
        <w:t xml:space="preserve">’s </w:t>
      </w:r>
      <w:r w:rsidRPr="00A03B40" w:rsidR="00BA55A4">
        <w:t xml:space="preserve">Amended </w:t>
      </w:r>
      <w:r w:rsidRPr="00A03B40" w:rsidR="00A75DD0">
        <w:t>October Update</w:t>
      </w:r>
      <w:r w:rsidRPr="00A03B40">
        <w:t xml:space="preserve"> remove</w:t>
      </w:r>
      <w:r w:rsidRPr="00A03B40" w:rsidR="00EB36B5">
        <w:t>s</w:t>
      </w:r>
      <w:r w:rsidRPr="00A03B40">
        <w:t xml:space="preserve"> assumptions relating to this </w:t>
      </w:r>
      <w:r w:rsidRPr="00A03B40" w:rsidR="008546E0">
        <w:t xml:space="preserve">bridge </w:t>
      </w:r>
      <w:r w:rsidRPr="00A03B40">
        <w:t xml:space="preserve">procurement </w:t>
      </w:r>
      <w:r w:rsidRPr="00A03B40" w:rsidR="009E7955">
        <w:t xml:space="preserve">and Diablo Canyon Replacement </w:t>
      </w:r>
      <w:r w:rsidRPr="00A03B40">
        <w:t xml:space="preserve">from its 2026 ERRA forecast. </w:t>
      </w:r>
      <w:bookmarkStart w:name="_Hlk211520691" w:id="54"/>
      <w:r w:rsidRPr="00A03B40">
        <w:t xml:space="preserve">D.25-09-007 </w:t>
      </w:r>
      <w:r w:rsidRPr="00A03B40" w:rsidR="009E7955">
        <w:t>eliminated</w:t>
      </w:r>
      <w:r w:rsidRPr="00A03B40" w:rsidR="00D877E5">
        <w:t xml:space="preserve"> the option for LSEs to use </w:t>
      </w:r>
      <w:r w:rsidRPr="00A03B40" w:rsidR="00C53D87">
        <w:t xml:space="preserve">additional </w:t>
      </w:r>
      <w:r w:rsidRPr="00A03B40" w:rsidR="00D877E5">
        <w:t xml:space="preserve">bridge contracts as compliance mechanisms for the procurement required by D.21-06-035 and </w:t>
      </w:r>
    </w:p>
    <w:p w:rsidRPr="00A03B40" w:rsidR="00A75DD0" w:rsidP="000D0266" w:rsidRDefault="00D877E5" w14:paraId="0CE0BBA4" w14:textId="1DE25FDA">
      <w:pPr>
        <w:pStyle w:val="Standard"/>
        <w:ind w:firstLine="0"/>
      </w:pPr>
      <w:r w:rsidRPr="00A03B40">
        <w:t>D.23-02-040</w:t>
      </w:r>
      <w:r w:rsidRPr="00A03B40" w:rsidR="009E7955">
        <w:t xml:space="preserve"> (as modified by D.24-02-040)</w:t>
      </w:r>
      <w:r w:rsidRPr="00A03B40">
        <w:t>.</w:t>
      </w:r>
      <w:r w:rsidRPr="00A03B40" w:rsidR="00CC0FC1">
        <w:rPr>
          <w:rStyle w:val="FootnoteReference"/>
        </w:rPr>
        <w:footnoteReference w:id="120"/>
      </w:r>
      <w:r w:rsidRPr="00A03B40">
        <w:t xml:space="preserve"> D.25-09-007 further </w:t>
      </w:r>
      <w:r w:rsidRPr="00A03B40" w:rsidR="00B16130">
        <w:t xml:space="preserve">states that LSEs will be deemed compliant with procurement obligations </w:t>
      </w:r>
      <w:bookmarkEnd w:id="54"/>
      <w:r w:rsidRPr="00A03B40" w:rsidR="00B16130">
        <w:t xml:space="preserve">noted above </w:t>
      </w:r>
      <w:bookmarkStart w:name="_Hlk211520718" w:id="55"/>
      <w:r w:rsidRPr="00A03B40" w:rsidR="00B16130">
        <w:t xml:space="preserve">if they </w:t>
      </w:r>
      <w:r w:rsidRPr="00A03B40" w:rsidR="00B16130">
        <w:lastRenderedPageBreak/>
        <w:t>(1)</w:t>
      </w:r>
      <w:r w:rsidR="004524FD">
        <w:t> </w:t>
      </w:r>
      <w:r w:rsidRPr="00A03B40" w:rsidR="00B16130">
        <w:t xml:space="preserve"> have sufficient executed long-term (ten years or more) contracts (for capacity and/or energy, as applicable) to meet the applicable MTR procurement obligation and (2) have met their month-ahead system RA obligations for all months in which their procurement is delayed, by the final deadline for curing any RA deficiency.</w:t>
      </w:r>
      <w:bookmarkEnd w:id="55"/>
      <w:r w:rsidRPr="00A03B40" w:rsidR="00B16130">
        <w:rPr>
          <w:rStyle w:val="FootnoteReference"/>
        </w:rPr>
        <w:footnoteReference w:id="121"/>
      </w:r>
      <w:r w:rsidRPr="00A03B40" w:rsidR="00EB36B5">
        <w:t xml:space="preserve"> </w:t>
      </w:r>
    </w:p>
    <w:p w:rsidRPr="00A03B40" w:rsidR="00C53D87" w:rsidP="00EB36B5" w:rsidRDefault="00A75DD0" w14:paraId="03EBE31D" w14:textId="1BE682C0">
      <w:pPr>
        <w:pStyle w:val="Standard"/>
      </w:pPr>
      <w:r w:rsidRPr="00A03B40">
        <w:t xml:space="preserve">SCE’s removal of additional bridge contract costs in its </w:t>
      </w:r>
      <w:r w:rsidRPr="00A03B40" w:rsidR="00B07A4C">
        <w:t xml:space="preserve">Amended </w:t>
      </w:r>
      <w:r w:rsidRPr="00A03B40">
        <w:t xml:space="preserve">October Update suggests SCE believes it is compliant or will be compliant with its procurement obligations pursuant to the alternative compliance mechanism adopted </w:t>
      </w:r>
      <w:proofErr w:type="gramStart"/>
      <w:r w:rsidRPr="00A03B40">
        <w:t>in</w:t>
      </w:r>
      <w:proofErr w:type="gramEnd"/>
      <w:r w:rsidRPr="00A03B40">
        <w:t xml:space="preserve"> D.25-09-007. </w:t>
      </w:r>
      <w:r w:rsidRPr="00A03B40" w:rsidR="00C53D87">
        <w:t>Implementation of D.25-09-007 is intended to decrease ratepayer costs as bridge contract</w:t>
      </w:r>
      <w:r w:rsidRPr="00A03B40" w:rsidR="009E7955">
        <w:t>s</w:t>
      </w:r>
      <w:r w:rsidRPr="00A03B40" w:rsidR="00C53D87">
        <w:t xml:space="preserve"> </w:t>
      </w:r>
      <w:r w:rsidRPr="00A03B40" w:rsidR="009E7955">
        <w:t>are among the most expensive contracts entered into by any LSE on a per-MWh and per-kW-month basis for MTR compliance.</w:t>
      </w:r>
      <w:r w:rsidRPr="00A03B40" w:rsidR="009E7955">
        <w:rPr>
          <w:rStyle w:val="FootnoteReference"/>
        </w:rPr>
        <w:footnoteReference w:id="122"/>
      </w:r>
    </w:p>
    <w:p w:rsidRPr="00A03B40" w:rsidR="00AB18F7" w:rsidP="001F13A7" w:rsidRDefault="0004181E" w14:paraId="3AACB929" w14:textId="3F14EAC8">
      <w:pPr>
        <w:pStyle w:val="Heading3"/>
      </w:pPr>
      <w:bookmarkStart w:name="_Toc214629867" w:id="56"/>
      <w:r>
        <w:t>Utility-Owned</w:t>
      </w:r>
      <w:r w:rsidRPr="00A03B40" w:rsidR="001F13A7">
        <w:t xml:space="preserve"> Generation and Purchased Power: </w:t>
      </w:r>
      <w:r w:rsidRPr="00A03B40" w:rsidR="00AB18F7">
        <w:t>Generic and Bilateral Resource Adequacy Contracts</w:t>
      </w:r>
      <w:bookmarkEnd w:id="56"/>
    </w:p>
    <w:p w:rsidRPr="00A03B40" w:rsidR="00337EC5" w:rsidP="009E7955" w:rsidRDefault="003875EC" w14:paraId="2DBE92E6" w14:textId="3A725803">
      <w:pPr>
        <w:pStyle w:val="Standard"/>
      </w:pPr>
      <w:r w:rsidRPr="00A03B40">
        <w:t xml:space="preserve">SCE includes in its 2026 ERRA forecast </w:t>
      </w:r>
      <w:r w:rsidRPr="00A03B40" w:rsidR="004F6A33">
        <w:t xml:space="preserve">the monthly capacity costs for generic and bilateral contracts secured to meet </w:t>
      </w:r>
      <w:r w:rsidRPr="00A03B40" w:rsidR="00D02B25">
        <w:t xml:space="preserve">estimated </w:t>
      </w:r>
      <w:r w:rsidRPr="00A03B40" w:rsidR="004F6A33">
        <w:t xml:space="preserve">remaining </w:t>
      </w:r>
      <w:r w:rsidRPr="00A03B40" w:rsidR="00D02B25">
        <w:t xml:space="preserve">2026 </w:t>
      </w:r>
      <w:r w:rsidRPr="00A03B40" w:rsidR="004B2080">
        <w:t xml:space="preserve">RA </w:t>
      </w:r>
      <w:r w:rsidRPr="00A03B40" w:rsidR="004F6A33">
        <w:t>needs.</w:t>
      </w:r>
      <w:r w:rsidRPr="00A03B40" w:rsidR="002A68CA">
        <w:t xml:space="preserve"> </w:t>
      </w:r>
      <w:r w:rsidRPr="00A03B40" w:rsidR="008546E0">
        <w:t>SCE’s final 2026 RA requirements</w:t>
      </w:r>
      <w:r w:rsidRPr="00A03B40" w:rsidR="00C53D87">
        <w:t>, less</w:t>
      </w:r>
      <w:r w:rsidRPr="00A03B40" w:rsidR="00966E15">
        <w:t xml:space="preserve"> the capacity represented by </w:t>
      </w:r>
      <w:r w:rsidRPr="00A03B40" w:rsidR="004B2080">
        <w:t>RA</w:t>
      </w:r>
      <w:r w:rsidRPr="00A03B40" w:rsidR="00966E15">
        <w:t xml:space="preserve"> contracts already procured</w:t>
      </w:r>
      <w:r w:rsidRPr="00A03B40" w:rsidR="00C53D87">
        <w:t>, equals</w:t>
      </w:r>
      <w:r w:rsidRPr="00A03B40" w:rsidR="00966E15">
        <w:t xml:space="preserve"> </w:t>
      </w:r>
      <w:r w:rsidRPr="00A03B40" w:rsidR="00C53D87">
        <w:t>SCE’s</w:t>
      </w:r>
      <w:r w:rsidRPr="00A03B40" w:rsidR="00966E15">
        <w:t xml:space="preserve"> forecast remaining 2026 </w:t>
      </w:r>
      <w:r w:rsidRPr="00A03B40" w:rsidR="004B2080">
        <w:t>RA</w:t>
      </w:r>
      <w:r w:rsidRPr="00A03B40" w:rsidR="00966E15">
        <w:t xml:space="preserve"> need.</w:t>
      </w:r>
      <w:r w:rsidRPr="00A03B40" w:rsidR="00966E15">
        <w:rPr>
          <w:rStyle w:val="FootnoteReference"/>
        </w:rPr>
        <w:footnoteReference w:id="123"/>
      </w:r>
      <w:r w:rsidRPr="00A03B40" w:rsidR="004B2080">
        <w:t xml:space="preserve"> </w:t>
      </w:r>
      <w:r w:rsidRPr="00A03B40" w:rsidR="0080155C">
        <w:t xml:space="preserve">For the months in which SCE forecasts an incremental </w:t>
      </w:r>
      <w:r w:rsidRPr="00A03B40" w:rsidR="004B2080">
        <w:t>RA</w:t>
      </w:r>
      <w:r w:rsidRPr="00A03B40" w:rsidR="0080155C">
        <w:t xml:space="preserve"> need, </w:t>
      </w:r>
      <w:r w:rsidRPr="00A03B40" w:rsidR="00337EC5">
        <w:t xml:space="preserve">SCE forecasts costs for generic </w:t>
      </w:r>
      <w:r w:rsidRPr="00A03B40" w:rsidR="00C53D87">
        <w:t xml:space="preserve">and bilateral </w:t>
      </w:r>
      <w:r w:rsidRPr="00A03B40" w:rsidR="004B2080">
        <w:t>RA</w:t>
      </w:r>
      <w:r w:rsidRPr="00A03B40" w:rsidR="00337EC5">
        <w:t xml:space="preserve"> contracts </w:t>
      </w:r>
      <w:r w:rsidRPr="00A03B40" w:rsidR="00966E15">
        <w:t xml:space="preserve">to meet that need </w:t>
      </w:r>
      <w:r w:rsidRPr="00A03B40" w:rsidR="00337EC5">
        <w:t xml:space="preserve">based on </w:t>
      </w:r>
      <w:r w:rsidRPr="00A03B40" w:rsidR="00FD61EE">
        <w:t>a</w:t>
      </w:r>
      <w:r w:rsidRPr="00A03B40" w:rsidR="00324170">
        <w:t xml:space="preserve"> “quantity</w:t>
      </w:r>
      <w:r w:rsidRPr="00A03B40" w:rsidR="00FD61EE">
        <w:t xml:space="preserve"> x </w:t>
      </w:r>
      <w:r w:rsidRPr="00A03B40" w:rsidR="00FD61EE">
        <w:lastRenderedPageBreak/>
        <w:t>price</w:t>
      </w:r>
      <w:r w:rsidRPr="00A03B40" w:rsidR="00324170">
        <w:t xml:space="preserve">” </w:t>
      </w:r>
      <w:r w:rsidRPr="00A03B40" w:rsidR="00FD61EE">
        <w:t xml:space="preserve">formula. The “quantity” variable is </w:t>
      </w:r>
      <w:r w:rsidRPr="00A03B40" w:rsidR="00324170">
        <w:t xml:space="preserve">produced by </w:t>
      </w:r>
      <w:r w:rsidRPr="00A03B40" w:rsidR="00FD61EE">
        <w:t>SCE’s</w:t>
      </w:r>
      <w:r w:rsidRPr="00A03B40" w:rsidR="00337EC5">
        <w:t xml:space="preserve"> </w:t>
      </w:r>
      <w:r w:rsidRPr="00A03B40" w:rsidR="00324170">
        <w:t>S</w:t>
      </w:r>
      <w:r w:rsidRPr="00A03B40" w:rsidR="00337EC5">
        <w:t>lice</w:t>
      </w:r>
      <w:r w:rsidRPr="00A03B40" w:rsidR="00324170">
        <w:t>-</w:t>
      </w:r>
      <w:r w:rsidRPr="00A03B40" w:rsidR="00337EC5">
        <w:t>of</w:t>
      </w:r>
      <w:r w:rsidRPr="00A03B40" w:rsidR="00324170">
        <w:t>-D</w:t>
      </w:r>
      <w:r w:rsidRPr="00A03B40" w:rsidR="00337EC5">
        <w:t xml:space="preserve">ay </w:t>
      </w:r>
      <w:r w:rsidRPr="00A03B40" w:rsidR="00FD61EE">
        <w:t>methodology</w:t>
      </w:r>
      <w:r w:rsidRPr="00A03B40" w:rsidR="0047691C">
        <w:t xml:space="preserve">, described in Section </w:t>
      </w:r>
      <w:r w:rsidRPr="00A03B40" w:rsidR="00324170">
        <w:t>8.2.</w:t>
      </w:r>
      <w:r w:rsidRPr="00A03B40" w:rsidR="0065040C">
        <w:t>2.3.1</w:t>
      </w:r>
      <w:r w:rsidRPr="00A03B40" w:rsidR="0047691C">
        <w:t>, below</w:t>
      </w:r>
      <w:r w:rsidRPr="00A03B40" w:rsidR="00B07A4C">
        <w:t>. SCE</w:t>
      </w:r>
      <w:r w:rsidRPr="00A03B40" w:rsidR="00337EC5">
        <w:t xml:space="preserve"> </w:t>
      </w:r>
      <w:r w:rsidRPr="00A03B40" w:rsidR="00B07A4C">
        <w:t xml:space="preserve">multiplies this forecast quantity by a proxy price to develop forecast costs. SCE </w:t>
      </w:r>
      <w:r w:rsidRPr="00A03B40" w:rsidR="00337EC5">
        <w:t xml:space="preserve">uses the </w:t>
      </w:r>
      <w:r w:rsidRPr="00A03B40" w:rsidR="00FD61EE">
        <w:t xml:space="preserve">Commission’s </w:t>
      </w:r>
      <w:r w:rsidRPr="00A03B40" w:rsidR="00337EC5">
        <w:t xml:space="preserve">2026 </w:t>
      </w:r>
      <w:r w:rsidRPr="00A03B40" w:rsidR="00324170">
        <w:t xml:space="preserve">Forecast </w:t>
      </w:r>
      <w:r w:rsidRPr="00A03B40" w:rsidR="004B2080">
        <w:t>RA</w:t>
      </w:r>
      <w:r w:rsidRPr="00A03B40" w:rsidR="00324170">
        <w:t xml:space="preserve"> Market Price Benchmark</w:t>
      </w:r>
      <w:r w:rsidRPr="00A03B40" w:rsidR="00337EC5">
        <w:t xml:space="preserve"> </w:t>
      </w:r>
      <w:r w:rsidRPr="00A03B40" w:rsidR="00324170">
        <w:t>(</w:t>
      </w:r>
      <w:r w:rsidRPr="00A03B40" w:rsidR="00EE0BA6">
        <w:t xml:space="preserve">RA </w:t>
      </w:r>
      <w:r w:rsidRPr="00A03B40" w:rsidR="00337EC5">
        <w:t>MPB</w:t>
      </w:r>
      <w:r w:rsidRPr="00A03B40" w:rsidR="009E7955">
        <w:t xml:space="preserve"> or RA Adder</w:t>
      </w:r>
      <w:r w:rsidRPr="00A03B40" w:rsidR="00324170">
        <w:t>)</w:t>
      </w:r>
      <w:r w:rsidRPr="00A03B40" w:rsidR="00337EC5">
        <w:t xml:space="preserve"> as </w:t>
      </w:r>
      <w:r w:rsidRPr="00A03B40" w:rsidR="00B07A4C">
        <w:t>the</w:t>
      </w:r>
      <w:r w:rsidRPr="00A03B40" w:rsidR="00C53D87">
        <w:t xml:space="preserve"> </w:t>
      </w:r>
      <w:r w:rsidRPr="00A03B40" w:rsidR="00337EC5">
        <w:t>proxy price</w:t>
      </w:r>
      <w:r w:rsidRPr="00A03B40" w:rsidR="00324170">
        <w:t xml:space="preserve"> in its </w:t>
      </w:r>
      <w:r w:rsidRPr="00A03B40" w:rsidR="00B07A4C">
        <w:t xml:space="preserve">Amended </w:t>
      </w:r>
      <w:r w:rsidRPr="00A03B40" w:rsidR="00324170">
        <w:t>October Update</w:t>
      </w:r>
      <w:r w:rsidRPr="00A03B40" w:rsidR="00337EC5">
        <w:t>.</w:t>
      </w:r>
      <w:r w:rsidRPr="00A03B40" w:rsidR="002A68CA">
        <w:t xml:space="preserve"> </w:t>
      </w:r>
      <w:r w:rsidRPr="00A03B40" w:rsidR="00C53D87">
        <w:t xml:space="preserve">SCE’s </w:t>
      </w:r>
      <w:r w:rsidRPr="00A03B40" w:rsidR="00FD61EE">
        <w:t xml:space="preserve">Amended </w:t>
      </w:r>
      <w:r w:rsidRPr="00A03B40" w:rsidR="00C53D87">
        <w:t>October Update incorporates the impacts of D.25-06-049, which modified the Commission’s RA valuation methodology, combining the former three RA Adders (specific to local, system, and flexible capacity) into one RA Adder.</w:t>
      </w:r>
      <w:r w:rsidRPr="00A03B40" w:rsidR="00C53D87">
        <w:rPr>
          <w:rStyle w:val="FootnoteReference"/>
        </w:rPr>
        <w:footnoteReference w:id="124"/>
      </w:r>
      <w:r w:rsidRPr="00A03B40" w:rsidR="009E7955">
        <w:t xml:space="preserve"> D.25-06-049 and t</w:t>
      </w:r>
      <w:r w:rsidRPr="00A03B40" w:rsidR="0080155C">
        <w:t>he RA</w:t>
      </w:r>
      <w:r w:rsidRPr="00A03B40" w:rsidR="00FD61EE">
        <w:t xml:space="preserve"> Adder</w:t>
      </w:r>
      <w:r w:rsidRPr="00A03B40" w:rsidR="0080155C">
        <w:t xml:space="preserve"> </w:t>
      </w:r>
      <w:r w:rsidRPr="00A03B40" w:rsidR="009E7955">
        <w:t>are</w:t>
      </w:r>
      <w:r w:rsidRPr="00A03B40" w:rsidR="0080155C">
        <w:t xml:space="preserve"> also described in </w:t>
      </w:r>
      <w:r w:rsidRPr="00A03B40" w:rsidR="00324170">
        <w:t>S</w:t>
      </w:r>
      <w:r w:rsidRPr="00A03B40" w:rsidR="0080155C">
        <w:t xml:space="preserve">ection </w:t>
      </w:r>
      <w:r w:rsidRPr="00A03B40" w:rsidR="00324170">
        <w:t>8.2.2</w:t>
      </w:r>
      <w:r w:rsidRPr="00A03B40" w:rsidR="0065040C">
        <w:t>.3</w:t>
      </w:r>
      <w:r w:rsidRPr="00A03B40" w:rsidR="0080155C">
        <w:t>, below.</w:t>
      </w:r>
    </w:p>
    <w:p w:rsidRPr="00A03B40" w:rsidR="00337EC5" w:rsidP="0080155C" w:rsidRDefault="00337EC5" w14:paraId="62B7D4C2" w14:textId="0AA30AC5">
      <w:pPr>
        <w:pStyle w:val="Standard"/>
      </w:pPr>
      <w:r w:rsidRPr="00A03B40">
        <w:t>Finally, SCE states that any available supply that exceeds the amount needed to satisfy RA requirements, plus a buffer, is assumed to be excess RA.</w:t>
      </w:r>
      <w:r w:rsidRPr="00A03B40" w:rsidR="002A68CA">
        <w:t xml:space="preserve"> </w:t>
      </w:r>
      <w:r w:rsidRPr="00A03B40">
        <w:t>SCE uses a framework to try to monetize the value of its excess RA.</w:t>
      </w:r>
      <w:r w:rsidRPr="00A03B40" w:rsidR="00DE0295">
        <w:rPr>
          <w:rStyle w:val="FootnoteReference"/>
        </w:rPr>
        <w:footnoteReference w:id="125"/>
      </w:r>
    </w:p>
    <w:p w:rsidRPr="00A03B40" w:rsidR="00E46546" w:rsidP="001F13A7" w:rsidRDefault="0004181E" w14:paraId="236A18C8" w14:textId="7D10FC62">
      <w:pPr>
        <w:pStyle w:val="Heading3"/>
      </w:pPr>
      <w:bookmarkStart w:name="_Toc214629868" w:id="58"/>
      <w:r>
        <w:t>Utility-Owned</w:t>
      </w:r>
      <w:r w:rsidRPr="00A03B40" w:rsidR="001F13A7">
        <w:t xml:space="preserve"> Generation and Purchased Power: </w:t>
      </w:r>
      <w:r w:rsidRPr="00A03B40" w:rsidR="00E46546">
        <w:t>Local Capacity Requirement Costs</w:t>
      </w:r>
      <w:bookmarkEnd w:id="58"/>
    </w:p>
    <w:p w:rsidRPr="00A03B40" w:rsidR="0091309A" w:rsidP="00C7384E" w:rsidRDefault="0080155C" w14:paraId="3916C935" w14:textId="44587858">
      <w:pPr>
        <w:pStyle w:val="Standard"/>
      </w:pPr>
      <w:r w:rsidRPr="00A03B40">
        <w:t xml:space="preserve">SCE includes in its 2026 ERRA </w:t>
      </w:r>
      <w:r w:rsidRPr="00A03B40" w:rsidR="00CC7C11">
        <w:t>forecast</w:t>
      </w:r>
      <w:r w:rsidRPr="00A03B40">
        <w:t xml:space="preserve"> the </w:t>
      </w:r>
      <w:bookmarkStart w:name="_Hlk210815626" w:id="59"/>
      <w:r w:rsidRPr="00A03B40">
        <w:t xml:space="preserve">estimated </w:t>
      </w:r>
      <w:r w:rsidRPr="00A03B40" w:rsidR="0091309A">
        <w:t xml:space="preserve">capacity </w:t>
      </w:r>
      <w:r w:rsidRPr="00A03B40">
        <w:t>costs</w:t>
      </w:r>
      <w:r w:rsidRPr="00A03B40" w:rsidR="0091309A">
        <w:t>, and when applicable, the gas, GHG, and energy costs</w:t>
      </w:r>
      <w:r w:rsidRPr="00A03B40">
        <w:t xml:space="preserve"> associated with its local capacity requirement (LCR) contracts in the Western Los Angeles Basin (LA</w:t>
      </w:r>
      <w:r w:rsidR="004524FD">
        <w:t> </w:t>
      </w:r>
      <w:r w:rsidRPr="00A03B40">
        <w:t>Basin) and Moorpark local reliability areas.</w:t>
      </w:r>
      <w:r w:rsidRPr="00A03B40" w:rsidR="002A68CA">
        <w:t xml:space="preserve"> </w:t>
      </w:r>
      <w:r w:rsidRPr="00A03B40" w:rsidR="0091309A">
        <w:t>SCE includes the estimated production from the in-front-of-the-meter LCR resources in its production forecast, while the behind-the-meter LCR resources decrease the bundled service customer load requirement.</w:t>
      </w:r>
      <w:bookmarkEnd w:id="59"/>
      <w:r w:rsidRPr="00A03B40" w:rsidR="0091309A">
        <w:rPr>
          <w:rStyle w:val="FootnoteReference"/>
        </w:rPr>
        <w:footnoteReference w:id="126"/>
      </w:r>
    </w:p>
    <w:p w:rsidRPr="00A03B40" w:rsidR="000B3250" w:rsidP="00C7384E" w:rsidRDefault="00C7384E" w14:paraId="5B0E0AED" w14:textId="516A465D">
      <w:pPr>
        <w:pStyle w:val="Standard"/>
      </w:pPr>
      <w:r w:rsidRPr="00A03B40">
        <w:t>The Commission</w:t>
      </w:r>
      <w:r w:rsidRPr="00A03B40" w:rsidR="0080155C">
        <w:t xml:space="preserve"> authorized SCE to procure between 1,400 MW and 1,800</w:t>
      </w:r>
      <w:r w:rsidR="004524FD">
        <w:t> </w:t>
      </w:r>
      <w:r w:rsidRPr="00A03B40" w:rsidR="0080155C">
        <w:t xml:space="preserve">MW for the LA Basin and between 215 MW and 290 MW in the Moorpark </w:t>
      </w:r>
      <w:r w:rsidRPr="00A03B40" w:rsidR="0080155C">
        <w:lastRenderedPageBreak/>
        <w:t>sub-area to meet LCR</w:t>
      </w:r>
      <w:r w:rsidRPr="00A03B40">
        <w:t xml:space="preserve"> in D.13-02-015</w:t>
      </w:r>
      <w:r w:rsidRPr="00A03B40" w:rsidR="0080155C">
        <w:t>.</w:t>
      </w:r>
      <w:r w:rsidRPr="00A03B40" w:rsidR="007148C3">
        <w:rPr>
          <w:rStyle w:val="FootnoteReference"/>
        </w:rPr>
        <w:footnoteReference w:id="127"/>
      </w:r>
      <w:r w:rsidRPr="00A03B40" w:rsidR="002A68CA">
        <w:t xml:space="preserve"> </w:t>
      </w:r>
      <w:r w:rsidRPr="00A03B40">
        <w:t>The Commission ordered SCE to procure an additional 500 MW to 700 MW by 2021 to address local capacity needs resulting from the retirement of the San Onofre Nuclear Generating Station (SONGS) in D.14-03-004.</w:t>
      </w:r>
      <w:r w:rsidRPr="00A03B40">
        <w:rPr>
          <w:rStyle w:val="FootnoteReference"/>
        </w:rPr>
        <w:footnoteReference w:id="128"/>
      </w:r>
    </w:p>
    <w:p w:rsidRPr="00A03B40" w:rsidR="008C17BA" w:rsidP="001D54B9" w:rsidRDefault="00C7384E" w14:paraId="59B713EE" w14:textId="6D093D9D">
      <w:pPr>
        <w:pStyle w:val="Standard"/>
      </w:pPr>
      <w:r w:rsidRPr="00A03B40">
        <w:t xml:space="preserve">SCE launched its LCR </w:t>
      </w:r>
      <w:r w:rsidRPr="00A03B40" w:rsidR="008C17BA">
        <w:t xml:space="preserve">RFO </w:t>
      </w:r>
      <w:r w:rsidRPr="00A03B40">
        <w:t xml:space="preserve">in September 2013 to procure the amounts of preferred resources, energy storage, and gas-fired </w:t>
      </w:r>
      <w:r w:rsidRPr="00A03B40" w:rsidR="00B04DAC">
        <w:t>capacity</w:t>
      </w:r>
      <w:r w:rsidRPr="00A03B40">
        <w:t xml:space="preserve"> the Commission required via the decisions noted above.</w:t>
      </w:r>
      <w:r w:rsidRPr="00A03B40" w:rsidR="002A68CA">
        <w:t xml:space="preserve"> </w:t>
      </w:r>
      <w:r w:rsidRPr="00A03B40" w:rsidR="00EE0BA6">
        <w:t>In D.15-11-041, t</w:t>
      </w:r>
      <w:r w:rsidRPr="00A03B40" w:rsidR="008C17BA">
        <w:t xml:space="preserve">he Commission </w:t>
      </w:r>
      <w:r w:rsidRPr="00A03B40" w:rsidR="00BE5115">
        <w:t>granted in part</w:t>
      </w:r>
      <w:r w:rsidRPr="00A03B40" w:rsidR="008C17BA">
        <w:t xml:space="preserve"> SCE’s request for approval of 63 contracts executed </w:t>
      </w:r>
      <w:r w:rsidRPr="00A03B40" w:rsidR="00EE0BA6">
        <w:t>because of</w:t>
      </w:r>
      <w:r w:rsidRPr="00A03B40" w:rsidR="008C17BA">
        <w:t xml:space="preserve"> the 2013 LCR RFO</w:t>
      </w:r>
      <w:r w:rsidRPr="00A03B40" w:rsidR="00EE0BA6">
        <w:t>.</w:t>
      </w:r>
      <w:r w:rsidRPr="00A03B40" w:rsidR="008C17BA">
        <w:rPr>
          <w:rStyle w:val="FootnoteReference"/>
        </w:rPr>
        <w:footnoteReference w:id="129"/>
      </w:r>
      <w:r w:rsidRPr="00A03B40" w:rsidR="002A68CA">
        <w:t xml:space="preserve"> </w:t>
      </w:r>
      <w:r w:rsidRPr="00A03B40" w:rsidR="0091309A">
        <w:t xml:space="preserve">As suggested above, </w:t>
      </w:r>
      <w:r w:rsidRPr="00A03B40" w:rsidR="008C17BA">
        <w:t>SCE notes that the LCR contracts included in its 2026 ERRA forecast</w:t>
      </w:r>
      <w:r w:rsidRPr="00A03B40" w:rsidR="0091309A">
        <w:t xml:space="preserve"> represent</w:t>
      </w:r>
      <w:r w:rsidRPr="00A03B40" w:rsidR="008C17BA">
        <w:t xml:space="preserve"> </w:t>
      </w:r>
      <w:r w:rsidRPr="00A03B40" w:rsidR="0091309A">
        <w:t xml:space="preserve">both </w:t>
      </w:r>
      <w:r w:rsidRPr="00A03B40" w:rsidR="008C17BA">
        <w:t>behind-the-meter and in-front-of-the-meter resources.</w:t>
      </w:r>
      <w:r w:rsidRPr="00A03B40" w:rsidR="0091309A">
        <w:rPr>
          <w:rStyle w:val="FootnoteReference"/>
        </w:rPr>
        <w:footnoteReference w:id="130"/>
      </w:r>
      <w:r w:rsidRPr="00A03B40" w:rsidR="002A68CA">
        <w:t xml:space="preserve"> </w:t>
      </w:r>
    </w:p>
    <w:p w:rsidRPr="00A03B40" w:rsidR="00B8494B" w:rsidP="00BE5115" w:rsidRDefault="00B8494B" w14:paraId="122FC389" w14:textId="06029E08">
      <w:pPr>
        <w:pStyle w:val="Heading3"/>
      </w:pPr>
      <w:bookmarkStart w:name="_Toc214629869" w:id="60"/>
      <w:bookmarkStart w:name="_Hlk208822597" w:id="61"/>
      <w:r w:rsidRPr="00A03B40">
        <w:t xml:space="preserve">Utility-Owned Generation and Purchased Power: </w:t>
      </w:r>
      <w:r w:rsidRPr="00A03B40" w:rsidR="001D54B9">
        <w:t>Preferred Resources Pilot</w:t>
      </w:r>
      <w:bookmarkEnd w:id="60"/>
      <w:r w:rsidRPr="00A03B40" w:rsidR="00BE5115">
        <w:t xml:space="preserve"> </w:t>
      </w:r>
    </w:p>
    <w:p w:rsidRPr="00A03B40" w:rsidR="001677AD" w:rsidP="001677AD" w:rsidRDefault="001677AD" w14:paraId="372C5EAE" w14:textId="48BEF323">
      <w:pPr>
        <w:pStyle w:val="Standard"/>
      </w:pPr>
      <w:bookmarkStart w:name="_Hlk210815951" w:id="62"/>
      <w:r w:rsidRPr="00A03B40">
        <w:t xml:space="preserve">SCE includes in its 2026 ERRA </w:t>
      </w:r>
      <w:r w:rsidRPr="00A03B40" w:rsidR="00CC7C11">
        <w:t>forecast</w:t>
      </w:r>
      <w:r w:rsidRPr="00A03B40">
        <w:t xml:space="preserve"> the estimated </w:t>
      </w:r>
      <w:r w:rsidRPr="00A03B40" w:rsidR="00805267">
        <w:t xml:space="preserve">production from and forecast net </w:t>
      </w:r>
      <w:r w:rsidRPr="00A03B40">
        <w:t>costs of its Preferred Resource Pilot (PRP) Program</w:t>
      </w:r>
      <w:bookmarkEnd w:id="62"/>
      <w:r w:rsidRPr="00A03B40">
        <w:t>.</w:t>
      </w:r>
      <w:r w:rsidRPr="00A03B40" w:rsidR="002A68CA">
        <w:t xml:space="preserve"> </w:t>
      </w:r>
      <w:r w:rsidRPr="00A03B40">
        <w:t>SCE launched its PRP RFO#2 in 2015 to solicit electrical energy, capacity, and renewable attributes from eligible resources such as demand response</w:t>
      </w:r>
      <w:r w:rsidRPr="00A03B40" w:rsidR="009D012D">
        <w:t xml:space="preserve"> (DR)</w:t>
      </w:r>
      <w:r w:rsidRPr="00A03B40">
        <w:t>, renewable distributed generation, energy storage, renewable distributed generation paired with energy storage and permanent load shifting.</w:t>
      </w:r>
      <w:r w:rsidRPr="00A03B40" w:rsidR="00FD3D11">
        <w:rPr>
          <w:rStyle w:val="FootnoteReference"/>
        </w:rPr>
        <w:footnoteReference w:id="131"/>
      </w:r>
      <w:r w:rsidRPr="00A03B40" w:rsidR="002A68CA">
        <w:t xml:space="preserve"> </w:t>
      </w:r>
      <w:r w:rsidRPr="00A03B40" w:rsidR="005D03EE">
        <w:t>The Commission approved 19 c</w:t>
      </w:r>
      <w:r w:rsidRPr="00A03B40" w:rsidR="001A6BFB">
        <w:t xml:space="preserve">ontracts </w:t>
      </w:r>
      <w:r w:rsidRPr="00A03B40" w:rsidR="001A6BFB">
        <w:lastRenderedPageBreak/>
        <w:t xml:space="preserve">secured via this RFO in </w:t>
      </w:r>
      <w:bookmarkStart w:name="_Hlk211177258" w:id="63"/>
      <w:r w:rsidRPr="00A03B40" w:rsidR="001A6BFB">
        <w:t>D.18-07-023.</w:t>
      </w:r>
      <w:bookmarkEnd w:id="63"/>
      <w:r w:rsidRPr="00A03B40" w:rsidR="001A6BFB">
        <w:rPr>
          <w:rStyle w:val="FootnoteReference"/>
        </w:rPr>
        <w:footnoteReference w:id="132"/>
      </w:r>
      <w:r w:rsidRPr="00A03B40" w:rsidR="001A6BFB">
        <w:t xml:space="preserve"> </w:t>
      </w:r>
      <w:r w:rsidRPr="00A03B40">
        <w:t xml:space="preserve">While some PRP-RFO procurement </w:t>
      </w:r>
      <w:r w:rsidRPr="00A03B40" w:rsidR="00805267">
        <w:t xml:space="preserve">net </w:t>
      </w:r>
      <w:r w:rsidRPr="00A03B40">
        <w:t>costs are recovered via the PABA,</w:t>
      </w:r>
      <w:r w:rsidRPr="00A03B40">
        <w:rPr>
          <w:rStyle w:val="FootnoteReference"/>
        </w:rPr>
        <w:footnoteReference w:id="133"/>
      </w:r>
      <w:r w:rsidRPr="00A03B40">
        <w:t xml:space="preserve"> SCE notes that it recovers the </w:t>
      </w:r>
      <w:r w:rsidRPr="00A03B40" w:rsidR="00805267">
        <w:t xml:space="preserve">net </w:t>
      </w:r>
      <w:r w:rsidRPr="00A03B40">
        <w:t>costs of the</w:t>
      </w:r>
      <w:r w:rsidRPr="00A03B40" w:rsidR="00805267">
        <w:t xml:space="preserve"> DR component of SCE’s PRP contracts via </w:t>
      </w:r>
      <w:r w:rsidRPr="00A03B40" w:rsidR="00084F02">
        <w:t>its</w:t>
      </w:r>
      <w:r w:rsidRPr="00A03B40" w:rsidR="00805267">
        <w:t xml:space="preserve"> Distribution </w:t>
      </w:r>
      <w:r w:rsidRPr="00A03B40" w:rsidR="00084F02">
        <w:t>rate component,</w:t>
      </w:r>
      <w:r w:rsidRPr="00A03B40">
        <w:t xml:space="preserve"> </w:t>
      </w:r>
      <w:r w:rsidRPr="00A03B40" w:rsidR="00084F02">
        <w:t xml:space="preserve">and </w:t>
      </w:r>
      <w:r w:rsidRPr="00A03B40">
        <w:t>PRP behind-the-meter energy storage contract</w:t>
      </w:r>
      <w:r w:rsidRPr="00A03B40" w:rsidR="00084F02">
        <w:t xml:space="preserve"> costs</w:t>
      </w:r>
      <w:r w:rsidRPr="00A03B40">
        <w:t xml:space="preserve"> from customers through the </w:t>
      </w:r>
      <w:r w:rsidRPr="00A03B40" w:rsidR="00FD3D11">
        <w:t>Public Purpose Program Charge (PPPC)</w:t>
      </w:r>
      <w:r w:rsidRPr="00A03B40">
        <w:t>.</w:t>
      </w:r>
      <w:r w:rsidRPr="00A03B40">
        <w:rPr>
          <w:rStyle w:val="FootnoteReference"/>
        </w:rPr>
        <w:footnoteReference w:id="134"/>
      </w:r>
    </w:p>
    <w:p w:rsidRPr="00A03B40" w:rsidR="00BE5115" w:rsidP="001D54B9" w:rsidRDefault="001D54B9" w14:paraId="28FA8300" w14:textId="139EC815">
      <w:pPr>
        <w:pStyle w:val="Heading3"/>
      </w:pPr>
      <w:bookmarkStart w:name="_Toc214629870" w:id="64"/>
      <w:r w:rsidRPr="00A03B40">
        <w:t xml:space="preserve">Utility-Owned Generation and Purchased Power: </w:t>
      </w:r>
      <w:r w:rsidRPr="00A03B40" w:rsidR="001677AD">
        <w:t>Green Tariff Shared Renewables</w:t>
      </w:r>
      <w:bookmarkEnd w:id="64"/>
    </w:p>
    <w:p w:rsidR="004524FD" w:rsidP="00767CE9" w:rsidRDefault="00767CE9" w14:paraId="0BD74FA7" w14:textId="77777777">
      <w:pPr>
        <w:pStyle w:val="Standard"/>
      </w:pPr>
      <w:r w:rsidRPr="00A03B40">
        <w:t>SCE’s 2026 ERRA forecast includes the estimated</w:t>
      </w:r>
      <w:r w:rsidRPr="00A03B40" w:rsidR="005D03EE">
        <w:t xml:space="preserve"> </w:t>
      </w:r>
      <w:r w:rsidRPr="00A03B40">
        <w:t>costs of SCE’s Green Tariff Shared Renewables (GTSR) Program.</w:t>
      </w:r>
      <w:r w:rsidRPr="00A03B40">
        <w:rPr>
          <w:rStyle w:val="FootnoteReference"/>
        </w:rPr>
        <w:footnoteReference w:id="135"/>
      </w:r>
      <w:r w:rsidRPr="00A03B40" w:rsidR="002A68CA">
        <w:t xml:space="preserve"> </w:t>
      </w:r>
      <w:r w:rsidRPr="00A03B40">
        <w:t xml:space="preserve">Originally authorized in </w:t>
      </w:r>
    </w:p>
    <w:p w:rsidRPr="00A03B40" w:rsidR="00767CE9" w:rsidP="004524FD" w:rsidRDefault="00767CE9" w14:paraId="44EDFCA3" w14:textId="6522498A">
      <w:pPr>
        <w:pStyle w:val="Standard"/>
        <w:ind w:firstLine="0"/>
      </w:pPr>
      <w:r w:rsidRPr="00A03B40">
        <w:t>D.15-01-015, SCE’s G</w:t>
      </w:r>
      <w:r w:rsidR="00CD7813">
        <w:t>T</w:t>
      </w:r>
      <w:r w:rsidRPr="00A03B40">
        <w:t>SR program provides customers with two options to be served with a larger mix of renewable energy, relative to SCE’s other tariff options.</w:t>
      </w:r>
      <w:r w:rsidRPr="00A03B40">
        <w:rPr>
          <w:rStyle w:val="FootnoteReference"/>
        </w:rPr>
        <w:footnoteReference w:id="136"/>
      </w:r>
      <w:r w:rsidRPr="00A03B40">
        <w:t xml:space="preserve"> Under the first option, SCE’s Green Rate program, customers may choose either a 50 percent or 100 percent mix of renewable energy, with a corresponding increase in their generation rate. Under the second option, SCE’s Enhanced Community Renewables (ECR) </w:t>
      </w:r>
      <w:r w:rsidRPr="00A03B40" w:rsidR="00FD3D11">
        <w:t>program</w:t>
      </w:r>
      <w:r w:rsidRPr="00A03B40">
        <w:t xml:space="preserve">, customers may support local </w:t>
      </w:r>
      <w:r w:rsidRPr="00A03B40">
        <w:lastRenderedPageBreak/>
        <w:t>renewable energy projects through agreements with third-party developers. SCE’s G</w:t>
      </w:r>
      <w:r w:rsidR="00CD7813">
        <w:t>T</w:t>
      </w:r>
      <w:r w:rsidRPr="00A03B40">
        <w:t xml:space="preserve">SR BA tracks the </w:t>
      </w:r>
      <w:r w:rsidRPr="00A03B40" w:rsidR="003E513B">
        <w:t xml:space="preserve">F&amp;PP </w:t>
      </w:r>
      <w:r w:rsidRPr="00A03B40">
        <w:t>costs of resource contracts for which the Commission has approved G</w:t>
      </w:r>
      <w:r w:rsidR="00CD7813">
        <w:t>T</w:t>
      </w:r>
      <w:r w:rsidRPr="00A03B40">
        <w:t>SR recovery.</w:t>
      </w:r>
      <w:r w:rsidRPr="00A03B40">
        <w:rPr>
          <w:rStyle w:val="FootnoteReference"/>
        </w:rPr>
        <w:footnoteReference w:id="137"/>
      </w:r>
      <w:r w:rsidRPr="00A03B40" w:rsidR="002A68CA">
        <w:t xml:space="preserve"> </w:t>
      </w:r>
    </w:p>
    <w:p w:rsidRPr="00A03B40" w:rsidR="00767CE9" w:rsidP="00767CE9" w:rsidRDefault="00767CE9" w14:paraId="7901C890" w14:textId="42080F18">
      <w:pPr>
        <w:pStyle w:val="Standard"/>
      </w:pPr>
      <w:r w:rsidRPr="00A03B40">
        <w:t>The Commission modified the G</w:t>
      </w:r>
      <w:r w:rsidRPr="00A03B40" w:rsidR="00FD3D11">
        <w:t>reen Tariff</w:t>
      </w:r>
      <w:r w:rsidRPr="00A03B40">
        <w:t xml:space="preserve"> and ECR programs in 2024 by closing the ECR tariff to new procurement and reassigning the unprocured capacity under the ECR tariff to the modified </w:t>
      </w:r>
      <w:r w:rsidRPr="00A03B40" w:rsidR="00647B67">
        <w:t xml:space="preserve">Disadvantaged Communities </w:t>
      </w:r>
      <w:r w:rsidRPr="00A03B40">
        <w:t>Green Tariff</w:t>
      </w:r>
      <w:r w:rsidRPr="00A03B40" w:rsidR="00E33AE6">
        <w:t xml:space="preserve"> (DAC-GT)</w:t>
      </w:r>
      <w:r w:rsidRPr="00A03B40" w:rsidR="00647B67">
        <w:t>, among other program changes</w:t>
      </w:r>
      <w:r w:rsidRPr="00A03B40">
        <w:t>.</w:t>
      </w:r>
      <w:r w:rsidRPr="00A03B40">
        <w:rPr>
          <w:rStyle w:val="FootnoteReference"/>
        </w:rPr>
        <w:footnoteReference w:id="138"/>
      </w:r>
      <w:r w:rsidRPr="00A03B40" w:rsidR="002A68CA">
        <w:t xml:space="preserve"> </w:t>
      </w:r>
      <w:r w:rsidRPr="00A03B40">
        <w:t xml:space="preserve">The Commission further capped the total capacity </w:t>
      </w:r>
      <w:r w:rsidRPr="00A03B40" w:rsidR="00894A64">
        <w:t xml:space="preserve">for the modified Green Tariff program </w:t>
      </w:r>
      <w:r w:rsidRPr="00A03B40">
        <w:t>at 562</w:t>
      </w:r>
      <w:r w:rsidR="004524FD">
        <w:t> </w:t>
      </w:r>
      <w:r w:rsidRPr="00A03B40">
        <w:t>MW with subscriptions capped at 40 MW per customer.</w:t>
      </w:r>
      <w:r w:rsidRPr="00A03B40" w:rsidR="00647B67">
        <w:rPr>
          <w:rStyle w:val="FootnoteReference"/>
        </w:rPr>
        <w:footnoteReference w:id="139"/>
      </w:r>
    </w:p>
    <w:p w:rsidRPr="00A03B40" w:rsidR="00767CE9" w:rsidP="00855A2B" w:rsidRDefault="00767CE9" w14:paraId="547823DD" w14:textId="60BFA3FC">
      <w:pPr>
        <w:pStyle w:val="Standard"/>
      </w:pPr>
      <w:bookmarkStart w:name="_Hlk210819037" w:id="65"/>
      <w:r w:rsidRPr="00A03B40">
        <w:t>SCE forecasts Green Tariff participation in 2026 to be 123,556 MWh and ECR participation to be 1</w:t>
      </w:r>
      <w:r w:rsidRPr="00A03B40" w:rsidR="00E33AE6">
        <w:t>43</w:t>
      </w:r>
      <w:r w:rsidRPr="00A03B40">
        <w:t>,</w:t>
      </w:r>
      <w:r w:rsidRPr="00A03B40" w:rsidR="00E33AE6">
        <w:t>283</w:t>
      </w:r>
      <w:r w:rsidRPr="00A03B40">
        <w:t xml:space="preserve"> MWh, which is an increase from the demand seen in 2025</w:t>
      </w:r>
      <w:bookmarkEnd w:id="65"/>
      <w:r w:rsidRPr="00A03B40">
        <w:t>.</w:t>
      </w:r>
      <w:r w:rsidRPr="00A03B40">
        <w:rPr>
          <w:rStyle w:val="FootnoteReference"/>
        </w:rPr>
        <w:footnoteReference w:id="140"/>
      </w:r>
      <w:r w:rsidRPr="00A03B40" w:rsidR="002A68CA">
        <w:t xml:space="preserve"> </w:t>
      </w:r>
      <w:r w:rsidRPr="00A03B40">
        <w:t>SCE’s forecast incorporates an increase in demand for these tariffed services that began in May 2022; since then, SCE has identified more interested customers that, if enrolled, would have exceeded SCE’s available Green Tariff capacity of 60 MW.</w:t>
      </w:r>
      <w:r w:rsidRPr="00A03B40" w:rsidR="002A68CA">
        <w:t xml:space="preserve"> </w:t>
      </w:r>
      <w:r w:rsidRPr="00A03B40">
        <w:t xml:space="preserve">SCE </w:t>
      </w:r>
      <w:r w:rsidRPr="00A03B40" w:rsidR="00A546E0">
        <w:t>describes six</w:t>
      </w:r>
      <w:r w:rsidRPr="00A03B40">
        <w:t xml:space="preserve"> approved </w:t>
      </w:r>
      <w:r w:rsidRPr="00A03B40" w:rsidR="00A546E0">
        <w:t xml:space="preserve">GT </w:t>
      </w:r>
      <w:r w:rsidRPr="00A03B40">
        <w:t xml:space="preserve">projects to serve this demand in its forecast, including the costs of </w:t>
      </w:r>
      <w:r w:rsidRPr="00A03B40" w:rsidR="00145412">
        <w:t xml:space="preserve">at least </w:t>
      </w:r>
      <w:r w:rsidRPr="00A03B40" w:rsidR="00A546E0">
        <w:t>five</w:t>
      </w:r>
      <w:r w:rsidRPr="00A03B40">
        <w:t xml:space="preserve"> solar photovoltaic projects.</w:t>
      </w:r>
      <w:r w:rsidRPr="00A03B40">
        <w:rPr>
          <w:rStyle w:val="FootnoteReference"/>
        </w:rPr>
        <w:footnoteReference w:id="141"/>
      </w:r>
      <w:r w:rsidRPr="00A03B40" w:rsidR="002A68CA">
        <w:t xml:space="preserve"> </w:t>
      </w:r>
      <w:bookmarkStart w:name="_Hlk210819374" w:id="66"/>
      <w:r w:rsidRPr="00A03B40" w:rsidR="00855A2B">
        <w:t>Costs related to the modified Green Tariff are recovered by participating customer subscribers.</w:t>
      </w:r>
      <w:bookmarkEnd w:id="66"/>
      <w:r w:rsidRPr="00A03B40" w:rsidR="00855A2B">
        <w:rPr>
          <w:rStyle w:val="FootnoteReference"/>
        </w:rPr>
        <w:footnoteReference w:id="142"/>
      </w:r>
    </w:p>
    <w:p w:rsidRPr="00A03B40" w:rsidR="006E0C0C" w:rsidP="006E0C0C" w:rsidRDefault="006E0C0C" w14:paraId="7F0BBADD" w14:textId="4A37E7E1">
      <w:pPr>
        <w:pStyle w:val="Heading3"/>
      </w:pPr>
      <w:bookmarkStart w:name="_Toc214629871" w:id="67"/>
      <w:r w:rsidRPr="00A03B40">
        <w:lastRenderedPageBreak/>
        <w:t xml:space="preserve">Utility-Owned Generation and </w:t>
      </w:r>
      <w:r w:rsidR="004524FD">
        <w:br/>
      </w:r>
      <w:r w:rsidRPr="00A03B40">
        <w:t>Purchased Power: Nuclear Costs</w:t>
      </w:r>
      <w:bookmarkEnd w:id="67"/>
    </w:p>
    <w:p w:rsidRPr="00A03B40" w:rsidR="006E0C0C" w:rsidP="006E0C0C" w:rsidRDefault="006E0C0C" w14:paraId="23679726" w14:textId="5CD1E17F">
      <w:pPr>
        <w:pStyle w:val="Standard"/>
      </w:pPr>
      <w:r w:rsidRPr="00A03B40">
        <w:t xml:space="preserve">SCE includes in its 2026 ERRA forecast the </w:t>
      </w:r>
      <w:bookmarkStart w:name="_Hlk210819639" w:id="68"/>
      <w:r w:rsidRPr="00A03B40">
        <w:t>anticipated production, and costs of generation-related nuclear fuel expenses and interim spent fuel storage costs associated with its partial ownership of Palo Verde Nuclear Generating Station (PVNGS)</w:t>
      </w:r>
      <w:bookmarkEnd w:id="68"/>
      <w:r w:rsidRPr="00A03B40">
        <w:t>.</w:t>
      </w:r>
      <w:r w:rsidRPr="00A03B40">
        <w:rPr>
          <w:rStyle w:val="FootnoteReference"/>
        </w:rPr>
        <w:footnoteReference w:id="143"/>
      </w:r>
      <w:r w:rsidRPr="00A03B40">
        <w:t xml:space="preserve"> As a minority owner of PVNGS Units 1, 2, and 3, SCE owns a 15.8 percent shar</w:t>
      </w:r>
      <w:r w:rsidRPr="00A03B40" w:rsidR="000A04A7">
        <w:t xml:space="preserve">e </w:t>
      </w:r>
      <w:r w:rsidRPr="00A03B40">
        <w:t>that provides a maximum dependable capacity to SCE of 207</w:t>
      </w:r>
      <w:r w:rsidR="004524FD">
        <w:t> </w:t>
      </w:r>
      <w:r w:rsidRPr="00A03B40">
        <w:t>MW, 208 MW, and 208 MW per unit, respectively</w:t>
      </w:r>
      <w:r w:rsidRPr="00A03B40" w:rsidR="000A04A7">
        <w:t xml:space="preserve">. </w:t>
      </w:r>
      <w:r w:rsidRPr="00A03B40">
        <w:t>For forecasting purposes, SCE assumes that PVNGS will operate in a baseload manner. Units 1 and 2 will experience refueling and maintenance outages in 2026.</w:t>
      </w:r>
      <w:r w:rsidRPr="00A03B40">
        <w:rPr>
          <w:rStyle w:val="FootnoteReference"/>
        </w:rPr>
        <w:footnoteReference w:id="144"/>
      </w:r>
      <w:r w:rsidRPr="00A03B40">
        <w:t xml:space="preserve"> </w:t>
      </w:r>
    </w:p>
    <w:p w:rsidRPr="00A03B40" w:rsidR="006E0C0C" w:rsidP="006E0C0C" w:rsidRDefault="006E0C0C" w14:paraId="581E4ED1" w14:textId="51A10915">
      <w:pPr>
        <w:pStyle w:val="Standard"/>
      </w:pPr>
      <w:r w:rsidRPr="00A03B40">
        <w:t>SCE</w:t>
      </w:r>
      <w:r w:rsidRPr="00A03B40" w:rsidR="00BA55A4">
        <w:t xml:space="preserve"> </w:t>
      </w:r>
      <w:r w:rsidRPr="00A03B40">
        <w:t xml:space="preserve">incurs a share of the nuclear fuel management costs for PVNGS, including costs for the mining of the uranium, </w:t>
      </w:r>
      <w:r w:rsidRPr="00A03B40" w:rsidR="00203FFE">
        <w:t xml:space="preserve">uranium conversion, design and </w:t>
      </w:r>
      <w:r w:rsidRPr="00A03B40">
        <w:t>fabrication of the fuel assemblies, spent fuel transportation costs, safe interim storage</w:t>
      </w:r>
      <w:r w:rsidRPr="00A03B40" w:rsidR="00203FFE">
        <w:t xml:space="preserve"> costs</w:t>
      </w:r>
      <w:r w:rsidRPr="00A03B40">
        <w:t>, and permanent disposal costs.</w:t>
      </w:r>
      <w:r w:rsidRPr="00A03B40">
        <w:rPr>
          <w:rStyle w:val="FootnoteReference"/>
        </w:rPr>
        <w:footnoteReference w:id="145"/>
      </w:r>
      <w:r w:rsidRPr="00A03B40">
        <w:t xml:space="preserve"> SCE forecasts </w:t>
      </w:r>
      <w:bookmarkStart w:name="_Hlk210820707" w:id="69"/>
      <w:r w:rsidRPr="00A03B40">
        <w:t>$29.</w:t>
      </w:r>
      <w:r w:rsidRPr="00A03B40" w:rsidR="000A04A7">
        <w:t>3</w:t>
      </w:r>
      <w:r w:rsidRPr="00A03B40" w:rsidR="00203FFE">
        <w:t>56</w:t>
      </w:r>
      <w:r w:rsidRPr="00A03B40">
        <w:t xml:space="preserve"> million in nuclear fuel expenses related to PVNGS</w:t>
      </w:r>
      <w:bookmarkEnd w:id="69"/>
      <w:r w:rsidRPr="00A03B40">
        <w:t>. SCE’s projected nuclear fuel expense for PVNGS is based on four factors: the amortization of the remaining costs for each reactors’ current batch of nuclear fuel assemblies; the forecast of electrical generation from each unit; the U.S. Department of Energy (DOE) spent fuel disposal charges mandated by the 1982 Waste Policy Act; and (4) interim storage costs for spent fuel assemblies in the dry cask Independent Spent Fuel Storage Installation (ISFSI) located on site at PVNGS.</w:t>
      </w:r>
      <w:r w:rsidRPr="00A03B40">
        <w:rPr>
          <w:rStyle w:val="FootnoteReference"/>
        </w:rPr>
        <w:footnoteReference w:id="146"/>
      </w:r>
      <w:r w:rsidRPr="00A03B40">
        <w:t xml:space="preserve"> </w:t>
      </w:r>
    </w:p>
    <w:p w:rsidRPr="00A03B40" w:rsidR="006E0C0C" w:rsidP="006E0C0C" w:rsidRDefault="006E0C0C" w14:paraId="1DC282BE" w14:textId="1E8AEDEB">
      <w:pPr>
        <w:pStyle w:val="Standard"/>
      </w:pPr>
      <w:r w:rsidRPr="00A03B40">
        <w:lastRenderedPageBreak/>
        <w:t xml:space="preserve">The costs to transfer fuel to the on-site ISFSI are considered operating costs for PVNGS, and therefore not included in the 2026 ERRA forecast. For </w:t>
      </w:r>
      <w:proofErr w:type="gramStart"/>
      <w:r w:rsidRPr="00A03B40">
        <w:t>item</w:t>
      </w:r>
      <w:proofErr w:type="gramEnd"/>
      <w:r w:rsidRPr="00A03B40">
        <w:t xml:space="preserve"> (4)</w:t>
      </w:r>
      <w:r w:rsidR="004524FD">
        <w:t> </w:t>
      </w:r>
      <w:r w:rsidRPr="00A03B40">
        <w:t>above, SCE forecasts $</w:t>
      </w:r>
      <w:r w:rsidRPr="00A03B40" w:rsidR="000A04A7">
        <w:t>4</w:t>
      </w:r>
      <w:r w:rsidRPr="00A03B40" w:rsidR="00203FFE">
        <w:t>0</w:t>
      </w:r>
      <w:r w:rsidRPr="00A03B40">
        <w:t>,000 in net interim used fuel storage charges at PVNGS, after accounting for a $</w:t>
      </w:r>
      <w:r w:rsidRPr="00A03B40" w:rsidR="000A04A7">
        <w:t>3</w:t>
      </w:r>
      <w:r w:rsidRPr="00A03B40">
        <w:t>.</w:t>
      </w:r>
      <w:r w:rsidRPr="00A03B40" w:rsidR="000A04A7">
        <w:t>03</w:t>
      </w:r>
      <w:r w:rsidRPr="00A03B40">
        <w:t xml:space="preserve"> million damages award payment from the DOE from litigation to recover spent fuel storage costs.</w:t>
      </w:r>
      <w:r w:rsidRPr="00A03B40">
        <w:rPr>
          <w:rStyle w:val="FootnoteReference"/>
        </w:rPr>
        <w:footnoteReference w:id="147"/>
      </w:r>
    </w:p>
    <w:p w:rsidRPr="00A03B40" w:rsidR="006E0C0C" w:rsidP="006E0C0C" w:rsidRDefault="000A04A7" w14:paraId="4A1E6C32" w14:textId="05F325BA">
      <w:pPr>
        <w:pStyle w:val="Standard"/>
      </w:pPr>
      <w:r w:rsidRPr="00A03B40">
        <w:t xml:space="preserve">In addition to </w:t>
      </w:r>
      <w:r w:rsidRPr="00A03B40" w:rsidR="00683532">
        <w:t>having an</w:t>
      </w:r>
      <w:r w:rsidRPr="00A03B40">
        <w:t xml:space="preserve"> ownership interest in PVNGS, </w:t>
      </w:r>
      <w:r w:rsidRPr="00A03B40" w:rsidR="006E0C0C">
        <w:t>SCE is the majority owner and decommissioning agent for SONGS Units 1, 2, and 3. SONGS Unit 1 was retired on November 30, 1992, and SONGS Units 2 and 3 were permanently retired on June 7, 2013.</w:t>
      </w:r>
      <w:r w:rsidRPr="00A03B40" w:rsidR="00683532">
        <w:rPr>
          <w:rStyle w:val="FootnoteReference"/>
        </w:rPr>
        <w:footnoteReference w:id="148"/>
      </w:r>
      <w:r w:rsidRPr="00A03B40" w:rsidR="006E0C0C">
        <w:t xml:space="preserve"> All three SONGS units are being decommissioned, and </w:t>
      </w:r>
      <w:r w:rsidRPr="00A03B40" w:rsidR="00683532">
        <w:t>some</w:t>
      </w:r>
      <w:r w:rsidRPr="00A03B40" w:rsidR="006E0C0C">
        <w:t xml:space="preserve"> of the </w:t>
      </w:r>
      <w:r w:rsidRPr="00A03B40" w:rsidR="00683532">
        <w:t xml:space="preserve">spent </w:t>
      </w:r>
      <w:r w:rsidRPr="00A03B40" w:rsidR="006E0C0C">
        <w:t>fuel from the</w:t>
      </w:r>
      <w:r w:rsidRPr="00A03B40" w:rsidR="00683532">
        <w:t>se</w:t>
      </w:r>
      <w:r w:rsidRPr="00A03B40" w:rsidR="006E0C0C">
        <w:t xml:space="preserve"> units has been transferred to its on-site ISFSI.</w:t>
      </w:r>
      <w:r w:rsidRPr="00A03B40" w:rsidR="003C4D95">
        <w:rPr>
          <w:rStyle w:val="FootnoteReference"/>
        </w:rPr>
        <w:footnoteReference w:id="149"/>
      </w:r>
      <w:r w:rsidRPr="00A03B40" w:rsidR="006E0C0C">
        <w:t xml:space="preserve"> </w:t>
      </w:r>
    </w:p>
    <w:p w:rsidR="004524FD" w:rsidP="003C4D95" w:rsidRDefault="00ED5684" w14:paraId="79D3F12E" w14:textId="77777777">
      <w:pPr>
        <w:pStyle w:val="Standard"/>
      </w:pPr>
      <w:r w:rsidRPr="00A03B40">
        <w:t>SCE states that t</w:t>
      </w:r>
      <w:r w:rsidRPr="00A03B40" w:rsidR="006E0C0C">
        <w:t xml:space="preserve">he costs for storing spent fuel at the on-site ISFSI are covered by the SONGS Nuclear Decommissioning Trusts and </w:t>
      </w:r>
      <w:r w:rsidRPr="00A03B40">
        <w:t xml:space="preserve">so </w:t>
      </w:r>
      <w:r w:rsidRPr="00A03B40" w:rsidR="00683532">
        <w:t>a</w:t>
      </w:r>
      <w:r w:rsidRPr="00A03B40" w:rsidR="006E0C0C">
        <w:t>re not included in the 2026 ERRA forecast.</w:t>
      </w:r>
      <w:r w:rsidRPr="00A03B40" w:rsidR="006E0C0C">
        <w:rPr>
          <w:rStyle w:val="FootnoteReference"/>
        </w:rPr>
        <w:footnoteReference w:id="150"/>
      </w:r>
      <w:r w:rsidRPr="00A03B40" w:rsidR="006E0C0C">
        <w:t xml:space="preserve"> Some spent fuel, however, has historically been stored off</w:t>
      </w:r>
      <w:r w:rsidRPr="00A03B40" w:rsidR="00C779E1">
        <w:t>-</w:t>
      </w:r>
      <w:r w:rsidRPr="00A03B40" w:rsidR="006E0C0C">
        <w:t xml:space="preserve">site. </w:t>
      </w:r>
      <w:bookmarkStart w:name="_Hlk212447794" w:id="70"/>
      <w:r w:rsidRPr="00A03B40">
        <w:t>In its May Filing, SCE forecast that</w:t>
      </w:r>
      <w:r w:rsidRPr="00A03B40" w:rsidR="000A04A7">
        <w:t>, beginning in 2026,</w:t>
      </w:r>
      <w:r w:rsidRPr="00A03B40">
        <w:t xml:space="preserve"> the costs for the SONGs Unit 1 off-site spent fuel storage would be paid from the </w:t>
      </w:r>
    </w:p>
    <w:p w:rsidRPr="00A03B40" w:rsidR="006E0C0C" w:rsidP="004524FD" w:rsidRDefault="00ED5684" w14:paraId="0C298459" w14:textId="52D61441">
      <w:pPr>
        <w:pStyle w:val="Standard"/>
        <w:ind w:firstLine="0"/>
      </w:pPr>
      <w:r w:rsidRPr="00A03B40">
        <w:t>Non-Qualified Nuclear Decommissioning Trust (NQNDT)</w:t>
      </w:r>
      <w:r w:rsidRPr="00A03B40" w:rsidR="000A04A7">
        <w:t>, into which SCE will deposit litigation proceeds attributable to the cost of SONGS spent fuel storage.</w:t>
      </w:r>
      <w:r w:rsidRPr="00A03B40" w:rsidR="003C4D95">
        <w:rPr>
          <w:rStyle w:val="FootnoteReference"/>
        </w:rPr>
        <w:footnoteReference w:id="151"/>
      </w:r>
      <w:r w:rsidRPr="00A03B40">
        <w:t xml:space="preserve"> </w:t>
      </w:r>
      <w:r w:rsidRPr="00A03B40" w:rsidR="000A04A7">
        <w:t xml:space="preserve">However, </w:t>
      </w:r>
      <w:r w:rsidRPr="00A03B40" w:rsidR="003C4D95">
        <w:t xml:space="preserve">SCE’s </w:t>
      </w:r>
      <w:r w:rsidRPr="00A03B40" w:rsidR="00683532">
        <w:t xml:space="preserve">Amended </w:t>
      </w:r>
      <w:r w:rsidRPr="00A03B40" w:rsidR="003C4D95">
        <w:t>October Update no longer forecast that SONGS off</w:t>
      </w:r>
      <w:r w:rsidRPr="00A03B40" w:rsidR="00C779E1">
        <w:t>-</w:t>
      </w:r>
      <w:r w:rsidRPr="00A03B40" w:rsidR="003C4D95">
        <w:t xml:space="preserve">site spent fuel storage would be paid from litigation proceeds, and instead forecast $5.234 </w:t>
      </w:r>
      <w:bookmarkEnd w:id="70"/>
      <w:r w:rsidRPr="00A03B40" w:rsidR="003C4D95">
        <w:t xml:space="preserve">million </w:t>
      </w:r>
      <w:bookmarkStart w:name="_Hlk212447864" w:id="71"/>
      <w:r w:rsidRPr="00A03B40" w:rsidR="003C4D95">
        <w:t xml:space="preserve">in interim storage costs during 2026 for the </w:t>
      </w:r>
      <w:r w:rsidRPr="00A03B40" w:rsidR="003C4D95">
        <w:lastRenderedPageBreak/>
        <w:t>SONGS Unit 1 spent fuel assemblies temporarily stored off</w:t>
      </w:r>
      <w:r w:rsidRPr="00A03B40" w:rsidR="00C779E1">
        <w:t>-</w:t>
      </w:r>
      <w:r w:rsidRPr="00A03B40" w:rsidR="003C4D95">
        <w:t>site</w:t>
      </w:r>
      <w:bookmarkEnd w:id="71"/>
      <w:r w:rsidRPr="00A03B40" w:rsidR="003C4D95">
        <w:t>.</w:t>
      </w:r>
      <w:r w:rsidRPr="00A03B40" w:rsidR="00683532">
        <w:t xml:space="preserve"> SCE states that it</w:t>
      </w:r>
      <w:r w:rsidRPr="00A03B40" w:rsidR="0058724F">
        <w:t xml:space="preserve"> has not</w:t>
      </w:r>
      <w:r w:rsidRPr="00A03B40" w:rsidR="00683532">
        <w:t xml:space="preserve"> receive</w:t>
      </w:r>
      <w:r w:rsidRPr="00A03B40" w:rsidR="00BA55A4">
        <w:t>d</w:t>
      </w:r>
      <w:r w:rsidRPr="00A03B40" w:rsidR="00683532">
        <w:t xml:space="preserve"> the expected litigation proceeds from DOE and has no expectation of when it will receive these funds.</w:t>
      </w:r>
      <w:r w:rsidRPr="00A03B40" w:rsidR="0058724F">
        <w:rPr>
          <w:rStyle w:val="FootnoteReference"/>
        </w:rPr>
        <w:footnoteReference w:id="152"/>
      </w:r>
    </w:p>
    <w:p w:rsidRPr="00A03B40" w:rsidR="006E0C0C" w:rsidP="00BA55A4" w:rsidRDefault="00C467E4" w14:paraId="7B4BBB91" w14:textId="28E8F3F0">
      <w:pPr>
        <w:pStyle w:val="Standard"/>
      </w:pPr>
      <w:r w:rsidRPr="00A03B40">
        <w:t xml:space="preserve">Scoping Memo Issue 1(c) requires us to assess the reasonableness of SCE’s forecast nuclear fuel expenses. </w:t>
      </w:r>
      <w:r w:rsidRPr="00A03B40" w:rsidR="006E0C0C">
        <w:t>We find that SCE’s forecast of nuclear fuel related production and costs</w:t>
      </w:r>
      <w:r w:rsidRPr="00A03B40">
        <w:t>, including the forecast costs of SCE’s interim spent fuel storage,</w:t>
      </w:r>
      <w:r w:rsidRPr="00A03B40" w:rsidR="006E0C0C">
        <w:t xml:space="preserve"> </w:t>
      </w:r>
      <w:r w:rsidRPr="00A03B40" w:rsidR="0005457E">
        <w:t>reflect</w:t>
      </w:r>
      <w:r w:rsidRPr="00A03B40" w:rsidR="006E0C0C">
        <w:t xml:space="preserve"> current conditions at SONGS and PVNGS, are consistent with </w:t>
      </w:r>
      <w:r w:rsidRPr="00A03B40" w:rsidR="00AE5148">
        <w:t xml:space="preserve">applicable </w:t>
      </w:r>
      <w:r w:rsidRPr="00A03B40" w:rsidR="006E0C0C">
        <w:t>law</w:t>
      </w:r>
      <w:r w:rsidRPr="00A03B40" w:rsidR="00C779E1">
        <w:t>,</w:t>
      </w:r>
      <w:r w:rsidRPr="00A03B40" w:rsidR="006E0C0C">
        <w:t xml:space="preserve"> Commission decisions</w:t>
      </w:r>
      <w:r w:rsidRPr="00A03B40" w:rsidR="00C779E1">
        <w:t>, and prior year forecasts</w:t>
      </w:r>
      <w:r w:rsidRPr="00A03B40" w:rsidR="006E0C0C">
        <w:t>, and so are reasonable</w:t>
      </w:r>
      <w:r w:rsidRPr="00A03B40" w:rsidR="0005457E">
        <w:t xml:space="preserve"> and adopted</w:t>
      </w:r>
      <w:r w:rsidRPr="00A03B40" w:rsidR="006E0C0C">
        <w:t xml:space="preserve">. </w:t>
      </w:r>
      <w:r w:rsidRPr="00A03B40" w:rsidR="00BA55A4">
        <w:t>To effectuate D.24-08-001’s directive that, to the extent possible, applicable nuclear storage costs should be paid from DOE litigation funds, rather than ratepayers, once SCE receives and deposits applicable DOE litigation funds in the SONGS 1 NQNDT, SCE must propose a refund of these 2026 SONGS 1 forecast costs in its next ERRA forecast or compliance proceeding.</w:t>
      </w:r>
    </w:p>
    <w:p w:rsidRPr="00A03B40" w:rsidR="006E0C0C" w:rsidP="006E0C0C" w:rsidRDefault="006E0C0C" w14:paraId="0BBD966C" w14:textId="2FB3D662">
      <w:pPr>
        <w:pStyle w:val="Heading3"/>
      </w:pPr>
      <w:bookmarkStart w:name="_Toc214629872" w:id="72"/>
      <w:r w:rsidRPr="00A03B40">
        <w:t>Utility-Owned Generation and Purchased Power: Santa Catalina Island Fuel Costs</w:t>
      </w:r>
      <w:bookmarkEnd w:id="72"/>
    </w:p>
    <w:p w:rsidRPr="00A03B40" w:rsidR="006E0C0C" w:rsidP="006E0C0C" w:rsidRDefault="006E0C0C" w14:paraId="57078E10" w14:textId="01026213">
      <w:pPr>
        <w:pStyle w:val="Standard"/>
      </w:pPr>
      <w:r w:rsidRPr="00A03B40">
        <w:t xml:space="preserve">SCE includes in its 2026 ERRA forecast the </w:t>
      </w:r>
      <w:r w:rsidRPr="00A03B40" w:rsidR="00473A86">
        <w:t xml:space="preserve">updated </w:t>
      </w:r>
      <w:r w:rsidRPr="00A03B40">
        <w:t>projected fuel costs of operating six diesel generators and 23 propane-fired microturbines to provide electric service to Santa Catalina Island</w:t>
      </w:r>
      <w:r w:rsidRPr="00A03B40" w:rsidR="00043C04">
        <w:t xml:space="preserve"> (Catalina or Catalina Island)</w:t>
      </w:r>
      <w:r w:rsidRPr="00A03B40">
        <w:t>.</w:t>
      </w:r>
      <w:r w:rsidRPr="00A03B40">
        <w:rPr>
          <w:rStyle w:val="FootnoteReference"/>
        </w:rPr>
        <w:footnoteReference w:id="153"/>
      </w:r>
      <w:r w:rsidRPr="00A03B40">
        <w:t xml:space="preserve"> SCE bases its diesel cost forecast on a forecast of consumption (based on 2024-2025 recorded actuals) and a forecast of diesel prices (also based on average 2024-2025 recorded data while incorporating </w:t>
      </w:r>
      <w:bookmarkStart w:name="_Hlk210823010" w:id="73"/>
      <w:r w:rsidRPr="00A03B40">
        <w:t>a projected decrease based on the IHS Global Insight Variable for Gasoline and Fuels</w:t>
      </w:r>
      <w:bookmarkEnd w:id="73"/>
      <w:r w:rsidRPr="00A03B40">
        <w:t>).</w:t>
      </w:r>
      <w:r w:rsidRPr="00A03B40">
        <w:rPr>
          <w:rStyle w:val="FootnoteReference"/>
        </w:rPr>
        <w:footnoteReference w:id="154"/>
      </w:r>
      <w:r w:rsidRPr="00A03B40">
        <w:t xml:space="preserve"> Based on the estimated 50,921 barrels to be </w:t>
      </w:r>
      <w:r w:rsidRPr="00A03B40">
        <w:lastRenderedPageBreak/>
        <w:t>consumed by SCE on Catalina Island in 2026 and an average cost of $157.29 per barrel (including the costs of transporting the fuel), SCE forecast its 2026 Catalina-related diesel fuel cost to be $7.9</w:t>
      </w:r>
      <w:r w:rsidRPr="00A03B40" w:rsidR="00021D69">
        <w:t>9</w:t>
      </w:r>
      <w:r w:rsidRPr="00A03B40">
        <w:t>8 million.</w:t>
      </w:r>
      <w:r w:rsidRPr="00A03B40">
        <w:rPr>
          <w:rStyle w:val="FootnoteReference"/>
        </w:rPr>
        <w:footnoteReference w:id="155"/>
      </w:r>
    </w:p>
    <w:p w:rsidRPr="00A03B40" w:rsidR="006E0C0C" w:rsidP="00A71215" w:rsidRDefault="00B44151" w14:paraId="31EA0182" w14:textId="6F19E26B">
      <w:pPr>
        <w:pStyle w:val="Standard"/>
      </w:pPr>
      <w:r w:rsidRPr="00A03B40">
        <w:t xml:space="preserve">SCE’s </w:t>
      </w:r>
      <w:r w:rsidRPr="00A03B40" w:rsidR="002842C4">
        <w:t xml:space="preserve">Amended </w:t>
      </w:r>
      <w:r w:rsidRPr="00A03B40">
        <w:t>October Update revises its estimate for propane fuel costs for Catalina Island to reflect adoption of D.25-06-01</w:t>
      </w:r>
      <w:r w:rsidRPr="00A03B40" w:rsidR="00E763D8">
        <w:t>0</w:t>
      </w:r>
      <w:r w:rsidRPr="00A03B40">
        <w:t xml:space="preserve">, </w:t>
      </w:r>
      <w:r w:rsidRPr="00A03B40" w:rsidR="000E6C50">
        <w:t>in which the Commission resolved</w:t>
      </w:r>
      <w:r w:rsidRPr="00A03B40">
        <w:t xml:space="preserve"> SCE’s </w:t>
      </w:r>
      <w:r w:rsidRPr="00A03B40" w:rsidR="00CD4C74">
        <w:t>test year (TY) 2025</w:t>
      </w:r>
      <w:r w:rsidRPr="00A03B40">
        <w:t xml:space="preserve"> Catalina Island general rate case</w:t>
      </w:r>
      <w:r w:rsidRPr="00A03B40" w:rsidR="00CE1834">
        <w:t xml:space="preserve"> (GRC)</w:t>
      </w:r>
      <w:r w:rsidRPr="00A03B40">
        <w:t>.</w:t>
      </w:r>
      <w:r w:rsidRPr="00A03B40" w:rsidR="000E6C50">
        <w:rPr>
          <w:rStyle w:val="FootnoteReference"/>
        </w:rPr>
        <w:footnoteReference w:id="156"/>
      </w:r>
      <w:r w:rsidRPr="00A03B40" w:rsidR="000E6C50">
        <w:t xml:space="preserve"> </w:t>
      </w:r>
      <w:r w:rsidRPr="00A03B40" w:rsidR="006E0C0C">
        <w:t xml:space="preserve">SCE bases its forecast for propane fuel costs on actual </w:t>
      </w:r>
      <w:r w:rsidRPr="00A03B40">
        <w:t>cubic feet</w:t>
      </w:r>
      <w:r w:rsidRPr="00A03B40" w:rsidR="006E0C0C">
        <w:t xml:space="preserve"> </w:t>
      </w:r>
      <w:r w:rsidRPr="00A03B40">
        <w:t>delivered</w:t>
      </w:r>
      <w:r w:rsidRPr="00A03B40" w:rsidR="006E0C0C">
        <w:t xml:space="preserve"> </w:t>
      </w:r>
      <w:r w:rsidRPr="00A03B40">
        <w:t xml:space="preserve">in 2023 and 2024; SCE then converts this forecast usage to </w:t>
      </w:r>
      <w:proofErr w:type="spellStart"/>
      <w:r w:rsidRPr="00A03B40">
        <w:t>therms</w:t>
      </w:r>
      <w:proofErr w:type="spellEnd"/>
      <w:r w:rsidRPr="00A03B40">
        <w:t xml:space="preserve"> and applies the Catalina Gas G-2 rate schedule. </w:t>
      </w:r>
      <w:r w:rsidRPr="00A03B40" w:rsidR="00043C04">
        <w:t>SCE incorporates into its projection an expected nearly 53</w:t>
      </w:r>
      <w:r w:rsidR="004524FD">
        <w:t> </w:t>
      </w:r>
      <w:r w:rsidRPr="00A03B40" w:rsidR="00043C04">
        <w:t xml:space="preserve">percent increase in propane prices (also based on the IHS Global Insight Variable for Gasoline and Fuels). </w:t>
      </w:r>
      <w:r w:rsidRPr="00A03B40">
        <w:t>This produce</w:t>
      </w:r>
      <w:r w:rsidRPr="00A03B40" w:rsidR="00E763D8">
        <w:t>s</w:t>
      </w:r>
      <w:r w:rsidRPr="00A03B40">
        <w:t xml:space="preserve"> a total 2026 forecast </w:t>
      </w:r>
      <w:r w:rsidRPr="00A03B40" w:rsidR="000C5A54">
        <w:t xml:space="preserve">propane </w:t>
      </w:r>
      <w:r w:rsidRPr="00A03B40">
        <w:t>cost of $1.478 million.</w:t>
      </w:r>
      <w:r w:rsidRPr="00A03B40" w:rsidR="00E763D8">
        <w:rPr>
          <w:rStyle w:val="FootnoteReference"/>
        </w:rPr>
        <w:footnoteReference w:id="157"/>
      </w:r>
      <w:r w:rsidRPr="00A03B40" w:rsidR="00A71215">
        <w:t xml:space="preserve"> </w:t>
      </w:r>
      <w:r w:rsidRPr="00A03B40" w:rsidR="006E0C0C">
        <w:t xml:space="preserve">Combining the diesel and propane projections, SCE forecasts a total fuel cost of </w:t>
      </w:r>
      <w:bookmarkStart w:name="_Hlk212199154" w:id="74"/>
      <w:r w:rsidRPr="00A03B40" w:rsidR="006E0C0C">
        <w:t>$9.</w:t>
      </w:r>
      <w:r w:rsidRPr="00A03B40" w:rsidR="00E763D8">
        <w:t>476</w:t>
      </w:r>
      <w:r w:rsidRPr="00A03B40" w:rsidR="006E0C0C">
        <w:t xml:space="preserve"> million </w:t>
      </w:r>
      <w:bookmarkEnd w:id="74"/>
      <w:r w:rsidRPr="00A03B40" w:rsidR="006E0C0C">
        <w:t xml:space="preserve">for 2026 Catalina </w:t>
      </w:r>
      <w:r w:rsidRPr="00A03B40" w:rsidR="000E6C50">
        <w:t xml:space="preserve">Island </w:t>
      </w:r>
      <w:r w:rsidRPr="00A03B40" w:rsidR="006E0C0C">
        <w:t>generation.</w:t>
      </w:r>
      <w:r w:rsidRPr="00A03B40" w:rsidR="00504B3A">
        <w:rPr>
          <w:rStyle w:val="FootnoteReference"/>
        </w:rPr>
        <w:footnoteReference w:id="158"/>
      </w:r>
      <w:r w:rsidRPr="00A03B40" w:rsidR="006E0C0C">
        <w:t xml:space="preserve"> These costs are tracked in SCE’s PABA.</w:t>
      </w:r>
      <w:r w:rsidRPr="00A03B40" w:rsidR="006E0C0C">
        <w:rPr>
          <w:rStyle w:val="FootnoteReference"/>
        </w:rPr>
        <w:footnoteReference w:id="159"/>
      </w:r>
    </w:p>
    <w:p w:rsidRPr="00A03B40" w:rsidR="003E132A" w:rsidP="00A71215" w:rsidRDefault="003E132A" w14:paraId="2571D671" w14:textId="41E3242F">
      <w:pPr>
        <w:pStyle w:val="Standard"/>
      </w:pPr>
      <w:r w:rsidRPr="00A03B40">
        <w:t>SCE’s October Update contain</w:t>
      </w:r>
      <w:r w:rsidRPr="00A03B40" w:rsidR="000D4930">
        <w:t>s</w:t>
      </w:r>
      <w:r w:rsidRPr="00A03B40">
        <w:t xml:space="preserve"> the following footnote, relating to its Catalina Island propane forecast: </w:t>
      </w:r>
    </w:p>
    <w:p w:rsidRPr="00A03B40" w:rsidR="00CE1834" w:rsidP="00DA6751" w:rsidRDefault="003E132A" w14:paraId="30F39BBA" w14:textId="69782C02">
      <w:pPr>
        <w:pStyle w:val="Standard"/>
        <w:spacing w:line="240" w:lineRule="auto"/>
        <w:ind w:left="720" w:right="1440" w:firstLine="0"/>
      </w:pPr>
      <w:r w:rsidRPr="00A03B40">
        <w:lastRenderedPageBreak/>
        <w:t xml:space="preserve">Prior to setting up SCE Electric as a customer of Catalina Gas, SCE Electric (and by extension electric customers) only paid for the cost of propane and transportation to fuel the microturbines. Pursuant to Gas Tariff Rule 17, SCE intends to </w:t>
      </w:r>
      <w:proofErr w:type="spellStart"/>
      <w:r w:rsidRPr="00A03B40">
        <w:t>backbill</w:t>
      </w:r>
      <w:proofErr w:type="spellEnd"/>
      <w:r w:rsidRPr="00A03B40">
        <w:t xml:space="preserve"> SCE Electric back to January 2024 or earlier. SCE has not completed this </w:t>
      </w:r>
      <w:proofErr w:type="spellStart"/>
      <w:r w:rsidRPr="00A03B40">
        <w:t>backbilling</w:t>
      </w:r>
      <w:proofErr w:type="spellEnd"/>
      <w:r w:rsidRPr="00A03B40">
        <w:t xml:space="preserve"> at the time of filing this October Update and thus has not included these costs in its forecast. SCE anticipates the </w:t>
      </w:r>
      <w:proofErr w:type="spellStart"/>
      <w:r w:rsidRPr="00A03B40">
        <w:t>backbill</w:t>
      </w:r>
      <w:proofErr w:type="spellEnd"/>
      <w:r w:rsidRPr="00A03B40">
        <w:t xml:space="preserve"> amount minus propane and transportation costs already paid for could be an additional $1.0 to 3.0 million.</w:t>
      </w:r>
      <w:r w:rsidRPr="00A03B40" w:rsidR="00FC71C2">
        <w:rPr>
          <w:rStyle w:val="FootnoteReference"/>
        </w:rPr>
        <w:footnoteReference w:id="160"/>
      </w:r>
    </w:p>
    <w:p w:rsidRPr="00A03B40" w:rsidR="00CE1834" w:rsidP="00CE1834" w:rsidRDefault="00CE1834" w14:paraId="0CAA0A5C" w14:textId="2FFB0F73">
      <w:pPr>
        <w:pStyle w:val="Standard"/>
      </w:pPr>
      <w:r w:rsidRPr="00A03B40">
        <w:t xml:space="preserve">In testimony submitted in support of its </w:t>
      </w:r>
      <w:r w:rsidRPr="00A03B40" w:rsidR="00CD4C74">
        <w:t>TY 2025</w:t>
      </w:r>
      <w:r w:rsidRPr="00A03B40">
        <w:t xml:space="preserve"> Catalina Island GRC application, SCE informed the Commission tha</w:t>
      </w:r>
      <w:r w:rsidRPr="00A03B40" w:rsidR="00CD4C74">
        <w:t>t, at the time, SCE’s Electric Plant paid “for the cost of gas (including transportation) used for the microturbines but [did] not pay any of the costs of gas facilities the electric plant also uses.”</w:t>
      </w:r>
      <w:r w:rsidRPr="00A03B40" w:rsidR="00CD4C74">
        <w:rPr>
          <w:rStyle w:val="FootnoteReference"/>
        </w:rPr>
        <w:footnoteReference w:id="161"/>
      </w:r>
      <w:r w:rsidRPr="00A03B40" w:rsidR="00CD4C74">
        <w:t xml:space="preserve"> SCE stated that </w:t>
      </w:r>
      <w:r w:rsidRPr="00A03B40">
        <w:t>“SCE Catalina Gas will begin billing SCE Electric on March 1, 2024 for gas service to the microturbines.”</w:t>
      </w:r>
      <w:r w:rsidRPr="00A03B40">
        <w:rPr>
          <w:rStyle w:val="FootnoteReference"/>
        </w:rPr>
        <w:footnoteReference w:id="162"/>
      </w:r>
      <w:r w:rsidRPr="00A03B40">
        <w:t xml:space="preserve"> D.25-06-010 notes that </w:t>
      </w:r>
      <w:r w:rsidRPr="00A03B40" w:rsidR="000134FF">
        <w:t>SCE proposed to charge its SCE Electric generation operations the G-2 non-residential rate to</w:t>
      </w:r>
      <w:r w:rsidRPr="00A03B40">
        <w:t xml:space="preserve"> “[r]educe</w:t>
      </w:r>
      <w:r w:rsidRPr="00A03B40" w:rsidR="00CD4C74">
        <w:t xml:space="preserve"> …</w:t>
      </w:r>
      <w:r w:rsidRPr="00A03B40">
        <w:t xml:space="preserve"> bill impacts on customers</w:t>
      </w:r>
      <w:r w:rsidRPr="00A03B40" w:rsidR="00CD4C74">
        <w:t>[</w:t>
      </w:r>
      <w:r w:rsidRPr="00A03B40">
        <w:t>.</w:t>
      </w:r>
      <w:r w:rsidRPr="00A03B40" w:rsidR="00CD4C74">
        <w:t>]</w:t>
      </w:r>
      <w:r w:rsidRPr="00A03B40">
        <w:t>”</w:t>
      </w:r>
      <w:r w:rsidRPr="00A03B40" w:rsidR="00FC71C2">
        <w:rPr>
          <w:rStyle w:val="FootnoteReference"/>
        </w:rPr>
        <w:footnoteReference w:id="163"/>
      </w:r>
      <w:r w:rsidRPr="00A03B40">
        <w:t xml:space="preserve"> D.25-06-010 does not </w:t>
      </w:r>
      <w:r w:rsidRPr="00A03B40" w:rsidR="00CD4C74">
        <w:t xml:space="preserve">discuss </w:t>
      </w:r>
      <w:proofErr w:type="spellStart"/>
      <w:r w:rsidRPr="00A03B40" w:rsidR="00CD4C74">
        <w:t>backbilling</w:t>
      </w:r>
      <w:proofErr w:type="spellEnd"/>
      <w:r w:rsidRPr="00A03B40">
        <w:t xml:space="preserve"> SCE Electric for any costs</w:t>
      </w:r>
      <w:r w:rsidRPr="00A03B40" w:rsidR="000E6C50">
        <w:t>.</w:t>
      </w:r>
      <w:r w:rsidRPr="00A03B40">
        <w:t xml:space="preserve"> </w:t>
      </w:r>
    </w:p>
    <w:p w:rsidRPr="00A03B40" w:rsidR="00CE1834" w:rsidP="00CE1834" w:rsidRDefault="00CE1834" w14:paraId="0C67655D" w14:textId="7D8FE5D6">
      <w:pPr>
        <w:pStyle w:val="Standard"/>
      </w:pPr>
      <w:r w:rsidRPr="00A03B40">
        <w:t xml:space="preserve">SCE’s Gas Tariff Rule 17 </w:t>
      </w:r>
      <w:proofErr w:type="gramStart"/>
      <w:r w:rsidRPr="00A03B40">
        <w:t>allows for</w:t>
      </w:r>
      <w:proofErr w:type="gramEnd"/>
      <w:r w:rsidRPr="00A03B40">
        <w:t xml:space="preserve"> bill adjustments </w:t>
      </w:r>
      <w:r w:rsidRPr="00A03B40" w:rsidR="00FB75FC">
        <w:t>when</w:t>
      </w:r>
      <w:r w:rsidRPr="00A03B40">
        <w:t>: (1)</w:t>
      </w:r>
      <w:r w:rsidR="00DA6751">
        <w:t> </w:t>
      </w:r>
      <w:r w:rsidRPr="00A03B40">
        <w:t>unauthorized use has occurred; (2) billing errors have been made; and</w:t>
      </w:r>
      <w:r w:rsidRPr="00A03B40" w:rsidR="00FC71C2">
        <w:t>/or</w:t>
      </w:r>
      <w:r w:rsidRPr="00A03B40">
        <w:t xml:space="preserve"> (3)</w:t>
      </w:r>
      <w:r w:rsidR="00DA6751">
        <w:t> </w:t>
      </w:r>
      <w:r w:rsidRPr="00A03B40">
        <w:t>there has been a meter error.</w:t>
      </w:r>
      <w:r w:rsidRPr="00A03B40" w:rsidR="004B6B60">
        <w:rPr>
          <w:rStyle w:val="FootnoteReference"/>
        </w:rPr>
        <w:footnoteReference w:id="164"/>
      </w:r>
      <w:r w:rsidRPr="00A03B40">
        <w:t xml:space="preserve"> </w:t>
      </w:r>
      <w:r w:rsidRPr="00A03B40" w:rsidR="00FC71C2">
        <w:t>SCE has</w:t>
      </w:r>
      <w:r w:rsidRPr="00A03B40" w:rsidR="00B44464">
        <w:t>n’t clearly</w:t>
      </w:r>
      <w:r w:rsidRPr="00A03B40" w:rsidR="00FB75FC">
        <w:t xml:space="preserve"> </w:t>
      </w:r>
      <w:r w:rsidRPr="00A03B40" w:rsidR="00FC71C2">
        <w:t>alleged</w:t>
      </w:r>
      <w:r w:rsidRPr="00A03B40">
        <w:t xml:space="preserve"> unauthorized use, meter error, or billing error. </w:t>
      </w:r>
      <w:r w:rsidRPr="00A03B40" w:rsidR="009A4DEE">
        <w:t xml:space="preserve">We require </w:t>
      </w:r>
      <w:r w:rsidRPr="00A03B40" w:rsidR="00FB75FC">
        <w:t xml:space="preserve">more </w:t>
      </w:r>
      <w:r w:rsidRPr="00A03B40" w:rsidR="009A4DEE">
        <w:t>information about SCE’s proposal.</w:t>
      </w:r>
    </w:p>
    <w:p w:rsidRPr="00A03B40" w:rsidR="00CE1834" w:rsidP="00CE1834" w:rsidRDefault="009E111A" w14:paraId="6B15FD0B" w14:textId="16299C92">
      <w:pPr>
        <w:pStyle w:val="Standard"/>
      </w:pPr>
      <w:r w:rsidRPr="00A03B40">
        <w:lastRenderedPageBreak/>
        <w:t xml:space="preserve">Commission General Order (GO) 96-B states that </w:t>
      </w:r>
      <w:proofErr w:type="gramStart"/>
      <w:r w:rsidRPr="00A03B40">
        <w:t>an advice letter is</w:t>
      </w:r>
      <w:proofErr w:type="gramEnd"/>
      <w:r w:rsidRPr="00A03B40">
        <w:t xml:space="preserve"> an appropriate vehicle for a utility to request Commission authorization to deviate from its tariffs. A utility may also request relief by means of an advice letter whe</w:t>
      </w:r>
      <w:r w:rsidRPr="00A03B40" w:rsidR="009E67F6">
        <w:t>n</w:t>
      </w:r>
      <w:r w:rsidRPr="00A03B40">
        <w:t xml:space="preserve"> the utility has been authorized or required by Commission order to seek relief by means of </w:t>
      </w:r>
      <w:proofErr w:type="gramStart"/>
      <w:r w:rsidRPr="00A03B40">
        <w:t>an advice letter</w:t>
      </w:r>
      <w:proofErr w:type="gramEnd"/>
      <w:r w:rsidRPr="00A03B40">
        <w:t>.</w:t>
      </w:r>
    </w:p>
    <w:p w:rsidRPr="00A03B40" w:rsidR="000D31DB" w:rsidP="000D31DB" w:rsidRDefault="000D31DB" w14:paraId="0E79E9E4" w14:textId="63EA9D55">
      <w:pPr>
        <w:pStyle w:val="Standard"/>
      </w:pPr>
      <w:bookmarkStart w:name="_Hlk212212178" w:id="75"/>
      <w:bookmarkStart w:name="_Hlk212212449" w:id="76"/>
      <w:r w:rsidRPr="00A03B40">
        <w:t xml:space="preserve">Within </w:t>
      </w:r>
      <w:r w:rsidRPr="00A03B40" w:rsidR="00B44464">
        <w:t>6</w:t>
      </w:r>
      <w:r w:rsidRPr="00A03B40">
        <w:t xml:space="preserve">0 days of the adoption of this Decision, SCE is ordered to submit an Information-Only advice letter </w:t>
      </w:r>
      <w:proofErr w:type="gramStart"/>
      <w:r w:rsidRPr="00A03B40">
        <w:t>explaining</w:t>
      </w:r>
      <w:proofErr w:type="gramEnd"/>
      <w:r w:rsidRPr="00A03B40">
        <w:t xml:space="preserve"> to the Commission:</w:t>
      </w:r>
    </w:p>
    <w:p w:rsidRPr="00A03B40" w:rsidR="000D31DB" w:rsidP="00C44216" w:rsidRDefault="000D31DB" w14:paraId="12CF3E3D" w14:textId="5706E490">
      <w:pPr>
        <w:pStyle w:val="Standard"/>
        <w:numPr>
          <w:ilvl w:val="0"/>
          <w:numId w:val="26"/>
        </w:numPr>
        <w:spacing w:after="120" w:line="240" w:lineRule="auto"/>
        <w:ind w:left="1080" w:right="1440"/>
      </w:pPr>
      <w:r w:rsidRPr="00A03B40">
        <w:t xml:space="preserve">The legal authority </w:t>
      </w:r>
      <w:r w:rsidRPr="00A03B40" w:rsidR="00BD4A2E">
        <w:t>supporting</w:t>
      </w:r>
      <w:r w:rsidRPr="00A03B40">
        <w:t xml:space="preserve"> SCE Catalina Gas’s </w:t>
      </w:r>
      <w:r w:rsidRPr="00A03B40" w:rsidR="00BD4A2E">
        <w:t>intention</w:t>
      </w:r>
      <w:r w:rsidRPr="00A03B40">
        <w:t xml:space="preserve"> to </w:t>
      </w:r>
      <w:proofErr w:type="spellStart"/>
      <w:r w:rsidRPr="00A03B40">
        <w:t>backbill</w:t>
      </w:r>
      <w:proofErr w:type="spellEnd"/>
      <w:r w:rsidRPr="00A03B40">
        <w:t xml:space="preserve"> SCE Electric “to January 2024 or earlier;”</w:t>
      </w:r>
    </w:p>
    <w:p w:rsidRPr="00A03B40" w:rsidR="000D31DB" w:rsidP="00C44216" w:rsidRDefault="000D31DB" w14:paraId="669A86D0" w14:textId="77777777">
      <w:pPr>
        <w:pStyle w:val="Standard"/>
        <w:numPr>
          <w:ilvl w:val="0"/>
          <w:numId w:val="26"/>
        </w:numPr>
        <w:spacing w:after="120" w:line="240" w:lineRule="auto"/>
        <w:ind w:left="1080" w:right="1440"/>
      </w:pPr>
      <w:r w:rsidRPr="00A03B40">
        <w:t xml:space="preserve">An accounting of the amounts for which SCE Catalina Gas has </w:t>
      </w:r>
      <w:proofErr w:type="spellStart"/>
      <w:r w:rsidRPr="00A03B40">
        <w:t>backbilled</w:t>
      </w:r>
      <w:proofErr w:type="spellEnd"/>
      <w:r w:rsidRPr="00A03B40">
        <w:t xml:space="preserve"> SCE Electric and/or intends to </w:t>
      </w:r>
      <w:proofErr w:type="spellStart"/>
      <w:r w:rsidRPr="00A03B40">
        <w:t>backbill</w:t>
      </w:r>
      <w:proofErr w:type="spellEnd"/>
      <w:r w:rsidRPr="00A03B40">
        <w:t xml:space="preserve"> SCE Electric, including accounting of any “propane and transportation costs already paid for” that SCE asserts will be subtracted from the amounts subject to </w:t>
      </w:r>
      <w:proofErr w:type="spellStart"/>
      <w:r w:rsidRPr="00A03B40">
        <w:t>backbilling</w:t>
      </w:r>
      <w:proofErr w:type="spellEnd"/>
      <w:r w:rsidRPr="00A03B40">
        <w:t>; and</w:t>
      </w:r>
    </w:p>
    <w:p w:rsidRPr="00A03B40" w:rsidR="000D31DB" w:rsidP="00C44216" w:rsidRDefault="000D31DB" w14:paraId="23718477" w14:textId="01488AF1">
      <w:pPr>
        <w:pStyle w:val="Standard"/>
        <w:numPr>
          <w:ilvl w:val="0"/>
          <w:numId w:val="26"/>
        </w:numPr>
        <w:spacing w:after="120" w:line="240" w:lineRule="auto"/>
        <w:ind w:left="1080" w:right="1440"/>
      </w:pPr>
      <w:r w:rsidRPr="00A03B40">
        <w:t>Direct citations to the Commission dec</w:t>
      </w:r>
      <w:r w:rsidRPr="00A03B40" w:rsidR="00BD4A2E">
        <w:t>isions or orders</w:t>
      </w:r>
      <w:r w:rsidRPr="00A03B40">
        <w:t xml:space="preserve"> authorizing recovery of the revenue requirements underlying those amounts.</w:t>
      </w:r>
    </w:p>
    <w:p w:rsidRPr="00A03B40" w:rsidR="00CE1834" w:rsidP="000D31DB" w:rsidRDefault="00B72287" w14:paraId="0858F002" w14:textId="4A219D30">
      <w:pPr>
        <w:pStyle w:val="Standard"/>
        <w:ind w:firstLine="0"/>
      </w:pPr>
      <w:bookmarkStart w:name="_Hlk212212220" w:id="77"/>
      <w:bookmarkEnd w:id="75"/>
      <w:r w:rsidRPr="00A03B40">
        <w:t xml:space="preserve">SCE is required to serve this Information-Only advice letter on the </w:t>
      </w:r>
      <w:r w:rsidRPr="00A03B40" w:rsidR="000D31DB">
        <w:t xml:space="preserve">service list for this proceeding and on the </w:t>
      </w:r>
      <w:r w:rsidRPr="00A03B40">
        <w:t>most recently updated service list for A.23-12-011.</w:t>
      </w:r>
      <w:r w:rsidRPr="00A03B40" w:rsidR="000E6C50">
        <w:t xml:space="preserve"> </w:t>
      </w:r>
      <w:r w:rsidRPr="00A03B40" w:rsidR="009E111A">
        <w:t xml:space="preserve">SCE did not </w:t>
      </w:r>
      <w:proofErr w:type="gramStart"/>
      <w:r w:rsidRPr="00A03B40" w:rsidR="009E111A">
        <w:t>request</w:t>
      </w:r>
      <w:proofErr w:type="gramEnd"/>
      <w:r w:rsidRPr="00A03B40" w:rsidR="009E111A">
        <w:t xml:space="preserve"> and this Decision does not provide authority for SCE Catalina </w:t>
      </w:r>
      <w:r w:rsidRPr="00A03B40" w:rsidR="000D31DB">
        <w:t>Gas</w:t>
      </w:r>
      <w:r w:rsidRPr="00A03B40" w:rsidR="009E111A">
        <w:t xml:space="preserve"> to </w:t>
      </w:r>
      <w:proofErr w:type="spellStart"/>
      <w:r w:rsidRPr="00A03B40" w:rsidR="009E111A">
        <w:t>backbill</w:t>
      </w:r>
      <w:proofErr w:type="spellEnd"/>
      <w:r w:rsidRPr="00A03B40" w:rsidR="009E111A">
        <w:t xml:space="preserve"> SCE Electric in any amount. </w:t>
      </w:r>
      <w:bookmarkEnd w:id="77"/>
    </w:p>
    <w:p w:rsidRPr="00A03B40" w:rsidR="006E0C0C" w:rsidP="002617B5" w:rsidRDefault="00293130" w14:paraId="1E910F5C" w14:textId="648C24A6">
      <w:pPr>
        <w:pStyle w:val="Heading3"/>
        <w:keepNext w:val="0"/>
        <w:keepLines w:val="0"/>
        <w:contextualSpacing/>
      </w:pPr>
      <w:bookmarkStart w:name="_Toc214629873" w:id="78"/>
      <w:bookmarkEnd w:id="76"/>
      <w:r w:rsidRPr="00A03B40">
        <w:t>Utility-Owned Generation and Purchased Power</w:t>
      </w:r>
      <w:r w:rsidRPr="00A03B40" w:rsidR="006E0C0C">
        <w:t>: Tree Mortality Contracts</w:t>
      </w:r>
      <w:bookmarkEnd w:id="78"/>
      <w:r w:rsidRPr="00A03B40" w:rsidR="006E0C0C">
        <w:t xml:space="preserve"> </w:t>
      </w:r>
    </w:p>
    <w:p w:rsidRPr="00A03B40" w:rsidR="006E0C0C" w:rsidP="002617B5" w:rsidRDefault="006E0C0C" w14:paraId="3E070661" w14:textId="44F37B17">
      <w:pPr>
        <w:pStyle w:val="Standard"/>
        <w:contextualSpacing/>
      </w:pPr>
      <w:r w:rsidRPr="00A03B40">
        <w:t>SCE includes the forecast net costs of its two Tree Mortality Program contracts in its 2026 ERRA forecast, as well as the forecast program audit costs</w:t>
      </w:r>
      <w:r w:rsidRPr="00A03B40" w:rsidR="00293130">
        <w:t>, totaling $2</w:t>
      </w:r>
      <w:r w:rsidRPr="00A03B40" w:rsidR="00EE33E5">
        <w:t>1</w:t>
      </w:r>
      <w:r w:rsidRPr="00A03B40" w:rsidR="00293130">
        <w:t>.</w:t>
      </w:r>
      <w:r w:rsidRPr="00A03B40" w:rsidR="00EE33E5">
        <w:t>567</w:t>
      </w:r>
      <w:r w:rsidRPr="00A03B40" w:rsidR="00293130">
        <w:t xml:space="preserve"> million, including FF&amp;U</w:t>
      </w:r>
      <w:r w:rsidRPr="00A03B40">
        <w:t>.</w:t>
      </w:r>
      <w:r w:rsidRPr="00A03B40">
        <w:rPr>
          <w:rStyle w:val="FootnoteReference"/>
        </w:rPr>
        <w:footnoteReference w:id="165"/>
      </w:r>
      <w:r w:rsidRPr="00A03B40">
        <w:t xml:space="preserve"> California experienced a tree mortality crisis due to prolonged drought conditions and bark beetle infestations </w:t>
      </w:r>
      <w:r w:rsidRPr="00A03B40">
        <w:lastRenderedPageBreak/>
        <w:t>that were exacerbated by the drought.</w:t>
      </w:r>
      <w:r w:rsidRPr="00A03B40">
        <w:rPr>
          <w:rStyle w:val="FootnoteReference"/>
        </w:rPr>
        <w:footnoteReference w:id="166"/>
      </w:r>
      <w:r w:rsidRPr="00A03B40">
        <w:t xml:space="preserve"> To address these conditions, Res. E-4770 and </w:t>
      </w:r>
      <w:r w:rsidR="004B7658">
        <w:t>SB</w:t>
      </w:r>
      <w:r w:rsidRPr="00A03B40">
        <w:t xml:space="preserve"> 859 required the large IOUs to procure generating capacity from biomass generation facilities that use designated proportions of dead and dying trees located in designated high-hazard zones as feedstock. Pursuant to Pub. Util. Code </w:t>
      </w:r>
      <w:r w:rsidR="004B7658">
        <w:t>S</w:t>
      </w:r>
      <w:r w:rsidRPr="00A03B40" w:rsidR="00C467E4">
        <w:t>ection</w:t>
      </w:r>
      <w:r w:rsidRPr="00A03B40">
        <w:t xml:space="preserve"> 399.30.3(f), also codified as part of SB 859, the Commission adopted </w:t>
      </w:r>
      <w:bookmarkStart w:name="_Hlk211176953" w:id="79"/>
      <w:r w:rsidRPr="00A03B40">
        <w:t>D.18-12-003</w:t>
      </w:r>
      <w:bookmarkEnd w:id="79"/>
      <w:r w:rsidRPr="00A03B40">
        <w:t>, authorizing the large IOUs to recover the net costs of these contracts via a non-</w:t>
      </w:r>
      <w:proofErr w:type="spellStart"/>
      <w:r w:rsidRPr="00A03B40">
        <w:t>bypassable</w:t>
      </w:r>
      <w:proofErr w:type="spellEnd"/>
      <w:r w:rsidRPr="00A03B40">
        <w:t xml:space="preserve"> charge (TMNBC); SCE includes this NBC in its PPPC.</w:t>
      </w:r>
      <w:r w:rsidRPr="00A03B40">
        <w:rPr>
          <w:rStyle w:val="FootnoteReference"/>
        </w:rPr>
        <w:footnoteReference w:id="167"/>
      </w:r>
      <w:r w:rsidRPr="00A03B40">
        <w:t xml:space="preserve"> </w:t>
      </w:r>
      <w:r w:rsidRPr="00A03B40" w:rsidR="00293130">
        <w:t>Related costs are tracked in the TMNBC BA.</w:t>
      </w:r>
      <w:r w:rsidRPr="00A03B40" w:rsidR="00293130">
        <w:rPr>
          <w:rStyle w:val="FootnoteReference"/>
        </w:rPr>
        <w:footnoteReference w:id="168"/>
      </w:r>
    </w:p>
    <w:p w:rsidR="004B7658" w:rsidP="006E0C0C" w:rsidRDefault="006E0C0C" w14:paraId="035F9491" w14:textId="77777777">
      <w:pPr>
        <w:pStyle w:val="Standard"/>
      </w:pPr>
      <w:r w:rsidRPr="00A03B40">
        <w:t xml:space="preserve">Res. E-4805 authorized the large IOUs to procure additional biofuel capacity via the Renewable Auction Mechanism (RAM) authorized in </w:t>
      </w:r>
    </w:p>
    <w:p w:rsidRPr="00A03B40" w:rsidR="006E0C0C" w:rsidP="004B7658" w:rsidRDefault="006E0C0C" w14:paraId="2E8C8C6F" w14:textId="4BC5EE9B">
      <w:pPr>
        <w:pStyle w:val="Standard"/>
        <w:ind w:firstLine="0"/>
      </w:pPr>
      <w:r w:rsidRPr="00A03B40">
        <w:t>Res. E-4770, via a second biomass RAM (</w:t>
      </w:r>
      <w:proofErr w:type="spellStart"/>
      <w:r w:rsidRPr="00A03B40">
        <w:t>BioRAM</w:t>
      </w:r>
      <w:proofErr w:type="spellEnd"/>
      <w:r w:rsidRPr="00A03B40">
        <w:t>), or via bilateral contracting.</w:t>
      </w:r>
      <w:r w:rsidRPr="00A03B40">
        <w:rPr>
          <w:rStyle w:val="FootnoteReference"/>
        </w:rPr>
        <w:footnoteReference w:id="169"/>
      </w:r>
      <w:r w:rsidRPr="00A03B40">
        <w:t xml:space="preserve"> </w:t>
      </w:r>
      <w:r w:rsidRPr="00A03B40" w:rsidR="00293130">
        <w:t>SCE’s forecast includes $0.018 million in audit costs, as t</w:t>
      </w:r>
      <w:r w:rsidRPr="00A03B40">
        <w:t>hen-Commission President Picker’s concurrence of Res. E-4805 is read as requiring the large IOUs to conduct audits of the biomass facilities from which the required capacity is procured.</w:t>
      </w:r>
      <w:r w:rsidRPr="00A03B40">
        <w:rPr>
          <w:rStyle w:val="FootnoteReference"/>
        </w:rPr>
        <w:footnoteReference w:id="170"/>
      </w:r>
      <w:r w:rsidRPr="00A03B40" w:rsidR="00293130">
        <w:t xml:space="preserve"> </w:t>
      </w:r>
    </w:p>
    <w:p w:rsidRPr="00A03B40" w:rsidR="006E0C0C" w:rsidP="006E0C0C" w:rsidRDefault="00293130" w14:paraId="162C945C" w14:textId="5B85737C">
      <w:pPr>
        <w:pStyle w:val="Heading3"/>
        <w:keepNext w:val="0"/>
        <w:widowControl w:val="0"/>
        <w:contextualSpacing/>
      </w:pPr>
      <w:bookmarkStart w:name="_Toc214629874" w:id="80"/>
      <w:r w:rsidRPr="00A03B40">
        <w:t xml:space="preserve">Utility-Owned Generation and Purchased Power: </w:t>
      </w:r>
      <w:r w:rsidRPr="00A03B40" w:rsidR="006E0C0C">
        <w:t>Bioenergy Market Adjusting Tariff Contracts</w:t>
      </w:r>
      <w:bookmarkEnd w:id="80"/>
      <w:r w:rsidRPr="00A03B40" w:rsidR="006E0C0C">
        <w:t xml:space="preserve"> </w:t>
      </w:r>
    </w:p>
    <w:p w:rsidRPr="00A03B40" w:rsidR="006E0C0C" w:rsidP="006E0C0C" w:rsidRDefault="006E0C0C" w14:paraId="588EFBF2" w14:textId="68E9DF24">
      <w:pPr>
        <w:pStyle w:val="Standard"/>
      </w:pPr>
      <w:r w:rsidRPr="00A03B40">
        <w:t xml:space="preserve">SCE includes the </w:t>
      </w:r>
      <w:r w:rsidRPr="00A03B40" w:rsidR="0063115C">
        <w:t xml:space="preserve">updated </w:t>
      </w:r>
      <w:r w:rsidRPr="00A03B40">
        <w:t>2026 estimated net costs of its Bioenergy Market Adjusting Tariff (</w:t>
      </w:r>
      <w:proofErr w:type="spellStart"/>
      <w:r w:rsidRPr="00A03B40">
        <w:t>BioMAT</w:t>
      </w:r>
      <w:proofErr w:type="spellEnd"/>
      <w:r w:rsidRPr="00A03B40">
        <w:t xml:space="preserve">) program contracts in its 2026 ERRA forecast. The </w:t>
      </w:r>
      <w:r w:rsidRPr="00A03B40">
        <w:lastRenderedPageBreak/>
        <w:t xml:space="preserve">Commission authorized allocation of </w:t>
      </w:r>
      <w:proofErr w:type="spellStart"/>
      <w:r w:rsidRPr="00A03B40">
        <w:t>BioMAT</w:t>
      </w:r>
      <w:proofErr w:type="spellEnd"/>
      <w:r w:rsidRPr="00A03B40">
        <w:t xml:space="preserve"> costs via a non-</w:t>
      </w:r>
      <w:proofErr w:type="spellStart"/>
      <w:r w:rsidRPr="00A03B40">
        <w:t>bypassable</w:t>
      </w:r>
      <w:proofErr w:type="spellEnd"/>
      <w:r w:rsidRPr="00A03B40">
        <w:t xml:space="preserve"> charge (BM NBC) in D.20-08-043, and authorized collection of the BMNBC from all customers via the PPPC.</w:t>
      </w:r>
      <w:r w:rsidRPr="00A03B40">
        <w:rPr>
          <w:rStyle w:val="FootnoteReference"/>
        </w:rPr>
        <w:footnoteReference w:id="171"/>
      </w:r>
      <w:r w:rsidRPr="00A03B40">
        <w:t xml:space="preserve"> SCE includes in its 2026 ERRA forecast projected net </w:t>
      </w:r>
      <w:proofErr w:type="spellStart"/>
      <w:r w:rsidRPr="00A03B40">
        <w:t>BioMAT</w:t>
      </w:r>
      <w:proofErr w:type="spellEnd"/>
      <w:r w:rsidRPr="00A03B40">
        <w:t xml:space="preserve"> F&amp;PP costs of $</w:t>
      </w:r>
      <w:r w:rsidRPr="00A03B40" w:rsidR="00EE33E5">
        <w:t>4</w:t>
      </w:r>
      <w:r w:rsidRPr="00A03B40">
        <w:t>.</w:t>
      </w:r>
      <w:r w:rsidRPr="00A03B40" w:rsidR="00EE33E5">
        <w:t>383</w:t>
      </w:r>
      <w:r w:rsidRPr="00A03B40">
        <w:t xml:space="preserve"> million, (including FF&amp;U).</w:t>
      </w:r>
      <w:r w:rsidRPr="00A03B40">
        <w:rPr>
          <w:rStyle w:val="FootnoteReference"/>
        </w:rPr>
        <w:footnoteReference w:id="172"/>
      </w:r>
      <w:r w:rsidRPr="00A03B40">
        <w:t xml:space="preserve"> </w:t>
      </w:r>
      <w:r w:rsidRPr="00A03B40" w:rsidR="00A71215">
        <w:t xml:space="preserve">While SCE does not forecast CCA </w:t>
      </w:r>
      <w:proofErr w:type="spellStart"/>
      <w:r w:rsidRPr="00A03B40" w:rsidR="00A71215">
        <w:t>BioMAT</w:t>
      </w:r>
      <w:proofErr w:type="spellEnd"/>
      <w:r w:rsidRPr="00A03B40" w:rsidR="00A71215">
        <w:t xml:space="preserve"> costs in its 2026 ERRA forecast, </w:t>
      </w:r>
      <w:r w:rsidRPr="00A03B40">
        <w:t xml:space="preserve">SCE explains how it will include </w:t>
      </w:r>
      <w:r w:rsidRPr="00A03B40" w:rsidR="00A71215">
        <w:t>such costs</w:t>
      </w:r>
      <w:r w:rsidRPr="00A03B40">
        <w:t xml:space="preserve"> </w:t>
      </w:r>
      <w:r w:rsidRPr="00A03B40" w:rsidR="00A71215">
        <w:t>in rates</w:t>
      </w:r>
      <w:r w:rsidRPr="00A03B40">
        <w:t xml:space="preserve">, should the Commission approve those costs via authorizations other than this </w:t>
      </w:r>
      <w:r w:rsidRPr="00A03B40" w:rsidR="00F93324">
        <w:t>D</w:t>
      </w:r>
      <w:r w:rsidRPr="00A03B40">
        <w:t>ecision.</w:t>
      </w:r>
      <w:r w:rsidRPr="00A03B40">
        <w:rPr>
          <w:rStyle w:val="FootnoteReference"/>
        </w:rPr>
        <w:footnoteReference w:id="173"/>
      </w:r>
      <w:r w:rsidRPr="00A03B40">
        <w:t xml:space="preserve"> </w:t>
      </w:r>
    </w:p>
    <w:p w:rsidRPr="00A03B40" w:rsidR="00271BDE" w:rsidP="003D05CE" w:rsidRDefault="00271BDE" w14:paraId="640AE4BB" w14:textId="6A305CC8">
      <w:pPr>
        <w:pStyle w:val="Heading2"/>
      </w:pPr>
      <w:bookmarkStart w:name="_Toc214629875" w:id="81"/>
      <w:r w:rsidRPr="00A03B40">
        <w:t>Discussion of Southern California Edison Company’s Portfolio of Resources and Procurement Cost Forecast Methodology</w:t>
      </w:r>
      <w:bookmarkEnd w:id="81"/>
      <w:r w:rsidRPr="00A03B40">
        <w:t xml:space="preserve"> </w:t>
      </w:r>
    </w:p>
    <w:p w:rsidRPr="00A03B40" w:rsidR="00271BDE" w:rsidP="00AE5148" w:rsidRDefault="00271BDE" w14:paraId="19221263" w14:textId="0CBFC021">
      <w:pPr>
        <w:pStyle w:val="Standard"/>
      </w:pPr>
      <w:r w:rsidRPr="00A03B40">
        <w:t xml:space="preserve">No parties directly addressed SCE’s testimony and workpapers related to its UOG and purchased power forecast components or methodologies, aside from </w:t>
      </w:r>
      <w:proofErr w:type="spellStart"/>
      <w:r w:rsidRPr="00A03B40">
        <w:t>CalCCA’s</w:t>
      </w:r>
      <w:proofErr w:type="spellEnd"/>
      <w:r w:rsidRPr="00A03B40">
        <w:t xml:space="preserve"> two proposed corrections to SCE workpapers, accepted by SCE in its </w:t>
      </w:r>
      <w:r w:rsidRPr="00A03B40" w:rsidR="00F93324">
        <w:t xml:space="preserve">Amended </w:t>
      </w:r>
      <w:r w:rsidRPr="00A03B40">
        <w:t>October Update, as discussed in Section 8, below.</w:t>
      </w:r>
      <w:r w:rsidRPr="00A03B40">
        <w:rPr>
          <w:rStyle w:val="FootnoteReference"/>
        </w:rPr>
        <w:footnoteReference w:id="174"/>
      </w:r>
      <w:r w:rsidRPr="00A03B40">
        <w:t xml:space="preserve"> After reviewing the testimonies and workpapers, we find </w:t>
      </w:r>
      <w:bookmarkStart w:name="_Hlk212449263" w:id="82"/>
      <w:r w:rsidRPr="00A03B40">
        <w:t>SCE’s forecasts to be based on reasonable</w:t>
      </w:r>
      <w:r w:rsidRPr="00A03B40" w:rsidR="00C467E4">
        <w:t xml:space="preserve"> methods of</w:t>
      </w:r>
      <w:r w:rsidRPr="00A03B40">
        <w:t xml:space="preserve"> </w:t>
      </w:r>
      <w:r w:rsidRPr="00A03B40" w:rsidR="00C467E4">
        <w:t xml:space="preserve">least-cost dispatch </w:t>
      </w:r>
      <w:r w:rsidRPr="00A03B40">
        <w:t>modelling, incorporating</w:t>
      </w:r>
      <w:r w:rsidRPr="00A03B40" w:rsidR="00C467E4">
        <w:t xml:space="preserve"> relevant </w:t>
      </w:r>
      <w:r w:rsidRPr="00A03B40">
        <w:t>forecasts of power</w:t>
      </w:r>
      <w:r w:rsidRPr="00A03B40" w:rsidR="00C467E4">
        <w:t xml:space="preserve"> and gas prices,</w:t>
      </w:r>
      <w:r w:rsidRPr="00A03B40">
        <w:t xml:space="preserve"> the physical constraints of each of </w:t>
      </w:r>
      <w:r w:rsidRPr="00A03B40" w:rsidR="00C467E4">
        <w:t>SCE’s</w:t>
      </w:r>
      <w:r w:rsidRPr="00A03B40">
        <w:t xml:space="preserve"> generating units</w:t>
      </w:r>
      <w:r w:rsidRPr="00A03B40" w:rsidR="00C467E4">
        <w:t>,</w:t>
      </w:r>
      <w:r w:rsidRPr="00A03B40">
        <w:t xml:space="preserve"> and contractual limitations. </w:t>
      </w:r>
      <w:r w:rsidRPr="00A03B40" w:rsidR="00C467E4">
        <w:t>SCE’s procurement plan was made consistent with the Commission procurement directives and approvals described above.</w:t>
      </w:r>
      <w:bookmarkEnd w:id="82"/>
      <w:r w:rsidRPr="00A03B40" w:rsidR="00C467E4">
        <w:t xml:space="preserve"> We therefore find SCE’s</w:t>
      </w:r>
      <w:r w:rsidRPr="00A03B40">
        <w:t xml:space="preserve"> </w:t>
      </w:r>
      <w:r w:rsidRPr="00A03B40" w:rsidR="00F93324">
        <w:t xml:space="preserve">characterizations of its </w:t>
      </w:r>
      <w:r w:rsidRPr="00A03B40">
        <w:t>202</w:t>
      </w:r>
      <w:r w:rsidRPr="00A03B40" w:rsidR="00C467E4">
        <w:t>6</w:t>
      </w:r>
      <w:r w:rsidRPr="00A03B40">
        <w:t xml:space="preserve"> portfolio of UOG </w:t>
      </w:r>
      <w:r w:rsidRPr="00A03B40" w:rsidR="00F93324">
        <w:t>F&amp;PP</w:t>
      </w:r>
      <w:r w:rsidRPr="00A03B40">
        <w:t xml:space="preserve"> resources </w:t>
      </w:r>
      <w:r w:rsidRPr="00A03B40" w:rsidR="00C467E4">
        <w:t xml:space="preserve">and procurement forecasting methodology </w:t>
      </w:r>
      <w:r w:rsidRPr="00A03B40">
        <w:t>to be reasonable</w:t>
      </w:r>
      <w:r w:rsidRPr="00A03B40" w:rsidR="00F93324">
        <w:t xml:space="preserve">, </w:t>
      </w:r>
      <w:r w:rsidRPr="00A03B40" w:rsidR="00F93324">
        <w:lastRenderedPageBreak/>
        <w:t>consistent with</w:t>
      </w:r>
      <w:r w:rsidRPr="00A03B40">
        <w:t xml:space="preserve"> Pub. Util. Code </w:t>
      </w:r>
      <w:r w:rsidRPr="00A03B40" w:rsidR="00C467E4">
        <w:t>section</w:t>
      </w:r>
      <w:r w:rsidRPr="00A03B40">
        <w:t xml:space="preserve"> 454.5</w:t>
      </w:r>
      <w:r w:rsidRPr="00A03B40" w:rsidR="00F93324">
        <w:t>,</w:t>
      </w:r>
      <w:r w:rsidRPr="00A03B40">
        <w:t xml:space="preserve"> D.02-10-062</w:t>
      </w:r>
      <w:r w:rsidRPr="00A03B40" w:rsidR="00F93324">
        <w:t>,</w:t>
      </w:r>
      <w:r w:rsidRPr="00A03B40">
        <w:t xml:space="preserve"> </w:t>
      </w:r>
      <w:r w:rsidRPr="00A03B40" w:rsidR="00F93324">
        <w:t xml:space="preserve">and other authorities described above, </w:t>
      </w:r>
      <w:r w:rsidRPr="00A03B40">
        <w:t xml:space="preserve">and </w:t>
      </w:r>
      <w:r w:rsidRPr="00A03B40" w:rsidR="00F93324">
        <w:t>so we</w:t>
      </w:r>
      <w:r w:rsidRPr="00A03B40">
        <w:t xml:space="preserve"> approve them.</w:t>
      </w:r>
    </w:p>
    <w:p w:rsidRPr="00A03B40" w:rsidR="003D05CE" w:rsidP="003D05CE" w:rsidRDefault="003D05CE" w14:paraId="3BB7D313" w14:textId="5F452F46">
      <w:pPr>
        <w:pStyle w:val="Heading2"/>
      </w:pPr>
      <w:bookmarkStart w:name="_Toc214629876" w:id="83"/>
      <w:r w:rsidRPr="00A03B40">
        <w:t>Other Southern California Edison Company Programs</w:t>
      </w:r>
      <w:r w:rsidRPr="00A03B40" w:rsidR="00AE5148">
        <w:t xml:space="preserve"> and Costs</w:t>
      </w:r>
      <w:bookmarkEnd w:id="83"/>
    </w:p>
    <w:p w:rsidRPr="00A03B40" w:rsidR="003D05CE" w:rsidP="003D05CE" w:rsidRDefault="003D05CE" w14:paraId="3DB011AA" w14:textId="05D3E8C3">
      <w:pPr>
        <w:pStyle w:val="Heading3"/>
      </w:pPr>
      <w:bookmarkStart w:name="_Toc214629877" w:id="84"/>
      <w:r w:rsidRPr="00A03B40">
        <w:t xml:space="preserve">Other </w:t>
      </w:r>
      <w:r w:rsidRPr="00A03B40" w:rsidR="00AE5148">
        <w:t>Programs and Costs</w:t>
      </w:r>
      <w:r w:rsidRPr="00A03B40">
        <w:t xml:space="preserve">: </w:t>
      </w:r>
      <w:r w:rsidR="005875F5">
        <w:br/>
      </w:r>
      <w:r w:rsidRPr="00A03B40">
        <w:t>Demand Response</w:t>
      </w:r>
      <w:bookmarkEnd w:id="84"/>
    </w:p>
    <w:p w:rsidRPr="00A03B40" w:rsidR="003D05CE" w:rsidP="003D05CE" w:rsidRDefault="003D05CE" w14:paraId="194943E9" w14:textId="618B314B">
      <w:pPr>
        <w:pStyle w:val="Standard"/>
      </w:pPr>
      <w:r w:rsidRPr="00A03B40">
        <w:t xml:space="preserve">SCE includes in its 2026 ERR </w:t>
      </w:r>
      <w:r w:rsidRPr="00A03B40" w:rsidR="00CC7C11">
        <w:t>forecast</w:t>
      </w:r>
      <w:r w:rsidRPr="00A03B40">
        <w:t xml:space="preserve"> the estimated </w:t>
      </w:r>
      <w:r w:rsidRPr="00A03B40" w:rsidR="00494639">
        <w:t xml:space="preserve">incentive costs and </w:t>
      </w:r>
      <w:r w:rsidRPr="00A03B40">
        <w:t xml:space="preserve">impacts on projected customer load of the following price-responsive demand response </w:t>
      </w:r>
      <w:r w:rsidRPr="00A03B40" w:rsidR="004B6B60">
        <w:t xml:space="preserve">(DR) </w:t>
      </w:r>
      <w:r w:rsidRPr="00A03B40">
        <w:t>programs: Summer Discount Plan (SDP), Smart Energy Program (SEP), and Capacity Bidding Program (CBP).</w:t>
      </w:r>
      <w:r w:rsidRPr="00A03B40" w:rsidR="002A68CA">
        <w:t xml:space="preserve"> </w:t>
      </w:r>
      <w:r w:rsidRPr="00A03B40">
        <w:t>SDP and SEP are bid into the CAISO markets as Reliability Demand Response Resource</w:t>
      </w:r>
      <w:r w:rsidRPr="00A03B40" w:rsidR="00AA303F">
        <w:t>s</w:t>
      </w:r>
      <w:r w:rsidRPr="00A03B40">
        <w:t xml:space="preserve"> (RDRR) and CBP as Proxy Demand Resource</w:t>
      </w:r>
      <w:r w:rsidRPr="00A03B40" w:rsidR="00AA303F">
        <w:t>s</w:t>
      </w:r>
      <w:r w:rsidRPr="00A03B40">
        <w:t xml:space="preserve"> (PDR).</w:t>
      </w:r>
      <w:r w:rsidRPr="00A03B40" w:rsidR="002A68CA">
        <w:t xml:space="preserve"> </w:t>
      </w:r>
      <w:r w:rsidRPr="00A03B40">
        <w:t xml:space="preserve">SCE states that these economic- or price-response-based </w:t>
      </w:r>
      <w:r w:rsidRPr="00A03B40" w:rsidR="004B6B60">
        <w:t>DR</w:t>
      </w:r>
      <w:r w:rsidRPr="00A03B40">
        <w:t xml:space="preserve"> programs provide </w:t>
      </w:r>
      <w:proofErr w:type="gramStart"/>
      <w:r w:rsidRPr="00A03B40">
        <w:t>SCE</w:t>
      </w:r>
      <w:proofErr w:type="gramEnd"/>
      <w:r w:rsidRPr="00A03B40">
        <w:t xml:space="preserve"> an opportunity </w:t>
      </w:r>
      <w:r w:rsidRPr="00A03B40">
        <w:rPr>
          <w:i/>
          <w:iCs/>
        </w:rPr>
        <w:t>(i.e.</w:t>
      </w:r>
      <w:r w:rsidRPr="00A03B40">
        <w:t>, option) to request the participating customers to curtail their load when the market price reaches a certain threshold or in hours when it is expected that market prices will reach a certain threshold due to temperature or load conditions.</w:t>
      </w:r>
      <w:r w:rsidRPr="00A03B40">
        <w:rPr>
          <w:rStyle w:val="FootnoteReference"/>
        </w:rPr>
        <w:footnoteReference w:id="175"/>
      </w:r>
      <w:r w:rsidRPr="00A03B40" w:rsidR="002A68CA">
        <w:t xml:space="preserve"> </w:t>
      </w:r>
    </w:p>
    <w:p w:rsidRPr="00A03B40" w:rsidR="003D05CE" w:rsidP="00AE5148" w:rsidRDefault="003D05CE" w14:paraId="7E3570BF" w14:textId="388B196F">
      <w:pPr>
        <w:pStyle w:val="Standard"/>
      </w:pPr>
      <w:r w:rsidRPr="00A03B40">
        <w:t>SCE projects that these programs</w:t>
      </w:r>
      <w:r w:rsidRPr="00A03B40" w:rsidR="008B44E9">
        <w:t xml:space="preserve"> </w:t>
      </w:r>
      <w:r w:rsidRPr="00A03B40">
        <w:t>will lead to 5 GWh of energy reductions in 2026.</w:t>
      </w:r>
      <w:r w:rsidRPr="00A03B40" w:rsidR="002A68CA">
        <w:t xml:space="preserve"> </w:t>
      </w:r>
      <w:r w:rsidRPr="00A03B40">
        <w:t>SCE’s 202</w:t>
      </w:r>
      <w:r w:rsidRPr="00A03B40" w:rsidR="00494639">
        <w:t>6</w:t>
      </w:r>
      <w:r w:rsidRPr="00A03B40">
        <w:t xml:space="preserve"> </w:t>
      </w:r>
      <w:r w:rsidRPr="00A03B40" w:rsidR="004B6B60">
        <w:t>DR</w:t>
      </w:r>
      <w:r w:rsidRPr="00A03B40">
        <w:t xml:space="preserve"> forecast was based on its Load Impact Protocols and opportunity costs factor</w:t>
      </w:r>
      <w:r w:rsidRPr="00A03B40" w:rsidR="006A6185">
        <w:t>ing</w:t>
      </w:r>
      <w:r w:rsidRPr="00A03B40">
        <w:t xml:space="preserve"> in the maximum hours customers </w:t>
      </w:r>
      <w:r w:rsidRPr="00A03B40" w:rsidR="006A6185">
        <w:t>may</w:t>
      </w:r>
      <w:r w:rsidRPr="00A03B40">
        <w:t xml:space="preserve"> participate in specific programs per day, month, and year, with load impact estimates based on past customer performance and forecast enrollment rates for program participation.</w:t>
      </w:r>
      <w:r w:rsidRPr="00A03B40">
        <w:rPr>
          <w:rStyle w:val="FootnoteReference"/>
        </w:rPr>
        <w:footnoteReference w:id="176"/>
      </w:r>
      <w:r w:rsidRPr="00A03B40" w:rsidR="002A68CA">
        <w:t xml:space="preserve"> </w:t>
      </w:r>
      <w:r w:rsidRPr="00A03B40">
        <w:t>P</w:t>
      </w:r>
      <w:r w:rsidRPr="00A03B40" w:rsidR="006A6185">
        <w:t>er</w:t>
      </w:r>
      <w:r w:rsidRPr="00A03B40">
        <w:t xml:space="preserve"> D.23-12-005, SCE records all </w:t>
      </w:r>
      <w:r w:rsidRPr="00A03B40" w:rsidR="004B6B60">
        <w:t>DR</w:t>
      </w:r>
      <w:r w:rsidRPr="00A03B40">
        <w:t xml:space="preserve"> incentives in its Demand </w:t>
      </w:r>
      <w:r w:rsidRPr="00A03B40">
        <w:lastRenderedPageBreak/>
        <w:t>Response Program Balancing Account (DRPBA), and the annual balances are transferred to the Base Revenue Requirement Balancing Account (BRRBA).</w:t>
      </w:r>
      <w:r w:rsidRPr="00A03B40" w:rsidR="004D46B6">
        <w:rPr>
          <w:rStyle w:val="FootnoteReference"/>
        </w:rPr>
        <w:footnoteReference w:id="177"/>
      </w:r>
    </w:p>
    <w:p w:rsidRPr="00A03B40" w:rsidR="00AE5148" w:rsidP="00AE5148" w:rsidRDefault="00AE5148" w14:paraId="252076B5" w14:textId="694184D1">
      <w:pPr>
        <w:pStyle w:val="Standard"/>
      </w:pPr>
      <w:r w:rsidRPr="00A03B40">
        <w:t>No parties addressed SCE’s forecast DR energy reductions or incentive costs. Upon review of Commission precedent and SCE’s filings in this proceeding, we find its DR forecasts for 202</w:t>
      </w:r>
      <w:r w:rsidRPr="00A03B40" w:rsidR="00E006B6">
        <w:t>6</w:t>
      </w:r>
      <w:r w:rsidRPr="00A03B40">
        <w:t xml:space="preserve"> to be reasonable and therefore adopt them.</w:t>
      </w:r>
    </w:p>
    <w:p w:rsidRPr="00A03B40" w:rsidR="00AE5148" w:rsidP="00AE5148" w:rsidRDefault="00AE5148" w14:paraId="14444288" w14:textId="64C75EE1">
      <w:pPr>
        <w:pStyle w:val="Heading3"/>
      </w:pPr>
      <w:bookmarkStart w:name="_Toc214629878" w:id="85"/>
      <w:r w:rsidRPr="00A03B40">
        <w:t xml:space="preserve">Other Programs and Costs: CAISO Costs, Load Procurement Charges, </w:t>
      </w:r>
      <w:r w:rsidR="00C96A7F">
        <w:br/>
      </w:r>
      <w:r w:rsidRPr="00A03B40">
        <w:t>and Energy Revenues</w:t>
      </w:r>
      <w:bookmarkEnd w:id="85"/>
    </w:p>
    <w:p w:rsidRPr="00A03B40" w:rsidR="00884051" w:rsidP="001E4209" w:rsidRDefault="00302932" w14:paraId="79303544" w14:textId="72528607">
      <w:pPr>
        <w:pStyle w:val="Standard"/>
      </w:pPr>
      <w:r w:rsidRPr="00A03B40">
        <w:t xml:space="preserve">SCE’s 2026 ERRA </w:t>
      </w:r>
      <w:r w:rsidRPr="00A03B40" w:rsidR="00CC7C11">
        <w:t>forecast</w:t>
      </w:r>
      <w:r w:rsidRPr="00A03B40">
        <w:t xml:space="preserve"> includes </w:t>
      </w:r>
      <w:r w:rsidRPr="00A03B40" w:rsidR="001E4209">
        <w:t xml:space="preserve">certain costs and revenues associated </w:t>
      </w:r>
      <w:r w:rsidRPr="00A03B40" w:rsidR="0090005C">
        <w:t>with its participation</w:t>
      </w:r>
      <w:r w:rsidRPr="00A03B40" w:rsidR="001E4209">
        <w:t xml:space="preserve"> in the CAISO market.</w:t>
      </w:r>
      <w:r w:rsidRPr="00A03B40" w:rsidR="002A68CA">
        <w:t xml:space="preserve"> </w:t>
      </w:r>
      <w:r w:rsidRPr="00A03B40" w:rsidR="00FC0120">
        <w:t>SCE’s forecast “CAISO costs” are separated into three categories: (1</w:t>
      </w:r>
      <w:r w:rsidRPr="00A03B40" w:rsidR="001E4209">
        <w:t>)</w:t>
      </w:r>
      <w:r w:rsidRPr="00A03B40" w:rsidR="00FC0120">
        <w:t xml:space="preserve"> non-energy related costs; (2) load-procurement charges; and (3) energy-related revenues associated with resources in SCE’s portfolio.</w:t>
      </w:r>
      <w:r w:rsidRPr="00A03B40" w:rsidR="00FC0120">
        <w:rPr>
          <w:rStyle w:val="FootnoteReference"/>
        </w:rPr>
        <w:footnoteReference w:id="178"/>
      </w:r>
      <w:r w:rsidRPr="00A03B40" w:rsidR="002A68CA">
        <w:t xml:space="preserve"> </w:t>
      </w:r>
    </w:p>
    <w:p w:rsidRPr="00A03B40" w:rsidR="00884051" w:rsidP="00884051" w:rsidRDefault="00FC0120" w14:paraId="009831E8" w14:textId="154ECFB7">
      <w:pPr>
        <w:pStyle w:val="Standard"/>
      </w:pPr>
      <w:r w:rsidRPr="00A03B40">
        <w:t xml:space="preserve">SCE </w:t>
      </w:r>
      <w:r w:rsidRPr="00A03B40" w:rsidR="00884051">
        <w:t>describes its forecast 2026 non-energy related CAISO costs as the net costs of grid management charges, Federal Energy Regulatory Commission fees, congestion revenue rights auction-related costs, ancillary services, CAISO</w:t>
      </w:r>
    </w:p>
    <w:p w:rsidRPr="00A03B40" w:rsidR="00FC0120" w:rsidP="00884051" w:rsidRDefault="00884051" w14:paraId="74759DB4" w14:textId="472C1746">
      <w:pPr>
        <w:pStyle w:val="Standard"/>
        <w:ind w:firstLine="0"/>
      </w:pPr>
      <w:r w:rsidRPr="00A03B40">
        <w:t>uplift costs, standard capacity product costs</w:t>
      </w:r>
      <w:r w:rsidRPr="00A03B40" w:rsidR="00A37389">
        <w:t>,</w:t>
      </w:r>
      <w:r w:rsidRPr="00A03B40">
        <w:t xml:space="preserve"> and other non-energy related CAISO costs.</w:t>
      </w:r>
      <w:r w:rsidRPr="00A03B40" w:rsidR="002A68CA">
        <w:t xml:space="preserve"> </w:t>
      </w:r>
      <w:r w:rsidRPr="00A03B40">
        <w:t xml:space="preserve">SCE </w:t>
      </w:r>
      <w:r w:rsidRPr="00A03B40" w:rsidR="00FC0120">
        <w:t xml:space="preserve">states that </w:t>
      </w:r>
      <w:r w:rsidRPr="00A03B40" w:rsidR="001D5294">
        <w:t xml:space="preserve">it considers these </w:t>
      </w:r>
      <w:r w:rsidRPr="00A03B40" w:rsidR="00FC0120">
        <w:t xml:space="preserve">non-energy related CAISO costs </w:t>
      </w:r>
      <w:r w:rsidRPr="00A03B40" w:rsidR="001D5294">
        <w:t>to be “non-energy related”</w:t>
      </w:r>
      <w:r w:rsidRPr="00A03B40" w:rsidR="00FC0120">
        <w:t xml:space="preserve"> because they are not sensitive to short-term energy market prices.</w:t>
      </w:r>
      <w:r w:rsidRPr="00A03B40" w:rsidR="002A68CA">
        <w:t xml:space="preserve"> </w:t>
      </w:r>
      <w:r w:rsidRPr="00A03B40" w:rsidR="001D5294">
        <w:t>SCE forecasts these charges</w:t>
      </w:r>
      <w:r w:rsidRPr="00A03B40" w:rsidR="00FC0120">
        <w:t xml:space="preserve"> based on actual costs </w:t>
      </w:r>
      <w:r w:rsidRPr="00A03B40" w:rsidR="001D5294">
        <w:t>incurred in</w:t>
      </w:r>
      <w:r w:rsidRPr="00A03B40" w:rsidR="00FC0120">
        <w:t xml:space="preserve"> the most recent calendar year (here, 2024).</w:t>
      </w:r>
      <w:r w:rsidRPr="00A03B40" w:rsidR="00791C0B">
        <w:rPr>
          <w:rStyle w:val="FootnoteReference"/>
        </w:rPr>
        <w:footnoteReference w:id="179"/>
      </w:r>
    </w:p>
    <w:p w:rsidRPr="00A03B40" w:rsidR="00791C0B" w:rsidP="00334380" w:rsidRDefault="00791C0B" w14:paraId="7E7710DE" w14:textId="54D42F31">
      <w:pPr>
        <w:pStyle w:val="Standard"/>
      </w:pPr>
      <w:r w:rsidRPr="00A03B40">
        <w:lastRenderedPageBreak/>
        <w:t xml:space="preserve">SCE’s </w:t>
      </w:r>
      <w:r w:rsidRPr="00A03B40" w:rsidR="006A6185">
        <w:t xml:space="preserve">Amended </w:t>
      </w:r>
      <w:r w:rsidRPr="00A03B40">
        <w:t xml:space="preserve">October Update includes information on the </w:t>
      </w:r>
      <w:r w:rsidRPr="00A03B40" w:rsidR="006A6185">
        <w:t>Day-Ahead Market Enhancements (</w:t>
      </w:r>
      <w:r w:rsidRPr="00A03B40">
        <w:t>DAME</w:t>
      </w:r>
      <w:r w:rsidRPr="00A03B40" w:rsidR="006A6185">
        <w:t xml:space="preserve">) </w:t>
      </w:r>
      <w:r w:rsidRPr="00A03B40">
        <w:t xml:space="preserve">and </w:t>
      </w:r>
      <w:r w:rsidRPr="00A03B40" w:rsidR="006A6185">
        <w:t>Extended Day-Ahead Market (</w:t>
      </w:r>
      <w:r w:rsidRPr="00A03B40">
        <w:t>EDAM</w:t>
      </w:r>
      <w:r w:rsidRPr="00A03B40" w:rsidR="006A6185">
        <w:t>)</w:t>
      </w:r>
      <w:r w:rsidRPr="00A03B40">
        <w:t xml:space="preserve"> CAISO initiatives, which are “aimed at significantly strengthening system reliability and driving market efficiency,” and which should begin producing revenues in May 2026.  SCE </w:t>
      </w:r>
      <w:r w:rsidRPr="00A03B40" w:rsidR="00A71215">
        <w:t>forecasts</w:t>
      </w:r>
      <w:r w:rsidRPr="00A03B40">
        <w:t xml:space="preserve"> no costs related to these initiatives but will record such costs in the CAISO costs section of future ERRA forecast filings.</w:t>
      </w:r>
      <w:r w:rsidRPr="00A03B40">
        <w:rPr>
          <w:rStyle w:val="FootnoteReference"/>
        </w:rPr>
        <w:footnoteReference w:id="180"/>
      </w:r>
    </w:p>
    <w:p w:rsidRPr="00A03B40" w:rsidR="008C7D9E" w:rsidP="00334380" w:rsidRDefault="00FC0120" w14:paraId="03A82C70" w14:textId="7236BF6B">
      <w:pPr>
        <w:pStyle w:val="Standard"/>
      </w:pPr>
      <w:r w:rsidRPr="00A03B40">
        <w:t xml:space="preserve">SCE projects load-procurement charges for its bundled customers </w:t>
      </w:r>
      <w:r w:rsidRPr="00A03B40" w:rsidR="008C7D9E">
        <w:t>“</w:t>
      </w:r>
      <w:r w:rsidRPr="00A03B40">
        <w:t xml:space="preserve">based on </w:t>
      </w:r>
      <w:bookmarkStart w:name="_Hlk210826075" w:id="86"/>
      <w:r w:rsidRPr="00A03B40">
        <w:t>multiplying the hourly load net of NEM export adjustments with the hourly SP-15 prices for that hour</w:t>
      </w:r>
      <w:bookmarkEnd w:id="86"/>
      <w:r w:rsidRPr="00A03B40">
        <w:t>.”</w:t>
      </w:r>
      <w:r w:rsidRPr="00A03B40">
        <w:rPr>
          <w:rStyle w:val="FootnoteReference"/>
        </w:rPr>
        <w:footnoteReference w:id="181"/>
      </w:r>
      <w:r w:rsidRPr="00A03B40" w:rsidR="002A68CA">
        <w:t xml:space="preserve"> </w:t>
      </w:r>
      <w:r w:rsidRPr="00A03B40" w:rsidR="008C7D9E">
        <w:t xml:space="preserve">These load procurement charges are included in SCE’s proposed 2026 ERRA </w:t>
      </w:r>
      <w:r w:rsidRPr="00A03B40" w:rsidR="006A6185">
        <w:t xml:space="preserve">forecast </w:t>
      </w:r>
      <w:r w:rsidRPr="00A03B40" w:rsidR="008C7D9E">
        <w:t xml:space="preserve">revenue requirement. </w:t>
      </w:r>
    </w:p>
    <w:p w:rsidRPr="00A03B40" w:rsidR="00B87AF3" w:rsidP="003015AB" w:rsidRDefault="008C7D9E" w14:paraId="6D2ED463" w14:textId="7F5D798D">
      <w:pPr>
        <w:pStyle w:val="Standard"/>
      </w:pPr>
      <w:r w:rsidRPr="00A03B40">
        <w:t xml:space="preserve">Pursuant to </w:t>
      </w:r>
      <w:bookmarkStart w:name="_Hlk211176742" w:id="87"/>
      <w:r w:rsidRPr="00A03B40">
        <w:t>Res</w:t>
      </w:r>
      <w:r w:rsidRPr="00A03B40" w:rsidR="003015AB">
        <w:t>.</w:t>
      </w:r>
      <w:r w:rsidRPr="00A03B40">
        <w:t xml:space="preserve"> E-5183</w:t>
      </w:r>
      <w:bookmarkEnd w:id="87"/>
      <w:r w:rsidRPr="00A03B40">
        <w:t>, SCE contracted to develop 537.5 MW of energy storage at three sites to address summer reliability</w:t>
      </w:r>
      <w:r w:rsidRPr="00A03B40" w:rsidR="001D5294">
        <w:t xml:space="preserve">, two of which will </w:t>
      </w:r>
      <w:r w:rsidRPr="00A03B40" w:rsidR="005346F1">
        <w:t>be operated in such a way as to offset SCE’s load procurement charges in 2026</w:t>
      </w:r>
      <w:r w:rsidRPr="00A03B40">
        <w:t>.</w:t>
      </w:r>
      <w:r w:rsidRPr="00A03B40" w:rsidR="002A68CA">
        <w:t xml:space="preserve"> </w:t>
      </w:r>
      <w:r w:rsidRPr="00A03B40" w:rsidR="00334380">
        <w:t>SCE describes two energy storage sites that will be operated as distribution assets</w:t>
      </w:r>
      <w:r w:rsidRPr="00A03B40">
        <w:t>:</w:t>
      </w:r>
      <w:r w:rsidRPr="00A03B40" w:rsidR="00334380">
        <w:t xml:space="preserve"> “Anode” and “Cathode</w:t>
      </w:r>
      <w:r w:rsidRPr="00A03B40">
        <w:t>.</w:t>
      </w:r>
      <w:r w:rsidRPr="00A03B40" w:rsidR="00334380">
        <w:t xml:space="preserve">” </w:t>
      </w:r>
      <w:r w:rsidRPr="00A03B40" w:rsidR="00B87AF3">
        <w:t>The energy benefits (revenues) from the resource</w:t>
      </w:r>
      <w:r w:rsidRPr="00A03B40" w:rsidR="00920679">
        <w:t>s</w:t>
      </w:r>
      <w:r w:rsidRPr="00A03B40" w:rsidR="00B87AF3">
        <w:t xml:space="preserve"> are debited from the ERRA load procurement charge category, and credited to the distribution subaccount of the BRRBA, where project costs are recorded.</w:t>
      </w:r>
      <w:r w:rsidRPr="00A03B40" w:rsidR="00B87AF3">
        <w:rPr>
          <w:rStyle w:val="FootnoteReference"/>
        </w:rPr>
        <w:footnoteReference w:id="182"/>
      </w:r>
      <w:r w:rsidRPr="00A03B40" w:rsidR="00B87AF3">
        <w:t xml:space="preserve"> </w:t>
      </w:r>
    </w:p>
    <w:p w:rsidRPr="00A03B40" w:rsidR="00334380" w:rsidP="003015AB" w:rsidRDefault="008C7D9E" w14:paraId="7A983511" w14:textId="7E5DBD29">
      <w:pPr>
        <w:pStyle w:val="Standard"/>
      </w:pPr>
      <w:r w:rsidRPr="00A03B40">
        <w:t>Pursuant to Res</w:t>
      </w:r>
      <w:r w:rsidRPr="00A03B40" w:rsidR="003015AB">
        <w:t>.</w:t>
      </w:r>
      <w:r w:rsidRPr="00A03B40">
        <w:t xml:space="preserve"> E-5259, the third site (referred to as the “Separator” project) is now counted toward SCE’s MTR procurement requirements, and so the costs and benefits of the Separator project are recovered via the 2021 subaccount of the PABA in 2026.</w:t>
      </w:r>
      <w:r w:rsidRPr="00A03B40">
        <w:rPr>
          <w:rStyle w:val="FootnoteReference"/>
        </w:rPr>
        <w:footnoteReference w:id="183"/>
      </w:r>
      <w:r w:rsidRPr="00A03B40" w:rsidR="002A68CA">
        <w:t xml:space="preserve"> </w:t>
      </w:r>
    </w:p>
    <w:p w:rsidRPr="00A03B40" w:rsidR="008C7D9E" w:rsidP="00FF6F7A" w:rsidRDefault="00E9673D" w14:paraId="07712C22" w14:textId="2580203A">
      <w:pPr>
        <w:pStyle w:val="Standard"/>
      </w:pPr>
      <w:r w:rsidRPr="00A03B40">
        <w:lastRenderedPageBreak/>
        <w:t>Finally, SCE estimate</w:t>
      </w:r>
      <w:r w:rsidRPr="00A03B40" w:rsidR="00BD0808">
        <w:t>s</w:t>
      </w:r>
      <w:r w:rsidRPr="00A03B40">
        <w:t xml:space="preserve"> energy revenue from the dispatch of </w:t>
      </w:r>
      <w:r w:rsidRPr="00A03B40" w:rsidR="008C7D9E">
        <w:t>its portfolio of</w:t>
      </w:r>
      <w:r w:rsidRPr="00A03B40">
        <w:t xml:space="preserve"> resources in 2026 </w:t>
      </w:r>
      <w:bookmarkStart w:name="_Hlk210826625" w:id="88"/>
      <w:r w:rsidRPr="00A03B40">
        <w:t xml:space="preserve">by multiplying forecast hourly production </w:t>
      </w:r>
      <w:r w:rsidRPr="00A03B40" w:rsidR="00BD0808">
        <w:t xml:space="preserve">by the SP-15 price at that hour. </w:t>
      </w:r>
      <w:bookmarkEnd w:id="88"/>
      <w:r w:rsidRPr="00A03B40" w:rsidR="00BD0808">
        <w:t xml:space="preserve">SCE accounts for energy revenues </w:t>
      </w:r>
      <w:r w:rsidRPr="00A03B40">
        <w:t>from its PABA-, ERRA-, BMNBC</w:t>
      </w:r>
      <w:r w:rsidRPr="00A03B40" w:rsidR="00BD0808">
        <w:t>-</w:t>
      </w:r>
      <w:r w:rsidRPr="00A03B40">
        <w:t>, CGST-, and CAM-eligible portfolios</w:t>
      </w:r>
      <w:r w:rsidRPr="00A03B40" w:rsidR="00BD0808">
        <w:t xml:space="preserve"> separately</w:t>
      </w:r>
      <w:r w:rsidRPr="00A03B40" w:rsidR="0016531E">
        <w:t>, of</w:t>
      </w:r>
      <w:r w:rsidRPr="00A03B40" w:rsidR="00A12D14">
        <w:t>f</w:t>
      </w:r>
      <w:r w:rsidRPr="00A03B40" w:rsidR="0016531E">
        <w:t>setting</w:t>
      </w:r>
      <w:r w:rsidRPr="00A03B40">
        <w:t xml:space="preserve"> </w:t>
      </w:r>
      <w:r w:rsidRPr="00A03B40" w:rsidR="003158A5">
        <w:t xml:space="preserve">the </w:t>
      </w:r>
      <w:r w:rsidRPr="00A03B40">
        <w:t>forecast PABA, ERRA, BMNBC, CGST, and NSGBA revenue requirements.</w:t>
      </w:r>
      <w:r w:rsidRPr="00A03B40">
        <w:rPr>
          <w:rStyle w:val="FootnoteReference"/>
        </w:rPr>
        <w:footnoteReference w:id="184"/>
      </w:r>
    </w:p>
    <w:p w:rsidRPr="00A03B40" w:rsidR="00E006B6" w:rsidP="00FF6F7A" w:rsidRDefault="00E006B6" w14:paraId="099E9B4F" w14:textId="0C81C4FB">
      <w:pPr>
        <w:pStyle w:val="Standard"/>
      </w:pPr>
      <w:r w:rsidRPr="00A03B40">
        <w:t xml:space="preserve">No party directly addressed SCE’s forecast 2026 CAISO costs, load procurement charges, or energy revenues. Upon review of SCE’s testimonies and </w:t>
      </w:r>
      <w:proofErr w:type="gramStart"/>
      <w:r w:rsidRPr="00A03B40">
        <w:t>workpapers</w:t>
      </w:r>
      <w:proofErr w:type="gramEnd"/>
      <w:r w:rsidRPr="00A03B40">
        <w:t>, we find its forecast 2026 CAISO-related costs, load procurement charges, and energy revenue to be reasonable and therefore approve them as proposed.</w:t>
      </w:r>
    </w:p>
    <w:p w:rsidRPr="00A03B40" w:rsidR="00AE5148" w:rsidP="00AE5148" w:rsidRDefault="00AE5148" w14:paraId="120C292E" w14:textId="6B234550">
      <w:pPr>
        <w:pStyle w:val="Heading3"/>
      </w:pPr>
      <w:bookmarkStart w:name="_Toc214629879" w:id="89"/>
      <w:bookmarkStart w:name="_Hlk210828005" w:id="90"/>
      <w:r w:rsidRPr="00A03B40">
        <w:t xml:space="preserve">Other Programs and Costs: </w:t>
      </w:r>
      <w:r w:rsidR="007647E1">
        <w:br/>
      </w:r>
      <w:r w:rsidRPr="00A03B40">
        <w:t>Hedging Costs</w:t>
      </w:r>
      <w:bookmarkEnd w:id="89"/>
    </w:p>
    <w:p w:rsidR="007647E1" w:rsidP="00D545B7" w:rsidRDefault="006754A9" w14:paraId="49083EBB" w14:textId="77777777">
      <w:pPr>
        <w:pStyle w:val="Standard"/>
      </w:pPr>
      <w:r w:rsidRPr="00A03B40">
        <w:t xml:space="preserve">SCE includes in its 2026 ERRA </w:t>
      </w:r>
      <w:r w:rsidRPr="00A03B40" w:rsidR="00CC7C11">
        <w:t>forecast</w:t>
      </w:r>
      <w:r w:rsidRPr="00A03B40">
        <w:t xml:space="preserve"> the estimated costs of SCE’s hedging program.</w:t>
      </w:r>
      <w:bookmarkEnd w:id="90"/>
      <w:r w:rsidRPr="00A03B40" w:rsidR="002A68CA">
        <w:t xml:space="preserve"> </w:t>
      </w:r>
      <w:r w:rsidRPr="00A03B40">
        <w:t xml:space="preserve">SCE hedges its open energy position, which includes both power and the natural gas utilized by SCE’s UOG, purchased power contracts, and QF contracts, by purchasing the underlying commodities </w:t>
      </w:r>
      <w:r w:rsidRPr="00A03B40" w:rsidR="003B77B4">
        <w:t xml:space="preserve">using a </w:t>
      </w:r>
    </w:p>
    <w:p w:rsidRPr="00A03B40" w:rsidR="006754A9" w:rsidP="007647E1" w:rsidRDefault="003B77B4" w14:paraId="2D65FD7A" w14:textId="4326F816">
      <w:pPr>
        <w:pStyle w:val="Standard"/>
        <w:ind w:firstLine="0"/>
      </w:pPr>
      <w:r w:rsidRPr="00A03B40">
        <w:t xml:space="preserve">market-based approach </w:t>
      </w:r>
      <w:r w:rsidRPr="00A03B40" w:rsidR="006754A9">
        <w:t>and, when reasonable, call options on the commodities</w:t>
      </w:r>
      <w:r w:rsidRPr="00A03B40">
        <w:t>, using a budget-based approach</w:t>
      </w:r>
      <w:r w:rsidRPr="00A03B40" w:rsidR="006754A9">
        <w:t>.</w:t>
      </w:r>
      <w:r w:rsidRPr="00A03B40" w:rsidR="002A68CA">
        <w:t xml:space="preserve"> </w:t>
      </w:r>
      <w:r w:rsidRPr="00A03B40" w:rsidR="006754A9">
        <w:t xml:space="preserve">SCE’s projected costs include </w:t>
      </w:r>
      <w:bookmarkStart w:name="_Hlk210828032" w:id="91"/>
      <w:r w:rsidRPr="00A03B40" w:rsidR="006754A9">
        <w:t>energy-related transaction fees (clearing and exchange fees, as well as brokerage fees) and option premiums for hedging SCE’s open energy position in 2026</w:t>
      </w:r>
      <w:bookmarkEnd w:id="91"/>
      <w:r w:rsidRPr="00A03B40" w:rsidR="006754A9">
        <w:t>.</w:t>
      </w:r>
      <w:r w:rsidRPr="00A03B40" w:rsidR="006754A9">
        <w:rPr>
          <w:rStyle w:val="FootnoteReference"/>
        </w:rPr>
        <w:footnoteReference w:id="185"/>
      </w:r>
      <w:r w:rsidRPr="00A03B40" w:rsidR="00E006B6">
        <w:t xml:space="preserve"> Upon review of SCE’s testimony and workpapers, we find its hedging costs forecast for 2026 to be reasonable.</w:t>
      </w:r>
    </w:p>
    <w:p w:rsidRPr="00A03B40" w:rsidR="00AE5148" w:rsidP="00AE5148" w:rsidRDefault="00AE5148" w14:paraId="672F29B8" w14:textId="5F585CCB">
      <w:pPr>
        <w:pStyle w:val="Heading3"/>
      </w:pPr>
      <w:bookmarkStart w:name="_Toc214629880" w:id="92"/>
      <w:r w:rsidRPr="00A03B40">
        <w:lastRenderedPageBreak/>
        <w:t>Other Programs and Costs: Gas Transportation and Storage</w:t>
      </w:r>
      <w:bookmarkEnd w:id="92"/>
    </w:p>
    <w:p w:rsidRPr="00A03B40" w:rsidR="009057C5" w:rsidP="00AE5148" w:rsidRDefault="004A1E34" w14:paraId="45826BB1" w14:textId="77777777">
      <w:pPr>
        <w:pStyle w:val="Standard"/>
        <w:widowControl w:val="0"/>
      </w:pPr>
      <w:r w:rsidRPr="00A03B40">
        <w:t xml:space="preserve">SCE includes no </w:t>
      </w:r>
      <w:r w:rsidRPr="00A03B40" w:rsidR="00E47FBC">
        <w:t xml:space="preserve">fixed </w:t>
      </w:r>
      <w:r w:rsidRPr="00A03B40">
        <w:t xml:space="preserve">costs related to gas transportation and storage in its 2026 ERRA Forecast. SCE states that it does not expect to incur </w:t>
      </w:r>
      <w:r w:rsidRPr="00A03B40" w:rsidR="00E47FBC">
        <w:t xml:space="preserve">fixed </w:t>
      </w:r>
      <w:r w:rsidRPr="00A03B40">
        <w:t xml:space="preserve">costs associated with gas transportation agreements due to </w:t>
      </w:r>
      <w:r w:rsidRPr="00A03B40" w:rsidR="003B77B4">
        <w:t>a</w:t>
      </w:r>
      <w:r w:rsidRPr="00A03B40">
        <w:t xml:space="preserve"> change in So</w:t>
      </w:r>
      <w:r w:rsidRPr="00A03B40" w:rsidR="0002363E">
        <w:t xml:space="preserve">uthern </w:t>
      </w:r>
      <w:r w:rsidRPr="00A03B40">
        <w:t>Cal</w:t>
      </w:r>
      <w:r w:rsidRPr="00A03B40" w:rsidR="0002363E">
        <w:t xml:space="preserve">ifornia </w:t>
      </w:r>
      <w:r w:rsidRPr="00A03B40">
        <w:t>Gas</w:t>
      </w:r>
      <w:r w:rsidRPr="00A03B40" w:rsidR="0002363E">
        <w:t xml:space="preserve"> Company’s</w:t>
      </w:r>
      <w:r w:rsidRPr="00A03B40">
        <w:t xml:space="preserve"> </w:t>
      </w:r>
      <w:r w:rsidRPr="00A03B40" w:rsidR="00437515">
        <w:t xml:space="preserve">(SoCalGas) </w:t>
      </w:r>
      <w:r w:rsidRPr="00A03B40">
        <w:t>G-BTS2 rate structure from a fixed reservation charge to a volumetric based charge.</w:t>
      </w:r>
      <w:r w:rsidRPr="00A03B40">
        <w:rPr>
          <w:rStyle w:val="FootnoteReference"/>
        </w:rPr>
        <w:footnoteReference w:id="186"/>
      </w:r>
      <w:r w:rsidRPr="00A03B40">
        <w:t xml:space="preserve"> </w:t>
      </w:r>
    </w:p>
    <w:p w:rsidRPr="00A03B40" w:rsidR="009057C5" w:rsidP="009057C5" w:rsidRDefault="009057C5" w14:paraId="7E4AD250" w14:textId="0125A814">
      <w:pPr>
        <w:pStyle w:val="Standard"/>
        <w:widowControl w:val="0"/>
      </w:pPr>
      <w:r w:rsidRPr="00A03B40">
        <w:t xml:space="preserve">For example, SCE has executed three Backbone Transportation Service (BTS) agreements with SoCalGas, effective October 1, </w:t>
      </w:r>
      <w:proofErr w:type="gramStart"/>
      <w:r w:rsidRPr="00A03B40">
        <w:t>2023</w:t>
      </w:r>
      <w:proofErr w:type="gramEnd"/>
      <w:r w:rsidRPr="00A03B40">
        <w:t xml:space="preserve"> through September</w:t>
      </w:r>
      <w:r w:rsidR="007647E1">
        <w:t> </w:t>
      </w:r>
      <w:r w:rsidRPr="00A03B40">
        <w:t>2026, for transportation capacity under Rate Schedule G-BTS2, a modified fixed variable rate. SCE acquired firm rights for 60,000 MMBtu/day for the entire three-year term of the contract. Due to the change in the G-BTS2 charge from reservation-based to volumetric-based usage starting December 1, 2024, SCE projects no cost associated with its BTS rights.</w:t>
      </w:r>
      <w:r w:rsidRPr="00A03B40">
        <w:rPr>
          <w:rStyle w:val="FootnoteReference"/>
        </w:rPr>
        <w:footnoteReference w:id="187"/>
      </w:r>
    </w:p>
    <w:p w:rsidRPr="00A03B40" w:rsidR="009057C5" w:rsidP="009057C5" w:rsidRDefault="009057C5" w14:paraId="00AF0925" w14:textId="23CE10B4">
      <w:pPr>
        <w:pStyle w:val="Standard"/>
        <w:widowControl w:val="0"/>
      </w:pPr>
      <w:r w:rsidRPr="00A03B40">
        <w:t>However, SCE continues to hold month-to-month contracts for gas transportation capacity under rate schedule GT-TLS under volumetric rates for its Mountainview Generating Station, and for its Barre, Center, Grapeland, McGrath, and Mira Loma Peakers. SCE expects these contracts to auto-renew each month in 2026.</w:t>
      </w:r>
      <w:r w:rsidRPr="00A03B40">
        <w:rPr>
          <w:rStyle w:val="FootnoteReference"/>
        </w:rPr>
        <w:t xml:space="preserve"> </w:t>
      </w:r>
      <w:r w:rsidRPr="00A03B40">
        <w:rPr>
          <w:rStyle w:val="FootnoteReference"/>
        </w:rPr>
        <w:footnoteReference w:id="188"/>
      </w:r>
      <w:r w:rsidRPr="00A03B40">
        <w:t xml:space="preserve"> </w:t>
      </w:r>
    </w:p>
    <w:p w:rsidRPr="00A03B40" w:rsidR="009057C5" w:rsidP="009057C5" w:rsidRDefault="00E47FBC" w14:paraId="2DA1E902" w14:textId="4C028F9A">
      <w:pPr>
        <w:pStyle w:val="Standard"/>
        <w:widowControl w:val="0"/>
      </w:pPr>
      <w:r w:rsidRPr="00A03B40">
        <w:t xml:space="preserve">SCE’s forecast natural gas price used in its PLEXOS LCD simulation (which, as discussed in Section 5.1, is the basis of SCE’s procurement cost forecast) </w:t>
      </w:r>
      <w:r w:rsidRPr="00A03B40" w:rsidR="009057C5">
        <w:t xml:space="preserve">is based on monthly NYMEX forward prices at the SoCal Citygate in </w:t>
      </w:r>
      <w:r w:rsidRPr="00A03B40" w:rsidR="009057C5">
        <w:lastRenderedPageBreak/>
        <w:t xml:space="preserve">effect as of </w:t>
      </w:r>
      <w:r w:rsidRPr="00A03B40" w:rsidR="00B87AF3">
        <w:t>August</w:t>
      </w:r>
      <w:r w:rsidRPr="00A03B40" w:rsidR="009057C5">
        <w:t xml:space="preserve"> 25, 2025, plus intrastate transportation charges from SoCalGas, as applicable.</w:t>
      </w:r>
      <w:r w:rsidRPr="00A03B40" w:rsidR="009057C5">
        <w:rPr>
          <w:rStyle w:val="FootnoteReference"/>
        </w:rPr>
        <w:footnoteReference w:id="189"/>
      </w:r>
      <w:r w:rsidRPr="00A03B40" w:rsidR="009057C5">
        <w:t xml:space="preserve"> In this way, forecast volumetric gas transportation costs are incorporated into its 2026 ERRA forecast. </w:t>
      </w:r>
    </w:p>
    <w:p w:rsidRPr="00A03B40" w:rsidR="004A1E34" w:rsidP="0031309A" w:rsidRDefault="004A1E34" w14:paraId="61204E98" w14:textId="6BBDA4C0">
      <w:pPr>
        <w:pStyle w:val="Standard"/>
        <w:widowControl w:val="0"/>
      </w:pPr>
      <w:r w:rsidRPr="00A03B40">
        <w:t>SCE has no gas storage contracts for 2026.</w:t>
      </w:r>
      <w:r w:rsidRPr="00A03B40">
        <w:rPr>
          <w:rStyle w:val="FootnoteReference"/>
        </w:rPr>
        <w:footnoteReference w:id="190"/>
      </w:r>
    </w:p>
    <w:p w:rsidRPr="00A03B40" w:rsidR="00E006B6" w:rsidP="0031309A" w:rsidRDefault="00E006B6" w14:paraId="6E4C8123" w14:textId="36144884">
      <w:pPr>
        <w:pStyle w:val="Standard"/>
        <w:widowControl w:val="0"/>
      </w:pPr>
      <w:r w:rsidRPr="00A03B40">
        <w:t xml:space="preserve">No intervenors addressed SCE’s gas transportation and storage costs forecast. Upon the Commission’s review of SCE’s testimonies, we find its proposed 2026 gas transportation and storage costs to be incorporated into its procurement cost forecast consistent with relevant data and Commission rules, and so we find them reasonable, and approve them as proposed in SCE’s </w:t>
      </w:r>
      <w:r w:rsidR="00D85A55">
        <w:t xml:space="preserve">Amended </w:t>
      </w:r>
      <w:r w:rsidRPr="00A03B40">
        <w:t>October Update.</w:t>
      </w:r>
    </w:p>
    <w:p w:rsidRPr="00A03B40" w:rsidR="00AE5148" w:rsidP="00AE5148" w:rsidRDefault="00AE5148" w14:paraId="220F5D0C" w14:textId="63C0BE0E">
      <w:pPr>
        <w:pStyle w:val="Heading3"/>
      </w:pPr>
      <w:bookmarkStart w:name="_Toc214629881" w:id="93"/>
      <w:r w:rsidRPr="00A03B40">
        <w:t>Other Programs and Costs: Subscription Fees</w:t>
      </w:r>
      <w:r w:rsidRPr="00A03B40" w:rsidR="00E006B6">
        <w:t>, Financing Costs, and Carrying Costs</w:t>
      </w:r>
      <w:bookmarkEnd w:id="93"/>
    </w:p>
    <w:p w:rsidRPr="00A03B40" w:rsidR="00E006B6" w:rsidP="00E006B6" w:rsidRDefault="002D75CC" w14:paraId="4CEB87A3" w14:textId="0596635C">
      <w:pPr>
        <w:pStyle w:val="Standard"/>
      </w:pPr>
      <w:r w:rsidRPr="00A03B40">
        <w:t xml:space="preserve">SCE includes in its 2026 ERRA </w:t>
      </w:r>
      <w:r w:rsidRPr="00A03B40" w:rsidR="00CC7C11">
        <w:t>forecast</w:t>
      </w:r>
      <w:r w:rsidRPr="00A03B40">
        <w:t xml:space="preserve"> the </w:t>
      </w:r>
      <w:r w:rsidRPr="00A03B40" w:rsidR="00A722C9">
        <w:t xml:space="preserve">updated </w:t>
      </w:r>
      <w:r w:rsidRPr="00A03B40">
        <w:t xml:space="preserve">estimated costs of subscriptions SCE </w:t>
      </w:r>
      <w:r w:rsidRPr="00A03B40" w:rsidR="003B77B4">
        <w:t xml:space="preserve">will </w:t>
      </w:r>
      <w:r w:rsidRPr="00A03B40">
        <w:t xml:space="preserve">use to </w:t>
      </w:r>
      <w:bookmarkStart w:name="_Hlk210828149" w:id="94"/>
      <w:r w:rsidRPr="00A03B40">
        <w:t xml:space="preserve">access independent market data, risk analysis reports, reports on power prices, gas prices, emissions prices, and industry news </w:t>
      </w:r>
      <w:bookmarkEnd w:id="94"/>
      <w:r w:rsidRPr="00A03B40">
        <w:t>in 2026. These subscriptions are also u</w:t>
      </w:r>
      <w:r w:rsidRPr="00A03B40" w:rsidR="0031309A">
        <w:t>sed</w:t>
      </w:r>
      <w:r w:rsidRPr="00A03B40">
        <w:t xml:space="preserve"> to calculate </w:t>
      </w:r>
      <w:r w:rsidRPr="00A03B40" w:rsidR="0031309A">
        <w:t xml:space="preserve">the </w:t>
      </w:r>
      <w:proofErr w:type="gramStart"/>
      <w:r w:rsidRPr="00A03B40" w:rsidR="0031309A">
        <w:t>short-run</w:t>
      </w:r>
      <w:proofErr w:type="gramEnd"/>
      <w:r w:rsidRPr="00A03B40" w:rsidR="0031309A">
        <w:t xml:space="preserve"> avoided cost (</w:t>
      </w:r>
      <w:r w:rsidRPr="00A03B40">
        <w:t>SRAC</w:t>
      </w:r>
      <w:r w:rsidRPr="00A03B40" w:rsidR="0031309A">
        <w:t>)</w:t>
      </w:r>
      <w:r w:rsidRPr="00A03B40">
        <w:t xml:space="preserve"> energy price</w:t>
      </w:r>
      <w:r w:rsidRPr="00A03B40" w:rsidR="00A722C9">
        <w:t>s</w:t>
      </w:r>
      <w:r w:rsidRPr="00A03B40">
        <w:t xml:space="preserve"> for QF</w:t>
      </w:r>
      <w:r w:rsidRPr="00A03B40" w:rsidR="00585BC1">
        <w:t xml:space="preserve"> projects</w:t>
      </w:r>
      <w:r w:rsidRPr="00A03B40" w:rsidR="0031309A">
        <w:t xml:space="preserve"> (</w:t>
      </w:r>
      <w:r w:rsidRPr="002617B5" w:rsidR="0031309A">
        <w:rPr>
          <w:i/>
          <w:iCs/>
        </w:rPr>
        <w:t>see</w:t>
      </w:r>
      <w:r w:rsidRPr="00A03B40" w:rsidR="0031309A">
        <w:t xml:space="preserve"> Section 5.2.3)</w:t>
      </w:r>
      <w:r w:rsidRPr="00A03B40">
        <w:t xml:space="preserve">. For 2026, SCE is forecasting </w:t>
      </w:r>
      <w:bookmarkStart w:name="_Hlk210828076" w:id="95"/>
      <w:r w:rsidRPr="00A03B40">
        <w:t>non-labor expenses related to these subscription fees in the amount of $1.0</w:t>
      </w:r>
      <w:r w:rsidRPr="00A03B40" w:rsidR="00A722C9">
        <w:t>42</w:t>
      </w:r>
      <w:r w:rsidRPr="00A03B40">
        <w:t xml:space="preserve"> million</w:t>
      </w:r>
      <w:bookmarkEnd w:id="95"/>
      <w:r w:rsidRPr="00A03B40">
        <w:t>.</w:t>
      </w:r>
      <w:r w:rsidRPr="00A03B40" w:rsidR="001B67B2">
        <w:rPr>
          <w:rStyle w:val="FootnoteReference"/>
        </w:rPr>
        <w:footnoteReference w:id="191"/>
      </w:r>
    </w:p>
    <w:p w:rsidRPr="00A03B40" w:rsidR="00062879" w:rsidP="00E006B6" w:rsidRDefault="002D75CC" w14:paraId="7999B62B" w14:textId="6AA47E82">
      <w:pPr>
        <w:pStyle w:val="Standard"/>
      </w:pPr>
      <w:r w:rsidRPr="00A03B40">
        <w:t xml:space="preserve">SCE includes in its 2026 ERRA </w:t>
      </w:r>
      <w:r w:rsidRPr="00A03B40" w:rsidR="00CC7C11">
        <w:t>forecast</w:t>
      </w:r>
      <w:r w:rsidRPr="00A03B40">
        <w:t xml:space="preserve"> </w:t>
      </w:r>
      <w:r w:rsidRPr="00A03B40" w:rsidR="00966226">
        <w:t xml:space="preserve">updated </w:t>
      </w:r>
      <w:r w:rsidRPr="00A03B40">
        <w:t>estimated fuel inventory financing costs and collateral costs.</w:t>
      </w:r>
      <w:r w:rsidRPr="00A03B40" w:rsidR="002A68CA">
        <w:t xml:space="preserve"> </w:t>
      </w:r>
      <w:r w:rsidRPr="00A03B40" w:rsidR="00062879">
        <w:t>D.93-01-027 authorize</w:t>
      </w:r>
      <w:r w:rsidRPr="00A03B40" w:rsidR="008769AB">
        <w:t>d</w:t>
      </w:r>
      <w:r w:rsidRPr="00A03B40" w:rsidR="00062879">
        <w:t xml:space="preserve"> SCE to </w:t>
      </w:r>
      <w:bookmarkStart w:name="_Hlk210830685" w:id="96"/>
      <w:r w:rsidRPr="00A03B40" w:rsidR="00062879">
        <w:t>recover actual fuel inventory financing costs</w:t>
      </w:r>
      <w:bookmarkEnd w:id="96"/>
      <w:r w:rsidRPr="00A03B40" w:rsidR="00062879">
        <w:rPr>
          <w:rStyle w:val="FootnoteReference"/>
        </w:rPr>
        <w:footnoteReference w:id="192"/>
      </w:r>
      <w:r w:rsidRPr="00A03B40" w:rsidR="00062879">
        <w:t xml:space="preserve"> and </w:t>
      </w:r>
      <w:bookmarkStart w:name="_Hlk210830716" w:id="97"/>
      <w:r w:rsidRPr="00A03B40" w:rsidR="00062879">
        <w:t>D.02-10-062</w:t>
      </w:r>
      <w:bookmarkEnd w:id="97"/>
      <w:r w:rsidRPr="00A03B40" w:rsidR="00062879">
        <w:t xml:space="preserve">, which established the ERRA </w:t>
      </w:r>
      <w:r w:rsidRPr="00A03B40" w:rsidR="00062879">
        <w:lastRenderedPageBreak/>
        <w:t xml:space="preserve">BA, </w:t>
      </w:r>
      <w:bookmarkStart w:name="_Hlk210830725" w:id="98"/>
      <w:r w:rsidRPr="00A03B40" w:rsidR="00062879">
        <w:t>provides for recovery of fuel and credit costs including collateral costs</w:t>
      </w:r>
      <w:bookmarkEnd w:id="98"/>
      <w:r w:rsidRPr="00A03B40" w:rsidR="00062879">
        <w:t>.</w:t>
      </w:r>
      <w:r w:rsidRPr="00A03B40" w:rsidR="00062879">
        <w:rPr>
          <w:rStyle w:val="FootnoteReference"/>
        </w:rPr>
        <w:footnoteReference w:id="193"/>
      </w:r>
      <w:r w:rsidRPr="00A03B40" w:rsidR="002A68CA">
        <w:t xml:space="preserve"> </w:t>
      </w:r>
      <w:r w:rsidRPr="00A03B40" w:rsidR="007A19B4">
        <w:t>D.04-01-048 authorizes</w:t>
      </w:r>
      <w:r w:rsidRPr="00A03B40" w:rsidR="00062879">
        <w:t xml:space="preserve"> recovery of financing costs associated with ERRA </w:t>
      </w:r>
      <w:r w:rsidRPr="00A03B40" w:rsidR="00CC7C11">
        <w:t>forecast</w:t>
      </w:r>
      <w:r w:rsidRPr="00A03B40" w:rsidR="00062879">
        <w:t xml:space="preserve"> proceeding </w:t>
      </w:r>
      <w:r w:rsidRPr="00A03B40" w:rsidR="0019301E">
        <w:t>under-collection</w:t>
      </w:r>
      <w:r w:rsidRPr="00A03B40" w:rsidR="00062879">
        <w:t>s</w:t>
      </w:r>
      <w:bookmarkStart w:name="_Hlk210830641" w:id="99"/>
      <w:r w:rsidRPr="00A03B40" w:rsidR="007A19B4">
        <w:t xml:space="preserve">, holding </w:t>
      </w:r>
      <w:r w:rsidRPr="00A03B40" w:rsidR="00062879">
        <w:t>that the three-month commercial paper rate index should be applied to under</w:t>
      </w:r>
      <w:r w:rsidRPr="00A03B40" w:rsidR="007A19B4">
        <w:t>-</w:t>
      </w:r>
      <w:r w:rsidRPr="00A03B40" w:rsidR="00062879">
        <w:t>collected balances</w:t>
      </w:r>
      <w:bookmarkEnd w:id="99"/>
      <w:r w:rsidRPr="00A03B40" w:rsidR="00062879">
        <w:t>.</w:t>
      </w:r>
      <w:r w:rsidRPr="00A03B40" w:rsidR="00062879">
        <w:rPr>
          <w:rStyle w:val="FootnoteReference"/>
        </w:rPr>
        <w:footnoteReference w:id="194"/>
      </w:r>
    </w:p>
    <w:p w:rsidRPr="00A03B40" w:rsidR="007A19B4" w:rsidP="007A19B4" w:rsidRDefault="002D75CC" w14:paraId="424EA7FA" w14:textId="2F617E39">
      <w:pPr>
        <w:pStyle w:val="Standard"/>
      </w:pPr>
      <w:bookmarkStart w:name="_Hlk210830145" w:id="100"/>
      <w:r w:rsidRPr="00A03B40">
        <w:t xml:space="preserve">SCE </w:t>
      </w:r>
      <w:r w:rsidRPr="00A03B40" w:rsidR="001B67B2">
        <w:t xml:space="preserve">anticipates that it </w:t>
      </w:r>
      <w:r w:rsidRPr="00A03B40">
        <w:t xml:space="preserve">will use a </w:t>
      </w:r>
      <w:r w:rsidRPr="00A03B40" w:rsidR="008769AB">
        <w:t xml:space="preserve">$3.35 billion </w:t>
      </w:r>
      <w:r w:rsidRPr="00A03B40" w:rsidR="004068E7">
        <w:t xml:space="preserve">multi-year </w:t>
      </w:r>
      <w:r w:rsidRPr="00A03B40">
        <w:t>credit facility (referred to as a revolver)</w:t>
      </w:r>
      <w:r w:rsidRPr="00A03B40" w:rsidR="00DD14D8">
        <w:t xml:space="preserve"> to meet projected collateral requirements, balancing account </w:t>
      </w:r>
      <w:r w:rsidRPr="00A03B40" w:rsidR="0019301E">
        <w:t>under-collection</w:t>
      </w:r>
      <w:r w:rsidRPr="00A03B40" w:rsidR="00DD14D8">
        <w:t xml:space="preserve">s, and short-term, general-purpose borrowing needs </w:t>
      </w:r>
      <w:r w:rsidRPr="00A03B40" w:rsidR="001B67B2">
        <w:t>in 2026</w:t>
      </w:r>
      <w:bookmarkEnd w:id="100"/>
      <w:r w:rsidRPr="00A03B40" w:rsidR="00DD14D8">
        <w:t>.</w:t>
      </w:r>
      <w:r w:rsidRPr="00A03B40" w:rsidR="00A71215">
        <w:rPr>
          <w:rStyle w:val="FootnoteReference"/>
        </w:rPr>
        <w:footnoteReference w:id="195"/>
      </w:r>
      <w:r w:rsidRPr="00A03B40" w:rsidR="007A19B4">
        <w:t xml:space="preserve"> SCE notes that the revolver allows for liquidity support for its commercial paper program, letters of credit</w:t>
      </w:r>
      <w:r w:rsidRPr="00A03B40" w:rsidR="006E5CA8">
        <w:t>,</w:t>
      </w:r>
      <w:r w:rsidRPr="00A03B40" w:rsidR="007A19B4">
        <w:t xml:space="preserve"> and cash collateral for power procurement needs. The revolver carries only a marginal facility fee if no borrowing or other usage is required.</w:t>
      </w:r>
      <w:r w:rsidRPr="00A03B40" w:rsidR="007A19B4">
        <w:rPr>
          <w:rStyle w:val="FootnoteReference"/>
        </w:rPr>
        <w:t xml:space="preserve"> </w:t>
      </w:r>
      <w:r w:rsidRPr="00A03B40" w:rsidR="007A19B4">
        <w:t xml:space="preserve">SCE dedicates a minimum amount of the revolver to providing collateral on short notice to requesting </w:t>
      </w:r>
      <w:r w:rsidRPr="00A03B40" w:rsidR="006E5CA8">
        <w:t>counterparties</w:t>
      </w:r>
      <w:r w:rsidRPr="00A03B40" w:rsidR="007A19B4">
        <w:t xml:space="preserve">, representing the maximum collateral draw that may be made. The remainder of the revolver is free for </w:t>
      </w:r>
      <w:r w:rsidRPr="00A03B40" w:rsidR="006E5CA8">
        <w:t>general working capital needs.</w:t>
      </w:r>
      <w:r w:rsidRPr="00A03B40" w:rsidR="006E5CA8">
        <w:rPr>
          <w:rStyle w:val="FootnoteReference"/>
        </w:rPr>
        <w:footnoteReference w:id="196"/>
      </w:r>
      <w:r w:rsidRPr="00A03B40" w:rsidR="007A19B4">
        <w:t xml:space="preserve"> </w:t>
      </w:r>
    </w:p>
    <w:p w:rsidRPr="00A03B40" w:rsidR="002D75CC" w:rsidP="00F32EDF" w:rsidRDefault="007A19B4" w14:paraId="7DB5FE93" w14:textId="3EEA9C2C">
      <w:pPr>
        <w:pStyle w:val="Standard"/>
      </w:pPr>
      <w:r w:rsidRPr="00A03B40">
        <w:t xml:space="preserve">SCE’s </w:t>
      </w:r>
      <w:r w:rsidRPr="00A03B40" w:rsidR="00966226">
        <w:t xml:space="preserve">updated </w:t>
      </w:r>
      <w:r w:rsidRPr="00A03B40">
        <w:t>proposal would recover</w:t>
      </w:r>
      <w:r w:rsidRPr="00A03B40" w:rsidR="00DD14D8">
        <w:t xml:space="preserve"> </w:t>
      </w:r>
      <w:bookmarkStart w:name="_Hlk210895045" w:id="101"/>
      <w:r w:rsidRPr="00A03B40" w:rsidR="00DD14D8">
        <w:t xml:space="preserve">a </w:t>
      </w:r>
      <w:bookmarkStart w:name="_Hlk210830266" w:id="102"/>
      <w:r w:rsidRPr="00A03B40" w:rsidR="00DD14D8">
        <w:t xml:space="preserve">pro-rata share of the costs of the revolver, corresponding to the capacity required to support potential collateral requirements and balancing account </w:t>
      </w:r>
      <w:r w:rsidRPr="00A03B40" w:rsidR="0019301E">
        <w:t>under-collection</w:t>
      </w:r>
      <w:r w:rsidRPr="00A03B40" w:rsidR="00DD14D8">
        <w:t>s</w:t>
      </w:r>
      <w:r w:rsidRPr="00A03B40">
        <w:t xml:space="preserve"> in 2026</w:t>
      </w:r>
      <w:bookmarkEnd w:id="101"/>
      <w:bookmarkEnd w:id="102"/>
      <w:r w:rsidRPr="00A03B40" w:rsidR="00DD14D8">
        <w:t>.</w:t>
      </w:r>
      <w:r w:rsidRPr="00A03B40" w:rsidR="00DD14D8">
        <w:rPr>
          <w:rStyle w:val="FootnoteReference"/>
        </w:rPr>
        <w:footnoteReference w:id="197"/>
      </w:r>
      <w:r w:rsidRPr="00A03B40" w:rsidR="002A68CA">
        <w:t xml:space="preserve"> </w:t>
      </w:r>
      <w:r w:rsidRPr="00A03B40" w:rsidR="001B67B2">
        <w:t>The revolver has the following features and fee provisions:</w:t>
      </w:r>
    </w:p>
    <w:p w:rsidRPr="00A03B40" w:rsidR="001B67B2" w:rsidP="00C44216" w:rsidRDefault="001B67B2" w14:paraId="47F2BC47" w14:textId="4587A39B">
      <w:pPr>
        <w:pStyle w:val="ListParagraph"/>
        <w:numPr>
          <w:ilvl w:val="0"/>
          <w:numId w:val="20"/>
        </w:numPr>
        <w:spacing w:after="160" w:line="278" w:lineRule="auto"/>
        <w:ind w:left="1080" w:right="1440"/>
      </w:pPr>
      <w:r w:rsidRPr="00A03B40">
        <w:t xml:space="preserve">a $20,000 annual administrative </w:t>
      </w:r>
      <w:proofErr w:type="gramStart"/>
      <w:r w:rsidRPr="00A03B40">
        <w:t>fee;</w:t>
      </w:r>
      <w:proofErr w:type="gramEnd"/>
      <w:r w:rsidRPr="00A03B40">
        <w:t xml:space="preserve"> </w:t>
      </w:r>
    </w:p>
    <w:p w:rsidRPr="00A03B40" w:rsidR="001B67B2" w:rsidP="00C44216" w:rsidRDefault="001B67B2" w14:paraId="2C296964" w14:textId="4547233D">
      <w:pPr>
        <w:pStyle w:val="ListParagraph"/>
        <w:numPr>
          <w:ilvl w:val="0"/>
          <w:numId w:val="20"/>
        </w:numPr>
        <w:spacing w:after="160" w:line="278" w:lineRule="auto"/>
        <w:ind w:left="1080" w:right="1440"/>
      </w:pPr>
      <w:r w:rsidRPr="00A03B40">
        <w:t xml:space="preserve">a 17.5 basis point annual facility </w:t>
      </w:r>
      <w:proofErr w:type="gramStart"/>
      <w:r w:rsidRPr="00A03B40">
        <w:t>fee;</w:t>
      </w:r>
      <w:proofErr w:type="gramEnd"/>
      <w:r w:rsidRPr="00A03B40">
        <w:t xml:space="preserve"> </w:t>
      </w:r>
    </w:p>
    <w:p w:rsidRPr="00A03B40" w:rsidR="001B67B2" w:rsidP="009E4BA6" w:rsidRDefault="001B67B2" w14:paraId="5F902308" w14:textId="770B158E">
      <w:pPr>
        <w:pStyle w:val="ListParagraph"/>
        <w:numPr>
          <w:ilvl w:val="0"/>
          <w:numId w:val="20"/>
        </w:numPr>
        <w:spacing w:after="120" w:line="240" w:lineRule="auto"/>
        <w:ind w:left="1080" w:right="1440"/>
        <w:contextualSpacing w:val="0"/>
      </w:pPr>
      <w:r w:rsidRPr="00A03B40">
        <w:lastRenderedPageBreak/>
        <w:t xml:space="preserve">a 107.5 basis point participation fee on any outstanding letters of </w:t>
      </w:r>
      <w:proofErr w:type="gramStart"/>
      <w:r w:rsidRPr="00A03B40">
        <w:t>credit;</w:t>
      </w:r>
      <w:proofErr w:type="gramEnd"/>
      <w:r w:rsidRPr="00A03B40">
        <w:t xml:space="preserve"> </w:t>
      </w:r>
    </w:p>
    <w:p w:rsidRPr="00A03B40" w:rsidR="001B67B2" w:rsidP="00C44216" w:rsidRDefault="001B67B2" w14:paraId="03C08A77" w14:textId="06799A03">
      <w:pPr>
        <w:pStyle w:val="ListParagraph"/>
        <w:numPr>
          <w:ilvl w:val="0"/>
          <w:numId w:val="20"/>
        </w:numPr>
        <w:spacing w:after="160" w:line="278" w:lineRule="auto"/>
        <w:ind w:left="1080" w:right="1440"/>
      </w:pPr>
      <w:r w:rsidRPr="00A03B40">
        <w:t xml:space="preserve">a </w:t>
      </w:r>
      <w:proofErr w:type="gramStart"/>
      <w:r w:rsidRPr="00A03B40">
        <w:t>20 basis</w:t>
      </w:r>
      <w:proofErr w:type="gramEnd"/>
      <w:r w:rsidRPr="00A03B40">
        <w:t xml:space="preserve"> point issuer fee on any letters of credit; and </w:t>
      </w:r>
    </w:p>
    <w:p w:rsidRPr="00A03B40" w:rsidR="001B67B2" w:rsidP="009E4BA6" w:rsidRDefault="001B67B2" w14:paraId="08172BC5" w14:textId="62C9E9BE">
      <w:pPr>
        <w:pStyle w:val="ListParagraph"/>
        <w:numPr>
          <w:ilvl w:val="0"/>
          <w:numId w:val="20"/>
        </w:numPr>
        <w:spacing w:after="120" w:line="240" w:lineRule="auto"/>
        <w:ind w:left="1080" w:right="1440"/>
        <w:contextualSpacing w:val="0"/>
      </w:pPr>
      <w:r w:rsidRPr="00A03B40">
        <w:t>an Adjusted Daily Simple Secured Overnight Financing Rate plus 107.5 basis points borrowing (loan) rate.</w:t>
      </w:r>
      <w:r w:rsidRPr="00A03B40">
        <w:rPr>
          <w:rStyle w:val="FootnoteReference"/>
        </w:rPr>
        <w:footnoteReference w:id="198"/>
      </w:r>
      <w:r w:rsidRPr="00A03B40">
        <w:t xml:space="preserve"> </w:t>
      </w:r>
    </w:p>
    <w:p w:rsidRPr="00A03B40" w:rsidR="002D75CC" w:rsidP="005164A5" w:rsidRDefault="002D75CC" w14:paraId="029BC4A0" w14:textId="714305BC">
      <w:pPr>
        <w:pStyle w:val="Standard"/>
        <w:widowControl w:val="0"/>
        <w:contextualSpacing/>
      </w:pPr>
      <w:r w:rsidRPr="00A03B40">
        <w:t>SCE</w:t>
      </w:r>
      <w:r w:rsidRPr="00A03B40" w:rsidR="001B67B2">
        <w:t xml:space="preserve"> states that its</w:t>
      </w:r>
      <w:r w:rsidRPr="00A03B40" w:rsidR="00DD14D8">
        <w:t xml:space="preserve"> </w:t>
      </w:r>
      <w:r w:rsidRPr="00A03B40" w:rsidR="00F32EDF">
        <w:t xml:space="preserve">$3 billion </w:t>
      </w:r>
      <w:r w:rsidRPr="00A03B40" w:rsidR="00DD14D8">
        <w:t>commercial paper program will finance fuel inventories.</w:t>
      </w:r>
      <w:r w:rsidRPr="00A03B40" w:rsidR="002A68CA">
        <w:t xml:space="preserve"> </w:t>
      </w:r>
      <w:r w:rsidRPr="00A03B40" w:rsidR="00DD14D8">
        <w:t xml:space="preserve">SCE’s 2026 </w:t>
      </w:r>
      <w:r w:rsidRPr="00A03B40" w:rsidR="000C292B">
        <w:t xml:space="preserve">updated </w:t>
      </w:r>
      <w:r w:rsidRPr="00A03B40" w:rsidR="00A71215">
        <w:t xml:space="preserve">ERRA </w:t>
      </w:r>
      <w:r w:rsidRPr="00A03B40" w:rsidR="00DD14D8">
        <w:t>forecast assumes that the market for A</w:t>
      </w:r>
      <w:r w:rsidRPr="00A03B40" w:rsidR="00966226">
        <w:t>3</w:t>
      </w:r>
      <w:r w:rsidRPr="00A03B40" w:rsidR="00DD14D8">
        <w:t>/P2 commercial paper will continue to remain stable and that SCE will be able to utilize the commercial paper program for its short-term borrowing needs</w:t>
      </w:r>
      <w:r w:rsidRPr="00A03B40" w:rsidR="00F32EDF">
        <w:t>.</w:t>
      </w:r>
      <w:r w:rsidRPr="00A03B40" w:rsidR="001B67B2">
        <w:t xml:space="preserve"> In addition to the $3 billion borrowing capacity, SCE</w:t>
      </w:r>
      <w:r w:rsidRPr="00A03B40" w:rsidR="00F63F02">
        <w:t>’s</w:t>
      </w:r>
      <w:r w:rsidRPr="00A03B40" w:rsidR="001B67B2">
        <w:t xml:space="preserve"> </w:t>
      </w:r>
      <w:r w:rsidRPr="00A03B40" w:rsidR="000C292B">
        <w:t xml:space="preserve">October Update states that its </w:t>
      </w:r>
      <w:r w:rsidRPr="00A03B40" w:rsidR="001B67B2">
        <w:t>commercial paper program has A</w:t>
      </w:r>
      <w:r w:rsidRPr="00A03B40" w:rsidR="00966226">
        <w:t>3</w:t>
      </w:r>
      <w:r w:rsidRPr="00A03B40" w:rsidR="001B67B2">
        <w:t xml:space="preserve">/P2/F3 rating and a </w:t>
      </w:r>
      <w:proofErr w:type="gramStart"/>
      <w:r w:rsidRPr="00A03B40" w:rsidR="001B67B2">
        <w:t>five basis</w:t>
      </w:r>
      <w:proofErr w:type="gramEnd"/>
      <w:r w:rsidRPr="00A03B40" w:rsidR="001B67B2">
        <w:t xml:space="preserve"> point annualized dealer fee for each issue.</w:t>
      </w:r>
      <w:r w:rsidRPr="00A03B40" w:rsidR="001B67B2">
        <w:rPr>
          <w:rStyle w:val="FootnoteReference"/>
        </w:rPr>
        <w:footnoteReference w:id="199"/>
      </w:r>
    </w:p>
    <w:p w:rsidRPr="00A03B40" w:rsidR="005164A5" w:rsidP="005164A5" w:rsidRDefault="00F32EDF" w14:paraId="3BD6EA8F" w14:textId="333FEE11">
      <w:pPr>
        <w:pStyle w:val="Standard"/>
        <w:widowControl w:val="0"/>
      </w:pPr>
      <w:r w:rsidRPr="00A03B40">
        <w:t xml:space="preserve">SCE </w:t>
      </w:r>
      <w:r w:rsidRPr="00A03B40" w:rsidR="006E5CA8">
        <w:t xml:space="preserve">testifies that it </w:t>
      </w:r>
      <w:r w:rsidRPr="00A03B40">
        <w:t xml:space="preserve">will provide </w:t>
      </w:r>
      <w:r w:rsidRPr="00A03B40" w:rsidR="005164A5">
        <w:t xml:space="preserve">letters of credit as </w:t>
      </w:r>
      <w:r w:rsidRPr="00A03B40">
        <w:t xml:space="preserve">collateral </w:t>
      </w:r>
      <w:r w:rsidRPr="00A03B40" w:rsidR="005164A5">
        <w:t>for most counterparties</w:t>
      </w:r>
      <w:r w:rsidRPr="00A03B40">
        <w:t>.</w:t>
      </w:r>
      <w:r w:rsidRPr="00A03B40" w:rsidR="00C42C77">
        <w:rPr>
          <w:rStyle w:val="FootnoteReference"/>
        </w:rPr>
        <w:footnoteReference w:id="200"/>
      </w:r>
      <w:r w:rsidRPr="00A03B40" w:rsidR="002A68CA">
        <w:t xml:space="preserve"> </w:t>
      </w:r>
      <w:r w:rsidRPr="00A03B40" w:rsidR="006E5CA8">
        <w:t>SCE intends to charge the</w:t>
      </w:r>
      <w:r w:rsidRPr="00A03B40">
        <w:t xml:space="preserve"> participation and issuer fees associated with each </w:t>
      </w:r>
      <w:r w:rsidRPr="00A03B40" w:rsidR="006E5CA8">
        <w:t>letter of credit</w:t>
      </w:r>
      <w:r w:rsidRPr="00A03B40">
        <w:t xml:space="preserve"> issued under the revolver or via bilateral uncommitted agreements to the appropriate balancing accounts.</w:t>
      </w:r>
    </w:p>
    <w:p w:rsidRPr="00A03B40" w:rsidR="003158A5" w:rsidP="00AE5148" w:rsidRDefault="003158A5" w14:paraId="15FD0BFD" w14:textId="0D2E89C4">
      <w:pPr>
        <w:pStyle w:val="Standard"/>
      </w:pPr>
      <w:r w:rsidRPr="00A03B40">
        <w:t xml:space="preserve">SCE separately forecasts fuel inventory, GHG procurement compliance, and power procurement collateral requirement carrying costs for its </w:t>
      </w:r>
      <w:r w:rsidRPr="00A03B40" w:rsidR="000C292B">
        <w:t xml:space="preserve">updated </w:t>
      </w:r>
      <w:r w:rsidRPr="00A03B40">
        <w:t xml:space="preserve">2026 ERRA </w:t>
      </w:r>
      <w:r w:rsidRPr="00A03B40" w:rsidR="00CC7C11">
        <w:t>forecast</w:t>
      </w:r>
      <w:r w:rsidRPr="00A03B40">
        <w:t>.</w:t>
      </w:r>
      <w:r w:rsidRPr="00A03B40" w:rsidR="002A68CA">
        <w:t xml:space="preserve"> </w:t>
      </w:r>
      <w:r w:rsidRPr="00A03B40">
        <w:t>First, SCE</w:t>
      </w:r>
      <w:r w:rsidRPr="00A03B40" w:rsidR="005164A5">
        <w:t xml:space="preserve"> states that its</w:t>
      </w:r>
      <w:r w:rsidRPr="00A03B40">
        <w:t xml:space="preserve"> fuel inventory carrying costs consist of </w:t>
      </w:r>
      <w:r w:rsidRPr="00A03B40" w:rsidR="006E5CA8">
        <w:t xml:space="preserve">the </w:t>
      </w:r>
      <w:r w:rsidRPr="00A03B40" w:rsidR="005164A5">
        <w:t xml:space="preserve">carrying </w:t>
      </w:r>
      <w:r w:rsidRPr="00A03B40" w:rsidR="006E5CA8">
        <w:t xml:space="preserve">costs related to </w:t>
      </w:r>
      <w:r w:rsidRPr="00A03B40" w:rsidR="00B340AB">
        <w:t xml:space="preserve">(1) </w:t>
      </w:r>
      <w:r w:rsidRPr="00A03B40" w:rsidR="006E5CA8">
        <w:t xml:space="preserve">its </w:t>
      </w:r>
      <w:r w:rsidRPr="00A03B40">
        <w:t xml:space="preserve">in-core nuclear fuel associated with its ownership interest in the PVNGS, </w:t>
      </w:r>
      <w:r w:rsidRPr="00A03B40" w:rsidR="00B340AB">
        <w:t xml:space="preserve">(2) </w:t>
      </w:r>
      <w:r w:rsidRPr="00A03B40">
        <w:t xml:space="preserve">natural gas storage and imbalance, and </w:t>
      </w:r>
      <w:bookmarkStart w:name="_Hlk210831200" w:id="103"/>
      <w:r w:rsidRPr="00A03B40" w:rsidR="00B340AB">
        <w:t>(3)</w:t>
      </w:r>
      <w:r w:rsidR="00C167E1">
        <w:t> </w:t>
      </w:r>
      <w:r w:rsidRPr="00A03B40">
        <w:t>diesel fuel for the diesel generators on Catalina Island</w:t>
      </w:r>
      <w:bookmarkEnd w:id="103"/>
      <w:r w:rsidRPr="00A03B40">
        <w:t>.</w:t>
      </w:r>
      <w:r w:rsidRPr="00A03B40" w:rsidR="002A68CA">
        <w:t xml:space="preserve"> </w:t>
      </w:r>
      <w:bookmarkStart w:name="_Hlk210831228" w:id="104"/>
      <w:r w:rsidRPr="00A03B40">
        <w:t xml:space="preserve">The projected costs are based on forecast average monthly inventory balances for these resources and </w:t>
      </w:r>
      <w:r w:rsidRPr="00A03B40">
        <w:lastRenderedPageBreak/>
        <w:t xml:space="preserve">the 2026 </w:t>
      </w:r>
      <w:r w:rsidRPr="00A03B40" w:rsidR="00966226">
        <w:t xml:space="preserve">forecast </w:t>
      </w:r>
      <w:r w:rsidRPr="00A03B40">
        <w:t>carrying cost rate.</w:t>
      </w:r>
      <w:bookmarkEnd w:id="104"/>
      <w:r w:rsidRPr="00A03B40" w:rsidR="002A68CA">
        <w:t xml:space="preserve"> </w:t>
      </w:r>
      <w:r w:rsidRPr="00A03B40">
        <w:t>Because short</w:t>
      </w:r>
      <w:r w:rsidRPr="00A03B40" w:rsidR="007926E9">
        <w:t>-</w:t>
      </w:r>
      <w:r w:rsidRPr="00A03B40">
        <w:t>term debt is assumed to finance the total forecast fuel inventory, the carrying cost forecast is calculated as the interest on the debt necessary to fund the inventory.</w:t>
      </w:r>
      <w:r w:rsidRPr="00A03B40">
        <w:rPr>
          <w:rStyle w:val="FootnoteReference"/>
        </w:rPr>
        <w:footnoteReference w:id="201"/>
      </w:r>
    </w:p>
    <w:p w:rsidRPr="00A03B40" w:rsidR="003158A5" w:rsidP="008769AB" w:rsidRDefault="003158A5" w14:paraId="7AD8543A" w14:textId="1585F11F">
      <w:pPr>
        <w:pStyle w:val="Standard"/>
      </w:pPr>
      <w:r w:rsidRPr="00A03B40">
        <w:t>SCE also includes a</w:t>
      </w:r>
      <w:r w:rsidRPr="00A03B40" w:rsidR="000C292B">
        <w:t>n updated</w:t>
      </w:r>
      <w:r w:rsidRPr="00A03B40">
        <w:t xml:space="preserve"> forecast </w:t>
      </w:r>
      <w:proofErr w:type="gramStart"/>
      <w:r w:rsidRPr="00A03B40">
        <w:t>of</w:t>
      </w:r>
      <w:proofErr w:type="gramEnd"/>
      <w:r w:rsidRPr="00A03B40">
        <w:t xml:space="preserve"> its GHG procurement compliance carrying costs.</w:t>
      </w:r>
      <w:r w:rsidRPr="00A03B40" w:rsidR="002A68CA">
        <w:t xml:space="preserve"> </w:t>
      </w:r>
      <w:r w:rsidRPr="00A03B40">
        <w:t>SCE is authorized to recover the actual interest expense associated with the cash outlays to meet GHG procurement compliance costs.</w:t>
      </w:r>
      <w:r w:rsidRPr="00A03B40" w:rsidR="008769AB">
        <w:rPr>
          <w:rStyle w:val="FootnoteReference"/>
        </w:rPr>
        <w:footnoteReference w:id="202"/>
      </w:r>
      <w:r w:rsidRPr="00A03B40" w:rsidR="002A68CA">
        <w:t xml:space="preserve"> </w:t>
      </w:r>
      <w:r w:rsidRPr="00A03B40" w:rsidR="008769AB">
        <w:t xml:space="preserve">To forecast </w:t>
      </w:r>
      <w:r w:rsidRPr="00A03B40" w:rsidR="00B40720">
        <w:t>these</w:t>
      </w:r>
      <w:r w:rsidRPr="00A03B40" w:rsidR="008769AB">
        <w:t xml:space="preserve"> costs, SCE uses historical GHG inventory </w:t>
      </w:r>
      <w:r w:rsidRPr="00A03B40" w:rsidR="00B40720">
        <w:t>amounts</w:t>
      </w:r>
      <w:r w:rsidRPr="00A03B40" w:rsidR="008769AB">
        <w:t xml:space="preserve"> and the applicable interest rate (here, the 90-Day non-financial Commercial Paper Rate).</w:t>
      </w:r>
      <w:r w:rsidRPr="00A03B40" w:rsidR="008769AB">
        <w:rPr>
          <w:rStyle w:val="FootnoteReference"/>
        </w:rPr>
        <w:footnoteReference w:id="203"/>
      </w:r>
    </w:p>
    <w:p w:rsidRPr="00A03B40" w:rsidR="008769AB" w:rsidP="008769AB" w:rsidRDefault="008769AB" w14:paraId="0B09A4D1" w14:textId="6C95EF13">
      <w:pPr>
        <w:pStyle w:val="Standard"/>
      </w:pPr>
      <w:bookmarkStart w:name="_Hlk210896875" w:id="105"/>
      <w:r w:rsidRPr="00A03B40">
        <w:t xml:space="preserve">Finally, SCE forecasts the carrying costs associated with </w:t>
      </w:r>
      <w:r w:rsidRPr="00A03B40" w:rsidR="007926E9">
        <w:t>it</w:t>
      </w:r>
      <w:r w:rsidRPr="00A03B40">
        <w:t>s collateral requirements necessary to procure power, based on average collateral requirements and the projected terms of SCE’s revolver</w:t>
      </w:r>
      <w:bookmarkEnd w:id="105"/>
      <w:r w:rsidRPr="00A03B40">
        <w:t>, described above.</w:t>
      </w:r>
      <w:r w:rsidRPr="00A03B40" w:rsidR="00B340AB">
        <w:rPr>
          <w:rStyle w:val="FootnoteReference"/>
        </w:rPr>
        <w:footnoteReference w:id="204"/>
      </w:r>
    </w:p>
    <w:p w:rsidRPr="00A03B40" w:rsidR="00AE5148" w:rsidP="008769AB" w:rsidRDefault="00E006B6" w14:paraId="4CED67BD" w14:textId="0DB766C3">
      <w:pPr>
        <w:pStyle w:val="Standard"/>
      </w:pPr>
      <w:r w:rsidRPr="00A03B40">
        <w:t xml:space="preserve">No intervenor addressed SCE’s forecast subscription fees, financing costs, or carrying costs as described in its testimony, </w:t>
      </w:r>
      <w:proofErr w:type="gramStart"/>
      <w:r w:rsidRPr="00A03B40">
        <w:t>workpapers</w:t>
      </w:r>
      <w:proofErr w:type="gramEnd"/>
      <w:r w:rsidRPr="00A03B40">
        <w:t xml:space="preserve">, and </w:t>
      </w:r>
      <w:r w:rsidRPr="00A03B40" w:rsidR="009B2879">
        <w:t xml:space="preserve">Amended </w:t>
      </w:r>
      <w:r w:rsidRPr="00A03B40">
        <w:t xml:space="preserve">October Update documents. Upon review, we find </w:t>
      </w:r>
      <w:r w:rsidRPr="00A03B40" w:rsidR="009B2879">
        <w:t>SCE’s</w:t>
      </w:r>
      <w:r w:rsidRPr="00A03B40">
        <w:t xml:space="preserve"> 2026 forecasts for subscription fees</w:t>
      </w:r>
      <w:r w:rsidRPr="00A03B40" w:rsidR="009B2879">
        <w:t>,</w:t>
      </w:r>
      <w:r w:rsidRPr="00A03B40">
        <w:t xml:space="preserve"> financing costs</w:t>
      </w:r>
      <w:r w:rsidRPr="00A03B40" w:rsidR="009B2879">
        <w:t>,</w:t>
      </w:r>
      <w:r w:rsidRPr="00A03B40">
        <w:t xml:space="preserve"> and carrying costs for 2026 as described above to be </w:t>
      </w:r>
      <w:r w:rsidRPr="00A03B40" w:rsidR="009B2879">
        <w:t xml:space="preserve">consistent with Commission decisions authorizing recovery of such costs, </w:t>
      </w:r>
      <w:r w:rsidRPr="00A03B40">
        <w:t>reasonable</w:t>
      </w:r>
      <w:r w:rsidRPr="00A03B40" w:rsidR="009B2879">
        <w:t>,</w:t>
      </w:r>
      <w:r w:rsidRPr="00A03B40">
        <w:t xml:space="preserve"> and therefore </w:t>
      </w:r>
      <w:r w:rsidRPr="00A03B40" w:rsidR="009B2879">
        <w:t>approve them for</w:t>
      </w:r>
      <w:r w:rsidRPr="00A03B40">
        <w:t xml:space="preserve"> </w:t>
      </w:r>
      <w:r w:rsidRPr="00A03B40" w:rsidR="009B2879">
        <w:t xml:space="preserve">inclusion in SCE’s </w:t>
      </w:r>
      <w:r w:rsidRPr="00A03B40">
        <w:t>202</w:t>
      </w:r>
      <w:r w:rsidRPr="00A03B40" w:rsidR="009B2879">
        <w:t>6 revenue requirement</w:t>
      </w:r>
      <w:r w:rsidRPr="00A03B40">
        <w:t>.</w:t>
      </w:r>
    </w:p>
    <w:p w:rsidRPr="00A03B40" w:rsidR="00F275D8" w:rsidP="00F275D8" w:rsidRDefault="00F275D8" w14:paraId="467DB155" w14:textId="6AAA05DA">
      <w:pPr>
        <w:pStyle w:val="Heading1"/>
      </w:pPr>
      <w:bookmarkStart w:name="_Toc214629882" w:id="106"/>
      <w:r w:rsidRPr="00A03B40">
        <w:lastRenderedPageBreak/>
        <w:t xml:space="preserve">Greenhouse Gas </w:t>
      </w:r>
      <w:r w:rsidRPr="00A03B40" w:rsidR="0033596E">
        <w:t xml:space="preserve">Forecast Emissions Costs, </w:t>
      </w:r>
      <w:r w:rsidRPr="00A03B40" w:rsidR="00FC7887">
        <w:t xml:space="preserve">Allowance </w:t>
      </w:r>
      <w:r w:rsidRPr="00A03B40" w:rsidR="00D44F00">
        <w:t>Revenue</w:t>
      </w:r>
      <w:r w:rsidRPr="00A03B40" w:rsidR="00FC7887">
        <w:t>s</w:t>
      </w:r>
      <w:r w:rsidRPr="00A03B40" w:rsidR="0033596E">
        <w:t>, Program Allocations, and</w:t>
      </w:r>
      <w:r w:rsidRPr="00A03B40" w:rsidR="00FC7887">
        <w:t xml:space="preserve"> Customer Returns</w:t>
      </w:r>
      <w:bookmarkEnd w:id="106"/>
      <w:r w:rsidRPr="00A03B40" w:rsidR="0033596E">
        <w:t xml:space="preserve"> </w:t>
      </w:r>
    </w:p>
    <w:p w:rsidRPr="00A03B40" w:rsidR="0033596E" w:rsidP="0033596E" w:rsidRDefault="0033596E" w14:paraId="6FB68608" w14:textId="66EEE689">
      <w:pPr>
        <w:pStyle w:val="Standard"/>
      </w:pPr>
      <w:r w:rsidRPr="00A03B40">
        <w:t xml:space="preserve">AB 32 authorized the California Air Resources Board (CARB) to create a market-based program to reduce California’s GHG emissions, leading CARB to create the Cap-and-Trade program. Cap-and-Trade program rules establish a cap on the total emissions that certain emitters can produce each year, measured in metric tons of carbon dioxide equivalent; the cap decreases each year. Utilities must surrender enough </w:t>
      </w:r>
      <w:r w:rsidR="000D2376">
        <w:t>compliance instruments</w:t>
      </w:r>
      <w:r w:rsidRPr="00A03B40" w:rsidR="000D2376">
        <w:t xml:space="preserve"> </w:t>
      </w:r>
      <w:r w:rsidRPr="00A03B40">
        <w:t xml:space="preserve">to the State each year to equal their specific compliance obligation based on their expected emissions. </w:t>
      </w:r>
      <w:r w:rsidRPr="00A03B40" w:rsidR="00054B37">
        <w:t>The program is intended to reduce California’s economy-wide GHG emissions to 40</w:t>
      </w:r>
      <w:r w:rsidR="009E4BA6">
        <w:t> </w:t>
      </w:r>
      <w:r w:rsidRPr="00A03B40" w:rsidR="00054B37">
        <w:t>percent below 1990 levels by 2030.</w:t>
      </w:r>
      <w:r w:rsidRPr="00A03B40" w:rsidR="00054B37">
        <w:rPr>
          <w:rStyle w:val="FootnoteReference"/>
        </w:rPr>
        <w:footnoteReference w:id="205"/>
      </w:r>
      <w:r w:rsidRPr="00A03B40" w:rsidR="00054B37">
        <w:t xml:space="preserve"> </w:t>
      </w:r>
      <w:bookmarkStart w:name="_Hlk210996928" w:id="107"/>
      <w:r w:rsidRPr="00A03B40">
        <w:t>Because SCE still owns, operates, and procures power from GHG-emitting resources, it continues to incur emissions costs associated with the program.</w:t>
      </w:r>
      <w:bookmarkEnd w:id="107"/>
      <w:r w:rsidRPr="00A03B40">
        <w:t xml:space="preserve"> </w:t>
      </w:r>
      <w:r w:rsidRPr="00A03B40" w:rsidR="00E33A5F">
        <w:t>SCE’s forecast 2026 GHG emissions costs are discussed in Section 6.1.</w:t>
      </w:r>
    </w:p>
    <w:p w:rsidRPr="00A03B40" w:rsidR="00E33A5F" w:rsidP="0033596E" w:rsidRDefault="00A64987" w14:paraId="325E1056" w14:textId="62F98093">
      <w:pPr>
        <w:pStyle w:val="Standard"/>
      </w:pPr>
      <w:r w:rsidRPr="00A03B40">
        <w:t xml:space="preserve">In addition to its own emissions compliance activities, SCE engages in the processes used to help Californians offset the increase in energy costs </w:t>
      </w:r>
      <w:r w:rsidRPr="00A03B40" w:rsidR="000C7B2F">
        <w:t>that result from Cap-and-Trade.</w:t>
      </w:r>
      <w:r w:rsidRPr="00A03B40" w:rsidR="000C7B2F">
        <w:rPr>
          <w:rStyle w:val="FootnoteReference"/>
        </w:rPr>
        <w:footnoteReference w:id="206"/>
      </w:r>
      <w:r w:rsidRPr="00A03B40" w:rsidR="000C7B2F">
        <w:t xml:space="preserve"> </w:t>
      </w:r>
      <w:r w:rsidRPr="00A03B40" w:rsidR="0033596E">
        <w:t>Each year</w:t>
      </w:r>
      <w:r w:rsidRPr="00A03B40" w:rsidR="00E33A5F">
        <w:t xml:space="preserve">, CARB allocates GHG allowances to each of California’s electric IOUs as part of </w:t>
      </w:r>
      <w:r w:rsidRPr="00A03B40" w:rsidR="000C7B2F">
        <w:t xml:space="preserve">the </w:t>
      </w:r>
      <w:r w:rsidRPr="00A03B40" w:rsidR="00E33A5F">
        <w:t xml:space="preserve">Cap-and-Trade program. The IOUs sell these allowances at quarterly auctions and return the proceeds to ratepayers after program administration costs are deducted and after dedicating a portion of the funds for specific clean energy programs. The elements of SCE’s forecast </w:t>
      </w:r>
      <w:proofErr w:type="gramStart"/>
      <w:r w:rsidRPr="00A03B40" w:rsidR="00E33A5F">
        <w:t>of</w:t>
      </w:r>
      <w:proofErr w:type="gramEnd"/>
      <w:r w:rsidRPr="00A03B40" w:rsidR="00E33A5F">
        <w:t xml:space="preserve"> 2026 GHG allowance revenue returns are discussed in Sections 6.2-6.</w:t>
      </w:r>
      <w:r w:rsidRPr="00A03B40" w:rsidR="000C7B2F">
        <w:t>5</w:t>
      </w:r>
      <w:r w:rsidRPr="00A03B40" w:rsidR="00E33A5F">
        <w:t xml:space="preserve">. </w:t>
      </w:r>
    </w:p>
    <w:p w:rsidR="00C85F04" w:rsidP="0033596E" w:rsidRDefault="00E33A5F" w14:paraId="5792E604" w14:textId="77777777">
      <w:pPr>
        <w:pStyle w:val="Standard"/>
      </w:pPr>
      <w:r w:rsidRPr="00A03B40">
        <w:lastRenderedPageBreak/>
        <w:t xml:space="preserve">The Commission </w:t>
      </w:r>
      <w:r w:rsidRPr="00A03B40" w:rsidR="009E4D3E">
        <w:t xml:space="preserve">adopted </w:t>
      </w:r>
      <w:r w:rsidRPr="00A03B40">
        <w:t xml:space="preserve">standard procedures for electric utilities to forecast GHG emissions costs and to request approval of GHG forecast revenues and revenue returns in D.14-10-033. D.14-10-033 included a series of standard templates for utilities to use to structure their requests and demonstrate compliance with the Commission’s </w:t>
      </w:r>
      <w:r w:rsidRPr="00A03B40" w:rsidR="009E4D3E">
        <w:t xml:space="preserve">approved </w:t>
      </w:r>
      <w:r w:rsidRPr="00A03B40">
        <w:t>methodolog</w:t>
      </w:r>
      <w:r w:rsidRPr="00A03B40" w:rsidR="009E4D3E">
        <w:t xml:space="preserve">ies (Templates </w:t>
      </w:r>
    </w:p>
    <w:p w:rsidRPr="00A03B40" w:rsidR="0033596E" w:rsidP="00C85F04" w:rsidRDefault="009E4D3E" w14:paraId="7C5D95F4" w14:textId="6DB86F4E">
      <w:pPr>
        <w:pStyle w:val="Standard"/>
        <w:ind w:firstLine="0"/>
      </w:pPr>
      <w:r w:rsidRPr="00A03B40">
        <w:t>D1-D5)</w:t>
      </w:r>
      <w:r w:rsidRPr="00A03B40" w:rsidR="00E33A5F">
        <w:t>.</w:t>
      </w:r>
      <w:r w:rsidRPr="00A03B40" w:rsidR="00E33A5F">
        <w:rPr>
          <w:rStyle w:val="FootnoteReference"/>
        </w:rPr>
        <w:footnoteReference w:id="207"/>
      </w:r>
      <w:r w:rsidRPr="00A03B40" w:rsidR="00E33A5F">
        <w:t xml:space="preserve"> </w:t>
      </w:r>
      <w:r w:rsidRPr="00A03B40">
        <w:t xml:space="preserve">D.14-10-033 also adopted Confidentiality Protocols for Cap-and-Trade-related data. </w:t>
      </w:r>
      <w:r w:rsidRPr="00A03B40" w:rsidR="00E33A5F">
        <w:t>In D.21-08-</w:t>
      </w:r>
      <w:r w:rsidRPr="00A03B40" w:rsidR="00E11DBC">
        <w:t>0</w:t>
      </w:r>
      <w:r w:rsidRPr="00A03B40" w:rsidR="00E33A5F">
        <w:t xml:space="preserve">26, the Commission adopted standards for updates </w:t>
      </w:r>
      <w:r w:rsidRPr="00A03B40">
        <w:t>to the GHG cost and revenue allocation templates.</w:t>
      </w:r>
      <w:r w:rsidRPr="00A03B40" w:rsidR="00E11DBC">
        <w:rPr>
          <w:rStyle w:val="FootnoteReference"/>
        </w:rPr>
        <w:footnoteReference w:id="208"/>
      </w:r>
      <w:r w:rsidRPr="00A03B40">
        <w:t xml:space="preserve"> Other Commission decisions have made changes to components of this analysis, as described below. We apply the standards adopted in these decisions to determine the reasonableness of </w:t>
      </w:r>
      <w:r w:rsidRPr="00A03B40" w:rsidR="000C7B2F">
        <w:t>SCE’s forecast costs,</w:t>
      </w:r>
      <w:r w:rsidRPr="00A03B40">
        <w:t xml:space="preserve"> revenue</w:t>
      </w:r>
      <w:r w:rsidRPr="00A03B40" w:rsidR="000C7B2F">
        <w:t>s,</w:t>
      </w:r>
      <w:r w:rsidRPr="00A03B40">
        <w:t xml:space="preserve"> and </w:t>
      </w:r>
      <w:r w:rsidRPr="00A03B40" w:rsidR="000C7B2F">
        <w:t>proposed return allocations</w:t>
      </w:r>
      <w:r w:rsidRPr="00A03B40">
        <w:t>.</w:t>
      </w:r>
    </w:p>
    <w:p w:rsidRPr="00A03B40" w:rsidR="0033596E" w:rsidP="0033596E" w:rsidRDefault="0033596E" w14:paraId="47EDD9DE" w14:textId="35B5096F">
      <w:pPr>
        <w:pStyle w:val="Heading2"/>
      </w:pPr>
      <w:bookmarkStart w:name="_Toc214629883" w:id="108"/>
      <w:r w:rsidRPr="00A03B40">
        <w:t xml:space="preserve">Greenhouse Gas </w:t>
      </w:r>
      <w:r w:rsidRPr="00A03B40" w:rsidR="002A4CDC">
        <w:t xml:space="preserve">Forecasts: </w:t>
      </w:r>
      <w:r w:rsidR="00C85F04">
        <w:br/>
      </w:r>
      <w:r w:rsidRPr="00A03B40">
        <w:t>Emissions Costs</w:t>
      </w:r>
      <w:bookmarkEnd w:id="108"/>
      <w:r w:rsidRPr="00A03B40">
        <w:t xml:space="preserve"> </w:t>
      </w:r>
    </w:p>
    <w:p w:rsidRPr="00A03B40" w:rsidR="0033596E" w:rsidP="0033596E" w:rsidRDefault="0033596E" w14:paraId="0ACBF4C4" w14:textId="58D40009">
      <w:pPr>
        <w:pStyle w:val="Standard"/>
      </w:pPr>
      <w:r w:rsidRPr="00A03B40">
        <w:t xml:space="preserve">SCE includes in its </w:t>
      </w:r>
      <w:r w:rsidRPr="00A03B40" w:rsidR="00215A87">
        <w:t xml:space="preserve">updated </w:t>
      </w:r>
      <w:r w:rsidRPr="00A03B40">
        <w:t xml:space="preserve">ERRA forecast </w:t>
      </w:r>
      <w:bookmarkStart w:name="_Hlk210997524" w:id="109"/>
      <w:r w:rsidRPr="00A03B40">
        <w:t>$3</w:t>
      </w:r>
      <w:r w:rsidRPr="00A03B40" w:rsidR="00215A87">
        <w:t>49</w:t>
      </w:r>
      <w:r w:rsidRPr="00A03B40">
        <w:t>.</w:t>
      </w:r>
      <w:r w:rsidRPr="00A03B40" w:rsidR="00215A87">
        <w:t>789</w:t>
      </w:r>
      <w:r w:rsidRPr="00A03B40">
        <w:t xml:space="preserve"> million </w:t>
      </w:r>
      <w:bookmarkEnd w:id="109"/>
      <w:r w:rsidRPr="00A03B40">
        <w:t xml:space="preserve">in costs SCE expects to incur to comply with the Cap-and-Trade </w:t>
      </w:r>
      <w:r w:rsidRPr="00A03B40" w:rsidR="00157E37">
        <w:t>p</w:t>
      </w:r>
      <w:r w:rsidRPr="00A03B40">
        <w:t>rogram in 2026.</w:t>
      </w:r>
      <w:r w:rsidRPr="00A03B40" w:rsidR="000C7B2F">
        <w:rPr>
          <w:rStyle w:val="FootnoteReference"/>
        </w:rPr>
        <w:footnoteReference w:id="209"/>
      </w:r>
      <w:r w:rsidRPr="00A03B40">
        <w:t xml:space="preserve"> SCE and other IOUs in California began incurring costs related to the Cap-and-Trade </w:t>
      </w:r>
      <w:r w:rsidRPr="00A03B40" w:rsidR="00157E37">
        <w:t>p</w:t>
      </w:r>
      <w:r w:rsidRPr="00A03B40">
        <w:t xml:space="preserve">rogram in January 2013. </w:t>
      </w:r>
    </w:p>
    <w:p w:rsidRPr="00A03B40" w:rsidR="0033596E" w:rsidP="000C7B2F" w:rsidRDefault="0033596E" w14:paraId="267AF87E" w14:textId="55750DB0">
      <w:pPr>
        <w:pStyle w:val="Standard"/>
      </w:pPr>
      <w:r w:rsidRPr="00A03B40">
        <w:t xml:space="preserve">D.14-10-033 states that GHG emissions costs are </w:t>
      </w:r>
      <w:r w:rsidRPr="00A03B40" w:rsidR="00054B37">
        <w:t>forecast</w:t>
      </w:r>
      <w:r w:rsidRPr="00A03B40">
        <w:t>, at a high level, by multiplying a forecast of GHG allowances needed (which, in turn, is based on a volume of expected GHG emissions) by a forecast GHG emissions proxy price.</w:t>
      </w:r>
      <w:r w:rsidRPr="00A03B40">
        <w:rPr>
          <w:rStyle w:val="FootnoteReference"/>
        </w:rPr>
        <w:footnoteReference w:id="210"/>
      </w:r>
      <w:r w:rsidRPr="00A03B40">
        <w:t xml:space="preserve"> </w:t>
      </w:r>
      <w:r w:rsidRPr="00A03B40" w:rsidR="000C7B2F">
        <w:t xml:space="preserve">SCE’s emissions costs can be broken into direct GHG </w:t>
      </w:r>
      <w:r w:rsidRPr="00A03B40" w:rsidR="00157E37">
        <w:t xml:space="preserve">emissions </w:t>
      </w:r>
      <w:r w:rsidRPr="00A03B40" w:rsidR="000C7B2F">
        <w:t xml:space="preserve">costs and indirect </w:t>
      </w:r>
      <w:r w:rsidRPr="00A03B40" w:rsidR="00157E37">
        <w:lastRenderedPageBreak/>
        <w:t>GHG emissions</w:t>
      </w:r>
      <w:r w:rsidRPr="00A03B40" w:rsidR="000C7B2F">
        <w:t xml:space="preserve"> costs. </w:t>
      </w:r>
      <w:r w:rsidRPr="00A03B40">
        <w:t xml:space="preserve">While a split of </w:t>
      </w:r>
      <w:r w:rsidRPr="00A03B40" w:rsidR="000C7B2F">
        <w:t xml:space="preserve">forecast </w:t>
      </w:r>
      <w:r w:rsidRPr="00A03B40">
        <w:t>total GHG emissions costs into direct and indirect costs is confidential per Commission rules,</w:t>
      </w:r>
      <w:r w:rsidRPr="00A03B40">
        <w:rPr>
          <w:rStyle w:val="FootnoteReference"/>
        </w:rPr>
        <w:footnoteReference w:id="211"/>
      </w:r>
      <w:r w:rsidRPr="00A03B40">
        <w:t xml:space="preserve"> we describe the general methodologies </w:t>
      </w:r>
      <w:r w:rsidRPr="00A03B40" w:rsidR="00054B37">
        <w:t xml:space="preserve">SCE </w:t>
      </w:r>
      <w:r w:rsidRPr="00A03B40">
        <w:t>use</w:t>
      </w:r>
      <w:r w:rsidRPr="00A03B40" w:rsidR="00054B37">
        <w:t>s</w:t>
      </w:r>
      <w:r w:rsidRPr="00A03B40">
        <w:t xml:space="preserve"> to develop these subtotals below.</w:t>
      </w:r>
    </w:p>
    <w:p w:rsidRPr="00A03B40" w:rsidR="0033596E" w:rsidP="0033596E" w:rsidRDefault="0033596E" w14:paraId="569BB005" w14:textId="146CE31A">
      <w:pPr>
        <w:pStyle w:val="Standard"/>
      </w:pPr>
      <w:r w:rsidRPr="00A03B40">
        <w:t>SCE calculates the first component of the equation, emissions volumes, differently for different resource types.</w:t>
      </w:r>
      <w:r w:rsidRPr="00A03B40">
        <w:rPr>
          <w:rStyle w:val="FootnoteReference"/>
        </w:rPr>
        <w:footnoteReference w:id="212"/>
      </w:r>
      <w:r w:rsidRPr="00A03B40">
        <w:t xml:space="preserve"> First, SCE incurs direct GHG costs that are either the cost of a compliance instrument (</w:t>
      </w:r>
      <w:r w:rsidRPr="00C85F04">
        <w:rPr>
          <w:i/>
          <w:iCs/>
        </w:rPr>
        <w:t>e.g.,</w:t>
      </w:r>
      <w:r w:rsidRPr="00A03B40">
        <w:t xml:space="preserve"> an allowance</w:t>
      </w:r>
      <w:r w:rsidR="00560C3F">
        <w:t xml:space="preserve"> or an offset</w:t>
      </w:r>
      <w:r w:rsidRPr="00A03B40">
        <w:t>) SCE is required to surrender to CARB (compliance costs)</w:t>
      </w:r>
      <w:r w:rsidRPr="00A03B40">
        <w:rPr>
          <w:rStyle w:val="FootnoteReference"/>
        </w:rPr>
        <w:footnoteReference w:id="213"/>
      </w:r>
      <w:r w:rsidRPr="00A03B40">
        <w:t xml:space="preserve"> or the reimbursement for compliance instruments that third party generators with whom SCE has procurement contracts must surrender to CARB (procurement contract costs).</w:t>
      </w:r>
      <w:r w:rsidRPr="00A03B40">
        <w:rPr>
          <w:rStyle w:val="FootnoteReference"/>
        </w:rPr>
        <w:footnoteReference w:id="214"/>
      </w:r>
      <w:r w:rsidRPr="00A03B40">
        <w:t xml:space="preserve"> </w:t>
      </w:r>
      <w:r w:rsidRPr="00A03B40" w:rsidR="00E953E6">
        <w:t xml:space="preserve">Consistent with D.14-10-033, </w:t>
      </w:r>
      <w:r w:rsidRPr="00A03B40" w:rsidR="00054B37">
        <w:t xml:space="preserve">SCE forecasts emissions volumes associated with sources of direct GHG costs “as a simple </w:t>
      </w:r>
      <w:bookmarkStart w:name="_Hlk210997305" w:id="110"/>
      <w:r w:rsidRPr="00A03B40" w:rsidR="00054B37">
        <w:t>function of the volume of energy SCE expects to generate or purchase from each source and the emissions intensity of the energy produced</w:t>
      </w:r>
      <w:bookmarkEnd w:id="110"/>
      <w:r w:rsidRPr="00A03B40" w:rsidR="00054B37">
        <w:t>.”</w:t>
      </w:r>
      <w:r w:rsidRPr="00A03B40" w:rsidR="00054B37">
        <w:rPr>
          <w:rStyle w:val="FootnoteReference"/>
        </w:rPr>
        <w:footnoteReference w:id="215"/>
      </w:r>
    </w:p>
    <w:p w:rsidRPr="00A03B40" w:rsidR="0033596E" w:rsidP="0033596E" w:rsidRDefault="0033596E" w14:paraId="2DBC9D23" w14:textId="069ADCF5">
      <w:pPr>
        <w:pStyle w:val="Standard"/>
      </w:pPr>
      <w:r w:rsidRPr="00A03B40">
        <w:lastRenderedPageBreak/>
        <w:t>Indirect GHG costs, on the other hand, generally reflect GHG costs embedded in the price of power purchased on the open market or through contracts that do not include GHG settlement terms.</w:t>
      </w:r>
      <w:r w:rsidRPr="00A03B40" w:rsidR="00E11DBC">
        <w:rPr>
          <w:rStyle w:val="FootnoteReference"/>
        </w:rPr>
        <w:footnoteReference w:id="216"/>
      </w:r>
      <w:r w:rsidRPr="00A03B40">
        <w:t xml:space="preserve"> In other words, SCE’s indirect GHG costs can come from (1) QF contracts or (2) wholesale market</w:t>
      </w:r>
    </w:p>
    <w:p w:rsidRPr="00A03B40" w:rsidR="0033596E" w:rsidP="0033596E" w:rsidRDefault="0033596E" w14:paraId="37E52214" w14:textId="18C680F0">
      <w:pPr>
        <w:pStyle w:val="Standard"/>
        <w:ind w:firstLine="0"/>
      </w:pPr>
      <w:r w:rsidRPr="00A03B40">
        <w:t>purchases of electricity, each of which include price terms that are recalculated monthly and that contain an embedded GHG premium price.</w:t>
      </w:r>
      <w:r w:rsidRPr="00A03B40">
        <w:rPr>
          <w:rStyle w:val="FootnoteReference"/>
        </w:rPr>
        <w:footnoteReference w:id="217"/>
      </w:r>
      <w:r w:rsidRPr="00A03B40">
        <w:t xml:space="preserve"> </w:t>
      </w:r>
      <w:r w:rsidRPr="00A03B40" w:rsidR="00E953E6">
        <w:t xml:space="preserve">D.14-10-033 requires that utilities forecast indirect costs “using a reasonable methodology that is consistent with D.12-12-033, the utility’s own ERRA […] filing, and any applicable </w:t>
      </w:r>
      <w:r w:rsidRPr="00A03B40" w:rsidR="008D0AF4">
        <w:t>[C]</w:t>
      </w:r>
      <w:r w:rsidRPr="00A03B40" w:rsidR="00E953E6">
        <w:t xml:space="preserve">ARB </w:t>
      </w:r>
      <w:r w:rsidRPr="00A03B40" w:rsidR="008D0AF4">
        <w:t>[C]</w:t>
      </w:r>
      <w:r w:rsidRPr="00A03B40" w:rsidR="00E953E6">
        <w:t>ap-and-</w:t>
      </w:r>
      <w:r w:rsidRPr="00A03B40" w:rsidR="008D0AF4">
        <w:t>[T]</w:t>
      </w:r>
      <w:proofErr w:type="spellStart"/>
      <w:r w:rsidRPr="00A03B40" w:rsidR="00E953E6">
        <w:t>rade</w:t>
      </w:r>
      <w:proofErr w:type="spellEnd"/>
      <w:r w:rsidRPr="00A03B40" w:rsidR="00E953E6">
        <w:t xml:space="preserve"> program rules.”</w:t>
      </w:r>
      <w:r w:rsidRPr="00A03B40" w:rsidR="00624A89">
        <w:t xml:space="preserve"> </w:t>
      </w:r>
      <w:r w:rsidRPr="00A03B40">
        <w:t xml:space="preserve">Because the GHG costs for these resources are embedded in market prices that vary over time, SCE states that it uses simplifying assumptions to forecast indirect GHG emissions </w:t>
      </w:r>
      <w:r w:rsidRPr="00A03B40" w:rsidR="008D0AF4">
        <w:t xml:space="preserve">costs and the </w:t>
      </w:r>
      <w:r w:rsidRPr="00A03B40">
        <w:t xml:space="preserve">volumes </w:t>
      </w:r>
      <w:r w:rsidRPr="00A03B40" w:rsidR="008D0AF4">
        <w:t xml:space="preserve">associated with them </w:t>
      </w:r>
      <w:r w:rsidRPr="00A03B40">
        <w:t>(which we do not describe here, but which are described at length in Exhibit SCE-0</w:t>
      </w:r>
      <w:r w:rsidRPr="00A03B40" w:rsidR="00E67693">
        <w:t>5</w:t>
      </w:r>
      <w:r w:rsidRPr="00A03B40" w:rsidR="001C60DD">
        <w:t>A</w:t>
      </w:r>
      <w:r w:rsidRPr="00A03B40">
        <w:t>).</w:t>
      </w:r>
      <w:r w:rsidRPr="00A03B40">
        <w:rPr>
          <w:rStyle w:val="FootnoteReference"/>
        </w:rPr>
        <w:footnoteReference w:id="218"/>
      </w:r>
      <w:r w:rsidRPr="00A03B40">
        <w:t xml:space="preserve"> </w:t>
      </w:r>
    </w:p>
    <w:p w:rsidRPr="00A03B40" w:rsidR="0033596E" w:rsidP="0033596E" w:rsidRDefault="0033596E" w14:paraId="6C59355A" w14:textId="031F176E">
      <w:pPr>
        <w:pStyle w:val="Standard"/>
      </w:pPr>
      <w:r w:rsidRPr="00A03B40">
        <w:t xml:space="preserve">SCE </w:t>
      </w:r>
      <w:r w:rsidRPr="00A03B40" w:rsidR="00F4414E">
        <w:t>uses</w:t>
      </w:r>
      <w:r w:rsidRPr="00A03B40">
        <w:t xml:space="preserve"> a forecast proxy price as </w:t>
      </w:r>
      <w:r w:rsidRPr="00A03B40" w:rsidR="00054B37">
        <w:t>the</w:t>
      </w:r>
      <w:r w:rsidRPr="00A03B40">
        <w:t xml:space="preserve"> second part of </w:t>
      </w:r>
      <w:r w:rsidRPr="00A03B40" w:rsidR="00F4414E">
        <w:t>the</w:t>
      </w:r>
      <w:r w:rsidRPr="00A03B40">
        <w:t xml:space="preserve"> general “volume x price” GHG cost forecast methodology</w:t>
      </w:r>
      <w:r w:rsidRPr="00A03B40" w:rsidR="00054B37">
        <w:t xml:space="preserve"> noted above</w:t>
      </w:r>
      <w:r w:rsidRPr="00A03B40">
        <w:t xml:space="preserve">. </w:t>
      </w:r>
      <w:bookmarkStart w:name="_Hlk210997070" w:id="111"/>
      <w:r w:rsidRPr="00A03B40">
        <w:t>Consistent with guidance provided in D.14-10-033, SCE uses the ICE settlement price of a 2026-vintage GHG allowance as the basis for its 2026 GHG price forecast.</w:t>
      </w:r>
      <w:r w:rsidRPr="00A03B40" w:rsidR="00F4414E">
        <w:rPr>
          <w:rStyle w:val="FootnoteReference"/>
        </w:rPr>
        <w:footnoteReference w:id="219"/>
      </w:r>
      <w:r w:rsidRPr="00A03B40">
        <w:t xml:space="preserve"> The </w:t>
      </w:r>
      <w:r w:rsidRPr="00A03B40" w:rsidR="00F4414E">
        <w:t xml:space="preserve">applicable </w:t>
      </w:r>
      <w:r w:rsidRPr="00A03B40">
        <w:t xml:space="preserve">ICE settlement price </w:t>
      </w:r>
      <w:r w:rsidRPr="00A03B40" w:rsidR="00F4414E">
        <w:t xml:space="preserve">for 2026, </w:t>
      </w:r>
      <w:r w:rsidRPr="00A03B40">
        <w:t xml:space="preserve">as of </w:t>
      </w:r>
      <w:r w:rsidRPr="00A03B40" w:rsidR="00E67693">
        <w:t>August</w:t>
      </w:r>
      <w:r w:rsidRPr="00A03B40">
        <w:t xml:space="preserve"> 25, 2025</w:t>
      </w:r>
      <w:r w:rsidRPr="00A03B40" w:rsidR="00F4414E">
        <w:t>,</w:t>
      </w:r>
      <w:r w:rsidRPr="00A03B40">
        <w:t xml:space="preserve"> was $3</w:t>
      </w:r>
      <w:r w:rsidRPr="00A03B40" w:rsidR="00E67693">
        <w:t>0</w:t>
      </w:r>
      <w:r w:rsidRPr="00A03B40">
        <w:t>.</w:t>
      </w:r>
      <w:r w:rsidRPr="00A03B40" w:rsidR="00E67693">
        <w:t>57</w:t>
      </w:r>
      <w:r w:rsidRPr="00A03B40">
        <w:t>/MT.</w:t>
      </w:r>
      <w:r w:rsidRPr="00A03B40">
        <w:rPr>
          <w:rStyle w:val="FootnoteReference"/>
        </w:rPr>
        <w:footnoteReference w:id="220"/>
      </w:r>
      <w:r w:rsidRPr="00A03B40" w:rsidR="00120455">
        <w:rPr>
          <w:vertAlign w:val="superscript"/>
        </w:rPr>
        <w:t>,</w:t>
      </w:r>
      <w:r w:rsidRPr="00A03B40" w:rsidR="00120455">
        <w:t xml:space="preserve"> </w:t>
      </w:r>
      <w:r w:rsidRPr="00A03B40" w:rsidR="00120455">
        <w:rPr>
          <w:rStyle w:val="FootnoteReference"/>
        </w:rPr>
        <w:footnoteReference w:id="221"/>
      </w:r>
      <w:r w:rsidRPr="00A03B40">
        <w:t xml:space="preserve"> </w:t>
      </w:r>
    </w:p>
    <w:p w:rsidRPr="00A03B40" w:rsidR="0033596E" w:rsidP="00C44216" w:rsidRDefault="002A4CDC" w14:paraId="3560A09A" w14:textId="1C1E9871">
      <w:pPr>
        <w:pStyle w:val="Heading3"/>
        <w:numPr>
          <w:ilvl w:val="2"/>
          <w:numId w:val="21"/>
        </w:numPr>
      </w:pPr>
      <w:bookmarkStart w:name="_Toc214629884" w:id="112"/>
      <w:bookmarkEnd w:id="111"/>
      <w:r w:rsidRPr="00A03B40">
        <w:lastRenderedPageBreak/>
        <w:t xml:space="preserve">Greenhouse Gas Forecasts: </w:t>
      </w:r>
      <w:r w:rsidRPr="00A03B40" w:rsidR="0033596E">
        <w:t>Discussion</w:t>
      </w:r>
      <w:r w:rsidRPr="00A03B40">
        <w:t xml:space="preserve"> of Southern California Edison Company’s Forecast G</w:t>
      </w:r>
      <w:r w:rsidRPr="00A03B40" w:rsidR="00C1018E">
        <w:t>reenhouse Gas</w:t>
      </w:r>
      <w:r w:rsidRPr="00A03B40">
        <w:t xml:space="preserve"> Emissions Costs</w:t>
      </w:r>
      <w:bookmarkEnd w:id="112"/>
    </w:p>
    <w:p w:rsidRPr="00A03B40" w:rsidR="0033596E" w:rsidP="0033596E" w:rsidRDefault="0033596E" w14:paraId="56FE04CB" w14:textId="36548078">
      <w:pPr>
        <w:pStyle w:val="Standard"/>
      </w:pPr>
      <w:r w:rsidRPr="00A03B40">
        <w:t xml:space="preserve">SCE’s 2026 forecast GHG emissions costs are calculated </w:t>
      </w:r>
      <w:proofErr w:type="gramStart"/>
      <w:r w:rsidRPr="00A03B40">
        <w:t>consistent</w:t>
      </w:r>
      <w:proofErr w:type="gramEnd"/>
      <w:r w:rsidRPr="00A03B40">
        <w:t xml:space="preserve"> with D.14-10-033</w:t>
      </w:r>
      <w:r w:rsidRPr="00A03B40" w:rsidR="00F4414E">
        <w:t xml:space="preserve"> and the updated templates provided by D.21-08-026</w:t>
      </w:r>
      <w:r w:rsidRPr="00A03B40">
        <w:t xml:space="preserve">. SCE uses </w:t>
      </w:r>
      <w:r w:rsidRPr="00A03B40" w:rsidR="000C7B2F">
        <w:t xml:space="preserve">reasonable </w:t>
      </w:r>
      <w:r w:rsidRPr="00A03B40">
        <w:t xml:space="preserve">simplifying methods for calculating indirect GHG emissions volumes </w:t>
      </w:r>
      <w:r w:rsidRPr="00A03B40" w:rsidR="000C7B2F">
        <w:t xml:space="preserve">and costs </w:t>
      </w:r>
      <w:r w:rsidRPr="00A03B40">
        <w:t xml:space="preserve">that are </w:t>
      </w:r>
      <w:r w:rsidRPr="00A03B40" w:rsidR="000C7B2F">
        <w:t>particular to the</w:t>
      </w:r>
      <w:r w:rsidRPr="00A03B40">
        <w:t xml:space="preserve"> type of resource for which </w:t>
      </w:r>
      <w:r w:rsidRPr="00A03B40" w:rsidR="000C7B2F">
        <w:t xml:space="preserve">the </w:t>
      </w:r>
      <w:r w:rsidRPr="00A03B40">
        <w:t>volumes are estimated</w:t>
      </w:r>
      <w:r w:rsidRPr="00A03B40" w:rsidR="000C7B2F">
        <w:t>.</w:t>
      </w:r>
      <w:r w:rsidRPr="00A03B40">
        <w:t xml:space="preserve"> </w:t>
      </w:r>
      <w:r w:rsidRPr="00A03B40" w:rsidR="003949D6">
        <w:t>SCE proposed methods</w:t>
      </w:r>
      <w:r w:rsidRPr="00A03B40">
        <w:t xml:space="preserve"> are consistent with the methods previously approved by this Commission.</w:t>
      </w:r>
      <w:r w:rsidRPr="00A03B40" w:rsidR="00B7225F">
        <w:rPr>
          <w:rStyle w:val="FootnoteReference"/>
        </w:rPr>
        <w:footnoteReference w:id="222"/>
      </w:r>
      <w:r w:rsidRPr="00A03B40">
        <w:t xml:space="preserve"> </w:t>
      </w:r>
      <w:r w:rsidRPr="00A03B40" w:rsidR="00B7225F">
        <w:t xml:space="preserve">No intervenors have commented on </w:t>
      </w:r>
      <w:r w:rsidRPr="00A03B40" w:rsidR="003949D6">
        <w:t xml:space="preserve">or opposed </w:t>
      </w:r>
      <w:r w:rsidRPr="00A03B40" w:rsidR="00B7225F">
        <w:t xml:space="preserve">SCE’s forecast of 2026 GHG </w:t>
      </w:r>
      <w:r w:rsidRPr="00A03B40" w:rsidR="00157E37">
        <w:t xml:space="preserve">emissions </w:t>
      </w:r>
      <w:r w:rsidRPr="00A03B40" w:rsidR="00B7225F">
        <w:t xml:space="preserve">costs. </w:t>
      </w:r>
      <w:r w:rsidRPr="00A03B40">
        <w:t>We find SCE’s forecast 202</w:t>
      </w:r>
      <w:r w:rsidRPr="00A03B40" w:rsidR="00B7225F">
        <w:t>6</w:t>
      </w:r>
      <w:r w:rsidRPr="00A03B40">
        <w:t xml:space="preserve"> GHG emissions costs to be reasonable and</w:t>
      </w:r>
      <w:r w:rsidRPr="00A03B40" w:rsidR="00684781">
        <w:t xml:space="preserve"> approve them</w:t>
      </w:r>
      <w:r w:rsidRPr="00A03B40">
        <w:t>.</w:t>
      </w:r>
    </w:p>
    <w:p w:rsidRPr="00A03B40" w:rsidR="0033596E" w:rsidP="008C1DF2" w:rsidRDefault="008C1DF2" w14:paraId="4A26A752" w14:textId="056912FF">
      <w:pPr>
        <w:pStyle w:val="Heading2"/>
      </w:pPr>
      <w:bookmarkStart w:name="_Toc214629885" w:id="113"/>
      <w:r w:rsidRPr="00A03B40">
        <w:t>Greenhouse Gas Forecasts: Calculation of 2026 Greenhouse Gas Allowance Revenues and Revenue Returns</w:t>
      </w:r>
      <w:bookmarkEnd w:id="113"/>
    </w:p>
    <w:p w:rsidRPr="00A03B40" w:rsidR="00AA54F1" w:rsidP="009E6885" w:rsidRDefault="00B73BEB" w14:paraId="5892BB43" w14:textId="0C32E816">
      <w:pPr>
        <w:pStyle w:val="Standard"/>
      </w:pPr>
      <w:r w:rsidRPr="00A03B40">
        <w:t xml:space="preserve">This section describes </w:t>
      </w:r>
      <w:r w:rsidRPr="00A03B40" w:rsidR="003271D9">
        <w:t xml:space="preserve">the factors and calculations </w:t>
      </w:r>
      <w:r w:rsidRPr="00A03B40" w:rsidR="00EE1823">
        <w:t xml:space="preserve">SCE </w:t>
      </w:r>
      <w:r w:rsidRPr="00A03B40" w:rsidR="003271D9">
        <w:t>use</w:t>
      </w:r>
      <w:r w:rsidRPr="00A03B40" w:rsidR="007B622E">
        <w:t>s</w:t>
      </w:r>
      <w:r w:rsidRPr="00A03B40" w:rsidR="003271D9">
        <w:t xml:space="preserve"> to </w:t>
      </w:r>
      <w:r w:rsidRPr="00A03B40" w:rsidR="008606D2">
        <w:t xml:space="preserve">forecast </w:t>
      </w:r>
      <w:r w:rsidRPr="00A03B40" w:rsidR="00BD025A">
        <w:t xml:space="preserve">its </w:t>
      </w:r>
      <w:r w:rsidRPr="00A03B40" w:rsidR="00E67693">
        <w:t xml:space="preserve">updated </w:t>
      </w:r>
      <w:r w:rsidRPr="00A03B40" w:rsidR="008606D2">
        <w:t>2026 GHG</w:t>
      </w:r>
      <w:r w:rsidRPr="00A03B40" w:rsidR="00FC7992">
        <w:t xml:space="preserve"> </w:t>
      </w:r>
      <w:r w:rsidRPr="00A03B40" w:rsidR="00E13AA3">
        <w:t xml:space="preserve">allowance </w:t>
      </w:r>
      <w:r w:rsidRPr="00A03B40" w:rsidR="00FC7992">
        <w:t>revenues</w:t>
      </w:r>
      <w:r w:rsidRPr="00A03B40" w:rsidR="001C22ED">
        <w:t xml:space="preserve">, clean energy program </w:t>
      </w:r>
      <w:r w:rsidRPr="00A03B40" w:rsidR="002C3ECB">
        <w:t xml:space="preserve">revenue </w:t>
      </w:r>
      <w:r w:rsidRPr="00A03B40" w:rsidR="00157E37">
        <w:t>set-asides</w:t>
      </w:r>
      <w:r w:rsidRPr="00A03B40" w:rsidR="002C3ECB">
        <w:t xml:space="preserve">, </w:t>
      </w:r>
      <w:r w:rsidRPr="00A03B40" w:rsidR="00A35C48">
        <w:t>Emissions-Intensive Trade-Exposed (EITE) facility returns</w:t>
      </w:r>
      <w:r w:rsidRPr="00A03B40" w:rsidR="00157E37">
        <w:t xml:space="preserve">, </w:t>
      </w:r>
      <w:r w:rsidRPr="00A03B40" w:rsidR="002C3ECB">
        <w:t>and</w:t>
      </w:r>
      <w:r w:rsidRPr="00A03B40" w:rsidR="00FC7992">
        <w:t xml:space="preserve"> t</w:t>
      </w:r>
      <w:r w:rsidRPr="00A03B40" w:rsidR="002C3ECB">
        <w:t>he</w:t>
      </w:r>
      <w:r w:rsidRPr="00A03B40" w:rsidR="003271D9">
        <w:t xml:space="preserve"> 2026 California Climate Credit</w:t>
      </w:r>
      <w:r w:rsidRPr="00A03B40" w:rsidR="00BD025A">
        <w:t>s</w:t>
      </w:r>
      <w:r w:rsidRPr="00A03B40" w:rsidR="003271D9">
        <w:t>.</w:t>
      </w:r>
      <w:r w:rsidRPr="00A03B40" w:rsidR="002A68CA">
        <w:t xml:space="preserve"> </w:t>
      </w:r>
      <w:r w:rsidRPr="00A03B40" w:rsidR="009E6885">
        <w:t xml:space="preserve">As noted above, each year CARB allocates allowances for utilities to sell at </w:t>
      </w:r>
      <w:proofErr w:type="gramStart"/>
      <w:r w:rsidRPr="00A03B40" w:rsidR="00A35C48">
        <w:t>auction</w:t>
      </w:r>
      <w:proofErr w:type="gramEnd"/>
      <w:r w:rsidRPr="00A03B40" w:rsidR="00A35C48">
        <w:t xml:space="preserve"> and</w:t>
      </w:r>
      <w:r w:rsidRPr="00A03B40" w:rsidR="009E6885">
        <w:t xml:space="preserve"> return the resulting revenues to ratepayers. </w:t>
      </w:r>
      <w:r w:rsidRPr="00A03B40" w:rsidR="00AA54F1">
        <w:t xml:space="preserve">SCE proposes </w:t>
      </w:r>
      <w:r w:rsidRPr="00A03B40" w:rsidR="003949D6">
        <w:t>setting aside $33.094 million for clean energy programs</w:t>
      </w:r>
      <w:r w:rsidRPr="00A03B40" w:rsidR="003949D6">
        <w:rPr>
          <w:rStyle w:val="FootnoteReference"/>
        </w:rPr>
        <w:footnoteReference w:id="223"/>
      </w:r>
      <w:r w:rsidRPr="00A03B40" w:rsidR="003949D6">
        <w:t xml:space="preserve"> and returning </w:t>
      </w:r>
      <w:r w:rsidRPr="00A03B40" w:rsidR="00AA54F1">
        <w:t>$</w:t>
      </w:r>
      <w:r w:rsidRPr="00A03B40" w:rsidR="008D393C">
        <w:t>443</w:t>
      </w:r>
      <w:r w:rsidRPr="00A03B40" w:rsidR="003949D6">
        <w:t>.</w:t>
      </w:r>
      <w:r w:rsidRPr="00A03B40" w:rsidR="008D393C">
        <w:t>279</w:t>
      </w:r>
      <w:r w:rsidRPr="00A03B40" w:rsidR="00AA54F1">
        <w:t xml:space="preserve"> million</w:t>
      </w:r>
      <w:r w:rsidRPr="00A03B40" w:rsidR="00A35C48">
        <w:rPr>
          <w:rStyle w:val="FootnoteReference"/>
        </w:rPr>
        <w:footnoteReference w:id="224"/>
      </w:r>
      <w:r w:rsidRPr="00A03B40" w:rsidR="00AA54F1">
        <w:t xml:space="preserve"> </w:t>
      </w:r>
      <w:r w:rsidRPr="00A03B40" w:rsidR="008606D2">
        <w:t xml:space="preserve">in </w:t>
      </w:r>
      <w:r w:rsidRPr="00A03B40" w:rsidR="002C3ECB">
        <w:t xml:space="preserve">net </w:t>
      </w:r>
      <w:r w:rsidRPr="00A03B40" w:rsidR="008606D2">
        <w:t>GHG</w:t>
      </w:r>
      <w:r w:rsidRPr="00A03B40" w:rsidR="00BD025A">
        <w:t xml:space="preserve"> allowance </w:t>
      </w:r>
      <w:r w:rsidRPr="00A03B40" w:rsidR="008606D2">
        <w:t xml:space="preserve">revenues </w:t>
      </w:r>
      <w:r w:rsidRPr="00A03B40" w:rsidR="00AA54F1">
        <w:t xml:space="preserve">to eligible </w:t>
      </w:r>
      <w:r w:rsidRPr="00A03B40" w:rsidR="00A35C48">
        <w:t xml:space="preserve">EITE, small business and residential </w:t>
      </w:r>
      <w:r w:rsidRPr="00A03B40" w:rsidR="00AA54F1">
        <w:t>customers in 2026.</w:t>
      </w:r>
      <w:r w:rsidRPr="00A03B40" w:rsidR="002A68CA">
        <w:t xml:space="preserve"> </w:t>
      </w:r>
      <w:r w:rsidRPr="00A03B40" w:rsidR="00AA54F1">
        <w:t>Based on th</w:t>
      </w:r>
      <w:r w:rsidRPr="00A03B40" w:rsidR="008D393C">
        <w:t>ese updated</w:t>
      </w:r>
      <w:r w:rsidRPr="00A03B40" w:rsidR="00AA54F1">
        <w:t xml:space="preserve"> estimate</w:t>
      </w:r>
      <w:r w:rsidRPr="00A03B40" w:rsidR="008D393C">
        <w:t>s</w:t>
      </w:r>
      <w:r w:rsidRPr="00A03B40" w:rsidR="00AA54F1">
        <w:t>, residential and small commercial customers c</w:t>
      </w:r>
      <w:r w:rsidRPr="00A03B40" w:rsidR="004B1315">
        <w:t>an</w:t>
      </w:r>
      <w:r w:rsidRPr="00A03B40" w:rsidR="00AA54F1">
        <w:t xml:space="preserve"> expect a semi-annual </w:t>
      </w:r>
      <w:r w:rsidRPr="00A03B40" w:rsidR="004B1315">
        <w:t xml:space="preserve">2026 </w:t>
      </w:r>
      <w:r w:rsidRPr="00A03B40" w:rsidR="00AA54F1">
        <w:t>California Climate Credit of $</w:t>
      </w:r>
      <w:r w:rsidRPr="00A03B40" w:rsidR="008D393C">
        <w:t>36</w:t>
      </w:r>
      <w:r w:rsidRPr="00A03B40" w:rsidR="00AA54F1">
        <w:t>.00.</w:t>
      </w:r>
      <w:r w:rsidRPr="00A03B40" w:rsidR="00BD025A">
        <w:rPr>
          <w:rStyle w:val="FootnoteReference"/>
        </w:rPr>
        <w:footnoteReference w:id="225"/>
      </w:r>
      <w:r w:rsidRPr="00A03B40" w:rsidR="002A68CA">
        <w:t xml:space="preserve"> </w:t>
      </w:r>
      <w:r w:rsidRPr="00A03B40" w:rsidR="00684781">
        <w:t xml:space="preserve">SCE’s program administration costs </w:t>
      </w:r>
      <w:r w:rsidRPr="00A03B40" w:rsidR="00684781">
        <w:lastRenderedPageBreak/>
        <w:t>and GHG allowance revenues are recorded in SCE’s Greenhouse Gas Revenues Balancing Account (GHGRBA).</w:t>
      </w:r>
    </w:p>
    <w:p w:rsidRPr="00A03B40" w:rsidR="008C1DF2" w:rsidP="00C6194C" w:rsidRDefault="008C1DF2" w14:paraId="5CEDDDC1" w14:textId="0522A5DC">
      <w:pPr>
        <w:pStyle w:val="Heading3"/>
      </w:pPr>
      <w:bookmarkStart w:name="_Toc214629886" w:id="114"/>
      <w:r w:rsidRPr="00A03B40">
        <w:t>Greenhouse Gas Forecasts: 2026</w:t>
      </w:r>
      <w:r w:rsidRPr="00A03B40" w:rsidR="00C6194C">
        <w:t xml:space="preserve"> Forecast Allowance Auction Revenues</w:t>
      </w:r>
      <w:r w:rsidRPr="00A03B40" w:rsidR="00355F62">
        <w:t xml:space="preserve"> and 2025 Revenues True</w:t>
      </w:r>
      <w:r w:rsidR="006E0D77">
        <w:t xml:space="preserve"> U</w:t>
      </w:r>
      <w:r w:rsidRPr="00A03B40" w:rsidR="00355F62">
        <w:t>p</w:t>
      </w:r>
      <w:bookmarkEnd w:id="114"/>
    </w:p>
    <w:p w:rsidR="00C85F04" w:rsidP="008C1DF2" w:rsidRDefault="008A5CC0" w14:paraId="4686C965" w14:textId="77777777">
      <w:pPr>
        <w:pStyle w:val="Standard"/>
      </w:pPr>
      <w:r w:rsidRPr="00A03B40">
        <w:t xml:space="preserve">SCE </w:t>
      </w:r>
      <w:r w:rsidRPr="00A03B40" w:rsidR="00B7225F">
        <w:t>forecasts</w:t>
      </w:r>
      <w:r w:rsidRPr="00A03B40">
        <w:t xml:space="preserve"> 2026 GHG allowance revenues totaling $</w:t>
      </w:r>
      <w:r w:rsidRPr="00A03B40" w:rsidR="008D393C">
        <w:t>682</w:t>
      </w:r>
      <w:r w:rsidRPr="00A03B40">
        <w:t>.2</w:t>
      </w:r>
      <w:r w:rsidRPr="00A03B40" w:rsidR="008D393C">
        <w:t>14</w:t>
      </w:r>
      <w:r w:rsidRPr="00A03B40">
        <w:t xml:space="preserve"> million</w:t>
      </w:r>
      <w:r w:rsidRPr="00A03B40" w:rsidR="008C1DF2">
        <w:t>, before accounting for FF&amp;U</w:t>
      </w:r>
      <w:r w:rsidRPr="00A03B40">
        <w:t>.</w:t>
      </w:r>
      <w:r w:rsidRPr="00A03B40">
        <w:rPr>
          <w:rStyle w:val="FootnoteReference"/>
        </w:rPr>
        <w:footnoteReference w:id="226"/>
      </w:r>
      <w:r w:rsidRPr="00A03B40" w:rsidR="002A68CA">
        <w:t xml:space="preserve"> </w:t>
      </w:r>
      <w:r w:rsidRPr="00A03B40" w:rsidR="00B7225F">
        <w:t xml:space="preserve">Consistent with direction provided in </w:t>
      </w:r>
    </w:p>
    <w:p w:rsidRPr="00A03B40" w:rsidR="00640382" w:rsidP="00C85F04" w:rsidRDefault="00B7225F" w14:paraId="0F7FA9E6" w14:textId="71257F05">
      <w:pPr>
        <w:pStyle w:val="Standard"/>
        <w:ind w:firstLine="0"/>
      </w:pPr>
      <w:r w:rsidRPr="00A03B40">
        <w:t xml:space="preserve">D.14-10-033, </w:t>
      </w:r>
      <w:r w:rsidRPr="00A03B40" w:rsidR="008A5CC0">
        <w:t>SCE forecasts each year’s GHG allowance revenue by multiplying the total volume of allowances that CARB has allocated to SCE for 2026 by a forecast proxy price that is meant to represent auction price for these allowances.</w:t>
      </w:r>
      <w:r w:rsidRPr="00A03B40" w:rsidR="008A5CC0">
        <w:rPr>
          <w:rStyle w:val="FootnoteReference"/>
        </w:rPr>
        <w:footnoteReference w:id="227"/>
      </w:r>
      <w:r w:rsidRPr="00A03B40" w:rsidR="004205E4">
        <w:t xml:space="preserve"> </w:t>
      </w:r>
    </w:p>
    <w:p w:rsidRPr="00A03B40" w:rsidR="008A5CC0" w:rsidP="008C1DF2" w:rsidRDefault="004205E4" w14:paraId="43DF2921" w14:textId="3F26B718">
      <w:pPr>
        <w:pStyle w:val="Standard"/>
      </w:pPr>
      <w:r w:rsidRPr="00A03B40">
        <w:t xml:space="preserve">SCE forecasts a </w:t>
      </w:r>
      <w:r w:rsidRPr="00A03B40" w:rsidR="009E6885">
        <w:t xml:space="preserve">2026 </w:t>
      </w:r>
      <w:r w:rsidRPr="00A03B40">
        <w:t>CARB consignment of allowance volumes equaling 22,</w:t>
      </w:r>
      <w:r w:rsidRPr="00A03B40" w:rsidR="008D393C">
        <w:t>316</w:t>
      </w:r>
      <w:r w:rsidRPr="00A03B40">
        <w:t>,</w:t>
      </w:r>
      <w:r w:rsidRPr="00A03B40" w:rsidR="008D393C">
        <w:t>439</w:t>
      </w:r>
      <w:r w:rsidRPr="00A03B40">
        <w:t xml:space="preserve"> metric tons of carbon dioxide (CO</w:t>
      </w:r>
      <w:r w:rsidRPr="00A03B40">
        <w:rPr>
          <w:vertAlign w:val="subscript"/>
        </w:rPr>
        <w:t>2</w:t>
      </w:r>
      <w:r w:rsidRPr="00A03B40">
        <w:t>) equivalent emissions.</w:t>
      </w:r>
      <w:r w:rsidRPr="00A03B40">
        <w:rPr>
          <w:rStyle w:val="FootnoteReference"/>
        </w:rPr>
        <w:footnoteReference w:id="228"/>
      </w:r>
      <w:r w:rsidRPr="00A03B40">
        <w:t xml:space="preserve"> SCE </w:t>
      </w:r>
      <w:r w:rsidRPr="00A03B40" w:rsidR="00A35C48">
        <w:t xml:space="preserve">multiplies this allowance forecast by </w:t>
      </w:r>
      <w:r w:rsidRPr="00A03B40" w:rsidR="00684781">
        <w:t xml:space="preserve">its forecast proxy price, </w:t>
      </w:r>
      <w:r w:rsidRPr="00A03B40" w:rsidR="00A35C48">
        <w:t>the</w:t>
      </w:r>
      <w:r w:rsidRPr="00A03B40" w:rsidR="008A5CC0">
        <w:t xml:space="preserve"> </w:t>
      </w:r>
      <w:r w:rsidRPr="00A03B40">
        <w:t xml:space="preserve">ICE settlement price for 2026 vintage allowances with delivery in December 2026 as of </w:t>
      </w:r>
      <w:r w:rsidRPr="00A03B40" w:rsidR="008D393C">
        <w:t>August</w:t>
      </w:r>
      <w:r w:rsidR="00C85F04">
        <w:t> </w:t>
      </w:r>
      <w:r w:rsidRPr="00A03B40">
        <w:t>25, 2025, $3</w:t>
      </w:r>
      <w:r w:rsidRPr="00A03B40" w:rsidR="008D393C">
        <w:t>0.57</w:t>
      </w:r>
      <w:r w:rsidRPr="00A03B40">
        <w:t xml:space="preserve">/MT, </w:t>
      </w:r>
      <w:r w:rsidRPr="00A03B40" w:rsidR="008A5CC0">
        <w:t xml:space="preserve">to calculate </w:t>
      </w:r>
      <w:r w:rsidRPr="00A03B40">
        <w:t>its</w:t>
      </w:r>
      <w:r w:rsidRPr="00A03B40" w:rsidR="008A5CC0">
        <w:t xml:space="preserve"> forecast 2026 Cap-and-Trade revenues.</w:t>
      </w:r>
      <w:r w:rsidRPr="00A03B40" w:rsidR="008A5CC0">
        <w:rPr>
          <w:rStyle w:val="FootnoteReference"/>
        </w:rPr>
        <w:footnoteReference w:id="229"/>
      </w:r>
      <w:r w:rsidRPr="00A03B40">
        <w:t xml:space="preserve"> </w:t>
      </w:r>
      <w:r w:rsidRPr="00A03B40" w:rsidR="008C1DF2">
        <w:t>SCE incorporates anticipated FF&amp;U to arrive at a</w:t>
      </w:r>
      <w:r w:rsidRPr="00A03B40" w:rsidR="008D393C">
        <w:t>n updated</w:t>
      </w:r>
      <w:r w:rsidRPr="00A03B40" w:rsidR="008C1DF2">
        <w:t xml:space="preserve"> 2026 GHG allowance auction revenue </w:t>
      </w:r>
      <w:r w:rsidRPr="00A03B40" w:rsidR="008D393C">
        <w:t xml:space="preserve">forecast </w:t>
      </w:r>
      <w:r w:rsidRPr="00A03B40" w:rsidR="008C1DF2">
        <w:t xml:space="preserve">of </w:t>
      </w:r>
      <w:bookmarkStart w:name="_Hlk210997956" w:id="115"/>
      <w:r w:rsidRPr="00A03B40" w:rsidR="008C1DF2">
        <w:t>$</w:t>
      </w:r>
      <w:r w:rsidRPr="00A03B40" w:rsidR="008D393C">
        <w:t>690</w:t>
      </w:r>
      <w:r w:rsidRPr="00A03B40" w:rsidR="008C1DF2">
        <w:t>.</w:t>
      </w:r>
      <w:r w:rsidRPr="00A03B40" w:rsidR="008D393C">
        <w:t>069</w:t>
      </w:r>
      <w:r w:rsidRPr="00A03B40" w:rsidR="008C1DF2">
        <w:t xml:space="preserve"> million</w:t>
      </w:r>
      <w:bookmarkEnd w:id="115"/>
      <w:r w:rsidRPr="00A03B40" w:rsidR="008C1DF2">
        <w:t>.</w:t>
      </w:r>
      <w:r w:rsidRPr="00A03B40" w:rsidR="00A35C48">
        <w:rPr>
          <w:rStyle w:val="FootnoteReference"/>
        </w:rPr>
        <w:footnoteReference w:id="230"/>
      </w:r>
      <w:r w:rsidRPr="00A03B40" w:rsidR="00F023C3">
        <w:t xml:space="preserve"> SCE’s </w:t>
      </w:r>
      <w:r w:rsidRPr="00A03B40" w:rsidR="00521650">
        <w:t xml:space="preserve">Amended </w:t>
      </w:r>
      <w:r w:rsidRPr="00A03B40" w:rsidR="00F023C3">
        <w:t>October Update forecasts less GHG allowance revenue in 2026 due to a lower applicable proxy price than was forecast in its May Filing.</w:t>
      </w:r>
      <w:r w:rsidRPr="00A03B40" w:rsidR="00F023C3">
        <w:rPr>
          <w:rStyle w:val="FootnoteReference"/>
        </w:rPr>
        <w:footnoteReference w:id="231"/>
      </w:r>
      <w:r w:rsidRPr="00A03B40" w:rsidR="00F023C3">
        <w:t xml:space="preserve"> </w:t>
      </w:r>
    </w:p>
    <w:p w:rsidRPr="00A03B40" w:rsidR="004205E4" w:rsidP="004205E4" w:rsidRDefault="004205E4" w14:paraId="65D43AE6" w14:textId="757A7766">
      <w:pPr>
        <w:pStyle w:val="Standard"/>
      </w:pPr>
      <w:r w:rsidRPr="00A03B40">
        <w:lastRenderedPageBreak/>
        <w:t xml:space="preserve">SCE’s forecast of 2026 GHG allowance auction revenues </w:t>
      </w:r>
      <w:r w:rsidRPr="00A03B40" w:rsidR="00684781">
        <w:t xml:space="preserve">as described in testimony and depicted in </w:t>
      </w:r>
      <w:proofErr w:type="gramStart"/>
      <w:r w:rsidRPr="00A03B40" w:rsidR="00684781">
        <w:t>workpapers</w:t>
      </w:r>
      <w:proofErr w:type="gramEnd"/>
      <w:r w:rsidRPr="00A03B40" w:rsidR="00684781">
        <w:t xml:space="preserve"> </w:t>
      </w:r>
      <w:r w:rsidRPr="00A03B40">
        <w:t xml:space="preserve">is calculated </w:t>
      </w:r>
      <w:proofErr w:type="gramStart"/>
      <w:r w:rsidRPr="00A03B40">
        <w:t>consistent</w:t>
      </w:r>
      <w:proofErr w:type="gramEnd"/>
      <w:r w:rsidRPr="00A03B40">
        <w:t xml:space="preserve"> with Commission rules provided in D.14-10-033 and D.21-08-026. </w:t>
      </w:r>
      <w:r w:rsidRPr="00A03B40" w:rsidR="008C1DF2">
        <w:t xml:space="preserve">No party has objected to SCE’s forecast of GHG allowance auction revenues. We find SCE’s </w:t>
      </w:r>
      <w:r w:rsidRPr="00A03B40" w:rsidR="00684781">
        <w:t>forecast</w:t>
      </w:r>
      <w:r w:rsidRPr="00A03B40" w:rsidR="008C1DF2">
        <w:t xml:space="preserve"> to be reasonable and adopt it.</w:t>
      </w:r>
    </w:p>
    <w:p w:rsidRPr="00A03B40" w:rsidR="00E44FC6" w:rsidP="00355F62" w:rsidRDefault="008A5CC0" w14:paraId="68B7D3F7" w14:textId="12534DDF">
      <w:pPr>
        <w:pStyle w:val="Heading4"/>
      </w:pPr>
      <w:r w:rsidRPr="00A03B40">
        <w:t xml:space="preserve">Greenhouse Gas Forecasts: </w:t>
      </w:r>
      <w:r w:rsidRPr="00A03B40" w:rsidR="00E44FC6">
        <w:t>2025 Allowance Auction Revenue</w:t>
      </w:r>
      <w:r w:rsidRPr="00A03B40" w:rsidR="00C169FA">
        <w:t xml:space="preserve"> </w:t>
      </w:r>
      <w:r w:rsidRPr="00A03B40" w:rsidR="00E44FC6">
        <w:t>True</w:t>
      </w:r>
      <w:r w:rsidR="006E0D77">
        <w:t xml:space="preserve"> U</w:t>
      </w:r>
      <w:r w:rsidRPr="00A03B40" w:rsidR="00E44FC6">
        <w:t>p</w:t>
      </w:r>
    </w:p>
    <w:p w:rsidRPr="00A03B40" w:rsidR="00E44FC6" w:rsidP="00E44FC6" w:rsidRDefault="00E44FC6" w14:paraId="29B718AB" w14:textId="2D469D89">
      <w:pPr>
        <w:pStyle w:val="Standard"/>
      </w:pPr>
      <w:r w:rsidRPr="00A03B40">
        <w:t>D.14-10-033 states that any amount of over- or under-forecast GHG revenues is added to or subtracted from the total GHG revenue return for the next forecast year. Because this assessment of prior-year actual revenues occurs via ERRA forecast proceedings for which the evidentiary record typically closes in October or November, this true</w:t>
      </w:r>
      <w:r w:rsidR="006E0D77">
        <w:t xml:space="preserve"> </w:t>
      </w:r>
      <w:r w:rsidRPr="00A03B40">
        <w:t xml:space="preserve">up should be based on actual auction revenues and GHG </w:t>
      </w:r>
      <w:proofErr w:type="gramStart"/>
      <w:r w:rsidRPr="00A03B40">
        <w:t>revenues</w:t>
      </w:r>
      <w:proofErr w:type="gramEnd"/>
      <w:r w:rsidRPr="00A03B40">
        <w:t xml:space="preserve"> returned to customers through the end of the third quarter, and on forecasts for the fourth quarter.</w:t>
      </w:r>
      <w:r w:rsidRPr="00A03B40">
        <w:rPr>
          <w:rStyle w:val="FootnoteReference"/>
        </w:rPr>
        <w:footnoteReference w:id="232"/>
      </w:r>
    </w:p>
    <w:p w:rsidRPr="00A03B40" w:rsidR="00E44FC6" w:rsidP="00E44FC6" w:rsidRDefault="00E44FC6" w14:paraId="6008168A" w14:textId="39FC6BC1">
      <w:pPr>
        <w:pStyle w:val="Standard"/>
      </w:pPr>
      <w:bookmarkStart w:name="_Hlk210998470" w:id="116"/>
      <w:r w:rsidRPr="00A03B40">
        <w:t xml:space="preserve">SCE forecasts an </w:t>
      </w:r>
      <w:r w:rsidRPr="00A03B40" w:rsidR="00355F62">
        <w:t>over-estimate of</w:t>
      </w:r>
      <w:r w:rsidRPr="00A03B40">
        <w:t xml:space="preserve"> 2025 auction revenues of </w:t>
      </w:r>
      <w:r w:rsidRPr="00A03B40" w:rsidR="00355F62">
        <w:t>$</w:t>
      </w:r>
      <w:r w:rsidRPr="00A03B40" w:rsidR="00F023C3">
        <w:t>178.47</w:t>
      </w:r>
      <w:r w:rsidR="000D2376">
        <w:t>2</w:t>
      </w:r>
      <w:r w:rsidR="00C85F04">
        <w:t> </w:t>
      </w:r>
      <w:r w:rsidRPr="00A03B40" w:rsidR="00355F62">
        <w:t>million</w:t>
      </w:r>
      <w:r w:rsidRPr="00A03B40" w:rsidR="00F57D18">
        <w:t>,</w:t>
      </w:r>
      <w:r w:rsidRPr="00A03B40" w:rsidR="001C059F">
        <w:rPr>
          <w:rStyle w:val="FootnoteReference"/>
        </w:rPr>
        <w:footnoteReference w:id="233"/>
      </w:r>
      <w:r w:rsidRPr="00A03B40" w:rsidR="00F57D18">
        <w:t xml:space="preserve"> </w:t>
      </w:r>
      <w:bookmarkEnd w:id="116"/>
      <w:r w:rsidRPr="00A03B40" w:rsidR="00F57D18">
        <w:t xml:space="preserve">meaning that SCE disbursed more revenue than it </w:t>
      </w:r>
      <w:proofErr w:type="gramStart"/>
      <w:r w:rsidRPr="00A03B40" w:rsidR="00F57D18">
        <w:t>actually received</w:t>
      </w:r>
      <w:proofErr w:type="gramEnd"/>
      <w:r w:rsidRPr="00A03B40" w:rsidR="00F57D18">
        <w:t xml:space="preserve"> in 2025.</w:t>
      </w:r>
      <w:r w:rsidRPr="00A03B40" w:rsidR="00355F62">
        <w:t xml:space="preserve"> </w:t>
      </w:r>
      <w:r w:rsidRPr="00A03B40">
        <w:t xml:space="preserve">As of its </w:t>
      </w:r>
      <w:r w:rsidRPr="00A03B40" w:rsidR="00F023C3">
        <w:t>October Update</w:t>
      </w:r>
      <w:r w:rsidRPr="00A03B40">
        <w:t xml:space="preserve">, SCE’s 2025 GHG allowance revenues </w:t>
      </w:r>
      <w:proofErr w:type="gramStart"/>
      <w:r w:rsidRPr="00A03B40">
        <w:t>true</w:t>
      </w:r>
      <w:proofErr w:type="gramEnd"/>
      <w:r w:rsidR="006E0D77">
        <w:t xml:space="preserve"> </w:t>
      </w:r>
      <w:r w:rsidRPr="00A03B40">
        <w:t>up includes actual proceeds from SCE’s February</w:t>
      </w:r>
      <w:r w:rsidRPr="00A03B40" w:rsidR="00F023C3">
        <w:t>, May, and August</w:t>
      </w:r>
      <w:r w:rsidRPr="00A03B40">
        <w:t xml:space="preserve"> 2025 auction</w:t>
      </w:r>
      <w:r w:rsidRPr="00A03B40" w:rsidR="00F023C3">
        <w:t>s</w:t>
      </w:r>
      <w:r w:rsidRPr="00A03B40">
        <w:t xml:space="preserve">, and </w:t>
      </w:r>
      <w:r w:rsidR="000D2376">
        <w:t xml:space="preserve">a </w:t>
      </w:r>
      <w:r w:rsidRPr="00A03B40">
        <w:t xml:space="preserve">forecast for the remaining </w:t>
      </w:r>
      <w:r w:rsidRPr="00A03B40" w:rsidR="00F023C3">
        <w:t xml:space="preserve">December </w:t>
      </w:r>
      <w:r w:rsidRPr="00A03B40">
        <w:t>auction. The forecast w</w:t>
      </w:r>
      <w:r w:rsidR="000D2376">
        <w:t>as</w:t>
      </w:r>
      <w:r w:rsidRPr="00A03B40">
        <w:t xml:space="preserve"> created by, again, multiplying the remaining portion of the total </w:t>
      </w:r>
      <w:r w:rsidR="000D2376">
        <w:t>allowances</w:t>
      </w:r>
      <w:r w:rsidRPr="00A03B40" w:rsidR="000D2376">
        <w:t xml:space="preserve"> </w:t>
      </w:r>
      <w:r w:rsidRPr="00A03B40">
        <w:t>allocated to SCE for 2025 by a proxy price. SCE’s proxy price is $2</w:t>
      </w:r>
      <w:r w:rsidRPr="00A03B40" w:rsidR="00F023C3">
        <w:t>8</w:t>
      </w:r>
      <w:r w:rsidRPr="00A03B40">
        <w:t>.</w:t>
      </w:r>
      <w:r w:rsidRPr="00A03B40" w:rsidR="00F023C3">
        <w:t>81</w:t>
      </w:r>
      <w:r w:rsidRPr="00A03B40">
        <w:t>/MT, the ICE futures settlement price for December 2025 deliveries as of A</w:t>
      </w:r>
      <w:r w:rsidRPr="00A03B40" w:rsidR="00F023C3">
        <w:t>ugust 25</w:t>
      </w:r>
      <w:r w:rsidRPr="00A03B40">
        <w:t>, 2025, in accordance with D.14-10-033.</w:t>
      </w:r>
      <w:r w:rsidRPr="00A03B40">
        <w:rPr>
          <w:rStyle w:val="FootnoteReference"/>
        </w:rPr>
        <w:footnoteReference w:id="234"/>
      </w:r>
      <w:r w:rsidRPr="00A03B40">
        <w:t xml:space="preserve"> </w:t>
      </w:r>
    </w:p>
    <w:p w:rsidRPr="00A03B40" w:rsidR="00355F62" w:rsidP="00E44FC6" w:rsidRDefault="00355F62" w14:paraId="66197871" w14:textId="60867BF2">
      <w:pPr>
        <w:pStyle w:val="Standard"/>
      </w:pPr>
      <w:r w:rsidRPr="00A03B40">
        <w:lastRenderedPageBreak/>
        <w:t>No party has commented on SCE’s true</w:t>
      </w:r>
      <w:r w:rsidR="006E0D77">
        <w:t xml:space="preserve"> </w:t>
      </w:r>
      <w:r w:rsidRPr="00A03B40">
        <w:t>up of 2025</w:t>
      </w:r>
      <w:r w:rsidRPr="00A03B40" w:rsidR="00684781">
        <w:t xml:space="preserve"> </w:t>
      </w:r>
      <w:r w:rsidRPr="00A03B40">
        <w:t xml:space="preserve">allowance revenues. SCE’s forecast is calculated </w:t>
      </w:r>
      <w:proofErr w:type="gramStart"/>
      <w:r w:rsidRPr="00A03B40">
        <w:t>consistent</w:t>
      </w:r>
      <w:proofErr w:type="gramEnd"/>
      <w:r w:rsidRPr="00A03B40">
        <w:t xml:space="preserve"> with Commission rules and so is reasonable and adopted.</w:t>
      </w:r>
    </w:p>
    <w:p w:rsidRPr="00A03B40" w:rsidR="008A5CC0" w:rsidP="00C6194C" w:rsidRDefault="00E44FC6" w14:paraId="393FC62E" w14:textId="3B97CD1F">
      <w:pPr>
        <w:pStyle w:val="Heading3"/>
      </w:pPr>
      <w:bookmarkStart w:name="_Toc214629887" w:id="117"/>
      <w:r w:rsidRPr="00A03B40">
        <w:t xml:space="preserve">Greenhouse Gas Forecasts: </w:t>
      </w:r>
      <w:r w:rsidRPr="00A03B40" w:rsidR="008A5CC0">
        <w:t xml:space="preserve">2026 Greenhouse Gas Administrative Costs </w:t>
      </w:r>
      <w:r w:rsidRPr="00A03B40">
        <w:t>and True</w:t>
      </w:r>
      <w:r w:rsidR="006E0D77">
        <w:t xml:space="preserve"> U</w:t>
      </w:r>
      <w:r w:rsidRPr="00A03B40">
        <w:t>p of 2025 Administrative Costs</w:t>
      </w:r>
      <w:bookmarkEnd w:id="117"/>
      <w:r w:rsidRPr="00A03B40">
        <w:t xml:space="preserve"> </w:t>
      </w:r>
    </w:p>
    <w:p w:rsidRPr="00A03B40" w:rsidR="00832299" w:rsidP="00832299" w:rsidRDefault="008A5CC0" w14:paraId="662AFC0B" w14:textId="1AE56DAB">
      <w:pPr>
        <w:pStyle w:val="Standard"/>
      </w:pPr>
      <w:bookmarkStart w:name="_Hlk210998718" w:id="118"/>
      <w:r w:rsidRPr="00A03B40">
        <w:t xml:space="preserve">SCE </w:t>
      </w:r>
      <w:r w:rsidRPr="00A03B40" w:rsidR="00275A34">
        <w:t xml:space="preserve">provides an updated </w:t>
      </w:r>
      <w:r w:rsidRPr="00A03B40">
        <w:t>estimate</w:t>
      </w:r>
      <w:r w:rsidRPr="00A03B40" w:rsidR="00275A34">
        <w:t xml:space="preserve"> of</w:t>
      </w:r>
      <w:r w:rsidRPr="00A03B40">
        <w:t xml:space="preserve"> $0.</w:t>
      </w:r>
      <w:r w:rsidRPr="00A03B40" w:rsidR="00275A34">
        <w:t>386</w:t>
      </w:r>
      <w:r w:rsidRPr="00A03B40">
        <w:t xml:space="preserve"> million in costs that </w:t>
      </w:r>
      <w:r w:rsidRPr="00A03B40" w:rsidR="00F749D7">
        <w:t>it will incur to</w:t>
      </w:r>
      <w:r w:rsidRPr="00A03B40">
        <w:t xml:space="preserve"> administer the California Climate Credit program in 2026.</w:t>
      </w:r>
      <w:r w:rsidRPr="00A03B40" w:rsidR="005110E7">
        <w:rPr>
          <w:rStyle w:val="FootnoteReference"/>
        </w:rPr>
        <w:footnoteReference w:id="235"/>
      </w:r>
      <w:r w:rsidRPr="00A03B40" w:rsidR="002A68CA">
        <w:t xml:space="preserve"> </w:t>
      </w:r>
      <w:r w:rsidRPr="00A03B40">
        <w:t xml:space="preserve">SCE notes that </w:t>
      </w:r>
      <w:r w:rsidRPr="00A03B40" w:rsidR="00F749D7">
        <w:t>most</w:t>
      </w:r>
      <w:r w:rsidRPr="00A03B40">
        <w:t xml:space="preserve"> of these costs are related to </w:t>
      </w:r>
      <w:r w:rsidRPr="00A03B40" w:rsidR="00F749D7">
        <w:t>its</w:t>
      </w:r>
      <w:r w:rsidRPr="00A03B40">
        <w:t xml:space="preserve"> biannual disbursements of the California Climate Credit</w:t>
      </w:r>
      <w:r w:rsidR="00C57E60">
        <w:t xml:space="preserve"> in April and October</w:t>
      </w:r>
      <w:r w:rsidRPr="00A03B40">
        <w:t>, including production and postage costs.</w:t>
      </w:r>
      <w:bookmarkEnd w:id="118"/>
      <w:r w:rsidRPr="00A03B40" w:rsidR="005D2BE7">
        <w:rPr>
          <w:rStyle w:val="FootnoteReference"/>
        </w:rPr>
        <w:footnoteReference w:id="236"/>
      </w:r>
      <w:r w:rsidRPr="00A03B40" w:rsidR="002A68CA">
        <w:t xml:space="preserve"> </w:t>
      </w:r>
      <w:bookmarkStart w:name="_Hlk210998787" w:id="119"/>
      <w:r w:rsidRPr="00A03B40" w:rsidR="00E15C69">
        <w:t>SCE forecasts approximately $</w:t>
      </w:r>
      <w:r w:rsidRPr="00A03B40" w:rsidR="00275A34">
        <w:t xml:space="preserve">4,443 </w:t>
      </w:r>
      <w:r w:rsidRPr="00A03B40" w:rsidR="00E15C69">
        <w:t>in related FF&amp;U, for a total 2026 administrative cost forecast of $</w:t>
      </w:r>
      <w:r w:rsidRPr="00A03B40" w:rsidR="00275A34">
        <w:t>0.390</w:t>
      </w:r>
      <w:r w:rsidRPr="00A03B40" w:rsidR="00E15C69">
        <w:t xml:space="preserve"> million.</w:t>
      </w:r>
      <w:bookmarkEnd w:id="119"/>
      <w:r w:rsidRPr="00A03B40" w:rsidR="00E15C69">
        <w:rPr>
          <w:rStyle w:val="FootnoteReference"/>
        </w:rPr>
        <w:footnoteReference w:id="237"/>
      </w:r>
      <w:r w:rsidRPr="00A03B40" w:rsidR="00E15C69">
        <w:t xml:space="preserve"> </w:t>
      </w:r>
      <w:r w:rsidR="00526626">
        <w:t xml:space="preserve"> </w:t>
      </w:r>
    </w:p>
    <w:p w:rsidRPr="00A03B40" w:rsidR="00832299" w:rsidP="00832299" w:rsidRDefault="008A5CC0" w14:paraId="3B2E2538" w14:textId="19846401">
      <w:pPr>
        <w:pStyle w:val="Standard"/>
      </w:pPr>
      <w:r w:rsidRPr="00A03B40">
        <w:t xml:space="preserve">The </w:t>
      </w:r>
      <w:r w:rsidRPr="00A03B40" w:rsidR="00832299">
        <w:t xml:space="preserve">updated </w:t>
      </w:r>
      <w:r w:rsidRPr="00A03B40">
        <w:t xml:space="preserve">forecast 2026 total is lower than that presented for 2025, </w:t>
      </w:r>
      <w:r w:rsidRPr="00A03B40" w:rsidR="00A06ACA">
        <w:t>in part because</w:t>
      </w:r>
      <w:r w:rsidRPr="00A03B40" w:rsidR="005D2BE7">
        <w:t xml:space="preserve"> SCE</w:t>
      </w:r>
      <w:r w:rsidRPr="00A03B40" w:rsidR="00E26EF3">
        <w:t xml:space="preserve">’s 2025 forecast </w:t>
      </w:r>
      <w:r w:rsidRPr="00A03B40" w:rsidR="00832299">
        <w:t>costs</w:t>
      </w:r>
      <w:r w:rsidRPr="00A03B40" w:rsidR="005D2BE7">
        <w:t xml:space="preserve"> include the </w:t>
      </w:r>
      <w:r w:rsidRPr="00A03B40" w:rsidR="00FE34FF">
        <w:t xml:space="preserve">whole-project </w:t>
      </w:r>
      <w:r w:rsidRPr="00A03B40" w:rsidR="005D2BE7">
        <w:t xml:space="preserve">IT-related costs </w:t>
      </w:r>
      <w:r w:rsidRPr="00A03B40" w:rsidR="00FE34FF">
        <w:t>SCE</w:t>
      </w:r>
      <w:r w:rsidRPr="00A03B40" w:rsidR="005D2BE7">
        <w:t xml:space="preserve"> states it incurred to </w:t>
      </w:r>
      <w:r w:rsidRPr="00A03B40" w:rsidR="00E26EF3">
        <w:t xml:space="preserve">update its billing system to </w:t>
      </w:r>
      <w:r w:rsidRPr="00A03B40" w:rsidR="005D2BE7">
        <w:t xml:space="preserve">implement Res. </w:t>
      </w:r>
      <w:r w:rsidR="007135DE">
        <w:t>E-</w:t>
      </w:r>
      <w:r w:rsidRPr="00A03B40" w:rsidR="005D2BE7">
        <w:t>5</w:t>
      </w:r>
      <w:r w:rsidR="000D2376">
        <w:t>33</w:t>
      </w:r>
      <w:r w:rsidRPr="00A03B40" w:rsidR="005D2BE7">
        <w:t>9</w:t>
      </w:r>
      <w:r w:rsidRPr="00A03B40" w:rsidR="00E26EF3">
        <w:t>, issued in August 2024</w:t>
      </w:r>
      <w:r w:rsidRPr="00A03B40" w:rsidR="00FE34FF">
        <w:t xml:space="preserve"> to modify the eligibility rules for the Small Business Climate Credit</w:t>
      </w:r>
      <w:r w:rsidRPr="00A03B40" w:rsidR="00264C56">
        <w:t>, discussed further below</w:t>
      </w:r>
      <w:r w:rsidRPr="00A03B40" w:rsidR="00E26EF3">
        <w:t xml:space="preserve">. </w:t>
      </w:r>
      <w:r w:rsidRPr="00A03B40" w:rsidR="00832299">
        <w:t xml:space="preserve">In its </w:t>
      </w:r>
      <w:r w:rsidRPr="00A03B40" w:rsidR="006700B5">
        <w:t xml:space="preserve">Amended </w:t>
      </w:r>
      <w:r w:rsidRPr="00A03B40" w:rsidR="00832299">
        <w:t xml:space="preserve">October Update, however, SCE states that most of the costs of this billing system </w:t>
      </w:r>
      <w:r w:rsidRPr="00A03B40" w:rsidR="006700B5">
        <w:t xml:space="preserve">upgrade </w:t>
      </w:r>
      <w:r w:rsidRPr="00A03B40" w:rsidR="00832299">
        <w:t xml:space="preserve">will be absorbed through </w:t>
      </w:r>
      <w:r w:rsidRPr="00A03B40" w:rsidR="006700B5">
        <w:t>SCE’s</w:t>
      </w:r>
      <w:r w:rsidRPr="00A03B40" w:rsidR="00832299">
        <w:t xml:space="preserve"> normal IT budget, </w:t>
      </w:r>
      <w:r w:rsidRPr="00A03B40" w:rsidR="006700B5">
        <w:t>“</w:t>
      </w:r>
      <w:r w:rsidRPr="00A03B40" w:rsidR="00832299">
        <w:t>with only a minimal incremental amount of $0.049 million to be recorded in the Greenhouse Gas Administrative Costs Memorandum Account</w:t>
      </w:r>
      <w:r w:rsidRPr="00A03B40" w:rsidR="006700B5">
        <w:t xml:space="preserve"> (GHGACMA).”</w:t>
      </w:r>
      <w:r w:rsidRPr="00A03B40" w:rsidR="00832299">
        <w:rPr>
          <w:rStyle w:val="FootnoteReference"/>
        </w:rPr>
        <w:footnoteReference w:id="238"/>
      </w:r>
      <w:bookmarkStart w:name="_Hlk210989929" w:id="120"/>
      <w:r w:rsidRPr="00A03B40" w:rsidR="00832299">
        <w:t xml:space="preserve"> For this reason, SCE recorded </w:t>
      </w:r>
      <w:r w:rsidRPr="00A03B40" w:rsidR="00C169FA">
        <w:t xml:space="preserve">significantly </w:t>
      </w:r>
      <w:r w:rsidRPr="00A03B40" w:rsidR="00832299">
        <w:t xml:space="preserve">less than the forecast </w:t>
      </w:r>
      <w:r w:rsidRPr="00A03B40" w:rsidR="006700B5">
        <w:t xml:space="preserve">of </w:t>
      </w:r>
      <w:r w:rsidRPr="00A03B40" w:rsidR="00832299">
        <w:t xml:space="preserve">IT system upgrade </w:t>
      </w:r>
      <w:r w:rsidRPr="00A03B40" w:rsidR="00C169FA">
        <w:t xml:space="preserve">costs </w:t>
      </w:r>
      <w:r w:rsidRPr="00A03B40" w:rsidR="00832299">
        <w:t xml:space="preserve">in 2025. The difference rolls over, increasing SCE’s 2026 GHG </w:t>
      </w:r>
      <w:r w:rsidRPr="00A03B40" w:rsidR="006700B5">
        <w:t xml:space="preserve">allowance </w:t>
      </w:r>
      <w:r w:rsidRPr="00A03B40" w:rsidR="00832299">
        <w:t xml:space="preserve">revenue returns. </w:t>
      </w:r>
    </w:p>
    <w:p w:rsidRPr="00A03B40" w:rsidR="006536F1" w:rsidP="00E26EF3" w:rsidRDefault="00832299" w14:paraId="18300CC8" w14:textId="2F20D043">
      <w:pPr>
        <w:pStyle w:val="Standard"/>
      </w:pPr>
      <w:r w:rsidRPr="00A03B40">
        <w:lastRenderedPageBreak/>
        <w:t>O</w:t>
      </w:r>
      <w:r w:rsidRPr="00A03B40" w:rsidR="006536F1">
        <w:t>n review of SCE’s testimony</w:t>
      </w:r>
      <w:r w:rsidRPr="00A03B40">
        <w:t xml:space="preserve"> and workpapers</w:t>
      </w:r>
      <w:r w:rsidRPr="00A03B40" w:rsidR="006536F1">
        <w:t xml:space="preserve">, we find SCE’s </w:t>
      </w:r>
      <w:r w:rsidRPr="00A03B40" w:rsidR="00640382">
        <w:t xml:space="preserve">updated </w:t>
      </w:r>
      <w:r w:rsidRPr="00A03B40" w:rsidR="006536F1">
        <w:t xml:space="preserve">forecast of the costs it will incur </w:t>
      </w:r>
      <w:bookmarkEnd w:id="120"/>
      <w:r w:rsidRPr="00A03B40" w:rsidR="006536F1">
        <w:t xml:space="preserve">to administer the California Climate Credit program in 2026 </w:t>
      </w:r>
      <w:r w:rsidRPr="00A03B40" w:rsidR="005110E7">
        <w:t>to</w:t>
      </w:r>
      <w:r w:rsidRPr="00A03B40" w:rsidR="006536F1">
        <w:t xml:space="preserve"> be reasonable and adopt </w:t>
      </w:r>
      <w:r w:rsidRPr="00A03B40" w:rsidR="005110E7">
        <w:t>it</w:t>
      </w:r>
      <w:r w:rsidRPr="00A03B40" w:rsidR="006536F1">
        <w:t>. No party has commented on SCE’s forecast of administrative costs.</w:t>
      </w:r>
    </w:p>
    <w:p w:rsidRPr="00A03B40" w:rsidR="006536F1" w:rsidP="00355F62" w:rsidRDefault="00355F62" w14:paraId="0C53093C" w14:textId="3614A1AD">
      <w:pPr>
        <w:pStyle w:val="Heading4"/>
      </w:pPr>
      <w:r w:rsidRPr="00A03B40">
        <w:t>Greenhouse Gas Forecasts:</w:t>
      </w:r>
      <w:r w:rsidRPr="00A03B40" w:rsidR="00FC5407">
        <w:t xml:space="preserve"> True</w:t>
      </w:r>
      <w:r w:rsidR="006E0D77">
        <w:t xml:space="preserve"> U</w:t>
      </w:r>
      <w:r w:rsidRPr="00A03B40" w:rsidR="00FC5407">
        <w:t xml:space="preserve">p </w:t>
      </w:r>
      <w:r w:rsidR="00C85F04">
        <w:br/>
      </w:r>
      <w:r w:rsidRPr="00A03B40" w:rsidR="00FC5407">
        <w:t>of 2025 Administrative Costs</w:t>
      </w:r>
    </w:p>
    <w:p w:rsidRPr="00A03B40" w:rsidR="00E453CC" w:rsidP="00355F62" w:rsidRDefault="00FC5407" w14:paraId="4656BB02" w14:textId="7DF3D4FD">
      <w:pPr>
        <w:pStyle w:val="Standard"/>
      </w:pPr>
      <w:r w:rsidRPr="00A03B40">
        <w:t>D.14-10-033 requires that utilities true</w:t>
      </w:r>
      <w:r w:rsidR="0054655F">
        <w:t xml:space="preserve"> </w:t>
      </w:r>
      <w:r w:rsidRPr="00A03B40">
        <w:t>up their prior-year forecasts of administrative costs incurred to administer the California Climate Credit program with actual costs and carry the balance forward into the calculation of the current forecast California Climate Credit.</w:t>
      </w:r>
      <w:r w:rsidRPr="00A03B40">
        <w:rPr>
          <w:rStyle w:val="FootnoteReference"/>
        </w:rPr>
        <w:footnoteReference w:id="239"/>
      </w:r>
      <w:r w:rsidRPr="00A03B40">
        <w:t xml:space="preserve"> </w:t>
      </w:r>
      <w:r w:rsidRPr="00A03B40" w:rsidR="00355F62">
        <w:t xml:space="preserve">SCE projects that </w:t>
      </w:r>
      <w:proofErr w:type="gramStart"/>
      <w:r w:rsidRPr="00A03B40" w:rsidR="00355F62">
        <w:t>it</w:t>
      </w:r>
      <w:proofErr w:type="gramEnd"/>
      <w:r w:rsidRPr="00A03B40" w:rsidR="00355F62">
        <w:t xml:space="preserve"> over-</w:t>
      </w:r>
      <w:r w:rsidRPr="00A03B40" w:rsidR="00F57D18">
        <w:t>forecast</w:t>
      </w:r>
      <w:r w:rsidRPr="00A03B40" w:rsidR="00355F62">
        <w:t xml:space="preserve"> administrative and outreach costs in 2025</w:t>
      </w:r>
      <w:r w:rsidRPr="00A03B40" w:rsidR="00E453CC">
        <w:t>.</w:t>
      </w:r>
      <w:r w:rsidRPr="00A03B40" w:rsidR="00355F62">
        <w:t xml:space="preserve"> </w:t>
      </w:r>
      <w:r w:rsidRPr="00A03B40" w:rsidR="00E453CC">
        <w:t>T</w:t>
      </w:r>
      <w:r w:rsidRPr="00A03B40" w:rsidR="00355F62">
        <w:t>he decision resolving SCE’s 2025 ERRA forecast adopted a $0.8</w:t>
      </w:r>
      <w:r w:rsidR="000D2376">
        <w:t>6</w:t>
      </w:r>
      <w:r w:rsidRPr="00A03B40" w:rsidR="00355F62">
        <w:t>8 million forecast of GHG administration and outreach costs.</w:t>
      </w:r>
      <w:r w:rsidRPr="00A03B40" w:rsidR="00355F62">
        <w:rPr>
          <w:rStyle w:val="FootnoteReference"/>
        </w:rPr>
        <w:footnoteReference w:id="240"/>
      </w:r>
      <w:r w:rsidRPr="00A03B40" w:rsidR="00355F62">
        <w:t xml:space="preserve"> SCE </w:t>
      </w:r>
      <w:r w:rsidRPr="00A03B40" w:rsidR="00881222">
        <w:t xml:space="preserve">states in its </w:t>
      </w:r>
      <w:r w:rsidRPr="00A03B40" w:rsidR="006700B5">
        <w:t xml:space="preserve">Amended </w:t>
      </w:r>
      <w:r w:rsidRPr="00A03B40" w:rsidR="00881222">
        <w:t xml:space="preserve">October Update that it </w:t>
      </w:r>
      <w:r w:rsidRPr="00A03B40" w:rsidR="00355F62">
        <w:t xml:space="preserve">expects the actual </w:t>
      </w:r>
      <w:r w:rsidRPr="00A03B40" w:rsidR="00E453CC">
        <w:t>year-end</w:t>
      </w:r>
      <w:r w:rsidRPr="00A03B40" w:rsidR="00355F62">
        <w:t xml:space="preserve"> total administrative costs to be $0.</w:t>
      </w:r>
      <w:r w:rsidRPr="00A03B40" w:rsidR="00832299">
        <w:t>41</w:t>
      </w:r>
      <w:r w:rsidRPr="00A03B40" w:rsidR="006700B5">
        <w:t>3</w:t>
      </w:r>
      <w:r w:rsidRPr="00A03B40" w:rsidR="00355F62">
        <w:t xml:space="preserve"> million, based on costs recorded through </w:t>
      </w:r>
      <w:r w:rsidRPr="00A03B40" w:rsidR="00832299">
        <w:t>August 31, 2025.</w:t>
      </w:r>
      <w:r w:rsidRPr="00A03B40" w:rsidR="00832299">
        <w:rPr>
          <w:rStyle w:val="FootnoteReference"/>
        </w:rPr>
        <w:footnoteReference w:id="241"/>
      </w:r>
    </w:p>
    <w:p w:rsidRPr="00A03B40" w:rsidR="00355F62" w:rsidP="006700B5" w:rsidRDefault="006E5A2A" w14:paraId="689E71C3" w14:textId="08299A34">
      <w:pPr>
        <w:pStyle w:val="Standard"/>
        <w:ind w:firstLine="360"/>
      </w:pPr>
      <w:proofErr w:type="gramStart"/>
      <w:r w:rsidRPr="00A03B40">
        <w:t>SCE’s</w:t>
      </w:r>
      <w:proofErr w:type="gramEnd"/>
      <w:r w:rsidRPr="00A03B40">
        <w:t xml:space="preserve"> </w:t>
      </w:r>
      <w:r w:rsidRPr="00A03B40" w:rsidR="00640382">
        <w:t>updated</w:t>
      </w:r>
      <w:r w:rsidRPr="00A03B40">
        <w:t xml:space="preserve"> 2025 Climate Credit administrative costs </w:t>
      </w:r>
      <w:r w:rsidRPr="00A03B40" w:rsidR="006700B5">
        <w:t>true</w:t>
      </w:r>
      <w:r w:rsidR="006E0D77">
        <w:t xml:space="preserve"> </w:t>
      </w:r>
      <w:r w:rsidRPr="00A03B40" w:rsidR="006700B5">
        <w:t>up is</w:t>
      </w:r>
      <w:r w:rsidRPr="00A03B40">
        <w:t xml:space="preserve"> calculated consistent with Commission rules and so </w:t>
      </w:r>
      <w:proofErr w:type="gramStart"/>
      <w:r w:rsidRPr="00A03B40" w:rsidR="006700B5">
        <w:t>is</w:t>
      </w:r>
      <w:proofErr w:type="gramEnd"/>
      <w:r w:rsidRPr="00A03B40" w:rsidR="006700B5">
        <w:t xml:space="preserve"> </w:t>
      </w:r>
      <w:r w:rsidRPr="00A03B40">
        <w:t>reasonable and we adopt it.</w:t>
      </w:r>
    </w:p>
    <w:p w:rsidR="000C26E9" w:rsidP="005110E7" w:rsidRDefault="00F57D18" w14:paraId="17BE0B72" w14:textId="7BA89EC0">
      <w:pPr>
        <w:pStyle w:val="Standard"/>
      </w:pPr>
      <w:bookmarkStart w:name="_Hlk210998938" w:id="121"/>
      <w:r w:rsidRPr="00A03B40">
        <w:t xml:space="preserve">Combining the forecast over-disbursement of allowance revenues in 2025 and the overcollection of 2025 administrative costs, a </w:t>
      </w:r>
      <w:r w:rsidRPr="00A03B40" w:rsidR="000C26E9">
        <w:t xml:space="preserve">year-end 2025 </w:t>
      </w:r>
      <w:r w:rsidRPr="00A03B40">
        <w:t>balance of $21</w:t>
      </w:r>
      <w:r w:rsidRPr="00A03B40" w:rsidR="00832299">
        <w:t>3</w:t>
      </w:r>
      <w:r w:rsidRPr="00A03B40">
        <w:t>.3</w:t>
      </w:r>
      <w:r w:rsidRPr="00A03B40" w:rsidR="00832299">
        <w:t>07</w:t>
      </w:r>
      <w:r w:rsidRPr="00A03B40">
        <w:t xml:space="preserve"> million in the GHGRBA carries forward,</w:t>
      </w:r>
      <w:r w:rsidRPr="00A03B40" w:rsidR="00881222">
        <w:rPr>
          <w:rStyle w:val="FootnoteReference"/>
        </w:rPr>
        <w:footnoteReference w:id="242"/>
      </w:r>
      <w:r w:rsidRPr="00A03B40">
        <w:t xml:space="preserve"> decreasing the revenues available for 2026 clean energy programs and </w:t>
      </w:r>
      <w:r w:rsidRPr="00A03B40" w:rsidR="00640382">
        <w:t>customer returns</w:t>
      </w:r>
      <w:r w:rsidRPr="00A03B40" w:rsidR="000C26E9">
        <w:t>.</w:t>
      </w:r>
      <w:r w:rsidRPr="00A03B40">
        <w:t xml:space="preserve"> Accounting for the 2026 and 2025 forecast</w:t>
      </w:r>
      <w:r w:rsidRPr="00A03B40" w:rsidR="00E453CC">
        <w:t>s</w:t>
      </w:r>
      <w:r w:rsidRPr="00A03B40">
        <w:t xml:space="preserve"> and actual allowance auction revenues and </w:t>
      </w:r>
      <w:r w:rsidRPr="00A03B40">
        <w:lastRenderedPageBreak/>
        <w:t>administrative expenses, SCE projects a net total of $</w:t>
      </w:r>
      <w:r w:rsidRPr="00A03B40" w:rsidR="00881222">
        <w:t>476.372</w:t>
      </w:r>
      <w:r w:rsidRPr="00A03B40">
        <w:t xml:space="preserve"> million to allocate to clean energy programs and </w:t>
      </w:r>
      <w:r w:rsidRPr="00A03B40" w:rsidR="00881222">
        <w:t>customer returns</w:t>
      </w:r>
      <w:r w:rsidRPr="00A03B40">
        <w:t xml:space="preserve"> in 2026</w:t>
      </w:r>
      <w:bookmarkEnd w:id="121"/>
      <w:r w:rsidRPr="00A03B40" w:rsidR="000C26E9">
        <w:t xml:space="preserve">, as illustrated in Table </w:t>
      </w:r>
      <w:r w:rsidRPr="00A03B40" w:rsidR="00881222">
        <w:t>6.1</w:t>
      </w:r>
      <w:r w:rsidRPr="00A03B40" w:rsidR="000C26E9">
        <w:t>, below</w:t>
      </w:r>
      <w:r w:rsidRPr="00A03B40">
        <w:t>.</w:t>
      </w:r>
      <w:r w:rsidRPr="00A03B40" w:rsidR="000C26E9">
        <w:rPr>
          <w:rStyle w:val="FootnoteReference"/>
        </w:rPr>
        <w:footnoteReference w:id="243"/>
      </w:r>
      <w:r w:rsidRPr="00A03B40">
        <w:t xml:space="preserve"> </w:t>
      </w:r>
    </w:p>
    <w:p w:rsidRPr="00A03B40" w:rsidR="00A049E2" w:rsidP="00A049E2" w:rsidRDefault="00A049E2" w14:paraId="43A021D3" w14:textId="48F4D53A">
      <w:pPr>
        <w:pStyle w:val="Standard"/>
        <w:spacing w:line="240" w:lineRule="auto"/>
        <w:ind w:firstLine="0"/>
        <w:jc w:val="center"/>
        <w:rPr>
          <w:b/>
          <w:bCs/>
        </w:rPr>
      </w:pPr>
      <w:r w:rsidRPr="00A03B40">
        <w:rPr>
          <w:b/>
          <w:bCs/>
        </w:rPr>
        <w:t xml:space="preserve">Table </w:t>
      </w:r>
      <w:r w:rsidRPr="00A03B40" w:rsidR="004B1302">
        <w:rPr>
          <w:b/>
          <w:bCs/>
        </w:rPr>
        <w:t>6.1</w:t>
      </w:r>
      <w:r w:rsidRPr="00A03B40">
        <w:rPr>
          <w:b/>
          <w:bCs/>
        </w:rPr>
        <w:t>: Summary of 2026 GHG Allowance Auction Revenues</w:t>
      </w:r>
    </w:p>
    <w:p w:rsidRPr="00A03B40" w:rsidR="00A049E2" w:rsidP="00C85F04" w:rsidRDefault="00A049E2" w14:paraId="713E7E55" w14:textId="3E7DEB97">
      <w:pPr>
        <w:pStyle w:val="Standard"/>
        <w:spacing w:after="120" w:line="240" w:lineRule="auto"/>
        <w:ind w:firstLine="0"/>
        <w:jc w:val="center"/>
        <w:rPr>
          <w:b/>
          <w:bCs/>
        </w:rPr>
      </w:pPr>
      <w:r w:rsidRPr="00A03B40">
        <w:rPr>
          <w:b/>
          <w:bCs/>
        </w:rPr>
        <w:t>Forecast and Related Expenses</w:t>
      </w:r>
      <w:r w:rsidRPr="00A03B40" w:rsidR="003A6669">
        <w:rPr>
          <w:rStyle w:val="FootnoteReference"/>
          <w:b/>
          <w:bCs/>
        </w:rPr>
        <w:footnoteReference w:id="244"/>
      </w:r>
    </w:p>
    <w:tbl>
      <w:tblPr>
        <w:tblStyle w:val="TableGrid"/>
        <w:tblW w:w="0" w:type="auto"/>
        <w:tblLook w:val="04A0" w:firstRow="1" w:lastRow="0" w:firstColumn="1" w:lastColumn="0" w:noHBand="0" w:noVBand="1"/>
      </w:tblPr>
      <w:tblGrid>
        <w:gridCol w:w="6835"/>
        <w:gridCol w:w="2515"/>
      </w:tblGrid>
      <w:tr w:rsidRPr="00A805F7" w:rsidR="00A049E2" w:rsidTr="00A805F7" w14:paraId="1C36EEFD" w14:textId="77777777">
        <w:trPr>
          <w:trHeight w:val="359"/>
        </w:trPr>
        <w:tc>
          <w:tcPr>
            <w:tcW w:w="6835" w:type="dxa"/>
            <w:vAlign w:val="center"/>
          </w:tcPr>
          <w:p w:rsidRPr="00A805F7" w:rsidR="00A049E2" w:rsidP="00A805F7" w:rsidRDefault="00A049E2" w14:paraId="05816530" w14:textId="77777777">
            <w:pPr>
              <w:pStyle w:val="Standard"/>
              <w:ind w:firstLine="0"/>
              <w:jc w:val="center"/>
              <w:rPr>
                <w:b/>
                <w:bCs/>
                <w:sz w:val="24"/>
                <w:szCs w:val="24"/>
              </w:rPr>
            </w:pPr>
            <w:r w:rsidRPr="00A805F7">
              <w:rPr>
                <w:b/>
                <w:bCs/>
                <w:sz w:val="24"/>
                <w:szCs w:val="24"/>
              </w:rPr>
              <w:t>Program</w:t>
            </w:r>
          </w:p>
        </w:tc>
        <w:tc>
          <w:tcPr>
            <w:tcW w:w="2515" w:type="dxa"/>
            <w:vAlign w:val="center"/>
          </w:tcPr>
          <w:p w:rsidRPr="00A805F7" w:rsidR="00A049E2" w:rsidP="00A805F7" w:rsidRDefault="00A049E2" w14:paraId="5013A1E7" w14:textId="2C0CFC59">
            <w:pPr>
              <w:pStyle w:val="Standard"/>
              <w:spacing w:line="240" w:lineRule="auto"/>
              <w:ind w:firstLine="0"/>
              <w:jc w:val="center"/>
              <w:rPr>
                <w:b/>
                <w:bCs/>
                <w:sz w:val="24"/>
                <w:szCs w:val="24"/>
              </w:rPr>
            </w:pPr>
            <w:r w:rsidRPr="00A805F7">
              <w:rPr>
                <w:b/>
                <w:bCs/>
                <w:sz w:val="24"/>
                <w:szCs w:val="24"/>
              </w:rPr>
              <w:t>SCE Proposed (</w:t>
            </w:r>
            <w:r w:rsidRPr="00A805F7" w:rsidR="000774EA">
              <w:rPr>
                <w:b/>
                <w:bCs/>
                <w:sz w:val="24"/>
                <w:szCs w:val="24"/>
              </w:rPr>
              <w:t>millions</w:t>
            </w:r>
            <w:r w:rsidRPr="00A805F7">
              <w:rPr>
                <w:b/>
                <w:bCs/>
                <w:sz w:val="24"/>
                <w:szCs w:val="24"/>
              </w:rPr>
              <w:t>)</w:t>
            </w:r>
          </w:p>
        </w:tc>
      </w:tr>
      <w:tr w:rsidRPr="00A805F7" w:rsidR="000774EA" w:rsidTr="0027380A" w14:paraId="67A2C325" w14:textId="77777777">
        <w:tc>
          <w:tcPr>
            <w:tcW w:w="9350" w:type="dxa"/>
            <w:gridSpan w:val="2"/>
            <w:vAlign w:val="center"/>
          </w:tcPr>
          <w:p w:rsidRPr="00A805F7" w:rsidR="000774EA" w:rsidP="00A805F7" w:rsidRDefault="000774EA" w14:paraId="3F818A48" w14:textId="288872CF">
            <w:pPr>
              <w:pStyle w:val="Standard"/>
              <w:ind w:firstLine="0"/>
              <w:jc w:val="center"/>
              <w:rPr>
                <w:sz w:val="24"/>
                <w:szCs w:val="24"/>
                <w:u w:val="single"/>
              </w:rPr>
            </w:pPr>
            <w:r w:rsidRPr="00A805F7">
              <w:rPr>
                <w:sz w:val="24"/>
                <w:szCs w:val="24"/>
                <w:u w:val="single"/>
              </w:rPr>
              <w:t>GHG Auction Revenues</w:t>
            </w:r>
          </w:p>
        </w:tc>
      </w:tr>
      <w:tr w:rsidRPr="00A805F7" w:rsidR="000774EA" w:rsidTr="00A805F7" w14:paraId="1D22BF75" w14:textId="77777777">
        <w:tc>
          <w:tcPr>
            <w:tcW w:w="6835" w:type="dxa"/>
            <w:vAlign w:val="center"/>
          </w:tcPr>
          <w:p w:rsidRPr="00A805F7" w:rsidR="000774EA" w:rsidP="00A805F7" w:rsidRDefault="000774EA" w14:paraId="3EE49EBC" w14:textId="2D1E6C69">
            <w:pPr>
              <w:pStyle w:val="ListNum"/>
              <w:numPr>
                <w:ilvl w:val="0"/>
                <w:numId w:val="0"/>
              </w:numPr>
              <w:spacing w:after="0"/>
              <w:ind w:left="162"/>
              <w:rPr>
                <w:sz w:val="24"/>
                <w:szCs w:val="24"/>
              </w:rPr>
            </w:pPr>
            <w:r w:rsidRPr="00A805F7">
              <w:rPr>
                <w:sz w:val="24"/>
                <w:szCs w:val="24"/>
              </w:rPr>
              <w:t>2026 Forecast GHG Auction Revenues</w:t>
            </w:r>
          </w:p>
        </w:tc>
        <w:tc>
          <w:tcPr>
            <w:tcW w:w="2515" w:type="dxa"/>
            <w:vAlign w:val="center"/>
          </w:tcPr>
          <w:p w:rsidRPr="00A805F7" w:rsidR="000774EA" w:rsidP="0027380A" w:rsidRDefault="000774EA" w14:paraId="63AA73A0" w14:textId="6CB9271E">
            <w:pPr>
              <w:pStyle w:val="Standard"/>
              <w:ind w:firstLine="0"/>
              <w:jc w:val="center"/>
              <w:rPr>
                <w:sz w:val="24"/>
                <w:szCs w:val="24"/>
              </w:rPr>
            </w:pPr>
            <w:r w:rsidRPr="00A805F7">
              <w:rPr>
                <w:sz w:val="24"/>
                <w:szCs w:val="24"/>
              </w:rPr>
              <w:t>$</w:t>
            </w:r>
            <w:r w:rsidRPr="00A805F7" w:rsidR="00640382">
              <w:rPr>
                <w:sz w:val="24"/>
                <w:szCs w:val="24"/>
              </w:rPr>
              <w:t>682</w:t>
            </w:r>
            <w:r w:rsidRPr="00A805F7">
              <w:rPr>
                <w:sz w:val="24"/>
                <w:szCs w:val="24"/>
              </w:rPr>
              <w:t>.2</w:t>
            </w:r>
            <w:r w:rsidRPr="00A805F7" w:rsidR="009758CE">
              <w:rPr>
                <w:sz w:val="24"/>
                <w:szCs w:val="24"/>
              </w:rPr>
              <w:t>1</w:t>
            </w:r>
            <w:r w:rsidRPr="00A805F7" w:rsidR="00640382">
              <w:rPr>
                <w:sz w:val="24"/>
                <w:szCs w:val="24"/>
              </w:rPr>
              <w:t>4</w:t>
            </w:r>
            <w:r w:rsidRPr="00A805F7">
              <w:rPr>
                <w:sz w:val="24"/>
                <w:szCs w:val="24"/>
              </w:rPr>
              <w:t xml:space="preserve"> million</w:t>
            </w:r>
          </w:p>
        </w:tc>
      </w:tr>
      <w:tr w:rsidRPr="00A805F7" w:rsidR="000774EA" w:rsidTr="00A805F7" w14:paraId="04ACCD2D" w14:textId="77777777">
        <w:tc>
          <w:tcPr>
            <w:tcW w:w="6835" w:type="dxa"/>
            <w:vAlign w:val="center"/>
          </w:tcPr>
          <w:p w:rsidRPr="00A805F7" w:rsidR="000774EA" w:rsidP="00A805F7" w:rsidRDefault="000774EA" w14:paraId="5917A86B" w14:textId="6572E43C">
            <w:pPr>
              <w:pStyle w:val="ListNum"/>
              <w:numPr>
                <w:ilvl w:val="0"/>
                <w:numId w:val="0"/>
              </w:numPr>
              <w:spacing w:after="0"/>
              <w:ind w:left="162"/>
              <w:rPr>
                <w:sz w:val="24"/>
                <w:szCs w:val="24"/>
              </w:rPr>
            </w:pPr>
            <w:r w:rsidRPr="00A805F7">
              <w:rPr>
                <w:sz w:val="24"/>
                <w:szCs w:val="24"/>
              </w:rPr>
              <w:t>2026 Forecast GHG Auction Revenue Associated FF&amp;U</w:t>
            </w:r>
          </w:p>
        </w:tc>
        <w:tc>
          <w:tcPr>
            <w:tcW w:w="2515" w:type="dxa"/>
            <w:vAlign w:val="center"/>
          </w:tcPr>
          <w:p w:rsidRPr="00A805F7" w:rsidR="000774EA" w:rsidP="0027380A" w:rsidRDefault="000774EA" w14:paraId="7BA5048F" w14:textId="55C78824">
            <w:pPr>
              <w:pStyle w:val="Standard"/>
              <w:ind w:firstLine="0"/>
              <w:jc w:val="center"/>
              <w:rPr>
                <w:sz w:val="24"/>
                <w:szCs w:val="24"/>
              </w:rPr>
            </w:pPr>
            <w:r w:rsidRPr="00A805F7">
              <w:rPr>
                <w:sz w:val="24"/>
                <w:szCs w:val="24"/>
              </w:rPr>
              <w:t>$</w:t>
            </w:r>
            <w:r w:rsidRPr="00A805F7" w:rsidR="00640382">
              <w:rPr>
                <w:sz w:val="24"/>
                <w:szCs w:val="24"/>
              </w:rPr>
              <w:t>7</w:t>
            </w:r>
            <w:r w:rsidRPr="00A805F7">
              <w:rPr>
                <w:sz w:val="24"/>
                <w:szCs w:val="24"/>
              </w:rPr>
              <w:t>.</w:t>
            </w:r>
            <w:r w:rsidRPr="00A805F7" w:rsidR="00640382">
              <w:rPr>
                <w:sz w:val="24"/>
                <w:szCs w:val="24"/>
              </w:rPr>
              <w:t>856</w:t>
            </w:r>
            <w:r w:rsidRPr="00A805F7">
              <w:rPr>
                <w:sz w:val="24"/>
                <w:szCs w:val="24"/>
              </w:rPr>
              <w:t xml:space="preserve"> million</w:t>
            </w:r>
          </w:p>
        </w:tc>
      </w:tr>
      <w:tr w:rsidRPr="00A805F7" w:rsidR="000774EA" w:rsidTr="00A805F7" w14:paraId="7ECBEF35" w14:textId="77777777">
        <w:tc>
          <w:tcPr>
            <w:tcW w:w="6835" w:type="dxa"/>
            <w:vAlign w:val="center"/>
          </w:tcPr>
          <w:p w:rsidRPr="00A805F7" w:rsidR="000774EA" w:rsidP="00A805F7" w:rsidRDefault="000774EA" w14:paraId="3C17EB42" w14:textId="6F4B53BD">
            <w:pPr>
              <w:pStyle w:val="ListNum"/>
              <w:numPr>
                <w:ilvl w:val="0"/>
                <w:numId w:val="0"/>
              </w:numPr>
              <w:spacing w:after="0"/>
              <w:ind w:left="162"/>
              <w:rPr>
                <w:sz w:val="24"/>
                <w:szCs w:val="24"/>
              </w:rPr>
            </w:pPr>
            <w:r w:rsidRPr="00A805F7">
              <w:rPr>
                <w:sz w:val="24"/>
                <w:szCs w:val="24"/>
              </w:rPr>
              <w:t>2025 GHG</w:t>
            </w:r>
            <w:r w:rsidRPr="00A805F7" w:rsidR="00640382">
              <w:rPr>
                <w:sz w:val="24"/>
                <w:szCs w:val="24"/>
              </w:rPr>
              <w:t>RBA</w:t>
            </w:r>
            <w:r w:rsidRPr="00A805F7">
              <w:rPr>
                <w:sz w:val="24"/>
                <w:szCs w:val="24"/>
              </w:rPr>
              <w:t xml:space="preserve"> Revenue True</w:t>
            </w:r>
            <w:r w:rsidR="006E0D77">
              <w:rPr>
                <w:sz w:val="24"/>
                <w:szCs w:val="24"/>
              </w:rPr>
              <w:t xml:space="preserve"> U</w:t>
            </w:r>
            <w:r w:rsidRPr="00A805F7">
              <w:rPr>
                <w:sz w:val="24"/>
                <w:szCs w:val="24"/>
              </w:rPr>
              <w:t>p</w:t>
            </w:r>
          </w:p>
        </w:tc>
        <w:tc>
          <w:tcPr>
            <w:tcW w:w="2515" w:type="dxa"/>
            <w:vAlign w:val="center"/>
          </w:tcPr>
          <w:p w:rsidRPr="00A805F7" w:rsidR="000774EA" w:rsidP="0027380A" w:rsidRDefault="00E15C69" w14:paraId="7CA91D09" w14:textId="00985ACA">
            <w:pPr>
              <w:pStyle w:val="Standard"/>
              <w:ind w:firstLine="0"/>
              <w:jc w:val="center"/>
              <w:rPr>
                <w:sz w:val="24"/>
                <w:szCs w:val="24"/>
              </w:rPr>
            </w:pPr>
            <w:r w:rsidRPr="00A805F7">
              <w:rPr>
                <w:sz w:val="24"/>
                <w:szCs w:val="24"/>
              </w:rPr>
              <w:t xml:space="preserve">- </w:t>
            </w:r>
            <w:r w:rsidRPr="00A805F7" w:rsidR="000774EA">
              <w:rPr>
                <w:sz w:val="24"/>
                <w:szCs w:val="24"/>
              </w:rPr>
              <w:t>$2</w:t>
            </w:r>
            <w:r w:rsidRPr="00A805F7" w:rsidR="00640382">
              <w:rPr>
                <w:sz w:val="24"/>
                <w:szCs w:val="24"/>
              </w:rPr>
              <w:t>13</w:t>
            </w:r>
            <w:r w:rsidRPr="00A805F7" w:rsidR="000774EA">
              <w:rPr>
                <w:sz w:val="24"/>
                <w:szCs w:val="24"/>
              </w:rPr>
              <w:t>.</w:t>
            </w:r>
            <w:r w:rsidRPr="00A805F7" w:rsidR="00640382">
              <w:rPr>
                <w:sz w:val="24"/>
                <w:szCs w:val="24"/>
              </w:rPr>
              <w:t>307</w:t>
            </w:r>
            <w:r w:rsidRPr="00A805F7" w:rsidR="000774EA">
              <w:rPr>
                <w:sz w:val="24"/>
                <w:szCs w:val="24"/>
              </w:rPr>
              <w:t xml:space="preserve"> million</w:t>
            </w:r>
          </w:p>
        </w:tc>
      </w:tr>
      <w:tr w:rsidRPr="00A805F7" w:rsidR="000774EA" w:rsidTr="0027380A" w14:paraId="6C3D56CF" w14:textId="77777777">
        <w:tc>
          <w:tcPr>
            <w:tcW w:w="9350" w:type="dxa"/>
            <w:gridSpan w:val="2"/>
            <w:vAlign w:val="center"/>
          </w:tcPr>
          <w:p w:rsidRPr="00A805F7" w:rsidR="000774EA" w:rsidP="00A805F7" w:rsidRDefault="000774EA" w14:paraId="1BB790DE" w14:textId="56717963">
            <w:pPr>
              <w:pStyle w:val="Standard"/>
              <w:ind w:firstLine="0"/>
              <w:jc w:val="center"/>
              <w:rPr>
                <w:sz w:val="24"/>
                <w:szCs w:val="24"/>
                <w:u w:val="single"/>
              </w:rPr>
            </w:pPr>
            <w:r w:rsidRPr="00A805F7">
              <w:rPr>
                <w:sz w:val="24"/>
                <w:szCs w:val="24"/>
                <w:u w:val="single"/>
              </w:rPr>
              <w:t>Administrative Expenses</w:t>
            </w:r>
          </w:p>
        </w:tc>
      </w:tr>
      <w:tr w:rsidRPr="00A805F7" w:rsidR="000774EA" w:rsidTr="00A805F7" w14:paraId="4C8BCBB5" w14:textId="77777777">
        <w:trPr>
          <w:trHeight w:val="701"/>
        </w:trPr>
        <w:tc>
          <w:tcPr>
            <w:tcW w:w="6835" w:type="dxa"/>
            <w:vAlign w:val="center"/>
          </w:tcPr>
          <w:p w:rsidRPr="00A805F7" w:rsidR="000774EA" w:rsidP="00A805F7" w:rsidRDefault="000774EA" w14:paraId="08382BF4" w14:textId="24B9D71D">
            <w:pPr>
              <w:pStyle w:val="ListNum"/>
              <w:numPr>
                <w:ilvl w:val="0"/>
                <w:numId w:val="0"/>
              </w:numPr>
              <w:spacing w:after="0"/>
              <w:ind w:left="162"/>
              <w:rPr>
                <w:sz w:val="24"/>
                <w:szCs w:val="24"/>
              </w:rPr>
            </w:pPr>
            <w:r w:rsidRPr="00A805F7">
              <w:rPr>
                <w:sz w:val="24"/>
                <w:szCs w:val="24"/>
              </w:rPr>
              <w:t>2026 Forecast Administrative and Outreach (A&amp;O) Costs</w:t>
            </w:r>
          </w:p>
        </w:tc>
        <w:tc>
          <w:tcPr>
            <w:tcW w:w="2515" w:type="dxa"/>
            <w:vAlign w:val="center"/>
          </w:tcPr>
          <w:p w:rsidRPr="00A805F7" w:rsidR="000774EA" w:rsidP="0027380A" w:rsidRDefault="00E15C69" w14:paraId="6DFAE0B7" w14:textId="242B1752">
            <w:pPr>
              <w:pStyle w:val="Standard"/>
              <w:ind w:firstLine="0"/>
              <w:jc w:val="center"/>
              <w:rPr>
                <w:sz w:val="24"/>
                <w:szCs w:val="24"/>
              </w:rPr>
            </w:pPr>
            <w:r w:rsidRPr="00A805F7">
              <w:rPr>
                <w:sz w:val="24"/>
                <w:szCs w:val="24"/>
              </w:rPr>
              <w:t>-$0.</w:t>
            </w:r>
            <w:r w:rsidRPr="00A805F7" w:rsidR="00640382">
              <w:rPr>
                <w:sz w:val="24"/>
                <w:szCs w:val="24"/>
              </w:rPr>
              <w:t>386</w:t>
            </w:r>
            <w:r w:rsidRPr="00A805F7">
              <w:rPr>
                <w:sz w:val="24"/>
                <w:szCs w:val="24"/>
              </w:rPr>
              <w:t xml:space="preserve"> million</w:t>
            </w:r>
          </w:p>
        </w:tc>
      </w:tr>
      <w:tr w:rsidRPr="00A805F7" w:rsidR="000774EA" w:rsidTr="00A805F7" w14:paraId="67E5CDB7" w14:textId="77777777">
        <w:tc>
          <w:tcPr>
            <w:tcW w:w="6835" w:type="dxa"/>
            <w:vAlign w:val="center"/>
          </w:tcPr>
          <w:p w:rsidRPr="00A805F7" w:rsidR="000774EA" w:rsidP="00A805F7" w:rsidRDefault="000774EA" w14:paraId="1E26D088" w14:textId="576065F3">
            <w:pPr>
              <w:pStyle w:val="Standard"/>
              <w:ind w:left="162" w:firstLine="0"/>
              <w:rPr>
                <w:sz w:val="24"/>
                <w:szCs w:val="24"/>
              </w:rPr>
            </w:pPr>
            <w:r w:rsidRPr="00A805F7">
              <w:rPr>
                <w:sz w:val="24"/>
                <w:szCs w:val="24"/>
              </w:rPr>
              <w:t>2026 Forecast A&amp;O Associated FF&amp;U</w:t>
            </w:r>
          </w:p>
        </w:tc>
        <w:tc>
          <w:tcPr>
            <w:tcW w:w="2515" w:type="dxa"/>
            <w:vAlign w:val="center"/>
          </w:tcPr>
          <w:p w:rsidRPr="00A805F7" w:rsidR="000774EA" w:rsidP="0027380A" w:rsidRDefault="00E15C69" w14:paraId="521AC434" w14:textId="0B51AECC">
            <w:pPr>
              <w:pStyle w:val="Standard"/>
              <w:ind w:firstLine="0"/>
              <w:jc w:val="center"/>
              <w:rPr>
                <w:sz w:val="24"/>
                <w:szCs w:val="24"/>
              </w:rPr>
            </w:pPr>
            <w:r w:rsidRPr="00A805F7">
              <w:rPr>
                <w:sz w:val="24"/>
                <w:szCs w:val="24"/>
              </w:rPr>
              <w:t>-$.00</w:t>
            </w:r>
            <w:r w:rsidRPr="00A805F7" w:rsidR="00640382">
              <w:rPr>
                <w:sz w:val="24"/>
                <w:szCs w:val="24"/>
              </w:rPr>
              <w:t>4</w:t>
            </w:r>
            <w:r w:rsidRPr="00A805F7">
              <w:rPr>
                <w:sz w:val="24"/>
                <w:szCs w:val="24"/>
              </w:rPr>
              <w:t xml:space="preserve"> million</w:t>
            </w:r>
          </w:p>
        </w:tc>
      </w:tr>
      <w:tr w:rsidRPr="00A805F7" w:rsidR="00A049E2" w:rsidTr="00A805F7" w14:paraId="2EE369E0" w14:textId="77777777">
        <w:tc>
          <w:tcPr>
            <w:tcW w:w="6835" w:type="dxa"/>
            <w:vAlign w:val="center"/>
          </w:tcPr>
          <w:p w:rsidRPr="00A805F7" w:rsidR="00A049E2" w:rsidP="00A805F7" w:rsidRDefault="00A049E2" w14:paraId="6A255E38" w14:textId="638C174D">
            <w:pPr>
              <w:pStyle w:val="Standard"/>
              <w:spacing w:line="240" w:lineRule="auto"/>
              <w:ind w:left="162" w:firstLine="0"/>
              <w:rPr>
                <w:b/>
                <w:bCs/>
                <w:sz w:val="24"/>
                <w:szCs w:val="24"/>
              </w:rPr>
            </w:pPr>
            <w:r w:rsidRPr="00A805F7">
              <w:rPr>
                <w:b/>
                <w:bCs/>
                <w:sz w:val="24"/>
                <w:szCs w:val="24"/>
              </w:rPr>
              <w:t xml:space="preserve">GHG Auction Revenue </w:t>
            </w:r>
            <w:r w:rsidRPr="00A805F7" w:rsidR="0027380A">
              <w:rPr>
                <w:b/>
                <w:bCs/>
                <w:sz w:val="24"/>
                <w:szCs w:val="24"/>
              </w:rPr>
              <w:t xml:space="preserve">Available for Clean Energy Programs and </w:t>
            </w:r>
            <w:r w:rsidRPr="00A805F7" w:rsidR="00640382">
              <w:rPr>
                <w:b/>
                <w:bCs/>
                <w:sz w:val="24"/>
                <w:szCs w:val="24"/>
              </w:rPr>
              <w:t>Customer Returns</w:t>
            </w:r>
            <w:r w:rsidRPr="00A805F7" w:rsidR="008B44B9">
              <w:rPr>
                <w:b/>
                <w:bCs/>
                <w:sz w:val="24"/>
                <w:szCs w:val="24"/>
              </w:rPr>
              <w:t xml:space="preserve"> in 2026</w:t>
            </w:r>
          </w:p>
        </w:tc>
        <w:tc>
          <w:tcPr>
            <w:tcW w:w="2515" w:type="dxa"/>
            <w:vAlign w:val="center"/>
          </w:tcPr>
          <w:p w:rsidRPr="00A805F7" w:rsidR="00A049E2" w:rsidP="0027380A" w:rsidRDefault="00640382" w14:paraId="369C8D3F" w14:textId="3ED82B1D">
            <w:pPr>
              <w:pStyle w:val="Standard"/>
              <w:ind w:firstLine="0"/>
              <w:jc w:val="center"/>
              <w:rPr>
                <w:sz w:val="24"/>
                <w:szCs w:val="24"/>
              </w:rPr>
            </w:pPr>
            <w:r w:rsidRPr="00A805F7">
              <w:rPr>
                <w:sz w:val="24"/>
                <w:szCs w:val="24"/>
              </w:rPr>
              <w:t>$476.372 million</w:t>
            </w:r>
            <w:r w:rsidRPr="00A805F7" w:rsidR="009758CE">
              <w:rPr>
                <w:rStyle w:val="FootnoteReference"/>
                <w:sz w:val="24"/>
                <w:szCs w:val="24"/>
              </w:rPr>
              <w:footnoteReference w:id="245"/>
            </w:r>
          </w:p>
        </w:tc>
      </w:tr>
    </w:tbl>
    <w:p w:rsidRPr="00A03B40" w:rsidR="008A5CC0" w:rsidP="00A805F7" w:rsidRDefault="008A5CC0" w14:paraId="69AF03C5" w14:textId="0924E3CE">
      <w:pPr>
        <w:pStyle w:val="Heading2"/>
        <w:spacing w:before="240"/>
      </w:pPr>
      <w:bookmarkStart w:name="_Toc214629888" w:id="122"/>
      <w:r w:rsidRPr="00A03B40">
        <w:t xml:space="preserve">Greenhouse Gas Forecasts: </w:t>
      </w:r>
      <w:r w:rsidR="00A805F7">
        <w:br/>
      </w:r>
      <w:r w:rsidRPr="00A03B40">
        <w:t>2026 Clean Energy Program Set</w:t>
      </w:r>
      <w:r w:rsidRPr="00A03B40" w:rsidR="008B44B9">
        <w:t>-</w:t>
      </w:r>
      <w:r w:rsidRPr="00A03B40">
        <w:t>Asides</w:t>
      </w:r>
      <w:bookmarkEnd w:id="122"/>
    </w:p>
    <w:p w:rsidRPr="00A03B40" w:rsidR="006126D6" w:rsidP="006126D6" w:rsidRDefault="006126D6" w14:paraId="4ECEB7D5" w14:textId="46AD9027">
      <w:pPr>
        <w:pStyle w:val="Standard"/>
      </w:pPr>
      <w:r w:rsidRPr="00A03B40">
        <w:t>As noted above,</w:t>
      </w:r>
      <w:r w:rsidRPr="00A03B40" w:rsidR="00E453CC">
        <w:t xml:space="preserve"> </w:t>
      </w:r>
      <w:bookmarkStart w:name="_Hlk211071684" w:id="123"/>
      <w:r w:rsidRPr="00A03B40">
        <w:t>Pub</w:t>
      </w:r>
      <w:r w:rsidRPr="00A03B40" w:rsidR="0052544C">
        <w:t>lic</w:t>
      </w:r>
      <w:r w:rsidRPr="00A03B40">
        <w:t xml:space="preserve"> Uti</w:t>
      </w:r>
      <w:r w:rsidRPr="00A03B40" w:rsidR="0052544C">
        <w:t>lities</w:t>
      </w:r>
      <w:r w:rsidRPr="00A03B40">
        <w:t xml:space="preserve"> Code section 748.5 </w:t>
      </w:r>
      <w:r w:rsidRPr="00A03B40" w:rsidR="00E453CC">
        <w:t xml:space="preserve">authorizes the Commission to </w:t>
      </w:r>
      <w:r w:rsidRPr="00A03B40">
        <w:t>allocate up to 15 percent of GHG allowance revenue</w:t>
      </w:r>
      <w:r w:rsidRPr="00A03B40" w:rsidR="008B44B9">
        <w:t>s</w:t>
      </w:r>
      <w:r w:rsidRPr="00A03B40">
        <w:t xml:space="preserve"> for </w:t>
      </w:r>
      <w:r w:rsidRPr="00A03B40" w:rsidR="008B44B9">
        <w:t xml:space="preserve">otherwise-unfunded </w:t>
      </w:r>
      <w:r w:rsidRPr="00A03B40">
        <w:t xml:space="preserve">clean energy and energy efficiency projects </w:t>
      </w:r>
      <w:r w:rsidRPr="00A03B40" w:rsidR="008B44B9">
        <w:t>and</w:t>
      </w:r>
      <w:r w:rsidRPr="00A03B40" w:rsidR="00E453CC">
        <w:t xml:space="preserve"> requires the Commission to return</w:t>
      </w:r>
      <w:r w:rsidRPr="00A03B40">
        <w:t xml:space="preserve"> the remaining GHG allo</w:t>
      </w:r>
      <w:r w:rsidRPr="00A03B40" w:rsidR="00E453CC">
        <w:t>wance</w:t>
      </w:r>
      <w:r w:rsidRPr="00A03B40">
        <w:t xml:space="preserve"> revenues</w:t>
      </w:r>
      <w:r w:rsidRPr="00A03B40" w:rsidR="00E453CC">
        <w:t xml:space="preserve"> to customers</w:t>
      </w:r>
      <w:r w:rsidRPr="00A03B40">
        <w:t>.</w:t>
      </w:r>
      <w:r w:rsidRPr="00A03B40" w:rsidR="00F602D3">
        <w:rPr>
          <w:rStyle w:val="FootnoteReference"/>
        </w:rPr>
        <w:footnoteReference w:id="246"/>
      </w:r>
    </w:p>
    <w:bookmarkEnd w:id="123"/>
    <w:p w:rsidRPr="00A03B40" w:rsidR="006126D6" w:rsidP="00A049E2" w:rsidRDefault="006126D6" w14:paraId="2C686D6E" w14:textId="075B7883">
      <w:pPr>
        <w:pStyle w:val="Standard"/>
        <w:widowControl w:val="0"/>
      </w:pPr>
      <w:r w:rsidRPr="00A03B40">
        <w:t xml:space="preserve">SCE proposes a </w:t>
      </w:r>
      <w:bookmarkStart w:name="_Hlk211073673" w:id="124"/>
      <w:bookmarkStart w:name="_Hlk211071711" w:id="125"/>
      <w:r w:rsidRPr="00A03B40">
        <w:t>$33.</w:t>
      </w:r>
      <w:r w:rsidRPr="00A03B40" w:rsidR="007C2682">
        <w:t>094</w:t>
      </w:r>
      <w:r w:rsidRPr="00A03B40">
        <w:t xml:space="preserve"> million</w:t>
      </w:r>
      <w:bookmarkEnd w:id="124"/>
      <w:r w:rsidRPr="00A03B40">
        <w:t xml:space="preserve"> </w:t>
      </w:r>
      <w:bookmarkEnd w:id="125"/>
      <w:r w:rsidRPr="00A03B40">
        <w:t>total set</w:t>
      </w:r>
      <w:r w:rsidRPr="00A03B40" w:rsidR="008B44B9">
        <w:t>-</w:t>
      </w:r>
      <w:r w:rsidRPr="00A03B40">
        <w:t xml:space="preserve">aside for clean energy programs in </w:t>
      </w:r>
      <w:r w:rsidRPr="00A03B40">
        <w:lastRenderedPageBreak/>
        <w:t xml:space="preserve">2026, comprised of </w:t>
      </w:r>
      <w:r w:rsidRPr="00A03B40" w:rsidR="00CF3C1D">
        <w:t>forecasts of</w:t>
      </w:r>
      <w:r w:rsidRPr="00A03B40">
        <w:t xml:space="preserve"> expenses </w:t>
      </w:r>
      <w:r w:rsidRPr="00A03B40" w:rsidR="00CF3C1D">
        <w:t>for</w:t>
      </w:r>
      <w:r w:rsidRPr="00A03B40">
        <w:t xml:space="preserve"> the following programs, as described below: Solar on Multifamily Affordable Housing Program (SOMAH)</w:t>
      </w:r>
      <w:r w:rsidRPr="00A03B40" w:rsidR="00A049E2">
        <w:t xml:space="preserve"> and </w:t>
      </w:r>
      <w:r w:rsidRPr="00A03B40" w:rsidR="00CF3C1D">
        <w:t>Disadvantaged Community (DAC) Programs</w:t>
      </w:r>
      <w:r w:rsidRPr="00A03B40">
        <w:t>.</w:t>
      </w:r>
      <w:r w:rsidRPr="00A03B40">
        <w:rPr>
          <w:rStyle w:val="FootnoteReference"/>
        </w:rPr>
        <w:footnoteReference w:id="247"/>
      </w:r>
    </w:p>
    <w:p w:rsidRPr="00A03B40" w:rsidR="008A5CC0" w:rsidP="008A5CC0" w:rsidRDefault="008A5CC0" w14:paraId="590CF227" w14:textId="5AF8F4BD">
      <w:pPr>
        <w:pStyle w:val="Heading3"/>
      </w:pPr>
      <w:bookmarkStart w:name="_Toc214629889" w:id="126"/>
      <w:r w:rsidRPr="00A03B40">
        <w:t>2026 Clean Energy Program Set</w:t>
      </w:r>
      <w:r w:rsidRPr="00A03B40" w:rsidR="009D254E">
        <w:t>-</w:t>
      </w:r>
      <w:r w:rsidRPr="00A03B40">
        <w:t>Asides: Solar on Multifamily Affordable Housing Program</w:t>
      </w:r>
      <w:bookmarkEnd w:id="126"/>
    </w:p>
    <w:p w:rsidRPr="00A03B40" w:rsidR="006126D6" w:rsidP="00D52EE8" w:rsidRDefault="006126D6" w14:paraId="1FA8B72C" w14:textId="5B2AFFA5">
      <w:pPr>
        <w:pStyle w:val="Standard"/>
      </w:pPr>
      <w:r w:rsidRPr="00A03B40">
        <w:t xml:space="preserve">SCE </w:t>
      </w:r>
      <w:r w:rsidRPr="00A03B40" w:rsidR="00844E91">
        <w:t>proposes a</w:t>
      </w:r>
      <w:r w:rsidRPr="00A03B40" w:rsidR="006A2D54">
        <w:t>n updated</w:t>
      </w:r>
      <w:r w:rsidRPr="00A03B40">
        <w:t xml:space="preserve"> </w:t>
      </w:r>
      <w:bookmarkStart w:name="_Hlk211071936" w:id="127"/>
      <w:r w:rsidRPr="00A03B40" w:rsidR="00DC0BFD">
        <w:t>$23</w:t>
      </w:r>
      <w:r w:rsidRPr="00A03B40" w:rsidR="00B346B4">
        <w:t>.</w:t>
      </w:r>
      <w:r w:rsidRPr="00A03B40" w:rsidR="00DC0BFD">
        <w:t>26</w:t>
      </w:r>
      <w:r w:rsidRPr="00A03B40" w:rsidR="00B346B4">
        <w:t>4 million</w:t>
      </w:r>
      <w:r w:rsidRPr="00A03B40" w:rsidR="00DC0BFD">
        <w:t xml:space="preserve"> </w:t>
      </w:r>
      <w:r w:rsidRPr="00A03B40" w:rsidR="00844E91">
        <w:t>set</w:t>
      </w:r>
      <w:r w:rsidRPr="00A03B40" w:rsidR="008B44B9">
        <w:t>-</w:t>
      </w:r>
      <w:r w:rsidRPr="00A03B40" w:rsidR="00844E91">
        <w:t>aside for</w:t>
      </w:r>
      <w:r w:rsidRPr="00A03B40" w:rsidR="00A24C2A">
        <w:t xml:space="preserve"> its</w:t>
      </w:r>
      <w:r w:rsidRPr="00A03B40" w:rsidR="008B44B9">
        <w:t xml:space="preserve"> </w:t>
      </w:r>
      <w:r w:rsidRPr="00A03B40" w:rsidR="00844E91">
        <w:t>SOMAH</w:t>
      </w:r>
      <w:r w:rsidRPr="00A03B40" w:rsidR="00CF3C1D">
        <w:t xml:space="preserve"> program </w:t>
      </w:r>
      <w:bookmarkEnd w:id="127"/>
      <w:r w:rsidRPr="00A03B40" w:rsidR="00CF3C1D">
        <w:t>in 2026.</w:t>
      </w:r>
      <w:r w:rsidRPr="00A03B40" w:rsidR="00B346B4">
        <w:rPr>
          <w:rStyle w:val="FootnoteReference"/>
        </w:rPr>
        <w:footnoteReference w:id="248"/>
      </w:r>
      <w:r w:rsidRPr="00A03B40" w:rsidR="002A68CA">
        <w:t xml:space="preserve"> </w:t>
      </w:r>
      <w:r w:rsidRPr="00A03B40" w:rsidR="00CF3C1D">
        <w:t xml:space="preserve">AB 693 (Eggman) Stat. 2015, Ch. 582 created the </w:t>
      </w:r>
      <w:r w:rsidRPr="00A03B40" w:rsidR="00844E91">
        <w:t xml:space="preserve">SOMAH </w:t>
      </w:r>
      <w:r w:rsidRPr="00A03B40" w:rsidR="00CF3C1D">
        <w:t xml:space="preserve">program, </w:t>
      </w:r>
      <w:r w:rsidRPr="00A03B40" w:rsidR="00607E87">
        <w:t xml:space="preserve">and </w:t>
      </w:r>
      <w:bookmarkStart w:name="_Hlk211071802" w:id="128"/>
      <w:r w:rsidRPr="00A03B40" w:rsidR="00CF3C1D">
        <w:t>allocat</w:t>
      </w:r>
      <w:r w:rsidRPr="00A03B40" w:rsidR="00607E87">
        <w:t>ed</w:t>
      </w:r>
      <w:r w:rsidRPr="00A03B40" w:rsidR="00CF3C1D">
        <w:t xml:space="preserve"> up to </w:t>
      </w:r>
      <w:r w:rsidRPr="00A03B40" w:rsidR="00D52EE8">
        <w:t xml:space="preserve">the lesser of </w:t>
      </w:r>
      <w:r w:rsidRPr="00A03B40" w:rsidR="00CF3C1D">
        <w:t xml:space="preserve">$100 million </w:t>
      </w:r>
      <w:r w:rsidRPr="00A03B40" w:rsidR="00D52EE8">
        <w:t xml:space="preserve">or 10 percent of all IOU GHG </w:t>
      </w:r>
      <w:r w:rsidRPr="00A03B40" w:rsidR="008B44B9">
        <w:t xml:space="preserve">allowance </w:t>
      </w:r>
      <w:bookmarkStart w:name="_Hlk211071812" w:id="129"/>
      <w:bookmarkEnd w:id="128"/>
      <w:r w:rsidRPr="00A03B40" w:rsidR="00D52EE8">
        <w:t>revenues</w:t>
      </w:r>
      <w:r w:rsidRPr="00A03B40" w:rsidR="00CF3C1D">
        <w:t xml:space="preserve"> for </w:t>
      </w:r>
      <w:r w:rsidRPr="00A03B40" w:rsidR="00D52EE8">
        <w:t xml:space="preserve">SOMAH </w:t>
      </w:r>
      <w:r w:rsidRPr="00A03B40" w:rsidR="00D06CF4">
        <w:t xml:space="preserve">program costs for </w:t>
      </w:r>
      <w:r w:rsidRPr="00A03B40" w:rsidR="00CF3C1D">
        <w:t>fiscal years 2016 through 2026.</w:t>
      </w:r>
      <w:bookmarkEnd w:id="129"/>
      <w:r w:rsidRPr="00A03B40" w:rsidR="002A68CA">
        <w:t xml:space="preserve"> </w:t>
      </w:r>
      <w:r w:rsidRPr="00A03B40" w:rsidR="00CF3C1D">
        <w:t xml:space="preserve">In </w:t>
      </w:r>
      <w:bookmarkStart w:name="_Hlk211071832" w:id="130"/>
      <w:r w:rsidRPr="00A03B40" w:rsidR="00CF3C1D">
        <w:t xml:space="preserve">D.17-12-022, the Commission required that 10 percent of </w:t>
      </w:r>
      <w:r w:rsidRPr="00A03B40" w:rsidR="005B0259">
        <w:t xml:space="preserve">allowance </w:t>
      </w:r>
      <w:r w:rsidRPr="00A03B40" w:rsidR="00CF3C1D">
        <w:t xml:space="preserve">auction </w:t>
      </w:r>
      <w:r w:rsidRPr="00A03B40" w:rsidR="005B0259">
        <w:t>proceeds</w:t>
      </w:r>
      <w:r w:rsidRPr="00A03B40" w:rsidR="00CF3C1D">
        <w:t xml:space="preserve"> be reserved for SOMAH through each IOU’s ERRA applications and established that each IOU </w:t>
      </w:r>
      <w:r w:rsidRPr="00A03B40" w:rsidR="00B346B4">
        <w:t>must</w:t>
      </w:r>
      <w:r w:rsidRPr="00A03B40" w:rsidR="00CF3C1D">
        <w:t xml:space="preserve"> contribute its proportionate share of </w:t>
      </w:r>
      <w:r w:rsidRPr="00A03B40" w:rsidR="00B346B4">
        <w:t xml:space="preserve">the </w:t>
      </w:r>
      <w:r w:rsidRPr="00A03B40" w:rsidR="00CF3C1D">
        <w:t>$100 million, when necessary, based on its share of allowance sale proceeds from the previous four quarters.</w:t>
      </w:r>
      <w:bookmarkEnd w:id="130"/>
      <w:r w:rsidRPr="00A03B40" w:rsidR="00CF3C1D">
        <w:rPr>
          <w:rStyle w:val="FootnoteReference"/>
        </w:rPr>
        <w:footnoteReference w:id="249"/>
      </w:r>
      <w:r w:rsidRPr="00A03B40" w:rsidR="002A68CA">
        <w:t xml:space="preserve"> </w:t>
      </w:r>
      <w:bookmarkStart w:name="_Hlk211071876" w:id="131"/>
      <w:r w:rsidRPr="00A03B40" w:rsidR="00CF3C1D">
        <w:t xml:space="preserve">D.20-01-022 clarified that prior-year SOMAH set-aside of 10 percent of </w:t>
      </w:r>
      <w:r w:rsidRPr="00A03B40" w:rsidR="005B0259">
        <w:t>forecast</w:t>
      </w:r>
      <w:r w:rsidRPr="00A03B40" w:rsidR="00CF3C1D">
        <w:t xml:space="preserve"> GHG </w:t>
      </w:r>
      <w:r w:rsidRPr="00A03B40" w:rsidR="005B0259">
        <w:t xml:space="preserve">allowance </w:t>
      </w:r>
      <w:r w:rsidRPr="00A03B40" w:rsidR="00CF3C1D">
        <w:t xml:space="preserve">revenues should be trued-up based on actual GHG </w:t>
      </w:r>
      <w:r w:rsidRPr="00A03B40" w:rsidR="005B0259">
        <w:t xml:space="preserve">allowance </w:t>
      </w:r>
      <w:r w:rsidRPr="00A03B40" w:rsidR="00CF3C1D">
        <w:t>revenues received.</w:t>
      </w:r>
      <w:bookmarkEnd w:id="131"/>
      <w:r w:rsidRPr="00A03B40" w:rsidR="00F05FBD">
        <w:rPr>
          <w:rStyle w:val="FootnoteReference"/>
        </w:rPr>
        <w:footnoteReference w:id="250"/>
      </w:r>
    </w:p>
    <w:p w:rsidRPr="00A03B40" w:rsidR="00D52EE8" w:rsidP="00D52EE8" w:rsidRDefault="00D52EE8" w14:paraId="5A1ECF89" w14:textId="3828E5F6">
      <w:pPr>
        <w:pStyle w:val="Standard"/>
      </w:pPr>
      <w:bookmarkStart w:name="_Hlk211071892" w:id="132"/>
      <w:r w:rsidRPr="00A03B40">
        <w:t>In D.20-04-012, the Commission extended SOMAH through June 2026,</w:t>
      </w:r>
      <w:bookmarkEnd w:id="132"/>
      <w:r w:rsidRPr="00A03B40">
        <w:t xml:space="preserve"> clarified existing </w:t>
      </w:r>
      <w:r w:rsidRPr="00A03B40" w:rsidR="00A91F32">
        <w:t xml:space="preserve">budgeting </w:t>
      </w:r>
      <w:r w:rsidRPr="00A03B40">
        <w:t xml:space="preserve">requirements, and set additional </w:t>
      </w:r>
      <w:r w:rsidRPr="00A03B40" w:rsidR="00035234">
        <w:t xml:space="preserve">reporting </w:t>
      </w:r>
      <w:r w:rsidRPr="00A03B40">
        <w:t>requirement</w:t>
      </w:r>
      <w:r w:rsidRPr="00A03B40" w:rsidR="005F3914">
        <w:t>s</w:t>
      </w:r>
      <w:r w:rsidRPr="00A03B40">
        <w:t>.</w:t>
      </w:r>
      <w:r w:rsidRPr="00A03B40" w:rsidR="00B346B4">
        <w:rPr>
          <w:rStyle w:val="FootnoteReference"/>
        </w:rPr>
        <w:footnoteReference w:id="251"/>
      </w:r>
      <w:r w:rsidRPr="00A03B40" w:rsidR="002A68CA">
        <w:t xml:space="preserve"> </w:t>
      </w:r>
      <w:bookmarkStart w:name="_Hlk211071919" w:id="133"/>
      <w:r w:rsidRPr="00A03B40">
        <w:t xml:space="preserve">D.22-09-009 modified the forecast budgeting process by adding </w:t>
      </w:r>
      <w:r w:rsidRPr="00A03B40">
        <w:lastRenderedPageBreak/>
        <w:t xml:space="preserve">a pathway for each IOU to request to set aside its proportionate share of </w:t>
      </w:r>
      <w:r w:rsidRPr="00A03B40" w:rsidR="003C3EE4">
        <w:t>the</w:t>
      </w:r>
      <w:r w:rsidRPr="00A03B40">
        <w:t xml:space="preserve"> $100 million budget and </w:t>
      </w:r>
      <w:r w:rsidRPr="00A03B40" w:rsidR="003C3EE4">
        <w:t xml:space="preserve">by </w:t>
      </w:r>
      <w:r w:rsidRPr="00A03B40">
        <w:t>identifying a set allocation for each IOU’s share</w:t>
      </w:r>
      <w:r w:rsidRPr="00A03B40" w:rsidR="007C2682">
        <w:t xml:space="preserve"> (rather than modifying the percentage shares each year based on prior four quarters’ revenues)</w:t>
      </w:r>
      <w:r w:rsidRPr="00A03B40">
        <w:t>.</w:t>
      </w:r>
      <w:bookmarkEnd w:id="133"/>
      <w:r w:rsidRPr="00A03B40" w:rsidR="002A68CA">
        <w:t xml:space="preserve"> </w:t>
      </w:r>
      <w:r w:rsidRPr="00A03B40">
        <w:t xml:space="preserve">This pathway is dependent on </w:t>
      </w:r>
      <w:r w:rsidRPr="00A03B40" w:rsidR="00844E91">
        <w:t>the IOUs’</w:t>
      </w:r>
      <w:r w:rsidRPr="00A03B40">
        <w:t xml:space="preserve"> ability to adequately demonstrate that the</w:t>
      </w:r>
      <w:r w:rsidRPr="00A03B40" w:rsidR="00844E91">
        <w:t xml:space="preserve">ir </w:t>
      </w:r>
      <w:r w:rsidRPr="00A03B40">
        <w:t>combined forecast GHG allowances will equal or exceed $1 billion.</w:t>
      </w:r>
      <w:r w:rsidRPr="00A03B40" w:rsidR="00035234">
        <w:rPr>
          <w:rStyle w:val="FootnoteReference"/>
        </w:rPr>
        <w:footnoteReference w:id="252"/>
      </w:r>
      <w:r w:rsidRPr="00A03B40" w:rsidR="002A68CA">
        <w:t xml:space="preserve"> </w:t>
      </w:r>
      <w:r w:rsidRPr="00A03B40" w:rsidR="00CE0988">
        <w:t>As a result, IOUs may propose setting aside 10 percent of their forecast GHG revenue or their share of $100 million.</w:t>
      </w:r>
    </w:p>
    <w:p w:rsidRPr="00A03B40" w:rsidR="00DC0BFD" w:rsidP="00DC0BFD" w:rsidRDefault="00DC0BFD" w14:paraId="13380DC8" w14:textId="0D7F69E7">
      <w:pPr>
        <w:pStyle w:val="Standard"/>
      </w:pPr>
      <w:r w:rsidRPr="00A03B40">
        <w:t>Pursuant to OP 3 of D.22-09-009, after confirming that the combined 2026 SOMAH Program budget would exceed $100 million</w:t>
      </w:r>
      <w:r w:rsidRPr="00A03B40" w:rsidR="0091204F">
        <w:t>,</w:t>
      </w:r>
      <w:r w:rsidRPr="00A03B40">
        <w:t xml:space="preserve"> SCE </w:t>
      </w:r>
      <w:r w:rsidRPr="00A03B40" w:rsidR="00316B11">
        <w:t>proposes to</w:t>
      </w:r>
      <w:r w:rsidRPr="00A03B40">
        <w:t xml:space="preserve"> set aside its approved share of the $100 million cap</w:t>
      </w:r>
      <w:r w:rsidRPr="00A03B40" w:rsidR="0091204F">
        <w:t>,</w:t>
      </w:r>
      <w:r w:rsidRPr="00A03B40">
        <w:t xml:space="preserve"> </w:t>
      </w:r>
      <w:r w:rsidRPr="00A03B40" w:rsidR="0091204F">
        <w:t>$23</w:t>
      </w:r>
      <w:r w:rsidRPr="00A03B40" w:rsidR="003C3EE4">
        <w:t>.</w:t>
      </w:r>
      <w:r w:rsidRPr="00A03B40" w:rsidR="0091204F">
        <w:t>26</w:t>
      </w:r>
      <w:r w:rsidRPr="00A03B40" w:rsidR="003C3EE4">
        <w:t>4 million</w:t>
      </w:r>
      <w:r w:rsidRPr="00A03B40" w:rsidR="00316B11">
        <w:t xml:space="preserve">, to fund SOMAH through D.20-04-012’s June 2026 program extension, and </w:t>
      </w:r>
      <w:r w:rsidRPr="00A03B40">
        <w:t xml:space="preserve">based on SCE’s share of funding </w:t>
      </w:r>
      <w:r w:rsidRPr="00A03B40" w:rsidR="00316B11">
        <w:t xml:space="preserve">for a six-month budget as </w:t>
      </w:r>
      <w:r w:rsidRPr="00A03B40">
        <w:t>shown in Table 2 of D.22-09-009.</w:t>
      </w:r>
      <w:r w:rsidRPr="00A03B40">
        <w:rPr>
          <w:rStyle w:val="FootnoteReference"/>
        </w:rPr>
        <w:footnoteReference w:id="253"/>
      </w:r>
    </w:p>
    <w:p w:rsidRPr="00A03B40" w:rsidR="00316B11" w:rsidP="00044DFB" w:rsidRDefault="00DC0BFD" w14:paraId="333CD022" w14:textId="05329759">
      <w:pPr>
        <w:pStyle w:val="Standard"/>
      </w:pPr>
      <w:r w:rsidRPr="00A03B40">
        <w:t>SCE note</w:t>
      </w:r>
      <w:r w:rsidRPr="00A03B40" w:rsidR="00EA0E75">
        <w:t>s</w:t>
      </w:r>
      <w:r w:rsidRPr="00A03B40">
        <w:t xml:space="preserve"> that its </w:t>
      </w:r>
      <w:bookmarkStart w:name="_Hlk211072154" w:id="134"/>
      <w:r w:rsidRPr="00A03B40">
        <w:t>202</w:t>
      </w:r>
      <w:r w:rsidRPr="00A03B40" w:rsidR="00A24C2A">
        <w:t>4</w:t>
      </w:r>
      <w:r w:rsidRPr="00A03B40">
        <w:t xml:space="preserve"> SOMAH true</w:t>
      </w:r>
      <w:r w:rsidR="006E0D77">
        <w:t xml:space="preserve"> </w:t>
      </w:r>
      <w:r w:rsidRPr="00A03B40">
        <w:t>up</w:t>
      </w:r>
      <w:r w:rsidRPr="00A03B40" w:rsidR="0091204F">
        <w:t xml:space="preserve"> revealed a $3.328 million </w:t>
      </w:r>
      <w:r w:rsidRPr="00A03B40" w:rsidR="00A24C2A">
        <w:t xml:space="preserve">difference </w:t>
      </w:r>
      <w:r w:rsidRPr="00A03B40" w:rsidR="0091204F">
        <w:t xml:space="preserve">between </w:t>
      </w:r>
      <w:r w:rsidRPr="00A03B40" w:rsidR="00A24C2A">
        <w:t>SCE’s share</w:t>
      </w:r>
      <w:r w:rsidRPr="00A03B40" w:rsidR="0091204F">
        <w:t xml:space="preserve"> of the $100 million cap based on actual GHG revenues </w:t>
      </w:r>
      <w:r w:rsidRPr="00A03B40" w:rsidR="00F05FBD">
        <w:t xml:space="preserve">recorded </w:t>
      </w:r>
      <w:r w:rsidRPr="00A03B40" w:rsidR="0091204F">
        <w:t xml:space="preserve">in 2024, and </w:t>
      </w:r>
      <w:r w:rsidRPr="00A03B40" w:rsidR="00A24C2A">
        <w:t>its</w:t>
      </w:r>
      <w:r w:rsidRPr="00A03B40" w:rsidR="0091204F">
        <w:t xml:space="preserve"> previously approved set</w:t>
      </w:r>
      <w:r w:rsidRPr="00A03B40" w:rsidR="009D254E">
        <w:t>-</w:t>
      </w:r>
      <w:r w:rsidRPr="00A03B40" w:rsidR="0091204F">
        <w:t>aside in the 2024 ERRA filings.</w:t>
      </w:r>
      <w:r w:rsidRPr="00A03B40" w:rsidR="0091204F">
        <w:rPr>
          <w:rStyle w:val="FootnoteReference"/>
        </w:rPr>
        <w:footnoteReference w:id="254"/>
      </w:r>
      <w:r w:rsidRPr="00A03B40" w:rsidR="002A68CA">
        <w:t xml:space="preserve"> </w:t>
      </w:r>
      <w:bookmarkStart w:name="_Hlk211072427" w:id="135"/>
      <w:r w:rsidRPr="00A03B40" w:rsidR="0091204F">
        <w:t xml:space="preserve">This extra funding rolls over </w:t>
      </w:r>
      <w:r w:rsidRPr="00A03B40" w:rsidR="00A24C2A">
        <w:t>to be available in</w:t>
      </w:r>
      <w:r w:rsidRPr="00A03B40">
        <w:t xml:space="preserve"> 2026, </w:t>
      </w:r>
      <w:r w:rsidRPr="00A03B40" w:rsidR="007C2682">
        <w:t>yielding a total available SOMAH budget of approximately $26.59</w:t>
      </w:r>
      <w:r w:rsidR="000D2376">
        <w:t>2</w:t>
      </w:r>
      <w:r w:rsidRPr="00A03B40" w:rsidR="007C2682">
        <w:t xml:space="preserve"> million</w:t>
      </w:r>
      <w:r w:rsidRPr="00A03B40">
        <w:t>.</w:t>
      </w:r>
      <w:bookmarkEnd w:id="135"/>
      <w:r w:rsidRPr="00A03B40">
        <w:rPr>
          <w:rStyle w:val="FootnoteReference"/>
        </w:rPr>
        <w:footnoteReference w:id="255"/>
      </w:r>
      <w:bookmarkEnd w:id="134"/>
    </w:p>
    <w:p w:rsidRPr="00A03B40" w:rsidR="008A5CC0" w:rsidP="008A5CC0" w:rsidRDefault="008A5CC0" w14:paraId="75E2F500" w14:textId="3AB49F22">
      <w:pPr>
        <w:pStyle w:val="Heading3"/>
      </w:pPr>
      <w:bookmarkStart w:name="_Toc214629890" w:id="136"/>
      <w:r w:rsidRPr="00A03B40">
        <w:t>2026 Clean Energy Program Set</w:t>
      </w:r>
      <w:r w:rsidRPr="00A03B40" w:rsidR="009D254E">
        <w:t>-</w:t>
      </w:r>
      <w:r w:rsidRPr="00A03B40">
        <w:t>Asides: Disadvantaged Community Programs</w:t>
      </w:r>
      <w:bookmarkEnd w:id="136"/>
    </w:p>
    <w:p w:rsidRPr="00A03B40" w:rsidR="00A24C2A" w:rsidP="00044DFB" w:rsidRDefault="00A24C2A" w14:paraId="4E1AF2B0" w14:textId="2C45EFA6">
      <w:pPr>
        <w:pStyle w:val="Standard"/>
      </w:pPr>
      <w:r w:rsidRPr="00A03B40">
        <w:t>SCE proposes a 2026 set</w:t>
      </w:r>
      <w:r w:rsidRPr="00A03B40" w:rsidR="009D254E">
        <w:t>-</w:t>
      </w:r>
      <w:r w:rsidRPr="00A03B40">
        <w:t xml:space="preserve">aside for the DAC-Single </w:t>
      </w:r>
      <w:r w:rsidRPr="00A03B40" w:rsidR="00B74157">
        <w:t>Family Solar Homes (SASH) program of $4.6</w:t>
      </w:r>
      <w:r w:rsidRPr="00A03B40" w:rsidR="00D6710A">
        <w:t>0</w:t>
      </w:r>
      <w:r w:rsidRPr="00A03B40" w:rsidR="00B74157">
        <w:t xml:space="preserve"> million.</w:t>
      </w:r>
      <w:r w:rsidRPr="00A03B40" w:rsidR="002A68CA">
        <w:t xml:space="preserve"> </w:t>
      </w:r>
      <w:bookmarkStart w:name="_Hlk211073207" w:id="137"/>
      <w:r w:rsidRPr="00A03B40" w:rsidR="00B74157">
        <w:t>I</w:t>
      </w:r>
      <w:r w:rsidRPr="00A03B40">
        <w:t xml:space="preserve">n </w:t>
      </w:r>
      <w:bookmarkStart w:name="_Hlk211177966" w:id="138"/>
      <w:r w:rsidRPr="00A03B40">
        <w:t>D.18-06-027</w:t>
      </w:r>
      <w:bookmarkEnd w:id="137"/>
      <w:bookmarkEnd w:id="138"/>
      <w:r w:rsidRPr="00A03B40">
        <w:t xml:space="preserve">, the Commission </w:t>
      </w:r>
      <w:r w:rsidRPr="00A03B40" w:rsidR="00044DFB">
        <w:t xml:space="preserve">implemented </w:t>
      </w:r>
      <w:r w:rsidRPr="00A03B40" w:rsidR="00044DFB">
        <w:lastRenderedPageBreak/>
        <w:t>AB 327</w:t>
      </w:r>
      <w:r w:rsidRPr="00A03B40" w:rsidR="00044DFB">
        <w:rPr>
          <w:rStyle w:val="FootnoteReference"/>
        </w:rPr>
        <w:footnoteReference w:id="256"/>
      </w:r>
      <w:r w:rsidRPr="00A03B40" w:rsidR="00044DFB">
        <w:t xml:space="preserve"> by </w:t>
      </w:r>
      <w:r w:rsidRPr="00A03B40">
        <w:t>creat</w:t>
      </w:r>
      <w:r w:rsidRPr="00A03B40" w:rsidR="00044DFB">
        <w:t>ing</w:t>
      </w:r>
      <w:r w:rsidRPr="00A03B40">
        <w:t xml:space="preserve"> the </w:t>
      </w:r>
      <w:bookmarkStart w:name="_Hlk211073184" w:id="140"/>
      <w:r w:rsidRPr="00A03B40">
        <w:t>DAC Single Family Solar Homes (SASH) program</w:t>
      </w:r>
      <w:bookmarkEnd w:id="140"/>
      <w:r w:rsidRPr="00A03B40" w:rsidR="00B74157">
        <w:t>, which provides financial incentives towards the installation of solar generating systems on the homes of low-income homeowners.</w:t>
      </w:r>
      <w:r w:rsidRPr="00A03B40" w:rsidR="002A68CA">
        <w:t xml:space="preserve"> </w:t>
      </w:r>
      <w:r w:rsidRPr="00A03B40" w:rsidR="00B74157">
        <w:t>In the same decision, the Commission</w:t>
      </w:r>
      <w:r w:rsidRPr="00A03B40">
        <w:t xml:space="preserve"> </w:t>
      </w:r>
      <w:bookmarkStart w:name="_Hlk211073239" w:id="141"/>
      <w:r w:rsidRPr="00A03B40">
        <w:t>set an annual</w:t>
      </w:r>
      <w:r w:rsidRPr="00A03B40" w:rsidR="00844E91">
        <w:t>, all-IOU</w:t>
      </w:r>
      <w:r w:rsidRPr="00A03B40">
        <w:t xml:space="preserve"> $10 million budget</w:t>
      </w:r>
      <w:r w:rsidRPr="00A03B40" w:rsidR="00B74157">
        <w:t xml:space="preserve"> for DAC-SASH</w:t>
      </w:r>
      <w:r w:rsidRPr="00A03B40" w:rsidR="00EF2313">
        <w:t>, to be funded first via GHG allowance revenues, and through PPP funds, should GHG allowance revenues be exhausted</w:t>
      </w:r>
      <w:r w:rsidRPr="00A03B40">
        <w:t>.</w:t>
      </w:r>
      <w:r w:rsidRPr="00A03B40" w:rsidR="002A68CA">
        <w:t xml:space="preserve"> </w:t>
      </w:r>
      <w:r w:rsidRPr="00A03B40">
        <w:t>SCE’s proportionate share of that $10 million annual budget is 46 percent, starting in 2019</w:t>
      </w:r>
      <w:bookmarkEnd w:id="141"/>
      <w:r w:rsidRPr="00A03B40">
        <w:t>.</w:t>
      </w:r>
      <w:r w:rsidRPr="00A03B40" w:rsidR="00B74157">
        <w:rPr>
          <w:rStyle w:val="FootnoteReference"/>
        </w:rPr>
        <w:footnoteReference w:id="257"/>
      </w:r>
      <w:r w:rsidRPr="00A03B40" w:rsidR="002A68CA">
        <w:t xml:space="preserve"> </w:t>
      </w:r>
      <w:r w:rsidRPr="00A03B40" w:rsidR="00B74157">
        <w:t>Thus, i</w:t>
      </w:r>
      <w:r w:rsidRPr="00A03B40">
        <w:t>n its 202</w:t>
      </w:r>
      <w:r w:rsidRPr="00A03B40" w:rsidR="00B74157">
        <w:t>6</w:t>
      </w:r>
      <w:r w:rsidRPr="00A03B40">
        <w:t xml:space="preserve"> ERRA </w:t>
      </w:r>
      <w:r w:rsidRPr="00A03B40" w:rsidR="00CC7C11">
        <w:t>forecast</w:t>
      </w:r>
      <w:r w:rsidRPr="00A03B40">
        <w:t xml:space="preserve">, </w:t>
      </w:r>
      <w:bookmarkStart w:name="_Hlk211073270" w:id="142"/>
      <w:r w:rsidRPr="00A03B40">
        <w:t>SCE has allocated $4.6</w:t>
      </w:r>
      <w:r w:rsidRPr="00A03B40" w:rsidR="00D6710A">
        <w:t>0</w:t>
      </w:r>
      <w:r w:rsidRPr="00A03B40">
        <w:t xml:space="preserve"> million </w:t>
      </w:r>
      <w:r w:rsidRPr="00A03B40" w:rsidR="00B74157">
        <w:t xml:space="preserve">of its projected GHG allowance revenues </w:t>
      </w:r>
      <w:r w:rsidRPr="00A03B40">
        <w:t>to its DAC-SASH program (46 percent of $10 million)</w:t>
      </w:r>
      <w:bookmarkEnd w:id="142"/>
      <w:r w:rsidRPr="00A03B40">
        <w:t>.</w:t>
      </w:r>
      <w:r w:rsidRPr="00A03B40" w:rsidR="00B74157">
        <w:rPr>
          <w:rStyle w:val="FootnoteReference"/>
        </w:rPr>
        <w:footnoteReference w:id="258"/>
      </w:r>
    </w:p>
    <w:p w:rsidRPr="00A03B40" w:rsidR="00B74157" w:rsidP="00B74157" w:rsidRDefault="00F00512" w14:paraId="745DBDFA" w14:textId="42A28572">
      <w:pPr>
        <w:pStyle w:val="Standard"/>
      </w:pPr>
      <w:r w:rsidRPr="00A03B40">
        <w:t xml:space="preserve">In addition to creating the DAC-SASH program, D.18-06-027 created Green Tariff options for DACs, including the DAC-GT and Community Solar Green Tariff </w:t>
      </w:r>
      <w:r w:rsidRPr="00A03B40" w:rsidR="00844E91">
        <w:t>(CSGT).</w:t>
      </w:r>
      <w:r w:rsidRPr="00A03B40" w:rsidR="00F3499E">
        <w:rPr>
          <w:rStyle w:val="FootnoteReference"/>
        </w:rPr>
        <w:footnoteReference w:id="259"/>
      </w:r>
      <w:r w:rsidRPr="00A03B40" w:rsidR="002A68CA">
        <w:t xml:space="preserve"> </w:t>
      </w:r>
      <w:r w:rsidRPr="00A03B40" w:rsidR="00B74157">
        <w:t>SCE proposes a zero dollar set</w:t>
      </w:r>
      <w:r w:rsidRPr="00A03B40" w:rsidR="009D254E">
        <w:t>-</w:t>
      </w:r>
      <w:r w:rsidRPr="00A03B40" w:rsidR="00B74157">
        <w:t>aside for its DAC-GT and CSGT programs</w:t>
      </w:r>
      <w:r w:rsidRPr="00A03B40" w:rsidR="006A4EE6">
        <w:t xml:space="preserve">, </w:t>
      </w:r>
      <w:r w:rsidRPr="00A03B40" w:rsidR="00B74157">
        <w:t>as the set</w:t>
      </w:r>
      <w:r w:rsidRPr="00A03B40" w:rsidR="00235D70">
        <w:t>-</w:t>
      </w:r>
      <w:r w:rsidRPr="00A03B40" w:rsidR="00B74157">
        <w:t xml:space="preserve">aside </w:t>
      </w:r>
      <w:r w:rsidRPr="00A03B40" w:rsidR="00BD640F">
        <w:t xml:space="preserve">funds </w:t>
      </w:r>
      <w:r w:rsidRPr="00A03B40" w:rsidR="00844E91">
        <w:t xml:space="preserve">anticipated to be </w:t>
      </w:r>
      <w:r w:rsidRPr="00A03B40" w:rsidR="00B74157">
        <w:t xml:space="preserve">available through </w:t>
      </w:r>
      <w:r w:rsidRPr="00A03B40" w:rsidR="00844E91">
        <w:t xml:space="preserve">the end of </w:t>
      </w:r>
      <w:r w:rsidRPr="00A03B40" w:rsidR="00B74157">
        <w:t xml:space="preserve">2025 </w:t>
      </w:r>
      <w:r w:rsidRPr="00A03B40" w:rsidR="00844E91">
        <w:t>remain</w:t>
      </w:r>
      <w:r w:rsidRPr="00A03B40" w:rsidR="00B74157">
        <w:t xml:space="preserve"> greater than forecast costs through 2026.</w:t>
      </w:r>
      <w:r w:rsidRPr="00A03B40" w:rsidR="003F65B6">
        <w:rPr>
          <w:rStyle w:val="FootnoteReference"/>
        </w:rPr>
        <w:footnoteReference w:id="260"/>
      </w:r>
      <w:r w:rsidRPr="00A03B40" w:rsidR="002A68CA">
        <w:t xml:space="preserve"> </w:t>
      </w:r>
    </w:p>
    <w:p w:rsidRPr="00A03B40" w:rsidR="00CD6945" w:rsidP="006A4EE6" w:rsidRDefault="00844E91" w14:paraId="519F420A" w14:textId="2B52A0B8">
      <w:pPr>
        <w:pStyle w:val="Standard"/>
      </w:pPr>
      <w:r w:rsidRPr="00A03B40">
        <w:t xml:space="preserve">Finally, </w:t>
      </w:r>
      <w:bookmarkStart w:name="_Hlk211073304" w:id="143"/>
      <w:r w:rsidRPr="00A03B40" w:rsidR="00467170">
        <w:t xml:space="preserve">D.18-06-027, </w:t>
      </w:r>
      <w:r w:rsidRPr="00A03B40" w:rsidR="003F65B6">
        <w:t>as clarified by Res</w:t>
      </w:r>
      <w:r w:rsidRPr="00A03B40" w:rsidR="00A75DD0">
        <w:t>.</w:t>
      </w:r>
      <w:r w:rsidRPr="00A03B40" w:rsidR="003F65B6">
        <w:t xml:space="preserve"> E-4999, </w:t>
      </w:r>
      <w:r w:rsidRPr="00A03B40">
        <w:t xml:space="preserve">allowed </w:t>
      </w:r>
      <w:r w:rsidRPr="00A03B40" w:rsidR="003F65B6">
        <w:t xml:space="preserve">authorized CCAs to access these same program funding sources to run their own </w:t>
      </w:r>
      <w:r w:rsidRPr="00A03B40" w:rsidR="00F00512">
        <w:t xml:space="preserve">Green Tariff programs, including </w:t>
      </w:r>
      <w:r w:rsidRPr="00A03B40" w:rsidR="003F65B6">
        <w:t>DAC-GT and CSGT programs.</w:t>
      </w:r>
      <w:r w:rsidRPr="00A03B40" w:rsidR="002A68CA">
        <w:t xml:space="preserve"> </w:t>
      </w:r>
      <w:bookmarkStart w:name="_Hlk211073357" w:id="144"/>
      <w:bookmarkEnd w:id="143"/>
      <w:r w:rsidRPr="00A03B40" w:rsidR="003F65B6">
        <w:t>On April 1, 2025, Clean Power Alliance of Southern California (CPA) submitted A</w:t>
      </w:r>
      <w:r w:rsidRPr="00A03B40" w:rsidR="00D6710A">
        <w:t>L</w:t>
      </w:r>
      <w:r w:rsidRPr="00A03B40" w:rsidR="003F65B6">
        <w:t xml:space="preserve"> 0035-E, showing a FY</w:t>
      </w:r>
      <w:r w:rsidR="00165F5F">
        <w:t> </w:t>
      </w:r>
      <w:r w:rsidRPr="00A03B40" w:rsidR="003F65B6">
        <w:t>2026 funding request of $5.142 million, which is reduced for prior year unspent amounts.</w:t>
      </w:r>
      <w:r w:rsidRPr="00A03B40" w:rsidR="002A68CA">
        <w:t xml:space="preserve"> </w:t>
      </w:r>
      <w:r w:rsidRPr="00A03B40" w:rsidR="006A2D54">
        <w:t>SCE states that, o</w:t>
      </w:r>
      <w:r w:rsidRPr="00A03B40" w:rsidR="003F65B6">
        <w:t xml:space="preserve">f the total funding requested, the above </w:t>
      </w:r>
      <w:r w:rsidRPr="00A03B40" w:rsidR="003F65B6">
        <w:lastRenderedPageBreak/>
        <w:t xml:space="preserve">market generation portion of $1.902 million will be funded through GHG allowance revenue, with the remainder of $3.240 million recovered through </w:t>
      </w:r>
      <w:r w:rsidRPr="00A03B40" w:rsidR="00EF2313">
        <w:t xml:space="preserve">the </w:t>
      </w:r>
      <w:r w:rsidRPr="00A03B40" w:rsidR="003F65B6">
        <w:t xml:space="preserve">PPP </w:t>
      </w:r>
      <w:r w:rsidRPr="00A03B40" w:rsidR="00EF2313">
        <w:t>Charge</w:t>
      </w:r>
      <w:r w:rsidRPr="00A03B40" w:rsidR="003F65B6">
        <w:t>.</w:t>
      </w:r>
      <w:r w:rsidRPr="00A03B40" w:rsidR="003F65B6">
        <w:rPr>
          <w:rStyle w:val="FootnoteReference"/>
        </w:rPr>
        <w:footnoteReference w:id="261"/>
      </w:r>
      <w:r w:rsidRPr="00A03B40" w:rsidR="002A68CA">
        <w:t xml:space="preserve"> </w:t>
      </w:r>
      <w:r w:rsidRPr="00A03B40" w:rsidR="003F65B6">
        <w:t xml:space="preserve">On April 1, 2025, Lancaster Choice Energy, Pico Rivera Innovative Municipal Energy, and San Jacinto Power, jointly as </w:t>
      </w:r>
      <w:proofErr w:type="spellStart"/>
      <w:r w:rsidRPr="00A03B40" w:rsidR="003F65B6">
        <w:t>CalChoice</w:t>
      </w:r>
      <w:proofErr w:type="spellEnd"/>
      <w:r w:rsidRPr="00A03B40" w:rsidR="003F65B6">
        <w:t>, submitted a joint advice letter demonstrating surplus funding through program year 2026 of $0.119 million.</w:t>
      </w:r>
      <w:r w:rsidRPr="00A03B40" w:rsidR="002A68CA">
        <w:t xml:space="preserve"> </w:t>
      </w:r>
      <w:r w:rsidRPr="00A03B40" w:rsidR="00BD640F">
        <w:t>Therefore, SCE requests no additional funding to be set aside for this program through GHG allowance revenues (or PPP funds)</w:t>
      </w:r>
      <w:r w:rsidRPr="00A03B40" w:rsidR="003F65B6">
        <w:t>.</w:t>
      </w:r>
      <w:r w:rsidRPr="00A03B40" w:rsidR="006A2D54">
        <w:rPr>
          <w:rStyle w:val="FootnoteReference"/>
        </w:rPr>
        <w:footnoteReference w:id="262"/>
      </w:r>
    </w:p>
    <w:p w:rsidRPr="00A03B40" w:rsidR="006A2D54" w:rsidP="006A2D54" w:rsidRDefault="006A2D54" w14:paraId="1D200F52" w14:textId="6B9E297A">
      <w:pPr>
        <w:pStyle w:val="Standard"/>
      </w:pPr>
      <w:r w:rsidRPr="00A03B40">
        <w:t xml:space="preserve">In its </w:t>
      </w:r>
      <w:r w:rsidRPr="00A03B40" w:rsidR="00B42F10">
        <w:t xml:space="preserve">Amended </w:t>
      </w:r>
      <w:r w:rsidRPr="00A03B40">
        <w:t xml:space="preserve">October Update, SCE notes that on August 14, 2025, Orange County Power Authority (OCPA) submitted AL 13-E to establish and implement their DAC-GT program and is requesting approval of its initial 2026 and 2027 budgets. </w:t>
      </w:r>
      <w:r w:rsidRPr="00A03B40" w:rsidR="007B1EDD">
        <w:t xml:space="preserve">If </w:t>
      </w:r>
      <w:r w:rsidRPr="00A03B40" w:rsidR="00B42F10">
        <w:t xml:space="preserve">OCPA’s request is </w:t>
      </w:r>
      <w:r w:rsidRPr="00A03B40" w:rsidR="007B1EDD">
        <w:t xml:space="preserve">granted, SCE </w:t>
      </w:r>
      <w:r w:rsidRPr="00A03B40" w:rsidR="00B42F10">
        <w:t xml:space="preserve">states it </w:t>
      </w:r>
      <w:r w:rsidRPr="00A03B40" w:rsidR="007B1EDD">
        <w:t>will include these budgets in its 2027 ERRA forecast.</w:t>
      </w:r>
      <w:r w:rsidRPr="00A03B40" w:rsidR="007B1EDD">
        <w:rPr>
          <w:rStyle w:val="FootnoteReference"/>
        </w:rPr>
        <w:footnoteReference w:id="263"/>
      </w:r>
      <w:r w:rsidRPr="00A03B40">
        <w:t xml:space="preserve"> </w:t>
      </w:r>
    </w:p>
    <w:p w:rsidRPr="00A03B40" w:rsidR="008A5CC0" w:rsidP="006A4EE6" w:rsidRDefault="00CD6945" w14:paraId="70A49B33" w14:textId="441CBA33">
      <w:pPr>
        <w:pStyle w:val="Standard"/>
      </w:pPr>
      <w:proofErr w:type="gramStart"/>
      <w:r w:rsidRPr="00A03B40">
        <w:t>SCE’s</w:t>
      </w:r>
      <w:proofErr w:type="gramEnd"/>
      <w:r w:rsidRPr="00A03B40">
        <w:t xml:space="preserve"> proposed GHG allowance set-asides for clean energy and efficiency programs are calculated </w:t>
      </w:r>
      <w:proofErr w:type="gramStart"/>
      <w:r w:rsidRPr="00A03B40">
        <w:t>consistent</w:t>
      </w:r>
      <w:proofErr w:type="gramEnd"/>
      <w:r w:rsidRPr="00A03B40">
        <w:t xml:space="preserve"> with governing statutes and applicable Commission decisions.</w:t>
      </w:r>
      <w:r w:rsidRPr="00A03B40" w:rsidR="00405668">
        <w:t xml:space="preserve"> </w:t>
      </w:r>
      <w:r w:rsidRPr="00A03B40">
        <w:t>No party commented on SCE’s proposals. We find these proposals reasonable and adopt them.</w:t>
      </w:r>
    </w:p>
    <w:p w:rsidRPr="00A03B40" w:rsidR="008A5CC0" w:rsidP="00ED051B" w:rsidRDefault="008A5CC0" w14:paraId="2A1BB9F0" w14:textId="0979EBD5">
      <w:pPr>
        <w:pStyle w:val="Heading2"/>
      </w:pPr>
      <w:bookmarkStart w:name="_Toc214629891" w:id="145"/>
      <w:bookmarkEnd w:id="144"/>
      <w:r w:rsidRPr="00A03B40">
        <w:t>Greenhouse Gas Forecasts: 2026 California Climate Credit Calculation</w:t>
      </w:r>
      <w:bookmarkEnd w:id="145"/>
    </w:p>
    <w:bookmarkEnd w:id="61"/>
    <w:p w:rsidR="00A805F7" w:rsidP="009F1778" w:rsidRDefault="00A60210" w14:paraId="39E0BFD2" w14:textId="77777777">
      <w:pPr>
        <w:pStyle w:val="Standard"/>
      </w:pPr>
      <w:r w:rsidRPr="00A03B40">
        <w:t xml:space="preserve">SCE proposes to return </w:t>
      </w:r>
      <w:bookmarkStart w:name="_Hlk211074059" w:id="146"/>
      <w:r w:rsidRPr="00A03B40">
        <w:t>$</w:t>
      </w:r>
      <w:r w:rsidRPr="00A03B40" w:rsidR="00A25936">
        <w:t>443</w:t>
      </w:r>
      <w:r w:rsidRPr="00A03B40">
        <w:t>.</w:t>
      </w:r>
      <w:r w:rsidRPr="00A03B40" w:rsidR="00A25936">
        <w:t>279</w:t>
      </w:r>
      <w:r w:rsidRPr="00A03B40">
        <w:t xml:space="preserve"> million </w:t>
      </w:r>
      <w:bookmarkEnd w:id="146"/>
      <w:r w:rsidRPr="00A03B40">
        <w:t>in GHG allowance proceeds to customers</w:t>
      </w:r>
      <w:r w:rsidRPr="00A03B40" w:rsidR="001F7FEB">
        <w:t xml:space="preserve"> </w:t>
      </w:r>
      <w:r w:rsidRPr="00A03B40">
        <w:t>in 2026.</w:t>
      </w:r>
      <w:r w:rsidRPr="00A03B40" w:rsidR="002A68CA">
        <w:t xml:space="preserve"> </w:t>
      </w:r>
      <w:r w:rsidRPr="00A03B40" w:rsidR="001F7FEB">
        <w:t xml:space="preserve">From that amount, </w:t>
      </w:r>
      <w:r w:rsidRPr="00A03B40" w:rsidR="00AC7244">
        <w:t xml:space="preserve">SCE proposes </w:t>
      </w:r>
      <w:proofErr w:type="gramStart"/>
      <w:r w:rsidRPr="00A03B40" w:rsidR="00AC7244">
        <w:t>to set</w:t>
      </w:r>
      <w:proofErr w:type="gramEnd"/>
      <w:r w:rsidRPr="00A03B40" w:rsidR="00AC7244">
        <w:t xml:space="preserve"> aside $58.</w:t>
      </w:r>
      <w:r w:rsidRPr="00A03B40" w:rsidR="00E043DC">
        <w:t>908</w:t>
      </w:r>
      <w:r w:rsidRPr="00A03B40" w:rsidR="00AC7244">
        <w:t xml:space="preserve"> million in </w:t>
      </w:r>
      <w:r w:rsidRPr="00A03B40" w:rsidR="001F7FEB">
        <w:t>revenues for recipients of California Industry Assistance, available to EITE facilities, who receive credits to minimize leakage associated with Cap-and-</w:t>
      </w:r>
      <w:r w:rsidRPr="00A03B40" w:rsidR="001F7FEB">
        <w:lastRenderedPageBreak/>
        <w:t xml:space="preserve">Trade </w:t>
      </w:r>
      <w:r w:rsidRPr="00A03B40" w:rsidR="00AC7244">
        <w:t>p</w:t>
      </w:r>
      <w:r w:rsidRPr="00A03B40" w:rsidR="001F7FEB">
        <w:t>rogram costs in purchased energy.</w:t>
      </w:r>
      <w:r w:rsidRPr="00A03B40" w:rsidR="001F7FEB">
        <w:rPr>
          <w:rStyle w:val="FootnoteReference"/>
        </w:rPr>
        <w:footnoteReference w:id="264"/>
      </w:r>
      <w:r w:rsidRPr="00A03B40" w:rsidR="002A68CA">
        <w:t xml:space="preserve"> </w:t>
      </w:r>
      <w:r w:rsidRPr="00A03B40" w:rsidR="00AC7244">
        <w:t>The Commission adopted methodologies for calculating EITE returns in D.14-12-037</w:t>
      </w:r>
      <w:r w:rsidRPr="00A03B40" w:rsidR="007341AD">
        <w:t xml:space="preserve">, </w:t>
      </w:r>
      <w:r w:rsidRPr="00A03B40" w:rsidR="00AC7244">
        <w:t xml:space="preserve">as modified by </w:t>
      </w:r>
    </w:p>
    <w:p w:rsidR="00A805F7" w:rsidP="00A805F7" w:rsidRDefault="00AC7244" w14:paraId="0D1CA1A6" w14:textId="77777777">
      <w:pPr>
        <w:pStyle w:val="Standard"/>
        <w:ind w:firstLine="0"/>
      </w:pPr>
      <w:r w:rsidRPr="00A03B40">
        <w:t>D.15-08-006 and D.16-07-007</w:t>
      </w:r>
      <w:r w:rsidRPr="00A03B40" w:rsidR="00E043DC">
        <w:t>,</w:t>
      </w:r>
      <w:r w:rsidRPr="00A03B40">
        <w:rPr>
          <w:rStyle w:val="FootnoteReference"/>
        </w:rPr>
        <w:footnoteReference w:id="265"/>
      </w:r>
      <w:r w:rsidRPr="00A03B40">
        <w:t xml:space="preserve"> and updated these methodologies in </w:t>
      </w:r>
    </w:p>
    <w:p w:rsidRPr="00A03B40" w:rsidR="00F3499E" w:rsidP="00A805F7" w:rsidRDefault="00AC7244" w14:paraId="5DA77C53" w14:textId="2D32B37E">
      <w:pPr>
        <w:pStyle w:val="Standard"/>
        <w:ind w:firstLine="0"/>
      </w:pPr>
      <w:r w:rsidRPr="00A03B40">
        <w:t>D.21-08-026.</w:t>
      </w:r>
      <w:r w:rsidRPr="00A03B40">
        <w:rPr>
          <w:rStyle w:val="FootnoteReference"/>
        </w:rPr>
        <w:footnoteReference w:id="266"/>
      </w:r>
      <w:r w:rsidRPr="00A03B40" w:rsidR="007341AD">
        <w:t xml:space="preserve"> The Commission calculates EITE returns</w:t>
      </w:r>
      <w:r w:rsidRPr="00A03B40" w:rsidR="00CD6945">
        <w:rPr>
          <w:rStyle w:val="FootnoteReference"/>
        </w:rPr>
        <w:footnoteReference w:id="267"/>
      </w:r>
      <w:r w:rsidRPr="00A03B40" w:rsidR="007341AD">
        <w:t xml:space="preserve"> </w:t>
      </w:r>
      <w:r w:rsidRPr="00A03B40" w:rsidR="00CD6945">
        <w:t>for each eligible facility using emissions-efficiency benchmarks, while the utility is responsible for disbursement.</w:t>
      </w:r>
      <w:r w:rsidRPr="00A03B40" w:rsidR="00CD6945">
        <w:rPr>
          <w:rStyle w:val="FootnoteReference"/>
        </w:rPr>
        <w:footnoteReference w:id="268"/>
      </w:r>
    </w:p>
    <w:p w:rsidR="009E4BA6" w:rsidP="009F1778" w:rsidRDefault="001F7FEB" w14:paraId="3A74B285" w14:textId="77777777">
      <w:pPr>
        <w:pStyle w:val="Standard"/>
      </w:pPr>
      <w:r w:rsidRPr="00A03B40">
        <w:t xml:space="preserve">Once EITE facilities receive credits, the remaining amount </w:t>
      </w:r>
      <w:r w:rsidRPr="00A03B40" w:rsidR="00AC7244">
        <w:t>($</w:t>
      </w:r>
      <w:r w:rsidRPr="00A03B40" w:rsidR="00E043DC">
        <w:t>384</w:t>
      </w:r>
      <w:r w:rsidRPr="00A03B40" w:rsidR="00AC7244">
        <w:t>.</w:t>
      </w:r>
      <w:r w:rsidRPr="00A03B40" w:rsidR="00E043DC">
        <w:t>371</w:t>
      </w:r>
      <w:r w:rsidR="00A805F7">
        <w:t> </w:t>
      </w:r>
      <w:r w:rsidRPr="00A03B40" w:rsidR="00AC7244">
        <w:t xml:space="preserve">million) </w:t>
      </w:r>
      <w:r w:rsidRPr="00A03B40">
        <w:t xml:space="preserve">flows through to small business </w:t>
      </w:r>
      <w:r w:rsidRPr="00A03B40" w:rsidR="00263CCC">
        <w:t>and residential customers</w:t>
      </w:r>
      <w:r w:rsidRPr="00A03B40">
        <w:t>.</w:t>
      </w:r>
      <w:r w:rsidRPr="00A03B40">
        <w:rPr>
          <w:rStyle w:val="FootnoteReference"/>
        </w:rPr>
        <w:footnoteReference w:id="269"/>
      </w:r>
      <w:r w:rsidRPr="00A03B40" w:rsidR="009F1778">
        <w:t xml:space="preserve"> </w:t>
      </w:r>
      <w:bookmarkStart w:name="_Hlk211081289" w:id="147"/>
      <w:r w:rsidRPr="00A03B40" w:rsidR="00F11DC3">
        <w:t xml:space="preserve">D.15-07-001 </w:t>
      </w:r>
      <w:r w:rsidR="000D2376">
        <w:t>removed</w:t>
      </w:r>
      <w:r w:rsidRPr="00A03B40" w:rsidR="000D2376">
        <w:t xml:space="preserve"> </w:t>
      </w:r>
      <w:r w:rsidRPr="00A03B40" w:rsidR="00F11DC3">
        <w:t xml:space="preserve">the </w:t>
      </w:r>
      <w:r w:rsidR="000D2376">
        <w:t xml:space="preserve">volumetric component of the </w:t>
      </w:r>
      <w:r w:rsidRPr="00A03B40" w:rsidR="00F11DC3">
        <w:t xml:space="preserve">residential credit adopted in D.12-12-033, based on customer usage, </w:t>
      </w:r>
      <w:r w:rsidR="000D2376">
        <w:t>and adopted</w:t>
      </w:r>
      <w:r w:rsidRPr="00A03B40" w:rsidR="000D2376">
        <w:t xml:space="preserve"> </w:t>
      </w:r>
      <w:r w:rsidRPr="00A03B40" w:rsidR="00F11DC3">
        <w:t>a flat rate credit that is the same for all residential customers starting January 1, 2016.</w:t>
      </w:r>
      <w:r w:rsidRPr="00A03B40" w:rsidR="00F11DC3">
        <w:rPr>
          <w:rStyle w:val="FootnoteReference"/>
        </w:rPr>
        <w:footnoteReference w:id="270"/>
      </w:r>
      <w:r w:rsidRPr="00A03B40" w:rsidR="00F11DC3">
        <w:t xml:space="preserve"> D.21-08-026 changed the small business credit from the volumetric credit </w:t>
      </w:r>
      <w:r w:rsidRPr="00A03B40" w:rsidR="00CE543F">
        <w:t xml:space="preserve">set forth in </w:t>
      </w:r>
    </w:p>
    <w:p w:rsidRPr="00A03B40" w:rsidR="00484D18" w:rsidP="009E4BA6" w:rsidRDefault="00CE543F" w14:paraId="21859645" w14:textId="760F0D0D">
      <w:pPr>
        <w:pStyle w:val="Standard"/>
        <w:ind w:firstLine="0"/>
      </w:pPr>
      <w:r w:rsidRPr="00A03B40">
        <w:t>D.12-12-033</w:t>
      </w:r>
      <w:r w:rsidRPr="00A03B40" w:rsidR="00F11DC3">
        <w:t xml:space="preserve"> to a flat rate credit equal to the residential credit. </w:t>
      </w:r>
      <w:bookmarkEnd w:id="147"/>
      <w:r w:rsidRPr="00A03B40" w:rsidR="007E3987">
        <w:t xml:space="preserve">Based on the estimated number of small commercial and residential customers in 2026, SCE </w:t>
      </w:r>
      <w:r w:rsidRPr="00A03B40" w:rsidR="007E3987">
        <w:lastRenderedPageBreak/>
        <w:t>proposes a $</w:t>
      </w:r>
      <w:r w:rsidRPr="00A03B40" w:rsidR="00E043DC">
        <w:t>36</w:t>
      </w:r>
      <w:r w:rsidRPr="00A03B40" w:rsidR="007E3987">
        <w:t xml:space="preserve"> California Climate Credit, to appear on and offset residential and small commercial customer bills twice in 2026.</w:t>
      </w:r>
      <w:r w:rsidRPr="00A03B40" w:rsidR="007E3987">
        <w:rPr>
          <w:rStyle w:val="FootnoteReference"/>
        </w:rPr>
        <w:footnoteReference w:id="271"/>
      </w:r>
      <w:r w:rsidRPr="00A03B40" w:rsidR="002A68CA">
        <w:t xml:space="preserve"> </w:t>
      </w:r>
    </w:p>
    <w:p w:rsidRPr="00A03B40" w:rsidR="00484D18" w:rsidP="00484D18" w:rsidRDefault="00484D18" w14:paraId="4FEB2288" w14:textId="5F174829">
      <w:pPr>
        <w:pStyle w:val="Heading2"/>
      </w:pPr>
      <w:bookmarkStart w:name="_Toc214629892" w:id="148"/>
      <w:r w:rsidRPr="00A03B40">
        <w:t>Greenhouse Gas Forecasts: Discussion</w:t>
      </w:r>
      <w:bookmarkEnd w:id="148"/>
    </w:p>
    <w:p w:rsidR="00894560" w:rsidP="00787E26" w:rsidRDefault="00484D18" w14:paraId="7FAE028A" w14:textId="35F0C08C">
      <w:pPr>
        <w:pStyle w:val="Standard"/>
      </w:pPr>
      <w:r w:rsidRPr="00A03B40">
        <w:t xml:space="preserve">No </w:t>
      </w:r>
      <w:r w:rsidRPr="00A03B40" w:rsidR="00EA0E75">
        <w:t xml:space="preserve">intervenor </w:t>
      </w:r>
      <w:r w:rsidRPr="00A03B40">
        <w:t xml:space="preserve">addressed </w:t>
      </w:r>
      <w:proofErr w:type="gramStart"/>
      <w:r w:rsidRPr="00A03B40">
        <w:t>SCE’s</w:t>
      </w:r>
      <w:proofErr w:type="gramEnd"/>
      <w:r w:rsidRPr="00A03B40">
        <w:t xml:space="preserve"> </w:t>
      </w:r>
      <w:r w:rsidRPr="00A03B40" w:rsidR="00CD6945">
        <w:t>proposed EITE returns or</w:t>
      </w:r>
      <w:r w:rsidRPr="00A03B40" w:rsidR="00263CCC">
        <w:t xml:space="preserve"> small business and residential California Climate Credits</w:t>
      </w:r>
      <w:r w:rsidRPr="00A03B40" w:rsidR="00CD6945">
        <w:t xml:space="preserve"> for 2026</w:t>
      </w:r>
      <w:r w:rsidRPr="00A03B40">
        <w:t xml:space="preserve">. </w:t>
      </w:r>
      <w:r w:rsidRPr="00A03B40" w:rsidR="00EA0E75">
        <w:t>Upon review of SCE’s testimony and workpapers</w:t>
      </w:r>
      <w:r w:rsidRPr="00A03B40">
        <w:t xml:space="preserve">, we find </w:t>
      </w:r>
      <w:r w:rsidRPr="00A03B40" w:rsidR="00EA0E75">
        <w:t>SCE’s</w:t>
      </w:r>
      <w:r w:rsidRPr="00A03B40" w:rsidR="00263CCC">
        <w:t xml:space="preserve"> </w:t>
      </w:r>
      <w:r w:rsidRPr="00A03B40" w:rsidR="00CD6945">
        <w:t>proposed customer returns</w:t>
      </w:r>
      <w:r w:rsidRPr="00A03B40">
        <w:t xml:space="preserve"> </w:t>
      </w:r>
      <w:r w:rsidRPr="00A03B40" w:rsidR="00263CCC">
        <w:t xml:space="preserve">to be calculated pursuant to applicable Commission decisions, consistent with the law, and </w:t>
      </w:r>
      <w:r w:rsidRPr="00A03B40">
        <w:t xml:space="preserve">reasonable and </w:t>
      </w:r>
      <w:r w:rsidRPr="00A03B40" w:rsidR="00263CCC">
        <w:t xml:space="preserve">so we </w:t>
      </w:r>
      <w:r w:rsidRPr="00A03B40">
        <w:t>approve</w:t>
      </w:r>
      <w:r w:rsidRPr="00A03B40" w:rsidR="00263CCC">
        <w:t xml:space="preserve"> them</w:t>
      </w:r>
      <w:r w:rsidRPr="00A03B40">
        <w:t>.</w:t>
      </w:r>
    </w:p>
    <w:p w:rsidRPr="00A03B40" w:rsidR="009F1778" w:rsidP="00A805F7" w:rsidRDefault="009F1778" w14:paraId="7325A754" w14:textId="05B3B5ED">
      <w:pPr>
        <w:pStyle w:val="Standard"/>
        <w:keepNext/>
        <w:keepLines/>
        <w:spacing w:after="240" w:line="240" w:lineRule="auto"/>
        <w:ind w:firstLine="0"/>
        <w:jc w:val="center"/>
        <w:rPr>
          <w:b/>
          <w:bCs/>
        </w:rPr>
      </w:pPr>
      <w:r w:rsidRPr="00A03B40">
        <w:rPr>
          <w:b/>
          <w:bCs/>
        </w:rPr>
        <w:t xml:space="preserve">Table </w:t>
      </w:r>
      <w:r w:rsidRPr="00A03B40" w:rsidR="00CD6945">
        <w:rPr>
          <w:b/>
          <w:bCs/>
        </w:rPr>
        <w:t>6</w:t>
      </w:r>
      <w:r w:rsidRPr="00A03B40">
        <w:rPr>
          <w:b/>
          <w:bCs/>
        </w:rPr>
        <w:t>-</w:t>
      </w:r>
      <w:r w:rsidRPr="00A03B40" w:rsidR="00CD6945">
        <w:rPr>
          <w:b/>
          <w:bCs/>
        </w:rPr>
        <w:t>2</w:t>
      </w:r>
      <w:r w:rsidRPr="00A03B40">
        <w:rPr>
          <w:b/>
          <w:bCs/>
        </w:rPr>
        <w:t xml:space="preserve">: SCE’s </w:t>
      </w:r>
      <w:r w:rsidRPr="00A03B40" w:rsidR="00E043DC">
        <w:rPr>
          <w:b/>
          <w:bCs/>
        </w:rPr>
        <w:t xml:space="preserve">Updated </w:t>
      </w:r>
      <w:r w:rsidRPr="00A03B40">
        <w:rPr>
          <w:b/>
          <w:bCs/>
        </w:rPr>
        <w:t xml:space="preserve">2026 Allowance Auctions </w:t>
      </w:r>
      <w:r w:rsidR="00A805F7">
        <w:rPr>
          <w:b/>
          <w:bCs/>
        </w:rPr>
        <w:br/>
      </w:r>
      <w:r w:rsidRPr="00A03B40">
        <w:rPr>
          <w:b/>
          <w:bCs/>
        </w:rPr>
        <w:t>Revenue Allocations</w:t>
      </w:r>
      <w:r w:rsidR="00A805F7">
        <w:rPr>
          <w:b/>
          <w:bCs/>
        </w:rPr>
        <w:t xml:space="preserve"> </w:t>
      </w:r>
      <w:r w:rsidRPr="00A03B40">
        <w:rPr>
          <w:b/>
          <w:bCs/>
        </w:rPr>
        <w:t>and Related Costs</w:t>
      </w:r>
    </w:p>
    <w:tbl>
      <w:tblPr>
        <w:tblStyle w:val="TableGrid"/>
        <w:tblW w:w="0" w:type="auto"/>
        <w:tblLook w:val="04A0" w:firstRow="1" w:lastRow="0" w:firstColumn="1" w:lastColumn="0" w:noHBand="0" w:noVBand="1"/>
      </w:tblPr>
      <w:tblGrid>
        <w:gridCol w:w="6745"/>
        <w:gridCol w:w="2605"/>
      </w:tblGrid>
      <w:tr w:rsidRPr="00A03B40" w:rsidR="009F1778" w:rsidTr="0099557B" w14:paraId="53BD2753" w14:textId="77777777">
        <w:trPr>
          <w:trHeight w:val="432"/>
        </w:trPr>
        <w:tc>
          <w:tcPr>
            <w:tcW w:w="6745" w:type="dxa"/>
            <w:vAlign w:val="center"/>
          </w:tcPr>
          <w:p w:rsidRPr="00A03B40" w:rsidR="009F1778" w:rsidP="00A805F7" w:rsidRDefault="009F1778" w14:paraId="622B684E" w14:textId="1E77A377">
            <w:pPr>
              <w:pStyle w:val="Standard"/>
              <w:keepNext/>
              <w:keepLines/>
              <w:spacing w:line="240" w:lineRule="auto"/>
              <w:ind w:firstLine="0"/>
              <w:rPr>
                <w:b/>
                <w:bCs/>
              </w:rPr>
            </w:pPr>
            <w:r w:rsidRPr="00A03B40">
              <w:rPr>
                <w:b/>
                <w:bCs/>
              </w:rPr>
              <w:t>Description</w:t>
            </w:r>
          </w:p>
        </w:tc>
        <w:tc>
          <w:tcPr>
            <w:tcW w:w="2605" w:type="dxa"/>
            <w:vAlign w:val="center"/>
          </w:tcPr>
          <w:p w:rsidRPr="00A03B40" w:rsidR="009F1778" w:rsidP="00A805F7" w:rsidRDefault="009F1778" w14:paraId="364D6F8C" w14:textId="3241307B">
            <w:pPr>
              <w:pStyle w:val="Standard"/>
              <w:keepNext/>
              <w:keepLines/>
              <w:spacing w:line="240" w:lineRule="auto"/>
              <w:ind w:firstLine="0"/>
              <w:rPr>
                <w:b/>
                <w:bCs/>
              </w:rPr>
            </w:pPr>
            <w:r w:rsidRPr="00A03B40">
              <w:rPr>
                <w:b/>
                <w:bCs/>
              </w:rPr>
              <w:t>2026 Forecast</w:t>
            </w:r>
            <w:r w:rsidRPr="00A03B40" w:rsidR="00603871">
              <w:rPr>
                <w:b/>
                <w:bCs/>
              </w:rPr>
              <w:t xml:space="preserve"> (</w:t>
            </w:r>
            <w:r w:rsidRPr="00A03B40" w:rsidR="003179DC">
              <w:rPr>
                <w:b/>
                <w:bCs/>
              </w:rPr>
              <w:t>$000)</w:t>
            </w:r>
          </w:p>
        </w:tc>
      </w:tr>
      <w:tr w:rsidRPr="00A03B40" w:rsidR="009F1778" w:rsidTr="0099557B" w14:paraId="4BEE4915" w14:textId="77777777">
        <w:trPr>
          <w:trHeight w:val="432"/>
        </w:trPr>
        <w:tc>
          <w:tcPr>
            <w:tcW w:w="6745" w:type="dxa"/>
            <w:vAlign w:val="center"/>
          </w:tcPr>
          <w:p w:rsidRPr="00A03B40" w:rsidR="009F1778" w:rsidP="00A805F7" w:rsidRDefault="00603871" w14:paraId="1A9A7059" w14:textId="5C3B2353">
            <w:pPr>
              <w:pStyle w:val="Standard"/>
              <w:keepNext/>
              <w:keepLines/>
              <w:spacing w:line="240" w:lineRule="auto"/>
              <w:ind w:firstLine="0"/>
            </w:pPr>
            <w:r w:rsidRPr="00A03B40">
              <w:t>Year-End 2025 GHGRBA Carry-Over</w:t>
            </w:r>
          </w:p>
        </w:tc>
        <w:tc>
          <w:tcPr>
            <w:tcW w:w="2605" w:type="dxa"/>
            <w:vAlign w:val="center"/>
          </w:tcPr>
          <w:p w:rsidRPr="00A03B40" w:rsidR="009F1778" w:rsidP="00A805F7" w:rsidRDefault="00603871" w14:paraId="31D4CDF7" w14:textId="721FAF0E">
            <w:pPr>
              <w:pStyle w:val="Standard"/>
              <w:keepNext/>
              <w:keepLines/>
              <w:spacing w:line="240" w:lineRule="auto"/>
              <w:ind w:firstLine="0"/>
              <w:jc w:val="right"/>
            </w:pPr>
            <w:r w:rsidRPr="00A03B40">
              <w:t>($213</w:t>
            </w:r>
            <w:r w:rsidRPr="00A03B40" w:rsidR="003179DC">
              <w:t>,</w:t>
            </w:r>
            <w:r w:rsidRPr="00A03B40">
              <w:t>307)</w:t>
            </w:r>
          </w:p>
        </w:tc>
      </w:tr>
      <w:tr w:rsidRPr="00A03B40" w:rsidR="00603871" w:rsidTr="0099557B" w14:paraId="564E3743" w14:textId="77777777">
        <w:trPr>
          <w:trHeight w:val="720"/>
        </w:trPr>
        <w:tc>
          <w:tcPr>
            <w:tcW w:w="6745" w:type="dxa"/>
            <w:vAlign w:val="center"/>
          </w:tcPr>
          <w:p w:rsidRPr="00A03B40" w:rsidR="00603871" w:rsidP="00A805F7" w:rsidRDefault="00603871" w14:paraId="0426E5CE" w14:textId="77777777">
            <w:pPr>
              <w:pStyle w:val="Standard"/>
              <w:keepNext/>
              <w:keepLines/>
              <w:spacing w:line="240" w:lineRule="auto"/>
              <w:ind w:firstLine="0"/>
            </w:pPr>
            <w:r w:rsidRPr="00A03B40">
              <w:t>2026 GHG Allowance Revenues</w:t>
            </w:r>
          </w:p>
          <w:p w:rsidRPr="00A03B40" w:rsidR="00603871" w:rsidP="00C44216" w:rsidRDefault="00603871" w14:paraId="65AFDC61" w14:textId="532C11DC">
            <w:pPr>
              <w:pStyle w:val="Standard"/>
              <w:keepNext/>
              <w:keepLines/>
              <w:numPr>
                <w:ilvl w:val="0"/>
                <w:numId w:val="18"/>
              </w:numPr>
              <w:spacing w:line="240" w:lineRule="auto"/>
              <w:ind w:left="522"/>
            </w:pPr>
            <w:r w:rsidRPr="00A03B40">
              <w:t xml:space="preserve">Franchise Fees and </w:t>
            </w:r>
            <w:proofErr w:type="spellStart"/>
            <w:r w:rsidRPr="00A03B40">
              <w:t>Uncollectibles</w:t>
            </w:r>
            <w:proofErr w:type="spellEnd"/>
            <w:r w:rsidRPr="00A03B40">
              <w:t xml:space="preserve"> (FF&amp;U)</w:t>
            </w:r>
          </w:p>
        </w:tc>
        <w:tc>
          <w:tcPr>
            <w:tcW w:w="2605" w:type="dxa"/>
            <w:vAlign w:val="center"/>
          </w:tcPr>
          <w:p w:rsidRPr="00A03B40" w:rsidR="0067217C" w:rsidP="00A805F7" w:rsidRDefault="00603871" w14:paraId="5C09C548" w14:textId="297D079A">
            <w:pPr>
              <w:pStyle w:val="Standard"/>
              <w:keepNext/>
              <w:keepLines/>
              <w:spacing w:line="240" w:lineRule="auto"/>
              <w:ind w:firstLine="0"/>
              <w:jc w:val="right"/>
            </w:pPr>
            <w:r w:rsidRPr="00A03B40">
              <w:t>$682</w:t>
            </w:r>
            <w:r w:rsidRPr="00A03B40" w:rsidR="0099557B">
              <w:t>,</w:t>
            </w:r>
            <w:r w:rsidRPr="00A03B40">
              <w:t>214</w:t>
            </w:r>
          </w:p>
          <w:p w:rsidRPr="00A03B40" w:rsidR="00603871" w:rsidP="00A805F7" w:rsidRDefault="00603871" w14:paraId="26A6566C" w14:textId="660950B5">
            <w:pPr>
              <w:pStyle w:val="Standard"/>
              <w:keepNext/>
              <w:keepLines/>
              <w:spacing w:line="240" w:lineRule="auto"/>
              <w:ind w:firstLine="0"/>
              <w:jc w:val="right"/>
            </w:pPr>
            <w:r w:rsidRPr="00A03B40">
              <w:t>$7</w:t>
            </w:r>
            <w:r w:rsidRPr="00A03B40" w:rsidR="0099557B">
              <w:t>,</w:t>
            </w:r>
            <w:r w:rsidRPr="00A03B40">
              <w:t>856</w:t>
            </w:r>
          </w:p>
        </w:tc>
      </w:tr>
      <w:tr w:rsidRPr="00A03B40" w:rsidR="009F1778" w:rsidTr="0099557B" w14:paraId="662497F4" w14:textId="77777777">
        <w:trPr>
          <w:trHeight w:val="720"/>
        </w:trPr>
        <w:tc>
          <w:tcPr>
            <w:tcW w:w="6745" w:type="dxa"/>
            <w:vAlign w:val="center"/>
          </w:tcPr>
          <w:p w:rsidRPr="00A03B40" w:rsidR="009F1778" w:rsidP="0099557B" w:rsidRDefault="00603871" w14:paraId="3B71ED2F" w14:textId="77777777">
            <w:pPr>
              <w:pStyle w:val="Standard"/>
              <w:spacing w:line="240" w:lineRule="auto"/>
              <w:ind w:firstLine="0"/>
            </w:pPr>
            <w:r w:rsidRPr="00A03B40">
              <w:t>GHG Administrative Expenses</w:t>
            </w:r>
          </w:p>
          <w:p w:rsidRPr="00A03B40" w:rsidR="0067217C" w:rsidP="00C44216" w:rsidRDefault="0067217C" w14:paraId="0F7687FE" w14:textId="661B9823">
            <w:pPr>
              <w:pStyle w:val="Standard"/>
              <w:numPr>
                <w:ilvl w:val="0"/>
                <w:numId w:val="18"/>
              </w:numPr>
              <w:spacing w:line="240" w:lineRule="auto"/>
            </w:pPr>
            <w:r w:rsidRPr="00A03B40">
              <w:t>FF&amp;U</w:t>
            </w:r>
          </w:p>
        </w:tc>
        <w:tc>
          <w:tcPr>
            <w:tcW w:w="2605" w:type="dxa"/>
            <w:vAlign w:val="center"/>
          </w:tcPr>
          <w:p w:rsidRPr="00A03B40" w:rsidR="0067217C" w:rsidP="0099557B" w:rsidRDefault="00603871" w14:paraId="408786FC" w14:textId="18B932F5">
            <w:pPr>
              <w:pStyle w:val="Standard"/>
              <w:spacing w:line="240" w:lineRule="auto"/>
              <w:ind w:firstLine="0"/>
              <w:jc w:val="right"/>
            </w:pPr>
            <w:r w:rsidRPr="00A03B40">
              <w:t>$38</w:t>
            </w:r>
            <w:r w:rsidRPr="00A03B40" w:rsidR="0067217C">
              <w:t>6</w:t>
            </w:r>
          </w:p>
          <w:p w:rsidRPr="00A03B40" w:rsidR="009F1778" w:rsidP="0099557B" w:rsidRDefault="0067217C" w14:paraId="514BDB30" w14:textId="76DAAB5E">
            <w:pPr>
              <w:pStyle w:val="Standard"/>
              <w:spacing w:line="240" w:lineRule="auto"/>
              <w:ind w:firstLine="0"/>
              <w:jc w:val="right"/>
            </w:pPr>
            <w:r w:rsidRPr="00A03B40">
              <w:t>$</w:t>
            </w:r>
            <w:r w:rsidRPr="00A03B40" w:rsidR="0099557B">
              <w:t>4</w:t>
            </w:r>
          </w:p>
        </w:tc>
      </w:tr>
      <w:tr w:rsidRPr="00A03B40" w:rsidR="009F1778" w:rsidTr="0099557B" w14:paraId="03B300B5" w14:textId="77777777">
        <w:trPr>
          <w:trHeight w:val="432"/>
        </w:trPr>
        <w:tc>
          <w:tcPr>
            <w:tcW w:w="6745" w:type="dxa"/>
            <w:vAlign w:val="center"/>
          </w:tcPr>
          <w:p w:rsidRPr="00A03B40" w:rsidR="00C76383" w:rsidP="0099557B" w:rsidRDefault="00603871" w14:paraId="24E64B7A" w14:textId="6A7AA61E">
            <w:pPr>
              <w:pStyle w:val="Standard"/>
              <w:spacing w:line="240" w:lineRule="auto"/>
              <w:ind w:firstLine="0"/>
            </w:pPr>
            <w:r w:rsidRPr="00A03B40">
              <w:rPr>
                <w:b/>
                <w:bCs/>
                <w:u w:val="single"/>
              </w:rPr>
              <w:t>Subtotal 2026 GHG Allowance Revenues</w:t>
            </w:r>
          </w:p>
        </w:tc>
        <w:tc>
          <w:tcPr>
            <w:tcW w:w="2605" w:type="dxa"/>
            <w:vAlign w:val="center"/>
          </w:tcPr>
          <w:p w:rsidRPr="00A03B40" w:rsidR="00C76383" w:rsidP="0099557B" w:rsidRDefault="003179DC" w14:paraId="31EA4703" w14:textId="6871511E">
            <w:pPr>
              <w:pStyle w:val="Standard"/>
              <w:spacing w:line="240" w:lineRule="auto"/>
              <w:ind w:firstLine="0"/>
              <w:jc w:val="right"/>
              <w:rPr>
                <w:b/>
                <w:bCs/>
                <w:u w:val="single"/>
              </w:rPr>
            </w:pPr>
            <w:r w:rsidRPr="00A03B40">
              <w:rPr>
                <w:b/>
                <w:bCs/>
                <w:u w:val="single"/>
              </w:rPr>
              <w:t>$476</w:t>
            </w:r>
            <w:r w:rsidRPr="00A03B40" w:rsidR="00474D2E">
              <w:rPr>
                <w:b/>
                <w:bCs/>
                <w:u w:val="single"/>
              </w:rPr>
              <w:t>,</w:t>
            </w:r>
            <w:r w:rsidRPr="00A03B40">
              <w:rPr>
                <w:b/>
                <w:bCs/>
                <w:u w:val="single"/>
              </w:rPr>
              <w:t>372</w:t>
            </w:r>
          </w:p>
        </w:tc>
      </w:tr>
      <w:tr w:rsidRPr="00A03B40" w:rsidR="009F1778" w:rsidTr="0099557B" w14:paraId="361F8464" w14:textId="77777777">
        <w:trPr>
          <w:trHeight w:val="2448"/>
        </w:trPr>
        <w:tc>
          <w:tcPr>
            <w:tcW w:w="6745" w:type="dxa"/>
            <w:vAlign w:val="center"/>
          </w:tcPr>
          <w:p w:rsidRPr="00A03B40" w:rsidR="009F1778" w:rsidP="00C44216" w:rsidRDefault="00C76383" w14:paraId="197894D3" w14:textId="17748401">
            <w:pPr>
              <w:pStyle w:val="Standard"/>
              <w:numPr>
                <w:ilvl w:val="0"/>
                <w:numId w:val="19"/>
              </w:numPr>
              <w:spacing w:line="240" w:lineRule="auto"/>
              <w:ind w:left="522"/>
            </w:pPr>
            <w:r w:rsidRPr="00A03B40">
              <w:t>AB 693/SB 9 Set</w:t>
            </w:r>
            <w:r w:rsidRPr="00A03B40" w:rsidR="009D254E">
              <w:t>-</w:t>
            </w:r>
            <w:r w:rsidRPr="00A03B40">
              <w:t>Aside for SOMAH</w:t>
            </w:r>
          </w:p>
          <w:p w:rsidRPr="00A03B40" w:rsidR="00C76383" w:rsidP="00C44216" w:rsidRDefault="00C76383" w14:paraId="200C3A9F" w14:textId="6547EC1B">
            <w:pPr>
              <w:pStyle w:val="Standard"/>
              <w:numPr>
                <w:ilvl w:val="0"/>
                <w:numId w:val="19"/>
              </w:numPr>
              <w:spacing w:line="240" w:lineRule="auto"/>
              <w:ind w:left="522"/>
            </w:pPr>
            <w:r w:rsidRPr="00A03B40">
              <w:t>AB 693/SB 9 Set</w:t>
            </w:r>
            <w:r w:rsidRPr="00A03B40" w:rsidR="009D254E">
              <w:t>-Aside</w:t>
            </w:r>
            <w:r w:rsidRPr="00A03B40">
              <w:t xml:space="preserve"> SOMAH True</w:t>
            </w:r>
            <w:r w:rsidR="006E0D77">
              <w:t xml:space="preserve"> </w:t>
            </w:r>
            <w:r w:rsidRPr="00A03B40">
              <w:t>up</w:t>
            </w:r>
          </w:p>
          <w:p w:rsidRPr="00A03B40" w:rsidR="00C76383" w:rsidP="00C44216" w:rsidRDefault="00C76383" w14:paraId="175CC364" w14:textId="77777777">
            <w:pPr>
              <w:pStyle w:val="Standard"/>
              <w:numPr>
                <w:ilvl w:val="0"/>
                <w:numId w:val="19"/>
              </w:numPr>
              <w:spacing w:line="240" w:lineRule="auto"/>
              <w:ind w:left="522"/>
            </w:pPr>
            <w:r w:rsidRPr="00A03B40">
              <w:t>AB 327 SCE’s DAC-SASH Program</w:t>
            </w:r>
          </w:p>
          <w:p w:rsidRPr="00A03B40" w:rsidR="00C76383" w:rsidP="00C44216" w:rsidRDefault="00C76383" w14:paraId="62594EFD" w14:textId="1EC3BF35">
            <w:pPr>
              <w:pStyle w:val="Standard"/>
              <w:numPr>
                <w:ilvl w:val="0"/>
                <w:numId w:val="19"/>
              </w:numPr>
              <w:spacing w:line="240" w:lineRule="auto"/>
              <w:ind w:left="522"/>
            </w:pPr>
            <w:r w:rsidRPr="00A03B40">
              <w:t>AB 327 SCE’s DAC-GT and CSGT Programs</w:t>
            </w:r>
          </w:p>
          <w:p w:rsidRPr="00A03B40" w:rsidR="00C76383" w:rsidP="00C44216" w:rsidRDefault="00C76383" w14:paraId="17381D80" w14:textId="37D26D9C">
            <w:pPr>
              <w:pStyle w:val="Standard"/>
              <w:numPr>
                <w:ilvl w:val="0"/>
                <w:numId w:val="19"/>
              </w:numPr>
              <w:spacing w:line="240" w:lineRule="auto"/>
              <w:ind w:left="522"/>
            </w:pPr>
            <w:r w:rsidRPr="00A03B40">
              <w:t>AB 327 CPA’s DAC-GT and CSGT Programs</w:t>
            </w:r>
          </w:p>
          <w:p w:rsidRPr="00A03B40" w:rsidR="00C76383" w:rsidP="00C44216" w:rsidRDefault="00C76383" w14:paraId="027B26A0" w14:textId="2103A928">
            <w:pPr>
              <w:pStyle w:val="Standard"/>
              <w:numPr>
                <w:ilvl w:val="0"/>
                <w:numId w:val="19"/>
              </w:numPr>
              <w:spacing w:line="240" w:lineRule="auto"/>
              <w:ind w:left="522"/>
            </w:pPr>
            <w:r w:rsidRPr="00A03B40">
              <w:t>AB 327 Cal Choice’s DAC-GT and CSGT Programs</w:t>
            </w:r>
          </w:p>
          <w:p w:rsidRPr="00A03B40" w:rsidR="00C76383" w:rsidP="0099557B" w:rsidRDefault="00C76383" w14:paraId="052EBF3A" w14:textId="433D159E">
            <w:pPr>
              <w:pStyle w:val="Standard"/>
              <w:spacing w:line="240" w:lineRule="auto"/>
              <w:ind w:left="162" w:firstLine="0"/>
              <w:rPr>
                <w:b/>
                <w:bCs/>
                <w:u w:val="single"/>
              </w:rPr>
            </w:pPr>
            <w:r w:rsidRPr="00A03B40">
              <w:rPr>
                <w:b/>
                <w:bCs/>
                <w:u w:val="single"/>
              </w:rPr>
              <w:t xml:space="preserve">Subtotal Clean Energy </w:t>
            </w:r>
            <w:r w:rsidRPr="00A03B40" w:rsidR="009D254E">
              <w:rPr>
                <w:b/>
                <w:bCs/>
                <w:u w:val="single"/>
              </w:rPr>
              <w:t xml:space="preserve">Program </w:t>
            </w:r>
            <w:r w:rsidRPr="00A03B40">
              <w:rPr>
                <w:b/>
                <w:bCs/>
                <w:u w:val="single"/>
              </w:rPr>
              <w:t>Set</w:t>
            </w:r>
            <w:r w:rsidRPr="00A03B40" w:rsidR="009D254E">
              <w:rPr>
                <w:b/>
                <w:bCs/>
                <w:u w:val="single"/>
              </w:rPr>
              <w:t>-</w:t>
            </w:r>
            <w:r w:rsidRPr="00A03B40">
              <w:rPr>
                <w:b/>
                <w:bCs/>
                <w:u w:val="single"/>
              </w:rPr>
              <w:t>Asides</w:t>
            </w:r>
          </w:p>
        </w:tc>
        <w:tc>
          <w:tcPr>
            <w:tcW w:w="2605" w:type="dxa"/>
            <w:vAlign w:val="center"/>
          </w:tcPr>
          <w:p w:rsidRPr="00A03B40" w:rsidR="00C76383" w:rsidP="0099557B" w:rsidRDefault="00625A6D" w14:paraId="30EA4964" w14:textId="7337363E">
            <w:pPr>
              <w:pStyle w:val="Standard"/>
              <w:spacing w:line="240" w:lineRule="auto"/>
              <w:ind w:firstLine="0"/>
              <w:jc w:val="right"/>
            </w:pPr>
            <w:r w:rsidRPr="00A03B40">
              <w:t>(</w:t>
            </w:r>
            <w:r w:rsidRPr="00A03B40" w:rsidR="00C76383">
              <w:t>$</w:t>
            </w:r>
            <w:r w:rsidRPr="00A03B40" w:rsidR="003179DC">
              <w:t>23</w:t>
            </w:r>
            <w:r w:rsidRPr="00A03B40" w:rsidR="00474D2E">
              <w:t>,</w:t>
            </w:r>
            <w:r w:rsidRPr="00A03B40" w:rsidR="003179DC">
              <w:t>26</w:t>
            </w:r>
            <w:r w:rsidRPr="00A03B40" w:rsidR="00474D2E">
              <w:t>4</w:t>
            </w:r>
            <w:r w:rsidRPr="00A03B40">
              <w:t>)</w:t>
            </w:r>
          </w:p>
          <w:p w:rsidRPr="00A03B40" w:rsidR="00C76383" w:rsidP="0099557B" w:rsidRDefault="00625A6D" w14:paraId="270E5DF1" w14:textId="40338A42">
            <w:pPr>
              <w:pStyle w:val="Standard"/>
              <w:spacing w:line="240" w:lineRule="auto"/>
              <w:ind w:firstLine="0"/>
              <w:jc w:val="right"/>
            </w:pPr>
            <w:r w:rsidRPr="00A03B40">
              <w:t>(</w:t>
            </w:r>
            <w:r w:rsidRPr="00A03B40" w:rsidR="00C76383">
              <w:t>$</w:t>
            </w:r>
            <w:r w:rsidRPr="00A03B40" w:rsidR="00474D2E">
              <w:t>3,328</w:t>
            </w:r>
            <w:r w:rsidRPr="00A03B40">
              <w:t>)</w:t>
            </w:r>
          </w:p>
          <w:p w:rsidRPr="00A03B40" w:rsidR="00C76383" w:rsidP="0099557B" w:rsidRDefault="00625A6D" w14:paraId="6D36AD81" w14:textId="3C1E5A63">
            <w:pPr>
              <w:pStyle w:val="Standard"/>
              <w:spacing w:line="240" w:lineRule="auto"/>
              <w:ind w:firstLine="0"/>
              <w:jc w:val="right"/>
            </w:pPr>
            <w:r w:rsidRPr="00A03B40">
              <w:t>(</w:t>
            </w:r>
            <w:r w:rsidRPr="00A03B40" w:rsidR="00C76383">
              <w:t>$</w:t>
            </w:r>
            <w:r w:rsidRPr="00A03B40" w:rsidR="00474D2E">
              <w:t>4,600</w:t>
            </w:r>
            <w:r w:rsidRPr="00A03B40">
              <w:t>)</w:t>
            </w:r>
          </w:p>
          <w:p w:rsidRPr="00A03B40" w:rsidR="00C76383" w:rsidP="0099557B" w:rsidRDefault="00C76383" w14:paraId="65AB2E97" w14:textId="737E4BB2">
            <w:pPr>
              <w:pStyle w:val="Standard"/>
              <w:spacing w:line="240" w:lineRule="auto"/>
              <w:ind w:firstLine="0"/>
              <w:jc w:val="right"/>
            </w:pPr>
            <w:r w:rsidRPr="00A03B40">
              <w:t>$</w:t>
            </w:r>
            <w:r w:rsidRPr="00A03B40" w:rsidR="00625A6D">
              <w:t xml:space="preserve"> -</w:t>
            </w:r>
          </w:p>
          <w:p w:rsidRPr="00A03B40" w:rsidR="00C76383" w:rsidP="0099557B" w:rsidRDefault="00625A6D" w14:paraId="73273317" w14:textId="4BEA88AE">
            <w:pPr>
              <w:pStyle w:val="Standard"/>
              <w:spacing w:line="240" w:lineRule="auto"/>
              <w:ind w:firstLine="0"/>
              <w:jc w:val="right"/>
            </w:pPr>
            <w:r w:rsidRPr="00A03B40">
              <w:t>(</w:t>
            </w:r>
            <w:r w:rsidRPr="00A03B40" w:rsidR="00C76383">
              <w:t>$</w:t>
            </w:r>
            <w:r w:rsidRPr="00A03B40">
              <w:t>1,902)</w:t>
            </w:r>
          </w:p>
          <w:p w:rsidRPr="00A03B40" w:rsidR="00C76383" w:rsidP="0099557B" w:rsidRDefault="00C76383" w14:paraId="41DFEA33" w14:textId="4F2AF3A9">
            <w:pPr>
              <w:pStyle w:val="Standard"/>
              <w:spacing w:line="240" w:lineRule="auto"/>
              <w:ind w:firstLine="0"/>
              <w:jc w:val="right"/>
            </w:pPr>
            <w:r w:rsidRPr="00A03B40">
              <w:t>$</w:t>
            </w:r>
            <w:r w:rsidRPr="00A03B40" w:rsidR="00625A6D">
              <w:t xml:space="preserve"> -</w:t>
            </w:r>
          </w:p>
          <w:p w:rsidRPr="00A03B40" w:rsidR="009F1778" w:rsidP="0099557B" w:rsidRDefault="00625A6D" w14:paraId="6D6AD2A2" w14:textId="76A8FF84">
            <w:pPr>
              <w:pStyle w:val="Standard"/>
              <w:spacing w:line="240" w:lineRule="auto"/>
              <w:ind w:firstLine="0"/>
              <w:jc w:val="right"/>
            </w:pPr>
            <w:r w:rsidRPr="00A03B40">
              <w:rPr>
                <w:b/>
                <w:bCs/>
                <w:u w:val="single"/>
              </w:rPr>
              <w:t>(</w:t>
            </w:r>
            <w:r w:rsidRPr="00A03B40" w:rsidR="00C76383">
              <w:rPr>
                <w:b/>
                <w:bCs/>
                <w:u w:val="single"/>
              </w:rPr>
              <w:t>$</w:t>
            </w:r>
            <w:r w:rsidRPr="00A03B40">
              <w:rPr>
                <w:b/>
                <w:bCs/>
                <w:u w:val="single"/>
              </w:rPr>
              <w:t>33,094)</w:t>
            </w:r>
          </w:p>
        </w:tc>
      </w:tr>
      <w:tr w:rsidRPr="00A03B40" w:rsidR="009F1778" w:rsidTr="0099557B" w14:paraId="73D3E289" w14:textId="77777777">
        <w:trPr>
          <w:trHeight w:val="432"/>
        </w:trPr>
        <w:tc>
          <w:tcPr>
            <w:tcW w:w="6745" w:type="dxa"/>
            <w:vAlign w:val="center"/>
          </w:tcPr>
          <w:p w:rsidRPr="00A03B40" w:rsidR="009F1778" w:rsidP="0099557B" w:rsidRDefault="00C76383" w14:paraId="7226CDC3" w14:textId="614FC9CF">
            <w:pPr>
              <w:pStyle w:val="Standard"/>
              <w:spacing w:line="240" w:lineRule="auto"/>
              <w:ind w:firstLine="0"/>
              <w:rPr>
                <w:b/>
                <w:bCs/>
                <w:u w:val="single"/>
              </w:rPr>
            </w:pPr>
            <w:r w:rsidRPr="00A03B40">
              <w:rPr>
                <w:b/>
                <w:bCs/>
                <w:u w:val="single"/>
              </w:rPr>
              <w:t>Net GHG Revenues Available for Returns</w:t>
            </w:r>
          </w:p>
        </w:tc>
        <w:tc>
          <w:tcPr>
            <w:tcW w:w="2605" w:type="dxa"/>
            <w:vAlign w:val="center"/>
          </w:tcPr>
          <w:p w:rsidRPr="00A03B40" w:rsidR="009F1778" w:rsidP="0099557B" w:rsidRDefault="00C76383" w14:paraId="55B09F16" w14:textId="4DDF05B9">
            <w:pPr>
              <w:pStyle w:val="Standard"/>
              <w:spacing w:line="240" w:lineRule="auto"/>
              <w:ind w:firstLine="0"/>
              <w:jc w:val="right"/>
            </w:pPr>
            <w:r w:rsidRPr="00A03B40">
              <w:rPr>
                <w:b/>
                <w:bCs/>
                <w:u w:val="single"/>
              </w:rPr>
              <w:t>$</w:t>
            </w:r>
            <w:r w:rsidRPr="00A03B40" w:rsidR="00625A6D">
              <w:rPr>
                <w:b/>
                <w:bCs/>
                <w:u w:val="single"/>
              </w:rPr>
              <w:t>443,279</w:t>
            </w:r>
          </w:p>
        </w:tc>
      </w:tr>
      <w:tr w:rsidRPr="00A03B40" w:rsidR="00C76383" w:rsidTr="0099557B" w14:paraId="24A7AE4C" w14:textId="77777777">
        <w:trPr>
          <w:trHeight w:val="432"/>
        </w:trPr>
        <w:tc>
          <w:tcPr>
            <w:tcW w:w="6745" w:type="dxa"/>
            <w:vAlign w:val="center"/>
          </w:tcPr>
          <w:p w:rsidRPr="00A03B40" w:rsidR="00C76383" w:rsidP="0099557B" w:rsidRDefault="00C76383" w14:paraId="6BAFCBC8" w14:textId="45D64A04">
            <w:pPr>
              <w:pStyle w:val="Standard"/>
              <w:spacing w:line="240" w:lineRule="auto"/>
              <w:ind w:firstLine="0"/>
            </w:pPr>
            <w:r w:rsidRPr="00A03B40">
              <w:t>EITE Returns</w:t>
            </w:r>
          </w:p>
        </w:tc>
        <w:tc>
          <w:tcPr>
            <w:tcW w:w="2605" w:type="dxa"/>
            <w:vAlign w:val="center"/>
          </w:tcPr>
          <w:p w:rsidRPr="00A03B40" w:rsidR="00C76383" w:rsidP="0099557B" w:rsidRDefault="00100DF6" w14:paraId="5229B23D" w14:textId="797D1CFD">
            <w:pPr>
              <w:pStyle w:val="Standard"/>
              <w:spacing w:line="240" w:lineRule="auto"/>
              <w:ind w:firstLine="0"/>
              <w:jc w:val="right"/>
            </w:pPr>
            <w:r w:rsidRPr="00A03B40">
              <w:t>$</w:t>
            </w:r>
            <w:r w:rsidRPr="00A03B40" w:rsidR="00625A6D">
              <w:t>58,908</w:t>
            </w:r>
          </w:p>
        </w:tc>
      </w:tr>
      <w:tr w:rsidRPr="00A03B40" w:rsidR="00C76383" w:rsidTr="00603871" w14:paraId="15BDD4A3" w14:textId="77777777">
        <w:tc>
          <w:tcPr>
            <w:tcW w:w="6745" w:type="dxa"/>
          </w:tcPr>
          <w:p w:rsidRPr="00A03B40" w:rsidR="00C76383" w:rsidP="009F1778" w:rsidRDefault="00C76383" w14:paraId="4FD64ECF" w14:textId="726F8DD6">
            <w:pPr>
              <w:pStyle w:val="Standard"/>
              <w:spacing w:line="240" w:lineRule="auto"/>
              <w:ind w:firstLine="0"/>
            </w:pPr>
            <w:r w:rsidRPr="00A03B40">
              <w:t>Revenues Remaining for Small Business and Residential Returns</w:t>
            </w:r>
          </w:p>
        </w:tc>
        <w:tc>
          <w:tcPr>
            <w:tcW w:w="2605" w:type="dxa"/>
            <w:vAlign w:val="center"/>
          </w:tcPr>
          <w:p w:rsidRPr="00A03B40" w:rsidR="00100DF6" w:rsidP="00603871" w:rsidRDefault="00100DF6" w14:paraId="45D5950D" w14:textId="77777777">
            <w:pPr>
              <w:pStyle w:val="Standard"/>
              <w:spacing w:line="240" w:lineRule="auto"/>
              <w:ind w:firstLine="0"/>
              <w:jc w:val="right"/>
            </w:pPr>
          </w:p>
          <w:p w:rsidRPr="00A03B40" w:rsidR="00C76383" w:rsidP="00603871" w:rsidRDefault="00100DF6" w14:paraId="6B9A33B0" w14:textId="45832D03">
            <w:pPr>
              <w:pStyle w:val="Standard"/>
              <w:spacing w:line="240" w:lineRule="auto"/>
              <w:ind w:firstLine="0"/>
              <w:jc w:val="right"/>
            </w:pPr>
            <w:r w:rsidRPr="00A03B40">
              <w:t>$</w:t>
            </w:r>
            <w:r w:rsidRPr="00A03B40" w:rsidR="00625A6D">
              <w:t>384,371</w:t>
            </w:r>
          </w:p>
        </w:tc>
      </w:tr>
      <w:tr w:rsidRPr="00A03B40" w:rsidR="00C76383" w:rsidTr="00603871" w14:paraId="23817D39" w14:textId="77777777">
        <w:tc>
          <w:tcPr>
            <w:tcW w:w="6745" w:type="dxa"/>
          </w:tcPr>
          <w:p w:rsidRPr="00A03B40" w:rsidR="00C76383" w:rsidP="009F1778" w:rsidRDefault="00C76383" w14:paraId="2E9321B2" w14:textId="16DF93A6">
            <w:pPr>
              <w:pStyle w:val="Standard"/>
              <w:spacing w:line="240" w:lineRule="auto"/>
              <w:ind w:firstLine="0"/>
            </w:pPr>
            <w:r w:rsidRPr="00A03B40">
              <w:lastRenderedPageBreak/>
              <w:t>Estimated Number Eligible for Small Business and Residential Credits</w:t>
            </w:r>
          </w:p>
        </w:tc>
        <w:tc>
          <w:tcPr>
            <w:tcW w:w="2605" w:type="dxa"/>
            <w:vAlign w:val="center"/>
          </w:tcPr>
          <w:p w:rsidRPr="00A03B40" w:rsidR="00C76383" w:rsidP="00603871" w:rsidRDefault="00C76383" w14:paraId="5174B3DD" w14:textId="77777777">
            <w:pPr>
              <w:pStyle w:val="Standard"/>
              <w:spacing w:line="240" w:lineRule="auto"/>
              <w:ind w:firstLine="0"/>
              <w:jc w:val="right"/>
            </w:pPr>
          </w:p>
          <w:p w:rsidRPr="00A03B40" w:rsidR="00100DF6" w:rsidP="00603871" w:rsidRDefault="00625A6D" w14:paraId="5D807125" w14:textId="523784F5">
            <w:pPr>
              <w:pStyle w:val="Standard"/>
              <w:spacing w:line="240" w:lineRule="auto"/>
              <w:ind w:firstLine="0"/>
              <w:jc w:val="right"/>
            </w:pPr>
            <w:r w:rsidRPr="00A03B40">
              <w:t>5,288,762</w:t>
            </w:r>
          </w:p>
        </w:tc>
      </w:tr>
      <w:tr w:rsidRPr="00A03B40" w:rsidR="00C76383" w:rsidTr="00603871" w14:paraId="1BDA749D" w14:textId="77777777">
        <w:tc>
          <w:tcPr>
            <w:tcW w:w="6745" w:type="dxa"/>
          </w:tcPr>
          <w:p w:rsidRPr="00A03B40" w:rsidR="00C76383" w:rsidP="009F1778" w:rsidRDefault="00C76383" w14:paraId="39ADB2F2" w14:textId="40E6E688">
            <w:pPr>
              <w:pStyle w:val="Standard"/>
              <w:spacing w:line="240" w:lineRule="auto"/>
              <w:ind w:firstLine="0"/>
              <w:rPr>
                <w:b/>
                <w:bCs/>
                <w:u w:val="single"/>
              </w:rPr>
            </w:pPr>
            <w:r w:rsidRPr="00A03B40">
              <w:rPr>
                <w:b/>
                <w:bCs/>
                <w:u w:val="single"/>
              </w:rPr>
              <w:t>Estimated 2026 Semi-Annual California Climate Credit</w:t>
            </w:r>
          </w:p>
        </w:tc>
        <w:tc>
          <w:tcPr>
            <w:tcW w:w="2605" w:type="dxa"/>
            <w:vAlign w:val="center"/>
          </w:tcPr>
          <w:p w:rsidRPr="00A03B40" w:rsidR="00C76383" w:rsidP="00603871" w:rsidRDefault="00100DF6" w14:paraId="57B6D371" w14:textId="63BB19F2">
            <w:pPr>
              <w:pStyle w:val="Standard"/>
              <w:spacing w:line="240" w:lineRule="auto"/>
              <w:ind w:firstLine="0"/>
              <w:jc w:val="right"/>
              <w:rPr>
                <w:b/>
                <w:bCs/>
                <w:u w:val="single"/>
              </w:rPr>
            </w:pPr>
            <w:r w:rsidRPr="00A03B40">
              <w:rPr>
                <w:b/>
                <w:bCs/>
                <w:u w:val="single"/>
              </w:rPr>
              <w:t>$</w:t>
            </w:r>
            <w:r w:rsidRPr="00A03B40" w:rsidR="00625A6D">
              <w:rPr>
                <w:b/>
                <w:bCs/>
                <w:u w:val="single"/>
              </w:rPr>
              <w:t>36.00</w:t>
            </w:r>
          </w:p>
        </w:tc>
      </w:tr>
    </w:tbl>
    <w:p w:rsidRPr="00A03B40" w:rsidR="005939A5" w:rsidP="00A805F7" w:rsidRDefault="003E54B2" w14:paraId="6DF4F07A" w14:textId="1B9E64B2">
      <w:pPr>
        <w:pStyle w:val="Heading1"/>
        <w:spacing w:before="240"/>
      </w:pPr>
      <w:bookmarkStart w:name="_Toc214629893" w:id="149"/>
      <w:bookmarkEnd w:id="15"/>
      <w:r w:rsidRPr="00A03B40">
        <w:t xml:space="preserve">Southern California Edison Company’s 2026 Energy Resource Recovery Account </w:t>
      </w:r>
      <w:r w:rsidRPr="00A03B40" w:rsidR="005F6EE8">
        <w:t xml:space="preserve">Revenue Requirement </w:t>
      </w:r>
      <w:r w:rsidRPr="00A03B40" w:rsidR="0028435B">
        <w:t>Forecasts, as Modified</w:t>
      </w:r>
      <w:bookmarkEnd w:id="149"/>
    </w:p>
    <w:p w:rsidRPr="00A03B40" w:rsidR="00DD34E9" w:rsidP="00787E26" w:rsidRDefault="001D7B01" w14:paraId="54C5688E" w14:textId="22765318">
      <w:pPr>
        <w:pStyle w:val="Standard"/>
      </w:pPr>
      <w:r w:rsidRPr="00A03B40">
        <w:t xml:space="preserve"> </w:t>
      </w:r>
      <w:bookmarkStart w:name="_Hlk211165943" w:id="150"/>
      <w:r w:rsidRPr="00A03B40">
        <w:t>SCE</w:t>
      </w:r>
      <w:r w:rsidRPr="00A03B40" w:rsidR="00783E5D">
        <w:t xml:space="preserve"> proposes a</w:t>
      </w:r>
      <w:r w:rsidRPr="00A03B40" w:rsidR="00233057">
        <w:t xml:space="preserve">n </w:t>
      </w:r>
      <w:proofErr w:type="gramStart"/>
      <w:r w:rsidRPr="00A03B40" w:rsidR="00233057">
        <w:t>updated</w:t>
      </w:r>
      <w:r w:rsidRPr="00A03B40">
        <w:t xml:space="preserve"> 2026</w:t>
      </w:r>
      <w:proofErr w:type="gramEnd"/>
      <w:r w:rsidRPr="00A03B40">
        <w:t xml:space="preserve"> ERRA forecast revenue requirement </w:t>
      </w:r>
      <w:r w:rsidRPr="00A03B40" w:rsidR="00A9062E">
        <w:t xml:space="preserve">of </w:t>
      </w:r>
      <w:bookmarkStart w:name="_Hlk212457142" w:id="151"/>
      <w:r w:rsidRPr="00A03B40" w:rsidR="00A9062E">
        <w:t>$</w:t>
      </w:r>
      <w:r w:rsidRPr="00A03B40" w:rsidR="005E5D31">
        <w:t>4.</w:t>
      </w:r>
      <w:r w:rsidRPr="00A03B40" w:rsidR="006B7DC9">
        <w:t>68</w:t>
      </w:r>
      <w:r w:rsidR="000E65AB">
        <w:t>9</w:t>
      </w:r>
      <w:r w:rsidRPr="00A03B40" w:rsidR="005E5D31">
        <w:t xml:space="preserve"> billion</w:t>
      </w:r>
      <w:r w:rsidRPr="00A03B40" w:rsidR="00A9062E">
        <w:t xml:space="preserve"> </w:t>
      </w:r>
      <w:bookmarkEnd w:id="151"/>
      <w:r w:rsidRPr="00A03B40">
        <w:t xml:space="preserve">and </w:t>
      </w:r>
      <w:proofErr w:type="gramStart"/>
      <w:r w:rsidRPr="00A03B40" w:rsidR="00AF6EBE">
        <w:t>a</w:t>
      </w:r>
      <w:r w:rsidRPr="00A03B40">
        <w:t xml:space="preserve"> F</w:t>
      </w:r>
      <w:proofErr w:type="gramEnd"/>
      <w:r w:rsidRPr="00A03B40">
        <w:t>&amp;PP</w:t>
      </w:r>
      <w:r w:rsidRPr="00A03B40" w:rsidR="00A9062E">
        <w:t xml:space="preserve"> revenue </w:t>
      </w:r>
      <w:proofErr w:type="gramStart"/>
      <w:r w:rsidRPr="00A03B40" w:rsidR="00A9062E">
        <w:t>requirement</w:t>
      </w:r>
      <w:r w:rsidRPr="00A03B40">
        <w:t xml:space="preserve"> sub</w:t>
      </w:r>
      <w:r w:rsidR="00151328">
        <w:t>-</w:t>
      </w:r>
      <w:r w:rsidRPr="00A03B40">
        <w:t>component</w:t>
      </w:r>
      <w:proofErr w:type="gramEnd"/>
      <w:r w:rsidRPr="00A03B40" w:rsidR="00A9062E">
        <w:t xml:space="preserve"> of $</w:t>
      </w:r>
      <w:r w:rsidR="000E65AB">
        <w:t>4.72</w:t>
      </w:r>
      <w:r w:rsidR="00F70192">
        <w:t>3</w:t>
      </w:r>
      <w:r w:rsidRPr="00A03B40" w:rsidR="005E5D31">
        <w:t xml:space="preserve"> billion</w:t>
      </w:r>
      <w:r w:rsidRPr="00A03B40" w:rsidR="00AF6EBE">
        <w:t xml:space="preserve"> in its </w:t>
      </w:r>
      <w:r w:rsidRPr="00A03B40" w:rsidR="006B7DC9">
        <w:t xml:space="preserve">Amended </w:t>
      </w:r>
      <w:r w:rsidRPr="00A03B40" w:rsidR="00AF6EBE">
        <w:t>October Update</w:t>
      </w:r>
      <w:r w:rsidRPr="00A03B40">
        <w:t>.</w:t>
      </w:r>
      <w:bookmarkEnd w:id="150"/>
      <w:r w:rsidRPr="00A03B40" w:rsidR="000447AA">
        <w:rPr>
          <w:rStyle w:val="FootnoteReference"/>
        </w:rPr>
        <w:footnoteReference w:id="272"/>
      </w:r>
      <w:r w:rsidRPr="00A03B40" w:rsidR="005E5D31">
        <w:t xml:space="preserve"> </w:t>
      </w:r>
      <w:r w:rsidRPr="00A03B40" w:rsidR="00783E5D">
        <w:t>T</w:t>
      </w:r>
      <w:r w:rsidRPr="00A03B40" w:rsidR="005E5D31">
        <w:t>he proposed customer returns from GHG allowance revenues allows the total ERRA revenue requirement to be less than the F&amp;PP revenue requirement. T</w:t>
      </w:r>
      <w:r w:rsidRPr="00A03B40" w:rsidR="00783E5D">
        <w:t xml:space="preserve">able 7-1, below, summarizes the </w:t>
      </w:r>
      <w:r w:rsidRPr="00A03B40" w:rsidR="006B7DC9">
        <w:t xml:space="preserve">ERRA </w:t>
      </w:r>
      <w:r w:rsidRPr="00A03B40" w:rsidR="00783E5D">
        <w:t>revenue requirement subtotals in current rates</w:t>
      </w:r>
      <w:r w:rsidRPr="00A03B40" w:rsidR="00EF2698">
        <w:t xml:space="preserve">, </w:t>
      </w:r>
      <w:r w:rsidRPr="00A03B40" w:rsidR="006B7DC9">
        <w:t xml:space="preserve">those </w:t>
      </w:r>
      <w:r w:rsidRPr="00A03B40" w:rsidR="00EF2698">
        <w:t xml:space="preserve">in </w:t>
      </w:r>
      <w:proofErr w:type="gramStart"/>
      <w:r w:rsidRPr="00A03B40" w:rsidR="00EF2698">
        <w:t>SCE’s</w:t>
      </w:r>
      <w:proofErr w:type="gramEnd"/>
      <w:r w:rsidRPr="00A03B40" w:rsidR="00EF2698">
        <w:t xml:space="preserve"> May Filing and </w:t>
      </w:r>
      <w:r w:rsidRPr="00A03B40" w:rsidR="006B7DC9">
        <w:t xml:space="preserve">Amended </w:t>
      </w:r>
      <w:r w:rsidRPr="00A03B40" w:rsidR="00EF2698">
        <w:t>October Update,</w:t>
      </w:r>
      <w:r w:rsidRPr="00A03B40" w:rsidR="000E6101">
        <w:t xml:space="preserve"> and the amounts approved in this Decision.</w:t>
      </w:r>
      <w:r w:rsidRPr="00A03B40" w:rsidR="000E6101">
        <w:rPr>
          <w:rStyle w:val="FootnoteReference"/>
        </w:rPr>
        <w:footnoteReference w:id="273"/>
      </w:r>
    </w:p>
    <w:p w:rsidR="0019607C" w:rsidP="00787E26" w:rsidRDefault="00927656" w14:paraId="293A4352" w14:textId="16F612B2">
      <w:pPr>
        <w:pStyle w:val="Standard"/>
      </w:pPr>
      <w:r w:rsidRPr="00A03B40">
        <w:t xml:space="preserve">The biggest changes </w:t>
      </w:r>
      <w:r w:rsidRPr="00A03B40" w:rsidR="00062A93">
        <w:t xml:space="preserve">in revenue requirement </w:t>
      </w:r>
      <w:r w:rsidRPr="00A03B40">
        <w:t xml:space="preserve">between </w:t>
      </w:r>
      <w:r w:rsidRPr="00A03B40" w:rsidR="00062A93">
        <w:t>SCE’s</w:t>
      </w:r>
      <w:r w:rsidRPr="00A03B40">
        <w:t xml:space="preserve"> May Filing and the </w:t>
      </w:r>
      <w:r w:rsidRPr="00A03B40" w:rsidR="006B7DC9">
        <w:t xml:space="preserve">Amended </w:t>
      </w:r>
      <w:r w:rsidRPr="00A03B40">
        <w:t>October Update are (1) the impacts of the application of the Commission’s Final 2025 MPBs, which caused a large decrease in the year-end 2025 ERRA BA balance and a large increase in the YE 2025 PABA balance, and (2)</w:t>
      </w:r>
      <w:r w:rsidR="00A805F7">
        <w:t> </w:t>
      </w:r>
      <w:r w:rsidRPr="00A03B40">
        <w:t xml:space="preserve">a large decrease in anticipated GHG allowance revenues, </w:t>
      </w:r>
      <w:r w:rsidRPr="00A03B40" w:rsidR="00062A93">
        <w:t xml:space="preserve">increasing the delivery service revenue requirement and </w:t>
      </w:r>
      <w:r w:rsidRPr="00A03B40">
        <w:t>decreasing expected customer returns in 2026.</w:t>
      </w:r>
    </w:p>
    <w:p w:rsidRPr="00A03B40" w:rsidR="00573074" w:rsidP="0019607C" w:rsidRDefault="0019607C" w14:paraId="6635F94C" w14:textId="2732BDFA">
      <w:pPr>
        <w:pStyle w:val="Standard"/>
        <w:keepNext/>
        <w:keepLines/>
        <w:spacing w:after="240" w:line="240" w:lineRule="auto"/>
        <w:ind w:firstLine="0"/>
        <w:jc w:val="center"/>
        <w:rPr>
          <w:b/>
          <w:bCs/>
        </w:rPr>
      </w:pPr>
      <w:r>
        <w:br w:type="page"/>
      </w:r>
      <w:r w:rsidRPr="00A03B40" w:rsidR="00573074">
        <w:rPr>
          <w:b/>
          <w:bCs/>
        </w:rPr>
        <w:lastRenderedPageBreak/>
        <w:t xml:space="preserve">Table </w:t>
      </w:r>
      <w:r w:rsidRPr="00A03B40" w:rsidR="00100DF6">
        <w:rPr>
          <w:b/>
          <w:bCs/>
        </w:rPr>
        <w:t>7-</w:t>
      </w:r>
      <w:r w:rsidRPr="00A03B40" w:rsidR="00573074">
        <w:rPr>
          <w:b/>
          <w:bCs/>
        </w:rPr>
        <w:t>1: 2026 ERRA Forecast Revenue Requirement (RR, $000)</w:t>
      </w:r>
    </w:p>
    <w:tbl>
      <w:tblPr>
        <w:tblStyle w:val="TableGrid"/>
        <w:tblW w:w="0" w:type="auto"/>
        <w:jc w:val="center"/>
        <w:tblLook w:val="04A0" w:firstRow="1" w:lastRow="0" w:firstColumn="1" w:lastColumn="0" w:noHBand="0" w:noVBand="1"/>
      </w:tblPr>
      <w:tblGrid>
        <w:gridCol w:w="416"/>
        <w:gridCol w:w="3521"/>
        <w:gridCol w:w="1661"/>
        <w:gridCol w:w="1662"/>
        <w:gridCol w:w="1662"/>
      </w:tblGrid>
      <w:tr w:rsidRPr="00A03B40" w:rsidR="00233057" w:rsidTr="00100DF6" w14:paraId="1720F5CF" w14:textId="77777777">
        <w:trPr>
          <w:jc w:val="center"/>
        </w:trPr>
        <w:tc>
          <w:tcPr>
            <w:tcW w:w="416" w:type="dxa"/>
            <w:tcBorders>
              <w:top w:val="single" w:color="auto" w:sz="18" w:space="0"/>
              <w:left w:val="single" w:color="auto" w:sz="18" w:space="0"/>
              <w:bottom w:val="single" w:color="auto" w:sz="18" w:space="0"/>
            </w:tcBorders>
          </w:tcPr>
          <w:p w:rsidRPr="00A03B40" w:rsidR="00233057" w:rsidP="009E4BA6" w:rsidRDefault="00233057" w14:paraId="3FA9B54C" w14:textId="77777777">
            <w:pPr>
              <w:pStyle w:val="Standard"/>
              <w:keepNext/>
              <w:keepLines/>
              <w:ind w:firstLine="0"/>
              <w:rPr>
                <w:sz w:val="18"/>
                <w:szCs w:val="18"/>
              </w:rPr>
            </w:pPr>
          </w:p>
        </w:tc>
        <w:tc>
          <w:tcPr>
            <w:tcW w:w="3521" w:type="dxa"/>
            <w:tcBorders>
              <w:top w:val="single" w:color="auto" w:sz="18" w:space="0"/>
              <w:bottom w:val="single" w:color="auto" w:sz="18" w:space="0"/>
            </w:tcBorders>
            <w:vAlign w:val="center"/>
          </w:tcPr>
          <w:p w:rsidRPr="00A03B40" w:rsidR="00233057" w:rsidP="009E4BA6" w:rsidRDefault="00233057" w14:paraId="6C9CF288" w14:textId="77777777">
            <w:pPr>
              <w:pStyle w:val="Standard"/>
              <w:keepNext/>
              <w:keepLines/>
              <w:spacing w:line="240" w:lineRule="auto"/>
              <w:ind w:firstLine="0"/>
              <w:jc w:val="center"/>
              <w:rPr>
                <w:sz w:val="18"/>
                <w:szCs w:val="18"/>
              </w:rPr>
            </w:pPr>
            <w:r w:rsidRPr="00A03B40">
              <w:rPr>
                <w:sz w:val="18"/>
                <w:szCs w:val="18"/>
              </w:rPr>
              <w:t>Description</w:t>
            </w:r>
          </w:p>
        </w:tc>
        <w:tc>
          <w:tcPr>
            <w:tcW w:w="1661" w:type="dxa"/>
            <w:tcBorders>
              <w:top w:val="single" w:color="auto" w:sz="18" w:space="0"/>
              <w:bottom w:val="single" w:color="auto" w:sz="18" w:space="0"/>
            </w:tcBorders>
            <w:vAlign w:val="center"/>
          </w:tcPr>
          <w:p w:rsidRPr="00A03B40" w:rsidR="00233057" w:rsidP="009E4BA6" w:rsidRDefault="00233057" w14:paraId="5C114803" w14:textId="087269B1">
            <w:pPr>
              <w:pStyle w:val="Standard"/>
              <w:keepNext/>
              <w:keepLines/>
              <w:spacing w:line="240" w:lineRule="auto"/>
              <w:ind w:firstLine="0"/>
              <w:jc w:val="center"/>
              <w:rPr>
                <w:sz w:val="18"/>
                <w:szCs w:val="18"/>
              </w:rPr>
            </w:pPr>
            <w:r w:rsidRPr="00A03B40">
              <w:rPr>
                <w:sz w:val="18"/>
                <w:szCs w:val="18"/>
              </w:rPr>
              <w:t>Amount in Current Rates</w:t>
            </w:r>
          </w:p>
        </w:tc>
        <w:tc>
          <w:tcPr>
            <w:tcW w:w="1662" w:type="dxa"/>
            <w:tcBorders>
              <w:top w:val="single" w:color="auto" w:sz="18" w:space="0"/>
              <w:bottom w:val="single" w:color="auto" w:sz="18" w:space="0"/>
            </w:tcBorders>
            <w:vAlign w:val="center"/>
          </w:tcPr>
          <w:p w:rsidRPr="00A03B40" w:rsidR="00233057" w:rsidP="009E4BA6" w:rsidRDefault="00233057" w14:paraId="1E0477A1" w14:textId="4A81C267">
            <w:pPr>
              <w:pStyle w:val="Standard"/>
              <w:keepNext/>
              <w:keepLines/>
              <w:spacing w:line="240" w:lineRule="auto"/>
              <w:ind w:firstLine="0"/>
              <w:jc w:val="center"/>
              <w:rPr>
                <w:sz w:val="18"/>
                <w:szCs w:val="18"/>
              </w:rPr>
            </w:pPr>
            <w:r w:rsidRPr="00A03B40">
              <w:rPr>
                <w:sz w:val="18"/>
                <w:szCs w:val="18"/>
              </w:rPr>
              <w:t>May Filing Forecast</w:t>
            </w:r>
          </w:p>
        </w:tc>
        <w:tc>
          <w:tcPr>
            <w:tcW w:w="1662" w:type="dxa"/>
            <w:tcBorders>
              <w:top w:val="single" w:color="auto" w:sz="18" w:space="0"/>
              <w:bottom w:val="single" w:color="auto" w:sz="18" w:space="0"/>
              <w:right w:val="single" w:color="auto" w:sz="18" w:space="0"/>
            </w:tcBorders>
            <w:vAlign w:val="center"/>
          </w:tcPr>
          <w:p w:rsidRPr="00A03B40" w:rsidR="00233057" w:rsidP="009E4BA6" w:rsidRDefault="006B7DC9" w14:paraId="2C6E1B7B" w14:textId="211E5AE3">
            <w:pPr>
              <w:pStyle w:val="Standard"/>
              <w:keepNext/>
              <w:keepLines/>
              <w:spacing w:line="240" w:lineRule="auto"/>
              <w:ind w:firstLine="0"/>
              <w:jc w:val="center"/>
              <w:rPr>
                <w:sz w:val="18"/>
                <w:szCs w:val="18"/>
              </w:rPr>
            </w:pPr>
            <w:r w:rsidRPr="00A03B40">
              <w:rPr>
                <w:sz w:val="18"/>
                <w:szCs w:val="18"/>
              </w:rPr>
              <w:t xml:space="preserve">Amended </w:t>
            </w:r>
            <w:r w:rsidRPr="00A03B40" w:rsidR="00233057">
              <w:rPr>
                <w:sz w:val="18"/>
                <w:szCs w:val="18"/>
              </w:rPr>
              <w:t>October Update Forecast and Adopted Amount</w:t>
            </w:r>
          </w:p>
        </w:tc>
      </w:tr>
      <w:tr w:rsidRPr="00A03B40" w:rsidR="000447AA" w:rsidTr="000447AA" w14:paraId="774F6ED3" w14:textId="77777777">
        <w:trPr>
          <w:jc w:val="center"/>
        </w:trPr>
        <w:tc>
          <w:tcPr>
            <w:tcW w:w="416" w:type="dxa"/>
            <w:tcBorders>
              <w:top w:val="single" w:color="auto" w:sz="18" w:space="0"/>
              <w:left w:val="single" w:color="auto" w:sz="18" w:space="0"/>
            </w:tcBorders>
          </w:tcPr>
          <w:p w:rsidRPr="00A03B40" w:rsidR="000447AA" w:rsidP="009E4BA6" w:rsidRDefault="000447AA" w14:paraId="6682BB8C" w14:textId="77777777">
            <w:pPr>
              <w:pStyle w:val="Standard"/>
              <w:keepNext/>
              <w:keepLines/>
              <w:ind w:firstLine="0"/>
              <w:rPr>
                <w:sz w:val="18"/>
                <w:szCs w:val="18"/>
              </w:rPr>
            </w:pPr>
            <w:r w:rsidRPr="00A03B40">
              <w:rPr>
                <w:sz w:val="18"/>
                <w:szCs w:val="18"/>
              </w:rPr>
              <w:t>1</w:t>
            </w:r>
          </w:p>
        </w:tc>
        <w:tc>
          <w:tcPr>
            <w:tcW w:w="8506" w:type="dxa"/>
            <w:gridSpan w:val="4"/>
            <w:tcBorders>
              <w:top w:val="single" w:color="auto" w:sz="18" w:space="0"/>
              <w:right w:val="single" w:color="auto" w:sz="18" w:space="0"/>
            </w:tcBorders>
          </w:tcPr>
          <w:p w:rsidRPr="00A03B40" w:rsidR="000447AA" w:rsidP="009E4BA6" w:rsidRDefault="000447AA" w14:paraId="53978829" w14:textId="50A39123">
            <w:pPr>
              <w:pStyle w:val="Standard"/>
              <w:keepNext/>
              <w:keepLines/>
              <w:ind w:firstLine="0"/>
              <w:rPr>
                <w:sz w:val="18"/>
                <w:szCs w:val="18"/>
              </w:rPr>
            </w:pPr>
            <w:r w:rsidRPr="00A03B40">
              <w:rPr>
                <w:b/>
                <w:bCs/>
                <w:i/>
                <w:iCs/>
                <w:sz w:val="18"/>
                <w:szCs w:val="18"/>
                <w:u w:val="single"/>
              </w:rPr>
              <w:t>Generation Service RR</w:t>
            </w:r>
          </w:p>
        </w:tc>
      </w:tr>
      <w:tr w:rsidRPr="00A03B40" w:rsidR="000447AA" w:rsidTr="000447AA" w14:paraId="5C4863F4" w14:textId="77777777">
        <w:trPr>
          <w:jc w:val="center"/>
        </w:trPr>
        <w:tc>
          <w:tcPr>
            <w:tcW w:w="416" w:type="dxa"/>
            <w:tcBorders>
              <w:left w:val="single" w:color="auto" w:sz="18" w:space="0"/>
            </w:tcBorders>
          </w:tcPr>
          <w:p w:rsidRPr="00A03B40" w:rsidR="000447AA" w:rsidP="00233057" w:rsidRDefault="000447AA" w14:paraId="3D5B7E01" w14:textId="77777777">
            <w:pPr>
              <w:pStyle w:val="Standard"/>
              <w:ind w:firstLine="0"/>
              <w:rPr>
                <w:sz w:val="18"/>
                <w:szCs w:val="18"/>
              </w:rPr>
            </w:pPr>
            <w:r w:rsidRPr="00A03B40">
              <w:rPr>
                <w:sz w:val="18"/>
                <w:szCs w:val="18"/>
              </w:rPr>
              <w:t>2</w:t>
            </w:r>
          </w:p>
        </w:tc>
        <w:tc>
          <w:tcPr>
            <w:tcW w:w="8506" w:type="dxa"/>
            <w:gridSpan w:val="4"/>
            <w:tcBorders>
              <w:right w:val="single" w:color="auto" w:sz="18" w:space="0"/>
            </w:tcBorders>
            <w:vAlign w:val="center"/>
          </w:tcPr>
          <w:p w:rsidRPr="00A03B40" w:rsidR="000447AA" w:rsidP="000447AA" w:rsidRDefault="000447AA" w14:paraId="42DABB18" w14:textId="0146ED95">
            <w:pPr>
              <w:pStyle w:val="Standard"/>
              <w:ind w:firstLine="0"/>
              <w:rPr>
                <w:sz w:val="18"/>
                <w:szCs w:val="18"/>
              </w:rPr>
            </w:pPr>
            <w:r w:rsidRPr="00A03B40">
              <w:rPr>
                <w:sz w:val="18"/>
                <w:szCs w:val="18"/>
              </w:rPr>
              <w:t>2026 F&amp;PP*:</w:t>
            </w:r>
          </w:p>
        </w:tc>
      </w:tr>
      <w:tr w:rsidRPr="00A03B40" w:rsidR="00233057" w:rsidTr="000447AA" w14:paraId="040BC428" w14:textId="77777777">
        <w:trPr>
          <w:jc w:val="center"/>
        </w:trPr>
        <w:tc>
          <w:tcPr>
            <w:tcW w:w="416" w:type="dxa"/>
            <w:tcBorders>
              <w:left w:val="single" w:color="auto" w:sz="18" w:space="0"/>
            </w:tcBorders>
          </w:tcPr>
          <w:p w:rsidRPr="00A03B40" w:rsidR="00233057" w:rsidP="00233057" w:rsidRDefault="00233057" w14:paraId="602F787B" w14:textId="77777777">
            <w:pPr>
              <w:pStyle w:val="Standard"/>
              <w:ind w:firstLine="0"/>
              <w:rPr>
                <w:sz w:val="18"/>
                <w:szCs w:val="18"/>
              </w:rPr>
            </w:pPr>
            <w:r w:rsidRPr="00A03B40">
              <w:rPr>
                <w:sz w:val="18"/>
                <w:szCs w:val="18"/>
              </w:rPr>
              <w:t>3</w:t>
            </w:r>
          </w:p>
        </w:tc>
        <w:tc>
          <w:tcPr>
            <w:tcW w:w="3521" w:type="dxa"/>
          </w:tcPr>
          <w:p w:rsidRPr="00A03B40" w:rsidR="00233057" w:rsidP="00233057" w:rsidRDefault="00233057" w14:paraId="182DF5A8" w14:textId="77777777">
            <w:pPr>
              <w:pStyle w:val="Standard"/>
              <w:ind w:left="720" w:firstLine="0"/>
              <w:rPr>
                <w:sz w:val="18"/>
                <w:szCs w:val="18"/>
              </w:rPr>
            </w:pPr>
            <w:r w:rsidRPr="00A03B40">
              <w:rPr>
                <w:sz w:val="18"/>
                <w:szCs w:val="18"/>
              </w:rPr>
              <w:t>ERRA BA-related</w:t>
            </w:r>
          </w:p>
        </w:tc>
        <w:tc>
          <w:tcPr>
            <w:tcW w:w="1661" w:type="dxa"/>
            <w:vAlign w:val="center"/>
          </w:tcPr>
          <w:p w:rsidRPr="00A03B40" w:rsidR="00233057" w:rsidP="000447AA" w:rsidRDefault="00EF2698" w14:paraId="3635E1E2" w14:textId="6FEDA4B0">
            <w:pPr>
              <w:pStyle w:val="Standard"/>
              <w:ind w:firstLine="0"/>
              <w:jc w:val="right"/>
              <w:rPr>
                <w:sz w:val="18"/>
                <w:szCs w:val="18"/>
              </w:rPr>
            </w:pPr>
            <w:r w:rsidRPr="00A03B40">
              <w:rPr>
                <w:sz w:val="18"/>
                <w:szCs w:val="18"/>
              </w:rPr>
              <w:t>$2,831,352</w:t>
            </w:r>
          </w:p>
        </w:tc>
        <w:tc>
          <w:tcPr>
            <w:tcW w:w="1662" w:type="dxa"/>
            <w:vAlign w:val="center"/>
          </w:tcPr>
          <w:p w:rsidRPr="00A03B40" w:rsidR="00233057" w:rsidP="000447AA" w:rsidRDefault="00EF2698" w14:paraId="4C276940" w14:textId="24709AD8">
            <w:pPr>
              <w:pStyle w:val="Standard"/>
              <w:ind w:firstLine="0"/>
              <w:jc w:val="right"/>
              <w:rPr>
                <w:sz w:val="18"/>
                <w:szCs w:val="18"/>
              </w:rPr>
            </w:pPr>
            <w:r w:rsidRPr="00A03B40">
              <w:rPr>
                <w:sz w:val="18"/>
                <w:szCs w:val="18"/>
              </w:rPr>
              <w:t>$2,759,015</w:t>
            </w:r>
          </w:p>
        </w:tc>
        <w:tc>
          <w:tcPr>
            <w:tcW w:w="1662" w:type="dxa"/>
            <w:tcBorders>
              <w:right w:val="single" w:color="auto" w:sz="18" w:space="0"/>
            </w:tcBorders>
            <w:vAlign w:val="center"/>
          </w:tcPr>
          <w:p w:rsidRPr="00A03B40" w:rsidR="00233057" w:rsidP="000447AA" w:rsidRDefault="00233057" w14:paraId="1EFDA766" w14:textId="0424F461">
            <w:pPr>
              <w:pStyle w:val="Standard"/>
              <w:ind w:firstLine="0"/>
              <w:jc w:val="right"/>
              <w:rPr>
                <w:sz w:val="18"/>
                <w:szCs w:val="18"/>
              </w:rPr>
            </w:pPr>
            <w:r w:rsidRPr="00A03B40">
              <w:rPr>
                <w:sz w:val="18"/>
                <w:szCs w:val="18"/>
              </w:rPr>
              <w:t>$2,71</w:t>
            </w:r>
            <w:r w:rsidRPr="00A03B40" w:rsidR="006B7DC9">
              <w:rPr>
                <w:sz w:val="18"/>
                <w:szCs w:val="18"/>
              </w:rPr>
              <w:t>0</w:t>
            </w:r>
            <w:r w:rsidRPr="00A03B40">
              <w:rPr>
                <w:sz w:val="18"/>
                <w:szCs w:val="18"/>
              </w:rPr>
              <w:t>,</w:t>
            </w:r>
            <w:r w:rsidRPr="00A03B40" w:rsidR="006B7DC9">
              <w:rPr>
                <w:sz w:val="18"/>
                <w:szCs w:val="18"/>
              </w:rPr>
              <w:t>124</w:t>
            </w:r>
          </w:p>
        </w:tc>
      </w:tr>
      <w:tr w:rsidRPr="00A03B40" w:rsidR="00233057" w:rsidTr="000447AA" w14:paraId="1BB39F88" w14:textId="77777777">
        <w:trPr>
          <w:jc w:val="center"/>
        </w:trPr>
        <w:tc>
          <w:tcPr>
            <w:tcW w:w="416" w:type="dxa"/>
            <w:tcBorders>
              <w:left w:val="single" w:color="auto" w:sz="18" w:space="0"/>
            </w:tcBorders>
          </w:tcPr>
          <w:p w:rsidRPr="00A03B40" w:rsidR="00233057" w:rsidP="00233057" w:rsidRDefault="00233057" w14:paraId="5270ECAD" w14:textId="77777777">
            <w:pPr>
              <w:pStyle w:val="Standard"/>
              <w:ind w:firstLine="0"/>
              <w:rPr>
                <w:sz w:val="18"/>
                <w:szCs w:val="18"/>
              </w:rPr>
            </w:pPr>
            <w:r w:rsidRPr="00A03B40">
              <w:rPr>
                <w:sz w:val="18"/>
                <w:szCs w:val="18"/>
              </w:rPr>
              <w:t>4</w:t>
            </w:r>
          </w:p>
        </w:tc>
        <w:tc>
          <w:tcPr>
            <w:tcW w:w="3521" w:type="dxa"/>
          </w:tcPr>
          <w:p w:rsidRPr="00A03B40" w:rsidR="00233057" w:rsidP="00233057" w:rsidRDefault="00233057" w14:paraId="513480E3" w14:textId="77777777">
            <w:pPr>
              <w:pStyle w:val="Standard"/>
              <w:ind w:left="720" w:firstLine="0"/>
              <w:rPr>
                <w:sz w:val="18"/>
                <w:szCs w:val="18"/>
              </w:rPr>
            </w:pPr>
            <w:r w:rsidRPr="00A03B40">
              <w:rPr>
                <w:sz w:val="18"/>
                <w:szCs w:val="18"/>
              </w:rPr>
              <w:t>PABA-related</w:t>
            </w:r>
          </w:p>
        </w:tc>
        <w:tc>
          <w:tcPr>
            <w:tcW w:w="1661" w:type="dxa"/>
            <w:vAlign w:val="center"/>
          </w:tcPr>
          <w:p w:rsidRPr="00A03B40" w:rsidR="00233057" w:rsidP="000447AA" w:rsidRDefault="00EF2698" w14:paraId="66416EB6" w14:textId="1DBCB14D">
            <w:pPr>
              <w:pStyle w:val="Standard"/>
              <w:ind w:firstLine="0"/>
              <w:jc w:val="right"/>
              <w:rPr>
                <w:sz w:val="18"/>
                <w:szCs w:val="18"/>
              </w:rPr>
            </w:pPr>
            <w:r w:rsidRPr="00A03B40">
              <w:rPr>
                <w:sz w:val="18"/>
                <w:szCs w:val="18"/>
              </w:rPr>
              <w:t>$1,249,871</w:t>
            </w:r>
          </w:p>
        </w:tc>
        <w:tc>
          <w:tcPr>
            <w:tcW w:w="1662" w:type="dxa"/>
            <w:vAlign w:val="center"/>
          </w:tcPr>
          <w:p w:rsidRPr="00A03B40" w:rsidR="00233057" w:rsidP="000447AA" w:rsidRDefault="00EF2698" w14:paraId="77412BAF" w14:textId="2BF88B3D">
            <w:pPr>
              <w:pStyle w:val="Standard"/>
              <w:ind w:firstLine="0"/>
              <w:jc w:val="right"/>
              <w:rPr>
                <w:sz w:val="18"/>
                <w:szCs w:val="18"/>
              </w:rPr>
            </w:pPr>
            <w:r w:rsidRPr="00A03B40">
              <w:rPr>
                <w:sz w:val="18"/>
                <w:szCs w:val="18"/>
              </w:rPr>
              <w:t>$1,538,984</w:t>
            </w:r>
          </w:p>
        </w:tc>
        <w:tc>
          <w:tcPr>
            <w:tcW w:w="1662" w:type="dxa"/>
            <w:tcBorders>
              <w:right w:val="single" w:color="auto" w:sz="18" w:space="0"/>
            </w:tcBorders>
            <w:vAlign w:val="center"/>
          </w:tcPr>
          <w:p w:rsidRPr="00A03B40" w:rsidR="00233057" w:rsidP="000447AA" w:rsidRDefault="00233057" w14:paraId="1A35C42D" w14:textId="79846C09">
            <w:pPr>
              <w:pStyle w:val="Standard"/>
              <w:ind w:firstLine="0"/>
              <w:jc w:val="right"/>
              <w:rPr>
                <w:sz w:val="18"/>
                <w:szCs w:val="18"/>
              </w:rPr>
            </w:pPr>
            <w:r w:rsidRPr="00A03B40">
              <w:rPr>
                <w:sz w:val="18"/>
                <w:szCs w:val="18"/>
              </w:rPr>
              <w:t>$1,</w:t>
            </w:r>
            <w:r w:rsidRPr="00A03B40" w:rsidR="006B7DC9">
              <w:rPr>
                <w:sz w:val="18"/>
                <w:szCs w:val="18"/>
              </w:rPr>
              <w:t>494</w:t>
            </w:r>
            <w:r w:rsidRPr="00A03B40">
              <w:rPr>
                <w:sz w:val="18"/>
                <w:szCs w:val="18"/>
              </w:rPr>
              <w:t>,</w:t>
            </w:r>
            <w:r w:rsidRPr="00A03B40" w:rsidR="006B7DC9">
              <w:rPr>
                <w:sz w:val="18"/>
                <w:szCs w:val="18"/>
              </w:rPr>
              <w:t>274</w:t>
            </w:r>
          </w:p>
        </w:tc>
      </w:tr>
      <w:tr w:rsidRPr="00A03B40" w:rsidR="00233057" w:rsidTr="000447AA" w14:paraId="3EE99CE1" w14:textId="77777777">
        <w:trPr>
          <w:jc w:val="center"/>
        </w:trPr>
        <w:tc>
          <w:tcPr>
            <w:tcW w:w="416" w:type="dxa"/>
            <w:tcBorders>
              <w:left w:val="single" w:color="auto" w:sz="18" w:space="0"/>
            </w:tcBorders>
          </w:tcPr>
          <w:p w:rsidRPr="00A03B40" w:rsidR="00233057" w:rsidP="00233057" w:rsidRDefault="00233057" w14:paraId="54FBEC30" w14:textId="77777777">
            <w:pPr>
              <w:pStyle w:val="Standard"/>
              <w:ind w:firstLine="0"/>
              <w:rPr>
                <w:sz w:val="18"/>
                <w:szCs w:val="18"/>
              </w:rPr>
            </w:pPr>
            <w:r w:rsidRPr="00A03B40">
              <w:rPr>
                <w:sz w:val="18"/>
                <w:szCs w:val="18"/>
              </w:rPr>
              <w:t>5</w:t>
            </w:r>
          </w:p>
        </w:tc>
        <w:tc>
          <w:tcPr>
            <w:tcW w:w="3521" w:type="dxa"/>
          </w:tcPr>
          <w:p w:rsidRPr="00A03B40" w:rsidR="00233057" w:rsidP="00233057" w:rsidRDefault="00233057" w14:paraId="5FA0C7B9" w14:textId="77777777">
            <w:pPr>
              <w:pStyle w:val="Standard"/>
              <w:ind w:left="720" w:firstLine="0"/>
              <w:rPr>
                <w:sz w:val="18"/>
                <w:szCs w:val="18"/>
              </w:rPr>
            </w:pPr>
            <w:r w:rsidRPr="00A03B40">
              <w:rPr>
                <w:sz w:val="18"/>
                <w:szCs w:val="18"/>
              </w:rPr>
              <w:t>GTSRBA-related</w:t>
            </w:r>
          </w:p>
        </w:tc>
        <w:tc>
          <w:tcPr>
            <w:tcW w:w="1661" w:type="dxa"/>
            <w:vAlign w:val="center"/>
          </w:tcPr>
          <w:p w:rsidRPr="00A03B40" w:rsidR="00233057" w:rsidP="000447AA" w:rsidRDefault="00EF2698" w14:paraId="361AFFB1" w14:textId="43EF319A">
            <w:pPr>
              <w:pStyle w:val="Standard"/>
              <w:ind w:firstLine="0"/>
              <w:jc w:val="right"/>
              <w:rPr>
                <w:sz w:val="18"/>
                <w:szCs w:val="18"/>
              </w:rPr>
            </w:pPr>
            <w:r w:rsidRPr="00A03B40">
              <w:rPr>
                <w:sz w:val="18"/>
                <w:szCs w:val="18"/>
              </w:rPr>
              <w:t>$7,132</w:t>
            </w:r>
          </w:p>
        </w:tc>
        <w:tc>
          <w:tcPr>
            <w:tcW w:w="1662" w:type="dxa"/>
            <w:vAlign w:val="center"/>
          </w:tcPr>
          <w:p w:rsidRPr="00A03B40" w:rsidR="00233057" w:rsidP="000447AA" w:rsidRDefault="00EF2698" w14:paraId="44CFE9F7" w14:textId="79D7B986">
            <w:pPr>
              <w:pStyle w:val="Standard"/>
              <w:ind w:firstLine="0"/>
              <w:jc w:val="right"/>
              <w:rPr>
                <w:sz w:val="18"/>
                <w:szCs w:val="18"/>
              </w:rPr>
            </w:pPr>
            <w:r w:rsidRPr="00A03B40">
              <w:rPr>
                <w:sz w:val="18"/>
                <w:szCs w:val="18"/>
              </w:rPr>
              <w:t>$7,552</w:t>
            </w:r>
          </w:p>
        </w:tc>
        <w:tc>
          <w:tcPr>
            <w:tcW w:w="1662" w:type="dxa"/>
            <w:tcBorders>
              <w:right w:val="single" w:color="auto" w:sz="18" w:space="0"/>
            </w:tcBorders>
            <w:vAlign w:val="center"/>
          </w:tcPr>
          <w:p w:rsidRPr="00A03B40" w:rsidR="00233057" w:rsidP="000447AA" w:rsidRDefault="00233057" w14:paraId="774F7933" w14:textId="143979D2">
            <w:pPr>
              <w:pStyle w:val="Standard"/>
              <w:ind w:firstLine="0"/>
              <w:jc w:val="right"/>
              <w:rPr>
                <w:sz w:val="18"/>
                <w:szCs w:val="18"/>
              </w:rPr>
            </w:pPr>
            <w:r w:rsidRPr="00A03B40">
              <w:rPr>
                <w:sz w:val="18"/>
                <w:szCs w:val="18"/>
              </w:rPr>
              <w:t>$7,308</w:t>
            </w:r>
          </w:p>
        </w:tc>
      </w:tr>
      <w:tr w:rsidRPr="00A03B40" w:rsidR="00233057" w:rsidTr="000447AA" w14:paraId="797FDBE7" w14:textId="77777777">
        <w:trPr>
          <w:jc w:val="center"/>
        </w:trPr>
        <w:tc>
          <w:tcPr>
            <w:tcW w:w="416" w:type="dxa"/>
            <w:tcBorders>
              <w:left w:val="single" w:color="auto" w:sz="18" w:space="0"/>
            </w:tcBorders>
          </w:tcPr>
          <w:p w:rsidRPr="00A03B40" w:rsidR="00233057" w:rsidP="00233057" w:rsidRDefault="00233057" w14:paraId="23342740" w14:textId="77777777">
            <w:pPr>
              <w:pStyle w:val="Standard"/>
              <w:ind w:firstLine="0"/>
              <w:rPr>
                <w:sz w:val="18"/>
                <w:szCs w:val="18"/>
              </w:rPr>
            </w:pPr>
            <w:r w:rsidRPr="00A03B40">
              <w:rPr>
                <w:sz w:val="18"/>
                <w:szCs w:val="18"/>
              </w:rPr>
              <w:t>6</w:t>
            </w:r>
          </w:p>
        </w:tc>
        <w:tc>
          <w:tcPr>
            <w:tcW w:w="3521" w:type="dxa"/>
          </w:tcPr>
          <w:p w:rsidRPr="00A03B40" w:rsidR="00233057" w:rsidP="00233057" w:rsidRDefault="00233057" w14:paraId="22D28EFB" w14:textId="77777777">
            <w:pPr>
              <w:pStyle w:val="Standard"/>
              <w:ind w:firstLine="0"/>
              <w:rPr>
                <w:sz w:val="18"/>
                <w:szCs w:val="18"/>
              </w:rPr>
            </w:pPr>
            <w:r w:rsidRPr="00A03B40">
              <w:rPr>
                <w:sz w:val="18"/>
                <w:szCs w:val="18"/>
              </w:rPr>
              <w:t>2025 YE ERRA BA Balance</w:t>
            </w:r>
          </w:p>
        </w:tc>
        <w:tc>
          <w:tcPr>
            <w:tcW w:w="1661" w:type="dxa"/>
            <w:vAlign w:val="center"/>
          </w:tcPr>
          <w:p w:rsidRPr="00A03B40" w:rsidR="00233057" w:rsidP="000447AA" w:rsidRDefault="00EF2698" w14:paraId="02C3E6AA" w14:textId="22F0B924">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276,313)</w:t>
            </w:r>
          </w:p>
        </w:tc>
        <w:tc>
          <w:tcPr>
            <w:tcW w:w="1662" w:type="dxa"/>
            <w:vAlign w:val="center"/>
          </w:tcPr>
          <w:p w:rsidRPr="00A03B40" w:rsidR="00233057" w:rsidP="000447AA" w:rsidRDefault="00EF2698" w14:paraId="3074B311" w14:textId="084C0585">
            <w:pPr>
              <w:pStyle w:val="Standard"/>
              <w:ind w:firstLine="0"/>
              <w:jc w:val="right"/>
              <w:rPr>
                <w:sz w:val="18"/>
                <w:szCs w:val="18"/>
              </w:rPr>
            </w:pPr>
            <w:r w:rsidRPr="00A03B40">
              <w:rPr>
                <w:sz w:val="18"/>
                <w:szCs w:val="18"/>
              </w:rPr>
              <w:t>$69,234</w:t>
            </w:r>
          </w:p>
        </w:tc>
        <w:tc>
          <w:tcPr>
            <w:tcW w:w="1662" w:type="dxa"/>
            <w:tcBorders>
              <w:right w:val="single" w:color="auto" w:sz="18" w:space="0"/>
            </w:tcBorders>
            <w:vAlign w:val="center"/>
          </w:tcPr>
          <w:p w:rsidRPr="00A03B40" w:rsidR="00233057" w:rsidP="000447AA" w:rsidRDefault="00233057" w14:paraId="08066C92" w14:textId="177B7F70">
            <w:pPr>
              <w:pStyle w:val="Standard"/>
              <w:ind w:firstLine="0"/>
              <w:jc w:val="right"/>
              <w:rPr>
                <w:sz w:val="18"/>
                <w:szCs w:val="18"/>
              </w:rPr>
            </w:pPr>
            <w:r w:rsidRPr="00A03B40">
              <w:rPr>
                <w:sz w:val="18"/>
                <w:szCs w:val="18"/>
              </w:rPr>
              <w:t>(</w:t>
            </w:r>
            <w:r w:rsidRPr="00A03B40" w:rsidR="006B7DC9">
              <w:rPr>
                <w:sz w:val="18"/>
                <w:szCs w:val="18"/>
              </w:rPr>
              <w:t>$898,645</w:t>
            </w:r>
            <w:r w:rsidRPr="00A03B40">
              <w:rPr>
                <w:sz w:val="18"/>
                <w:szCs w:val="18"/>
              </w:rPr>
              <w:t>)</w:t>
            </w:r>
          </w:p>
        </w:tc>
      </w:tr>
      <w:tr w:rsidRPr="00A03B40" w:rsidR="00233057" w:rsidTr="000447AA" w14:paraId="08E16B5B" w14:textId="77777777">
        <w:trPr>
          <w:jc w:val="center"/>
        </w:trPr>
        <w:tc>
          <w:tcPr>
            <w:tcW w:w="416" w:type="dxa"/>
            <w:tcBorders>
              <w:left w:val="single" w:color="auto" w:sz="18" w:space="0"/>
            </w:tcBorders>
          </w:tcPr>
          <w:p w:rsidRPr="00A03B40" w:rsidR="00233057" w:rsidP="00233057" w:rsidRDefault="00233057" w14:paraId="392415F8" w14:textId="77777777">
            <w:pPr>
              <w:pStyle w:val="Standard"/>
              <w:ind w:firstLine="0"/>
              <w:rPr>
                <w:sz w:val="18"/>
                <w:szCs w:val="18"/>
              </w:rPr>
            </w:pPr>
            <w:r w:rsidRPr="00A03B40">
              <w:rPr>
                <w:sz w:val="18"/>
                <w:szCs w:val="18"/>
              </w:rPr>
              <w:t>7</w:t>
            </w:r>
          </w:p>
        </w:tc>
        <w:tc>
          <w:tcPr>
            <w:tcW w:w="3521" w:type="dxa"/>
          </w:tcPr>
          <w:p w:rsidRPr="00A03B40" w:rsidR="00233057" w:rsidP="00233057" w:rsidRDefault="00233057" w14:paraId="386B980C" w14:textId="77777777">
            <w:pPr>
              <w:pStyle w:val="Standard"/>
              <w:ind w:firstLine="0"/>
              <w:rPr>
                <w:sz w:val="18"/>
                <w:szCs w:val="18"/>
              </w:rPr>
            </w:pPr>
            <w:r w:rsidRPr="00A03B40">
              <w:rPr>
                <w:sz w:val="18"/>
                <w:szCs w:val="18"/>
              </w:rPr>
              <w:t>2025 YE PABA Balance</w:t>
            </w:r>
          </w:p>
        </w:tc>
        <w:tc>
          <w:tcPr>
            <w:tcW w:w="1661" w:type="dxa"/>
            <w:vAlign w:val="center"/>
          </w:tcPr>
          <w:p w:rsidRPr="00A03B40" w:rsidR="00EF2698" w:rsidP="000447AA" w:rsidRDefault="00EF2698" w14:paraId="12B4CCBE" w14:textId="7B2C4E04">
            <w:pPr>
              <w:pStyle w:val="Standard"/>
              <w:ind w:firstLine="0"/>
              <w:jc w:val="right"/>
              <w:rPr>
                <w:sz w:val="18"/>
                <w:szCs w:val="18"/>
              </w:rPr>
            </w:pPr>
            <w:r w:rsidRPr="00A03B40">
              <w:rPr>
                <w:sz w:val="18"/>
                <w:szCs w:val="18"/>
              </w:rPr>
              <w:t>$740,627</w:t>
            </w:r>
          </w:p>
        </w:tc>
        <w:tc>
          <w:tcPr>
            <w:tcW w:w="1662" w:type="dxa"/>
            <w:vAlign w:val="center"/>
          </w:tcPr>
          <w:p w:rsidRPr="00A03B40" w:rsidR="00233057" w:rsidP="000447AA" w:rsidRDefault="00EF2698" w14:paraId="3D1F5A55" w14:textId="1EC3EB83">
            <w:pPr>
              <w:pStyle w:val="Standard"/>
              <w:ind w:firstLine="0"/>
              <w:jc w:val="right"/>
              <w:rPr>
                <w:sz w:val="18"/>
                <w:szCs w:val="18"/>
              </w:rPr>
            </w:pPr>
            <w:r w:rsidRPr="00A03B40">
              <w:rPr>
                <w:sz w:val="18"/>
                <w:szCs w:val="18"/>
              </w:rPr>
              <w:t>$61,792</w:t>
            </w:r>
          </w:p>
        </w:tc>
        <w:tc>
          <w:tcPr>
            <w:tcW w:w="1662" w:type="dxa"/>
            <w:tcBorders>
              <w:right w:val="single" w:color="auto" w:sz="18" w:space="0"/>
            </w:tcBorders>
            <w:vAlign w:val="center"/>
          </w:tcPr>
          <w:p w:rsidRPr="00A03B40" w:rsidR="00233057" w:rsidP="000447AA" w:rsidRDefault="00233057" w14:paraId="76D94964" w14:textId="5DF2D2AB">
            <w:pPr>
              <w:pStyle w:val="Standard"/>
              <w:ind w:firstLine="0"/>
              <w:jc w:val="right"/>
              <w:rPr>
                <w:sz w:val="18"/>
                <w:szCs w:val="18"/>
              </w:rPr>
            </w:pPr>
            <w:r w:rsidRPr="00A03B40">
              <w:rPr>
                <w:sz w:val="18"/>
                <w:szCs w:val="18"/>
              </w:rPr>
              <w:t>$1,</w:t>
            </w:r>
            <w:r w:rsidRPr="00A03B40" w:rsidR="006B7DC9">
              <w:rPr>
                <w:sz w:val="18"/>
                <w:szCs w:val="18"/>
              </w:rPr>
              <w:t>318</w:t>
            </w:r>
            <w:r w:rsidRPr="00A03B40">
              <w:rPr>
                <w:sz w:val="18"/>
                <w:szCs w:val="18"/>
              </w:rPr>
              <w:t>,3</w:t>
            </w:r>
            <w:r w:rsidRPr="00A03B40" w:rsidR="006B7DC9">
              <w:rPr>
                <w:sz w:val="18"/>
                <w:szCs w:val="18"/>
              </w:rPr>
              <w:t>50</w:t>
            </w:r>
          </w:p>
        </w:tc>
      </w:tr>
      <w:tr w:rsidRPr="00A03B40" w:rsidR="00233057" w:rsidTr="000447AA" w14:paraId="672743B6" w14:textId="77777777">
        <w:trPr>
          <w:jc w:val="center"/>
        </w:trPr>
        <w:tc>
          <w:tcPr>
            <w:tcW w:w="416" w:type="dxa"/>
            <w:tcBorders>
              <w:left w:val="single" w:color="auto" w:sz="18" w:space="0"/>
              <w:bottom w:val="single" w:color="auto" w:sz="18" w:space="0"/>
            </w:tcBorders>
          </w:tcPr>
          <w:p w:rsidRPr="00A03B40" w:rsidR="00233057" w:rsidP="00233057" w:rsidRDefault="00233057" w14:paraId="4AE0366F" w14:textId="77777777">
            <w:pPr>
              <w:pStyle w:val="Standard"/>
              <w:ind w:firstLine="0"/>
              <w:rPr>
                <w:sz w:val="18"/>
                <w:szCs w:val="18"/>
              </w:rPr>
            </w:pPr>
            <w:r w:rsidRPr="00A03B40">
              <w:rPr>
                <w:sz w:val="18"/>
                <w:szCs w:val="18"/>
              </w:rPr>
              <w:t>8</w:t>
            </w:r>
          </w:p>
        </w:tc>
        <w:tc>
          <w:tcPr>
            <w:tcW w:w="3521" w:type="dxa"/>
            <w:tcBorders>
              <w:bottom w:val="single" w:color="auto" w:sz="18" w:space="0"/>
            </w:tcBorders>
          </w:tcPr>
          <w:p w:rsidRPr="00A03B40" w:rsidR="00233057" w:rsidP="00233057" w:rsidRDefault="00233057" w14:paraId="169518E4" w14:textId="77777777">
            <w:pPr>
              <w:pStyle w:val="Standard"/>
              <w:ind w:firstLine="0"/>
              <w:rPr>
                <w:sz w:val="18"/>
                <w:szCs w:val="18"/>
              </w:rPr>
            </w:pPr>
            <w:r w:rsidRPr="00A03B40">
              <w:rPr>
                <w:sz w:val="18"/>
                <w:szCs w:val="18"/>
              </w:rPr>
              <w:t>2025 YE ESMA Balance (net)</w:t>
            </w:r>
          </w:p>
        </w:tc>
        <w:tc>
          <w:tcPr>
            <w:tcW w:w="1661" w:type="dxa"/>
            <w:tcBorders>
              <w:bottom w:val="single" w:color="auto" w:sz="18" w:space="0"/>
            </w:tcBorders>
            <w:vAlign w:val="center"/>
          </w:tcPr>
          <w:p w:rsidRPr="00A03B40" w:rsidR="00233057" w:rsidP="000447AA" w:rsidRDefault="00EF2698" w14:paraId="70E8B120" w14:textId="206A5573">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249)</w:t>
            </w:r>
          </w:p>
        </w:tc>
        <w:tc>
          <w:tcPr>
            <w:tcW w:w="1662" w:type="dxa"/>
            <w:tcBorders>
              <w:bottom w:val="single" w:color="auto" w:sz="18" w:space="0"/>
            </w:tcBorders>
            <w:vAlign w:val="center"/>
          </w:tcPr>
          <w:p w:rsidRPr="00A03B40" w:rsidR="00233057" w:rsidP="000447AA" w:rsidRDefault="00EF2698" w14:paraId="29E011B6" w14:textId="2171E62D">
            <w:pPr>
              <w:pStyle w:val="Standard"/>
              <w:ind w:firstLine="0"/>
              <w:jc w:val="right"/>
              <w:rPr>
                <w:sz w:val="18"/>
                <w:szCs w:val="18"/>
              </w:rPr>
            </w:pPr>
            <w:r w:rsidRPr="00A03B40">
              <w:rPr>
                <w:sz w:val="18"/>
                <w:szCs w:val="18"/>
              </w:rPr>
              <w:t>$185</w:t>
            </w:r>
          </w:p>
        </w:tc>
        <w:tc>
          <w:tcPr>
            <w:tcW w:w="1662" w:type="dxa"/>
            <w:tcBorders>
              <w:bottom w:val="single" w:color="auto" w:sz="18" w:space="0"/>
              <w:right w:val="single" w:color="auto" w:sz="18" w:space="0"/>
            </w:tcBorders>
            <w:vAlign w:val="center"/>
          </w:tcPr>
          <w:p w:rsidRPr="00A03B40" w:rsidR="00233057" w:rsidP="000447AA" w:rsidRDefault="00383AF7" w14:paraId="14143AFA" w14:textId="36874B0D">
            <w:pPr>
              <w:pStyle w:val="Standard"/>
              <w:ind w:firstLine="0"/>
              <w:jc w:val="right"/>
              <w:rPr>
                <w:sz w:val="18"/>
                <w:szCs w:val="18"/>
              </w:rPr>
            </w:pPr>
            <w:r w:rsidRPr="00A03B40">
              <w:rPr>
                <w:sz w:val="18"/>
                <w:szCs w:val="18"/>
              </w:rPr>
              <w:t>$1,314</w:t>
            </w:r>
          </w:p>
        </w:tc>
      </w:tr>
      <w:tr w:rsidRPr="00A03B40" w:rsidR="00233057" w:rsidTr="000447AA" w14:paraId="1C27FAF6" w14:textId="77777777">
        <w:trPr>
          <w:jc w:val="center"/>
        </w:trPr>
        <w:tc>
          <w:tcPr>
            <w:tcW w:w="416" w:type="dxa"/>
            <w:tcBorders>
              <w:top w:val="single" w:color="auto" w:sz="18" w:space="0"/>
              <w:left w:val="single" w:color="auto" w:sz="18" w:space="0"/>
              <w:bottom w:val="single" w:color="auto" w:sz="18" w:space="0"/>
            </w:tcBorders>
          </w:tcPr>
          <w:p w:rsidRPr="00A03B40" w:rsidR="00233057" w:rsidP="00233057" w:rsidRDefault="00233057" w14:paraId="685D947A" w14:textId="77777777">
            <w:pPr>
              <w:pStyle w:val="Standard"/>
              <w:ind w:firstLine="0"/>
              <w:rPr>
                <w:sz w:val="18"/>
                <w:szCs w:val="18"/>
              </w:rPr>
            </w:pPr>
            <w:r w:rsidRPr="00A03B40">
              <w:rPr>
                <w:sz w:val="18"/>
                <w:szCs w:val="18"/>
              </w:rPr>
              <w:t>9</w:t>
            </w:r>
          </w:p>
        </w:tc>
        <w:tc>
          <w:tcPr>
            <w:tcW w:w="3521" w:type="dxa"/>
            <w:tcBorders>
              <w:top w:val="single" w:color="auto" w:sz="18" w:space="0"/>
              <w:bottom w:val="single" w:color="auto" w:sz="18" w:space="0"/>
            </w:tcBorders>
          </w:tcPr>
          <w:p w:rsidRPr="00A03B40" w:rsidR="00233057" w:rsidP="00233057" w:rsidRDefault="00233057" w14:paraId="6915F3B8" w14:textId="77777777">
            <w:pPr>
              <w:pStyle w:val="Standard"/>
              <w:ind w:firstLine="0"/>
              <w:rPr>
                <w:b/>
                <w:bCs/>
                <w:spacing w:val="-10"/>
                <w:sz w:val="18"/>
                <w:szCs w:val="18"/>
              </w:rPr>
            </w:pPr>
            <w:r w:rsidRPr="00A03B40">
              <w:rPr>
                <w:b/>
                <w:bCs/>
                <w:spacing w:val="-10"/>
                <w:sz w:val="18"/>
                <w:szCs w:val="18"/>
              </w:rPr>
              <w:t>Total ERRA Forecast Generation Service RR</w:t>
            </w:r>
          </w:p>
        </w:tc>
        <w:tc>
          <w:tcPr>
            <w:tcW w:w="1661" w:type="dxa"/>
            <w:tcBorders>
              <w:top w:val="single" w:color="auto" w:sz="18" w:space="0"/>
              <w:bottom w:val="single" w:color="auto" w:sz="18" w:space="0"/>
            </w:tcBorders>
            <w:vAlign w:val="center"/>
          </w:tcPr>
          <w:p w:rsidRPr="00A03B40" w:rsidR="00233057" w:rsidP="000447AA" w:rsidRDefault="00EF2698" w14:paraId="0A33CD29" w14:textId="19ADBE70">
            <w:pPr>
              <w:pStyle w:val="Standard"/>
              <w:ind w:firstLine="0"/>
              <w:jc w:val="right"/>
              <w:rPr>
                <w:b/>
                <w:bCs/>
                <w:sz w:val="18"/>
                <w:szCs w:val="18"/>
              </w:rPr>
            </w:pPr>
            <w:r w:rsidRPr="00A03B40">
              <w:rPr>
                <w:b/>
                <w:bCs/>
                <w:sz w:val="18"/>
                <w:szCs w:val="18"/>
              </w:rPr>
              <w:t>$4,552,375</w:t>
            </w:r>
          </w:p>
        </w:tc>
        <w:tc>
          <w:tcPr>
            <w:tcW w:w="1662" w:type="dxa"/>
            <w:tcBorders>
              <w:top w:val="single" w:color="auto" w:sz="18" w:space="0"/>
              <w:bottom w:val="single" w:color="auto" w:sz="18" w:space="0"/>
            </w:tcBorders>
            <w:vAlign w:val="center"/>
          </w:tcPr>
          <w:p w:rsidRPr="00A03B40" w:rsidR="00233057" w:rsidP="000447AA" w:rsidRDefault="00EF2698" w14:paraId="00526648" w14:textId="7CA1C64B">
            <w:pPr>
              <w:pStyle w:val="Standard"/>
              <w:ind w:firstLine="0"/>
              <w:jc w:val="right"/>
              <w:rPr>
                <w:b/>
                <w:bCs/>
                <w:sz w:val="18"/>
                <w:szCs w:val="18"/>
              </w:rPr>
            </w:pPr>
            <w:r w:rsidRPr="00A03B40">
              <w:rPr>
                <w:b/>
                <w:bCs/>
                <w:sz w:val="18"/>
                <w:szCs w:val="18"/>
              </w:rPr>
              <w:t>$</w:t>
            </w:r>
            <w:r w:rsidRPr="00A03B40" w:rsidR="000447AA">
              <w:rPr>
                <w:b/>
                <w:bCs/>
                <w:sz w:val="18"/>
                <w:szCs w:val="18"/>
              </w:rPr>
              <w:t>4,436,731</w:t>
            </w:r>
          </w:p>
        </w:tc>
        <w:tc>
          <w:tcPr>
            <w:tcW w:w="1662" w:type="dxa"/>
            <w:tcBorders>
              <w:top w:val="single" w:color="auto" w:sz="18" w:space="0"/>
              <w:bottom w:val="single" w:color="auto" w:sz="18" w:space="0"/>
              <w:right w:val="single" w:color="auto" w:sz="18" w:space="0"/>
            </w:tcBorders>
            <w:vAlign w:val="center"/>
          </w:tcPr>
          <w:p w:rsidRPr="00A03B40" w:rsidR="00233057" w:rsidP="000447AA" w:rsidRDefault="00383AF7" w14:paraId="742A7719" w14:textId="074A5954">
            <w:pPr>
              <w:pStyle w:val="Standard"/>
              <w:ind w:firstLine="0"/>
              <w:jc w:val="right"/>
              <w:rPr>
                <w:b/>
                <w:bCs/>
                <w:sz w:val="18"/>
                <w:szCs w:val="18"/>
              </w:rPr>
            </w:pPr>
            <w:r w:rsidRPr="00A03B40">
              <w:rPr>
                <w:b/>
                <w:bCs/>
                <w:sz w:val="18"/>
                <w:szCs w:val="18"/>
              </w:rPr>
              <w:t>$4,</w:t>
            </w:r>
            <w:r w:rsidRPr="00A03B40" w:rsidR="006B7DC9">
              <w:rPr>
                <w:b/>
                <w:bCs/>
                <w:sz w:val="18"/>
                <w:szCs w:val="18"/>
              </w:rPr>
              <w:t>632,727</w:t>
            </w:r>
          </w:p>
        </w:tc>
      </w:tr>
      <w:tr w:rsidRPr="00A03B40" w:rsidR="000447AA" w:rsidTr="000447AA" w14:paraId="3D28F4F3" w14:textId="77777777">
        <w:trPr>
          <w:jc w:val="center"/>
        </w:trPr>
        <w:tc>
          <w:tcPr>
            <w:tcW w:w="416" w:type="dxa"/>
            <w:tcBorders>
              <w:top w:val="single" w:color="auto" w:sz="18" w:space="0"/>
              <w:left w:val="single" w:color="auto" w:sz="18" w:space="0"/>
              <w:bottom w:val="single" w:color="auto" w:sz="12" w:space="0"/>
            </w:tcBorders>
          </w:tcPr>
          <w:p w:rsidRPr="00A03B40" w:rsidR="000447AA" w:rsidP="00233057" w:rsidRDefault="000447AA" w14:paraId="44D3816A" w14:textId="77777777">
            <w:pPr>
              <w:pStyle w:val="Standard"/>
              <w:ind w:firstLine="0"/>
              <w:rPr>
                <w:sz w:val="18"/>
                <w:szCs w:val="18"/>
              </w:rPr>
            </w:pPr>
            <w:r w:rsidRPr="00A03B40">
              <w:rPr>
                <w:sz w:val="18"/>
                <w:szCs w:val="18"/>
              </w:rPr>
              <w:t>10</w:t>
            </w:r>
          </w:p>
        </w:tc>
        <w:tc>
          <w:tcPr>
            <w:tcW w:w="8506" w:type="dxa"/>
            <w:gridSpan w:val="4"/>
            <w:tcBorders>
              <w:top w:val="single" w:color="auto" w:sz="18" w:space="0"/>
              <w:bottom w:val="single" w:color="auto" w:sz="12" w:space="0"/>
              <w:right w:val="single" w:color="auto" w:sz="18" w:space="0"/>
            </w:tcBorders>
            <w:vAlign w:val="center"/>
          </w:tcPr>
          <w:p w:rsidRPr="00A03B40" w:rsidR="000447AA" w:rsidP="000447AA" w:rsidRDefault="000447AA" w14:paraId="75043317" w14:textId="23196075">
            <w:pPr>
              <w:pStyle w:val="Standard"/>
              <w:ind w:firstLine="0"/>
              <w:rPr>
                <w:sz w:val="18"/>
                <w:szCs w:val="18"/>
              </w:rPr>
            </w:pPr>
            <w:r w:rsidRPr="00A03B40">
              <w:rPr>
                <w:b/>
                <w:bCs/>
                <w:i/>
                <w:iCs/>
                <w:sz w:val="18"/>
                <w:szCs w:val="18"/>
                <w:u w:val="single"/>
              </w:rPr>
              <w:t>Delivery Service RR</w:t>
            </w:r>
          </w:p>
        </w:tc>
      </w:tr>
      <w:tr w:rsidRPr="00A03B40" w:rsidR="00233057" w:rsidTr="000447AA" w14:paraId="1D998F2B" w14:textId="77777777">
        <w:trPr>
          <w:jc w:val="center"/>
        </w:trPr>
        <w:tc>
          <w:tcPr>
            <w:tcW w:w="416" w:type="dxa"/>
            <w:tcBorders>
              <w:top w:val="single" w:color="auto" w:sz="12" w:space="0"/>
              <w:left w:val="single" w:color="auto" w:sz="18" w:space="0"/>
            </w:tcBorders>
          </w:tcPr>
          <w:p w:rsidRPr="00A03B40" w:rsidR="00233057" w:rsidP="00233057" w:rsidRDefault="00233057" w14:paraId="6749EC9C" w14:textId="77777777">
            <w:pPr>
              <w:pStyle w:val="Standard"/>
              <w:ind w:firstLine="0"/>
              <w:rPr>
                <w:sz w:val="18"/>
                <w:szCs w:val="18"/>
              </w:rPr>
            </w:pPr>
            <w:r w:rsidRPr="00A03B40">
              <w:rPr>
                <w:sz w:val="18"/>
                <w:szCs w:val="18"/>
              </w:rPr>
              <w:t>11</w:t>
            </w:r>
          </w:p>
        </w:tc>
        <w:tc>
          <w:tcPr>
            <w:tcW w:w="3521" w:type="dxa"/>
            <w:tcBorders>
              <w:top w:val="single" w:color="auto" w:sz="12" w:space="0"/>
            </w:tcBorders>
          </w:tcPr>
          <w:p w:rsidRPr="00A03B40" w:rsidR="00233057" w:rsidP="00233057" w:rsidRDefault="00233057" w14:paraId="1A0710D0" w14:textId="6CF1EEA1">
            <w:pPr>
              <w:pStyle w:val="Standard"/>
              <w:ind w:firstLine="0"/>
              <w:rPr>
                <w:spacing w:val="-5"/>
                <w:sz w:val="18"/>
                <w:szCs w:val="18"/>
              </w:rPr>
            </w:pPr>
            <w:r w:rsidRPr="00A03B40">
              <w:rPr>
                <w:spacing w:val="-5"/>
                <w:sz w:val="18"/>
                <w:szCs w:val="18"/>
              </w:rPr>
              <w:t xml:space="preserve">New System Generation Rate </w:t>
            </w:r>
            <w:proofErr w:type="gramStart"/>
            <w:r w:rsidRPr="00A03B40">
              <w:rPr>
                <w:spacing w:val="-5"/>
                <w:sz w:val="18"/>
                <w:szCs w:val="18"/>
              </w:rPr>
              <w:t>Component:*</w:t>
            </w:r>
            <w:proofErr w:type="gramEnd"/>
          </w:p>
        </w:tc>
        <w:tc>
          <w:tcPr>
            <w:tcW w:w="1661" w:type="dxa"/>
            <w:tcBorders>
              <w:top w:val="single" w:color="auto" w:sz="12" w:space="0"/>
            </w:tcBorders>
            <w:vAlign w:val="center"/>
          </w:tcPr>
          <w:p w:rsidRPr="00A03B40" w:rsidR="00233057" w:rsidP="000447AA" w:rsidRDefault="00233057" w14:paraId="1C1CC3DF" w14:textId="6AC9C96E">
            <w:pPr>
              <w:pStyle w:val="Standard"/>
              <w:ind w:firstLine="0"/>
              <w:jc w:val="right"/>
              <w:rPr>
                <w:sz w:val="18"/>
                <w:szCs w:val="18"/>
              </w:rPr>
            </w:pPr>
          </w:p>
        </w:tc>
        <w:tc>
          <w:tcPr>
            <w:tcW w:w="1662" w:type="dxa"/>
            <w:tcBorders>
              <w:top w:val="single" w:color="auto" w:sz="12" w:space="0"/>
            </w:tcBorders>
            <w:vAlign w:val="center"/>
          </w:tcPr>
          <w:p w:rsidRPr="00A03B40" w:rsidR="00233057" w:rsidP="000447AA" w:rsidRDefault="00233057" w14:paraId="1693005B" w14:textId="77777777">
            <w:pPr>
              <w:pStyle w:val="Standard"/>
              <w:ind w:firstLine="0"/>
              <w:jc w:val="right"/>
              <w:rPr>
                <w:sz w:val="18"/>
                <w:szCs w:val="18"/>
              </w:rPr>
            </w:pPr>
          </w:p>
        </w:tc>
        <w:tc>
          <w:tcPr>
            <w:tcW w:w="1662" w:type="dxa"/>
            <w:tcBorders>
              <w:top w:val="single" w:color="auto" w:sz="12" w:space="0"/>
              <w:right w:val="single" w:color="auto" w:sz="18" w:space="0"/>
            </w:tcBorders>
            <w:vAlign w:val="center"/>
          </w:tcPr>
          <w:p w:rsidRPr="00A03B40" w:rsidR="00233057" w:rsidP="000447AA" w:rsidRDefault="00233057" w14:paraId="20815B55" w14:textId="517F528F">
            <w:pPr>
              <w:pStyle w:val="Standard"/>
              <w:ind w:firstLine="0"/>
              <w:jc w:val="right"/>
              <w:rPr>
                <w:sz w:val="18"/>
                <w:szCs w:val="18"/>
              </w:rPr>
            </w:pPr>
          </w:p>
        </w:tc>
      </w:tr>
      <w:tr w:rsidRPr="00A03B40" w:rsidR="00EF2698" w:rsidTr="000447AA" w14:paraId="67ABC8B8" w14:textId="77777777">
        <w:trPr>
          <w:jc w:val="center"/>
        </w:trPr>
        <w:tc>
          <w:tcPr>
            <w:tcW w:w="416" w:type="dxa"/>
            <w:tcBorders>
              <w:left w:val="single" w:color="auto" w:sz="18" w:space="0"/>
            </w:tcBorders>
          </w:tcPr>
          <w:p w:rsidRPr="00A03B40" w:rsidR="00EF2698" w:rsidP="00EF2698" w:rsidRDefault="00EF2698" w14:paraId="27161C72" w14:textId="77777777">
            <w:pPr>
              <w:pStyle w:val="Standard"/>
              <w:ind w:firstLine="0"/>
              <w:rPr>
                <w:sz w:val="18"/>
                <w:szCs w:val="18"/>
              </w:rPr>
            </w:pPr>
            <w:r w:rsidRPr="00A03B40">
              <w:rPr>
                <w:sz w:val="18"/>
                <w:szCs w:val="18"/>
              </w:rPr>
              <w:t>12</w:t>
            </w:r>
          </w:p>
        </w:tc>
        <w:tc>
          <w:tcPr>
            <w:tcW w:w="3521" w:type="dxa"/>
          </w:tcPr>
          <w:p w:rsidRPr="00A03B40" w:rsidR="00EF2698" w:rsidP="00EF2698" w:rsidRDefault="00EF2698" w14:paraId="164E0141" w14:textId="401E7EC4">
            <w:pPr>
              <w:pStyle w:val="Standard"/>
              <w:ind w:left="720" w:firstLine="0"/>
              <w:rPr>
                <w:sz w:val="18"/>
                <w:szCs w:val="18"/>
              </w:rPr>
            </w:pPr>
            <w:r w:rsidRPr="00A03B40">
              <w:rPr>
                <w:sz w:val="18"/>
                <w:szCs w:val="18"/>
              </w:rPr>
              <w:t>2026 NSG F&amp;PP</w:t>
            </w:r>
          </w:p>
        </w:tc>
        <w:tc>
          <w:tcPr>
            <w:tcW w:w="1661" w:type="dxa"/>
            <w:vAlign w:val="center"/>
          </w:tcPr>
          <w:p w:rsidRPr="00A03B40" w:rsidR="00EF2698" w:rsidP="000447AA" w:rsidRDefault="00EF2698" w14:paraId="4992EB29" w14:textId="4FB445DE">
            <w:pPr>
              <w:pStyle w:val="Standard"/>
              <w:ind w:firstLine="0"/>
              <w:jc w:val="right"/>
              <w:rPr>
                <w:sz w:val="18"/>
                <w:szCs w:val="18"/>
              </w:rPr>
            </w:pPr>
            <w:r w:rsidRPr="00A03B40">
              <w:rPr>
                <w:sz w:val="18"/>
                <w:szCs w:val="18"/>
              </w:rPr>
              <w:t>$457,467</w:t>
            </w:r>
          </w:p>
        </w:tc>
        <w:tc>
          <w:tcPr>
            <w:tcW w:w="1662" w:type="dxa"/>
            <w:vAlign w:val="center"/>
          </w:tcPr>
          <w:p w:rsidRPr="00A03B40" w:rsidR="00EF2698" w:rsidP="000447AA" w:rsidRDefault="00EF2698" w14:paraId="245467DA" w14:textId="456BDFF6">
            <w:pPr>
              <w:pStyle w:val="Standard"/>
              <w:ind w:firstLine="0"/>
              <w:jc w:val="right"/>
              <w:rPr>
                <w:sz w:val="18"/>
                <w:szCs w:val="18"/>
              </w:rPr>
            </w:pPr>
            <w:r w:rsidRPr="00A03B40">
              <w:rPr>
                <w:sz w:val="18"/>
                <w:szCs w:val="18"/>
              </w:rPr>
              <w:t>$</w:t>
            </w:r>
            <w:r w:rsidRPr="00A03B40" w:rsidR="000447AA">
              <w:rPr>
                <w:sz w:val="18"/>
                <w:szCs w:val="18"/>
              </w:rPr>
              <w:t>473,358</w:t>
            </w:r>
          </w:p>
        </w:tc>
        <w:tc>
          <w:tcPr>
            <w:tcW w:w="1662" w:type="dxa"/>
            <w:tcBorders>
              <w:right w:val="single" w:color="auto" w:sz="18" w:space="0"/>
            </w:tcBorders>
            <w:vAlign w:val="center"/>
          </w:tcPr>
          <w:p w:rsidRPr="00A03B40" w:rsidR="00EF2698" w:rsidP="000447AA" w:rsidRDefault="00EF2698" w14:paraId="5520D582" w14:textId="4D2297DE">
            <w:pPr>
              <w:pStyle w:val="Standard"/>
              <w:ind w:firstLine="0"/>
              <w:jc w:val="right"/>
              <w:rPr>
                <w:sz w:val="18"/>
                <w:szCs w:val="18"/>
              </w:rPr>
            </w:pPr>
            <w:r w:rsidRPr="00A03B40">
              <w:rPr>
                <w:sz w:val="18"/>
                <w:szCs w:val="18"/>
              </w:rPr>
              <w:t>$473,0</w:t>
            </w:r>
            <w:r w:rsidRPr="00A03B40" w:rsidR="006B7DC9">
              <w:rPr>
                <w:sz w:val="18"/>
                <w:szCs w:val="18"/>
              </w:rPr>
              <w:t>47</w:t>
            </w:r>
          </w:p>
        </w:tc>
      </w:tr>
      <w:tr w:rsidRPr="00A03B40" w:rsidR="00EF2698" w:rsidTr="000447AA" w14:paraId="17CFF042" w14:textId="77777777">
        <w:trPr>
          <w:jc w:val="center"/>
        </w:trPr>
        <w:tc>
          <w:tcPr>
            <w:tcW w:w="416" w:type="dxa"/>
            <w:tcBorders>
              <w:left w:val="single" w:color="auto" w:sz="18" w:space="0"/>
              <w:bottom w:val="single" w:color="auto" w:sz="12" w:space="0"/>
            </w:tcBorders>
          </w:tcPr>
          <w:p w:rsidRPr="00A03B40" w:rsidR="00EF2698" w:rsidP="00EF2698" w:rsidRDefault="00EF2698" w14:paraId="44403BA5" w14:textId="77777777">
            <w:pPr>
              <w:pStyle w:val="Standard"/>
              <w:ind w:firstLine="0"/>
              <w:rPr>
                <w:sz w:val="18"/>
                <w:szCs w:val="18"/>
              </w:rPr>
            </w:pPr>
            <w:r w:rsidRPr="00A03B40">
              <w:rPr>
                <w:sz w:val="18"/>
                <w:szCs w:val="18"/>
              </w:rPr>
              <w:t>13</w:t>
            </w:r>
          </w:p>
        </w:tc>
        <w:tc>
          <w:tcPr>
            <w:tcW w:w="3521" w:type="dxa"/>
            <w:tcBorders>
              <w:bottom w:val="single" w:color="auto" w:sz="12" w:space="0"/>
            </w:tcBorders>
          </w:tcPr>
          <w:p w:rsidRPr="00A03B40" w:rsidR="00EF2698" w:rsidP="00EF2698" w:rsidRDefault="00EF2698" w14:paraId="6F3D0BFE" w14:textId="77777777">
            <w:pPr>
              <w:pStyle w:val="Standard"/>
              <w:ind w:left="720" w:firstLine="0"/>
              <w:rPr>
                <w:sz w:val="18"/>
                <w:szCs w:val="18"/>
              </w:rPr>
            </w:pPr>
            <w:r w:rsidRPr="00A03B40">
              <w:rPr>
                <w:sz w:val="18"/>
                <w:szCs w:val="18"/>
              </w:rPr>
              <w:t>2025 YE NSGBA Balance</w:t>
            </w:r>
          </w:p>
        </w:tc>
        <w:tc>
          <w:tcPr>
            <w:tcW w:w="1661" w:type="dxa"/>
            <w:tcBorders>
              <w:bottom w:val="single" w:color="auto" w:sz="12" w:space="0"/>
            </w:tcBorders>
            <w:vAlign w:val="center"/>
          </w:tcPr>
          <w:p w:rsidRPr="00A03B40" w:rsidR="00EF2698" w:rsidP="000447AA" w:rsidRDefault="00EF2698" w14:paraId="1402146D" w14:textId="51E94118">
            <w:pPr>
              <w:pStyle w:val="Standard"/>
              <w:ind w:firstLine="0"/>
              <w:jc w:val="right"/>
              <w:rPr>
                <w:sz w:val="18"/>
                <w:szCs w:val="18"/>
              </w:rPr>
            </w:pPr>
            <w:r w:rsidRPr="00A03B40">
              <w:rPr>
                <w:sz w:val="18"/>
                <w:szCs w:val="18"/>
              </w:rPr>
              <w:t>$78,024</w:t>
            </w:r>
          </w:p>
        </w:tc>
        <w:tc>
          <w:tcPr>
            <w:tcW w:w="1662" w:type="dxa"/>
            <w:tcBorders>
              <w:bottom w:val="single" w:color="auto" w:sz="12" w:space="0"/>
            </w:tcBorders>
            <w:vAlign w:val="center"/>
          </w:tcPr>
          <w:p w:rsidRPr="00A03B40" w:rsidR="00EF2698" w:rsidP="000447AA" w:rsidRDefault="000447AA" w14:paraId="2ED64488" w14:textId="6D51F977">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20,859)</w:t>
            </w:r>
          </w:p>
        </w:tc>
        <w:tc>
          <w:tcPr>
            <w:tcW w:w="1662" w:type="dxa"/>
            <w:tcBorders>
              <w:bottom w:val="single" w:color="auto" w:sz="12" w:space="0"/>
              <w:right w:val="single" w:color="auto" w:sz="18" w:space="0"/>
            </w:tcBorders>
            <w:vAlign w:val="center"/>
          </w:tcPr>
          <w:p w:rsidRPr="00A03B40" w:rsidR="00EF2698" w:rsidP="000447AA" w:rsidRDefault="00EF2698" w14:paraId="6D0FF251" w14:textId="418BCA81">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w:t>
            </w:r>
            <w:r w:rsidRPr="00A03B40" w:rsidR="006B7DC9">
              <w:rPr>
                <w:sz w:val="18"/>
                <w:szCs w:val="18"/>
              </w:rPr>
              <w:t>4</w:t>
            </w:r>
            <w:r w:rsidRPr="00A03B40">
              <w:rPr>
                <w:sz w:val="18"/>
                <w:szCs w:val="18"/>
              </w:rPr>
              <w:t>,71</w:t>
            </w:r>
            <w:r w:rsidRPr="00A03B40" w:rsidR="006B7DC9">
              <w:rPr>
                <w:sz w:val="18"/>
                <w:szCs w:val="18"/>
              </w:rPr>
              <w:t>8</w:t>
            </w:r>
            <w:r w:rsidRPr="00A03B40">
              <w:rPr>
                <w:sz w:val="18"/>
                <w:szCs w:val="18"/>
              </w:rPr>
              <w:t>)</w:t>
            </w:r>
          </w:p>
        </w:tc>
      </w:tr>
      <w:tr w:rsidRPr="00A03B40" w:rsidR="000447AA" w:rsidTr="000447AA" w14:paraId="0603DD64" w14:textId="77777777">
        <w:trPr>
          <w:jc w:val="center"/>
        </w:trPr>
        <w:tc>
          <w:tcPr>
            <w:tcW w:w="416" w:type="dxa"/>
            <w:tcBorders>
              <w:top w:val="single" w:color="auto" w:sz="12" w:space="0"/>
              <w:left w:val="single" w:color="auto" w:sz="18" w:space="0"/>
            </w:tcBorders>
          </w:tcPr>
          <w:p w:rsidRPr="00A03B40" w:rsidR="000447AA" w:rsidP="00EF2698" w:rsidRDefault="000447AA" w14:paraId="2881BD20" w14:textId="399EA767">
            <w:pPr>
              <w:pStyle w:val="Standard"/>
              <w:ind w:firstLine="0"/>
              <w:rPr>
                <w:sz w:val="18"/>
                <w:szCs w:val="18"/>
              </w:rPr>
            </w:pPr>
            <w:r w:rsidRPr="00A03B40">
              <w:rPr>
                <w:sz w:val="18"/>
                <w:szCs w:val="18"/>
              </w:rPr>
              <w:t>14</w:t>
            </w:r>
          </w:p>
        </w:tc>
        <w:tc>
          <w:tcPr>
            <w:tcW w:w="8506" w:type="dxa"/>
            <w:gridSpan w:val="4"/>
            <w:tcBorders>
              <w:top w:val="single" w:color="auto" w:sz="12" w:space="0"/>
              <w:right w:val="single" w:color="auto" w:sz="18" w:space="0"/>
            </w:tcBorders>
            <w:vAlign w:val="center"/>
          </w:tcPr>
          <w:p w:rsidRPr="00A03B40" w:rsidR="000447AA" w:rsidP="000447AA" w:rsidRDefault="000447AA" w14:paraId="324E6EF8" w14:textId="2DD73BFF">
            <w:pPr>
              <w:pStyle w:val="Standard"/>
              <w:ind w:firstLine="0"/>
              <w:rPr>
                <w:sz w:val="18"/>
                <w:szCs w:val="18"/>
              </w:rPr>
            </w:pPr>
            <w:r w:rsidRPr="00A03B40">
              <w:rPr>
                <w:sz w:val="18"/>
                <w:szCs w:val="18"/>
              </w:rPr>
              <w:t>MCAM Rate Component:</w:t>
            </w:r>
          </w:p>
        </w:tc>
      </w:tr>
      <w:tr w:rsidRPr="00A03B40" w:rsidR="00EF2698" w:rsidTr="000447AA" w14:paraId="1C91A5BD" w14:textId="77777777">
        <w:trPr>
          <w:jc w:val="center"/>
        </w:trPr>
        <w:tc>
          <w:tcPr>
            <w:tcW w:w="416" w:type="dxa"/>
            <w:tcBorders>
              <w:left w:val="single" w:color="auto" w:sz="18" w:space="0"/>
            </w:tcBorders>
          </w:tcPr>
          <w:p w:rsidRPr="00A03B40" w:rsidR="00EF2698" w:rsidP="00EF2698" w:rsidRDefault="00EF2698" w14:paraId="5D50E8C5" w14:textId="1B3E059F">
            <w:pPr>
              <w:pStyle w:val="Standard"/>
              <w:ind w:firstLine="0"/>
              <w:rPr>
                <w:sz w:val="18"/>
                <w:szCs w:val="18"/>
              </w:rPr>
            </w:pPr>
            <w:r w:rsidRPr="00A03B40">
              <w:rPr>
                <w:sz w:val="18"/>
                <w:szCs w:val="18"/>
              </w:rPr>
              <w:t>15</w:t>
            </w:r>
          </w:p>
        </w:tc>
        <w:tc>
          <w:tcPr>
            <w:tcW w:w="3521" w:type="dxa"/>
          </w:tcPr>
          <w:p w:rsidRPr="00A03B40" w:rsidR="00EF2698" w:rsidP="00EF2698" w:rsidRDefault="00EF2698" w14:paraId="03FEA430" w14:textId="77777777">
            <w:pPr>
              <w:pStyle w:val="Standard"/>
              <w:ind w:left="720" w:firstLine="0"/>
              <w:rPr>
                <w:sz w:val="18"/>
                <w:szCs w:val="18"/>
              </w:rPr>
            </w:pPr>
            <w:r w:rsidRPr="00A03B40">
              <w:rPr>
                <w:sz w:val="18"/>
                <w:szCs w:val="18"/>
              </w:rPr>
              <w:t>2026 MCAM F&amp;PP</w:t>
            </w:r>
          </w:p>
        </w:tc>
        <w:tc>
          <w:tcPr>
            <w:tcW w:w="1661" w:type="dxa"/>
            <w:vAlign w:val="center"/>
          </w:tcPr>
          <w:p w:rsidRPr="00A03B40" w:rsidR="00EF2698" w:rsidP="000447AA" w:rsidRDefault="00EF2698" w14:paraId="5AED7803" w14:textId="6190CEAA">
            <w:pPr>
              <w:pStyle w:val="Standard"/>
              <w:ind w:firstLine="0"/>
              <w:jc w:val="right"/>
              <w:rPr>
                <w:sz w:val="18"/>
                <w:szCs w:val="18"/>
              </w:rPr>
            </w:pPr>
            <w:r w:rsidRPr="00A03B40">
              <w:rPr>
                <w:sz w:val="18"/>
                <w:szCs w:val="18"/>
              </w:rPr>
              <w:t>$1,558</w:t>
            </w:r>
          </w:p>
        </w:tc>
        <w:tc>
          <w:tcPr>
            <w:tcW w:w="1662" w:type="dxa"/>
            <w:vAlign w:val="center"/>
          </w:tcPr>
          <w:p w:rsidRPr="00A03B40" w:rsidR="00EF2698" w:rsidP="000447AA" w:rsidRDefault="00EF2698" w14:paraId="6321FC3B" w14:textId="0349D0D2">
            <w:pPr>
              <w:pStyle w:val="Standard"/>
              <w:ind w:firstLine="0"/>
              <w:jc w:val="right"/>
              <w:rPr>
                <w:sz w:val="18"/>
                <w:szCs w:val="18"/>
              </w:rPr>
            </w:pPr>
            <w:r w:rsidRPr="00A03B40">
              <w:rPr>
                <w:sz w:val="18"/>
                <w:szCs w:val="18"/>
              </w:rPr>
              <w:t>$</w:t>
            </w:r>
            <w:r w:rsidRPr="00A03B40" w:rsidR="000447AA">
              <w:rPr>
                <w:sz w:val="18"/>
                <w:szCs w:val="18"/>
              </w:rPr>
              <w:t>1,322</w:t>
            </w:r>
          </w:p>
        </w:tc>
        <w:tc>
          <w:tcPr>
            <w:tcW w:w="1662" w:type="dxa"/>
            <w:tcBorders>
              <w:right w:val="single" w:color="auto" w:sz="18" w:space="0"/>
            </w:tcBorders>
            <w:vAlign w:val="center"/>
          </w:tcPr>
          <w:p w:rsidRPr="00A03B40" w:rsidR="00EF2698" w:rsidP="000447AA" w:rsidRDefault="00EF2698" w14:paraId="29D647EA" w14:textId="34055D1B">
            <w:pPr>
              <w:pStyle w:val="Standard"/>
              <w:ind w:firstLine="0"/>
              <w:jc w:val="right"/>
              <w:rPr>
                <w:sz w:val="18"/>
                <w:szCs w:val="18"/>
              </w:rPr>
            </w:pPr>
            <w:r w:rsidRPr="00A03B40">
              <w:rPr>
                <w:sz w:val="18"/>
                <w:szCs w:val="18"/>
              </w:rPr>
              <w:t>$3,682</w:t>
            </w:r>
          </w:p>
        </w:tc>
      </w:tr>
      <w:tr w:rsidRPr="00A03B40" w:rsidR="00EF2698" w:rsidTr="000447AA" w14:paraId="611DB93B" w14:textId="77777777">
        <w:trPr>
          <w:jc w:val="center"/>
        </w:trPr>
        <w:tc>
          <w:tcPr>
            <w:tcW w:w="416" w:type="dxa"/>
            <w:tcBorders>
              <w:left w:val="single" w:color="auto" w:sz="18" w:space="0"/>
              <w:bottom w:val="single" w:color="auto" w:sz="12" w:space="0"/>
            </w:tcBorders>
          </w:tcPr>
          <w:p w:rsidRPr="00A03B40" w:rsidR="00EF2698" w:rsidP="00EF2698" w:rsidRDefault="00EF2698" w14:paraId="1A901350" w14:textId="4EB90BF3">
            <w:pPr>
              <w:pStyle w:val="Standard"/>
              <w:ind w:firstLine="0"/>
              <w:rPr>
                <w:sz w:val="18"/>
                <w:szCs w:val="18"/>
              </w:rPr>
            </w:pPr>
            <w:r w:rsidRPr="00A03B40">
              <w:rPr>
                <w:sz w:val="18"/>
                <w:szCs w:val="18"/>
              </w:rPr>
              <w:t>16</w:t>
            </w:r>
          </w:p>
        </w:tc>
        <w:tc>
          <w:tcPr>
            <w:tcW w:w="3521" w:type="dxa"/>
            <w:tcBorders>
              <w:bottom w:val="single" w:color="auto" w:sz="12" w:space="0"/>
            </w:tcBorders>
          </w:tcPr>
          <w:p w:rsidRPr="00A03B40" w:rsidR="00EF2698" w:rsidP="00EF2698" w:rsidRDefault="00EF2698" w14:paraId="24419AC3" w14:textId="77777777">
            <w:pPr>
              <w:pStyle w:val="Standard"/>
              <w:ind w:left="720" w:firstLine="0"/>
              <w:rPr>
                <w:sz w:val="18"/>
                <w:szCs w:val="18"/>
              </w:rPr>
            </w:pPr>
            <w:r w:rsidRPr="00A03B40">
              <w:rPr>
                <w:sz w:val="18"/>
                <w:szCs w:val="18"/>
              </w:rPr>
              <w:t>2025 YE MCAMBA Balance</w:t>
            </w:r>
          </w:p>
        </w:tc>
        <w:tc>
          <w:tcPr>
            <w:tcW w:w="1661" w:type="dxa"/>
            <w:tcBorders>
              <w:bottom w:val="single" w:color="auto" w:sz="12" w:space="0"/>
            </w:tcBorders>
            <w:vAlign w:val="center"/>
          </w:tcPr>
          <w:p w:rsidRPr="00A03B40" w:rsidR="00EF2698" w:rsidP="000447AA" w:rsidRDefault="00EF2698" w14:paraId="03DAF53F" w14:textId="0BB7469E">
            <w:pPr>
              <w:pStyle w:val="Standard"/>
              <w:ind w:firstLine="0"/>
              <w:jc w:val="right"/>
              <w:rPr>
                <w:sz w:val="18"/>
                <w:szCs w:val="18"/>
              </w:rPr>
            </w:pPr>
            <w:r w:rsidRPr="00A03B40">
              <w:rPr>
                <w:sz w:val="18"/>
                <w:szCs w:val="18"/>
              </w:rPr>
              <w:t>$3,151</w:t>
            </w:r>
          </w:p>
        </w:tc>
        <w:tc>
          <w:tcPr>
            <w:tcW w:w="1662" w:type="dxa"/>
            <w:tcBorders>
              <w:bottom w:val="single" w:color="auto" w:sz="12" w:space="0"/>
            </w:tcBorders>
            <w:vAlign w:val="center"/>
          </w:tcPr>
          <w:p w:rsidRPr="00A03B40" w:rsidR="00EF2698" w:rsidP="000447AA" w:rsidRDefault="00EF2698" w14:paraId="01FF3387" w14:textId="3AD7557C">
            <w:pPr>
              <w:pStyle w:val="Standard"/>
              <w:ind w:firstLine="0"/>
              <w:jc w:val="right"/>
              <w:rPr>
                <w:sz w:val="18"/>
                <w:szCs w:val="18"/>
              </w:rPr>
            </w:pPr>
            <w:r w:rsidRPr="00A03B40">
              <w:rPr>
                <w:sz w:val="18"/>
                <w:szCs w:val="18"/>
              </w:rPr>
              <w:t>$</w:t>
            </w:r>
            <w:r w:rsidRPr="00A03B40" w:rsidR="000447AA">
              <w:rPr>
                <w:sz w:val="18"/>
                <w:szCs w:val="18"/>
              </w:rPr>
              <w:t>1,602</w:t>
            </w:r>
          </w:p>
        </w:tc>
        <w:tc>
          <w:tcPr>
            <w:tcW w:w="1662" w:type="dxa"/>
            <w:tcBorders>
              <w:bottom w:val="single" w:color="auto" w:sz="12" w:space="0"/>
              <w:right w:val="single" w:color="auto" w:sz="18" w:space="0"/>
            </w:tcBorders>
            <w:vAlign w:val="center"/>
          </w:tcPr>
          <w:p w:rsidRPr="00A03B40" w:rsidR="00EF2698" w:rsidP="000447AA" w:rsidRDefault="00EF2698" w14:paraId="36687A04" w14:textId="57F11647">
            <w:pPr>
              <w:pStyle w:val="Standard"/>
              <w:ind w:firstLine="0"/>
              <w:jc w:val="right"/>
              <w:rPr>
                <w:sz w:val="18"/>
                <w:szCs w:val="18"/>
              </w:rPr>
            </w:pPr>
            <w:r w:rsidRPr="00A03B40">
              <w:rPr>
                <w:sz w:val="18"/>
                <w:szCs w:val="18"/>
              </w:rPr>
              <w:t>$2,522</w:t>
            </w:r>
          </w:p>
        </w:tc>
      </w:tr>
      <w:tr w:rsidRPr="00A03B40" w:rsidR="000447AA" w:rsidTr="000447AA" w14:paraId="0BBC5DA2" w14:textId="77777777">
        <w:trPr>
          <w:jc w:val="center"/>
        </w:trPr>
        <w:tc>
          <w:tcPr>
            <w:tcW w:w="416" w:type="dxa"/>
            <w:tcBorders>
              <w:top w:val="single" w:color="auto" w:sz="12" w:space="0"/>
              <w:left w:val="single" w:color="auto" w:sz="18" w:space="0"/>
            </w:tcBorders>
          </w:tcPr>
          <w:p w:rsidRPr="00A03B40" w:rsidR="000447AA" w:rsidP="00EF2698" w:rsidRDefault="000447AA" w14:paraId="0ECA305C" w14:textId="6C91B1EA">
            <w:pPr>
              <w:pStyle w:val="Standard"/>
              <w:ind w:firstLine="0"/>
              <w:rPr>
                <w:sz w:val="18"/>
                <w:szCs w:val="18"/>
              </w:rPr>
            </w:pPr>
            <w:r w:rsidRPr="00A03B40">
              <w:rPr>
                <w:sz w:val="18"/>
                <w:szCs w:val="18"/>
              </w:rPr>
              <w:t>17</w:t>
            </w:r>
          </w:p>
        </w:tc>
        <w:tc>
          <w:tcPr>
            <w:tcW w:w="8506" w:type="dxa"/>
            <w:gridSpan w:val="4"/>
            <w:tcBorders>
              <w:top w:val="single" w:color="auto" w:sz="12" w:space="0"/>
              <w:right w:val="single" w:color="auto" w:sz="18" w:space="0"/>
            </w:tcBorders>
            <w:vAlign w:val="center"/>
          </w:tcPr>
          <w:p w:rsidRPr="00A03B40" w:rsidR="000447AA" w:rsidP="000447AA" w:rsidRDefault="000447AA" w14:paraId="0D799100" w14:textId="49CEE1F6">
            <w:pPr>
              <w:pStyle w:val="Standard"/>
              <w:ind w:firstLine="0"/>
              <w:rPr>
                <w:sz w:val="18"/>
                <w:szCs w:val="18"/>
              </w:rPr>
            </w:pPr>
            <w:r w:rsidRPr="00A03B40">
              <w:rPr>
                <w:spacing w:val="-10"/>
                <w:sz w:val="18"/>
                <w:szCs w:val="18"/>
              </w:rPr>
              <w:t>Nuclear Decommissioning Rate Component:</w:t>
            </w:r>
          </w:p>
        </w:tc>
      </w:tr>
      <w:tr w:rsidRPr="00A03B40" w:rsidR="00EF2698" w:rsidTr="000447AA" w14:paraId="71EBEE29" w14:textId="77777777">
        <w:trPr>
          <w:jc w:val="center"/>
        </w:trPr>
        <w:tc>
          <w:tcPr>
            <w:tcW w:w="416" w:type="dxa"/>
            <w:tcBorders>
              <w:left w:val="single" w:color="auto" w:sz="18" w:space="0"/>
              <w:bottom w:val="single" w:color="auto" w:sz="12" w:space="0"/>
            </w:tcBorders>
          </w:tcPr>
          <w:p w:rsidRPr="00A03B40" w:rsidR="00EF2698" w:rsidP="00EF2698" w:rsidRDefault="00EF2698" w14:paraId="5460BEE8" w14:textId="30B5A128">
            <w:pPr>
              <w:pStyle w:val="Standard"/>
              <w:ind w:firstLine="0"/>
              <w:rPr>
                <w:sz w:val="18"/>
                <w:szCs w:val="18"/>
              </w:rPr>
            </w:pPr>
            <w:r w:rsidRPr="00A03B40">
              <w:rPr>
                <w:sz w:val="18"/>
                <w:szCs w:val="18"/>
              </w:rPr>
              <w:t>18</w:t>
            </w:r>
          </w:p>
        </w:tc>
        <w:tc>
          <w:tcPr>
            <w:tcW w:w="3521" w:type="dxa"/>
            <w:tcBorders>
              <w:bottom w:val="single" w:color="auto" w:sz="12" w:space="0"/>
            </w:tcBorders>
          </w:tcPr>
          <w:p w:rsidRPr="00A03B40" w:rsidR="00EF2698" w:rsidP="00EF2698" w:rsidRDefault="00EF2698" w14:paraId="1E88A6D2" w14:textId="77777777">
            <w:pPr>
              <w:pStyle w:val="Standard"/>
              <w:ind w:left="720" w:firstLine="0"/>
              <w:rPr>
                <w:sz w:val="18"/>
                <w:szCs w:val="18"/>
              </w:rPr>
            </w:pPr>
            <w:r w:rsidRPr="00A03B40">
              <w:rPr>
                <w:sz w:val="18"/>
                <w:szCs w:val="18"/>
              </w:rPr>
              <w:t>2026 Spent Nuclear Fuel</w:t>
            </w:r>
          </w:p>
        </w:tc>
        <w:tc>
          <w:tcPr>
            <w:tcW w:w="1661" w:type="dxa"/>
            <w:tcBorders>
              <w:bottom w:val="single" w:color="auto" w:sz="12" w:space="0"/>
            </w:tcBorders>
            <w:vAlign w:val="center"/>
          </w:tcPr>
          <w:p w:rsidRPr="00A03B40" w:rsidR="00EF2698" w:rsidP="000447AA" w:rsidRDefault="00EF2698" w14:paraId="7B748646" w14:textId="662B9FBF">
            <w:pPr>
              <w:pStyle w:val="Standard"/>
              <w:ind w:firstLine="0"/>
              <w:jc w:val="right"/>
              <w:rPr>
                <w:sz w:val="18"/>
                <w:szCs w:val="18"/>
              </w:rPr>
            </w:pPr>
            <w:r w:rsidRPr="00A03B40">
              <w:rPr>
                <w:sz w:val="18"/>
                <w:szCs w:val="18"/>
              </w:rPr>
              <w:t>$5,157</w:t>
            </w:r>
          </w:p>
        </w:tc>
        <w:tc>
          <w:tcPr>
            <w:tcW w:w="1662" w:type="dxa"/>
            <w:tcBorders>
              <w:bottom w:val="single" w:color="auto" w:sz="12" w:space="0"/>
            </w:tcBorders>
            <w:vAlign w:val="center"/>
          </w:tcPr>
          <w:p w:rsidRPr="00A03B40" w:rsidR="00EF2698" w:rsidP="000447AA" w:rsidRDefault="00EF2698" w14:paraId="40503047" w14:textId="71F744F2">
            <w:pPr>
              <w:pStyle w:val="Standard"/>
              <w:ind w:firstLine="0"/>
              <w:jc w:val="right"/>
              <w:rPr>
                <w:sz w:val="18"/>
                <w:szCs w:val="18"/>
              </w:rPr>
            </w:pPr>
            <w:r w:rsidRPr="00A03B40">
              <w:rPr>
                <w:sz w:val="18"/>
                <w:szCs w:val="18"/>
              </w:rPr>
              <w:t>$</w:t>
            </w:r>
            <w:r w:rsidRPr="00A03B40" w:rsidR="000447AA">
              <w:rPr>
                <w:sz w:val="18"/>
                <w:szCs w:val="18"/>
              </w:rPr>
              <w:t>7</w:t>
            </w:r>
          </w:p>
        </w:tc>
        <w:tc>
          <w:tcPr>
            <w:tcW w:w="1662" w:type="dxa"/>
            <w:tcBorders>
              <w:bottom w:val="single" w:color="auto" w:sz="12" w:space="0"/>
              <w:right w:val="single" w:color="auto" w:sz="18" w:space="0"/>
            </w:tcBorders>
            <w:vAlign w:val="center"/>
          </w:tcPr>
          <w:p w:rsidRPr="00A03B40" w:rsidR="00EF2698" w:rsidP="000447AA" w:rsidRDefault="00EF2698" w14:paraId="5F58EF94" w14:textId="4BA2A781">
            <w:pPr>
              <w:pStyle w:val="Standard"/>
              <w:ind w:firstLine="0"/>
              <w:jc w:val="right"/>
              <w:rPr>
                <w:sz w:val="18"/>
                <w:szCs w:val="18"/>
              </w:rPr>
            </w:pPr>
            <w:r w:rsidRPr="00A03B40">
              <w:rPr>
                <w:sz w:val="18"/>
                <w:szCs w:val="18"/>
              </w:rPr>
              <w:t>$5,332</w:t>
            </w:r>
          </w:p>
        </w:tc>
      </w:tr>
      <w:tr w:rsidRPr="00A03B40" w:rsidR="000447AA" w:rsidTr="000447AA" w14:paraId="18327CFD" w14:textId="77777777">
        <w:trPr>
          <w:jc w:val="center"/>
        </w:trPr>
        <w:tc>
          <w:tcPr>
            <w:tcW w:w="416" w:type="dxa"/>
            <w:tcBorders>
              <w:top w:val="single" w:color="auto" w:sz="12" w:space="0"/>
              <w:left w:val="single" w:color="auto" w:sz="18" w:space="0"/>
            </w:tcBorders>
          </w:tcPr>
          <w:p w:rsidRPr="00A03B40" w:rsidR="000447AA" w:rsidP="00EF2698" w:rsidRDefault="000447AA" w14:paraId="6270FF68" w14:textId="573226B6">
            <w:pPr>
              <w:pStyle w:val="Standard"/>
              <w:ind w:firstLine="0"/>
              <w:rPr>
                <w:sz w:val="18"/>
                <w:szCs w:val="18"/>
              </w:rPr>
            </w:pPr>
            <w:r w:rsidRPr="00A03B40">
              <w:rPr>
                <w:sz w:val="18"/>
                <w:szCs w:val="18"/>
              </w:rPr>
              <w:t>19</w:t>
            </w:r>
          </w:p>
        </w:tc>
        <w:tc>
          <w:tcPr>
            <w:tcW w:w="8506" w:type="dxa"/>
            <w:gridSpan w:val="4"/>
            <w:tcBorders>
              <w:top w:val="single" w:color="auto" w:sz="12" w:space="0"/>
              <w:right w:val="single" w:color="auto" w:sz="18" w:space="0"/>
            </w:tcBorders>
            <w:vAlign w:val="center"/>
          </w:tcPr>
          <w:p w:rsidRPr="00A03B40" w:rsidR="000447AA" w:rsidP="000447AA" w:rsidRDefault="000447AA" w14:paraId="1C843D5B" w14:textId="4EAD9A3C">
            <w:pPr>
              <w:pStyle w:val="Standard"/>
              <w:ind w:firstLine="0"/>
              <w:rPr>
                <w:sz w:val="18"/>
                <w:szCs w:val="18"/>
              </w:rPr>
            </w:pPr>
            <w:r w:rsidRPr="00A03B40">
              <w:rPr>
                <w:sz w:val="18"/>
                <w:szCs w:val="18"/>
              </w:rPr>
              <w:t>Distribution Rate Component</w:t>
            </w:r>
          </w:p>
        </w:tc>
      </w:tr>
      <w:tr w:rsidRPr="00A03B40" w:rsidR="00EF2698" w:rsidTr="000447AA" w14:paraId="25CC4760" w14:textId="77777777">
        <w:trPr>
          <w:jc w:val="center"/>
        </w:trPr>
        <w:tc>
          <w:tcPr>
            <w:tcW w:w="416" w:type="dxa"/>
            <w:tcBorders>
              <w:left w:val="single" w:color="auto" w:sz="18" w:space="0"/>
            </w:tcBorders>
          </w:tcPr>
          <w:p w:rsidRPr="00A03B40" w:rsidR="00EF2698" w:rsidP="00EF2698" w:rsidRDefault="00EF2698" w14:paraId="63F1C0D6" w14:textId="46FCFCF2">
            <w:pPr>
              <w:pStyle w:val="Standard"/>
              <w:ind w:firstLine="0"/>
              <w:rPr>
                <w:sz w:val="18"/>
                <w:szCs w:val="18"/>
              </w:rPr>
            </w:pPr>
            <w:r w:rsidRPr="00A03B40">
              <w:rPr>
                <w:sz w:val="18"/>
                <w:szCs w:val="18"/>
              </w:rPr>
              <w:t>20</w:t>
            </w:r>
          </w:p>
        </w:tc>
        <w:tc>
          <w:tcPr>
            <w:tcW w:w="3521" w:type="dxa"/>
          </w:tcPr>
          <w:p w:rsidRPr="00A03B40" w:rsidR="00EF2698" w:rsidP="00EF2698" w:rsidRDefault="00EF2698" w14:paraId="4C7FC428" w14:textId="77777777">
            <w:pPr>
              <w:pStyle w:val="Standard"/>
              <w:ind w:left="720" w:firstLine="0"/>
              <w:rPr>
                <w:sz w:val="18"/>
                <w:szCs w:val="18"/>
              </w:rPr>
            </w:pPr>
            <w:r w:rsidRPr="00A03B40">
              <w:rPr>
                <w:sz w:val="18"/>
                <w:szCs w:val="18"/>
              </w:rPr>
              <w:t>2026 BRRBA-D F&amp;PP</w:t>
            </w:r>
          </w:p>
        </w:tc>
        <w:tc>
          <w:tcPr>
            <w:tcW w:w="1661" w:type="dxa"/>
            <w:vAlign w:val="center"/>
          </w:tcPr>
          <w:p w:rsidRPr="00A03B40" w:rsidR="00EF2698" w:rsidP="000447AA" w:rsidRDefault="00EF2698" w14:paraId="5C951A61" w14:textId="381240BA">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19,169)</w:t>
            </w:r>
          </w:p>
        </w:tc>
        <w:tc>
          <w:tcPr>
            <w:tcW w:w="1662" w:type="dxa"/>
            <w:vAlign w:val="center"/>
          </w:tcPr>
          <w:p w:rsidRPr="00A03B40" w:rsidR="00EF2698" w:rsidP="000447AA" w:rsidRDefault="000447AA" w14:paraId="5F21F1FF" w14:textId="0FA05343">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18,971)</w:t>
            </w:r>
          </w:p>
        </w:tc>
        <w:tc>
          <w:tcPr>
            <w:tcW w:w="1662" w:type="dxa"/>
            <w:tcBorders>
              <w:right w:val="single" w:color="auto" w:sz="18" w:space="0"/>
            </w:tcBorders>
            <w:vAlign w:val="center"/>
          </w:tcPr>
          <w:p w:rsidRPr="00A03B40" w:rsidR="00EF2698" w:rsidP="000447AA" w:rsidRDefault="00EF2698" w14:paraId="344DC005" w14:textId="77AFA270">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2,684)</w:t>
            </w:r>
          </w:p>
        </w:tc>
      </w:tr>
      <w:tr w:rsidRPr="00A03B40" w:rsidR="00EF2698" w:rsidTr="000447AA" w14:paraId="0A2123F8" w14:textId="77777777">
        <w:trPr>
          <w:jc w:val="center"/>
        </w:trPr>
        <w:tc>
          <w:tcPr>
            <w:tcW w:w="416" w:type="dxa"/>
            <w:tcBorders>
              <w:left w:val="single" w:color="auto" w:sz="18" w:space="0"/>
              <w:bottom w:val="single" w:color="auto" w:sz="12" w:space="0"/>
            </w:tcBorders>
          </w:tcPr>
          <w:p w:rsidRPr="00A03B40" w:rsidR="00EF2698" w:rsidP="00EF2698" w:rsidRDefault="00EF2698" w14:paraId="28DAF343" w14:textId="4FC042F8">
            <w:pPr>
              <w:pStyle w:val="Standard"/>
              <w:ind w:firstLine="0"/>
              <w:rPr>
                <w:sz w:val="18"/>
                <w:szCs w:val="18"/>
              </w:rPr>
            </w:pPr>
            <w:r w:rsidRPr="00A03B40">
              <w:rPr>
                <w:sz w:val="18"/>
                <w:szCs w:val="18"/>
              </w:rPr>
              <w:t>21</w:t>
            </w:r>
          </w:p>
        </w:tc>
        <w:tc>
          <w:tcPr>
            <w:tcW w:w="3521" w:type="dxa"/>
            <w:tcBorders>
              <w:bottom w:val="single" w:color="auto" w:sz="12" w:space="0"/>
            </w:tcBorders>
          </w:tcPr>
          <w:p w:rsidRPr="00A03B40" w:rsidR="00EF2698" w:rsidP="00EF2698" w:rsidRDefault="00EF2698" w14:paraId="72B30C75" w14:textId="77777777">
            <w:pPr>
              <w:pStyle w:val="Standard"/>
              <w:ind w:left="720" w:firstLine="0"/>
              <w:rPr>
                <w:sz w:val="18"/>
                <w:szCs w:val="18"/>
              </w:rPr>
            </w:pPr>
            <w:r w:rsidRPr="00A03B40">
              <w:rPr>
                <w:sz w:val="18"/>
                <w:szCs w:val="18"/>
              </w:rPr>
              <w:t>GHG Allowance Revenues</w:t>
            </w:r>
          </w:p>
        </w:tc>
        <w:tc>
          <w:tcPr>
            <w:tcW w:w="1661" w:type="dxa"/>
            <w:tcBorders>
              <w:bottom w:val="single" w:color="auto" w:sz="12" w:space="0"/>
            </w:tcBorders>
            <w:vAlign w:val="center"/>
          </w:tcPr>
          <w:p w:rsidRPr="00A03B40" w:rsidR="00EF2698" w:rsidP="000447AA" w:rsidRDefault="00EF2698" w14:paraId="59F1CA68" w14:textId="5D8A53C8">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641,624)</w:t>
            </w:r>
          </w:p>
        </w:tc>
        <w:tc>
          <w:tcPr>
            <w:tcW w:w="1662" w:type="dxa"/>
            <w:tcBorders>
              <w:bottom w:val="single" w:color="auto" w:sz="12" w:space="0"/>
            </w:tcBorders>
            <w:vAlign w:val="center"/>
          </w:tcPr>
          <w:p w:rsidRPr="00A03B40" w:rsidR="00EF2698" w:rsidP="000447AA" w:rsidRDefault="000447AA" w14:paraId="2BEED2D2" w14:textId="170B1578">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528,071)</w:t>
            </w:r>
          </w:p>
        </w:tc>
        <w:tc>
          <w:tcPr>
            <w:tcW w:w="1662" w:type="dxa"/>
            <w:tcBorders>
              <w:bottom w:val="single" w:color="auto" w:sz="12" w:space="0"/>
              <w:right w:val="single" w:color="auto" w:sz="18" w:space="0"/>
            </w:tcBorders>
            <w:vAlign w:val="center"/>
          </w:tcPr>
          <w:p w:rsidRPr="00A03B40" w:rsidR="00EF2698" w:rsidP="000447AA" w:rsidRDefault="00EF2698" w14:paraId="041A905E" w14:textId="3565EF6B">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433,279)</w:t>
            </w:r>
          </w:p>
        </w:tc>
      </w:tr>
      <w:tr w:rsidRPr="00A03B40" w:rsidR="000447AA" w:rsidTr="000447AA" w14:paraId="20A96FA9" w14:textId="77777777">
        <w:trPr>
          <w:jc w:val="center"/>
        </w:trPr>
        <w:tc>
          <w:tcPr>
            <w:tcW w:w="416" w:type="dxa"/>
            <w:tcBorders>
              <w:top w:val="single" w:color="auto" w:sz="12" w:space="0"/>
              <w:left w:val="single" w:color="auto" w:sz="18" w:space="0"/>
            </w:tcBorders>
          </w:tcPr>
          <w:p w:rsidRPr="00A03B40" w:rsidR="000447AA" w:rsidP="00EF2698" w:rsidRDefault="000447AA" w14:paraId="4C02DEEB" w14:textId="38B76640">
            <w:pPr>
              <w:pStyle w:val="Standard"/>
              <w:ind w:firstLine="0"/>
              <w:rPr>
                <w:sz w:val="18"/>
                <w:szCs w:val="18"/>
              </w:rPr>
            </w:pPr>
            <w:r w:rsidRPr="00A03B40">
              <w:rPr>
                <w:sz w:val="18"/>
                <w:szCs w:val="18"/>
              </w:rPr>
              <w:t>22</w:t>
            </w:r>
          </w:p>
        </w:tc>
        <w:tc>
          <w:tcPr>
            <w:tcW w:w="8506" w:type="dxa"/>
            <w:gridSpan w:val="4"/>
            <w:tcBorders>
              <w:top w:val="single" w:color="auto" w:sz="12" w:space="0"/>
              <w:right w:val="single" w:color="auto" w:sz="18" w:space="0"/>
            </w:tcBorders>
            <w:vAlign w:val="center"/>
          </w:tcPr>
          <w:p w:rsidRPr="00A03B40" w:rsidR="000447AA" w:rsidP="000447AA" w:rsidRDefault="000447AA" w14:paraId="7A40BD41" w14:textId="5296BBB6">
            <w:pPr>
              <w:pStyle w:val="Standard"/>
              <w:ind w:firstLine="0"/>
              <w:rPr>
                <w:sz w:val="18"/>
                <w:szCs w:val="18"/>
              </w:rPr>
            </w:pPr>
            <w:r w:rsidRPr="00A03B40">
              <w:rPr>
                <w:sz w:val="18"/>
                <w:szCs w:val="18"/>
              </w:rPr>
              <w:t xml:space="preserve">Public Purpose Programs </w:t>
            </w:r>
            <w:proofErr w:type="gramStart"/>
            <w:r w:rsidRPr="00A03B40">
              <w:rPr>
                <w:sz w:val="18"/>
                <w:szCs w:val="18"/>
              </w:rPr>
              <w:t>Charge:</w:t>
            </w:r>
            <w:r w:rsidRPr="00A03B40">
              <w:rPr>
                <w:sz w:val="20"/>
                <w:szCs w:val="20"/>
              </w:rPr>
              <w:t>^</w:t>
            </w:r>
            <w:proofErr w:type="gramEnd"/>
          </w:p>
        </w:tc>
      </w:tr>
      <w:tr w:rsidRPr="00A03B40" w:rsidR="00EF2698" w:rsidTr="000447AA" w14:paraId="7A73B7C9" w14:textId="77777777">
        <w:trPr>
          <w:jc w:val="center"/>
        </w:trPr>
        <w:tc>
          <w:tcPr>
            <w:tcW w:w="416" w:type="dxa"/>
            <w:tcBorders>
              <w:left w:val="single" w:color="auto" w:sz="18" w:space="0"/>
            </w:tcBorders>
          </w:tcPr>
          <w:p w:rsidRPr="00A03B40" w:rsidR="00EF2698" w:rsidP="00EF2698" w:rsidRDefault="00EF2698" w14:paraId="1F2D626A" w14:textId="4F9523AA">
            <w:pPr>
              <w:pStyle w:val="Standard"/>
              <w:ind w:firstLine="0"/>
              <w:rPr>
                <w:sz w:val="18"/>
                <w:szCs w:val="18"/>
              </w:rPr>
            </w:pPr>
            <w:r w:rsidRPr="00A03B40">
              <w:rPr>
                <w:sz w:val="18"/>
                <w:szCs w:val="18"/>
              </w:rPr>
              <w:t>23</w:t>
            </w:r>
          </w:p>
        </w:tc>
        <w:tc>
          <w:tcPr>
            <w:tcW w:w="3521" w:type="dxa"/>
          </w:tcPr>
          <w:p w:rsidRPr="00A03B40" w:rsidR="00EF2698" w:rsidP="00EF2698" w:rsidRDefault="00EF2698" w14:paraId="2B2542F1" w14:textId="77777777">
            <w:pPr>
              <w:pStyle w:val="Standard"/>
              <w:ind w:left="720" w:firstLine="0"/>
              <w:rPr>
                <w:sz w:val="18"/>
                <w:szCs w:val="18"/>
              </w:rPr>
            </w:pPr>
            <w:r w:rsidRPr="00A03B40">
              <w:rPr>
                <w:sz w:val="18"/>
                <w:szCs w:val="18"/>
              </w:rPr>
              <w:t>2026 PPPC F&amp;PP</w:t>
            </w:r>
          </w:p>
        </w:tc>
        <w:tc>
          <w:tcPr>
            <w:tcW w:w="1661" w:type="dxa"/>
            <w:vAlign w:val="center"/>
          </w:tcPr>
          <w:p w:rsidRPr="00A03B40" w:rsidR="00EF2698" w:rsidP="000447AA" w:rsidRDefault="00EF2698" w14:paraId="4F85E780" w14:textId="6B2B7E8C">
            <w:pPr>
              <w:pStyle w:val="Standard"/>
              <w:ind w:firstLine="0"/>
              <w:jc w:val="right"/>
              <w:rPr>
                <w:sz w:val="18"/>
                <w:szCs w:val="18"/>
              </w:rPr>
            </w:pPr>
            <w:r w:rsidRPr="00A03B40">
              <w:rPr>
                <w:sz w:val="18"/>
                <w:szCs w:val="18"/>
              </w:rPr>
              <w:t>$5,314</w:t>
            </w:r>
          </w:p>
        </w:tc>
        <w:tc>
          <w:tcPr>
            <w:tcW w:w="1662" w:type="dxa"/>
            <w:vAlign w:val="center"/>
          </w:tcPr>
          <w:p w:rsidRPr="00A03B40" w:rsidR="00EF2698" w:rsidP="000447AA" w:rsidRDefault="00EF2698" w14:paraId="5F0EEC12" w14:textId="7A31C4B1">
            <w:pPr>
              <w:pStyle w:val="Standard"/>
              <w:ind w:firstLine="0"/>
              <w:jc w:val="right"/>
              <w:rPr>
                <w:sz w:val="18"/>
                <w:szCs w:val="18"/>
              </w:rPr>
            </w:pPr>
            <w:r w:rsidRPr="00A03B40">
              <w:rPr>
                <w:sz w:val="18"/>
                <w:szCs w:val="18"/>
              </w:rPr>
              <w:t>$</w:t>
            </w:r>
            <w:r w:rsidRPr="00A03B40" w:rsidR="000447AA">
              <w:rPr>
                <w:sz w:val="18"/>
                <w:szCs w:val="18"/>
              </w:rPr>
              <w:t>34,054</w:t>
            </w:r>
          </w:p>
        </w:tc>
        <w:tc>
          <w:tcPr>
            <w:tcW w:w="1662" w:type="dxa"/>
            <w:tcBorders>
              <w:right w:val="single" w:color="auto" w:sz="18" w:space="0"/>
            </w:tcBorders>
            <w:vAlign w:val="center"/>
          </w:tcPr>
          <w:p w:rsidRPr="00A03B40" w:rsidR="00EF2698" w:rsidP="000447AA" w:rsidRDefault="00EF2698" w14:paraId="5A834ED2" w14:textId="4893A334">
            <w:pPr>
              <w:pStyle w:val="Standard"/>
              <w:ind w:firstLine="0"/>
              <w:jc w:val="right"/>
              <w:rPr>
                <w:sz w:val="18"/>
                <w:szCs w:val="18"/>
              </w:rPr>
            </w:pPr>
            <w:r w:rsidRPr="00A03B40">
              <w:rPr>
                <w:sz w:val="18"/>
                <w:szCs w:val="18"/>
              </w:rPr>
              <w:t>$32,095</w:t>
            </w:r>
          </w:p>
        </w:tc>
      </w:tr>
      <w:tr w:rsidRPr="00A03B40" w:rsidR="00EF2698" w:rsidTr="000447AA" w14:paraId="1DFCCEE7" w14:textId="77777777">
        <w:trPr>
          <w:jc w:val="center"/>
        </w:trPr>
        <w:tc>
          <w:tcPr>
            <w:tcW w:w="416" w:type="dxa"/>
            <w:tcBorders>
              <w:left w:val="single" w:color="auto" w:sz="18" w:space="0"/>
            </w:tcBorders>
          </w:tcPr>
          <w:p w:rsidRPr="00A03B40" w:rsidR="00EF2698" w:rsidP="00EF2698" w:rsidRDefault="00EF2698" w14:paraId="445E90A2" w14:textId="5D70D452">
            <w:pPr>
              <w:pStyle w:val="Standard"/>
              <w:ind w:firstLine="0"/>
              <w:rPr>
                <w:sz w:val="18"/>
                <w:szCs w:val="18"/>
              </w:rPr>
            </w:pPr>
            <w:r w:rsidRPr="00A03B40">
              <w:rPr>
                <w:sz w:val="18"/>
                <w:szCs w:val="18"/>
              </w:rPr>
              <w:t>24</w:t>
            </w:r>
          </w:p>
        </w:tc>
        <w:tc>
          <w:tcPr>
            <w:tcW w:w="3521" w:type="dxa"/>
          </w:tcPr>
          <w:p w:rsidRPr="00A03B40" w:rsidR="00EF2698" w:rsidP="00EF2698" w:rsidRDefault="00EF2698" w14:paraId="7ADF5F01" w14:textId="77777777">
            <w:pPr>
              <w:pStyle w:val="Standard"/>
              <w:ind w:left="720" w:firstLine="0"/>
              <w:rPr>
                <w:sz w:val="18"/>
                <w:szCs w:val="18"/>
              </w:rPr>
            </w:pPr>
            <w:r w:rsidRPr="00A03B40">
              <w:rPr>
                <w:sz w:val="18"/>
                <w:szCs w:val="18"/>
              </w:rPr>
              <w:t>2025 YE TMNBCBA Balance</w:t>
            </w:r>
          </w:p>
        </w:tc>
        <w:tc>
          <w:tcPr>
            <w:tcW w:w="1661" w:type="dxa"/>
            <w:vAlign w:val="center"/>
          </w:tcPr>
          <w:p w:rsidRPr="00A03B40" w:rsidR="00EF2698" w:rsidP="000447AA" w:rsidRDefault="00EF2698" w14:paraId="664CA67E" w14:textId="5FD23B0D">
            <w:pPr>
              <w:pStyle w:val="Standard"/>
              <w:ind w:firstLine="0"/>
              <w:jc w:val="right"/>
              <w:rPr>
                <w:sz w:val="18"/>
                <w:szCs w:val="18"/>
              </w:rPr>
            </w:pPr>
            <w:r w:rsidRPr="00A03B40">
              <w:rPr>
                <w:sz w:val="18"/>
                <w:szCs w:val="18"/>
              </w:rPr>
              <w:t>$21,243</w:t>
            </w:r>
          </w:p>
        </w:tc>
        <w:tc>
          <w:tcPr>
            <w:tcW w:w="1662" w:type="dxa"/>
            <w:vAlign w:val="center"/>
          </w:tcPr>
          <w:p w:rsidRPr="00A03B40" w:rsidR="00EF2698" w:rsidP="000447AA" w:rsidRDefault="00EF2698" w14:paraId="259C16CD" w14:textId="49547F9D">
            <w:pPr>
              <w:pStyle w:val="Standard"/>
              <w:ind w:firstLine="0"/>
              <w:jc w:val="right"/>
              <w:rPr>
                <w:sz w:val="18"/>
                <w:szCs w:val="18"/>
              </w:rPr>
            </w:pPr>
            <w:r w:rsidRPr="00A03B40">
              <w:rPr>
                <w:sz w:val="18"/>
                <w:szCs w:val="18"/>
              </w:rPr>
              <w:t>$</w:t>
            </w:r>
            <w:r w:rsidRPr="00A03B40" w:rsidR="000447AA">
              <w:rPr>
                <w:sz w:val="18"/>
                <w:szCs w:val="18"/>
              </w:rPr>
              <w:t>7,473</w:t>
            </w:r>
          </w:p>
        </w:tc>
        <w:tc>
          <w:tcPr>
            <w:tcW w:w="1662" w:type="dxa"/>
            <w:tcBorders>
              <w:right w:val="single" w:color="auto" w:sz="18" w:space="0"/>
            </w:tcBorders>
            <w:vAlign w:val="center"/>
          </w:tcPr>
          <w:p w:rsidRPr="00A03B40" w:rsidR="00EF2698" w:rsidP="000447AA" w:rsidRDefault="00EF2698" w14:paraId="702386F1" w14:textId="7DE44B64">
            <w:pPr>
              <w:pStyle w:val="Standard"/>
              <w:ind w:firstLine="0"/>
              <w:jc w:val="right"/>
              <w:rPr>
                <w:sz w:val="18"/>
                <w:szCs w:val="18"/>
              </w:rPr>
            </w:pPr>
            <w:r w:rsidRPr="00A03B40">
              <w:rPr>
                <w:sz w:val="18"/>
                <w:szCs w:val="18"/>
              </w:rPr>
              <w:t>$14,240</w:t>
            </w:r>
          </w:p>
        </w:tc>
      </w:tr>
      <w:tr w:rsidRPr="00A03B40" w:rsidR="00EF2698" w:rsidTr="000447AA" w14:paraId="2022877D" w14:textId="77777777">
        <w:trPr>
          <w:jc w:val="center"/>
        </w:trPr>
        <w:tc>
          <w:tcPr>
            <w:tcW w:w="416" w:type="dxa"/>
            <w:tcBorders>
              <w:left w:val="single" w:color="auto" w:sz="18" w:space="0"/>
              <w:bottom w:val="single" w:color="auto" w:sz="12" w:space="0"/>
            </w:tcBorders>
          </w:tcPr>
          <w:p w:rsidRPr="00A03B40" w:rsidR="00EF2698" w:rsidP="00EF2698" w:rsidRDefault="00EF2698" w14:paraId="069A376F" w14:textId="05FD4CDE">
            <w:pPr>
              <w:pStyle w:val="Standard"/>
              <w:ind w:firstLine="0"/>
              <w:rPr>
                <w:sz w:val="18"/>
                <w:szCs w:val="18"/>
              </w:rPr>
            </w:pPr>
            <w:r w:rsidRPr="00A03B40">
              <w:rPr>
                <w:sz w:val="18"/>
                <w:szCs w:val="18"/>
              </w:rPr>
              <w:t>25</w:t>
            </w:r>
          </w:p>
        </w:tc>
        <w:tc>
          <w:tcPr>
            <w:tcW w:w="3521" w:type="dxa"/>
            <w:tcBorders>
              <w:bottom w:val="single" w:color="auto" w:sz="12" w:space="0"/>
            </w:tcBorders>
          </w:tcPr>
          <w:p w:rsidRPr="00A03B40" w:rsidR="00EF2698" w:rsidP="00EF2698" w:rsidRDefault="00EF2698" w14:paraId="654D43B0" w14:textId="77777777">
            <w:pPr>
              <w:pStyle w:val="Standard"/>
              <w:ind w:left="720" w:firstLine="0"/>
              <w:rPr>
                <w:sz w:val="18"/>
                <w:szCs w:val="18"/>
              </w:rPr>
            </w:pPr>
            <w:r w:rsidRPr="00A03B40">
              <w:rPr>
                <w:sz w:val="18"/>
                <w:szCs w:val="18"/>
              </w:rPr>
              <w:t>2025 YE BMNBCBA Balance</w:t>
            </w:r>
          </w:p>
        </w:tc>
        <w:tc>
          <w:tcPr>
            <w:tcW w:w="1661" w:type="dxa"/>
            <w:tcBorders>
              <w:bottom w:val="single" w:color="auto" w:sz="12" w:space="0"/>
            </w:tcBorders>
            <w:vAlign w:val="center"/>
          </w:tcPr>
          <w:p w:rsidRPr="00A03B40" w:rsidR="00EF2698" w:rsidP="000447AA" w:rsidRDefault="00EF2698" w14:paraId="602A90C6" w14:textId="778E5727">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2,842)</w:t>
            </w:r>
          </w:p>
        </w:tc>
        <w:tc>
          <w:tcPr>
            <w:tcW w:w="1662" w:type="dxa"/>
            <w:tcBorders>
              <w:bottom w:val="single" w:color="auto" w:sz="12" w:space="0"/>
            </w:tcBorders>
            <w:vAlign w:val="center"/>
          </w:tcPr>
          <w:p w:rsidRPr="00A03B40" w:rsidR="00EF2698" w:rsidP="000447AA" w:rsidRDefault="000447AA" w14:paraId="5C00F3F7" w14:textId="1AD0CD20">
            <w:pPr>
              <w:pStyle w:val="Standard"/>
              <w:ind w:firstLine="0"/>
              <w:jc w:val="right"/>
              <w:rPr>
                <w:sz w:val="18"/>
                <w:szCs w:val="18"/>
              </w:rPr>
            </w:pPr>
            <w:r w:rsidRPr="00A03B40">
              <w:rPr>
                <w:sz w:val="18"/>
                <w:szCs w:val="18"/>
              </w:rPr>
              <w:t>(</w:t>
            </w:r>
            <w:r w:rsidRPr="00A03B40" w:rsidR="00912F48">
              <w:rPr>
                <w:sz w:val="18"/>
                <w:szCs w:val="18"/>
              </w:rPr>
              <w:t>$</w:t>
            </w:r>
            <w:r w:rsidRPr="00A03B40">
              <w:rPr>
                <w:sz w:val="18"/>
                <w:szCs w:val="18"/>
              </w:rPr>
              <w:t>1,521)</w:t>
            </w:r>
          </w:p>
        </w:tc>
        <w:tc>
          <w:tcPr>
            <w:tcW w:w="1662" w:type="dxa"/>
            <w:tcBorders>
              <w:bottom w:val="single" w:color="auto" w:sz="12" w:space="0"/>
              <w:right w:val="single" w:color="auto" w:sz="18" w:space="0"/>
            </w:tcBorders>
            <w:vAlign w:val="center"/>
          </w:tcPr>
          <w:p w:rsidRPr="00A03B40" w:rsidR="00EF2698" w:rsidP="000447AA" w:rsidRDefault="00EF2698" w14:paraId="2B9C241F" w14:textId="6BC894EA">
            <w:pPr>
              <w:pStyle w:val="Standard"/>
              <w:ind w:firstLine="0"/>
              <w:jc w:val="right"/>
              <w:rPr>
                <w:sz w:val="18"/>
                <w:szCs w:val="18"/>
              </w:rPr>
            </w:pPr>
            <w:r w:rsidRPr="00A03B40">
              <w:rPr>
                <w:sz w:val="18"/>
                <w:szCs w:val="18"/>
              </w:rPr>
              <w:t>(</w:t>
            </w:r>
            <w:r w:rsidRPr="00A03B40" w:rsidR="006B7DC9">
              <w:rPr>
                <w:sz w:val="18"/>
                <w:szCs w:val="18"/>
              </w:rPr>
              <w:t>$</w:t>
            </w:r>
            <w:r w:rsidRPr="00A03B40">
              <w:rPr>
                <w:sz w:val="18"/>
                <w:szCs w:val="18"/>
              </w:rPr>
              <w:t>3,764)</w:t>
            </w:r>
          </w:p>
        </w:tc>
      </w:tr>
      <w:tr w:rsidRPr="00A03B40" w:rsidR="00EF2698" w:rsidTr="000447AA" w14:paraId="544004F4" w14:textId="77777777">
        <w:trPr>
          <w:jc w:val="center"/>
        </w:trPr>
        <w:tc>
          <w:tcPr>
            <w:tcW w:w="416" w:type="dxa"/>
            <w:tcBorders>
              <w:top w:val="single" w:color="auto" w:sz="18" w:space="0"/>
              <w:left w:val="single" w:color="auto" w:sz="18" w:space="0"/>
              <w:bottom w:val="single" w:color="auto" w:sz="18" w:space="0"/>
            </w:tcBorders>
          </w:tcPr>
          <w:p w:rsidRPr="00A03B40" w:rsidR="00EF2698" w:rsidP="00EF2698" w:rsidRDefault="00EF2698" w14:paraId="6CAD9175" w14:textId="6A73DEDF">
            <w:pPr>
              <w:pStyle w:val="Standard"/>
              <w:ind w:firstLine="0"/>
              <w:rPr>
                <w:sz w:val="18"/>
                <w:szCs w:val="18"/>
              </w:rPr>
            </w:pPr>
            <w:r w:rsidRPr="00A03B40">
              <w:rPr>
                <w:sz w:val="18"/>
                <w:szCs w:val="18"/>
              </w:rPr>
              <w:t>26</w:t>
            </w:r>
          </w:p>
        </w:tc>
        <w:tc>
          <w:tcPr>
            <w:tcW w:w="3521" w:type="dxa"/>
            <w:tcBorders>
              <w:top w:val="single" w:color="auto" w:sz="18" w:space="0"/>
              <w:bottom w:val="single" w:color="auto" w:sz="18" w:space="0"/>
            </w:tcBorders>
          </w:tcPr>
          <w:p w:rsidRPr="00A03B40" w:rsidR="00EF2698" w:rsidP="00EF2698" w:rsidRDefault="00EF2698" w14:paraId="59B2151C" w14:textId="77777777">
            <w:pPr>
              <w:pStyle w:val="Standard"/>
              <w:ind w:firstLine="0"/>
              <w:rPr>
                <w:sz w:val="18"/>
                <w:szCs w:val="18"/>
              </w:rPr>
            </w:pPr>
            <w:r w:rsidRPr="00A03B40">
              <w:rPr>
                <w:b/>
                <w:bCs/>
                <w:spacing w:val="-10"/>
                <w:sz w:val="18"/>
                <w:szCs w:val="18"/>
              </w:rPr>
              <w:t>Total ERRA Forecast Delivery Service RR</w:t>
            </w:r>
          </w:p>
        </w:tc>
        <w:tc>
          <w:tcPr>
            <w:tcW w:w="1661" w:type="dxa"/>
            <w:tcBorders>
              <w:top w:val="single" w:color="auto" w:sz="18" w:space="0"/>
              <w:bottom w:val="single" w:color="auto" w:sz="18" w:space="0"/>
            </w:tcBorders>
            <w:vAlign w:val="center"/>
          </w:tcPr>
          <w:p w:rsidRPr="00A03B40" w:rsidR="00EF2698" w:rsidP="000447AA" w:rsidRDefault="00EF2698" w14:paraId="1FE0CAAF" w14:textId="6DAD0017">
            <w:pPr>
              <w:pStyle w:val="Standard"/>
              <w:ind w:firstLine="0"/>
              <w:jc w:val="right"/>
              <w:rPr>
                <w:b/>
                <w:bCs/>
                <w:sz w:val="18"/>
                <w:szCs w:val="18"/>
              </w:rPr>
            </w:pPr>
            <w:r w:rsidRPr="00A03B40">
              <w:rPr>
                <w:b/>
                <w:bCs/>
                <w:sz w:val="18"/>
                <w:szCs w:val="18"/>
              </w:rPr>
              <w:t>(</w:t>
            </w:r>
            <w:r w:rsidRPr="00A03B40" w:rsidR="00912F48">
              <w:rPr>
                <w:b/>
                <w:bCs/>
                <w:sz w:val="18"/>
                <w:szCs w:val="18"/>
              </w:rPr>
              <w:t>$</w:t>
            </w:r>
            <w:r w:rsidRPr="00A03B40">
              <w:rPr>
                <w:b/>
                <w:bCs/>
                <w:sz w:val="18"/>
                <w:szCs w:val="18"/>
              </w:rPr>
              <w:t>91,694)</w:t>
            </w:r>
          </w:p>
        </w:tc>
        <w:tc>
          <w:tcPr>
            <w:tcW w:w="1662" w:type="dxa"/>
            <w:tcBorders>
              <w:top w:val="single" w:color="auto" w:sz="18" w:space="0"/>
              <w:bottom w:val="single" w:color="auto" w:sz="18" w:space="0"/>
            </w:tcBorders>
            <w:vAlign w:val="center"/>
          </w:tcPr>
          <w:p w:rsidRPr="00A03B40" w:rsidR="00EF2698" w:rsidP="000447AA" w:rsidRDefault="000447AA" w14:paraId="0DCC6A8D" w14:textId="42318274">
            <w:pPr>
              <w:pStyle w:val="Standard"/>
              <w:ind w:firstLine="0"/>
              <w:jc w:val="right"/>
              <w:rPr>
                <w:b/>
                <w:bCs/>
                <w:sz w:val="18"/>
                <w:szCs w:val="18"/>
              </w:rPr>
            </w:pPr>
            <w:r w:rsidRPr="00A03B40">
              <w:rPr>
                <w:b/>
                <w:bCs/>
                <w:sz w:val="18"/>
                <w:szCs w:val="18"/>
              </w:rPr>
              <w:t>(</w:t>
            </w:r>
            <w:r w:rsidRPr="00A03B40" w:rsidR="00912F48">
              <w:rPr>
                <w:b/>
                <w:bCs/>
                <w:sz w:val="18"/>
                <w:szCs w:val="18"/>
              </w:rPr>
              <w:t>$</w:t>
            </w:r>
            <w:r w:rsidRPr="00A03B40">
              <w:rPr>
                <w:b/>
                <w:bCs/>
                <w:sz w:val="18"/>
                <w:szCs w:val="18"/>
              </w:rPr>
              <w:t>51,605)</w:t>
            </w:r>
          </w:p>
        </w:tc>
        <w:tc>
          <w:tcPr>
            <w:tcW w:w="1662" w:type="dxa"/>
            <w:tcBorders>
              <w:top w:val="single" w:color="auto" w:sz="18" w:space="0"/>
              <w:bottom w:val="single" w:color="auto" w:sz="18" w:space="0"/>
              <w:right w:val="single" w:color="auto" w:sz="18" w:space="0"/>
            </w:tcBorders>
            <w:vAlign w:val="center"/>
          </w:tcPr>
          <w:p w:rsidRPr="00A03B40" w:rsidR="00EF2698" w:rsidP="000447AA" w:rsidRDefault="00EF2698" w14:paraId="762067EE" w14:textId="2871836B">
            <w:pPr>
              <w:pStyle w:val="Standard"/>
              <w:ind w:firstLine="0"/>
              <w:jc w:val="right"/>
              <w:rPr>
                <w:b/>
                <w:bCs/>
                <w:sz w:val="18"/>
                <w:szCs w:val="18"/>
              </w:rPr>
            </w:pPr>
            <w:r w:rsidRPr="00A03B40">
              <w:rPr>
                <w:b/>
                <w:bCs/>
                <w:sz w:val="18"/>
                <w:szCs w:val="18"/>
              </w:rPr>
              <w:t>$5</w:t>
            </w:r>
            <w:r w:rsidRPr="00A03B40" w:rsidR="00912F48">
              <w:rPr>
                <w:b/>
                <w:bCs/>
                <w:sz w:val="18"/>
                <w:szCs w:val="18"/>
              </w:rPr>
              <w:t>6</w:t>
            </w:r>
            <w:r w:rsidRPr="00A03B40">
              <w:rPr>
                <w:b/>
                <w:bCs/>
                <w:sz w:val="18"/>
                <w:szCs w:val="18"/>
              </w:rPr>
              <w:t>,46</w:t>
            </w:r>
            <w:r w:rsidRPr="00A03B40" w:rsidR="00912F48">
              <w:rPr>
                <w:b/>
                <w:bCs/>
                <w:sz w:val="18"/>
                <w:szCs w:val="18"/>
              </w:rPr>
              <w:t>4</w:t>
            </w:r>
          </w:p>
        </w:tc>
      </w:tr>
      <w:tr w:rsidRPr="00A03B40" w:rsidR="00EF2698" w:rsidTr="000447AA" w14:paraId="79EDE366" w14:textId="77777777">
        <w:trPr>
          <w:jc w:val="center"/>
        </w:trPr>
        <w:tc>
          <w:tcPr>
            <w:tcW w:w="416" w:type="dxa"/>
            <w:tcBorders>
              <w:top w:val="single" w:color="auto" w:sz="18" w:space="0"/>
              <w:left w:val="single" w:color="auto" w:sz="18" w:space="0"/>
              <w:bottom w:val="single" w:color="auto" w:sz="18" w:space="0"/>
            </w:tcBorders>
          </w:tcPr>
          <w:p w:rsidRPr="00A03B40" w:rsidR="00EF2698" w:rsidP="00EF2698" w:rsidRDefault="00EF2698" w14:paraId="370AE945" w14:textId="6DFD2C24">
            <w:pPr>
              <w:pStyle w:val="Standard"/>
              <w:ind w:firstLine="0"/>
              <w:rPr>
                <w:sz w:val="18"/>
                <w:szCs w:val="18"/>
              </w:rPr>
            </w:pPr>
            <w:r w:rsidRPr="00A03B40">
              <w:rPr>
                <w:sz w:val="18"/>
                <w:szCs w:val="18"/>
              </w:rPr>
              <w:t>27</w:t>
            </w:r>
          </w:p>
        </w:tc>
        <w:tc>
          <w:tcPr>
            <w:tcW w:w="3521" w:type="dxa"/>
            <w:tcBorders>
              <w:top w:val="single" w:color="auto" w:sz="18" w:space="0"/>
              <w:bottom w:val="single" w:color="auto" w:sz="18" w:space="0"/>
            </w:tcBorders>
          </w:tcPr>
          <w:p w:rsidRPr="00A03B40" w:rsidR="00EF2698" w:rsidP="00EF2698" w:rsidRDefault="00EF2698" w14:paraId="38A3D3BC" w14:textId="77777777">
            <w:pPr>
              <w:pStyle w:val="Standard"/>
              <w:ind w:firstLine="0"/>
              <w:rPr>
                <w:b/>
                <w:bCs/>
                <w:sz w:val="18"/>
                <w:szCs w:val="18"/>
              </w:rPr>
            </w:pPr>
            <w:r w:rsidRPr="00A03B40">
              <w:rPr>
                <w:b/>
                <w:bCs/>
                <w:sz w:val="18"/>
                <w:szCs w:val="18"/>
              </w:rPr>
              <w:t>TOTAL ERRA PROCEEDING RR</w:t>
            </w:r>
          </w:p>
        </w:tc>
        <w:tc>
          <w:tcPr>
            <w:tcW w:w="1661" w:type="dxa"/>
            <w:tcBorders>
              <w:top w:val="single" w:color="auto" w:sz="18" w:space="0"/>
              <w:bottom w:val="single" w:color="auto" w:sz="18" w:space="0"/>
            </w:tcBorders>
            <w:vAlign w:val="center"/>
          </w:tcPr>
          <w:p w:rsidRPr="00A03B40" w:rsidR="00EF2698" w:rsidP="000447AA" w:rsidRDefault="00EF2698" w14:paraId="7FFE9AB3" w14:textId="6CCAAA4E">
            <w:pPr>
              <w:pStyle w:val="Standard"/>
              <w:ind w:firstLine="0"/>
              <w:jc w:val="right"/>
              <w:rPr>
                <w:b/>
                <w:bCs/>
                <w:sz w:val="18"/>
                <w:szCs w:val="18"/>
              </w:rPr>
            </w:pPr>
            <w:r w:rsidRPr="00A03B40">
              <w:rPr>
                <w:b/>
                <w:bCs/>
                <w:sz w:val="18"/>
                <w:szCs w:val="18"/>
              </w:rPr>
              <w:t>$4,460,681</w:t>
            </w:r>
          </w:p>
        </w:tc>
        <w:tc>
          <w:tcPr>
            <w:tcW w:w="1662" w:type="dxa"/>
            <w:tcBorders>
              <w:top w:val="single" w:color="auto" w:sz="18" w:space="0"/>
              <w:bottom w:val="single" w:color="auto" w:sz="18" w:space="0"/>
            </w:tcBorders>
            <w:vAlign w:val="center"/>
          </w:tcPr>
          <w:p w:rsidRPr="00A03B40" w:rsidR="00EF2698" w:rsidP="000447AA" w:rsidRDefault="00EF2698" w14:paraId="6581C933" w14:textId="3F304706">
            <w:pPr>
              <w:pStyle w:val="Standard"/>
              <w:ind w:firstLine="0"/>
              <w:jc w:val="right"/>
              <w:rPr>
                <w:b/>
                <w:bCs/>
                <w:sz w:val="18"/>
                <w:szCs w:val="18"/>
              </w:rPr>
            </w:pPr>
            <w:r w:rsidRPr="00A03B40">
              <w:rPr>
                <w:b/>
                <w:bCs/>
                <w:sz w:val="18"/>
                <w:szCs w:val="18"/>
              </w:rPr>
              <w:t>$</w:t>
            </w:r>
            <w:r w:rsidRPr="00A03B40" w:rsidR="000447AA">
              <w:rPr>
                <w:b/>
                <w:bCs/>
                <w:sz w:val="18"/>
                <w:szCs w:val="18"/>
              </w:rPr>
              <w:t>4,385,126</w:t>
            </w:r>
          </w:p>
        </w:tc>
        <w:tc>
          <w:tcPr>
            <w:tcW w:w="1662" w:type="dxa"/>
            <w:tcBorders>
              <w:top w:val="single" w:color="auto" w:sz="18" w:space="0"/>
              <w:bottom w:val="single" w:color="auto" w:sz="18" w:space="0"/>
              <w:right w:val="single" w:color="auto" w:sz="18" w:space="0"/>
            </w:tcBorders>
            <w:vAlign w:val="center"/>
          </w:tcPr>
          <w:p w:rsidRPr="00A03B40" w:rsidR="00EF2698" w:rsidP="000447AA" w:rsidRDefault="00EF2698" w14:paraId="3F109340" w14:textId="0BC14A13">
            <w:pPr>
              <w:pStyle w:val="Standard"/>
              <w:ind w:firstLine="0"/>
              <w:jc w:val="right"/>
              <w:rPr>
                <w:b/>
                <w:bCs/>
                <w:sz w:val="18"/>
                <w:szCs w:val="18"/>
              </w:rPr>
            </w:pPr>
            <w:r w:rsidRPr="00A03B40">
              <w:rPr>
                <w:b/>
                <w:bCs/>
                <w:sz w:val="18"/>
                <w:szCs w:val="18"/>
              </w:rPr>
              <w:t>$4,</w:t>
            </w:r>
            <w:r w:rsidRPr="00A03B40" w:rsidR="00912F48">
              <w:rPr>
                <w:b/>
                <w:bCs/>
                <w:sz w:val="18"/>
                <w:szCs w:val="18"/>
              </w:rPr>
              <w:t>689,200</w:t>
            </w:r>
          </w:p>
        </w:tc>
      </w:tr>
    </w:tbl>
    <w:p w:rsidRPr="00A03B40" w:rsidR="00512524" w:rsidP="00531CA5" w:rsidRDefault="00512524" w14:paraId="0DD9F291" w14:textId="59FDC5D5">
      <w:pPr>
        <w:pStyle w:val="Standard"/>
        <w:spacing w:before="120" w:line="240" w:lineRule="auto"/>
        <w:ind w:firstLine="0"/>
        <w:rPr>
          <w:sz w:val="20"/>
          <w:szCs w:val="20"/>
        </w:rPr>
      </w:pPr>
      <w:r w:rsidRPr="00A03B40">
        <w:rPr>
          <w:sz w:val="20"/>
          <w:szCs w:val="20"/>
        </w:rPr>
        <w:t xml:space="preserve">* Includes Direct GHG costs. ^ includes forecast 2026 </w:t>
      </w:r>
      <w:r w:rsidRPr="00A03B40" w:rsidR="00EA0E75">
        <w:rPr>
          <w:sz w:val="20"/>
          <w:szCs w:val="20"/>
        </w:rPr>
        <w:t>PPPC</w:t>
      </w:r>
      <w:r w:rsidRPr="00A03B40">
        <w:rPr>
          <w:sz w:val="20"/>
          <w:szCs w:val="20"/>
        </w:rPr>
        <w:t xml:space="preserve"> costs related to the TMNBC, the BMNBC, the LCR-PPP, and DAC-GT/CSGT PPPC amounts, as further described below.</w:t>
      </w:r>
    </w:p>
    <w:p w:rsidRPr="00A03B40" w:rsidR="00B71BFB" w:rsidP="00531CA5" w:rsidRDefault="00927656" w14:paraId="660A48F2" w14:textId="01B47743">
      <w:pPr>
        <w:pStyle w:val="Heading2"/>
        <w:spacing w:before="120"/>
      </w:pPr>
      <w:bookmarkStart w:name="_Toc214629894" w:id="152"/>
      <w:r w:rsidRPr="00A03B40">
        <w:lastRenderedPageBreak/>
        <w:t xml:space="preserve">Updated </w:t>
      </w:r>
      <w:r w:rsidRPr="00A03B40" w:rsidR="003E54B2">
        <w:t>Generation Service</w:t>
      </w:r>
      <w:r w:rsidRPr="00A03B40" w:rsidR="00B71BFB">
        <w:t xml:space="preserve"> </w:t>
      </w:r>
      <w:r w:rsidR="005647D5">
        <w:br/>
      </w:r>
      <w:r w:rsidRPr="00A03B40" w:rsidR="00B71BFB">
        <w:t>Revenue Requirement</w:t>
      </w:r>
      <w:bookmarkEnd w:id="152"/>
    </w:p>
    <w:p w:rsidRPr="00A03B40" w:rsidR="00EA6513" w:rsidP="00B71BFB" w:rsidRDefault="004332E6" w14:paraId="2DCDF44F" w14:textId="2515CFD8">
      <w:pPr>
        <w:pStyle w:val="Standard"/>
      </w:pPr>
      <w:r w:rsidRPr="00A03B40">
        <w:t>SCE proposes a</w:t>
      </w:r>
      <w:r w:rsidRPr="00A03B40" w:rsidR="00927656">
        <w:t>n</w:t>
      </w:r>
      <w:r w:rsidRPr="00A03B40">
        <w:t xml:space="preserve"> </w:t>
      </w:r>
      <w:r w:rsidRPr="00A03B40" w:rsidR="00927656">
        <w:t xml:space="preserve">updated </w:t>
      </w:r>
      <w:r w:rsidRPr="00A03B40">
        <w:t>2026 generation service revenue requirement of $4.</w:t>
      </w:r>
      <w:r w:rsidRPr="00A03B40" w:rsidR="00912F48">
        <w:t>633</w:t>
      </w:r>
      <w:r w:rsidRPr="00A03B40">
        <w:t xml:space="preserve"> billion, including FF&amp;U.</w:t>
      </w:r>
      <w:r w:rsidRPr="00A03B40">
        <w:rPr>
          <w:rStyle w:val="FootnoteReference"/>
        </w:rPr>
        <w:footnoteReference w:id="274"/>
      </w:r>
      <w:r w:rsidRPr="00A03B40">
        <w:t xml:space="preserve"> This forecast is </w:t>
      </w:r>
      <w:r w:rsidRPr="00A03B40" w:rsidR="005C2839">
        <w:t>$</w:t>
      </w:r>
      <w:r w:rsidRPr="00A03B40" w:rsidR="00912F48">
        <w:t>80.352</w:t>
      </w:r>
      <w:r w:rsidRPr="00A03B40" w:rsidR="005C2839">
        <w:t xml:space="preserve"> </w:t>
      </w:r>
      <w:r w:rsidRPr="00A03B40" w:rsidR="00062A93">
        <w:t xml:space="preserve">million </w:t>
      </w:r>
      <w:r w:rsidRPr="00A03B40">
        <w:t>m</w:t>
      </w:r>
      <w:r w:rsidRPr="00A03B40" w:rsidR="00912F48">
        <w:t>ore</w:t>
      </w:r>
      <w:r w:rsidRPr="00A03B40">
        <w:t xml:space="preserve"> than the forecast included in current rates.</w:t>
      </w:r>
      <w:r w:rsidRPr="00A03B40" w:rsidR="002A68CA">
        <w:t xml:space="preserve"> </w:t>
      </w:r>
      <w:r w:rsidRPr="00A03B40" w:rsidR="002A73E4">
        <w:t>SCE’s 2026 ERRA</w:t>
      </w:r>
      <w:r w:rsidRPr="00A03B40" w:rsidR="00787E26">
        <w:t xml:space="preserve"> </w:t>
      </w:r>
      <w:r w:rsidRPr="00A03B40" w:rsidR="00C45D23">
        <w:t>f</w:t>
      </w:r>
      <w:r w:rsidRPr="00A03B40" w:rsidR="002A73E4">
        <w:t xml:space="preserve">orecast generation service revenue requirement includes the </w:t>
      </w:r>
      <w:r w:rsidRPr="00A03B40" w:rsidR="002B7EA9">
        <w:t xml:space="preserve">estimated 2026 </w:t>
      </w:r>
      <w:r w:rsidRPr="00A03B40" w:rsidR="00787E26">
        <w:t>F&amp;PP</w:t>
      </w:r>
      <w:r w:rsidRPr="00A03B40" w:rsidR="002A73E4">
        <w:t xml:space="preserve"> costs (including the related GHG costs) tracked in the ERRA BA, the PABA</w:t>
      </w:r>
      <w:r w:rsidRPr="00A03B40" w:rsidR="00787E26">
        <w:t>,</w:t>
      </w:r>
      <w:r w:rsidRPr="00A03B40" w:rsidR="002A73E4">
        <w:t xml:space="preserve"> </w:t>
      </w:r>
      <w:r w:rsidRPr="00A03B40" w:rsidR="006104D7">
        <w:t>GTS</w:t>
      </w:r>
      <w:r w:rsidRPr="00A03B40" w:rsidR="00787E26">
        <w:t xml:space="preserve">R </w:t>
      </w:r>
      <w:r w:rsidRPr="00A03B40" w:rsidR="006104D7">
        <w:t>BA</w:t>
      </w:r>
      <w:r w:rsidRPr="00A03B40" w:rsidR="002A73E4">
        <w:t>.</w:t>
      </w:r>
      <w:r w:rsidRPr="00A03B40" w:rsidR="00B861E0">
        <w:rPr>
          <w:rStyle w:val="FootnoteReference"/>
        </w:rPr>
        <w:footnoteReference w:id="275"/>
      </w:r>
      <w:r w:rsidRPr="00A03B40" w:rsidR="00B861E0">
        <w:t xml:space="preserve"> </w:t>
      </w:r>
      <w:r w:rsidRPr="00A03B40" w:rsidR="002A68CA">
        <w:t xml:space="preserve"> </w:t>
      </w:r>
    </w:p>
    <w:p w:rsidRPr="00A03B40" w:rsidR="002A73E4" w:rsidP="00B71BFB" w:rsidRDefault="00EA0E75" w14:paraId="64E2F52A" w14:textId="6FC7A7D2">
      <w:pPr>
        <w:pStyle w:val="Standard"/>
      </w:pPr>
      <w:r w:rsidRPr="00A03B40">
        <w:t>SCE’s proposed</w:t>
      </w:r>
      <w:r w:rsidRPr="00A03B40" w:rsidR="002A73E4">
        <w:t xml:space="preserve"> generation service </w:t>
      </w:r>
      <w:r w:rsidRPr="00A03B40" w:rsidR="00CB490E">
        <w:t xml:space="preserve">revenue </w:t>
      </w:r>
      <w:r w:rsidRPr="00A03B40" w:rsidR="002A73E4">
        <w:t xml:space="preserve">requirement </w:t>
      </w:r>
      <w:r w:rsidRPr="00A03B40" w:rsidR="00912F48">
        <w:t xml:space="preserve">also </w:t>
      </w:r>
      <w:r w:rsidRPr="00A03B40" w:rsidR="002A73E4">
        <w:t xml:space="preserve">includes the </w:t>
      </w:r>
      <w:r w:rsidRPr="00A03B40" w:rsidR="00787E26">
        <w:t>estimated</w:t>
      </w:r>
      <w:r w:rsidRPr="00A03B40">
        <w:t xml:space="preserve"> </w:t>
      </w:r>
      <w:r w:rsidRPr="00A03B40" w:rsidR="002A73E4">
        <w:t xml:space="preserve">year-end 2025 balances of the ERRA BA, the PABA, and </w:t>
      </w:r>
      <w:r w:rsidRPr="00A03B40" w:rsidR="008F6635">
        <w:t>SCE’s Energy Settlement Memorandum Account (ESMA) and the Litigation Costs Tracking Account (LCTA, a subaccount of the ESMA),</w:t>
      </w:r>
      <w:r w:rsidRPr="00A03B40" w:rsidR="0019301E">
        <w:rPr>
          <w:rStyle w:val="FootnoteReference"/>
        </w:rPr>
        <w:footnoteReference w:id="276"/>
      </w:r>
      <w:r w:rsidRPr="00A03B40" w:rsidR="008F6635">
        <w:t xml:space="preserve"> </w:t>
      </w:r>
      <w:r w:rsidRPr="00A03B40" w:rsidR="002A73E4">
        <w:t>representing F&amp;PP cost</w:t>
      </w:r>
      <w:r w:rsidRPr="00A03B40" w:rsidR="00EA6513">
        <w:t xml:space="preserve"> </w:t>
      </w:r>
      <w:r w:rsidRPr="00A03B40" w:rsidR="0019301E">
        <w:t>over-collection</w:t>
      </w:r>
      <w:r w:rsidRPr="00A03B40" w:rsidR="00EA6513">
        <w:t>s</w:t>
      </w:r>
      <w:r w:rsidRPr="00A03B40" w:rsidR="008F6635">
        <w:t xml:space="preserve">, </w:t>
      </w:r>
      <w:r w:rsidRPr="00A03B40" w:rsidR="00EA6513">
        <w:t>which would be returned to customers, or F&amp;PP cost</w:t>
      </w:r>
      <w:r w:rsidRPr="00A03B40" w:rsidR="008F6635">
        <w:t>s</w:t>
      </w:r>
      <w:r w:rsidRPr="00A03B40" w:rsidR="002A73E4">
        <w:t xml:space="preserve"> incurred but not recovered in prior years</w:t>
      </w:r>
      <w:r w:rsidRPr="00A03B40" w:rsidR="008F6635">
        <w:t xml:space="preserve"> (</w:t>
      </w:r>
      <w:r w:rsidRPr="00A03B40" w:rsidR="0019301E">
        <w:t>under-collection</w:t>
      </w:r>
      <w:r w:rsidRPr="00A03B40" w:rsidR="008F6635">
        <w:t>s)</w:t>
      </w:r>
      <w:r w:rsidRPr="00A03B40" w:rsidR="00EA6513">
        <w:t>, and offset by actual revenues</w:t>
      </w:r>
      <w:r w:rsidRPr="00A03B40" w:rsidR="002A73E4">
        <w:t>.</w:t>
      </w:r>
      <w:r w:rsidRPr="00A03B40" w:rsidR="002A73E4">
        <w:rPr>
          <w:rStyle w:val="FootnoteReference"/>
        </w:rPr>
        <w:footnoteReference w:id="277"/>
      </w:r>
    </w:p>
    <w:p w:rsidRPr="00A03B40" w:rsidR="00B71BFB" w:rsidP="00B71BFB" w:rsidRDefault="0077407E" w14:paraId="5B022974" w14:textId="36639431">
      <w:pPr>
        <w:pStyle w:val="Heading3"/>
      </w:pPr>
      <w:bookmarkStart w:name="_Toc214629895" w:id="153"/>
      <w:r w:rsidRPr="00A03B40">
        <w:t xml:space="preserve">Generation Service: </w:t>
      </w:r>
      <w:r w:rsidRPr="00A03B40" w:rsidR="004561A1">
        <w:t xml:space="preserve">Updated </w:t>
      </w:r>
      <w:r w:rsidRPr="00A03B40">
        <w:t xml:space="preserve">2026 </w:t>
      </w:r>
      <w:r w:rsidRPr="00A03B40" w:rsidR="002A68CA">
        <w:t xml:space="preserve">Energy Resource </w:t>
      </w:r>
      <w:r w:rsidRPr="00A03B40" w:rsidR="00B71BFB">
        <w:t>Recovery Account Balancing Account</w:t>
      </w:r>
      <w:r w:rsidRPr="00A03B40">
        <w:t xml:space="preserve"> Forecast</w:t>
      </w:r>
      <w:bookmarkEnd w:id="153"/>
    </w:p>
    <w:p w:rsidRPr="00A03B40" w:rsidR="00C22A24" w:rsidP="000D6F1F" w:rsidRDefault="0019301E" w14:paraId="4E5A83F1" w14:textId="30D55C94">
      <w:pPr>
        <w:pStyle w:val="Standard"/>
        <w:widowControl w:val="0"/>
      </w:pPr>
      <w:r w:rsidRPr="00A03B40">
        <w:t>SCE propose</w:t>
      </w:r>
      <w:r w:rsidRPr="00A03B40" w:rsidR="00787E26">
        <w:t>s</w:t>
      </w:r>
      <w:r w:rsidRPr="00A03B40">
        <w:t xml:space="preserve"> </w:t>
      </w:r>
      <w:r w:rsidRPr="00A03B40" w:rsidR="007506E3">
        <w:t>a</w:t>
      </w:r>
      <w:r w:rsidRPr="00A03B40" w:rsidR="004561A1">
        <w:t>n updated</w:t>
      </w:r>
      <w:r w:rsidRPr="00A03B40" w:rsidR="007506E3">
        <w:t xml:space="preserve"> $2.7</w:t>
      </w:r>
      <w:r w:rsidRPr="00A03B40" w:rsidR="00C03715">
        <w:t>1</w:t>
      </w:r>
      <w:r w:rsidRPr="00A03B40" w:rsidR="00912F48">
        <w:t>0</w:t>
      </w:r>
      <w:r w:rsidRPr="00A03B40" w:rsidR="007506E3">
        <w:t xml:space="preserve"> billion </w:t>
      </w:r>
      <w:r w:rsidRPr="00A03B40">
        <w:t>2026 ERRA BA revenue requirement.</w:t>
      </w:r>
      <w:r w:rsidRPr="00A03B40">
        <w:rPr>
          <w:rStyle w:val="FootnoteReference"/>
        </w:rPr>
        <w:footnoteReference w:id="278"/>
      </w:r>
      <w:r w:rsidRPr="00A03B40">
        <w:t xml:space="preserve"> </w:t>
      </w:r>
      <w:bookmarkStart w:name="_Hlk211166904" w:id="154"/>
      <w:r w:rsidRPr="00A03B40" w:rsidR="009F689F">
        <w:t>Pursuant to Pub</w:t>
      </w:r>
      <w:r w:rsidR="007F3AF4">
        <w:t>.</w:t>
      </w:r>
      <w:r w:rsidRPr="00A03B40" w:rsidR="009F689F">
        <w:t xml:space="preserve"> Util</w:t>
      </w:r>
      <w:r w:rsidR="007F3AF4">
        <w:t>.</w:t>
      </w:r>
      <w:r w:rsidRPr="00A03B40" w:rsidR="009F689F">
        <w:t xml:space="preserve"> Code section 454.5 (d)(3), </w:t>
      </w:r>
      <w:r w:rsidRPr="00A03B40" w:rsidR="00912F48">
        <w:t>the Commission</w:t>
      </w:r>
      <w:r w:rsidRPr="00A03B40" w:rsidR="000D6F1F">
        <w:t xml:space="preserve"> adopted the ERRA </w:t>
      </w:r>
      <w:r w:rsidRPr="00A03B40" w:rsidR="00B861E0">
        <w:t>BA</w:t>
      </w:r>
      <w:r w:rsidRPr="00A03B40" w:rsidR="000D6F1F">
        <w:t xml:space="preserve"> as the mechanism by which utilities would track actual procurement costs against forecast amounts.</w:t>
      </w:r>
      <w:bookmarkEnd w:id="154"/>
      <w:r w:rsidRPr="00A03B40" w:rsidR="000D6F1F">
        <w:rPr>
          <w:rStyle w:val="FootnoteReference"/>
        </w:rPr>
        <w:footnoteReference w:id="279"/>
      </w:r>
      <w:r w:rsidRPr="00A03B40" w:rsidR="000D6F1F">
        <w:t xml:space="preserve"> </w:t>
      </w:r>
      <w:bookmarkStart w:name="_Hlk211166944" w:id="155"/>
      <w:r w:rsidRPr="00A03B40" w:rsidR="00DC1A6A">
        <w:t xml:space="preserve">Amounts recorded to the ERRA </w:t>
      </w:r>
      <w:r w:rsidRPr="00A03B40" w:rsidR="00DC1A6A">
        <w:lastRenderedPageBreak/>
        <w:t>BA are recovered from bundled customers through generation service rates.</w:t>
      </w:r>
      <w:r w:rsidRPr="00A03B40" w:rsidR="00DC1A6A">
        <w:rPr>
          <w:rStyle w:val="FootnoteReference"/>
        </w:rPr>
        <w:footnoteReference w:id="280"/>
      </w:r>
    </w:p>
    <w:bookmarkEnd w:id="155"/>
    <w:p w:rsidRPr="00A03B40" w:rsidR="00A831E7" w:rsidP="00C22A24" w:rsidRDefault="00A831E7" w14:paraId="560183C9" w14:textId="3092CA03">
      <w:pPr>
        <w:pStyle w:val="Standard"/>
        <w:widowControl w:val="0"/>
      </w:pPr>
      <w:r w:rsidRPr="00A03B40">
        <w:t>As noted by SCE, it was later authorized to:</w:t>
      </w:r>
    </w:p>
    <w:p w:rsidRPr="00A03B40" w:rsidR="00A831E7" w:rsidP="00927E7A" w:rsidRDefault="00A831E7" w14:paraId="2ADCE37D" w14:textId="377A2569">
      <w:pPr>
        <w:pStyle w:val="Standard"/>
        <w:widowControl w:val="0"/>
        <w:spacing w:after="120" w:line="240" w:lineRule="auto"/>
        <w:ind w:left="720" w:right="1440" w:firstLine="0"/>
      </w:pPr>
      <w:proofErr w:type="spellStart"/>
      <w:r w:rsidRPr="00A03B40">
        <w:t>modif</w:t>
      </w:r>
      <w:proofErr w:type="spellEnd"/>
      <w:r w:rsidRPr="00A03B40">
        <w:t>[y] the ERRA BA to record only the costs associated with SCE’s wholesale short-term market purchases (</w:t>
      </w:r>
      <w:r w:rsidRPr="00A03B40">
        <w:rPr>
          <w:i/>
          <w:iCs/>
        </w:rPr>
        <w:t xml:space="preserve">i.e., </w:t>
      </w:r>
      <w:r w:rsidRPr="00A03B40">
        <w:t xml:space="preserve">the costs of meeting remaining bundled service customers’ full energy and ancillary services requirements through the CAISO market with contract terms of less than one year in duration), the fuel and purchased power costs of any contracted resources that are not eligible for recovery in the PABA or the NSGBA (or any other balancing account), and the actual retained RPS and RA value from SCE’s </w:t>
      </w:r>
      <w:r w:rsidRPr="00A03B40" w:rsidR="008A67E9">
        <w:t>[PABA]</w:t>
      </w:r>
      <w:r w:rsidRPr="00A03B40">
        <w:t xml:space="preserve"> eligible resources (calculated using the Commission-provided Forecast and Final RPS and RA Adders) used to meet bundled service customer requirements.</w:t>
      </w:r>
      <w:r w:rsidRPr="00A03B40">
        <w:rPr>
          <w:rStyle w:val="FootnoteReference"/>
        </w:rPr>
        <w:footnoteReference w:id="281"/>
      </w:r>
    </w:p>
    <w:p w:rsidRPr="00A03B40" w:rsidR="00B47770" w:rsidP="00A831E7" w:rsidRDefault="00DC1A6A" w14:paraId="04106D1C" w14:textId="0D092A29">
      <w:pPr>
        <w:pStyle w:val="Standard"/>
        <w:widowControl w:val="0"/>
        <w:ind w:firstLine="0"/>
      </w:pPr>
      <w:bookmarkStart w:name="_Hlk211166981" w:id="156"/>
      <w:r w:rsidRPr="00A03B40">
        <w:t>T</w:t>
      </w:r>
      <w:r w:rsidRPr="00A03B40" w:rsidR="00581A67">
        <w:t xml:space="preserve">he 2026 ERRA BA forecast is impacted by the disputed issues in this case </w:t>
      </w:r>
      <w:r w:rsidRPr="00A03B40" w:rsidR="00403849">
        <w:t xml:space="preserve">regarding the valuation of certain RPS instruments </w:t>
      </w:r>
      <w:r w:rsidRPr="00A03B40" w:rsidR="00076B13">
        <w:t xml:space="preserve">that may be </w:t>
      </w:r>
      <w:r w:rsidRPr="00A03B40" w:rsidR="00403849">
        <w:t>used for bundled service customer compliance,</w:t>
      </w:r>
      <w:bookmarkEnd w:id="156"/>
      <w:r w:rsidRPr="00A03B40" w:rsidR="00403849">
        <w:t xml:space="preserve"> </w:t>
      </w:r>
      <w:r w:rsidRPr="00A03B40" w:rsidR="00581A67">
        <w:t>discussed in Section 8 of this Decision.</w:t>
      </w:r>
      <w:r w:rsidRPr="00A03B40">
        <w:t xml:space="preserve"> </w:t>
      </w:r>
    </w:p>
    <w:p w:rsidRPr="00A03B40" w:rsidR="0017204B" w:rsidP="0017204B" w:rsidRDefault="00C03715" w14:paraId="495F2F49" w14:textId="43E5D3C4">
      <w:pPr>
        <w:pStyle w:val="Heading4"/>
      </w:pPr>
      <w:r w:rsidRPr="00A03B40">
        <w:t xml:space="preserve">Updated </w:t>
      </w:r>
      <w:r w:rsidRPr="00A03B40" w:rsidR="0017204B">
        <w:t xml:space="preserve">Year-End 2025 Energy Resource Recovery Account </w:t>
      </w:r>
      <w:r w:rsidRPr="00A03B40" w:rsidR="0077407E">
        <w:t>Balance</w:t>
      </w:r>
    </w:p>
    <w:p w:rsidRPr="00A03B40" w:rsidR="002D0C2A" w:rsidP="002D0C2A" w:rsidRDefault="00946ADD" w14:paraId="090655A1" w14:textId="2867F2FF">
      <w:pPr>
        <w:pStyle w:val="Standard"/>
        <w:rPr>
          <w:vertAlign w:val="superscript"/>
        </w:rPr>
      </w:pPr>
      <w:r w:rsidRPr="00A03B40">
        <w:t xml:space="preserve">SCE </w:t>
      </w:r>
      <w:r w:rsidRPr="00A03B40" w:rsidR="00CA7FA2">
        <w:t xml:space="preserve">also </w:t>
      </w:r>
      <w:r w:rsidRPr="00A03B40">
        <w:t xml:space="preserve">requests </w:t>
      </w:r>
      <w:r w:rsidRPr="00A03B40" w:rsidR="004561A1">
        <w:t>approval</w:t>
      </w:r>
      <w:r w:rsidRPr="00A03B40">
        <w:t xml:space="preserve"> of </w:t>
      </w:r>
      <w:r w:rsidRPr="00A03B40" w:rsidR="007506E3">
        <w:t xml:space="preserve">an </w:t>
      </w:r>
      <w:r w:rsidRPr="00A03B40" w:rsidR="00122DEE">
        <w:t xml:space="preserve">updated </w:t>
      </w:r>
      <w:r w:rsidRPr="00A03B40" w:rsidR="007506E3">
        <w:t>estimate</w:t>
      </w:r>
      <w:r w:rsidRPr="00A03B40" w:rsidR="006E2D21">
        <w:t>d</w:t>
      </w:r>
      <w:r w:rsidRPr="00A03B40" w:rsidR="00122DEE">
        <w:t xml:space="preserve"> </w:t>
      </w:r>
      <w:r w:rsidRPr="00A03B40" w:rsidR="007506E3">
        <w:t>$</w:t>
      </w:r>
      <w:r w:rsidRPr="00A03B40" w:rsidR="00CC6CF2">
        <w:t>898.645</w:t>
      </w:r>
      <w:r w:rsidRPr="00A03B40" w:rsidR="007506E3">
        <w:t xml:space="preserve"> </w:t>
      </w:r>
      <w:r w:rsidRPr="00A03B40" w:rsidR="00CC6CF2">
        <w:t>m</w:t>
      </w:r>
      <w:r w:rsidRPr="00A03B40" w:rsidR="007506E3">
        <w:t xml:space="preserve">illion </w:t>
      </w:r>
      <w:r w:rsidRPr="00A03B40" w:rsidR="00E87E55">
        <w:t>over</w:t>
      </w:r>
      <w:r w:rsidRPr="00A03B40" w:rsidR="006E2D21">
        <w:t>-collection</w:t>
      </w:r>
      <w:r w:rsidRPr="00A03B40">
        <w:t xml:space="preserve"> in the ERRA BA</w:t>
      </w:r>
      <w:r w:rsidRPr="00A03B40" w:rsidR="0017204B">
        <w:t xml:space="preserve"> as of December 31, 2025</w:t>
      </w:r>
      <w:r w:rsidRPr="00A03B40">
        <w:t>.</w:t>
      </w:r>
      <w:r w:rsidRPr="00A03B40" w:rsidR="002A68CA">
        <w:t xml:space="preserve"> </w:t>
      </w:r>
      <w:r w:rsidRPr="00A03B40" w:rsidR="008714AD">
        <w:t xml:space="preserve">SCE </w:t>
      </w:r>
      <w:r w:rsidRPr="00A03B40" w:rsidR="000A07AF">
        <w:t>estimates its</w:t>
      </w:r>
      <w:r w:rsidRPr="00A03B40" w:rsidR="008714AD">
        <w:t xml:space="preserve"> year-end </w:t>
      </w:r>
      <w:r w:rsidRPr="00A03B40" w:rsidR="00AF6EBE">
        <w:t xml:space="preserve">2025 </w:t>
      </w:r>
      <w:r w:rsidRPr="00A03B40" w:rsidR="0017204B">
        <w:t xml:space="preserve">ERRA BA </w:t>
      </w:r>
      <w:r w:rsidRPr="00A03B40" w:rsidR="008714AD">
        <w:t xml:space="preserve">balance </w:t>
      </w:r>
      <w:r w:rsidRPr="00A03B40" w:rsidR="00B2273F">
        <w:t xml:space="preserve">using recorded </w:t>
      </w:r>
      <w:r w:rsidRPr="00A03B40" w:rsidR="002D0C2A">
        <w:t xml:space="preserve">amounts </w:t>
      </w:r>
      <w:r w:rsidRPr="00A03B40" w:rsidR="00B2273F">
        <w:t xml:space="preserve">from January through </w:t>
      </w:r>
      <w:r w:rsidRPr="00A03B40" w:rsidR="00122DEE">
        <w:t>September</w:t>
      </w:r>
      <w:r w:rsidRPr="00A03B40" w:rsidR="00B2273F">
        <w:t xml:space="preserve"> </w:t>
      </w:r>
      <w:r w:rsidRPr="00A03B40" w:rsidR="00D82557">
        <w:t>3</w:t>
      </w:r>
      <w:r w:rsidRPr="00A03B40" w:rsidR="00122DEE">
        <w:t>0</w:t>
      </w:r>
      <w:r w:rsidRPr="00A03B40" w:rsidR="00D82557">
        <w:t xml:space="preserve">, </w:t>
      </w:r>
      <w:r w:rsidRPr="00A03B40" w:rsidR="00B2273F">
        <w:t xml:space="preserve">2025, and </w:t>
      </w:r>
      <w:r w:rsidRPr="00A03B40" w:rsidR="002D0C2A">
        <w:t xml:space="preserve">prior-year authorized </w:t>
      </w:r>
      <w:r w:rsidRPr="00A03B40" w:rsidR="00595E0B">
        <w:t>forecasts of the remaining months’ activity</w:t>
      </w:r>
      <w:r w:rsidRPr="00A03B40" w:rsidR="002D0C2A">
        <w:t xml:space="preserve">, adjusted by </w:t>
      </w:r>
      <w:r w:rsidRPr="00A03B40" w:rsidR="00E87E55">
        <w:t>market</w:t>
      </w:r>
      <w:r w:rsidRPr="00A03B40" w:rsidR="002D0C2A">
        <w:t xml:space="preserve"> forwards as of October 3, 2025</w:t>
      </w:r>
      <w:r w:rsidRPr="00A03B40" w:rsidR="008714AD">
        <w:t>.</w:t>
      </w:r>
      <w:r w:rsidRPr="00A03B40" w:rsidR="002D0C2A">
        <w:rPr>
          <w:rStyle w:val="FootnoteReference"/>
        </w:rPr>
        <w:footnoteReference w:id="282"/>
      </w:r>
      <w:r w:rsidRPr="00A03B40" w:rsidR="002A68CA">
        <w:t xml:space="preserve"> </w:t>
      </w:r>
      <w:r w:rsidRPr="00A03B40">
        <w:t xml:space="preserve">SCE </w:t>
      </w:r>
      <w:r w:rsidRPr="00A03B40" w:rsidR="007506E3">
        <w:t xml:space="preserve">states </w:t>
      </w:r>
      <w:r w:rsidRPr="00A03B40" w:rsidR="007506E3">
        <w:lastRenderedPageBreak/>
        <w:t xml:space="preserve">that </w:t>
      </w:r>
      <w:r w:rsidRPr="00A03B40" w:rsidR="00595E0B">
        <w:t xml:space="preserve">the </w:t>
      </w:r>
      <w:r w:rsidRPr="00A03B40" w:rsidR="002D0C2A">
        <w:t xml:space="preserve">forecast </w:t>
      </w:r>
      <w:r w:rsidRPr="00A03B40" w:rsidR="00E87E55">
        <w:t>over</w:t>
      </w:r>
      <w:r w:rsidRPr="00A03B40" w:rsidR="00595E0B">
        <w:t>-collection “is largely the result of the true</w:t>
      </w:r>
      <w:r w:rsidR="006E0D77">
        <w:t xml:space="preserve"> </w:t>
      </w:r>
      <w:r w:rsidRPr="00A03B40" w:rsidR="00595E0B">
        <w:t>up and application of the 2025 Final RA and RPS Adders to actual retained RA and RPS in the ERRA BA.”</w:t>
      </w:r>
      <w:r w:rsidRPr="00A03B40" w:rsidR="00DB4ADE">
        <w:rPr>
          <w:rStyle w:val="FootnoteReference"/>
        </w:rPr>
        <w:footnoteReference w:id="283"/>
      </w:r>
      <w:r w:rsidRPr="00A03B40" w:rsidR="00595E0B">
        <w:rPr>
          <w:vertAlign w:val="superscript"/>
        </w:rPr>
        <w:t xml:space="preserve"> </w:t>
      </w:r>
    </w:p>
    <w:p w:rsidRPr="00A03B40" w:rsidR="006E2D21" w:rsidP="00A45490" w:rsidRDefault="002D0C2A" w14:paraId="297B3CB8" w14:textId="33E5AC91">
      <w:pPr>
        <w:pStyle w:val="Standard"/>
      </w:pPr>
      <w:r w:rsidRPr="00A03B40">
        <w:t>SCE’s request to true</w:t>
      </w:r>
      <w:r w:rsidR="0054655F">
        <w:t xml:space="preserve"> </w:t>
      </w:r>
      <w:r w:rsidRPr="00A03B40">
        <w:t>up its 2025 ERRA BA is a component of its request to true</w:t>
      </w:r>
      <w:r w:rsidR="0054655F">
        <w:t xml:space="preserve"> </w:t>
      </w:r>
      <w:r w:rsidRPr="00A03B40">
        <w:t xml:space="preserve">up its 2025 </w:t>
      </w:r>
      <w:r w:rsidR="0004181E">
        <w:t>PCIA</w:t>
      </w:r>
      <w:r w:rsidRPr="00A03B40">
        <w:t xml:space="preserve"> Surcharges, discussed holistically in Section</w:t>
      </w:r>
      <w:r w:rsidR="005121D7">
        <w:t> </w:t>
      </w:r>
      <w:r w:rsidRPr="00A03B40">
        <w:t xml:space="preserve">8.2.4.1. </w:t>
      </w:r>
      <w:r w:rsidRPr="00A03B40" w:rsidR="006E2D21">
        <w:t>Section</w:t>
      </w:r>
      <w:r w:rsidR="005647D5">
        <w:t> </w:t>
      </w:r>
      <w:r w:rsidRPr="00A03B40" w:rsidR="006E2D21">
        <w:t>8 also illustrates how the year-end 2025 ERRA BA could be impacted by the disputed issues in this case, should SCE use or have used certain RPS instruments for bundled customer compliance in 2025. Finally, SCE’s trued-up forecast year-end 2025 ERRA Trigger Balance exceeded SCE’s ERRA Trigger Point and Threshold as of September 30, 2025</w:t>
      </w:r>
      <w:r w:rsidRPr="00A03B40" w:rsidR="00A555EF">
        <w:t xml:space="preserve">. SCE’s </w:t>
      </w:r>
      <w:r w:rsidRPr="00A03B40" w:rsidR="0020037B">
        <w:t xml:space="preserve">2025 </w:t>
      </w:r>
      <w:r w:rsidRPr="00A03B40" w:rsidR="00A555EF">
        <w:t>trigger exceedance is also addressed in Section 8.2.4.1.</w:t>
      </w:r>
      <w:r w:rsidRPr="00A03B40" w:rsidR="007C502A">
        <w:t xml:space="preserve"> </w:t>
      </w:r>
    </w:p>
    <w:p w:rsidR="00BB1FC7" w:rsidP="00CA7FA2" w:rsidRDefault="00BB1FC7" w14:paraId="2BC3EEF7" w14:textId="7EF0B7A7">
      <w:pPr>
        <w:pStyle w:val="Standard"/>
      </w:pPr>
      <w:r w:rsidRPr="00A03B40">
        <w:t>Upon consideration of the Application, testimonies, comments, briefs, and workpapers</w:t>
      </w:r>
      <w:r w:rsidRPr="00A03B40" w:rsidR="00076B13">
        <w:t xml:space="preserve"> in our record</w:t>
      </w:r>
      <w:r w:rsidRPr="00A03B40">
        <w:t xml:space="preserve">, </w:t>
      </w:r>
      <w:r w:rsidRPr="00A03B40" w:rsidR="00A9062E">
        <w:t xml:space="preserve">and consistent with our determinations in Section 8, </w:t>
      </w:r>
      <w:r w:rsidRPr="00A03B40">
        <w:t xml:space="preserve">we find </w:t>
      </w:r>
      <w:proofErr w:type="gramStart"/>
      <w:r w:rsidRPr="00A03B40">
        <w:t>SCE’s</w:t>
      </w:r>
      <w:proofErr w:type="gramEnd"/>
      <w:r w:rsidRPr="00A03B40">
        <w:t xml:space="preserve"> proposed </w:t>
      </w:r>
      <w:r w:rsidRPr="00A03B40" w:rsidR="008F7ADF">
        <w:t xml:space="preserve">updated </w:t>
      </w:r>
      <w:r w:rsidRPr="00A03B40">
        <w:t>2026 ERRA BA revenue requirement and estimated year</w:t>
      </w:r>
      <w:r w:rsidRPr="00A03B40" w:rsidR="00CA7FA2">
        <w:t>-</w:t>
      </w:r>
      <w:r w:rsidRPr="00A03B40">
        <w:t xml:space="preserve">end 2025 ERRA BA balance reasonable and </w:t>
      </w:r>
      <w:r w:rsidRPr="00A03B40" w:rsidR="00A9062E">
        <w:t xml:space="preserve">forecast </w:t>
      </w:r>
      <w:r w:rsidRPr="00A03B40">
        <w:t xml:space="preserve">consistent with applicable rules, orders, and Commission decisions. </w:t>
      </w:r>
      <w:r w:rsidRPr="00A03B40" w:rsidR="005C2839">
        <w:t>SCE is authorized to transfer its year-end 2025 ERRA balance to the 2025 vintage subaccount of the PABA.</w:t>
      </w:r>
      <w:r w:rsidRPr="00A03B40" w:rsidR="002A68CA">
        <w:t xml:space="preserve"> </w:t>
      </w:r>
    </w:p>
    <w:p w:rsidRPr="00A03B40" w:rsidR="008A36A4" w:rsidP="00BE16C2" w:rsidRDefault="008A36A4" w14:paraId="3129A137" w14:textId="645DE22E">
      <w:pPr>
        <w:pStyle w:val="Heading3"/>
        <w:keepNext w:val="0"/>
        <w:keepLines w:val="0"/>
      </w:pPr>
      <w:bookmarkStart w:name="_Toc214629896" w:id="157"/>
      <w:r w:rsidRPr="00A03B40">
        <w:t xml:space="preserve">Generation Service: </w:t>
      </w:r>
      <w:r w:rsidRPr="00A03B40" w:rsidR="004561A1">
        <w:t xml:space="preserve">Updated </w:t>
      </w:r>
      <w:r w:rsidRPr="00A03B40" w:rsidR="00143C7B">
        <w:t xml:space="preserve">2026 </w:t>
      </w:r>
      <w:r w:rsidRPr="00A03B40">
        <w:t>Portfolio Allocation Balancing Account</w:t>
      </w:r>
      <w:r w:rsidRPr="00A03B40" w:rsidR="00143C7B">
        <w:t xml:space="preserve"> Forecast</w:t>
      </w:r>
      <w:bookmarkEnd w:id="157"/>
    </w:p>
    <w:p w:rsidRPr="00A03B40" w:rsidR="00CA4DCD" w:rsidP="00BE16C2" w:rsidRDefault="00581A67" w14:paraId="3A1DBEC0" w14:textId="60C447D8">
      <w:pPr>
        <w:pStyle w:val="Standard"/>
      </w:pPr>
      <w:r w:rsidRPr="00A03B40">
        <w:t>SCE proposes a 2026 PABA revenue requirement of $1.</w:t>
      </w:r>
      <w:r w:rsidRPr="00A03B40" w:rsidR="005A6436">
        <w:t>494</w:t>
      </w:r>
      <w:r w:rsidRPr="00A03B40">
        <w:t xml:space="preserve"> billion, including FF&amp;U.</w:t>
      </w:r>
      <w:r w:rsidRPr="00A03B40">
        <w:rPr>
          <w:rStyle w:val="FootnoteReference"/>
        </w:rPr>
        <w:footnoteReference w:id="284"/>
      </w:r>
      <w:r w:rsidRPr="00A03B40" w:rsidR="002A68CA">
        <w:t xml:space="preserve"> </w:t>
      </w:r>
      <w:r w:rsidRPr="00A03B40">
        <w:t>D.18-10-019</w:t>
      </w:r>
      <w:r w:rsidRPr="00A03B40" w:rsidR="00335BE2">
        <w:t xml:space="preserve"> modified the balancing accounts to be considered in ERRA forecast proceedings and directed utilities to create </w:t>
      </w:r>
      <w:r w:rsidRPr="00A03B40" w:rsidR="00BD655B">
        <w:t xml:space="preserve">PABAs - </w:t>
      </w:r>
      <w:r w:rsidRPr="00A03B40" w:rsidR="00335BE2">
        <w:t xml:space="preserve">new </w:t>
      </w:r>
      <w:r w:rsidRPr="00A03B40" w:rsidR="00CA4DCD">
        <w:lastRenderedPageBreak/>
        <w:t xml:space="preserve">vintaged </w:t>
      </w:r>
      <w:r w:rsidRPr="00A03B40" w:rsidR="00335BE2">
        <w:t xml:space="preserve">balancing accounts to track above-market costs and revenues associated with their </w:t>
      </w:r>
      <w:r w:rsidR="0004181E">
        <w:t>PCIA</w:t>
      </w:r>
      <w:r w:rsidRPr="00A03B40" w:rsidR="00BD655B">
        <w:t xml:space="preserve">-eligible </w:t>
      </w:r>
      <w:r w:rsidRPr="00A03B40" w:rsidR="00335BE2">
        <w:t>electric portfolios</w:t>
      </w:r>
      <w:r w:rsidRPr="00A03B40" w:rsidR="00BD655B">
        <w:t>, discussed in Section 8, below</w:t>
      </w:r>
      <w:r w:rsidRPr="00A03B40" w:rsidR="00335BE2">
        <w:t>.</w:t>
      </w:r>
      <w:r w:rsidRPr="00A03B40" w:rsidR="001D518A">
        <w:rPr>
          <w:rStyle w:val="FootnoteReference"/>
        </w:rPr>
        <w:footnoteReference w:id="285"/>
      </w:r>
      <w:r w:rsidRPr="00A03B40" w:rsidR="00BD655B">
        <w:rPr>
          <w:vertAlign w:val="superscript"/>
        </w:rPr>
        <w:t>,</w:t>
      </w:r>
      <w:r w:rsidRPr="00A03B40">
        <w:t xml:space="preserve"> </w:t>
      </w:r>
      <w:r w:rsidRPr="00A03B40" w:rsidR="00BD655B">
        <w:rPr>
          <w:rStyle w:val="FootnoteReference"/>
        </w:rPr>
        <w:footnoteReference w:id="286"/>
      </w:r>
      <w:r w:rsidRPr="00A03B40" w:rsidR="00BD655B">
        <w:t xml:space="preserve"> </w:t>
      </w:r>
    </w:p>
    <w:p w:rsidRPr="00A03B40" w:rsidR="00581A67" w:rsidP="00BE16C2" w:rsidRDefault="00CA4DCD" w14:paraId="530AEA9D" w14:textId="4298213F">
      <w:pPr>
        <w:pStyle w:val="Standard"/>
      </w:pPr>
      <w:r w:rsidRPr="00A03B40">
        <w:t>T</w:t>
      </w:r>
      <w:r w:rsidRPr="00A03B40" w:rsidR="00581A67">
        <w:t>he PABA address</w:t>
      </w:r>
      <w:r w:rsidRPr="00A03B40" w:rsidR="00316B9C">
        <w:t>es</w:t>
      </w:r>
      <w:r w:rsidRPr="00A03B40" w:rsidR="00581A67">
        <w:t xml:space="preserve"> the issue of costs incurred, in part, on behalf of customers that no longer receive power generation from SCE; these resources are generally long</w:t>
      </w:r>
      <w:r w:rsidRPr="00A03B40" w:rsidR="00316B9C">
        <w:t>-</w:t>
      </w:r>
      <w:r w:rsidRPr="00A03B40" w:rsidR="00403849">
        <w:t>t</w:t>
      </w:r>
      <w:r w:rsidRPr="00A03B40" w:rsidR="00581A67">
        <w:t>erm, fixed</w:t>
      </w:r>
      <w:r w:rsidR="00D2604E">
        <w:t>-</w:t>
      </w:r>
      <w:r w:rsidRPr="00A03B40" w:rsidR="00581A67">
        <w:t xml:space="preserve">price contract costs and certain </w:t>
      </w:r>
      <w:r w:rsidRPr="00A03B40" w:rsidR="007819BD">
        <w:t>utility-owned</w:t>
      </w:r>
      <w:r w:rsidRPr="00A03B40" w:rsidR="00581A67">
        <w:t xml:space="preserve"> generation costs.</w:t>
      </w:r>
      <w:r w:rsidRPr="00A03B40" w:rsidR="00581A67">
        <w:rPr>
          <w:rStyle w:val="FootnoteReference"/>
        </w:rPr>
        <w:footnoteReference w:id="287"/>
      </w:r>
      <w:r w:rsidRPr="00A03B40" w:rsidR="002A68CA">
        <w:t xml:space="preserve"> </w:t>
      </w:r>
      <w:r w:rsidRPr="00A03B40" w:rsidR="00266E94">
        <w:t>As discussed further in Section 8</w:t>
      </w:r>
      <w:r w:rsidRPr="00A03B40" w:rsidR="00403849">
        <w:t xml:space="preserve"> </w:t>
      </w:r>
      <w:r w:rsidRPr="00A03B40" w:rsidR="00266E94">
        <w:t xml:space="preserve">of this Decision, </w:t>
      </w:r>
      <w:r w:rsidRPr="00A03B40" w:rsidR="00581A67">
        <w:t>the 2026 PABA forecast is impacted by the disputed issues in this case.</w:t>
      </w:r>
    </w:p>
    <w:p w:rsidRPr="00A03B40" w:rsidR="0017204B" w:rsidP="00BE16C2" w:rsidRDefault="004561A1" w14:paraId="27E08C48" w14:textId="6DA9E3B1">
      <w:pPr>
        <w:pStyle w:val="Heading4"/>
        <w:keepNext w:val="0"/>
        <w:keepLines w:val="0"/>
      </w:pPr>
      <w:r w:rsidRPr="00A03B40">
        <w:t xml:space="preserve">Updated </w:t>
      </w:r>
      <w:r w:rsidRPr="00A03B40" w:rsidR="0017204B">
        <w:t xml:space="preserve">Year-End 2025 </w:t>
      </w:r>
      <w:r w:rsidRPr="00A03B40" w:rsidR="009D045A">
        <w:t>Portfolio Allocation Balancing</w:t>
      </w:r>
      <w:r w:rsidRPr="00A03B40" w:rsidR="0017204B">
        <w:t xml:space="preserve"> Account </w:t>
      </w:r>
      <w:r w:rsidRPr="00A03B40" w:rsidR="00143C7B">
        <w:t>Balance</w:t>
      </w:r>
    </w:p>
    <w:p w:rsidRPr="00A03B40" w:rsidR="001542D2" w:rsidP="0017204B" w:rsidRDefault="008F6635" w14:paraId="15C60AFF" w14:textId="116226C1">
      <w:pPr>
        <w:pStyle w:val="Standard"/>
        <w:widowControl w:val="0"/>
      </w:pPr>
      <w:r w:rsidRPr="00A03B40">
        <w:t xml:space="preserve">In addition to </w:t>
      </w:r>
      <w:proofErr w:type="gramStart"/>
      <w:r w:rsidRPr="00A03B40">
        <w:t xml:space="preserve">the </w:t>
      </w:r>
      <w:r w:rsidRPr="00A03B40" w:rsidR="001542D2">
        <w:t>forecast</w:t>
      </w:r>
      <w:proofErr w:type="gramEnd"/>
      <w:r w:rsidRPr="00A03B40" w:rsidR="001542D2">
        <w:t xml:space="preserve"> </w:t>
      </w:r>
      <w:r w:rsidRPr="00A03B40">
        <w:t xml:space="preserve">2026 PABA revenue requirement, </w:t>
      </w:r>
      <w:r w:rsidRPr="00A03B40" w:rsidR="0091744E">
        <w:t>SCE requests recovery of</w:t>
      </w:r>
      <w:r w:rsidRPr="00A03B40" w:rsidR="003A0824">
        <w:t xml:space="preserve"> the estimated remaining PABA balance as of December 31, 2025</w:t>
      </w:r>
      <w:r w:rsidRPr="00A03B40" w:rsidR="00EA6513">
        <w:t>.</w:t>
      </w:r>
      <w:r w:rsidRPr="00A03B40" w:rsidR="002A68CA">
        <w:t xml:space="preserve"> </w:t>
      </w:r>
      <w:r w:rsidRPr="00A03B40" w:rsidR="00BB1FC7">
        <w:t xml:space="preserve">SCE projects that the remaining balance in the PABA </w:t>
      </w:r>
      <w:r w:rsidRPr="00A03B40" w:rsidR="0091744E">
        <w:t xml:space="preserve">at year’s end </w:t>
      </w:r>
      <w:r w:rsidRPr="00A03B40" w:rsidR="00BB1FC7">
        <w:t>will be an under-collection of $1</w:t>
      </w:r>
      <w:r w:rsidRPr="00A03B40" w:rsidR="008F7ADF">
        <w:t>.318 b</w:t>
      </w:r>
      <w:r w:rsidRPr="00A03B40" w:rsidR="00BB1FC7">
        <w:t>illion (including FF&amp;U).</w:t>
      </w:r>
      <w:r w:rsidRPr="00A03B40" w:rsidR="00BB1FC7">
        <w:rPr>
          <w:rStyle w:val="FootnoteReference"/>
        </w:rPr>
        <w:footnoteReference w:id="288"/>
      </w:r>
      <w:r w:rsidRPr="00A03B40" w:rsidR="002A68CA">
        <w:t xml:space="preserve"> </w:t>
      </w:r>
      <w:bookmarkStart w:name="_Hlk211167381" w:id="158"/>
      <w:bookmarkStart w:name="_Hlk211167263" w:id="159"/>
      <w:r w:rsidRPr="00A03B40" w:rsidR="001542D2">
        <w:t>SCE estimates its year-end 2025 PABA balance using recorded amounts from January through September</w:t>
      </w:r>
      <w:r w:rsidR="007819BD">
        <w:t> </w:t>
      </w:r>
      <w:r w:rsidRPr="00A03B40" w:rsidR="001542D2">
        <w:t>30,</w:t>
      </w:r>
      <w:r w:rsidR="007819BD">
        <w:t> </w:t>
      </w:r>
      <w:r w:rsidRPr="00A03B40" w:rsidR="001542D2">
        <w:t>2025, and prior-year authorized forecasts of the remaining months’ activity.</w:t>
      </w:r>
      <w:r w:rsidRPr="00A03B40" w:rsidR="001542D2">
        <w:rPr>
          <w:rStyle w:val="FootnoteReference"/>
        </w:rPr>
        <w:footnoteReference w:id="289"/>
      </w:r>
    </w:p>
    <w:p w:rsidRPr="00A03B40" w:rsidR="002268C5" w:rsidP="0017204B" w:rsidRDefault="001542D2" w14:paraId="60F39237" w14:textId="672FBF93">
      <w:pPr>
        <w:pStyle w:val="Standard"/>
        <w:widowControl w:val="0"/>
      </w:pPr>
      <w:r w:rsidRPr="00A03B40">
        <w:t>Like SCE’s request to true</w:t>
      </w:r>
      <w:r w:rsidR="0054655F">
        <w:t xml:space="preserve"> </w:t>
      </w:r>
      <w:r w:rsidRPr="00A03B40">
        <w:t>up its 2025 ERRA BA, SCE’s request to true</w:t>
      </w:r>
      <w:r w:rsidR="0054655F">
        <w:t xml:space="preserve"> </w:t>
      </w:r>
      <w:r w:rsidRPr="00A03B40">
        <w:t>up its year-end 2025 PABA balance is a component of its request to true</w:t>
      </w:r>
      <w:r w:rsidR="0054655F">
        <w:t xml:space="preserve"> </w:t>
      </w:r>
      <w:r w:rsidRPr="00A03B40">
        <w:t xml:space="preserve">up its 2025 </w:t>
      </w:r>
      <w:r w:rsidR="0004181E">
        <w:t>PCIA</w:t>
      </w:r>
      <w:r w:rsidRPr="00A03B40">
        <w:t xml:space="preserve"> </w:t>
      </w:r>
      <w:r w:rsidR="0004181E">
        <w:t>revenue requirement</w:t>
      </w:r>
      <w:r w:rsidRPr="00A03B40">
        <w:t xml:space="preserve">. </w:t>
      </w:r>
      <w:r w:rsidRPr="00A03B40" w:rsidR="00E44855">
        <w:t xml:space="preserve">The calculation of the 2025 year-end PABA balance </w:t>
      </w:r>
      <w:r w:rsidRPr="00A03B40" w:rsidR="007C502A">
        <w:lastRenderedPageBreak/>
        <w:t>could also be</w:t>
      </w:r>
      <w:r w:rsidRPr="00A03B40" w:rsidR="00E44855">
        <w:t xml:space="preserve"> </w:t>
      </w:r>
      <w:r w:rsidRPr="00A03B40">
        <w:t xml:space="preserve">impacted </w:t>
      </w:r>
      <w:r w:rsidRPr="00A03B40" w:rsidR="00316B9C">
        <w:t>by disputed issues</w:t>
      </w:r>
      <w:bookmarkEnd w:id="158"/>
      <w:r w:rsidRPr="00A03B40" w:rsidR="00316B9C">
        <w:t xml:space="preserve">, </w:t>
      </w:r>
      <w:bookmarkEnd w:id="159"/>
      <w:r w:rsidRPr="00A03B40" w:rsidR="00316B9C">
        <w:t xml:space="preserve">as </w:t>
      </w:r>
      <w:r w:rsidRPr="00A03B40" w:rsidR="00E44855">
        <w:t>addressed in Section</w:t>
      </w:r>
      <w:r w:rsidRPr="00A03B40" w:rsidR="0017204B">
        <w:t xml:space="preserve"> 8</w:t>
      </w:r>
      <w:r w:rsidRPr="00A03B40" w:rsidR="00E44855">
        <w:t xml:space="preserve"> of this Decision.</w:t>
      </w:r>
      <w:r w:rsidRPr="00A03B40" w:rsidR="007C502A">
        <w:t xml:space="preserve"> Finally, </w:t>
      </w:r>
      <w:r w:rsidRPr="00A03B40" w:rsidR="00173437">
        <w:t>SCE’s</w:t>
      </w:r>
      <w:r w:rsidRPr="00A03B40" w:rsidR="007C502A">
        <w:t xml:space="preserve"> true</w:t>
      </w:r>
      <w:r w:rsidR="006E0D77">
        <w:t xml:space="preserve"> </w:t>
      </w:r>
      <w:r w:rsidRPr="00A03B40" w:rsidR="007C502A">
        <w:t>up of the year-end 2025 PABA</w:t>
      </w:r>
      <w:r w:rsidRPr="00A03B40" w:rsidR="00735052">
        <w:t xml:space="preserve"> </w:t>
      </w:r>
      <w:r w:rsidRPr="00A03B40" w:rsidR="007C502A">
        <w:t xml:space="preserve">contributed to SCE’s </w:t>
      </w:r>
      <w:r w:rsidRPr="00A03B40" w:rsidR="00735052">
        <w:t xml:space="preserve">2025 </w:t>
      </w:r>
      <w:r w:rsidRPr="00A03B40" w:rsidR="007C502A">
        <w:t>ERRA Trigger exceedance</w:t>
      </w:r>
      <w:r w:rsidRPr="00A03B40" w:rsidR="00173437">
        <w:t>, also discussed in Section 8.</w:t>
      </w:r>
      <w:r w:rsidRPr="00A03B40" w:rsidR="007C502A">
        <w:t xml:space="preserve">  </w:t>
      </w:r>
    </w:p>
    <w:p w:rsidRPr="00A03B40" w:rsidR="003A0824" w:rsidP="004B0693" w:rsidRDefault="002268C5" w14:paraId="7CE5D299" w14:textId="3AE47B3D">
      <w:pPr>
        <w:pStyle w:val="Standard"/>
      </w:pPr>
      <w:r w:rsidRPr="00A03B40">
        <w:t xml:space="preserve">Upon consideration of the Application, testimonies, comments, briefs, and workpapers </w:t>
      </w:r>
      <w:r w:rsidRPr="00A03B40" w:rsidR="00316B9C">
        <w:t>submitted in this proceeding,</w:t>
      </w:r>
      <w:r w:rsidRPr="00A03B40" w:rsidR="00E44855">
        <w:t xml:space="preserve"> </w:t>
      </w:r>
      <w:r w:rsidRPr="00A03B40" w:rsidR="00BD655B">
        <w:t xml:space="preserve">and consistent with our reasoning and findings related to disputed issues as expressed in Section 8, </w:t>
      </w:r>
      <w:r w:rsidRPr="00A03B40">
        <w:t xml:space="preserve">we find SCE’s proposed 2026 PABA revenue requirement </w:t>
      </w:r>
      <w:r w:rsidRPr="00A03B40" w:rsidR="00403849">
        <w:t>and year-end 2025 PABA</w:t>
      </w:r>
      <w:r w:rsidR="00EC39AF">
        <w:t xml:space="preserve"> balance</w:t>
      </w:r>
      <w:r w:rsidRPr="00A03B40" w:rsidR="00403849">
        <w:t xml:space="preserve">, as proposed in its </w:t>
      </w:r>
      <w:r w:rsidR="0004181E">
        <w:t xml:space="preserve">Amended </w:t>
      </w:r>
      <w:r w:rsidRPr="00A03B40" w:rsidR="00403849">
        <w:t>October Update</w:t>
      </w:r>
      <w:r w:rsidRPr="00A03B40" w:rsidR="00BD655B">
        <w:t xml:space="preserve">, to be based on reasonable interpretations of </w:t>
      </w:r>
      <w:r w:rsidRPr="00A03B40">
        <w:t>applicable rules and Commission decisions</w:t>
      </w:r>
      <w:r w:rsidRPr="00A03B40" w:rsidR="00BD655B">
        <w:t>, and so we approve them</w:t>
      </w:r>
      <w:r w:rsidRPr="00A03B40">
        <w:t xml:space="preserve">. </w:t>
      </w:r>
    </w:p>
    <w:p w:rsidRPr="00A03B40" w:rsidR="007156B9" w:rsidP="00B74F84" w:rsidRDefault="008A36A4" w14:paraId="29DF8633" w14:textId="5E95E908">
      <w:pPr>
        <w:pStyle w:val="Heading3"/>
      </w:pPr>
      <w:bookmarkStart w:name="_Toc214629897" w:id="160"/>
      <w:r w:rsidRPr="00A03B40">
        <w:t xml:space="preserve">Generation Service: </w:t>
      </w:r>
      <w:r w:rsidRPr="00A03B40" w:rsidR="004561A1">
        <w:t xml:space="preserve">Updated </w:t>
      </w:r>
      <w:r w:rsidRPr="00A03B40" w:rsidR="00143C7B">
        <w:t xml:space="preserve">2026 </w:t>
      </w:r>
      <w:r w:rsidRPr="00A03B40">
        <w:t>Green Tariff Shared Renewables Balancing Account</w:t>
      </w:r>
      <w:r w:rsidRPr="00A03B40" w:rsidR="00143C7B">
        <w:t xml:space="preserve"> Forecast</w:t>
      </w:r>
      <w:bookmarkEnd w:id="160"/>
    </w:p>
    <w:p w:rsidRPr="00A03B40" w:rsidR="00850829" w:rsidP="008F6635" w:rsidRDefault="00850829" w14:paraId="05EDBF43" w14:textId="16BCBE80">
      <w:pPr>
        <w:pStyle w:val="Standard"/>
      </w:pPr>
      <w:r w:rsidRPr="00A03B40">
        <w:t xml:space="preserve">SCE requests </w:t>
      </w:r>
      <w:r w:rsidRPr="00A03B40" w:rsidR="000617FA">
        <w:t>a</w:t>
      </w:r>
      <w:r w:rsidRPr="00A03B40" w:rsidR="004561A1">
        <w:t xml:space="preserve">n updated </w:t>
      </w:r>
      <w:r w:rsidRPr="00A03B40" w:rsidR="000617FA">
        <w:t>2026 GTSR revenue requirement of $7.</w:t>
      </w:r>
      <w:r w:rsidRPr="00A03B40" w:rsidR="004561A1">
        <w:t>308</w:t>
      </w:r>
      <w:r w:rsidR="006D7B5B">
        <w:t> </w:t>
      </w:r>
      <w:r w:rsidRPr="00A03B40" w:rsidR="000617FA">
        <w:t>million</w:t>
      </w:r>
      <w:r w:rsidRPr="00A03B40" w:rsidR="00A81407">
        <w:t xml:space="preserve">, including </w:t>
      </w:r>
      <w:r w:rsidRPr="00A03B40" w:rsidR="008F6635">
        <w:t>FF&amp;U</w:t>
      </w:r>
      <w:r w:rsidRPr="00A03B40" w:rsidR="000617FA">
        <w:t>.</w:t>
      </w:r>
      <w:r w:rsidRPr="00A03B40" w:rsidR="008F6635">
        <w:rPr>
          <w:rStyle w:val="FootnoteReference"/>
        </w:rPr>
        <w:footnoteReference w:id="290"/>
      </w:r>
      <w:r w:rsidRPr="00A03B40" w:rsidR="002A68CA">
        <w:t xml:space="preserve"> </w:t>
      </w:r>
      <w:bookmarkStart w:name="_Hlk211169230" w:id="161"/>
      <w:r w:rsidRPr="00A03B40" w:rsidR="003B78F8">
        <w:t xml:space="preserve">D.15-01-015 authorized SCE to track the actual costs of contracts procured pursuant to </w:t>
      </w:r>
      <w:r w:rsidRPr="00A03B40" w:rsidR="008F6635">
        <w:t xml:space="preserve">SCE’s </w:t>
      </w:r>
      <w:r w:rsidRPr="00A03B40" w:rsidR="00CA4DCD">
        <w:t>GT</w:t>
      </w:r>
      <w:r w:rsidRPr="00A03B40" w:rsidR="008F6635">
        <w:t xml:space="preserve"> program</w:t>
      </w:r>
      <w:r w:rsidRPr="00A03B40" w:rsidR="003B78F8">
        <w:t>, which</w:t>
      </w:r>
      <w:r w:rsidRPr="00A03B40" w:rsidR="00E23493">
        <w:t xml:space="preserve"> allows customers opportunities to purchase more power from renewable sources</w:t>
      </w:r>
      <w:r w:rsidRPr="00A03B40" w:rsidR="008F6635">
        <w:t>.</w:t>
      </w:r>
      <w:r w:rsidRPr="00A03B40" w:rsidR="00CA4DCD">
        <w:rPr>
          <w:rStyle w:val="FootnoteReference"/>
        </w:rPr>
        <w:footnoteReference w:id="291"/>
      </w:r>
      <w:r w:rsidRPr="00A03B40" w:rsidR="002A68CA">
        <w:t xml:space="preserve"> </w:t>
      </w:r>
      <w:r w:rsidRPr="00A03B40" w:rsidR="003B78F8">
        <w:t>C</w:t>
      </w:r>
      <w:r w:rsidRPr="00A03B40" w:rsidR="00E23493">
        <w:t xml:space="preserve">osts tracked in the GTSRBA are recovered from </w:t>
      </w:r>
      <w:bookmarkEnd w:id="161"/>
      <w:r w:rsidRPr="00A03B40" w:rsidR="002F3CBD">
        <w:t>SCE’s bundled service customers.</w:t>
      </w:r>
      <w:r w:rsidRPr="00A03B40" w:rsidR="002F3CBD">
        <w:rPr>
          <w:rStyle w:val="FootnoteReference"/>
        </w:rPr>
        <w:footnoteReference w:id="292"/>
      </w:r>
    </w:p>
    <w:p w:rsidRPr="00A03B40" w:rsidR="00A81407" w:rsidP="006104D7" w:rsidRDefault="00A81407" w14:paraId="1D01631D" w14:textId="6392C2FF">
      <w:pPr>
        <w:pStyle w:val="Standard"/>
      </w:pPr>
      <w:r w:rsidRPr="00A03B40">
        <w:t>N</w:t>
      </w:r>
      <w:r w:rsidRPr="00A03B40" w:rsidR="00066574">
        <w:t>o</w:t>
      </w:r>
      <w:r w:rsidRPr="00A03B40">
        <w:t xml:space="preserve"> party has opposed or commented on SCE’s proposed 2026 GTSR revenue requirement.</w:t>
      </w:r>
      <w:r w:rsidRPr="00A03B40" w:rsidR="002A68CA">
        <w:t xml:space="preserve"> </w:t>
      </w:r>
      <w:r w:rsidRPr="00A03B40">
        <w:t xml:space="preserve">Upon consideration of the Application, testimonies, and workpapers, we find </w:t>
      </w:r>
      <w:proofErr w:type="gramStart"/>
      <w:r w:rsidRPr="00A03B40">
        <w:t>SCE’s</w:t>
      </w:r>
      <w:proofErr w:type="gramEnd"/>
      <w:r w:rsidRPr="00A03B40">
        <w:t xml:space="preserve"> proposed 2026 GTSRBA revenue requirement </w:t>
      </w:r>
      <w:r w:rsidRPr="00A03B40">
        <w:lastRenderedPageBreak/>
        <w:t>reasonable and consistent with applicable rules, orders, and Commission decisions</w:t>
      </w:r>
      <w:r w:rsidRPr="00A03B40" w:rsidR="001B161D">
        <w:t>, and approve it</w:t>
      </w:r>
      <w:r w:rsidRPr="00A03B40">
        <w:t>.</w:t>
      </w:r>
    </w:p>
    <w:p w:rsidRPr="00A03B40" w:rsidR="00066574" w:rsidP="006104D7" w:rsidRDefault="006104D7" w14:paraId="6B6387CC" w14:textId="29A0E499">
      <w:pPr>
        <w:pStyle w:val="Heading3"/>
      </w:pPr>
      <w:bookmarkStart w:name="_Toc214629898" w:id="162"/>
      <w:r w:rsidRPr="00A03B40">
        <w:t xml:space="preserve">Generation Service: </w:t>
      </w:r>
      <w:r w:rsidRPr="00A03B40" w:rsidR="00066574">
        <w:t>Estimated Energy Settlement Refunds and Litigation Costs</w:t>
      </w:r>
      <w:r w:rsidRPr="00A03B40" w:rsidR="00143C7B">
        <w:t xml:space="preserve"> </w:t>
      </w:r>
      <w:r w:rsidRPr="00A03B40" w:rsidR="00544A2E">
        <w:t xml:space="preserve">Tracking Account </w:t>
      </w:r>
      <w:r w:rsidRPr="00A03B40" w:rsidR="00143C7B">
        <w:t>Year-End 2025 Balance</w:t>
      </w:r>
      <w:bookmarkEnd w:id="162"/>
    </w:p>
    <w:p w:rsidRPr="00A03B40" w:rsidR="006104D7" w:rsidP="00544A2E" w:rsidRDefault="00544A2E" w14:paraId="5C2A1036" w14:textId="43F0836D">
      <w:pPr>
        <w:pStyle w:val="Standard"/>
      </w:pPr>
      <w:r w:rsidRPr="00A03B40">
        <w:t xml:space="preserve">SCE requests </w:t>
      </w:r>
      <w:r w:rsidRPr="00A03B40" w:rsidR="00B50CE3">
        <w:t>to put into 2026 rates</w:t>
      </w:r>
      <w:r w:rsidRPr="00A03B40">
        <w:t xml:space="preserve"> an estimated $0 in settlement refunds remaining in the ESMA and recorded litigation costs of $</w:t>
      </w:r>
      <w:r w:rsidRPr="00A03B40" w:rsidR="00642488">
        <w:t>1.314</w:t>
      </w:r>
      <w:r w:rsidRPr="00A03B40">
        <w:t xml:space="preserve"> million remaining in the LCTA-ESMA as of December 31, 2025, including FF&amp;U.</w:t>
      </w:r>
      <w:r w:rsidRPr="00A03B40">
        <w:rPr>
          <w:rStyle w:val="FootnoteReference"/>
        </w:rPr>
        <w:footnoteReference w:id="293"/>
      </w:r>
      <w:r w:rsidRPr="00A03B40">
        <w:t xml:space="preserve"> </w:t>
      </w:r>
      <w:bookmarkStart w:name="_Hlk211170980" w:id="163"/>
      <w:r w:rsidRPr="00A03B40" w:rsidR="007E725F">
        <w:t>SCE is pursuing refunds from generators who overcharged SCE (and the other California IOUs) for electricity during the 2000-2001 California Energy Crisis.</w:t>
      </w:r>
      <w:r w:rsidRPr="00A03B40" w:rsidR="002A68CA">
        <w:t xml:space="preserve"> </w:t>
      </w:r>
      <w:r w:rsidRPr="00A03B40" w:rsidR="0053090A">
        <w:t xml:space="preserve">SCE tracks </w:t>
      </w:r>
      <w:r w:rsidRPr="00A03B40" w:rsidR="00276BF8">
        <w:t xml:space="preserve">such settlement funds in the ESMA and returns them to customers. </w:t>
      </w:r>
      <w:r w:rsidRPr="00A03B40" w:rsidR="0053090A">
        <w:t>In Res</w:t>
      </w:r>
      <w:r w:rsidRPr="00A03B40" w:rsidR="00403849">
        <w:t>.</w:t>
      </w:r>
      <w:r w:rsidRPr="00A03B40" w:rsidR="0053090A">
        <w:t xml:space="preserve"> E-3894, the Commission required SCE to maintain a</w:t>
      </w:r>
      <w:r w:rsidRPr="00A03B40" w:rsidR="006804F6">
        <w:t>n</w:t>
      </w:r>
      <w:r w:rsidRPr="00A03B40" w:rsidR="0053090A">
        <w:t xml:space="preserve"> </w:t>
      </w:r>
      <w:r w:rsidRPr="00A03B40" w:rsidR="000A07AF">
        <w:t xml:space="preserve">LCTA </w:t>
      </w:r>
      <w:r w:rsidRPr="00A03B40" w:rsidR="0053090A">
        <w:t>within the ESMA to track the litigation costs that are set</w:t>
      </w:r>
      <w:r w:rsidRPr="00A03B40" w:rsidR="006804F6">
        <w:t xml:space="preserve"> </w:t>
      </w:r>
      <w:r w:rsidRPr="00A03B40" w:rsidR="0053090A">
        <w:t>aside in the Federal Energy Regulatory Commission investigation settlement agreements and actual litigation costs incurred by SCE.</w:t>
      </w:r>
      <w:r w:rsidRPr="00A03B40" w:rsidR="00276BF8">
        <w:rPr>
          <w:rStyle w:val="FootnoteReference"/>
        </w:rPr>
        <w:footnoteReference w:id="294"/>
      </w:r>
      <w:r w:rsidRPr="00A03B40" w:rsidR="00276BF8">
        <w:t xml:space="preserve"> These costs are netted against any settlement refunds before the remaining balance is returned to ratepayers.</w:t>
      </w:r>
      <w:r w:rsidRPr="00A03B40">
        <w:rPr>
          <w:rStyle w:val="FootnoteReference"/>
        </w:rPr>
        <w:footnoteReference w:id="295"/>
      </w:r>
    </w:p>
    <w:bookmarkEnd w:id="163"/>
    <w:p w:rsidRPr="00A03B40" w:rsidR="006104D7" w:rsidP="002A68CA" w:rsidRDefault="00276BF8" w14:paraId="762A9F31" w14:textId="2959BC49">
      <w:pPr>
        <w:pStyle w:val="Standard"/>
        <w:widowControl w:val="0"/>
      </w:pPr>
      <w:r w:rsidRPr="00A03B40">
        <w:t xml:space="preserve">No party commented on SCE’s </w:t>
      </w:r>
      <w:r w:rsidRPr="00A03B40" w:rsidR="002B020A">
        <w:t>forecasts</w:t>
      </w:r>
      <w:r w:rsidRPr="00A03B40">
        <w:t xml:space="preserve"> </w:t>
      </w:r>
      <w:proofErr w:type="gramStart"/>
      <w:r w:rsidRPr="00A03B40">
        <w:t>of remaining</w:t>
      </w:r>
      <w:proofErr w:type="gramEnd"/>
      <w:r w:rsidRPr="00A03B40">
        <w:t xml:space="preserve"> </w:t>
      </w:r>
      <w:r w:rsidRPr="00A03B40" w:rsidR="00544A2E">
        <w:t xml:space="preserve">year-end </w:t>
      </w:r>
      <w:r w:rsidRPr="00A03B40">
        <w:t xml:space="preserve">2025 ESMA/LCTA costs. Upon </w:t>
      </w:r>
      <w:r w:rsidRPr="00A03B40" w:rsidR="002A68CA">
        <w:t>review</w:t>
      </w:r>
      <w:r w:rsidRPr="00A03B40">
        <w:t xml:space="preserve"> of </w:t>
      </w:r>
      <w:r w:rsidRPr="00A03B40" w:rsidR="000A07AF">
        <w:t>SCE’s</w:t>
      </w:r>
      <w:r w:rsidRPr="00A03B40">
        <w:t xml:space="preserve"> Application, testimonies, and workpapers, we find SCE’s </w:t>
      </w:r>
      <w:r w:rsidRPr="00A03B40" w:rsidR="002B020A">
        <w:t>forecasts</w:t>
      </w:r>
      <w:r w:rsidRPr="00A03B40">
        <w:t xml:space="preserve"> of </w:t>
      </w:r>
      <w:r w:rsidRPr="00A03B40" w:rsidR="002A68CA">
        <w:t>these costs</w:t>
      </w:r>
      <w:r w:rsidRPr="00A03B40">
        <w:t xml:space="preserve"> reasonable and consistent with applicable rules</w:t>
      </w:r>
      <w:r w:rsidRPr="00A03B40" w:rsidR="002A68CA">
        <w:t xml:space="preserve"> </w:t>
      </w:r>
      <w:r w:rsidRPr="00A03B40">
        <w:t>and Commission decisions</w:t>
      </w:r>
      <w:r w:rsidRPr="00A03B40" w:rsidR="002A68CA">
        <w:t xml:space="preserve"> and therefore approve the</w:t>
      </w:r>
      <w:r w:rsidRPr="00A03B40" w:rsidR="002B020A">
        <w:t>m</w:t>
      </w:r>
      <w:r w:rsidRPr="00A03B40">
        <w:t>.</w:t>
      </w:r>
    </w:p>
    <w:p w:rsidRPr="00A03B40" w:rsidR="005B4CE9" w:rsidP="005B4CE9" w:rsidRDefault="005B4CE9" w14:paraId="7F75022E" w14:textId="4FD094E8">
      <w:pPr>
        <w:pStyle w:val="Heading2"/>
      </w:pPr>
      <w:bookmarkStart w:name="_Toc214629899" w:id="164"/>
      <w:r w:rsidRPr="00A03B40">
        <w:t>Delivery Service Revenue Requirement</w:t>
      </w:r>
      <w:bookmarkEnd w:id="164"/>
    </w:p>
    <w:p w:rsidRPr="00A03B40" w:rsidR="00CB490E" w:rsidP="00884051" w:rsidRDefault="004332E6" w14:paraId="7A6D5DE1" w14:textId="4DFE51CB">
      <w:pPr>
        <w:pStyle w:val="Standard"/>
      </w:pPr>
      <w:r w:rsidRPr="00A03B40">
        <w:t>SCE proposes a delivery service revenue requirement of $5</w:t>
      </w:r>
      <w:r w:rsidRPr="00A03B40" w:rsidR="00E95C01">
        <w:t>6</w:t>
      </w:r>
      <w:r w:rsidRPr="00A03B40">
        <w:t>.</w:t>
      </w:r>
      <w:r w:rsidRPr="00A03B40" w:rsidR="00740537">
        <w:t>4</w:t>
      </w:r>
      <w:r w:rsidRPr="00A03B40" w:rsidR="00E95C01">
        <w:t>74</w:t>
      </w:r>
      <w:r w:rsidRPr="00A03B40">
        <w:t xml:space="preserve"> million.</w:t>
      </w:r>
      <w:r w:rsidRPr="00A03B40">
        <w:rPr>
          <w:rStyle w:val="FootnoteReference"/>
        </w:rPr>
        <w:footnoteReference w:id="296"/>
      </w:r>
      <w:r w:rsidRPr="00A03B40">
        <w:t xml:space="preserve"> This total delivery service revenue requirement forecast is $</w:t>
      </w:r>
      <w:r w:rsidRPr="00A03B40" w:rsidR="00740537">
        <w:t>14</w:t>
      </w:r>
      <w:r w:rsidRPr="00A03B40" w:rsidR="00E95C01">
        <w:t>8</w:t>
      </w:r>
      <w:r w:rsidRPr="00A03B40">
        <w:t>.</w:t>
      </w:r>
      <w:r w:rsidRPr="00A03B40" w:rsidR="00740537">
        <w:t>16</w:t>
      </w:r>
      <w:r w:rsidRPr="00A03B40" w:rsidR="00E95C01">
        <w:t>8</w:t>
      </w:r>
      <w:r w:rsidRPr="00A03B40">
        <w:t xml:space="preserve"> million </w:t>
      </w:r>
      <w:r w:rsidRPr="00A03B40" w:rsidR="005176D9">
        <w:t>more</w:t>
      </w:r>
      <w:r w:rsidRPr="00A03B40">
        <w:t xml:space="preserve"> </w:t>
      </w:r>
      <w:r w:rsidRPr="00A03B40">
        <w:lastRenderedPageBreak/>
        <w:t>than the forecast included in current rates</w:t>
      </w:r>
      <w:r w:rsidRPr="00A03B40" w:rsidR="005176D9">
        <w:t xml:space="preserve"> (negative $91.694 million)</w:t>
      </w:r>
      <w:r w:rsidRPr="00A03B40">
        <w:t>.</w:t>
      </w:r>
      <w:r w:rsidRPr="00A03B40">
        <w:rPr>
          <w:rStyle w:val="FootnoteReference"/>
        </w:rPr>
        <w:footnoteReference w:id="297"/>
      </w:r>
      <w:r w:rsidRPr="00A03B40" w:rsidR="002A68CA">
        <w:t xml:space="preserve"> </w:t>
      </w:r>
      <w:r w:rsidRPr="00A03B40">
        <w:t>SCE’s delivery service revenue requirement is recovered from all bundled and departing load SCE customers through allocation mechanisms other than the CTC, the PCIA, and the Wildfire Non</w:t>
      </w:r>
      <w:r w:rsidR="00EC39AF">
        <w:t>-</w:t>
      </w:r>
      <w:proofErr w:type="spellStart"/>
      <w:r w:rsidRPr="00A03B40" w:rsidR="002A68CA">
        <w:t>b</w:t>
      </w:r>
      <w:r w:rsidRPr="00A03B40">
        <w:t>ypassable</w:t>
      </w:r>
      <w:proofErr w:type="spellEnd"/>
      <w:r w:rsidRPr="00A03B40">
        <w:t xml:space="preserve"> Charge</w:t>
      </w:r>
      <w:r w:rsidRPr="00A03B40" w:rsidR="001F1FB0">
        <w:t xml:space="preserve"> (NBC)</w:t>
      </w:r>
      <w:r w:rsidRPr="00A03B40">
        <w:t>.</w:t>
      </w:r>
      <w:r w:rsidRPr="00A03B40">
        <w:rPr>
          <w:rStyle w:val="FootnoteReference"/>
        </w:rPr>
        <w:footnoteReference w:id="298"/>
      </w:r>
      <w:r w:rsidRPr="00A03B40" w:rsidR="000A07AF">
        <w:rPr>
          <w:vertAlign w:val="superscript"/>
        </w:rPr>
        <w:t>,</w:t>
      </w:r>
      <w:r w:rsidRPr="00A03B40" w:rsidR="000A07AF">
        <w:t xml:space="preserve"> </w:t>
      </w:r>
      <w:r w:rsidRPr="00A03B40" w:rsidR="000A07AF">
        <w:rPr>
          <w:rStyle w:val="FootnoteReference"/>
        </w:rPr>
        <w:footnoteReference w:id="299"/>
      </w:r>
    </w:p>
    <w:p w:rsidRPr="00A03B40" w:rsidR="000648E4" w:rsidP="000648E4" w:rsidRDefault="000648E4" w14:paraId="129F47A5" w14:textId="41070C88">
      <w:pPr>
        <w:pStyle w:val="Standard"/>
      </w:pPr>
      <w:r w:rsidRPr="00A03B40">
        <w:t xml:space="preserve">The delivery service revenue requirement includes, in </w:t>
      </w:r>
      <w:r w:rsidRPr="00A03B40" w:rsidR="00B914BF">
        <w:t>total</w:t>
      </w:r>
      <w:r w:rsidRPr="00A03B40">
        <w:t xml:space="preserve">: (1) 2026 </w:t>
      </w:r>
      <w:r w:rsidRPr="00A03B40" w:rsidR="000A07AF">
        <w:t xml:space="preserve">NSG </w:t>
      </w:r>
      <w:r w:rsidRPr="00A03B40">
        <w:t xml:space="preserve">forecast F&amp;PP and GHG costs (including CPE-related costs) and the </w:t>
      </w:r>
      <w:r w:rsidRPr="00A03B40" w:rsidR="00403849">
        <w:t xml:space="preserve">estimated </w:t>
      </w:r>
      <w:r w:rsidRPr="00A03B40">
        <w:t xml:space="preserve">year-end 2025 NSGBA balance; (2) 2026 System Reliability MCAM-related forecast costs and the estimated </w:t>
      </w:r>
      <w:r w:rsidRPr="00A03B40" w:rsidR="002A68CA">
        <w:t>year-end</w:t>
      </w:r>
      <w:r w:rsidRPr="00A03B40">
        <w:t xml:space="preserve"> 2025 balance in the MCAMBA; (3) 2026 forecast spent nuclear fuel storage </w:t>
      </w:r>
      <w:r w:rsidRPr="00A03B40" w:rsidR="000A07AF">
        <w:t>costs</w:t>
      </w:r>
      <w:r w:rsidRPr="00A03B40">
        <w:t xml:space="preserve">; (4) the 2026 </w:t>
      </w:r>
      <w:r w:rsidRPr="00A03B40" w:rsidR="005176D9">
        <w:t>Base Revenue Requirement Balancing Account, Distribution sub account (</w:t>
      </w:r>
      <w:r w:rsidRPr="00A03B40">
        <w:t>BRRBA-Distribution</w:t>
      </w:r>
      <w:r w:rsidRPr="00A03B40" w:rsidR="005176D9">
        <w:t>)</w:t>
      </w:r>
      <w:r w:rsidRPr="00A03B40">
        <w:t xml:space="preserve"> </w:t>
      </w:r>
      <w:r w:rsidRPr="00A03B40" w:rsidR="002A68CA">
        <w:t>F&amp;PP</w:t>
      </w:r>
      <w:r w:rsidRPr="00A03B40">
        <w:t xml:space="preserve"> forecast costs; (5) </w:t>
      </w:r>
      <w:r w:rsidRPr="00A03B40" w:rsidR="00654F03">
        <w:t xml:space="preserve">GHG allowance revenues; (6) </w:t>
      </w:r>
      <w:r w:rsidRPr="00A03B40">
        <w:t xml:space="preserve">2026 Public Purpose Programs Charge </w:t>
      </w:r>
      <w:r w:rsidRPr="00A03B40" w:rsidR="00544A2E">
        <w:t xml:space="preserve">(PPPC) </w:t>
      </w:r>
      <w:r w:rsidRPr="00A03B40">
        <w:t xml:space="preserve">forecast </w:t>
      </w:r>
      <w:r w:rsidRPr="00A03B40" w:rsidR="00654F03">
        <w:t xml:space="preserve">F&amp;PP </w:t>
      </w:r>
      <w:r w:rsidRPr="00A03B40">
        <w:t xml:space="preserve">costs, including those related to the </w:t>
      </w:r>
      <w:r w:rsidRPr="00A03B40" w:rsidR="000A07AF">
        <w:t xml:space="preserve">Tree Mortality </w:t>
      </w:r>
      <w:r w:rsidRPr="00A03B40" w:rsidR="001F1FB0">
        <w:t>NBC</w:t>
      </w:r>
      <w:r w:rsidRPr="00A03B40" w:rsidR="000A07AF">
        <w:t xml:space="preserve"> (</w:t>
      </w:r>
      <w:r w:rsidRPr="00A03B40">
        <w:t>TMNBC</w:t>
      </w:r>
      <w:r w:rsidRPr="00A03B40" w:rsidR="000A07AF">
        <w:t>)</w:t>
      </w:r>
      <w:r w:rsidRPr="00A03B40">
        <w:t xml:space="preserve">, the </w:t>
      </w:r>
      <w:proofErr w:type="spellStart"/>
      <w:r w:rsidRPr="00A03B40" w:rsidR="000A07AF">
        <w:t>BioMAT</w:t>
      </w:r>
      <w:proofErr w:type="spellEnd"/>
      <w:r w:rsidRPr="00A03B40" w:rsidR="000A07AF">
        <w:t xml:space="preserve"> </w:t>
      </w:r>
      <w:r w:rsidRPr="00A03B40" w:rsidR="001F1FB0">
        <w:t>NBC</w:t>
      </w:r>
      <w:r w:rsidRPr="00A03B40" w:rsidR="000A07AF">
        <w:t xml:space="preserve"> (</w:t>
      </w:r>
      <w:r w:rsidRPr="00A03B40">
        <w:t>BMNBC</w:t>
      </w:r>
      <w:r w:rsidRPr="00A03B40" w:rsidR="000A07AF">
        <w:t>)</w:t>
      </w:r>
      <w:r w:rsidRPr="00A03B40">
        <w:t xml:space="preserve">, </w:t>
      </w:r>
      <w:r w:rsidRPr="00A03B40" w:rsidR="000A07AF">
        <w:t>Local Capacity Requirement (</w:t>
      </w:r>
      <w:r w:rsidRPr="00A03B40">
        <w:t>LCR</w:t>
      </w:r>
      <w:r w:rsidRPr="00A03B40" w:rsidR="000A07AF">
        <w:t>)</w:t>
      </w:r>
      <w:r w:rsidRPr="00A03B40">
        <w:t>-PPP</w:t>
      </w:r>
      <w:r w:rsidRPr="00A03B40" w:rsidR="000A07AF">
        <w:t xml:space="preserve"> costs</w:t>
      </w:r>
      <w:r w:rsidRPr="00A03B40">
        <w:t xml:space="preserve">, and </w:t>
      </w:r>
      <w:r w:rsidRPr="00A03B40" w:rsidR="000A07AF">
        <w:t>the Disadvantaged Communities-Green Tariff/Community Solar Green Tariff (</w:t>
      </w:r>
      <w:r w:rsidRPr="00A03B40">
        <w:t>DAC-GT/CSGT</w:t>
      </w:r>
      <w:r w:rsidRPr="00A03B40" w:rsidR="000A07AF">
        <w:t>)</w:t>
      </w:r>
      <w:r w:rsidRPr="00A03B40" w:rsidR="00B914BF">
        <w:t xml:space="preserve"> </w:t>
      </w:r>
      <w:r w:rsidRPr="00A03B40">
        <w:t xml:space="preserve">PPPC and </w:t>
      </w:r>
      <w:r w:rsidRPr="00A03B40" w:rsidR="00B914BF">
        <w:t>(</w:t>
      </w:r>
      <w:r w:rsidRPr="00A03B40" w:rsidR="00403849">
        <w:t>7</w:t>
      </w:r>
      <w:r w:rsidRPr="00A03B40" w:rsidR="00B914BF">
        <w:t>)</w:t>
      </w:r>
      <w:r w:rsidRPr="00A03B40">
        <w:t xml:space="preserve"> the estimated </w:t>
      </w:r>
      <w:r w:rsidRPr="00A03B40" w:rsidR="00403849">
        <w:t>year-end</w:t>
      </w:r>
      <w:r w:rsidRPr="00A03B40">
        <w:t xml:space="preserve"> 2025 balance</w:t>
      </w:r>
      <w:r w:rsidRPr="00A03B40" w:rsidR="00B914BF">
        <w:t>s</w:t>
      </w:r>
      <w:r w:rsidRPr="00A03B40">
        <w:t xml:space="preserve"> in the TMNBCBA</w:t>
      </w:r>
      <w:r w:rsidRPr="00A03B40" w:rsidR="00B914BF">
        <w:t xml:space="preserve"> and the BMNBCBA</w:t>
      </w:r>
      <w:r w:rsidRPr="00A03B40">
        <w:t>.</w:t>
      </w:r>
      <w:r w:rsidRPr="00A03B40" w:rsidR="000A07AF">
        <w:rPr>
          <w:rStyle w:val="FootnoteReference"/>
        </w:rPr>
        <w:footnoteReference w:id="300"/>
      </w:r>
      <w:r w:rsidRPr="00A03B40">
        <w:t xml:space="preserve"> </w:t>
      </w:r>
    </w:p>
    <w:p w:rsidRPr="00A03B40" w:rsidR="00740537" w:rsidP="000648E4" w:rsidRDefault="00740537" w14:paraId="70153092" w14:textId="74F95249">
      <w:pPr>
        <w:pStyle w:val="Standard"/>
      </w:pPr>
      <w:r w:rsidRPr="00A03B40">
        <w:t xml:space="preserve">The largest change between SCE’s May Filing and its </w:t>
      </w:r>
      <w:r w:rsidRPr="00A03B40" w:rsidR="00014950">
        <w:t xml:space="preserve">Amended </w:t>
      </w:r>
      <w:r w:rsidRPr="00A03B40">
        <w:t xml:space="preserve">October </w:t>
      </w:r>
      <w:proofErr w:type="gramStart"/>
      <w:r w:rsidRPr="00A03B40">
        <w:t>Update’s forecast</w:t>
      </w:r>
      <w:proofErr w:type="gramEnd"/>
      <w:r w:rsidRPr="00A03B40">
        <w:t xml:space="preserve"> 2026 delivery service revenue requirement is the impact of the updated anticipated 2026 GHG proxy price</w:t>
      </w:r>
      <w:r w:rsidRPr="00A03B40" w:rsidR="00FA6BDB">
        <w:t>, as discussed below</w:t>
      </w:r>
      <w:r w:rsidRPr="00A03B40">
        <w:t xml:space="preserve">.  </w:t>
      </w:r>
    </w:p>
    <w:p w:rsidRPr="00A03B40" w:rsidR="00FF350F" w:rsidP="00FF350F" w:rsidRDefault="00735ED6" w14:paraId="193648D4" w14:textId="40522E6F">
      <w:pPr>
        <w:pStyle w:val="Heading3"/>
      </w:pPr>
      <w:bookmarkStart w:name="_Toc203654002" w:id="165"/>
      <w:bookmarkStart w:name="_Toc214629900" w:id="166"/>
      <w:r w:rsidRPr="00A03B40">
        <w:lastRenderedPageBreak/>
        <w:t xml:space="preserve">Delivery Service: </w:t>
      </w:r>
      <w:r w:rsidRPr="00A03B40" w:rsidR="005348EF">
        <w:t xml:space="preserve">Updated </w:t>
      </w:r>
      <w:r w:rsidRPr="00A03B40" w:rsidR="00FF350F">
        <w:t xml:space="preserve">New System Generation </w:t>
      </w:r>
      <w:bookmarkEnd w:id="165"/>
      <w:r w:rsidRPr="00A03B40" w:rsidR="00B3538A">
        <w:t>Balancing Account 2026 Forecast and Year</w:t>
      </w:r>
      <w:r w:rsidRPr="00A03B40">
        <w:t>-</w:t>
      </w:r>
      <w:r w:rsidRPr="00A03B40" w:rsidR="00B3538A">
        <w:t>End 2025 Balance</w:t>
      </w:r>
      <w:bookmarkEnd w:id="166"/>
    </w:p>
    <w:p w:rsidRPr="00A03B40" w:rsidR="00B3538A" w:rsidP="00544A2E" w:rsidRDefault="00FF350F" w14:paraId="6723C1ED" w14:textId="50EC17EB">
      <w:pPr>
        <w:pStyle w:val="Standard"/>
      </w:pPr>
      <w:r w:rsidRPr="00A03B40">
        <w:t xml:space="preserve">SCE forecasts </w:t>
      </w:r>
      <w:r w:rsidRPr="00A03B40" w:rsidR="00FA6BDB">
        <w:t xml:space="preserve">updated </w:t>
      </w:r>
      <w:r w:rsidRPr="00A03B40">
        <w:t xml:space="preserve">2026 F&amp;PP costs </w:t>
      </w:r>
      <w:r w:rsidRPr="00A03B40" w:rsidR="00B3538A">
        <w:t>to be tracked in the NSGBA</w:t>
      </w:r>
      <w:r w:rsidRPr="00A03B40" w:rsidR="00D15560">
        <w:rPr>
          <w:rStyle w:val="FootnoteReference"/>
        </w:rPr>
        <w:footnoteReference w:id="301"/>
      </w:r>
      <w:r w:rsidRPr="00A03B40" w:rsidR="00B3538A">
        <w:t xml:space="preserve"> </w:t>
      </w:r>
      <w:r w:rsidRPr="00A03B40" w:rsidR="000C1D50">
        <w:t>totaling</w:t>
      </w:r>
      <w:r w:rsidRPr="00A03B40">
        <w:t xml:space="preserve"> $473.</w:t>
      </w:r>
      <w:r w:rsidRPr="00A03B40" w:rsidR="00FA6BDB">
        <w:t>0</w:t>
      </w:r>
      <w:r w:rsidRPr="00A03B40" w:rsidR="00E95C01">
        <w:t>47</w:t>
      </w:r>
      <w:r w:rsidRPr="00A03B40">
        <w:t xml:space="preserve"> million, including </w:t>
      </w:r>
      <w:r w:rsidRPr="00A03B40" w:rsidR="00247EF1">
        <w:t xml:space="preserve">direct </w:t>
      </w:r>
      <w:r w:rsidRPr="00A03B40">
        <w:t>GHG costs</w:t>
      </w:r>
      <w:r w:rsidRPr="00A03B40" w:rsidR="00190D6B">
        <w:t xml:space="preserve"> and FF&amp;U</w:t>
      </w:r>
      <w:r w:rsidRPr="00A03B40" w:rsidR="00B3538A">
        <w:t>; this</w:t>
      </w:r>
      <w:r w:rsidRPr="00A03B40">
        <w:t xml:space="preserve"> represent</w:t>
      </w:r>
      <w:r w:rsidRPr="00A03B40" w:rsidR="00B3538A">
        <w:t>s</w:t>
      </w:r>
      <w:r w:rsidRPr="00A03B40">
        <w:t xml:space="preserve"> a $15.</w:t>
      </w:r>
      <w:r w:rsidRPr="00A03B40" w:rsidR="00FA6BDB">
        <w:t>5</w:t>
      </w:r>
      <w:r w:rsidRPr="00A03B40" w:rsidR="00E95C01">
        <w:t>80</w:t>
      </w:r>
      <w:r w:rsidRPr="00A03B40">
        <w:t xml:space="preserve"> million increase from what is currently in rates.</w:t>
      </w:r>
      <w:r w:rsidRPr="00A03B40">
        <w:rPr>
          <w:rStyle w:val="FootnoteReference"/>
        </w:rPr>
        <w:footnoteReference w:id="302"/>
      </w:r>
      <w:r w:rsidRPr="00A03B40" w:rsidR="002A68CA">
        <w:t xml:space="preserve"> </w:t>
      </w:r>
      <w:bookmarkStart w:name="_Hlk211171982" w:id="167"/>
      <w:r w:rsidRPr="00A03B40" w:rsidR="009C29B0">
        <w:t>Pursuant to the authorities discussed in Section 5.2.6 of this Decision, i</w:t>
      </w:r>
      <w:r w:rsidRPr="00A03B40" w:rsidR="00B3538A">
        <w:t xml:space="preserve">n addition to </w:t>
      </w:r>
      <w:r w:rsidRPr="00A03B40" w:rsidR="000C1D50">
        <w:t xml:space="preserve">the net capacity costs of </w:t>
      </w:r>
      <w:r w:rsidRPr="00A03B40" w:rsidR="00B3538A">
        <w:t>New System Generation contracts,</w:t>
      </w:r>
      <w:r w:rsidRPr="00A03B40" w:rsidR="00B917C5">
        <w:rPr>
          <w:rStyle w:val="FootnoteReference"/>
        </w:rPr>
        <w:footnoteReference w:id="303"/>
      </w:r>
      <w:r w:rsidRPr="00A03B40" w:rsidR="00B917C5">
        <w:t xml:space="preserve"> </w:t>
      </w:r>
      <w:r w:rsidRPr="00A03B40" w:rsidR="00FC71F6">
        <w:t>costs tracked in the NSGBA include</w:t>
      </w:r>
      <w:r w:rsidRPr="00A03B40" w:rsidR="00444595">
        <w:t xml:space="preserve"> the respective portion of </w:t>
      </w:r>
      <w:r w:rsidRPr="00A03B40" w:rsidR="00612270">
        <w:t xml:space="preserve">system reliability </w:t>
      </w:r>
      <w:r w:rsidRPr="00A03B40" w:rsidR="00444595">
        <w:t>costs previously recorded to the SRPMA,</w:t>
      </w:r>
      <w:r w:rsidRPr="00A03B40" w:rsidR="00444595">
        <w:rPr>
          <w:rStyle w:val="FootnoteReference"/>
        </w:rPr>
        <w:footnoteReference w:id="304"/>
      </w:r>
      <w:r w:rsidRPr="00A03B40" w:rsidR="00FC71F6">
        <w:t xml:space="preserve"> </w:t>
      </w:r>
      <w:r w:rsidRPr="00A03B40" w:rsidR="00D15560">
        <w:t>the emergency summer reliability procurement ordered by D.21-02-028, D.21-03-056, D.21-12-015,</w:t>
      </w:r>
      <w:r w:rsidRPr="00A03B40" w:rsidR="00D03544">
        <w:rPr>
          <w:rStyle w:val="FootnoteReference"/>
        </w:rPr>
        <w:footnoteReference w:id="305"/>
      </w:r>
      <w:r w:rsidRPr="00A03B40" w:rsidR="00D15560">
        <w:t xml:space="preserve"> </w:t>
      </w:r>
      <w:r w:rsidRPr="00A03B40" w:rsidR="00CD17C0">
        <w:t xml:space="preserve">the </w:t>
      </w:r>
      <w:r w:rsidRPr="00A03B40" w:rsidR="009A4A36">
        <w:t>emergency reliability procurement</w:t>
      </w:r>
      <w:r w:rsidRPr="00A03B40" w:rsidR="00D03544">
        <w:t xml:space="preserve"> </w:t>
      </w:r>
      <w:r w:rsidRPr="00A03B40" w:rsidR="00CD17C0">
        <w:t xml:space="preserve">required by </w:t>
      </w:r>
      <w:r w:rsidRPr="00A03B40" w:rsidR="00D15560">
        <w:t>D.23-06-029,</w:t>
      </w:r>
      <w:r w:rsidRPr="00A03B40" w:rsidR="00D03544">
        <w:rPr>
          <w:rStyle w:val="FootnoteReference"/>
        </w:rPr>
        <w:footnoteReference w:id="306"/>
      </w:r>
      <w:r w:rsidRPr="00A03B40" w:rsidR="00D15560">
        <w:t xml:space="preserve"> </w:t>
      </w:r>
      <w:r w:rsidRPr="00A03B40" w:rsidR="00FC71F6">
        <w:t>the storage charging costs and market revenues of the UOS DESI 2,</w:t>
      </w:r>
      <w:r w:rsidRPr="00A03B40" w:rsidR="00FC71F6">
        <w:rPr>
          <w:rStyle w:val="FootnoteReference"/>
        </w:rPr>
        <w:footnoteReference w:id="307"/>
      </w:r>
      <w:r w:rsidRPr="00A03B40" w:rsidR="00FC71F6">
        <w:t xml:space="preserve"> </w:t>
      </w:r>
      <w:r w:rsidRPr="00A03B40" w:rsidR="00247EF1">
        <w:t>certain CHP contract costs,</w:t>
      </w:r>
      <w:r w:rsidRPr="00A03B40" w:rsidR="00247EF1">
        <w:rPr>
          <w:rStyle w:val="FootnoteReference"/>
        </w:rPr>
        <w:footnoteReference w:id="308"/>
      </w:r>
      <w:r w:rsidRPr="00A03B40" w:rsidR="00247EF1">
        <w:t xml:space="preserve"> </w:t>
      </w:r>
      <w:r w:rsidRPr="00A03B40" w:rsidR="00B3538A">
        <w:t>and Central Procurement Entity procurement and administration costs.</w:t>
      </w:r>
      <w:r w:rsidRPr="00A03B40" w:rsidR="00074E46">
        <w:rPr>
          <w:rStyle w:val="FootnoteReference"/>
        </w:rPr>
        <w:footnoteReference w:id="309"/>
      </w:r>
      <w:r w:rsidRPr="00A03B40" w:rsidR="002A68CA">
        <w:t xml:space="preserve"> </w:t>
      </w:r>
      <w:r w:rsidRPr="00A03B40" w:rsidR="00EC4EF3">
        <w:t xml:space="preserve">The costs tracked in the NSGBA are recovered from all benefitting customers (bundled service customers and unbundled customers) via the NSG </w:t>
      </w:r>
      <w:r w:rsidRPr="00A03B40" w:rsidR="00CC754E">
        <w:t>rate component</w:t>
      </w:r>
      <w:r w:rsidRPr="00A03B40" w:rsidR="00EC4EF3">
        <w:t>.</w:t>
      </w:r>
      <w:r w:rsidRPr="00A03B40" w:rsidR="007D3289">
        <w:rPr>
          <w:rStyle w:val="FootnoteReference"/>
        </w:rPr>
        <w:footnoteReference w:id="310"/>
      </w:r>
      <w:r w:rsidRPr="00A03B40" w:rsidR="00612270">
        <w:t xml:space="preserve"> </w:t>
      </w:r>
    </w:p>
    <w:bookmarkEnd w:id="167"/>
    <w:p w:rsidRPr="00A03B40" w:rsidR="00FF350F" w:rsidP="00EC4EF3" w:rsidRDefault="00FF350F" w14:paraId="2C1FC4F6" w14:textId="45066F14">
      <w:pPr>
        <w:pStyle w:val="Standard"/>
      </w:pPr>
      <w:r w:rsidRPr="00A03B40">
        <w:lastRenderedPageBreak/>
        <w:t>SCE forecasts a</w:t>
      </w:r>
      <w:r w:rsidRPr="00A03B40" w:rsidR="005348EF">
        <w:t>n updated</w:t>
      </w:r>
      <w:r w:rsidRPr="00A03B40">
        <w:t xml:space="preserve"> 2025 year-end </w:t>
      </w:r>
      <w:r w:rsidRPr="00A03B40" w:rsidR="0019301E">
        <w:t>over-collection</w:t>
      </w:r>
      <w:r w:rsidRPr="00A03B40">
        <w:t xml:space="preserve"> balance in the NSGBA of $2</w:t>
      </w:r>
      <w:r w:rsidRPr="00A03B40" w:rsidR="0088235A">
        <w:t>4</w:t>
      </w:r>
      <w:r w:rsidRPr="00A03B40">
        <w:t>.</w:t>
      </w:r>
      <w:r w:rsidRPr="00A03B40" w:rsidR="005348EF">
        <w:t>71</w:t>
      </w:r>
      <w:r w:rsidRPr="00A03B40" w:rsidR="0088235A">
        <w:t>8</w:t>
      </w:r>
      <w:r w:rsidRPr="00A03B40">
        <w:t xml:space="preserve"> million, including FF&amp;U, representing a $</w:t>
      </w:r>
      <w:r w:rsidRPr="00A03B40" w:rsidR="005348EF">
        <w:t>10</w:t>
      </w:r>
      <w:r w:rsidRPr="00A03B40" w:rsidR="0088235A">
        <w:t>2</w:t>
      </w:r>
      <w:r w:rsidRPr="00A03B40">
        <w:t>.</w:t>
      </w:r>
      <w:r w:rsidRPr="00A03B40" w:rsidR="005348EF">
        <w:t>7</w:t>
      </w:r>
      <w:r w:rsidRPr="00A03B40" w:rsidR="0088235A">
        <w:t>42</w:t>
      </w:r>
      <w:r w:rsidRPr="00A03B40">
        <w:t xml:space="preserve"> million decrease from what is currently in rates.</w:t>
      </w:r>
      <w:r w:rsidRPr="00A03B40">
        <w:rPr>
          <w:rStyle w:val="FootnoteReference"/>
        </w:rPr>
        <w:footnoteReference w:id="311"/>
      </w:r>
      <w:r w:rsidRPr="00A03B40" w:rsidR="002A68CA">
        <w:t xml:space="preserve"> </w:t>
      </w:r>
      <w:bookmarkStart w:name="_Hlk211173306" w:id="168"/>
      <w:r w:rsidRPr="00A03B40" w:rsidR="00EC4EF3">
        <w:t>To estimate the year-end NSGBA balance, SCE use</w:t>
      </w:r>
      <w:r w:rsidRPr="00A03B40" w:rsidR="001245D6">
        <w:t>s</w:t>
      </w:r>
      <w:r w:rsidRPr="00A03B40" w:rsidR="00EC4EF3">
        <w:t xml:space="preserve"> recorded amounts from January 1, 2025 through </w:t>
      </w:r>
      <w:r w:rsidRPr="00A03B40" w:rsidR="005348EF">
        <w:t>September</w:t>
      </w:r>
      <w:r w:rsidR="006D7B5B">
        <w:t> </w:t>
      </w:r>
      <w:r w:rsidRPr="00A03B40" w:rsidR="00EC4EF3">
        <w:t>3</w:t>
      </w:r>
      <w:r w:rsidRPr="00A03B40" w:rsidR="005348EF">
        <w:t>0</w:t>
      </w:r>
      <w:r w:rsidRPr="00A03B40" w:rsidR="00EC4EF3">
        <w:t>,</w:t>
      </w:r>
      <w:r w:rsidR="006D7B5B">
        <w:t> </w:t>
      </w:r>
      <w:r w:rsidRPr="00A03B40" w:rsidR="00EC4EF3">
        <w:t xml:space="preserve">2025, plus a forecast of the activity SCE expects to record in the NSGBA during </w:t>
      </w:r>
      <w:r w:rsidRPr="00A03B40" w:rsidR="005348EF">
        <w:t>October</w:t>
      </w:r>
      <w:r w:rsidRPr="00A03B40" w:rsidR="00EC4EF3">
        <w:t xml:space="preserve"> through December 31, 2025.</w:t>
      </w:r>
      <w:bookmarkEnd w:id="168"/>
      <w:r w:rsidRPr="00A03B40" w:rsidR="00AB09BE">
        <w:rPr>
          <w:rStyle w:val="FootnoteReference"/>
        </w:rPr>
        <w:footnoteReference w:id="312"/>
      </w:r>
      <w:r w:rsidRPr="00A03B40" w:rsidR="00EC4EF3">
        <w:t xml:space="preserve"> </w:t>
      </w:r>
    </w:p>
    <w:p w:rsidRPr="00A03B40" w:rsidR="00FF350F" w:rsidP="00FF350F" w:rsidRDefault="00FF350F" w14:paraId="420EF772" w14:textId="0C708057">
      <w:pPr>
        <w:pStyle w:val="Standard"/>
      </w:pPr>
      <w:r w:rsidRPr="00A03B40">
        <w:t xml:space="preserve">No party has disputed </w:t>
      </w:r>
      <w:proofErr w:type="gramStart"/>
      <w:r w:rsidRPr="00A03B40">
        <w:t>SCE’s</w:t>
      </w:r>
      <w:proofErr w:type="gramEnd"/>
      <w:r w:rsidRPr="00A03B40">
        <w:t xml:space="preserve"> proposed 2026 N</w:t>
      </w:r>
      <w:r w:rsidRPr="00A03B40" w:rsidR="00EC4EF3">
        <w:t xml:space="preserve">SGBA forecast </w:t>
      </w:r>
      <w:r w:rsidRPr="00A03B40">
        <w:t xml:space="preserve">or </w:t>
      </w:r>
      <w:r w:rsidRPr="00A03B40" w:rsidR="008500F6">
        <w:t xml:space="preserve">estimated </w:t>
      </w:r>
      <w:r w:rsidRPr="00A03B40">
        <w:t>NSGBA year-end 2025 balance.</w:t>
      </w:r>
      <w:r w:rsidRPr="00A03B40" w:rsidR="002A68CA">
        <w:t xml:space="preserve"> </w:t>
      </w:r>
      <w:r w:rsidRPr="00A03B40" w:rsidR="001245D6">
        <w:t xml:space="preserve">Upon review of </w:t>
      </w:r>
      <w:r w:rsidRPr="00A03B40" w:rsidR="00EC4EF3">
        <w:t xml:space="preserve">SCE’s Application, party testimonies, and SCE’s </w:t>
      </w:r>
      <w:proofErr w:type="gramStart"/>
      <w:r w:rsidRPr="00A03B40" w:rsidR="00EC4EF3">
        <w:t>workpapers</w:t>
      </w:r>
      <w:proofErr w:type="gramEnd"/>
      <w:r w:rsidRPr="00A03B40" w:rsidR="00EC4EF3">
        <w:t>,</w:t>
      </w:r>
      <w:r w:rsidRPr="00A03B40">
        <w:t xml:space="preserve"> we find </w:t>
      </w:r>
      <w:proofErr w:type="gramStart"/>
      <w:r w:rsidRPr="00A03B40">
        <w:t>SCE’s</w:t>
      </w:r>
      <w:proofErr w:type="gramEnd"/>
      <w:r w:rsidRPr="00A03B40">
        <w:t xml:space="preserve"> proposed NSGBA 2026 forecast and 2025 year-end balance to </w:t>
      </w:r>
      <w:r w:rsidRPr="00A03B40" w:rsidR="001245D6">
        <w:t xml:space="preserve">include costs authorized to be recovered via the CAM, to </w:t>
      </w:r>
      <w:r w:rsidRPr="00A03B40">
        <w:t xml:space="preserve">be </w:t>
      </w:r>
      <w:r w:rsidRPr="00A03B40" w:rsidR="00444595">
        <w:t xml:space="preserve">calculated </w:t>
      </w:r>
      <w:proofErr w:type="gramStart"/>
      <w:r w:rsidRPr="00A03B40" w:rsidR="00EC4EF3">
        <w:t>consistent</w:t>
      </w:r>
      <w:proofErr w:type="gramEnd"/>
      <w:r w:rsidRPr="00A03B40" w:rsidR="00EC4EF3">
        <w:t xml:space="preserve"> with the law</w:t>
      </w:r>
      <w:r w:rsidRPr="00A03B40" w:rsidR="001245D6">
        <w:t>,</w:t>
      </w:r>
      <w:r w:rsidRPr="00A03B40" w:rsidR="00EC4EF3">
        <w:t xml:space="preserve"> and Commission decisions, </w:t>
      </w:r>
      <w:r w:rsidRPr="00A03B40" w:rsidR="00DE2EBA">
        <w:t xml:space="preserve">and </w:t>
      </w:r>
      <w:r w:rsidRPr="00A03B40">
        <w:t>reasonable</w:t>
      </w:r>
      <w:r w:rsidRPr="00A03B40" w:rsidR="00DE2EBA">
        <w:t>,</w:t>
      </w:r>
      <w:r w:rsidRPr="00A03B40">
        <w:t xml:space="preserve"> and so authorize recovery as requested.</w:t>
      </w:r>
      <w:r w:rsidRPr="00A03B40" w:rsidR="00BD57BD">
        <w:t xml:space="preserve"> </w:t>
      </w:r>
      <w:r w:rsidRPr="00A03B40" w:rsidR="005348EF">
        <w:t xml:space="preserve">The </w:t>
      </w:r>
      <w:r w:rsidRPr="00A03B40" w:rsidR="00BD57BD">
        <w:t xml:space="preserve">CAM rates </w:t>
      </w:r>
      <w:r w:rsidRPr="00A03B40" w:rsidR="005348EF">
        <w:t xml:space="preserve">resulting from this </w:t>
      </w:r>
      <w:r w:rsidRPr="00A03B40" w:rsidR="00CC754E">
        <w:t>a</w:t>
      </w:r>
      <w:r w:rsidRPr="00A03B40" w:rsidR="005348EF">
        <w:t xml:space="preserve">uthorized revenue requirement </w:t>
      </w:r>
      <w:r w:rsidRPr="00A03B40" w:rsidR="00BD57BD">
        <w:t xml:space="preserve">are </w:t>
      </w:r>
      <w:r w:rsidRPr="00A03B40" w:rsidR="005348EF">
        <w:t>shown</w:t>
      </w:r>
      <w:r w:rsidRPr="00A03B40" w:rsidR="00BD57BD">
        <w:t xml:space="preserve"> in Section</w:t>
      </w:r>
      <w:r w:rsidR="006D7B5B">
        <w:t> </w:t>
      </w:r>
      <w:r w:rsidRPr="00A03B40" w:rsidR="005348EF">
        <w:t>10, Table 9-2 of this Decision</w:t>
      </w:r>
      <w:r w:rsidRPr="00A03B40" w:rsidR="00B96854">
        <w:t>.</w:t>
      </w:r>
    </w:p>
    <w:p w:rsidRPr="00A03B40" w:rsidR="00FF350F" w:rsidP="00FF350F" w:rsidRDefault="00FD1777" w14:paraId="5337A95A" w14:textId="3CD55663">
      <w:pPr>
        <w:pStyle w:val="Heading3"/>
      </w:pPr>
      <w:bookmarkStart w:name="_Toc203654005" w:id="169"/>
      <w:bookmarkStart w:name="_Toc214629901" w:id="170"/>
      <w:r w:rsidRPr="00A03B40">
        <w:t>Delivery Service:</w:t>
      </w:r>
      <w:r w:rsidRPr="00A03B40" w:rsidR="00FF350F">
        <w:t xml:space="preserve"> </w:t>
      </w:r>
      <w:r w:rsidRPr="00A03B40" w:rsidR="005348EF">
        <w:t xml:space="preserve">Updated </w:t>
      </w:r>
      <w:r w:rsidRPr="00A03B40" w:rsidR="00FF350F">
        <w:t>Modified Cost Allocation Mechanism</w:t>
      </w:r>
      <w:bookmarkEnd w:id="169"/>
      <w:r w:rsidRPr="00A03B40" w:rsidR="005538F2">
        <w:t xml:space="preserve"> Balancing Account 2026 Forecast and Year End 2025 Balance</w:t>
      </w:r>
      <w:bookmarkEnd w:id="170"/>
    </w:p>
    <w:p w:rsidR="006D7B5B" w:rsidP="00190D6B" w:rsidRDefault="00190D6B" w14:paraId="16779562" w14:textId="77777777">
      <w:pPr>
        <w:pStyle w:val="Standard"/>
      </w:pPr>
      <w:r w:rsidRPr="00A03B40">
        <w:t>SCE forecasts 2026</w:t>
      </w:r>
      <w:r w:rsidRPr="00A03B40" w:rsidR="00AB09BE">
        <w:t xml:space="preserve"> </w:t>
      </w:r>
      <w:r w:rsidRPr="00A03B40">
        <w:t>MCAM-related F&amp;PP costs tracked in the MCAMBA totaling $</w:t>
      </w:r>
      <w:r w:rsidRPr="00A03B40" w:rsidR="00EA32CF">
        <w:t>3.682</w:t>
      </w:r>
      <w:r w:rsidRPr="00A03B40">
        <w:t xml:space="preserve"> million</w:t>
      </w:r>
      <w:r w:rsidRPr="00A03B40" w:rsidR="0048458E">
        <w:t xml:space="preserve"> in its </w:t>
      </w:r>
      <w:r w:rsidRPr="00A03B40" w:rsidR="00CC754E">
        <w:t xml:space="preserve">Amended </w:t>
      </w:r>
      <w:r w:rsidRPr="00A03B40" w:rsidR="0048458E">
        <w:t>October Update</w:t>
      </w:r>
      <w:r w:rsidRPr="00A03B40">
        <w:t>, including FF&amp;U; this represents a roughly $</w:t>
      </w:r>
      <w:r w:rsidRPr="00A03B40" w:rsidR="0048458E">
        <w:t>2.124 million</w:t>
      </w:r>
      <w:r w:rsidRPr="00A03B40">
        <w:t xml:space="preserve"> </w:t>
      </w:r>
      <w:r w:rsidRPr="00A03B40" w:rsidR="0048458E">
        <w:t>in</w:t>
      </w:r>
      <w:r w:rsidRPr="00A03B40">
        <w:t>crease from what is currently in rates.</w:t>
      </w:r>
      <w:r w:rsidRPr="00A03B40">
        <w:rPr>
          <w:rStyle w:val="FootnoteReference"/>
        </w:rPr>
        <w:footnoteReference w:id="313"/>
      </w:r>
      <w:r w:rsidRPr="00A03B40" w:rsidR="002A68CA">
        <w:t xml:space="preserve"> </w:t>
      </w:r>
      <w:r w:rsidRPr="00A03B40">
        <w:t xml:space="preserve">The resources that these costs represent are described in Section </w:t>
      </w:r>
      <w:r w:rsidRPr="00A03B40" w:rsidR="00143C7B">
        <w:t>5.</w:t>
      </w:r>
      <w:r w:rsidRPr="00A03B40" w:rsidR="00612270">
        <w:t>2</w:t>
      </w:r>
      <w:r w:rsidRPr="00A03B40" w:rsidR="00143C7B">
        <w:t>.7</w:t>
      </w:r>
      <w:r w:rsidRPr="00A03B40">
        <w:t xml:space="preserve"> of this Decision, and</w:t>
      </w:r>
      <w:r w:rsidRPr="00A03B40" w:rsidR="00330A7A">
        <w:t xml:space="preserve"> can be summarized as the </w:t>
      </w:r>
      <w:r w:rsidRPr="00A03B40" w:rsidR="005538F2">
        <w:t xml:space="preserve">net </w:t>
      </w:r>
      <w:r w:rsidRPr="00A03B40" w:rsidR="00330A7A">
        <w:t xml:space="preserve">costs of the opt-out and backstop </w:t>
      </w:r>
      <w:r w:rsidRPr="00A03B40" w:rsidR="00330A7A">
        <w:lastRenderedPageBreak/>
        <w:t xml:space="preserve">procurement </w:t>
      </w:r>
      <w:r w:rsidRPr="00A03B40" w:rsidR="00143C7B">
        <w:t xml:space="preserve">secured on behalf of Departing Load customers for system reliability </w:t>
      </w:r>
      <w:r w:rsidRPr="00A03B40" w:rsidR="00D03544">
        <w:t>ordered by D.19-11-016 and D.22-05-015</w:t>
      </w:r>
      <w:r w:rsidRPr="00A03B40" w:rsidR="0048458E">
        <w:t xml:space="preserve"> (as modified by </w:t>
      </w:r>
    </w:p>
    <w:p w:rsidRPr="00A03B40" w:rsidR="00190D6B" w:rsidP="006D7B5B" w:rsidRDefault="0048458E" w14:paraId="497EFD62" w14:textId="6A58AB93">
      <w:pPr>
        <w:pStyle w:val="Standard"/>
        <w:ind w:firstLine="0"/>
      </w:pPr>
      <w:r w:rsidRPr="00A03B40">
        <w:t>D.23-12-014)</w:t>
      </w:r>
      <w:r w:rsidRPr="00A03B40" w:rsidR="00330A7A">
        <w:t>.</w:t>
      </w:r>
      <w:r w:rsidRPr="00A03B40" w:rsidR="002A68CA">
        <w:t xml:space="preserve"> </w:t>
      </w:r>
      <w:bookmarkStart w:name="_Hlk211173764" w:id="171"/>
      <w:r w:rsidRPr="00A03B40" w:rsidR="00190D6B">
        <w:t xml:space="preserve">The costs tracked </w:t>
      </w:r>
      <w:proofErr w:type="gramStart"/>
      <w:r w:rsidRPr="00A03B40" w:rsidR="00190D6B">
        <w:t>in</w:t>
      </w:r>
      <w:proofErr w:type="gramEnd"/>
      <w:r w:rsidRPr="00A03B40" w:rsidR="00190D6B">
        <w:t xml:space="preserve"> </w:t>
      </w:r>
      <w:proofErr w:type="gramStart"/>
      <w:r w:rsidRPr="00A03B40" w:rsidR="00190D6B">
        <w:t>the MCAMBA</w:t>
      </w:r>
      <w:proofErr w:type="gramEnd"/>
      <w:r w:rsidRPr="00A03B40" w:rsidR="00190D6B">
        <w:t xml:space="preserve"> are recovered only from the customers of LSEs that opted out of or failed to meet procurement obligations.</w:t>
      </w:r>
      <w:bookmarkEnd w:id="171"/>
      <w:r w:rsidRPr="00A03B40" w:rsidR="00190D6B">
        <w:rPr>
          <w:rStyle w:val="FootnoteReference"/>
        </w:rPr>
        <w:footnoteReference w:id="314"/>
      </w:r>
    </w:p>
    <w:p w:rsidRPr="00A03B40" w:rsidR="00190D6B" w:rsidP="00DE2EBA" w:rsidRDefault="005538F2" w14:paraId="4284D0CA" w14:textId="6091A4D1">
      <w:pPr>
        <w:pStyle w:val="Standard"/>
      </w:pPr>
      <w:r w:rsidRPr="00A03B40">
        <w:t>SCE forecasts a $</w:t>
      </w:r>
      <w:r w:rsidRPr="00A03B40" w:rsidR="00EA32CF">
        <w:t>2.522</w:t>
      </w:r>
      <w:r w:rsidRPr="00A03B40">
        <w:t xml:space="preserve"> million </w:t>
      </w:r>
      <w:r w:rsidRPr="00A03B40" w:rsidR="0019301E">
        <w:t>under-collection</w:t>
      </w:r>
      <w:r w:rsidRPr="00A03B40">
        <w:t xml:space="preserve"> </w:t>
      </w:r>
      <w:r w:rsidRPr="00A03B40" w:rsidR="00CC754E">
        <w:t xml:space="preserve">balance </w:t>
      </w:r>
      <w:r w:rsidRPr="00A03B40">
        <w:t>in the MCAMBA a</w:t>
      </w:r>
      <w:r w:rsidRPr="00A03B40" w:rsidR="00CC754E">
        <w:t xml:space="preserve">s of December 31, </w:t>
      </w:r>
      <w:r w:rsidRPr="00A03B40">
        <w:t xml:space="preserve">2025, </w:t>
      </w:r>
      <w:r w:rsidRPr="00A03B40" w:rsidR="00DE2EBA">
        <w:t>$</w:t>
      </w:r>
      <w:r w:rsidRPr="00A03B40" w:rsidR="0048458E">
        <w:t>0.628 million</w:t>
      </w:r>
      <w:r w:rsidRPr="00A03B40" w:rsidR="00DE2EBA">
        <w:t xml:space="preserve"> less than what is currently in rates.</w:t>
      </w:r>
      <w:r w:rsidRPr="00A03B40" w:rsidR="0048458E">
        <w:rPr>
          <w:rStyle w:val="FootnoteReference"/>
        </w:rPr>
        <w:footnoteReference w:id="315"/>
      </w:r>
      <w:r w:rsidRPr="00A03B40">
        <w:t xml:space="preserve"> </w:t>
      </w:r>
    </w:p>
    <w:p w:rsidRPr="00A03B40" w:rsidR="00DE2EBA" w:rsidP="00DE2EBA" w:rsidRDefault="00DE2EBA" w14:paraId="4B328C96" w14:textId="2AC34F84">
      <w:pPr>
        <w:pStyle w:val="Standard"/>
      </w:pPr>
      <w:bookmarkStart w:name="_Toc203654008" w:id="172"/>
      <w:r w:rsidRPr="00A03B40">
        <w:t xml:space="preserve">No party has disputed </w:t>
      </w:r>
      <w:proofErr w:type="gramStart"/>
      <w:r w:rsidRPr="00A03B40">
        <w:t>SCE’s</w:t>
      </w:r>
      <w:proofErr w:type="gramEnd"/>
      <w:r w:rsidRPr="00A03B40">
        <w:t xml:space="preserve"> proposed 2026 MCAMBA forecast or MCAMBA year-end 2025 balance.</w:t>
      </w:r>
      <w:r w:rsidRPr="00A03B40" w:rsidR="002A68CA">
        <w:t xml:space="preserve"> </w:t>
      </w:r>
      <w:r w:rsidRPr="00A03B40" w:rsidR="00117851">
        <w:t xml:space="preserve">Upon review of </w:t>
      </w:r>
      <w:r w:rsidRPr="00A03B40">
        <w:t xml:space="preserve">SCE’s Application, party testimonies, and SCE’s workpapers, we find </w:t>
      </w:r>
      <w:proofErr w:type="gramStart"/>
      <w:r w:rsidRPr="00A03B40">
        <w:t>SCE’s</w:t>
      </w:r>
      <w:proofErr w:type="gramEnd"/>
      <w:r w:rsidRPr="00A03B40">
        <w:t xml:space="preserve"> proposed 2026 MCAMBA forecast and 2025 year-end balance to </w:t>
      </w:r>
      <w:proofErr w:type="gramStart"/>
      <w:r w:rsidRPr="00A03B40">
        <w:t xml:space="preserve">be </w:t>
      </w:r>
      <w:r w:rsidRPr="00A03B40" w:rsidR="0048458E">
        <w:t>forecast</w:t>
      </w:r>
      <w:proofErr w:type="gramEnd"/>
      <w:r w:rsidRPr="00A03B40" w:rsidR="0048458E">
        <w:t xml:space="preserve"> </w:t>
      </w:r>
      <w:r w:rsidRPr="00A03B40">
        <w:t xml:space="preserve">consistent with the law and Commission decisions, and reasonable and so </w:t>
      </w:r>
      <w:r w:rsidRPr="00A03B40" w:rsidR="0048458E">
        <w:t xml:space="preserve">adopt these forecasts </w:t>
      </w:r>
      <w:r w:rsidRPr="00A03B40">
        <w:t>as requested.</w:t>
      </w:r>
    </w:p>
    <w:p w:rsidRPr="00A03B40" w:rsidR="00FF350F" w:rsidP="00FF350F" w:rsidRDefault="00FD1777" w14:paraId="4DDE3AD9" w14:textId="29F78E99">
      <w:pPr>
        <w:pStyle w:val="Heading3"/>
      </w:pPr>
      <w:bookmarkStart w:name="_Toc203654012" w:id="173"/>
      <w:bookmarkStart w:name="_Toc214629902" w:id="174"/>
      <w:bookmarkEnd w:id="172"/>
      <w:r w:rsidRPr="00A03B40">
        <w:t xml:space="preserve">Delivery Service: </w:t>
      </w:r>
      <w:r w:rsidRPr="00A03B40" w:rsidR="0048458E">
        <w:t xml:space="preserve">Updated </w:t>
      </w:r>
      <w:r w:rsidRPr="00A03B40" w:rsidR="00722FFD">
        <w:t xml:space="preserve">2026 </w:t>
      </w:r>
      <w:r w:rsidRPr="00A03B40" w:rsidR="00FF350F">
        <w:t>Spent Nuclear Fuel Costs</w:t>
      </w:r>
      <w:bookmarkEnd w:id="173"/>
      <w:r w:rsidRPr="00A03B40" w:rsidR="00722FFD">
        <w:t xml:space="preserve"> Forecast</w:t>
      </w:r>
      <w:bookmarkEnd w:id="174"/>
    </w:p>
    <w:p w:rsidRPr="00A03B40" w:rsidR="00FF350F" w:rsidP="00FF350F" w:rsidRDefault="00FF350F" w14:paraId="6184747E" w14:textId="18539F59">
      <w:pPr>
        <w:pStyle w:val="Standard"/>
      </w:pPr>
      <w:r w:rsidRPr="00A03B40">
        <w:t xml:space="preserve">As discussed in Section </w:t>
      </w:r>
      <w:r w:rsidRPr="00A03B40" w:rsidR="00612270">
        <w:t>5.3.1</w:t>
      </w:r>
      <w:r w:rsidRPr="00A03B40">
        <w:t>, SCE incurs costs for off-site interim storage of spent nuclear fuel.</w:t>
      </w:r>
      <w:r w:rsidRPr="00A03B40" w:rsidR="002A68CA">
        <w:t xml:space="preserve"> </w:t>
      </w:r>
      <w:r w:rsidRPr="00A03B40">
        <w:t>SCE projects $</w:t>
      </w:r>
      <w:r w:rsidRPr="00A03B40" w:rsidR="0048458E">
        <w:t>5.332</w:t>
      </w:r>
      <w:r w:rsidRPr="00A03B40">
        <w:t xml:space="preserve"> million, including FF&amp;U, associated with spent nuclear fuel in its 2026 ERRA </w:t>
      </w:r>
      <w:r w:rsidRPr="00A03B40" w:rsidR="00CC7C11">
        <w:t>forecast</w:t>
      </w:r>
      <w:r w:rsidRPr="00A03B40">
        <w:t xml:space="preserve"> delivery service revenue requirement.</w:t>
      </w:r>
      <w:r w:rsidRPr="00A03B40" w:rsidR="0048458E">
        <w:rPr>
          <w:rStyle w:val="FootnoteReference"/>
        </w:rPr>
        <w:footnoteReference w:id="316"/>
      </w:r>
      <w:r w:rsidRPr="00A03B40" w:rsidR="0048458E">
        <w:t xml:space="preserve"> SCE’s spent nuclear fuel storage cost</w:t>
      </w:r>
      <w:r w:rsidRPr="00A03B40" w:rsidR="00F04023">
        <w:t xml:space="preserve"> forecast</w:t>
      </w:r>
      <w:r w:rsidRPr="00A03B40" w:rsidR="0048458E">
        <w:t xml:space="preserve"> increased between its May Filing and </w:t>
      </w:r>
      <w:r w:rsidRPr="00A03B40" w:rsidR="005D7E14">
        <w:t xml:space="preserve">Amended </w:t>
      </w:r>
      <w:r w:rsidRPr="00A03B40" w:rsidR="0048458E">
        <w:t>October Update</w:t>
      </w:r>
      <w:r w:rsidRPr="00A03B40" w:rsidR="00F04023">
        <w:t xml:space="preserve">. In its </w:t>
      </w:r>
      <w:r w:rsidRPr="00A03B40" w:rsidR="0048458E">
        <w:t>May Filing</w:t>
      </w:r>
      <w:r w:rsidRPr="00A03B40" w:rsidR="00F04023">
        <w:t>, SCE</w:t>
      </w:r>
      <w:r w:rsidRPr="00A03B40" w:rsidR="0048458E">
        <w:t xml:space="preserve"> project</w:t>
      </w:r>
      <w:r w:rsidR="00EC39AF">
        <w:t>ed</w:t>
      </w:r>
      <w:r w:rsidRPr="00A03B40" w:rsidR="0048458E">
        <w:t xml:space="preserve"> that </w:t>
      </w:r>
      <w:r w:rsidRPr="00A03B40" w:rsidR="005D7E14">
        <w:t xml:space="preserve">2026 </w:t>
      </w:r>
      <w:r w:rsidRPr="00A03B40" w:rsidR="0048458E">
        <w:t xml:space="preserve">interim spent fuel offsite storage costs </w:t>
      </w:r>
      <w:r w:rsidRPr="00A03B40" w:rsidR="00F04023">
        <w:t>for SONG</w:t>
      </w:r>
      <w:r w:rsidR="00451627">
        <w:t>S</w:t>
      </w:r>
      <w:r w:rsidRPr="00A03B40" w:rsidR="00F04023">
        <w:t xml:space="preserve"> unit 1 </w:t>
      </w:r>
      <w:r w:rsidRPr="00A03B40" w:rsidR="0048458E">
        <w:t>w</w:t>
      </w:r>
      <w:r w:rsidR="005150B2">
        <w:t>ould</w:t>
      </w:r>
      <w:r w:rsidRPr="00A03B40" w:rsidR="0048458E">
        <w:t xml:space="preserve"> be paid out of </w:t>
      </w:r>
      <w:r w:rsidRPr="00A03B40" w:rsidR="00F04023">
        <w:t xml:space="preserve">litigation proceeds deposited into </w:t>
      </w:r>
      <w:r w:rsidRPr="00A03B40" w:rsidR="0048458E">
        <w:t xml:space="preserve">the </w:t>
      </w:r>
      <w:r w:rsidRPr="00A03B40" w:rsidR="00F04023">
        <w:t>SONGS 1 Non-Qualified Nuclear Decommissioning Trust (NQNDT).</w:t>
      </w:r>
      <w:r w:rsidRPr="00A03B40" w:rsidR="00F04023">
        <w:rPr>
          <w:rStyle w:val="FootnoteReference"/>
        </w:rPr>
        <w:footnoteReference w:id="317"/>
      </w:r>
      <w:r w:rsidRPr="00A03B40" w:rsidR="00F04023">
        <w:t xml:space="preserve"> However, in its </w:t>
      </w:r>
      <w:r w:rsidRPr="00A03B40" w:rsidR="005D7E14">
        <w:t xml:space="preserve">Amended </w:t>
      </w:r>
      <w:r w:rsidRPr="00A03B40" w:rsidR="00F04023">
        <w:t xml:space="preserve">October Update, </w:t>
      </w:r>
      <w:r w:rsidRPr="00A03B40" w:rsidR="00F04023">
        <w:lastRenderedPageBreak/>
        <w:t xml:space="preserve">SCE </w:t>
      </w:r>
      <w:r w:rsidRPr="00A03B40" w:rsidR="005D7E14">
        <w:t>states that</w:t>
      </w:r>
      <w:r w:rsidRPr="00A03B40" w:rsidR="004C0322">
        <w:t>, as of October 2025,</w:t>
      </w:r>
      <w:r w:rsidRPr="00A03B40" w:rsidR="005D7E14">
        <w:t xml:space="preserve"> it had received no </w:t>
      </w:r>
      <w:r w:rsidRPr="00A03B40" w:rsidR="004C0322">
        <w:t xml:space="preserve">applicable </w:t>
      </w:r>
      <w:r w:rsidRPr="00A03B40" w:rsidR="005D7E14">
        <w:t>litigation funds from the DOE, and so</w:t>
      </w:r>
      <w:r w:rsidRPr="00A03B40" w:rsidR="00F04023">
        <w:t xml:space="preserve"> includes the forecast costs in rates.</w:t>
      </w:r>
      <w:r w:rsidRPr="00A03B40" w:rsidR="00F04023">
        <w:rPr>
          <w:rStyle w:val="FootnoteReference"/>
        </w:rPr>
        <w:footnoteReference w:id="318"/>
      </w:r>
      <w:r w:rsidRPr="00A03B40" w:rsidR="00F04023">
        <w:t xml:space="preserve"> </w:t>
      </w:r>
      <w:r w:rsidRPr="00A03B40" w:rsidR="0048458E">
        <w:t xml:space="preserve"> </w:t>
      </w:r>
    </w:p>
    <w:p w:rsidRPr="00A03B40" w:rsidR="008F641E" w:rsidP="00083C92" w:rsidRDefault="005D7E14" w14:paraId="4FEF86F2" w14:textId="7A9FF0E7">
      <w:pPr>
        <w:pStyle w:val="Standard"/>
      </w:pPr>
      <w:bookmarkStart w:name="_Hlk212640315" w:id="175"/>
      <w:r w:rsidRPr="00A03B40">
        <w:t xml:space="preserve">We note here that D.24-08-001 required that any applicable DOE litigation proceeds must be deposited into the </w:t>
      </w:r>
      <w:r w:rsidRPr="00A03B40" w:rsidR="00083C92">
        <w:t xml:space="preserve">SONGS Unit 1 </w:t>
      </w:r>
      <w:r w:rsidRPr="00A03B40">
        <w:t xml:space="preserve">NQNDT and must be used </w:t>
      </w:r>
      <w:r w:rsidRPr="00A03B40" w:rsidR="00083C92">
        <w:t xml:space="preserve">to pay </w:t>
      </w:r>
      <w:proofErr w:type="gramStart"/>
      <w:r w:rsidRPr="00A03B40">
        <w:t>spent</w:t>
      </w:r>
      <w:proofErr w:type="gramEnd"/>
      <w:r w:rsidRPr="00A03B40">
        <w:t xml:space="preserve"> fuel management and storage costs for th</w:t>
      </w:r>
      <w:r w:rsidRPr="00A03B40" w:rsidR="00083C92">
        <w:t>at unit</w:t>
      </w:r>
      <w:r w:rsidRPr="00A03B40">
        <w:t>. Remaining proceeds must be returned to ratepayers.</w:t>
      </w:r>
      <w:r w:rsidRPr="00A03B40">
        <w:rPr>
          <w:rStyle w:val="FootnoteReference"/>
        </w:rPr>
        <w:footnoteReference w:id="319"/>
      </w:r>
      <w:r w:rsidRPr="00A03B40">
        <w:t xml:space="preserve"> </w:t>
      </w:r>
      <w:r w:rsidRPr="00A03B40" w:rsidR="00046B75">
        <w:t xml:space="preserve">To effectuate D.24-08-001’s directive that, to the extent possible, applicable </w:t>
      </w:r>
      <w:r w:rsidRPr="00A03B40" w:rsidR="00083C92">
        <w:t xml:space="preserve">spent </w:t>
      </w:r>
      <w:r w:rsidRPr="00A03B40" w:rsidR="00046B75">
        <w:t xml:space="preserve">nuclear </w:t>
      </w:r>
      <w:r w:rsidRPr="00A03B40" w:rsidR="00083C92">
        <w:t xml:space="preserve">fuel </w:t>
      </w:r>
      <w:r w:rsidRPr="00A03B40" w:rsidR="00046B75">
        <w:t xml:space="preserve">storage costs should be paid from DOE litigation funds, rather than ratepayers, once SCE receives and deposits applicable DOE litigation funds in the SONGS 1 NQNDT, SCE must propose a refund of these 2026 SONGS 1 forecast costs </w:t>
      </w:r>
      <w:r w:rsidRPr="00A03B40" w:rsidR="00474453">
        <w:t xml:space="preserve">recovered in rates </w:t>
      </w:r>
      <w:r w:rsidRPr="00A03B40" w:rsidR="00046B75">
        <w:t>in its next ERRA forecast or compliance proceeding.</w:t>
      </w:r>
    </w:p>
    <w:bookmarkEnd w:id="175"/>
    <w:p w:rsidRPr="00A03B40" w:rsidR="00FF350F" w:rsidP="00FF350F" w:rsidRDefault="00FF350F" w14:paraId="3175E190" w14:textId="1832E82A">
      <w:pPr>
        <w:pStyle w:val="Standard"/>
      </w:pPr>
      <w:r w:rsidRPr="00A03B40">
        <w:t xml:space="preserve">No party has disputed </w:t>
      </w:r>
      <w:proofErr w:type="gramStart"/>
      <w:r w:rsidRPr="00A03B40">
        <w:t>SCE’s</w:t>
      </w:r>
      <w:proofErr w:type="gramEnd"/>
      <w:r w:rsidRPr="00A03B40">
        <w:t xml:space="preserve"> proposed 2026 spent nuclear fuel interim storage cost forecast. </w:t>
      </w:r>
      <w:r w:rsidRPr="00A03B40" w:rsidR="00117851">
        <w:t xml:space="preserve">Upon review of the record, </w:t>
      </w:r>
      <w:r w:rsidRPr="00A03B40">
        <w:t xml:space="preserve">we find </w:t>
      </w:r>
      <w:proofErr w:type="gramStart"/>
      <w:r w:rsidRPr="00A03B40">
        <w:t>SCE’s</w:t>
      </w:r>
      <w:proofErr w:type="gramEnd"/>
      <w:r w:rsidRPr="00A03B40">
        <w:t xml:space="preserve"> proposed 2026 spent nuclear fuel interim storage cost forecast to be reasonable and authorize recovery as requested.</w:t>
      </w:r>
    </w:p>
    <w:p w:rsidRPr="00A03B40" w:rsidR="00FF350F" w:rsidP="00FF350F" w:rsidRDefault="00FD1777" w14:paraId="125B1859" w14:textId="3DCC6C0B">
      <w:pPr>
        <w:pStyle w:val="Heading3"/>
      </w:pPr>
      <w:bookmarkStart w:name="_Toc214629903" w:id="176"/>
      <w:r w:rsidRPr="00A03B40">
        <w:t xml:space="preserve">Delivery Service: </w:t>
      </w:r>
      <w:r w:rsidRPr="00A03B40" w:rsidR="00242E68">
        <w:t xml:space="preserve">Updated </w:t>
      </w:r>
      <w:r w:rsidRPr="00A03B40" w:rsidR="00722FFD">
        <w:t xml:space="preserve">2026 </w:t>
      </w:r>
      <w:r w:rsidRPr="00A03B40" w:rsidR="00FF350F">
        <w:t>Base Revenue Requirement Balancing Account-Distribution</w:t>
      </w:r>
      <w:r w:rsidRPr="00A03B40" w:rsidR="007A037D">
        <w:t xml:space="preserve"> Sub-</w:t>
      </w:r>
      <w:r w:rsidRPr="00A03B40">
        <w:t>A</w:t>
      </w:r>
      <w:r w:rsidRPr="00A03B40" w:rsidR="007A037D">
        <w:t>ccount</w:t>
      </w:r>
      <w:r w:rsidRPr="00A03B40" w:rsidR="00722FFD">
        <w:t xml:space="preserve"> Forecast</w:t>
      </w:r>
      <w:bookmarkStart w:name="_Toc203654013" w:id="177"/>
      <w:bookmarkEnd w:id="176"/>
      <w:r w:rsidRPr="00A03B40" w:rsidR="00FF350F">
        <w:t xml:space="preserve"> </w:t>
      </w:r>
      <w:bookmarkEnd w:id="177"/>
    </w:p>
    <w:p w:rsidR="006D7B5B" w:rsidP="002A68CA" w:rsidRDefault="00FF350F" w14:paraId="77CA9049" w14:textId="77777777">
      <w:pPr>
        <w:pStyle w:val="Standard"/>
        <w:widowControl w:val="0"/>
      </w:pPr>
      <w:r w:rsidRPr="00A03B40">
        <w:t>SCE forecasts a</w:t>
      </w:r>
      <w:r w:rsidRPr="00A03B40" w:rsidR="00242E68">
        <w:t>n updated</w:t>
      </w:r>
      <w:r w:rsidRPr="00A03B40">
        <w:t xml:space="preserve"> negative $</w:t>
      </w:r>
      <w:r w:rsidRPr="00A03B40" w:rsidR="00F04023">
        <w:t>2</w:t>
      </w:r>
      <w:r w:rsidRPr="00A03B40">
        <w:t>.</w:t>
      </w:r>
      <w:r w:rsidRPr="00A03B40" w:rsidR="00F04023">
        <w:t>684</w:t>
      </w:r>
      <w:r w:rsidRPr="00A03B40">
        <w:t xml:space="preserve"> million balance in 2026 </w:t>
      </w:r>
      <w:r w:rsidRPr="00A03B40" w:rsidR="007A037D">
        <w:t>F&amp;PP</w:t>
      </w:r>
      <w:r w:rsidRPr="00A03B40">
        <w:t xml:space="preserve"> costs recorded in the distribution subaccount of its Base Revenue Requirement Balancing Account (BRRBA-D),</w:t>
      </w:r>
      <w:r w:rsidRPr="00A03B40" w:rsidR="00AA303F">
        <w:rPr>
          <w:rStyle w:val="FootnoteReference"/>
        </w:rPr>
        <w:footnoteReference w:id="320"/>
      </w:r>
      <w:r w:rsidRPr="00A03B40">
        <w:t xml:space="preserve"> a $1</w:t>
      </w:r>
      <w:r w:rsidRPr="00A03B40" w:rsidR="00F04023">
        <w:t>6.486 million in</w:t>
      </w:r>
      <w:r w:rsidRPr="00A03B40">
        <w:t xml:space="preserve">crease from the </w:t>
      </w:r>
    </w:p>
    <w:p w:rsidRPr="00A03B40" w:rsidR="000648E4" w:rsidP="006D7B5B" w:rsidRDefault="0019301E" w14:paraId="10E06979" w14:textId="3E95116E">
      <w:pPr>
        <w:pStyle w:val="Standard"/>
        <w:widowControl w:val="0"/>
        <w:ind w:firstLine="0"/>
      </w:pPr>
      <w:r w:rsidRPr="00A03B40">
        <w:lastRenderedPageBreak/>
        <w:t>over-collection</w:t>
      </w:r>
      <w:r w:rsidRPr="00A03B40" w:rsidR="00FF350F">
        <w:t xml:space="preserve"> currently forecast in rates.</w:t>
      </w:r>
      <w:r w:rsidRPr="00A03B40" w:rsidR="00FF350F">
        <w:rPr>
          <w:rStyle w:val="FootnoteReference"/>
        </w:rPr>
        <w:footnoteReference w:id="321"/>
      </w:r>
    </w:p>
    <w:p w:rsidRPr="00A03B40" w:rsidR="00722FFD" w:rsidP="00722FFD" w:rsidRDefault="00722FFD" w14:paraId="53C91A8A" w14:textId="32C1AFCA">
      <w:pPr>
        <w:pStyle w:val="Standard"/>
        <w:widowControl w:val="0"/>
      </w:pPr>
      <w:r w:rsidRPr="00A03B40">
        <w:t xml:space="preserve">No party has disputed </w:t>
      </w:r>
      <w:proofErr w:type="gramStart"/>
      <w:r w:rsidRPr="00A03B40">
        <w:t>SCE’s</w:t>
      </w:r>
      <w:proofErr w:type="gramEnd"/>
      <w:r w:rsidRPr="00A03B40">
        <w:t xml:space="preserve"> proposed 2026 BRRBA-D forecast. </w:t>
      </w:r>
      <w:r w:rsidRPr="00A03B40" w:rsidR="00B96854">
        <w:t>After considering SCE’s testimony and workpapers</w:t>
      </w:r>
      <w:r w:rsidRPr="00A03B40">
        <w:t xml:space="preserve">, we find </w:t>
      </w:r>
      <w:proofErr w:type="gramStart"/>
      <w:r w:rsidRPr="00A03B40">
        <w:t>SCE’s</w:t>
      </w:r>
      <w:proofErr w:type="gramEnd"/>
      <w:r w:rsidRPr="00A03B40">
        <w:t xml:space="preserve"> proposed 2026 BRRBA-D forecast to be reasonable and so authorize recovery as requested.</w:t>
      </w:r>
    </w:p>
    <w:p w:rsidRPr="00A03B40" w:rsidR="00367F93" w:rsidP="00367F93" w:rsidRDefault="00367F93" w14:paraId="36265624" w14:textId="50DFAFE4">
      <w:pPr>
        <w:pStyle w:val="Heading3"/>
      </w:pPr>
      <w:bookmarkStart w:name="_Toc214629904" w:id="179"/>
      <w:r w:rsidRPr="00A03B40">
        <w:t xml:space="preserve">Delivery Service: Greenhouse Gas </w:t>
      </w:r>
      <w:r w:rsidR="005647D5">
        <w:br/>
      </w:r>
      <w:r w:rsidRPr="00A03B40">
        <w:t>Revenue Balancing Account</w:t>
      </w:r>
      <w:bookmarkEnd w:id="179"/>
    </w:p>
    <w:p w:rsidRPr="00A03B40" w:rsidR="00367F93" w:rsidP="00722FFD" w:rsidRDefault="00367F93" w14:paraId="55A85A70" w14:textId="4E13D3D4">
      <w:pPr>
        <w:pStyle w:val="Standard"/>
        <w:widowControl w:val="0"/>
      </w:pPr>
      <w:bookmarkStart w:name="_Hlk211178789" w:id="180"/>
      <w:r w:rsidRPr="00A03B40">
        <w:t xml:space="preserve">SCE forecasts a </w:t>
      </w:r>
      <w:r w:rsidRPr="00A03B40" w:rsidR="003A168E">
        <w:t xml:space="preserve">negative </w:t>
      </w:r>
      <w:r w:rsidRPr="00A03B40">
        <w:t>$</w:t>
      </w:r>
      <w:r w:rsidRPr="00A03B40" w:rsidR="00242E68">
        <w:t>443</w:t>
      </w:r>
      <w:r w:rsidRPr="00A03B40">
        <w:t>.</w:t>
      </w:r>
      <w:r w:rsidRPr="00A03B40" w:rsidR="00242E68">
        <w:t>279</w:t>
      </w:r>
      <w:r w:rsidRPr="00A03B40">
        <w:t xml:space="preserve"> million balance in its GHGRBA; this amount includes an estimated $21</w:t>
      </w:r>
      <w:r w:rsidRPr="00A03B40" w:rsidR="003A168E">
        <w:t>3</w:t>
      </w:r>
      <w:r w:rsidRPr="00A03B40">
        <w:t>.3</w:t>
      </w:r>
      <w:r w:rsidRPr="00A03B40" w:rsidR="003A168E">
        <w:t>07</w:t>
      </w:r>
      <w:r w:rsidRPr="00A03B40">
        <w:t xml:space="preserve"> million year-end 2025 </w:t>
      </w:r>
      <w:proofErr w:type="spellStart"/>
      <w:r w:rsidRPr="00A03B40">
        <w:t>undercollection</w:t>
      </w:r>
      <w:proofErr w:type="spellEnd"/>
      <w:r w:rsidRPr="00A03B40">
        <w:t xml:space="preserve"> and has been netted against forecast </w:t>
      </w:r>
      <w:r w:rsidRPr="00A03B40" w:rsidR="002B2044">
        <w:t xml:space="preserve">2026 </w:t>
      </w:r>
      <w:r w:rsidRPr="00A03B40" w:rsidR="00707965">
        <w:t xml:space="preserve">GHG revenues and </w:t>
      </w:r>
      <w:r w:rsidRPr="00A03B40">
        <w:t>administrative costs.</w:t>
      </w:r>
      <w:r w:rsidRPr="00A03B40">
        <w:rPr>
          <w:rStyle w:val="FootnoteReference"/>
        </w:rPr>
        <w:footnoteReference w:id="322"/>
      </w:r>
      <w:r w:rsidRPr="00A03B40" w:rsidR="003A168E">
        <w:t xml:space="preserve"> </w:t>
      </w:r>
      <w:r w:rsidRPr="00A03B40" w:rsidR="002B2044">
        <w:t>This amount also reflects deductions to the available GHG allowance revenue</w:t>
      </w:r>
      <w:r w:rsidRPr="00A03B40" w:rsidR="00707965">
        <w:t xml:space="preserve"> </w:t>
      </w:r>
      <w:r w:rsidRPr="00A03B40" w:rsidR="002B2044">
        <w:t>for clean energy and efficiency program</w:t>
      </w:r>
      <w:r w:rsidRPr="00A03B40" w:rsidR="00EF788C">
        <w:t xml:space="preserve"> funding</w:t>
      </w:r>
      <w:r w:rsidRPr="00A03B40" w:rsidR="002B2044">
        <w:t xml:space="preserve">. </w:t>
      </w:r>
      <w:r w:rsidRPr="00A03B40" w:rsidR="00083C92">
        <w:t xml:space="preserve">SCE’s negative balance reflects that the amount is to be returned to ratepayers. </w:t>
      </w:r>
      <w:r w:rsidRPr="00A03B40" w:rsidR="003A168E">
        <w:t xml:space="preserve">As noted above, the change in forecast </w:t>
      </w:r>
      <w:r w:rsidRPr="00A03B40" w:rsidR="007A01FD">
        <w:t xml:space="preserve">GHG prices, and the resulting change in </w:t>
      </w:r>
      <w:r w:rsidRPr="00A03B40" w:rsidR="003A168E">
        <w:t xml:space="preserve">GHG allowance revenues </w:t>
      </w:r>
      <w:proofErr w:type="gramStart"/>
      <w:r w:rsidRPr="00A03B40" w:rsidR="003A168E">
        <w:t>is</w:t>
      </w:r>
      <w:proofErr w:type="gramEnd"/>
      <w:r w:rsidRPr="00A03B40" w:rsidR="003A168E">
        <w:t xml:space="preserve"> </w:t>
      </w:r>
      <w:r w:rsidRPr="00A03B40" w:rsidR="00EF788C">
        <w:t>a significant driver</w:t>
      </w:r>
      <w:r w:rsidRPr="00A03B40" w:rsidR="003A168E">
        <w:t xml:space="preserve"> in the total revenue requirement change between </w:t>
      </w:r>
      <w:proofErr w:type="gramStart"/>
      <w:r w:rsidRPr="00A03B40" w:rsidR="003A168E">
        <w:t>SCE’s</w:t>
      </w:r>
      <w:proofErr w:type="gramEnd"/>
      <w:r w:rsidRPr="00A03B40" w:rsidR="003A168E">
        <w:t xml:space="preserve"> May Filing and the </w:t>
      </w:r>
      <w:r w:rsidRPr="00A03B40" w:rsidR="00EF788C">
        <w:t xml:space="preserve">Amended </w:t>
      </w:r>
      <w:r w:rsidRPr="00A03B40" w:rsidR="003A168E">
        <w:t>October Update.</w:t>
      </w:r>
      <w:r w:rsidRPr="00A03B40" w:rsidR="002B2044">
        <w:t xml:space="preserve"> </w:t>
      </w:r>
      <w:r w:rsidRPr="00A03B40" w:rsidR="007A01FD">
        <w:t>SCE forecast $528.071 million in GHG allowance revenues to return to customers in its May Filing.</w:t>
      </w:r>
      <w:r w:rsidRPr="00A03B40" w:rsidR="007A01FD">
        <w:rPr>
          <w:rStyle w:val="FootnoteReference"/>
        </w:rPr>
        <w:footnoteReference w:id="323"/>
      </w:r>
    </w:p>
    <w:bookmarkEnd w:id="180"/>
    <w:p w:rsidRPr="00A03B40" w:rsidR="00367F93" w:rsidP="00722FFD" w:rsidRDefault="00367F93" w14:paraId="61AC9D95" w14:textId="74567850">
      <w:pPr>
        <w:pStyle w:val="Standard"/>
        <w:widowControl w:val="0"/>
      </w:pPr>
      <w:r w:rsidRPr="00A03B40">
        <w:lastRenderedPageBreak/>
        <w:t xml:space="preserve">No intervenors have commented on SCE’s proposed GHGRBA balance. Given the approvals conferred in Section 6, </w:t>
      </w:r>
      <w:r w:rsidRPr="00A03B40" w:rsidR="00E62657">
        <w:t xml:space="preserve">we find </w:t>
      </w:r>
      <w:proofErr w:type="gramStart"/>
      <w:r w:rsidRPr="00A03B40" w:rsidR="00E62657">
        <w:t>SCE’s</w:t>
      </w:r>
      <w:proofErr w:type="gramEnd"/>
      <w:r w:rsidRPr="00A03B40" w:rsidR="00E62657">
        <w:t xml:space="preserve"> proposed 2026 GHGRBA forecast reasonable and adopt it. </w:t>
      </w:r>
    </w:p>
    <w:p w:rsidRPr="00A03B40" w:rsidR="00FD1777" w:rsidP="00FD1777" w:rsidRDefault="00FD1777" w14:paraId="10840E67" w14:textId="0598FDF9">
      <w:pPr>
        <w:pStyle w:val="Heading3"/>
      </w:pPr>
      <w:bookmarkStart w:name="_Toc214629905" w:id="181"/>
      <w:r w:rsidRPr="00A03B40">
        <w:t xml:space="preserve">Delivery Service: </w:t>
      </w:r>
      <w:r w:rsidRPr="00A03B40" w:rsidR="00722FFD">
        <w:t xml:space="preserve">2026 </w:t>
      </w:r>
      <w:r w:rsidRPr="00A03B40">
        <w:t xml:space="preserve">Public Purpose </w:t>
      </w:r>
      <w:r w:rsidRPr="00A03B40" w:rsidR="004C186A">
        <w:t xml:space="preserve">Program </w:t>
      </w:r>
      <w:r w:rsidRPr="00A03B40">
        <w:t>Charge Component</w:t>
      </w:r>
      <w:r w:rsidRPr="00A03B40" w:rsidR="00722FFD">
        <w:t xml:space="preserve"> Forecasts and Related 2025 Year-End Balances</w:t>
      </w:r>
      <w:bookmarkEnd w:id="181"/>
    </w:p>
    <w:p w:rsidRPr="00A03B40" w:rsidR="00FD1777" w:rsidP="005D0142" w:rsidRDefault="00FD1777" w14:paraId="0659EDFE" w14:textId="7673566F">
      <w:pPr>
        <w:pStyle w:val="Standard"/>
        <w:widowControl w:val="0"/>
      </w:pPr>
      <w:r w:rsidRPr="00A03B40">
        <w:t>SCE forecasts $</w:t>
      </w:r>
      <w:r w:rsidRPr="00A03B40" w:rsidR="004C186A">
        <w:t>4</w:t>
      </w:r>
      <w:r w:rsidRPr="00A03B40" w:rsidR="007A01FD">
        <w:t>2</w:t>
      </w:r>
      <w:r w:rsidRPr="00A03B40">
        <w:t>.</w:t>
      </w:r>
      <w:r w:rsidRPr="00A03B40" w:rsidR="007A01FD">
        <w:t>571</w:t>
      </w:r>
      <w:r w:rsidRPr="00A03B40">
        <w:t xml:space="preserve"> million in applicable ERRA costs to be recovered via the Public Purpose Program Charge (PPPC) in 2026.</w:t>
      </w:r>
      <w:r w:rsidRPr="00A03B40" w:rsidR="002A68CA">
        <w:t xml:space="preserve"> </w:t>
      </w:r>
      <w:bookmarkStart w:name="_Hlk211175791" w:id="182"/>
      <w:r w:rsidRPr="00A03B40">
        <w:t xml:space="preserve">These costs include forecast </w:t>
      </w:r>
      <w:r w:rsidRPr="00A03B40" w:rsidR="004C186A">
        <w:t xml:space="preserve">2026 </w:t>
      </w:r>
      <w:r w:rsidRPr="00A03B40">
        <w:t xml:space="preserve">costs for the TMNBC, </w:t>
      </w:r>
      <w:r w:rsidRPr="00A03B40" w:rsidR="0065040C">
        <w:t xml:space="preserve">forecast costs for </w:t>
      </w:r>
      <w:r w:rsidRPr="00A03B40" w:rsidR="004C186A">
        <w:t xml:space="preserve">the </w:t>
      </w:r>
      <w:r w:rsidRPr="00A03B40">
        <w:t>BMNBC,</w:t>
      </w:r>
      <w:r w:rsidRPr="00A03B40" w:rsidR="005D0142">
        <w:t xml:space="preserve"> </w:t>
      </w:r>
      <w:r w:rsidRPr="00A03B40" w:rsidR="00037419">
        <w:t xml:space="preserve">the confidential </w:t>
      </w:r>
      <w:r w:rsidRPr="00A03B40" w:rsidR="005D0142">
        <w:t>behind-the-meter energy storage contract</w:t>
      </w:r>
      <w:r w:rsidRPr="00A03B40" w:rsidR="00F21A98">
        <w:t xml:space="preserve"> </w:t>
      </w:r>
      <w:r w:rsidRPr="00A03B40" w:rsidR="004C186A">
        <w:t xml:space="preserve">costs of the Preferred Resources Pilot Program tracked in the </w:t>
      </w:r>
      <w:r w:rsidRPr="00A03B40">
        <w:t>LCR-PPP</w:t>
      </w:r>
      <w:r w:rsidRPr="00A03B40" w:rsidR="004C186A">
        <w:t xml:space="preserve"> subaccount</w:t>
      </w:r>
      <w:r w:rsidRPr="00A03B40" w:rsidR="00C63E1F">
        <w:t xml:space="preserve"> (</w:t>
      </w:r>
      <w:r w:rsidRPr="00A03B40" w:rsidR="004C186A">
        <w:t xml:space="preserve">Section </w:t>
      </w:r>
      <w:r w:rsidRPr="00A03B40" w:rsidR="00C63E1F">
        <w:t>5.</w:t>
      </w:r>
      <w:r w:rsidRPr="00A03B40" w:rsidR="0007585C">
        <w:t>2</w:t>
      </w:r>
      <w:r w:rsidRPr="00A03B40" w:rsidR="00C63E1F">
        <w:t>.13)</w:t>
      </w:r>
      <w:r w:rsidRPr="00A03B40" w:rsidR="0029506E">
        <w:t>,</w:t>
      </w:r>
      <w:r w:rsidRPr="00A03B40" w:rsidR="005D0142">
        <w:rPr>
          <w:rStyle w:val="FootnoteReference"/>
        </w:rPr>
        <w:footnoteReference w:id="324"/>
      </w:r>
      <w:r w:rsidRPr="00A03B40">
        <w:t xml:space="preserve"> and </w:t>
      </w:r>
      <w:r w:rsidRPr="00A03B40" w:rsidR="0061620B">
        <w:t xml:space="preserve">CCA </w:t>
      </w:r>
      <w:r w:rsidRPr="00A03B40">
        <w:t xml:space="preserve">DAC-GT/CSGT </w:t>
      </w:r>
      <w:r w:rsidRPr="00A03B40" w:rsidR="0061620B">
        <w:t>program costs</w:t>
      </w:r>
      <w:r w:rsidRPr="00A03B40" w:rsidR="002F1F12">
        <w:t xml:space="preserve"> (Section 6.6.2)</w:t>
      </w:r>
      <w:r w:rsidRPr="00A03B40">
        <w:t>.</w:t>
      </w:r>
      <w:r w:rsidRPr="00A03B40" w:rsidR="002A68CA">
        <w:t xml:space="preserve"> </w:t>
      </w:r>
      <w:r w:rsidRPr="00A03B40" w:rsidR="004C186A">
        <w:t xml:space="preserve">The </w:t>
      </w:r>
      <w:r w:rsidRPr="00A03B40" w:rsidR="0061620B">
        <w:t xml:space="preserve">proposed </w:t>
      </w:r>
      <w:r w:rsidRPr="00A03B40" w:rsidR="004C186A">
        <w:t>PPPC also includes year-end 2025 balances for the TMNBCBA and the BMNBCBA.</w:t>
      </w:r>
      <w:r w:rsidRPr="00A03B40" w:rsidR="004C186A">
        <w:rPr>
          <w:rStyle w:val="FootnoteReference"/>
        </w:rPr>
        <w:footnoteReference w:id="325"/>
      </w:r>
    </w:p>
    <w:bookmarkEnd w:id="182"/>
    <w:p w:rsidRPr="00A03B40" w:rsidR="00C63E1F" w:rsidP="00117851" w:rsidRDefault="00C63E1F" w14:paraId="3EAEAE6C" w14:textId="230FB057">
      <w:pPr>
        <w:pStyle w:val="Standard"/>
      </w:pPr>
      <w:r w:rsidRPr="00A03B40">
        <w:t xml:space="preserve">SCE estimates a 2026 tree mortality </w:t>
      </w:r>
      <w:r w:rsidRPr="00A03B40" w:rsidR="00BA7C16">
        <w:t xml:space="preserve">F&amp;PP </w:t>
      </w:r>
      <w:r w:rsidRPr="00A03B40">
        <w:t>revenue requirement of $2</w:t>
      </w:r>
      <w:r w:rsidRPr="00A03B40" w:rsidR="005D4793">
        <w:t>1</w:t>
      </w:r>
      <w:r w:rsidRPr="00A03B40">
        <w:t>.</w:t>
      </w:r>
      <w:r w:rsidRPr="00A03B40" w:rsidR="005D4793">
        <w:t>567</w:t>
      </w:r>
      <w:r w:rsidR="00757031">
        <w:t> </w:t>
      </w:r>
      <w:r w:rsidRPr="00A03B40">
        <w:t>million, including FF&amp;U, and including an estimated $0.018 million in audit costs.</w:t>
      </w:r>
      <w:r w:rsidRPr="00A03B40">
        <w:rPr>
          <w:rStyle w:val="FootnoteReference"/>
        </w:rPr>
        <w:footnoteReference w:id="326"/>
      </w:r>
      <w:r w:rsidRPr="00A03B40" w:rsidR="002A68CA">
        <w:t xml:space="preserve"> </w:t>
      </w:r>
      <w:r w:rsidRPr="00A03B40">
        <w:t>SCE projects a 2025 year-end TMNBCBA balance of $</w:t>
      </w:r>
      <w:r w:rsidRPr="00A03B40" w:rsidR="005D4793">
        <w:t>14</w:t>
      </w:r>
      <w:r w:rsidRPr="00A03B40">
        <w:t>.</w:t>
      </w:r>
      <w:r w:rsidRPr="00A03B40" w:rsidR="005D4793">
        <w:t>240</w:t>
      </w:r>
      <w:r w:rsidR="00757031">
        <w:t> </w:t>
      </w:r>
      <w:r w:rsidRPr="00A03B40">
        <w:t>million, $</w:t>
      </w:r>
      <w:r w:rsidRPr="00A03B40" w:rsidR="005D4793">
        <w:t>7</w:t>
      </w:r>
      <w:r w:rsidRPr="00A03B40">
        <w:t>.</w:t>
      </w:r>
      <w:r w:rsidRPr="00A03B40" w:rsidR="005D4793">
        <w:t>003</w:t>
      </w:r>
      <w:r w:rsidRPr="00A03B40">
        <w:t xml:space="preserve"> million less than the amount currently included in rates.</w:t>
      </w:r>
      <w:r w:rsidRPr="00A03B40">
        <w:rPr>
          <w:rStyle w:val="FootnoteReference"/>
        </w:rPr>
        <w:footnoteReference w:id="327"/>
      </w:r>
      <w:r w:rsidRPr="00A03B40" w:rsidR="002A68CA">
        <w:t xml:space="preserve"> </w:t>
      </w:r>
      <w:r w:rsidRPr="00A03B40">
        <w:t>SCE forecasts $</w:t>
      </w:r>
      <w:r w:rsidR="00A86AD6">
        <w:t>4.383</w:t>
      </w:r>
      <w:r w:rsidRPr="00A03B40">
        <w:t xml:space="preserve"> million </w:t>
      </w:r>
      <w:r w:rsidRPr="00A03B40" w:rsidR="002A68CA">
        <w:t>F&amp;PP</w:t>
      </w:r>
      <w:r w:rsidRPr="00A03B40">
        <w:t xml:space="preserve"> costs that will record to its BMNBCBA in 2026, including FF&amp;U.</w:t>
      </w:r>
      <w:r w:rsidRPr="00A03B40">
        <w:rPr>
          <w:rStyle w:val="FootnoteReference"/>
        </w:rPr>
        <w:footnoteReference w:id="328"/>
      </w:r>
      <w:r w:rsidRPr="00A03B40" w:rsidR="002A68CA">
        <w:t xml:space="preserve"> </w:t>
      </w:r>
      <w:r w:rsidRPr="00A03B40">
        <w:t>SCE estimates a year’s-end 2025 over-collection of $</w:t>
      </w:r>
      <w:r w:rsidRPr="00A03B40" w:rsidR="005D4793">
        <w:t>3.764</w:t>
      </w:r>
      <w:r w:rsidRPr="00A03B40">
        <w:t xml:space="preserve"> million (including FF&amp;U) in the BMNBCBA.</w:t>
      </w:r>
      <w:r w:rsidRPr="00A03B40">
        <w:rPr>
          <w:rStyle w:val="FootnoteReference"/>
        </w:rPr>
        <w:footnoteReference w:id="329"/>
      </w:r>
      <w:r w:rsidRPr="00A03B40" w:rsidR="002A68CA">
        <w:t xml:space="preserve"> </w:t>
      </w:r>
      <w:r w:rsidRPr="00A03B40" w:rsidR="004C186A">
        <w:t xml:space="preserve">SCE forecasts </w:t>
      </w:r>
      <w:r w:rsidRPr="00A03B40" w:rsidR="004C186A">
        <w:lastRenderedPageBreak/>
        <w:t>$3.240</w:t>
      </w:r>
      <w:r w:rsidR="00757031">
        <w:t> </w:t>
      </w:r>
      <w:r w:rsidRPr="00A03B40" w:rsidR="004C186A">
        <w:t xml:space="preserve">million in </w:t>
      </w:r>
      <w:r w:rsidRPr="00A03B40" w:rsidR="002C2FC2">
        <w:t>costs</w:t>
      </w:r>
      <w:r w:rsidRPr="00A03B40" w:rsidR="004C186A">
        <w:t xml:space="preserve"> for its DAC-GT/CSGT programs</w:t>
      </w:r>
      <w:r w:rsidRPr="00A03B40" w:rsidR="002C2FC2">
        <w:t xml:space="preserve"> in 2026</w:t>
      </w:r>
      <w:r w:rsidRPr="00A03B40" w:rsidR="004C186A">
        <w:t>, representing the forecast costs of the Clean Power Alliance of Southern California DAC-GT/CSGT program funding that remains after allotted GHG allowance revenues are exhausted</w:t>
      </w:r>
      <w:r w:rsidRPr="00A03B40" w:rsidR="00037419">
        <w:t xml:space="preserve"> (Section 6.3.2)</w:t>
      </w:r>
      <w:r w:rsidRPr="00A03B40" w:rsidR="004C186A">
        <w:t>.</w:t>
      </w:r>
      <w:r w:rsidRPr="00A03B40" w:rsidR="004C186A">
        <w:rPr>
          <w:rStyle w:val="FootnoteReference"/>
        </w:rPr>
        <w:footnoteReference w:id="330"/>
      </w:r>
      <w:r w:rsidRPr="00A03B40" w:rsidR="002A68CA">
        <w:t xml:space="preserve"> </w:t>
      </w:r>
    </w:p>
    <w:p w:rsidRPr="00A03B40" w:rsidR="00FD1777" w:rsidP="00722FFD" w:rsidRDefault="00C63E1F" w14:paraId="385740B3" w14:textId="596172D9">
      <w:pPr>
        <w:pStyle w:val="Standard"/>
      </w:pPr>
      <w:r w:rsidRPr="00A03B40">
        <w:t xml:space="preserve">No party has disputed </w:t>
      </w:r>
      <w:proofErr w:type="gramStart"/>
      <w:r w:rsidRPr="00A03B40">
        <w:t>SCE’s</w:t>
      </w:r>
      <w:proofErr w:type="gramEnd"/>
      <w:r w:rsidRPr="00A03B40">
        <w:t xml:space="preserve"> proposed 2026 </w:t>
      </w:r>
      <w:r w:rsidRPr="00A03B40" w:rsidR="00722FFD">
        <w:t xml:space="preserve">PPPC </w:t>
      </w:r>
      <w:r w:rsidRPr="00A03B40" w:rsidR="0061620B">
        <w:t>revenue requirement</w:t>
      </w:r>
      <w:r w:rsidRPr="00A03B40" w:rsidR="00722FFD">
        <w:t>s</w:t>
      </w:r>
      <w:r w:rsidRPr="00A03B40" w:rsidR="0029506E">
        <w:t xml:space="preserve">, including the </w:t>
      </w:r>
      <w:r w:rsidRPr="00A03B40" w:rsidR="0007585C">
        <w:t xml:space="preserve">2026 </w:t>
      </w:r>
      <w:r w:rsidRPr="00A03B40" w:rsidR="0029506E">
        <w:t xml:space="preserve">forecast and </w:t>
      </w:r>
      <w:r w:rsidRPr="00A03B40" w:rsidR="0007585C">
        <w:t xml:space="preserve">2025 </w:t>
      </w:r>
      <w:r w:rsidRPr="00A03B40" w:rsidR="0029506E">
        <w:t>true-up amounts identified above.</w:t>
      </w:r>
      <w:r w:rsidRPr="00A03B40" w:rsidR="002A68CA">
        <w:t xml:space="preserve"> </w:t>
      </w:r>
      <w:r w:rsidRPr="00A03B40" w:rsidR="00117851">
        <w:t>Upon review of</w:t>
      </w:r>
      <w:r w:rsidRPr="00A03B40">
        <w:t xml:space="preserve"> the record, we find </w:t>
      </w:r>
      <w:proofErr w:type="gramStart"/>
      <w:r w:rsidRPr="00A03B40">
        <w:t>SCE’s</w:t>
      </w:r>
      <w:proofErr w:type="gramEnd"/>
      <w:r w:rsidRPr="00A03B40">
        <w:t xml:space="preserve"> proposed </w:t>
      </w:r>
      <w:r w:rsidRPr="00A03B40" w:rsidR="0029506E">
        <w:t xml:space="preserve">2026 </w:t>
      </w:r>
      <w:r w:rsidRPr="00A03B40" w:rsidR="00722FFD">
        <w:t xml:space="preserve">PPPC component calculations to be </w:t>
      </w:r>
      <w:r w:rsidRPr="00A03B40">
        <w:t>reasonable</w:t>
      </w:r>
      <w:r w:rsidRPr="00A03B40" w:rsidR="0029506E">
        <w:t xml:space="preserve"> and calculated consistent with applicable laws and Commission rules,</w:t>
      </w:r>
      <w:r w:rsidRPr="00A03B40">
        <w:t xml:space="preserve"> and so </w:t>
      </w:r>
      <w:r w:rsidRPr="00A03B40" w:rsidR="00974E40">
        <w:t>we adopt them</w:t>
      </w:r>
      <w:r w:rsidRPr="00A03B40">
        <w:t>.</w:t>
      </w:r>
    </w:p>
    <w:p w:rsidRPr="00A03B40" w:rsidR="005B4CE9" w:rsidP="00FA1B4F" w:rsidRDefault="0004181E" w14:paraId="4D875A21" w14:textId="1508BE81">
      <w:pPr>
        <w:pStyle w:val="Heading1"/>
      </w:pPr>
      <w:bookmarkStart w:name="_Toc214629906" w:id="183"/>
      <w:r>
        <w:t>Power Charge Indifference Adjustment</w:t>
      </w:r>
      <w:bookmarkEnd w:id="183"/>
    </w:p>
    <w:p w:rsidRPr="00A03B40" w:rsidR="004809A0" w:rsidP="00F749D7" w:rsidRDefault="005F2833" w14:paraId="7EA62CA9" w14:textId="698B0D79">
      <w:pPr>
        <w:pStyle w:val="Standard"/>
      </w:pPr>
      <w:r w:rsidRPr="00A03B40">
        <w:t xml:space="preserve">This section discusses the Cost Responsibility Surcharges </w:t>
      </w:r>
      <w:r w:rsidRPr="00A03B40" w:rsidR="002A68CA">
        <w:t xml:space="preserve">(CRS) </w:t>
      </w:r>
      <w:r w:rsidRPr="00A03B40">
        <w:t xml:space="preserve">SCE uses to recover </w:t>
      </w:r>
      <w:r w:rsidRPr="00A03B40" w:rsidR="00EA6E34">
        <w:t xml:space="preserve">the </w:t>
      </w:r>
      <w:r w:rsidR="0004181E">
        <w:t>PCIA</w:t>
      </w:r>
      <w:r w:rsidRPr="00A03B40" w:rsidR="00EA6E34">
        <w:t xml:space="preserve"> revenue requirement portion of</w:t>
      </w:r>
      <w:r w:rsidRPr="00A03B40">
        <w:t xml:space="preserve"> its 2026 ERRA </w:t>
      </w:r>
      <w:r w:rsidRPr="00A03B40" w:rsidR="00CC7C11">
        <w:t>forecast</w:t>
      </w:r>
      <w:r w:rsidRPr="00A03B40">
        <w:t xml:space="preserve"> </w:t>
      </w:r>
      <w:r w:rsidRPr="00A03B40" w:rsidR="00FD266E">
        <w:t>r</w:t>
      </w:r>
      <w:r w:rsidRPr="00A03B40">
        <w:t xml:space="preserve">evenue </w:t>
      </w:r>
      <w:r w:rsidRPr="00A03B40" w:rsidR="00FD266E">
        <w:t>r</w:t>
      </w:r>
      <w:r w:rsidRPr="00A03B40">
        <w:t>equirement.</w:t>
      </w:r>
      <w:r w:rsidR="0004181E">
        <w:rPr>
          <w:rStyle w:val="FootnoteReference"/>
        </w:rPr>
        <w:footnoteReference w:id="331"/>
      </w:r>
      <w:r w:rsidRPr="00A03B40" w:rsidR="002A68CA">
        <w:t xml:space="preserve"> </w:t>
      </w:r>
      <w:r w:rsidRPr="00A03B40" w:rsidR="004809A0">
        <w:t xml:space="preserve">This section provides a summary of the history of these charges, SCE’s </w:t>
      </w:r>
      <w:r w:rsidRPr="00A03B40" w:rsidR="0062157C">
        <w:t>proposed calculations</w:t>
      </w:r>
      <w:r w:rsidRPr="00A03B40" w:rsidR="004809A0">
        <w:t xml:space="preserve"> of the revenue requirement</w:t>
      </w:r>
      <w:r w:rsidRPr="00A03B40" w:rsidR="00F43371">
        <w:t>s</w:t>
      </w:r>
      <w:r w:rsidRPr="00A03B40" w:rsidR="004809A0">
        <w:t xml:space="preserve"> upon which the charges are based, party </w:t>
      </w:r>
      <w:r w:rsidRPr="00A03B40" w:rsidR="00644B21">
        <w:t xml:space="preserve">comments on and opposition to </w:t>
      </w:r>
      <w:r w:rsidRPr="00A03B40" w:rsidR="004809A0">
        <w:t>SCE’s requests, and the Commission’s determination</w:t>
      </w:r>
      <w:r w:rsidRPr="00A03B40" w:rsidR="0062157C">
        <w:t>s</w:t>
      </w:r>
      <w:r w:rsidRPr="00A03B40" w:rsidR="004809A0">
        <w:t xml:space="preserve"> </w:t>
      </w:r>
      <w:r w:rsidRPr="00A03B40" w:rsidR="00F749D7">
        <w:t>o</w:t>
      </w:r>
      <w:r w:rsidRPr="00A03B40" w:rsidR="0062157C">
        <w:t>n</w:t>
      </w:r>
      <w:r w:rsidRPr="00A03B40" w:rsidR="00F749D7">
        <w:t xml:space="preserve"> </w:t>
      </w:r>
      <w:r w:rsidRPr="00A03B40" w:rsidR="0062157C">
        <w:t xml:space="preserve">the </w:t>
      </w:r>
      <w:r w:rsidRPr="00A03B40" w:rsidR="00F749D7">
        <w:t xml:space="preserve">disputed issues in this proceeding. </w:t>
      </w:r>
    </w:p>
    <w:p w:rsidRPr="00A03B40" w:rsidR="00A83415" w:rsidP="00366A9F" w:rsidRDefault="0080561D" w14:paraId="69F6D90E" w14:textId="59515919">
      <w:pPr>
        <w:pStyle w:val="Standard"/>
      </w:pPr>
      <w:r w:rsidRPr="00A03B40">
        <w:t>T</w:t>
      </w:r>
      <w:r w:rsidRPr="00A03B40" w:rsidR="00A83415">
        <w:t>his section</w:t>
      </w:r>
      <w:r w:rsidRPr="00A03B40" w:rsidR="00EA6E34">
        <w:t xml:space="preserve"> </w:t>
      </w:r>
      <w:r w:rsidRPr="00A03B40">
        <w:t xml:space="preserve">also </w:t>
      </w:r>
      <w:r w:rsidRPr="00A03B40" w:rsidR="00BD6CD6">
        <w:t xml:space="preserve">addresses </w:t>
      </w:r>
      <w:r w:rsidRPr="00A03B40" w:rsidR="00EA6E34">
        <w:t>other</w:t>
      </w:r>
      <w:r w:rsidRPr="00A03B40" w:rsidR="00E776D1">
        <w:t xml:space="preserve"> costs SCE </w:t>
      </w:r>
      <w:r w:rsidRPr="00A03B40" w:rsidR="00EA6E34">
        <w:t>requests</w:t>
      </w:r>
      <w:r w:rsidRPr="00A03B40" w:rsidR="00E776D1">
        <w:t xml:space="preserve"> be included in </w:t>
      </w:r>
      <w:r w:rsidRPr="00A03B40" w:rsidR="002A68CA">
        <w:t xml:space="preserve">its 2026 </w:t>
      </w:r>
      <w:r w:rsidR="0004181E">
        <w:t>PCIA</w:t>
      </w:r>
      <w:r w:rsidRPr="00A03B40" w:rsidR="00774807">
        <w:t>:</w:t>
      </w:r>
      <w:r w:rsidRPr="00A03B40" w:rsidR="00E776D1">
        <w:t xml:space="preserve"> (1) the recovery of the 2025 year-end PABA balance; (2) the transfer of the 2025 year-end ERRA BA balance to the 2025 vintage sub-account of the PABA;</w:t>
      </w:r>
      <w:r w:rsidRPr="00A03B40" w:rsidR="004958B1">
        <w:rPr>
          <w:rStyle w:val="FootnoteReference"/>
        </w:rPr>
        <w:t xml:space="preserve"> </w:t>
      </w:r>
      <w:r w:rsidRPr="00A03B40" w:rsidR="004958B1">
        <w:rPr>
          <w:rStyle w:val="FootnoteReference"/>
        </w:rPr>
        <w:footnoteReference w:id="332"/>
      </w:r>
      <w:r w:rsidRPr="00A03B40" w:rsidR="00E776D1">
        <w:t xml:space="preserve"> </w:t>
      </w:r>
      <w:r w:rsidRPr="00A03B40" w:rsidR="00E776D1">
        <w:lastRenderedPageBreak/>
        <w:t xml:space="preserve">(3) the removal of one-third of the PABA-eligible portion of the historical costs related to </w:t>
      </w:r>
      <w:r w:rsidRPr="00A03B40">
        <w:t>s</w:t>
      </w:r>
      <w:r w:rsidRPr="00A03B40" w:rsidR="00E776D1">
        <w:t xml:space="preserve">ystem </w:t>
      </w:r>
      <w:r w:rsidRPr="00A03B40">
        <w:t>r</w:t>
      </w:r>
      <w:r w:rsidRPr="00A03B40" w:rsidR="00E776D1">
        <w:t>eliability procurement originally recorded in the SRPMA to effectuate the 36-month amortization recovery period adopted in Res</w:t>
      </w:r>
      <w:r w:rsidRPr="00A03B40" w:rsidR="00F749D7">
        <w:t>.</w:t>
      </w:r>
      <w:r w:rsidRPr="00A03B40" w:rsidR="00E776D1">
        <w:t xml:space="preserve"> E-5240; </w:t>
      </w:r>
      <w:r w:rsidRPr="00A03B40" w:rsidR="00F749D7">
        <w:t xml:space="preserve">and </w:t>
      </w:r>
      <w:r w:rsidRPr="00A03B40" w:rsidR="00E776D1">
        <w:t>(4) costs related to the UOS Separator project.</w:t>
      </w:r>
      <w:r w:rsidRPr="00A03B40" w:rsidR="00F906C4">
        <w:rPr>
          <w:rStyle w:val="FootnoteReference"/>
        </w:rPr>
        <w:t xml:space="preserve"> </w:t>
      </w:r>
      <w:r w:rsidRPr="00A03B40" w:rsidR="00F906C4">
        <w:rPr>
          <w:rStyle w:val="FootnoteReference"/>
        </w:rPr>
        <w:footnoteReference w:id="333"/>
      </w:r>
    </w:p>
    <w:p w:rsidRPr="00A03B40" w:rsidR="00193E3B" w:rsidP="00193E3B" w:rsidRDefault="0004181E" w14:paraId="5C0CFBE8" w14:textId="5399120F">
      <w:pPr>
        <w:pStyle w:val="Heading2"/>
      </w:pPr>
      <w:bookmarkStart w:name="_Toc214629907" w:id="184"/>
      <w:r>
        <w:t>Power Charge Indifference Adjustment</w:t>
      </w:r>
      <w:r w:rsidRPr="00A03B40" w:rsidR="00193E3B">
        <w:t xml:space="preserve"> Background</w:t>
      </w:r>
      <w:r w:rsidRPr="00A03B40" w:rsidR="00F43371">
        <w:t xml:space="preserve"> and Overview</w:t>
      </w:r>
      <w:bookmarkEnd w:id="184"/>
    </w:p>
    <w:p w:rsidRPr="00A03B40" w:rsidR="001C27A6" w:rsidP="00193E3B" w:rsidRDefault="004942F3" w14:paraId="4884B09D" w14:textId="2D59A16E">
      <w:pPr>
        <w:pStyle w:val="Standard"/>
      </w:pPr>
      <w:r w:rsidRPr="00A03B40">
        <w:t xml:space="preserve">The Commission is </w:t>
      </w:r>
      <w:r w:rsidRPr="00A03B40" w:rsidR="0080561D">
        <w:t>required by law</w:t>
      </w:r>
      <w:r w:rsidRPr="00A03B40">
        <w:t xml:space="preserve"> to ensure that the movement of customers from bundled electric services to unbundled service does not shift costs to customers that remain with the utility or those that depart for Community Choice Aggregator (CCA) or Direct Access (DA) service</w:t>
      </w:r>
      <w:r w:rsidRPr="00A03B40" w:rsidR="00F906C4">
        <w:t xml:space="preserve">, collectively, </w:t>
      </w:r>
      <w:r w:rsidR="0004181E">
        <w:t xml:space="preserve">“unbundled customers” or </w:t>
      </w:r>
      <w:r w:rsidRPr="00A03B40" w:rsidR="00F906C4">
        <w:t>Departing Load (DL).</w:t>
      </w:r>
      <w:r w:rsidRPr="00A03B40">
        <w:rPr>
          <w:rStyle w:val="FootnoteReference"/>
        </w:rPr>
        <w:footnoteReference w:id="334"/>
      </w:r>
      <w:r w:rsidRPr="00A03B40">
        <w:t xml:space="preserve"> </w:t>
      </w:r>
      <w:r w:rsidRPr="00A03B40" w:rsidR="00193E3B">
        <w:t xml:space="preserve">In 2002, the Commission adopted a process to </w:t>
      </w:r>
      <w:r w:rsidR="0004181E">
        <w:t>allocate costs</w:t>
      </w:r>
      <w:r w:rsidRPr="00A03B40" w:rsidR="00193E3B">
        <w:t xml:space="preserve"> to </w:t>
      </w:r>
      <w:r w:rsidRPr="00A03B40" w:rsidR="00F906C4">
        <w:t>achieve thi</w:t>
      </w:r>
      <w:r w:rsidRPr="00A03B40" w:rsidR="0062157C">
        <w:t>s “indifference” to DL</w:t>
      </w:r>
      <w:r w:rsidRPr="00A03B40" w:rsidR="00193E3B">
        <w:t>.</w:t>
      </w:r>
      <w:r w:rsidRPr="00A03B40" w:rsidR="00193E3B">
        <w:rPr>
          <w:rStyle w:val="FootnoteReference"/>
        </w:rPr>
        <w:footnoteReference w:id="335"/>
      </w:r>
      <w:r w:rsidRPr="00A03B40" w:rsidR="002A68CA">
        <w:t xml:space="preserve"> </w:t>
      </w:r>
      <w:r w:rsidRPr="00A03B40" w:rsidR="00193E3B">
        <w:t>Th</w:t>
      </w:r>
      <w:r w:rsidR="0004181E">
        <w:t>is process</w:t>
      </w:r>
      <w:r w:rsidRPr="00A03B40" w:rsidR="00193E3B">
        <w:t xml:space="preserve"> addresses the </w:t>
      </w:r>
      <w:r w:rsidR="006D0740">
        <w:t xml:space="preserve"> shift of costs between bundled and departed customers by</w:t>
      </w:r>
      <w:r w:rsidRPr="00A03B40" w:rsidR="00193E3B">
        <w:t xml:space="preserve"> ensuring that </w:t>
      </w:r>
      <w:r w:rsidRPr="00A03B40" w:rsidR="00F906C4">
        <w:t>DL</w:t>
      </w:r>
      <w:r w:rsidR="00757031">
        <w:t> </w:t>
      </w:r>
      <w:r w:rsidRPr="00A03B40" w:rsidR="00193E3B">
        <w:t xml:space="preserve">customers </w:t>
      </w:r>
      <w:r w:rsidRPr="00A03B40" w:rsidR="006B73E2">
        <w:t xml:space="preserve">share </w:t>
      </w:r>
      <w:r w:rsidR="006D0740">
        <w:t xml:space="preserve">in </w:t>
      </w:r>
      <w:r w:rsidRPr="00A03B40" w:rsidR="00193E3B">
        <w:t>the above-</w:t>
      </w:r>
      <w:r w:rsidR="006D0740">
        <w:t xml:space="preserve"> or below-</w:t>
      </w:r>
      <w:r w:rsidRPr="00A03B40" w:rsidR="00193E3B">
        <w:t>market cost</w:t>
      </w:r>
      <w:r w:rsidR="002D0F19">
        <w:t>s</w:t>
      </w:r>
      <w:r w:rsidRPr="00A03B40" w:rsidR="00193E3B">
        <w:t xml:space="preserve"> of generation resources that were procured on their behalf prior to their opting out of IOU generation service.</w:t>
      </w:r>
      <w:r w:rsidRPr="00A03B40" w:rsidR="002A68CA">
        <w:t xml:space="preserve"> </w:t>
      </w:r>
      <w:r w:rsidRPr="00A03B40" w:rsidR="008B3567">
        <w:t xml:space="preserve">The </w:t>
      </w:r>
      <w:r w:rsidRPr="00A03B40" w:rsidR="00F749D7">
        <w:t xml:space="preserve">resource </w:t>
      </w:r>
      <w:r w:rsidRPr="00A03B40" w:rsidR="00E626CB">
        <w:t>costs and revenues</w:t>
      </w:r>
      <w:r w:rsidRPr="00A03B40" w:rsidR="00F749D7">
        <w:t xml:space="preserve"> that must be allocated</w:t>
      </w:r>
      <w:r w:rsidRPr="00A03B40" w:rsidR="008B3567">
        <w:t xml:space="preserve"> </w:t>
      </w:r>
      <w:r w:rsidRPr="00A03B40" w:rsidR="0080561D">
        <w:t xml:space="preserve">to achieve this </w:t>
      </w:r>
      <w:r w:rsidRPr="00A03B40" w:rsidR="008B3567">
        <w:t>are tracked in the PABA</w:t>
      </w:r>
      <w:r w:rsidRPr="00A03B40" w:rsidR="000108B4">
        <w:t xml:space="preserve">, which is separated into </w:t>
      </w:r>
      <w:proofErr w:type="gramStart"/>
      <w:r w:rsidRPr="00A03B40" w:rsidR="000108B4">
        <w:t>vintaged</w:t>
      </w:r>
      <w:proofErr w:type="gramEnd"/>
      <w:r w:rsidRPr="00A03B40" w:rsidR="000108B4">
        <w:t xml:space="preserve"> subaccounts.</w:t>
      </w:r>
      <w:r w:rsidRPr="00A03B40" w:rsidR="000108B4">
        <w:rPr>
          <w:rStyle w:val="FootnoteReference"/>
        </w:rPr>
        <w:footnoteReference w:id="336"/>
      </w:r>
      <w:r w:rsidRPr="00A03B40" w:rsidR="002A68CA">
        <w:t xml:space="preserve"> </w:t>
      </w:r>
      <w:r w:rsidRPr="00A03B40" w:rsidR="000108B4">
        <w:t xml:space="preserve">The practice of vintaging the PABA subaccounts </w:t>
      </w:r>
      <w:r w:rsidRPr="00A03B40" w:rsidR="00A503BD">
        <w:t xml:space="preserve">by </w:t>
      </w:r>
      <w:r w:rsidRPr="00A03B40" w:rsidR="00A503BD">
        <w:lastRenderedPageBreak/>
        <w:t xml:space="preserve">year </w:t>
      </w:r>
      <w:r w:rsidRPr="00A03B40" w:rsidR="000108B4">
        <w:t xml:space="preserve">ensures that </w:t>
      </w:r>
      <w:r w:rsidRPr="00A03B40" w:rsidR="00F906C4">
        <w:t>DL</w:t>
      </w:r>
      <w:r w:rsidRPr="00A03B40" w:rsidR="000108B4">
        <w:t xml:space="preserve"> customers are allocated </w:t>
      </w:r>
      <w:r w:rsidRPr="00A03B40" w:rsidR="000108B4">
        <w:rPr>
          <w:i/>
          <w:iCs/>
        </w:rPr>
        <w:t>only</w:t>
      </w:r>
      <w:r w:rsidRPr="00A03B40" w:rsidR="000108B4">
        <w:t xml:space="preserve"> those costs </w:t>
      </w:r>
      <w:r w:rsidR="006D0740">
        <w:t xml:space="preserve">and benefits </w:t>
      </w:r>
      <w:r w:rsidRPr="00A03B40" w:rsidR="000108B4">
        <w:t>that were incurred prior to when they left SCE’s generation service.</w:t>
      </w:r>
      <w:r w:rsidRPr="00A03B40" w:rsidR="000108B4">
        <w:rPr>
          <w:rStyle w:val="FootnoteReference"/>
        </w:rPr>
        <w:footnoteReference w:id="337"/>
      </w:r>
    </w:p>
    <w:p w:rsidRPr="00A03B40" w:rsidR="00B172D6" w:rsidP="00193E3B" w:rsidRDefault="00193E3B" w14:paraId="44121B82" w14:textId="05A4FC9B">
      <w:pPr>
        <w:pStyle w:val="Standard"/>
      </w:pPr>
      <w:r w:rsidRPr="00A03B40">
        <w:t xml:space="preserve">The Indifference Amount is the quantification of the difference between the forecast annual cost of the </w:t>
      </w:r>
      <w:r w:rsidR="0004181E">
        <w:t>PABA</w:t>
      </w:r>
      <w:r w:rsidRPr="00A03B40" w:rsidR="00C1141E">
        <w:t xml:space="preserve">-eligible </w:t>
      </w:r>
      <w:r w:rsidRPr="00A03B40" w:rsidR="00634EEF">
        <w:t>generation portfolio (Total Portfolio Cost) and the forecast market value of that</w:t>
      </w:r>
      <w:r w:rsidRPr="00A03B40" w:rsidR="00634EEF">
        <w:rPr>
          <w:rFonts w:ascii="TimesNewRoman" w:hAnsi="TimesNewRoman" w:cs="TimesNewRoman"/>
          <w:sz w:val="24"/>
          <w:szCs w:val="24"/>
        </w:rPr>
        <w:t xml:space="preserve"> </w:t>
      </w:r>
      <w:r w:rsidRPr="00A03B40" w:rsidR="00634EEF">
        <w:t>portfolio</w:t>
      </w:r>
      <w:r w:rsidRPr="00A03B40" w:rsidR="00AD4BBD">
        <w:t xml:space="preserve"> (Total </w:t>
      </w:r>
      <w:r w:rsidRPr="00A03B40" w:rsidR="00021D5F">
        <w:t xml:space="preserve">Portfolio </w:t>
      </w:r>
      <w:r w:rsidRPr="00A03B40" w:rsidR="00AD4BBD">
        <w:t>Market Value)</w:t>
      </w:r>
      <w:r w:rsidRPr="00A03B40" w:rsidR="004809A0">
        <w:t xml:space="preserve">. </w:t>
      </w:r>
      <w:bookmarkStart w:name="_Hlk211239038" w:id="186"/>
      <w:r w:rsidRPr="00A03B40" w:rsidR="004809A0">
        <w:t>The Total Portfolio Market Value is</w:t>
      </w:r>
      <w:r w:rsidRPr="00A03B40" w:rsidR="00252F38">
        <w:t xml:space="preserve"> </w:t>
      </w:r>
      <w:r w:rsidRPr="00A03B40" w:rsidR="00634EEF">
        <w:t>the forecast output</w:t>
      </w:r>
      <w:r w:rsidRPr="00A03B40" w:rsidR="008B3567">
        <w:t xml:space="preserve"> </w:t>
      </w:r>
      <w:r w:rsidRPr="00A03B40" w:rsidR="00634EEF">
        <w:t>of the resources in the generation portfolio multiplied by</w:t>
      </w:r>
      <w:r w:rsidRPr="00A03B40" w:rsidR="006B73E2">
        <w:t xml:space="preserve"> </w:t>
      </w:r>
      <w:r w:rsidRPr="00A03B40" w:rsidR="00B172D6">
        <w:t>Market Price Benchmarks</w:t>
      </w:r>
      <w:bookmarkEnd w:id="186"/>
      <w:r w:rsidRPr="00A03B40" w:rsidR="00B172D6">
        <w:t xml:space="preserve"> (MPBs</w:t>
      </w:r>
      <w:r w:rsidRPr="00A03B40" w:rsidR="00E349AB">
        <w:t>)</w:t>
      </w:r>
      <w:r w:rsidRPr="00A03B40" w:rsidR="00B172D6">
        <w:t xml:space="preserve">, </w:t>
      </w:r>
      <w:r w:rsidRPr="00A03B40" w:rsidR="00A02FDB">
        <w:t xml:space="preserve">related to the energy value, resource adequacy (RA) value, and Renewable Portfolio Standard (RPS) value of the resources, </w:t>
      </w:r>
      <w:r w:rsidRPr="00A03B40" w:rsidR="00B172D6">
        <w:t>discussed below</w:t>
      </w:r>
      <w:r w:rsidRPr="00A03B40" w:rsidR="00634EEF">
        <w:t>.</w:t>
      </w:r>
    </w:p>
    <w:p w:rsidRPr="00A03B40" w:rsidR="0080561D" w:rsidP="00F906C4" w:rsidRDefault="00B172D6" w14:paraId="1FFDE752" w14:textId="7C9F4E64">
      <w:pPr>
        <w:pStyle w:val="Standard"/>
      </w:pPr>
      <w:r w:rsidRPr="00A03B40">
        <w:t xml:space="preserve">Ultimately, the Indifference Amount is </w:t>
      </w:r>
      <w:r w:rsidRPr="00A03B40" w:rsidR="00021D5F">
        <w:t xml:space="preserve">adopted via ERRA </w:t>
      </w:r>
      <w:r w:rsidRPr="00A03B40" w:rsidR="00CC7C11">
        <w:t>forecast</w:t>
      </w:r>
      <w:r w:rsidRPr="00A03B40" w:rsidR="00021D5F">
        <w:t xml:space="preserve"> proceedings on a forecast basis and is </w:t>
      </w:r>
      <w:r w:rsidRPr="00A03B40">
        <w:t xml:space="preserve">recovered </w:t>
      </w:r>
      <w:r w:rsidRPr="00A03B40" w:rsidR="006B42D7">
        <w:t xml:space="preserve">from bundled customers via generation rates, and from </w:t>
      </w:r>
      <w:r w:rsidRPr="00A03B40" w:rsidR="00F906C4">
        <w:t>DL</w:t>
      </w:r>
      <w:r w:rsidRPr="00A03B40" w:rsidR="006B42D7">
        <w:t xml:space="preserve"> customers </w:t>
      </w:r>
      <w:r w:rsidRPr="00A03B40">
        <w:t>via</w:t>
      </w:r>
      <w:r w:rsidRPr="00A03B40" w:rsidR="00FD266E">
        <w:t xml:space="preserve"> </w:t>
      </w:r>
      <w:r w:rsidRPr="00A03B40">
        <w:t>two separate charges: the</w:t>
      </w:r>
      <w:r w:rsidRPr="00A03B40" w:rsidR="001C27A6">
        <w:t xml:space="preserve"> </w:t>
      </w:r>
      <w:r w:rsidRPr="00A03B40" w:rsidR="00634EEF">
        <w:t>C</w:t>
      </w:r>
      <w:r w:rsidRPr="00A03B40" w:rsidR="000108B4">
        <w:t>ompetition Transition Charge (C</w:t>
      </w:r>
      <w:r w:rsidRPr="00A03B40" w:rsidR="00634EEF">
        <w:t>TC</w:t>
      </w:r>
      <w:r w:rsidRPr="00A03B40" w:rsidR="000108B4">
        <w:t>)</w:t>
      </w:r>
      <w:r w:rsidRPr="00A03B40" w:rsidR="00634EEF">
        <w:t xml:space="preserve"> </w:t>
      </w:r>
      <w:r w:rsidRPr="00A03B40" w:rsidR="001C27A6">
        <w:t xml:space="preserve">and the </w:t>
      </w:r>
      <w:r w:rsidRPr="00A03B40" w:rsidR="000108B4">
        <w:t>Power Charge Indifference Adjustment (</w:t>
      </w:r>
      <w:r w:rsidRPr="00A03B40" w:rsidR="001C27A6">
        <w:t>P</w:t>
      </w:r>
      <w:r w:rsidRPr="00A03B40" w:rsidR="00FD266E">
        <w:t>CIA</w:t>
      </w:r>
      <w:r w:rsidRPr="00A03B40" w:rsidR="000108B4">
        <w:t>)</w:t>
      </w:r>
      <w:r w:rsidRPr="00A03B40" w:rsidR="001C27A6">
        <w:t>.</w:t>
      </w:r>
      <w:r w:rsidRPr="00A03B40" w:rsidR="006B42D7">
        <w:rPr>
          <w:rStyle w:val="FootnoteReference"/>
        </w:rPr>
        <w:footnoteReference w:id="338"/>
      </w:r>
      <w:r w:rsidRPr="00A03B40" w:rsidR="002A68CA">
        <w:t xml:space="preserve"> </w:t>
      </w:r>
      <w:r w:rsidRPr="00A03B40" w:rsidR="00F440D7">
        <w:t>The CTC is used to recover the above-market costs of resources developed prior to the electricity market restructuring that occurred in California in the late 1990s and early 2000s, such as eligible QFs, and is the same for all vintages.</w:t>
      </w:r>
      <w:r w:rsidRPr="00A03B40" w:rsidR="008C045D">
        <w:rPr>
          <w:rStyle w:val="FootnoteReference"/>
        </w:rPr>
        <w:footnoteReference w:id="339"/>
      </w:r>
      <w:r w:rsidRPr="00A03B40" w:rsidR="00F440D7">
        <w:t xml:space="preserve"> </w:t>
      </w:r>
    </w:p>
    <w:p w:rsidRPr="00A03B40" w:rsidR="00252F38" w:rsidP="00F906C4" w:rsidRDefault="00D95557" w14:paraId="3893E7D0" w14:textId="6A17EB26">
      <w:pPr>
        <w:pStyle w:val="Standard"/>
      </w:pPr>
      <w:r w:rsidRPr="00A03B40">
        <w:t>Establish</w:t>
      </w:r>
      <w:r w:rsidRPr="00A03B40" w:rsidR="00BD0681">
        <w:t>ed</w:t>
      </w:r>
      <w:r w:rsidRPr="00A03B40">
        <w:t xml:space="preserve"> </w:t>
      </w:r>
      <w:proofErr w:type="gramStart"/>
      <w:r w:rsidRPr="00A03B40">
        <w:t>in</w:t>
      </w:r>
      <w:proofErr w:type="gramEnd"/>
      <w:r w:rsidRPr="00A03B40">
        <w:t xml:space="preserve"> D.06-07-030, t</w:t>
      </w:r>
      <w:r w:rsidRPr="00A03B40" w:rsidR="00F440D7">
        <w:t>he PCIA recover</w:t>
      </w:r>
      <w:r w:rsidR="004A03A3">
        <w:t>s</w:t>
      </w:r>
      <w:r w:rsidRPr="00A03B40" w:rsidR="00F440D7">
        <w:t xml:space="preserve"> the above-market costs of non-CTC</w:t>
      </w:r>
      <w:r w:rsidRPr="00A03B40" w:rsidR="00745EB6">
        <w:t>, PABA-</w:t>
      </w:r>
      <w:r w:rsidRPr="00A03B40" w:rsidR="00F440D7">
        <w:t>eligible resources.</w:t>
      </w:r>
      <w:r w:rsidRPr="00A03B40" w:rsidR="00A56FA2">
        <w:rPr>
          <w:rStyle w:val="FootnoteReference"/>
        </w:rPr>
        <w:footnoteReference w:id="340"/>
      </w:r>
      <w:r w:rsidRPr="00A03B40" w:rsidR="00F440D7">
        <w:t xml:space="preserve"> </w:t>
      </w:r>
      <w:r w:rsidRPr="00A03B40" w:rsidR="00453671">
        <w:t xml:space="preserve">An Indifference Amount is calculated for </w:t>
      </w:r>
      <w:r w:rsidRPr="00A03B40" w:rsidR="00453671">
        <w:lastRenderedPageBreak/>
        <w:t xml:space="preserve">each </w:t>
      </w:r>
      <w:proofErr w:type="gramStart"/>
      <w:r w:rsidRPr="00A03B40" w:rsidR="00453671">
        <w:t>vintaged</w:t>
      </w:r>
      <w:proofErr w:type="gramEnd"/>
      <w:r w:rsidRPr="00A03B40" w:rsidR="00453671">
        <w:t xml:space="preserve"> subaccount based on the generation resources committed in each calendar year. The sum of all CTC- and PCIA-vintaged Indifference Amounts equals the total </w:t>
      </w:r>
      <w:r w:rsidR="0004181E">
        <w:t>PCIA</w:t>
      </w:r>
      <w:r w:rsidRPr="00A03B40" w:rsidR="00453671">
        <w:t xml:space="preserve"> Indifference Amount.</w:t>
      </w:r>
      <w:r w:rsidRPr="00A03B40" w:rsidR="00453671">
        <w:rPr>
          <w:rStyle w:val="FootnoteReference"/>
        </w:rPr>
        <w:footnoteReference w:id="341"/>
      </w:r>
      <w:r w:rsidRPr="00A03B40" w:rsidR="0080561D">
        <w:t xml:space="preserve"> Finally, D.18-10-019 </w:t>
      </w:r>
      <w:bookmarkStart w:name="_Hlk211243579" w:id="187"/>
      <w:r w:rsidRPr="00A03B40" w:rsidR="0080561D">
        <w:t>authorized utilities to conduct a true</w:t>
      </w:r>
      <w:r w:rsidR="006E0D77">
        <w:t xml:space="preserve"> </w:t>
      </w:r>
      <w:r w:rsidRPr="00A03B40" w:rsidR="0080561D">
        <w:t xml:space="preserve">up of the </w:t>
      </w:r>
      <w:r w:rsidR="0004181E">
        <w:t>PCIA</w:t>
      </w:r>
      <w:r w:rsidRPr="00A03B40" w:rsidR="0080561D">
        <w:t xml:space="preserve"> Indifference Amount to reflect actual costs incurred and actual revenues received</w:t>
      </w:r>
      <w:bookmarkEnd w:id="187"/>
      <w:r w:rsidRPr="00A03B40" w:rsidR="0080561D">
        <w:t>.</w:t>
      </w:r>
      <w:r w:rsidRPr="00A03B40" w:rsidR="0080561D">
        <w:rPr>
          <w:rStyle w:val="FootnoteReference"/>
        </w:rPr>
        <w:footnoteReference w:id="342"/>
      </w:r>
    </w:p>
    <w:p w:rsidRPr="00A03B40" w:rsidR="00E9783D" w:rsidP="00193E3B" w:rsidRDefault="0080561D" w14:paraId="38013A58" w14:textId="3A025A38">
      <w:pPr>
        <w:pStyle w:val="Heading2"/>
      </w:pPr>
      <w:bookmarkStart w:name="_Toc214629908" w:id="188"/>
      <w:r w:rsidRPr="00A03B40">
        <w:t xml:space="preserve">Updated </w:t>
      </w:r>
      <w:r w:rsidRPr="00A03B40" w:rsidR="00E9783D">
        <w:t xml:space="preserve">Calculation of the </w:t>
      </w:r>
      <w:r w:rsidRPr="00A03B40" w:rsidR="00A555EF">
        <w:t xml:space="preserve">2026 </w:t>
      </w:r>
      <w:r w:rsidR="0004181E">
        <w:t>Power Charge</w:t>
      </w:r>
      <w:r w:rsidRPr="00A03B40" w:rsidR="007B52C4">
        <w:t xml:space="preserve"> </w:t>
      </w:r>
      <w:r w:rsidRPr="00A03B40" w:rsidR="00E9783D">
        <w:t xml:space="preserve">Indifference </w:t>
      </w:r>
      <w:r w:rsidR="0004181E">
        <w:t>Adjustment</w:t>
      </w:r>
      <w:bookmarkEnd w:id="188"/>
    </w:p>
    <w:p w:rsidR="0019607C" w:rsidP="006426E7" w:rsidRDefault="00716B25" w14:paraId="04C1E4CB" w14:textId="47D3A1AE">
      <w:pPr>
        <w:pStyle w:val="Standard"/>
      </w:pPr>
      <w:r w:rsidRPr="00A03B40">
        <w:t xml:space="preserve">As noted </w:t>
      </w:r>
      <w:r w:rsidRPr="00A03B40" w:rsidR="00C14569">
        <w:t xml:space="preserve">above, the </w:t>
      </w:r>
      <w:r w:rsidR="0004181E">
        <w:t>PCIA</w:t>
      </w:r>
      <w:r w:rsidRPr="00A03B40" w:rsidR="00C14569">
        <w:t xml:space="preserve"> Indifference Amount is the difference between SCE’s </w:t>
      </w:r>
      <w:r w:rsidRPr="00A03B40" w:rsidR="006271CB">
        <w:t>projected 2026 P</w:t>
      </w:r>
      <w:r w:rsidR="0004181E">
        <w:t>CIA</w:t>
      </w:r>
      <w:r w:rsidRPr="00A03B40" w:rsidR="006271CB">
        <w:t xml:space="preserve">-eligible </w:t>
      </w:r>
      <w:r w:rsidRPr="00A03B40" w:rsidR="00C14569">
        <w:t xml:space="preserve">Total Portfolio Cost and </w:t>
      </w:r>
      <w:r w:rsidRPr="00A03B40" w:rsidR="00B11B08">
        <w:t>its</w:t>
      </w:r>
      <w:r w:rsidRPr="00A03B40" w:rsidR="00C14569">
        <w:t xml:space="preserve"> Total Portfolio Market Value.</w:t>
      </w:r>
      <w:r w:rsidRPr="00A03B40" w:rsidR="002A68CA">
        <w:t xml:space="preserve"> </w:t>
      </w:r>
      <w:r w:rsidRPr="00A03B40" w:rsidR="00AE07A9">
        <w:t xml:space="preserve">As illustrated in Table 8-1, below, </w:t>
      </w:r>
      <w:r w:rsidRPr="00A03B40" w:rsidR="006426E7">
        <w:t>SCE’s forecast 2026 Indifference Amount decreased by 79</w:t>
      </w:r>
      <w:r w:rsidRPr="00A03B40" w:rsidR="00AE07A9">
        <w:t xml:space="preserve"> percent</w:t>
      </w:r>
      <w:r w:rsidRPr="00A03B40" w:rsidR="006426E7">
        <w:t xml:space="preserve"> between its May Filing and Amended October Update, due largely to application of the Commission’s Forecast 2026 MPBs, particularly the RA MPB, released on October 1, 2025.</w:t>
      </w:r>
      <w:r w:rsidRPr="00A03B40" w:rsidR="006426E7">
        <w:rPr>
          <w:rStyle w:val="FootnoteReference"/>
        </w:rPr>
        <w:footnoteReference w:id="343"/>
      </w:r>
    </w:p>
    <w:p w:rsidRPr="00A03B40" w:rsidR="006426E7" w:rsidP="0019607C" w:rsidRDefault="0019607C" w14:paraId="1DCFCC0C" w14:textId="5A3670C5">
      <w:pPr>
        <w:spacing w:after="160" w:line="259" w:lineRule="auto"/>
        <w:ind w:firstLine="0"/>
      </w:pPr>
      <w:r>
        <w:br w:type="page"/>
      </w:r>
    </w:p>
    <w:p w:rsidRPr="00A03B40" w:rsidR="0061371C" w:rsidP="00A456B9" w:rsidRDefault="0061371C" w14:paraId="2FE82880" w14:textId="67FB6DAA">
      <w:pPr>
        <w:pStyle w:val="Standard"/>
        <w:spacing w:after="120" w:line="240" w:lineRule="auto"/>
        <w:ind w:firstLine="0"/>
        <w:jc w:val="center"/>
        <w:rPr>
          <w:b/>
          <w:bCs/>
        </w:rPr>
      </w:pPr>
      <w:r w:rsidRPr="00A03B40">
        <w:rPr>
          <w:b/>
          <w:bCs/>
        </w:rPr>
        <w:lastRenderedPageBreak/>
        <w:t>Table 8-1: Summary of SCE’s 2026 ERRA Forecast Portfolio Costs, Portfolio Market Value, and Total PCIA Revenue Requirement</w:t>
      </w:r>
      <w:r w:rsidRPr="00A03B40" w:rsidR="00302A7A">
        <w:rPr>
          <w:rStyle w:val="FootnoteReference"/>
          <w:b/>
          <w:bCs/>
        </w:rPr>
        <w:footnoteReference w:id="344"/>
      </w:r>
    </w:p>
    <w:tbl>
      <w:tblPr>
        <w:tblStyle w:val="TableGrid"/>
        <w:tblW w:w="0" w:type="auto"/>
        <w:tblLook w:val="04A0" w:firstRow="1" w:lastRow="0" w:firstColumn="1" w:lastColumn="0" w:noHBand="0" w:noVBand="1"/>
      </w:tblPr>
      <w:tblGrid>
        <w:gridCol w:w="3955"/>
        <w:gridCol w:w="2816"/>
        <w:gridCol w:w="2579"/>
      </w:tblGrid>
      <w:tr w:rsidRPr="00A03B40" w:rsidR="00B11B08" w:rsidTr="00C76B49" w14:paraId="4F19A211" w14:textId="4DD65304">
        <w:trPr>
          <w:trHeight w:val="432"/>
          <w:tblHeader/>
        </w:trPr>
        <w:tc>
          <w:tcPr>
            <w:tcW w:w="3955" w:type="dxa"/>
            <w:vAlign w:val="center"/>
          </w:tcPr>
          <w:p w:rsidRPr="00A03B40" w:rsidR="00B11B08" w:rsidP="00E43392" w:rsidRDefault="00B11B08" w14:paraId="35B761F7" w14:textId="08B08FA3">
            <w:pPr>
              <w:pStyle w:val="Standard"/>
              <w:spacing w:line="240" w:lineRule="auto"/>
              <w:ind w:firstLine="0"/>
              <w:jc w:val="center"/>
              <w:rPr>
                <w:b/>
                <w:bCs/>
              </w:rPr>
            </w:pPr>
            <w:r w:rsidRPr="00A03B40">
              <w:rPr>
                <w:b/>
                <w:bCs/>
              </w:rPr>
              <w:t>PCIA Revenue Requirement</w:t>
            </w:r>
          </w:p>
        </w:tc>
        <w:tc>
          <w:tcPr>
            <w:tcW w:w="2816" w:type="dxa"/>
            <w:vAlign w:val="center"/>
          </w:tcPr>
          <w:p w:rsidRPr="00A03B40" w:rsidR="00B11B08" w:rsidP="00E43392" w:rsidRDefault="00B11B08" w14:paraId="5736098F" w14:textId="757AAB04">
            <w:pPr>
              <w:pStyle w:val="Standard"/>
              <w:spacing w:line="240" w:lineRule="auto"/>
              <w:ind w:firstLine="0"/>
              <w:jc w:val="center"/>
              <w:rPr>
                <w:b/>
                <w:bCs/>
              </w:rPr>
            </w:pPr>
            <w:r w:rsidRPr="00A03B40">
              <w:rPr>
                <w:b/>
                <w:bCs/>
              </w:rPr>
              <w:t>May Filing (millions)</w:t>
            </w:r>
          </w:p>
        </w:tc>
        <w:tc>
          <w:tcPr>
            <w:tcW w:w="2579" w:type="dxa"/>
          </w:tcPr>
          <w:p w:rsidRPr="00A03B40" w:rsidR="00B11B08" w:rsidP="00E43392" w:rsidRDefault="00656EF4" w14:paraId="323BAA7A" w14:textId="66E70275">
            <w:pPr>
              <w:pStyle w:val="Standard"/>
              <w:spacing w:line="240" w:lineRule="auto"/>
              <w:ind w:firstLine="0"/>
              <w:jc w:val="center"/>
              <w:rPr>
                <w:b/>
                <w:bCs/>
              </w:rPr>
            </w:pPr>
            <w:r w:rsidRPr="00A03B40">
              <w:rPr>
                <w:b/>
                <w:bCs/>
              </w:rPr>
              <w:t xml:space="preserve">Amended </w:t>
            </w:r>
            <w:r w:rsidRPr="00A03B40" w:rsidR="00B11B08">
              <w:rPr>
                <w:b/>
                <w:bCs/>
              </w:rPr>
              <w:t>October Update (millions)</w:t>
            </w:r>
          </w:p>
        </w:tc>
      </w:tr>
      <w:tr w:rsidRPr="00A03B40" w:rsidR="00B11B08" w:rsidTr="00AB1EBE" w14:paraId="02D1C523" w14:textId="3607E4FC">
        <w:trPr>
          <w:trHeight w:val="432"/>
        </w:trPr>
        <w:tc>
          <w:tcPr>
            <w:tcW w:w="3955" w:type="dxa"/>
            <w:vAlign w:val="center"/>
          </w:tcPr>
          <w:p w:rsidRPr="00A03B40" w:rsidR="00B11B08" w:rsidP="00E43392" w:rsidRDefault="00B11B08" w14:paraId="256B4E54" w14:textId="06DD47A6">
            <w:pPr>
              <w:pStyle w:val="Standard"/>
              <w:spacing w:line="240" w:lineRule="auto"/>
              <w:ind w:firstLine="0"/>
            </w:pPr>
            <w:r w:rsidRPr="00A03B40">
              <w:t>Total Portfolio Cost</w:t>
            </w:r>
            <w:r w:rsidRPr="00A03B40" w:rsidR="00D77B96">
              <w:rPr>
                <w:rStyle w:val="FootnoteReference"/>
              </w:rPr>
              <w:footnoteReference w:id="345"/>
            </w:r>
          </w:p>
        </w:tc>
        <w:tc>
          <w:tcPr>
            <w:tcW w:w="2816" w:type="dxa"/>
            <w:vAlign w:val="center"/>
          </w:tcPr>
          <w:p w:rsidRPr="00A03B40" w:rsidR="00B11B08" w:rsidP="00D74661" w:rsidRDefault="00B11B08" w14:paraId="20A8B26D" w14:textId="608D176E">
            <w:pPr>
              <w:pStyle w:val="Standard"/>
              <w:spacing w:line="240" w:lineRule="auto"/>
              <w:ind w:firstLine="0"/>
            </w:pPr>
            <w:r w:rsidRPr="00A03B40">
              <w:t>$4,340,729</w:t>
            </w:r>
          </w:p>
        </w:tc>
        <w:tc>
          <w:tcPr>
            <w:tcW w:w="2579" w:type="dxa"/>
            <w:vAlign w:val="center"/>
          </w:tcPr>
          <w:p w:rsidRPr="00A03B40" w:rsidR="00B11B08" w:rsidP="00D74661" w:rsidRDefault="00B11B08" w14:paraId="67E86924" w14:textId="08EEB772">
            <w:pPr>
              <w:pStyle w:val="Standard"/>
              <w:spacing w:line="240" w:lineRule="auto"/>
              <w:ind w:firstLine="0"/>
            </w:pPr>
            <w:r w:rsidRPr="00A03B40">
              <w:t>$4,474,</w:t>
            </w:r>
            <w:r w:rsidRPr="00A03B40" w:rsidR="00656EF4">
              <w:t>429</w:t>
            </w:r>
          </w:p>
        </w:tc>
      </w:tr>
      <w:tr w:rsidRPr="00A03B40" w:rsidR="00B11B08" w:rsidTr="00AB1EBE" w14:paraId="4FAD2AD7" w14:textId="5A1682DC">
        <w:tc>
          <w:tcPr>
            <w:tcW w:w="3955" w:type="dxa"/>
          </w:tcPr>
          <w:p w:rsidRPr="00A03B40" w:rsidR="00B11B08" w:rsidP="00837EB3" w:rsidRDefault="00B11B08" w14:paraId="7F677923" w14:textId="2623DEAC">
            <w:pPr>
              <w:pStyle w:val="Standard"/>
              <w:spacing w:line="240" w:lineRule="auto"/>
              <w:ind w:firstLine="0"/>
            </w:pPr>
            <w:r w:rsidRPr="00A03B40">
              <w:t>Total Portfolio Market Value</w:t>
            </w:r>
            <w:r w:rsidRPr="00A03B40" w:rsidR="00AB1EBE">
              <w:rPr>
                <w:rStyle w:val="FootnoteReference"/>
              </w:rPr>
              <w:footnoteReference w:id="346"/>
            </w:r>
          </w:p>
          <w:p w:rsidRPr="00A03B40" w:rsidR="00B11B08" w:rsidP="00C44216" w:rsidRDefault="00B11B08" w14:paraId="1BDE483E" w14:textId="77777777">
            <w:pPr>
              <w:pStyle w:val="Standard"/>
              <w:numPr>
                <w:ilvl w:val="0"/>
                <w:numId w:val="16"/>
              </w:numPr>
              <w:spacing w:line="240" w:lineRule="auto"/>
            </w:pPr>
            <w:r w:rsidRPr="00A03B40">
              <w:t>Energy Value</w:t>
            </w:r>
          </w:p>
          <w:p w:rsidRPr="00A03B40" w:rsidR="00B11B08" w:rsidP="00C44216" w:rsidRDefault="00B11B08" w14:paraId="431FCD35" w14:textId="77777777">
            <w:pPr>
              <w:pStyle w:val="Standard"/>
              <w:numPr>
                <w:ilvl w:val="0"/>
                <w:numId w:val="16"/>
              </w:numPr>
              <w:spacing w:line="240" w:lineRule="auto"/>
            </w:pPr>
            <w:r w:rsidRPr="00A03B40">
              <w:t>RPS Value</w:t>
            </w:r>
          </w:p>
          <w:p w:rsidRPr="00A03B40" w:rsidR="00B11B08" w:rsidP="00C44216" w:rsidRDefault="00B11B08" w14:paraId="44847268" w14:textId="12ED9422">
            <w:pPr>
              <w:pStyle w:val="Standard"/>
              <w:numPr>
                <w:ilvl w:val="0"/>
                <w:numId w:val="16"/>
              </w:numPr>
              <w:spacing w:line="240" w:lineRule="auto"/>
            </w:pPr>
            <w:r w:rsidRPr="00A03B40">
              <w:t>RA Value</w:t>
            </w:r>
          </w:p>
        </w:tc>
        <w:tc>
          <w:tcPr>
            <w:tcW w:w="2816" w:type="dxa"/>
            <w:vAlign w:val="center"/>
          </w:tcPr>
          <w:p w:rsidRPr="00A03B40" w:rsidR="00B11B08" w:rsidP="00D74661" w:rsidRDefault="00B11B08" w14:paraId="644565C8" w14:textId="1DE79ADC">
            <w:pPr>
              <w:pStyle w:val="Standard"/>
              <w:spacing w:line="240" w:lineRule="auto"/>
              <w:ind w:firstLine="0"/>
            </w:pPr>
            <w:r w:rsidRPr="00A03B40">
              <w:t>($6,161,875)</w:t>
            </w:r>
          </w:p>
          <w:p w:rsidRPr="00A03B40" w:rsidR="00B11B08" w:rsidP="00C44216" w:rsidRDefault="00B11B08" w14:paraId="1684A2D4" w14:textId="77777777">
            <w:pPr>
              <w:pStyle w:val="Standard"/>
              <w:numPr>
                <w:ilvl w:val="0"/>
                <w:numId w:val="24"/>
              </w:numPr>
              <w:spacing w:line="240" w:lineRule="auto"/>
            </w:pPr>
            <w:r w:rsidRPr="00A03B40">
              <w:t>($1,513,697)</w:t>
            </w:r>
          </w:p>
          <w:p w:rsidRPr="00A03B40" w:rsidR="00B11B08" w:rsidP="00C44216" w:rsidRDefault="00B11B08" w14:paraId="7B63D4D0" w14:textId="77777777">
            <w:pPr>
              <w:pStyle w:val="Standard"/>
              <w:numPr>
                <w:ilvl w:val="0"/>
                <w:numId w:val="24"/>
              </w:numPr>
              <w:spacing w:line="240" w:lineRule="auto"/>
            </w:pPr>
            <w:r w:rsidRPr="00A03B40">
              <w:t>($2,056,885)</w:t>
            </w:r>
          </w:p>
          <w:p w:rsidRPr="00A03B40" w:rsidR="00B11B08" w:rsidP="00C44216" w:rsidRDefault="00B11B08" w14:paraId="2825DD72" w14:textId="290FCB93">
            <w:pPr>
              <w:pStyle w:val="Standard"/>
              <w:numPr>
                <w:ilvl w:val="0"/>
                <w:numId w:val="24"/>
              </w:numPr>
              <w:spacing w:line="240" w:lineRule="auto"/>
            </w:pPr>
            <w:r w:rsidRPr="00A03B40">
              <w:t>($2,591,293)</w:t>
            </w:r>
          </w:p>
        </w:tc>
        <w:tc>
          <w:tcPr>
            <w:tcW w:w="2579" w:type="dxa"/>
            <w:vAlign w:val="center"/>
          </w:tcPr>
          <w:p w:rsidRPr="00A03B40" w:rsidR="00B11B08" w:rsidP="00D74661" w:rsidRDefault="00B11B08" w14:paraId="7BCB9C3C" w14:textId="388C4E90">
            <w:pPr>
              <w:pStyle w:val="Standard"/>
              <w:spacing w:line="240" w:lineRule="auto"/>
              <w:ind w:firstLine="0"/>
            </w:pPr>
            <w:r w:rsidRPr="00A03B40">
              <w:t>($4,</w:t>
            </w:r>
            <w:r w:rsidRPr="00A03B40" w:rsidR="00656EF4">
              <w:t>863</w:t>
            </w:r>
            <w:r w:rsidRPr="00A03B40">
              <w:t>,</w:t>
            </w:r>
            <w:r w:rsidRPr="00A03B40" w:rsidR="00656EF4">
              <w:t>806</w:t>
            </w:r>
            <w:r w:rsidRPr="00A03B40">
              <w:t>)</w:t>
            </w:r>
          </w:p>
          <w:p w:rsidRPr="00A03B40" w:rsidR="00D74661" w:rsidP="00C44216" w:rsidRDefault="00D74661" w14:paraId="37A0D7A4" w14:textId="5562966C">
            <w:pPr>
              <w:pStyle w:val="Standard"/>
              <w:numPr>
                <w:ilvl w:val="0"/>
                <w:numId w:val="24"/>
              </w:numPr>
              <w:spacing w:line="240" w:lineRule="auto"/>
            </w:pPr>
            <w:r w:rsidRPr="00A03B40">
              <w:t>($1,426,661)</w:t>
            </w:r>
          </w:p>
          <w:p w:rsidRPr="00A03B40" w:rsidR="00D74661" w:rsidP="00C44216" w:rsidRDefault="00D74661" w14:paraId="48419FF4" w14:textId="63F3EC9E">
            <w:pPr>
              <w:pStyle w:val="Standard"/>
              <w:numPr>
                <w:ilvl w:val="0"/>
                <w:numId w:val="24"/>
              </w:numPr>
              <w:spacing w:line="240" w:lineRule="auto"/>
            </w:pPr>
            <w:r w:rsidRPr="00A03B40">
              <w:t>($1,983,575)</w:t>
            </w:r>
          </w:p>
          <w:p w:rsidRPr="00A03B40" w:rsidR="00D74661" w:rsidP="00C44216" w:rsidRDefault="00D74661" w14:paraId="2CA72AA2" w14:textId="622B37BE">
            <w:pPr>
              <w:pStyle w:val="Standard"/>
              <w:numPr>
                <w:ilvl w:val="0"/>
                <w:numId w:val="24"/>
              </w:numPr>
              <w:spacing w:line="240" w:lineRule="auto"/>
            </w:pPr>
            <w:r w:rsidRPr="00A03B40">
              <w:t>($1,</w:t>
            </w:r>
            <w:r w:rsidRPr="00A03B40" w:rsidR="00656EF4">
              <w:t>453</w:t>
            </w:r>
            <w:r w:rsidRPr="00A03B40">
              <w:t>,</w:t>
            </w:r>
            <w:r w:rsidRPr="00A03B40" w:rsidR="00656EF4">
              <w:t>570</w:t>
            </w:r>
            <w:r w:rsidRPr="00A03B40">
              <w:t>)</w:t>
            </w:r>
          </w:p>
        </w:tc>
      </w:tr>
      <w:tr w:rsidRPr="00A03B40" w:rsidR="00B11B08" w:rsidTr="00AB1EBE" w14:paraId="53B90893" w14:textId="241B543B">
        <w:trPr>
          <w:trHeight w:val="432"/>
        </w:trPr>
        <w:tc>
          <w:tcPr>
            <w:tcW w:w="3955" w:type="dxa"/>
            <w:vAlign w:val="center"/>
          </w:tcPr>
          <w:p w:rsidRPr="00A03B40" w:rsidR="00B11B08" w:rsidP="00F906C4" w:rsidRDefault="00B11B08" w14:paraId="41515E6F" w14:textId="7523BA02">
            <w:pPr>
              <w:pStyle w:val="Standard"/>
              <w:spacing w:line="240" w:lineRule="auto"/>
              <w:ind w:firstLine="0"/>
            </w:pPr>
            <w:r w:rsidRPr="00A03B40">
              <w:t>One Time Adjustments</w:t>
            </w:r>
            <w:r w:rsidRPr="00A03B40" w:rsidR="00AB1EBE">
              <w:rPr>
                <w:rStyle w:val="FootnoteReference"/>
              </w:rPr>
              <w:footnoteReference w:id="347"/>
            </w:r>
          </w:p>
        </w:tc>
        <w:tc>
          <w:tcPr>
            <w:tcW w:w="2816" w:type="dxa"/>
            <w:vAlign w:val="center"/>
          </w:tcPr>
          <w:p w:rsidRPr="00A03B40" w:rsidR="00B11B08" w:rsidP="00D74661" w:rsidRDefault="00D74661" w14:paraId="69A0AA7A" w14:textId="0E24AEFB">
            <w:pPr>
              <w:pStyle w:val="Standard"/>
              <w:spacing w:line="240" w:lineRule="auto"/>
              <w:ind w:firstLine="0"/>
            </w:pPr>
            <w:r w:rsidRPr="00A03B40">
              <w:t>$185</w:t>
            </w:r>
          </w:p>
        </w:tc>
        <w:tc>
          <w:tcPr>
            <w:tcW w:w="2579" w:type="dxa"/>
            <w:vAlign w:val="center"/>
          </w:tcPr>
          <w:p w:rsidRPr="00A03B40" w:rsidR="00B11B08" w:rsidP="00D74661" w:rsidRDefault="00D74661" w14:paraId="477B2AEF" w14:textId="4E12AB2A">
            <w:pPr>
              <w:pStyle w:val="Standard"/>
              <w:spacing w:line="240" w:lineRule="auto"/>
              <w:ind w:firstLine="0"/>
            </w:pPr>
            <w:r w:rsidRPr="00A03B40">
              <w:t>$1,300</w:t>
            </w:r>
          </w:p>
        </w:tc>
      </w:tr>
      <w:tr w:rsidRPr="00A03B40" w:rsidR="00B11B08" w:rsidTr="00AB1EBE" w14:paraId="27B4FB06" w14:textId="5B2AE1F2">
        <w:trPr>
          <w:trHeight w:val="432"/>
        </w:trPr>
        <w:tc>
          <w:tcPr>
            <w:tcW w:w="3955" w:type="dxa"/>
            <w:vAlign w:val="center"/>
          </w:tcPr>
          <w:p w:rsidRPr="00A03B40" w:rsidR="00B11B08" w:rsidP="00E43392" w:rsidRDefault="00B11B08" w14:paraId="7C8ACBB6" w14:textId="62EAAE86">
            <w:pPr>
              <w:pStyle w:val="Standard"/>
              <w:spacing w:line="240" w:lineRule="auto"/>
              <w:ind w:firstLine="0"/>
              <w:rPr>
                <w:b/>
                <w:bCs/>
              </w:rPr>
            </w:pPr>
            <w:r w:rsidRPr="00A03B40">
              <w:rPr>
                <w:b/>
                <w:bCs/>
              </w:rPr>
              <w:t>Total 2026 Indifference Amount</w:t>
            </w:r>
          </w:p>
        </w:tc>
        <w:tc>
          <w:tcPr>
            <w:tcW w:w="2816" w:type="dxa"/>
            <w:vAlign w:val="center"/>
          </w:tcPr>
          <w:p w:rsidRPr="00A03B40" w:rsidR="00B11B08" w:rsidP="00D74661" w:rsidRDefault="00D74661" w14:paraId="73B5FCED" w14:textId="1E3355D6">
            <w:pPr>
              <w:pStyle w:val="Standard"/>
              <w:spacing w:line="240" w:lineRule="auto"/>
              <w:ind w:firstLine="0"/>
            </w:pPr>
            <w:r w:rsidRPr="00A03B40">
              <w:t>($1,820,961)</w:t>
            </w:r>
          </w:p>
        </w:tc>
        <w:tc>
          <w:tcPr>
            <w:tcW w:w="2579" w:type="dxa"/>
            <w:vAlign w:val="center"/>
          </w:tcPr>
          <w:p w:rsidRPr="00A03B40" w:rsidR="00B11B08" w:rsidP="00D74661" w:rsidRDefault="00D74661" w14:paraId="172AF9ED" w14:textId="6D6F09CB">
            <w:pPr>
              <w:pStyle w:val="Standard"/>
              <w:spacing w:line="240" w:lineRule="auto"/>
              <w:ind w:firstLine="0"/>
            </w:pPr>
            <w:r w:rsidRPr="00A03B40">
              <w:t>($</w:t>
            </w:r>
            <w:r w:rsidRPr="00A03B40" w:rsidR="00656EF4">
              <w:t>388</w:t>
            </w:r>
            <w:r w:rsidRPr="00A03B40">
              <w:t>,</w:t>
            </w:r>
            <w:r w:rsidRPr="00A03B40" w:rsidR="00656EF4">
              <w:t>078</w:t>
            </w:r>
            <w:r w:rsidRPr="00A03B40">
              <w:t>)</w:t>
            </w:r>
          </w:p>
        </w:tc>
      </w:tr>
      <w:tr w:rsidRPr="00A03B40" w:rsidR="00D74661" w:rsidTr="005E1CA4" w14:paraId="62872568" w14:textId="66C2B9FC">
        <w:trPr>
          <w:trHeight w:val="432"/>
        </w:trPr>
        <w:tc>
          <w:tcPr>
            <w:tcW w:w="9350" w:type="dxa"/>
            <w:gridSpan w:val="3"/>
            <w:vAlign w:val="center"/>
          </w:tcPr>
          <w:p w:rsidRPr="00A03B40" w:rsidR="00D74661" w:rsidP="00E43392" w:rsidRDefault="00D74661" w14:paraId="5765DDEC" w14:textId="11A1DBC2">
            <w:pPr>
              <w:pStyle w:val="Standard"/>
              <w:spacing w:line="240" w:lineRule="auto"/>
              <w:ind w:firstLine="0"/>
            </w:pPr>
            <w:r w:rsidRPr="00A03B40">
              <w:t>Additions and Balancing and Memorandum Account True</w:t>
            </w:r>
            <w:r w:rsidR="006E0D77">
              <w:t xml:space="preserve"> U</w:t>
            </w:r>
            <w:r w:rsidRPr="00A03B40">
              <w:t>ps</w:t>
            </w:r>
          </w:p>
        </w:tc>
      </w:tr>
      <w:tr w:rsidRPr="00A03B40" w:rsidR="00B11B08" w:rsidTr="00AB1EBE" w14:paraId="47C9F163" w14:textId="79FF9DB8">
        <w:trPr>
          <w:trHeight w:val="1292"/>
        </w:trPr>
        <w:tc>
          <w:tcPr>
            <w:tcW w:w="3955" w:type="dxa"/>
          </w:tcPr>
          <w:p w:rsidRPr="00A03B40" w:rsidR="00B11B08" w:rsidP="00C44216" w:rsidRDefault="00B11B08" w14:paraId="1D42C760" w14:textId="53FB6323">
            <w:pPr>
              <w:pStyle w:val="Standard"/>
              <w:numPr>
                <w:ilvl w:val="0"/>
                <w:numId w:val="17"/>
              </w:numPr>
              <w:spacing w:line="240" w:lineRule="auto"/>
            </w:pPr>
            <w:r w:rsidRPr="00A03B40">
              <w:t>YE 2025 ERRA BA</w:t>
            </w:r>
          </w:p>
          <w:p w:rsidRPr="00A03B40" w:rsidR="00B11B08" w:rsidP="00C44216" w:rsidRDefault="00B11B08" w14:paraId="500F2DF0" w14:textId="0E04E9D4">
            <w:pPr>
              <w:pStyle w:val="Standard"/>
              <w:numPr>
                <w:ilvl w:val="0"/>
                <w:numId w:val="17"/>
              </w:numPr>
              <w:spacing w:line="240" w:lineRule="auto"/>
            </w:pPr>
            <w:r w:rsidRPr="00A03B40">
              <w:t>Y</w:t>
            </w:r>
            <w:r w:rsidRPr="00A03B40" w:rsidR="00D74661">
              <w:t>E</w:t>
            </w:r>
            <w:r w:rsidRPr="00A03B40">
              <w:t xml:space="preserve"> 2025 PABA</w:t>
            </w:r>
          </w:p>
          <w:p w:rsidRPr="00A03B40" w:rsidR="00B11B08" w:rsidP="00C44216" w:rsidRDefault="00B11B08" w14:paraId="5D43C81A" w14:textId="78A14D43">
            <w:pPr>
              <w:pStyle w:val="Standard"/>
              <w:numPr>
                <w:ilvl w:val="0"/>
                <w:numId w:val="17"/>
              </w:numPr>
              <w:spacing w:line="240" w:lineRule="auto"/>
            </w:pPr>
            <w:r w:rsidRPr="00A03B40">
              <w:t>SRPMA Amortization</w:t>
            </w:r>
          </w:p>
          <w:p w:rsidRPr="00A03B40" w:rsidR="00B11B08" w:rsidP="00C44216" w:rsidRDefault="00B11B08" w14:paraId="738261CD" w14:textId="4F538101">
            <w:pPr>
              <w:pStyle w:val="Standard"/>
              <w:numPr>
                <w:ilvl w:val="0"/>
                <w:numId w:val="17"/>
              </w:numPr>
              <w:spacing w:line="240" w:lineRule="auto"/>
            </w:pPr>
            <w:r w:rsidRPr="00A03B40">
              <w:t>UOS Separator</w:t>
            </w:r>
          </w:p>
        </w:tc>
        <w:tc>
          <w:tcPr>
            <w:tcW w:w="2816" w:type="dxa"/>
            <w:vAlign w:val="center"/>
          </w:tcPr>
          <w:p w:rsidRPr="00A03B40" w:rsidR="00D74661" w:rsidP="00C44216" w:rsidRDefault="00D74661" w14:paraId="5D62B5E1" w14:textId="2791CA48">
            <w:pPr>
              <w:pStyle w:val="Standard"/>
              <w:numPr>
                <w:ilvl w:val="0"/>
                <w:numId w:val="17"/>
              </w:numPr>
              <w:spacing w:line="240" w:lineRule="auto"/>
            </w:pPr>
            <w:r w:rsidRPr="00A03B40">
              <w:t>$68,468</w:t>
            </w:r>
          </w:p>
          <w:p w:rsidRPr="00A03B40" w:rsidR="00D74661" w:rsidP="00C44216" w:rsidRDefault="00D74661" w14:paraId="1167AABF" w14:textId="56AD9CBC">
            <w:pPr>
              <w:pStyle w:val="Standard"/>
              <w:numPr>
                <w:ilvl w:val="0"/>
                <w:numId w:val="17"/>
              </w:numPr>
              <w:spacing w:line="240" w:lineRule="auto"/>
            </w:pPr>
            <w:r w:rsidRPr="00A03B40">
              <w:t>$61,108</w:t>
            </w:r>
          </w:p>
          <w:p w:rsidRPr="00A03B40" w:rsidR="00D74661" w:rsidP="00C44216" w:rsidRDefault="00D74661" w14:paraId="1EDD36DF" w14:textId="1F09FDC1">
            <w:pPr>
              <w:pStyle w:val="Standard"/>
              <w:numPr>
                <w:ilvl w:val="0"/>
                <w:numId w:val="17"/>
              </w:numPr>
              <w:spacing w:line="240" w:lineRule="auto"/>
            </w:pPr>
            <w:r w:rsidRPr="00A03B40">
              <w:t>-</w:t>
            </w:r>
          </w:p>
          <w:p w:rsidRPr="00A03B40" w:rsidR="00D74661" w:rsidP="00C44216" w:rsidRDefault="00D74661" w14:paraId="6BEEEB68" w14:textId="71ED1A02">
            <w:pPr>
              <w:pStyle w:val="Standard"/>
              <w:numPr>
                <w:ilvl w:val="0"/>
                <w:numId w:val="17"/>
              </w:numPr>
              <w:spacing w:line="240" w:lineRule="auto"/>
            </w:pPr>
            <w:r w:rsidRPr="00A03B40">
              <w:t>$29,224</w:t>
            </w:r>
          </w:p>
        </w:tc>
        <w:tc>
          <w:tcPr>
            <w:tcW w:w="2579" w:type="dxa"/>
            <w:vAlign w:val="center"/>
          </w:tcPr>
          <w:p w:rsidRPr="00A03B40" w:rsidR="00D74661" w:rsidP="00C44216" w:rsidRDefault="00D74661" w14:paraId="62D1DFFF" w14:textId="11A9A114">
            <w:pPr>
              <w:pStyle w:val="Standard"/>
              <w:numPr>
                <w:ilvl w:val="0"/>
                <w:numId w:val="17"/>
              </w:numPr>
              <w:spacing w:line="240" w:lineRule="auto"/>
            </w:pPr>
            <w:r w:rsidRPr="00A03B40">
              <w:t>($</w:t>
            </w:r>
            <w:r w:rsidRPr="00A03B40" w:rsidR="009F0428">
              <w:t>888</w:t>
            </w:r>
            <w:r w:rsidRPr="00A03B40">
              <w:t>,</w:t>
            </w:r>
            <w:r w:rsidRPr="00A03B40" w:rsidR="009F0428">
              <w:t>414</w:t>
            </w:r>
            <w:r w:rsidRPr="00A03B40">
              <w:t>)</w:t>
            </w:r>
          </w:p>
          <w:p w:rsidRPr="00A03B40" w:rsidR="00D74661" w:rsidP="00C44216" w:rsidRDefault="00D74661" w14:paraId="288B20D1" w14:textId="3C816B04">
            <w:pPr>
              <w:pStyle w:val="Standard"/>
              <w:numPr>
                <w:ilvl w:val="0"/>
                <w:numId w:val="17"/>
              </w:numPr>
              <w:spacing w:line="240" w:lineRule="auto"/>
            </w:pPr>
            <w:r w:rsidRPr="00A03B40">
              <w:t>$1,</w:t>
            </w:r>
            <w:r w:rsidRPr="00A03B40" w:rsidR="009F0428">
              <w:t>303</w:t>
            </w:r>
            <w:r w:rsidRPr="00A03B40">
              <w:t>,</w:t>
            </w:r>
            <w:r w:rsidRPr="00A03B40" w:rsidR="009F0428">
              <w:t>342</w:t>
            </w:r>
          </w:p>
          <w:p w:rsidRPr="00A03B40" w:rsidR="00D74661" w:rsidP="00C44216" w:rsidRDefault="00D74661" w14:paraId="5D9E9B02" w14:textId="77777777">
            <w:pPr>
              <w:pStyle w:val="Standard"/>
              <w:numPr>
                <w:ilvl w:val="0"/>
                <w:numId w:val="17"/>
              </w:numPr>
              <w:spacing w:line="240" w:lineRule="auto"/>
            </w:pPr>
            <w:r w:rsidRPr="00A03B40">
              <w:t>-</w:t>
            </w:r>
          </w:p>
          <w:p w:rsidRPr="00A03B40" w:rsidR="00B11B08" w:rsidP="00C44216" w:rsidRDefault="00D74661" w14:paraId="5E5286C4" w14:textId="4E98F93E">
            <w:pPr>
              <w:pStyle w:val="Standard"/>
              <w:numPr>
                <w:ilvl w:val="0"/>
                <w:numId w:val="17"/>
              </w:numPr>
              <w:spacing w:line="240" w:lineRule="auto"/>
            </w:pPr>
            <w:r w:rsidRPr="00A03B40">
              <w:t>$29,224</w:t>
            </w:r>
          </w:p>
        </w:tc>
      </w:tr>
      <w:tr w:rsidRPr="00A03B40" w:rsidR="00B11B08" w:rsidTr="00AB1EBE" w14:paraId="6E6BB50E" w14:textId="1F08EED6">
        <w:trPr>
          <w:trHeight w:val="432"/>
        </w:trPr>
        <w:tc>
          <w:tcPr>
            <w:tcW w:w="3955" w:type="dxa"/>
            <w:vAlign w:val="center"/>
          </w:tcPr>
          <w:p w:rsidRPr="00A03B40" w:rsidR="00B11B08" w:rsidP="00E43392" w:rsidRDefault="00B11B08" w14:paraId="6D35BF49" w14:textId="20F53A76">
            <w:pPr>
              <w:pStyle w:val="Standard"/>
              <w:spacing w:line="240" w:lineRule="auto"/>
              <w:ind w:firstLine="0"/>
              <w:rPr>
                <w:b/>
                <w:bCs/>
              </w:rPr>
            </w:pPr>
            <w:r w:rsidRPr="00A03B40">
              <w:rPr>
                <w:b/>
                <w:bCs/>
              </w:rPr>
              <w:t>2026 PCIA Revenue Requirement</w:t>
            </w:r>
          </w:p>
        </w:tc>
        <w:tc>
          <w:tcPr>
            <w:tcW w:w="2816" w:type="dxa"/>
            <w:vAlign w:val="center"/>
          </w:tcPr>
          <w:p w:rsidRPr="00A03B40" w:rsidR="00B11B08" w:rsidP="00D74661" w:rsidRDefault="00D74661" w14:paraId="41F851EC" w14:textId="380A8928">
            <w:pPr>
              <w:pStyle w:val="Standard"/>
              <w:spacing w:line="240" w:lineRule="auto"/>
              <w:ind w:firstLine="0"/>
            </w:pPr>
            <w:r w:rsidRPr="00A03B40">
              <w:t>($1,662,161)</w:t>
            </w:r>
          </w:p>
        </w:tc>
        <w:tc>
          <w:tcPr>
            <w:tcW w:w="2579" w:type="dxa"/>
            <w:vAlign w:val="center"/>
          </w:tcPr>
          <w:p w:rsidRPr="00A03B40" w:rsidR="00B11B08" w:rsidP="00D74661" w:rsidRDefault="00D74661" w14:paraId="34BF5538" w14:textId="669580C0">
            <w:pPr>
              <w:pStyle w:val="Standard"/>
              <w:spacing w:line="240" w:lineRule="auto"/>
              <w:ind w:firstLine="0"/>
            </w:pPr>
            <w:r w:rsidRPr="00A03B40">
              <w:t>$</w:t>
            </w:r>
            <w:r w:rsidRPr="00A03B40" w:rsidR="009F0428">
              <w:t>56,074</w:t>
            </w:r>
          </w:p>
        </w:tc>
      </w:tr>
      <w:tr w:rsidRPr="00A03B40" w:rsidR="00B11B08" w:rsidTr="00AB1EBE" w14:paraId="114924BD" w14:textId="2B351824">
        <w:trPr>
          <w:trHeight w:val="58"/>
        </w:trPr>
        <w:tc>
          <w:tcPr>
            <w:tcW w:w="3955" w:type="dxa"/>
            <w:vAlign w:val="center"/>
          </w:tcPr>
          <w:p w:rsidRPr="00A03B40" w:rsidR="00B11B08" w:rsidP="00E43392" w:rsidRDefault="00B11B08" w14:paraId="759DF6D1" w14:textId="2756FB7B">
            <w:pPr>
              <w:pStyle w:val="Standard"/>
              <w:spacing w:line="240" w:lineRule="auto"/>
              <w:ind w:firstLine="0"/>
              <w:rPr>
                <w:b/>
                <w:bCs/>
              </w:rPr>
            </w:pPr>
            <w:r w:rsidRPr="00A03B40">
              <w:rPr>
                <w:b/>
                <w:bCs/>
              </w:rPr>
              <w:t xml:space="preserve">2026 PCIA Revenue Requirement with </w:t>
            </w:r>
            <w:proofErr w:type="spellStart"/>
            <w:r w:rsidRPr="00A03B40">
              <w:rPr>
                <w:b/>
                <w:bCs/>
              </w:rPr>
              <w:t>Uncollectibles</w:t>
            </w:r>
            <w:proofErr w:type="spellEnd"/>
            <w:r w:rsidRPr="00A03B40">
              <w:rPr>
                <w:b/>
                <w:bCs/>
              </w:rPr>
              <w:t xml:space="preserve"> Factor</w:t>
            </w:r>
          </w:p>
        </w:tc>
        <w:tc>
          <w:tcPr>
            <w:tcW w:w="2816" w:type="dxa"/>
            <w:vAlign w:val="center"/>
          </w:tcPr>
          <w:p w:rsidRPr="00A03B40" w:rsidR="00B11B08" w:rsidP="00D74661" w:rsidRDefault="00D74661" w14:paraId="4812B8D2" w14:textId="6DE0891C">
            <w:pPr>
              <w:pStyle w:val="Standard"/>
              <w:spacing w:line="240" w:lineRule="auto"/>
              <w:ind w:firstLine="0"/>
            </w:pPr>
            <w:r w:rsidRPr="00A03B40">
              <w:t>($1,665,158)</w:t>
            </w:r>
          </w:p>
        </w:tc>
        <w:tc>
          <w:tcPr>
            <w:tcW w:w="2579" w:type="dxa"/>
            <w:vAlign w:val="center"/>
          </w:tcPr>
          <w:p w:rsidRPr="00A03B40" w:rsidR="00B11B08" w:rsidP="00D74661" w:rsidRDefault="00D74661" w14:paraId="2EEBEBE7" w14:textId="29D20094">
            <w:pPr>
              <w:pStyle w:val="Standard"/>
              <w:spacing w:line="240" w:lineRule="auto"/>
              <w:ind w:firstLine="0"/>
            </w:pPr>
            <w:r w:rsidRPr="00A03B40">
              <w:t>$</w:t>
            </w:r>
            <w:r w:rsidRPr="00A03B40" w:rsidR="009F0428">
              <w:t>56,191</w:t>
            </w:r>
          </w:p>
        </w:tc>
      </w:tr>
    </w:tbl>
    <w:p w:rsidRPr="00A03B40" w:rsidR="00D00BF9" w:rsidP="00A456B9" w:rsidRDefault="00BB69B8" w14:paraId="7F072FB1" w14:textId="5100AB43">
      <w:pPr>
        <w:pStyle w:val="Heading3"/>
        <w:spacing w:before="240"/>
      </w:pPr>
      <w:bookmarkStart w:name="_Toc214629909" w:id="189"/>
      <w:r w:rsidRPr="00A03B40">
        <w:lastRenderedPageBreak/>
        <w:t xml:space="preserve">Updated </w:t>
      </w:r>
      <w:r w:rsidRPr="00A03B40" w:rsidR="00D00BF9">
        <w:t>Total Portfolio Cost</w:t>
      </w:r>
      <w:bookmarkEnd w:id="189"/>
    </w:p>
    <w:p w:rsidRPr="00A03B40" w:rsidR="00C14569" w:rsidP="00C14569" w:rsidRDefault="00C14569" w14:paraId="36CF132C" w14:textId="22AD660D">
      <w:pPr>
        <w:pStyle w:val="Standard"/>
      </w:pPr>
      <w:r w:rsidRPr="00A03B40">
        <w:t xml:space="preserve">To calculate </w:t>
      </w:r>
      <w:r w:rsidRPr="00A03B40" w:rsidR="008B4D2C">
        <w:t>its</w:t>
      </w:r>
      <w:r w:rsidRPr="00A03B40">
        <w:t xml:space="preserve"> Total Portfolio Cost,</w:t>
      </w:r>
      <w:r w:rsidRPr="00A03B40" w:rsidR="00F32E29">
        <w:t xml:space="preserve"> SCE sums </w:t>
      </w:r>
      <w:r w:rsidRPr="00A03B40" w:rsidR="005425D5">
        <w:t xml:space="preserve">the </w:t>
      </w:r>
      <w:r w:rsidRPr="00A03B40" w:rsidR="00E455CB">
        <w:t xml:space="preserve">estimated </w:t>
      </w:r>
      <w:r w:rsidRPr="00A03B40" w:rsidR="005425D5">
        <w:t>costs of each vintage</w:t>
      </w:r>
      <w:r w:rsidRPr="00A03B40" w:rsidR="00E455CB">
        <w:t xml:space="preserve"> subaccount in its PABA</w:t>
      </w:r>
      <w:r w:rsidRPr="00A03B40" w:rsidR="004E526B">
        <w:t xml:space="preserve">; </w:t>
      </w:r>
      <w:r w:rsidRPr="00A03B40" w:rsidR="00D00BF9">
        <w:t xml:space="preserve">these </w:t>
      </w:r>
      <w:bookmarkStart w:name="_Hlk211239161" w:id="190"/>
      <w:r w:rsidRPr="00A03B40" w:rsidR="00D00BF9">
        <w:t xml:space="preserve">forecast costs </w:t>
      </w:r>
      <w:r w:rsidRPr="00A03B40" w:rsidR="005425D5">
        <w:t xml:space="preserve">are based on </w:t>
      </w:r>
      <w:r w:rsidRPr="00A03B40" w:rsidR="00F32E29">
        <w:t>the forecast fixed and variable costs</w:t>
      </w:r>
      <w:r w:rsidRPr="00A03B40" w:rsidR="006B42D7">
        <w:t xml:space="preserve"> </w:t>
      </w:r>
      <w:r w:rsidRPr="00A03B40" w:rsidR="00F32E29">
        <w:t xml:space="preserve">of </w:t>
      </w:r>
      <w:r w:rsidRPr="00A03B40" w:rsidR="005425D5">
        <w:t>the</w:t>
      </w:r>
      <w:r w:rsidRPr="00A03B40" w:rsidR="00814877">
        <w:t xml:space="preserve"> CTC- and PCIA-eligible</w:t>
      </w:r>
      <w:r w:rsidRPr="00A03B40" w:rsidR="00F32E29">
        <w:t xml:space="preserve"> resources</w:t>
      </w:r>
      <w:bookmarkEnd w:id="190"/>
      <w:r w:rsidRPr="00A03B40" w:rsidR="005F2833">
        <w:t xml:space="preserve"> SCE</w:t>
      </w:r>
      <w:r w:rsidRPr="00A03B40" w:rsidR="00F32E29">
        <w:t xml:space="preserve"> anticipates </w:t>
      </w:r>
      <w:r w:rsidRPr="00A03B40" w:rsidR="00EE7612">
        <w:t>using to serve bundled customers</w:t>
      </w:r>
      <w:r w:rsidRPr="00A03B40" w:rsidR="00F32E29">
        <w:t xml:space="preserve"> in 2026.</w:t>
      </w:r>
      <w:r w:rsidRPr="00A03B40" w:rsidR="00EE7612">
        <w:rPr>
          <w:rStyle w:val="FootnoteReference"/>
        </w:rPr>
        <w:footnoteReference w:id="348"/>
      </w:r>
      <w:r w:rsidRPr="00A03B40" w:rsidR="002A68CA">
        <w:t xml:space="preserve"> </w:t>
      </w:r>
      <w:r w:rsidRPr="00A03B40" w:rsidR="00F32E29">
        <w:t>SCE states that these costs include:</w:t>
      </w:r>
    </w:p>
    <w:p w:rsidRPr="00A03B40" w:rsidR="002B78D6" w:rsidP="003C3F8E" w:rsidRDefault="00F32E29" w14:paraId="2A90FA9E" w14:textId="789416FD">
      <w:pPr>
        <w:pStyle w:val="Standard"/>
        <w:spacing w:line="240" w:lineRule="auto"/>
        <w:ind w:left="720" w:right="1440" w:firstLine="0"/>
      </w:pPr>
      <w:bookmarkStart w:name="_Hlk211239199" w:id="191"/>
      <w:r w:rsidRPr="00A03B40">
        <w:t>the authorized base generation capital revenue requirement</w:t>
      </w:r>
      <w:r w:rsidRPr="00A03B40" w:rsidR="00A02FDB">
        <w:t xml:space="preserve"> [AGBRR</w:t>
      </w:r>
      <w:r w:rsidRPr="00A03B40" w:rsidR="007F6D98">
        <w:t>, sic</w:t>
      </w:r>
      <w:r w:rsidRPr="00A03B40" w:rsidR="00A02FDB">
        <w:t>]</w:t>
      </w:r>
      <w:r w:rsidRPr="00A03B40">
        <w:t>, as determined in SCE’s [general rate case] Phase</w:t>
      </w:r>
      <w:r w:rsidR="005647D5">
        <w:t> </w:t>
      </w:r>
      <w:r w:rsidRPr="00A03B40">
        <w:t>1 proceeding;</w:t>
      </w:r>
      <w:r w:rsidRPr="00A03B40" w:rsidR="001D1DF4">
        <w:rPr>
          <w:rStyle w:val="FootnoteReference"/>
        </w:rPr>
        <w:footnoteReference w:id="349"/>
      </w:r>
      <w:r w:rsidRPr="00A03B40">
        <w:t xml:space="preserve"> fuel costs, and direct GHG costs for all eligible UOG; RPS-eligible contract costs; QF and non-CAM-eligible CHP contract costs; all bilateral and RFO contract costs, including fuel costs and direct GHG costs if applicable; and any applicable one-time refunds or adjustments</w:t>
      </w:r>
      <w:bookmarkEnd w:id="191"/>
      <w:r w:rsidRPr="00A03B40">
        <w:t>.</w:t>
      </w:r>
      <w:r w:rsidRPr="00A03B40">
        <w:rPr>
          <w:rStyle w:val="FootnoteReference"/>
        </w:rPr>
        <w:footnoteReference w:id="350"/>
      </w:r>
    </w:p>
    <w:p w:rsidRPr="00A03B40" w:rsidR="00EE7612" w:rsidP="003C3F8E" w:rsidRDefault="00D83B12" w14:paraId="5F28185E" w14:textId="4A28DA5D">
      <w:pPr>
        <w:pStyle w:val="Standard"/>
        <w:spacing w:before="120"/>
      </w:pPr>
      <w:r w:rsidRPr="00A03B40">
        <w:t xml:space="preserve">In its </w:t>
      </w:r>
      <w:r w:rsidRPr="00A03B40" w:rsidR="00B84A32">
        <w:t xml:space="preserve">Amended </w:t>
      </w:r>
      <w:r w:rsidRPr="00A03B40">
        <w:t>October Update, SCE forecasts Total Portfolio Costs equaling $4.47</w:t>
      </w:r>
      <w:r w:rsidRPr="00A03B40" w:rsidR="00B84A32">
        <w:t>4</w:t>
      </w:r>
      <w:r w:rsidRPr="00A03B40">
        <w:t xml:space="preserve"> billion, </w:t>
      </w:r>
      <w:r w:rsidRPr="00A03B40" w:rsidR="006F4248">
        <w:t>$</w:t>
      </w:r>
      <w:r w:rsidRPr="00A03B40">
        <w:t>134 million less than forecast in its May Filing</w:t>
      </w:r>
      <w:r w:rsidRPr="00A03B40" w:rsidR="006F4248">
        <w:t>.</w:t>
      </w:r>
      <w:r w:rsidRPr="00A03B40">
        <w:rPr>
          <w:rStyle w:val="FootnoteReference"/>
        </w:rPr>
        <w:footnoteReference w:id="351"/>
      </w:r>
    </w:p>
    <w:p w:rsidRPr="00A03B40" w:rsidR="00D00BF9" w:rsidP="00D00BF9" w:rsidRDefault="00E326D9" w14:paraId="71147BD8" w14:textId="0CC7EFB7">
      <w:pPr>
        <w:pStyle w:val="Heading3"/>
      </w:pPr>
      <w:bookmarkStart w:name="_Toc214629910" w:id="192"/>
      <w:r w:rsidRPr="00A03B40">
        <w:t xml:space="preserve">Updated </w:t>
      </w:r>
      <w:r w:rsidRPr="00A03B40" w:rsidR="00D00BF9">
        <w:t>Total Portfolio Market Value</w:t>
      </w:r>
      <w:bookmarkEnd w:id="192"/>
    </w:p>
    <w:p w:rsidRPr="00A03B40" w:rsidR="007F198A" w:rsidP="008D51B2" w:rsidRDefault="001D1DF4" w14:paraId="19D2C54C" w14:textId="239E9E5B">
      <w:pPr>
        <w:pStyle w:val="Standard"/>
        <w:widowControl w:val="0"/>
      </w:pPr>
      <w:r w:rsidRPr="00A03B40">
        <w:t>Pursuant to D.18-10-019 and D.</w:t>
      </w:r>
      <w:r w:rsidRPr="00A03B40" w:rsidR="00E00006">
        <w:t>19-10-001</w:t>
      </w:r>
      <w:r w:rsidRPr="00A03B40">
        <w:t>, t</w:t>
      </w:r>
      <w:r w:rsidRPr="00A03B40" w:rsidR="00C14569">
        <w:t xml:space="preserve">o </w:t>
      </w:r>
      <w:r w:rsidRPr="00A03B40" w:rsidR="005425D5">
        <w:t>forecast</w:t>
      </w:r>
      <w:r w:rsidRPr="00A03B40" w:rsidR="00C14569">
        <w:t xml:space="preserve"> the Total Portfolio Market Value, SCE multiplies the forecast </w:t>
      </w:r>
      <w:r w:rsidRPr="00A03B40" w:rsidR="0095378D">
        <w:t xml:space="preserve">quantity </w:t>
      </w:r>
      <w:r w:rsidRPr="00A03B40" w:rsidR="00C14569">
        <w:t xml:space="preserve">output of the resources in </w:t>
      </w:r>
      <w:r w:rsidRPr="00A03B40" w:rsidR="00D83B12">
        <w:t>each PABA</w:t>
      </w:r>
      <w:r w:rsidRPr="00A03B40" w:rsidR="00814877">
        <w:t xml:space="preserve"> </w:t>
      </w:r>
      <w:r w:rsidRPr="00A03B40" w:rsidR="00C14569">
        <w:t xml:space="preserve">vintage subaccount of </w:t>
      </w:r>
      <w:r w:rsidRPr="00A03B40" w:rsidR="00D83B12">
        <w:t>SCE’s</w:t>
      </w:r>
      <w:r w:rsidRPr="00A03B40" w:rsidR="00C14569">
        <w:t xml:space="preserve"> P</w:t>
      </w:r>
      <w:r w:rsidR="0004181E">
        <w:t>CIA</w:t>
      </w:r>
      <w:r w:rsidRPr="00A03B40" w:rsidR="00C14569">
        <w:t xml:space="preserve">-eligible generation portfolio by </w:t>
      </w:r>
      <w:r w:rsidRPr="00A03B40" w:rsidR="00C14569">
        <w:lastRenderedPageBreak/>
        <w:t>the Energy Index, RPS Adder, and RA Adder MPBs</w:t>
      </w:r>
      <w:r w:rsidRPr="00A03B40" w:rsidR="005425D5">
        <w:t xml:space="preserve"> determined each year by the Commission</w:t>
      </w:r>
      <w:r w:rsidRPr="00A03B40" w:rsidR="00C14569">
        <w:t>.</w:t>
      </w:r>
      <w:r w:rsidRPr="00A03B40" w:rsidR="005425D5">
        <w:rPr>
          <w:rStyle w:val="FootnoteReference"/>
        </w:rPr>
        <w:footnoteReference w:id="352"/>
      </w:r>
      <w:r w:rsidRPr="00A03B40" w:rsidR="00C14569">
        <w:t xml:space="preserve"> In other words, the total estimated market value of each </w:t>
      </w:r>
      <w:r w:rsidRPr="00A03B40" w:rsidR="00814877">
        <w:t>CTC or PCIA-</w:t>
      </w:r>
      <w:r w:rsidRPr="00A03B40" w:rsidR="00C14569">
        <w:t>vintage</w:t>
      </w:r>
      <w:r w:rsidRPr="00A03B40" w:rsidR="00814877">
        <w:t>d</w:t>
      </w:r>
      <w:r w:rsidRPr="00A03B40" w:rsidR="00C14569">
        <w:t xml:space="preserve"> subaccount is made up of the combined estimated market values of three possible streams of revenue each portfolio may yield: </w:t>
      </w:r>
      <w:r w:rsidRPr="00A03B40" w:rsidR="0047691C">
        <w:t xml:space="preserve">the energy value, the RA </w:t>
      </w:r>
      <w:r w:rsidRPr="00A03B40" w:rsidR="008107E2">
        <w:t>v</w:t>
      </w:r>
      <w:r w:rsidRPr="00A03B40" w:rsidR="0047691C">
        <w:t xml:space="preserve">alue, and the RPS </w:t>
      </w:r>
      <w:r w:rsidRPr="00A03B40" w:rsidR="008107E2">
        <w:t>v</w:t>
      </w:r>
      <w:r w:rsidRPr="00A03B40" w:rsidR="0047691C">
        <w:t>alue.</w:t>
      </w:r>
      <w:r w:rsidRPr="00A03B40" w:rsidR="008107E2">
        <w:t xml:space="preserve"> </w:t>
      </w:r>
      <w:r w:rsidRPr="00A03B40" w:rsidR="00433695">
        <w:t>All else kept constant, decreases to the MPBs increase the CTC and PCIA rates.</w:t>
      </w:r>
      <w:r w:rsidRPr="00A03B40" w:rsidR="00433695">
        <w:rPr>
          <w:rStyle w:val="FootnoteReference"/>
        </w:rPr>
        <w:footnoteReference w:id="353"/>
      </w:r>
      <w:r w:rsidRPr="00A03B40" w:rsidR="002A68CA">
        <w:t xml:space="preserve"> </w:t>
      </w:r>
    </w:p>
    <w:p w:rsidR="001251F3" w:rsidP="00AF3068" w:rsidRDefault="00AF3068" w14:paraId="32796479" w14:textId="4940EBD8">
      <w:pPr>
        <w:pStyle w:val="Standard"/>
        <w:widowControl w:val="0"/>
      </w:pPr>
      <w:r w:rsidRPr="00A03B40">
        <w:t xml:space="preserve">In its </w:t>
      </w:r>
      <w:r w:rsidRPr="00A03B40" w:rsidR="00A74873">
        <w:t xml:space="preserve">Amended </w:t>
      </w:r>
      <w:r w:rsidRPr="00A03B40">
        <w:t xml:space="preserve">October Update, SCE incorporated the Commission’s </w:t>
      </w:r>
      <w:r w:rsidRPr="00A03B40" w:rsidR="00EE7612">
        <w:t xml:space="preserve">forecast 2026 </w:t>
      </w:r>
      <w:r w:rsidRPr="00A03B40">
        <w:t>MPBs, released on October 1, 2025</w:t>
      </w:r>
      <w:r w:rsidRPr="00A03B40" w:rsidR="00EE7612">
        <w:t>, into its calculation of its 2026 forecast Total Portfolio Market Value</w:t>
      </w:r>
      <w:r w:rsidRPr="00A03B40">
        <w:t xml:space="preserve">. </w:t>
      </w:r>
      <w:r w:rsidRPr="00A03B40" w:rsidR="006F4248">
        <w:t>SCE projects a $4.</w:t>
      </w:r>
      <w:r w:rsidRPr="00A03B40" w:rsidR="00A74873">
        <w:t>864</w:t>
      </w:r>
      <w:r w:rsidRPr="00A03B40" w:rsidR="006F4248">
        <w:t xml:space="preserve"> billion updated Total Portfolio Market Value</w:t>
      </w:r>
      <w:r w:rsidRPr="00A03B40" w:rsidR="007C2535">
        <w:t>, a 2</w:t>
      </w:r>
      <w:r w:rsidRPr="00A03B40" w:rsidR="00A74873">
        <w:t>1</w:t>
      </w:r>
      <w:r w:rsidRPr="00A03B40" w:rsidR="007C2535">
        <w:t xml:space="preserve"> percent decrease from its </w:t>
      </w:r>
      <w:r w:rsidRPr="00A03B40" w:rsidR="00A74873">
        <w:t xml:space="preserve">May Filing </w:t>
      </w:r>
      <w:r w:rsidRPr="00A03B40" w:rsidR="007C2535">
        <w:t>estimate</w:t>
      </w:r>
      <w:r w:rsidRPr="00A03B40" w:rsidR="006F4248">
        <w:t>.</w:t>
      </w:r>
      <w:r w:rsidRPr="00A03B40" w:rsidR="006F4248">
        <w:rPr>
          <w:rStyle w:val="FootnoteReference"/>
        </w:rPr>
        <w:footnoteReference w:id="354"/>
      </w:r>
      <w:r w:rsidRPr="00A03B40" w:rsidR="006F4248">
        <w:t xml:space="preserve"> </w:t>
      </w:r>
      <w:r w:rsidRPr="00A03B40">
        <w:t xml:space="preserve">As shown below, these MPBs were generally lower than the MPBs </w:t>
      </w:r>
      <w:r w:rsidRPr="00A03B40" w:rsidR="006F4248">
        <w:t xml:space="preserve">SCE </w:t>
      </w:r>
      <w:r w:rsidRPr="00A03B40">
        <w:t xml:space="preserve">used to forecast the Total Portfolio Market Value in </w:t>
      </w:r>
      <w:r w:rsidRPr="00A03B40" w:rsidR="006F4248">
        <w:t>its</w:t>
      </w:r>
      <w:r w:rsidRPr="00A03B40">
        <w:t xml:space="preserve"> May Filing, leading to a larger (less negative) forecast </w:t>
      </w:r>
      <w:r w:rsidRPr="00A03B40" w:rsidR="00EE7612">
        <w:t xml:space="preserve">2026 </w:t>
      </w:r>
      <w:r w:rsidRPr="00A03B40">
        <w:t>Indifference Amount</w:t>
      </w:r>
      <w:r w:rsidRPr="00A03B40" w:rsidR="006F4248">
        <w:t xml:space="preserve"> than was </w:t>
      </w:r>
      <w:r w:rsidRPr="00A03B40" w:rsidR="00A74873">
        <w:t>first</w:t>
      </w:r>
      <w:r w:rsidRPr="00A03B40" w:rsidR="006F4248">
        <w:t xml:space="preserve"> forecast</w:t>
      </w:r>
      <w:r w:rsidRPr="00A03B40" w:rsidR="00EE7612">
        <w:t>.</w:t>
      </w:r>
      <w:r w:rsidRPr="0019607C" w:rsidR="0019607C">
        <w:rPr>
          <w:rStyle w:val="FootnoteReference"/>
          <w:b/>
          <w:bCs/>
        </w:rPr>
        <w:t xml:space="preserve"> </w:t>
      </w:r>
      <w:r w:rsidRPr="00A03B40" w:rsidR="0019607C">
        <w:rPr>
          <w:rStyle w:val="FootnoteReference"/>
          <w:b/>
          <w:bCs/>
        </w:rPr>
        <w:footnoteReference w:id="355"/>
      </w:r>
    </w:p>
    <w:p w:rsidRPr="00A03B40" w:rsidR="0061371C" w:rsidP="000A6D11" w:rsidRDefault="0061371C" w14:paraId="77645F2C" w14:textId="60AEE6C7">
      <w:pPr>
        <w:pStyle w:val="Standard"/>
        <w:ind w:firstLine="0"/>
        <w:jc w:val="center"/>
        <w:rPr>
          <w:b/>
          <w:bCs/>
        </w:rPr>
      </w:pPr>
      <w:r w:rsidRPr="00A03B40">
        <w:rPr>
          <w:b/>
          <w:bCs/>
        </w:rPr>
        <w:lastRenderedPageBreak/>
        <w:t>Table 8-</w:t>
      </w:r>
      <w:r w:rsidRPr="00A03B40" w:rsidR="004C11CB">
        <w:rPr>
          <w:b/>
          <w:bCs/>
        </w:rPr>
        <w:t>2</w:t>
      </w:r>
      <w:r w:rsidRPr="00A03B40">
        <w:rPr>
          <w:b/>
          <w:bCs/>
        </w:rPr>
        <w:t>: Comparison of Forecast PCIA Market Price Benchmarks</w:t>
      </w:r>
    </w:p>
    <w:tbl>
      <w:tblPr>
        <w:tblStyle w:val="TableGrid"/>
        <w:tblW w:w="0" w:type="auto"/>
        <w:tblLook w:val="04A0" w:firstRow="1" w:lastRow="0" w:firstColumn="1" w:lastColumn="0" w:noHBand="0" w:noVBand="1"/>
      </w:tblPr>
      <w:tblGrid>
        <w:gridCol w:w="1558"/>
        <w:gridCol w:w="1558"/>
        <w:gridCol w:w="1559"/>
        <w:gridCol w:w="1558"/>
        <w:gridCol w:w="1558"/>
        <w:gridCol w:w="1559"/>
      </w:tblGrid>
      <w:tr w:rsidRPr="00A03B40" w:rsidR="001005D5" w:rsidTr="001251F3" w14:paraId="15030122" w14:textId="77777777">
        <w:trPr>
          <w:tblHeader/>
        </w:trPr>
        <w:tc>
          <w:tcPr>
            <w:tcW w:w="1558" w:type="dxa"/>
            <w:vAlign w:val="center"/>
          </w:tcPr>
          <w:p w:rsidRPr="00A03B40" w:rsidR="001005D5" w:rsidP="000A6D11" w:rsidRDefault="001005D5" w14:paraId="27BE0019" w14:textId="6259B666">
            <w:pPr>
              <w:pStyle w:val="Standard"/>
              <w:spacing w:line="240" w:lineRule="auto"/>
              <w:ind w:firstLine="0"/>
              <w:jc w:val="center"/>
              <w:rPr>
                <w:sz w:val="20"/>
                <w:szCs w:val="20"/>
              </w:rPr>
            </w:pPr>
            <w:r w:rsidRPr="00A03B40">
              <w:rPr>
                <w:sz w:val="20"/>
                <w:szCs w:val="20"/>
              </w:rPr>
              <w:t>Market Price Benchmark (MPB)</w:t>
            </w:r>
          </w:p>
        </w:tc>
        <w:tc>
          <w:tcPr>
            <w:tcW w:w="1558" w:type="dxa"/>
            <w:vAlign w:val="center"/>
          </w:tcPr>
          <w:p w:rsidRPr="00A03B40" w:rsidR="001005D5" w:rsidP="000A6D11" w:rsidRDefault="001005D5" w14:paraId="3F167B7A" w14:textId="1F24E229">
            <w:pPr>
              <w:pStyle w:val="Standard"/>
              <w:spacing w:line="240" w:lineRule="auto"/>
              <w:ind w:firstLine="0"/>
              <w:jc w:val="center"/>
              <w:rPr>
                <w:sz w:val="20"/>
                <w:szCs w:val="20"/>
              </w:rPr>
            </w:pPr>
            <w:r w:rsidRPr="00A03B40">
              <w:rPr>
                <w:sz w:val="20"/>
                <w:szCs w:val="20"/>
              </w:rPr>
              <w:t>2025 ERRA Forecast May Submittal</w:t>
            </w:r>
          </w:p>
        </w:tc>
        <w:tc>
          <w:tcPr>
            <w:tcW w:w="1559" w:type="dxa"/>
            <w:vAlign w:val="center"/>
          </w:tcPr>
          <w:p w:rsidRPr="00A03B40" w:rsidR="001005D5" w:rsidP="000A6D11" w:rsidRDefault="001005D5" w14:paraId="5C8BBA3B" w14:textId="584ED5A2">
            <w:pPr>
              <w:pStyle w:val="Standard"/>
              <w:spacing w:line="240" w:lineRule="auto"/>
              <w:ind w:firstLine="0"/>
              <w:jc w:val="center"/>
              <w:rPr>
                <w:sz w:val="20"/>
                <w:szCs w:val="20"/>
              </w:rPr>
            </w:pPr>
            <w:r w:rsidRPr="00A03B40">
              <w:rPr>
                <w:sz w:val="20"/>
                <w:szCs w:val="20"/>
              </w:rPr>
              <w:t>2025 ERRA Forecast October Submittal</w:t>
            </w:r>
            <w:r w:rsidRPr="00A03B40">
              <w:rPr>
                <w:rStyle w:val="FootnoteReference"/>
                <w:sz w:val="20"/>
                <w:szCs w:val="20"/>
              </w:rPr>
              <w:footnoteReference w:id="356"/>
            </w:r>
          </w:p>
        </w:tc>
        <w:tc>
          <w:tcPr>
            <w:tcW w:w="1558" w:type="dxa"/>
            <w:vAlign w:val="center"/>
          </w:tcPr>
          <w:p w:rsidRPr="00A03B40" w:rsidR="001005D5" w:rsidP="000A6D11" w:rsidRDefault="001005D5" w14:paraId="77744B23" w14:textId="754AF967">
            <w:pPr>
              <w:pStyle w:val="Standard"/>
              <w:spacing w:line="240" w:lineRule="auto"/>
              <w:ind w:firstLine="0"/>
              <w:jc w:val="center"/>
              <w:rPr>
                <w:sz w:val="20"/>
                <w:szCs w:val="20"/>
              </w:rPr>
            </w:pPr>
            <w:r w:rsidRPr="00A03B40">
              <w:rPr>
                <w:sz w:val="20"/>
                <w:szCs w:val="20"/>
              </w:rPr>
              <w:t>2026 ERRA Forecast May Submittal</w:t>
            </w:r>
          </w:p>
        </w:tc>
        <w:tc>
          <w:tcPr>
            <w:tcW w:w="1558" w:type="dxa"/>
            <w:vAlign w:val="center"/>
          </w:tcPr>
          <w:p w:rsidRPr="00A03B40" w:rsidR="001005D5" w:rsidP="000A6D11" w:rsidRDefault="00980073" w14:paraId="43737886" w14:textId="1DA28AB2">
            <w:pPr>
              <w:pStyle w:val="Standard"/>
              <w:spacing w:line="240" w:lineRule="auto"/>
              <w:ind w:firstLine="0"/>
              <w:jc w:val="center"/>
              <w:rPr>
                <w:sz w:val="20"/>
                <w:szCs w:val="20"/>
              </w:rPr>
            </w:pPr>
            <w:r w:rsidRPr="00A03B40">
              <w:rPr>
                <w:sz w:val="20"/>
                <w:szCs w:val="20"/>
              </w:rPr>
              <w:t>2026 ERRA Forecast October Submittal</w:t>
            </w:r>
          </w:p>
        </w:tc>
        <w:tc>
          <w:tcPr>
            <w:tcW w:w="1559" w:type="dxa"/>
            <w:vAlign w:val="center"/>
          </w:tcPr>
          <w:p w:rsidRPr="00A03B40" w:rsidR="001005D5" w:rsidP="000A6D11" w:rsidRDefault="00980073" w14:paraId="3FE37B6E" w14:textId="17A60F08">
            <w:pPr>
              <w:pStyle w:val="Standard"/>
              <w:spacing w:line="240" w:lineRule="auto"/>
              <w:ind w:firstLine="0"/>
              <w:jc w:val="center"/>
              <w:rPr>
                <w:sz w:val="20"/>
                <w:szCs w:val="20"/>
              </w:rPr>
            </w:pPr>
            <w:r w:rsidRPr="00A03B40">
              <w:rPr>
                <w:sz w:val="20"/>
                <w:szCs w:val="20"/>
              </w:rPr>
              <w:t>Percent Change in 2026 May/October Submittals</w:t>
            </w:r>
          </w:p>
        </w:tc>
      </w:tr>
      <w:tr w:rsidRPr="00A03B40" w:rsidR="00980073" w:rsidTr="001005D5" w14:paraId="5F2D9BEF" w14:textId="77777777">
        <w:tc>
          <w:tcPr>
            <w:tcW w:w="1558" w:type="dxa"/>
            <w:vAlign w:val="center"/>
          </w:tcPr>
          <w:p w:rsidRPr="00A03B40" w:rsidR="00980073" w:rsidP="000A6D11" w:rsidRDefault="00980073" w14:paraId="2F4F247C" w14:textId="78AED6A4">
            <w:pPr>
              <w:pStyle w:val="Standard"/>
              <w:spacing w:line="240" w:lineRule="auto"/>
              <w:ind w:firstLine="0"/>
              <w:jc w:val="center"/>
              <w:rPr>
                <w:sz w:val="20"/>
                <w:szCs w:val="20"/>
              </w:rPr>
            </w:pPr>
            <w:r w:rsidRPr="00A03B40">
              <w:rPr>
                <w:sz w:val="20"/>
                <w:szCs w:val="20"/>
              </w:rPr>
              <w:t>Energy Index</w:t>
            </w:r>
          </w:p>
        </w:tc>
        <w:tc>
          <w:tcPr>
            <w:tcW w:w="1558" w:type="dxa"/>
            <w:vAlign w:val="center"/>
          </w:tcPr>
          <w:p w:rsidRPr="00A03B40" w:rsidR="00980073" w:rsidP="000A6D11" w:rsidRDefault="00980073" w14:paraId="0A376631" w14:textId="6D4246AF">
            <w:pPr>
              <w:pStyle w:val="Standard"/>
              <w:spacing w:line="240" w:lineRule="auto"/>
              <w:ind w:firstLine="0"/>
              <w:jc w:val="center"/>
              <w:rPr>
                <w:sz w:val="20"/>
                <w:szCs w:val="20"/>
              </w:rPr>
            </w:pPr>
            <w:r w:rsidRPr="00A03B40">
              <w:rPr>
                <w:sz w:val="20"/>
                <w:szCs w:val="20"/>
              </w:rPr>
              <w:t>$55.98/MWh</w:t>
            </w:r>
          </w:p>
        </w:tc>
        <w:tc>
          <w:tcPr>
            <w:tcW w:w="1559" w:type="dxa"/>
            <w:vAlign w:val="center"/>
          </w:tcPr>
          <w:p w:rsidRPr="00A03B40" w:rsidR="00980073" w:rsidP="000A6D11" w:rsidRDefault="00980073" w14:paraId="0A5821AC" w14:textId="30ACBD0D">
            <w:pPr>
              <w:pStyle w:val="Standard"/>
              <w:spacing w:line="240" w:lineRule="auto"/>
              <w:ind w:firstLine="0"/>
              <w:jc w:val="center"/>
              <w:rPr>
                <w:sz w:val="20"/>
                <w:szCs w:val="20"/>
              </w:rPr>
            </w:pPr>
            <w:r w:rsidRPr="00A03B40">
              <w:rPr>
                <w:sz w:val="20"/>
                <w:szCs w:val="20"/>
              </w:rPr>
              <w:t>$41.67/MWh</w:t>
            </w:r>
          </w:p>
        </w:tc>
        <w:tc>
          <w:tcPr>
            <w:tcW w:w="1558" w:type="dxa"/>
            <w:vAlign w:val="center"/>
          </w:tcPr>
          <w:p w:rsidRPr="00A03B40" w:rsidR="00980073" w:rsidP="000A6D11" w:rsidRDefault="00980073" w14:paraId="72107BFA" w14:textId="0F725F4E">
            <w:pPr>
              <w:pStyle w:val="Standard"/>
              <w:spacing w:line="240" w:lineRule="auto"/>
              <w:ind w:firstLine="0"/>
              <w:jc w:val="center"/>
              <w:rPr>
                <w:sz w:val="20"/>
                <w:szCs w:val="20"/>
              </w:rPr>
            </w:pPr>
            <w:r w:rsidRPr="00A03B40">
              <w:rPr>
                <w:sz w:val="20"/>
                <w:szCs w:val="20"/>
              </w:rPr>
              <w:t>$40.57/MWh</w:t>
            </w:r>
          </w:p>
        </w:tc>
        <w:tc>
          <w:tcPr>
            <w:tcW w:w="1558" w:type="dxa"/>
            <w:vAlign w:val="center"/>
          </w:tcPr>
          <w:p w:rsidRPr="00A03B40" w:rsidR="00980073" w:rsidP="000A6D11" w:rsidRDefault="00AF3068" w14:paraId="7D71245F" w14:textId="422385DA">
            <w:pPr>
              <w:pStyle w:val="Standard"/>
              <w:spacing w:line="240" w:lineRule="auto"/>
              <w:ind w:firstLine="0"/>
              <w:jc w:val="center"/>
              <w:rPr>
                <w:sz w:val="20"/>
                <w:szCs w:val="20"/>
              </w:rPr>
            </w:pPr>
            <w:r w:rsidRPr="00A03B40">
              <w:rPr>
                <w:sz w:val="20"/>
                <w:szCs w:val="20"/>
              </w:rPr>
              <w:t>$40.00/MWh</w:t>
            </w:r>
          </w:p>
        </w:tc>
        <w:tc>
          <w:tcPr>
            <w:tcW w:w="1559" w:type="dxa"/>
            <w:vAlign w:val="center"/>
          </w:tcPr>
          <w:p w:rsidRPr="00A03B40" w:rsidR="00980073" w:rsidP="000A6D11" w:rsidRDefault="00AF3068" w14:paraId="788D48C5" w14:textId="723D345A">
            <w:pPr>
              <w:pStyle w:val="Standard"/>
              <w:spacing w:line="240" w:lineRule="auto"/>
              <w:ind w:firstLine="0"/>
              <w:jc w:val="center"/>
              <w:rPr>
                <w:sz w:val="20"/>
                <w:szCs w:val="20"/>
              </w:rPr>
            </w:pPr>
            <w:r w:rsidRPr="00A03B40">
              <w:rPr>
                <w:sz w:val="20"/>
                <w:szCs w:val="20"/>
              </w:rPr>
              <w:t>-1%</w:t>
            </w:r>
          </w:p>
        </w:tc>
      </w:tr>
      <w:tr w:rsidRPr="00A03B40" w:rsidR="00980073" w:rsidTr="001005D5" w14:paraId="63513605" w14:textId="77777777">
        <w:tc>
          <w:tcPr>
            <w:tcW w:w="1558" w:type="dxa"/>
            <w:vAlign w:val="center"/>
          </w:tcPr>
          <w:p w:rsidRPr="00A03B40" w:rsidR="00980073" w:rsidP="000A6D11" w:rsidRDefault="00980073" w14:paraId="73C40F17" w14:textId="74C82620">
            <w:pPr>
              <w:pStyle w:val="Standard"/>
              <w:spacing w:line="240" w:lineRule="auto"/>
              <w:ind w:firstLine="0"/>
              <w:jc w:val="center"/>
              <w:rPr>
                <w:sz w:val="20"/>
                <w:szCs w:val="20"/>
              </w:rPr>
            </w:pPr>
            <w:r w:rsidRPr="00A03B40">
              <w:rPr>
                <w:sz w:val="20"/>
                <w:szCs w:val="20"/>
              </w:rPr>
              <w:t>RPS Adder</w:t>
            </w:r>
          </w:p>
        </w:tc>
        <w:tc>
          <w:tcPr>
            <w:tcW w:w="1558" w:type="dxa"/>
            <w:vAlign w:val="center"/>
          </w:tcPr>
          <w:p w:rsidRPr="00A03B40" w:rsidR="00980073" w:rsidP="000A6D11" w:rsidRDefault="00980073" w14:paraId="4383DB71" w14:textId="1A801AF4">
            <w:pPr>
              <w:pStyle w:val="Standard"/>
              <w:spacing w:line="240" w:lineRule="auto"/>
              <w:ind w:firstLine="0"/>
              <w:jc w:val="center"/>
              <w:rPr>
                <w:sz w:val="20"/>
                <w:szCs w:val="20"/>
              </w:rPr>
            </w:pPr>
            <w:r w:rsidRPr="00A03B40">
              <w:rPr>
                <w:sz w:val="20"/>
                <w:szCs w:val="20"/>
              </w:rPr>
              <w:t>$31.73/MWh</w:t>
            </w:r>
          </w:p>
        </w:tc>
        <w:tc>
          <w:tcPr>
            <w:tcW w:w="1559" w:type="dxa"/>
            <w:vAlign w:val="center"/>
          </w:tcPr>
          <w:p w:rsidRPr="00A03B40" w:rsidR="00980073" w:rsidP="000A6D11" w:rsidRDefault="00980073" w14:paraId="34866215" w14:textId="6A40DD1C">
            <w:pPr>
              <w:pStyle w:val="Standard"/>
              <w:spacing w:line="240" w:lineRule="auto"/>
              <w:ind w:firstLine="0"/>
              <w:jc w:val="center"/>
              <w:rPr>
                <w:sz w:val="20"/>
                <w:szCs w:val="20"/>
              </w:rPr>
            </w:pPr>
            <w:r w:rsidRPr="00A03B40">
              <w:rPr>
                <w:sz w:val="20"/>
                <w:szCs w:val="20"/>
              </w:rPr>
              <w:t>$71.24/MWh</w:t>
            </w:r>
          </w:p>
        </w:tc>
        <w:tc>
          <w:tcPr>
            <w:tcW w:w="1558" w:type="dxa"/>
            <w:vAlign w:val="center"/>
          </w:tcPr>
          <w:p w:rsidRPr="00A03B40" w:rsidR="00980073" w:rsidP="000A6D11" w:rsidRDefault="00980073" w14:paraId="226D85EA" w14:textId="7DD6AE16">
            <w:pPr>
              <w:pStyle w:val="Standard"/>
              <w:spacing w:line="240" w:lineRule="auto"/>
              <w:ind w:firstLine="0"/>
              <w:jc w:val="center"/>
              <w:rPr>
                <w:sz w:val="20"/>
                <w:szCs w:val="20"/>
              </w:rPr>
            </w:pPr>
            <w:r w:rsidRPr="00A03B40">
              <w:rPr>
                <w:sz w:val="20"/>
                <w:szCs w:val="20"/>
              </w:rPr>
              <w:t>$71.24/MWh</w:t>
            </w:r>
          </w:p>
        </w:tc>
        <w:tc>
          <w:tcPr>
            <w:tcW w:w="1558" w:type="dxa"/>
            <w:vAlign w:val="center"/>
          </w:tcPr>
          <w:p w:rsidRPr="00A03B40" w:rsidR="00980073" w:rsidP="000A6D11" w:rsidRDefault="00AF3068" w14:paraId="5EB72405" w14:textId="16CD38A6">
            <w:pPr>
              <w:pStyle w:val="Standard"/>
              <w:spacing w:line="240" w:lineRule="auto"/>
              <w:ind w:firstLine="0"/>
              <w:jc w:val="center"/>
              <w:rPr>
                <w:sz w:val="20"/>
                <w:szCs w:val="20"/>
              </w:rPr>
            </w:pPr>
            <w:r w:rsidRPr="00A03B40">
              <w:rPr>
                <w:sz w:val="20"/>
                <w:szCs w:val="20"/>
              </w:rPr>
              <w:t>$62.45/MWh</w:t>
            </w:r>
          </w:p>
        </w:tc>
        <w:tc>
          <w:tcPr>
            <w:tcW w:w="1559" w:type="dxa"/>
            <w:vAlign w:val="center"/>
          </w:tcPr>
          <w:p w:rsidRPr="00A03B40" w:rsidR="00980073" w:rsidP="000A6D11" w:rsidRDefault="00AF3068" w14:paraId="32EDAEA1" w14:textId="2F218C87">
            <w:pPr>
              <w:pStyle w:val="Standard"/>
              <w:spacing w:line="240" w:lineRule="auto"/>
              <w:ind w:firstLine="0"/>
              <w:jc w:val="center"/>
              <w:rPr>
                <w:sz w:val="20"/>
                <w:szCs w:val="20"/>
              </w:rPr>
            </w:pPr>
            <w:r w:rsidRPr="00A03B40">
              <w:rPr>
                <w:sz w:val="20"/>
                <w:szCs w:val="20"/>
              </w:rPr>
              <w:t>-12%</w:t>
            </w:r>
          </w:p>
        </w:tc>
      </w:tr>
      <w:tr w:rsidRPr="00A03B40" w:rsidR="00980073" w:rsidTr="001005D5" w14:paraId="6273B036" w14:textId="77777777">
        <w:tc>
          <w:tcPr>
            <w:tcW w:w="1558" w:type="dxa"/>
            <w:vAlign w:val="center"/>
          </w:tcPr>
          <w:p w:rsidRPr="00A03B40" w:rsidR="00980073" w:rsidP="000A6D11" w:rsidRDefault="00980073" w14:paraId="3D924E5C" w14:textId="59758D75">
            <w:pPr>
              <w:pStyle w:val="Standard"/>
              <w:spacing w:line="240" w:lineRule="auto"/>
              <w:ind w:firstLine="0"/>
              <w:jc w:val="center"/>
              <w:rPr>
                <w:sz w:val="20"/>
                <w:szCs w:val="20"/>
              </w:rPr>
            </w:pPr>
            <w:r w:rsidRPr="00A03B40">
              <w:rPr>
                <w:sz w:val="20"/>
                <w:szCs w:val="20"/>
              </w:rPr>
              <w:t>RA Adder(s)</w:t>
            </w:r>
          </w:p>
        </w:tc>
        <w:tc>
          <w:tcPr>
            <w:tcW w:w="1558" w:type="dxa"/>
            <w:vAlign w:val="center"/>
          </w:tcPr>
          <w:p w:rsidRPr="00A03B40" w:rsidR="00980073" w:rsidP="000A6D11" w:rsidRDefault="00980073" w14:paraId="30D4F285" w14:textId="77777777">
            <w:pPr>
              <w:pStyle w:val="Standard"/>
              <w:spacing w:line="240" w:lineRule="auto"/>
              <w:ind w:firstLine="0"/>
              <w:jc w:val="center"/>
              <w:rPr>
                <w:sz w:val="20"/>
                <w:szCs w:val="20"/>
              </w:rPr>
            </w:pPr>
          </w:p>
        </w:tc>
        <w:tc>
          <w:tcPr>
            <w:tcW w:w="1559" w:type="dxa"/>
            <w:vAlign w:val="center"/>
          </w:tcPr>
          <w:p w:rsidRPr="00A03B40" w:rsidR="00980073" w:rsidP="000A6D11" w:rsidRDefault="00980073" w14:paraId="74689CA6" w14:textId="77777777">
            <w:pPr>
              <w:pStyle w:val="Standard"/>
              <w:spacing w:line="240" w:lineRule="auto"/>
              <w:ind w:firstLine="0"/>
              <w:jc w:val="center"/>
              <w:rPr>
                <w:sz w:val="20"/>
                <w:szCs w:val="20"/>
              </w:rPr>
            </w:pPr>
          </w:p>
        </w:tc>
        <w:tc>
          <w:tcPr>
            <w:tcW w:w="1558" w:type="dxa"/>
            <w:vAlign w:val="center"/>
          </w:tcPr>
          <w:p w:rsidRPr="00A03B40" w:rsidR="00980073" w:rsidP="000A6D11" w:rsidRDefault="00980073" w14:paraId="6C4E7F51" w14:textId="77777777">
            <w:pPr>
              <w:pStyle w:val="Standard"/>
              <w:spacing w:line="240" w:lineRule="auto"/>
              <w:ind w:firstLine="0"/>
              <w:jc w:val="center"/>
              <w:rPr>
                <w:sz w:val="20"/>
                <w:szCs w:val="20"/>
              </w:rPr>
            </w:pPr>
          </w:p>
        </w:tc>
        <w:tc>
          <w:tcPr>
            <w:tcW w:w="1558" w:type="dxa"/>
            <w:vAlign w:val="center"/>
          </w:tcPr>
          <w:p w:rsidRPr="00A03B40" w:rsidR="00980073" w:rsidP="000A6D11" w:rsidRDefault="00980073" w14:paraId="1A773FBD" w14:textId="77777777">
            <w:pPr>
              <w:pStyle w:val="Standard"/>
              <w:spacing w:line="240" w:lineRule="auto"/>
              <w:ind w:firstLine="0"/>
              <w:jc w:val="center"/>
              <w:rPr>
                <w:sz w:val="20"/>
                <w:szCs w:val="20"/>
              </w:rPr>
            </w:pPr>
          </w:p>
        </w:tc>
        <w:tc>
          <w:tcPr>
            <w:tcW w:w="1559" w:type="dxa"/>
            <w:vAlign w:val="center"/>
          </w:tcPr>
          <w:p w:rsidRPr="00A03B40" w:rsidR="00980073" w:rsidP="000A6D11" w:rsidRDefault="00980073" w14:paraId="6BD4EC21" w14:textId="77777777">
            <w:pPr>
              <w:pStyle w:val="Standard"/>
              <w:spacing w:line="240" w:lineRule="auto"/>
              <w:ind w:firstLine="0"/>
              <w:jc w:val="center"/>
              <w:rPr>
                <w:sz w:val="20"/>
                <w:szCs w:val="20"/>
              </w:rPr>
            </w:pPr>
          </w:p>
        </w:tc>
      </w:tr>
      <w:tr w:rsidRPr="00A03B40" w:rsidR="00AF3068" w:rsidTr="001005D5" w14:paraId="727F53CE" w14:textId="77777777">
        <w:tc>
          <w:tcPr>
            <w:tcW w:w="1558" w:type="dxa"/>
            <w:vAlign w:val="center"/>
          </w:tcPr>
          <w:p w:rsidRPr="00A03B40" w:rsidR="00AF3068" w:rsidP="000A6D11" w:rsidRDefault="00AF3068" w14:paraId="0B3BFC22" w14:textId="3FCC6559">
            <w:pPr>
              <w:pStyle w:val="Standard"/>
              <w:spacing w:line="240" w:lineRule="auto"/>
              <w:ind w:firstLine="0"/>
              <w:jc w:val="center"/>
              <w:rPr>
                <w:sz w:val="20"/>
                <w:szCs w:val="20"/>
              </w:rPr>
            </w:pPr>
            <w:r w:rsidRPr="00A03B40">
              <w:rPr>
                <w:sz w:val="20"/>
                <w:szCs w:val="20"/>
              </w:rPr>
              <w:t>System</w:t>
            </w:r>
          </w:p>
        </w:tc>
        <w:tc>
          <w:tcPr>
            <w:tcW w:w="1558" w:type="dxa"/>
            <w:vAlign w:val="center"/>
          </w:tcPr>
          <w:p w:rsidRPr="00A03B40" w:rsidR="00AF3068" w:rsidP="000A6D11" w:rsidRDefault="00AF3068" w14:paraId="17446923" w14:textId="556F632C">
            <w:pPr>
              <w:pStyle w:val="Standard"/>
              <w:spacing w:line="240" w:lineRule="auto"/>
              <w:ind w:firstLine="0"/>
              <w:jc w:val="center"/>
              <w:rPr>
                <w:sz w:val="20"/>
                <w:szCs w:val="20"/>
              </w:rPr>
            </w:pPr>
            <w:r w:rsidRPr="00A03B40">
              <w:rPr>
                <w:sz w:val="20"/>
                <w:szCs w:val="20"/>
              </w:rPr>
              <w:t>$182.76/kW-yr</w:t>
            </w:r>
          </w:p>
        </w:tc>
        <w:tc>
          <w:tcPr>
            <w:tcW w:w="1559" w:type="dxa"/>
            <w:vAlign w:val="center"/>
          </w:tcPr>
          <w:p w:rsidRPr="00A03B40" w:rsidR="00AF3068" w:rsidP="000A6D11" w:rsidRDefault="00AF3068" w14:paraId="368233D0" w14:textId="6D9C61FF">
            <w:pPr>
              <w:pStyle w:val="Standard"/>
              <w:spacing w:line="240" w:lineRule="auto"/>
              <w:ind w:firstLine="0"/>
              <w:jc w:val="center"/>
              <w:rPr>
                <w:sz w:val="20"/>
                <w:szCs w:val="20"/>
              </w:rPr>
            </w:pPr>
            <w:r w:rsidRPr="00A03B40">
              <w:rPr>
                <w:sz w:val="20"/>
                <w:szCs w:val="20"/>
              </w:rPr>
              <w:t>$483.72/kW-yr</w:t>
            </w:r>
          </w:p>
        </w:tc>
        <w:tc>
          <w:tcPr>
            <w:tcW w:w="1558" w:type="dxa"/>
            <w:vAlign w:val="center"/>
          </w:tcPr>
          <w:p w:rsidRPr="00A03B40" w:rsidR="00AF3068" w:rsidP="000A6D11" w:rsidRDefault="00AF3068" w14:paraId="3C0A9312" w14:textId="2FE172B0">
            <w:pPr>
              <w:pStyle w:val="Standard"/>
              <w:spacing w:line="240" w:lineRule="auto"/>
              <w:ind w:firstLine="0"/>
              <w:jc w:val="center"/>
              <w:rPr>
                <w:sz w:val="20"/>
                <w:szCs w:val="20"/>
              </w:rPr>
            </w:pPr>
            <w:r w:rsidRPr="00A03B40">
              <w:rPr>
                <w:sz w:val="20"/>
                <w:szCs w:val="20"/>
              </w:rPr>
              <w:t>$483.72/kW-yr</w:t>
            </w:r>
          </w:p>
        </w:tc>
        <w:tc>
          <w:tcPr>
            <w:tcW w:w="1558" w:type="dxa"/>
            <w:vMerge w:val="restart"/>
            <w:vAlign w:val="center"/>
          </w:tcPr>
          <w:p w:rsidRPr="00A03B40" w:rsidR="00AF3068" w:rsidP="000A6D11" w:rsidRDefault="00AF3068" w14:paraId="7CB8F194" w14:textId="49CA0AFB">
            <w:pPr>
              <w:pStyle w:val="Standard"/>
              <w:spacing w:line="240" w:lineRule="auto"/>
              <w:ind w:firstLine="0"/>
              <w:jc w:val="center"/>
              <w:rPr>
                <w:sz w:val="20"/>
                <w:szCs w:val="20"/>
              </w:rPr>
            </w:pPr>
            <w:r w:rsidRPr="00A03B40">
              <w:rPr>
                <w:sz w:val="20"/>
                <w:szCs w:val="20"/>
              </w:rPr>
              <w:t>$138.36/kW-yr</w:t>
            </w:r>
          </w:p>
        </w:tc>
        <w:tc>
          <w:tcPr>
            <w:tcW w:w="1559" w:type="dxa"/>
            <w:vAlign w:val="center"/>
          </w:tcPr>
          <w:p w:rsidRPr="00A03B40" w:rsidR="00AF3068" w:rsidP="000A6D11" w:rsidRDefault="00AF3068" w14:paraId="5E18A503" w14:textId="12B5D1CE">
            <w:pPr>
              <w:pStyle w:val="Standard"/>
              <w:spacing w:line="240" w:lineRule="auto"/>
              <w:ind w:firstLine="0"/>
              <w:jc w:val="center"/>
              <w:rPr>
                <w:sz w:val="20"/>
                <w:szCs w:val="20"/>
              </w:rPr>
            </w:pPr>
            <w:r w:rsidRPr="00A03B40">
              <w:rPr>
                <w:sz w:val="20"/>
                <w:szCs w:val="20"/>
              </w:rPr>
              <w:t>-71%</w:t>
            </w:r>
          </w:p>
        </w:tc>
      </w:tr>
      <w:tr w:rsidRPr="00A03B40" w:rsidR="00AF3068" w:rsidTr="001005D5" w14:paraId="3470E12E" w14:textId="77777777">
        <w:tc>
          <w:tcPr>
            <w:tcW w:w="1558" w:type="dxa"/>
            <w:vAlign w:val="center"/>
          </w:tcPr>
          <w:p w:rsidRPr="00A03B40" w:rsidR="00AF3068" w:rsidP="000A6D11" w:rsidRDefault="00AF3068" w14:paraId="19BEFF5F" w14:textId="677CEC17">
            <w:pPr>
              <w:pStyle w:val="Standard"/>
              <w:spacing w:line="240" w:lineRule="auto"/>
              <w:ind w:firstLine="0"/>
              <w:jc w:val="center"/>
              <w:rPr>
                <w:sz w:val="20"/>
                <w:szCs w:val="20"/>
              </w:rPr>
            </w:pPr>
            <w:r w:rsidRPr="00A03B40">
              <w:rPr>
                <w:sz w:val="20"/>
                <w:szCs w:val="20"/>
              </w:rPr>
              <w:t xml:space="preserve">Local </w:t>
            </w:r>
          </w:p>
        </w:tc>
        <w:tc>
          <w:tcPr>
            <w:tcW w:w="1558" w:type="dxa"/>
            <w:vAlign w:val="center"/>
          </w:tcPr>
          <w:p w:rsidRPr="00A03B40" w:rsidR="00AF3068" w:rsidP="000A6D11" w:rsidRDefault="00AF3068" w14:paraId="4F57AAF7" w14:textId="023AB092">
            <w:pPr>
              <w:pStyle w:val="Standard"/>
              <w:spacing w:line="240" w:lineRule="auto"/>
              <w:ind w:firstLine="0"/>
              <w:rPr>
                <w:sz w:val="20"/>
                <w:szCs w:val="20"/>
              </w:rPr>
            </w:pPr>
            <w:r w:rsidRPr="00A03B40">
              <w:rPr>
                <w:sz w:val="20"/>
                <w:szCs w:val="20"/>
              </w:rPr>
              <w:t>$105.72/kW-yr</w:t>
            </w:r>
          </w:p>
        </w:tc>
        <w:tc>
          <w:tcPr>
            <w:tcW w:w="1559" w:type="dxa"/>
            <w:vAlign w:val="center"/>
          </w:tcPr>
          <w:p w:rsidRPr="00A03B40" w:rsidR="00AF3068" w:rsidP="000A6D11" w:rsidRDefault="00AF3068" w14:paraId="71469C32" w14:textId="2B4C1828">
            <w:pPr>
              <w:pStyle w:val="Standard"/>
              <w:spacing w:line="240" w:lineRule="auto"/>
              <w:ind w:firstLine="0"/>
              <w:jc w:val="center"/>
              <w:rPr>
                <w:sz w:val="20"/>
                <w:szCs w:val="20"/>
              </w:rPr>
            </w:pPr>
            <w:r w:rsidRPr="00A03B40">
              <w:rPr>
                <w:sz w:val="20"/>
                <w:szCs w:val="20"/>
              </w:rPr>
              <w:t>$134.76/kW-yr</w:t>
            </w:r>
          </w:p>
        </w:tc>
        <w:tc>
          <w:tcPr>
            <w:tcW w:w="1558" w:type="dxa"/>
            <w:vAlign w:val="center"/>
          </w:tcPr>
          <w:p w:rsidRPr="00A03B40" w:rsidR="00AF3068" w:rsidP="000A6D11" w:rsidRDefault="00AF3068" w14:paraId="3CE31B88" w14:textId="76F9849A">
            <w:pPr>
              <w:pStyle w:val="Standard"/>
              <w:spacing w:line="240" w:lineRule="auto"/>
              <w:ind w:firstLine="0"/>
              <w:jc w:val="center"/>
              <w:rPr>
                <w:sz w:val="20"/>
                <w:szCs w:val="20"/>
              </w:rPr>
            </w:pPr>
            <w:r w:rsidRPr="00A03B40">
              <w:rPr>
                <w:sz w:val="20"/>
                <w:szCs w:val="20"/>
              </w:rPr>
              <w:t>$134.76/kW-yr</w:t>
            </w:r>
          </w:p>
        </w:tc>
        <w:tc>
          <w:tcPr>
            <w:tcW w:w="1558" w:type="dxa"/>
            <w:vMerge/>
            <w:vAlign w:val="center"/>
          </w:tcPr>
          <w:p w:rsidRPr="00A03B40" w:rsidR="00AF3068" w:rsidP="000A6D11" w:rsidRDefault="00AF3068" w14:paraId="6FA40380" w14:textId="77777777">
            <w:pPr>
              <w:pStyle w:val="Standard"/>
              <w:spacing w:line="240" w:lineRule="auto"/>
              <w:ind w:firstLine="0"/>
              <w:jc w:val="center"/>
              <w:rPr>
                <w:sz w:val="20"/>
                <w:szCs w:val="20"/>
              </w:rPr>
            </w:pPr>
          </w:p>
        </w:tc>
        <w:tc>
          <w:tcPr>
            <w:tcW w:w="1559" w:type="dxa"/>
            <w:vAlign w:val="center"/>
          </w:tcPr>
          <w:p w:rsidRPr="00A03B40" w:rsidR="00AF3068" w:rsidP="000A6D11" w:rsidRDefault="00AF3068" w14:paraId="02273034" w14:textId="4E6FFD2C">
            <w:pPr>
              <w:pStyle w:val="Standard"/>
              <w:spacing w:line="240" w:lineRule="auto"/>
              <w:ind w:firstLine="0"/>
              <w:jc w:val="center"/>
              <w:rPr>
                <w:sz w:val="20"/>
                <w:szCs w:val="20"/>
              </w:rPr>
            </w:pPr>
            <w:r w:rsidRPr="00A03B40">
              <w:rPr>
                <w:sz w:val="20"/>
                <w:szCs w:val="20"/>
              </w:rPr>
              <w:t>3%</w:t>
            </w:r>
          </w:p>
        </w:tc>
      </w:tr>
      <w:tr w:rsidRPr="00A03B40" w:rsidR="00AF3068" w:rsidTr="001005D5" w14:paraId="7AC6855D" w14:textId="77777777">
        <w:tc>
          <w:tcPr>
            <w:tcW w:w="1558" w:type="dxa"/>
            <w:vAlign w:val="center"/>
          </w:tcPr>
          <w:p w:rsidRPr="00A03B40" w:rsidR="00AF3068" w:rsidP="000A6D11" w:rsidRDefault="00AF3068" w14:paraId="1612BD21" w14:textId="12968DDB">
            <w:pPr>
              <w:pStyle w:val="Standard"/>
              <w:spacing w:line="240" w:lineRule="auto"/>
              <w:ind w:firstLine="0"/>
              <w:jc w:val="center"/>
              <w:rPr>
                <w:sz w:val="20"/>
                <w:szCs w:val="20"/>
              </w:rPr>
            </w:pPr>
            <w:r w:rsidRPr="00A03B40">
              <w:rPr>
                <w:sz w:val="20"/>
                <w:szCs w:val="20"/>
              </w:rPr>
              <w:t>Flex</w:t>
            </w:r>
          </w:p>
        </w:tc>
        <w:tc>
          <w:tcPr>
            <w:tcW w:w="1558" w:type="dxa"/>
            <w:vAlign w:val="center"/>
          </w:tcPr>
          <w:p w:rsidRPr="00A03B40" w:rsidR="00AF3068" w:rsidP="000A6D11" w:rsidRDefault="00AF3068" w14:paraId="67EE5D86" w14:textId="10A0ABC2">
            <w:pPr>
              <w:pStyle w:val="Standard"/>
              <w:spacing w:line="240" w:lineRule="auto"/>
              <w:ind w:firstLine="0"/>
              <w:jc w:val="center"/>
              <w:rPr>
                <w:sz w:val="20"/>
                <w:szCs w:val="20"/>
              </w:rPr>
            </w:pPr>
            <w:r w:rsidRPr="00A03B40">
              <w:rPr>
                <w:sz w:val="20"/>
                <w:szCs w:val="20"/>
              </w:rPr>
              <w:t>$109.44/kW-yr</w:t>
            </w:r>
          </w:p>
        </w:tc>
        <w:tc>
          <w:tcPr>
            <w:tcW w:w="1559" w:type="dxa"/>
            <w:vAlign w:val="center"/>
          </w:tcPr>
          <w:p w:rsidRPr="00A03B40" w:rsidR="00AF3068" w:rsidP="000A6D11" w:rsidRDefault="00AF3068" w14:paraId="3E86C2E9" w14:textId="2FAD4F6E">
            <w:pPr>
              <w:pStyle w:val="Standard"/>
              <w:spacing w:line="240" w:lineRule="auto"/>
              <w:ind w:firstLine="0"/>
              <w:jc w:val="center"/>
              <w:rPr>
                <w:sz w:val="20"/>
                <w:szCs w:val="20"/>
              </w:rPr>
            </w:pPr>
            <w:r w:rsidRPr="00A03B40">
              <w:rPr>
                <w:sz w:val="20"/>
                <w:szCs w:val="20"/>
              </w:rPr>
              <w:t>$203.64/kW-yr</w:t>
            </w:r>
          </w:p>
        </w:tc>
        <w:tc>
          <w:tcPr>
            <w:tcW w:w="1558" w:type="dxa"/>
            <w:vAlign w:val="center"/>
          </w:tcPr>
          <w:p w:rsidRPr="00A03B40" w:rsidR="00AF3068" w:rsidP="000A6D11" w:rsidRDefault="00AF3068" w14:paraId="52F02754" w14:textId="5D6110C3">
            <w:pPr>
              <w:pStyle w:val="Standard"/>
              <w:spacing w:line="240" w:lineRule="auto"/>
              <w:ind w:firstLine="0"/>
              <w:jc w:val="center"/>
              <w:rPr>
                <w:sz w:val="20"/>
                <w:szCs w:val="20"/>
              </w:rPr>
            </w:pPr>
            <w:r w:rsidRPr="00A03B40">
              <w:rPr>
                <w:sz w:val="20"/>
                <w:szCs w:val="20"/>
              </w:rPr>
              <w:t>$203.64/kW-yr</w:t>
            </w:r>
          </w:p>
        </w:tc>
        <w:tc>
          <w:tcPr>
            <w:tcW w:w="1558" w:type="dxa"/>
            <w:vMerge/>
            <w:vAlign w:val="center"/>
          </w:tcPr>
          <w:p w:rsidRPr="00A03B40" w:rsidR="00AF3068" w:rsidP="000A6D11" w:rsidRDefault="00AF3068" w14:paraId="6221B4AE" w14:textId="77777777">
            <w:pPr>
              <w:pStyle w:val="Standard"/>
              <w:spacing w:line="240" w:lineRule="auto"/>
              <w:ind w:firstLine="0"/>
              <w:jc w:val="center"/>
              <w:rPr>
                <w:sz w:val="20"/>
                <w:szCs w:val="20"/>
              </w:rPr>
            </w:pPr>
          </w:p>
        </w:tc>
        <w:tc>
          <w:tcPr>
            <w:tcW w:w="1559" w:type="dxa"/>
            <w:vAlign w:val="center"/>
          </w:tcPr>
          <w:p w:rsidRPr="00A03B40" w:rsidR="00AF3068" w:rsidP="000A6D11" w:rsidRDefault="00AF3068" w14:paraId="421D5805" w14:textId="609A2031">
            <w:pPr>
              <w:pStyle w:val="Standard"/>
              <w:spacing w:line="240" w:lineRule="auto"/>
              <w:ind w:firstLine="0"/>
              <w:jc w:val="center"/>
              <w:rPr>
                <w:sz w:val="20"/>
                <w:szCs w:val="20"/>
              </w:rPr>
            </w:pPr>
            <w:r w:rsidRPr="00A03B40">
              <w:rPr>
                <w:sz w:val="20"/>
                <w:szCs w:val="20"/>
              </w:rPr>
              <w:t>-32%</w:t>
            </w:r>
          </w:p>
        </w:tc>
      </w:tr>
    </w:tbl>
    <w:p w:rsidRPr="00A03B40" w:rsidR="00B75406" w:rsidP="000A6D11" w:rsidRDefault="009A6B81" w14:paraId="58AF1485" w14:textId="14CE9754">
      <w:pPr>
        <w:pStyle w:val="Heading4"/>
        <w:numPr>
          <w:ilvl w:val="3"/>
          <w:numId w:val="11"/>
        </w:numPr>
        <w:spacing w:before="240"/>
      </w:pPr>
      <w:r w:rsidRPr="00A03B40">
        <w:t xml:space="preserve">Updated </w:t>
      </w:r>
      <w:r w:rsidRPr="00A03B40" w:rsidR="00B75406">
        <w:t>Total Portfolio Energy Value</w:t>
      </w:r>
    </w:p>
    <w:p w:rsidRPr="00A03B40" w:rsidR="0047691C" w:rsidP="000A6D11" w:rsidRDefault="00A83415" w14:paraId="3DF38A5B" w14:textId="192A78D7">
      <w:pPr>
        <w:pStyle w:val="Standard"/>
        <w:keepNext/>
        <w:keepLines/>
      </w:pPr>
      <w:r w:rsidRPr="00A03B40">
        <w:t>SCE proposes a $</w:t>
      </w:r>
      <w:r w:rsidRPr="00A03B40" w:rsidR="0080561D">
        <w:t>1.42</w:t>
      </w:r>
      <w:r w:rsidRPr="00A03B40" w:rsidR="00D07A0B">
        <w:t>7</w:t>
      </w:r>
      <w:r w:rsidRPr="00A03B40" w:rsidR="0080561D">
        <w:t xml:space="preserve"> billion</w:t>
      </w:r>
      <w:r w:rsidRPr="00A03B40">
        <w:t xml:space="preserve"> </w:t>
      </w:r>
      <w:r w:rsidRPr="00A03B40" w:rsidR="007C2535">
        <w:t xml:space="preserve">updated </w:t>
      </w:r>
      <w:r w:rsidRPr="00A03B40">
        <w:t>2026 Total Portfolio Energy Value</w:t>
      </w:r>
      <w:r w:rsidRPr="00A03B40" w:rsidR="002C3B37">
        <w:t>, roughly</w:t>
      </w:r>
      <w:r w:rsidRPr="00A03B40" w:rsidR="00D07A0B">
        <w:t xml:space="preserve"> six percent</w:t>
      </w:r>
      <w:r w:rsidRPr="00A03B40" w:rsidR="002C3B37">
        <w:t xml:space="preserve"> lower than SCE forecast in its May Filing</w:t>
      </w:r>
      <w:r w:rsidRPr="00A03B40">
        <w:t>.</w:t>
      </w:r>
      <w:r w:rsidRPr="00A03B40" w:rsidR="00D07A0B">
        <w:rPr>
          <w:rStyle w:val="FootnoteReference"/>
        </w:rPr>
        <w:footnoteReference w:id="357"/>
      </w:r>
      <w:r w:rsidRPr="00A03B40" w:rsidR="002A68CA">
        <w:t xml:space="preserve"> </w:t>
      </w:r>
      <w:r w:rsidRPr="00A03B40" w:rsidR="0047691C">
        <w:t>The Total Portfolio Energy Value is the estimated financial value of the energy component</w:t>
      </w:r>
      <w:r w:rsidRPr="00A03B40" w:rsidR="00873C66">
        <w:t>s</w:t>
      </w:r>
      <w:r w:rsidRPr="00A03B40" w:rsidR="0047691C">
        <w:t xml:space="preserve"> of SCE’s P</w:t>
      </w:r>
      <w:r w:rsidR="0004181E">
        <w:t>CI</w:t>
      </w:r>
      <w:r w:rsidRPr="00A03B40" w:rsidR="0047691C">
        <w:t xml:space="preserve">A-eligible portfolio for a given year. It is forecast by multiplying the </w:t>
      </w:r>
      <w:r w:rsidRPr="00A03B40" w:rsidR="003171F7">
        <w:t xml:space="preserve">weighted </w:t>
      </w:r>
      <w:r w:rsidRPr="00A03B40" w:rsidR="0047691C">
        <w:t>Energy Index MPB</w:t>
      </w:r>
      <w:r w:rsidRPr="00A03B40" w:rsidR="00873C66">
        <w:t xml:space="preserve">, </w:t>
      </w:r>
      <w:r w:rsidRPr="00A03B40" w:rsidR="003171F7">
        <w:t xml:space="preserve">as described below and </w:t>
      </w:r>
      <w:r w:rsidRPr="00A03B40" w:rsidR="00873C66">
        <w:t xml:space="preserve">presented in </w:t>
      </w:r>
      <w:r w:rsidRPr="00A03B40" w:rsidR="00883524">
        <w:t>dollars</w:t>
      </w:r>
      <w:r w:rsidRPr="00A03B40" w:rsidR="00873C66">
        <w:t xml:space="preserve"> per MWh,</w:t>
      </w:r>
      <w:r w:rsidRPr="00A03B40" w:rsidR="0047691C">
        <w:t xml:space="preserve"> by the estimated amount of energy produced by resources in SCE’s P</w:t>
      </w:r>
      <w:r w:rsidR="0004181E">
        <w:t>CI</w:t>
      </w:r>
      <w:r w:rsidRPr="00A03B40" w:rsidR="0047691C">
        <w:t>A-eligible portfolio</w:t>
      </w:r>
      <w:r w:rsidRPr="00A03B40" w:rsidR="00873C66">
        <w:t>.</w:t>
      </w:r>
      <w:r w:rsidRPr="00A03B40" w:rsidR="0047691C">
        <w:rPr>
          <w:rStyle w:val="FootnoteReference"/>
        </w:rPr>
        <w:footnoteReference w:id="358"/>
      </w:r>
      <w:r w:rsidRPr="00A03B40" w:rsidR="002A68CA">
        <w:t xml:space="preserve"> </w:t>
      </w:r>
    </w:p>
    <w:p w:rsidR="00FC35E0" w:rsidP="006426E7" w:rsidRDefault="005E75B4" w14:paraId="27ED7B8F" w14:textId="77777777">
      <w:pPr>
        <w:pStyle w:val="Standard"/>
      </w:pPr>
      <w:r w:rsidRPr="00A03B40">
        <w:t xml:space="preserve">In 2023, the Commission </w:t>
      </w:r>
      <w:r w:rsidRPr="00A03B40" w:rsidR="0047691C">
        <w:t xml:space="preserve">adopted an updated methodology </w:t>
      </w:r>
      <w:r w:rsidRPr="00A03B40" w:rsidR="00142639">
        <w:t>to increase the accuracy of the</w:t>
      </w:r>
      <w:r w:rsidRPr="00A03B40" w:rsidR="0047691C">
        <w:t xml:space="preserve"> forecast </w:t>
      </w:r>
      <w:r w:rsidRPr="00A03B40" w:rsidR="00B42113">
        <w:t>E</w:t>
      </w:r>
      <w:r w:rsidRPr="00A03B40" w:rsidR="00142639">
        <w:t xml:space="preserve">nergy </w:t>
      </w:r>
      <w:r w:rsidRPr="00A03B40" w:rsidR="0047691C">
        <w:t>Index.</w:t>
      </w:r>
      <w:r w:rsidRPr="00A03B40">
        <w:rPr>
          <w:rStyle w:val="FootnoteReference"/>
        </w:rPr>
        <w:footnoteReference w:id="359"/>
      </w:r>
      <w:r w:rsidRPr="00A03B40" w:rsidR="002A68CA">
        <w:t xml:space="preserve"> </w:t>
      </w:r>
      <w:r w:rsidRPr="00A03B40" w:rsidR="00A1741D">
        <w:t>Utilities use Energy Division MPBs in their calculations, as follows. U</w:t>
      </w:r>
      <w:r w:rsidRPr="00A03B40" w:rsidR="002C3B37">
        <w:t xml:space="preserve">tilities use historical data </w:t>
      </w:r>
      <w:r w:rsidRPr="00A03B40" w:rsidR="00A1741D">
        <w:t xml:space="preserve">from their own sales </w:t>
      </w:r>
      <w:r w:rsidRPr="00A03B40" w:rsidR="002C3B37">
        <w:t xml:space="preserve">to </w:t>
      </w:r>
      <w:r w:rsidRPr="00A03B40" w:rsidR="002C3B37">
        <w:lastRenderedPageBreak/>
        <w:t>determine a portfolio weight – that is, to measure how close to the actual SP</w:t>
      </w:r>
      <w:r w:rsidRPr="00A03B40" w:rsidR="00B84A32">
        <w:t>-</w:t>
      </w:r>
      <w:r w:rsidRPr="00A03B40" w:rsidR="002C3B37">
        <w:t xml:space="preserve">15 price SCE’s energy was sold at, on average, in prior years. </w:t>
      </w:r>
      <w:r w:rsidRPr="00A03B40" w:rsidR="00A1741D">
        <w:t xml:space="preserve">To do this, </w:t>
      </w:r>
      <w:r w:rsidRPr="00A03B40" w:rsidR="000C7D23">
        <w:t>SCE calculates the annual average price of its PABA portfolio resources in each year from 2022 through 2024. SCE compares those average prices to the actual SP</w:t>
      </w:r>
      <w:r w:rsidRPr="00A03B40" w:rsidR="00B84A32">
        <w:t>-</w:t>
      </w:r>
      <w:r w:rsidRPr="00A03B40" w:rsidR="000C7D23">
        <w:t>15 to find a portfolio weight for each year.</w:t>
      </w:r>
      <w:r w:rsidRPr="00A03B40" w:rsidR="00A1741D">
        <w:t xml:space="preserve"> SCE’s average portfolio weight for </w:t>
      </w:r>
    </w:p>
    <w:p w:rsidRPr="00A03B40" w:rsidR="00E349AB" w:rsidP="00FC35E0" w:rsidRDefault="006426E7" w14:paraId="289A560E" w14:textId="11FCBD0E">
      <w:pPr>
        <w:pStyle w:val="Standard"/>
        <w:ind w:firstLine="0"/>
      </w:pPr>
      <w:r w:rsidRPr="00A03B40">
        <w:t>2022-2024 was</w:t>
      </w:r>
      <w:r w:rsidRPr="00A03B40" w:rsidR="00A1741D">
        <w:t xml:space="preserve"> 92</w:t>
      </w:r>
      <w:r w:rsidRPr="00A03B40" w:rsidR="00E9010E">
        <w:t xml:space="preserve"> percent.</w:t>
      </w:r>
      <w:r w:rsidRPr="00A03B40" w:rsidR="00A1741D">
        <w:t xml:space="preserve"> </w:t>
      </w:r>
    </w:p>
    <w:p w:rsidRPr="00A03B40" w:rsidR="00873C66" w:rsidP="006426E7" w:rsidRDefault="00A1741D" w14:paraId="034B85A3" w14:textId="34C9262F">
      <w:pPr>
        <w:pStyle w:val="Standard"/>
      </w:pPr>
      <w:r w:rsidRPr="00A03B40">
        <w:t xml:space="preserve">SCE applies time-weights (reflecting how much of SCE’s power is </w:t>
      </w:r>
      <w:r w:rsidRPr="00A03B40" w:rsidR="00E349AB">
        <w:t>purchased</w:t>
      </w:r>
      <w:r w:rsidRPr="00A03B40">
        <w:t xml:space="preserve"> in on</w:t>
      </w:r>
      <w:r w:rsidRPr="00A03B40" w:rsidR="00E9010E">
        <w:t>-</w:t>
      </w:r>
      <w:r w:rsidRPr="00A03B40">
        <w:t>peak hours vs. off-peak hours) to its Commission-calculated</w:t>
      </w:r>
      <w:r w:rsidRPr="00A03B40" w:rsidR="00E349AB">
        <w:t>, SCE-specific</w:t>
      </w:r>
      <w:r w:rsidRPr="00A03B40">
        <w:t xml:space="preserve"> on-peak and off-peak 2026 </w:t>
      </w:r>
      <w:r w:rsidRPr="00A03B40" w:rsidR="00E349AB">
        <w:t>F</w:t>
      </w:r>
      <w:r w:rsidRPr="00A03B40">
        <w:t xml:space="preserve">orecast </w:t>
      </w:r>
      <w:r w:rsidRPr="00A03B40" w:rsidR="00E349AB">
        <w:t xml:space="preserve">Energy </w:t>
      </w:r>
      <w:r w:rsidRPr="00A03B40">
        <w:t>MPBs. SCE then applies the portfolio weight developed per the process described above to produce portfolio</w:t>
      </w:r>
      <w:r w:rsidRPr="00A03B40" w:rsidR="006426E7">
        <w:t>-</w:t>
      </w:r>
      <w:r w:rsidRPr="00A03B40">
        <w:t xml:space="preserve"> and time</w:t>
      </w:r>
      <w:r w:rsidRPr="00A03B40" w:rsidR="006426E7">
        <w:t>-</w:t>
      </w:r>
      <w:r w:rsidRPr="00A03B40">
        <w:t xml:space="preserve">weighted on-peak and off-peak </w:t>
      </w:r>
      <w:r w:rsidRPr="00A03B40" w:rsidR="006426E7">
        <w:t xml:space="preserve">MPBs. These are </w:t>
      </w:r>
      <w:r w:rsidRPr="00A03B40" w:rsidR="00E9010E">
        <w:t>combined</w:t>
      </w:r>
      <w:r w:rsidRPr="00A03B40" w:rsidR="006426E7">
        <w:t xml:space="preserve"> to create a final forecast energy </w:t>
      </w:r>
      <w:proofErr w:type="gramStart"/>
      <w:r w:rsidRPr="00A03B40" w:rsidR="006426E7">
        <w:t>benchmark,</w:t>
      </w:r>
      <w:proofErr w:type="gramEnd"/>
      <w:r w:rsidRPr="00A03B40" w:rsidR="006426E7">
        <w:t xml:space="preserve"> here $40.00/MWh</w:t>
      </w:r>
      <w:r w:rsidRPr="00A03B40" w:rsidR="00E349AB">
        <w:t>,</w:t>
      </w:r>
      <w:r w:rsidRPr="00A03B40" w:rsidR="006426E7">
        <w:t xml:space="preserve"> by which SCE multiplies its estimated energy production to determine the Energy Market Value of its PABA-eligible portfolio. </w:t>
      </w:r>
      <w:r w:rsidRPr="00A03B40" w:rsidR="002C3B37">
        <w:t xml:space="preserve">SCE notes that the change in </w:t>
      </w:r>
      <w:r w:rsidRPr="00A03B40" w:rsidR="005E1AFF">
        <w:t xml:space="preserve">its </w:t>
      </w:r>
      <w:r w:rsidRPr="00A03B40" w:rsidR="006426E7">
        <w:t>E</w:t>
      </w:r>
      <w:r w:rsidRPr="00A03B40" w:rsidR="002C3B37">
        <w:t xml:space="preserve">nergy </w:t>
      </w:r>
      <w:r w:rsidRPr="00A03B40" w:rsidR="006426E7">
        <w:t>M</w:t>
      </w:r>
      <w:r w:rsidRPr="00A03B40" w:rsidR="002C3B37">
        <w:t xml:space="preserve">arket </w:t>
      </w:r>
      <w:r w:rsidRPr="00A03B40" w:rsidR="006426E7">
        <w:t>V</w:t>
      </w:r>
      <w:r w:rsidRPr="00A03B40" w:rsidR="002C3B37">
        <w:t xml:space="preserve">aluations between May and October is primarily due to the </w:t>
      </w:r>
      <w:r w:rsidRPr="00A03B40" w:rsidR="006426E7">
        <w:t xml:space="preserve">slight </w:t>
      </w:r>
      <w:r w:rsidRPr="00A03B40" w:rsidR="002C3B37">
        <w:t>change in MPBs used ($40.56</w:t>
      </w:r>
      <w:r w:rsidRPr="00A03B40" w:rsidR="006D03F8">
        <w:t>/MWh</w:t>
      </w:r>
      <w:r w:rsidRPr="00A03B40" w:rsidR="002C3B37">
        <w:t xml:space="preserve"> in May vs. $40.00</w:t>
      </w:r>
      <w:r w:rsidRPr="00A03B40" w:rsidR="006D03F8">
        <w:t>/MWh</w:t>
      </w:r>
      <w:r w:rsidRPr="00A03B40" w:rsidR="002C3B37">
        <w:t xml:space="preserve"> in October).</w:t>
      </w:r>
      <w:r w:rsidRPr="00A03B40" w:rsidR="002C3B37">
        <w:rPr>
          <w:rStyle w:val="FootnoteReference"/>
        </w:rPr>
        <w:footnoteReference w:id="360"/>
      </w:r>
    </w:p>
    <w:p w:rsidRPr="00A03B40" w:rsidR="00873C66" w:rsidP="00873C66" w:rsidRDefault="009A6B81" w14:paraId="403EE6E4" w14:textId="77DC4080">
      <w:pPr>
        <w:pStyle w:val="Standard"/>
      </w:pPr>
      <w:r w:rsidRPr="00A03B40">
        <w:t xml:space="preserve">No party disputes </w:t>
      </w:r>
      <w:proofErr w:type="gramStart"/>
      <w:r w:rsidRPr="00A03B40">
        <w:t>SCE’s</w:t>
      </w:r>
      <w:proofErr w:type="gramEnd"/>
      <w:r w:rsidRPr="00A03B40">
        <w:t xml:space="preserve"> proposed updated </w:t>
      </w:r>
      <w:r w:rsidRPr="00A03B40" w:rsidR="00CB05A1">
        <w:t xml:space="preserve">2026 </w:t>
      </w:r>
      <w:r w:rsidRPr="00A03B40">
        <w:t>Energy Value.</w:t>
      </w:r>
    </w:p>
    <w:p w:rsidRPr="00A03B40" w:rsidR="0047691C" w:rsidP="00A83415" w:rsidRDefault="009A6B81" w14:paraId="100A8369" w14:textId="18E99A17">
      <w:pPr>
        <w:pStyle w:val="Heading4"/>
      </w:pPr>
      <w:r w:rsidRPr="00A03B40">
        <w:t xml:space="preserve">Updated </w:t>
      </w:r>
      <w:r w:rsidRPr="00A03B40" w:rsidR="0047691C">
        <w:t>Total Portfolio Renewable Portfolio Standard Value</w:t>
      </w:r>
    </w:p>
    <w:p w:rsidRPr="00A03B40" w:rsidR="0004154C" w:rsidP="0004154C" w:rsidRDefault="00BE51C0" w14:paraId="1889D201" w14:textId="63757976">
      <w:pPr>
        <w:pStyle w:val="Standard"/>
      </w:pPr>
      <w:r w:rsidRPr="00A03B40">
        <w:t>SCE</w:t>
      </w:r>
      <w:r w:rsidRPr="00A03B40" w:rsidR="00573EE8">
        <w:t xml:space="preserve"> propose</w:t>
      </w:r>
      <w:r w:rsidRPr="00A03B40" w:rsidR="00883524">
        <w:t>s</w:t>
      </w:r>
      <w:r w:rsidRPr="00A03B40">
        <w:t xml:space="preserve"> </w:t>
      </w:r>
      <w:r w:rsidRPr="00A03B40" w:rsidR="00A039E4">
        <w:t xml:space="preserve">a </w:t>
      </w:r>
      <w:r w:rsidRPr="00A03B40">
        <w:t>$</w:t>
      </w:r>
      <w:r w:rsidRPr="00A03B40" w:rsidR="003171F7">
        <w:t>1.98</w:t>
      </w:r>
      <w:r w:rsidRPr="00A03B40" w:rsidR="001C19D1">
        <w:t>4</w:t>
      </w:r>
      <w:r w:rsidRPr="00A03B40" w:rsidR="003171F7">
        <w:t xml:space="preserve"> billion</w:t>
      </w:r>
      <w:r w:rsidRPr="00A03B40">
        <w:t xml:space="preserve"> </w:t>
      </w:r>
      <w:r w:rsidRPr="00A03B40" w:rsidR="003171F7">
        <w:t xml:space="preserve">updated </w:t>
      </w:r>
      <w:r w:rsidRPr="00A03B40">
        <w:t>2026 Total Portfolio RPS Value</w:t>
      </w:r>
      <w:r w:rsidRPr="00A03B40" w:rsidR="00E9010E">
        <w:t>, roughly four percent less than what SCE proposed in its May Filing</w:t>
      </w:r>
      <w:r w:rsidRPr="00A03B40" w:rsidR="00B84A32">
        <w:t xml:space="preserve"> primarily due to use of the Commission’s RPS MPB</w:t>
      </w:r>
      <w:r w:rsidRPr="00A03B40">
        <w:t>.</w:t>
      </w:r>
      <w:r w:rsidRPr="00A03B40" w:rsidR="00B84A32">
        <w:rPr>
          <w:rStyle w:val="FootnoteReference"/>
        </w:rPr>
        <w:footnoteReference w:id="361"/>
      </w:r>
      <w:r w:rsidRPr="00A03B40" w:rsidR="002A68CA">
        <w:t xml:space="preserve"> </w:t>
      </w:r>
      <w:r w:rsidRPr="00A03B40">
        <w:t xml:space="preserve">The RPS Value is </w:t>
      </w:r>
      <w:r w:rsidRPr="00A03B40" w:rsidR="00E326D9">
        <w:t xml:space="preserve">the </w:t>
      </w:r>
      <w:r w:rsidRPr="00A03B40">
        <w:t>estimated value, measured in dollars</w:t>
      </w:r>
      <w:r w:rsidRPr="00A03B40" w:rsidR="00CB05A1">
        <w:t xml:space="preserve"> per megawatt hour</w:t>
      </w:r>
      <w:r w:rsidRPr="00A03B40">
        <w:t xml:space="preserve">, </w:t>
      </w:r>
      <w:r w:rsidRPr="00A03B40" w:rsidR="00301998">
        <w:t>of</w:t>
      </w:r>
      <w:r w:rsidRPr="00A03B40">
        <w:t xml:space="preserve"> the renewable energy </w:t>
      </w:r>
      <w:r w:rsidRPr="00A03B40">
        <w:lastRenderedPageBreak/>
        <w:t>component of SCE’s P</w:t>
      </w:r>
      <w:r w:rsidR="0004181E">
        <w:t>CI</w:t>
      </w:r>
      <w:r w:rsidRPr="00A03B40">
        <w:t xml:space="preserve">A-eligible portfolio </w:t>
      </w:r>
      <w:r w:rsidRPr="00A03B40" w:rsidR="00AE5E68">
        <w:t>each year</w:t>
      </w:r>
      <w:r w:rsidRPr="00A03B40">
        <w:t>.</w:t>
      </w:r>
      <w:r w:rsidRPr="00A03B40" w:rsidR="000D7F43">
        <w:rPr>
          <w:rStyle w:val="FootnoteReference"/>
        </w:rPr>
        <w:footnoteReference w:id="362"/>
      </w:r>
      <w:r w:rsidRPr="00A03B40" w:rsidR="002A68CA">
        <w:t xml:space="preserve"> </w:t>
      </w:r>
      <w:r w:rsidRPr="00A03B40" w:rsidR="00A22BCB">
        <w:t xml:space="preserve">Except as described below, </w:t>
      </w:r>
      <w:r w:rsidRPr="00A03B40">
        <w:t>t</w:t>
      </w:r>
      <w:r w:rsidRPr="00A03B40" w:rsidR="00A22BCB">
        <w:t>his value</w:t>
      </w:r>
      <w:r w:rsidRPr="00A03B40">
        <w:t xml:space="preserve"> is forecast by multiplying the </w:t>
      </w:r>
      <w:r w:rsidRPr="00A03B40" w:rsidR="00AE5E68">
        <w:t>F</w:t>
      </w:r>
      <w:r w:rsidRPr="00A03B40" w:rsidR="009A6B81">
        <w:t xml:space="preserve">orecast </w:t>
      </w:r>
      <w:r w:rsidRPr="00A03B40" w:rsidR="00C159FA">
        <w:t>RPS Adder</w:t>
      </w:r>
      <w:r w:rsidRPr="00A03B40" w:rsidR="00AE5E68">
        <w:t xml:space="preserve"> </w:t>
      </w:r>
      <w:r w:rsidRPr="00A03B40">
        <w:t xml:space="preserve">by the estimated </w:t>
      </w:r>
      <w:r w:rsidRPr="00A03B40" w:rsidR="00D06324">
        <w:t xml:space="preserve">volume of RPS-eligible </w:t>
      </w:r>
      <w:r w:rsidRPr="00A03B40" w:rsidR="00EE668D">
        <w:t xml:space="preserve">resources </w:t>
      </w:r>
      <w:r w:rsidRPr="00A03B40">
        <w:t>in SCE’s P</w:t>
      </w:r>
      <w:r w:rsidR="0004181E">
        <w:t>CI</w:t>
      </w:r>
      <w:r w:rsidRPr="00A03B40">
        <w:t>A-eligible portfolio</w:t>
      </w:r>
      <w:r w:rsidRPr="00A03B40" w:rsidR="00EC38B6">
        <w:t xml:space="preserve"> and by incorporating the actual prices of recent RPS sales</w:t>
      </w:r>
      <w:r w:rsidRPr="00A03B40">
        <w:t>.</w:t>
      </w:r>
      <w:r w:rsidRPr="00A03B40">
        <w:rPr>
          <w:rStyle w:val="FootnoteReference"/>
        </w:rPr>
        <w:footnoteReference w:id="363"/>
      </w:r>
      <w:r w:rsidRPr="00A03B40" w:rsidR="002A68CA">
        <w:t xml:space="preserve"> </w:t>
      </w:r>
    </w:p>
    <w:p w:rsidRPr="00A03B40" w:rsidR="00A22BCB" w:rsidP="00CB05A1" w:rsidRDefault="0004154C" w14:paraId="04BD66B5" w14:textId="07ABF92F">
      <w:pPr>
        <w:pStyle w:val="Standard"/>
      </w:pPr>
      <w:proofErr w:type="gramStart"/>
      <w:r w:rsidRPr="00A03B40">
        <w:t>SCE’s</w:t>
      </w:r>
      <w:proofErr w:type="gramEnd"/>
      <w:r w:rsidRPr="00A03B40">
        <w:t xml:space="preserve"> proposed </w:t>
      </w:r>
      <w:r w:rsidRPr="00A03B40" w:rsidR="00A22BCB">
        <w:t xml:space="preserve">forecast </w:t>
      </w:r>
      <w:r w:rsidRPr="00A03B40">
        <w:t xml:space="preserve">RPS quantities </w:t>
      </w:r>
      <w:r w:rsidRPr="00A03B40" w:rsidR="00A22BCB">
        <w:t xml:space="preserve">are its </w:t>
      </w:r>
      <w:r w:rsidRPr="00A03B40">
        <w:t xml:space="preserve">previously held RECs, added to by </w:t>
      </w:r>
      <w:r w:rsidRPr="00A03B40" w:rsidR="001E2A44">
        <w:t>any</w:t>
      </w:r>
      <w:r w:rsidRPr="00A03B40" w:rsidR="00AE5E68">
        <w:t xml:space="preserve"> RECs related to </w:t>
      </w:r>
      <w:r w:rsidRPr="00A03B40">
        <w:t>P</w:t>
      </w:r>
      <w:r w:rsidR="0004181E">
        <w:t>CI</w:t>
      </w:r>
      <w:r w:rsidRPr="00A03B40">
        <w:t>A</w:t>
      </w:r>
      <w:r w:rsidRPr="00A03B40" w:rsidR="009A6B81">
        <w:t>-</w:t>
      </w:r>
      <w:r w:rsidRPr="00A03B40">
        <w:t>eligible generation</w:t>
      </w:r>
      <w:r w:rsidRPr="00A03B40" w:rsidR="009A6B81">
        <w:t>,</w:t>
      </w:r>
      <w:r w:rsidRPr="00A03B40">
        <w:t xml:space="preserve"> and decreased by RECs surrendered to achieve SCE’s compliance obligation or sold via market offer </w:t>
      </w:r>
      <w:r w:rsidRPr="00A03B40" w:rsidR="009A6B81">
        <w:t xml:space="preserve">(MO) </w:t>
      </w:r>
      <w:r w:rsidRPr="00A03B40">
        <w:t>or voluntary allocation (VA)</w:t>
      </w:r>
      <w:r w:rsidRPr="00A03B40" w:rsidR="00B859A6">
        <w:t>, pursuant to D.18-10-019</w:t>
      </w:r>
      <w:r w:rsidRPr="00A03B40">
        <w:t>.</w:t>
      </w:r>
      <w:r w:rsidRPr="00A03B40" w:rsidR="002A68CA">
        <w:t xml:space="preserve"> </w:t>
      </w:r>
      <w:bookmarkStart w:name="_Hlk211246083" w:id="193"/>
      <w:r w:rsidRPr="00A03B40">
        <w:t xml:space="preserve">SCE is not holding a </w:t>
      </w:r>
      <w:r w:rsidRPr="00A03B40" w:rsidR="008107E2">
        <w:t xml:space="preserve">short-term </w:t>
      </w:r>
      <w:r w:rsidRPr="00A03B40" w:rsidR="009A6B81">
        <w:t>VAMO</w:t>
      </w:r>
      <w:r w:rsidRPr="00A03B40">
        <w:t xml:space="preserve"> process for 202</w:t>
      </w:r>
      <w:r w:rsidRPr="00A03B40" w:rsidR="00301998">
        <w:t>6</w:t>
      </w:r>
      <w:r w:rsidRPr="00A03B40">
        <w:t xml:space="preserve"> but will continue to allocate long term VA RECs from contracts signed in 2024</w:t>
      </w:r>
      <w:r w:rsidRPr="00A03B40" w:rsidR="009A6B81">
        <w:t>, based on the accepted bid price</w:t>
      </w:r>
      <w:r w:rsidRPr="00A03B40">
        <w:t>.</w:t>
      </w:r>
      <w:r w:rsidRPr="00A03B40" w:rsidR="009A6B81">
        <w:t xml:space="preserve"> SCE states that all volumes not allocated in either long-term VA or MO processes are forecast to be used by SCE towards its 2026 RPS compliance</w:t>
      </w:r>
      <w:r w:rsidRPr="00A03B40" w:rsidR="00CB05A1">
        <w:t xml:space="preserve"> </w:t>
      </w:r>
      <w:r w:rsidRPr="00A03B40" w:rsidR="009A6B81">
        <w:t>target.</w:t>
      </w:r>
      <w:bookmarkEnd w:id="193"/>
      <w:r w:rsidRPr="00A03B40" w:rsidR="00CB05A1">
        <w:rPr>
          <w:rStyle w:val="FootnoteReference"/>
        </w:rPr>
        <w:footnoteReference w:id="364"/>
      </w:r>
      <w:r w:rsidRPr="00A03B40" w:rsidR="002A68CA">
        <w:t xml:space="preserve"> </w:t>
      </w:r>
    </w:p>
    <w:p w:rsidRPr="00A03B40" w:rsidR="0004154C" w:rsidP="002B0440" w:rsidRDefault="003E0A2F" w14:paraId="21E00C0A" w14:textId="5BE688B8">
      <w:pPr>
        <w:pStyle w:val="Standard"/>
        <w:widowControl w:val="0"/>
      </w:pPr>
      <w:r w:rsidRPr="00A03B40">
        <w:t>I</w:t>
      </w:r>
      <w:r w:rsidRPr="00A03B40" w:rsidR="00B42113">
        <w:t xml:space="preserve">n its May </w:t>
      </w:r>
      <w:r w:rsidRPr="00A03B40" w:rsidR="001E2A44">
        <w:t>Filing</w:t>
      </w:r>
      <w:r w:rsidRPr="00A03B40" w:rsidR="00B42113">
        <w:t xml:space="preserve"> </w:t>
      </w:r>
      <w:r w:rsidRPr="00A03B40" w:rsidR="001E2A44">
        <w:t xml:space="preserve">and </w:t>
      </w:r>
      <w:r w:rsidRPr="00A03B40" w:rsidR="001C19D1">
        <w:t xml:space="preserve">Amended </w:t>
      </w:r>
      <w:r w:rsidRPr="00A03B40" w:rsidR="001E2A44">
        <w:t>October Update</w:t>
      </w:r>
      <w:r w:rsidRPr="00A03B40" w:rsidR="00B42113">
        <w:t xml:space="preserve">, </w:t>
      </w:r>
      <w:r w:rsidRPr="00A03B40" w:rsidR="003F46FD">
        <w:t xml:space="preserve">SCE values these RECs either at </w:t>
      </w:r>
      <w:r w:rsidRPr="00A03B40" w:rsidR="00B859A6">
        <w:t xml:space="preserve">(1) </w:t>
      </w:r>
      <w:r w:rsidRPr="00A03B40" w:rsidR="003F46FD">
        <w:t xml:space="preserve">the </w:t>
      </w:r>
      <w:r w:rsidRPr="00A03B40" w:rsidR="001E2A44">
        <w:t>2026 Forecast RPS Adder</w:t>
      </w:r>
      <w:r w:rsidRPr="00A03B40" w:rsidR="00300C6F">
        <w:t xml:space="preserve"> calculated by the Energy Division</w:t>
      </w:r>
      <w:r w:rsidRPr="00A03B40" w:rsidR="0057006D">
        <w:t>,</w:t>
      </w:r>
      <w:r w:rsidRPr="00A03B40" w:rsidR="003F46FD">
        <w:t xml:space="preserve"> </w:t>
      </w:r>
      <w:r w:rsidRPr="00A03B40" w:rsidR="00B859A6">
        <w:t xml:space="preserve">(2) </w:t>
      </w:r>
      <w:r w:rsidRPr="00A03B40" w:rsidR="003F46FD">
        <w:t>at the actual prices</w:t>
      </w:r>
      <w:r w:rsidRPr="00A03B40" w:rsidR="00A22BCB">
        <w:t xml:space="preserve"> for sales up to 45 days prior to ERRA </w:t>
      </w:r>
      <w:r w:rsidRPr="00A03B40" w:rsidR="00CC7C11">
        <w:t>f</w:t>
      </w:r>
      <w:r w:rsidRPr="00A03B40" w:rsidR="00A22BCB">
        <w:t xml:space="preserve">orecast </w:t>
      </w:r>
      <w:r w:rsidRPr="00A03B40" w:rsidR="00CC7C11">
        <w:t>f</w:t>
      </w:r>
      <w:r w:rsidRPr="00A03B40" w:rsidR="00A22BCB">
        <w:t>ilings, or</w:t>
      </w:r>
      <w:r w:rsidRPr="00A03B40" w:rsidR="002B0440">
        <w:t>,</w:t>
      </w:r>
      <w:r w:rsidRPr="00A03B40" w:rsidR="00A22BCB">
        <w:t xml:space="preserve"> </w:t>
      </w:r>
      <w:r w:rsidRPr="00A03B40" w:rsidR="00B859A6">
        <w:t xml:space="preserve">(3) </w:t>
      </w:r>
      <w:r w:rsidRPr="00A03B40" w:rsidR="00300C6F">
        <w:t>at $0, for</w:t>
      </w:r>
      <w:r w:rsidRPr="00A03B40" w:rsidR="00A22BCB">
        <w:t xml:space="preserve"> Forecast Unsold RPS and </w:t>
      </w:r>
      <w:r w:rsidRPr="00A03B40" w:rsidR="00300C6F">
        <w:t xml:space="preserve">any </w:t>
      </w:r>
      <w:r w:rsidRPr="00A03B40" w:rsidR="00A22BCB">
        <w:t>Pre-2019 Banked RECs</w:t>
      </w:r>
      <w:r w:rsidRPr="00A03B40" w:rsidR="00573EE8">
        <w:t xml:space="preserve"> </w:t>
      </w:r>
      <w:r w:rsidRPr="00A03B40" w:rsidR="00300C6F">
        <w:t>forecast to be needed</w:t>
      </w:r>
      <w:r w:rsidRPr="00A03B40" w:rsidR="00573EE8">
        <w:t xml:space="preserve"> for </w:t>
      </w:r>
      <w:r w:rsidRPr="00A03B40" w:rsidR="009778F0">
        <w:t>bundled</w:t>
      </w:r>
      <w:r w:rsidRPr="00A03B40" w:rsidR="00573EE8">
        <w:t xml:space="preserve"> customer compliance</w:t>
      </w:r>
      <w:r w:rsidRPr="00A03B40" w:rsidR="00A22BCB">
        <w:t>.</w:t>
      </w:r>
      <w:r w:rsidRPr="00A03B40" w:rsidR="0057006D">
        <w:rPr>
          <w:rStyle w:val="FootnoteReference"/>
        </w:rPr>
        <w:footnoteReference w:id="365"/>
      </w:r>
      <w:r w:rsidRPr="00A03B40" w:rsidR="0057006D">
        <w:t xml:space="preserve"> </w:t>
      </w:r>
      <w:bookmarkStart w:name="_Hlk211245111" w:id="194"/>
      <w:r w:rsidRPr="00A03B40" w:rsidR="009B219B">
        <w:t xml:space="preserve">SCE’s proposed valuation of Pre-2019 Banked Recs that it may retire </w:t>
      </w:r>
      <w:r w:rsidRPr="00A03B40" w:rsidR="001B7E4A">
        <w:t xml:space="preserve">for bundled customer RPS compliance </w:t>
      </w:r>
      <w:r w:rsidRPr="00A03B40" w:rsidR="009B219B">
        <w:t xml:space="preserve">in 2026 </w:t>
      </w:r>
      <w:r w:rsidRPr="00A03B40" w:rsidR="00300C6F">
        <w:t xml:space="preserve">(or that it has retired for bundled customer compliance in 2025) </w:t>
      </w:r>
      <w:r w:rsidRPr="00A03B40" w:rsidR="009B219B">
        <w:t xml:space="preserve">is a disputed issue in </w:t>
      </w:r>
      <w:r w:rsidRPr="00A03B40" w:rsidR="009B219B">
        <w:lastRenderedPageBreak/>
        <w:t>this case</w:t>
      </w:r>
      <w:bookmarkEnd w:id="194"/>
      <w:r w:rsidRPr="00A03B40" w:rsidR="009B219B">
        <w:t>, as discussed below</w:t>
      </w:r>
      <w:r w:rsidRPr="00A03B40" w:rsidR="002B0440">
        <w:t>.</w:t>
      </w:r>
    </w:p>
    <w:p w:rsidRPr="00A03B40" w:rsidR="0004154C" w:rsidP="0005721A" w:rsidRDefault="0004154C" w14:paraId="5B9C17FF" w14:textId="6C7074D1">
      <w:pPr>
        <w:pStyle w:val="Heading5"/>
      </w:pPr>
      <w:r w:rsidRPr="00A03B40">
        <w:t>Pre-2019 Banked RECs</w:t>
      </w:r>
      <w:r w:rsidRPr="00A03B40" w:rsidR="00963DB5">
        <w:t xml:space="preserve"> – Valuation and Order of Retirement</w:t>
      </w:r>
      <w:r w:rsidRPr="00A03B40">
        <w:t xml:space="preserve"> </w:t>
      </w:r>
    </w:p>
    <w:p w:rsidRPr="00A03B40" w:rsidR="00233E37" w:rsidP="00A42285" w:rsidRDefault="003F46FD" w14:paraId="2AEE9CF6" w14:textId="62CB11A7">
      <w:pPr>
        <w:pStyle w:val="Standard"/>
      </w:pPr>
      <w:r w:rsidRPr="00A03B40">
        <w:t>Pre-2019 Banked RECs are</w:t>
      </w:r>
      <w:r w:rsidRPr="00A03B40" w:rsidR="0004154C">
        <w:t xml:space="preserve"> RECs that were generated and banked prior to January 1, 2019, but u</w:t>
      </w:r>
      <w:r w:rsidRPr="00A03B40">
        <w:t>s</w:t>
      </w:r>
      <w:r w:rsidRPr="00A03B40" w:rsidR="0004154C">
        <w:t xml:space="preserve">ed for </w:t>
      </w:r>
      <w:r w:rsidRPr="00A03B40" w:rsidR="00B04C46">
        <w:t>utility</w:t>
      </w:r>
      <w:r w:rsidRPr="00A03B40" w:rsidR="0004154C">
        <w:t xml:space="preserve"> bundled customer RPS compliance obligations</w:t>
      </w:r>
      <w:r w:rsidRPr="00A03B40" w:rsidR="007E5A7A">
        <w:t xml:space="preserve"> in later years</w:t>
      </w:r>
      <w:r w:rsidRPr="00A03B40">
        <w:t>.</w:t>
      </w:r>
      <w:r w:rsidRPr="00A03B40" w:rsidR="002A68CA">
        <w:t xml:space="preserve"> </w:t>
      </w:r>
      <w:r w:rsidRPr="00A03B40" w:rsidR="00CB5F67">
        <w:t xml:space="preserve">Here, </w:t>
      </w:r>
      <w:proofErr w:type="spellStart"/>
      <w:r w:rsidRPr="00A03B40" w:rsidR="00CB5F67">
        <w:t>CalCCA</w:t>
      </w:r>
      <w:proofErr w:type="spellEnd"/>
      <w:r w:rsidRPr="00A03B40" w:rsidR="00CB5F67">
        <w:t xml:space="preserve"> and SCE disagree as to</w:t>
      </w:r>
      <w:r w:rsidRPr="00A03B40" w:rsidR="00F95727">
        <w:t xml:space="preserve"> whether SCE must value Pre-2019 Banked RECs at the applicable RPS Adder or at $0, if SCE forecasts it will use such RECs for bundled customer RPS compliance in 2026</w:t>
      </w:r>
      <w:r w:rsidRPr="00A03B40" w:rsidR="00530FFE">
        <w:t xml:space="preserve"> or if SCE has used such RECs for bundled customer compliance in 2025</w:t>
      </w:r>
      <w:r w:rsidRPr="00A03B40" w:rsidR="00F95727">
        <w:t xml:space="preserve">. </w:t>
      </w:r>
    </w:p>
    <w:p w:rsidR="00CC1B6B" w:rsidP="00530FFE" w:rsidRDefault="00CE5C12" w14:paraId="24530560" w14:textId="28DDF838">
      <w:pPr>
        <w:pStyle w:val="Standard"/>
      </w:pPr>
      <w:r w:rsidRPr="00A03B40">
        <w:t>D.19-10-001</w:t>
      </w:r>
      <w:r w:rsidRPr="00A03B40" w:rsidR="00233E37">
        <w:t xml:space="preserve"> modifi</w:t>
      </w:r>
      <w:r w:rsidRPr="00A03B40" w:rsidR="005E03E5">
        <w:t>ed</w:t>
      </w:r>
      <w:r w:rsidRPr="00A03B40" w:rsidR="00233E37">
        <w:t xml:space="preserve"> the method used </w:t>
      </w:r>
      <w:r w:rsidRPr="00A03B40" w:rsidR="00120974">
        <w:t xml:space="preserve">to </w:t>
      </w:r>
      <w:r w:rsidRPr="00A03B40" w:rsidR="005E03E5">
        <w:t xml:space="preserve">value banked </w:t>
      </w:r>
      <w:proofErr w:type="gramStart"/>
      <w:r w:rsidRPr="00A03B40" w:rsidR="005E03E5">
        <w:t>RECs</w:t>
      </w:r>
      <w:proofErr w:type="gramEnd"/>
      <w:r w:rsidRPr="00A03B40" w:rsidR="005E03E5">
        <w:t xml:space="preserve"> expected to be used for bundled customer compliance when forecasting PCIA rates</w:t>
      </w:r>
      <w:r w:rsidRPr="00A03B40" w:rsidR="00A75761">
        <w:t xml:space="preserve">. </w:t>
      </w:r>
      <w:r w:rsidRPr="00A03B40" w:rsidR="005E03E5">
        <w:t xml:space="preserve">In </w:t>
      </w:r>
      <w:r w:rsidRPr="00A03B40" w:rsidR="00B04C46">
        <w:t>th</w:t>
      </w:r>
      <w:r w:rsidR="0004181E">
        <w:t>at</w:t>
      </w:r>
      <w:r w:rsidRPr="00A03B40" w:rsidR="005E03E5">
        <w:t xml:space="preserve"> decision, the Commission evaluated proposals put forth by </w:t>
      </w:r>
      <w:r w:rsidRPr="00A03B40" w:rsidR="00233E37">
        <w:t>Working Group</w:t>
      </w:r>
      <w:r w:rsidRPr="00A03B40" w:rsidR="00530FFE">
        <w:t xml:space="preserve">s </w:t>
      </w:r>
      <w:r w:rsidRPr="00A03B40" w:rsidR="00EB1C9D">
        <w:t>made</w:t>
      </w:r>
      <w:r w:rsidRPr="00A03B40" w:rsidR="00530FFE">
        <w:t xml:space="preserve"> of party representatives</w:t>
      </w:r>
      <w:r w:rsidRPr="00A03B40" w:rsidR="00233E37">
        <w:t>.</w:t>
      </w:r>
      <w:r w:rsidRPr="00A03B40" w:rsidR="00233E37">
        <w:rPr>
          <w:rStyle w:val="FootnoteReference"/>
        </w:rPr>
        <w:footnoteReference w:id="366"/>
      </w:r>
      <w:r w:rsidRPr="00A03B40" w:rsidR="002A68CA">
        <w:t xml:space="preserve"> </w:t>
      </w:r>
      <w:r w:rsidRPr="00A03B40" w:rsidR="00233E37">
        <w:t xml:space="preserve">Among other proposals, </w:t>
      </w:r>
      <w:r w:rsidRPr="00A03B40" w:rsidR="003E0A2F">
        <w:t>one</w:t>
      </w:r>
      <w:r w:rsidRPr="00A03B40" w:rsidR="00233E37">
        <w:t xml:space="preserve"> Working Group proposed that</w:t>
      </w:r>
      <w:bookmarkStart w:name="_Hlk211245288" w:id="195"/>
      <w:r w:rsidRPr="00A03B40" w:rsidR="00EB1C9D">
        <w:t xml:space="preserve">, </w:t>
      </w:r>
      <w:r w:rsidRPr="00A03B40" w:rsidR="00755DE2">
        <w:t xml:space="preserve">if </w:t>
      </w:r>
      <w:r w:rsidRPr="00A03B40" w:rsidR="005E03E5">
        <w:t>a</w:t>
      </w:r>
      <w:r w:rsidRPr="00A03B40" w:rsidR="0095378D">
        <w:t xml:space="preserve"> </w:t>
      </w:r>
      <w:r w:rsidR="00CC1B6B">
        <w:t xml:space="preserve">utility </w:t>
      </w:r>
      <w:r w:rsidRPr="00A03B40" w:rsidR="005E03E5">
        <w:t>expect</w:t>
      </w:r>
      <w:r w:rsidR="00CC1B6B">
        <w:t>s</w:t>
      </w:r>
      <w:r w:rsidRPr="00A03B40" w:rsidR="00755DE2">
        <w:t xml:space="preserve"> to </w:t>
      </w:r>
      <w:r w:rsidR="00CC1B6B">
        <w:t>retain and</w:t>
      </w:r>
      <w:r w:rsidRPr="00A03B40" w:rsidR="00CC1B6B">
        <w:t xml:space="preserve"> </w:t>
      </w:r>
      <w:r w:rsidRPr="00A03B40" w:rsidR="00755DE2">
        <w:t>retire</w:t>
      </w:r>
      <w:r w:rsidR="00CC1B6B">
        <w:t xml:space="preserve"> a REC</w:t>
      </w:r>
      <w:r w:rsidRPr="00A03B40" w:rsidR="00755DE2">
        <w:t xml:space="preserve"> for bundled customer compliance</w:t>
      </w:r>
      <w:r w:rsidR="00CC1B6B">
        <w:t xml:space="preserve"> in a forecast year</w:t>
      </w:r>
      <w:r w:rsidRPr="00A03B40" w:rsidR="00755DE2">
        <w:t xml:space="preserve">, </w:t>
      </w:r>
      <w:r w:rsidRPr="00A03B40" w:rsidR="00B04C46">
        <w:t>the REC</w:t>
      </w:r>
      <w:r w:rsidRPr="00A03B40" w:rsidR="00755DE2">
        <w:t xml:space="preserve"> </w:t>
      </w:r>
      <w:r w:rsidRPr="00A03B40" w:rsidR="00244A15">
        <w:t xml:space="preserve">should </w:t>
      </w:r>
      <w:r w:rsidRPr="00A03B40" w:rsidR="00233E37">
        <w:t xml:space="preserve">be valued at the </w:t>
      </w:r>
      <w:r w:rsidRPr="00A03B40" w:rsidR="00755DE2">
        <w:t xml:space="preserve">then-current </w:t>
      </w:r>
      <w:r w:rsidRPr="00A03B40" w:rsidR="00233E37">
        <w:t>Forecast RPS Adder, as calculated by Energy Division staff</w:t>
      </w:r>
      <w:r w:rsidRPr="00A03B40" w:rsidR="006D4912">
        <w:t xml:space="preserve">, and credited to </w:t>
      </w:r>
      <w:r w:rsidRPr="00A03B40" w:rsidR="000D17CE">
        <w:t xml:space="preserve">DL customers via </w:t>
      </w:r>
      <w:r w:rsidRPr="00A03B40" w:rsidR="006D4912">
        <w:t>the PCIA</w:t>
      </w:r>
      <w:r w:rsidRPr="00A03B40" w:rsidR="00233E37">
        <w:t>.</w:t>
      </w:r>
      <w:bookmarkEnd w:id="195"/>
      <w:r w:rsidRPr="00A03B40" w:rsidR="00233E37">
        <w:rPr>
          <w:rStyle w:val="FootnoteReference"/>
        </w:rPr>
        <w:footnoteReference w:id="367"/>
      </w:r>
      <w:r w:rsidRPr="00A03B40" w:rsidR="002A68CA">
        <w:t xml:space="preserve"> </w:t>
      </w:r>
      <w:bookmarkStart w:name="_Hlk211245194" w:id="196"/>
      <w:r w:rsidR="00CC1B6B">
        <w:t>Any RECs that are unsold are valued at $0 until they are used for bundled customer compliance or sold, at which point they become Actual Sold (valued at the actual price) or Actual Retained RECs (valued at the RPS Adder, as described above).</w:t>
      </w:r>
      <w:r w:rsidR="00CC1B6B">
        <w:rPr>
          <w:rStyle w:val="FootnoteReference"/>
        </w:rPr>
        <w:footnoteReference w:id="368"/>
      </w:r>
      <w:r w:rsidR="00CC1B6B">
        <w:t xml:space="preserve"> </w:t>
      </w:r>
      <w:r w:rsidRPr="00A03B40" w:rsidR="00CC1B6B">
        <w:t>The Commission adopted this Working Group proposal.</w:t>
      </w:r>
      <w:r w:rsidRPr="00A03B40" w:rsidR="00CC1B6B">
        <w:rPr>
          <w:rStyle w:val="FootnoteReference"/>
        </w:rPr>
        <w:footnoteReference w:id="369"/>
      </w:r>
      <w:r w:rsidRPr="00A03B40" w:rsidR="00CC1B6B">
        <w:t xml:space="preserve"> However, the Commission also noted in a Finding of Fact for </w:t>
      </w:r>
      <w:r w:rsidRPr="00A03B40" w:rsidR="00CC1B6B">
        <w:lastRenderedPageBreak/>
        <w:t>that decision that “[t]he methods adopted in this Decision apply to RECs generated commencing January 1, 2019 and going forward.”</w:t>
      </w:r>
      <w:r w:rsidRPr="00A03B40" w:rsidR="00CC1B6B">
        <w:rPr>
          <w:rStyle w:val="FootnoteReference"/>
        </w:rPr>
        <w:footnoteReference w:id="370"/>
      </w:r>
      <w:r w:rsidRPr="00A03B40" w:rsidR="00CC1B6B">
        <w:t xml:space="preserve"> </w:t>
      </w:r>
    </w:p>
    <w:p w:rsidRPr="00A03B40" w:rsidR="00530FFE" w:rsidP="00530FFE" w:rsidRDefault="001C19D1" w14:paraId="14D97797" w14:textId="0031F0A8">
      <w:pPr>
        <w:pStyle w:val="Standard"/>
      </w:pPr>
      <w:r w:rsidRPr="00A03B40">
        <w:t xml:space="preserve">Prior to D.19-10-001, bundled customers credited DL customers the market value of </w:t>
      </w:r>
      <w:r w:rsidR="00CC1B6B">
        <w:t xml:space="preserve">all forecast </w:t>
      </w:r>
      <w:r w:rsidRPr="00A03B40">
        <w:t>unsold</w:t>
      </w:r>
      <w:r w:rsidR="00CC1B6B">
        <w:t>/retained</w:t>
      </w:r>
      <w:r w:rsidRPr="00A03B40">
        <w:t xml:space="preserve"> banked RECs at the time the RECs were generated and banked, based on the then-current RPS MPB</w:t>
      </w:r>
      <w:r w:rsidR="00C348D1">
        <w:t>.</w:t>
      </w:r>
      <w:r w:rsidRPr="00A03B40">
        <w:t xml:space="preserve"> </w:t>
      </w:r>
      <w:r w:rsidR="00C348D1">
        <w:t>T</w:t>
      </w:r>
      <w:r w:rsidRPr="00A03B40">
        <w:t>he RECs were valued at $0 thereafter regardless of whether and when they were used for bundled customer compliance.</w:t>
      </w:r>
      <w:bookmarkEnd w:id="196"/>
      <w:r w:rsidRPr="00A03B40">
        <w:rPr>
          <w:rStyle w:val="FootnoteReference"/>
        </w:rPr>
        <w:footnoteReference w:id="371"/>
      </w:r>
      <w:r w:rsidRPr="00A03B40">
        <w:t xml:space="preserve"> </w:t>
      </w:r>
    </w:p>
    <w:p w:rsidRPr="00A03B40" w:rsidR="00D36FC9" w:rsidP="00064AC1" w:rsidRDefault="00D36FC9" w14:paraId="752D62BE" w14:textId="2BECC090">
      <w:pPr>
        <w:pStyle w:val="Standard"/>
      </w:pPr>
      <w:r w:rsidRPr="00A03B40">
        <w:t xml:space="preserve">As noted above, </w:t>
      </w:r>
      <w:r w:rsidRPr="00A03B40" w:rsidR="003F46FD">
        <w:t>SCE proposes that, if it must use Pre-2019 Banked RECs for bundled customer compliance, those RECs should be valued at $0</w:t>
      </w:r>
      <w:r w:rsidRPr="00A03B40" w:rsidR="00233E37">
        <w:t xml:space="preserve"> because D.19-10-001</w:t>
      </w:r>
      <w:r w:rsidRPr="00A03B40">
        <w:t xml:space="preserve"> excludes </w:t>
      </w:r>
      <w:r w:rsidR="00FF2E28">
        <w:t>P</w:t>
      </w:r>
      <w:r w:rsidRPr="00A03B40">
        <w:t xml:space="preserve">re-2019 Banked RECs from the updated forecast methodology by </w:t>
      </w:r>
      <w:r w:rsidR="00563A67">
        <w:t xml:space="preserve">virtue of </w:t>
      </w:r>
      <w:r w:rsidRPr="00A03B40">
        <w:t>the Finding of Fact cited above.</w:t>
      </w:r>
      <w:r w:rsidRPr="00A03B40">
        <w:rPr>
          <w:rStyle w:val="FootnoteReference"/>
        </w:rPr>
        <w:footnoteReference w:id="372"/>
      </w:r>
      <w:r w:rsidRPr="00A03B40" w:rsidR="002B0440">
        <w:t xml:space="preserve"> </w:t>
      </w:r>
      <w:r w:rsidR="00CC1B6B">
        <w:t xml:space="preserve">Substantively, SCE argues that, because its bundled customers already paid </w:t>
      </w:r>
      <w:r w:rsidR="00C348D1">
        <w:t xml:space="preserve">market value </w:t>
      </w:r>
      <w:r w:rsidR="00CC1B6B">
        <w:t>for those RECs at the time they were generated and banked under the prior PCIA methodology, to require them to pay a</w:t>
      </w:r>
      <w:r w:rsidR="00563A67">
        <w:t>gain</w:t>
      </w:r>
      <w:r w:rsidR="00CC1B6B">
        <w:t xml:space="preserve"> </w:t>
      </w:r>
      <w:r w:rsidR="00EE0B95">
        <w:t xml:space="preserve">(“pay twice”) </w:t>
      </w:r>
      <w:r w:rsidR="00CC1B6B">
        <w:t>for the RECs at issue would make bundled service customers no longer “indifferent” to depart</w:t>
      </w:r>
      <w:r w:rsidR="00064AC1">
        <w:t>ed</w:t>
      </w:r>
      <w:r w:rsidR="00CC1B6B">
        <w:t xml:space="preserve"> load in violation of Pub. Util. Code section 366.2(g).</w:t>
      </w:r>
      <w:r w:rsidR="00EE0B95">
        <w:rPr>
          <w:rStyle w:val="FootnoteReference"/>
        </w:rPr>
        <w:footnoteReference w:id="373"/>
      </w:r>
      <w:r w:rsidRPr="00A03B40" w:rsidR="00CC1B6B">
        <w:t xml:space="preserve"> </w:t>
      </w:r>
      <w:r w:rsidR="00C348D1">
        <w:t xml:space="preserve">SCE </w:t>
      </w:r>
      <w:r w:rsidR="00653740">
        <w:t xml:space="preserve">further </w:t>
      </w:r>
      <w:r w:rsidR="00C348D1">
        <w:t xml:space="preserve">argues that </w:t>
      </w:r>
      <w:proofErr w:type="spellStart"/>
      <w:r w:rsidR="00C348D1">
        <w:t>CalCCA’s</w:t>
      </w:r>
      <w:proofErr w:type="spellEnd"/>
      <w:r w:rsidR="00C348D1">
        <w:t xml:space="preserve"> proposed methodology is “underdeveloped,” and </w:t>
      </w:r>
      <w:r w:rsidRPr="00A03B40" w:rsidR="00C348D1">
        <w:t xml:space="preserve">that it relies on a misunderstanding of how SCE allocates the credits of Banked RECs that are used </w:t>
      </w:r>
      <w:r w:rsidRPr="00A03B40" w:rsidR="00C348D1">
        <w:lastRenderedPageBreak/>
        <w:t xml:space="preserve">for bundled customer compliance and so </w:t>
      </w:r>
      <w:r w:rsidR="00C348D1">
        <w:t>”would misalign costs and benefits.”</w:t>
      </w:r>
      <w:r w:rsidR="00C348D1">
        <w:rPr>
          <w:rStyle w:val="FootnoteReference"/>
        </w:rPr>
        <w:footnoteReference w:id="374"/>
      </w:r>
      <w:r w:rsidRPr="00A03B40" w:rsidR="00C348D1">
        <w:t xml:space="preserve"> </w:t>
      </w:r>
      <w:r w:rsidR="00CC1B6B">
        <w:t>The Commission adopted SCE’s proposed methodology on an interim basis</w:t>
      </w:r>
      <w:r w:rsidR="00D72DA4">
        <w:t xml:space="preserve"> in SCE’s 2024 ERRA forecast decision and approved it in SCE’s 2025 ERRA forecast decision for that proceeding</w:t>
      </w:r>
      <w:r w:rsidR="00CC1B6B">
        <w:t>.</w:t>
      </w:r>
      <w:r w:rsidR="00CC1B6B">
        <w:rPr>
          <w:rStyle w:val="FootnoteReference"/>
        </w:rPr>
        <w:footnoteReference w:id="375"/>
      </w:r>
    </w:p>
    <w:p w:rsidR="0053297D" w:rsidP="009A33AF" w:rsidRDefault="007E5A7A" w14:paraId="5A3D6D86" w14:textId="625A8039">
      <w:pPr>
        <w:pStyle w:val="Standard"/>
      </w:pPr>
      <w:proofErr w:type="spellStart"/>
      <w:r w:rsidRPr="00A03B40">
        <w:t>CalCCA</w:t>
      </w:r>
      <w:proofErr w:type="spellEnd"/>
      <w:r w:rsidRPr="00A03B40">
        <w:t xml:space="preserve"> argues in testimony and briefs that any Pre-2019 Banked RECs </w:t>
      </w:r>
      <w:r w:rsidRPr="00A03B40" w:rsidR="000800C6">
        <w:t xml:space="preserve">projected to be </w:t>
      </w:r>
      <w:r w:rsidRPr="00A03B40">
        <w:t xml:space="preserve">used for SCE’s bundled customer </w:t>
      </w:r>
      <w:r w:rsidRPr="00A03B40" w:rsidR="00963DB5">
        <w:t xml:space="preserve">RPS </w:t>
      </w:r>
      <w:r w:rsidRPr="00A03B40">
        <w:t xml:space="preserve">compliance </w:t>
      </w:r>
      <w:r w:rsidRPr="00A03B40" w:rsidR="001B7E4A">
        <w:t xml:space="preserve">in </w:t>
      </w:r>
      <w:r w:rsidRPr="00A03B40" w:rsidR="000800C6">
        <w:t xml:space="preserve">2025 or </w:t>
      </w:r>
      <w:r w:rsidRPr="00A03B40" w:rsidR="001B7E4A">
        <w:t xml:space="preserve">2026 </w:t>
      </w:r>
      <w:r w:rsidRPr="00A03B40">
        <w:t xml:space="preserve">should be valued at the current RPS Adder, </w:t>
      </w:r>
      <w:r w:rsidRPr="00A03B40" w:rsidR="005E03E5">
        <w:t>consistent with the new methodology adopted in D.19-10-001</w:t>
      </w:r>
      <w:r w:rsidR="00F3561C">
        <w:t xml:space="preserve"> and that SCE should retire RECs on a “first-in, first-out” basis</w:t>
      </w:r>
      <w:r w:rsidRPr="00A03B40" w:rsidR="005E03E5">
        <w:t>.</w:t>
      </w:r>
      <w:r w:rsidR="00F3561C">
        <w:rPr>
          <w:rStyle w:val="FootnoteReference"/>
        </w:rPr>
        <w:footnoteReference w:id="376"/>
      </w:r>
      <w:r w:rsidRPr="00A03B40" w:rsidR="005E03E5">
        <w:t xml:space="preserve"> </w:t>
      </w:r>
      <w:proofErr w:type="spellStart"/>
      <w:r w:rsidRPr="00A03B40" w:rsidR="005E03E5">
        <w:t>CalCCA</w:t>
      </w:r>
      <w:proofErr w:type="spellEnd"/>
      <w:r w:rsidRPr="00A03B40" w:rsidR="005E03E5">
        <w:t xml:space="preserve"> </w:t>
      </w:r>
      <w:r w:rsidR="0053297D">
        <w:t>proposes</w:t>
      </w:r>
      <w:r w:rsidRPr="00A03B40" w:rsidR="0053297D">
        <w:t xml:space="preserve"> </w:t>
      </w:r>
      <w:r w:rsidRPr="00A03B40" w:rsidR="005E03E5">
        <w:t xml:space="preserve">that the value of the REC should be </w:t>
      </w:r>
      <w:r w:rsidRPr="00A03B40">
        <w:t>logged as a credit to the PCIA in the vintage year in which the REC was generated</w:t>
      </w:r>
      <w:r w:rsidRPr="00A03B40" w:rsidR="00963DB5">
        <w:t xml:space="preserve">, with </w:t>
      </w:r>
      <w:r w:rsidRPr="00A03B40" w:rsidR="00FA75B2">
        <w:t>a</w:t>
      </w:r>
      <w:r w:rsidRPr="00A03B40" w:rsidR="00963DB5">
        <w:t xml:space="preserve"> </w:t>
      </w:r>
      <w:r w:rsidRPr="00A03B40" w:rsidR="00FA75B2">
        <w:t xml:space="preserve">corresponding </w:t>
      </w:r>
      <w:r w:rsidRPr="00A03B40" w:rsidR="00963DB5">
        <w:t>debit to the ERRA BA, to be paid by bundled customers through generation rates</w:t>
      </w:r>
      <w:r w:rsidRPr="00A03B40">
        <w:t>.</w:t>
      </w:r>
      <w:r w:rsidRPr="00A03B40">
        <w:rPr>
          <w:rStyle w:val="FootnoteReference"/>
        </w:rPr>
        <w:footnoteReference w:id="377"/>
      </w:r>
      <w:r w:rsidRPr="00A03B40" w:rsidR="002A68CA">
        <w:t xml:space="preserve"> </w:t>
      </w:r>
    </w:p>
    <w:p w:rsidRPr="00A03B40" w:rsidR="00563A67" w:rsidP="009A33AF" w:rsidRDefault="00EE0B95" w14:paraId="38F64F8A" w14:textId="00DC82B0">
      <w:pPr>
        <w:pStyle w:val="Standard"/>
      </w:pPr>
      <w:proofErr w:type="spellStart"/>
      <w:r w:rsidRPr="00A03B40">
        <w:lastRenderedPageBreak/>
        <w:t>CalCCA</w:t>
      </w:r>
      <w:proofErr w:type="spellEnd"/>
      <w:r w:rsidRPr="00A03B40">
        <w:t xml:space="preserve"> argues</w:t>
      </w:r>
      <w:r w:rsidR="00563A67">
        <w:t xml:space="preserve"> </w:t>
      </w:r>
      <w:r w:rsidRPr="00A03B40">
        <w:t>that th</w:t>
      </w:r>
      <w:r w:rsidR="000B38BC">
        <w:t>e</w:t>
      </w:r>
      <w:r w:rsidRPr="00A03B40">
        <w:t xml:space="preserve"> methodology adopted in D.19-10-001 is appropriate for </w:t>
      </w:r>
      <w:r w:rsidR="000B38BC">
        <w:t xml:space="preserve">valuing </w:t>
      </w:r>
      <w:r w:rsidRPr="00A03B40">
        <w:t xml:space="preserve">Pre-2019 Banked RECs because otherwise, DL customers </w:t>
      </w:r>
      <w:r w:rsidR="0053297D">
        <w:t>(</w:t>
      </w:r>
      <w:r w:rsidRPr="00A03B40">
        <w:t>who, as bundled customers</w:t>
      </w:r>
      <w:r w:rsidR="0053297D">
        <w:t>,</w:t>
      </w:r>
      <w:r w:rsidRPr="00A03B40">
        <w:t xml:space="preserve"> paid for Pre-2019 Banked RECs at the time they were generated and banked</w:t>
      </w:r>
      <w:r w:rsidR="0053297D">
        <w:t>)</w:t>
      </w:r>
      <w:r w:rsidRPr="00A03B40">
        <w:t xml:space="preserve"> </w:t>
      </w:r>
      <w:r>
        <w:t>would</w:t>
      </w:r>
      <w:r w:rsidRPr="00A03B40">
        <w:t xml:space="preserve"> not receive credit for the full market value of the RPS resource </w:t>
      </w:r>
      <w:r w:rsidR="00FF2E28">
        <w:t xml:space="preserve">to which </w:t>
      </w:r>
      <w:r w:rsidR="0053297D">
        <w:t>they contributed when</w:t>
      </w:r>
      <w:r w:rsidRPr="00A03B40">
        <w:t xml:space="preserve"> it is used for bundled customer compliance after the</w:t>
      </w:r>
      <w:r w:rsidR="00563A67">
        <w:t xml:space="preserve"> DL customer’s</w:t>
      </w:r>
      <w:r w:rsidRPr="00A03B40">
        <w:t xml:space="preserve"> date of departure from bundled service.</w:t>
      </w:r>
      <w:r w:rsidRPr="00A03B40">
        <w:rPr>
          <w:rStyle w:val="FootnoteReference"/>
        </w:rPr>
        <w:footnoteReference w:id="378"/>
      </w:r>
      <w:r w:rsidRPr="00A03B40">
        <w:t xml:space="preserve"> This, </w:t>
      </w:r>
      <w:proofErr w:type="spellStart"/>
      <w:r w:rsidRPr="00A03B40">
        <w:t>CalCCA</w:t>
      </w:r>
      <w:proofErr w:type="spellEnd"/>
      <w:r w:rsidRPr="00A03B40">
        <w:t xml:space="preserve"> argues, is a cost shift that means DL is no longer “indifferent,” which runs contrary to Pu</w:t>
      </w:r>
      <w:r w:rsidR="00563A67">
        <w:t>b.</w:t>
      </w:r>
      <w:r w:rsidRPr="00A03B40">
        <w:t xml:space="preserve"> Util</w:t>
      </w:r>
      <w:r w:rsidR="00563A67">
        <w:t>.</w:t>
      </w:r>
      <w:r w:rsidRPr="00A03B40">
        <w:t xml:space="preserve"> Code section 366.2(g).</w:t>
      </w:r>
      <w:r w:rsidRPr="00A03B40">
        <w:rPr>
          <w:rStyle w:val="FootnoteReference"/>
        </w:rPr>
        <w:footnoteReference w:id="379"/>
      </w:r>
      <w:r w:rsidR="009A33AF">
        <w:t xml:space="preserve"> </w:t>
      </w:r>
      <w:proofErr w:type="spellStart"/>
      <w:r w:rsidR="009A33AF">
        <w:t>CalCCA</w:t>
      </w:r>
      <w:proofErr w:type="spellEnd"/>
      <w:r w:rsidR="009A33AF">
        <w:t xml:space="preserve"> states that bundled service customers would not be “paying twice” and would be indifferent under its proposal because they would only be paying DL customers an additional amount that is proportional to the portion of the REC for which DL customers originally paid as bundled customers.</w:t>
      </w:r>
      <w:r w:rsidRPr="00A03B40" w:rsidR="009A33AF">
        <w:rPr>
          <w:rStyle w:val="FootnoteReference"/>
        </w:rPr>
        <w:footnoteReference w:id="380"/>
      </w:r>
      <w:r w:rsidRPr="00A03B40" w:rsidR="009A33AF">
        <w:t xml:space="preserve"> </w:t>
      </w:r>
    </w:p>
    <w:p w:rsidRPr="00A03B40" w:rsidR="000B38BC" w:rsidP="009A33AF" w:rsidRDefault="00B04C46" w14:paraId="043282CF" w14:textId="36E33B77">
      <w:pPr>
        <w:pStyle w:val="Standard"/>
      </w:pPr>
      <w:r w:rsidRPr="00A03B40">
        <w:t xml:space="preserve">In support of </w:t>
      </w:r>
      <w:r w:rsidR="00FF2E28">
        <w:t>its</w:t>
      </w:r>
      <w:r w:rsidRPr="00A03B40">
        <w:t xml:space="preserve"> </w:t>
      </w:r>
      <w:r w:rsidR="00FF2E28">
        <w:t>position</w:t>
      </w:r>
      <w:r w:rsidRPr="00A03B40">
        <w:t xml:space="preserve">, </w:t>
      </w:r>
      <w:proofErr w:type="spellStart"/>
      <w:r w:rsidRPr="00A03B40" w:rsidR="00E754E9">
        <w:t>CalCCA</w:t>
      </w:r>
      <w:proofErr w:type="spellEnd"/>
      <w:r w:rsidRPr="00A03B40" w:rsidR="00E754E9">
        <w:t xml:space="preserve"> </w:t>
      </w:r>
      <w:r w:rsidRPr="00A03B40" w:rsidR="00D36FC9">
        <w:t xml:space="preserve">cites </w:t>
      </w:r>
      <w:r w:rsidRPr="00A03B40" w:rsidR="00CB5F67">
        <w:t>D.19-10-001</w:t>
      </w:r>
      <w:r w:rsidRPr="00A03B40" w:rsidR="00A039E4">
        <w:t>’s</w:t>
      </w:r>
      <w:r w:rsidRPr="00A03B40" w:rsidR="00CB5F67">
        <w:t xml:space="preserve"> </w:t>
      </w:r>
      <w:r w:rsidRPr="00A03B40" w:rsidR="00DD74C5">
        <w:t>OP 2</w:t>
      </w:r>
      <w:r w:rsidRPr="00A03B40" w:rsidR="00120974">
        <w:t xml:space="preserve"> </w:t>
      </w:r>
      <w:r w:rsidRPr="00A03B40" w:rsidR="00DD74C5">
        <w:t>and</w:t>
      </w:r>
      <w:r w:rsidRPr="00A03B40" w:rsidR="005E03E5">
        <w:t xml:space="preserve"> </w:t>
      </w:r>
      <w:r w:rsidRPr="00A03B40" w:rsidR="00120974">
        <w:t>Appendix B, which</w:t>
      </w:r>
      <w:r w:rsidRPr="00A03B40" w:rsidR="00D36FC9">
        <w:t xml:space="preserve"> summarize the valuation methodology adopted by the decision</w:t>
      </w:r>
      <w:r w:rsidRPr="00A03B40" w:rsidR="00CB5F67">
        <w:t>.</w:t>
      </w:r>
      <w:r w:rsidRPr="00A03B40" w:rsidR="00120974">
        <w:rPr>
          <w:rStyle w:val="FootnoteReference"/>
        </w:rPr>
        <w:footnoteReference w:id="381"/>
      </w:r>
      <w:r w:rsidRPr="00A03B40" w:rsidR="00120974">
        <w:t xml:space="preserve"> </w:t>
      </w:r>
      <w:r w:rsidRPr="00A03B40" w:rsidR="00CB5F67">
        <w:t xml:space="preserve">Based on the lack of demarcation between RECs in those </w:t>
      </w:r>
      <w:r w:rsidRPr="00A03B40" w:rsidR="00D32D19">
        <w:t>portions</w:t>
      </w:r>
      <w:r w:rsidRPr="00A03B40" w:rsidR="00CB5F67">
        <w:t xml:space="preserve"> of D.19-10-001, </w:t>
      </w:r>
      <w:proofErr w:type="spellStart"/>
      <w:r w:rsidRPr="00A03B40" w:rsidR="00CB5F67">
        <w:t>CalCCA</w:t>
      </w:r>
      <w:proofErr w:type="spellEnd"/>
      <w:r w:rsidRPr="00A03B40" w:rsidR="00CB5F67">
        <w:t xml:space="preserve"> </w:t>
      </w:r>
      <w:r w:rsidRPr="00A03B40" w:rsidR="00E754E9">
        <w:t>argues</w:t>
      </w:r>
      <w:r w:rsidRPr="00A03B40" w:rsidR="00BE020D">
        <w:t xml:space="preserve"> </w:t>
      </w:r>
      <w:r w:rsidRPr="00A03B40" w:rsidR="00C924B6">
        <w:t xml:space="preserve">in testimony </w:t>
      </w:r>
      <w:r w:rsidRPr="00A03B40" w:rsidR="00BE020D">
        <w:t>that</w:t>
      </w:r>
      <w:r w:rsidRPr="00A03B40" w:rsidR="003A2026">
        <w:t xml:space="preserve"> “D.19-10-001 does not draw any distinction between the treatment of Pre-2019 Banked RECs and Post-2018 Banked RECs (</w:t>
      </w:r>
      <w:r w:rsidRPr="00A03B40" w:rsidR="003A2026">
        <w:rPr>
          <w:i/>
          <w:iCs/>
        </w:rPr>
        <w:t>i.e.</w:t>
      </w:r>
      <w:r w:rsidRPr="00A03B40" w:rsidR="003A2026">
        <w:t xml:space="preserve">, Unsold RPS) when those RECs are eventually applied towards bundled </w:t>
      </w:r>
      <w:r w:rsidRPr="00A03B40" w:rsidR="003A2026">
        <w:lastRenderedPageBreak/>
        <w:t>customer compliance.”</w:t>
      </w:r>
      <w:r w:rsidRPr="00A03B40" w:rsidR="003A2026">
        <w:rPr>
          <w:rStyle w:val="FootnoteReference"/>
        </w:rPr>
        <w:footnoteReference w:id="382"/>
      </w:r>
      <w:r w:rsidRPr="00A03B40" w:rsidR="00625759">
        <w:t xml:space="preserve"> </w:t>
      </w:r>
      <w:r w:rsidR="000B38BC">
        <w:t xml:space="preserve">While acknowledging that the Commission has previously adopted SCE’s </w:t>
      </w:r>
      <w:r w:rsidR="00FF2E28">
        <w:t xml:space="preserve">$0 valuation </w:t>
      </w:r>
      <w:r w:rsidR="000B38BC">
        <w:t>method,</w:t>
      </w:r>
      <w:r w:rsidRPr="00A03B40" w:rsidR="00653740">
        <w:rPr>
          <w:rStyle w:val="FootnoteReference"/>
        </w:rPr>
        <w:footnoteReference w:id="383"/>
      </w:r>
      <w:r w:rsidRPr="00653740" w:rsidR="00653740">
        <w:rPr>
          <w:vertAlign w:val="superscript"/>
        </w:rPr>
        <w:t xml:space="preserve">, </w:t>
      </w:r>
      <w:r w:rsidRPr="00A03B40" w:rsidR="00653740">
        <w:rPr>
          <w:rStyle w:val="FootnoteReference"/>
        </w:rPr>
        <w:footnoteReference w:id="384"/>
      </w:r>
      <w:r w:rsidRPr="00A03B40" w:rsidR="00653740">
        <w:t xml:space="preserve"> </w:t>
      </w:r>
      <w:proofErr w:type="spellStart"/>
      <w:r w:rsidRPr="00A03B40" w:rsidR="000B38BC">
        <w:t>CalCCA</w:t>
      </w:r>
      <w:proofErr w:type="spellEnd"/>
      <w:r w:rsidRPr="00A03B40" w:rsidR="000B38BC">
        <w:t xml:space="preserve"> argues that SCE’s 2024 and 2025 ERRA forecast decisions did not resolve the issue because they adopted the proposal on an interim basis.</w:t>
      </w:r>
      <w:r w:rsidRPr="00A03B40" w:rsidR="000B38BC">
        <w:rPr>
          <w:rStyle w:val="FootnoteReference"/>
        </w:rPr>
        <w:footnoteReference w:id="385"/>
      </w:r>
    </w:p>
    <w:p w:rsidR="00FF2E28" w:rsidP="004A03A3" w:rsidRDefault="00C924B6" w14:paraId="4935BCAD" w14:textId="3F800C41">
      <w:pPr>
        <w:pStyle w:val="Standard"/>
      </w:pPr>
      <w:r w:rsidRPr="00A03B40">
        <w:t xml:space="preserve">Regarding the Finding of Fact noted above, </w:t>
      </w:r>
      <w:proofErr w:type="spellStart"/>
      <w:r w:rsidRPr="00A03B40">
        <w:t>CalCCA</w:t>
      </w:r>
      <w:proofErr w:type="spellEnd"/>
      <w:r w:rsidRPr="00A03B40">
        <w:t xml:space="preserve"> argues in briefs that </w:t>
      </w:r>
      <w:r w:rsidRPr="00A03B40" w:rsidR="006D03F8">
        <w:t xml:space="preserve">the </w:t>
      </w:r>
      <w:r w:rsidR="009336D1">
        <w:t>January 1, 2019 effective-date</w:t>
      </w:r>
      <w:r w:rsidRPr="00A03B40" w:rsidR="006D03F8">
        <w:t xml:space="preserve"> </w:t>
      </w:r>
      <w:r w:rsidR="00563A67">
        <w:t>i</w:t>
      </w:r>
      <w:r w:rsidRPr="00A03B40" w:rsidR="006D03F8">
        <w:t>s applicable only to the portion of D.19-10-001 that modified the treatment of Unsold RECs and that “what the Commission now labels as ‘Retained RPS’ has been treated the same since the Commission created a new MPB to reflect the RPS value of certain RPS-eligible resources in 2011.”</w:t>
      </w:r>
      <w:r w:rsidRPr="00A03B40" w:rsidR="006D03F8">
        <w:rPr>
          <w:rStyle w:val="FootnoteReference"/>
        </w:rPr>
        <w:footnoteReference w:id="386"/>
      </w:r>
      <w:r w:rsidRPr="00A03B40" w:rsidR="006D03F8">
        <w:t xml:space="preserve"> </w:t>
      </w:r>
      <w:r w:rsidRPr="00A03B40">
        <w:t xml:space="preserve">D.19-10-001 </w:t>
      </w:r>
      <w:r w:rsidRPr="00A03B40" w:rsidR="00547F01">
        <w:t xml:space="preserve">created the category of Unsold RECs, </w:t>
      </w:r>
      <w:proofErr w:type="spellStart"/>
      <w:r w:rsidRPr="00A03B40" w:rsidR="00547F01">
        <w:t>CalCCA</w:t>
      </w:r>
      <w:proofErr w:type="spellEnd"/>
      <w:r w:rsidRPr="00A03B40" w:rsidR="00547F01">
        <w:t xml:space="preserve"> argues, and applies a $0 valuation to those </w:t>
      </w:r>
      <w:r w:rsidRPr="00A03B40" w:rsidR="009B3429">
        <w:t>RECs</w:t>
      </w:r>
      <w:r w:rsidR="00072552">
        <w:t>,</w:t>
      </w:r>
      <w:r w:rsidRPr="00A03B40" w:rsidR="009B3429">
        <w:t xml:space="preserve"> </w:t>
      </w:r>
      <w:r w:rsidRPr="00A03B40" w:rsidR="00547F01">
        <w:t xml:space="preserve">but </w:t>
      </w:r>
      <w:r w:rsidRPr="00A03B40">
        <w:t>did not change the way</w:t>
      </w:r>
      <w:r w:rsidRPr="00A03B40" w:rsidR="00547F01">
        <w:t xml:space="preserve"> that Retained RECs are valued, at the RPS Adder</w:t>
      </w:r>
      <w:r w:rsidRPr="00A03B40">
        <w:t>.</w:t>
      </w:r>
      <w:r w:rsidRPr="00A03B40" w:rsidR="00547F01">
        <w:rPr>
          <w:rStyle w:val="FootnoteReference"/>
        </w:rPr>
        <w:footnoteReference w:id="387"/>
      </w:r>
      <w:r w:rsidR="00653740">
        <w:t xml:space="preserve"> Thus, the effective date does not apply.</w:t>
      </w:r>
    </w:p>
    <w:p w:rsidRPr="00A03B40" w:rsidR="007B59F6" w:rsidP="008C03D5" w:rsidRDefault="000B38BC" w14:paraId="6897E11A" w14:textId="5ADD7DDB">
      <w:pPr>
        <w:pStyle w:val="Standard"/>
      </w:pPr>
      <w:r>
        <w:t xml:space="preserve">SCE disagrees, arguing that prior to D.19-10-001, all excess RECs were valued at the then-current RPS Adder in the year they were generated and banked, and it was not until D.19-10-001 that the Commission created the category of </w:t>
      </w:r>
      <w:r w:rsidR="00653740">
        <w:t>“</w:t>
      </w:r>
      <w:r>
        <w:t>Retained RECs,</w:t>
      </w:r>
      <w:r w:rsidR="00653740">
        <w:t>”</w:t>
      </w:r>
      <w:r>
        <w:t xml:space="preserve"> which are valued at the RPS Adder and credited to the PCIA in the year of use, rather than in the generation year. T</w:t>
      </w:r>
      <w:r w:rsidR="00653740">
        <w:t xml:space="preserve">he change in the </w:t>
      </w:r>
      <w:r w:rsidR="00653740">
        <w:lastRenderedPageBreak/>
        <w:t xml:space="preserve">timing of the credit to DL customers, SCE states, </w:t>
      </w:r>
      <w:r>
        <w:t xml:space="preserve">is a new method adopted </w:t>
      </w:r>
      <w:proofErr w:type="gramStart"/>
      <w:r>
        <w:t>in</w:t>
      </w:r>
      <w:proofErr w:type="gramEnd"/>
      <w:r>
        <w:t xml:space="preserve"> D.19-10-001 and so is subject to the January 1, </w:t>
      </w:r>
      <w:proofErr w:type="gramStart"/>
      <w:r>
        <w:t>2019</w:t>
      </w:r>
      <w:proofErr w:type="gramEnd"/>
      <w:r>
        <w:t xml:space="preserve"> </w:t>
      </w:r>
      <w:r w:rsidR="00653740">
        <w:t>effective date</w:t>
      </w:r>
      <w:r>
        <w:t>.</w:t>
      </w:r>
      <w:r w:rsidR="004A03A3">
        <w:rPr>
          <w:rStyle w:val="FootnoteReference"/>
        </w:rPr>
        <w:footnoteReference w:id="388"/>
      </w:r>
      <w:r>
        <w:t xml:space="preserve"> </w:t>
      </w:r>
    </w:p>
    <w:p w:rsidRPr="00A03B40" w:rsidR="00CC6D57" w:rsidP="007B59F6" w:rsidRDefault="00CC6D57" w14:paraId="12438CE3" w14:textId="40B4E441">
      <w:pPr>
        <w:pStyle w:val="Standard"/>
      </w:pPr>
      <w:r w:rsidRPr="00A03B40">
        <w:t>SCE states that</w:t>
      </w:r>
      <w:r w:rsidRPr="00A03B40" w:rsidR="00EB1C9D">
        <w:t xml:space="preserve"> </w:t>
      </w:r>
      <w:r w:rsidRPr="00A03B40">
        <w:t xml:space="preserve">it would be procedurally inappropriate to </w:t>
      </w:r>
      <w:r w:rsidRPr="00A03B40" w:rsidR="00D86FF5">
        <w:t>adopt</w:t>
      </w:r>
      <w:r w:rsidRPr="00A03B40">
        <w:t xml:space="preserve"> what it characterizes as a “new policy” </w:t>
      </w:r>
      <w:r w:rsidRPr="00A03B40" w:rsidR="00D86FF5">
        <w:t>(</w:t>
      </w:r>
      <w:proofErr w:type="spellStart"/>
      <w:r w:rsidRPr="00A03B40" w:rsidR="00D86FF5">
        <w:t>CalCCA’s</w:t>
      </w:r>
      <w:proofErr w:type="spellEnd"/>
      <w:r w:rsidRPr="00A03B40" w:rsidR="00D86FF5">
        <w:t xml:space="preserve"> proposal) </w:t>
      </w:r>
      <w:r w:rsidRPr="00A03B40">
        <w:t xml:space="preserve">in an ERRA forecast proceeding applicable to only one IOU, a contention with which SCE states </w:t>
      </w:r>
      <w:proofErr w:type="spellStart"/>
      <w:r w:rsidRPr="00A03B40">
        <w:t>CalCCA</w:t>
      </w:r>
      <w:proofErr w:type="spellEnd"/>
      <w:r w:rsidRPr="00A03B40">
        <w:t xml:space="preserve"> generally agrees, at times.</w:t>
      </w:r>
      <w:r w:rsidRPr="00A03B40">
        <w:rPr>
          <w:rStyle w:val="FootnoteReference"/>
        </w:rPr>
        <w:footnoteReference w:id="389"/>
      </w:r>
      <w:r w:rsidRPr="00A03B40">
        <w:t xml:space="preserve"> </w:t>
      </w:r>
      <w:r w:rsidRPr="00A03B40" w:rsidR="00EB1C9D">
        <w:t>SCE notes</w:t>
      </w:r>
      <w:r w:rsidRPr="00A03B40" w:rsidR="001C0548">
        <w:t xml:space="preserve"> </w:t>
      </w:r>
      <w:r w:rsidRPr="00A03B40" w:rsidR="00026321">
        <w:t xml:space="preserve">that the former PCIA methodology did not true up market values, so when the forecasted market values </w:t>
      </w:r>
      <w:r w:rsidRPr="00A03B40" w:rsidR="00EB1C9D">
        <w:t>were higher than actual values, DL customer retained those higher values at the expense of bundled service customers.</w:t>
      </w:r>
      <w:r w:rsidR="00C61DF3">
        <w:t xml:space="preserve"> This is an example, </w:t>
      </w:r>
      <w:r w:rsidRPr="00A03B40">
        <w:t>SCE states</w:t>
      </w:r>
      <w:r w:rsidR="00C61DF3">
        <w:t>, of how</w:t>
      </w:r>
      <w:r w:rsidRPr="00A03B40">
        <w:t xml:space="preserve"> “[t]he former PCIA methodology contained its own balance of customer interests” and that the methodology </w:t>
      </w:r>
      <w:r w:rsidRPr="00A03B40" w:rsidR="005E03E5">
        <w:t>“</w:t>
      </w:r>
      <w:r w:rsidRPr="00A03B40">
        <w:t xml:space="preserve">should not be revisited </w:t>
      </w:r>
      <w:r w:rsidRPr="00A03B40" w:rsidR="005E03E5">
        <w:t>now,</w:t>
      </w:r>
      <w:r w:rsidRPr="00A03B40" w:rsidR="0085775E">
        <w:t xml:space="preserve"> and certainly not </w:t>
      </w:r>
      <w:r w:rsidRPr="00A03B40">
        <w:t>in a piecemeal fashion t</w:t>
      </w:r>
      <w:r w:rsidRPr="00A03B40" w:rsidR="006C77D7">
        <w:t>o</w:t>
      </w:r>
      <w:r w:rsidRPr="00A03B40">
        <w:t xml:space="preserve"> favor one group of customers over another.</w:t>
      </w:r>
      <w:r w:rsidRPr="00A03B40" w:rsidR="005E03E5">
        <w:t>”</w:t>
      </w:r>
      <w:r w:rsidRPr="00A03B40">
        <w:rPr>
          <w:rStyle w:val="FootnoteReference"/>
        </w:rPr>
        <w:footnoteReference w:id="390"/>
      </w:r>
      <w:r w:rsidRPr="00A03B40" w:rsidR="00BC5BD0">
        <w:t xml:space="preserve"> </w:t>
      </w:r>
    </w:p>
    <w:p w:rsidRPr="00A03B40" w:rsidR="005549C2" w:rsidP="00C44216" w:rsidRDefault="005549C2" w14:paraId="631E3A16" w14:textId="5843EDDE">
      <w:pPr>
        <w:pStyle w:val="Heading5"/>
        <w:numPr>
          <w:ilvl w:val="4"/>
          <w:numId w:val="12"/>
        </w:numPr>
      </w:pPr>
      <w:r w:rsidRPr="00A03B40">
        <w:t>Discussion</w:t>
      </w:r>
    </w:p>
    <w:p w:rsidRPr="00A03B40" w:rsidR="005549C2" w:rsidP="007D1061" w:rsidRDefault="004C5EDE" w14:paraId="47D29AF2" w14:textId="07F8414F">
      <w:pPr>
        <w:pStyle w:val="Standard"/>
      </w:pPr>
      <w:r w:rsidRPr="00A03B40">
        <w:t xml:space="preserve">Under </w:t>
      </w:r>
      <w:r w:rsidR="004C6EB6">
        <w:t>the Commission’s</w:t>
      </w:r>
      <w:r w:rsidRPr="00A03B40">
        <w:t xml:space="preserve"> preponderance of the evidence standard, </w:t>
      </w:r>
      <w:r w:rsidRPr="00A03B40" w:rsidR="005549C2">
        <w:t>SCE’s proposal to value Pre-2019 Banked RECs used for bundled customer compliance in 2025 and</w:t>
      </w:r>
      <w:r w:rsidRPr="00A03B40" w:rsidR="0085775E">
        <w:t xml:space="preserve"> forecast to be used as such in </w:t>
      </w:r>
      <w:r w:rsidRPr="00A03B40" w:rsidR="005549C2">
        <w:t xml:space="preserve">2026 at $0 continues to be a reasonable </w:t>
      </w:r>
      <w:r w:rsidRPr="00A03B40">
        <w:t>methodology</w:t>
      </w:r>
      <w:r w:rsidRPr="00A03B40" w:rsidR="00E26916">
        <w:t xml:space="preserve"> unless and until the Commission addresses the issue on an industry-wide basis</w:t>
      </w:r>
      <w:r w:rsidRPr="00A03B40" w:rsidR="005549C2">
        <w:t>.</w:t>
      </w:r>
      <w:r w:rsidRPr="00A03B40">
        <w:t xml:space="preserve"> As noted by SCE, we </w:t>
      </w:r>
      <w:r w:rsidR="004C6EB6">
        <w:t xml:space="preserve">have previously </w:t>
      </w:r>
      <w:r w:rsidR="008C03D5">
        <w:t>found</w:t>
      </w:r>
      <w:r w:rsidR="004C6EB6">
        <w:t xml:space="preserve"> </w:t>
      </w:r>
      <w:r w:rsidRPr="00A03B40">
        <w:t xml:space="preserve">that “[w]e agree with SCE that the Commission has not, to this date, found that SCE’s bundled service customers </w:t>
      </w:r>
      <w:bookmarkStart w:name="_Hlk211327359" w:id="197"/>
      <w:r w:rsidRPr="00A03B40">
        <w:t xml:space="preserve">owe additional credits to </w:t>
      </w:r>
      <w:r w:rsidRPr="00A03B40" w:rsidR="00163847">
        <w:t>[</w:t>
      </w:r>
      <w:r w:rsidRPr="00A03B40">
        <w:t>DL</w:t>
      </w:r>
      <w:r w:rsidRPr="00A03B40" w:rsidR="00163847">
        <w:t>]</w:t>
      </w:r>
      <w:r w:rsidRPr="00A03B40">
        <w:t xml:space="preserve"> customers when SCE </w:t>
      </w:r>
      <w:r w:rsidRPr="00A03B40">
        <w:lastRenderedPageBreak/>
        <w:t>uses RECs banked in or before 2018</w:t>
      </w:r>
      <w:bookmarkEnd w:id="197"/>
      <w:r w:rsidRPr="00A03B40">
        <w:t>.”</w:t>
      </w:r>
      <w:r w:rsidRPr="00A03B40">
        <w:rPr>
          <w:rStyle w:val="FootnoteReference"/>
        </w:rPr>
        <w:footnoteReference w:id="391"/>
      </w:r>
      <w:r w:rsidRPr="00A03B40">
        <w:t xml:space="preserve"> </w:t>
      </w:r>
      <w:r w:rsidR="008C03D5">
        <w:t>T</w:t>
      </w:r>
      <w:r w:rsidRPr="00A03B40">
        <w:t xml:space="preserve">he Commission </w:t>
      </w:r>
      <w:r w:rsidR="008C03D5">
        <w:t xml:space="preserve">has not </w:t>
      </w:r>
      <w:r w:rsidRPr="00A03B40">
        <w:t xml:space="preserve">provided </w:t>
      </w:r>
      <w:r w:rsidR="008C03D5">
        <w:t xml:space="preserve">further </w:t>
      </w:r>
      <w:r w:rsidRPr="00A03B40">
        <w:t xml:space="preserve">guidance as to </w:t>
      </w:r>
      <w:r w:rsidRPr="00A03B40" w:rsidR="00026321">
        <w:t>a</w:t>
      </w:r>
      <w:r w:rsidRPr="00A03B40">
        <w:t xml:space="preserve"> reading of D.19-10-001 that would suggest this obligation stems from </w:t>
      </w:r>
      <w:r w:rsidRPr="00A03B40" w:rsidR="00163847">
        <w:t>that decision,</w:t>
      </w:r>
      <w:r w:rsidRPr="00A03B40" w:rsidR="006C77D7">
        <w:t xml:space="preserve"> notwithstanding the Finding of Fact noted above</w:t>
      </w:r>
      <w:r w:rsidRPr="00A03B40">
        <w:t>.</w:t>
      </w:r>
      <w:r w:rsidRPr="00A03B40" w:rsidR="00C62A98">
        <w:t xml:space="preserve"> </w:t>
      </w:r>
      <w:r w:rsidR="008C03D5">
        <w:t xml:space="preserve">Therefore, we find that </w:t>
      </w:r>
      <w:r w:rsidR="004C6EB6">
        <w:t>SCE’s proposal is, more likely than not, a reasonable interpretation of existing Commission guidance.</w:t>
      </w:r>
    </w:p>
    <w:p w:rsidR="00ED2BA4" w:rsidP="002E74CF" w:rsidRDefault="004C5EDE" w14:paraId="76D05FD0" w14:textId="34A42EAD">
      <w:pPr>
        <w:pStyle w:val="Standard"/>
      </w:pPr>
      <w:r w:rsidRPr="00A03B40">
        <w:t>Given</w:t>
      </w:r>
      <w:r w:rsidRPr="00A03B40" w:rsidR="00163847">
        <w:t xml:space="preserve"> the </w:t>
      </w:r>
      <w:r w:rsidRPr="00A03B40">
        <w:t xml:space="preserve">outstanding </w:t>
      </w:r>
      <w:proofErr w:type="gramStart"/>
      <w:r w:rsidRPr="00A03B40" w:rsidR="00D86FF5">
        <w:t>questions of fact</w:t>
      </w:r>
      <w:proofErr w:type="gramEnd"/>
      <w:r w:rsidRPr="00A03B40" w:rsidR="00D86FF5">
        <w:t xml:space="preserve"> </w:t>
      </w:r>
      <w:r w:rsidRPr="00A03B40" w:rsidR="00107BA0">
        <w:t xml:space="preserve">and policy </w:t>
      </w:r>
      <w:r w:rsidRPr="00A03B40">
        <w:t xml:space="preserve">related to the </w:t>
      </w:r>
      <w:r w:rsidR="00FF2E28">
        <w:t xml:space="preserve">mechanics and </w:t>
      </w:r>
      <w:r w:rsidRPr="00A03B40">
        <w:t xml:space="preserve">equity of </w:t>
      </w:r>
      <w:proofErr w:type="spellStart"/>
      <w:r w:rsidRPr="00A03B40">
        <w:t>CalCCA’s</w:t>
      </w:r>
      <w:proofErr w:type="spellEnd"/>
      <w:r w:rsidRPr="00A03B40">
        <w:t xml:space="preserve"> proposal</w:t>
      </w:r>
      <w:r w:rsidRPr="00A03B40" w:rsidR="002B2603">
        <w:t xml:space="preserve"> and the different ways these questions might be responded to on an industry-wide basis</w:t>
      </w:r>
      <w:r w:rsidRPr="00A03B40">
        <w:t xml:space="preserve">, </w:t>
      </w:r>
      <w:r w:rsidRPr="00A03B40" w:rsidR="0085775E">
        <w:t>it is reasonable for SCE to continue to use the procedure the Commission has previously found reasonable</w:t>
      </w:r>
      <w:r w:rsidR="00D72DA4">
        <w:t xml:space="preserve"> in SCE’s prior two ERRA forecast proceedings</w:t>
      </w:r>
      <w:r w:rsidRPr="00A03B40" w:rsidR="0085775E">
        <w:t xml:space="preserve">. </w:t>
      </w:r>
    </w:p>
    <w:p w:rsidR="00500BF9" w:rsidP="00ED2BA4" w:rsidRDefault="00ED2BA4" w14:paraId="1AA1BB61" w14:textId="550AD372">
      <w:pPr>
        <w:pStyle w:val="Standard"/>
      </w:pPr>
      <w:r>
        <w:t>T</w:t>
      </w:r>
      <w:r w:rsidR="00C61DF3">
        <w:t xml:space="preserve">he </w:t>
      </w:r>
      <w:r w:rsidRPr="00A03B40" w:rsidR="004C5EDE">
        <w:t xml:space="preserve">proposal to </w:t>
      </w:r>
      <w:r>
        <w:t>address conflicting understandings regarding the</w:t>
      </w:r>
      <w:r w:rsidRPr="00A03B40" w:rsidR="002B2603">
        <w:t xml:space="preserve"> valuation of Pre-2019 Banked RECs </w:t>
      </w:r>
      <w:r w:rsidRPr="00A03B40" w:rsidR="004C5EDE">
        <w:t>is appropriate for consideration in a rulemaking.</w:t>
      </w:r>
      <w:r w:rsidR="002E74CF">
        <w:t xml:space="preserve"> </w:t>
      </w:r>
      <w:r w:rsidRPr="00ED2BA4">
        <w:t xml:space="preserve">SCE is directed to file a Tier </w:t>
      </w:r>
      <w:r w:rsidR="008C03D5">
        <w:t>2</w:t>
      </w:r>
      <w:r w:rsidRPr="00ED2BA4">
        <w:t xml:space="preserve"> advice letter </w:t>
      </w:r>
      <w:r w:rsidR="00500BF9">
        <w:t xml:space="preserve">by February 1, </w:t>
      </w:r>
      <w:proofErr w:type="gramStart"/>
      <w:r w:rsidR="00500BF9">
        <w:t>2026</w:t>
      </w:r>
      <w:proofErr w:type="gramEnd"/>
      <w:r w:rsidR="00500BF9">
        <w:t xml:space="preserve"> to propose how it will </w:t>
      </w:r>
      <w:r w:rsidRPr="00ED2BA4">
        <w:t xml:space="preserve">track </w:t>
      </w:r>
      <w:r w:rsidRPr="008C03D5" w:rsidR="008C03D5">
        <w:t>the quantity of Pre-2019 Banked RECs</w:t>
      </w:r>
      <w:r w:rsidR="008C03D5">
        <w:t xml:space="preserve"> used to meet 2026 compliance obligations and the years in which each </w:t>
      </w:r>
      <w:r w:rsidR="00500BF9">
        <w:t xml:space="preserve">of those </w:t>
      </w:r>
      <w:r w:rsidR="008C03D5">
        <w:t>REC</w:t>
      </w:r>
      <w:r w:rsidR="00500BF9">
        <w:t>s</w:t>
      </w:r>
      <w:r w:rsidR="008C03D5">
        <w:t xml:space="preserve"> was generated. </w:t>
      </w:r>
      <w:r w:rsidRPr="00500BF9" w:rsidR="00500BF9">
        <w:t xml:space="preserve">The advice letter shall explain how </w:t>
      </w:r>
      <w:r w:rsidR="00500BF9">
        <w:t>SCE</w:t>
      </w:r>
      <w:r w:rsidRPr="00500BF9" w:rsidR="00500BF9">
        <w:t xml:space="preserve"> intends to track the quantity and generation year of all Pre-2019 </w:t>
      </w:r>
      <w:r w:rsidR="00500BF9">
        <w:t>B</w:t>
      </w:r>
      <w:r w:rsidRPr="00500BF9" w:rsidR="00500BF9">
        <w:t xml:space="preserve">anked RECs it will use to meet 2026 compliance requirements through September 30, 2026.  The advice letter shall also explain how </w:t>
      </w:r>
      <w:r w:rsidR="00500BF9">
        <w:t>SCE</w:t>
      </w:r>
      <w:r w:rsidRPr="00500BF9" w:rsidR="00500BF9">
        <w:t xml:space="preserve"> intends to forecast how many and which RECs </w:t>
      </w:r>
      <w:r w:rsidR="00500BF9">
        <w:t>SCE</w:t>
      </w:r>
      <w:r w:rsidRPr="00500BF9" w:rsidR="00500BF9">
        <w:t xml:space="preserve"> intends to use for bundled customer compliance from October 1, 2026, through December 31, 2026.  </w:t>
      </w:r>
    </w:p>
    <w:p w:rsidRPr="00A03B40" w:rsidR="00DB7F82" w:rsidP="00ED2BA4" w:rsidRDefault="00ED2BA4" w14:paraId="6B75CBE5" w14:textId="07DD256A">
      <w:pPr>
        <w:pStyle w:val="Standard"/>
      </w:pPr>
      <w:bookmarkStart w:name="_Hlk214284969" w:id="198"/>
      <w:r w:rsidRPr="008C03D5">
        <w:t>Th</w:t>
      </w:r>
      <w:r w:rsidR="008C03D5">
        <w:t xml:space="preserve">is information will </w:t>
      </w:r>
      <w:r w:rsidRPr="00ED2BA4">
        <w:t>allow any updated guidance from the Commission regarding the treatment of Pre-2019 Banked RECs to apply to Pre-2019 Banked RECs used for bundled compliance in 2026.</w:t>
      </w:r>
      <w:bookmarkEnd w:id="198"/>
      <w:r w:rsidRPr="00ED2BA4">
        <w:t xml:space="preserve"> Should the Commission issue </w:t>
      </w:r>
      <w:r w:rsidRPr="00ED2BA4">
        <w:lastRenderedPageBreak/>
        <w:t xml:space="preserve">updated guidance on the appropriate valuation of Pre-2019 Banked RECs prior </w:t>
      </w:r>
      <w:r w:rsidRPr="00C4495A">
        <w:t>to September 1, 2026,</w:t>
      </w:r>
      <w:r w:rsidRPr="00ED2BA4">
        <w:t xml:space="preserve"> SCE will be required to incorporate that guidance into its 2026 October Update. SCE’s proposal to value any Pre-2019 Banked RECs used for bundled customer compliance in 2025 at $0 is a reasonable application of existing Commission guidance and will not be revisited.</w:t>
      </w:r>
    </w:p>
    <w:p w:rsidRPr="00A03B40" w:rsidR="005549C2" w:rsidP="00C44216" w:rsidRDefault="005549C2" w14:paraId="19EA64DA" w14:textId="0AB14784">
      <w:pPr>
        <w:pStyle w:val="Heading5"/>
        <w:numPr>
          <w:ilvl w:val="4"/>
          <w:numId w:val="12"/>
        </w:numPr>
      </w:pPr>
      <w:r w:rsidRPr="00A03B40">
        <w:t>First-in-First</w:t>
      </w:r>
      <w:r w:rsidRPr="00A03B40" w:rsidR="004E0553">
        <w:t>-</w:t>
      </w:r>
      <w:r w:rsidRPr="00A03B40">
        <w:t xml:space="preserve">Out </w:t>
      </w:r>
    </w:p>
    <w:p w:rsidRPr="00A03B40" w:rsidR="00D36FC9" w:rsidP="007A1F0C" w:rsidRDefault="005549C2" w14:paraId="2ABEE984" w14:textId="3FA2DEAE">
      <w:pPr>
        <w:pStyle w:val="Standard"/>
      </w:pPr>
      <w:r w:rsidRPr="00A03B40">
        <w:t xml:space="preserve">Relatedly, </w:t>
      </w:r>
      <w:proofErr w:type="spellStart"/>
      <w:r w:rsidRPr="00A03B40">
        <w:t>CalCCA</w:t>
      </w:r>
      <w:proofErr w:type="spellEnd"/>
      <w:r w:rsidRPr="00A03B40">
        <w:t xml:space="preserve"> also argues that “Pre-2019 Banked RECs should be utilized on a first-in-first-out basis so that credit </w:t>
      </w:r>
      <w:r w:rsidRPr="00A03B40" w:rsidR="00B061C4">
        <w:t xml:space="preserve">[resulting from </w:t>
      </w:r>
      <w:proofErr w:type="spellStart"/>
      <w:r w:rsidRPr="00A03B40" w:rsidR="00B061C4">
        <w:t>CalCCA’s</w:t>
      </w:r>
      <w:proofErr w:type="spellEnd"/>
      <w:r w:rsidRPr="00A03B40" w:rsidR="00B061C4">
        <w:t xml:space="preserve"> proposed REC valuation methodology, above] </w:t>
      </w:r>
      <w:r w:rsidRPr="00A03B40">
        <w:t>is provided to now-departed customers who paid for the banked RECs earliest.”</w:t>
      </w:r>
      <w:r w:rsidRPr="00A03B40">
        <w:rPr>
          <w:rStyle w:val="FootnoteReference"/>
        </w:rPr>
        <w:footnoteReference w:id="392"/>
      </w:r>
      <w:r w:rsidRPr="00A03B40">
        <w:t xml:space="preserve"> </w:t>
      </w:r>
      <w:bookmarkStart w:name="_Hlk211264167" w:id="199"/>
      <w:proofErr w:type="spellStart"/>
      <w:r w:rsidRPr="00A03B40" w:rsidR="0085775E">
        <w:t>CalCCA’s</w:t>
      </w:r>
      <w:proofErr w:type="spellEnd"/>
      <w:r w:rsidRPr="00A03B40" w:rsidR="0085775E">
        <w:t xml:space="preserve"> first-in-first-out proposal </w:t>
      </w:r>
      <w:r w:rsidRPr="00A03B40" w:rsidR="00561242">
        <w:t>is a component of its</w:t>
      </w:r>
      <w:r w:rsidRPr="00A03B40" w:rsidR="0085775E">
        <w:t xml:space="preserve"> proposed Pre-2019 Banked REC valuation methodology</w:t>
      </w:r>
      <w:r w:rsidRPr="00A03B40" w:rsidR="00561242">
        <w:t xml:space="preserve">, in which DL customers are provided a credit in the vintage year </w:t>
      </w:r>
      <w:r w:rsidRPr="00A03B40" w:rsidR="00163847">
        <w:t>a</w:t>
      </w:r>
      <w:r w:rsidRPr="00A03B40" w:rsidR="00561242">
        <w:t xml:space="preserve"> REC used for bundled customer compliance was generated</w:t>
      </w:r>
      <w:r w:rsidRPr="00A03B40" w:rsidR="0085775E">
        <w:t>. SCE’s methodology, on the other hand, provides all eligible DL customers a pro rata share of the value of RECs used for bundled customer compliance at the same time.</w:t>
      </w:r>
      <w:r w:rsidR="007A1F0C">
        <w:rPr>
          <w:rStyle w:val="FootnoteReference"/>
        </w:rPr>
        <w:footnoteReference w:id="393"/>
      </w:r>
      <w:r w:rsidRPr="00A03B40" w:rsidR="0085775E">
        <w:t xml:space="preserve"> SCE has confirmed that it intends to retire all Post-2018 </w:t>
      </w:r>
      <w:r w:rsidR="00C4495A">
        <w:t xml:space="preserve">Banked </w:t>
      </w:r>
      <w:r w:rsidRPr="00A03B40" w:rsidR="0085775E">
        <w:t>RECs before retiring Pre-2019 Banked RECs</w:t>
      </w:r>
      <w:r w:rsidRPr="00A03B40" w:rsidR="00163847">
        <w:t xml:space="preserve"> and we make this a requirement here</w:t>
      </w:r>
      <w:r w:rsidRPr="00A03B40" w:rsidR="0085775E">
        <w:t>.</w:t>
      </w:r>
      <w:r w:rsidRPr="00A03B40" w:rsidR="0085775E">
        <w:rPr>
          <w:rStyle w:val="FootnoteReference"/>
        </w:rPr>
        <w:footnoteReference w:id="394"/>
      </w:r>
      <w:r w:rsidRPr="00A03B40" w:rsidR="0085775E">
        <w:t xml:space="preserve"> </w:t>
      </w:r>
      <w:bookmarkEnd w:id="199"/>
      <w:r w:rsidR="007A1F0C">
        <w:t xml:space="preserve">Because we decline to adopt </w:t>
      </w:r>
      <w:proofErr w:type="spellStart"/>
      <w:r w:rsidR="007A1F0C">
        <w:t>CalCCA’s</w:t>
      </w:r>
      <w:proofErr w:type="spellEnd"/>
      <w:r w:rsidR="007A1F0C">
        <w:t xml:space="preserve"> proposed valuation methodology and because </w:t>
      </w:r>
      <w:proofErr w:type="spellStart"/>
      <w:r w:rsidRPr="00A03B40" w:rsidR="00163847">
        <w:t>CalCCA</w:t>
      </w:r>
      <w:proofErr w:type="spellEnd"/>
      <w:r w:rsidRPr="00A03B40" w:rsidR="00163847">
        <w:t xml:space="preserve"> has provided no other justification for its </w:t>
      </w:r>
      <w:r w:rsidR="007A1F0C">
        <w:t xml:space="preserve">first-in-first-out </w:t>
      </w:r>
      <w:r w:rsidRPr="00A03B40" w:rsidR="00163847">
        <w:t>proposal</w:t>
      </w:r>
      <w:r w:rsidR="007A1F0C">
        <w:t>, we decline to adopt it.</w:t>
      </w:r>
    </w:p>
    <w:p w:rsidRPr="00A03B40" w:rsidR="00B75406" w:rsidP="00A83415" w:rsidRDefault="0057608E" w14:paraId="5283FB9B" w14:textId="20EED142">
      <w:pPr>
        <w:pStyle w:val="Heading4"/>
      </w:pPr>
      <w:r w:rsidRPr="00A03B40">
        <w:lastRenderedPageBreak/>
        <w:t xml:space="preserve">Updated </w:t>
      </w:r>
      <w:r w:rsidRPr="00A03B40" w:rsidR="00B75406">
        <w:t xml:space="preserve">Total Portfolio </w:t>
      </w:r>
      <w:r w:rsidR="00201307">
        <w:br/>
      </w:r>
      <w:r w:rsidRPr="00A03B40" w:rsidR="00B75406">
        <w:t>Resource Adequacy Value</w:t>
      </w:r>
    </w:p>
    <w:p w:rsidRPr="00A03B40" w:rsidR="00996D6D" w:rsidP="009A4452" w:rsidRDefault="00C819A6" w14:paraId="3F7DD4CA" w14:textId="3AE53067">
      <w:pPr>
        <w:pStyle w:val="Standard"/>
      </w:pPr>
      <w:r w:rsidRPr="00A03B40">
        <w:t>SCE proposes a</w:t>
      </w:r>
      <w:r w:rsidRPr="00A03B40" w:rsidR="0057608E">
        <w:t xml:space="preserve">n updated </w:t>
      </w:r>
      <w:r w:rsidRPr="00A03B40">
        <w:t>2026 Total Portfolio R</w:t>
      </w:r>
      <w:r w:rsidRPr="00A03B40" w:rsidR="00393B0F">
        <w:t>A</w:t>
      </w:r>
      <w:r w:rsidRPr="00A03B40">
        <w:t xml:space="preserve"> Value</w:t>
      </w:r>
      <w:r w:rsidRPr="00A03B40" w:rsidR="0057608E">
        <w:t xml:space="preserve"> of $</w:t>
      </w:r>
      <w:r w:rsidRPr="00A03B40" w:rsidR="003365E5">
        <w:t>1.</w:t>
      </w:r>
      <w:r w:rsidRPr="00A03B40" w:rsidR="00E9010E">
        <w:t>453</w:t>
      </w:r>
      <w:r w:rsidRPr="00A03B40" w:rsidR="003365E5">
        <w:t xml:space="preserve"> billion, a roughly </w:t>
      </w:r>
      <w:r w:rsidRPr="00A03B40" w:rsidR="00E9010E">
        <w:t>44</w:t>
      </w:r>
      <w:r w:rsidRPr="00A03B40" w:rsidR="003365E5">
        <w:t xml:space="preserve"> percent decrease from the value forecast in its May Filing</w:t>
      </w:r>
      <w:r w:rsidRPr="00A03B40">
        <w:t>.</w:t>
      </w:r>
      <w:r w:rsidRPr="00A03B40" w:rsidR="00E9010E">
        <w:rPr>
          <w:rStyle w:val="FootnoteReference"/>
        </w:rPr>
        <w:footnoteReference w:id="395"/>
      </w:r>
      <w:r w:rsidRPr="00A03B40">
        <w:t xml:space="preserve"> The RA Value is the estimated financial value, measured in dollars per </w:t>
      </w:r>
      <w:r w:rsidRPr="00A03B40" w:rsidR="00EC001A">
        <w:t>kilo</w:t>
      </w:r>
      <w:r w:rsidRPr="00A03B40">
        <w:t xml:space="preserve">watt, of the </w:t>
      </w:r>
      <w:r w:rsidRPr="00A03B40" w:rsidR="00EC001A">
        <w:t>RA</w:t>
      </w:r>
      <w:r w:rsidRPr="00A03B40">
        <w:t xml:space="preserve"> component of SCE’s P</w:t>
      </w:r>
      <w:r w:rsidR="0004181E">
        <w:t>CIA</w:t>
      </w:r>
      <w:r w:rsidRPr="00A03B40">
        <w:t>-eligible portfolio in a given year.</w:t>
      </w:r>
      <w:r w:rsidRPr="00A03B40" w:rsidR="00E9010E">
        <w:rPr>
          <w:rStyle w:val="FootnoteReference"/>
        </w:rPr>
        <w:t xml:space="preserve"> </w:t>
      </w:r>
      <w:r w:rsidRPr="00A03B40" w:rsidR="00E9010E">
        <w:rPr>
          <w:rStyle w:val="FootnoteReference"/>
        </w:rPr>
        <w:footnoteReference w:id="396"/>
      </w:r>
      <w:r w:rsidRPr="00A03B40">
        <w:t xml:space="preserve"> SCE</w:t>
      </w:r>
      <w:r w:rsidRPr="00A03B40" w:rsidR="0057608E">
        <w:t xml:space="preserve"> </w:t>
      </w:r>
      <w:r w:rsidRPr="00A03B40">
        <w:t>multipl</w:t>
      </w:r>
      <w:r w:rsidRPr="00A03B40" w:rsidR="00EC001A">
        <w:t>ies</w:t>
      </w:r>
      <w:r w:rsidRPr="00A03B40">
        <w:t xml:space="preserve"> the forecast </w:t>
      </w:r>
      <w:r w:rsidRPr="00A03B40" w:rsidR="0057006D">
        <w:t>RA Adder</w:t>
      </w:r>
      <w:r w:rsidRPr="00A03B40">
        <w:t xml:space="preserve"> </w:t>
      </w:r>
      <w:r w:rsidRPr="00A03B40" w:rsidR="00623A84">
        <w:t xml:space="preserve">(or actual sales prices, when applicable), </w:t>
      </w:r>
      <w:r w:rsidRPr="00A03B40">
        <w:t xml:space="preserve">presented in dollars per </w:t>
      </w:r>
      <w:r w:rsidRPr="00A03B40" w:rsidR="00EC001A">
        <w:t>kilowatt</w:t>
      </w:r>
      <w:r w:rsidRPr="00A03B40" w:rsidR="008B14A7">
        <w:t>-year</w:t>
      </w:r>
      <w:r w:rsidRPr="00A03B40">
        <w:t>, by the estimated volume of RPS-eligible capacity of the resources in SCE’s P</w:t>
      </w:r>
      <w:r w:rsidR="0004181E">
        <w:t>CI</w:t>
      </w:r>
      <w:r w:rsidRPr="00A03B40">
        <w:t>A-eligible portfolio</w:t>
      </w:r>
      <w:r w:rsidRPr="00A03B40" w:rsidR="006C1464">
        <w:t xml:space="preserve">, determined using SCE’s Slice-of-Day </w:t>
      </w:r>
      <w:r w:rsidR="0004181E">
        <w:t xml:space="preserve">(SOD) </w:t>
      </w:r>
      <w:r w:rsidRPr="00A03B40" w:rsidR="006C1464">
        <w:t>methodology, discussed below</w:t>
      </w:r>
      <w:r w:rsidRPr="00A03B40">
        <w:t xml:space="preserve">. </w:t>
      </w:r>
      <w:r w:rsidRPr="00A03B40" w:rsidR="00D40A5F">
        <w:t>SCE forecasts the costs of any excess RA tha</w:t>
      </w:r>
      <w:r w:rsidRPr="00A03B40" w:rsidR="004B2080">
        <w:t>t</w:t>
      </w:r>
      <w:r w:rsidRPr="00A03B40" w:rsidR="00D40A5F">
        <w:t xml:space="preserve"> it may sell in 2026, valued at the Forecast RA Adder</w:t>
      </w:r>
      <w:r w:rsidRPr="00A03B40" w:rsidR="00A53A9F">
        <w:t xml:space="preserve">. </w:t>
      </w:r>
      <w:r w:rsidRPr="00A03B40" w:rsidR="008B14A7">
        <w:t>SCE values forecast unsold RA at $0.</w:t>
      </w:r>
      <w:r w:rsidRPr="00A03B40" w:rsidR="00A53A9F">
        <w:rPr>
          <w:rStyle w:val="FootnoteReference"/>
        </w:rPr>
        <w:footnoteReference w:id="397"/>
      </w:r>
      <w:r w:rsidRPr="00A03B40" w:rsidR="00A53A9F">
        <w:t xml:space="preserve"> </w:t>
      </w:r>
      <w:r w:rsidRPr="00A03B40" w:rsidR="008B14A7">
        <w:t xml:space="preserve"> </w:t>
      </w:r>
    </w:p>
    <w:p w:rsidRPr="00A03B40" w:rsidR="00693DA5" w:rsidP="009A4452" w:rsidRDefault="003365E5" w14:paraId="2D761C07" w14:textId="5F4002F2">
      <w:pPr>
        <w:pStyle w:val="Standard"/>
      </w:pPr>
      <w:r w:rsidRPr="00A03B40">
        <w:t xml:space="preserve">SCE states that the decrease between its May Filing and </w:t>
      </w:r>
      <w:r w:rsidRPr="00A03B40" w:rsidR="00D867F9">
        <w:t xml:space="preserve">Amended </w:t>
      </w:r>
      <w:r w:rsidRPr="00A03B40">
        <w:t xml:space="preserve">October </w:t>
      </w:r>
      <w:r w:rsidRPr="00A03B40" w:rsidR="00623A84">
        <w:t>U</w:t>
      </w:r>
      <w:r w:rsidRPr="00A03B40">
        <w:t>pdate forecast RA Value is driven by application of the 2026 Forecast RA Adder and an update SCE made to the forecast quantity of capacity from energy storage resources.</w:t>
      </w:r>
      <w:r w:rsidRPr="00A03B40">
        <w:rPr>
          <w:rStyle w:val="FootnoteReference"/>
        </w:rPr>
        <w:footnoteReference w:id="398"/>
      </w:r>
      <w:r w:rsidRPr="00A03B40">
        <w:t xml:space="preserve"> </w:t>
      </w:r>
      <w:proofErr w:type="spellStart"/>
      <w:r w:rsidRPr="00A03B40" w:rsidR="00996D6D">
        <w:t>CalCCA</w:t>
      </w:r>
      <w:proofErr w:type="spellEnd"/>
      <w:r w:rsidRPr="00A03B40" w:rsidR="00996D6D">
        <w:t xml:space="preserve"> states that SCE corrected its excess RA </w:t>
      </w:r>
      <w:r w:rsidRPr="00A03B40" w:rsidR="00A53A9F">
        <w:t xml:space="preserve">quantification </w:t>
      </w:r>
      <w:r w:rsidRPr="00A03B40" w:rsidR="00996D6D">
        <w:t xml:space="preserve">after </w:t>
      </w:r>
      <w:proofErr w:type="spellStart"/>
      <w:r w:rsidRPr="00A03B40" w:rsidR="00996D6D">
        <w:t>CalCCA</w:t>
      </w:r>
      <w:proofErr w:type="spellEnd"/>
      <w:r w:rsidRPr="00A03B40" w:rsidR="00996D6D">
        <w:t xml:space="preserve"> </w:t>
      </w:r>
      <w:r w:rsidRPr="00A03B40" w:rsidR="00A53A9F">
        <w:t>issued</w:t>
      </w:r>
      <w:r w:rsidRPr="00A03B40" w:rsidR="00996D6D">
        <w:t xml:space="preserve"> discovery on the </w:t>
      </w:r>
      <w:r w:rsidRPr="00A03B40" w:rsidR="00A53A9F">
        <w:t>topic</w:t>
      </w:r>
      <w:r w:rsidRPr="00A03B40" w:rsidR="00996D6D">
        <w:t xml:space="preserve"> to SCE.</w:t>
      </w:r>
      <w:r w:rsidRPr="00A03B40" w:rsidR="00A53A9F">
        <w:rPr>
          <w:rStyle w:val="FootnoteReference"/>
        </w:rPr>
        <w:footnoteReference w:id="399"/>
      </w:r>
      <w:r w:rsidRPr="00A03B40" w:rsidR="00996D6D">
        <w:t xml:space="preserve"> </w:t>
      </w:r>
      <w:proofErr w:type="spellStart"/>
      <w:r w:rsidRPr="00A03B40" w:rsidR="00996D6D">
        <w:t>CalCCA</w:t>
      </w:r>
      <w:proofErr w:type="spellEnd"/>
      <w:r w:rsidRPr="00A03B40" w:rsidR="00996D6D">
        <w:t xml:space="preserve"> states that as SCE was address</w:t>
      </w:r>
      <w:r w:rsidRPr="00A03B40" w:rsidR="00A53A9F">
        <w:t>ing its discovery request, SCE identified a second error in its RA calculations. SCE identifies this error as the omission of two RA resources from SCE’s position forecast. SCE has corrected both issues in its Amended October Update.</w:t>
      </w:r>
      <w:r w:rsidRPr="00A03B40" w:rsidR="00A53A9F">
        <w:rPr>
          <w:rStyle w:val="FootnoteReference"/>
        </w:rPr>
        <w:footnoteReference w:id="400"/>
      </w:r>
      <w:r w:rsidRPr="00A03B40" w:rsidR="00A53A9F">
        <w:t xml:space="preserve"> </w:t>
      </w:r>
      <w:r w:rsidRPr="00A03B40" w:rsidR="00D867F9">
        <w:t xml:space="preserve">SCE also incorporates its final 2026 RA allocations </w:t>
      </w:r>
      <w:r w:rsidRPr="00A03B40" w:rsidR="00D867F9">
        <w:lastRenderedPageBreak/>
        <w:t>and requirements assigned by the Commission in September 2026, including an 18 percent PRM</w:t>
      </w:r>
      <w:r w:rsidRPr="00A03B40" w:rsidR="00D867F9">
        <w:rPr>
          <w:rFonts w:ascii="TimesNewRoman" w:hAnsi="TimesNewRoman" w:cs="TimesNewRoman"/>
          <w:sz w:val="24"/>
          <w:szCs w:val="24"/>
        </w:rPr>
        <w:t xml:space="preserve"> </w:t>
      </w:r>
      <w:r w:rsidRPr="00A03B40" w:rsidR="00D867F9">
        <w:t>and an effective PRM procurement target ranging from 1,260 to 2,300 MW for June through October 2026.</w:t>
      </w:r>
      <w:r w:rsidRPr="00A03B40" w:rsidR="00D867F9">
        <w:rPr>
          <w:rStyle w:val="FootnoteReference"/>
        </w:rPr>
        <w:footnoteReference w:id="401"/>
      </w:r>
      <w:r w:rsidRPr="00A03B40" w:rsidR="00996D6D">
        <w:t xml:space="preserve"> </w:t>
      </w:r>
    </w:p>
    <w:p w:rsidRPr="00A03B40" w:rsidR="00693DA5" w:rsidP="006C4FFE" w:rsidRDefault="00693DA5" w14:paraId="469A57F2" w14:textId="68DA60ED">
      <w:pPr>
        <w:pStyle w:val="Standard"/>
      </w:pPr>
      <w:r w:rsidRPr="00A03B40">
        <w:t xml:space="preserve">In its May </w:t>
      </w:r>
      <w:r w:rsidRPr="00A03B40" w:rsidR="008A624D">
        <w:t>Filing</w:t>
      </w:r>
      <w:r w:rsidRPr="00A03B40">
        <w:t xml:space="preserve">, SCE forecast the RA Adders and Total Portfolio RA Value according to then-established Commission methodologies. This included segmenting RA quantities into Local RA, System RA, and Flexible RA into subgroups, and </w:t>
      </w:r>
      <w:r w:rsidRPr="00A03B40" w:rsidR="00DF3D87">
        <w:t>multiplying</w:t>
      </w:r>
      <w:r w:rsidRPr="00A03B40">
        <w:t xml:space="preserve"> each of the three subgroup quantities by an RA</w:t>
      </w:r>
      <w:r w:rsidR="00201307">
        <w:t> </w:t>
      </w:r>
      <w:r w:rsidRPr="00A03B40">
        <w:t>Adder specific to the type of RA provided.</w:t>
      </w:r>
      <w:r w:rsidRPr="00A03B40" w:rsidR="00DF3D87">
        <w:rPr>
          <w:rStyle w:val="FootnoteReference"/>
        </w:rPr>
        <w:footnoteReference w:id="402"/>
      </w:r>
      <w:r w:rsidRPr="00A03B40">
        <w:t xml:space="preserve"> However, after SCE filed its </w:t>
      </w:r>
      <w:r w:rsidRPr="00A03B40" w:rsidR="00DF3D87">
        <w:t xml:space="preserve">May </w:t>
      </w:r>
      <w:r w:rsidRPr="00A03B40" w:rsidR="008A624D">
        <w:t>Filing</w:t>
      </w:r>
      <w:r w:rsidRPr="00A03B40">
        <w:t>, the Commission issued D.25-06-049</w:t>
      </w:r>
      <w:r w:rsidRPr="00A03B40" w:rsidR="00170B87">
        <w:t xml:space="preserve"> which</w:t>
      </w:r>
      <w:r w:rsidRPr="00A03B40">
        <w:t xml:space="preserve"> consolidat</w:t>
      </w:r>
      <w:r w:rsidRPr="00A03B40" w:rsidR="00170B87">
        <w:t>ed</w:t>
      </w:r>
      <w:r w:rsidRPr="00A03B40">
        <w:t xml:space="preserve"> the three RA Adders into one RA Adder.</w:t>
      </w:r>
      <w:r w:rsidRPr="00A03B40">
        <w:rPr>
          <w:rStyle w:val="FootnoteReference"/>
        </w:rPr>
        <w:footnoteReference w:id="403"/>
      </w:r>
      <w:r w:rsidRPr="00A03B40">
        <w:t xml:space="preserve"> </w:t>
      </w:r>
      <w:r w:rsidRPr="00A03B40" w:rsidR="006C4FFE">
        <w:t xml:space="preserve">Pursuant to </w:t>
      </w:r>
      <w:r w:rsidR="00D12310">
        <w:t>D.25-06-049</w:t>
      </w:r>
      <w:r w:rsidRPr="00A03B40" w:rsidR="006C4FFE">
        <w:t>, t</w:t>
      </w:r>
      <w:r w:rsidRPr="00A03B40" w:rsidR="00170B87">
        <w:t xml:space="preserve">he Commission’s Energy Division included a single Final 2025 RA Adder and single Forecast 2026 RA Adder in its Market Price Benchmark </w:t>
      </w:r>
      <w:r w:rsidRPr="00A03B40" w:rsidR="007C17FE">
        <w:t>C</w:t>
      </w:r>
      <w:r w:rsidRPr="00A03B40" w:rsidR="00170B87">
        <w:t xml:space="preserve">alculations </w:t>
      </w:r>
      <w:r w:rsidRPr="00A03B40" w:rsidR="001D1DF4">
        <w:t xml:space="preserve">for </w:t>
      </w:r>
      <w:r w:rsidRPr="00A03B40" w:rsidR="00170B87">
        <w:t xml:space="preserve">2025, released on October 1, 2025. </w:t>
      </w:r>
      <w:r w:rsidRPr="00A03B40" w:rsidR="007B52C4">
        <w:t xml:space="preserve">SCE incorporates the </w:t>
      </w:r>
      <w:r w:rsidR="00B27242">
        <w:t>single MPB</w:t>
      </w:r>
      <w:r w:rsidRPr="00A03B40" w:rsidR="007B52C4">
        <w:t xml:space="preserve"> in its forecast 2026 and final 2025 </w:t>
      </w:r>
      <w:r w:rsidR="0004181E">
        <w:t>PCIA</w:t>
      </w:r>
      <w:r w:rsidRPr="00A03B40" w:rsidR="007B52C4">
        <w:t xml:space="preserve"> calculations.</w:t>
      </w:r>
      <w:r w:rsidRPr="00A03B40" w:rsidR="007B52C4">
        <w:rPr>
          <w:rStyle w:val="FootnoteReference"/>
        </w:rPr>
        <w:footnoteReference w:id="404"/>
      </w:r>
      <w:r w:rsidRPr="00A03B40" w:rsidR="006C4FFE">
        <w:t xml:space="preserve"> </w:t>
      </w:r>
    </w:p>
    <w:p w:rsidRPr="00A03B40" w:rsidR="00A442E7" w:rsidP="00E626CB" w:rsidRDefault="0047691C" w14:paraId="1BA90AE2" w14:textId="2EB165CF">
      <w:pPr>
        <w:pStyle w:val="Heading5"/>
      </w:pPr>
      <w:r w:rsidRPr="00A03B40">
        <w:t>Slice of Day</w:t>
      </w:r>
      <w:r w:rsidRPr="00A03B40" w:rsidR="0057006D">
        <w:t xml:space="preserve"> Methodology</w:t>
      </w:r>
    </w:p>
    <w:p w:rsidRPr="00A03B40" w:rsidR="00AF47A4" w:rsidP="004B30FF" w:rsidRDefault="003D0AEA" w14:paraId="3DF87E37" w14:textId="48301E44">
      <w:pPr>
        <w:pStyle w:val="Standard"/>
      </w:pPr>
      <w:r w:rsidRPr="00A03B40">
        <w:t>SCE determines the forecast cost</w:t>
      </w:r>
      <w:r w:rsidRPr="00A03B40" w:rsidR="00200C4B">
        <w:t>s and market values</w:t>
      </w:r>
      <w:r w:rsidRPr="00A03B40">
        <w:t xml:space="preserve"> of its </w:t>
      </w:r>
      <w:r w:rsidRPr="00A03B40" w:rsidR="00DC1C27">
        <w:t>RA</w:t>
      </w:r>
      <w:r w:rsidRPr="00A03B40">
        <w:t xml:space="preserve"> resources</w:t>
      </w:r>
      <w:r w:rsidRPr="00A03B40" w:rsidR="00DC1C27">
        <w:t xml:space="preserve"> using a “price X quantity” formula</w:t>
      </w:r>
      <w:r w:rsidRPr="00A03B40" w:rsidR="005371DA">
        <w:t xml:space="preserve">, using the 2026 Forecast RA MPB </w:t>
      </w:r>
      <w:r w:rsidRPr="00A03B40" w:rsidR="008A624D">
        <w:t xml:space="preserve">or actual sales </w:t>
      </w:r>
      <w:r w:rsidRPr="00A03B40" w:rsidR="005371DA">
        <w:t>as the “price” variable</w:t>
      </w:r>
      <w:r w:rsidRPr="00A03B40" w:rsidR="00EE3F58">
        <w:t>.</w:t>
      </w:r>
      <w:r w:rsidRPr="00A03B40" w:rsidR="002A68CA">
        <w:t xml:space="preserve"> </w:t>
      </w:r>
      <w:r w:rsidRPr="00A03B40" w:rsidR="00324170">
        <w:t xml:space="preserve">SCE proposes </w:t>
      </w:r>
      <w:r w:rsidRPr="00A03B40" w:rsidR="005477DF">
        <w:t>to forecast</w:t>
      </w:r>
      <w:r w:rsidRPr="00A03B40" w:rsidR="00324170">
        <w:t xml:space="preserve"> its RA position, </w:t>
      </w:r>
      <w:r w:rsidRPr="00A03B40" w:rsidR="00324170">
        <w:rPr>
          <w:i/>
          <w:iCs/>
        </w:rPr>
        <w:t>i.e.</w:t>
      </w:r>
      <w:r w:rsidRPr="00A03B40" w:rsidR="00324170">
        <w:t xml:space="preserve">, the “quantity” portion of its 2026 forecast, using a </w:t>
      </w:r>
      <w:r w:rsidRPr="00A03B40" w:rsidR="006C1464">
        <w:t xml:space="preserve">SOD </w:t>
      </w:r>
      <w:r w:rsidRPr="00A03B40" w:rsidR="00324170">
        <w:t>Methodology.</w:t>
      </w:r>
      <w:r w:rsidRPr="00A03B40" w:rsidR="00324170">
        <w:rPr>
          <w:rStyle w:val="FootnoteReference"/>
        </w:rPr>
        <w:footnoteReference w:id="405"/>
      </w:r>
      <w:r w:rsidRPr="00A03B40" w:rsidR="004B30FF">
        <w:t xml:space="preserve"> The </w:t>
      </w:r>
      <w:r w:rsidRPr="00A03B40" w:rsidR="004B30FF">
        <w:lastRenderedPageBreak/>
        <w:t>Commission has adopted the SOD methodology for use in determin</w:t>
      </w:r>
      <w:r w:rsidRPr="00A03B40" w:rsidR="005477DF">
        <w:t>ing</w:t>
      </w:r>
      <w:r w:rsidRPr="00A03B40" w:rsidR="004B30FF">
        <w:t xml:space="preserve"> IOU RA compliance,</w:t>
      </w:r>
      <w:r w:rsidRPr="00A03B40" w:rsidR="005477DF">
        <w:rPr>
          <w:rStyle w:val="FootnoteReference"/>
        </w:rPr>
        <w:footnoteReference w:id="406"/>
      </w:r>
      <w:r w:rsidRPr="00A03B40" w:rsidR="004B30FF">
        <w:t xml:space="preserve"> but has not provided direction on </w:t>
      </w:r>
      <w:r w:rsidRPr="00A03B40" w:rsidR="005477DF">
        <w:t xml:space="preserve">or rules for </w:t>
      </w:r>
      <w:r w:rsidRPr="00A03B40" w:rsidR="004B30FF">
        <w:t xml:space="preserve">IOU use of SOD </w:t>
      </w:r>
      <w:r w:rsidRPr="00A03B40" w:rsidR="00E03F9A">
        <w:t>when</w:t>
      </w:r>
      <w:r w:rsidRPr="00A03B40" w:rsidR="004B30FF">
        <w:t xml:space="preserve"> calculating a forecast Indifference Amount.</w:t>
      </w:r>
      <w:r w:rsidRPr="00A03B40" w:rsidR="004B30FF">
        <w:rPr>
          <w:rStyle w:val="FootnoteReference"/>
        </w:rPr>
        <w:footnoteReference w:id="407"/>
      </w:r>
      <w:r w:rsidRPr="00A03B40" w:rsidR="004B30FF">
        <w:t xml:space="preserve"> </w:t>
      </w:r>
    </w:p>
    <w:p w:rsidRPr="00A03B40" w:rsidR="004B30FF" w:rsidP="00660ED6" w:rsidRDefault="004B30FF" w14:paraId="7B36AD8B" w14:textId="20327B19">
      <w:pPr>
        <w:pStyle w:val="Standard"/>
        <w:rPr>
          <w:b/>
          <w:bCs/>
          <w:u w:val="single"/>
        </w:rPr>
      </w:pPr>
      <w:r w:rsidRPr="00A03B40">
        <w:rPr>
          <w:b/>
          <w:bCs/>
          <w:u w:val="single"/>
        </w:rPr>
        <w:t>SOD Overview</w:t>
      </w:r>
    </w:p>
    <w:p w:rsidRPr="00A03B40" w:rsidR="004E0E69" w:rsidP="00C064F0" w:rsidRDefault="005477DF" w14:paraId="7A45010F" w14:textId="6561F55F">
      <w:pPr>
        <w:pStyle w:val="Standard"/>
      </w:pPr>
      <w:r w:rsidRPr="00A03B40">
        <w:t xml:space="preserve">SOD transitions </w:t>
      </w:r>
      <w:r w:rsidRPr="00A03B40" w:rsidR="007752B6">
        <w:t xml:space="preserve">the Commission’s </w:t>
      </w:r>
      <w:r w:rsidRPr="00A03B40">
        <w:t xml:space="preserve">RA </w:t>
      </w:r>
      <w:r w:rsidRPr="00A03B40" w:rsidR="007752B6">
        <w:t xml:space="preserve">program </w:t>
      </w:r>
      <w:r w:rsidRPr="00A03B40">
        <w:t xml:space="preserve">from a compliance requirement based </w:t>
      </w:r>
      <w:r w:rsidRPr="00A03B40" w:rsidR="00170B87">
        <w:t xml:space="preserve">on a </w:t>
      </w:r>
      <w:r w:rsidRPr="00A03B40" w:rsidR="00C064F0">
        <w:t>single net qualifying capacity (NQC) check in the peak hour to a capacity check in every hour of the “worst day” (24 total</w:t>
      </w:r>
      <w:r w:rsidR="00994211">
        <w:t xml:space="preserve"> hours</w:t>
      </w:r>
      <w:r w:rsidRPr="00A03B40" w:rsidR="00C064F0">
        <w:t>) for each month.</w:t>
      </w:r>
      <w:r w:rsidRPr="00A03B40" w:rsidR="00AF47A4">
        <w:rPr>
          <w:rStyle w:val="FootnoteReference"/>
        </w:rPr>
        <w:footnoteReference w:id="408"/>
      </w:r>
      <w:r w:rsidRPr="00A03B40">
        <w:t xml:space="preserve"> </w:t>
      </w:r>
      <w:r w:rsidRPr="00A03B40" w:rsidR="00F134EB">
        <w:t xml:space="preserve">SCE created its hourly RA position under the SOD framework using its internal </w:t>
      </w:r>
      <w:r w:rsidRPr="00A03B40" w:rsidR="00E03F9A">
        <w:t>RA O</w:t>
      </w:r>
      <w:r w:rsidRPr="00A03B40" w:rsidR="00F134EB">
        <w:t>ptimiz</w:t>
      </w:r>
      <w:r w:rsidRPr="00A03B40" w:rsidR="00D20A53">
        <w:t>er</w:t>
      </w:r>
      <w:r w:rsidRPr="00A03B40" w:rsidR="00F134EB">
        <w:t xml:space="preserve"> tool and the Commission’s </w:t>
      </w:r>
      <w:r w:rsidR="0004181E">
        <w:t>M</w:t>
      </w:r>
      <w:r w:rsidRPr="00A03B40" w:rsidR="00F134EB">
        <w:t xml:space="preserve">aster </w:t>
      </w:r>
      <w:r w:rsidR="0004181E">
        <w:t>R</w:t>
      </w:r>
      <w:r w:rsidRPr="00A03B40" w:rsidR="00F134EB">
        <w:t xml:space="preserve">esource </w:t>
      </w:r>
      <w:r w:rsidR="0004181E">
        <w:t>D</w:t>
      </w:r>
      <w:r w:rsidRPr="00A03B40" w:rsidR="00F134EB">
        <w:t>atabase.</w:t>
      </w:r>
      <w:r w:rsidRPr="00A03B40" w:rsidR="00F134EB">
        <w:rPr>
          <w:rStyle w:val="FootnoteReference"/>
        </w:rPr>
        <w:footnoteReference w:id="409"/>
      </w:r>
      <w:r w:rsidRPr="00A03B40" w:rsidR="00F134EB">
        <w:t xml:space="preserve"> </w:t>
      </w:r>
    </w:p>
    <w:p w:rsidRPr="00A03B40" w:rsidR="00F134EB" w:rsidP="00F134EB" w:rsidRDefault="00170B87" w14:paraId="56C22A49" w14:textId="1CE22EE5">
      <w:pPr>
        <w:pStyle w:val="Standard"/>
      </w:pPr>
      <w:r w:rsidRPr="00A03B40">
        <w:t>T</w:t>
      </w:r>
      <w:r w:rsidRPr="00A03B40" w:rsidR="00F134EB">
        <w:t>o account for RA values in the PCIA, SCE</w:t>
      </w:r>
      <w:r w:rsidRPr="00A03B40" w:rsidR="006E6C9F">
        <w:t xml:space="preserve"> </w:t>
      </w:r>
      <w:r w:rsidRPr="00A03B40" w:rsidR="00F134EB">
        <w:t>convert</w:t>
      </w:r>
      <w:r w:rsidRPr="00A03B40" w:rsidR="006E6C9F">
        <w:t>s</w:t>
      </w:r>
      <w:r w:rsidRPr="00A03B40" w:rsidR="00F134EB">
        <w:t xml:space="preserve"> it</w:t>
      </w:r>
      <w:r w:rsidRPr="00A03B40" w:rsidR="004E0E69">
        <w:t>s</w:t>
      </w:r>
      <w:r w:rsidRPr="00A03B40" w:rsidR="00F134EB">
        <w:t xml:space="preserve"> hourly position to a monthly position. </w:t>
      </w:r>
      <w:r w:rsidRPr="00A03B40" w:rsidR="00FC58B6">
        <w:t>“To represent SCE’s RA position as a single monthly number, SCE converts its hourly position into a monthly position by taking an average of its hourly optimized supply and creating a ‘baseload equivalent’ position.”</w:t>
      </w:r>
      <w:r w:rsidRPr="00A03B40" w:rsidR="00A237BD">
        <w:rPr>
          <w:rStyle w:val="FootnoteReference"/>
        </w:rPr>
        <w:footnoteReference w:id="410"/>
      </w:r>
      <w:r w:rsidRPr="00A03B40" w:rsidR="00FC58B6">
        <w:t xml:space="preserve"> </w:t>
      </w:r>
      <w:r w:rsidRPr="00A03B40" w:rsidR="00A237BD">
        <w:t xml:space="preserve">SCE states that </w:t>
      </w:r>
      <w:r w:rsidRPr="00A03B40" w:rsidR="007752B6">
        <w:t>it normalizes the</w:t>
      </w:r>
      <w:r w:rsidRPr="00A03B40" w:rsidR="00A237BD">
        <w:t xml:space="preserve"> baseload-equivalent RA quantity</w:t>
      </w:r>
      <w:r w:rsidRPr="00A03B40" w:rsidR="00395FCA">
        <w:t xml:space="preserve"> for a resource</w:t>
      </w:r>
      <w:r w:rsidRPr="00A03B40" w:rsidR="00A237BD">
        <w:t xml:space="preserve"> by the capacity of the resource</w:t>
      </w:r>
      <w:r w:rsidRPr="00A03B40" w:rsidR="00B176C7">
        <w:t>,</w:t>
      </w:r>
      <w:r w:rsidRPr="00A03B40" w:rsidR="00A237BD">
        <w:t xml:space="preserve"> signif</w:t>
      </w:r>
      <w:r w:rsidRPr="00A03B40" w:rsidR="00F134EB">
        <w:t>ying</w:t>
      </w:r>
      <w:r w:rsidRPr="00A03B40" w:rsidR="00A237BD">
        <w:t xml:space="preserve"> the effective contribution of the resource towards meeting the SOD requirement</w:t>
      </w:r>
      <w:r w:rsidRPr="00A03B40" w:rsidR="00D20A53">
        <w:t xml:space="preserve">, </w:t>
      </w:r>
      <w:r w:rsidRPr="00A03B40" w:rsidR="00D20A53">
        <w:rPr>
          <w:i/>
          <w:iCs/>
        </w:rPr>
        <w:t>i.e.</w:t>
      </w:r>
      <w:r w:rsidRPr="00A03B40" w:rsidR="00D20A53">
        <w:t>, a resource’s “SOD RA Effectiveness Factor.”</w:t>
      </w:r>
      <w:r w:rsidRPr="00A03B40" w:rsidR="00A237BD">
        <w:rPr>
          <w:rStyle w:val="FootnoteReference"/>
        </w:rPr>
        <w:footnoteReference w:id="411"/>
      </w:r>
      <w:r w:rsidRPr="00A03B40" w:rsidR="00A237BD">
        <w:t xml:space="preserve"> </w:t>
      </w:r>
      <w:r w:rsidRPr="00A03B40" w:rsidR="00AF47A4">
        <w:t xml:space="preserve">In testimony, SCE describes the methodologies it uses to </w:t>
      </w:r>
      <w:r w:rsidRPr="00A03B40" w:rsidR="007752B6">
        <w:lastRenderedPageBreak/>
        <w:t>estimate RA quantity by</w:t>
      </w:r>
      <w:r w:rsidRPr="00A03B40" w:rsidR="00FC58B6">
        <w:t xml:space="preserve"> </w:t>
      </w:r>
      <w:r w:rsidRPr="00A03B40" w:rsidR="00AF47A4">
        <w:t>resource type: baseload resources, intermittent resources, stand-alone storage, and hybrid co-located sources.</w:t>
      </w:r>
      <w:r w:rsidRPr="00A03B40" w:rsidR="00AF47A4">
        <w:rPr>
          <w:rStyle w:val="FootnoteReference"/>
        </w:rPr>
        <w:footnoteReference w:id="412"/>
      </w:r>
      <w:r w:rsidRPr="00A03B40" w:rsidR="00A237BD">
        <w:t xml:space="preserve"> </w:t>
      </w:r>
    </w:p>
    <w:p w:rsidRPr="00A03B40" w:rsidR="0002293A" w:rsidP="00426FB6" w:rsidRDefault="00C064F0" w14:paraId="1D2088A8" w14:textId="2FC6CB36">
      <w:pPr>
        <w:pStyle w:val="Standard"/>
      </w:pPr>
      <w:proofErr w:type="spellStart"/>
      <w:r w:rsidRPr="00A03B40">
        <w:t>CalCCA</w:t>
      </w:r>
      <w:proofErr w:type="spellEnd"/>
      <w:r w:rsidRPr="00A03B40">
        <w:t xml:space="preserve"> questions SCE’s use of the SOD framework</w:t>
      </w:r>
      <w:r w:rsidRPr="00A03B40" w:rsidR="00170B87">
        <w:t xml:space="preserve"> for the purpose of calculating </w:t>
      </w:r>
      <w:r w:rsidRPr="00A03B40" w:rsidR="009C0BA9">
        <w:t xml:space="preserve">the </w:t>
      </w:r>
      <w:r w:rsidR="0004181E">
        <w:t>PCIA</w:t>
      </w:r>
      <w:r w:rsidRPr="00A03B40">
        <w:t>, arguing that it should continue to be treated as an interim methodology given the unknowns surrounding the “full impact of SOD on RA value.”</w:t>
      </w:r>
      <w:r w:rsidRPr="00A03B40">
        <w:rPr>
          <w:rStyle w:val="FootnoteReference"/>
        </w:rPr>
        <w:footnoteReference w:id="413"/>
      </w:r>
      <w:r w:rsidRPr="00A03B40">
        <w:t xml:space="preserve"> </w:t>
      </w:r>
      <w:proofErr w:type="spellStart"/>
      <w:r w:rsidRPr="00A03B40" w:rsidR="0096243B">
        <w:t>CalCCA</w:t>
      </w:r>
      <w:proofErr w:type="spellEnd"/>
      <w:r w:rsidRPr="00A03B40" w:rsidR="0096243B">
        <w:t xml:space="preserve"> recommends that </w:t>
      </w:r>
      <w:r w:rsidRPr="00A03B40" w:rsidR="00D867F9">
        <w:t>this issue</w:t>
      </w:r>
      <w:r w:rsidRPr="00A03B40" w:rsidR="0096243B">
        <w:t xml:space="preserve"> be evaluated in the current PCIA rulemaking.</w:t>
      </w:r>
      <w:r w:rsidRPr="00A03B40" w:rsidR="0096243B">
        <w:rPr>
          <w:rStyle w:val="FootnoteReference"/>
        </w:rPr>
        <w:footnoteReference w:id="414"/>
      </w:r>
      <w:r w:rsidRPr="00A03B40" w:rsidR="0096243B">
        <w:t xml:space="preserve"> </w:t>
      </w:r>
      <w:r w:rsidRPr="00A03B40">
        <w:t xml:space="preserve">SCE does not oppose </w:t>
      </w:r>
      <w:proofErr w:type="spellStart"/>
      <w:r w:rsidRPr="00A03B40">
        <w:t>CalCCA’s</w:t>
      </w:r>
      <w:proofErr w:type="spellEnd"/>
      <w:r w:rsidRPr="00A03B40">
        <w:t xml:space="preserve"> recommendation, noting that it has consistently identified its SOD framework as an interim approach.</w:t>
      </w:r>
      <w:r w:rsidRPr="00A03B40">
        <w:rPr>
          <w:rStyle w:val="FootnoteReference"/>
        </w:rPr>
        <w:footnoteReference w:id="415"/>
      </w:r>
    </w:p>
    <w:p w:rsidRPr="00A03B40" w:rsidR="00844669" w:rsidP="00886389" w:rsidRDefault="005E0A57" w14:paraId="5376372D" w14:textId="34FA0811">
      <w:pPr>
        <w:pStyle w:val="Standard"/>
      </w:pPr>
      <w:r w:rsidRPr="00A03B40">
        <w:t xml:space="preserve">While </w:t>
      </w:r>
      <w:proofErr w:type="spellStart"/>
      <w:r w:rsidRPr="00A03B40">
        <w:t>CalCCA</w:t>
      </w:r>
      <w:proofErr w:type="spellEnd"/>
      <w:r w:rsidRPr="00A03B40">
        <w:t xml:space="preserve"> does not dispute the RA quantity forecast SCE’s method produces,</w:t>
      </w:r>
      <w:r w:rsidRPr="00A03B40">
        <w:rPr>
          <w:rStyle w:val="FootnoteReference"/>
        </w:rPr>
        <w:footnoteReference w:id="416"/>
      </w:r>
      <w:r w:rsidRPr="00A03B40">
        <w:t xml:space="preserve"> </w:t>
      </w:r>
      <w:proofErr w:type="spellStart"/>
      <w:r w:rsidRPr="00A03B40" w:rsidR="00844669">
        <w:t>CalCCA</w:t>
      </w:r>
      <w:proofErr w:type="spellEnd"/>
      <w:r w:rsidRPr="00A03B40" w:rsidR="00844669">
        <w:t xml:space="preserve"> argues that</w:t>
      </w:r>
      <w:r w:rsidR="002E198D">
        <w:t xml:space="preserve">, between its May Filing and October Update, SCE updated its RA Optimizer tool it uses to calculate its SOD position. SCE’s introduction of an updated RA Optimizer in its October Update, </w:t>
      </w:r>
      <w:proofErr w:type="spellStart"/>
      <w:r w:rsidR="002E198D">
        <w:t>CalCCA</w:t>
      </w:r>
      <w:proofErr w:type="spellEnd"/>
      <w:r w:rsidR="002E198D">
        <w:t xml:space="preserve"> argues, led to input errors in SCE’s calculations that were only uncovered due to </w:t>
      </w:r>
      <w:proofErr w:type="spellStart"/>
      <w:r w:rsidR="002E198D">
        <w:t>CalCCA’s</w:t>
      </w:r>
      <w:proofErr w:type="spellEnd"/>
      <w:r w:rsidR="002E198D">
        <w:t xml:space="preserve"> discovery requests.</w:t>
      </w:r>
      <w:r w:rsidR="002E198D">
        <w:rPr>
          <w:rStyle w:val="FootnoteReference"/>
        </w:rPr>
        <w:footnoteReference w:id="417"/>
      </w:r>
      <w:r w:rsidR="002E198D">
        <w:t xml:space="preserve"> SCE corrected these issues in its Amended October Update.</w:t>
      </w:r>
      <w:r w:rsidR="002E198D">
        <w:rPr>
          <w:rStyle w:val="FootnoteReference"/>
        </w:rPr>
        <w:footnoteReference w:id="418"/>
      </w:r>
      <w:r w:rsidR="002E198D">
        <w:t xml:space="preserve"> However, </w:t>
      </w:r>
      <w:proofErr w:type="spellStart"/>
      <w:r w:rsidR="002E198D">
        <w:t>CalCCA</w:t>
      </w:r>
      <w:proofErr w:type="spellEnd"/>
      <w:r w:rsidR="002E198D">
        <w:t xml:space="preserve"> states, SCE’s RA Optimizer update </w:t>
      </w:r>
      <w:r w:rsidR="00886389">
        <w:t xml:space="preserve">is procedurally improper, this late in an ERRA forecast proceeding, as it denies intervenors “and the Commission </w:t>
      </w:r>
      <w:r w:rsidRPr="00886389" w:rsidR="00886389">
        <w:t>the opportunity to fully explore</w:t>
      </w:r>
      <w:r w:rsidR="00886389">
        <w:t xml:space="preserve"> </w:t>
      </w:r>
      <w:r w:rsidRPr="00886389" w:rsidR="00886389">
        <w:t>the impacts of this change in the two weeks before Comments were due.</w:t>
      </w:r>
      <w:r w:rsidR="00886389">
        <w:rPr>
          <w:rStyle w:val="FootnoteReference"/>
        </w:rPr>
        <w:footnoteReference w:id="419"/>
      </w:r>
    </w:p>
    <w:p w:rsidR="002E198D" w:rsidP="003B6AC4" w:rsidRDefault="002E198D" w14:paraId="492B7C4A" w14:textId="43BB08FC">
      <w:pPr>
        <w:pStyle w:val="Standard"/>
        <w:spacing w:after="120" w:line="240" w:lineRule="auto"/>
        <w:ind w:left="720" w:right="1440" w:firstLine="0"/>
      </w:pPr>
      <w:r>
        <w:t xml:space="preserve">This situation leads </w:t>
      </w:r>
      <w:proofErr w:type="spellStart"/>
      <w:r>
        <w:t>CalCCA</w:t>
      </w:r>
      <w:proofErr w:type="spellEnd"/>
      <w:r>
        <w:t xml:space="preserve"> to request:</w:t>
      </w:r>
    </w:p>
    <w:p w:rsidRPr="00A03B40" w:rsidR="005E0A57" w:rsidP="003B6AC4" w:rsidRDefault="00844669" w14:paraId="6B154060" w14:textId="3BF53628">
      <w:pPr>
        <w:pStyle w:val="Standard"/>
        <w:spacing w:after="120" w:line="240" w:lineRule="auto"/>
        <w:ind w:left="720" w:right="1440" w:firstLine="0"/>
      </w:pPr>
      <w:r w:rsidRPr="00A03B40">
        <w:lastRenderedPageBreak/>
        <w:t>that the Commission clearly instruct SCE (and other IOUs in their cases) that the October Update is not an appropriate forum in which to introduce substantive changes to its models or methods and explicitly find that including updates this late into the ERRA process prejudices non-utility parties.</w:t>
      </w:r>
      <w:r w:rsidRPr="00A03B40">
        <w:rPr>
          <w:rStyle w:val="FootnoteReference"/>
        </w:rPr>
        <w:footnoteReference w:id="420"/>
      </w:r>
    </w:p>
    <w:p w:rsidRPr="00A03B40" w:rsidR="00A970FB" w:rsidP="00886389" w:rsidRDefault="00A970FB" w14:paraId="15D883FA" w14:textId="39686851">
      <w:pPr>
        <w:pStyle w:val="Standard"/>
        <w:ind w:firstLine="0"/>
      </w:pPr>
      <w:r w:rsidRPr="00A03B40">
        <w:t xml:space="preserve">October Updates, </w:t>
      </w:r>
      <w:proofErr w:type="spellStart"/>
      <w:r w:rsidRPr="00A03B40">
        <w:t>CalCCA</w:t>
      </w:r>
      <w:proofErr w:type="spellEnd"/>
      <w:r w:rsidRPr="00A03B40">
        <w:t xml:space="preserve"> argues, are for updates of prior estimates and not the appropriate forum for substantive methodological changes.</w:t>
      </w:r>
      <w:r w:rsidRPr="00A03B40">
        <w:rPr>
          <w:rStyle w:val="FootnoteReference"/>
        </w:rPr>
        <w:footnoteReference w:id="421"/>
      </w:r>
    </w:p>
    <w:p w:rsidRPr="00A03B40" w:rsidR="0057006D" w:rsidP="00585BC4" w:rsidRDefault="0057006D" w14:paraId="38A4643A" w14:textId="130D8AF1">
      <w:pPr>
        <w:pStyle w:val="Heading5"/>
      </w:pPr>
      <w:r w:rsidRPr="00A03B40">
        <w:t>Discussion</w:t>
      </w:r>
    </w:p>
    <w:p w:rsidRPr="00A03B40" w:rsidR="00C064F0" w:rsidP="0004181E" w:rsidRDefault="00C064F0" w14:paraId="126CF798" w14:textId="43E4A7F4">
      <w:pPr>
        <w:pStyle w:val="Standard"/>
      </w:pPr>
      <w:r w:rsidRPr="00A03B40">
        <w:t xml:space="preserve">We agree with </w:t>
      </w:r>
      <w:proofErr w:type="spellStart"/>
      <w:r w:rsidRPr="00A03B40">
        <w:t>CalCCA</w:t>
      </w:r>
      <w:proofErr w:type="spellEnd"/>
      <w:r w:rsidRPr="00A03B40">
        <w:t xml:space="preserve"> that </w:t>
      </w:r>
      <w:r w:rsidRPr="00A03B40" w:rsidR="006E6C9F">
        <w:t>any</w:t>
      </w:r>
      <w:r w:rsidRPr="00A03B40">
        <w:t xml:space="preserve"> remaining questions regarding the impact of SOD on </w:t>
      </w:r>
      <w:r w:rsidR="0004181E">
        <w:t>PCIA</w:t>
      </w:r>
      <w:r w:rsidRPr="00A03B40">
        <w:t xml:space="preserve"> calculations</w:t>
      </w:r>
      <w:r w:rsidRPr="00A03B40" w:rsidR="0096243B">
        <w:t xml:space="preserve"> are </w:t>
      </w:r>
      <w:r w:rsidRPr="00A03B40" w:rsidR="006E6C9F">
        <w:t>appropriate</w:t>
      </w:r>
      <w:r w:rsidRPr="00A03B40" w:rsidR="0096243B">
        <w:t xml:space="preserve"> for exploration via a rulemaking in which all </w:t>
      </w:r>
      <w:r w:rsidR="0004181E">
        <w:t>LSEs</w:t>
      </w:r>
      <w:r w:rsidRPr="00A03B40" w:rsidR="0096243B">
        <w:t xml:space="preserve"> can participate</w:t>
      </w:r>
      <w:r w:rsidRPr="00A03B40">
        <w:t>.</w:t>
      </w:r>
      <w:r w:rsidRPr="00A03B40" w:rsidR="0096243B">
        <w:t xml:space="preserve"> </w:t>
      </w:r>
      <w:r w:rsidRPr="00A03B40" w:rsidR="0007585C">
        <w:t xml:space="preserve">Consistent with our </w:t>
      </w:r>
      <w:r w:rsidRPr="00A03B40" w:rsidR="00395FCA">
        <w:t>holding</w:t>
      </w:r>
      <w:r w:rsidRPr="00A03B40" w:rsidR="0007585C">
        <w:t xml:space="preserve"> in D.24-12-039, w</w:t>
      </w:r>
      <w:r w:rsidRPr="00A03B40" w:rsidR="0096243B">
        <w:t xml:space="preserve">e </w:t>
      </w:r>
      <w:r w:rsidRPr="00A03B40" w:rsidR="0007585C">
        <w:t>also</w:t>
      </w:r>
      <w:r w:rsidRPr="00A03B40" w:rsidR="0096243B">
        <w:t xml:space="preserve"> </w:t>
      </w:r>
      <w:r w:rsidRPr="00A03B40" w:rsidR="0007585C">
        <w:t xml:space="preserve">find </w:t>
      </w:r>
      <w:r w:rsidRPr="00A03B40" w:rsidR="006568B9">
        <w:t>“</w:t>
      </w:r>
      <w:r w:rsidRPr="00A03B40" w:rsidR="0096243B">
        <w:t>that SCE’s proposed methodology is</w:t>
      </w:r>
      <w:r w:rsidRPr="00A03B40" w:rsidR="006568B9">
        <w:t xml:space="preserve"> a reasonable execution of guidance given to account for how Resource Adequacy is counted for compliance purposes.”</w:t>
      </w:r>
      <w:r w:rsidRPr="00A03B40" w:rsidR="006568B9">
        <w:rPr>
          <w:rStyle w:val="FootnoteReference"/>
        </w:rPr>
        <w:footnoteReference w:id="422"/>
      </w:r>
      <w:r w:rsidRPr="00A03B40" w:rsidR="006568B9">
        <w:t xml:space="preserve"> The Commission finds SCE’s use of </w:t>
      </w:r>
      <w:r w:rsidRPr="00A03B40" w:rsidR="008E0270">
        <w:t>its</w:t>
      </w:r>
      <w:r w:rsidRPr="00A03B40" w:rsidR="006568B9">
        <w:t xml:space="preserve"> SOD methodology </w:t>
      </w:r>
      <w:r w:rsidRPr="00A03B40" w:rsidR="00B76463">
        <w:t xml:space="preserve">to forecast </w:t>
      </w:r>
      <w:r w:rsidR="0004181E">
        <w:t>PCIA</w:t>
      </w:r>
      <w:r w:rsidRPr="00A03B40" w:rsidR="00B76463">
        <w:t xml:space="preserve"> charges </w:t>
      </w:r>
      <w:r w:rsidRPr="00A03B40" w:rsidR="006568B9">
        <w:t>reasonable for the purposes of the 2026 ERRA forecast.</w:t>
      </w:r>
    </w:p>
    <w:p w:rsidRPr="00A03B40" w:rsidR="005E0A57" w:rsidP="00C064F0" w:rsidRDefault="005E0A57" w14:paraId="057F2C3A" w14:textId="21D4081D">
      <w:pPr>
        <w:pStyle w:val="Standard"/>
      </w:pPr>
      <w:proofErr w:type="spellStart"/>
      <w:r w:rsidRPr="00A03B40">
        <w:t>CalCCA</w:t>
      </w:r>
      <w:proofErr w:type="spellEnd"/>
      <w:r w:rsidRPr="00A03B40">
        <w:t xml:space="preserve"> does not dispute the outcome of the changes SCE made to its RA</w:t>
      </w:r>
      <w:r w:rsidR="003B6AC4">
        <w:t> </w:t>
      </w:r>
      <w:r w:rsidRPr="00A03B40">
        <w:t xml:space="preserve">value forecast methodology between SCE’s May Filing and its Amended October Update. We agree that large, substantive methodological changes between a utility’s May Filing and October Update can present challenges for the Commission and intervenors and may ultimately be prejudicial. However, </w:t>
      </w:r>
      <w:proofErr w:type="spellStart"/>
      <w:r w:rsidRPr="00A03B40">
        <w:t>CalCCA</w:t>
      </w:r>
      <w:proofErr w:type="spellEnd"/>
      <w:r w:rsidRPr="00A03B40">
        <w:t xml:space="preserve"> cites to no Commission authority that supports its request to preemptively declare all substantive </w:t>
      </w:r>
      <w:r w:rsidRPr="00A03B40" w:rsidR="00A970FB">
        <w:t xml:space="preserve">utility </w:t>
      </w:r>
      <w:r w:rsidRPr="00A03B40">
        <w:t xml:space="preserve">changes between May and October to </w:t>
      </w:r>
      <w:r w:rsidRPr="00A03B40">
        <w:lastRenderedPageBreak/>
        <w:t xml:space="preserve">be prejudicial. </w:t>
      </w:r>
      <w:proofErr w:type="spellStart"/>
      <w:r w:rsidRPr="00A03B40">
        <w:t>CalCCA</w:t>
      </w:r>
      <w:proofErr w:type="spellEnd"/>
      <w:r w:rsidRPr="00A03B40">
        <w:t xml:space="preserve"> does not </w:t>
      </w:r>
      <w:r w:rsidRPr="00A03B40" w:rsidR="007C17FE">
        <w:t>allege,</w:t>
      </w:r>
      <w:r w:rsidRPr="00A03B40">
        <w:t xml:space="preserve"> and we do not find prejudice here and so we decline to adopt </w:t>
      </w:r>
      <w:proofErr w:type="spellStart"/>
      <w:r w:rsidRPr="00A03B40">
        <w:t>CalCCA’s</w:t>
      </w:r>
      <w:proofErr w:type="spellEnd"/>
      <w:r w:rsidRPr="00A03B40">
        <w:t xml:space="preserve"> request.</w:t>
      </w:r>
    </w:p>
    <w:p w:rsidRPr="00A03B40" w:rsidR="005B786D" w:rsidP="005B786D" w:rsidRDefault="005B786D" w14:paraId="3BF6E23C" w14:textId="5EE7AA10">
      <w:pPr>
        <w:pStyle w:val="Heading3"/>
      </w:pPr>
      <w:bookmarkStart w:name="_Toc214629911" w:id="200"/>
      <w:r w:rsidRPr="00A03B40">
        <w:t xml:space="preserve">Other </w:t>
      </w:r>
      <w:r w:rsidRPr="00A03B40" w:rsidR="00E626CB">
        <w:t>Proposed</w:t>
      </w:r>
      <w:r w:rsidRPr="00A03B40">
        <w:t xml:space="preserve"> Modification</w:t>
      </w:r>
      <w:r w:rsidRPr="00A03B40" w:rsidR="00E626CB">
        <w:t>s</w:t>
      </w:r>
      <w:r w:rsidRPr="00A03B40">
        <w:t xml:space="preserve"> to Southern California Edison Company’s Calculation of its 2026 Indifference Amount</w:t>
      </w:r>
      <w:bookmarkEnd w:id="200"/>
    </w:p>
    <w:p w:rsidRPr="00A03B40" w:rsidR="005B786D" w:rsidP="005B786D" w:rsidRDefault="00886389" w14:paraId="4E267B20" w14:textId="012BB1E6">
      <w:pPr>
        <w:pStyle w:val="Standard"/>
        <w:widowControl w:val="0"/>
      </w:pPr>
      <w:r>
        <w:t xml:space="preserve">In testimony, </w:t>
      </w:r>
      <w:proofErr w:type="spellStart"/>
      <w:r w:rsidRPr="00A03B40" w:rsidR="005B786D">
        <w:t>CalCCA</w:t>
      </w:r>
      <w:proofErr w:type="spellEnd"/>
      <w:r w:rsidRPr="00A03B40" w:rsidR="005B786D">
        <w:t xml:space="preserve"> notes what it considers to be two corrections to SCE’s </w:t>
      </w:r>
      <w:r w:rsidRPr="00A03B40" w:rsidR="00D867F9">
        <w:t xml:space="preserve">2026 </w:t>
      </w:r>
      <w:r w:rsidRPr="00A03B40" w:rsidR="005B786D">
        <w:t xml:space="preserve">Indifference Amount calculation: </w:t>
      </w:r>
      <w:proofErr w:type="spellStart"/>
      <w:r w:rsidRPr="00A03B40" w:rsidR="005B786D">
        <w:t>CalCCA</w:t>
      </w:r>
      <w:proofErr w:type="spellEnd"/>
      <w:r w:rsidRPr="00A03B40" w:rsidR="005B786D">
        <w:t xml:space="preserve"> states that SCE failed to allocate the sale revenue related to one contract in a </w:t>
      </w:r>
      <w:r w:rsidRPr="00A03B40" w:rsidR="000F6BA4">
        <w:t xml:space="preserve">REC </w:t>
      </w:r>
      <w:r w:rsidRPr="00A03B40" w:rsidR="005B786D">
        <w:t>swap transaction to the proper PABA vintage</w:t>
      </w:r>
      <w:r w:rsidRPr="00A03B40" w:rsidR="000F6BA4">
        <w:t xml:space="preserve"> proposed in SCE’s AL 5487-E. </w:t>
      </w:r>
      <w:proofErr w:type="spellStart"/>
      <w:r w:rsidRPr="00A03B40" w:rsidR="000F6BA4">
        <w:t>CalCCA</w:t>
      </w:r>
      <w:proofErr w:type="spellEnd"/>
      <w:r w:rsidRPr="00A03B40" w:rsidR="000F6BA4">
        <w:t xml:space="preserve"> also states that an error in SCE’s workpapers resulted in the impacts of neither of the two contracts in the swap transaction </w:t>
      </w:r>
      <w:r w:rsidRPr="00A03B40" w:rsidR="000B7812">
        <w:t>appearing in the Indifference Calculation.</w:t>
      </w:r>
      <w:r w:rsidRPr="00A03B40" w:rsidR="00395FCA">
        <w:rPr>
          <w:rStyle w:val="FootnoteReference"/>
        </w:rPr>
        <w:footnoteReference w:id="423"/>
      </w:r>
    </w:p>
    <w:p w:rsidRPr="00A03B40" w:rsidR="009C0BA9" w:rsidP="007C17FE" w:rsidRDefault="009C0BA9" w14:paraId="098C5FBB" w14:textId="74600155">
      <w:pPr>
        <w:pStyle w:val="Standard"/>
        <w:widowControl w:val="0"/>
      </w:pPr>
      <w:proofErr w:type="spellStart"/>
      <w:r w:rsidRPr="00A03B40">
        <w:t>CalCCA</w:t>
      </w:r>
      <w:proofErr w:type="spellEnd"/>
      <w:r w:rsidRPr="00A03B40">
        <w:t xml:space="preserve"> also recommends that SCE update the vintage assignment of any MTR contract that is shifted between program obligations. Specifically, </w:t>
      </w:r>
      <w:proofErr w:type="spellStart"/>
      <w:r w:rsidRPr="00A03B40">
        <w:t>CalCCA</w:t>
      </w:r>
      <w:proofErr w:type="spellEnd"/>
      <w:r w:rsidRPr="00A03B40">
        <w:t xml:space="preserve"> recommends that contract number 12078, which is projected to be online during 2026, be updated to reflect the expected update to meet both the 2025 (2021 PABA vintage subaccount) and 2026 (2023 PABA vintage subaccount) MTR compliance tranches.</w:t>
      </w:r>
      <w:r w:rsidRPr="00A03B40">
        <w:rPr>
          <w:rStyle w:val="FootnoteReference"/>
        </w:rPr>
        <w:footnoteReference w:id="424"/>
      </w:r>
      <w:r w:rsidRPr="00A03B40" w:rsidR="007C17FE">
        <w:t xml:space="preserve"> </w:t>
      </w:r>
      <w:r w:rsidRPr="00A03B40">
        <w:t>SCE does not dispute these recommendations</w:t>
      </w:r>
      <w:r w:rsidRPr="00A03B40">
        <w:rPr>
          <w:rStyle w:val="FootnoteReference"/>
        </w:rPr>
        <w:footnoteReference w:id="425"/>
      </w:r>
      <w:r w:rsidRPr="00A03B40">
        <w:t xml:space="preserve"> and incorporates them into its </w:t>
      </w:r>
      <w:r w:rsidRPr="00A03B40" w:rsidR="00413E77">
        <w:t xml:space="preserve">Amended </w:t>
      </w:r>
      <w:r w:rsidRPr="00A03B40">
        <w:t>October Update.</w:t>
      </w:r>
    </w:p>
    <w:p w:rsidRPr="00A03B40" w:rsidR="00585BC4" w:rsidP="00585BC4" w:rsidRDefault="00585BC4" w14:paraId="73327734" w14:textId="360C151B">
      <w:pPr>
        <w:pStyle w:val="Heading3"/>
      </w:pPr>
      <w:bookmarkStart w:name="_Toc214629912" w:id="201"/>
      <w:r w:rsidRPr="00A03B40">
        <w:t xml:space="preserve">Other Items Included in Southern California Edison Company’s Proposed </w:t>
      </w:r>
      <w:r w:rsidRPr="00A03B40" w:rsidR="00845F40">
        <w:t xml:space="preserve">2026 </w:t>
      </w:r>
      <w:r w:rsidR="0004181E">
        <w:t>Power Charge Indifference Adjustment</w:t>
      </w:r>
      <w:r w:rsidRPr="00A03B40">
        <w:t xml:space="preserve"> Rates</w:t>
      </w:r>
      <w:bookmarkEnd w:id="201"/>
    </w:p>
    <w:p w:rsidRPr="00A03B40" w:rsidR="00585BC4" w:rsidP="00585BC4" w:rsidRDefault="00585BC4" w14:paraId="6BC156F9" w14:textId="2B2B99E2">
      <w:pPr>
        <w:pStyle w:val="Standard"/>
      </w:pPr>
      <w:r w:rsidRPr="00A03B40">
        <w:t xml:space="preserve">SCE proposes </w:t>
      </w:r>
      <w:proofErr w:type="gramStart"/>
      <w:r w:rsidRPr="00A03B40" w:rsidR="00845F40">
        <w:t>to include</w:t>
      </w:r>
      <w:proofErr w:type="gramEnd"/>
      <w:r w:rsidRPr="00A03B40">
        <w:t xml:space="preserve"> the following additional items in its 2026 </w:t>
      </w:r>
      <w:r w:rsidR="0004181E">
        <w:t>PCIA</w:t>
      </w:r>
      <w:r w:rsidRPr="00A03B40">
        <w:t xml:space="preserve"> rates forecast:</w:t>
      </w:r>
      <w:r w:rsidRPr="00A03B40" w:rsidR="00F44045">
        <w:rPr>
          <w:rStyle w:val="FootnoteReference"/>
        </w:rPr>
        <w:footnoteReference w:id="426"/>
      </w:r>
    </w:p>
    <w:p w:rsidRPr="00A03B40" w:rsidR="00585BC4" w:rsidP="003B6AC4" w:rsidRDefault="00585BC4" w14:paraId="027C36BB" w14:textId="6B0927A9">
      <w:pPr>
        <w:pStyle w:val="ListAlpha"/>
        <w:ind w:right="1440"/>
      </w:pPr>
      <w:r w:rsidRPr="00A03B40">
        <w:lastRenderedPageBreak/>
        <w:t>A true</w:t>
      </w:r>
      <w:r w:rsidR="006E0D77">
        <w:t xml:space="preserve"> </w:t>
      </w:r>
      <w:r w:rsidRPr="00A03B40">
        <w:t>up of the year-end 2025 PABA balance, pursuant to D.18-10-019 and D.19-1</w:t>
      </w:r>
      <w:r w:rsidRPr="00A03B40" w:rsidR="009D045A">
        <w:t>0</w:t>
      </w:r>
      <w:r w:rsidRPr="00A03B40">
        <w:t>-</w:t>
      </w:r>
      <w:proofErr w:type="gramStart"/>
      <w:r w:rsidRPr="00A03B40">
        <w:t>001;</w:t>
      </w:r>
      <w:proofErr w:type="gramEnd"/>
    </w:p>
    <w:p w:rsidR="003B6AC4" w:rsidP="003B6AC4" w:rsidRDefault="00585BC4" w14:paraId="29F511EA" w14:textId="77777777">
      <w:pPr>
        <w:pStyle w:val="ListAlpha"/>
        <w:spacing w:after="0"/>
        <w:ind w:right="1440"/>
      </w:pPr>
      <w:r w:rsidRPr="00A03B40">
        <w:t xml:space="preserve">A transfer of the year-end 2025 ERRA balance to the 2025 PABA vintage subaccount, pursuant to OP 4 of </w:t>
      </w:r>
    </w:p>
    <w:p w:rsidRPr="00A03B40" w:rsidR="00585BC4" w:rsidP="003B6AC4" w:rsidRDefault="00395FCA" w14:paraId="099F580E" w14:textId="6DFD500E">
      <w:pPr>
        <w:pStyle w:val="ListAlpha"/>
        <w:numPr>
          <w:ilvl w:val="0"/>
          <w:numId w:val="0"/>
        </w:numPr>
        <w:ind w:left="1080" w:right="1440"/>
      </w:pPr>
      <w:r w:rsidRPr="00A03B40">
        <w:t>D.22-01-</w:t>
      </w:r>
      <w:proofErr w:type="gramStart"/>
      <w:r w:rsidRPr="00A03B40">
        <w:t>023</w:t>
      </w:r>
      <w:r w:rsidRPr="00A03B40" w:rsidR="00585BC4">
        <w:t>;</w:t>
      </w:r>
      <w:proofErr w:type="gramEnd"/>
    </w:p>
    <w:p w:rsidRPr="00A03B40" w:rsidR="00585BC4" w:rsidP="003B6AC4" w:rsidRDefault="00585BC4" w14:paraId="477E9E1A" w14:textId="5D0AB775">
      <w:pPr>
        <w:pStyle w:val="ListAlpha"/>
        <w:ind w:right="1440"/>
      </w:pPr>
      <w:r w:rsidRPr="00A03B40">
        <w:t>Amortization of the system reliability costs incurred pursuant to D.19-</w:t>
      </w:r>
      <w:r w:rsidRPr="00A03B40" w:rsidR="009D045A">
        <w:t>1</w:t>
      </w:r>
      <w:r w:rsidRPr="00A03B40">
        <w:t>1-016</w:t>
      </w:r>
      <w:r w:rsidRPr="00A03B40" w:rsidR="00196497">
        <w:t>, tracked in the PABA</w:t>
      </w:r>
      <w:r w:rsidRPr="00A03B40" w:rsidR="009D045A">
        <w:t>, and authorized for recovery pursuant to Res</w:t>
      </w:r>
      <w:r w:rsidRPr="00A03B40" w:rsidR="00030534">
        <w:t>.</w:t>
      </w:r>
      <w:r w:rsidRPr="00A03B40" w:rsidR="009D045A">
        <w:t xml:space="preserve"> E-5240</w:t>
      </w:r>
      <w:r w:rsidRPr="00A03B40" w:rsidR="00034F1B">
        <w:t xml:space="preserve"> (described in Section 5.</w:t>
      </w:r>
      <w:r w:rsidRPr="00A03B40" w:rsidR="009C0BA9">
        <w:t>2</w:t>
      </w:r>
      <w:r w:rsidRPr="00A03B40" w:rsidR="00034F1B">
        <w:t>.7</w:t>
      </w:r>
      <w:proofErr w:type="gramStart"/>
      <w:r w:rsidRPr="00A03B40" w:rsidR="00034F1B">
        <w:t>)</w:t>
      </w:r>
      <w:r w:rsidRPr="00A03B40" w:rsidR="009D045A">
        <w:t>;</w:t>
      </w:r>
      <w:proofErr w:type="gramEnd"/>
    </w:p>
    <w:p w:rsidRPr="00A03B40" w:rsidR="009D045A" w:rsidP="003B6AC4" w:rsidRDefault="009D045A" w14:paraId="64DC3E1C" w14:textId="5640B385">
      <w:pPr>
        <w:pStyle w:val="ListAlpha"/>
        <w:ind w:right="1440"/>
      </w:pPr>
      <w:r w:rsidRPr="00A03B40">
        <w:t>Costs of the UOS Separator, to be recovered via the 2021 subaccount of the PABA pursuant to D.21-06-035 and Res</w:t>
      </w:r>
      <w:r w:rsidRPr="00A03B40" w:rsidR="00A75DD0">
        <w:t>.</w:t>
      </w:r>
      <w:r w:rsidR="00C277D5">
        <w:t> </w:t>
      </w:r>
      <w:r w:rsidRPr="00A03B40">
        <w:t>E-5259</w:t>
      </w:r>
      <w:r w:rsidRPr="00A03B40" w:rsidR="00034F1B">
        <w:t xml:space="preserve"> (described in Section 5.</w:t>
      </w:r>
      <w:r w:rsidRPr="00A03B40" w:rsidR="009C0BA9">
        <w:t>4</w:t>
      </w:r>
      <w:r w:rsidRPr="00A03B40" w:rsidR="00030534">
        <w:t>.2</w:t>
      </w:r>
      <w:proofErr w:type="gramStart"/>
      <w:r w:rsidRPr="00A03B40" w:rsidR="00034F1B">
        <w:t>)</w:t>
      </w:r>
      <w:r w:rsidRPr="00A03B40" w:rsidR="00F44045">
        <w:t>;</w:t>
      </w:r>
      <w:proofErr w:type="gramEnd"/>
    </w:p>
    <w:p w:rsidRPr="00A03B40" w:rsidR="00F44045" w:rsidP="003B6AC4" w:rsidRDefault="00F44045" w14:paraId="3B426774" w14:textId="06D7F799">
      <w:pPr>
        <w:pStyle w:val="ListAlpha"/>
        <w:ind w:right="1440"/>
      </w:pPr>
      <w:r w:rsidRPr="00A03B40">
        <w:t xml:space="preserve">Amortization of its </w:t>
      </w:r>
      <w:r w:rsidRPr="00A03B40" w:rsidR="00413E77">
        <w:t>January 1, 2025 – September 30, 2025</w:t>
      </w:r>
      <w:r w:rsidR="005150B2">
        <w:t>,</w:t>
      </w:r>
      <w:r w:rsidRPr="00A03B40" w:rsidR="00413E77">
        <w:t xml:space="preserve"> </w:t>
      </w:r>
      <w:r w:rsidRPr="00A03B40">
        <w:t>General Rate Case Revenue Requirement Memorandum Account (GRCRRMA)</w:t>
      </w:r>
      <w:r w:rsidRPr="00A03B40" w:rsidR="00413E77">
        <w:t xml:space="preserve"> balance</w:t>
      </w:r>
      <w:r w:rsidRPr="00A03B40" w:rsidR="0083021A">
        <w:t>, pursuant to D.25-09-030</w:t>
      </w:r>
      <w:r w:rsidRPr="00A03B40" w:rsidR="00116A90">
        <w:t>.</w:t>
      </w:r>
    </w:p>
    <w:p w:rsidRPr="00A03B40" w:rsidR="00116A90" w:rsidP="009D045A" w:rsidRDefault="00845F40" w14:paraId="70D02142" w14:textId="42BB4ED0">
      <w:pPr>
        <w:pStyle w:val="Standard"/>
      </w:pPr>
      <w:r w:rsidRPr="00A03B40">
        <w:t>SCE’s requested a</w:t>
      </w:r>
      <w:r w:rsidRPr="00A03B40" w:rsidR="00F44045">
        <w:t xml:space="preserve">mortization of </w:t>
      </w:r>
      <w:r w:rsidRPr="00A03B40" w:rsidR="00116A90">
        <w:t xml:space="preserve">the remaining </w:t>
      </w:r>
      <w:r w:rsidRPr="00A03B40" w:rsidR="00F44045">
        <w:t xml:space="preserve">D.19-11-016 system reliability costs </w:t>
      </w:r>
      <w:r w:rsidRPr="00A03B40" w:rsidR="00196497">
        <w:t>in the PABA</w:t>
      </w:r>
      <w:r w:rsidRPr="00A03B40" w:rsidR="009D045A">
        <w:t xml:space="preserve"> </w:t>
      </w:r>
      <w:r w:rsidRPr="00A03B40" w:rsidR="00116A90">
        <w:t xml:space="preserve">and recovery of UOS Separator costs via the PABA continue to be proposed in compliance with Commission directives and are </w:t>
      </w:r>
      <w:r w:rsidR="005150B2">
        <w:t xml:space="preserve">therefore </w:t>
      </w:r>
      <w:r w:rsidRPr="00A03B40" w:rsidR="00116A90">
        <w:t>reasonable</w:t>
      </w:r>
      <w:r w:rsidRPr="00A03B40">
        <w:t xml:space="preserve"> and authorized</w:t>
      </w:r>
      <w:r w:rsidRPr="00A03B40" w:rsidR="00116A90">
        <w:t xml:space="preserve">. </w:t>
      </w:r>
    </w:p>
    <w:p w:rsidR="00C277D5" w:rsidP="009D045A" w:rsidRDefault="00F43363" w14:paraId="604284CF" w14:textId="77777777">
      <w:pPr>
        <w:pStyle w:val="Standard"/>
      </w:pPr>
      <w:r w:rsidRPr="00A03B40">
        <w:t xml:space="preserve">SCE’s test year 2025 GRC decision was not adopted until September of that test year. Thus, SCE’s rates for most of 2025 did not reflect the </w:t>
      </w:r>
      <w:r w:rsidRPr="00A03B40" w:rsidR="0042697F">
        <w:t xml:space="preserve">base </w:t>
      </w:r>
      <w:r w:rsidRPr="00A03B40">
        <w:t>revenue requirement ultimately adopted for that period</w:t>
      </w:r>
      <w:r w:rsidRPr="00A03B40" w:rsidR="006E6C9F">
        <w:t xml:space="preserve">, resulting in an </w:t>
      </w:r>
      <w:proofErr w:type="spellStart"/>
      <w:r w:rsidRPr="00A03B40" w:rsidR="006E6C9F">
        <w:t>undercollection</w:t>
      </w:r>
      <w:proofErr w:type="spellEnd"/>
      <w:r w:rsidRPr="00A03B40">
        <w:t xml:space="preserve">. </w:t>
      </w:r>
      <w:r w:rsidRPr="00A03B40" w:rsidR="00845F40">
        <w:t>SCE’s GRCRRMA balance is not included in the revenue requirement amounts adopted in this decision.</w:t>
      </w:r>
      <w:r w:rsidRPr="00A03B40" w:rsidR="00845F40">
        <w:rPr>
          <w:rStyle w:val="FootnoteReference"/>
        </w:rPr>
        <w:footnoteReference w:id="427"/>
      </w:r>
      <w:r w:rsidRPr="00A03B40" w:rsidR="00845F40">
        <w:t xml:space="preserve"> However, t</w:t>
      </w:r>
      <w:r w:rsidRPr="00A03B40">
        <w:t>he decision resolving that GRC</w:t>
      </w:r>
      <w:r w:rsidRPr="00A03B40" w:rsidR="008555E6">
        <w:t xml:space="preserve"> directed SCE to </w:t>
      </w:r>
      <w:r w:rsidRPr="00A03B40" w:rsidR="00AB27E3">
        <w:t xml:space="preserve">amortize over 24 months the difference between billed revenues received </w:t>
      </w:r>
      <w:r w:rsidRPr="00A03B40" w:rsidR="0042697F">
        <w:t xml:space="preserve">during the test year </w:t>
      </w:r>
      <w:r w:rsidRPr="00A03B40" w:rsidR="00AB27E3">
        <w:t xml:space="preserve">and the adopted 2025 </w:t>
      </w:r>
      <w:r w:rsidRPr="00A03B40" w:rsidR="0042697F">
        <w:t xml:space="preserve">base </w:t>
      </w:r>
      <w:r w:rsidRPr="00A03B40" w:rsidR="00AB27E3">
        <w:t>revenue requirement</w:t>
      </w:r>
      <w:r w:rsidRPr="00A03B40" w:rsidR="008555E6">
        <w:t xml:space="preserve"> “beginning October 1, 2025, or as soon thereafter as it may be effected.”</w:t>
      </w:r>
      <w:r w:rsidRPr="00A03B40" w:rsidR="008555E6">
        <w:rPr>
          <w:rStyle w:val="FootnoteReference"/>
        </w:rPr>
        <w:footnoteReference w:id="428"/>
      </w:r>
      <w:r w:rsidRPr="00A03B40">
        <w:t xml:space="preserve"> </w:t>
      </w:r>
      <w:r w:rsidRPr="00A03B40" w:rsidR="00AB27E3">
        <w:t>SCE</w:t>
      </w:r>
      <w:r w:rsidRPr="00A03B40" w:rsidR="009C465D">
        <w:t xml:space="preserve">’s presentation </w:t>
      </w:r>
      <w:r w:rsidRPr="00A03B40" w:rsidR="009C465D">
        <w:lastRenderedPageBreak/>
        <w:t>of the year-end 2025 PABA balance in its Amended October Update is different from its May Filing</w:t>
      </w:r>
      <w:r w:rsidRPr="00A03B40" w:rsidR="00A970FB">
        <w:t>, in part,</w:t>
      </w:r>
      <w:r w:rsidRPr="00A03B40" w:rsidR="009C465D">
        <w:t xml:space="preserve"> because in the May Filing, all of SCE’s forecast </w:t>
      </w:r>
    </w:p>
    <w:p w:rsidRPr="00A03B40" w:rsidR="00F43363" w:rsidP="00C277D5" w:rsidRDefault="009C465D" w14:paraId="3F4115D8" w14:textId="07CB8B78">
      <w:pPr>
        <w:pStyle w:val="Standard"/>
        <w:ind w:firstLine="0"/>
      </w:pPr>
      <w:r w:rsidRPr="00A03B40">
        <w:t xml:space="preserve">year-end 2025 PABA </w:t>
      </w:r>
      <w:proofErr w:type="spellStart"/>
      <w:r w:rsidRPr="00A03B40">
        <w:t>undercollection</w:t>
      </w:r>
      <w:proofErr w:type="spellEnd"/>
      <w:r w:rsidRPr="00A03B40">
        <w:t xml:space="preserve"> was included in its proposed 2026 ERRA Revenue requirement. Now, because the GRCRRMA portion is to be amortized over 24 months rather than 12, the GRCRRMA portion of the forecast year-end 2025 </w:t>
      </w:r>
      <w:r w:rsidRPr="00A03B40" w:rsidR="004E0D40">
        <w:t xml:space="preserve">PABA </w:t>
      </w:r>
      <w:proofErr w:type="spellStart"/>
      <w:r w:rsidRPr="00A03B40">
        <w:t>undercollection</w:t>
      </w:r>
      <w:proofErr w:type="spellEnd"/>
      <w:r w:rsidRPr="00A03B40">
        <w:t xml:space="preserve"> has been removed from the PABA </w:t>
      </w:r>
      <w:proofErr w:type="spellStart"/>
      <w:r w:rsidRPr="00A03B40">
        <w:t>undercollection</w:t>
      </w:r>
      <w:proofErr w:type="spellEnd"/>
      <w:r w:rsidRPr="00A03B40" w:rsidR="004E0D40">
        <w:t xml:space="preserve"> </w:t>
      </w:r>
      <w:r w:rsidRPr="00A03B40">
        <w:t>and the portion that is to be amortized over the 12</w:t>
      </w:r>
      <w:r w:rsidRPr="00A03B40" w:rsidR="004E0D40">
        <w:t xml:space="preserve"> </w:t>
      </w:r>
      <w:r w:rsidRPr="00A03B40">
        <w:t>months beginning January</w:t>
      </w:r>
      <w:r w:rsidR="006B5D9E">
        <w:t> </w:t>
      </w:r>
      <w:r w:rsidRPr="00A03B40">
        <w:t>1,</w:t>
      </w:r>
      <w:r w:rsidR="006B5D9E">
        <w:t> </w:t>
      </w:r>
      <w:r w:rsidRPr="00A03B40">
        <w:t>2025 has been tracked as a standalone revenue requirement item</w:t>
      </w:r>
      <w:r w:rsidRPr="00A03B40" w:rsidR="004E0D40">
        <w:t xml:space="preserve"> incorporated into the</w:t>
      </w:r>
      <w:r w:rsidRPr="00A03B40">
        <w:t xml:space="preserve"> 2026 </w:t>
      </w:r>
      <w:r w:rsidR="0004181E">
        <w:t>PCIA</w:t>
      </w:r>
      <w:r w:rsidRPr="00A03B40">
        <w:t xml:space="preserve"> revenue requirement.</w:t>
      </w:r>
      <w:r w:rsidRPr="00A03B40" w:rsidR="00865BD1">
        <w:rPr>
          <w:rStyle w:val="FootnoteReference"/>
        </w:rPr>
        <w:footnoteReference w:id="429"/>
      </w:r>
      <w:r w:rsidRPr="00A03B40" w:rsidR="007579D8">
        <w:rPr>
          <w:vertAlign w:val="superscript"/>
        </w:rPr>
        <w:t>,</w:t>
      </w:r>
      <w:r w:rsidRPr="00A03B40" w:rsidR="007579D8">
        <w:t xml:space="preserve"> </w:t>
      </w:r>
      <w:r w:rsidRPr="00A03B40" w:rsidR="004E0D40">
        <w:rPr>
          <w:rStyle w:val="FootnoteReference"/>
        </w:rPr>
        <w:footnoteReference w:id="430"/>
      </w:r>
    </w:p>
    <w:p w:rsidRPr="00A03B40" w:rsidR="0042697F" w:rsidP="00C44216" w:rsidRDefault="0042697F" w14:paraId="296B3171" w14:textId="0AA7C493">
      <w:pPr>
        <w:pStyle w:val="Heading4"/>
        <w:numPr>
          <w:ilvl w:val="3"/>
          <w:numId w:val="25"/>
        </w:numPr>
      </w:pPr>
      <w:r w:rsidRPr="00A03B40">
        <w:t xml:space="preserve">2025 </w:t>
      </w:r>
      <w:r w:rsidR="00814D86">
        <w:t>Power Charge Indifference Adjustment</w:t>
      </w:r>
      <w:r w:rsidRPr="00A03B40">
        <w:t xml:space="preserve"> True</w:t>
      </w:r>
      <w:r w:rsidR="006E0D77">
        <w:t xml:space="preserve"> </w:t>
      </w:r>
      <w:r w:rsidRPr="00A03B40">
        <w:t>Up and 2025 Trigger Exceedance</w:t>
      </w:r>
    </w:p>
    <w:p w:rsidRPr="00A03B40" w:rsidR="000E5010" w:rsidP="009D045A" w:rsidRDefault="00116A90" w14:paraId="288F484D" w14:textId="1A727CCD">
      <w:pPr>
        <w:pStyle w:val="Standard"/>
      </w:pPr>
      <w:r w:rsidRPr="00A03B40">
        <w:t>SCE’s request</w:t>
      </w:r>
      <w:r w:rsidRPr="00A03B40" w:rsidR="00B10495">
        <w:t>s</w:t>
      </w:r>
      <w:r w:rsidRPr="00A03B40">
        <w:t xml:space="preserve"> to </w:t>
      </w:r>
      <w:r w:rsidRPr="00A03B40" w:rsidR="00B10495">
        <w:t xml:space="preserve">(1) </w:t>
      </w:r>
      <w:r w:rsidRPr="00A03B40" w:rsidR="0042697F">
        <w:t xml:space="preserve">transfer the year-end 2025 ERRA balance to the 2025 PABA vintage subaccount and (2) </w:t>
      </w:r>
      <w:r w:rsidRPr="00A03B40" w:rsidR="00B10495">
        <w:t>incorporate a true</w:t>
      </w:r>
      <w:r w:rsidR="006E0D77">
        <w:t xml:space="preserve"> </w:t>
      </w:r>
      <w:r w:rsidRPr="00A03B40" w:rsidR="00B10495">
        <w:t xml:space="preserve">up of its 2025 PABA balance into the 2026 </w:t>
      </w:r>
      <w:r w:rsidR="0004181E">
        <w:t>PCIA</w:t>
      </w:r>
      <w:r w:rsidRPr="00A03B40" w:rsidR="00B10495">
        <w:t xml:space="preserve"> </w:t>
      </w:r>
      <w:r w:rsidRPr="00A03B40" w:rsidR="00E808FE">
        <w:t xml:space="preserve">revenue requirement </w:t>
      </w:r>
      <w:r w:rsidRPr="00A03B40" w:rsidR="00B10495">
        <w:t>are</w:t>
      </w:r>
      <w:r w:rsidRPr="00A03B40">
        <w:t xml:space="preserve"> reasonable and adopted. D.18-10-019 requires utilities to propose in their ERRA forecasts a true</w:t>
      </w:r>
      <w:r w:rsidR="006E0D77">
        <w:t xml:space="preserve"> </w:t>
      </w:r>
      <w:r w:rsidRPr="00A03B40">
        <w:t xml:space="preserve">up of prior-year </w:t>
      </w:r>
      <w:r w:rsidR="0004181E">
        <w:t>PCIA</w:t>
      </w:r>
      <w:r w:rsidRPr="00A03B40" w:rsidR="0004181E">
        <w:t xml:space="preserve"> </w:t>
      </w:r>
      <w:r w:rsidRPr="00A03B40">
        <w:t xml:space="preserve">surcharges, by which utilities compare the forecast </w:t>
      </w:r>
      <w:r w:rsidR="0004181E">
        <w:t>PCIA</w:t>
      </w:r>
      <w:r w:rsidRPr="00A03B40">
        <w:t xml:space="preserve"> surcharge amounts with the actual amounts utilities receive</w:t>
      </w:r>
      <w:r w:rsidRPr="00A03B40" w:rsidR="0030363E">
        <w:t>d</w:t>
      </w:r>
      <w:r w:rsidRPr="00A03B40">
        <w:t xml:space="preserve"> for their </w:t>
      </w:r>
      <w:r w:rsidR="0004181E">
        <w:t>PCIA</w:t>
      </w:r>
      <w:r w:rsidRPr="00A03B40" w:rsidR="00A555EF">
        <w:t>-</w:t>
      </w:r>
      <w:r w:rsidRPr="00A03B40">
        <w:t xml:space="preserve">eligible resources over the </w:t>
      </w:r>
      <w:r w:rsidRPr="00A03B40" w:rsidR="0030363E">
        <w:t>forecast</w:t>
      </w:r>
      <w:r w:rsidRPr="00A03B40">
        <w:t xml:space="preserve"> period.</w:t>
      </w:r>
      <w:r w:rsidRPr="00A03B40" w:rsidR="00F43363">
        <w:rPr>
          <w:rStyle w:val="FootnoteReference"/>
        </w:rPr>
        <w:footnoteReference w:id="431"/>
      </w:r>
      <w:r w:rsidRPr="00A03B40" w:rsidR="00272131">
        <w:t xml:space="preserve"> This true</w:t>
      </w:r>
      <w:r w:rsidR="006E0D77">
        <w:t xml:space="preserve"> </w:t>
      </w:r>
      <w:r w:rsidRPr="00A03B40" w:rsidR="00272131">
        <w:t xml:space="preserve">up can change the total value of the </w:t>
      </w:r>
      <w:r w:rsidR="0004181E">
        <w:t>PCIA</w:t>
      </w:r>
      <w:r w:rsidRPr="00A03B40" w:rsidR="00272131">
        <w:t xml:space="preserve"> revenue requirement (by showing that the actual market value of resources was greater or less than forecast in the prior year).</w:t>
      </w:r>
      <w:r w:rsidRPr="00A03B40" w:rsidR="00272131">
        <w:rPr>
          <w:rStyle w:val="FootnoteReference"/>
        </w:rPr>
        <w:footnoteReference w:id="432"/>
      </w:r>
      <w:r w:rsidRPr="00A03B40" w:rsidR="00F43363">
        <w:t xml:space="preserve"> </w:t>
      </w:r>
    </w:p>
    <w:p w:rsidRPr="00A03B40" w:rsidR="009926E3" w:rsidP="007C4F8C" w:rsidRDefault="009926E3" w14:paraId="23015F92" w14:textId="0EEACF05">
      <w:pPr>
        <w:pStyle w:val="Standard"/>
      </w:pPr>
      <w:r w:rsidRPr="00A03B40">
        <w:lastRenderedPageBreak/>
        <w:t xml:space="preserve">D.19-10-001 created processes by which forecast RA and RPS MPBs are trued-up. </w:t>
      </w:r>
      <w:r w:rsidRPr="00A03B40" w:rsidR="005003AD">
        <w:t>Following this decision, the Commission has authorized SCE’s</w:t>
      </w:r>
      <w:r w:rsidRPr="00A03B40" w:rsidR="000E5010">
        <w:t xml:space="preserve"> retained RA and RPS quantities </w:t>
      </w:r>
      <w:r w:rsidRPr="00A03B40" w:rsidR="005003AD">
        <w:t>to be</w:t>
      </w:r>
      <w:r w:rsidRPr="00A03B40" w:rsidR="000E5010">
        <w:t xml:space="preserve"> valued at the applicable prior-year Final MPBs (which Energy Division develops based on actual sales prices realized) or at $0</w:t>
      </w:r>
      <w:r w:rsidRPr="00A03B40" w:rsidR="005003AD">
        <w:t xml:space="preserve"> (in the case of Pre-2019 Banked RECs)</w:t>
      </w:r>
      <w:r w:rsidRPr="00A03B40" w:rsidR="000E5010">
        <w:t xml:space="preserve">, unsold quantities </w:t>
      </w:r>
      <w:r w:rsidRPr="00A03B40" w:rsidR="005003AD">
        <w:t xml:space="preserve">of Post-2018 Banked RECs </w:t>
      </w:r>
      <w:r w:rsidRPr="00A03B40" w:rsidR="000E5010">
        <w:t>are valued at $0, and actual sold quantities are valued at the actual sales prices.</w:t>
      </w:r>
      <w:r w:rsidRPr="00A03B40" w:rsidR="000E5010">
        <w:rPr>
          <w:rStyle w:val="FootnoteReference"/>
        </w:rPr>
        <w:footnoteReference w:id="433"/>
      </w:r>
      <w:r w:rsidRPr="00A03B40" w:rsidR="000E5010">
        <w:t xml:space="preserve"> Energy values are trued-up using actual sales. </w:t>
      </w:r>
      <w:r w:rsidRPr="00A03B40">
        <w:t>T</w:t>
      </w:r>
      <w:r w:rsidRPr="00A03B40" w:rsidR="00F43363">
        <w:t>he true</w:t>
      </w:r>
      <w:r w:rsidR="006E0D77">
        <w:t xml:space="preserve"> </w:t>
      </w:r>
      <w:r w:rsidRPr="00A03B40" w:rsidR="00F43363">
        <w:t xml:space="preserve">up allows any </w:t>
      </w:r>
      <w:r w:rsidRPr="00A03B40" w:rsidR="00814D86">
        <w:t>varia</w:t>
      </w:r>
      <w:r w:rsidR="00814D86">
        <w:t>tions</w:t>
      </w:r>
      <w:r w:rsidRPr="00A03B40" w:rsidR="00814D86">
        <w:t xml:space="preserve"> </w:t>
      </w:r>
      <w:r w:rsidRPr="00A03B40" w:rsidR="00F43363">
        <w:t>from the forecast, that is, any over- or under-collections, to be returned to or recovered from ratepayers.</w:t>
      </w:r>
      <w:r w:rsidRPr="00A03B40" w:rsidR="008450F9">
        <w:t xml:space="preserve"> </w:t>
      </w:r>
      <w:r w:rsidRPr="00A03B40" w:rsidR="00671066">
        <w:t>D.25-06-049 modified the RA MPB and required the modified RA to be used not only to forecast 2026 RA values, but also to true</w:t>
      </w:r>
      <w:r w:rsidR="006E0D77">
        <w:t xml:space="preserve"> </w:t>
      </w:r>
      <w:r w:rsidRPr="00A03B40" w:rsidR="00671066">
        <w:t>up 2025 RA values.</w:t>
      </w:r>
      <w:r w:rsidRPr="00A03B40" w:rsidR="00671066">
        <w:rPr>
          <w:rStyle w:val="FootnoteReference"/>
        </w:rPr>
        <w:footnoteReference w:id="434"/>
      </w:r>
    </w:p>
    <w:p w:rsidRPr="00A03B40" w:rsidR="00A555EF" w:rsidP="007C4F8C" w:rsidRDefault="00A555EF" w14:paraId="3B81AEE7" w14:textId="6EAFAEC3">
      <w:pPr>
        <w:pStyle w:val="Standard"/>
      </w:pPr>
      <w:r w:rsidRPr="00A03B40">
        <w:t>As shown in Table 8-3, below, SCE’s proposed true</w:t>
      </w:r>
      <w:r w:rsidR="006E0D77">
        <w:t xml:space="preserve"> </w:t>
      </w:r>
      <w:r w:rsidRPr="00A03B40">
        <w:t>ups of the values of Retained RA and RPS recorded in these balancing accounts changed significantly</w:t>
      </w:r>
      <w:r w:rsidRPr="00A03B40" w:rsidR="008450F9">
        <w:t xml:space="preserve"> from its May Filing to its </w:t>
      </w:r>
      <w:r w:rsidRPr="00A03B40" w:rsidR="00E808FE">
        <w:t xml:space="preserve">Amended </w:t>
      </w:r>
      <w:r w:rsidRPr="00A03B40" w:rsidR="008450F9">
        <w:t xml:space="preserve">October Update, primarily due to </w:t>
      </w:r>
      <w:r w:rsidRPr="00A03B40">
        <w:t>incorporation of the 2025 Final MPBs. The Commission’s Final 2025 MPBs indicate that retained RPS and retained System</w:t>
      </w:r>
      <w:r w:rsidR="0004181E">
        <w:t xml:space="preserve"> and Flex</w:t>
      </w:r>
      <w:r w:rsidRPr="00A03B40" w:rsidR="0004181E">
        <w:t xml:space="preserve"> </w:t>
      </w:r>
      <w:r w:rsidRPr="00A03B40">
        <w:t>RA resources were overvalued in the 2025 ERRA forecast. Practically speaking, this means that bundled</w:t>
      </w:r>
      <w:r w:rsidRPr="00A03B40" w:rsidR="00E808FE">
        <w:t xml:space="preserve"> </w:t>
      </w:r>
      <w:r w:rsidRPr="00A03B40">
        <w:t xml:space="preserve">customers “reimbursed” </w:t>
      </w:r>
      <w:r w:rsidRPr="00A03B40" w:rsidR="00E808FE">
        <w:t xml:space="preserve">or credited </w:t>
      </w:r>
      <w:r w:rsidRPr="00A03B40">
        <w:t xml:space="preserve">DL customers for more than the retained quantities were worth in the market </w:t>
      </w:r>
      <w:r w:rsidR="00CA29CE">
        <w:t>in</w:t>
      </w:r>
      <w:r w:rsidRPr="00A03B40" w:rsidR="00CA29CE">
        <w:t xml:space="preserve"> </w:t>
      </w:r>
      <w:r w:rsidRPr="00A03B40">
        <w:t>2025</w:t>
      </w:r>
      <w:r w:rsidRPr="00A03B40" w:rsidR="00E808FE">
        <w:t>.</w:t>
      </w:r>
      <w:r w:rsidRPr="00A03B40">
        <w:t xml:space="preserve"> DL customers’ </w:t>
      </w:r>
      <w:r w:rsidR="0004181E">
        <w:t>PCIA</w:t>
      </w:r>
      <w:r w:rsidRPr="00A03B40">
        <w:t xml:space="preserve"> rates will increase in 2026 </w:t>
      </w:r>
      <w:r w:rsidRPr="00A03B40" w:rsidR="00E808FE">
        <w:t xml:space="preserve">and bundled customer rates will decrease </w:t>
      </w:r>
      <w:r w:rsidRPr="00A03B40">
        <w:t xml:space="preserve">to </w:t>
      </w:r>
      <w:r w:rsidR="00B27242">
        <w:t>reverse</w:t>
      </w:r>
      <w:r w:rsidRPr="00A03B40">
        <w:t xml:space="preserve"> this over-valuation. </w:t>
      </w:r>
    </w:p>
    <w:p w:rsidRPr="00A03B40" w:rsidR="00A127FE" w:rsidP="006B5D9E" w:rsidRDefault="00B10495" w14:paraId="4729157A" w14:textId="01DF96E9">
      <w:pPr>
        <w:pStyle w:val="Standard"/>
        <w:keepNext/>
        <w:keepLines/>
        <w:spacing w:line="240" w:lineRule="auto"/>
        <w:ind w:firstLine="0"/>
        <w:jc w:val="center"/>
        <w:rPr>
          <w:b/>
          <w:bCs/>
        </w:rPr>
      </w:pPr>
      <w:r w:rsidRPr="00A03B40">
        <w:rPr>
          <w:b/>
          <w:bCs/>
        </w:rPr>
        <w:lastRenderedPageBreak/>
        <w:t>Table 8-</w:t>
      </w:r>
      <w:r w:rsidRPr="00A03B40" w:rsidR="00E57620">
        <w:rPr>
          <w:b/>
          <w:bCs/>
        </w:rPr>
        <w:t>3</w:t>
      </w:r>
      <w:r w:rsidRPr="00A03B40" w:rsidR="00426FB6">
        <w:rPr>
          <w:b/>
          <w:bCs/>
        </w:rPr>
        <w:t>:</w:t>
      </w:r>
      <w:r w:rsidRPr="00A03B40">
        <w:rPr>
          <w:b/>
          <w:bCs/>
        </w:rPr>
        <w:t xml:space="preserve"> Change in </w:t>
      </w:r>
      <w:r w:rsidR="0004181E">
        <w:rPr>
          <w:b/>
          <w:bCs/>
        </w:rPr>
        <w:t>PCIA</w:t>
      </w:r>
      <w:r w:rsidRPr="00A03B40" w:rsidR="00A127FE">
        <w:rPr>
          <w:b/>
          <w:bCs/>
        </w:rPr>
        <w:t>-Related</w:t>
      </w:r>
      <w:r w:rsidRPr="00A03B40" w:rsidR="00FB0873">
        <w:rPr>
          <w:b/>
          <w:bCs/>
        </w:rPr>
        <w:t xml:space="preserve"> </w:t>
      </w:r>
      <w:r w:rsidRPr="00A03B40">
        <w:rPr>
          <w:b/>
          <w:bCs/>
        </w:rPr>
        <w:t>Year-End</w:t>
      </w:r>
      <w:r w:rsidRPr="00A03B40" w:rsidR="00FB0873">
        <w:rPr>
          <w:b/>
          <w:bCs/>
        </w:rPr>
        <w:t xml:space="preserve"> 2025 Balances </w:t>
      </w:r>
    </w:p>
    <w:p w:rsidRPr="00A03B40" w:rsidR="00B10495" w:rsidP="006B5D9E" w:rsidRDefault="00A127FE" w14:paraId="6716AD44" w14:textId="64996D0F">
      <w:pPr>
        <w:pStyle w:val="Standard"/>
        <w:keepNext/>
        <w:keepLines/>
        <w:spacing w:after="120" w:line="240" w:lineRule="auto"/>
        <w:ind w:firstLine="0"/>
        <w:jc w:val="center"/>
        <w:rPr>
          <w:b/>
          <w:bCs/>
        </w:rPr>
      </w:pPr>
      <w:r w:rsidRPr="00A03B40">
        <w:rPr>
          <w:b/>
          <w:bCs/>
        </w:rPr>
        <w:t>between</w:t>
      </w:r>
      <w:r w:rsidRPr="00A03B40" w:rsidR="00FB0873">
        <w:rPr>
          <w:b/>
          <w:bCs/>
        </w:rPr>
        <w:t xml:space="preserve"> </w:t>
      </w:r>
      <w:proofErr w:type="gramStart"/>
      <w:r w:rsidRPr="00A03B40">
        <w:rPr>
          <w:b/>
          <w:bCs/>
        </w:rPr>
        <w:t>SCE’s</w:t>
      </w:r>
      <w:proofErr w:type="gramEnd"/>
      <w:r w:rsidRPr="00A03B40">
        <w:rPr>
          <w:b/>
          <w:bCs/>
        </w:rPr>
        <w:t xml:space="preserve"> </w:t>
      </w:r>
      <w:r w:rsidRPr="00A03B40" w:rsidR="00FB0873">
        <w:rPr>
          <w:b/>
          <w:bCs/>
        </w:rPr>
        <w:t>May</w:t>
      </w:r>
      <w:r w:rsidRPr="00A03B40">
        <w:rPr>
          <w:b/>
          <w:bCs/>
        </w:rPr>
        <w:t xml:space="preserve"> Filing and Amended</w:t>
      </w:r>
      <w:r w:rsidRPr="00A03B40" w:rsidR="00FB0873">
        <w:rPr>
          <w:b/>
          <w:bCs/>
        </w:rPr>
        <w:t xml:space="preserve"> October</w:t>
      </w:r>
      <w:r w:rsidRPr="00A03B40">
        <w:rPr>
          <w:b/>
          <w:bCs/>
        </w:rPr>
        <w:t xml:space="preserve"> Update</w:t>
      </w:r>
      <w:r w:rsidRPr="00A03B40" w:rsidR="00FB0873">
        <w:rPr>
          <w:rStyle w:val="FootnoteReference"/>
          <w:b/>
          <w:bCs/>
        </w:rPr>
        <w:footnoteReference w:id="435"/>
      </w:r>
    </w:p>
    <w:tbl>
      <w:tblPr>
        <w:tblStyle w:val="TableGrid"/>
        <w:tblW w:w="0" w:type="auto"/>
        <w:tblLook w:val="04A0" w:firstRow="1" w:lastRow="0" w:firstColumn="1" w:lastColumn="0" w:noHBand="0" w:noVBand="1"/>
      </w:tblPr>
      <w:tblGrid>
        <w:gridCol w:w="2337"/>
        <w:gridCol w:w="2248"/>
        <w:gridCol w:w="2880"/>
        <w:gridCol w:w="1885"/>
      </w:tblGrid>
      <w:tr w:rsidRPr="00A03B40" w:rsidR="00B10495" w:rsidTr="00B27242" w14:paraId="43B1A288" w14:textId="77777777">
        <w:trPr>
          <w:tblHeader/>
        </w:trPr>
        <w:tc>
          <w:tcPr>
            <w:tcW w:w="2337" w:type="dxa"/>
            <w:vAlign w:val="center"/>
          </w:tcPr>
          <w:p w:rsidRPr="00A03B40" w:rsidR="00B10495" w:rsidP="006B5D9E" w:rsidRDefault="00B10495" w14:paraId="336A2D45" w14:textId="4F42BA2A">
            <w:pPr>
              <w:pStyle w:val="Standard"/>
              <w:keepNext/>
              <w:keepLines/>
              <w:spacing w:line="240" w:lineRule="auto"/>
              <w:ind w:firstLine="0"/>
              <w:jc w:val="center"/>
              <w:rPr>
                <w:b/>
                <w:bCs/>
              </w:rPr>
            </w:pPr>
            <w:r w:rsidRPr="00A03B40">
              <w:rPr>
                <w:b/>
                <w:bCs/>
              </w:rPr>
              <w:t>Account</w:t>
            </w:r>
          </w:p>
        </w:tc>
        <w:tc>
          <w:tcPr>
            <w:tcW w:w="2248" w:type="dxa"/>
            <w:vAlign w:val="center"/>
          </w:tcPr>
          <w:p w:rsidRPr="00A03B40" w:rsidR="00B10495" w:rsidP="006B5D9E" w:rsidRDefault="00B10495" w14:paraId="0B577441" w14:textId="0178028A">
            <w:pPr>
              <w:pStyle w:val="Standard"/>
              <w:keepNext/>
              <w:keepLines/>
              <w:spacing w:line="240" w:lineRule="auto"/>
              <w:ind w:firstLine="0"/>
              <w:jc w:val="center"/>
              <w:rPr>
                <w:b/>
                <w:bCs/>
                <w:spacing w:val="-2"/>
              </w:rPr>
            </w:pPr>
            <w:r w:rsidRPr="00A03B40">
              <w:rPr>
                <w:b/>
                <w:bCs/>
                <w:spacing w:val="-2"/>
              </w:rPr>
              <w:t>May Filing ($000)</w:t>
            </w:r>
          </w:p>
        </w:tc>
        <w:tc>
          <w:tcPr>
            <w:tcW w:w="2880" w:type="dxa"/>
            <w:vAlign w:val="center"/>
          </w:tcPr>
          <w:p w:rsidRPr="00A03B40" w:rsidR="00B10495" w:rsidP="006B5D9E" w:rsidRDefault="00865BD1" w14:paraId="3513A054" w14:textId="2F46E971">
            <w:pPr>
              <w:pStyle w:val="Standard"/>
              <w:keepNext/>
              <w:keepLines/>
              <w:spacing w:line="240" w:lineRule="auto"/>
              <w:ind w:firstLine="0"/>
              <w:jc w:val="center"/>
              <w:rPr>
                <w:b/>
                <w:bCs/>
              </w:rPr>
            </w:pPr>
            <w:r w:rsidRPr="00A03B40">
              <w:rPr>
                <w:b/>
                <w:bCs/>
              </w:rPr>
              <w:t xml:space="preserve">Amended </w:t>
            </w:r>
            <w:r w:rsidRPr="00A03B40" w:rsidR="00B10495">
              <w:rPr>
                <w:b/>
                <w:bCs/>
              </w:rPr>
              <w:t>October Update ($000)</w:t>
            </w:r>
          </w:p>
        </w:tc>
        <w:tc>
          <w:tcPr>
            <w:tcW w:w="1885" w:type="dxa"/>
            <w:vAlign w:val="center"/>
          </w:tcPr>
          <w:p w:rsidRPr="00A03B40" w:rsidR="00B10495" w:rsidP="006B5D9E" w:rsidRDefault="00B10495" w14:paraId="4CFA91A1" w14:textId="6C822F83">
            <w:pPr>
              <w:pStyle w:val="Standard"/>
              <w:keepNext/>
              <w:keepLines/>
              <w:spacing w:line="240" w:lineRule="auto"/>
              <w:ind w:firstLine="0"/>
              <w:jc w:val="center"/>
              <w:rPr>
                <w:b/>
                <w:bCs/>
              </w:rPr>
            </w:pPr>
            <w:r w:rsidRPr="00A03B40">
              <w:rPr>
                <w:b/>
                <w:bCs/>
              </w:rPr>
              <w:t>Change</w:t>
            </w:r>
            <w:r w:rsidRPr="00A03B40" w:rsidR="00FB0873">
              <w:rPr>
                <w:b/>
                <w:bCs/>
              </w:rPr>
              <w:t xml:space="preserve"> ($000)</w:t>
            </w:r>
          </w:p>
        </w:tc>
      </w:tr>
      <w:tr w:rsidRPr="00A03B40" w:rsidR="00B10495" w:rsidTr="00FB0873" w14:paraId="753CD3D4" w14:textId="77777777">
        <w:tc>
          <w:tcPr>
            <w:tcW w:w="2337" w:type="dxa"/>
          </w:tcPr>
          <w:p w:rsidRPr="00A03B40" w:rsidR="00B10495" w:rsidP="00B10495" w:rsidRDefault="00B10495" w14:paraId="10B51B78" w14:textId="2CD460F2">
            <w:pPr>
              <w:pStyle w:val="Standard"/>
              <w:spacing w:line="240" w:lineRule="auto"/>
              <w:ind w:firstLine="0"/>
            </w:pPr>
            <w:r w:rsidRPr="00A03B40">
              <w:t>Year-End 2025 PABA Balance</w:t>
            </w:r>
          </w:p>
        </w:tc>
        <w:tc>
          <w:tcPr>
            <w:tcW w:w="2248" w:type="dxa"/>
            <w:vAlign w:val="center"/>
          </w:tcPr>
          <w:p w:rsidRPr="00A03B40" w:rsidR="00B10495" w:rsidP="00FB0873" w:rsidRDefault="00B10495" w14:paraId="0EEB78D4" w14:textId="240BED87">
            <w:pPr>
              <w:pStyle w:val="Standard"/>
              <w:spacing w:line="240" w:lineRule="auto"/>
              <w:ind w:firstLine="0"/>
              <w:jc w:val="center"/>
            </w:pPr>
            <w:r w:rsidRPr="00A03B40">
              <w:t>$69,234</w:t>
            </w:r>
          </w:p>
        </w:tc>
        <w:tc>
          <w:tcPr>
            <w:tcW w:w="2880" w:type="dxa"/>
            <w:vAlign w:val="center"/>
          </w:tcPr>
          <w:p w:rsidRPr="00A03B40" w:rsidR="00B10495" w:rsidP="00FB0873" w:rsidRDefault="00B10495" w14:paraId="7A871343" w14:textId="63E6C352">
            <w:pPr>
              <w:pStyle w:val="Standard"/>
              <w:spacing w:line="240" w:lineRule="auto"/>
              <w:ind w:firstLine="0"/>
              <w:jc w:val="center"/>
            </w:pPr>
            <w:r w:rsidRPr="00A03B40">
              <w:t>$</w:t>
            </w:r>
            <w:r w:rsidRPr="00A03B40" w:rsidR="00FB0873">
              <w:t>1,</w:t>
            </w:r>
            <w:r w:rsidRPr="00A03B40" w:rsidR="00A127FE">
              <w:t>318</w:t>
            </w:r>
            <w:r w:rsidRPr="00A03B40" w:rsidR="00FB0873">
              <w:t>,</w:t>
            </w:r>
            <w:r w:rsidRPr="00A03B40" w:rsidR="00A127FE">
              <w:t>350</w:t>
            </w:r>
          </w:p>
        </w:tc>
        <w:tc>
          <w:tcPr>
            <w:tcW w:w="1885" w:type="dxa"/>
            <w:vAlign w:val="center"/>
          </w:tcPr>
          <w:p w:rsidRPr="00A03B40" w:rsidR="00B10495" w:rsidP="00FB0873" w:rsidRDefault="00FB0873" w14:paraId="2AFADEA9" w14:textId="3D126728">
            <w:pPr>
              <w:pStyle w:val="Standard"/>
              <w:spacing w:line="240" w:lineRule="auto"/>
              <w:ind w:firstLine="0"/>
              <w:jc w:val="center"/>
            </w:pPr>
            <w:r w:rsidRPr="00A03B40">
              <w:t>(</w:t>
            </w:r>
            <w:r w:rsidRPr="00A03B40" w:rsidR="00FD3F8E">
              <w:t>$1,249,116</w:t>
            </w:r>
            <w:r w:rsidRPr="00A03B40">
              <w:t>)</w:t>
            </w:r>
          </w:p>
        </w:tc>
      </w:tr>
      <w:tr w:rsidRPr="00A03B40" w:rsidR="00B10495" w:rsidTr="00FB0873" w14:paraId="2A5E6237" w14:textId="77777777">
        <w:tc>
          <w:tcPr>
            <w:tcW w:w="2337" w:type="dxa"/>
          </w:tcPr>
          <w:p w:rsidRPr="00A03B40" w:rsidR="00B10495" w:rsidP="00B10495" w:rsidRDefault="00B10495" w14:paraId="3997756F" w14:textId="1F631030">
            <w:pPr>
              <w:pStyle w:val="Standard"/>
              <w:spacing w:line="240" w:lineRule="auto"/>
              <w:ind w:firstLine="0"/>
            </w:pPr>
            <w:r w:rsidRPr="00A03B40">
              <w:t>Year-End 2025 ERRA BA Balance</w:t>
            </w:r>
          </w:p>
        </w:tc>
        <w:tc>
          <w:tcPr>
            <w:tcW w:w="2248" w:type="dxa"/>
            <w:vAlign w:val="center"/>
          </w:tcPr>
          <w:p w:rsidRPr="00A03B40" w:rsidR="00B10495" w:rsidP="00FB0873" w:rsidRDefault="00B10495" w14:paraId="02810243" w14:textId="43935A4A">
            <w:pPr>
              <w:pStyle w:val="Standard"/>
              <w:spacing w:line="240" w:lineRule="auto"/>
              <w:ind w:firstLine="0"/>
              <w:jc w:val="center"/>
            </w:pPr>
            <w:r w:rsidRPr="00A03B40">
              <w:t>$61,792</w:t>
            </w:r>
          </w:p>
        </w:tc>
        <w:tc>
          <w:tcPr>
            <w:tcW w:w="2880" w:type="dxa"/>
            <w:vAlign w:val="center"/>
          </w:tcPr>
          <w:p w:rsidRPr="00A03B40" w:rsidR="00B10495" w:rsidP="00FB0873" w:rsidRDefault="00FD3F8E" w14:paraId="2A407D23" w14:textId="2DDB348D">
            <w:pPr>
              <w:pStyle w:val="Standard"/>
              <w:spacing w:line="240" w:lineRule="auto"/>
              <w:ind w:firstLine="0"/>
              <w:jc w:val="center"/>
            </w:pPr>
            <w:r w:rsidRPr="00A03B40">
              <w:t>($898,645)</w:t>
            </w:r>
          </w:p>
        </w:tc>
        <w:tc>
          <w:tcPr>
            <w:tcW w:w="1885" w:type="dxa"/>
            <w:vAlign w:val="center"/>
          </w:tcPr>
          <w:p w:rsidRPr="00A03B40" w:rsidR="00B10495" w:rsidP="00FB0873" w:rsidRDefault="00FB0873" w14:paraId="070D756C" w14:textId="38244805">
            <w:pPr>
              <w:pStyle w:val="Standard"/>
              <w:spacing w:line="240" w:lineRule="auto"/>
              <w:ind w:firstLine="0"/>
              <w:jc w:val="center"/>
            </w:pPr>
            <w:r w:rsidRPr="00A03B40">
              <w:t>$</w:t>
            </w:r>
            <w:r w:rsidRPr="00A03B40" w:rsidR="00FD3F8E">
              <w:t>960,437</w:t>
            </w:r>
          </w:p>
        </w:tc>
      </w:tr>
    </w:tbl>
    <w:p w:rsidRPr="00A03B40" w:rsidR="007C4F8C" w:rsidP="006B5D9E" w:rsidRDefault="007C4F8C" w14:paraId="7B02A918" w14:textId="66729D77">
      <w:pPr>
        <w:pStyle w:val="Standard"/>
        <w:spacing w:before="120" w:after="120" w:line="240" w:lineRule="auto"/>
        <w:ind w:firstLine="0"/>
        <w:jc w:val="center"/>
        <w:rPr>
          <w:b/>
          <w:bCs/>
        </w:rPr>
      </w:pPr>
      <w:r w:rsidRPr="00A03B40">
        <w:rPr>
          <w:b/>
          <w:bCs/>
        </w:rPr>
        <w:t xml:space="preserve">Table 8-4: Comparison of 2025 Forecast to </w:t>
      </w:r>
      <w:r w:rsidR="00E91292">
        <w:rPr>
          <w:b/>
          <w:bCs/>
        </w:rPr>
        <w:br/>
      </w:r>
      <w:r w:rsidRPr="00A03B40">
        <w:rPr>
          <w:b/>
          <w:bCs/>
        </w:rPr>
        <w:t>Final PCIA Market Price Benchmarks</w:t>
      </w:r>
      <w:r w:rsidRPr="00A03B40">
        <w:rPr>
          <w:rStyle w:val="FootnoteReference"/>
          <w:b/>
          <w:bCs/>
        </w:rPr>
        <w:footnoteReference w:id="436"/>
      </w:r>
    </w:p>
    <w:tbl>
      <w:tblPr>
        <w:tblStyle w:val="TableGrid"/>
        <w:tblW w:w="0" w:type="auto"/>
        <w:tblLook w:val="04A0" w:firstRow="1" w:lastRow="0" w:firstColumn="1" w:lastColumn="0" w:noHBand="0" w:noVBand="1"/>
      </w:tblPr>
      <w:tblGrid>
        <w:gridCol w:w="2337"/>
        <w:gridCol w:w="2337"/>
        <w:gridCol w:w="2338"/>
        <w:gridCol w:w="2338"/>
      </w:tblGrid>
      <w:tr w:rsidRPr="00A03B40" w:rsidR="00272131" w:rsidTr="00671066" w14:paraId="301A2733" w14:textId="77777777">
        <w:tc>
          <w:tcPr>
            <w:tcW w:w="2337" w:type="dxa"/>
            <w:vAlign w:val="center"/>
          </w:tcPr>
          <w:p w:rsidRPr="00A03B40" w:rsidR="00272131" w:rsidP="00671066" w:rsidRDefault="00272131" w14:paraId="6BA4ABB1" w14:textId="0F09010F">
            <w:pPr>
              <w:pStyle w:val="Standard"/>
              <w:spacing w:line="240" w:lineRule="auto"/>
              <w:ind w:firstLine="0"/>
              <w:jc w:val="center"/>
              <w:rPr>
                <w:b/>
                <w:bCs/>
              </w:rPr>
            </w:pPr>
            <w:r w:rsidRPr="00A03B40">
              <w:rPr>
                <w:b/>
                <w:bCs/>
              </w:rPr>
              <w:t>Market Price Benchmark</w:t>
            </w:r>
          </w:p>
        </w:tc>
        <w:tc>
          <w:tcPr>
            <w:tcW w:w="2337" w:type="dxa"/>
            <w:vAlign w:val="center"/>
          </w:tcPr>
          <w:p w:rsidRPr="00A03B40" w:rsidR="00272131" w:rsidP="00671066" w:rsidRDefault="00272131" w14:paraId="275B8390" w14:textId="00307FDA">
            <w:pPr>
              <w:pStyle w:val="Standard"/>
              <w:spacing w:line="240" w:lineRule="auto"/>
              <w:ind w:firstLine="0"/>
              <w:jc w:val="center"/>
              <w:rPr>
                <w:b/>
                <w:bCs/>
              </w:rPr>
            </w:pPr>
            <w:r w:rsidRPr="00A03B40">
              <w:rPr>
                <w:b/>
                <w:bCs/>
              </w:rPr>
              <w:t>2025 Forecast Adders (In Rates/May Filing)</w:t>
            </w:r>
          </w:p>
        </w:tc>
        <w:tc>
          <w:tcPr>
            <w:tcW w:w="2338" w:type="dxa"/>
            <w:vAlign w:val="center"/>
          </w:tcPr>
          <w:p w:rsidRPr="00A03B40" w:rsidR="00272131" w:rsidP="00671066" w:rsidRDefault="00272131" w14:paraId="469E5B10" w14:textId="77777777">
            <w:pPr>
              <w:pStyle w:val="Standard"/>
              <w:spacing w:line="240" w:lineRule="auto"/>
              <w:ind w:firstLine="0"/>
              <w:jc w:val="center"/>
              <w:rPr>
                <w:b/>
                <w:bCs/>
              </w:rPr>
            </w:pPr>
            <w:r w:rsidRPr="00A03B40">
              <w:rPr>
                <w:b/>
                <w:bCs/>
              </w:rPr>
              <w:t>2025 Final Adders</w:t>
            </w:r>
          </w:p>
          <w:p w:rsidRPr="00A03B40" w:rsidR="00272131" w:rsidP="00671066" w:rsidRDefault="00272131" w14:paraId="7CD2F244" w14:textId="273A1074">
            <w:pPr>
              <w:pStyle w:val="Standard"/>
              <w:spacing w:line="240" w:lineRule="auto"/>
              <w:ind w:firstLine="0"/>
              <w:jc w:val="center"/>
              <w:rPr>
                <w:b/>
                <w:bCs/>
              </w:rPr>
            </w:pPr>
            <w:r w:rsidRPr="00A03B40">
              <w:rPr>
                <w:b/>
                <w:bCs/>
              </w:rPr>
              <w:t>(October 2025)</w:t>
            </w:r>
          </w:p>
        </w:tc>
        <w:tc>
          <w:tcPr>
            <w:tcW w:w="2338" w:type="dxa"/>
            <w:vAlign w:val="center"/>
          </w:tcPr>
          <w:p w:rsidRPr="00A03B40" w:rsidR="00272131" w:rsidP="00671066" w:rsidRDefault="00671066" w14:paraId="43A51B6E" w14:textId="0BCFDDFA">
            <w:pPr>
              <w:pStyle w:val="Standard"/>
              <w:spacing w:line="240" w:lineRule="auto"/>
              <w:ind w:firstLine="0"/>
              <w:jc w:val="center"/>
              <w:rPr>
                <w:b/>
                <w:bCs/>
              </w:rPr>
            </w:pPr>
            <w:r w:rsidRPr="00A03B40">
              <w:rPr>
                <w:b/>
                <w:bCs/>
              </w:rPr>
              <w:t>Percent Change</w:t>
            </w:r>
          </w:p>
        </w:tc>
      </w:tr>
      <w:tr w:rsidRPr="00A03B40" w:rsidR="00272131" w:rsidTr="00671066" w14:paraId="23FB59B0" w14:textId="77777777">
        <w:tc>
          <w:tcPr>
            <w:tcW w:w="2337" w:type="dxa"/>
            <w:vAlign w:val="center"/>
          </w:tcPr>
          <w:p w:rsidRPr="00A03B40" w:rsidR="00272131" w:rsidP="00671066" w:rsidRDefault="00671066" w14:paraId="765E9A01" w14:textId="6ACEBED6">
            <w:pPr>
              <w:pStyle w:val="Standard"/>
              <w:spacing w:line="240" w:lineRule="auto"/>
              <w:ind w:firstLine="0"/>
              <w:jc w:val="center"/>
              <w:rPr>
                <w:b/>
                <w:bCs/>
              </w:rPr>
            </w:pPr>
            <w:r w:rsidRPr="00A03B40">
              <w:rPr>
                <w:b/>
                <w:bCs/>
              </w:rPr>
              <w:t>Energy Index</w:t>
            </w:r>
          </w:p>
        </w:tc>
        <w:tc>
          <w:tcPr>
            <w:tcW w:w="2337" w:type="dxa"/>
            <w:vAlign w:val="center"/>
          </w:tcPr>
          <w:p w:rsidRPr="00A03B40" w:rsidR="00272131" w:rsidP="00671066" w:rsidRDefault="00671066" w14:paraId="26470755" w14:textId="524366E0">
            <w:pPr>
              <w:pStyle w:val="Standard"/>
              <w:spacing w:line="240" w:lineRule="auto"/>
              <w:ind w:firstLine="0"/>
              <w:jc w:val="center"/>
            </w:pPr>
            <w:r w:rsidRPr="00A03B40">
              <w:t>$40.56/MWh</w:t>
            </w:r>
          </w:p>
        </w:tc>
        <w:tc>
          <w:tcPr>
            <w:tcW w:w="2338" w:type="dxa"/>
            <w:vAlign w:val="center"/>
          </w:tcPr>
          <w:p w:rsidRPr="00A03B40" w:rsidR="00272131" w:rsidP="00671066" w:rsidRDefault="00671066" w14:paraId="0DF1222C" w14:textId="4E0B37CC">
            <w:pPr>
              <w:pStyle w:val="Standard"/>
              <w:spacing w:line="240" w:lineRule="auto"/>
              <w:ind w:firstLine="0"/>
              <w:jc w:val="center"/>
              <w:rPr>
                <w:spacing w:val="-8"/>
              </w:rPr>
            </w:pPr>
            <w:r w:rsidRPr="00A03B40">
              <w:rPr>
                <w:spacing w:val="-8"/>
              </w:rPr>
              <w:t>N/A (actuals used)</w:t>
            </w:r>
          </w:p>
        </w:tc>
        <w:tc>
          <w:tcPr>
            <w:tcW w:w="2338" w:type="dxa"/>
            <w:vAlign w:val="center"/>
          </w:tcPr>
          <w:p w:rsidRPr="00A03B40" w:rsidR="00272131" w:rsidP="00671066" w:rsidRDefault="00671066" w14:paraId="76B8A0BD" w14:textId="62EA9C4B">
            <w:pPr>
              <w:pStyle w:val="Standard"/>
              <w:spacing w:line="240" w:lineRule="auto"/>
              <w:ind w:firstLine="0"/>
              <w:jc w:val="center"/>
            </w:pPr>
            <w:r w:rsidRPr="00A03B40">
              <w:t>N/A</w:t>
            </w:r>
          </w:p>
        </w:tc>
      </w:tr>
      <w:tr w:rsidRPr="00A03B40" w:rsidR="00272131" w:rsidTr="00671066" w14:paraId="61AB7DB0" w14:textId="77777777">
        <w:tc>
          <w:tcPr>
            <w:tcW w:w="2337" w:type="dxa"/>
            <w:vAlign w:val="center"/>
          </w:tcPr>
          <w:p w:rsidRPr="00A03B40" w:rsidR="00272131" w:rsidP="00671066" w:rsidRDefault="00671066" w14:paraId="7CAC857B" w14:textId="77C2AF68">
            <w:pPr>
              <w:pStyle w:val="Standard"/>
              <w:spacing w:line="240" w:lineRule="auto"/>
              <w:ind w:firstLine="0"/>
              <w:jc w:val="center"/>
              <w:rPr>
                <w:b/>
                <w:bCs/>
              </w:rPr>
            </w:pPr>
            <w:r w:rsidRPr="00A03B40">
              <w:rPr>
                <w:b/>
                <w:bCs/>
              </w:rPr>
              <w:t>RPS Adder</w:t>
            </w:r>
          </w:p>
        </w:tc>
        <w:tc>
          <w:tcPr>
            <w:tcW w:w="2337" w:type="dxa"/>
            <w:vAlign w:val="center"/>
          </w:tcPr>
          <w:p w:rsidRPr="00A03B40" w:rsidR="00272131" w:rsidP="00671066" w:rsidRDefault="00671066" w14:paraId="0189CA01" w14:textId="5C4BEA03">
            <w:pPr>
              <w:pStyle w:val="Standard"/>
              <w:spacing w:line="240" w:lineRule="auto"/>
              <w:ind w:firstLine="0"/>
              <w:jc w:val="center"/>
            </w:pPr>
            <w:r w:rsidRPr="00A03B40">
              <w:t>$71.24/MWh</w:t>
            </w:r>
          </w:p>
        </w:tc>
        <w:tc>
          <w:tcPr>
            <w:tcW w:w="2338" w:type="dxa"/>
            <w:vAlign w:val="center"/>
          </w:tcPr>
          <w:p w:rsidRPr="00A03B40" w:rsidR="00272131" w:rsidP="00671066" w:rsidRDefault="00671066" w14:paraId="1E1747D4" w14:textId="528BEAF2">
            <w:pPr>
              <w:pStyle w:val="Standard"/>
              <w:spacing w:line="240" w:lineRule="auto"/>
              <w:ind w:firstLine="0"/>
              <w:jc w:val="center"/>
            </w:pPr>
            <w:r w:rsidRPr="00A03B40">
              <w:t>$63.86/MWh</w:t>
            </w:r>
          </w:p>
        </w:tc>
        <w:tc>
          <w:tcPr>
            <w:tcW w:w="2338" w:type="dxa"/>
            <w:vAlign w:val="center"/>
          </w:tcPr>
          <w:p w:rsidRPr="00A03B40" w:rsidR="00272131" w:rsidP="00671066" w:rsidRDefault="00671066" w14:paraId="7E2B6415" w14:textId="33D46E3B">
            <w:pPr>
              <w:pStyle w:val="Standard"/>
              <w:spacing w:line="240" w:lineRule="auto"/>
              <w:ind w:firstLine="0"/>
              <w:jc w:val="center"/>
            </w:pPr>
            <w:r w:rsidRPr="00A03B40">
              <w:t>-10%</w:t>
            </w:r>
          </w:p>
        </w:tc>
      </w:tr>
      <w:tr w:rsidRPr="00A03B40" w:rsidR="00671066" w:rsidTr="00671066" w14:paraId="34DDE3EF" w14:textId="77777777">
        <w:tc>
          <w:tcPr>
            <w:tcW w:w="9350" w:type="dxa"/>
            <w:gridSpan w:val="4"/>
            <w:vAlign w:val="center"/>
          </w:tcPr>
          <w:p w:rsidRPr="00A03B40" w:rsidR="00671066" w:rsidP="00671066" w:rsidRDefault="00671066" w14:paraId="12C54467" w14:textId="26FDC385">
            <w:pPr>
              <w:pStyle w:val="Standard"/>
              <w:spacing w:line="240" w:lineRule="auto"/>
              <w:ind w:firstLine="0"/>
              <w:jc w:val="center"/>
              <w:rPr>
                <w:b/>
                <w:bCs/>
              </w:rPr>
            </w:pPr>
            <w:r w:rsidRPr="00A03B40">
              <w:rPr>
                <w:b/>
                <w:bCs/>
              </w:rPr>
              <w:t>RA Adders</w:t>
            </w:r>
          </w:p>
        </w:tc>
      </w:tr>
      <w:tr w:rsidRPr="00A03B40" w:rsidR="00671066" w:rsidTr="00671066" w14:paraId="22B38CBB" w14:textId="77777777">
        <w:tc>
          <w:tcPr>
            <w:tcW w:w="2337" w:type="dxa"/>
            <w:vAlign w:val="center"/>
          </w:tcPr>
          <w:p w:rsidRPr="00A03B40" w:rsidR="00671066" w:rsidP="00671066" w:rsidRDefault="00671066" w14:paraId="3F7E0A5C" w14:textId="5634C0A3">
            <w:pPr>
              <w:pStyle w:val="Standard"/>
              <w:spacing w:line="240" w:lineRule="auto"/>
              <w:ind w:firstLine="0"/>
              <w:jc w:val="center"/>
              <w:rPr>
                <w:b/>
                <w:bCs/>
              </w:rPr>
            </w:pPr>
            <w:r w:rsidRPr="00A03B40">
              <w:rPr>
                <w:b/>
                <w:bCs/>
              </w:rPr>
              <w:t>System</w:t>
            </w:r>
          </w:p>
        </w:tc>
        <w:tc>
          <w:tcPr>
            <w:tcW w:w="2337" w:type="dxa"/>
            <w:vAlign w:val="center"/>
          </w:tcPr>
          <w:p w:rsidRPr="00A03B40" w:rsidR="00671066" w:rsidP="00671066" w:rsidRDefault="00671066" w14:paraId="616050A6" w14:textId="30A15807">
            <w:pPr>
              <w:pStyle w:val="Standard"/>
              <w:spacing w:line="240" w:lineRule="auto"/>
              <w:ind w:firstLine="0"/>
              <w:jc w:val="center"/>
            </w:pPr>
            <w:r w:rsidRPr="00A03B40">
              <w:t>$483.72/kW-yr</w:t>
            </w:r>
          </w:p>
        </w:tc>
        <w:tc>
          <w:tcPr>
            <w:tcW w:w="2338" w:type="dxa"/>
            <w:vAlign w:val="center"/>
          </w:tcPr>
          <w:p w:rsidRPr="00A03B40" w:rsidR="00671066" w:rsidP="00671066" w:rsidRDefault="00671066" w14:paraId="4702D95B" w14:textId="699C4C06">
            <w:pPr>
              <w:pStyle w:val="Standard"/>
              <w:spacing w:line="240" w:lineRule="auto"/>
              <w:ind w:firstLine="0"/>
              <w:jc w:val="center"/>
            </w:pPr>
            <w:r w:rsidRPr="00A03B40">
              <w:t>$134.52/kW-yr</w:t>
            </w:r>
          </w:p>
        </w:tc>
        <w:tc>
          <w:tcPr>
            <w:tcW w:w="2338" w:type="dxa"/>
            <w:vAlign w:val="center"/>
          </w:tcPr>
          <w:p w:rsidRPr="00A03B40" w:rsidR="00671066" w:rsidP="00671066" w:rsidRDefault="00671066" w14:paraId="535944DC" w14:textId="24FB35F1">
            <w:pPr>
              <w:pStyle w:val="Standard"/>
              <w:spacing w:line="240" w:lineRule="auto"/>
              <w:ind w:firstLine="0"/>
              <w:jc w:val="center"/>
            </w:pPr>
            <w:r w:rsidRPr="00A03B40">
              <w:t>-72%</w:t>
            </w:r>
          </w:p>
        </w:tc>
      </w:tr>
      <w:tr w:rsidRPr="00A03B40" w:rsidR="00671066" w:rsidTr="00671066" w14:paraId="0E7A4CD6" w14:textId="77777777">
        <w:tc>
          <w:tcPr>
            <w:tcW w:w="2337" w:type="dxa"/>
            <w:vAlign w:val="center"/>
          </w:tcPr>
          <w:p w:rsidRPr="00A03B40" w:rsidR="00671066" w:rsidP="00671066" w:rsidRDefault="00671066" w14:paraId="5D2AAF7C" w14:textId="4367397B">
            <w:pPr>
              <w:pStyle w:val="Standard"/>
              <w:spacing w:line="240" w:lineRule="auto"/>
              <w:ind w:firstLine="0"/>
              <w:jc w:val="center"/>
              <w:rPr>
                <w:b/>
                <w:bCs/>
              </w:rPr>
            </w:pPr>
            <w:r w:rsidRPr="00A03B40">
              <w:rPr>
                <w:b/>
                <w:bCs/>
              </w:rPr>
              <w:t>Local</w:t>
            </w:r>
          </w:p>
        </w:tc>
        <w:tc>
          <w:tcPr>
            <w:tcW w:w="2337" w:type="dxa"/>
            <w:vAlign w:val="center"/>
          </w:tcPr>
          <w:p w:rsidRPr="00A03B40" w:rsidR="00671066" w:rsidP="00671066" w:rsidRDefault="00671066" w14:paraId="499B01D0" w14:textId="38BACAE7">
            <w:pPr>
              <w:pStyle w:val="Standard"/>
              <w:spacing w:line="240" w:lineRule="auto"/>
              <w:ind w:firstLine="0"/>
              <w:jc w:val="center"/>
            </w:pPr>
            <w:r w:rsidRPr="00A03B40">
              <w:t>$134.76/kW-yr</w:t>
            </w:r>
          </w:p>
        </w:tc>
        <w:tc>
          <w:tcPr>
            <w:tcW w:w="2338" w:type="dxa"/>
            <w:vAlign w:val="center"/>
          </w:tcPr>
          <w:p w:rsidRPr="00A03B40" w:rsidR="00671066" w:rsidP="00671066" w:rsidRDefault="00671066" w14:paraId="5AA15344" w14:textId="259E6CC0">
            <w:pPr>
              <w:pStyle w:val="Standard"/>
              <w:spacing w:line="240" w:lineRule="auto"/>
              <w:ind w:firstLine="0"/>
              <w:jc w:val="center"/>
            </w:pPr>
            <w:r w:rsidRPr="00A03B40">
              <w:t>$134.52/kW-yr</w:t>
            </w:r>
          </w:p>
        </w:tc>
        <w:tc>
          <w:tcPr>
            <w:tcW w:w="2338" w:type="dxa"/>
            <w:vAlign w:val="center"/>
          </w:tcPr>
          <w:p w:rsidRPr="00A03B40" w:rsidR="00671066" w:rsidP="00671066" w:rsidRDefault="00671066" w14:paraId="7A043536" w14:textId="482A05D0">
            <w:pPr>
              <w:pStyle w:val="Standard"/>
              <w:spacing w:line="240" w:lineRule="auto"/>
              <w:ind w:firstLine="0"/>
              <w:jc w:val="center"/>
            </w:pPr>
            <w:r w:rsidRPr="00A03B40">
              <w:t>0%</w:t>
            </w:r>
          </w:p>
        </w:tc>
      </w:tr>
      <w:tr w:rsidRPr="00A03B40" w:rsidR="00671066" w:rsidTr="00671066" w14:paraId="64E3ED3E" w14:textId="77777777">
        <w:tc>
          <w:tcPr>
            <w:tcW w:w="2337" w:type="dxa"/>
            <w:vAlign w:val="center"/>
          </w:tcPr>
          <w:p w:rsidRPr="00A03B40" w:rsidR="00671066" w:rsidP="00671066" w:rsidRDefault="00671066" w14:paraId="39CCCD63" w14:textId="4C0342E3">
            <w:pPr>
              <w:pStyle w:val="Standard"/>
              <w:spacing w:line="240" w:lineRule="auto"/>
              <w:ind w:firstLine="0"/>
              <w:jc w:val="center"/>
              <w:rPr>
                <w:b/>
                <w:bCs/>
              </w:rPr>
            </w:pPr>
            <w:r w:rsidRPr="00A03B40">
              <w:rPr>
                <w:b/>
                <w:bCs/>
              </w:rPr>
              <w:t>Flex</w:t>
            </w:r>
          </w:p>
        </w:tc>
        <w:tc>
          <w:tcPr>
            <w:tcW w:w="2337" w:type="dxa"/>
            <w:vAlign w:val="center"/>
          </w:tcPr>
          <w:p w:rsidRPr="00A03B40" w:rsidR="00671066" w:rsidP="00671066" w:rsidRDefault="00671066" w14:paraId="00F026A3" w14:textId="7106C8E5">
            <w:pPr>
              <w:pStyle w:val="Standard"/>
              <w:spacing w:line="240" w:lineRule="auto"/>
              <w:ind w:firstLine="0"/>
              <w:jc w:val="center"/>
            </w:pPr>
            <w:r w:rsidRPr="00A03B40">
              <w:t>$203.64/kW-yr</w:t>
            </w:r>
          </w:p>
        </w:tc>
        <w:tc>
          <w:tcPr>
            <w:tcW w:w="2338" w:type="dxa"/>
            <w:vAlign w:val="center"/>
          </w:tcPr>
          <w:p w:rsidRPr="00A03B40" w:rsidR="00671066" w:rsidP="00671066" w:rsidRDefault="00671066" w14:paraId="1806DC43" w14:textId="49BED7C4">
            <w:pPr>
              <w:pStyle w:val="Standard"/>
              <w:spacing w:line="240" w:lineRule="auto"/>
              <w:ind w:firstLine="0"/>
              <w:jc w:val="center"/>
            </w:pPr>
            <w:r w:rsidRPr="00A03B40">
              <w:t>$134.52/kW-yr</w:t>
            </w:r>
          </w:p>
        </w:tc>
        <w:tc>
          <w:tcPr>
            <w:tcW w:w="2338" w:type="dxa"/>
            <w:vAlign w:val="center"/>
          </w:tcPr>
          <w:p w:rsidRPr="00A03B40" w:rsidR="00671066" w:rsidP="00671066" w:rsidRDefault="00671066" w14:paraId="5A3CADC9" w14:textId="37AA4EAD">
            <w:pPr>
              <w:pStyle w:val="Standard"/>
              <w:spacing w:line="240" w:lineRule="auto"/>
              <w:ind w:firstLine="0"/>
              <w:jc w:val="center"/>
            </w:pPr>
            <w:r w:rsidRPr="00A03B40">
              <w:t>-34%</w:t>
            </w:r>
          </w:p>
        </w:tc>
      </w:tr>
    </w:tbl>
    <w:p w:rsidRPr="00A03B40" w:rsidR="00886E74" w:rsidP="006B5D9E" w:rsidRDefault="00886E74" w14:paraId="2E5366B6" w14:textId="60B9553D">
      <w:pPr>
        <w:pStyle w:val="Standard"/>
        <w:spacing w:before="240"/>
      </w:pPr>
      <w:proofErr w:type="spellStart"/>
      <w:r w:rsidRPr="00A03B40">
        <w:t>CalCCA</w:t>
      </w:r>
      <w:proofErr w:type="spellEnd"/>
      <w:r w:rsidRPr="00A03B40">
        <w:t xml:space="preserve"> </w:t>
      </w:r>
      <w:r w:rsidR="00CA29CE">
        <w:t>initially disagreed</w:t>
      </w:r>
      <w:r w:rsidRPr="00A03B40" w:rsidR="00CA29CE">
        <w:t xml:space="preserve"> </w:t>
      </w:r>
      <w:r w:rsidRPr="00A03B40">
        <w:t xml:space="preserve">with SCE’s proposed </w:t>
      </w:r>
      <w:r w:rsidR="0004181E">
        <w:t>PCIA</w:t>
      </w:r>
      <w:r w:rsidRPr="00A03B40">
        <w:t xml:space="preserve"> true</w:t>
      </w:r>
      <w:r w:rsidR="006E0D77">
        <w:t xml:space="preserve"> </w:t>
      </w:r>
      <w:r w:rsidRPr="00A03B40">
        <w:t>up, arguing that SCE’s use of the Final 2025 RA MPB true-up method adopted by D.25-06-049 constitutes retroactive ratemaking.</w:t>
      </w:r>
      <w:r w:rsidRPr="00A03B40">
        <w:rPr>
          <w:rStyle w:val="FootnoteReference"/>
        </w:rPr>
        <w:footnoteReference w:id="437"/>
      </w:r>
      <w:r w:rsidRPr="00A03B40">
        <w:t xml:space="preserve"> </w:t>
      </w:r>
      <w:proofErr w:type="spellStart"/>
      <w:r w:rsidRPr="00A03B40">
        <w:t>CalCCA</w:t>
      </w:r>
      <w:proofErr w:type="spellEnd"/>
      <w:r w:rsidRPr="00A03B40">
        <w:t xml:space="preserve"> filed an application for rehearing (AFR) of D.25-06-049</w:t>
      </w:r>
      <w:r w:rsidRPr="00A03B40" w:rsidR="0080456C">
        <w:t xml:space="preserve"> on July 28, 2025</w:t>
      </w:r>
      <w:r w:rsidR="00CA29CE">
        <w:t>,</w:t>
      </w:r>
      <w:r w:rsidRPr="00A03B40" w:rsidR="00773CF6">
        <w:t xml:space="preserve"> alleging </w:t>
      </w:r>
      <w:r w:rsidR="00CA29CE">
        <w:t>that the Commission’s application of the new RA MPB to 2025 PCIA true</w:t>
      </w:r>
      <w:r w:rsidR="006E0D77">
        <w:t xml:space="preserve"> </w:t>
      </w:r>
      <w:r w:rsidR="00CA29CE">
        <w:t xml:space="preserve">ups constituted </w:t>
      </w:r>
      <w:r w:rsidRPr="00A03B40" w:rsidR="00773CF6">
        <w:t>impermissible retroactive ratemaking</w:t>
      </w:r>
      <w:r w:rsidRPr="00A03B40" w:rsidR="0080456C">
        <w:t xml:space="preserve">. </w:t>
      </w:r>
      <w:proofErr w:type="spellStart"/>
      <w:r w:rsidRPr="00A03B40" w:rsidR="00773CF6">
        <w:t>CalCCA’s</w:t>
      </w:r>
      <w:proofErr w:type="spellEnd"/>
      <w:r w:rsidRPr="00A03B40" w:rsidR="0080456C">
        <w:t xml:space="preserve"> AFR was denied by the Commission at its </w:t>
      </w:r>
      <w:r w:rsidRPr="00A03B40" w:rsidR="0080456C">
        <w:lastRenderedPageBreak/>
        <w:t>October</w:t>
      </w:r>
      <w:r w:rsidR="006B5D9E">
        <w:t> </w:t>
      </w:r>
      <w:r w:rsidRPr="00A03B40" w:rsidR="0080456C">
        <w:t>30,</w:t>
      </w:r>
      <w:r w:rsidR="006B5D9E">
        <w:t> </w:t>
      </w:r>
      <w:proofErr w:type="gramStart"/>
      <w:r w:rsidRPr="00A03B40" w:rsidR="0080456C">
        <w:t>2025</w:t>
      </w:r>
      <w:proofErr w:type="gramEnd"/>
      <w:r w:rsidRPr="00A03B40" w:rsidR="0080456C">
        <w:t xml:space="preserve"> voting meeting.</w:t>
      </w:r>
      <w:r w:rsidRPr="00A03B40" w:rsidR="0080456C">
        <w:rPr>
          <w:rStyle w:val="FootnoteReference"/>
        </w:rPr>
        <w:footnoteReference w:id="438"/>
      </w:r>
      <w:r w:rsidRPr="00A03B40" w:rsidR="00773CF6">
        <w:t xml:space="preserve"> </w:t>
      </w:r>
      <w:proofErr w:type="spellStart"/>
      <w:r w:rsidRPr="00A03B40" w:rsidR="00773CF6">
        <w:t>CalCCA</w:t>
      </w:r>
      <w:proofErr w:type="spellEnd"/>
      <w:r w:rsidR="00CA29CE">
        <w:t xml:space="preserve"> notes that its arguments in this area</w:t>
      </w:r>
      <w:r w:rsidRPr="00A03B40" w:rsidR="00773CF6">
        <w:t xml:space="preserve"> are therefore moot.</w:t>
      </w:r>
      <w:r w:rsidR="00CA29CE">
        <w:rPr>
          <w:rStyle w:val="FootnoteReference"/>
        </w:rPr>
        <w:footnoteReference w:id="439"/>
      </w:r>
    </w:p>
    <w:p w:rsidR="006B5D9E" w:rsidP="009D045A" w:rsidRDefault="00A45490" w14:paraId="6A0020BC" w14:textId="68A09689">
      <w:pPr>
        <w:pStyle w:val="Standard"/>
      </w:pPr>
      <w:r w:rsidRPr="00A03B40">
        <w:t xml:space="preserve">SCE’s forecast </w:t>
      </w:r>
      <w:r w:rsidRPr="00A03B40" w:rsidR="008450F9">
        <w:t xml:space="preserve">2025 </w:t>
      </w:r>
      <w:r w:rsidR="0004181E">
        <w:t>PCIA</w:t>
      </w:r>
      <w:r w:rsidRPr="00A03B40" w:rsidR="008450F9">
        <w:t xml:space="preserve"> surcharge true</w:t>
      </w:r>
      <w:r w:rsidR="006E0D77">
        <w:t xml:space="preserve"> </w:t>
      </w:r>
      <w:r w:rsidRPr="00A03B40" w:rsidR="008450F9">
        <w:t xml:space="preserve">ups have been calculated consistent with </w:t>
      </w:r>
      <w:r w:rsidRPr="00A03B40" w:rsidR="003975DE">
        <w:t xml:space="preserve">D.18-10-019, </w:t>
      </w:r>
      <w:r w:rsidRPr="00A03B40" w:rsidR="008450F9">
        <w:t>D.19-10-001</w:t>
      </w:r>
      <w:r w:rsidRPr="00A03B40" w:rsidR="003975DE">
        <w:t>,</w:t>
      </w:r>
      <w:r w:rsidRPr="00A03B40" w:rsidR="008450F9">
        <w:t xml:space="preserve"> and D.25-06-049. </w:t>
      </w:r>
      <w:proofErr w:type="gramStart"/>
      <w:r w:rsidRPr="00A03B40" w:rsidR="00994926">
        <w:t>SCE</w:t>
      </w:r>
      <w:r w:rsidRPr="00A03B40" w:rsidR="008450F9">
        <w:t>’s</w:t>
      </w:r>
      <w:proofErr w:type="gramEnd"/>
      <w:r w:rsidRPr="00A03B40" w:rsidR="008450F9">
        <w:t xml:space="preserve"> proposed </w:t>
      </w:r>
    </w:p>
    <w:p w:rsidRPr="00A03B40" w:rsidR="009D045A" w:rsidP="006B5D9E" w:rsidRDefault="008450F9" w14:paraId="5BFC73E3" w14:textId="7F595F9A">
      <w:pPr>
        <w:pStyle w:val="Standard"/>
        <w:ind w:firstLine="0"/>
      </w:pPr>
      <w:proofErr w:type="gramStart"/>
      <w:r w:rsidRPr="00A03B40">
        <w:t>year</w:t>
      </w:r>
      <w:proofErr w:type="gramEnd"/>
      <w:r w:rsidRPr="00A03B40">
        <w:t xml:space="preserve">-end 2025 ERRA BA and PABA balances are adopted. SCE is authorized to </w:t>
      </w:r>
      <w:r w:rsidRPr="00A03B40" w:rsidR="00994926">
        <w:t xml:space="preserve">transfer the 2025 year-end ERRA balance to the 2025 subaccount of the PABA. </w:t>
      </w:r>
      <w:r w:rsidRPr="00A03B40" w:rsidR="00827833">
        <w:t>Incorporation of the</w:t>
      </w:r>
      <w:r w:rsidRPr="00A03B40" w:rsidR="00030534">
        <w:t xml:space="preserve">se costs in the 2026 </w:t>
      </w:r>
      <w:r w:rsidR="0004181E">
        <w:t>PCIA</w:t>
      </w:r>
      <w:r w:rsidRPr="00A03B40" w:rsidR="00030534">
        <w:t xml:space="preserve"> rates is </w:t>
      </w:r>
      <w:r w:rsidRPr="00A03B40" w:rsidR="00827833">
        <w:t>reasonable and approved as requested.</w:t>
      </w:r>
    </w:p>
    <w:p w:rsidR="00726249" w:rsidP="007243C1" w:rsidRDefault="00C231DD" w14:paraId="0E9DEAAE" w14:textId="0F0195D9">
      <w:pPr>
        <w:pStyle w:val="Standard"/>
      </w:pPr>
      <w:bookmarkStart w:name="_Hlk212376961" w:id="202"/>
      <w:r w:rsidRPr="00A03B40">
        <w:t xml:space="preserve">Finally, </w:t>
      </w:r>
      <w:r w:rsidRPr="00A03B40" w:rsidR="00A45490">
        <w:t>SCE also notes that its true</w:t>
      </w:r>
      <w:r w:rsidR="006E0D77">
        <w:t xml:space="preserve"> </w:t>
      </w:r>
      <w:r w:rsidRPr="00A03B40" w:rsidR="00A45490">
        <w:t xml:space="preserve">ups of year-end </w:t>
      </w:r>
      <w:r w:rsidRPr="00A03B40" w:rsidR="00845F40">
        <w:t xml:space="preserve">2025 </w:t>
      </w:r>
      <w:r w:rsidRPr="00A03B40" w:rsidR="00A45490">
        <w:t>ERRA BA and PABA balances caused it</w:t>
      </w:r>
      <w:r w:rsidRPr="00A03B40" w:rsidR="0099321A">
        <w:t>s ERRA Trigger Balance to exceed its ERRA Trigger Point and Threshold as of September 30, 2025,</w:t>
      </w:r>
      <w:r w:rsidRPr="00A03B40" w:rsidR="00A45490">
        <w:t xml:space="preserve"> “[p]</w:t>
      </w:r>
      <w:proofErr w:type="spellStart"/>
      <w:r w:rsidRPr="00A03B40" w:rsidR="00A45490">
        <w:t>rimarily</w:t>
      </w:r>
      <w:proofErr w:type="spellEnd"/>
      <w:r w:rsidRPr="00A03B40" w:rsidR="00A45490">
        <w:t xml:space="preserve"> as a result of the retained RA and RPS true-up.”</w:t>
      </w:r>
      <w:r w:rsidRPr="00A03B40" w:rsidR="00A45490">
        <w:rPr>
          <w:rStyle w:val="FootnoteReference"/>
        </w:rPr>
        <w:footnoteReference w:id="440"/>
      </w:r>
      <w:r w:rsidRPr="00A03B40" w:rsidR="00A45490">
        <w:rPr>
          <w:vertAlign w:val="superscript"/>
        </w:rPr>
        <w:t xml:space="preserve">, </w:t>
      </w:r>
      <w:r w:rsidRPr="00A03B40" w:rsidR="00A45490">
        <w:rPr>
          <w:rStyle w:val="FootnoteReference"/>
        </w:rPr>
        <w:footnoteReference w:id="441"/>
      </w:r>
      <w:r w:rsidRPr="00A03B40" w:rsidR="00A45490">
        <w:rPr>
          <w:vertAlign w:val="superscript"/>
        </w:rPr>
        <w:t xml:space="preserve"> </w:t>
      </w:r>
      <w:r w:rsidRPr="00A03B40" w:rsidR="00A970FB">
        <w:rPr>
          <w:vertAlign w:val="superscript"/>
        </w:rPr>
        <w:t xml:space="preserve"> </w:t>
      </w:r>
      <w:r w:rsidRPr="00A03B40" w:rsidR="00A970FB">
        <w:t>SCE submitted AL 5</w:t>
      </w:r>
      <w:r w:rsidRPr="00A03B40" w:rsidR="00A57B01">
        <w:t>664</w:t>
      </w:r>
      <w:r w:rsidRPr="00A03B40" w:rsidR="00A970FB">
        <w:t>-E on October</w:t>
      </w:r>
      <w:r w:rsidR="00726249">
        <w:t> </w:t>
      </w:r>
      <w:r w:rsidRPr="00A03B40" w:rsidR="00A970FB">
        <w:t>30,</w:t>
      </w:r>
      <w:r w:rsidR="00726249">
        <w:t> </w:t>
      </w:r>
      <w:r w:rsidRPr="00A03B40" w:rsidR="00A970FB">
        <w:t xml:space="preserve">2025, notifying the Commission of its Trigger Point Exceedance, but requested no rate changed because the exceedance </w:t>
      </w:r>
      <w:proofErr w:type="spellStart"/>
      <w:r w:rsidRPr="00A03B40" w:rsidR="00A970FB">
        <w:t>undercollection</w:t>
      </w:r>
      <w:proofErr w:type="spellEnd"/>
      <w:r w:rsidRPr="00A03B40" w:rsidR="00A970FB">
        <w:t xml:space="preserve"> would </w:t>
      </w:r>
    </w:p>
    <w:p w:rsidRPr="00A03B40" w:rsidR="00894749" w:rsidP="00726249" w:rsidRDefault="00A970FB" w14:paraId="038478EB" w14:textId="44B3AC17">
      <w:pPr>
        <w:pStyle w:val="Standard"/>
        <w:ind w:firstLine="0"/>
        <w:rPr>
          <w:vertAlign w:val="superscript"/>
        </w:rPr>
      </w:pPr>
      <w:r w:rsidRPr="00A03B40">
        <w:t>self-correct by virtue of implementation of forecast 2026 ERRA rates on January</w:t>
      </w:r>
      <w:r w:rsidR="00726249">
        <w:t> </w:t>
      </w:r>
      <w:r w:rsidRPr="00A03B40">
        <w:t xml:space="preserve">1, 2026. </w:t>
      </w:r>
    </w:p>
    <w:p w:rsidRPr="00A03B40" w:rsidR="00E626CB" w:rsidP="00E626CB" w:rsidRDefault="00E626CB" w14:paraId="4DC8A4B5" w14:textId="22B58A44">
      <w:pPr>
        <w:pStyle w:val="Heading3"/>
      </w:pPr>
      <w:bookmarkStart w:name="_Toc214629913" w:id="203"/>
      <w:bookmarkEnd w:id="202"/>
      <w:r w:rsidRPr="00A03B40">
        <w:lastRenderedPageBreak/>
        <w:t xml:space="preserve">Other Proceedings that May Impact the 2026 </w:t>
      </w:r>
      <w:r w:rsidR="0004181E">
        <w:t>Power Charge Indifference Adjustment</w:t>
      </w:r>
      <w:bookmarkEnd w:id="203"/>
    </w:p>
    <w:p w:rsidRPr="00A03B40" w:rsidR="005B786D" w:rsidP="005B786D" w:rsidRDefault="009D7194" w14:paraId="5857C990" w14:textId="76E91E46">
      <w:pPr>
        <w:pStyle w:val="Standard"/>
      </w:pPr>
      <w:r w:rsidRPr="00A03B40">
        <w:t xml:space="preserve">In its May </w:t>
      </w:r>
      <w:r w:rsidRPr="00A03B40" w:rsidR="004F3450">
        <w:t>Filing</w:t>
      </w:r>
      <w:r w:rsidRPr="00A03B40">
        <w:t xml:space="preserve">, </w:t>
      </w:r>
      <w:r w:rsidRPr="00A03B40" w:rsidR="00034F1B">
        <w:t>SCE lists the</w:t>
      </w:r>
      <w:r w:rsidRPr="00A03B40">
        <w:t xml:space="preserve"> </w:t>
      </w:r>
      <w:r w:rsidRPr="00A03B40" w:rsidR="00034F1B">
        <w:t>proceedings</w:t>
      </w:r>
      <w:r w:rsidRPr="00A03B40">
        <w:t xml:space="preserve"> below </w:t>
      </w:r>
      <w:r w:rsidRPr="00A03B40" w:rsidR="00034F1B">
        <w:t>as potentially impacting the 202</w:t>
      </w:r>
      <w:r w:rsidRPr="00A03B40">
        <w:t xml:space="preserve">6 </w:t>
      </w:r>
      <w:r w:rsidR="0004181E">
        <w:t>PCIA</w:t>
      </w:r>
      <w:r w:rsidRPr="00A03B40">
        <w:t>.</w:t>
      </w:r>
      <w:r w:rsidRPr="00A03B40" w:rsidR="009B5F19">
        <w:rPr>
          <w:rStyle w:val="FootnoteReference"/>
        </w:rPr>
        <w:footnoteReference w:id="442"/>
      </w:r>
      <w:r w:rsidRPr="00A03B40">
        <w:t xml:space="preserve"> </w:t>
      </w:r>
      <w:r w:rsidRPr="00A03B40" w:rsidR="004F3450">
        <w:t xml:space="preserve">Updates to the statuses of those proceedings and additional proceedings that may impact the 2026 </w:t>
      </w:r>
      <w:r w:rsidR="0004181E">
        <w:t>PCIA</w:t>
      </w:r>
      <w:r w:rsidRPr="00A03B40" w:rsidR="004F3450">
        <w:t xml:space="preserve"> are also listed below.</w:t>
      </w:r>
    </w:p>
    <w:p w:rsidRPr="00A03B40" w:rsidR="003C4177" w:rsidP="008907C0" w:rsidRDefault="009D7194" w14:paraId="7A7933F8" w14:textId="72D1D160">
      <w:pPr>
        <w:pStyle w:val="ListAlpha"/>
        <w:rPr>
          <w:u w:val="single"/>
        </w:rPr>
      </w:pPr>
      <w:r w:rsidRPr="00A03B40">
        <w:rPr>
          <w:u w:val="single"/>
        </w:rPr>
        <w:t>Phase 1 of SCE’s 2025 G</w:t>
      </w:r>
      <w:r w:rsidRPr="00A03B40" w:rsidR="00273150">
        <w:rPr>
          <w:u w:val="single"/>
        </w:rPr>
        <w:t>eneral Rate Case (G</w:t>
      </w:r>
      <w:r w:rsidRPr="00A03B40">
        <w:rPr>
          <w:u w:val="single"/>
        </w:rPr>
        <w:t>RC</w:t>
      </w:r>
      <w:r w:rsidRPr="00A03B40" w:rsidR="00273150">
        <w:rPr>
          <w:u w:val="single"/>
        </w:rPr>
        <w:t xml:space="preserve">, </w:t>
      </w:r>
      <w:r w:rsidRPr="00A03B40">
        <w:rPr>
          <w:u w:val="single"/>
        </w:rPr>
        <w:t>A.23-05-101)</w:t>
      </w:r>
      <w:r w:rsidRPr="00A03B40" w:rsidR="00273150">
        <w:rPr>
          <w:u w:val="single"/>
        </w:rPr>
        <w:t xml:space="preserve"> </w:t>
      </w:r>
    </w:p>
    <w:p w:rsidRPr="00A03B40" w:rsidR="00273150" w:rsidP="008907C0" w:rsidRDefault="003C4177" w14:paraId="3BA11931" w14:textId="36D954F0">
      <w:pPr>
        <w:pStyle w:val="Standard"/>
      </w:pPr>
      <w:r w:rsidRPr="00A03B40">
        <w:t>O</w:t>
      </w:r>
      <w:r w:rsidRPr="00A03B40" w:rsidR="00273150">
        <w:t xml:space="preserve">n September 18, 2025, the Commission adopted </w:t>
      </w:r>
      <w:bookmarkStart w:name="_Hlk211333506" w:id="204"/>
      <w:r w:rsidRPr="00A03B40" w:rsidR="00273150">
        <w:t>D.25-09-030</w:t>
      </w:r>
      <w:bookmarkEnd w:id="204"/>
      <w:r w:rsidRPr="00A03B40" w:rsidR="00273150">
        <w:t xml:space="preserve">, which, among other authorizations: (1) approved a Commission-jurisdictional base revenue requirement of $9.664 billion for </w:t>
      </w:r>
      <w:r w:rsidRPr="00A03B40" w:rsidR="00A970FB">
        <w:t>TY 2025</w:t>
      </w:r>
      <w:r w:rsidRPr="00A03B40" w:rsidR="008134F2">
        <w:rPr>
          <w:rStyle w:val="FootnoteReference"/>
        </w:rPr>
        <w:footnoteReference w:id="443"/>
      </w:r>
      <w:r w:rsidRPr="00A03B40" w:rsidR="00273150">
        <w:t xml:space="preserve">; </w:t>
      </w:r>
      <w:r w:rsidRPr="00A03B40" w:rsidR="008134F2">
        <w:t xml:space="preserve">and </w:t>
      </w:r>
      <w:r w:rsidRPr="00A03B40" w:rsidR="00273150">
        <w:t xml:space="preserve">(2) authorized recovery of certain memorandum and balancing accounts, including the January 1, 2025 through September 30, 2025 balance in the </w:t>
      </w:r>
      <w:r w:rsidRPr="00A03B40" w:rsidR="00D723DD">
        <w:t>GRCRRMA</w:t>
      </w:r>
      <w:r w:rsidRPr="00A03B40" w:rsidR="00273150">
        <w:t xml:space="preserve">, </w:t>
      </w:r>
      <w:r w:rsidRPr="00A03B40" w:rsidR="00A57B01">
        <w:t>which represents</w:t>
      </w:r>
      <w:r w:rsidRPr="00A03B40" w:rsidR="00273150">
        <w:t xml:space="preserve"> the difference between the </w:t>
      </w:r>
      <w:r w:rsidRPr="00A03B40" w:rsidR="00A57B01">
        <w:t>actual revenue received</w:t>
      </w:r>
      <w:r w:rsidRPr="00A03B40" w:rsidR="00273150">
        <w:t xml:space="preserve"> in those months in 2025 and the actual rates adopted by the decision for 2025.</w:t>
      </w:r>
      <w:r w:rsidRPr="00A03B40" w:rsidR="008134F2">
        <w:rPr>
          <w:rStyle w:val="FootnoteReference"/>
        </w:rPr>
        <w:footnoteReference w:id="444"/>
      </w:r>
      <w:r w:rsidRPr="00A03B40">
        <w:t xml:space="preserve"> </w:t>
      </w:r>
      <w:r w:rsidRPr="00A03B40" w:rsidR="003120EB">
        <w:t>As noted above, t</w:t>
      </w:r>
      <w:r w:rsidRPr="00A03B40">
        <w:t xml:space="preserve">hese approvals have been factored into SCE’s </w:t>
      </w:r>
      <w:r w:rsidRPr="00A03B40" w:rsidR="00A57B01">
        <w:t xml:space="preserve">Amended </w:t>
      </w:r>
      <w:r w:rsidRPr="00A03B40">
        <w:t>October Update</w:t>
      </w:r>
      <w:r w:rsidRPr="00A03B40" w:rsidR="00A57B01">
        <w:t>.</w:t>
      </w:r>
    </w:p>
    <w:p w:rsidRPr="00A03B40" w:rsidR="003120EB" w:rsidP="003C4177" w:rsidRDefault="003120EB" w14:paraId="6098489B" w14:textId="690EC828">
      <w:pPr>
        <w:pStyle w:val="Standard"/>
      </w:pPr>
      <w:r w:rsidRPr="00A03B40">
        <w:t xml:space="preserve">D.25-09-030 also adopted a Post-Test Year Ratemaking (PTYR) mechanism that would adjust SCE’s Authorized Base Revenue Requirement on an annual basis in non-test years. </w:t>
      </w:r>
      <w:r w:rsidRPr="00A03B40" w:rsidR="00E808FE">
        <w:t xml:space="preserve">To implement this, </w:t>
      </w:r>
      <w:r w:rsidRPr="00A03B40">
        <w:t>SCE plans to submit an AL</w:t>
      </w:r>
      <w:r w:rsidRPr="00A03B40" w:rsidR="00473A86">
        <w:t xml:space="preserve"> before December 1, 2025, that will include an update to the 2026 AGBRR that SCE will use in its implementation of 2026 ERRA Forecast rates</w:t>
      </w:r>
      <w:r w:rsidRPr="00A03B40" w:rsidR="00E808FE">
        <w:t xml:space="preserve"> on January 1, 2026</w:t>
      </w:r>
      <w:r w:rsidRPr="00A03B40" w:rsidR="00473A86">
        <w:t>.</w:t>
      </w:r>
      <w:r w:rsidRPr="00A03B40" w:rsidR="00473A86">
        <w:rPr>
          <w:rStyle w:val="FootnoteReference"/>
        </w:rPr>
        <w:footnoteReference w:id="445"/>
      </w:r>
      <w:r w:rsidRPr="00A03B40" w:rsidR="00473A86">
        <w:t xml:space="preserve"> </w:t>
      </w:r>
    </w:p>
    <w:p w:rsidRPr="00A03B40" w:rsidR="008312BD" w:rsidP="008312BD" w:rsidRDefault="008312BD" w14:paraId="02C45725" w14:textId="45DD3D44">
      <w:pPr>
        <w:pStyle w:val="Standard"/>
      </w:pPr>
      <w:r w:rsidRPr="00A03B40">
        <w:t>D.25-0</w:t>
      </w:r>
      <w:r w:rsidRPr="00A03B40" w:rsidR="008134F2">
        <w:t>9</w:t>
      </w:r>
      <w:r w:rsidRPr="00A03B40">
        <w:t xml:space="preserve">-030 also authorized the establishment of the two-way Palo Verde Non-Labor Operations and Maintenance (O&amp;M) Expense Balancing Account (PVNLOMBA) to record both actual Palo Verde operating costs and authorized </w:t>
      </w:r>
      <w:r w:rsidRPr="00A03B40">
        <w:lastRenderedPageBreak/>
        <w:t xml:space="preserve">funding related to Palo Verde non-labor O&amp;M expenses. Cost recovery is automatic for up to 110 percent of the authorized amounts in any year, and amounts above that level are subject </w:t>
      </w:r>
      <w:proofErr w:type="gramStart"/>
      <w:r w:rsidRPr="00A03B40">
        <w:t>to a reasonableness</w:t>
      </w:r>
      <w:proofErr w:type="gramEnd"/>
      <w:r w:rsidRPr="00A03B40">
        <w:t xml:space="preserve"> review. SCE is authorized to transfer year-end balances in the PVNLOMBA to the Legacy UOG PABA subaccount. SCE forecasts transferring a year-end 2025 balance of $10.832</w:t>
      </w:r>
      <w:r w:rsidR="00726249">
        <w:t> </w:t>
      </w:r>
      <w:r w:rsidRPr="00A03B40">
        <w:t>million to the Legacy UOG subaccount of the PABA and will update the final amount in its 2026 ERRA forecast implementation advice letter.</w:t>
      </w:r>
      <w:r w:rsidRPr="00A03B40">
        <w:rPr>
          <w:rStyle w:val="FootnoteReference"/>
        </w:rPr>
        <w:footnoteReference w:id="446"/>
      </w:r>
    </w:p>
    <w:p w:rsidRPr="00A03B40" w:rsidR="008312BD" w:rsidP="000F6BC1" w:rsidRDefault="008312BD" w14:paraId="07453BF0" w14:textId="1D63B173">
      <w:pPr>
        <w:pStyle w:val="Standard"/>
      </w:pPr>
      <w:r w:rsidRPr="00A03B40">
        <w:t xml:space="preserve">Finally, D.25-09-030 </w:t>
      </w:r>
      <w:r w:rsidRPr="00A03B40" w:rsidR="000F6BC1">
        <w:t xml:space="preserve">approved the continuation of the existing two-way Post Employment Benefits Other than Pensions Balancing Account (PBOPBA), Pension Costs Balancing Account (PCBA), and Medical Programs Balancing Account (MPBA) through the 2025 GRC cycle and the modification of the schedule for transferring the year-end PBOPBA, PCBA, and MPBA balances to the BRRBA and PABA to occur in December instead of January the following year. SCE </w:t>
      </w:r>
      <w:proofErr w:type="gramStart"/>
      <w:r w:rsidRPr="00A03B40" w:rsidR="00A57B01">
        <w:t>forecast</w:t>
      </w:r>
      <w:proofErr w:type="gramEnd"/>
      <w:r w:rsidRPr="00A03B40" w:rsidR="000F6BC1">
        <w:t xml:space="preserve"> December 2025 transfers of $0.822 million, $1.040 million, and $4.490 million for the PBOPBA, PCBA, and MPBA to PABA. SCE will update this amount in its 2026 ERRA forecast implementation advice letter.</w:t>
      </w:r>
      <w:r w:rsidRPr="00A03B40" w:rsidR="000F6BC1">
        <w:rPr>
          <w:rStyle w:val="FootnoteReference"/>
        </w:rPr>
        <w:footnoteReference w:id="447"/>
      </w:r>
    </w:p>
    <w:p w:rsidRPr="00A03B40" w:rsidR="009D7194" w:rsidP="009D7194" w:rsidRDefault="009D7194" w14:paraId="454173F8" w14:textId="6FD15628">
      <w:pPr>
        <w:pStyle w:val="ListAlpha"/>
        <w:rPr>
          <w:u w:val="single"/>
        </w:rPr>
      </w:pPr>
      <w:r w:rsidRPr="00A03B40">
        <w:rPr>
          <w:u w:val="single"/>
        </w:rPr>
        <w:t>2025 Santa Catalina Island GRC (A.23-12-011)</w:t>
      </w:r>
    </w:p>
    <w:p w:rsidRPr="00A03B40" w:rsidR="00D723DD" w:rsidP="00D723DD" w:rsidRDefault="00D723DD" w14:paraId="1CD6BF5B" w14:textId="06B209FD">
      <w:pPr>
        <w:pStyle w:val="Standard"/>
      </w:pPr>
      <w:r w:rsidRPr="00A03B40">
        <w:t xml:space="preserve">The Commission issued </w:t>
      </w:r>
      <w:bookmarkStart w:name="_Hlk211333535" w:id="205"/>
      <w:r w:rsidRPr="00A03B40">
        <w:t>D.25-06-010</w:t>
      </w:r>
      <w:bookmarkEnd w:id="205"/>
      <w:r w:rsidRPr="00A03B40">
        <w:t xml:space="preserve">, resolving SCE’s Catalina Island </w:t>
      </w:r>
      <w:r w:rsidRPr="00A03B40" w:rsidR="006B639A">
        <w:t>GRC</w:t>
      </w:r>
      <w:r w:rsidRPr="00A03B40">
        <w:t xml:space="preserve">, in June 2025, after SCE filed its May Application. SCE incorporates the impact of this decision in its </w:t>
      </w:r>
      <w:r w:rsidRPr="00A03B40" w:rsidR="004F3450">
        <w:t xml:space="preserve">Amended </w:t>
      </w:r>
      <w:r w:rsidRPr="00A03B40">
        <w:t xml:space="preserve">October Update. This decision </w:t>
      </w:r>
      <w:r w:rsidRPr="00A03B40" w:rsidR="006B639A">
        <w:t>decreased</w:t>
      </w:r>
      <w:r w:rsidRPr="00A03B40">
        <w:t xml:space="preserve"> </w:t>
      </w:r>
      <w:proofErr w:type="gramStart"/>
      <w:r w:rsidRPr="00A03B40" w:rsidR="006B639A">
        <w:t>SCE’s forecast</w:t>
      </w:r>
      <w:proofErr w:type="gramEnd"/>
      <w:r w:rsidRPr="00A03B40" w:rsidR="006B639A">
        <w:t xml:space="preserve"> 2026 Catalina Island fuel</w:t>
      </w:r>
      <w:r w:rsidRPr="00A03B40">
        <w:t xml:space="preserve"> costs, as described in Section 5.</w:t>
      </w:r>
      <w:r w:rsidRPr="00A03B40" w:rsidR="006B639A">
        <w:t>2</w:t>
      </w:r>
      <w:r w:rsidRPr="00A03B40">
        <w:t>.</w:t>
      </w:r>
      <w:r w:rsidRPr="00A03B40" w:rsidR="006B639A">
        <w:t>16</w:t>
      </w:r>
      <w:r w:rsidRPr="00A03B40">
        <w:t>.</w:t>
      </w:r>
    </w:p>
    <w:p w:rsidRPr="00A03B40" w:rsidR="009D7194" w:rsidP="001316AD" w:rsidRDefault="009D7194" w14:paraId="18CC78F5" w14:textId="607737C4">
      <w:pPr>
        <w:pStyle w:val="ListAlpha"/>
        <w:keepNext/>
        <w:keepLines/>
        <w:rPr>
          <w:u w:val="single"/>
        </w:rPr>
      </w:pPr>
      <w:r w:rsidRPr="00A03B40">
        <w:rPr>
          <w:u w:val="single"/>
        </w:rPr>
        <w:lastRenderedPageBreak/>
        <w:t xml:space="preserve">Applications for the sales of various hydroelectric plants </w:t>
      </w:r>
      <w:r w:rsidR="00E87759">
        <w:rPr>
          <w:u w:val="single"/>
        </w:rPr>
        <w:br/>
      </w:r>
      <w:r w:rsidRPr="00A03B40">
        <w:rPr>
          <w:u w:val="single"/>
        </w:rPr>
        <w:t>(A.24-08-012, A.24-09-0</w:t>
      </w:r>
      <w:r w:rsidRPr="00A03B40" w:rsidR="00C23166">
        <w:rPr>
          <w:u w:val="single"/>
        </w:rPr>
        <w:t>0</w:t>
      </w:r>
      <w:r w:rsidRPr="00A03B40">
        <w:rPr>
          <w:u w:val="single"/>
        </w:rPr>
        <w:t>8, and A.25-03-001)</w:t>
      </w:r>
    </w:p>
    <w:p w:rsidRPr="00A03B40" w:rsidR="00754DC9" w:rsidP="001316AD" w:rsidRDefault="00FC10BF" w14:paraId="491ADDA5" w14:textId="7A4297D8">
      <w:pPr>
        <w:pStyle w:val="Standard"/>
        <w:keepNext/>
        <w:keepLines/>
      </w:pPr>
      <w:r w:rsidRPr="00A03B40">
        <w:t xml:space="preserve">A.24-08-012 was resolved by </w:t>
      </w:r>
      <w:bookmarkStart w:name="_Hlk211333520" w:id="206"/>
      <w:r w:rsidRPr="00A03B40">
        <w:t>D.25-09-012</w:t>
      </w:r>
      <w:bookmarkEnd w:id="206"/>
      <w:r w:rsidRPr="00A03B40">
        <w:t xml:space="preserve">, </w:t>
      </w:r>
      <w:r w:rsidRPr="00A03B40" w:rsidR="00C23166">
        <w:rPr>
          <w:i/>
          <w:iCs/>
        </w:rPr>
        <w:t xml:space="preserve">Decision Authorizing Southern California Edison Company </w:t>
      </w:r>
      <w:r w:rsidRPr="00A03B40" w:rsidR="007F198A">
        <w:rPr>
          <w:i/>
          <w:iCs/>
        </w:rPr>
        <w:t>t</w:t>
      </w:r>
      <w:r w:rsidRPr="00A03B40" w:rsidR="00C23166">
        <w:rPr>
          <w:i/>
          <w:iCs/>
        </w:rPr>
        <w:t xml:space="preserve">o Sell Certain Hydroelectric Power Plants </w:t>
      </w:r>
      <w:r w:rsidRPr="00A03B40" w:rsidR="007F198A">
        <w:rPr>
          <w:i/>
          <w:iCs/>
        </w:rPr>
        <w:t>t</w:t>
      </w:r>
      <w:r w:rsidRPr="00A03B40" w:rsidR="00C23166">
        <w:rPr>
          <w:i/>
          <w:iCs/>
        </w:rPr>
        <w:t>o San Bernardino Valley Municipal Water District Under Public Utilities Code Section 851.</w:t>
      </w:r>
      <w:r w:rsidRPr="00A03B40" w:rsidR="00C23166">
        <w:t xml:space="preserve"> Neither A. 24-09-008 nor A.25-01-001 has been resolved as of October 1, 2025.</w:t>
      </w:r>
      <w:r w:rsidRPr="00A03B40" w:rsidR="003120EB">
        <w:t xml:space="preserve"> SCE’s 2026 forecasts remain unchanged by this decision because SCE had factored in decreased production related to these systems in its May Filing.</w:t>
      </w:r>
    </w:p>
    <w:p w:rsidRPr="00A03B40" w:rsidR="00754DC9" w:rsidP="00754DC9" w:rsidRDefault="009D7194" w14:paraId="3F3DB7C8" w14:textId="0D73D11B">
      <w:pPr>
        <w:pStyle w:val="ListAlpha"/>
        <w:rPr>
          <w:u w:val="single"/>
        </w:rPr>
      </w:pPr>
      <w:r w:rsidRPr="00A03B40">
        <w:rPr>
          <w:u w:val="single"/>
        </w:rPr>
        <w:t>Track 1 of the ERRA PCIA Order Instituting Rulemaking (R.25-02-005)</w:t>
      </w:r>
      <w:r w:rsidRPr="00A03B40" w:rsidR="009B5F19">
        <w:rPr>
          <w:u w:val="single"/>
        </w:rPr>
        <w:t xml:space="preserve"> </w:t>
      </w:r>
    </w:p>
    <w:p w:rsidRPr="00A03B40" w:rsidR="00E808FE" w:rsidP="00A57B01" w:rsidRDefault="00A57B01" w14:paraId="479CEA65" w14:textId="7CB7B64C">
      <w:pPr>
        <w:pStyle w:val="Standard"/>
      </w:pPr>
      <w:r w:rsidRPr="00A03B40">
        <w:t>As noted above,</w:t>
      </w:r>
      <w:r w:rsidRPr="00A03B40" w:rsidR="00E808FE">
        <w:t xml:space="preserve"> </w:t>
      </w:r>
      <w:r w:rsidRPr="00A03B40" w:rsidR="0057608E">
        <w:t>SCE incorporated th</w:t>
      </w:r>
      <w:r w:rsidRPr="00A03B40">
        <w:t xml:space="preserve">e updated RA </w:t>
      </w:r>
      <w:r w:rsidRPr="00A03B40" w:rsidR="005B5AFA">
        <w:t>MPB</w:t>
      </w:r>
      <w:r w:rsidRPr="00A03B40">
        <w:t xml:space="preserve"> ordered by the Track 1 decision in the PCIA rulemaking</w:t>
      </w:r>
      <w:r w:rsidRPr="00A03B40" w:rsidR="0057608E">
        <w:t xml:space="preserve"> </w:t>
      </w:r>
      <w:r w:rsidRPr="00A03B40">
        <w:t xml:space="preserve">(D.25-06-049) </w:t>
      </w:r>
      <w:r w:rsidRPr="00A03B40" w:rsidR="0057608E">
        <w:t xml:space="preserve">into </w:t>
      </w:r>
      <w:r w:rsidRPr="00A03B40" w:rsidR="003120EB">
        <w:t>its</w:t>
      </w:r>
      <w:r w:rsidRPr="00A03B40" w:rsidR="0057608E">
        <w:t xml:space="preserve"> </w:t>
      </w:r>
      <w:r w:rsidRPr="00A03B40" w:rsidR="0050732B">
        <w:t xml:space="preserve">Amended </w:t>
      </w:r>
      <w:r w:rsidRPr="00A03B40" w:rsidR="0057608E">
        <w:t>October Update, as described in Section 8.2.2.3.</w:t>
      </w:r>
      <w:r w:rsidRPr="00A03B40" w:rsidR="009B5F19">
        <w:t xml:space="preserve"> </w:t>
      </w:r>
    </w:p>
    <w:p w:rsidRPr="00A03B40" w:rsidR="009D7194" w:rsidP="009D7194" w:rsidRDefault="009D7194" w14:paraId="08D205A8" w14:textId="6A3E883F">
      <w:pPr>
        <w:pStyle w:val="ListAlpha"/>
        <w:rPr>
          <w:u w:val="single"/>
        </w:rPr>
      </w:pPr>
      <w:r w:rsidRPr="00A03B40">
        <w:rPr>
          <w:u w:val="single"/>
        </w:rPr>
        <w:t>SCE’s Petition for Modification of D.23-02-040 and D.24-02-047</w:t>
      </w:r>
    </w:p>
    <w:p w:rsidRPr="00A03B40" w:rsidR="00C23166" w:rsidP="00C23166" w:rsidRDefault="006B639A" w14:paraId="2340559E" w14:textId="7EA65312">
      <w:pPr>
        <w:pStyle w:val="Standard"/>
      </w:pPr>
      <w:r w:rsidRPr="00A03B40">
        <w:t>SCE’s PFM of these decisions</w:t>
      </w:r>
      <w:r w:rsidR="00CA29CE">
        <w:t>, relating to bridge procurement,</w:t>
      </w:r>
      <w:r w:rsidRPr="00A03B40">
        <w:t xml:space="preserve"> was granted in part by D.25-08-007 as discussed in Section 5.2.10 of this Decision. This decision </w:t>
      </w:r>
      <w:proofErr w:type="gramStart"/>
      <w:r w:rsidRPr="00A03B40">
        <w:t>likely</w:t>
      </w:r>
      <w:proofErr w:type="gramEnd"/>
      <w:r w:rsidRPr="00A03B40">
        <w:t xml:space="preserve"> decreased procurement costs for ratepayers.</w:t>
      </w:r>
    </w:p>
    <w:p w:rsidRPr="00A03B40" w:rsidR="009D7194" w:rsidP="009D7194" w:rsidRDefault="009D7194" w14:paraId="52E02BA6" w14:textId="77E9975D">
      <w:pPr>
        <w:pStyle w:val="ListAlpha"/>
        <w:rPr>
          <w:u w:val="single"/>
        </w:rPr>
      </w:pPr>
      <w:r w:rsidRPr="00A03B40">
        <w:rPr>
          <w:u w:val="single"/>
        </w:rPr>
        <w:t>SCE’s Measure Long Beach Surcharge Balancing Account Advice Letter</w:t>
      </w:r>
    </w:p>
    <w:p w:rsidRPr="00A03B40" w:rsidR="00C23166" w:rsidP="006B639A" w:rsidRDefault="006B639A" w14:paraId="70FB1CE6" w14:textId="2ED98C9A">
      <w:pPr>
        <w:pStyle w:val="Standard"/>
      </w:pPr>
      <w:r w:rsidRPr="00A03B40">
        <w:t xml:space="preserve">On April 4, 2025, SCE submitted Advice 5510-E, requesting authority to implement a surcharge to recover the costs of a new utility users’ tax (UUT) imposed by the City of Long Beach on certain SCE natural gas purchases. </w:t>
      </w:r>
      <w:r w:rsidRPr="00A03B40" w:rsidR="00C23166">
        <w:t>If Advice 5510-E is approved, SCE w</w:t>
      </w:r>
      <w:r w:rsidRPr="00A03B40">
        <w:t>ill</w:t>
      </w:r>
      <w:r w:rsidRPr="00A03B40" w:rsidR="00C23166">
        <w:t xml:space="preserve"> remove the forecas</w:t>
      </w:r>
      <w:r w:rsidRPr="00A03B40" w:rsidR="0027262B">
        <w:t>t</w:t>
      </w:r>
      <w:r w:rsidRPr="00A03B40" w:rsidR="00C23166">
        <w:t xml:space="preserve"> costs for Measure LB UUT from New System Generation forecast costs.</w:t>
      </w:r>
      <w:r w:rsidRPr="00A03B40" w:rsidR="008312BD">
        <w:rPr>
          <w:rStyle w:val="FootnoteReference"/>
        </w:rPr>
        <w:footnoteReference w:id="448"/>
      </w:r>
    </w:p>
    <w:p w:rsidRPr="00A03B40" w:rsidR="009D7194" w:rsidP="00D7338F" w:rsidRDefault="009D7194" w14:paraId="4767574E" w14:textId="686EB635">
      <w:pPr>
        <w:pStyle w:val="ListAlpha"/>
        <w:keepNext/>
        <w:keepLines/>
        <w:rPr>
          <w:u w:val="single"/>
        </w:rPr>
      </w:pPr>
      <w:r w:rsidRPr="00A03B40">
        <w:rPr>
          <w:u w:val="single"/>
        </w:rPr>
        <w:lastRenderedPageBreak/>
        <w:t>SCE’s 2021 ERRA Review</w:t>
      </w:r>
    </w:p>
    <w:p w:rsidRPr="00A03B40" w:rsidR="00C23166" w:rsidP="00D7338F" w:rsidRDefault="00C23166" w14:paraId="5E7E2939" w14:textId="7D9560E8">
      <w:pPr>
        <w:pStyle w:val="Standard"/>
        <w:keepNext/>
        <w:keepLines/>
      </w:pPr>
      <w:r w:rsidRPr="00A03B40">
        <w:t xml:space="preserve">SCE’s May </w:t>
      </w:r>
      <w:r w:rsidRPr="00A03B40" w:rsidR="008134F2">
        <w:t>Filing</w:t>
      </w:r>
      <w:r w:rsidRPr="00A03B40">
        <w:t xml:space="preserve"> noted that a proposed decision in its 2021 ERRA Review proceeding was pending before the Commission.</w:t>
      </w:r>
      <w:r w:rsidRPr="00A03B40" w:rsidR="007F198A">
        <w:rPr>
          <w:rStyle w:val="FootnoteReference"/>
        </w:rPr>
        <w:footnoteReference w:id="449"/>
      </w:r>
      <w:r w:rsidRPr="00A03B40">
        <w:t xml:space="preserve"> </w:t>
      </w:r>
      <w:r w:rsidRPr="00A03B40" w:rsidR="0007585C">
        <w:t>On</w:t>
      </w:r>
      <w:r w:rsidRPr="00A03B40">
        <w:t xml:space="preserve"> June 19, 2025,</w:t>
      </w:r>
      <w:r w:rsidRPr="00A03B40" w:rsidR="007F198A">
        <w:t xml:space="preserve"> </w:t>
      </w:r>
      <w:r w:rsidRPr="00A03B40">
        <w:t xml:space="preserve">the Commission issued </w:t>
      </w:r>
      <w:bookmarkStart w:name="_Hlk211333601" w:id="207"/>
      <w:r w:rsidRPr="00A03B40">
        <w:t>D.25-06-006</w:t>
      </w:r>
      <w:bookmarkEnd w:id="207"/>
      <w:r w:rsidRPr="00A03B40">
        <w:t xml:space="preserve">, </w:t>
      </w:r>
      <w:r w:rsidRPr="00A03B40">
        <w:rPr>
          <w:i/>
          <w:iCs/>
        </w:rPr>
        <w:t>Approving Southern California Edison Company 2021 Energy Resource Recovery Account Compliance Application</w:t>
      </w:r>
      <w:r w:rsidRPr="00A03B40">
        <w:t>. </w:t>
      </w:r>
      <w:r w:rsidRPr="00A03B40" w:rsidR="007F198A">
        <w:t xml:space="preserve">This decision </w:t>
      </w:r>
      <w:r w:rsidRPr="00A03B40">
        <w:t xml:space="preserve">orders SCE to implement a vintage-specific sur-credit to the PCIA rates to refund $3.7 million of double-collected franchise fees to applicable </w:t>
      </w:r>
      <w:r w:rsidRPr="00A03B40" w:rsidR="00C669BD">
        <w:t>DL</w:t>
      </w:r>
      <w:r w:rsidRPr="00A03B40">
        <w:t xml:space="preserve"> customers.</w:t>
      </w:r>
      <w:r w:rsidRPr="00A03B40" w:rsidR="007F198A">
        <w:t xml:space="preserve"> SCE </w:t>
      </w:r>
      <w:r w:rsidRPr="00A03B40" w:rsidR="005B5AFA">
        <w:t>incorporates</w:t>
      </w:r>
      <w:r w:rsidRPr="00A03B40" w:rsidR="007F198A">
        <w:t xml:space="preserve"> this adjustment into its </w:t>
      </w:r>
      <w:r w:rsidRPr="00A03B40" w:rsidR="00A57B01">
        <w:t xml:space="preserve">Amended </w:t>
      </w:r>
      <w:r w:rsidRPr="00A03B40" w:rsidR="007F198A">
        <w:t>October Update.</w:t>
      </w:r>
      <w:r w:rsidRPr="00A03B40" w:rsidR="00C669BD">
        <w:t xml:space="preserve"> SCE will account for the sur-credit to ensure it is borne by shareholders, rather than ratepayers.</w:t>
      </w:r>
      <w:r w:rsidRPr="00A03B40" w:rsidR="00C669BD">
        <w:rPr>
          <w:rStyle w:val="FootnoteReference"/>
        </w:rPr>
        <w:footnoteReference w:id="450"/>
      </w:r>
    </w:p>
    <w:p w:rsidRPr="00A03B40" w:rsidR="00B75406" w:rsidP="008907C0" w:rsidRDefault="009D7194" w14:paraId="0C643053" w14:textId="6ABD62BF">
      <w:pPr>
        <w:pStyle w:val="ListAlpha"/>
        <w:keepNext/>
        <w:keepLines/>
        <w:rPr>
          <w:u w:val="single"/>
        </w:rPr>
      </w:pPr>
      <w:r w:rsidRPr="00A03B40">
        <w:rPr>
          <w:u w:val="single"/>
        </w:rPr>
        <w:t>Track 3 of the RA OIR (R.23-10-011</w:t>
      </w:r>
      <w:r w:rsidRPr="00A03B40" w:rsidR="009B5F19">
        <w:rPr>
          <w:u w:val="single"/>
        </w:rPr>
        <w:t>)</w:t>
      </w:r>
    </w:p>
    <w:p w:rsidR="00726249" w:rsidP="008907C0" w:rsidRDefault="007F198A" w14:paraId="41014BC0" w14:textId="77777777">
      <w:pPr>
        <w:pStyle w:val="Standard"/>
        <w:keepNext/>
        <w:keepLines/>
      </w:pPr>
      <w:r w:rsidRPr="00A03B40">
        <w:t xml:space="preserve">SCE’s May </w:t>
      </w:r>
      <w:r w:rsidRPr="00A03B40" w:rsidR="0027262B">
        <w:t>Filing</w:t>
      </w:r>
      <w:r w:rsidRPr="00A03B40">
        <w:t xml:space="preserve"> noted that a forthcoming Track 3 decision in R.23-10-011, the Resource Adequacy rulemaking, could impact its Indifference Amount calculation. After SCE submitted its May filing, the Commission issued </w:t>
      </w:r>
      <w:bookmarkStart w:name="_Hlk211333617" w:id="208"/>
    </w:p>
    <w:p w:rsidRPr="00A03B40" w:rsidR="007F198A" w:rsidP="00726249" w:rsidRDefault="007F198A" w14:paraId="12664DC1" w14:textId="68C0A185">
      <w:pPr>
        <w:pStyle w:val="Standard"/>
        <w:ind w:firstLine="0"/>
      </w:pPr>
      <w:r w:rsidRPr="00A03B40">
        <w:t>D.25-06-048</w:t>
      </w:r>
      <w:bookmarkEnd w:id="208"/>
      <w:r w:rsidRPr="00A03B40">
        <w:t xml:space="preserve">, </w:t>
      </w:r>
      <w:r w:rsidRPr="00A03B40">
        <w:rPr>
          <w:i/>
          <w:iCs/>
        </w:rPr>
        <w:t>Adopting Local Capacity Obligations for 2026-2028, Flexible Capacity Obligations for 2026, and Program Refinements</w:t>
      </w:r>
      <w:r w:rsidRPr="00A03B40">
        <w:t xml:space="preserve">. </w:t>
      </w:r>
      <w:r w:rsidRPr="00A03B40" w:rsidR="004F3450">
        <w:t xml:space="preserve">As noted above, </w:t>
      </w:r>
      <w:r w:rsidRPr="00A03B40">
        <w:t>SCE has incorporated the impact</w:t>
      </w:r>
      <w:r w:rsidRPr="00A03B40" w:rsidR="000B7F0F">
        <w:t>s</w:t>
      </w:r>
      <w:r w:rsidRPr="00A03B40">
        <w:t xml:space="preserve"> of this decision in its </w:t>
      </w:r>
      <w:r w:rsidRPr="00A03B40" w:rsidR="004F3450">
        <w:t xml:space="preserve">Amended </w:t>
      </w:r>
      <w:r w:rsidRPr="00A03B40">
        <w:t>October Update.</w:t>
      </w:r>
    </w:p>
    <w:p w:rsidRPr="00A03B40" w:rsidR="00B96854" w:rsidP="006271CB" w:rsidRDefault="00B96854" w14:paraId="4806D8BE" w14:textId="4A56BBE0">
      <w:pPr>
        <w:pStyle w:val="Heading2"/>
      </w:pPr>
      <w:bookmarkStart w:name="_Toc214629914" w:id="209"/>
      <w:r w:rsidRPr="00A03B40">
        <w:t>Approval of Southern California Edison Company’s 2026 Indifference Amount</w:t>
      </w:r>
      <w:bookmarkEnd w:id="209"/>
    </w:p>
    <w:p w:rsidRPr="00A03B40" w:rsidR="00B96854" w:rsidP="00B96854" w:rsidRDefault="00A9145B" w14:paraId="4B0435C1" w14:textId="683B5432">
      <w:pPr>
        <w:pStyle w:val="Standard"/>
      </w:pPr>
      <w:r w:rsidRPr="00A03B40">
        <w:t xml:space="preserve">Based on our review of the Application, testimonies, workpapers, and briefs, and Commission </w:t>
      </w:r>
      <w:r w:rsidRPr="00A03B40" w:rsidR="00F428B4">
        <w:t>decisions</w:t>
      </w:r>
      <w:r w:rsidRPr="00A03B40">
        <w:t xml:space="preserve">, we resolve the disputed issues as noted above and find all other aspects of SCE’s </w:t>
      </w:r>
      <w:r w:rsidRPr="00A03B40" w:rsidR="0087487D">
        <w:t xml:space="preserve">calculations of the </w:t>
      </w:r>
      <w:r w:rsidRPr="00A03B40">
        <w:t>2026 Indifference Amount forecast</w:t>
      </w:r>
      <w:r w:rsidRPr="00A03B40" w:rsidR="0087487D">
        <w:t>, including its treatment of RA and RPS resource values,</w:t>
      </w:r>
      <w:r w:rsidRPr="00A03B40">
        <w:t xml:space="preserve"> to be consistent with </w:t>
      </w:r>
      <w:r w:rsidR="00CA29CE">
        <w:t xml:space="preserve">current </w:t>
      </w:r>
      <w:r w:rsidRPr="00A03B40">
        <w:t>Commission guidance and so reasonable</w:t>
      </w:r>
      <w:r w:rsidR="00CA29CE">
        <w:t>, as specified herein</w:t>
      </w:r>
      <w:r w:rsidRPr="00A03B40">
        <w:t xml:space="preserve">. </w:t>
      </w:r>
    </w:p>
    <w:p w:rsidRPr="00A03B40" w:rsidR="006271CB" w:rsidP="006271CB" w:rsidRDefault="00585BC4" w14:paraId="43D77382" w14:textId="4B81A795">
      <w:pPr>
        <w:pStyle w:val="Heading2"/>
      </w:pPr>
      <w:bookmarkStart w:name="_Toc214629915" w:id="210"/>
      <w:r w:rsidRPr="00A03B40">
        <w:lastRenderedPageBreak/>
        <w:t xml:space="preserve">2026 </w:t>
      </w:r>
      <w:r w:rsidRPr="00A03B40" w:rsidR="006271CB">
        <w:t>Competition Transition Charge</w:t>
      </w:r>
      <w:r w:rsidRPr="00A03B40">
        <w:t>s</w:t>
      </w:r>
      <w:bookmarkEnd w:id="210"/>
    </w:p>
    <w:p w:rsidRPr="00A03B40" w:rsidR="00A9145B" w:rsidP="00492A27" w:rsidRDefault="006271CB" w14:paraId="23938FC7" w14:textId="4719EA3D">
      <w:pPr>
        <w:pStyle w:val="Standard"/>
        <w:contextualSpacing/>
      </w:pPr>
      <w:proofErr w:type="gramStart"/>
      <w:r w:rsidRPr="00A03B40">
        <w:t>SCE’s</w:t>
      </w:r>
      <w:proofErr w:type="gramEnd"/>
      <w:r w:rsidRPr="00A03B40">
        <w:t xml:space="preserve"> proposed </w:t>
      </w:r>
      <w:r w:rsidRPr="00A03B40" w:rsidR="00754DC9">
        <w:t xml:space="preserve">2026 </w:t>
      </w:r>
      <w:r w:rsidRPr="00A03B40" w:rsidR="000B7F0F">
        <w:t>CTC</w:t>
      </w:r>
      <w:r w:rsidR="007F3AF4">
        <w:t xml:space="preserve"> rates</w:t>
      </w:r>
      <w:r w:rsidRPr="00A03B40" w:rsidR="000B7F0F">
        <w:t xml:space="preserve"> </w:t>
      </w:r>
      <w:r w:rsidRPr="00A03B40">
        <w:t xml:space="preserve">are approved. </w:t>
      </w:r>
      <w:r w:rsidRPr="00A03B40" w:rsidR="000B7F0F">
        <w:t>The history of the CTC is described in Section 8.1, above. T</w:t>
      </w:r>
      <w:r w:rsidRPr="00A03B40" w:rsidR="004247AE">
        <w:t xml:space="preserve">he final CTC </w:t>
      </w:r>
      <w:r w:rsidRPr="00A03B40" w:rsidR="0007585C">
        <w:t>(</w:t>
      </w:r>
      <w:r w:rsidRPr="00A03B40" w:rsidR="004247AE">
        <w:t>and PCIA</w:t>
      </w:r>
      <w:r w:rsidRPr="00A03B40" w:rsidR="0007585C">
        <w:t>)</w:t>
      </w:r>
      <w:r w:rsidRPr="00A03B40" w:rsidR="004247AE">
        <w:t xml:space="preserve"> rates are </w:t>
      </w:r>
      <w:bookmarkStart w:name="_Hlk211333818" w:id="211"/>
      <w:r w:rsidRPr="00A03B40" w:rsidR="004247AE">
        <w:t>determined by allocating the vintaged PABA revenue requirements to rate groups using generation revenue allocation factors approved in SCE’s GRC Phase 2 proceeding</w:t>
      </w:r>
      <w:r w:rsidRPr="00A03B40" w:rsidR="000B7F0F">
        <w:t>,</w:t>
      </w:r>
      <w:r w:rsidRPr="00A03B40" w:rsidR="004247AE">
        <w:t xml:space="preserve"> normalized to account for each rate group’s kWh sales forecast by vintage and divided by forecast sales by vintage (also referred to as billing determinants)</w:t>
      </w:r>
      <w:bookmarkEnd w:id="211"/>
      <w:r w:rsidRPr="00A03B40" w:rsidR="004247AE">
        <w:t>.</w:t>
      </w:r>
      <w:r w:rsidRPr="00A03B40" w:rsidR="004247AE">
        <w:rPr>
          <w:rStyle w:val="FootnoteReference"/>
        </w:rPr>
        <w:footnoteReference w:id="451"/>
      </w:r>
      <w:r w:rsidR="00492A27">
        <w:t xml:space="preserve"> </w:t>
      </w:r>
      <w:r w:rsidRPr="00A03B40" w:rsidR="00A9145B">
        <w:t xml:space="preserve">No party has disputed or commented upon SCE’s proposed 2026 CTC rates. SCE’s proposed CTC rates were calculated </w:t>
      </w:r>
      <w:proofErr w:type="gramStart"/>
      <w:r w:rsidRPr="00A03B40" w:rsidR="00A9145B">
        <w:t>consistent</w:t>
      </w:r>
      <w:proofErr w:type="gramEnd"/>
      <w:r w:rsidRPr="00A03B40" w:rsidR="00A9145B">
        <w:t xml:space="preserve"> with Commission decisions and so are reasonable and approved for recovery as proposed.</w:t>
      </w:r>
      <w:r w:rsidRPr="00A03B40" w:rsidR="005B5AFA">
        <w:t xml:space="preserve"> </w:t>
      </w:r>
      <w:r w:rsidRPr="00A03B40">
        <w:t xml:space="preserve">Based on the calculation of the 2026 Indifference Amount, above, </w:t>
      </w:r>
      <w:proofErr w:type="gramStart"/>
      <w:r w:rsidRPr="00A03B40">
        <w:t>SCE’s</w:t>
      </w:r>
      <w:proofErr w:type="gramEnd"/>
      <w:r w:rsidRPr="00A03B40">
        <w:t xml:space="preserve"> updated 2026 Competition Transition Charges are as follows:</w:t>
      </w:r>
    </w:p>
    <w:p w:rsidRPr="00A03B40" w:rsidR="006271CB" w:rsidP="003D0AEA" w:rsidRDefault="006271CB" w14:paraId="597FA33F" w14:textId="0915DFE2">
      <w:pPr>
        <w:pStyle w:val="Standard"/>
        <w:ind w:firstLine="0"/>
        <w:jc w:val="center"/>
        <w:rPr>
          <w:b/>
          <w:bCs/>
        </w:rPr>
      </w:pPr>
      <w:r w:rsidRPr="00A03B40">
        <w:rPr>
          <w:b/>
          <w:bCs/>
        </w:rPr>
        <w:t xml:space="preserve">Table </w:t>
      </w:r>
      <w:r w:rsidRPr="00A03B40" w:rsidR="00C8543F">
        <w:rPr>
          <w:b/>
          <w:bCs/>
        </w:rPr>
        <w:t>8-</w:t>
      </w:r>
      <w:r w:rsidRPr="00A03B40" w:rsidR="00A9145B">
        <w:rPr>
          <w:b/>
          <w:bCs/>
        </w:rPr>
        <w:t>3</w:t>
      </w:r>
      <w:r w:rsidRPr="00A03B40">
        <w:rPr>
          <w:b/>
          <w:bCs/>
        </w:rPr>
        <w:t>: 2026 C</w:t>
      </w:r>
      <w:r w:rsidR="0004181E">
        <w:rPr>
          <w:b/>
          <w:bCs/>
        </w:rPr>
        <w:t>ompetition Transition</w:t>
      </w:r>
      <w:r w:rsidRPr="00A03B40">
        <w:rPr>
          <w:b/>
          <w:bCs/>
        </w:rPr>
        <w:t xml:space="preserve"> Charges</w:t>
      </w:r>
      <w:r w:rsidR="00400DE5">
        <w:rPr>
          <w:b/>
          <w:bCs/>
        </w:rPr>
        <w:t xml:space="preserve"> ($/kWh)</w:t>
      </w:r>
      <w:r w:rsidR="00796453">
        <w:rPr>
          <w:rStyle w:val="FootnoteReference"/>
          <w:b/>
          <w:bCs/>
        </w:rPr>
        <w:footnoteReference w:id="452"/>
      </w:r>
    </w:p>
    <w:tbl>
      <w:tblPr>
        <w:tblStyle w:val="TableGrid"/>
        <w:tblW w:w="9087" w:type="dxa"/>
        <w:tblLook w:val="04A0" w:firstRow="1" w:lastRow="0" w:firstColumn="1" w:lastColumn="0" w:noHBand="0" w:noVBand="1"/>
      </w:tblPr>
      <w:tblGrid>
        <w:gridCol w:w="2271"/>
        <w:gridCol w:w="2272"/>
        <w:gridCol w:w="2272"/>
        <w:gridCol w:w="2272"/>
      </w:tblGrid>
      <w:tr w:rsidRPr="00A03B40" w:rsidR="006271CB" w:rsidTr="00492969" w14:paraId="7D226C41" w14:textId="77777777">
        <w:tc>
          <w:tcPr>
            <w:tcW w:w="2271" w:type="dxa"/>
            <w:vAlign w:val="center"/>
          </w:tcPr>
          <w:p w:rsidRPr="00A03B40" w:rsidR="006271CB" w:rsidP="00492969" w:rsidRDefault="006271CB" w14:paraId="10A699A2" w14:textId="77777777">
            <w:pPr>
              <w:pStyle w:val="Standard"/>
              <w:spacing w:line="240" w:lineRule="auto"/>
              <w:ind w:firstLine="0"/>
              <w:jc w:val="center"/>
            </w:pPr>
            <w:r w:rsidRPr="00A03B40">
              <w:t>Rate Group</w:t>
            </w:r>
          </w:p>
        </w:tc>
        <w:tc>
          <w:tcPr>
            <w:tcW w:w="2272" w:type="dxa"/>
            <w:vAlign w:val="center"/>
          </w:tcPr>
          <w:p w:rsidRPr="00A03B40" w:rsidR="006271CB" w:rsidP="00492969" w:rsidRDefault="006271CB" w14:paraId="626084FC" w14:textId="77777777">
            <w:pPr>
              <w:pStyle w:val="Standard"/>
              <w:spacing w:line="240" w:lineRule="auto"/>
              <w:ind w:firstLine="0"/>
              <w:jc w:val="center"/>
            </w:pPr>
            <w:r w:rsidRPr="00A03B40">
              <w:t>2026 CTC</w:t>
            </w:r>
          </w:p>
        </w:tc>
        <w:tc>
          <w:tcPr>
            <w:tcW w:w="2272" w:type="dxa"/>
            <w:vAlign w:val="center"/>
          </w:tcPr>
          <w:p w:rsidRPr="00A03B40" w:rsidR="006271CB" w:rsidP="00492969" w:rsidRDefault="006271CB" w14:paraId="2BDAAD09" w14:textId="77777777">
            <w:pPr>
              <w:pStyle w:val="Standard"/>
              <w:spacing w:line="240" w:lineRule="auto"/>
              <w:ind w:left="-18" w:firstLine="0"/>
              <w:jc w:val="center"/>
            </w:pPr>
            <w:r w:rsidRPr="00A03B40">
              <w:t>Rate Group (cont’d)</w:t>
            </w:r>
          </w:p>
        </w:tc>
        <w:tc>
          <w:tcPr>
            <w:tcW w:w="2272" w:type="dxa"/>
            <w:vAlign w:val="center"/>
          </w:tcPr>
          <w:p w:rsidRPr="00A03B40" w:rsidR="006271CB" w:rsidP="00492969" w:rsidRDefault="006271CB" w14:paraId="7F2D04E9" w14:textId="77777777">
            <w:pPr>
              <w:pStyle w:val="Standard"/>
              <w:spacing w:line="240" w:lineRule="auto"/>
              <w:ind w:firstLine="0"/>
              <w:jc w:val="center"/>
            </w:pPr>
            <w:r w:rsidRPr="00A03B40">
              <w:t>2026 CTC (cont’d)</w:t>
            </w:r>
          </w:p>
        </w:tc>
      </w:tr>
      <w:tr w:rsidRPr="00A03B40" w:rsidR="006271CB" w:rsidTr="00492969" w14:paraId="3461E718" w14:textId="77777777">
        <w:tc>
          <w:tcPr>
            <w:tcW w:w="2271" w:type="dxa"/>
            <w:vAlign w:val="center"/>
          </w:tcPr>
          <w:p w:rsidRPr="00A03B40" w:rsidR="006271CB" w:rsidP="00492969" w:rsidRDefault="006271CB" w14:paraId="2CA00582" w14:textId="77777777">
            <w:pPr>
              <w:pStyle w:val="Standard"/>
              <w:spacing w:line="240" w:lineRule="auto"/>
              <w:ind w:firstLine="0"/>
              <w:jc w:val="center"/>
            </w:pPr>
            <w:r w:rsidRPr="00A03B40">
              <w:t>Domestic</w:t>
            </w:r>
          </w:p>
        </w:tc>
        <w:tc>
          <w:tcPr>
            <w:tcW w:w="2272" w:type="dxa"/>
            <w:vAlign w:val="center"/>
          </w:tcPr>
          <w:p w:rsidRPr="00A03B40" w:rsidR="006271CB" w:rsidP="00492969" w:rsidRDefault="00796453" w14:paraId="12000480" w14:textId="1B5704AB">
            <w:pPr>
              <w:pStyle w:val="Standard"/>
              <w:spacing w:line="240" w:lineRule="auto"/>
              <w:ind w:firstLine="0"/>
              <w:jc w:val="center"/>
            </w:pPr>
            <w:r>
              <w:t>0.00017</w:t>
            </w:r>
          </w:p>
        </w:tc>
        <w:tc>
          <w:tcPr>
            <w:tcW w:w="2272" w:type="dxa"/>
            <w:vAlign w:val="center"/>
          </w:tcPr>
          <w:p w:rsidRPr="00A03B40" w:rsidR="006271CB" w:rsidP="00492969" w:rsidRDefault="006271CB" w14:paraId="25B965CA" w14:textId="77777777">
            <w:pPr>
              <w:pStyle w:val="Standard"/>
              <w:spacing w:line="240" w:lineRule="auto"/>
              <w:ind w:firstLine="0"/>
              <w:jc w:val="center"/>
            </w:pPr>
            <w:r w:rsidRPr="00A03B40">
              <w:t>TOU-8-Sub</w:t>
            </w:r>
          </w:p>
        </w:tc>
        <w:tc>
          <w:tcPr>
            <w:tcW w:w="2272" w:type="dxa"/>
            <w:vAlign w:val="center"/>
          </w:tcPr>
          <w:p w:rsidRPr="00A03B40" w:rsidR="006271CB" w:rsidP="00492969" w:rsidRDefault="00796453" w14:paraId="5482AE34" w14:textId="2727E325">
            <w:pPr>
              <w:pStyle w:val="Standard"/>
              <w:spacing w:line="240" w:lineRule="auto"/>
              <w:ind w:firstLine="0"/>
              <w:jc w:val="center"/>
            </w:pPr>
            <w:r>
              <w:t>0.00011</w:t>
            </w:r>
          </w:p>
        </w:tc>
      </w:tr>
      <w:tr w:rsidRPr="00A03B40" w:rsidR="006271CB" w:rsidTr="00492969" w14:paraId="0897E7B1" w14:textId="77777777">
        <w:tc>
          <w:tcPr>
            <w:tcW w:w="2271" w:type="dxa"/>
            <w:vAlign w:val="center"/>
          </w:tcPr>
          <w:p w:rsidRPr="00A03B40" w:rsidR="006271CB" w:rsidP="00492969" w:rsidRDefault="006271CB" w14:paraId="2AEB5445" w14:textId="77777777">
            <w:pPr>
              <w:pStyle w:val="Standard"/>
              <w:spacing w:line="240" w:lineRule="auto"/>
              <w:ind w:firstLine="0"/>
              <w:jc w:val="center"/>
            </w:pPr>
            <w:r w:rsidRPr="00A03B40">
              <w:t>TOU-GS-1</w:t>
            </w:r>
          </w:p>
        </w:tc>
        <w:tc>
          <w:tcPr>
            <w:tcW w:w="2272" w:type="dxa"/>
            <w:vAlign w:val="center"/>
          </w:tcPr>
          <w:p w:rsidRPr="00A03B40" w:rsidR="006271CB" w:rsidP="00492969" w:rsidRDefault="00796453" w14:paraId="210C98A9" w14:textId="738F6C4C">
            <w:pPr>
              <w:pStyle w:val="Standard"/>
              <w:spacing w:line="240" w:lineRule="auto"/>
              <w:ind w:firstLine="0"/>
              <w:jc w:val="center"/>
            </w:pPr>
            <w:r>
              <w:t>0.00012</w:t>
            </w:r>
          </w:p>
        </w:tc>
        <w:tc>
          <w:tcPr>
            <w:tcW w:w="2272" w:type="dxa"/>
            <w:vAlign w:val="center"/>
          </w:tcPr>
          <w:p w:rsidRPr="00A03B40" w:rsidR="006271CB" w:rsidP="00492969" w:rsidRDefault="006271CB" w14:paraId="7B494AB5" w14:textId="77777777">
            <w:pPr>
              <w:pStyle w:val="Standard"/>
              <w:spacing w:line="240" w:lineRule="auto"/>
              <w:ind w:firstLine="0"/>
              <w:jc w:val="center"/>
            </w:pPr>
            <w:r w:rsidRPr="00A03B40">
              <w:t>TOU-PA-2</w:t>
            </w:r>
          </w:p>
        </w:tc>
        <w:tc>
          <w:tcPr>
            <w:tcW w:w="2272" w:type="dxa"/>
            <w:vAlign w:val="center"/>
          </w:tcPr>
          <w:p w:rsidRPr="00A03B40" w:rsidR="006271CB" w:rsidP="00492969" w:rsidRDefault="00796453" w14:paraId="45C3EE40" w14:textId="0CF71FAB">
            <w:pPr>
              <w:pStyle w:val="Standard"/>
              <w:spacing w:line="240" w:lineRule="auto"/>
              <w:ind w:firstLine="0"/>
              <w:jc w:val="center"/>
            </w:pPr>
            <w:r>
              <w:t>0.00012</w:t>
            </w:r>
          </w:p>
        </w:tc>
      </w:tr>
      <w:tr w:rsidRPr="00A03B40" w:rsidR="006271CB" w:rsidTr="00492969" w14:paraId="0B85E08D" w14:textId="77777777">
        <w:tc>
          <w:tcPr>
            <w:tcW w:w="2271" w:type="dxa"/>
            <w:vAlign w:val="center"/>
          </w:tcPr>
          <w:p w:rsidRPr="00A03B40" w:rsidR="006271CB" w:rsidP="00492969" w:rsidRDefault="006271CB" w14:paraId="46A02DFE" w14:textId="318B1AE6">
            <w:pPr>
              <w:pStyle w:val="Standard"/>
              <w:spacing w:line="240" w:lineRule="auto"/>
              <w:ind w:firstLine="0"/>
              <w:jc w:val="center"/>
            </w:pPr>
            <w:r w:rsidRPr="00A03B40">
              <w:t>TC</w:t>
            </w:r>
            <w:r w:rsidR="00796453">
              <w:t>-1</w:t>
            </w:r>
          </w:p>
        </w:tc>
        <w:tc>
          <w:tcPr>
            <w:tcW w:w="2272" w:type="dxa"/>
            <w:vAlign w:val="center"/>
          </w:tcPr>
          <w:p w:rsidRPr="00A03B40" w:rsidR="006271CB" w:rsidP="00492969" w:rsidRDefault="00796453" w14:paraId="0A114810" w14:textId="3AE3A7E0">
            <w:pPr>
              <w:pStyle w:val="Standard"/>
              <w:spacing w:line="240" w:lineRule="auto"/>
              <w:ind w:firstLine="0"/>
              <w:jc w:val="center"/>
            </w:pPr>
            <w:r>
              <w:t>0.00013</w:t>
            </w:r>
          </w:p>
        </w:tc>
        <w:tc>
          <w:tcPr>
            <w:tcW w:w="2272" w:type="dxa"/>
            <w:vAlign w:val="center"/>
          </w:tcPr>
          <w:p w:rsidRPr="00A03B40" w:rsidR="006271CB" w:rsidP="00492969" w:rsidRDefault="006271CB" w14:paraId="540638AC" w14:textId="77777777">
            <w:pPr>
              <w:pStyle w:val="Standard"/>
              <w:spacing w:line="240" w:lineRule="auto"/>
              <w:ind w:firstLine="0"/>
              <w:jc w:val="center"/>
            </w:pPr>
            <w:r w:rsidRPr="00A03B40">
              <w:t>TOU-PA-3</w:t>
            </w:r>
          </w:p>
        </w:tc>
        <w:tc>
          <w:tcPr>
            <w:tcW w:w="2272" w:type="dxa"/>
            <w:vAlign w:val="center"/>
          </w:tcPr>
          <w:p w:rsidRPr="00A03B40" w:rsidR="006271CB" w:rsidP="00492969" w:rsidRDefault="00796453" w14:paraId="0DB8F46E" w14:textId="618C8588">
            <w:pPr>
              <w:pStyle w:val="Standard"/>
              <w:spacing w:line="240" w:lineRule="auto"/>
              <w:ind w:firstLine="0"/>
              <w:jc w:val="center"/>
            </w:pPr>
            <w:r>
              <w:t>0.00012</w:t>
            </w:r>
          </w:p>
        </w:tc>
      </w:tr>
      <w:tr w:rsidRPr="00A03B40" w:rsidR="006271CB" w:rsidTr="00492969" w14:paraId="738EC752" w14:textId="77777777">
        <w:tc>
          <w:tcPr>
            <w:tcW w:w="2271" w:type="dxa"/>
            <w:vAlign w:val="center"/>
          </w:tcPr>
          <w:p w:rsidRPr="00A03B40" w:rsidR="006271CB" w:rsidP="00492969" w:rsidRDefault="006271CB" w14:paraId="2A044ABB" w14:textId="77777777">
            <w:pPr>
              <w:pStyle w:val="Standard"/>
              <w:spacing w:line="240" w:lineRule="auto"/>
              <w:ind w:firstLine="0"/>
              <w:jc w:val="center"/>
            </w:pPr>
            <w:r w:rsidRPr="00A03B40">
              <w:t>TOU-GS-2</w:t>
            </w:r>
          </w:p>
        </w:tc>
        <w:tc>
          <w:tcPr>
            <w:tcW w:w="2272" w:type="dxa"/>
            <w:vAlign w:val="center"/>
          </w:tcPr>
          <w:p w:rsidRPr="00A03B40" w:rsidR="006271CB" w:rsidP="00492969" w:rsidRDefault="00796453" w14:paraId="01B3A2AE" w14:textId="71D06D7B">
            <w:pPr>
              <w:pStyle w:val="Standard"/>
              <w:spacing w:line="240" w:lineRule="auto"/>
              <w:ind w:firstLine="0"/>
              <w:jc w:val="center"/>
            </w:pPr>
            <w:r>
              <w:t>0.00013</w:t>
            </w:r>
          </w:p>
        </w:tc>
        <w:tc>
          <w:tcPr>
            <w:tcW w:w="2272" w:type="dxa"/>
            <w:vAlign w:val="center"/>
          </w:tcPr>
          <w:p w:rsidRPr="00A03B40" w:rsidR="006271CB" w:rsidP="00492969" w:rsidRDefault="006271CB" w14:paraId="6374B045" w14:textId="77777777">
            <w:pPr>
              <w:pStyle w:val="Standard"/>
              <w:spacing w:line="240" w:lineRule="auto"/>
              <w:ind w:firstLine="0"/>
              <w:jc w:val="center"/>
            </w:pPr>
            <w:r w:rsidRPr="00A03B40">
              <w:t>St. Lighting</w:t>
            </w:r>
          </w:p>
        </w:tc>
        <w:tc>
          <w:tcPr>
            <w:tcW w:w="2272" w:type="dxa"/>
            <w:vAlign w:val="center"/>
          </w:tcPr>
          <w:p w:rsidRPr="00A03B40" w:rsidR="006271CB" w:rsidP="00492969" w:rsidRDefault="00796453" w14:paraId="0E9B36B7" w14:textId="16072BE1">
            <w:pPr>
              <w:pStyle w:val="Standard"/>
              <w:spacing w:line="240" w:lineRule="auto"/>
              <w:ind w:firstLine="0"/>
              <w:jc w:val="center"/>
            </w:pPr>
            <w:r>
              <w:t>0.00016</w:t>
            </w:r>
          </w:p>
        </w:tc>
      </w:tr>
      <w:tr w:rsidRPr="00A03B40" w:rsidR="006271CB" w:rsidTr="00492969" w14:paraId="5AC2B854" w14:textId="77777777">
        <w:tc>
          <w:tcPr>
            <w:tcW w:w="2271" w:type="dxa"/>
            <w:vAlign w:val="center"/>
          </w:tcPr>
          <w:p w:rsidRPr="00A03B40" w:rsidR="006271CB" w:rsidP="00492969" w:rsidRDefault="006271CB" w14:paraId="47818183" w14:textId="77777777">
            <w:pPr>
              <w:pStyle w:val="Standard"/>
              <w:spacing w:line="240" w:lineRule="auto"/>
              <w:ind w:firstLine="0"/>
              <w:jc w:val="center"/>
            </w:pPr>
            <w:r w:rsidRPr="00A03B40">
              <w:t>TOU-GS-3</w:t>
            </w:r>
          </w:p>
        </w:tc>
        <w:tc>
          <w:tcPr>
            <w:tcW w:w="2272" w:type="dxa"/>
            <w:vAlign w:val="center"/>
          </w:tcPr>
          <w:p w:rsidRPr="00A03B40" w:rsidR="006271CB" w:rsidP="00492969" w:rsidRDefault="00796453" w14:paraId="4E5247A5" w14:textId="1685E50C">
            <w:pPr>
              <w:pStyle w:val="Standard"/>
              <w:spacing w:line="240" w:lineRule="auto"/>
              <w:ind w:firstLine="0"/>
              <w:jc w:val="center"/>
            </w:pPr>
            <w:r>
              <w:t>0.00012</w:t>
            </w:r>
          </w:p>
        </w:tc>
        <w:tc>
          <w:tcPr>
            <w:tcW w:w="2272" w:type="dxa"/>
            <w:vAlign w:val="center"/>
          </w:tcPr>
          <w:p w:rsidRPr="00A03B40" w:rsidR="006271CB" w:rsidP="00492969" w:rsidRDefault="006271CB" w14:paraId="4593629A" w14:textId="77777777">
            <w:pPr>
              <w:pStyle w:val="Standard"/>
              <w:spacing w:line="240" w:lineRule="auto"/>
              <w:ind w:firstLine="0"/>
              <w:jc w:val="center"/>
            </w:pPr>
            <w:r w:rsidRPr="00A03B40">
              <w:t>Standby-Sec</w:t>
            </w:r>
          </w:p>
        </w:tc>
        <w:tc>
          <w:tcPr>
            <w:tcW w:w="2272" w:type="dxa"/>
            <w:vAlign w:val="center"/>
          </w:tcPr>
          <w:p w:rsidRPr="00A03B40" w:rsidR="006271CB" w:rsidP="00492969" w:rsidRDefault="00796453" w14:paraId="423A89BC" w14:textId="0EF2C190">
            <w:pPr>
              <w:pStyle w:val="Standard"/>
              <w:spacing w:line="240" w:lineRule="auto"/>
              <w:ind w:firstLine="0"/>
              <w:jc w:val="center"/>
            </w:pPr>
            <w:r>
              <w:t>0.00013</w:t>
            </w:r>
          </w:p>
        </w:tc>
      </w:tr>
      <w:tr w:rsidRPr="00A03B40" w:rsidR="006271CB" w:rsidTr="00492969" w14:paraId="45F2F2AC" w14:textId="77777777">
        <w:tc>
          <w:tcPr>
            <w:tcW w:w="2271" w:type="dxa"/>
            <w:vAlign w:val="center"/>
          </w:tcPr>
          <w:p w:rsidRPr="00A03B40" w:rsidR="006271CB" w:rsidP="00492969" w:rsidRDefault="006271CB" w14:paraId="7B264FD8" w14:textId="77777777">
            <w:pPr>
              <w:pStyle w:val="Standard"/>
              <w:spacing w:line="240" w:lineRule="auto"/>
              <w:ind w:firstLine="0"/>
              <w:jc w:val="center"/>
            </w:pPr>
            <w:r w:rsidRPr="00A03B40">
              <w:t>TOU-8-Sec</w:t>
            </w:r>
          </w:p>
        </w:tc>
        <w:tc>
          <w:tcPr>
            <w:tcW w:w="2272" w:type="dxa"/>
            <w:vAlign w:val="center"/>
          </w:tcPr>
          <w:p w:rsidRPr="00A03B40" w:rsidR="006271CB" w:rsidP="00492969" w:rsidRDefault="00796453" w14:paraId="07D20FCD" w14:textId="70E3F9D1">
            <w:pPr>
              <w:pStyle w:val="Standard"/>
              <w:spacing w:line="240" w:lineRule="auto"/>
              <w:ind w:firstLine="0"/>
              <w:jc w:val="center"/>
            </w:pPr>
            <w:r>
              <w:t>0.00012</w:t>
            </w:r>
          </w:p>
        </w:tc>
        <w:tc>
          <w:tcPr>
            <w:tcW w:w="2272" w:type="dxa"/>
            <w:vAlign w:val="center"/>
          </w:tcPr>
          <w:p w:rsidRPr="00A03B40" w:rsidR="006271CB" w:rsidP="00492969" w:rsidRDefault="006271CB" w14:paraId="20B4E88B" w14:textId="77777777">
            <w:pPr>
              <w:pStyle w:val="Standard"/>
              <w:spacing w:line="240" w:lineRule="auto"/>
              <w:ind w:firstLine="0"/>
              <w:jc w:val="center"/>
            </w:pPr>
            <w:r w:rsidRPr="00A03B40">
              <w:t>Standby-Pri</w:t>
            </w:r>
          </w:p>
        </w:tc>
        <w:tc>
          <w:tcPr>
            <w:tcW w:w="2272" w:type="dxa"/>
            <w:vAlign w:val="center"/>
          </w:tcPr>
          <w:p w:rsidRPr="00A03B40" w:rsidR="006271CB" w:rsidP="00492969" w:rsidRDefault="00796453" w14:paraId="5749D165" w14:textId="1E052AEA">
            <w:pPr>
              <w:pStyle w:val="Standard"/>
              <w:spacing w:line="240" w:lineRule="auto"/>
              <w:ind w:firstLine="0"/>
              <w:jc w:val="center"/>
            </w:pPr>
            <w:r>
              <w:t>0.00012</w:t>
            </w:r>
          </w:p>
        </w:tc>
      </w:tr>
      <w:tr w:rsidRPr="00A03B40" w:rsidR="006271CB" w:rsidTr="00492969" w14:paraId="45E9EA7F" w14:textId="77777777">
        <w:tc>
          <w:tcPr>
            <w:tcW w:w="2271" w:type="dxa"/>
            <w:vAlign w:val="center"/>
          </w:tcPr>
          <w:p w:rsidRPr="00A03B40" w:rsidR="006271CB" w:rsidP="00492969" w:rsidRDefault="006271CB" w14:paraId="1454884E" w14:textId="77777777">
            <w:pPr>
              <w:pStyle w:val="Standard"/>
              <w:spacing w:line="240" w:lineRule="auto"/>
              <w:ind w:firstLine="0"/>
              <w:jc w:val="center"/>
            </w:pPr>
            <w:r w:rsidRPr="00A03B40">
              <w:t>TOU-8-Pri</w:t>
            </w:r>
          </w:p>
        </w:tc>
        <w:tc>
          <w:tcPr>
            <w:tcW w:w="2272" w:type="dxa"/>
            <w:vAlign w:val="center"/>
          </w:tcPr>
          <w:p w:rsidRPr="00A03B40" w:rsidR="006271CB" w:rsidP="00492969" w:rsidRDefault="00796453" w14:paraId="09FDC752" w14:textId="67010940">
            <w:pPr>
              <w:pStyle w:val="Standard"/>
              <w:spacing w:line="240" w:lineRule="auto"/>
              <w:ind w:firstLine="0"/>
              <w:jc w:val="center"/>
            </w:pPr>
            <w:r>
              <w:t>0.00012</w:t>
            </w:r>
          </w:p>
        </w:tc>
        <w:tc>
          <w:tcPr>
            <w:tcW w:w="2272" w:type="dxa"/>
            <w:vAlign w:val="center"/>
          </w:tcPr>
          <w:p w:rsidRPr="00A03B40" w:rsidR="006271CB" w:rsidP="00492969" w:rsidRDefault="006271CB" w14:paraId="67D443FE" w14:textId="77777777">
            <w:pPr>
              <w:pStyle w:val="Standard"/>
              <w:spacing w:line="240" w:lineRule="auto"/>
              <w:ind w:firstLine="0"/>
              <w:jc w:val="center"/>
            </w:pPr>
            <w:r w:rsidRPr="00A03B40">
              <w:t>Standby-Sub</w:t>
            </w:r>
          </w:p>
        </w:tc>
        <w:tc>
          <w:tcPr>
            <w:tcW w:w="2272" w:type="dxa"/>
            <w:vAlign w:val="center"/>
          </w:tcPr>
          <w:p w:rsidRPr="00A03B40" w:rsidR="006271CB" w:rsidP="00492969" w:rsidRDefault="00796453" w14:paraId="554151BF" w14:textId="56019483">
            <w:pPr>
              <w:pStyle w:val="Standard"/>
              <w:spacing w:line="240" w:lineRule="auto"/>
              <w:ind w:firstLine="0"/>
              <w:jc w:val="center"/>
            </w:pPr>
            <w:r>
              <w:t>0.00011</w:t>
            </w:r>
          </w:p>
        </w:tc>
      </w:tr>
      <w:tr w:rsidRPr="00A03B40" w:rsidR="006271CB" w:rsidTr="00492969" w14:paraId="2567E64B" w14:textId="77777777">
        <w:tc>
          <w:tcPr>
            <w:tcW w:w="4543" w:type="dxa"/>
            <w:gridSpan w:val="2"/>
            <w:vAlign w:val="center"/>
          </w:tcPr>
          <w:p w:rsidRPr="00A03B40" w:rsidR="006271CB" w:rsidP="00492969" w:rsidRDefault="006271CB" w14:paraId="39D5E95F" w14:textId="77777777">
            <w:pPr>
              <w:pStyle w:val="Standard"/>
              <w:spacing w:line="240" w:lineRule="auto"/>
              <w:ind w:firstLine="0"/>
              <w:jc w:val="center"/>
            </w:pPr>
            <w:r w:rsidRPr="00A03B40">
              <w:t xml:space="preserve">System Average </w:t>
            </w:r>
          </w:p>
        </w:tc>
        <w:tc>
          <w:tcPr>
            <w:tcW w:w="4544" w:type="dxa"/>
            <w:gridSpan w:val="2"/>
            <w:vAlign w:val="center"/>
          </w:tcPr>
          <w:p w:rsidRPr="00A03B40" w:rsidR="006271CB" w:rsidP="00492969" w:rsidRDefault="00796453" w14:paraId="5E66B62E" w14:textId="7812E672">
            <w:pPr>
              <w:pStyle w:val="Standard"/>
              <w:spacing w:line="240" w:lineRule="auto"/>
              <w:ind w:firstLine="0"/>
              <w:jc w:val="center"/>
            </w:pPr>
            <w:r>
              <w:t>0.00014</w:t>
            </w:r>
          </w:p>
        </w:tc>
      </w:tr>
    </w:tbl>
    <w:p w:rsidRPr="00A03B40" w:rsidR="00DE1FEA" w:rsidP="001738BD" w:rsidRDefault="00585BC4" w14:paraId="48DD5345" w14:textId="68E78D50">
      <w:pPr>
        <w:pStyle w:val="Heading2"/>
        <w:spacing w:before="240"/>
      </w:pPr>
      <w:bookmarkStart w:name="_Toc214629916" w:id="212"/>
      <w:r w:rsidRPr="00A03B40">
        <w:lastRenderedPageBreak/>
        <w:t xml:space="preserve">2026 </w:t>
      </w:r>
      <w:r w:rsidRPr="00A03B40" w:rsidR="00DE1FEA">
        <w:t xml:space="preserve">Power Charge Indifference </w:t>
      </w:r>
      <w:r w:rsidR="00726249">
        <w:br/>
      </w:r>
      <w:r w:rsidRPr="00A03B40" w:rsidR="00DE1FEA">
        <w:t>Adjustment Rates by Vintage</w:t>
      </w:r>
      <w:bookmarkEnd w:id="212"/>
    </w:p>
    <w:p w:rsidR="00C8543F" w:rsidP="001738BD" w:rsidRDefault="000B7F0F" w14:paraId="24C22C60" w14:textId="2CDF4E97">
      <w:pPr>
        <w:pStyle w:val="Standard"/>
        <w:keepNext/>
        <w:keepLines/>
      </w:pPr>
      <w:r w:rsidRPr="00A03B40">
        <w:t xml:space="preserve">SCE calculated proposed 2026 PCIA rates pursuant to the methodology described for CTC </w:t>
      </w:r>
      <w:proofErr w:type="gramStart"/>
      <w:r w:rsidRPr="00A03B40">
        <w:t>rates,</w:t>
      </w:r>
      <w:proofErr w:type="gramEnd"/>
      <w:r w:rsidRPr="00A03B40">
        <w:t xml:space="preserve"> above.</w:t>
      </w:r>
      <w:r w:rsidRPr="00A03B40">
        <w:rPr>
          <w:rStyle w:val="FootnoteReference"/>
        </w:rPr>
        <w:footnoteReference w:id="453"/>
      </w:r>
      <w:r w:rsidRPr="00A03B40" w:rsidR="007F38F8">
        <w:t xml:space="preserve"> </w:t>
      </w:r>
      <w:r w:rsidRPr="00A03B40" w:rsidR="00182BE9">
        <w:t xml:space="preserve">Because SCE has calculated PCIA rates </w:t>
      </w:r>
      <w:r w:rsidRPr="00A03B40" w:rsidR="00C8543F">
        <w:t>consistent with</w:t>
      </w:r>
      <w:r w:rsidRPr="00A03B40" w:rsidR="00182BE9">
        <w:t xml:space="preserve"> </w:t>
      </w:r>
      <w:r w:rsidRPr="00A03B40" w:rsidR="00C8543F">
        <w:t xml:space="preserve">the </w:t>
      </w:r>
      <w:r w:rsidRPr="00A03B40" w:rsidR="00182BE9">
        <w:t>Commission</w:t>
      </w:r>
      <w:r w:rsidRPr="00A03B40" w:rsidR="00C8543F">
        <w:t>’s</w:t>
      </w:r>
      <w:r w:rsidRPr="00A03B40" w:rsidR="00182BE9">
        <w:t xml:space="preserve"> </w:t>
      </w:r>
      <w:r w:rsidRPr="00A03B40" w:rsidR="00C8543F">
        <w:t xml:space="preserve">prescribed </w:t>
      </w:r>
      <w:r w:rsidRPr="00A03B40" w:rsidR="00182BE9">
        <w:t>methodology,</w:t>
      </w:r>
      <w:r w:rsidRPr="00A03B40" w:rsidR="00DE1FEA">
        <w:t xml:space="preserve"> we find SCE’s </w:t>
      </w:r>
      <w:r w:rsidRPr="00A03B40" w:rsidR="00182BE9">
        <w:t>calculation of the vintaged PCIA rates reasonable</w:t>
      </w:r>
      <w:r w:rsidRPr="00A03B40" w:rsidR="00A9145B">
        <w:t xml:space="preserve"> and approve them for recovery as requested.</w:t>
      </w:r>
    </w:p>
    <w:p w:rsidRPr="00A03B40" w:rsidR="00C8543F" w:rsidP="0075756D" w:rsidRDefault="00C8543F" w14:paraId="42C37AE2" w14:textId="5086A644">
      <w:pPr>
        <w:pStyle w:val="Standard"/>
        <w:keepNext/>
        <w:keepLines/>
        <w:ind w:firstLine="0"/>
        <w:jc w:val="center"/>
        <w:rPr>
          <w:b/>
          <w:bCs/>
        </w:rPr>
      </w:pPr>
      <w:r w:rsidRPr="00A03B40">
        <w:rPr>
          <w:b/>
          <w:bCs/>
        </w:rPr>
        <w:t>Table 8-</w:t>
      </w:r>
      <w:r w:rsidRPr="00A03B40" w:rsidR="004C11CB">
        <w:rPr>
          <w:b/>
          <w:bCs/>
        </w:rPr>
        <w:t>4</w:t>
      </w:r>
      <w:r w:rsidRPr="00A03B40">
        <w:rPr>
          <w:b/>
          <w:bCs/>
        </w:rPr>
        <w:t>: 202</w:t>
      </w:r>
      <w:r w:rsidR="002947BB">
        <w:rPr>
          <w:b/>
          <w:bCs/>
        </w:rPr>
        <w:t>5 &amp; 2026</w:t>
      </w:r>
      <w:r w:rsidRPr="00A03B40">
        <w:rPr>
          <w:b/>
          <w:bCs/>
        </w:rPr>
        <w:t xml:space="preserve"> </w:t>
      </w:r>
      <w:r w:rsidR="00400DE5">
        <w:rPr>
          <w:b/>
          <w:bCs/>
        </w:rPr>
        <w:t xml:space="preserve">Average </w:t>
      </w:r>
      <w:r w:rsidRPr="00A03B40">
        <w:rPr>
          <w:b/>
          <w:bCs/>
        </w:rPr>
        <w:t>PCIA Rates</w:t>
      </w:r>
      <w:r w:rsidR="00400DE5">
        <w:rPr>
          <w:b/>
          <w:bCs/>
        </w:rPr>
        <w:t xml:space="preserve"> Across Classes ($/kWh)</w:t>
      </w:r>
    </w:p>
    <w:tbl>
      <w:tblPr>
        <w:tblStyle w:val="TableGrid"/>
        <w:tblW w:w="0" w:type="auto"/>
        <w:jc w:val="center"/>
        <w:tblLook w:val="04A0" w:firstRow="1" w:lastRow="0" w:firstColumn="1" w:lastColumn="0" w:noHBand="0" w:noVBand="1"/>
      </w:tblPr>
      <w:tblGrid>
        <w:gridCol w:w="2565"/>
        <w:gridCol w:w="2565"/>
        <w:gridCol w:w="2565"/>
      </w:tblGrid>
      <w:tr w:rsidRPr="00A03B40" w:rsidR="00AD4B4C" w:rsidTr="007F38F8" w14:paraId="62CCC51B" w14:textId="77777777">
        <w:trPr>
          <w:trHeight w:val="377"/>
          <w:jc w:val="center"/>
        </w:trPr>
        <w:tc>
          <w:tcPr>
            <w:tcW w:w="2565" w:type="dxa"/>
            <w:vAlign w:val="center"/>
          </w:tcPr>
          <w:p w:rsidRPr="00A03B40" w:rsidR="00AD4B4C" w:rsidP="0075756D" w:rsidRDefault="00AD4B4C" w14:paraId="47346747" w14:textId="065E0FC7">
            <w:pPr>
              <w:pStyle w:val="Standard"/>
              <w:keepNext/>
              <w:keepLines/>
              <w:ind w:firstLine="0"/>
              <w:jc w:val="center"/>
              <w:rPr>
                <w:b/>
                <w:bCs/>
              </w:rPr>
            </w:pPr>
            <w:r w:rsidRPr="00A03B40">
              <w:rPr>
                <w:b/>
                <w:bCs/>
              </w:rPr>
              <w:t>Vintage</w:t>
            </w:r>
          </w:p>
        </w:tc>
        <w:tc>
          <w:tcPr>
            <w:tcW w:w="2565" w:type="dxa"/>
            <w:vAlign w:val="center"/>
          </w:tcPr>
          <w:p w:rsidRPr="00A03B40" w:rsidR="00AD4B4C" w:rsidP="0075756D" w:rsidRDefault="00AD4B4C" w14:paraId="798EB1B5" w14:textId="0DD6B892">
            <w:pPr>
              <w:pStyle w:val="Standard"/>
              <w:keepNext/>
              <w:keepLines/>
              <w:ind w:firstLine="0"/>
              <w:jc w:val="center"/>
              <w:rPr>
                <w:b/>
                <w:bCs/>
              </w:rPr>
            </w:pPr>
            <w:r w:rsidRPr="00A03B40">
              <w:rPr>
                <w:b/>
                <w:bCs/>
              </w:rPr>
              <w:t>2025 Rate</w:t>
            </w:r>
            <w:r w:rsidRPr="00A03B40" w:rsidR="007F38F8">
              <w:rPr>
                <w:rStyle w:val="FootnoteReference"/>
                <w:b/>
                <w:bCs/>
              </w:rPr>
              <w:footnoteReference w:id="454"/>
            </w:r>
          </w:p>
        </w:tc>
        <w:tc>
          <w:tcPr>
            <w:tcW w:w="2565" w:type="dxa"/>
            <w:vAlign w:val="center"/>
          </w:tcPr>
          <w:p w:rsidRPr="00A03B40" w:rsidR="00AD4B4C" w:rsidP="0075756D" w:rsidRDefault="00AD4B4C" w14:paraId="406AF884" w14:textId="6A8EC7A3">
            <w:pPr>
              <w:pStyle w:val="Standard"/>
              <w:keepNext/>
              <w:keepLines/>
              <w:ind w:firstLine="0"/>
              <w:jc w:val="center"/>
              <w:rPr>
                <w:b/>
                <w:bCs/>
              </w:rPr>
            </w:pPr>
            <w:r w:rsidRPr="00A03B40">
              <w:rPr>
                <w:b/>
                <w:bCs/>
              </w:rPr>
              <w:t>2026 Rate</w:t>
            </w:r>
            <w:r w:rsidR="00400DE5">
              <w:rPr>
                <w:rStyle w:val="FootnoteReference"/>
                <w:b/>
                <w:bCs/>
              </w:rPr>
              <w:footnoteReference w:id="455"/>
            </w:r>
          </w:p>
        </w:tc>
      </w:tr>
      <w:tr w:rsidRPr="00A03B40" w:rsidR="00AD4B4C" w:rsidTr="001E25D7" w14:paraId="4DA7C32F" w14:textId="77777777">
        <w:trPr>
          <w:jc w:val="center"/>
        </w:trPr>
        <w:tc>
          <w:tcPr>
            <w:tcW w:w="2565" w:type="dxa"/>
          </w:tcPr>
          <w:p w:rsidRPr="00A03B40" w:rsidR="00AD4B4C" w:rsidP="0075756D" w:rsidRDefault="00AD4B4C" w14:paraId="64B27EE3" w14:textId="381ED05F">
            <w:pPr>
              <w:pStyle w:val="Standard"/>
              <w:keepNext/>
              <w:keepLines/>
              <w:ind w:firstLine="0"/>
              <w:jc w:val="center"/>
            </w:pPr>
            <w:r w:rsidRPr="00A03B40">
              <w:t>2001</w:t>
            </w:r>
          </w:p>
        </w:tc>
        <w:tc>
          <w:tcPr>
            <w:tcW w:w="2565" w:type="dxa"/>
          </w:tcPr>
          <w:p w:rsidRPr="00A03B40" w:rsidR="00AD4B4C" w:rsidP="0075756D" w:rsidRDefault="007F38F8" w14:paraId="42C1EB08" w14:textId="2A20B293">
            <w:pPr>
              <w:pStyle w:val="Standard"/>
              <w:keepNext/>
              <w:keepLines/>
              <w:ind w:firstLine="0"/>
              <w:jc w:val="center"/>
            </w:pPr>
            <w:r w:rsidRPr="00A03B40">
              <w:t>0.00001</w:t>
            </w:r>
          </w:p>
        </w:tc>
        <w:tc>
          <w:tcPr>
            <w:tcW w:w="2565" w:type="dxa"/>
          </w:tcPr>
          <w:p w:rsidRPr="00A03B40" w:rsidR="00AD4B4C" w:rsidP="0075756D" w:rsidRDefault="007F38F8" w14:paraId="2EBAC1C1" w14:textId="5D6D2596">
            <w:pPr>
              <w:pStyle w:val="Standard"/>
              <w:keepNext/>
              <w:keepLines/>
              <w:ind w:firstLine="0"/>
              <w:jc w:val="center"/>
            </w:pPr>
            <w:r w:rsidRPr="00A03B40">
              <w:t>0.00005</w:t>
            </w:r>
          </w:p>
        </w:tc>
      </w:tr>
      <w:tr w:rsidRPr="00A03B40" w:rsidR="00AD4B4C" w:rsidTr="001E25D7" w14:paraId="0C7A7465" w14:textId="77777777">
        <w:trPr>
          <w:jc w:val="center"/>
        </w:trPr>
        <w:tc>
          <w:tcPr>
            <w:tcW w:w="2565" w:type="dxa"/>
          </w:tcPr>
          <w:p w:rsidRPr="00A03B40" w:rsidR="00AD4B4C" w:rsidP="00C8543F" w:rsidRDefault="00AD4B4C" w14:paraId="37F7B326" w14:textId="6B758422">
            <w:pPr>
              <w:pStyle w:val="Standard"/>
              <w:ind w:firstLine="0"/>
              <w:jc w:val="center"/>
            </w:pPr>
            <w:r w:rsidRPr="00A03B40">
              <w:t>2004</w:t>
            </w:r>
          </w:p>
        </w:tc>
        <w:tc>
          <w:tcPr>
            <w:tcW w:w="2565" w:type="dxa"/>
          </w:tcPr>
          <w:p w:rsidRPr="00A03B40" w:rsidR="00AD4B4C" w:rsidP="00C8543F" w:rsidRDefault="007F38F8" w14:paraId="6E9E5220" w14:textId="2C020502">
            <w:pPr>
              <w:pStyle w:val="Standard"/>
              <w:ind w:firstLine="0"/>
              <w:jc w:val="center"/>
            </w:pPr>
            <w:r w:rsidRPr="00A03B40">
              <w:t>0.00001</w:t>
            </w:r>
          </w:p>
        </w:tc>
        <w:tc>
          <w:tcPr>
            <w:tcW w:w="2565" w:type="dxa"/>
          </w:tcPr>
          <w:p w:rsidRPr="00A03B40" w:rsidR="00AD4B4C" w:rsidP="00C8543F" w:rsidRDefault="007F38F8" w14:paraId="34A080D0" w14:textId="3167CDD1">
            <w:pPr>
              <w:pStyle w:val="Standard"/>
              <w:ind w:firstLine="0"/>
              <w:jc w:val="center"/>
            </w:pPr>
            <w:r w:rsidRPr="00A03B40">
              <w:t>0.00005</w:t>
            </w:r>
          </w:p>
        </w:tc>
      </w:tr>
      <w:tr w:rsidRPr="00A03B40" w:rsidR="00AD4B4C" w:rsidTr="001E25D7" w14:paraId="28043096" w14:textId="77777777">
        <w:trPr>
          <w:jc w:val="center"/>
        </w:trPr>
        <w:tc>
          <w:tcPr>
            <w:tcW w:w="2565" w:type="dxa"/>
          </w:tcPr>
          <w:p w:rsidRPr="00A03B40" w:rsidR="00AD4B4C" w:rsidP="00C8543F" w:rsidRDefault="00AD4B4C" w14:paraId="50D00F72" w14:textId="195C1EEE">
            <w:pPr>
              <w:pStyle w:val="Standard"/>
              <w:ind w:firstLine="0"/>
              <w:jc w:val="center"/>
            </w:pPr>
            <w:r w:rsidRPr="00A03B40">
              <w:t>2009</w:t>
            </w:r>
          </w:p>
        </w:tc>
        <w:tc>
          <w:tcPr>
            <w:tcW w:w="2565" w:type="dxa"/>
          </w:tcPr>
          <w:p w:rsidRPr="00A03B40" w:rsidR="00AD4B4C" w:rsidP="00C8543F" w:rsidRDefault="007F38F8" w14:paraId="7DEE8B28" w14:textId="435B2318">
            <w:pPr>
              <w:pStyle w:val="Standard"/>
              <w:ind w:firstLine="0"/>
              <w:jc w:val="center"/>
            </w:pPr>
            <w:r w:rsidRPr="00A03B40">
              <w:t>0.00162</w:t>
            </w:r>
          </w:p>
        </w:tc>
        <w:tc>
          <w:tcPr>
            <w:tcW w:w="2565" w:type="dxa"/>
          </w:tcPr>
          <w:p w:rsidRPr="00A03B40" w:rsidR="00AD4B4C" w:rsidP="00C8543F" w:rsidRDefault="007F38F8" w14:paraId="58ED7090" w14:textId="1BE59B79">
            <w:pPr>
              <w:pStyle w:val="Standard"/>
              <w:ind w:firstLine="0"/>
              <w:jc w:val="center"/>
            </w:pPr>
            <w:r w:rsidRPr="00A03B40">
              <w:t>0.01256</w:t>
            </w:r>
          </w:p>
        </w:tc>
      </w:tr>
      <w:tr w:rsidRPr="00A03B40" w:rsidR="00AD4B4C" w:rsidTr="001E25D7" w14:paraId="2F4A5C3E" w14:textId="77777777">
        <w:trPr>
          <w:jc w:val="center"/>
        </w:trPr>
        <w:tc>
          <w:tcPr>
            <w:tcW w:w="2565" w:type="dxa"/>
          </w:tcPr>
          <w:p w:rsidRPr="00A03B40" w:rsidR="00AD4B4C" w:rsidP="00182BE9" w:rsidRDefault="00AD4B4C" w14:paraId="43C8B007" w14:textId="189D4800">
            <w:pPr>
              <w:pStyle w:val="Standard"/>
              <w:ind w:firstLine="0"/>
              <w:jc w:val="center"/>
            </w:pPr>
            <w:r w:rsidRPr="00A03B40">
              <w:t>2010</w:t>
            </w:r>
          </w:p>
        </w:tc>
        <w:tc>
          <w:tcPr>
            <w:tcW w:w="2565" w:type="dxa"/>
          </w:tcPr>
          <w:p w:rsidRPr="00A03B40" w:rsidR="00AD4B4C" w:rsidP="00182BE9" w:rsidRDefault="007F38F8" w14:paraId="764E3437" w14:textId="02829190">
            <w:pPr>
              <w:pStyle w:val="Standard"/>
              <w:ind w:firstLine="0"/>
              <w:jc w:val="center"/>
            </w:pPr>
            <w:r w:rsidRPr="00A03B40">
              <w:t>0.00125</w:t>
            </w:r>
          </w:p>
        </w:tc>
        <w:tc>
          <w:tcPr>
            <w:tcW w:w="2565" w:type="dxa"/>
          </w:tcPr>
          <w:p w:rsidRPr="00A03B40" w:rsidR="00AD4B4C" w:rsidP="00182BE9" w:rsidRDefault="007F38F8" w14:paraId="0515C59A" w14:textId="62B3ED6C">
            <w:pPr>
              <w:pStyle w:val="Standard"/>
              <w:ind w:firstLine="0"/>
              <w:jc w:val="center"/>
            </w:pPr>
            <w:r w:rsidRPr="00A03B40">
              <w:t>0.01504</w:t>
            </w:r>
          </w:p>
        </w:tc>
      </w:tr>
      <w:tr w:rsidRPr="00A03B40" w:rsidR="00AD4B4C" w:rsidTr="001E25D7" w14:paraId="7A3E5A25" w14:textId="77777777">
        <w:trPr>
          <w:jc w:val="center"/>
        </w:trPr>
        <w:tc>
          <w:tcPr>
            <w:tcW w:w="2565" w:type="dxa"/>
          </w:tcPr>
          <w:p w:rsidRPr="00A03B40" w:rsidR="00AD4B4C" w:rsidP="00182BE9" w:rsidRDefault="00AD4B4C" w14:paraId="1B688659" w14:textId="20C53A3D">
            <w:pPr>
              <w:pStyle w:val="Standard"/>
              <w:ind w:firstLine="0"/>
              <w:jc w:val="center"/>
            </w:pPr>
            <w:r w:rsidRPr="00A03B40">
              <w:t>2011</w:t>
            </w:r>
          </w:p>
        </w:tc>
        <w:tc>
          <w:tcPr>
            <w:tcW w:w="2565" w:type="dxa"/>
          </w:tcPr>
          <w:p w:rsidRPr="00A03B40" w:rsidR="00AD4B4C" w:rsidP="00182BE9" w:rsidRDefault="007F38F8" w14:paraId="0168FDD4" w14:textId="4F535EE7">
            <w:pPr>
              <w:pStyle w:val="Standard"/>
              <w:ind w:firstLine="0"/>
              <w:jc w:val="center"/>
            </w:pPr>
            <w:r w:rsidRPr="00A03B40">
              <w:t>0.00041</w:t>
            </w:r>
          </w:p>
        </w:tc>
        <w:tc>
          <w:tcPr>
            <w:tcW w:w="2565" w:type="dxa"/>
          </w:tcPr>
          <w:p w:rsidRPr="00A03B40" w:rsidR="00AD4B4C" w:rsidP="00182BE9" w:rsidRDefault="007F38F8" w14:paraId="13F6B304" w14:textId="7D069504">
            <w:pPr>
              <w:pStyle w:val="Standard"/>
              <w:ind w:firstLine="0"/>
              <w:jc w:val="center"/>
            </w:pPr>
            <w:r w:rsidRPr="00A03B40">
              <w:t>0.01749</w:t>
            </w:r>
          </w:p>
        </w:tc>
      </w:tr>
      <w:tr w:rsidRPr="00A03B40" w:rsidR="00AD4B4C" w:rsidTr="001E25D7" w14:paraId="44EA71C7" w14:textId="77777777">
        <w:trPr>
          <w:jc w:val="center"/>
        </w:trPr>
        <w:tc>
          <w:tcPr>
            <w:tcW w:w="2565" w:type="dxa"/>
          </w:tcPr>
          <w:p w:rsidRPr="00A03B40" w:rsidR="00AD4B4C" w:rsidP="00182BE9" w:rsidRDefault="00AD4B4C" w14:paraId="51E1AFF3" w14:textId="71C9077D">
            <w:pPr>
              <w:pStyle w:val="Standard"/>
              <w:ind w:firstLine="0"/>
              <w:jc w:val="center"/>
            </w:pPr>
            <w:r w:rsidRPr="00A03B40">
              <w:t>2012</w:t>
            </w:r>
          </w:p>
        </w:tc>
        <w:tc>
          <w:tcPr>
            <w:tcW w:w="2565" w:type="dxa"/>
          </w:tcPr>
          <w:p w:rsidRPr="00A03B40" w:rsidR="00AD4B4C" w:rsidP="00182BE9" w:rsidRDefault="007F38F8" w14:paraId="73802544" w14:textId="56B87566">
            <w:pPr>
              <w:pStyle w:val="Standard"/>
              <w:ind w:firstLine="0"/>
              <w:jc w:val="center"/>
            </w:pPr>
            <w:r w:rsidRPr="00A03B40">
              <w:t>0.00028</w:t>
            </w:r>
          </w:p>
        </w:tc>
        <w:tc>
          <w:tcPr>
            <w:tcW w:w="2565" w:type="dxa"/>
          </w:tcPr>
          <w:p w:rsidRPr="00A03B40" w:rsidR="00AD4B4C" w:rsidP="00182BE9" w:rsidRDefault="007F38F8" w14:paraId="5A27D385" w14:textId="20B4C6A4">
            <w:pPr>
              <w:pStyle w:val="Standard"/>
              <w:ind w:firstLine="0"/>
              <w:jc w:val="center"/>
            </w:pPr>
            <w:r w:rsidRPr="00A03B40">
              <w:t>0.01845</w:t>
            </w:r>
          </w:p>
        </w:tc>
      </w:tr>
      <w:tr w:rsidRPr="00A03B40" w:rsidR="00AD4B4C" w:rsidTr="001E25D7" w14:paraId="46FF9E7A" w14:textId="77777777">
        <w:trPr>
          <w:jc w:val="center"/>
        </w:trPr>
        <w:tc>
          <w:tcPr>
            <w:tcW w:w="2565" w:type="dxa"/>
          </w:tcPr>
          <w:p w:rsidRPr="00A03B40" w:rsidR="00AD4B4C" w:rsidP="00182BE9" w:rsidRDefault="00AD4B4C" w14:paraId="711BBEAD" w14:textId="0378C110">
            <w:pPr>
              <w:pStyle w:val="Standard"/>
              <w:ind w:firstLine="0"/>
              <w:jc w:val="center"/>
            </w:pPr>
            <w:r w:rsidRPr="00A03B40">
              <w:t>2013</w:t>
            </w:r>
          </w:p>
        </w:tc>
        <w:tc>
          <w:tcPr>
            <w:tcW w:w="2565" w:type="dxa"/>
          </w:tcPr>
          <w:p w:rsidRPr="00A03B40" w:rsidR="00AD4B4C" w:rsidP="00182BE9" w:rsidRDefault="007F38F8" w14:paraId="47445E9A" w14:textId="688FB51A">
            <w:pPr>
              <w:pStyle w:val="Standard"/>
              <w:ind w:firstLine="0"/>
              <w:jc w:val="center"/>
            </w:pPr>
            <w:r w:rsidRPr="00A03B40">
              <w:t>0.00036</w:t>
            </w:r>
          </w:p>
        </w:tc>
        <w:tc>
          <w:tcPr>
            <w:tcW w:w="2565" w:type="dxa"/>
          </w:tcPr>
          <w:p w:rsidRPr="00A03B40" w:rsidR="00AD4B4C" w:rsidP="00182BE9" w:rsidRDefault="007F38F8" w14:paraId="506ED574" w14:textId="6325D503">
            <w:pPr>
              <w:pStyle w:val="Standard"/>
              <w:ind w:firstLine="0"/>
              <w:jc w:val="center"/>
            </w:pPr>
            <w:r w:rsidRPr="00A03B40">
              <w:t>0.01885</w:t>
            </w:r>
          </w:p>
        </w:tc>
      </w:tr>
      <w:tr w:rsidRPr="00A03B40" w:rsidR="00AD4B4C" w:rsidTr="001E25D7" w14:paraId="34870B2A" w14:textId="77777777">
        <w:trPr>
          <w:jc w:val="center"/>
        </w:trPr>
        <w:tc>
          <w:tcPr>
            <w:tcW w:w="2565" w:type="dxa"/>
          </w:tcPr>
          <w:p w:rsidRPr="00A03B40" w:rsidR="00AD4B4C" w:rsidP="00182BE9" w:rsidRDefault="00AD4B4C" w14:paraId="3F320625" w14:textId="4A831FE0">
            <w:pPr>
              <w:pStyle w:val="Standard"/>
              <w:ind w:firstLine="0"/>
              <w:jc w:val="center"/>
            </w:pPr>
            <w:r w:rsidRPr="00A03B40">
              <w:t>2014</w:t>
            </w:r>
          </w:p>
        </w:tc>
        <w:tc>
          <w:tcPr>
            <w:tcW w:w="2565" w:type="dxa"/>
          </w:tcPr>
          <w:p w:rsidRPr="00A03B40" w:rsidR="00AD4B4C" w:rsidP="00182BE9" w:rsidRDefault="007F38F8" w14:paraId="5C8DF6C9" w14:textId="4CEE41DD">
            <w:pPr>
              <w:pStyle w:val="Standard"/>
              <w:ind w:firstLine="0"/>
              <w:jc w:val="center"/>
            </w:pPr>
            <w:r w:rsidRPr="00A03B40">
              <w:t>(0.00115)</w:t>
            </w:r>
          </w:p>
        </w:tc>
        <w:tc>
          <w:tcPr>
            <w:tcW w:w="2565" w:type="dxa"/>
          </w:tcPr>
          <w:p w:rsidRPr="00A03B40" w:rsidR="00AD4B4C" w:rsidP="00182BE9" w:rsidRDefault="007F38F8" w14:paraId="7D22A0FD" w14:textId="4E06469F">
            <w:pPr>
              <w:pStyle w:val="Standard"/>
              <w:ind w:firstLine="0"/>
              <w:jc w:val="center"/>
            </w:pPr>
            <w:r w:rsidRPr="00A03B40">
              <w:t>0.02140</w:t>
            </w:r>
          </w:p>
        </w:tc>
      </w:tr>
      <w:tr w:rsidRPr="00A03B40" w:rsidR="00AD4B4C" w:rsidTr="001E25D7" w14:paraId="2B10E2E6" w14:textId="77777777">
        <w:trPr>
          <w:jc w:val="center"/>
        </w:trPr>
        <w:tc>
          <w:tcPr>
            <w:tcW w:w="2565" w:type="dxa"/>
          </w:tcPr>
          <w:p w:rsidRPr="00A03B40" w:rsidR="00AD4B4C" w:rsidP="00182BE9" w:rsidRDefault="00AD4B4C" w14:paraId="3BC40A79" w14:textId="1A8FF3C8">
            <w:pPr>
              <w:pStyle w:val="Standard"/>
              <w:ind w:firstLine="0"/>
              <w:jc w:val="center"/>
            </w:pPr>
            <w:r w:rsidRPr="00A03B40">
              <w:t>2015</w:t>
            </w:r>
          </w:p>
        </w:tc>
        <w:tc>
          <w:tcPr>
            <w:tcW w:w="2565" w:type="dxa"/>
          </w:tcPr>
          <w:p w:rsidRPr="00A03B40" w:rsidR="00AD4B4C" w:rsidP="00182BE9" w:rsidRDefault="007F38F8" w14:paraId="6009D7F2" w14:textId="54DBDF30">
            <w:pPr>
              <w:pStyle w:val="Standard"/>
              <w:ind w:firstLine="0"/>
              <w:jc w:val="center"/>
            </w:pPr>
            <w:r w:rsidRPr="00A03B40">
              <w:t>(0.00698)</w:t>
            </w:r>
          </w:p>
        </w:tc>
        <w:tc>
          <w:tcPr>
            <w:tcW w:w="2565" w:type="dxa"/>
          </w:tcPr>
          <w:p w:rsidRPr="00A03B40" w:rsidR="00AD4B4C" w:rsidP="00182BE9" w:rsidRDefault="007F38F8" w14:paraId="6AD290FB" w14:textId="2469FC44">
            <w:pPr>
              <w:pStyle w:val="Standard"/>
              <w:ind w:firstLine="0"/>
              <w:jc w:val="center"/>
            </w:pPr>
            <w:r w:rsidRPr="00A03B40">
              <w:t>0.01628</w:t>
            </w:r>
          </w:p>
        </w:tc>
      </w:tr>
      <w:tr w:rsidRPr="00A03B40" w:rsidR="00AD4B4C" w:rsidTr="001E25D7" w14:paraId="541AC409" w14:textId="77777777">
        <w:trPr>
          <w:jc w:val="center"/>
        </w:trPr>
        <w:tc>
          <w:tcPr>
            <w:tcW w:w="2565" w:type="dxa"/>
          </w:tcPr>
          <w:p w:rsidRPr="00A03B40" w:rsidR="00AD4B4C" w:rsidP="00182BE9" w:rsidRDefault="00AD4B4C" w14:paraId="41DD52D1" w14:textId="1FDE7989">
            <w:pPr>
              <w:pStyle w:val="Standard"/>
              <w:ind w:firstLine="0"/>
              <w:jc w:val="center"/>
            </w:pPr>
            <w:r w:rsidRPr="00A03B40">
              <w:t>2016</w:t>
            </w:r>
          </w:p>
        </w:tc>
        <w:tc>
          <w:tcPr>
            <w:tcW w:w="2565" w:type="dxa"/>
          </w:tcPr>
          <w:p w:rsidRPr="00A03B40" w:rsidR="00AD4B4C" w:rsidP="00182BE9" w:rsidRDefault="007F38F8" w14:paraId="5AB5B66E" w14:textId="20285ED1">
            <w:pPr>
              <w:pStyle w:val="Standard"/>
              <w:ind w:firstLine="0"/>
              <w:jc w:val="center"/>
            </w:pPr>
            <w:r w:rsidRPr="00A03B40">
              <w:t>(0.00975)</w:t>
            </w:r>
          </w:p>
        </w:tc>
        <w:tc>
          <w:tcPr>
            <w:tcW w:w="2565" w:type="dxa"/>
          </w:tcPr>
          <w:p w:rsidRPr="00A03B40" w:rsidR="00AD4B4C" w:rsidP="00182BE9" w:rsidRDefault="007F38F8" w14:paraId="62BEFDC8" w14:textId="5A589B23">
            <w:pPr>
              <w:pStyle w:val="Standard"/>
              <w:ind w:firstLine="0"/>
              <w:jc w:val="center"/>
            </w:pPr>
            <w:r w:rsidRPr="00A03B40">
              <w:t>0.01934</w:t>
            </w:r>
          </w:p>
        </w:tc>
      </w:tr>
      <w:tr w:rsidRPr="00A03B40" w:rsidR="00AD4B4C" w:rsidTr="001E25D7" w14:paraId="52D6D432" w14:textId="77777777">
        <w:trPr>
          <w:jc w:val="center"/>
        </w:trPr>
        <w:tc>
          <w:tcPr>
            <w:tcW w:w="2565" w:type="dxa"/>
          </w:tcPr>
          <w:p w:rsidRPr="00A03B40" w:rsidR="00AD4B4C" w:rsidP="00182BE9" w:rsidRDefault="00AD4B4C" w14:paraId="21DF7A11" w14:textId="14C15997">
            <w:pPr>
              <w:pStyle w:val="Standard"/>
              <w:ind w:firstLine="0"/>
              <w:jc w:val="center"/>
            </w:pPr>
            <w:r w:rsidRPr="00A03B40">
              <w:t>2017</w:t>
            </w:r>
          </w:p>
        </w:tc>
        <w:tc>
          <w:tcPr>
            <w:tcW w:w="2565" w:type="dxa"/>
          </w:tcPr>
          <w:p w:rsidRPr="00A03B40" w:rsidR="00AD4B4C" w:rsidP="00182BE9" w:rsidRDefault="007F38F8" w14:paraId="7C836E39" w14:textId="185B95AE">
            <w:pPr>
              <w:pStyle w:val="Standard"/>
              <w:ind w:firstLine="0"/>
              <w:jc w:val="center"/>
            </w:pPr>
            <w:r w:rsidRPr="00A03B40">
              <w:t>(0.00927)</w:t>
            </w:r>
          </w:p>
        </w:tc>
        <w:tc>
          <w:tcPr>
            <w:tcW w:w="2565" w:type="dxa"/>
          </w:tcPr>
          <w:p w:rsidRPr="00A03B40" w:rsidR="00AD4B4C" w:rsidP="00182BE9" w:rsidRDefault="007F38F8" w14:paraId="155AAE21" w14:textId="0E617A67">
            <w:pPr>
              <w:pStyle w:val="Standard"/>
              <w:ind w:firstLine="0"/>
              <w:jc w:val="center"/>
            </w:pPr>
            <w:r w:rsidRPr="00A03B40">
              <w:t>0.01837</w:t>
            </w:r>
          </w:p>
        </w:tc>
      </w:tr>
      <w:tr w:rsidRPr="00A03B40" w:rsidR="00AD4B4C" w:rsidTr="001E25D7" w14:paraId="59B81654" w14:textId="77777777">
        <w:trPr>
          <w:jc w:val="center"/>
        </w:trPr>
        <w:tc>
          <w:tcPr>
            <w:tcW w:w="2565" w:type="dxa"/>
          </w:tcPr>
          <w:p w:rsidRPr="00A03B40" w:rsidR="00AD4B4C" w:rsidP="00182BE9" w:rsidRDefault="00AD4B4C" w14:paraId="2017CE5C" w14:textId="1565195E">
            <w:pPr>
              <w:pStyle w:val="Standard"/>
              <w:ind w:firstLine="0"/>
              <w:jc w:val="center"/>
            </w:pPr>
            <w:r w:rsidRPr="00A03B40">
              <w:t>2018</w:t>
            </w:r>
          </w:p>
        </w:tc>
        <w:tc>
          <w:tcPr>
            <w:tcW w:w="2565" w:type="dxa"/>
          </w:tcPr>
          <w:p w:rsidRPr="00A03B40" w:rsidR="00AD4B4C" w:rsidP="00182BE9" w:rsidRDefault="007F38F8" w14:paraId="01CF3D6E" w14:textId="271B8201">
            <w:pPr>
              <w:pStyle w:val="Standard"/>
              <w:ind w:firstLine="0"/>
              <w:jc w:val="center"/>
            </w:pPr>
            <w:r w:rsidRPr="00A03B40">
              <w:t>(0.01077)</w:t>
            </w:r>
          </w:p>
        </w:tc>
        <w:tc>
          <w:tcPr>
            <w:tcW w:w="2565" w:type="dxa"/>
          </w:tcPr>
          <w:p w:rsidRPr="00A03B40" w:rsidR="00AD4B4C" w:rsidP="00182BE9" w:rsidRDefault="007F38F8" w14:paraId="4C545119" w14:textId="08193B19">
            <w:pPr>
              <w:pStyle w:val="Standard"/>
              <w:ind w:firstLine="0"/>
              <w:jc w:val="center"/>
            </w:pPr>
            <w:r w:rsidRPr="00A03B40">
              <w:t>0.02098</w:t>
            </w:r>
          </w:p>
        </w:tc>
      </w:tr>
      <w:tr w:rsidRPr="00A03B40" w:rsidR="00AD4B4C" w:rsidTr="001E25D7" w14:paraId="1F32559E" w14:textId="77777777">
        <w:trPr>
          <w:jc w:val="center"/>
        </w:trPr>
        <w:tc>
          <w:tcPr>
            <w:tcW w:w="2565" w:type="dxa"/>
          </w:tcPr>
          <w:p w:rsidRPr="00A03B40" w:rsidR="00AD4B4C" w:rsidP="00182BE9" w:rsidRDefault="00AD4B4C" w14:paraId="063D8416" w14:textId="688091BE">
            <w:pPr>
              <w:pStyle w:val="Standard"/>
              <w:ind w:firstLine="0"/>
              <w:jc w:val="center"/>
            </w:pPr>
            <w:r w:rsidRPr="00A03B40">
              <w:t>2019</w:t>
            </w:r>
          </w:p>
        </w:tc>
        <w:tc>
          <w:tcPr>
            <w:tcW w:w="2565" w:type="dxa"/>
          </w:tcPr>
          <w:p w:rsidRPr="00A03B40" w:rsidR="00AD4B4C" w:rsidP="00182BE9" w:rsidRDefault="007F38F8" w14:paraId="389CB06C" w14:textId="74C11C23">
            <w:pPr>
              <w:pStyle w:val="Standard"/>
              <w:ind w:firstLine="0"/>
              <w:jc w:val="center"/>
            </w:pPr>
            <w:r w:rsidRPr="00A03B40">
              <w:t>(0.01194)</w:t>
            </w:r>
          </w:p>
        </w:tc>
        <w:tc>
          <w:tcPr>
            <w:tcW w:w="2565" w:type="dxa"/>
          </w:tcPr>
          <w:p w:rsidRPr="00A03B40" w:rsidR="00AD4B4C" w:rsidP="00182BE9" w:rsidRDefault="007F38F8" w14:paraId="0101053B" w14:textId="5B42BA45">
            <w:pPr>
              <w:pStyle w:val="Standard"/>
              <w:ind w:firstLine="0"/>
              <w:jc w:val="center"/>
            </w:pPr>
            <w:r w:rsidRPr="00A03B40">
              <w:t>0.01680</w:t>
            </w:r>
          </w:p>
        </w:tc>
      </w:tr>
      <w:tr w:rsidRPr="00A03B40" w:rsidR="00AD4B4C" w:rsidTr="001E25D7" w14:paraId="63B0FA4D" w14:textId="77777777">
        <w:trPr>
          <w:jc w:val="center"/>
        </w:trPr>
        <w:tc>
          <w:tcPr>
            <w:tcW w:w="2565" w:type="dxa"/>
          </w:tcPr>
          <w:p w:rsidRPr="00A03B40" w:rsidR="00AD4B4C" w:rsidP="00182BE9" w:rsidRDefault="00AD4B4C" w14:paraId="690B562E" w14:textId="789601C5">
            <w:pPr>
              <w:pStyle w:val="Standard"/>
              <w:ind w:firstLine="0"/>
              <w:jc w:val="center"/>
            </w:pPr>
            <w:r w:rsidRPr="00A03B40">
              <w:t>2020</w:t>
            </w:r>
          </w:p>
        </w:tc>
        <w:tc>
          <w:tcPr>
            <w:tcW w:w="2565" w:type="dxa"/>
          </w:tcPr>
          <w:p w:rsidRPr="00A03B40" w:rsidR="00AD4B4C" w:rsidP="00182BE9" w:rsidRDefault="007F38F8" w14:paraId="34C5451D" w14:textId="3A0F3805">
            <w:pPr>
              <w:pStyle w:val="Standard"/>
              <w:ind w:firstLine="0"/>
              <w:jc w:val="center"/>
            </w:pPr>
            <w:r w:rsidRPr="00A03B40">
              <w:t>(0.01148)</w:t>
            </w:r>
          </w:p>
        </w:tc>
        <w:tc>
          <w:tcPr>
            <w:tcW w:w="2565" w:type="dxa"/>
          </w:tcPr>
          <w:p w:rsidRPr="00A03B40" w:rsidR="00AD4B4C" w:rsidP="00182BE9" w:rsidRDefault="007F38F8" w14:paraId="72F60880" w14:textId="3762B380">
            <w:pPr>
              <w:pStyle w:val="Standard"/>
              <w:ind w:firstLine="0"/>
              <w:jc w:val="center"/>
            </w:pPr>
            <w:r w:rsidRPr="00A03B40">
              <w:t>0.01756</w:t>
            </w:r>
          </w:p>
        </w:tc>
      </w:tr>
      <w:tr w:rsidRPr="00A03B40" w:rsidR="00AD4B4C" w:rsidTr="001E25D7" w14:paraId="66C09044" w14:textId="77777777">
        <w:trPr>
          <w:jc w:val="center"/>
        </w:trPr>
        <w:tc>
          <w:tcPr>
            <w:tcW w:w="2565" w:type="dxa"/>
          </w:tcPr>
          <w:p w:rsidRPr="00A03B40" w:rsidR="00AD4B4C" w:rsidP="00182BE9" w:rsidRDefault="00AD4B4C" w14:paraId="177F5A14" w14:textId="17DB2D97">
            <w:pPr>
              <w:pStyle w:val="Standard"/>
              <w:ind w:firstLine="0"/>
              <w:jc w:val="center"/>
            </w:pPr>
            <w:r w:rsidRPr="00A03B40">
              <w:lastRenderedPageBreak/>
              <w:t>2021</w:t>
            </w:r>
          </w:p>
        </w:tc>
        <w:tc>
          <w:tcPr>
            <w:tcW w:w="2565" w:type="dxa"/>
          </w:tcPr>
          <w:p w:rsidRPr="00A03B40" w:rsidR="00AD4B4C" w:rsidP="00182BE9" w:rsidRDefault="007F38F8" w14:paraId="0CE7FC8C" w14:textId="0793C800">
            <w:pPr>
              <w:pStyle w:val="Standard"/>
              <w:ind w:firstLine="0"/>
              <w:jc w:val="center"/>
            </w:pPr>
            <w:r w:rsidRPr="00A03B40">
              <w:t>(0.00973)</w:t>
            </w:r>
          </w:p>
        </w:tc>
        <w:tc>
          <w:tcPr>
            <w:tcW w:w="2565" w:type="dxa"/>
          </w:tcPr>
          <w:p w:rsidRPr="00A03B40" w:rsidR="00AD4B4C" w:rsidP="00182BE9" w:rsidRDefault="007F38F8" w14:paraId="0BAF7FA5" w14:textId="0749FB9B">
            <w:pPr>
              <w:pStyle w:val="Standard"/>
              <w:ind w:firstLine="0"/>
              <w:jc w:val="center"/>
            </w:pPr>
            <w:r w:rsidRPr="00A03B40">
              <w:t>0.01636</w:t>
            </w:r>
          </w:p>
        </w:tc>
      </w:tr>
      <w:tr w:rsidRPr="00A03B40" w:rsidR="00AD4B4C" w:rsidTr="001E25D7" w14:paraId="4E5C0549" w14:textId="77777777">
        <w:trPr>
          <w:jc w:val="center"/>
        </w:trPr>
        <w:tc>
          <w:tcPr>
            <w:tcW w:w="2565" w:type="dxa"/>
          </w:tcPr>
          <w:p w:rsidRPr="00A03B40" w:rsidR="00AD4B4C" w:rsidP="00182BE9" w:rsidRDefault="00AD4B4C" w14:paraId="046B6ACE" w14:textId="41FB1DCD">
            <w:pPr>
              <w:pStyle w:val="Standard"/>
              <w:ind w:firstLine="0"/>
              <w:jc w:val="center"/>
            </w:pPr>
            <w:r w:rsidRPr="00A03B40">
              <w:t>2022</w:t>
            </w:r>
          </w:p>
        </w:tc>
        <w:tc>
          <w:tcPr>
            <w:tcW w:w="2565" w:type="dxa"/>
          </w:tcPr>
          <w:p w:rsidRPr="00A03B40" w:rsidR="00AD4B4C" w:rsidP="00182BE9" w:rsidRDefault="007F38F8" w14:paraId="6462E3FF" w14:textId="793F8206">
            <w:pPr>
              <w:pStyle w:val="Standard"/>
              <w:ind w:firstLine="0"/>
              <w:jc w:val="center"/>
            </w:pPr>
            <w:r w:rsidRPr="00A03B40">
              <w:t>(0.01441)</w:t>
            </w:r>
          </w:p>
        </w:tc>
        <w:tc>
          <w:tcPr>
            <w:tcW w:w="2565" w:type="dxa"/>
          </w:tcPr>
          <w:p w:rsidRPr="00A03B40" w:rsidR="00AD4B4C" w:rsidP="00182BE9" w:rsidRDefault="007F38F8" w14:paraId="27ED1C1B" w14:textId="7EE5D5A6">
            <w:pPr>
              <w:pStyle w:val="Standard"/>
              <w:ind w:firstLine="0"/>
              <w:jc w:val="center"/>
            </w:pPr>
            <w:r w:rsidRPr="00A03B40">
              <w:t>0.0</w:t>
            </w:r>
            <w:r w:rsidRPr="00A03B40" w:rsidR="00DF15A9">
              <w:t>2324</w:t>
            </w:r>
          </w:p>
        </w:tc>
      </w:tr>
      <w:tr w:rsidRPr="00A03B40" w:rsidR="00AD4B4C" w:rsidTr="001E25D7" w14:paraId="7F659262" w14:textId="77777777">
        <w:trPr>
          <w:jc w:val="center"/>
        </w:trPr>
        <w:tc>
          <w:tcPr>
            <w:tcW w:w="2565" w:type="dxa"/>
          </w:tcPr>
          <w:p w:rsidRPr="00A03B40" w:rsidR="00AD4B4C" w:rsidP="00182BE9" w:rsidRDefault="00AD4B4C" w14:paraId="3B439451" w14:textId="031C5863">
            <w:pPr>
              <w:pStyle w:val="Standard"/>
              <w:ind w:firstLine="0"/>
              <w:jc w:val="center"/>
            </w:pPr>
            <w:r w:rsidRPr="00A03B40">
              <w:t>2023</w:t>
            </w:r>
          </w:p>
        </w:tc>
        <w:tc>
          <w:tcPr>
            <w:tcW w:w="2565" w:type="dxa"/>
          </w:tcPr>
          <w:p w:rsidRPr="00A03B40" w:rsidR="00AD4B4C" w:rsidP="00182BE9" w:rsidRDefault="007F38F8" w14:paraId="41302607" w14:textId="334259EF">
            <w:pPr>
              <w:pStyle w:val="Standard"/>
              <w:ind w:firstLine="0"/>
              <w:jc w:val="center"/>
            </w:pPr>
            <w:r w:rsidRPr="00A03B40">
              <w:t>(0.01962)</w:t>
            </w:r>
          </w:p>
        </w:tc>
        <w:tc>
          <w:tcPr>
            <w:tcW w:w="2565" w:type="dxa"/>
          </w:tcPr>
          <w:p w:rsidRPr="00A03B40" w:rsidR="00AD4B4C" w:rsidP="00182BE9" w:rsidRDefault="00DF15A9" w14:paraId="2A9DB641" w14:textId="55C6DB9D">
            <w:pPr>
              <w:pStyle w:val="Standard"/>
              <w:ind w:firstLine="0"/>
              <w:jc w:val="center"/>
            </w:pPr>
            <w:r w:rsidRPr="00A03B40">
              <w:t>0.02299</w:t>
            </w:r>
          </w:p>
        </w:tc>
      </w:tr>
      <w:tr w:rsidRPr="00A03B40" w:rsidR="00AD4B4C" w:rsidTr="001E25D7" w14:paraId="588FA64C" w14:textId="77777777">
        <w:trPr>
          <w:jc w:val="center"/>
        </w:trPr>
        <w:tc>
          <w:tcPr>
            <w:tcW w:w="2565" w:type="dxa"/>
          </w:tcPr>
          <w:p w:rsidRPr="00A03B40" w:rsidR="00AD4B4C" w:rsidP="00182BE9" w:rsidRDefault="00AD4B4C" w14:paraId="4FD6343D" w14:textId="3A8651FF">
            <w:pPr>
              <w:pStyle w:val="Standard"/>
              <w:ind w:firstLine="0"/>
              <w:jc w:val="center"/>
            </w:pPr>
            <w:r w:rsidRPr="00A03B40">
              <w:t>2024</w:t>
            </w:r>
          </w:p>
        </w:tc>
        <w:tc>
          <w:tcPr>
            <w:tcW w:w="2565" w:type="dxa"/>
          </w:tcPr>
          <w:p w:rsidRPr="00A03B40" w:rsidR="00AD4B4C" w:rsidP="00182BE9" w:rsidRDefault="007F38F8" w14:paraId="1347AF5D" w14:textId="6EF02FFA">
            <w:pPr>
              <w:pStyle w:val="Standard"/>
              <w:ind w:firstLine="0"/>
              <w:jc w:val="center"/>
            </w:pPr>
            <w:r w:rsidRPr="00A03B40">
              <w:t>(0.02363)</w:t>
            </w:r>
          </w:p>
        </w:tc>
        <w:tc>
          <w:tcPr>
            <w:tcW w:w="2565" w:type="dxa"/>
          </w:tcPr>
          <w:p w:rsidRPr="00A03B40" w:rsidR="00AD4B4C" w:rsidP="00182BE9" w:rsidRDefault="00DF15A9" w14:paraId="679EF7A7" w14:textId="5A933F74">
            <w:pPr>
              <w:pStyle w:val="Standard"/>
              <w:ind w:firstLine="0"/>
              <w:jc w:val="center"/>
            </w:pPr>
            <w:r w:rsidRPr="00A03B40">
              <w:t>0.00921</w:t>
            </w:r>
          </w:p>
        </w:tc>
      </w:tr>
      <w:tr w:rsidRPr="00A03B40" w:rsidR="00AD4B4C" w:rsidTr="001E25D7" w14:paraId="618BF256" w14:textId="77777777">
        <w:trPr>
          <w:jc w:val="center"/>
        </w:trPr>
        <w:tc>
          <w:tcPr>
            <w:tcW w:w="2565" w:type="dxa"/>
          </w:tcPr>
          <w:p w:rsidRPr="00A03B40" w:rsidR="00AD4B4C" w:rsidP="00182BE9" w:rsidRDefault="00AD4B4C" w14:paraId="19EB8947" w14:textId="241490D4">
            <w:pPr>
              <w:pStyle w:val="Standard"/>
              <w:ind w:firstLine="0"/>
              <w:jc w:val="center"/>
            </w:pPr>
            <w:r w:rsidRPr="00A03B40">
              <w:t>2025</w:t>
            </w:r>
          </w:p>
        </w:tc>
        <w:tc>
          <w:tcPr>
            <w:tcW w:w="2565" w:type="dxa"/>
          </w:tcPr>
          <w:p w:rsidRPr="00A03B40" w:rsidR="00AD4B4C" w:rsidP="00182BE9" w:rsidRDefault="007F38F8" w14:paraId="0A8DE1B4" w14:textId="134EFB5E">
            <w:pPr>
              <w:pStyle w:val="Standard"/>
              <w:ind w:firstLine="0"/>
              <w:jc w:val="center"/>
            </w:pPr>
            <w:r w:rsidRPr="00A03B40">
              <w:t>(0.02467)</w:t>
            </w:r>
          </w:p>
        </w:tc>
        <w:tc>
          <w:tcPr>
            <w:tcW w:w="2565" w:type="dxa"/>
          </w:tcPr>
          <w:p w:rsidRPr="00A03B40" w:rsidR="00AD4B4C" w:rsidP="00182BE9" w:rsidRDefault="00DF15A9" w14:paraId="7BFE3032" w14:textId="216EDA51">
            <w:pPr>
              <w:pStyle w:val="Standard"/>
              <w:ind w:firstLine="0"/>
              <w:jc w:val="center"/>
            </w:pPr>
            <w:r w:rsidRPr="00A03B40">
              <w:t>(0.00639)</w:t>
            </w:r>
          </w:p>
        </w:tc>
      </w:tr>
    </w:tbl>
    <w:p w:rsidRPr="00A03B40" w:rsidR="000E6101" w:rsidP="00726249" w:rsidRDefault="000E6101" w14:paraId="352163F1" w14:textId="14D4FFA6">
      <w:pPr>
        <w:pStyle w:val="Heading1"/>
        <w:spacing w:before="240"/>
      </w:pPr>
      <w:bookmarkStart w:name="_Toc214629917" w:id="213"/>
      <w:r w:rsidRPr="00A03B40">
        <w:t>Approval of Southern California Edison Company’s 2026 Energy Resource Recovery Account Forecast Revenue Requirement</w:t>
      </w:r>
      <w:bookmarkEnd w:id="213"/>
    </w:p>
    <w:p w:rsidRPr="00A03B40" w:rsidR="000E6101" w:rsidP="0087487D" w:rsidRDefault="000E6101" w14:paraId="4840F8A4" w14:textId="2DC983EA">
      <w:pPr>
        <w:pStyle w:val="Standard"/>
      </w:pPr>
      <w:r w:rsidRPr="00A03B40">
        <w:t>Upon review of the record</w:t>
      </w:r>
      <w:r w:rsidRPr="00A03B40" w:rsidR="00355550">
        <w:t>, including intervenor submissions and SCE’s filings</w:t>
      </w:r>
      <w:r w:rsidRPr="00A03B40">
        <w:t xml:space="preserve"> submitted in support of the inputs</w:t>
      </w:r>
      <w:r w:rsidRPr="00A03B40" w:rsidR="008910D7">
        <w:t xml:space="preserve"> and</w:t>
      </w:r>
      <w:r w:rsidRPr="00A03B40">
        <w:t xml:space="preserve"> assumptions</w:t>
      </w:r>
      <w:r w:rsidRPr="00A03B40" w:rsidR="008910D7">
        <w:t xml:space="preserve"> that underlie SCE’s ERRA </w:t>
      </w:r>
      <w:r w:rsidRPr="00A03B40" w:rsidR="00355550">
        <w:t xml:space="preserve">procurement cost forecast and requests for recovery of other costs, we find SCE’s 2026 ERRA forecast revenue requirement, as updated by SCE’s </w:t>
      </w:r>
      <w:r w:rsidRPr="00A03B40" w:rsidR="000B7F0F">
        <w:t xml:space="preserve">Amended </w:t>
      </w:r>
      <w:r w:rsidRPr="00A03B40" w:rsidR="00355550">
        <w:t xml:space="preserve">October Update, to be reasonable and </w:t>
      </w:r>
      <w:r w:rsidRPr="00A03B40" w:rsidR="00C8450D">
        <w:t>adopt it</w:t>
      </w:r>
      <w:r w:rsidRPr="00A03B40" w:rsidR="00355550">
        <w:t>.</w:t>
      </w:r>
      <w:r w:rsidRPr="00A03B40" w:rsidR="008910D7">
        <w:t xml:space="preserve"> </w:t>
      </w:r>
    </w:p>
    <w:p w:rsidRPr="00A03B40" w:rsidR="001A2C41" w:rsidP="00827833" w:rsidRDefault="001A2C41" w14:paraId="1FF13A50" w14:textId="2D479FAB">
      <w:pPr>
        <w:pStyle w:val="Heading1"/>
      </w:pPr>
      <w:bookmarkStart w:name="_Toc214629918" w:id="214"/>
      <w:r w:rsidRPr="00A03B40">
        <w:t xml:space="preserve">2026 Energy Resource Recovery Account </w:t>
      </w:r>
      <w:r w:rsidR="00726249">
        <w:br/>
      </w:r>
      <w:r w:rsidRPr="00A03B40">
        <w:t>Forecast Average Rates</w:t>
      </w:r>
      <w:bookmarkEnd w:id="214"/>
    </w:p>
    <w:p w:rsidR="00827833" w:rsidP="00C8543F" w:rsidRDefault="00722FFD" w14:paraId="69A63440" w14:textId="75608039">
      <w:pPr>
        <w:pStyle w:val="Standard"/>
        <w:widowControl w:val="0"/>
      </w:pPr>
      <w:r w:rsidRPr="00A03B40">
        <w:t xml:space="preserve">SCE calculates the </w:t>
      </w:r>
      <w:r w:rsidRPr="00A03B40" w:rsidR="00754DC9">
        <w:t xml:space="preserve">incremental </w:t>
      </w:r>
      <w:r w:rsidRPr="00A03B40">
        <w:t>impact on its bundled customer group</w:t>
      </w:r>
      <w:r w:rsidRPr="00A03B40" w:rsidR="00754DC9">
        <w:t xml:space="preserve"> rates</w:t>
      </w:r>
      <w:r w:rsidRPr="00A03B40">
        <w:t xml:space="preserve"> associated with this proposed revenue requirement. The results of this calculation are detailed in </w:t>
      </w:r>
      <w:r w:rsidRPr="00A03B40" w:rsidR="00827833">
        <w:t>Table 9-1, below.</w:t>
      </w:r>
      <w:r w:rsidRPr="00A03B40" w:rsidR="00995B53">
        <w:t xml:space="preserve"> Table 9-2, below shows the portion of those rates related to the New System Generation Balancing Account, allocated via the Cost Allocation Mechanism, as described in Sections 5.2.6 and 7.2.1, and as required by Scoping Memo Issue 5.</w:t>
      </w:r>
      <w:r w:rsidRPr="00A03B40" w:rsidR="00582761">
        <w:t xml:space="preserve"> Because we find the underlying </w:t>
      </w:r>
      <w:r w:rsidRPr="00A03B40" w:rsidR="006608B9">
        <w:t xml:space="preserve">forecast </w:t>
      </w:r>
      <w:r w:rsidRPr="00A03B40" w:rsidR="00582761">
        <w:t xml:space="preserve">revenue requirements reasonable, and because we find the calculation of rates stemming from those revenue requirements to be consistent with Commission rules and </w:t>
      </w:r>
      <w:r w:rsidRPr="00A03B40" w:rsidR="00C8450D">
        <w:t>practice</w:t>
      </w:r>
      <w:proofErr w:type="gramStart"/>
      <w:r w:rsidRPr="00A03B40" w:rsidR="00C8450D">
        <w:t>,</w:t>
      </w:r>
      <w:r w:rsidRPr="00A03B40" w:rsidR="00582761">
        <w:t xml:space="preserve"> we find</w:t>
      </w:r>
      <w:proofErr w:type="gramEnd"/>
      <w:r w:rsidRPr="00A03B40" w:rsidR="00582761">
        <w:t xml:space="preserve"> SCE’s </w:t>
      </w:r>
      <w:r w:rsidRPr="00A03B40" w:rsidR="006608B9">
        <w:t xml:space="preserve">ERRA-related </w:t>
      </w:r>
      <w:r w:rsidRPr="00A03B40" w:rsidR="00582761">
        <w:t>bundled customer group rates and the New System Generation rate component reasonable.</w:t>
      </w:r>
    </w:p>
    <w:p w:rsidRPr="00A03B40" w:rsidR="00793EB1" w:rsidP="004B121B" w:rsidRDefault="00793EB1" w14:paraId="3B531FDB" w14:textId="677788BE">
      <w:pPr>
        <w:pStyle w:val="Standard"/>
        <w:keepNext/>
        <w:keepLines/>
        <w:widowControl w:val="0"/>
        <w:tabs>
          <w:tab w:val="left" w:pos="1490"/>
        </w:tabs>
        <w:spacing w:after="120" w:line="240" w:lineRule="auto"/>
        <w:jc w:val="center"/>
        <w:rPr>
          <w:b/>
          <w:bCs/>
        </w:rPr>
      </w:pPr>
      <w:r w:rsidRPr="00A03B40">
        <w:rPr>
          <w:b/>
          <w:bCs/>
        </w:rPr>
        <w:lastRenderedPageBreak/>
        <w:t xml:space="preserve">Table 9-1: Summary of the 2026 ERRA Forecast Portion </w:t>
      </w:r>
      <w:r w:rsidR="00E87759">
        <w:rPr>
          <w:b/>
          <w:bCs/>
        </w:rPr>
        <w:br/>
      </w:r>
      <w:r w:rsidRPr="00A03B40">
        <w:rPr>
          <w:b/>
          <w:bCs/>
        </w:rPr>
        <w:t>of SCE’s Bundled Customer Rates</w:t>
      </w:r>
      <w:r w:rsidRPr="00A03B40" w:rsidR="00A03B40">
        <w:rPr>
          <w:rStyle w:val="FootnoteReference"/>
          <w:b/>
          <w:bCs/>
        </w:rPr>
        <w:footnoteReference w:id="456"/>
      </w:r>
    </w:p>
    <w:tbl>
      <w:tblPr>
        <w:tblStyle w:val="TableGrid"/>
        <w:tblW w:w="9608" w:type="dxa"/>
        <w:tblLayout w:type="fixed"/>
        <w:tblLook w:val="04A0" w:firstRow="1" w:lastRow="0" w:firstColumn="1" w:lastColumn="0" w:noHBand="0" w:noVBand="1"/>
      </w:tblPr>
      <w:tblGrid>
        <w:gridCol w:w="3739"/>
        <w:gridCol w:w="1467"/>
        <w:gridCol w:w="1467"/>
        <w:gridCol w:w="1467"/>
        <w:gridCol w:w="1468"/>
      </w:tblGrid>
      <w:tr w:rsidRPr="00A03B40" w:rsidR="00995B53" w:rsidTr="00105E15" w14:paraId="561E9BF2" w14:textId="77777777">
        <w:tc>
          <w:tcPr>
            <w:tcW w:w="3739" w:type="dxa"/>
            <w:vAlign w:val="center"/>
          </w:tcPr>
          <w:p w:rsidRPr="00A03B40" w:rsidR="00995B53" w:rsidP="004B121B" w:rsidRDefault="00995B53" w14:paraId="270C07B5" w14:textId="77777777">
            <w:pPr>
              <w:pStyle w:val="Standard"/>
              <w:keepNext/>
              <w:keepLines/>
              <w:spacing w:line="240" w:lineRule="auto"/>
              <w:ind w:firstLine="0"/>
              <w:contextualSpacing/>
              <w:jc w:val="center"/>
              <w:rPr>
                <w:b/>
                <w:bCs/>
                <w:sz w:val="22"/>
              </w:rPr>
            </w:pPr>
            <w:r w:rsidRPr="00A03B40">
              <w:rPr>
                <w:b/>
                <w:bCs/>
                <w:sz w:val="22"/>
              </w:rPr>
              <w:t>Rate Schedule by Customer Group</w:t>
            </w:r>
          </w:p>
        </w:tc>
        <w:tc>
          <w:tcPr>
            <w:tcW w:w="1467" w:type="dxa"/>
            <w:vAlign w:val="center"/>
          </w:tcPr>
          <w:p w:rsidRPr="00A03B40" w:rsidR="00995B53" w:rsidP="004B121B" w:rsidRDefault="00995B53" w14:paraId="13907935" w14:textId="77777777">
            <w:pPr>
              <w:pStyle w:val="Standard"/>
              <w:keepNext/>
              <w:keepLines/>
              <w:spacing w:line="240" w:lineRule="auto"/>
              <w:ind w:firstLine="0"/>
              <w:contextualSpacing/>
              <w:jc w:val="center"/>
              <w:rPr>
                <w:b/>
                <w:bCs/>
                <w:sz w:val="22"/>
              </w:rPr>
            </w:pPr>
            <w:r w:rsidRPr="00A03B40">
              <w:rPr>
                <w:b/>
                <w:bCs/>
                <w:sz w:val="22"/>
              </w:rPr>
              <w:t>Total Delivery (¢/kWh)</w:t>
            </w:r>
          </w:p>
        </w:tc>
        <w:tc>
          <w:tcPr>
            <w:tcW w:w="1467" w:type="dxa"/>
            <w:vAlign w:val="center"/>
          </w:tcPr>
          <w:p w:rsidRPr="00A03B40" w:rsidR="00995B53" w:rsidP="004B121B" w:rsidRDefault="00995B53" w14:paraId="2886A08D" w14:textId="77777777">
            <w:pPr>
              <w:pStyle w:val="Standard"/>
              <w:keepNext/>
              <w:keepLines/>
              <w:spacing w:line="240" w:lineRule="auto"/>
              <w:ind w:firstLine="0"/>
              <w:contextualSpacing/>
              <w:jc w:val="center"/>
              <w:rPr>
                <w:b/>
                <w:bCs/>
                <w:sz w:val="22"/>
              </w:rPr>
            </w:pPr>
            <w:r w:rsidRPr="00A03B40">
              <w:rPr>
                <w:b/>
                <w:bCs/>
                <w:sz w:val="22"/>
              </w:rPr>
              <w:t xml:space="preserve">Total </w:t>
            </w:r>
            <w:r w:rsidRPr="00A03B40">
              <w:rPr>
                <w:b/>
                <w:bCs/>
                <w:spacing w:val="-10"/>
                <w:sz w:val="22"/>
              </w:rPr>
              <w:t>Generation</w:t>
            </w:r>
            <w:r w:rsidRPr="00A03B40">
              <w:rPr>
                <w:b/>
                <w:bCs/>
                <w:sz w:val="22"/>
              </w:rPr>
              <w:t xml:space="preserve"> (¢/kWh)</w:t>
            </w:r>
          </w:p>
        </w:tc>
        <w:tc>
          <w:tcPr>
            <w:tcW w:w="1467" w:type="dxa"/>
            <w:vAlign w:val="center"/>
          </w:tcPr>
          <w:p w:rsidRPr="00A03B40" w:rsidR="00995B53" w:rsidP="004B121B" w:rsidRDefault="00995B53" w14:paraId="4FCA00D6" w14:textId="77777777">
            <w:pPr>
              <w:pStyle w:val="Standard"/>
              <w:keepNext/>
              <w:keepLines/>
              <w:spacing w:line="240" w:lineRule="auto"/>
              <w:ind w:firstLine="0"/>
              <w:contextualSpacing/>
              <w:jc w:val="center"/>
              <w:rPr>
                <w:b/>
                <w:bCs/>
                <w:sz w:val="22"/>
              </w:rPr>
            </w:pPr>
            <w:r w:rsidRPr="00A03B40">
              <w:rPr>
                <w:b/>
                <w:bCs/>
                <w:sz w:val="22"/>
              </w:rPr>
              <w:t>Total</w:t>
            </w:r>
          </w:p>
          <w:p w:rsidRPr="00A03B40" w:rsidR="00995B53" w:rsidP="004B121B" w:rsidRDefault="00995B53" w14:paraId="138EF3C0" w14:textId="662FEF42">
            <w:pPr>
              <w:pStyle w:val="Standard"/>
              <w:keepNext/>
              <w:keepLines/>
              <w:spacing w:line="240" w:lineRule="auto"/>
              <w:ind w:firstLine="0"/>
              <w:contextualSpacing/>
              <w:jc w:val="center"/>
              <w:rPr>
                <w:b/>
                <w:bCs/>
                <w:sz w:val="22"/>
              </w:rPr>
            </w:pPr>
            <w:r w:rsidRPr="00A03B40">
              <w:rPr>
                <w:b/>
                <w:bCs/>
                <w:sz w:val="22"/>
              </w:rPr>
              <w:t>(¢/kWh)</w:t>
            </w:r>
          </w:p>
        </w:tc>
        <w:tc>
          <w:tcPr>
            <w:tcW w:w="1468" w:type="dxa"/>
            <w:vAlign w:val="center"/>
          </w:tcPr>
          <w:p w:rsidRPr="00A03B40" w:rsidR="00995B53" w:rsidP="004B121B" w:rsidRDefault="00995B53" w14:paraId="6E29D6B4" w14:textId="484F5183">
            <w:pPr>
              <w:pStyle w:val="Standard"/>
              <w:keepNext/>
              <w:keepLines/>
              <w:spacing w:line="240" w:lineRule="auto"/>
              <w:ind w:firstLine="0"/>
              <w:contextualSpacing/>
              <w:jc w:val="center"/>
              <w:rPr>
                <w:b/>
                <w:bCs/>
                <w:sz w:val="22"/>
              </w:rPr>
            </w:pPr>
            <w:r w:rsidRPr="00A03B40">
              <w:rPr>
                <w:b/>
                <w:bCs/>
                <w:sz w:val="22"/>
              </w:rPr>
              <w:t xml:space="preserve">Change from October 1, </w:t>
            </w:r>
            <w:proofErr w:type="gramStart"/>
            <w:r w:rsidRPr="00A03B40">
              <w:rPr>
                <w:b/>
                <w:bCs/>
                <w:sz w:val="22"/>
              </w:rPr>
              <w:t>2025</w:t>
            </w:r>
            <w:proofErr w:type="gramEnd"/>
            <w:r w:rsidRPr="00A03B40">
              <w:rPr>
                <w:b/>
                <w:bCs/>
                <w:sz w:val="22"/>
              </w:rPr>
              <w:t xml:space="preserve"> Rates</w:t>
            </w:r>
          </w:p>
        </w:tc>
      </w:tr>
      <w:tr w:rsidRPr="00A03B40" w:rsidR="00995B53" w:rsidTr="00105E15" w14:paraId="4E934920" w14:textId="77777777">
        <w:tc>
          <w:tcPr>
            <w:tcW w:w="3739" w:type="dxa"/>
            <w:vAlign w:val="center"/>
          </w:tcPr>
          <w:p w:rsidRPr="00A03B40" w:rsidR="00995B53" w:rsidP="004B121B" w:rsidRDefault="00995B53" w14:paraId="6F5163C2" w14:textId="77777777">
            <w:pPr>
              <w:pStyle w:val="Standard"/>
              <w:keepNext/>
              <w:keepLines/>
              <w:spacing w:line="240" w:lineRule="auto"/>
              <w:ind w:firstLine="0"/>
              <w:rPr>
                <w:b/>
                <w:bCs/>
                <w:sz w:val="22"/>
              </w:rPr>
            </w:pPr>
            <w:r w:rsidRPr="00A03B40">
              <w:rPr>
                <w:b/>
                <w:bCs/>
                <w:sz w:val="22"/>
              </w:rPr>
              <w:t>Domestic</w:t>
            </w:r>
          </w:p>
          <w:p w:rsidRPr="00A03B40" w:rsidR="00995B53" w:rsidP="004B121B" w:rsidRDefault="00995B53" w14:paraId="206D094E" w14:textId="77777777">
            <w:pPr>
              <w:pStyle w:val="Standard"/>
              <w:keepNext/>
              <w:keepLines/>
              <w:numPr>
                <w:ilvl w:val="0"/>
                <w:numId w:val="13"/>
              </w:numPr>
              <w:spacing w:line="240" w:lineRule="auto"/>
              <w:ind w:left="522"/>
              <w:rPr>
                <w:sz w:val="22"/>
              </w:rPr>
            </w:pPr>
            <w:r w:rsidRPr="00A03B40">
              <w:rPr>
                <w:sz w:val="22"/>
              </w:rPr>
              <w:t>D</w:t>
            </w:r>
          </w:p>
          <w:p w:rsidRPr="00A03B40" w:rsidR="00995B53" w:rsidP="004B121B" w:rsidRDefault="00995B53" w14:paraId="120ACAAF" w14:textId="77777777">
            <w:pPr>
              <w:pStyle w:val="Standard"/>
              <w:keepNext/>
              <w:keepLines/>
              <w:numPr>
                <w:ilvl w:val="0"/>
                <w:numId w:val="13"/>
              </w:numPr>
              <w:spacing w:line="240" w:lineRule="auto"/>
              <w:ind w:left="522"/>
              <w:rPr>
                <w:sz w:val="22"/>
              </w:rPr>
            </w:pPr>
            <w:r w:rsidRPr="00A03B40">
              <w:rPr>
                <w:sz w:val="22"/>
              </w:rPr>
              <w:t>D-CARE</w:t>
            </w:r>
          </w:p>
          <w:p w:rsidRPr="00A03B40" w:rsidR="00995B53" w:rsidP="004B121B" w:rsidRDefault="00995B53" w14:paraId="430E4AC7" w14:textId="77777777">
            <w:pPr>
              <w:pStyle w:val="Standard"/>
              <w:keepNext/>
              <w:keepLines/>
              <w:numPr>
                <w:ilvl w:val="0"/>
                <w:numId w:val="13"/>
              </w:numPr>
              <w:spacing w:line="240" w:lineRule="auto"/>
              <w:ind w:left="522"/>
              <w:rPr>
                <w:sz w:val="22"/>
              </w:rPr>
            </w:pPr>
            <w:r w:rsidRPr="00A03B40">
              <w:rPr>
                <w:sz w:val="22"/>
              </w:rPr>
              <w:t>DE</w:t>
            </w:r>
          </w:p>
          <w:p w:rsidRPr="00A03B40" w:rsidR="00995B53" w:rsidP="004B121B" w:rsidRDefault="00995B53" w14:paraId="16579EC5" w14:textId="77777777">
            <w:pPr>
              <w:pStyle w:val="Standard"/>
              <w:keepNext/>
              <w:keepLines/>
              <w:numPr>
                <w:ilvl w:val="0"/>
                <w:numId w:val="13"/>
              </w:numPr>
              <w:spacing w:line="240" w:lineRule="auto"/>
              <w:ind w:left="522"/>
              <w:rPr>
                <w:sz w:val="22"/>
              </w:rPr>
            </w:pPr>
            <w:r w:rsidRPr="00A03B40">
              <w:rPr>
                <w:sz w:val="22"/>
              </w:rPr>
              <w:t>DM</w:t>
            </w:r>
          </w:p>
          <w:p w:rsidRPr="00A03B40" w:rsidR="00995B53" w:rsidP="004B121B" w:rsidRDefault="00995B53" w14:paraId="3A72A350" w14:textId="77777777">
            <w:pPr>
              <w:pStyle w:val="Standard"/>
              <w:keepNext/>
              <w:keepLines/>
              <w:numPr>
                <w:ilvl w:val="0"/>
                <w:numId w:val="13"/>
              </w:numPr>
              <w:spacing w:line="240" w:lineRule="auto"/>
              <w:ind w:left="522"/>
              <w:rPr>
                <w:sz w:val="22"/>
              </w:rPr>
            </w:pPr>
            <w:r w:rsidRPr="00A03B40">
              <w:rPr>
                <w:sz w:val="22"/>
              </w:rPr>
              <w:t>DMS-1</w:t>
            </w:r>
          </w:p>
          <w:p w:rsidRPr="00A03B40" w:rsidR="00995B53" w:rsidP="004B121B" w:rsidRDefault="00995B53" w14:paraId="5AF0134C" w14:textId="77777777">
            <w:pPr>
              <w:pStyle w:val="Standard"/>
              <w:keepNext/>
              <w:keepLines/>
              <w:numPr>
                <w:ilvl w:val="0"/>
                <w:numId w:val="13"/>
              </w:numPr>
              <w:spacing w:line="240" w:lineRule="auto"/>
              <w:ind w:left="522"/>
              <w:rPr>
                <w:sz w:val="22"/>
              </w:rPr>
            </w:pPr>
            <w:r w:rsidRPr="00A03B40">
              <w:rPr>
                <w:sz w:val="22"/>
              </w:rPr>
              <w:t>DMS-2</w:t>
            </w:r>
          </w:p>
        </w:tc>
        <w:tc>
          <w:tcPr>
            <w:tcW w:w="1467" w:type="dxa"/>
          </w:tcPr>
          <w:p w:rsidRPr="00A03B40" w:rsidR="00995B53" w:rsidP="004B121B" w:rsidRDefault="00995B53" w14:paraId="3601AD40" w14:textId="77777777">
            <w:pPr>
              <w:pStyle w:val="Standard"/>
              <w:keepNext/>
              <w:keepLines/>
              <w:spacing w:line="240" w:lineRule="auto"/>
              <w:ind w:firstLine="0"/>
              <w:rPr>
                <w:sz w:val="22"/>
              </w:rPr>
            </w:pPr>
          </w:p>
          <w:p w:rsidRPr="00A03B40" w:rsidR="005B5AFA" w:rsidP="004B121B" w:rsidRDefault="005B5AFA" w14:paraId="63C6FC86" w14:textId="02E7D39E">
            <w:pPr>
              <w:pStyle w:val="Standard"/>
              <w:keepNext/>
              <w:keepLines/>
              <w:spacing w:line="240" w:lineRule="auto"/>
              <w:ind w:firstLine="0"/>
              <w:rPr>
                <w:sz w:val="22"/>
              </w:rPr>
            </w:pPr>
            <w:r w:rsidRPr="00A03B40">
              <w:rPr>
                <w:sz w:val="22"/>
              </w:rPr>
              <w:t xml:space="preserve"> 0.25929 </w:t>
            </w:r>
          </w:p>
          <w:p w:rsidRPr="00A03B40" w:rsidR="005B5AFA" w:rsidP="004B121B" w:rsidRDefault="005B5AFA" w14:paraId="63D28635" w14:textId="77777777">
            <w:pPr>
              <w:pStyle w:val="Standard"/>
              <w:keepNext/>
              <w:keepLines/>
              <w:spacing w:line="240" w:lineRule="auto"/>
              <w:ind w:firstLine="0"/>
              <w:rPr>
                <w:sz w:val="22"/>
              </w:rPr>
            </w:pPr>
            <w:r w:rsidRPr="00A03B40">
              <w:rPr>
                <w:sz w:val="22"/>
              </w:rPr>
              <w:t xml:space="preserve"> 0.10856 </w:t>
            </w:r>
          </w:p>
          <w:p w:rsidRPr="00A03B40" w:rsidR="005B5AFA" w:rsidP="004B121B" w:rsidRDefault="005B5AFA" w14:paraId="1E737DD1" w14:textId="77777777">
            <w:pPr>
              <w:pStyle w:val="Standard"/>
              <w:keepNext/>
              <w:keepLines/>
              <w:spacing w:line="240" w:lineRule="auto"/>
              <w:ind w:firstLine="0"/>
              <w:rPr>
                <w:sz w:val="22"/>
              </w:rPr>
            </w:pPr>
            <w:r w:rsidRPr="00A03B40">
              <w:rPr>
                <w:sz w:val="22"/>
              </w:rPr>
              <w:t xml:space="preserve"> 0.16532 </w:t>
            </w:r>
          </w:p>
          <w:p w:rsidRPr="00A03B40" w:rsidR="005B5AFA" w:rsidP="004B121B" w:rsidRDefault="005B5AFA" w14:paraId="4FAE773E" w14:textId="77777777">
            <w:pPr>
              <w:pStyle w:val="Standard"/>
              <w:keepNext/>
              <w:keepLines/>
              <w:spacing w:line="240" w:lineRule="auto"/>
              <w:ind w:firstLine="0"/>
              <w:rPr>
                <w:sz w:val="22"/>
              </w:rPr>
            </w:pPr>
            <w:r w:rsidRPr="00A03B40">
              <w:rPr>
                <w:sz w:val="22"/>
              </w:rPr>
              <w:t xml:space="preserve"> 0.16884 </w:t>
            </w:r>
          </w:p>
          <w:p w:rsidRPr="00A03B40" w:rsidR="005B5AFA" w:rsidP="004B121B" w:rsidRDefault="005B5AFA" w14:paraId="732167D4" w14:textId="77777777">
            <w:pPr>
              <w:pStyle w:val="Standard"/>
              <w:keepNext/>
              <w:keepLines/>
              <w:spacing w:line="240" w:lineRule="auto"/>
              <w:ind w:firstLine="0"/>
              <w:rPr>
                <w:sz w:val="22"/>
              </w:rPr>
            </w:pPr>
            <w:r w:rsidRPr="00A03B40">
              <w:rPr>
                <w:sz w:val="22"/>
              </w:rPr>
              <w:t xml:space="preserve"> 0.25948 </w:t>
            </w:r>
          </w:p>
          <w:p w:rsidRPr="00A03B40" w:rsidR="005B5AFA" w:rsidP="004B121B" w:rsidRDefault="005B5AFA" w14:paraId="47211F47" w14:textId="639915D7">
            <w:pPr>
              <w:pStyle w:val="Standard"/>
              <w:keepNext/>
              <w:keepLines/>
              <w:spacing w:line="240" w:lineRule="auto"/>
              <w:ind w:firstLine="0"/>
              <w:rPr>
                <w:sz w:val="22"/>
              </w:rPr>
            </w:pPr>
            <w:r w:rsidRPr="00A03B40">
              <w:rPr>
                <w:sz w:val="22"/>
              </w:rPr>
              <w:t xml:space="preserve"> 0.25379</w:t>
            </w:r>
          </w:p>
        </w:tc>
        <w:tc>
          <w:tcPr>
            <w:tcW w:w="1467" w:type="dxa"/>
          </w:tcPr>
          <w:p w:rsidRPr="00A03B40" w:rsidR="00995B53" w:rsidP="004B121B" w:rsidRDefault="00995B53" w14:paraId="39570F37" w14:textId="77777777">
            <w:pPr>
              <w:pStyle w:val="Standard"/>
              <w:keepNext/>
              <w:keepLines/>
              <w:spacing w:line="240" w:lineRule="auto"/>
              <w:ind w:firstLine="0"/>
              <w:rPr>
                <w:sz w:val="22"/>
              </w:rPr>
            </w:pPr>
          </w:p>
          <w:p w:rsidRPr="00A03B40" w:rsidR="005B5AFA" w:rsidP="004B121B" w:rsidRDefault="005B5AFA" w14:paraId="59BE2F4C" w14:textId="2D6B1BF4">
            <w:pPr>
              <w:pStyle w:val="Standard"/>
              <w:keepNext/>
              <w:keepLines/>
              <w:spacing w:line="240" w:lineRule="auto"/>
              <w:ind w:firstLine="0"/>
              <w:rPr>
                <w:sz w:val="22"/>
              </w:rPr>
            </w:pPr>
            <w:r w:rsidRPr="00A03B40">
              <w:rPr>
                <w:sz w:val="22"/>
              </w:rPr>
              <w:t xml:space="preserve"> 0.11567 </w:t>
            </w:r>
          </w:p>
          <w:p w:rsidRPr="00A03B40" w:rsidR="005B5AFA" w:rsidP="004B121B" w:rsidRDefault="005B5AFA" w14:paraId="70295ED5" w14:textId="77777777">
            <w:pPr>
              <w:pStyle w:val="Standard"/>
              <w:keepNext/>
              <w:keepLines/>
              <w:spacing w:line="240" w:lineRule="auto"/>
              <w:ind w:firstLine="0"/>
              <w:rPr>
                <w:sz w:val="22"/>
              </w:rPr>
            </w:pPr>
            <w:r w:rsidRPr="00A03B40">
              <w:rPr>
                <w:sz w:val="22"/>
              </w:rPr>
              <w:t xml:space="preserve"> 0.11565 </w:t>
            </w:r>
          </w:p>
          <w:p w:rsidRPr="00A03B40" w:rsidR="005B5AFA" w:rsidP="004B121B" w:rsidRDefault="005B5AFA" w14:paraId="7E28049D" w14:textId="77777777">
            <w:pPr>
              <w:pStyle w:val="Standard"/>
              <w:keepNext/>
              <w:keepLines/>
              <w:spacing w:line="240" w:lineRule="auto"/>
              <w:ind w:firstLine="0"/>
              <w:rPr>
                <w:sz w:val="22"/>
              </w:rPr>
            </w:pPr>
            <w:r w:rsidRPr="00A03B40">
              <w:rPr>
                <w:sz w:val="22"/>
              </w:rPr>
              <w:t xml:space="preserve"> 0.11561 </w:t>
            </w:r>
          </w:p>
          <w:p w:rsidRPr="00A03B40" w:rsidR="005B5AFA" w:rsidP="004B121B" w:rsidRDefault="005B5AFA" w14:paraId="60460953" w14:textId="77777777">
            <w:pPr>
              <w:pStyle w:val="Standard"/>
              <w:keepNext/>
              <w:keepLines/>
              <w:spacing w:line="240" w:lineRule="auto"/>
              <w:ind w:firstLine="0"/>
              <w:rPr>
                <w:sz w:val="22"/>
              </w:rPr>
            </w:pPr>
            <w:r w:rsidRPr="00A03B40">
              <w:rPr>
                <w:sz w:val="22"/>
              </w:rPr>
              <w:t xml:space="preserve"> 0.11599 </w:t>
            </w:r>
          </w:p>
          <w:p w:rsidRPr="00A03B40" w:rsidR="005B5AFA" w:rsidP="004B121B" w:rsidRDefault="005B5AFA" w14:paraId="79E08C97" w14:textId="77777777">
            <w:pPr>
              <w:pStyle w:val="Standard"/>
              <w:keepNext/>
              <w:keepLines/>
              <w:spacing w:line="240" w:lineRule="auto"/>
              <w:ind w:firstLine="0"/>
              <w:rPr>
                <w:sz w:val="22"/>
              </w:rPr>
            </w:pPr>
            <w:r w:rsidRPr="00A03B40">
              <w:rPr>
                <w:sz w:val="22"/>
              </w:rPr>
              <w:t xml:space="preserve"> 0.11600 </w:t>
            </w:r>
          </w:p>
          <w:p w:rsidRPr="00A03B40" w:rsidR="005B5AFA" w:rsidP="004B121B" w:rsidRDefault="005B5AFA" w14:paraId="5CB9CA5F" w14:textId="367E7C16">
            <w:pPr>
              <w:pStyle w:val="Standard"/>
              <w:keepNext/>
              <w:keepLines/>
              <w:spacing w:line="240" w:lineRule="auto"/>
              <w:ind w:firstLine="0"/>
              <w:rPr>
                <w:sz w:val="22"/>
              </w:rPr>
            </w:pPr>
            <w:r w:rsidRPr="00A03B40">
              <w:rPr>
                <w:sz w:val="22"/>
              </w:rPr>
              <w:t xml:space="preserve"> 0.11612</w:t>
            </w:r>
          </w:p>
        </w:tc>
        <w:tc>
          <w:tcPr>
            <w:tcW w:w="1467" w:type="dxa"/>
          </w:tcPr>
          <w:p w:rsidRPr="00A03B40" w:rsidR="005B5AFA" w:rsidP="004B121B" w:rsidRDefault="005B5AFA" w14:paraId="6C52E97F" w14:textId="77777777">
            <w:pPr>
              <w:pStyle w:val="Standard"/>
              <w:keepNext/>
              <w:keepLines/>
              <w:spacing w:line="240" w:lineRule="auto"/>
              <w:ind w:firstLine="0"/>
              <w:rPr>
                <w:sz w:val="22"/>
              </w:rPr>
            </w:pPr>
            <w:r w:rsidRPr="00A03B40">
              <w:rPr>
                <w:sz w:val="22"/>
              </w:rPr>
              <w:t xml:space="preserve"> </w:t>
            </w:r>
          </w:p>
          <w:p w:rsidRPr="00A03B40" w:rsidR="005B5AFA" w:rsidP="004B121B" w:rsidRDefault="005B5AFA" w14:paraId="6F35539A" w14:textId="43D49E0E">
            <w:pPr>
              <w:pStyle w:val="Standard"/>
              <w:keepNext/>
              <w:keepLines/>
              <w:spacing w:line="240" w:lineRule="auto"/>
              <w:ind w:firstLine="0"/>
              <w:rPr>
                <w:sz w:val="22"/>
              </w:rPr>
            </w:pPr>
            <w:r w:rsidRPr="00A03B40">
              <w:rPr>
                <w:sz w:val="22"/>
              </w:rPr>
              <w:t xml:space="preserve"> 0.37496 </w:t>
            </w:r>
          </w:p>
          <w:p w:rsidRPr="00A03B40" w:rsidR="005B5AFA" w:rsidP="004B121B" w:rsidRDefault="005B5AFA" w14:paraId="6BD522DE" w14:textId="77777777">
            <w:pPr>
              <w:pStyle w:val="Standard"/>
              <w:keepNext/>
              <w:keepLines/>
              <w:spacing w:line="240" w:lineRule="auto"/>
              <w:ind w:firstLine="0"/>
              <w:rPr>
                <w:sz w:val="22"/>
              </w:rPr>
            </w:pPr>
            <w:r w:rsidRPr="00A03B40">
              <w:rPr>
                <w:sz w:val="22"/>
              </w:rPr>
              <w:t xml:space="preserve"> 0.22421 </w:t>
            </w:r>
          </w:p>
          <w:p w:rsidRPr="00A03B40" w:rsidR="005B5AFA" w:rsidP="004B121B" w:rsidRDefault="005B5AFA" w14:paraId="6AA79C73" w14:textId="77777777">
            <w:pPr>
              <w:pStyle w:val="Standard"/>
              <w:keepNext/>
              <w:keepLines/>
              <w:spacing w:line="240" w:lineRule="auto"/>
              <w:ind w:firstLine="0"/>
              <w:rPr>
                <w:sz w:val="22"/>
              </w:rPr>
            </w:pPr>
            <w:r w:rsidRPr="00A03B40">
              <w:rPr>
                <w:sz w:val="22"/>
              </w:rPr>
              <w:t xml:space="preserve"> 0.28093 </w:t>
            </w:r>
          </w:p>
          <w:p w:rsidRPr="00A03B40" w:rsidR="005B5AFA" w:rsidP="004B121B" w:rsidRDefault="005B5AFA" w14:paraId="3B29E715" w14:textId="77777777">
            <w:pPr>
              <w:pStyle w:val="Standard"/>
              <w:keepNext/>
              <w:keepLines/>
              <w:spacing w:line="240" w:lineRule="auto"/>
              <w:ind w:firstLine="0"/>
              <w:rPr>
                <w:sz w:val="22"/>
              </w:rPr>
            </w:pPr>
            <w:r w:rsidRPr="00A03B40">
              <w:rPr>
                <w:sz w:val="22"/>
              </w:rPr>
              <w:t xml:space="preserve"> 0.28483 </w:t>
            </w:r>
          </w:p>
          <w:p w:rsidRPr="00A03B40" w:rsidR="005B5AFA" w:rsidP="004B121B" w:rsidRDefault="005B5AFA" w14:paraId="5192DB68" w14:textId="77777777">
            <w:pPr>
              <w:pStyle w:val="Standard"/>
              <w:keepNext/>
              <w:keepLines/>
              <w:spacing w:line="240" w:lineRule="auto"/>
              <w:ind w:firstLine="0"/>
              <w:rPr>
                <w:sz w:val="22"/>
              </w:rPr>
            </w:pPr>
            <w:r w:rsidRPr="00A03B40">
              <w:rPr>
                <w:sz w:val="22"/>
              </w:rPr>
              <w:t xml:space="preserve"> 0.37548 </w:t>
            </w:r>
          </w:p>
          <w:p w:rsidRPr="00A03B40" w:rsidR="00995B53" w:rsidP="004B121B" w:rsidRDefault="005B5AFA" w14:paraId="5E9587B6" w14:textId="09F80944">
            <w:pPr>
              <w:pStyle w:val="Standard"/>
              <w:keepNext/>
              <w:keepLines/>
              <w:spacing w:line="240" w:lineRule="auto"/>
              <w:ind w:firstLine="0"/>
              <w:rPr>
                <w:sz w:val="22"/>
              </w:rPr>
            </w:pPr>
            <w:r w:rsidRPr="00A03B40">
              <w:rPr>
                <w:sz w:val="22"/>
              </w:rPr>
              <w:t xml:space="preserve"> 0.36991</w:t>
            </w:r>
          </w:p>
        </w:tc>
        <w:tc>
          <w:tcPr>
            <w:tcW w:w="1468" w:type="dxa"/>
          </w:tcPr>
          <w:p w:rsidRPr="00A03B40" w:rsidR="005B5AFA" w:rsidP="004B121B" w:rsidRDefault="005B5AFA" w14:paraId="746DCA18" w14:textId="77777777">
            <w:pPr>
              <w:pStyle w:val="Standard"/>
              <w:keepNext/>
              <w:keepLines/>
              <w:spacing w:line="240" w:lineRule="auto"/>
              <w:ind w:firstLine="0"/>
              <w:rPr>
                <w:sz w:val="22"/>
              </w:rPr>
            </w:pPr>
          </w:p>
          <w:p w:rsidRPr="00A03B40" w:rsidR="005B5AFA" w:rsidP="004B121B" w:rsidRDefault="005B5AFA" w14:paraId="5221271C" w14:textId="32C61704">
            <w:pPr>
              <w:pStyle w:val="Standard"/>
              <w:keepNext/>
              <w:keepLines/>
              <w:spacing w:line="240" w:lineRule="auto"/>
              <w:ind w:firstLine="0"/>
              <w:rPr>
                <w:sz w:val="22"/>
              </w:rPr>
            </w:pPr>
            <w:r w:rsidRPr="00A03B40">
              <w:rPr>
                <w:sz w:val="22"/>
              </w:rPr>
              <w:t>-3.0%</w:t>
            </w:r>
          </w:p>
          <w:p w:rsidRPr="00A03B40" w:rsidR="005B5AFA" w:rsidP="004B121B" w:rsidRDefault="005B5AFA" w14:paraId="5CE6306A" w14:textId="77777777">
            <w:pPr>
              <w:pStyle w:val="Standard"/>
              <w:keepNext/>
              <w:keepLines/>
              <w:spacing w:line="240" w:lineRule="auto"/>
              <w:ind w:firstLine="0"/>
              <w:rPr>
                <w:sz w:val="22"/>
              </w:rPr>
            </w:pPr>
            <w:r w:rsidRPr="00A03B40">
              <w:rPr>
                <w:sz w:val="22"/>
              </w:rPr>
              <w:t>-3.8%</w:t>
            </w:r>
          </w:p>
          <w:p w:rsidRPr="00A03B40" w:rsidR="005B5AFA" w:rsidP="004B121B" w:rsidRDefault="005B5AFA" w14:paraId="05DC4B25" w14:textId="77777777">
            <w:pPr>
              <w:pStyle w:val="Standard"/>
              <w:keepNext/>
              <w:keepLines/>
              <w:spacing w:line="240" w:lineRule="auto"/>
              <w:ind w:firstLine="0"/>
              <w:rPr>
                <w:sz w:val="22"/>
              </w:rPr>
            </w:pPr>
            <w:r w:rsidRPr="00A03B40">
              <w:rPr>
                <w:sz w:val="22"/>
              </w:rPr>
              <w:t>-3.4%</w:t>
            </w:r>
          </w:p>
          <w:p w:rsidRPr="00A03B40" w:rsidR="005B5AFA" w:rsidP="004B121B" w:rsidRDefault="005B5AFA" w14:paraId="6F3B8ED9" w14:textId="77777777">
            <w:pPr>
              <w:pStyle w:val="Standard"/>
              <w:keepNext/>
              <w:keepLines/>
              <w:spacing w:line="240" w:lineRule="auto"/>
              <w:ind w:firstLine="0"/>
              <w:rPr>
                <w:sz w:val="22"/>
              </w:rPr>
            </w:pPr>
            <w:r w:rsidRPr="00A03B40">
              <w:rPr>
                <w:sz w:val="22"/>
              </w:rPr>
              <w:t>-3.0%</w:t>
            </w:r>
          </w:p>
          <w:p w:rsidRPr="00A03B40" w:rsidR="005B5AFA" w:rsidP="004B121B" w:rsidRDefault="005B5AFA" w14:paraId="5AE414D0" w14:textId="77777777">
            <w:pPr>
              <w:pStyle w:val="Standard"/>
              <w:keepNext/>
              <w:keepLines/>
              <w:spacing w:line="240" w:lineRule="auto"/>
              <w:ind w:firstLine="0"/>
              <w:rPr>
                <w:sz w:val="22"/>
              </w:rPr>
            </w:pPr>
            <w:r w:rsidRPr="00A03B40">
              <w:rPr>
                <w:sz w:val="22"/>
              </w:rPr>
              <w:t>-4.7%</w:t>
            </w:r>
          </w:p>
          <w:p w:rsidRPr="00A03B40" w:rsidR="00995B53" w:rsidP="004B121B" w:rsidRDefault="005B5AFA" w14:paraId="29842BDB" w14:textId="7AFF64AC">
            <w:pPr>
              <w:pStyle w:val="Standard"/>
              <w:keepNext/>
              <w:keepLines/>
              <w:spacing w:line="240" w:lineRule="auto"/>
              <w:ind w:firstLine="0"/>
              <w:rPr>
                <w:sz w:val="22"/>
              </w:rPr>
            </w:pPr>
            <w:r w:rsidRPr="00A03B40">
              <w:rPr>
                <w:sz w:val="22"/>
              </w:rPr>
              <w:t>-5.0%</w:t>
            </w:r>
          </w:p>
        </w:tc>
      </w:tr>
      <w:tr w:rsidRPr="00A03B40" w:rsidR="00995B53" w:rsidTr="00105E15" w14:paraId="6133C7EC" w14:textId="77777777">
        <w:tc>
          <w:tcPr>
            <w:tcW w:w="3739" w:type="dxa"/>
          </w:tcPr>
          <w:p w:rsidRPr="00A03B40" w:rsidR="00995B53" w:rsidP="005B5AFA" w:rsidRDefault="00995B53" w14:paraId="03691EEE" w14:textId="77777777">
            <w:pPr>
              <w:pStyle w:val="Standard"/>
              <w:spacing w:line="240" w:lineRule="auto"/>
              <w:ind w:firstLine="0"/>
              <w:rPr>
                <w:b/>
                <w:bCs/>
                <w:sz w:val="22"/>
              </w:rPr>
            </w:pPr>
            <w:r w:rsidRPr="00A03B40">
              <w:rPr>
                <w:b/>
                <w:bCs/>
                <w:sz w:val="22"/>
              </w:rPr>
              <w:t xml:space="preserve">Lighting-Small, Med. Power </w:t>
            </w:r>
          </w:p>
          <w:p w:rsidRPr="00A03B40" w:rsidR="00995B53" w:rsidP="00C44216" w:rsidRDefault="00995B53" w14:paraId="72D43CD1" w14:textId="77777777">
            <w:pPr>
              <w:pStyle w:val="Standard"/>
              <w:numPr>
                <w:ilvl w:val="0"/>
                <w:numId w:val="13"/>
              </w:numPr>
              <w:spacing w:line="240" w:lineRule="auto"/>
              <w:ind w:left="522"/>
              <w:rPr>
                <w:sz w:val="22"/>
              </w:rPr>
            </w:pPr>
            <w:r w:rsidRPr="00A03B40">
              <w:rPr>
                <w:sz w:val="22"/>
              </w:rPr>
              <w:t xml:space="preserve">GS-1 </w:t>
            </w:r>
          </w:p>
          <w:p w:rsidRPr="00A03B40" w:rsidR="00995B53" w:rsidP="00C44216" w:rsidRDefault="00995B53" w14:paraId="532E0C25" w14:textId="77777777">
            <w:pPr>
              <w:pStyle w:val="Standard"/>
              <w:numPr>
                <w:ilvl w:val="0"/>
                <w:numId w:val="13"/>
              </w:numPr>
              <w:spacing w:line="240" w:lineRule="auto"/>
              <w:ind w:left="522"/>
              <w:rPr>
                <w:sz w:val="22"/>
              </w:rPr>
            </w:pPr>
            <w:r w:rsidRPr="00A03B40">
              <w:rPr>
                <w:sz w:val="22"/>
              </w:rPr>
              <w:t>GS-2</w:t>
            </w:r>
          </w:p>
          <w:p w:rsidRPr="00A03B40" w:rsidR="00995B53" w:rsidP="00C44216" w:rsidRDefault="00995B53" w14:paraId="2894C8C6" w14:textId="77777777">
            <w:pPr>
              <w:pStyle w:val="Standard"/>
              <w:numPr>
                <w:ilvl w:val="0"/>
                <w:numId w:val="13"/>
              </w:numPr>
              <w:spacing w:line="240" w:lineRule="auto"/>
              <w:ind w:left="522"/>
              <w:rPr>
                <w:sz w:val="22"/>
              </w:rPr>
            </w:pPr>
            <w:r w:rsidRPr="00A03B40">
              <w:rPr>
                <w:sz w:val="22"/>
              </w:rPr>
              <w:t xml:space="preserve">TC-1 </w:t>
            </w:r>
          </w:p>
          <w:p w:rsidRPr="00A03B40" w:rsidR="00995B53" w:rsidP="00C44216" w:rsidRDefault="00995B53" w14:paraId="6EE72BE5" w14:textId="77777777">
            <w:pPr>
              <w:pStyle w:val="Standard"/>
              <w:numPr>
                <w:ilvl w:val="0"/>
                <w:numId w:val="13"/>
              </w:numPr>
              <w:spacing w:line="240" w:lineRule="auto"/>
              <w:ind w:left="522"/>
              <w:rPr>
                <w:sz w:val="22"/>
              </w:rPr>
            </w:pPr>
            <w:r w:rsidRPr="00A03B40">
              <w:rPr>
                <w:sz w:val="22"/>
              </w:rPr>
              <w:t>TOU-GS</w:t>
            </w:r>
          </w:p>
        </w:tc>
        <w:tc>
          <w:tcPr>
            <w:tcW w:w="1467" w:type="dxa"/>
          </w:tcPr>
          <w:p w:rsidRPr="00A03B40" w:rsidR="00995B53" w:rsidP="005B5AFA" w:rsidRDefault="00995B53" w14:paraId="12E6BB09" w14:textId="77777777">
            <w:pPr>
              <w:pStyle w:val="Standard"/>
              <w:spacing w:line="240" w:lineRule="auto"/>
              <w:ind w:firstLine="0"/>
              <w:rPr>
                <w:sz w:val="22"/>
              </w:rPr>
            </w:pPr>
          </w:p>
          <w:p w:rsidRPr="00A03B40" w:rsidR="005B5AFA" w:rsidP="005B5AFA" w:rsidRDefault="005B5AFA" w14:paraId="4BDC7393" w14:textId="7CF4B195">
            <w:pPr>
              <w:pStyle w:val="Standard"/>
              <w:spacing w:line="240" w:lineRule="auto"/>
              <w:ind w:firstLine="0"/>
              <w:rPr>
                <w:sz w:val="22"/>
              </w:rPr>
            </w:pPr>
            <w:r w:rsidRPr="00A03B40">
              <w:rPr>
                <w:sz w:val="22"/>
              </w:rPr>
              <w:t xml:space="preserve"> 0.18477 </w:t>
            </w:r>
          </w:p>
          <w:p w:rsidRPr="00A03B40" w:rsidR="005B5AFA" w:rsidP="005B5AFA" w:rsidRDefault="005B5AFA" w14:paraId="634AACF6" w14:textId="77777777">
            <w:pPr>
              <w:pStyle w:val="Standard"/>
              <w:spacing w:line="240" w:lineRule="auto"/>
              <w:ind w:firstLine="0"/>
              <w:rPr>
                <w:sz w:val="22"/>
              </w:rPr>
            </w:pPr>
            <w:r w:rsidRPr="00A03B40">
              <w:rPr>
                <w:sz w:val="22"/>
              </w:rPr>
              <w:t xml:space="preserve"> 0.21500 </w:t>
            </w:r>
          </w:p>
          <w:p w:rsidRPr="00A03B40" w:rsidR="005B5AFA" w:rsidP="005B5AFA" w:rsidRDefault="005B5AFA" w14:paraId="42DA3C0C" w14:textId="77777777">
            <w:pPr>
              <w:pStyle w:val="Standard"/>
              <w:spacing w:line="240" w:lineRule="auto"/>
              <w:ind w:firstLine="0"/>
              <w:rPr>
                <w:sz w:val="22"/>
              </w:rPr>
            </w:pPr>
            <w:r w:rsidRPr="00A03B40">
              <w:rPr>
                <w:sz w:val="22"/>
              </w:rPr>
              <w:t xml:space="preserve"> 0.27593 </w:t>
            </w:r>
          </w:p>
          <w:p w:rsidRPr="00A03B40" w:rsidR="005B5AFA" w:rsidP="005B5AFA" w:rsidRDefault="005B5AFA" w14:paraId="358BD379" w14:textId="493E7AAA">
            <w:pPr>
              <w:pStyle w:val="Standard"/>
              <w:spacing w:line="240" w:lineRule="auto"/>
              <w:ind w:firstLine="0"/>
              <w:rPr>
                <w:sz w:val="22"/>
              </w:rPr>
            </w:pPr>
            <w:r w:rsidRPr="00A03B40">
              <w:rPr>
                <w:sz w:val="22"/>
              </w:rPr>
              <w:t xml:space="preserve"> 0.17795</w:t>
            </w:r>
          </w:p>
        </w:tc>
        <w:tc>
          <w:tcPr>
            <w:tcW w:w="1467" w:type="dxa"/>
          </w:tcPr>
          <w:p w:rsidRPr="00A03B40" w:rsidR="005B5AFA" w:rsidP="005B5AFA" w:rsidRDefault="005B5AFA" w14:paraId="52664E5C" w14:textId="77777777">
            <w:pPr>
              <w:pStyle w:val="Standard"/>
              <w:spacing w:line="240" w:lineRule="auto"/>
              <w:ind w:firstLine="0"/>
              <w:rPr>
                <w:sz w:val="22"/>
              </w:rPr>
            </w:pPr>
            <w:r w:rsidRPr="00A03B40">
              <w:rPr>
                <w:sz w:val="22"/>
              </w:rPr>
              <w:t xml:space="preserve"> </w:t>
            </w:r>
          </w:p>
          <w:p w:rsidRPr="00A03B40" w:rsidR="005B5AFA" w:rsidP="005B5AFA" w:rsidRDefault="005B5AFA" w14:paraId="039FC4EF" w14:textId="39D8F836">
            <w:pPr>
              <w:pStyle w:val="Standard"/>
              <w:spacing w:line="240" w:lineRule="auto"/>
              <w:ind w:firstLine="0"/>
              <w:rPr>
                <w:sz w:val="22"/>
              </w:rPr>
            </w:pPr>
            <w:r w:rsidRPr="00A03B40">
              <w:rPr>
                <w:sz w:val="22"/>
              </w:rPr>
              <w:t xml:space="preserve"> 0.11132 </w:t>
            </w:r>
          </w:p>
          <w:p w:rsidRPr="00A03B40" w:rsidR="005B5AFA" w:rsidP="005B5AFA" w:rsidRDefault="005B5AFA" w14:paraId="2352BE72" w14:textId="77777777">
            <w:pPr>
              <w:pStyle w:val="Standard"/>
              <w:spacing w:line="240" w:lineRule="auto"/>
              <w:ind w:firstLine="0"/>
              <w:rPr>
                <w:sz w:val="22"/>
              </w:rPr>
            </w:pPr>
            <w:r w:rsidRPr="00A03B40">
              <w:rPr>
                <w:sz w:val="22"/>
              </w:rPr>
              <w:t xml:space="preserve"> 0.10031 </w:t>
            </w:r>
          </w:p>
          <w:p w:rsidRPr="00A03B40" w:rsidR="005B5AFA" w:rsidP="005B5AFA" w:rsidRDefault="005B5AFA" w14:paraId="3860E90A" w14:textId="77777777">
            <w:pPr>
              <w:pStyle w:val="Standard"/>
              <w:spacing w:line="240" w:lineRule="auto"/>
              <w:ind w:firstLine="0"/>
              <w:rPr>
                <w:sz w:val="22"/>
              </w:rPr>
            </w:pPr>
            <w:r w:rsidRPr="00A03B40">
              <w:rPr>
                <w:sz w:val="22"/>
              </w:rPr>
              <w:t xml:space="preserve"> 0.08995 </w:t>
            </w:r>
          </w:p>
          <w:p w:rsidRPr="00A03B40" w:rsidR="00995B53" w:rsidP="005B5AFA" w:rsidRDefault="005B5AFA" w14:paraId="503C965B" w14:textId="78D9055D">
            <w:pPr>
              <w:pStyle w:val="Standard"/>
              <w:spacing w:line="240" w:lineRule="auto"/>
              <w:ind w:firstLine="0"/>
              <w:rPr>
                <w:sz w:val="22"/>
              </w:rPr>
            </w:pPr>
            <w:r w:rsidRPr="00A03B40">
              <w:rPr>
                <w:sz w:val="22"/>
              </w:rPr>
              <w:t xml:space="preserve"> 0.09057</w:t>
            </w:r>
          </w:p>
        </w:tc>
        <w:tc>
          <w:tcPr>
            <w:tcW w:w="1467" w:type="dxa"/>
          </w:tcPr>
          <w:p w:rsidRPr="00A03B40" w:rsidR="005B5AFA" w:rsidP="005B5AFA" w:rsidRDefault="005B5AFA" w14:paraId="6F26BB3F" w14:textId="77777777">
            <w:pPr>
              <w:pStyle w:val="Standard"/>
              <w:spacing w:line="240" w:lineRule="auto"/>
              <w:ind w:firstLine="0"/>
              <w:rPr>
                <w:sz w:val="22"/>
              </w:rPr>
            </w:pPr>
          </w:p>
          <w:p w:rsidRPr="00A03B40" w:rsidR="005B5AFA" w:rsidP="005B5AFA" w:rsidRDefault="005B5AFA" w14:paraId="61A785CD" w14:textId="3BEA64F6">
            <w:pPr>
              <w:pStyle w:val="Standard"/>
              <w:spacing w:line="240" w:lineRule="auto"/>
              <w:ind w:firstLine="0"/>
              <w:rPr>
                <w:sz w:val="22"/>
              </w:rPr>
            </w:pPr>
            <w:r w:rsidRPr="00A03B40">
              <w:rPr>
                <w:sz w:val="22"/>
              </w:rPr>
              <w:t xml:space="preserve"> 0.29609 </w:t>
            </w:r>
          </w:p>
          <w:p w:rsidRPr="00A03B40" w:rsidR="005B5AFA" w:rsidP="005B5AFA" w:rsidRDefault="005B5AFA" w14:paraId="72C502A1" w14:textId="77777777">
            <w:pPr>
              <w:pStyle w:val="Standard"/>
              <w:spacing w:line="240" w:lineRule="auto"/>
              <w:ind w:firstLine="0"/>
              <w:rPr>
                <w:sz w:val="22"/>
              </w:rPr>
            </w:pPr>
            <w:r w:rsidRPr="00A03B40">
              <w:rPr>
                <w:sz w:val="22"/>
              </w:rPr>
              <w:t xml:space="preserve"> 0.31531 </w:t>
            </w:r>
          </w:p>
          <w:p w:rsidRPr="00A03B40" w:rsidR="005B5AFA" w:rsidP="005B5AFA" w:rsidRDefault="005B5AFA" w14:paraId="0B02CFAE" w14:textId="77777777">
            <w:pPr>
              <w:pStyle w:val="Standard"/>
              <w:spacing w:line="240" w:lineRule="auto"/>
              <w:ind w:firstLine="0"/>
              <w:rPr>
                <w:sz w:val="22"/>
              </w:rPr>
            </w:pPr>
            <w:r w:rsidRPr="00A03B40">
              <w:rPr>
                <w:sz w:val="22"/>
              </w:rPr>
              <w:t xml:space="preserve"> 0.36588 </w:t>
            </w:r>
          </w:p>
          <w:p w:rsidRPr="00A03B40" w:rsidR="00995B53" w:rsidP="005B5AFA" w:rsidRDefault="005B5AFA" w14:paraId="3F611340" w14:textId="05E5FCFD">
            <w:pPr>
              <w:pStyle w:val="Standard"/>
              <w:spacing w:line="240" w:lineRule="auto"/>
              <w:ind w:firstLine="0"/>
              <w:rPr>
                <w:sz w:val="22"/>
              </w:rPr>
            </w:pPr>
            <w:r w:rsidRPr="00A03B40">
              <w:rPr>
                <w:sz w:val="22"/>
              </w:rPr>
              <w:t xml:space="preserve"> 0.26852</w:t>
            </w:r>
          </w:p>
        </w:tc>
        <w:tc>
          <w:tcPr>
            <w:tcW w:w="1468" w:type="dxa"/>
          </w:tcPr>
          <w:p w:rsidRPr="00A03B40" w:rsidR="005B5AFA" w:rsidP="005B5AFA" w:rsidRDefault="005B5AFA" w14:paraId="26BCF5D2" w14:textId="77777777">
            <w:pPr>
              <w:pStyle w:val="Standard"/>
              <w:spacing w:line="240" w:lineRule="auto"/>
              <w:ind w:firstLine="0"/>
              <w:rPr>
                <w:sz w:val="22"/>
              </w:rPr>
            </w:pPr>
          </w:p>
          <w:p w:rsidRPr="00A03B40" w:rsidR="005B5AFA" w:rsidP="005B5AFA" w:rsidRDefault="005B5AFA" w14:paraId="7CB1BF0E" w14:textId="4008A55F">
            <w:pPr>
              <w:pStyle w:val="Standard"/>
              <w:spacing w:line="240" w:lineRule="auto"/>
              <w:ind w:firstLine="0"/>
              <w:rPr>
                <w:sz w:val="22"/>
              </w:rPr>
            </w:pPr>
            <w:r w:rsidRPr="00A03B40">
              <w:rPr>
                <w:sz w:val="22"/>
              </w:rPr>
              <w:t>-4.8%</w:t>
            </w:r>
          </w:p>
          <w:p w:rsidRPr="00A03B40" w:rsidR="005B5AFA" w:rsidP="005B5AFA" w:rsidRDefault="005B5AFA" w14:paraId="49FB7D30" w14:textId="77777777">
            <w:pPr>
              <w:pStyle w:val="Standard"/>
              <w:spacing w:line="240" w:lineRule="auto"/>
              <w:ind w:firstLine="0"/>
              <w:rPr>
                <w:sz w:val="22"/>
              </w:rPr>
            </w:pPr>
            <w:r w:rsidRPr="00A03B40">
              <w:rPr>
                <w:sz w:val="22"/>
              </w:rPr>
              <w:t>-5.1%</w:t>
            </w:r>
          </w:p>
          <w:p w:rsidRPr="00A03B40" w:rsidR="005B5AFA" w:rsidP="005B5AFA" w:rsidRDefault="005B5AFA" w14:paraId="4FFE7314" w14:textId="77777777">
            <w:pPr>
              <w:pStyle w:val="Standard"/>
              <w:spacing w:line="240" w:lineRule="auto"/>
              <w:ind w:firstLine="0"/>
              <w:rPr>
                <w:sz w:val="22"/>
              </w:rPr>
            </w:pPr>
            <w:r w:rsidRPr="00A03B40">
              <w:rPr>
                <w:sz w:val="22"/>
              </w:rPr>
              <w:t>-4.2%</w:t>
            </w:r>
          </w:p>
          <w:p w:rsidRPr="00A03B40" w:rsidR="00995B53" w:rsidP="005B5AFA" w:rsidRDefault="005B5AFA" w14:paraId="0A2C5133" w14:textId="6F919B88">
            <w:pPr>
              <w:pStyle w:val="Standard"/>
              <w:spacing w:line="240" w:lineRule="auto"/>
              <w:ind w:firstLine="0"/>
              <w:rPr>
                <w:sz w:val="22"/>
              </w:rPr>
            </w:pPr>
            <w:r w:rsidRPr="00A03B40">
              <w:rPr>
                <w:sz w:val="22"/>
              </w:rPr>
              <w:t>-5.4%</w:t>
            </w:r>
          </w:p>
        </w:tc>
      </w:tr>
      <w:tr w:rsidRPr="00A03B40" w:rsidR="00995B53" w:rsidTr="00105E15" w14:paraId="181B971A" w14:textId="77777777">
        <w:tc>
          <w:tcPr>
            <w:tcW w:w="3739" w:type="dxa"/>
          </w:tcPr>
          <w:p w:rsidRPr="00A03B40" w:rsidR="00995B53" w:rsidP="005B5AFA" w:rsidRDefault="00995B53" w14:paraId="1A89A3FE" w14:textId="77777777">
            <w:pPr>
              <w:pStyle w:val="Standard"/>
              <w:spacing w:line="240" w:lineRule="auto"/>
              <w:ind w:firstLine="0"/>
              <w:rPr>
                <w:b/>
                <w:bCs/>
                <w:sz w:val="22"/>
              </w:rPr>
            </w:pPr>
            <w:r w:rsidRPr="00A03B40">
              <w:rPr>
                <w:b/>
                <w:bCs/>
                <w:sz w:val="22"/>
              </w:rPr>
              <w:t xml:space="preserve">Large Power </w:t>
            </w:r>
          </w:p>
          <w:p w:rsidRPr="00A03B40" w:rsidR="00995B53" w:rsidP="00C44216" w:rsidRDefault="00995B53" w14:paraId="2D651965" w14:textId="77777777">
            <w:pPr>
              <w:pStyle w:val="Standard"/>
              <w:numPr>
                <w:ilvl w:val="0"/>
                <w:numId w:val="14"/>
              </w:numPr>
              <w:spacing w:line="240" w:lineRule="auto"/>
              <w:ind w:left="522"/>
              <w:rPr>
                <w:sz w:val="22"/>
              </w:rPr>
            </w:pPr>
            <w:r w:rsidRPr="00A03B40">
              <w:rPr>
                <w:sz w:val="22"/>
              </w:rPr>
              <w:t xml:space="preserve">TOU-8-S </w:t>
            </w:r>
          </w:p>
          <w:p w:rsidRPr="00A03B40" w:rsidR="00995B53" w:rsidP="00C44216" w:rsidRDefault="00995B53" w14:paraId="1A8C1488" w14:textId="77777777">
            <w:pPr>
              <w:pStyle w:val="Standard"/>
              <w:numPr>
                <w:ilvl w:val="0"/>
                <w:numId w:val="14"/>
              </w:numPr>
              <w:spacing w:line="240" w:lineRule="auto"/>
              <w:ind w:left="522"/>
              <w:rPr>
                <w:sz w:val="22"/>
              </w:rPr>
            </w:pPr>
            <w:r w:rsidRPr="00A03B40">
              <w:rPr>
                <w:sz w:val="22"/>
              </w:rPr>
              <w:t xml:space="preserve">TOU-8-P </w:t>
            </w:r>
          </w:p>
          <w:p w:rsidRPr="00A03B40" w:rsidR="00995B53" w:rsidP="00C44216" w:rsidRDefault="00995B53" w14:paraId="0AFC5AE9" w14:textId="77777777">
            <w:pPr>
              <w:pStyle w:val="Standard"/>
              <w:numPr>
                <w:ilvl w:val="0"/>
                <w:numId w:val="14"/>
              </w:numPr>
              <w:spacing w:line="240" w:lineRule="auto"/>
              <w:ind w:left="522"/>
              <w:rPr>
                <w:sz w:val="22"/>
              </w:rPr>
            </w:pPr>
            <w:r w:rsidRPr="00A03B40">
              <w:rPr>
                <w:sz w:val="22"/>
              </w:rPr>
              <w:t xml:space="preserve">TOU-8-T </w:t>
            </w:r>
          </w:p>
          <w:p w:rsidRPr="00A03B40" w:rsidR="00995B53" w:rsidP="00C44216" w:rsidRDefault="00995B53" w14:paraId="0E384449" w14:textId="77777777">
            <w:pPr>
              <w:pStyle w:val="Standard"/>
              <w:numPr>
                <w:ilvl w:val="0"/>
                <w:numId w:val="14"/>
              </w:numPr>
              <w:spacing w:line="240" w:lineRule="auto"/>
              <w:ind w:left="522"/>
              <w:rPr>
                <w:sz w:val="22"/>
              </w:rPr>
            </w:pPr>
            <w:r w:rsidRPr="00A03B40">
              <w:rPr>
                <w:sz w:val="22"/>
              </w:rPr>
              <w:t xml:space="preserve">TOU-8-S-S </w:t>
            </w:r>
          </w:p>
          <w:p w:rsidRPr="00A03B40" w:rsidR="00995B53" w:rsidP="00C44216" w:rsidRDefault="00995B53" w14:paraId="1FA05B5F" w14:textId="77777777">
            <w:pPr>
              <w:pStyle w:val="Standard"/>
              <w:numPr>
                <w:ilvl w:val="0"/>
                <w:numId w:val="14"/>
              </w:numPr>
              <w:spacing w:line="240" w:lineRule="auto"/>
              <w:ind w:left="522"/>
              <w:rPr>
                <w:sz w:val="22"/>
              </w:rPr>
            </w:pPr>
            <w:r w:rsidRPr="00A03B40">
              <w:rPr>
                <w:sz w:val="22"/>
              </w:rPr>
              <w:t xml:space="preserve">TOU-8-S-P </w:t>
            </w:r>
          </w:p>
          <w:p w:rsidRPr="00A03B40" w:rsidR="00995B53" w:rsidP="00C44216" w:rsidRDefault="00995B53" w14:paraId="65DDFD7D" w14:textId="77777777">
            <w:pPr>
              <w:pStyle w:val="Standard"/>
              <w:numPr>
                <w:ilvl w:val="0"/>
                <w:numId w:val="14"/>
              </w:numPr>
              <w:spacing w:line="240" w:lineRule="auto"/>
              <w:ind w:left="522"/>
              <w:rPr>
                <w:sz w:val="22"/>
              </w:rPr>
            </w:pPr>
            <w:r w:rsidRPr="00A03B40">
              <w:rPr>
                <w:sz w:val="22"/>
              </w:rPr>
              <w:t>TOU-8-S-T</w:t>
            </w:r>
          </w:p>
        </w:tc>
        <w:tc>
          <w:tcPr>
            <w:tcW w:w="1467" w:type="dxa"/>
          </w:tcPr>
          <w:p w:rsidRPr="00A03B40" w:rsidR="00D85736" w:rsidP="00D85736" w:rsidRDefault="00D85736" w14:paraId="73C34B67" w14:textId="77777777">
            <w:pPr>
              <w:pStyle w:val="Standard"/>
              <w:spacing w:line="240" w:lineRule="auto"/>
              <w:ind w:firstLine="0"/>
              <w:rPr>
                <w:sz w:val="22"/>
              </w:rPr>
            </w:pPr>
          </w:p>
          <w:p w:rsidRPr="00A03B40" w:rsidR="00D85736" w:rsidP="00D85736" w:rsidRDefault="00D85736" w14:paraId="3D5CB466" w14:textId="26309200">
            <w:pPr>
              <w:pStyle w:val="Standard"/>
              <w:spacing w:line="240" w:lineRule="auto"/>
              <w:ind w:firstLine="0"/>
              <w:rPr>
                <w:sz w:val="22"/>
              </w:rPr>
            </w:pPr>
            <w:r w:rsidRPr="00A03B40">
              <w:rPr>
                <w:sz w:val="22"/>
              </w:rPr>
              <w:t xml:space="preserve"> 0.15817 </w:t>
            </w:r>
          </w:p>
          <w:p w:rsidRPr="00A03B40" w:rsidR="00D85736" w:rsidP="00D85736" w:rsidRDefault="00D85736" w14:paraId="288184B9" w14:textId="77777777">
            <w:pPr>
              <w:pStyle w:val="Standard"/>
              <w:spacing w:line="240" w:lineRule="auto"/>
              <w:ind w:firstLine="0"/>
              <w:rPr>
                <w:sz w:val="22"/>
              </w:rPr>
            </w:pPr>
            <w:r w:rsidRPr="00A03B40">
              <w:rPr>
                <w:sz w:val="22"/>
              </w:rPr>
              <w:t xml:space="preserve"> 0.13680 </w:t>
            </w:r>
          </w:p>
          <w:p w:rsidRPr="00A03B40" w:rsidR="00D85736" w:rsidP="00D85736" w:rsidRDefault="00D85736" w14:paraId="0BCD749E" w14:textId="77777777">
            <w:pPr>
              <w:pStyle w:val="Standard"/>
              <w:spacing w:line="240" w:lineRule="auto"/>
              <w:ind w:firstLine="0"/>
              <w:rPr>
                <w:sz w:val="22"/>
              </w:rPr>
            </w:pPr>
            <w:r w:rsidRPr="00A03B40">
              <w:rPr>
                <w:sz w:val="22"/>
              </w:rPr>
              <w:t xml:space="preserve"> 0.05953 </w:t>
            </w:r>
          </w:p>
          <w:p w:rsidRPr="00A03B40" w:rsidR="00D85736" w:rsidP="00D85736" w:rsidRDefault="00D85736" w14:paraId="63FF88D8" w14:textId="77777777">
            <w:pPr>
              <w:pStyle w:val="Standard"/>
              <w:spacing w:line="240" w:lineRule="auto"/>
              <w:ind w:firstLine="0"/>
              <w:rPr>
                <w:sz w:val="22"/>
              </w:rPr>
            </w:pPr>
            <w:r w:rsidRPr="00A03B40">
              <w:rPr>
                <w:sz w:val="22"/>
              </w:rPr>
              <w:t xml:space="preserve"> 0.16793 </w:t>
            </w:r>
          </w:p>
          <w:p w:rsidRPr="00A03B40" w:rsidR="00D85736" w:rsidP="00D85736" w:rsidRDefault="00D85736" w14:paraId="5D31B031" w14:textId="77777777">
            <w:pPr>
              <w:pStyle w:val="Standard"/>
              <w:spacing w:line="240" w:lineRule="auto"/>
              <w:ind w:firstLine="0"/>
              <w:rPr>
                <w:sz w:val="22"/>
              </w:rPr>
            </w:pPr>
            <w:r w:rsidRPr="00A03B40">
              <w:rPr>
                <w:sz w:val="22"/>
              </w:rPr>
              <w:t xml:space="preserve"> 0.13344 </w:t>
            </w:r>
          </w:p>
          <w:p w:rsidRPr="00A03B40" w:rsidR="00995B53" w:rsidP="00D85736" w:rsidRDefault="00D85736" w14:paraId="1052842C" w14:textId="56412CF4">
            <w:pPr>
              <w:pStyle w:val="Standard"/>
              <w:spacing w:line="240" w:lineRule="auto"/>
              <w:ind w:firstLine="0"/>
              <w:rPr>
                <w:sz w:val="22"/>
              </w:rPr>
            </w:pPr>
            <w:r w:rsidRPr="00A03B40">
              <w:rPr>
                <w:sz w:val="22"/>
              </w:rPr>
              <w:t xml:space="preserve"> 0.05176</w:t>
            </w:r>
          </w:p>
        </w:tc>
        <w:tc>
          <w:tcPr>
            <w:tcW w:w="1467" w:type="dxa"/>
          </w:tcPr>
          <w:p w:rsidRPr="00A03B40" w:rsidR="00D85736" w:rsidP="00D85736" w:rsidRDefault="00D85736" w14:paraId="198AE85B" w14:textId="77777777">
            <w:pPr>
              <w:pStyle w:val="Standard"/>
              <w:spacing w:line="240" w:lineRule="auto"/>
              <w:ind w:firstLine="0"/>
              <w:rPr>
                <w:sz w:val="22"/>
              </w:rPr>
            </w:pPr>
          </w:p>
          <w:p w:rsidRPr="00A03B40" w:rsidR="00D85736" w:rsidP="00D85736" w:rsidRDefault="00D85736" w14:paraId="60C68473" w14:textId="01009925">
            <w:pPr>
              <w:pStyle w:val="Standard"/>
              <w:spacing w:line="240" w:lineRule="auto"/>
              <w:ind w:firstLine="0"/>
              <w:rPr>
                <w:sz w:val="22"/>
              </w:rPr>
            </w:pPr>
            <w:r w:rsidRPr="00A03B40">
              <w:rPr>
                <w:sz w:val="22"/>
              </w:rPr>
              <w:t xml:space="preserve"> 0.08638 </w:t>
            </w:r>
          </w:p>
          <w:p w:rsidRPr="00A03B40" w:rsidR="00D85736" w:rsidP="00D85736" w:rsidRDefault="00D85736" w14:paraId="3AD42291" w14:textId="77777777">
            <w:pPr>
              <w:pStyle w:val="Standard"/>
              <w:spacing w:line="240" w:lineRule="auto"/>
              <w:ind w:firstLine="0"/>
              <w:rPr>
                <w:sz w:val="22"/>
              </w:rPr>
            </w:pPr>
            <w:r w:rsidRPr="00A03B40">
              <w:rPr>
                <w:sz w:val="22"/>
              </w:rPr>
              <w:t xml:space="preserve"> 0.08189 </w:t>
            </w:r>
          </w:p>
          <w:p w:rsidRPr="00A03B40" w:rsidR="00D85736" w:rsidP="00D85736" w:rsidRDefault="00D85736" w14:paraId="773EF900" w14:textId="77777777">
            <w:pPr>
              <w:pStyle w:val="Standard"/>
              <w:spacing w:line="240" w:lineRule="auto"/>
              <w:ind w:firstLine="0"/>
              <w:rPr>
                <w:sz w:val="22"/>
              </w:rPr>
            </w:pPr>
            <w:r w:rsidRPr="00A03B40">
              <w:rPr>
                <w:sz w:val="22"/>
              </w:rPr>
              <w:t xml:space="preserve"> 0.07639 </w:t>
            </w:r>
          </w:p>
          <w:p w:rsidRPr="00A03B40" w:rsidR="00D85736" w:rsidP="00D85736" w:rsidRDefault="00D85736" w14:paraId="45E37D85" w14:textId="77777777">
            <w:pPr>
              <w:pStyle w:val="Standard"/>
              <w:spacing w:line="240" w:lineRule="auto"/>
              <w:ind w:firstLine="0"/>
              <w:rPr>
                <w:sz w:val="22"/>
              </w:rPr>
            </w:pPr>
            <w:r w:rsidRPr="00A03B40">
              <w:rPr>
                <w:sz w:val="22"/>
              </w:rPr>
              <w:t xml:space="preserve"> 0.09268 </w:t>
            </w:r>
          </w:p>
          <w:p w:rsidRPr="00A03B40" w:rsidR="00D85736" w:rsidP="00D85736" w:rsidRDefault="00D85736" w14:paraId="43532F5B" w14:textId="77777777">
            <w:pPr>
              <w:pStyle w:val="Standard"/>
              <w:spacing w:line="240" w:lineRule="auto"/>
              <w:ind w:firstLine="0"/>
              <w:rPr>
                <w:sz w:val="22"/>
              </w:rPr>
            </w:pPr>
            <w:r w:rsidRPr="00A03B40">
              <w:rPr>
                <w:sz w:val="22"/>
              </w:rPr>
              <w:t xml:space="preserve"> 0.08080 </w:t>
            </w:r>
          </w:p>
          <w:p w:rsidRPr="00A03B40" w:rsidR="00995B53" w:rsidP="00D85736" w:rsidRDefault="00D85736" w14:paraId="48A544B4" w14:textId="694CA04E">
            <w:pPr>
              <w:pStyle w:val="Standard"/>
              <w:spacing w:line="240" w:lineRule="auto"/>
              <w:ind w:firstLine="0"/>
              <w:rPr>
                <w:sz w:val="22"/>
              </w:rPr>
            </w:pPr>
            <w:r w:rsidRPr="00A03B40">
              <w:rPr>
                <w:sz w:val="22"/>
              </w:rPr>
              <w:t xml:space="preserve"> 0.07230</w:t>
            </w:r>
          </w:p>
        </w:tc>
        <w:tc>
          <w:tcPr>
            <w:tcW w:w="1467" w:type="dxa"/>
          </w:tcPr>
          <w:p w:rsidRPr="00A03B40" w:rsidR="00D85736" w:rsidP="00D85736" w:rsidRDefault="00D85736" w14:paraId="05C56351" w14:textId="77777777">
            <w:pPr>
              <w:pStyle w:val="Standard"/>
              <w:spacing w:line="240" w:lineRule="auto"/>
              <w:ind w:firstLine="0"/>
              <w:rPr>
                <w:sz w:val="22"/>
              </w:rPr>
            </w:pPr>
          </w:p>
          <w:p w:rsidRPr="00A03B40" w:rsidR="00D85736" w:rsidP="00D85736" w:rsidRDefault="00D85736" w14:paraId="7B9F365F" w14:textId="007FD92F">
            <w:pPr>
              <w:pStyle w:val="Standard"/>
              <w:spacing w:line="240" w:lineRule="auto"/>
              <w:ind w:firstLine="0"/>
              <w:rPr>
                <w:sz w:val="22"/>
              </w:rPr>
            </w:pPr>
            <w:r w:rsidRPr="00A03B40">
              <w:rPr>
                <w:sz w:val="22"/>
              </w:rPr>
              <w:t xml:space="preserve"> 0.24455 </w:t>
            </w:r>
          </w:p>
          <w:p w:rsidRPr="00A03B40" w:rsidR="00D85736" w:rsidP="00D85736" w:rsidRDefault="00D85736" w14:paraId="25F5E355" w14:textId="77777777">
            <w:pPr>
              <w:pStyle w:val="Standard"/>
              <w:spacing w:line="240" w:lineRule="auto"/>
              <w:ind w:firstLine="0"/>
              <w:rPr>
                <w:sz w:val="22"/>
              </w:rPr>
            </w:pPr>
            <w:r w:rsidRPr="00A03B40">
              <w:rPr>
                <w:sz w:val="22"/>
              </w:rPr>
              <w:t xml:space="preserve"> 0.21869 </w:t>
            </w:r>
          </w:p>
          <w:p w:rsidRPr="00A03B40" w:rsidR="00D85736" w:rsidP="00D85736" w:rsidRDefault="00D85736" w14:paraId="651F016E" w14:textId="77777777">
            <w:pPr>
              <w:pStyle w:val="Standard"/>
              <w:spacing w:line="240" w:lineRule="auto"/>
              <w:ind w:firstLine="0"/>
              <w:rPr>
                <w:sz w:val="22"/>
              </w:rPr>
            </w:pPr>
            <w:r w:rsidRPr="00A03B40">
              <w:rPr>
                <w:sz w:val="22"/>
              </w:rPr>
              <w:t xml:space="preserve"> 0.13592 </w:t>
            </w:r>
          </w:p>
          <w:p w:rsidRPr="00A03B40" w:rsidR="00D85736" w:rsidP="00D85736" w:rsidRDefault="00D85736" w14:paraId="7186B2B9" w14:textId="77777777">
            <w:pPr>
              <w:pStyle w:val="Standard"/>
              <w:spacing w:line="240" w:lineRule="auto"/>
              <w:ind w:firstLine="0"/>
              <w:rPr>
                <w:sz w:val="22"/>
              </w:rPr>
            </w:pPr>
            <w:r w:rsidRPr="00A03B40">
              <w:rPr>
                <w:sz w:val="22"/>
              </w:rPr>
              <w:t xml:space="preserve"> 0.26061 </w:t>
            </w:r>
          </w:p>
          <w:p w:rsidRPr="00A03B40" w:rsidR="00D85736" w:rsidP="00D85736" w:rsidRDefault="00D85736" w14:paraId="57835446" w14:textId="77777777">
            <w:pPr>
              <w:pStyle w:val="Standard"/>
              <w:spacing w:line="240" w:lineRule="auto"/>
              <w:ind w:firstLine="0"/>
              <w:rPr>
                <w:sz w:val="22"/>
              </w:rPr>
            </w:pPr>
            <w:r w:rsidRPr="00A03B40">
              <w:rPr>
                <w:sz w:val="22"/>
              </w:rPr>
              <w:t xml:space="preserve"> 0.21424 </w:t>
            </w:r>
          </w:p>
          <w:p w:rsidRPr="00A03B40" w:rsidR="00995B53" w:rsidP="00D85736" w:rsidRDefault="00D85736" w14:paraId="07499A7D" w14:textId="6444DF03">
            <w:pPr>
              <w:pStyle w:val="Standard"/>
              <w:spacing w:line="240" w:lineRule="auto"/>
              <w:ind w:firstLine="0"/>
              <w:rPr>
                <w:sz w:val="22"/>
              </w:rPr>
            </w:pPr>
            <w:r w:rsidRPr="00A03B40">
              <w:rPr>
                <w:sz w:val="22"/>
              </w:rPr>
              <w:t xml:space="preserve"> 0.12406</w:t>
            </w:r>
          </w:p>
        </w:tc>
        <w:tc>
          <w:tcPr>
            <w:tcW w:w="1468" w:type="dxa"/>
          </w:tcPr>
          <w:p w:rsidRPr="00A03B40" w:rsidR="00D85736" w:rsidP="00D85736" w:rsidRDefault="00D85736" w14:paraId="0BEF02CB" w14:textId="77777777">
            <w:pPr>
              <w:pStyle w:val="Standard"/>
              <w:spacing w:line="240" w:lineRule="auto"/>
              <w:ind w:firstLine="0"/>
              <w:rPr>
                <w:sz w:val="22"/>
              </w:rPr>
            </w:pPr>
          </w:p>
          <w:p w:rsidRPr="00A03B40" w:rsidR="00D85736" w:rsidP="00D85736" w:rsidRDefault="00D85736" w14:paraId="0EE67441" w14:textId="43BB8520">
            <w:pPr>
              <w:pStyle w:val="Standard"/>
              <w:spacing w:line="240" w:lineRule="auto"/>
              <w:ind w:firstLine="0"/>
              <w:rPr>
                <w:sz w:val="22"/>
              </w:rPr>
            </w:pPr>
            <w:r w:rsidRPr="00A03B40">
              <w:rPr>
                <w:sz w:val="22"/>
              </w:rPr>
              <w:t>-5.7%</w:t>
            </w:r>
          </w:p>
          <w:p w:rsidRPr="00A03B40" w:rsidR="00D85736" w:rsidP="00D85736" w:rsidRDefault="00D85736" w14:paraId="3A06971D" w14:textId="77777777">
            <w:pPr>
              <w:pStyle w:val="Standard"/>
              <w:spacing w:line="240" w:lineRule="auto"/>
              <w:ind w:firstLine="0"/>
              <w:rPr>
                <w:sz w:val="22"/>
              </w:rPr>
            </w:pPr>
            <w:r w:rsidRPr="00A03B40">
              <w:rPr>
                <w:sz w:val="22"/>
              </w:rPr>
              <w:t>-5.9%</w:t>
            </w:r>
          </w:p>
          <w:p w:rsidRPr="00A03B40" w:rsidR="00D85736" w:rsidP="00D85736" w:rsidRDefault="00D85736" w14:paraId="29E0018A" w14:textId="77777777">
            <w:pPr>
              <w:pStyle w:val="Standard"/>
              <w:spacing w:line="240" w:lineRule="auto"/>
              <w:ind w:firstLine="0"/>
              <w:rPr>
                <w:sz w:val="22"/>
              </w:rPr>
            </w:pPr>
            <w:r w:rsidRPr="00A03B40">
              <w:rPr>
                <w:sz w:val="22"/>
              </w:rPr>
              <w:t>-8.2%</w:t>
            </w:r>
          </w:p>
          <w:p w:rsidRPr="00A03B40" w:rsidR="00D85736" w:rsidP="00D85736" w:rsidRDefault="00D85736" w14:paraId="11A7C1FC" w14:textId="77777777">
            <w:pPr>
              <w:pStyle w:val="Standard"/>
              <w:spacing w:line="240" w:lineRule="auto"/>
              <w:ind w:firstLine="0"/>
              <w:rPr>
                <w:sz w:val="22"/>
              </w:rPr>
            </w:pPr>
            <w:r w:rsidRPr="00A03B40">
              <w:rPr>
                <w:sz w:val="22"/>
              </w:rPr>
              <w:t>-5.6%</w:t>
            </w:r>
          </w:p>
          <w:p w:rsidRPr="00A03B40" w:rsidR="00D85736" w:rsidP="00D85736" w:rsidRDefault="00D85736" w14:paraId="6BC99286" w14:textId="77777777">
            <w:pPr>
              <w:pStyle w:val="Standard"/>
              <w:spacing w:line="240" w:lineRule="auto"/>
              <w:ind w:firstLine="0"/>
              <w:rPr>
                <w:sz w:val="22"/>
              </w:rPr>
            </w:pPr>
            <w:r w:rsidRPr="00A03B40">
              <w:rPr>
                <w:sz w:val="22"/>
              </w:rPr>
              <w:t>-6.0%</w:t>
            </w:r>
          </w:p>
          <w:p w:rsidRPr="00A03B40" w:rsidR="00995B53" w:rsidP="00D85736" w:rsidRDefault="00D85736" w14:paraId="2DB872DF" w14:textId="2F06FE70">
            <w:pPr>
              <w:pStyle w:val="Standard"/>
              <w:spacing w:line="240" w:lineRule="auto"/>
              <w:ind w:firstLine="0"/>
              <w:rPr>
                <w:sz w:val="22"/>
              </w:rPr>
            </w:pPr>
            <w:r w:rsidRPr="00A03B40">
              <w:rPr>
                <w:sz w:val="22"/>
              </w:rPr>
              <w:t>-8.0%</w:t>
            </w:r>
          </w:p>
        </w:tc>
      </w:tr>
      <w:tr w:rsidRPr="00A03B40" w:rsidR="00995B53" w:rsidTr="00105E15" w14:paraId="66038781" w14:textId="77777777">
        <w:tc>
          <w:tcPr>
            <w:tcW w:w="3739" w:type="dxa"/>
          </w:tcPr>
          <w:p w:rsidRPr="00A03B40" w:rsidR="00995B53" w:rsidP="005B5AFA" w:rsidRDefault="00995B53" w14:paraId="75807BDC" w14:textId="77777777">
            <w:pPr>
              <w:pStyle w:val="Standard"/>
              <w:spacing w:line="240" w:lineRule="auto"/>
              <w:ind w:firstLine="0"/>
              <w:rPr>
                <w:b/>
                <w:bCs/>
                <w:sz w:val="22"/>
              </w:rPr>
            </w:pPr>
            <w:r w:rsidRPr="00A03B40">
              <w:rPr>
                <w:b/>
                <w:bCs/>
                <w:sz w:val="22"/>
              </w:rPr>
              <w:t xml:space="preserve">Agricultural &amp; Pumping </w:t>
            </w:r>
          </w:p>
          <w:p w:rsidRPr="00A03B40" w:rsidR="00995B53" w:rsidP="00C44216" w:rsidRDefault="00995B53" w14:paraId="5D1CA8B2" w14:textId="77777777">
            <w:pPr>
              <w:pStyle w:val="Standard"/>
              <w:numPr>
                <w:ilvl w:val="0"/>
                <w:numId w:val="14"/>
              </w:numPr>
              <w:spacing w:line="240" w:lineRule="auto"/>
              <w:ind w:left="522"/>
              <w:rPr>
                <w:sz w:val="22"/>
              </w:rPr>
            </w:pPr>
            <w:r w:rsidRPr="00A03B40">
              <w:rPr>
                <w:sz w:val="22"/>
              </w:rPr>
              <w:t xml:space="preserve">TOU-PA-2 </w:t>
            </w:r>
          </w:p>
          <w:p w:rsidRPr="00A03B40" w:rsidR="00995B53" w:rsidP="00C44216" w:rsidRDefault="00995B53" w14:paraId="2F80A595" w14:textId="77777777">
            <w:pPr>
              <w:pStyle w:val="Standard"/>
              <w:numPr>
                <w:ilvl w:val="0"/>
                <w:numId w:val="14"/>
              </w:numPr>
              <w:spacing w:line="240" w:lineRule="auto"/>
              <w:ind w:left="522"/>
              <w:rPr>
                <w:sz w:val="22"/>
              </w:rPr>
            </w:pPr>
            <w:r w:rsidRPr="00A03B40">
              <w:rPr>
                <w:sz w:val="22"/>
              </w:rPr>
              <w:t>TOU-PA-3</w:t>
            </w:r>
          </w:p>
        </w:tc>
        <w:tc>
          <w:tcPr>
            <w:tcW w:w="1467" w:type="dxa"/>
          </w:tcPr>
          <w:p w:rsidRPr="00A03B40" w:rsidR="00995B53" w:rsidP="005B5AFA" w:rsidRDefault="00995B53" w14:paraId="342B3279" w14:textId="77777777">
            <w:pPr>
              <w:pStyle w:val="Standard"/>
              <w:spacing w:line="240" w:lineRule="auto"/>
              <w:ind w:firstLine="0"/>
              <w:rPr>
                <w:sz w:val="22"/>
              </w:rPr>
            </w:pPr>
          </w:p>
          <w:p w:rsidRPr="00A03B40" w:rsidR="00D85736" w:rsidP="00D85736" w:rsidRDefault="00D85736" w14:paraId="6F087B14" w14:textId="0277236B">
            <w:pPr>
              <w:pStyle w:val="Standard"/>
              <w:spacing w:line="240" w:lineRule="auto"/>
              <w:ind w:firstLine="0"/>
              <w:rPr>
                <w:sz w:val="22"/>
              </w:rPr>
            </w:pPr>
            <w:r w:rsidRPr="00A03B40">
              <w:rPr>
                <w:sz w:val="22"/>
              </w:rPr>
              <w:t xml:space="preserve"> 0.17764 </w:t>
            </w:r>
          </w:p>
          <w:p w:rsidRPr="00A03B40" w:rsidR="00D85736" w:rsidP="00D85736" w:rsidRDefault="00D85736" w14:paraId="755D14B3" w14:textId="33669BE3">
            <w:pPr>
              <w:pStyle w:val="Standard"/>
              <w:spacing w:line="240" w:lineRule="auto"/>
              <w:ind w:firstLine="0"/>
              <w:rPr>
                <w:sz w:val="22"/>
              </w:rPr>
            </w:pPr>
            <w:r w:rsidRPr="00A03B40">
              <w:rPr>
                <w:sz w:val="22"/>
              </w:rPr>
              <w:t xml:space="preserve"> 0.12933</w:t>
            </w:r>
          </w:p>
        </w:tc>
        <w:tc>
          <w:tcPr>
            <w:tcW w:w="1467" w:type="dxa"/>
          </w:tcPr>
          <w:p w:rsidRPr="00A03B40" w:rsidR="00995B53" w:rsidP="005B5AFA" w:rsidRDefault="00995B53" w14:paraId="38BD1B8D" w14:textId="77777777">
            <w:pPr>
              <w:pStyle w:val="Standard"/>
              <w:spacing w:line="240" w:lineRule="auto"/>
              <w:ind w:firstLine="0"/>
              <w:rPr>
                <w:sz w:val="22"/>
              </w:rPr>
            </w:pPr>
          </w:p>
          <w:p w:rsidRPr="00A03B40" w:rsidR="00D85736" w:rsidP="00D85736" w:rsidRDefault="00D85736" w14:paraId="52519146" w14:textId="71182DCE">
            <w:pPr>
              <w:pStyle w:val="Standard"/>
              <w:spacing w:line="240" w:lineRule="auto"/>
              <w:ind w:firstLine="0"/>
              <w:rPr>
                <w:sz w:val="22"/>
              </w:rPr>
            </w:pPr>
            <w:r w:rsidRPr="00A03B40">
              <w:rPr>
                <w:sz w:val="22"/>
              </w:rPr>
              <w:t xml:space="preserve"> 0.09388 </w:t>
            </w:r>
          </w:p>
          <w:p w:rsidRPr="00A03B40" w:rsidR="00D85736" w:rsidP="00D85736" w:rsidRDefault="00D85736" w14:paraId="0EF0137D" w14:textId="1E3EFA61">
            <w:pPr>
              <w:pStyle w:val="Standard"/>
              <w:spacing w:line="240" w:lineRule="auto"/>
              <w:ind w:firstLine="0"/>
              <w:rPr>
                <w:sz w:val="22"/>
              </w:rPr>
            </w:pPr>
            <w:r w:rsidRPr="00A03B40">
              <w:rPr>
                <w:sz w:val="22"/>
              </w:rPr>
              <w:t xml:space="preserve"> 0.07722</w:t>
            </w:r>
          </w:p>
        </w:tc>
        <w:tc>
          <w:tcPr>
            <w:tcW w:w="1467" w:type="dxa"/>
          </w:tcPr>
          <w:p w:rsidRPr="00A03B40" w:rsidR="00995B53" w:rsidP="005B5AFA" w:rsidRDefault="00995B53" w14:paraId="3643DE42" w14:textId="77777777">
            <w:pPr>
              <w:pStyle w:val="Standard"/>
              <w:spacing w:line="240" w:lineRule="auto"/>
              <w:ind w:firstLine="0"/>
              <w:rPr>
                <w:sz w:val="22"/>
              </w:rPr>
            </w:pPr>
          </w:p>
          <w:p w:rsidRPr="00A03B40" w:rsidR="00D85736" w:rsidP="00D85736" w:rsidRDefault="00D85736" w14:paraId="1FF2BF62" w14:textId="53F64BED">
            <w:pPr>
              <w:pStyle w:val="Standard"/>
              <w:spacing w:line="240" w:lineRule="auto"/>
              <w:ind w:firstLine="0"/>
              <w:rPr>
                <w:sz w:val="22"/>
              </w:rPr>
            </w:pPr>
            <w:r w:rsidRPr="00A03B40">
              <w:rPr>
                <w:sz w:val="22"/>
              </w:rPr>
              <w:t xml:space="preserve"> 0.27152 </w:t>
            </w:r>
          </w:p>
          <w:p w:rsidRPr="00A03B40" w:rsidR="00D85736" w:rsidP="00D85736" w:rsidRDefault="00D85736" w14:paraId="2B284AA6" w14:textId="3EA4D118">
            <w:pPr>
              <w:pStyle w:val="Standard"/>
              <w:spacing w:line="240" w:lineRule="auto"/>
              <w:ind w:firstLine="0"/>
              <w:rPr>
                <w:sz w:val="22"/>
              </w:rPr>
            </w:pPr>
            <w:r w:rsidRPr="00A03B40">
              <w:rPr>
                <w:sz w:val="22"/>
              </w:rPr>
              <w:t xml:space="preserve"> 0.20655</w:t>
            </w:r>
          </w:p>
        </w:tc>
        <w:tc>
          <w:tcPr>
            <w:tcW w:w="1468" w:type="dxa"/>
          </w:tcPr>
          <w:p w:rsidRPr="00A03B40" w:rsidR="00D85736" w:rsidP="00D85736" w:rsidRDefault="00D85736" w14:paraId="1D67068B" w14:textId="77777777">
            <w:pPr>
              <w:pStyle w:val="Standard"/>
              <w:spacing w:line="240" w:lineRule="auto"/>
              <w:ind w:firstLine="0"/>
              <w:rPr>
                <w:sz w:val="22"/>
              </w:rPr>
            </w:pPr>
          </w:p>
          <w:p w:rsidRPr="00A03B40" w:rsidR="00D85736" w:rsidP="00D85736" w:rsidRDefault="00D85736" w14:paraId="79F42F96" w14:textId="51CF6BCA">
            <w:pPr>
              <w:pStyle w:val="Standard"/>
              <w:spacing w:line="240" w:lineRule="auto"/>
              <w:ind w:firstLine="0"/>
              <w:rPr>
                <w:sz w:val="22"/>
              </w:rPr>
            </w:pPr>
            <w:r w:rsidRPr="00A03B40">
              <w:rPr>
                <w:sz w:val="22"/>
              </w:rPr>
              <w:t>-5.4%</w:t>
            </w:r>
          </w:p>
          <w:p w:rsidRPr="00A03B40" w:rsidR="00995B53" w:rsidP="00D85736" w:rsidRDefault="00D85736" w14:paraId="43C48A89" w14:textId="27D281EF">
            <w:pPr>
              <w:pStyle w:val="Standard"/>
              <w:spacing w:line="240" w:lineRule="auto"/>
              <w:ind w:firstLine="0"/>
              <w:rPr>
                <w:sz w:val="22"/>
              </w:rPr>
            </w:pPr>
            <w:r w:rsidRPr="00A03B40">
              <w:rPr>
                <w:sz w:val="22"/>
              </w:rPr>
              <w:t>-5.9%</w:t>
            </w:r>
          </w:p>
        </w:tc>
      </w:tr>
      <w:tr w:rsidRPr="00A03B40" w:rsidR="00995B53" w:rsidTr="00105E15" w14:paraId="50013178" w14:textId="77777777">
        <w:tc>
          <w:tcPr>
            <w:tcW w:w="3739" w:type="dxa"/>
          </w:tcPr>
          <w:p w:rsidRPr="00A03B40" w:rsidR="00995B53" w:rsidP="005B5AFA" w:rsidRDefault="00995B53" w14:paraId="3072429F" w14:textId="77777777">
            <w:pPr>
              <w:pStyle w:val="Standard"/>
              <w:spacing w:line="240" w:lineRule="auto"/>
              <w:ind w:firstLine="0"/>
              <w:rPr>
                <w:sz w:val="22"/>
              </w:rPr>
            </w:pPr>
            <w:r w:rsidRPr="00A03B40">
              <w:rPr>
                <w:b/>
                <w:bCs/>
                <w:sz w:val="22"/>
              </w:rPr>
              <w:t>Street &amp; Area Lighting</w:t>
            </w:r>
            <w:r w:rsidRPr="00A03B40">
              <w:rPr>
                <w:sz w:val="22"/>
              </w:rPr>
              <w:t xml:space="preserve"> </w:t>
            </w:r>
            <w:r w:rsidRPr="00A03B40">
              <w:rPr>
                <w:sz w:val="22"/>
              </w:rPr>
              <w:sym w:font="Symbol" w:char="F0B7"/>
            </w:r>
            <w:r w:rsidRPr="00A03B40">
              <w:rPr>
                <w:sz w:val="22"/>
              </w:rPr>
              <w:t xml:space="preserve"> </w:t>
            </w:r>
          </w:p>
          <w:p w:rsidRPr="00A03B40" w:rsidR="00995B53" w:rsidP="00C44216" w:rsidRDefault="00995B53" w14:paraId="2A7290AD" w14:textId="77777777">
            <w:pPr>
              <w:pStyle w:val="Standard"/>
              <w:numPr>
                <w:ilvl w:val="0"/>
                <w:numId w:val="15"/>
              </w:numPr>
              <w:spacing w:line="240" w:lineRule="auto"/>
              <w:ind w:left="522"/>
              <w:rPr>
                <w:sz w:val="22"/>
              </w:rPr>
            </w:pPr>
            <w:r w:rsidRPr="00A03B40">
              <w:rPr>
                <w:sz w:val="22"/>
              </w:rPr>
              <w:t>LS-1</w:t>
            </w:r>
          </w:p>
          <w:p w:rsidRPr="00A03B40" w:rsidR="00995B53" w:rsidP="00C44216" w:rsidRDefault="00995B53" w14:paraId="0824F832" w14:textId="77777777">
            <w:pPr>
              <w:pStyle w:val="Standard"/>
              <w:numPr>
                <w:ilvl w:val="0"/>
                <w:numId w:val="15"/>
              </w:numPr>
              <w:spacing w:line="240" w:lineRule="auto"/>
              <w:ind w:left="522"/>
              <w:rPr>
                <w:sz w:val="22"/>
              </w:rPr>
            </w:pPr>
            <w:r w:rsidRPr="00A03B40">
              <w:rPr>
                <w:sz w:val="22"/>
              </w:rPr>
              <w:t>LS-2</w:t>
            </w:r>
          </w:p>
          <w:p w:rsidRPr="00A03B40" w:rsidR="00995B53" w:rsidP="00C44216" w:rsidRDefault="00995B53" w14:paraId="0D524440" w14:textId="77777777">
            <w:pPr>
              <w:pStyle w:val="Standard"/>
              <w:numPr>
                <w:ilvl w:val="0"/>
                <w:numId w:val="15"/>
              </w:numPr>
              <w:spacing w:line="240" w:lineRule="auto"/>
              <w:ind w:left="522"/>
              <w:rPr>
                <w:sz w:val="22"/>
              </w:rPr>
            </w:pPr>
            <w:r w:rsidRPr="00A03B40">
              <w:rPr>
                <w:sz w:val="22"/>
              </w:rPr>
              <w:t>LS-3</w:t>
            </w:r>
          </w:p>
          <w:p w:rsidRPr="00A03B40" w:rsidR="00995B53" w:rsidP="00C44216" w:rsidRDefault="00995B53" w14:paraId="2810F390" w14:textId="77777777">
            <w:pPr>
              <w:pStyle w:val="Standard"/>
              <w:numPr>
                <w:ilvl w:val="0"/>
                <w:numId w:val="15"/>
              </w:numPr>
              <w:spacing w:line="240" w:lineRule="auto"/>
              <w:ind w:left="522"/>
              <w:rPr>
                <w:sz w:val="22"/>
              </w:rPr>
            </w:pPr>
            <w:r w:rsidRPr="00A03B40">
              <w:rPr>
                <w:sz w:val="22"/>
              </w:rPr>
              <w:t>DTL</w:t>
            </w:r>
          </w:p>
          <w:p w:rsidRPr="00A03B40" w:rsidR="00995B53" w:rsidP="00C44216" w:rsidRDefault="00995B53" w14:paraId="2D5CAA83" w14:textId="77777777">
            <w:pPr>
              <w:pStyle w:val="Standard"/>
              <w:numPr>
                <w:ilvl w:val="0"/>
                <w:numId w:val="15"/>
              </w:numPr>
              <w:spacing w:line="240" w:lineRule="auto"/>
              <w:ind w:left="522"/>
              <w:rPr>
                <w:sz w:val="22"/>
              </w:rPr>
            </w:pPr>
            <w:r w:rsidRPr="00A03B40">
              <w:rPr>
                <w:sz w:val="22"/>
              </w:rPr>
              <w:t>OL-1</w:t>
            </w:r>
          </w:p>
        </w:tc>
        <w:tc>
          <w:tcPr>
            <w:tcW w:w="1467" w:type="dxa"/>
          </w:tcPr>
          <w:p w:rsidRPr="00A03B40" w:rsidR="00D85736" w:rsidP="00D85736" w:rsidRDefault="00D85736" w14:paraId="71A5D7B2" w14:textId="77777777">
            <w:pPr>
              <w:pStyle w:val="Standard"/>
              <w:spacing w:line="240" w:lineRule="auto"/>
              <w:ind w:firstLine="0"/>
              <w:rPr>
                <w:sz w:val="22"/>
              </w:rPr>
            </w:pPr>
          </w:p>
          <w:p w:rsidRPr="00A03B40" w:rsidR="00D85736" w:rsidP="00D85736" w:rsidRDefault="00D85736" w14:paraId="16333677" w14:textId="0250B7B0">
            <w:pPr>
              <w:pStyle w:val="Standard"/>
              <w:spacing w:line="240" w:lineRule="auto"/>
              <w:ind w:firstLine="0"/>
              <w:rPr>
                <w:sz w:val="22"/>
              </w:rPr>
            </w:pPr>
            <w:r w:rsidRPr="00A03B40">
              <w:rPr>
                <w:sz w:val="22"/>
              </w:rPr>
              <w:t xml:space="preserve"> 0.69630 </w:t>
            </w:r>
          </w:p>
          <w:p w:rsidRPr="00A03B40" w:rsidR="00D85736" w:rsidP="00D85736" w:rsidRDefault="00D85736" w14:paraId="45BD3731" w14:textId="77777777">
            <w:pPr>
              <w:pStyle w:val="Standard"/>
              <w:spacing w:line="240" w:lineRule="auto"/>
              <w:ind w:firstLine="0"/>
              <w:rPr>
                <w:sz w:val="22"/>
              </w:rPr>
            </w:pPr>
            <w:r w:rsidRPr="00A03B40">
              <w:rPr>
                <w:sz w:val="22"/>
              </w:rPr>
              <w:t xml:space="preserve"> 0.19878 </w:t>
            </w:r>
          </w:p>
          <w:p w:rsidRPr="00A03B40" w:rsidR="00D85736" w:rsidP="00D85736" w:rsidRDefault="00D85736" w14:paraId="06FB22FA" w14:textId="77777777">
            <w:pPr>
              <w:pStyle w:val="Standard"/>
              <w:spacing w:line="240" w:lineRule="auto"/>
              <w:ind w:firstLine="0"/>
              <w:rPr>
                <w:sz w:val="22"/>
              </w:rPr>
            </w:pPr>
            <w:r w:rsidRPr="00A03B40">
              <w:rPr>
                <w:sz w:val="22"/>
              </w:rPr>
              <w:t xml:space="preserve"> 0.11198 </w:t>
            </w:r>
          </w:p>
          <w:p w:rsidRPr="00A03B40" w:rsidR="00D85736" w:rsidP="00D85736" w:rsidRDefault="00D85736" w14:paraId="6B7991EE" w14:textId="77777777">
            <w:pPr>
              <w:pStyle w:val="Standard"/>
              <w:spacing w:line="240" w:lineRule="auto"/>
              <w:ind w:firstLine="0"/>
              <w:rPr>
                <w:sz w:val="22"/>
              </w:rPr>
            </w:pPr>
            <w:r w:rsidRPr="00A03B40">
              <w:rPr>
                <w:sz w:val="22"/>
              </w:rPr>
              <w:t xml:space="preserve"> 0.49603 </w:t>
            </w:r>
          </w:p>
          <w:p w:rsidRPr="00A03B40" w:rsidR="00995B53" w:rsidP="00D85736" w:rsidRDefault="00D85736" w14:paraId="57063D34" w14:textId="31E051BF">
            <w:pPr>
              <w:pStyle w:val="Standard"/>
              <w:spacing w:line="240" w:lineRule="auto"/>
              <w:ind w:firstLine="0"/>
              <w:rPr>
                <w:sz w:val="22"/>
              </w:rPr>
            </w:pPr>
            <w:r w:rsidRPr="00A03B40">
              <w:rPr>
                <w:sz w:val="22"/>
              </w:rPr>
              <w:t xml:space="preserve"> 0.39056</w:t>
            </w:r>
          </w:p>
        </w:tc>
        <w:tc>
          <w:tcPr>
            <w:tcW w:w="1467" w:type="dxa"/>
          </w:tcPr>
          <w:p w:rsidRPr="00A03B40" w:rsidR="00D85736" w:rsidP="00D85736" w:rsidRDefault="00D85736" w14:paraId="340BE7AB" w14:textId="77777777">
            <w:pPr>
              <w:pStyle w:val="Standard"/>
              <w:spacing w:line="240" w:lineRule="auto"/>
              <w:ind w:firstLine="0"/>
              <w:rPr>
                <w:sz w:val="22"/>
              </w:rPr>
            </w:pPr>
          </w:p>
          <w:p w:rsidRPr="00A03B40" w:rsidR="00D85736" w:rsidP="00D85736" w:rsidRDefault="00D85736" w14:paraId="6D6F7CB7" w14:textId="47C3681B">
            <w:pPr>
              <w:pStyle w:val="Standard"/>
              <w:spacing w:line="240" w:lineRule="auto"/>
              <w:ind w:firstLine="0"/>
              <w:rPr>
                <w:sz w:val="22"/>
              </w:rPr>
            </w:pPr>
            <w:r w:rsidRPr="00A03B40">
              <w:rPr>
                <w:sz w:val="22"/>
              </w:rPr>
              <w:t xml:space="preserve"> 0.06150 </w:t>
            </w:r>
          </w:p>
          <w:p w:rsidRPr="00A03B40" w:rsidR="00D85736" w:rsidP="00D85736" w:rsidRDefault="00D85736" w14:paraId="69106EDD" w14:textId="77777777">
            <w:pPr>
              <w:pStyle w:val="Standard"/>
              <w:spacing w:line="240" w:lineRule="auto"/>
              <w:ind w:firstLine="0"/>
              <w:rPr>
                <w:sz w:val="22"/>
              </w:rPr>
            </w:pPr>
            <w:r w:rsidRPr="00A03B40">
              <w:rPr>
                <w:sz w:val="22"/>
              </w:rPr>
              <w:t xml:space="preserve"> 0.06143 </w:t>
            </w:r>
          </w:p>
          <w:p w:rsidRPr="00A03B40" w:rsidR="00D85736" w:rsidP="00D85736" w:rsidRDefault="00D85736" w14:paraId="367A1430" w14:textId="77777777">
            <w:pPr>
              <w:pStyle w:val="Standard"/>
              <w:spacing w:line="240" w:lineRule="auto"/>
              <w:ind w:firstLine="0"/>
              <w:rPr>
                <w:sz w:val="22"/>
              </w:rPr>
            </w:pPr>
            <w:r w:rsidRPr="00A03B40">
              <w:rPr>
                <w:sz w:val="22"/>
              </w:rPr>
              <w:t xml:space="preserve"> 0.06152 </w:t>
            </w:r>
          </w:p>
          <w:p w:rsidRPr="00A03B40" w:rsidR="00D85736" w:rsidP="00D85736" w:rsidRDefault="00D85736" w14:paraId="0465519A" w14:textId="77777777">
            <w:pPr>
              <w:pStyle w:val="Standard"/>
              <w:spacing w:line="240" w:lineRule="auto"/>
              <w:ind w:firstLine="0"/>
              <w:rPr>
                <w:sz w:val="22"/>
              </w:rPr>
            </w:pPr>
            <w:r w:rsidRPr="00A03B40">
              <w:rPr>
                <w:sz w:val="22"/>
              </w:rPr>
              <w:t xml:space="preserve"> 0.06150 </w:t>
            </w:r>
          </w:p>
          <w:p w:rsidRPr="00A03B40" w:rsidR="00995B53" w:rsidP="00D85736" w:rsidRDefault="00D85736" w14:paraId="2566D706" w14:textId="3DF84475">
            <w:pPr>
              <w:pStyle w:val="Standard"/>
              <w:spacing w:line="240" w:lineRule="auto"/>
              <w:ind w:firstLine="0"/>
              <w:rPr>
                <w:sz w:val="22"/>
              </w:rPr>
            </w:pPr>
            <w:r w:rsidRPr="00A03B40">
              <w:rPr>
                <w:sz w:val="22"/>
              </w:rPr>
              <w:t xml:space="preserve"> 0.06150</w:t>
            </w:r>
          </w:p>
        </w:tc>
        <w:tc>
          <w:tcPr>
            <w:tcW w:w="1467" w:type="dxa"/>
          </w:tcPr>
          <w:p w:rsidRPr="00A03B40" w:rsidR="00D85736" w:rsidP="00D85736" w:rsidRDefault="00D85736" w14:paraId="28DFCF6F" w14:textId="77777777">
            <w:pPr>
              <w:pStyle w:val="Standard"/>
              <w:spacing w:line="240" w:lineRule="auto"/>
              <w:ind w:firstLine="0"/>
              <w:rPr>
                <w:sz w:val="22"/>
              </w:rPr>
            </w:pPr>
          </w:p>
          <w:p w:rsidRPr="00A03B40" w:rsidR="00D85736" w:rsidP="00D85736" w:rsidRDefault="00D85736" w14:paraId="0E2B808B" w14:textId="2D258CEC">
            <w:pPr>
              <w:pStyle w:val="Standard"/>
              <w:spacing w:line="240" w:lineRule="auto"/>
              <w:ind w:firstLine="0"/>
              <w:rPr>
                <w:sz w:val="22"/>
              </w:rPr>
            </w:pPr>
            <w:r w:rsidRPr="00A03B40">
              <w:rPr>
                <w:sz w:val="22"/>
              </w:rPr>
              <w:t xml:space="preserve"> 0.75780 </w:t>
            </w:r>
          </w:p>
          <w:p w:rsidRPr="00A03B40" w:rsidR="00D85736" w:rsidP="00D85736" w:rsidRDefault="00D85736" w14:paraId="35EF0DF8" w14:textId="77777777">
            <w:pPr>
              <w:pStyle w:val="Standard"/>
              <w:spacing w:line="240" w:lineRule="auto"/>
              <w:ind w:firstLine="0"/>
              <w:rPr>
                <w:sz w:val="22"/>
              </w:rPr>
            </w:pPr>
            <w:r w:rsidRPr="00A03B40">
              <w:rPr>
                <w:sz w:val="22"/>
              </w:rPr>
              <w:t xml:space="preserve"> 0.26021 </w:t>
            </w:r>
          </w:p>
          <w:p w:rsidRPr="00A03B40" w:rsidR="00D85736" w:rsidP="00D85736" w:rsidRDefault="00D85736" w14:paraId="2EF7A2C9" w14:textId="77777777">
            <w:pPr>
              <w:pStyle w:val="Standard"/>
              <w:spacing w:line="240" w:lineRule="auto"/>
              <w:ind w:firstLine="0"/>
              <w:rPr>
                <w:sz w:val="22"/>
              </w:rPr>
            </w:pPr>
            <w:r w:rsidRPr="00A03B40">
              <w:rPr>
                <w:sz w:val="22"/>
              </w:rPr>
              <w:t xml:space="preserve"> 0.17350 </w:t>
            </w:r>
          </w:p>
          <w:p w:rsidRPr="00A03B40" w:rsidR="00D85736" w:rsidP="00D85736" w:rsidRDefault="00D85736" w14:paraId="6D2CBBA1" w14:textId="77777777">
            <w:pPr>
              <w:pStyle w:val="Standard"/>
              <w:spacing w:line="240" w:lineRule="auto"/>
              <w:ind w:firstLine="0"/>
              <w:rPr>
                <w:sz w:val="22"/>
              </w:rPr>
            </w:pPr>
            <w:r w:rsidRPr="00A03B40">
              <w:rPr>
                <w:sz w:val="22"/>
              </w:rPr>
              <w:t xml:space="preserve"> 0.55753 </w:t>
            </w:r>
          </w:p>
          <w:p w:rsidRPr="00A03B40" w:rsidR="00995B53" w:rsidP="00D85736" w:rsidRDefault="00D85736" w14:paraId="7553C091" w14:textId="6826FBAF">
            <w:pPr>
              <w:pStyle w:val="Standard"/>
              <w:spacing w:line="240" w:lineRule="auto"/>
              <w:ind w:firstLine="0"/>
              <w:rPr>
                <w:sz w:val="22"/>
              </w:rPr>
            </w:pPr>
            <w:r w:rsidRPr="00A03B40">
              <w:rPr>
                <w:sz w:val="22"/>
              </w:rPr>
              <w:t xml:space="preserve"> 0.45206</w:t>
            </w:r>
          </w:p>
        </w:tc>
        <w:tc>
          <w:tcPr>
            <w:tcW w:w="1468" w:type="dxa"/>
          </w:tcPr>
          <w:p w:rsidRPr="00A03B40" w:rsidR="00D85736" w:rsidP="00D85736" w:rsidRDefault="00D85736" w14:paraId="41600ED1" w14:textId="77777777">
            <w:pPr>
              <w:pStyle w:val="Standard"/>
              <w:spacing w:line="240" w:lineRule="auto"/>
              <w:ind w:firstLine="0"/>
              <w:rPr>
                <w:sz w:val="22"/>
              </w:rPr>
            </w:pPr>
          </w:p>
          <w:p w:rsidRPr="00A03B40" w:rsidR="00D85736" w:rsidP="00D85736" w:rsidRDefault="00D85736" w14:paraId="67E24804" w14:textId="149C0B09">
            <w:pPr>
              <w:pStyle w:val="Standard"/>
              <w:spacing w:line="240" w:lineRule="auto"/>
              <w:ind w:firstLine="0"/>
              <w:rPr>
                <w:sz w:val="22"/>
              </w:rPr>
            </w:pPr>
            <w:r w:rsidRPr="00A03B40">
              <w:rPr>
                <w:sz w:val="22"/>
              </w:rPr>
              <w:t>-1.2%</w:t>
            </w:r>
          </w:p>
          <w:p w:rsidRPr="00A03B40" w:rsidR="00D85736" w:rsidP="00D85736" w:rsidRDefault="00D85736" w14:paraId="6EF1BAE9" w14:textId="77777777">
            <w:pPr>
              <w:pStyle w:val="Standard"/>
              <w:spacing w:line="240" w:lineRule="auto"/>
              <w:ind w:firstLine="0"/>
              <w:rPr>
                <w:sz w:val="22"/>
              </w:rPr>
            </w:pPr>
            <w:r w:rsidRPr="00A03B40">
              <w:rPr>
                <w:sz w:val="22"/>
              </w:rPr>
              <w:t>-3.3%</w:t>
            </w:r>
          </w:p>
          <w:p w:rsidRPr="00A03B40" w:rsidR="00D85736" w:rsidP="00D85736" w:rsidRDefault="00D85736" w14:paraId="4A9C6758" w14:textId="77777777">
            <w:pPr>
              <w:pStyle w:val="Standard"/>
              <w:spacing w:line="240" w:lineRule="auto"/>
              <w:ind w:firstLine="0"/>
              <w:rPr>
                <w:sz w:val="22"/>
              </w:rPr>
            </w:pPr>
            <w:r w:rsidRPr="00A03B40">
              <w:rPr>
                <w:sz w:val="22"/>
              </w:rPr>
              <w:t>-5.3%</w:t>
            </w:r>
          </w:p>
          <w:p w:rsidRPr="00A03B40" w:rsidR="00D85736" w:rsidP="00D85736" w:rsidRDefault="00D85736" w14:paraId="6D35679E" w14:textId="77777777">
            <w:pPr>
              <w:pStyle w:val="Standard"/>
              <w:spacing w:line="240" w:lineRule="auto"/>
              <w:ind w:firstLine="0"/>
              <w:rPr>
                <w:sz w:val="22"/>
              </w:rPr>
            </w:pPr>
            <w:r w:rsidRPr="00A03B40">
              <w:rPr>
                <w:sz w:val="22"/>
              </w:rPr>
              <w:t>-1.6%</w:t>
            </w:r>
          </w:p>
          <w:p w:rsidRPr="00A03B40" w:rsidR="00995B53" w:rsidP="00D85736" w:rsidRDefault="00D85736" w14:paraId="290F6E24" w14:textId="34D511A2">
            <w:pPr>
              <w:pStyle w:val="Standard"/>
              <w:spacing w:line="240" w:lineRule="auto"/>
              <w:ind w:firstLine="0"/>
              <w:rPr>
                <w:sz w:val="22"/>
              </w:rPr>
            </w:pPr>
            <w:r w:rsidRPr="00A03B40">
              <w:rPr>
                <w:sz w:val="22"/>
              </w:rPr>
              <w:t>-1.9%</w:t>
            </w:r>
          </w:p>
        </w:tc>
      </w:tr>
      <w:tr w:rsidRPr="00A03B40" w:rsidR="00995B53" w:rsidTr="00105E15" w14:paraId="1B4C9C18" w14:textId="77777777">
        <w:tc>
          <w:tcPr>
            <w:tcW w:w="3739" w:type="dxa"/>
          </w:tcPr>
          <w:p w:rsidRPr="00A03B40" w:rsidR="00995B53" w:rsidP="005B5AFA" w:rsidRDefault="00995B53" w14:paraId="58D3B2FE" w14:textId="77777777">
            <w:pPr>
              <w:pStyle w:val="Standard"/>
              <w:spacing w:line="240" w:lineRule="auto"/>
              <w:ind w:firstLine="0"/>
              <w:rPr>
                <w:b/>
                <w:bCs/>
                <w:sz w:val="22"/>
              </w:rPr>
            </w:pPr>
            <w:r w:rsidRPr="00A03B40">
              <w:rPr>
                <w:b/>
                <w:bCs/>
                <w:sz w:val="22"/>
              </w:rPr>
              <w:t>Average Rate – All Groups</w:t>
            </w:r>
          </w:p>
        </w:tc>
        <w:tc>
          <w:tcPr>
            <w:tcW w:w="1467" w:type="dxa"/>
          </w:tcPr>
          <w:p w:rsidRPr="00A03B40" w:rsidR="00995B53" w:rsidP="005B5AFA" w:rsidRDefault="00D85736" w14:paraId="4C86916A" w14:textId="278EB6A4">
            <w:pPr>
              <w:pStyle w:val="Standard"/>
              <w:spacing w:line="240" w:lineRule="auto"/>
              <w:ind w:firstLine="0"/>
              <w:rPr>
                <w:sz w:val="22"/>
              </w:rPr>
            </w:pPr>
            <w:r w:rsidRPr="00A03B40">
              <w:rPr>
                <w:sz w:val="22"/>
              </w:rPr>
              <w:t>0.17818</w:t>
            </w:r>
          </w:p>
        </w:tc>
        <w:tc>
          <w:tcPr>
            <w:tcW w:w="1467" w:type="dxa"/>
          </w:tcPr>
          <w:p w:rsidRPr="00A03B40" w:rsidR="00995B53" w:rsidP="005B5AFA" w:rsidRDefault="00D85736" w14:paraId="618572DC" w14:textId="2A5AD863">
            <w:pPr>
              <w:pStyle w:val="Standard"/>
              <w:spacing w:line="240" w:lineRule="auto"/>
              <w:ind w:firstLine="0"/>
              <w:rPr>
                <w:sz w:val="22"/>
              </w:rPr>
            </w:pPr>
            <w:r w:rsidRPr="00A03B40">
              <w:rPr>
                <w:sz w:val="22"/>
              </w:rPr>
              <w:t>0.10008</w:t>
            </w:r>
          </w:p>
        </w:tc>
        <w:tc>
          <w:tcPr>
            <w:tcW w:w="1467" w:type="dxa"/>
          </w:tcPr>
          <w:p w:rsidRPr="00A03B40" w:rsidR="00995B53" w:rsidP="005B5AFA" w:rsidRDefault="00D85736" w14:paraId="57945C94" w14:textId="58F472DA">
            <w:pPr>
              <w:pStyle w:val="Standard"/>
              <w:spacing w:line="240" w:lineRule="auto"/>
              <w:ind w:firstLine="0"/>
              <w:rPr>
                <w:sz w:val="22"/>
              </w:rPr>
            </w:pPr>
            <w:r w:rsidRPr="00A03B40">
              <w:rPr>
                <w:sz w:val="22"/>
              </w:rPr>
              <w:t>0.27825</w:t>
            </w:r>
          </w:p>
        </w:tc>
        <w:tc>
          <w:tcPr>
            <w:tcW w:w="1468" w:type="dxa"/>
          </w:tcPr>
          <w:p w:rsidRPr="00A03B40" w:rsidR="00995B53" w:rsidP="005B5AFA" w:rsidRDefault="00D85736" w14:paraId="71B080DD" w14:textId="3D2BD376">
            <w:pPr>
              <w:pStyle w:val="Standard"/>
              <w:spacing w:line="240" w:lineRule="auto"/>
              <w:ind w:firstLine="0"/>
              <w:rPr>
                <w:sz w:val="22"/>
              </w:rPr>
            </w:pPr>
            <w:r w:rsidRPr="00A03B40">
              <w:rPr>
                <w:sz w:val="22"/>
              </w:rPr>
              <w:t>-4.5%</w:t>
            </w:r>
          </w:p>
        </w:tc>
      </w:tr>
    </w:tbl>
    <w:p w:rsidRPr="00A03B40" w:rsidR="009620AA" w:rsidP="00305238" w:rsidRDefault="00995B53" w14:paraId="16E454C1" w14:textId="7411247B">
      <w:pPr>
        <w:pStyle w:val="Standard"/>
        <w:keepNext/>
        <w:keepLines/>
        <w:spacing w:before="240" w:line="240" w:lineRule="auto"/>
        <w:ind w:firstLine="0"/>
        <w:jc w:val="center"/>
        <w:rPr>
          <w:b/>
          <w:bCs/>
        </w:rPr>
      </w:pPr>
      <w:r w:rsidRPr="00A03B40">
        <w:rPr>
          <w:b/>
          <w:bCs/>
        </w:rPr>
        <w:lastRenderedPageBreak/>
        <w:t>Table 9-2: 2026 ERRA Forecast Cost Allocation</w:t>
      </w:r>
    </w:p>
    <w:p w:rsidRPr="00A03B40" w:rsidR="00995B53" w:rsidP="00543409" w:rsidRDefault="00995B53" w14:paraId="692C4371" w14:textId="4D40921F">
      <w:pPr>
        <w:pStyle w:val="Standard"/>
        <w:keepNext/>
        <w:keepLines/>
        <w:spacing w:after="60" w:line="240" w:lineRule="auto"/>
        <w:ind w:firstLine="0"/>
        <w:jc w:val="center"/>
        <w:rPr>
          <w:b/>
          <w:bCs/>
        </w:rPr>
      </w:pPr>
      <w:r w:rsidRPr="00A03B40">
        <w:rPr>
          <w:b/>
          <w:bCs/>
        </w:rPr>
        <w:t>Mechanism Rate Component</w:t>
      </w:r>
      <w:r w:rsidRPr="00A03B40" w:rsidR="009620AA">
        <w:rPr>
          <w:rStyle w:val="FootnoteReference"/>
          <w:b/>
          <w:bCs/>
        </w:rPr>
        <w:footnoteReference w:id="457"/>
      </w:r>
    </w:p>
    <w:tbl>
      <w:tblPr>
        <w:tblStyle w:val="TableGrid"/>
        <w:tblW w:w="5841" w:type="dxa"/>
        <w:jc w:val="center"/>
        <w:tblLayout w:type="fixed"/>
        <w:tblLook w:val="04A0" w:firstRow="1" w:lastRow="0" w:firstColumn="1" w:lastColumn="0" w:noHBand="0" w:noVBand="1"/>
      </w:tblPr>
      <w:tblGrid>
        <w:gridCol w:w="4374"/>
        <w:gridCol w:w="1467"/>
      </w:tblGrid>
      <w:tr w:rsidRPr="00A03B40" w:rsidR="00995B53" w:rsidTr="0019607C" w14:paraId="2318FB72" w14:textId="77777777">
        <w:trPr>
          <w:jc w:val="center"/>
        </w:trPr>
        <w:tc>
          <w:tcPr>
            <w:tcW w:w="4374" w:type="dxa"/>
            <w:vAlign w:val="center"/>
          </w:tcPr>
          <w:p w:rsidRPr="00A03B40" w:rsidR="00995B53" w:rsidP="00305238" w:rsidRDefault="00995B53" w14:paraId="62243A1D" w14:textId="77777777">
            <w:pPr>
              <w:pStyle w:val="Standard"/>
              <w:keepNext/>
              <w:keepLines/>
              <w:spacing w:line="240" w:lineRule="auto"/>
              <w:ind w:firstLine="0"/>
              <w:contextualSpacing/>
              <w:jc w:val="center"/>
              <w:rPr>
                <w:b/>
                <w:bCs/>
              </w:rPr>
            </w:pPr>
            <w:r w:rsidRPr="00A03B40">
              <w:rPr>
                <w:b/>
                <w:bCs/>
              </w:rPr>
              <w:t>Rate Schedule by Customer Group</w:t>
            </w:r>
          </w:p>
        </w:tc>
        <w:tc>
          <w:tcPr>
            <w:tcW w:w="1467" w:type="dxa"/>
            <w:vAlign w:val="center"/>
          </w:tcPr>
          <w:p w:rsidRPr="00A03B40" w:rsidR="00995B53" w:rsidP="00305238" w:rsidRDefault="00995B53" w14:paraId="22D6523D" w14:textId="3CC14137">
            <w:pPr>
              <w:pStyle w:val="Standard"/>
              <w:keepNext/>
              <w:keepLines/>
              <w:spacing w:line="240" w:lineRule="auto"/>
              <w:ind w:firstLine="0"/>
              <w:contextualSpacing/>
              <w:jc w:val="center"/>
              <w:rPr>
                <w:b/>
                <w:bCs/>
              </w:rPr>
            </w:pPr>
            <w:r w:rsidRPr="00A03B40">
              <w:rPr>
                <w:b/>
                <w:bCs/>
              </w:rPr>
              <w:t>Total Delivery (¢/kWh)</w:t>
            </w:r>
          </w:p>
        </w:tc>
      </w:tr>
      <w:tr w:rsidRPr="00A03B40" w:rsidR="00995B53" w:rsidTr="0019607C" w14:paraId="3E001D12" w14:textId="77777777">
        <w:trPr>
          <w:jc w:val="center"/>
        </w:trPr>
        <w:tc>
          <w:tcPr>
            <w:tcW w:w="4374" w:type="dxa"/>
            <w:vAlign w:val="center"/>
          </w:tcPr>
          <w:p w:rsidRPr="00A03B40" w:rsidR="00995B53" w:rsidP="00105E15" w:rsidRDefault="00995B53" w14:paraId="1072FC17" w14:textId="77777777">
            <w:pPr>
              <w:pStyle w:val="Standard"/>
              <w:spacing w:line="240" w:lineRule="auto"/>
              <w:ind w:firstLine="0"/>
              <w:rPr>
                <w:b/>
                <w:bCs/>
              </w:rPr>
            </w:pPr>
            <w:r w:rsidRPr="00A03B40">
              <w:rPr>
                <w:b/>
                <w:bCs/>
              </w:rPr>
              <w:t>Domestic</w:t>
            </w:r>
          </w:p>
          <w:p w:rsidRPr="00A03B40" w:rsidR="00995B53" w:rsidP="00C44216" w:rsidRDefault="00995B53" w14:paraId="263DB042" w14:textId="77777777">
            <w:pPr>
              <w:pStyle w:val="Standard"/>
              <w:numPr>
                <w:ilvl w:val="0"/>
                <w:numId w:val="13"/>
              </w:numPr>
              <w:spacing w:line="240" w:lineRule="auto"/>
              <w:ind w:left="522"/>
            </w:pPr>
            <w:r w:rsidRPr="00A03B40">
              <w:t>D</w:t>
            </w:r>
          </w:p>
          <w:p w:rsidRPr="00A03B40" w:rsidR="00995B53" w:rsidP="00C44216" w:rsidRDefault="00995B53" w14:paraId="279FACC5" w14:textId="77777777">
            <w:pPr>
              <w:pStyle w:val="Standard"/>
              <w:numPr>
                <w:ilvl w:val="0"/>
                <w:numId w:val="13"/>
              </w:numPr>
              <w:spacing w:line="240" w:lineRule="auto"/>
              <w:ind w:left="522"/>
            </w:pPr>
            <w:r w:rsidRPr="00A03B40">
              <w:t>D-CARE</w:t>
            </w:r>
          </w:p>
          <w:p w:rsidRPr="00A03B40" w:rsidR="00995B53" w:rsidP="00C44216" w:rsidRDefault="00995B53" w14:paraId="33B3BE69" w14:textId="77777777">
            <w:pPr>
              <w:pStyle w:val="Standard"/>
              <w:numPr>
                <w:ilvl w:val="0"/>
                <w:numId w:val="13"/>
              </w:numPr>
              <w:spacing w:line="240" w:lineRule="auto"/>
              <w:ind w:left="522"/>
            </w:pPr>
            <w:r w:rsidRPr="00A03B40">
              <w:t>DE</w:t>
            </w:r>
          </w:p>
          <w:p w:rsidRPr="00A03B40" w:rsidR="00995B53" w:rsidP="00C44216" w:rsidRDefault="00995B53" w14:paraId="119C8881" w14:textId="77777777">
            <w:pPr>
              <w:pStyle w:val="Standard"/>
              <w:numPr>
                <w:ilvl w:val="0"/>
                <w:numId w:val="13"/>
              </w:numPr>
              <w:spacing w:line="240" w:lineRule="auto"/>
              <w:ind w:left="522"/>
            </w:pPr>
            <w:r w:rsidRPr="00A03B40">
              <w:t>DM</w:t>
            </w:r>
          </w:p>
          <w:p w:rsidRPr="00A03B40" w:rsidR="00995B53" w:rsidP="00C44216" w:rsidRDefault="00995B53" w14:paraId="3D2D85D8" w14:textId="77777777">
            <w:pPr>
              <w:pStyle w:val="Standard"/>
              <w:numPr>
                <w:ilvl w:val="0"/>
                <w:numId w:val="13"/>
              </w:numPr>
              <w:spacing w:line="240" w:lineRule="auto"/>
              <w:ind w:left="522"/>
            </w:pPr>
            <w:r w:rsidRPr="00A03B40">
              <w:t>DMS-1</w:t>
            </w:r>
          </w:p>
          <w:p w:rsidRPr="00A03B40" w:rsidR="00995B53" w:rsidP="00C44216" w:rsidRDefault="00995B53" w14:paraId="1674862A" w14:textId="77777777">
            <w:pPr>
              <w:pStyle w:val="Standard"/>
              <w:numPr>
                <w:ilvl w:val="0"/>
                <w:numId w:val="13"/>
              </w:numPr>
              <w:spacing w:line="240" w:lineRule="auto"/>
              <w:ind w:left="522"/>
            </w:pPr>
            <w:r w:rsidRPr="00A03B40">
              <w:t>DMS-2</w:t>
            </w:r>
          </w:p>
        </w:tc>
        <w:tc>
          <w:tcPr>
            <w:tcW w:w="1467" w:type="dxa"/>
          </w:tcPr>
          <w:p w:rsidRPr="00A03B40" w:rsidR="00995B53" w:rsidP="00105E15" w:rsidRDefault="00995B53" w14:paraId="68C4D2F5" w14:textId="77777777">
            <w:pPr>
              <w:pStyle w:val="Standard"/>
              <w:ind w:firstLine="0"/>
            </w:pPr>
          </w:p>
          <w:p w:rsidRPr="00A03B40" w:rsidR="009620AA" w:rsidP="009620AA" w:rsidRDefault="009620AA" w14:paraId="37F9F270" w14:textId="116C1BB8">
            <w:pPr>
              <w:pStyle w:val="Standard"/>
              <w:spacing w:line="240" w:lineRule="auto"/>
              <w:ind w:firstLine="0"/>
            </w:pPr>
            <w:r w:rsidRPr="00A03B40">
              <w:t xml:space="preserve"> 0.00832 </w:t>
            </w:r>
          </w:p>
          <w:p w:rsidRPr="00A03B40" w:rsidR="009620AA" w:rsidP="009620AA" w:rsidRDefault="009620AA" w14:paraId="0AD67634" w14:textId="77777777">
            <w:pPr>
              <w:pStyle w:val="Standard"/>
              <w:spacing w:line="240" w:lineRule="auto"/>
              <w:ind w:firstLine="0"/>
            </w:pPr>
            <w:r w:rsidRPr="00A03B40">
              <w:t xml:space="preserve"> 0.00832 </w:t>
            </w:r>
          </w:p>
          <w:p w:rsidRPr="00A03B40" w:rsidR="009620AA" w:rsidP="009620AA" w:rsidRDefault="009620AA" w14:paraId="60814F41" w14:textId="77777777">
            <w:pPr>
              <w:pStyle w:val="Standard"/>
              <w:spacing w:line="240" w:lineRule="auto"/>
              <w:ind w:firstLine="0"/>
            </w:pPr>
            <w:r w:rsidRPr="00A03B40">
              <w:t xml:space="preserve"> 0.00832 </w:t>
            </w:r>
          </w:p>
          <w:p w:rsidRPr="00A03B40" w:rsidR="009620AA" w:rsidP="009620AA" w:rsidRDefault="009620AA" w14:paraId="5BCA4A73" w14:textId="77777777">
            <w:pPr>
              <w:pStyle w:val="Standard"/>
              <w:spacing w:line="240" w:lineRule="auto"/>
              <w:ind w:firstLine="0"/>
            </w:pPr>
            <w:r w:rsidRPr="00A03B40">
              <w:t xml:space="preserve"> 0.00832 </w:t>
            </w:r>
          </w:p>
          <w:p w:rsidRPr="00A03B40" w:rsidR="009620AA" w:rsidP="009620AA" w:rsidRDefault="009620AA" w14:paraId="7A9715CF" w14:textId="77777777">
            <w:pPr>
              <w:pStyle w:val="Standard"/>
              <w:spacing w:line="240" w:lineRule="auto"/>
              <w:ind w:firstLine="0"/>
            </w:pPr>
            <w:r w:rsidRPr="00A03B40">
              <w:t xml:space="preserve"> 0.00832 </w:t>
            </w:r>
          </w:p>
          <w:p w:rsidRPr="00A03B40" w:rsidR="009620AA" w:rsidP="009620AA" w:rsidRDefault="009620AA" w14:paraId="0F4BB2CE" w14:textId="112CA5F5">
            <w:pPr>
              <w:pStyle w:val="Standard"/>
              <w:spacing w:line="240" w:lineRule="auto"/>
              <w:ind w:firstLine="0"/>
            </w:pPr>
            <w:r w:rsidRPr="00A03B40">
              <w:t xml:space="preserve"> 0.00832</w:t>
            </w:r>
          </w:p>
        </w:tc>
      </w:tr>
      <w:tr w:rsidRPr="00A03B40" w:rsidR="00995B53" w:rsidTr="0019607C" w14:paraId="5893649B" w14:textId="77777777">
        <w:trPr>
          <w:jc w:val="center"/>
        </w:trPr>
        <w:tc>
          <w:tcPr>
            <w:tcW w:w="4374" w:type="dxa"/>
          </w:tcPr>
          <w:p w:rsidRPr="00A03B40" w:rsidR="00995B53" w:rsidP="00105E15" w:rsidRDefault="00995B53" w14:paraId="25681A7A" w14:textId="77777777">
            <w:pPr>
              <w:pStyle w:val="Standard"/>
              <w:spacing w:line="240" w:lineRule="auto"/>
              <w:ind w:firstLine="0"/>
              <w:rPr>
                <w:b/>
                <w:bCs/>
              </w:rPr>
            </w:pPr>
            <w:r w:rsidRPr="00A03B40">
              <w:rPr>
                <w:b/>
                <w:bCs/>
              </w:rPr>
              <w:t xml:space="preserve">Lighting-Small, Med. Power </w:t>
            </w:r>
          </w:p>
          <w:p w:rsidRPr="00A03B40" w:rsidR="00995B53" w:rsidP="00C44216" w:rsidRDefault="00995B53" w14:paraId="25CC731E" w14:textId="77777777">
            <w:pPr>
              <w:pStyle w:val="Standard"/>
              <w:numPr>
                <w:ilvl w:val="0"/>
                <w:numId w:val="13"/>
              </w:numPr>
              <w:spacing w:line="240" w:lineRule="auto"/>
              <w:ind w:left="522"/>
            </w:pPr>
            <w:r w:rsidRPr="00A03B40">
              <w:t xml:space="preserve">GS-1 </w:t>
            </w:r>
          </w:p>
          <w:p w:rsidRPr="00A03B40" w:rsidR="00995B53" w:rsidP="00C44216" w:rsidRDefault="00995B53" w14:paraId="2F69139A" w14:textId="77777777">
            <w:pPr>
              <w:pStyle w:val="Standard"/>
              <w:numPr>
                <w:ilvl w:val="0"/>
                <w:numId w:val="13"/>
              </w:numPr>
              <w:spacing w:line="240" w:lineRule="auto"/>
              <w:ind w:left="522"/>
            </w:pPr>
            <w:r w:rsidRPr="00A03B40">
              <w:t>GS-2</w:t>
            </w:r>
          </w:p>
          <w:p w:rsidRPr="00A03B40" w:rsidR="00995B53" w:rsidP="00C44216" w:rsidRDefault="00995B53" w14:paraId="6D21BC48" w14:textId="77777777">
            <w:pPr>
              <w:pStyle w:val="Standard"/>
              <w:numPr>
                <w:ilvl w:val="0"/>
                <w:numId w:val="13"/>
              </w:numPr>
              <w:spacing w:line="240" w:lineRule="auto"/>
              <w:ind w:left="522"/>
            </w:pPr>
            <w:r w:rsidRPr="00A03B40">
              <w:t xml:space="preserve">TC-1 </w:t>
            </w:r>
          </w:p>
          <w:p w:rsidRPr="00A03B40" w:rsidR="00995B53" w:rsidP="00C44216" w:rsidRDefault="00995B53" w14:paraId="4240FEFB" w14:textId="77777777">
            <w:pPr>
              <w:pStyle w:val="Standard"/>
              <w:numPr>
                <w:ilvl w:val="0"/>
                <w:numId w:val="13"/>
              </w:numPr>
              <w:spacing w:line="240" w:lineRule="auto"/>
              <w:ind w:left="522"/>
            </w:pPr>
            <w:r w:rsidRPr="00A03B40">
              <w:t>TOU-GS</w:t>
            </w:r>
          </w:p>
        </w:tc>
        <w:tc>
          <w:tcPr>
            <w:tcW w:w="1467" w:type="dxa"/>
          </w:tcPr>
          <w:p w:rsidRPr="00A03B40" w:rsidR="00995B53" w:rsidP="009620AA" w:rsidRDefault="00995B53" w14:paraId="146D8DCB" w14:textId="77777777">
            <w:pPr>
              <w:pStyle w:val="Standard"/>
              <w:spacing w:line="240" w:lineRule="auto"/>
              <w:ind w:firstLine="0"/>
            </w:pPr>
          </w:p>
          <w:p w:rsidRPr="00A03B40" w:rsidR="009620AA" w:rsidP="009620AA" w:rsidRDefault="009620AA" w14:paraId="3494AC4C" w14:textId="490638D9">
            <w:pPr>
              <w:pStyle w:val="Standard"/>
              <w:spacing w:line="240" w:lineRule="auto"/>
              <w:ind w:firstLine="0"/>
            </w:pPr>
            <w:r w:rsidRPr="00A03B40">
              <w:t xml:space="preserve"> 0.00645 </w:t>
            </w:r>
          </w:p>
          <w:p w:rsidRPr="00A03B40" w:rsidR="009620AA" w:rsidP="009620AA" w:rsidRDefault="009620AA" w14:paraId="46A2A85D" w14:textId="77777777">
            <w:pPr>
              <w:pStyle w:val="Standard"/>
              <w:spacing w:line="240" w:lineRule="auto"/>
              <w:ind w:firstLine="0"/>
            </w:pPr>
            <w:r w:rsidRPr="00A03B40">
              <w:t xml:space="preserve"> 0.00626 </w:t>
            </w:r>
          </w:p>
          <w:p w:rsidRPr="00A03B40" w:rsidR="009620AA" w:rsidP="009620AA" w:rsidRDefault="009620AA" w14:paraId="6921DFEF" w14:textId="77777777">
            <w:pPr>
              <w:pStyle w:val="Standard"/>
              <w:spacing w:line="240" w:lineRule="auto"/>
              <w:ind w:firstLine="0"/>
            </w:pPr>
            <w:r w:rsidRPr="00A03B40">
              <w:t xml:space="preserve"> 0.00442 </w:t>
            </w:r>
          </w:p>
          <w:p w:rsidRPr="00A03B40" w:rsidR="009620AA" w:rsidP="009620AA" w:rsidRDefault="009620AA" w14:paraId="5282C184" w14:textId="5398C018">
            <w:pPr>
              <w:pStyle w:val="Standard"/>
              <w:spacing w:line="240" w:lineRule="auto"/>
              <w:ind w:firstLine="0"/>
            </w:pPr>
            <w:r w:rsidRPr="00A03B40">
              <w:t xml:space="preserve"> 0.00583</w:t>
            </w:r>
          </w:p>
        </w:tc>
      </w:tr>
      <w:tr w:rsidRPr="00A03B40" w:rsidR="00995B53" w:rsidTr="0019607C" w14:paraId="29FF2A1A" w14:textId="77777777">
        <w:trPr>
          <w:jc w:val="center"/>
        </w:trPr>
        <w:tc>
          <w:tcPr>
            <w:tcW w:w="4374" w:type="dxa"/>
          </w:tcPr>
          <w:p w:rsidRPr="00A03B40" w:rsidR="00995B53" w:rsidP="00105E15" w:rsidRDefault="00995B53" w14:paraId="298773D7" w14:textId="77777777">
            <w:pPr>
              <w:pStyle w:val="Standard"/>
              <w:spacing w:line="240" w:lineRule="auto"/>
              <w:ind w:firstLine="0"/>
              <w:rPr>
                <w:b/>
                <w:bCs/>
              </w:rPr>
            </w:pPr>
            <w:r w:rsidRPr="00A03B40">
              <w:rPr>
                <w:b/>
                <w:bCs/>
              </w:rPr>
              <w:t xml:space="preserve">Large Power </w:t>
            </w:r>
          </w:p>
          <w:p w:rsidRPr="00A03B40" w:rsidR="00995B53" w:rsidP="00C44216" w:rsidRDefault="00995B53" w14:paraId="4C73B74D" w14:textId="77777777">
            <w:pPr>
              <w:pStyle w:val="Standard"/>
              <w:numPr>
                <w:ilvl w:val="0"/>
                <w:numId w:val="14"/>
              </w:numPr>
              <w:spacing w:line="240" w:lineRule="auto"/>
              <w:ind w:left="522"/>
            </w:pPr>
            <w:r w:rsidRPr="00A03B40">
              <w:t xml:space="preserve">TOU-8-S </w:t>
            </w:r>
          </w:p>
          <w:p w:rsidRPr="00A03B40" w:rsidR="00995B53" w:rsidP="00C44216" w:rsidRDefault="00995B53" w14:paraId="0E4BE7A8" w14:textId="77777777">
            <w:pPr>
              <w:pStyle w:val="Standard"/>
              <w:numPr>
                <w:ilvl w:val="0"/>
                <w:numId w:val="14"/>
              </w:numPr>
              <w:spacing w:line="240" w:lineRule="auto"/>
              <w:ind w:left="522"/>
            </w:pPr>
            <w:r w:rsidRPr="00A03B40">
              <w:t xml:space="preserve">TOU-8-P </w:t>
            </w:r>
          </w:p>
          <w:p w:rsidRPr="00A03B40" w:rsidR="00995B53" w:rsidP="00C44216" w:rsidRDefault="00995B53" w14:paraId="1102D3FA" w14:textId="77777777">
            <w:pPr>
              <w:pStyle w:val="Standard"/>
              <w:numPr>
                <w:ilvl w:val="0"/>
                <w:numId w:val="14"/>
              </w:numPr>
              <w:spacing w:line="240" w:lineRule="auto"/>
              <w:ind w:left="522"/>
            </w:pPr>
            <w:r w:rsidRPr="00A03B40">
              <w:t xml:space="preserve">TOU-8-T </w:t>
            </w:r>
          </w:p>
          <w:p w:rsidRPr="00A03B40" w:rsidR="00995B53" w:rsidP="00C44216" w:rsidRDefault="00995B53" w14:paraId="348ADD49" w14:textId="77777777">
            <w:pPr>
              <w:pStyle w:val="Standard"/>
              <w:numPr>
                <w:ilvl w:val="0"/>
                <w:numId w:val="14"/>
              </w:numPr>
              <w:spacing w:line="240" w:lineRule="auto"/>
              <w:ind w:left="522"/>
            </w:pPr>
            <w:r w:rsidRPr="00A03B40">
              <w:t xml:space="preserve">TOU-8-S-S </w:t>
            </w:r>
          </w:p>
          <w:p w:rsidRPr="00A03B40" w:rsidR="00995B53" w:rsidP="00C44216" w:rsidRDefault="00995B53" w14:paraId="4E580D97" w14:textId="77777777">
            <w:pPr>
              <w:pStyle w:val="Standard"/>
              <w:numPr>
                <w:ilvl w:val="0"/>
                <w:numId w:val="14"/>
              </w:numPr>
              <w:spacing w:line="240" w:lineRule="auto"/>
              <w:ind w:left="522"/>
            </w:pPr>
            <w:r w:rsidRPr="00A03B40">
              <w:t xml:space="preserve">TOU-8-S-P </w:t>
            </w:r>
          </w:p>
          <w:p w:rsidRPr="00A03B40" w:rsidR="00995B53" w:rsidP="00C44216" w:rsidRDefault="00995B53" w14:paraId="230E2C0E" w14:textId="77777777">
            <w:pPr>
              <w:pStyle w:val="Standard"/>
              <w:numPr>
                <w:ilvl w:val="0"/>
                <w:numId w:val="14"/>
              </w:numPr>
              <w:spacing w:line="240" w:lineRule="auto"/>
              <w:ind w:left="522"/>
            </w:pPr>
            <w:r w:rsidRPr="00A03B40">
              <w:t>TOU-8-S-T</w:t>
            </w:r>
          </w:p>
        </w:tc>
        <w:tc>
          <w:tcPr>
            <w:tcW w:w="1467" w:type="dxa"/>
          </w:tcPr>
          <w:p w:rsidRPr="00A03B40" w:rsidR="00995B53" w:rsidP="009620AA" w:rsidRDefault="00995B53" w14:paraId="6DBE1FE9" w14:textId="77777777">
            <w:pPr>
              <w:pStyle w:val="Standard"/>
              <w:spacing w:line="240" w:lineRule="auto"/>
              <w:ind w:firstLine="0"/>
            </w:pPr>
          </w:p>
          <w:p w:rsidRPr="00A03B40" w:rsidR="009620AA" w:rsidP="009620AA" w:rsidRDefault="009620AA" w14:paraId="1E2C5902" w14:textId="29F85D25">
            <w:pPr>
              <w:pStyle w:val="Standard"/>
              <w:spacing w:line="240" w:lineRule="auto"/>
              <w:ind w:firstLine="0"/>
            </w:pPr>
            <w:r w:rsidRPr="00A03B40">
              <w:t xml:space="preserve"> 0.00543 </w:t>
            </w:r>
          </w:p>
          <w:p w:rsidRPr="00A03B40" w:rsidR="009620AA" w:rsidP="009620AA" w:rsidRDefault="009620AA" w14:paraId="265F647D" w14:textId="77777777">
            <w:pPr>
              <w:pStyle w:val="Standard"/>
              <w:spacing w:line="240" w:lineRule="auto"/>
              <w:ind w:firstLine="0"/>
            </w:pPr>
            <w:r w:rsidRPr="00A03B40">
              <w:t xml:space="preserve"> 0.00491 </w:t>
            </w:r>
          </w:p>
          <w:p w:rsidRPr="00A03B40" w:rsidR="009620AA" w:rsidP="009620AA" w:rsidRDefault="009620AA" w14:paraId="349EE32E" w14:textId="77777777">
            <w:pPr>
              <w:pStyle w:val="Standard"/>
              <w:spacing w:line="240" w:lineRule="auto"/>
              <w:ind w:firstLine="0"/>
            </w:pPr>
            <w:r w:rsidRPr="00A03B40">
              <w:t xml:space="preserve"> 0.00390 </w:t>
            </w:r>
          </w:p>
          <w:p w:rsidRPr="00A03B40" w:rsidR="009620AA" w:rsidP="009620AA" w:rsidRDefault="009620AA" w14:paraId="4E7E3866" w14:textId="77777777">
            <w:pPr>
              <w:pStyle w:val="Standard"/>
              <w:spacing w:line="240" w:lineRule="auto"/>
              <w:ind w:firstLine="0"/>
            </w:pPr>
            <w:r w:rsidRPr="00A03B40">
              <w:t xml:space="preserve"> 0.00543 </w:t>
            </w:r>
          </w:p>
          <w:p w:rsidRPr="00A03B40" w:rsidR="009620AA" w:rsidP="009620AA" w:rsidRDefault="009620AA" w14:paraId="5B466EFB" w14:textId="77777777">
            <w:pPr>
              <w:pStyle w:val="Standard"/>
              <w:spacing w:line="240" w:lineRule="auto"/>
              <w:ind w:firstLine="0"/>
            </w:pPr>
            <w:r w:rsidRPr="00A03B40">
              <w:t xml:space="preserve"> 0.00491 </w:t>
            </w:r>
          </w:p>
          <w:p w:rsidRPr="00A03B40" w:rsidR="009620AA" w:rsidP="009620AA" w:rsidRDefault="009620AA" w14:paraId="71BCD286" w14:textId="381C696D">
            <w:pPr>
              <w:pStyle w:val="Standard"/>
              <w:spacing w:line="240" w:lineRule="auto"/>
              <w:ind w:firstLine="0"/>
            </w:pPr>
            <w:r w:rsidRPr="00A03B40">
              <w:t xml:space="preserve"> 0.00390</w:t>
            </w:r>
          </w:p>
        </w:tc>
      </w:tr>
      <w:tr w:rsidRPr="00A03B40" w:rsidR="00995B53" w:rsidTr="0019607C" w14:paraId="17B570B1" w14:textId="77777777">
        <w:trPr>
          <w:jc w:val="center"/>
        </w:trPr>
        <w:tc>
          <w:tcPr>
            <w:tcW w:w="4374" w:type="dxa"/>
          </w:tcPr>
          <w:p w:rsidRPr="00A03B40" w:rsidR="00995B53" w:rsidP="00105E15" w:rsidRDefault="00995B53" w14:paraId="3CFEDEF8" w14:textId="77777777">
            <w:pPr>
              <w:pStyle w:val="Standard"/>
              <w:spacing w:line="240" w:lineRule="auto"/>
              <w:ind w:firstLine="0"/>
              <w:rPr>
                <w:b/>
                <w:bCs/>
              </w:rPr>
            </w:pPr>
            <w:r w:rsidRPr="00A03B40">
              <w:rPr>
                <w:b/>
                <w:bCs/>
              </w:rPr>
              <w:t xml:space="preserve">Agricultural &amp; Pumping </w:t>
            </w:r>
          </w:p>
          <w:p w:rsidRPr="00A03B40" w:rsidR="00995B53" w:rsidP="00C44216" w:rsidRDefault="00995B53" w14:paraId="18BC9A6D" w14:textId="77777777">
            <w:pPr>
              <w:pStyle w:val="Standard"/>
              <w:numPr>
                <w:ilvl w:val="0"/>
                <w:numId w:val="14"/>
              </w:numPr>
              <w:spacing w:line="240" w:lineRule="auto"/>
              <w:ind w:left="522"/>
            </w:pPr>
            <w:r w:rsidRPr="00A03B40">
              <w:t xml:space="preserve">TOU-PA-2 </w:t>
            </w:r>
          </w:p>
          <w:p w:rsidRPr="00A03B40" w:rsidR="00995B53" w:rsidP="00C44216" w:rsidRDefault="00995B53" w14:paraId="167D0245" w14:textId="77777777">
            <w:pPr>
              <w:pStyle w:val="Standard"/>
              <w:numPr>
                <w:ilvl w:val="0"/>
                <w:numId w:val="14"/>
              </w:numPr>
              <w:spacing w:line="240" w:lineRule="auto"/>
              <w:ind w:left="522"/>
            </w:pPr>
            <w:r w:rsidRPr="00A03B40">
              <w:t>TOU-PA-3</w:t>
            </w:r>
          </w:p>
        </w:tc>
        <w:tc>
          <w:tcPr>
            <w:tcW w:w="1467" w:type="dxa"/>
          </w:tcPr>
          <w:p w:rsidRPr="00A03B40" w:rsidR="00995B53" w:rsidP="009620AA" w:rsidRDefault="00995B53" w14:paraId="5BEA9A4E" w14:textId="77777777">
            <w:pPr>
              <w:pStyle w:val="Standard"/>
              <w:spacing w:line="240" w:lineRule="auto"/>
              <w:ind w:firstLine="0"/>
            </w:pPr>
          </w:p>
          <w:p w:rsidRPr="00A03B40" w:rsidR="009620AA" w:rsidP="009620AA" w:rsidRDefault="009620AA" w14:paraId="120EE698" w14:textId="144C0D47">
            <w:pPr>
              <w:pStyle w:val="Standard"/>
              <w:spacing w:line="240" w:lineRule="auto"/>
              <w:ind w:firstLine="0"/>
            </w:pPr>
            <w:r w:rsidRPr="00A03B40">
              <w:t xml:space="preserve"> 0.00474 </w:t>
            </w:r>
          </w:p>
          <w:p w:rsidRPr="00A03B40" w:rsidR="009620AA" w:rsidP="009620AA" w:rsidRDefault="009620AA" w14:paraId="54CCCD28" w14:textId="60B1058C">
            <w:pPr>
              <w:pStyle w:val="Standard"/>
              <w:spacing w:line="240" w:lineRule="auto"/>
              <w:ind w:firstLine="0"/>
            </w:pPr>
            <w:r w:rsidRPr="00A03B40">
              <w:t xml:space="preserve"> 0.00449</w:t>
            </w:r>
          </w:p>
        </w:tc>
      </w:tr>
      <w:tr w:rsidRPr="00A03B40" w:rsidR="00995B53" w:rsidTr="0019607C" w14:paraId="4CF07B8D" w14:textId="77777777">
        <w:trPr>
          <w:jc w:val="center"/>
        </w:trPr>
        <w:tc>
          <w:tcPr>
            <w:tcW w:w="4374" w:type="dxa"/>
          </w:tcPr>
          <w:p w:rsidRPr="00A03B40" w:rsidR="00995B53" w:rsidP="00105E15" w:rsidRDefault="00995B53" w14:paraId="26B0EBE0" w14:textId="7FB684B3">
            <w:pPr>
              <w:pStyle w:val="Standard"/>
              <w:spacing w:line="240" w:lineRule="auto"/>
              <w:ind w:firstLine="0"/>
            </w:pPr>
            <w:r w:rsidRPr="00A03B40">
              <w:rPr>
                <w:b/>
                <w:bCs/>
              </w:rPr>
              <w:t>Street &amp; Area Lighting</w:t>
            </w:r>
            <w:r w:rsidRPr="00A03B40">
              <w:t xml:space="preserve"> </w:t>
            </w:r>
          </w:p>
          <w:p w:rsidRPr="00A03B40" w:rsidR="00995B53" w:rsidP="00C44216" w:rsidRDefault="00995B53" w14:paraId="6C55C557" w14:textId="77777777">
            <w:pPr>
              <w:pStyle w:val="Standard"/>
              <w:numPr>
                <w:ilvl w:val="0"/>
                <w:numId w:val="15"/>
              </w:numPr>
              <w:spacing w:line="240" w:lineRule="auto"/>
              <w:ind w:left="522"/>
            </w:pPr>
            <w:r w:rsidRPr="00A03B40">
              <w:t>LS-1</w:t>
            </w:r>
          </w:p>
          <w:p w:rsidRPr="00A03B40" w:rsidR="00995B53" w:rsidP="00C44216" w:rsidRDefault="00995B53" w14:paraId="31809A0F" w14:textId="77777777">
            <w:pPr>
              <w:pStyle w:val="Standard"/>
              <w:numPr>
                <w:ilvl w:val="0"/>
                <w:numId w:val="15"/>
              </w:numPr>
              <w:spacing w:line="240" w:lineRule="auto"/>
              <w:ind w:left="522"/>
            </w:pPr>
            <w:r w:rsidRPr="00A03B40">
              <w:t>LS-2</w:t>
            </w:r>
          </w:p>
          <w:p w:rsidRPr="00A03B40" w:rsidR="00995B53" w:rsidP="00C44216" w:rsidRDefault="00995B53" w14:paraId="2DA30A3E" w14:textId="77777777">
            <w:pPr>
              <w:pStyle w:val="Standard"/>
              <w:numPr>
                <w:ilvl w:val="0"/>
                <w:numId w:val="15"/>
              </w:numPr>
              <w:spacing w:line="240" w:lineRule="auto"/>
              <w:ind w:left="522"/>
            </w:pPr>
            <w:r w:rsidRPr="00A03B40">
              <w:t>LS-3</w:t>
            </w:r>
          </w:p>
          <w:p w:rsidRPr="00A03B40" w:rsidR="00995B53" w:rsidP="00C44216" w:rsidRDefault="00995B53" w14:paraId="62CCA95D" w14:textId="77777777">
            <w:pPr>
              <w:pStyle w:val="Standard"/>
              <w:numPr>
                <w:ilvl w:val="0"/>
                <w:numId w:val="15"/>
              </w:numPr>
              <w:spacing w:line="240" w:lineRule="auto"/>
              <w:ind w:left="522"/>
            </w:pPr>
            <w:r w:rsidRPr="00A03B40">
              <w:t>DTL</w:t>
            </w:r>
          </w:p>
          <w:p w:rsidRPr="00A03B40" w:rsidR="00995B53" w:rsidP="00C44216" w:rsidRDefault="00995B53" w14:paraId="608A4181" w14:textId="77777777">
            <w:pPr>
              <w:pStyle w:val="Standard"/>
              <w:numPr>
                <w:ilvl w:val="0"/>
                <w:numId w:val="15"/>
              </w:numPr>
              <w:spacing w:line="240" w:lineRule="auto"/>
              <w:ind w:left="522"/>
            </w:pPr>
            <w:r w:rsidRPr="00A03B40">
              <w:t>OL-1</w:t>
            </w:r>
          </w:p>
        </w:tc>
        <w:tc>
          <w:tcPr>
            <w:tcW w:w="1467" w:type="dxa"/>
          </w:tcPr>
          <w:p w:rsidRPr="00A03B40" w:rsidR="00995B53" w:rsidP="009620AA" w:rsidRDefault="00995B53" w14:paraId="30DC6379" w14:textId="77777777">
            <w:pPr>
              <w:pStyle w:val="Standard"/>
              <w:spacing w:line="240" w:lineRule="auto"/>
              <w:ind w:firstLine="0"/>
            </w:pPr>
          </w:p>
          <w:p w:rsidRPr="00A03B40" w:rsidR="009620AA" w:rsidP="009620AA" w:rsidRDefault="009620AA" w14:paraId="5F13DF42" w14:textId="7AB903F6">
            <w:pPr>
              <w:spacing w:line="240" w:lineRule="auto"/>
              <w:ind w:left="108" w:firstLine="0"/>
            </w:pPr>
            <w:r w:rsidRPr="00A03B40">
              <w:t xml:space="preserve">0.00449          </w:t>
            </w:r>
            <w:proofErr w:type="gramStart"/>
            <w:r w:rsidRPr="00A03B40">
              <w:t>0.00449  0.00449</w:t>
            </w:r>
            <w:proofErr w:type="gramEnd"/>
            <w:r w:rsidRPr="00A03B40">
              <w:t xml:space="preserve">  0.00449 </w:t>
            </w:r>
          </w:p>
          <w:p w:rsidRPr="00A03B40" w:rsidR="009620AA" w:rsidP="009620AA" w:rsidRDefault="009620AA" w14:paraId="32FFE135" w14:textId="549725D5">
            <w:pPr>
              <w:spacing w:line="240" w:lineRule="auto"/>
              <w:ind w:left="108" w:firstLine="0"/>
            </w:pPr>
            <w:r w:rsidRPr="00A03B40">
              <w:t>0.00449</w:t>
            </w:r>
          </w:p>
        </w:tc>
      </w:tr>
      <w:tr w:rsidRPr="00A03B40" w:rsidR="00995B53" w:rsidTr="0019607C" w14:paraId="275A7C6E" w14:textId="77777777">
        <w:trPr>
          <w:jc w:val="center"/>
        </w:trPr>
        <w:tc>
          <w:tcPr>
            <w:tcW w:w="4374" w:type="dxa"/>
          </w:tcPr>
          <w:p w:rsidRPr="00A03B40" w:rsidR="00995B53" w:rsidP="00105E15" w:rsidRDefault="00995B53" w14:paraId="40C0BCCB" w14:textId="77777777">
            <w:pPr>
              <w:pStyle w:val="Standard"/>
              <w:ind w:firstLine="0"/>
              <w:rPr>
                <w:b/>
                <w:bCs/>
              </w:rPr>
            </w:pPr>
            <w:r w:rsidRPr="00A03B40">
              <w:rPr>
                <w:b/>
                <w:bCs/>
              </w:rPr>
              <w:t>Average Rate – All Groups</w:t>
            </w:r>
          </w:p>
        </w:tc>
        <w:tc>
          <w:tcPr>
            <w:tcW w:w="1467" w:type="dxa"/>
          </w:tcPr>
          <w:p w:rsidRPr="00A03B40" w:rsidR="00995B53" w:rsidP="00105E15" w:rsidRDefault="009620AA" w14:paraId="3D179927" w14:textId="0D56928B">
            <w:pPr>
              <w:pStyle w:val="Standard"/>
              <w:ind w:firstLine="0"/>
            </w:pPr>
            <w:r w:rsidRPr="00A03B40">
              <w:t xml:space="preserve">  0.00651</w:t>
            </w:r>
          </w:p>
        </w:tc>
      </w:tr>
    </w:tbl>
    <w:p w:rsidRPr="00A03B40" w:rsidR="001A2C41" w:rsidP="00726249" w:rsidRDefault="001A2C41" w14:paraId="531659F5" w14:textId="5C9257C6">
      <w:pPr>
        <w:pStyle w:val="Heading1"/>
        <w:spacing w:before="240"/>
      </w:pPr>
      <w:bookmarkStart w:name="_Toc214629919" w:id="215"/>
      <w:r w:rsidRPr="00A03B40">
        <w:lastRenderedPageBreak/>
        <w:t xml:space="preserve">Safety and Environmental and </w:t>
      </w:r>
      <w:r w:rsidR="00726249">
        <w:br/>
      </w:r>
      <w:r w:rsidRPr="00A03B40">
        <w:t>Social Justice Considerations</w:t>
      </w:r>
      <w:bookmarkEnd w:id="215"/>
    </w:p>
    <w:p w:rsidRPr="00A03B40" w:rsidR="00AD230B" w:rsidP="00DF16FB" w:rsidRDefault="00DF16FB" w14:paraId="4C3FFEE6" w14:textId="77777777">
      <w:pPr>
        <w:pStyle w:val="Standard"/>
      </w:pPr>
      <w:r w:rsidRPr="00A03B40">
        <w:t xml:space="preserve">The California Legislature enacted AB 32 (Nunez) Stat. 2006, Ch. 488, in part to address the health and safety impacts of GHG emissions, which pose “a serious threat to the economic well-being, public health, natural resources, and the environment of California.” The Legislature found that GHG emissions could result in </w:t>
      </w:r>
    </w:p>
    <w:p w:rsidRPr="00A03B40" w:rsidR="00DF16FB" w:rsidP="00726249" w:rsidRDefault="00DF16FB" w14:paraId="7985DA30" w14:textId="670F2D0B">
      <w:pPr>
        <w:pStyle w:val="Standard"/>
        <w:spacing w:after="240" w:line="240" w:lineRule="auto"/>
        <w:ind w:left="720" w:right="1440" w:firstLine="0"/>
      </w:pPr>
      <w:r w:rsidRPr="00A03B40">
        <w:t xml:space="preserve">the exacerbation of air quality problems, a reduction in the quality and supply of water to the state from the Sierra snowpack, a rise in sea levels resulting in the displacement of thousands of coastal businesses and residences, damage to marine ecosystems and the natural environment, and an increase in the incidences of infectious disease, asthma, and other human health related problems. </w:t>
      </w:r>
    </w:p>
    <w:p w:rsidRPr="00A03B40" w:rsidR="00DF16FB" w:rsidP="00A9145B" w:rsidRDefault="00DF16FB" w14:paraId="42BD8BB8" w14:textId="0A04A58E">
      <w:pPr>
        <w:pStyle w:val="Standard"/>
        <w:widowControl w:val="0"/>
      </w:pPr>
      <w:r w:rsidRPr="00A03B40">
        <w:t xml:space="preserve">This Decision approves SCE’s forecast of GHG costs and allocation of GHG allowance proceeds because it </w:t>
      </w:r>
      <w:bookmarkStart w:name="_Hlk211337159" w:id="216"/>
      <w:r w:rsidRPr="00A03B40">
        <w:t>helps achieve a main goal of AB 32 and Pub. Util. Code § 748.5 and will therefore improve the health and safety of California residents.</w:t>
      </w:r>
      <w:r w:rsidRPr="00A03B40" w:rsidR="00A9145B">
        <w:t xml:space="preserve"> </w:t>
      </w:r>
      <w:bookmarkStart w:name="_Hlk211337195" w:id="217"/>
      <w:bookmarkEnd w:id="216"/>
      <w:r w:rsidRPr="00A03B40">
        <w:t xml:space="preserve">The provision of F&amp;PP inherently assumes that all power providers are fully compliant with laws, rules, regulations, and </w:t>
      </w:r>
      <w:proofErr w:type="gramStart"/>
      <w:r w:rsidRPr="00A03B40">
        <w:t>internally-managed</w:t>
      </w:r>
      <w:proofErr w:type="gramEnd"/>
      <w:r w:rsidRPr="00A03B40">
        <w:t xml:space="preserve"> controls to help ensure that their generating facilities are operated and maintained in a safe working condition. </w:t>
      </w:r>
      <w:bookmarkEnd w:id="217"/>
    </w:p>
    <w:p w:rsidRPr="00A03B40" w:rsidR="00DF16FB" w:rsidP="00DF16FB" w:rsidRDefault="00DF16FB" w14:paraId="61210634" w14:textId="3E544A92">
      <w:pPr>
        <w:pStyle w:val="Standard"/>
      </w:pPr>
      <w:r w:rsidRPr="00A03B40">
        <w:t>No party raised any Environmental or Social Justice concerns related to the Application.</w:t>
      </w:r>
    </w:p>
    <w:p w:rsidRPr="00A03B40" w:rsidR="001A2C41" w:rsidP="001A2C41" w:rsidRDefault="001A2C41" w14:paraId="37EFC241" w14:textId="1211C3FC">
      <w:pPr>
        <w:pStyle w:val="Heading1"/>
      </w:pPr>
      <w:bookmarkStart w:name="_Toc214629920" w:id="218"/>
      <w:r w:rsidRPr="00A03B40">
        <w:t xml:space="preserve">Compliance with the Authority </w:t>
      </w:r>
      <w:r w:rsidR="00726249">
        <w:br/>
      </w:r>
      <w:r w:rsidRPr="00A03B40">
        <w:t>Granted Herein</w:t>
      </w:r>
      <w:bookmarkEnd w:id="218"/>
      <w:r w:rsidRPr="00A03B40">
        <w:t xml:space="preserve"> </w:t>
      </w:r>
    </w:p>
    <w:p w:rsidRPr="00A03B40" w:rsidR="00DF16FB" w:rsidP="00DF16FB" w:rsidRDefault="00DF16FB" w14:paraId="1E94D030" w14:textId="6F4FDC8D">
      <w:pPr>
        <w:pStyle w:val="Standard"/>
      </w:pPr>
      <w:r w:rsidRPr="00A03B40">
        <w:t>We authorize SCE to update the final 2025 year-end balances with recorded actual values (actuals) through October 2025 and forecast</w:t>
      </w:r>
      <w:r w:rsidRPr="00A03B40" w:rsidR="00A9145B">
        <w:t>s</w:t>
      </w:r>
      <w:r w:rsidRPr="00A03B40">
        <w:t xml:space="preserve"> for November and December 2025. These balances, as well as the 2026 forecasts, shall utilize the most updated MPB values available. If SCE has its November </w:t>
      </w:r>
      <w:r w:rsidRPr="00A03B40">
        <w:lastRenderedPageBreak/>
        <w:t>2025 actuals available in time for submitting its Advice Letter, those should be included rather than a November forecast.</w:t>
      </w:r>
      <w:r w:rsidRPr="00A03B40">
        <w:rPr>
          <w:rStyle w:val="FootnoteReference"/>
        </w:rPr>
        <w:footnoteReference w:id="458"/>
      </w:r>
      <w:r w:rsidRPr="00A03B40">
        <w:t xml:space="preserve"> </w:t>
      </w:r>
    </w:p>
    <w:p w:rsidRPr="00A03B40" w:rsidR="005B4CE9" w:rsidP="00DF16FB" w:rsidRDefault="00DF16FB" w14:paraId="7C804BF4" w14:textId="150512EB">
      <w:pPr>
        <w:pStyle w:val="Standard"/>
      </w:pPr>
      <w:r w:rsidRPr="00A03B40">
        <w:t>SCE shall submit a Tier 1 Advice Letter to the Commission’s Energy Division within 30 days of the date of issuance of this Decision to implement the revenue requirements adopted in this Decision. The tariff sheets filed in this Advice Letter shall be effective on or after the date filed, subject to the Commission’s Energy Division determining that SCE’s Advice Letter complies with this Decision. SCE is further authorized to implement the revenue requirement adopted in this proceeding, as updated to reflect October – November 2025 actuals and forecasts for December 2025, in its advice letter for rates to be effective starting January 1, 2026.</w:t>
      </w:r>
    </w:p>
    <w:p w:rsidRPr="00A03B40" w:rsidR="00603238" w:rsidP="00FA1B4F" w:rsidRDefault="00603238" w14:paraId="24F95B73" w14:textId="44FD8941">
      <w:pPr>
        <w:pStyle w:val="Heading1"/>
      </w:pPr>
      <w:bookmarkStart w:name="_Toc214629921" w:id="219"/>
      <w:r w:rsidRPr="00A03B40">
        <w:t>Summary of Public Comment</w:t>
      </w:r>
      <w:bookmarkStart w:name="_Toc8123721" w:id="220"/>
      <w:bookmarkEnd w:id="219"/>
    </w:p>
    <w:p w:rsidRPr="00A03B40" w:rsidR="00603238" w:rsidP="00284D8D" w:rsidRDefault="00603238" w14:paraId="6F89A5B1" w14:textId="7C4F739E">
      <w:pPr>
        <w:rPr>
          <w:rFonts w:ascii="Calibri" w:hAnsi="Calibri"/>
          <w:sz w:val="22"/>
        </w:rPr>
      </w:pPr>
      <w:r w:rsidRPr="00A03B40">
        <w:t>Rule 1.18 allows any member of the public to submit written comment in any Commission proceeding using the “Public Comment” tab of the online Docket Card for that proceeding on the Commission’s website.</w:t>
      </w:r>
      <w:r w:rsidRPr="00A03B40" w:rsidR="002A68CA">
        <w:t xml:space="preserve"> </w:t>
      </w:r>
      <w:r w:rsidRPr="00A03B40">
        <w:t>Rule 1.18(b) requires that relevant written comment submitted in a proceeding be summarized in the final decision issued in that proceeding.</w:t>
      </w:r>
    </w:p>
    <w:p w:rsidRPr="00A03B40" w:rsidR="00603238" w:rsidP="00603238" w:rsidRDefault="00343378" w14:paraId="0EA662AD" w14:textId="69ACB3D8">
      <w:pPr>
        <w:pStyle w:val="Standard"/>
      </w:pPr>
      <w:r w:rsidRPr="00A03B40">
        <w:t xml:space="preserve">As of October </w:t>
      </w:r>
      <w:r w:rsidRPr="00A03B40" w:rsidR="00614D9F">
        <w:t>27</w:t>
      </w:r>
      <w:r w:rsidRPr="00A03B40">
        <w:t xml:space="preserve">, 2025, the Commission has received six public comments on the Docket Card for this proceeding. Some commenters welcome the rate decrease proposed by </w:t>
      </w:r>
      <w:proofErr w:type="gramStart"/>
      <w:r w:rsidRPr="00A03B40" w:rsidR="00851865">
        <w:t>SCE’s</w:t>
      </w:r>
      <w:proofErr w:type="gramEnd"/>
      <w:r w:rsidRPr="00A03B40">
        <w:t xml:space="preserve"> May </w:t>
      </w:r>
      <w:r w:rsidRPr="00A03B40" w:rsidR="00614D9F">
        <w:t>Filing</w:t>
      </w:r>
      <w:r w:rsidRPr="00A03B40">
        <w:t xml:space="preserve">. Some commenters welcome the rate decrease proposed by the May </w:t>
      </w:r>
      <w:r w:rsidRPr="00A03B40" w:rsidR="00614D9F">
        <w:t>Filing</w:t>
      </w:r>
      <w:r w:rsidRPr="00A03B40">
        <w:t xml:space="preserve"> and state that if the October </w:t>
      </w:r>
      <w:r w:rsidRPr="00A03B40" w:rsidR="00D97C80">
        <w:t>Update</w:t>
      </w:r>
      <w:r w:rsidRPr="00A03B40">
        <w:t xml:space="preserve"> results in a rate increase, they oppose approval. Some commenters state that they do not know how the rate increase or decrease is calculated and question whether the </w:t>
      </w:r>
      <w:r w:rsidRPr="00A03B40">
        <w:lastRenderedPageBreak/>
        <w:t xml:space="preserve">Commission knows how the rate increase or decrease is calculated. One commenter requested an SCE </w:t>
      </w:r>
      <w:r w:rsidRPr="00A03B40" w:rsidR="00851865">
        <w:t>b</w:t>
      </w:r>
      <w:r w:rsidRPr="00A03B40">
        <w:t xml:space="preserve">alance </w:t>
      </w:r>
      <w:r w:rsidRPr="00A03B40" w:rsidR="00851865">
        <w:t>s</w:t>
      </w:r>
      <w:r w:rsidRPr="00A03B40">
        <w:t>heet.</w:t>
      </w:r>
    </w:p>
    <w:p w:rsidRPr="00A03B40" w:rsidR="004A1EAD" w:rsidP="004A1EAD" w:rsidRDefault="004A1EAD" w14:paraId="1184AAA5" w14:textId="263BD838">
      <w:pPr>
        <w:pStyle w:val="Heading1"/>
      </w:pPr>
      <w:bookmarkStart w:name="_Toc214629922" w:id="221"/>
      <w:bookmarkEnd w:id="220"/>
      <w:r w:rsidRPr="00A03B40">
        <w:t>Procedural Matters</w:t>
      </w:r>
      <w:bookmarkStart w:name="_Toc8123723" w:id="222"/>
      <w:r w:rsidRPr="00A03B40" w:rsidR="006F693E">
        <w:t xml:space="preserve">: Motions for Entry of </w:t>
      </w:r>
      <w:r w:rsidR="008907C0">
        <w:br/>
      </w:r>
      <w:r w:rsidRPr="00A03B40" w:rsidR="006F693E">
        <w:t>Testimony and to Seal Portions of the Record</w:t>
      </w:r>
      <w:bookmarkEnd w:id="221"/>
    </w:p>
    <w:p w:rsidRPr="00A03B40" w:rsidR="00796453" w:rsidP="00796453" w:rsidRDefault="00796453" w14:paraId="3A75C5AA" w14:textId="77777777">
      <w:pPr>
        <w:pStyle w:val="Standard"/>
      </w:pPr>
      <w:r w:rsidRPr="00A03B40">
        <w:t xml:space="preserve">On September 16, 2025, SCE filed a motion requesting leave to file a confidential version of the September 16, </w:t>
      </w:r>
      <w:proofErr w:type="gramStart"/>
      <w:r w:rsidRPr="00A03B40">
        <w:t>2025</w:t>
      </w:r>
      <w:proofErr w:type="gramEnd"/>
      <w:r w:rsidRPr="00A03B40">
        <w:t xml:space="preserve"> Joint Case Management Statement. </w:t>
      </w:r>
    </w:p>
    <w:p w:rsidRPr="00A03B40" w:rsidR="006F693E" w:rsidP="004A1EAD" w:rsidRDefault="006F554F" w14:paraId="36984031" w14:textId="2EBC4EBC">
      <w:pPr>
        <w:pStyle w:val="Standard"/>
      </w:pPr>
      <w:r w:rsidRPr="00A03B40">
        <w:t xml:space="preserve">On October 28, 2025, </w:t>
      </w:r>
      <w:r w:rsidRPr="00A03B40" w:rsidR="00375CD7">
        <w:t xml:space="preserve">SCE and </w:t>
      </w:r>
      <w:proofErr w:type="spellStart"/>
      <w:r w:rsidRPr="00A03B40" w:rsidR="00375CD7">
        <w:t>CalCCA</w:t>
      </w:r>
      <w:proofErr w:type="spellEnd"/>
      <w:r w:rsidRPr="00A03B40" w:rsidR="00375CD7">
        <w:t xml:space="preserve"> filed a </w:t>
      </w:r>
      <w:r w:rsidRPr="00A03B40" w:rsidR="006F693E">
        <w:t>J</w:t>
      </w:r>
      <w:r w:rsidRPr="00A03B40" w:rsidR="00375CD7">
        <w:t xml:space="preserve">oint </w:t>
      </w:r>
      <w:r w:rsidRPr="00A03B40" w:rsidR="006F693E">
        <w:t>M</w:t>
      </w:r>
      <w:r w:rsidRPr="00A03B40" w:rsidR="00375CD7">
        <w:t xml:space="preserve">otion </w:t>
      </w:r>
      <w:r w:rsidRPr="00A03B40" w:rsidR="006F693E">
        <w:t>to Offer</w:t>
      </w:r>
      <w:r w:rsidRPr="00A03B40" w:rsidR="00375CD7">
        <w:t xml:space="preserve"> </w:t>
      </w:r>
      <w:r w:rsidRPr="00A03B40" w:rsidR="006F693E">
        <w:t>Prepared T</w:t>
      </w:r>
      <w:r w:rsidRPr="00A03B40" w:rsidR="00375CD7">
        <w:t>estimon</w:t>
      </w:r>
      <w:r w:rsidRPr="00A03B40" w:rsidR="006F693E">
        <w:t>ies and Exhibits</w:t>
      </w:r>
      <w:r w:rsidRPr="00A03B40" w:rsidR="00375CD7">
        <w:t xml:space="preserve"> </w:t>
      </w:r>
      <w:r w:rsidRPr="00A03B40" w:rsidR="006F693E">
        <w:t xml:space="preserve">into Evidence </w:t>
      </w:r>
      <w:r w:rsidRPr="00A03B40" w:rsidR="00375CD7">
        <w:t>pursuant to Rules 11.1</w:t>
      </w:r>
      <w:r w:rsidRPr="00A03B40" w:rsidR="006F693E">
        <w:t>,</w:t>
      </w:r>
      <w:r w:rsidRPr="00A03B40" w:rsidR="00375CD7">
        <w:t xml:space="preserve"> 13.8</w:t>
      </w:r>
      <w:r w:rsidRPr="00A03B40" w:rsidR="006F693E">
        <w:t>, and 13.11</w:t>
      </w:r>
      <w:r w:rsidRPr="00A03B40" w:rsidR="00375CD7">
        <w:t xml:space="preserve"> of the Commission’s Rules</w:t>
      </w:r>
      <w:r w:rsidRPr="00A03B40" w:rsidR="006F693E">
        <w:t>, as well as a Joint Motion to Seal a Portion of the Evidentiary Record</w:t>
      </w:r>
      <w:r w:rsidRPr="00A03B40" w:rsidR="00375CD7">
        <w:t xml:space="preserve">. </w:t>
      </w:r>
      <w:r w:rsidRPr="00A03B40">
        <w:t xml:space="preserve">SCE requests that the Commission admit Exhibits SCE-01, SCE-02, SCE-03, SCE-04, SCE-05, SCE-05A, SCE-06, and SCE-07 into the evidentiary record. </w:t>
      </w:r>
      <w:r w:rsidRPr="00A03B40" w:rsidR="006F693E">
        <w:t>SCE reque</w:t>
      </w:r>
      <w:r w:rsidRPr="00A03B40">
        <w:t>sts that the Commission</w:t>
      </w:r>
      <w:r w:rsidRPr="00A03B40" w:rsidR="006F693E">
        <w:t xml:space="preserve"> seal Exhibits </w:t>
      </w:r>
      <w:r w:rsidRPr="00A03B40">
        <w:t xml:space="preserve">SCE-01C, SCE-02C, SCE-05C, SCE-05AC, and SCE-07C. </w:t>
      </w:r>
      <w:proofErr w:type="spellStart"/>
      <w:r w:rsidRPr="00A03B40">
        <w:t>CalCCA</w:t>
      </w:r>
      <w:proofErr w:type="spellEnd"/>
      <w:r w:rsidRPr="00A03B40">
        <w:t xml:space="preserve"> requests that the Commission admit Exhibits CalCCA-01 and CalCCA-02 in the evidentiary record; </w:t>
      </w:r>
      <w:proofErr w:type="spellStart"/>
      <w:r w:rsidRPr="00A03B40">
        <w:t>CalCCA</w:t>
      </w:r>
      <w:proofErr w:type="spellEnd"/>
      <w:r w:rsidRPr="00A03B40">
        <w:t xml:space="preserve"> requests that we seal CalCCA-01C and CalCCA-02C.</w:t>
      </w:r>
    </w:p>
    <w:p w:rsidRPr="00A03B40" w:rsidR="006F554F" w:rsidP="004A1EAD" w:rsidRDefault="006F554F" w14:paraId="03C89672" w14:textId="31365B8C">
      <w:pPr>
        <w:pStyle w:val="Standard"/>
      </w:pPr>
      <w:r w:rsidRPr="00A03B40">
        <w:t xml:space="preserve">On October 29, 2025, SCE and </w:t>
      </w:r>
      <w:proofErr w:type="spellStart"/>
      <w:r w:rsidRPr="00A03B40">
        <w:t>CalCCA</w:t>
      </w:r>
      <w:proofErr w:type="spellEnd"/>
      <w:r w:rsidRPr="00A03B40">
        <w:t xml:space="preserve"> each filed motions requesting leave to file </w:t>
      </w:r>
      <w:r w:rsidRPr="00A03B40" w:rsidR="00A03B40">
        <w:t xml:space="preserve">confidential versions of </w:t>
      </w:r>
      <w:r w:rsidRPr="00A03B40">
        <w:t xml:space="preserve">their Opening Brief or Opening Briefs/Comments on SCE’s Amended October Update, respectively, under seal. On November 4, 2025, SCE and </w:t>
      </w:r>
      <w:proofErr w:type="spellStart"/>
      <w:r w:rsidRPr="00A03B40">
        <w:t>CalCCA</w:t>
      </w:r>
      <w:proofErr w:type="spellEnd"/>
      <w:r w:rsidRPr="00A03B40">
        <w:t xml:space="preserve"> each filed motions requesting leave to file </w:t>
      </w:r>
      <w:r w:rsidRPr="00A03B40" w:rsidR="00A03B40">
        <w:t xml:space="preserve">confidential versions of </w:t>
      </w:r>
      <w:r w:rsidRPr="00A03B40">
        <w:t xml:space="preserve">their Reply Briefs under seal. </w:t>
      </w:r>
    </w:p>
    <w:p w:rsidRPr="00A03B40" w:rsidR="004A1EAD" w:rsidP="004A1EAD" w:rsidRDefault="00796453" w14:paraId="299335A3" w14:textId="251B02B2">
      <w:pPr>
        <w:pStyle w:val="Standard"/>
      </w:pPr>
      <w:r>
        <w:t xml:space="preserve">No party has opposed these motions. </w:t>
      </w:r>
      <w:r w:rsidRPr="00A03B40" w:rsidR="00D97C80">
        <w:t>Good cause having been shown and given compliance with procedural requirements, these motions are granted. T</w:t>
      </w:r>
      <w:r w:rsidRPr="00A03B40" w:rsidR="004A1EAD">
        <w:t>his decision affirms all rulings made by the Administrative Law Judge and assigned Commissioner in this proceeding. All motions not ruled on are deemed denied.</w:t>
      </w:r>
    </w:p>
    <w:p w:rsidRPr="00A03B40" w:rsidR="005939A5" w:rsidP="005939A5" w:rsidRDefault="005939A5" w14:paraId="0F7D82D0" w14:textId="77777777">
      <w:pPr>
        <w:pStyle w:val="Heading1"/>
      </w:pPr>
      <w:bookmarkStart w:name="_Toc214629923" w:id="223"/>
      <w:r w:rsidRPr="00A03B40">
        <w:t>Comments on Proposed Decision</w:t>
      </w:r>
      <w:bookmarkEnd w:id="222"/>
      <w:bookmarkEnd w:id="223"/>
    </w:p>
    <w:p w:rsidR="00D72DA4" w:rsidP="00827833" w:rsidRDefault="005C58FA" w14:paraId="77DD332B" w14:textId="199F7EF0">
      <w:pPr>
        <w:pStyle w:val="Standard"/>
      </w:pPr>
      <w:r w:rsidRPr="00A03B40">
        <w:t xml:space="preserve">The proposed decision of </w:t>
      </w:r>
      <w:r w:rsidR="00C33734">
        <w:t>Administrative Law Judge (</w:t>
      </w:r>
      <w:r w:rsidRPr="00A03B40">
        <w:t>ALJ</w:t>
      </w:r>
      <w:r w:rsidR="00C33734">
        <w:t>)</w:t>
      </w:r>
      <w:r w:rsidRPr="00A03B40">
        <w:t xml:space="preserve"> </w:t>
      </w:r>
      <w:r w:rsidRPr="00A03B40" w:rsidR="00827833">
        <w:t>Eileen Odell</w:t>
      </w:r>
      <w:r w:rsidRPr="00A03B40">
        <w:t xml:space="preserve"> was mailed to the parties in accordance with Section 311 of the Public Utilities </w:t>
      </w:r>
      <w:r w:rsidRPr="00A03B40">
        <w:lastRenderedPageBreak/>
        <w:t>Code and comments were allowed under Rule 14.3 of the Commission’s Rules of Practice and Procedure.</w:t>
      </w:r>
      <w:r w:rsidRPr="00A03B40" w:rsidR="002A68CA">
        <w:t xml:space="preserve"> </w:t>
      </w:r>
      <w:r w:rsidR="00D72DA4">
        <w:t>Opening c</w:t>
      </w:r>
      <w:r w:rsidRPr="00A03B40">
        <w:t xml:space="preserve">omments were filed on </w:t>
      </w:r>
      <w:r w:rsidR="00D72DA4">
        <w:t xml:space="preserve">December 4, </w:t>
      </w:r>
      <w:proofErr w:type="gramStart"/>
      <w:r w:rsidR="00D72DA4">
        <w:t>2025</w:t>
      </w:r>
      <w:proofErr w:type="gramEnd"/>
      <w:r w:rsidR="00D72DA4">
        <w:t xml:space="preserve"> by </w:t>
      </w:r>
      <w:proofErr w:type="spellStart"/>
      <w:r w:rsidR="00D72DA4">
        <w:t>CalCCA</w:t>
      </w:r>
      <w:proofErr w:type="spellEnd"/>
      <w:r w:rsidR="00D72DA4">
        <w:t xml:space="preserve"> and SCE</w:t>
      </w:r>
      <w:r w:rsidRPr="00A03B40">
        <w:t xml:space="preserve">, and reply comments were filed on </w:t>
      </w:r>
      <w:r w:rsidR="00D72DA4">
        <w:t xml:space="preserve">December 9, </w:t>
      </w:r>
      <w:proofErr w:type="gramStart"/>
      <w:r w:rsidR="00D72DA4">
        <w:t>2025</w:t>
      </w:r>
      <w:proofErr w:type="gramEnd"/>
      <w:r w:rsidRPr="00A03B40" w:rsidR="00D72DA4">
        <w:t xml:space="preserve"> </w:t>
      </w:r>
      <w:r w:rsidRPr="00A03B40">
        <w:t xml:space="preserve">by </w:t>
      </w:r>
      <w:proofErr w:type="spellStart"/>
      <w:r w:rsidR="00D72DA4">
        <w:t>CalCCA</w:t>
      </w:r>
      <w:proofErr w:type="spellEnd"/>
      <w:r w:rsidR="00D72DA4">
        <w:t xml:space="preserve"> and SCE</w:t>
      </w:r>
      <w:r w:rsidRPr="00A03B40">
        <w:t>.</w:t>
      </w:r>
    </w:p>
    <w:p w:rsidRPr="00644C8C" w:rsidR="00644C8C" w:rsidP="00644C8C" w:rsidRDefault="00644C8C" w14:paraId="762BCFE2" w14:textId="6034D272">
      <w:pPr>
        <w:pStyle w:val="Standard"/>
      </w:pPr>
      <w:r w:rsidRPr="00644C8C">
        <w:t xml:space="preserve">We have considered opening and </w:t>
      </w:r>
      <w:proofErr w:type="gramStart"/>
      <w:r w:rsidRPr="00644C8C">
        <w:t>reply</w:t>
      </w:r>
      <w:proofErr w:type="gramEnd"/>
      <w:r w:rsidRPr="00644C8C">
        <w:t xml:space="preserve"> comments on the proposed decision and the following modification</w:t>
      </w:r>
      <w:r>
        <w:t>s</w:t>
      </w:r>
      <w:r w:rsidRPr="00644C8C">
        <w:t xml:space="preserve"> have been made. In response to comments on the proposed decision, we have modified Section 8 to replace the language “in its last two ERRA forecast decisions” with “in SCE’s 2024 ERRA forecast decision and approved it in SCE’s 2025 ERRA forecast decision for that proceeding.” In the same section, we have replaced the language “on an interim basis” with “in SCE’s prior two ERRA forecast proceedings.” </w:t>
      </w:r>
      <w:proofErr w:type="gramStart"/>
      <w:r w:rsidRPr="00644C8C">
        <w:t>Finding</w:t>
      </w:r>
      <w:proofErr w:type="gramEnd"/>
      <w:r w:rsidRPr="00644C8C">
        <w:t xml:space="preserve"> of Fact 126 </w:t>
      </w:r>
      <w:proofErr w:type="gramStart"/>
      <w:r w:rsidRPr="00644C8C">
        <w:t>was</w:t>
      </w:r>
      <w:proofErr w:type="gramEnd"/>
      <w:r w:rsidRPr="00644C8C">
        <w:t xml:space="preserve"> also modified to align with these changes.</w:t>
      </w:r>
      <w:r w:rsidR="000E27CC">
        <w:rPr>
          <w:rStyle w:val="FootnoteReference"/>
        </w:rPr>
        <w:footnoteReference w:id="459"/>
      </w:r>
    </w:p>
    <w:p w:rsidRPr="00644C8C" w:rsidR="00644C8C" w:rsidP="00644C8C" w:rsidRDefault="00644C8C" w14:paraId="3DEE1FFC" w14:textId="0373E129">
      <w:pPr>
        <w:pStyle w:val="Standard"/>
      </w:pPr>
      <w:r w:rsidRPr="00644C8C">
        <w:t>In response to comments on the proposed decision, we have corrected the nameplate capacity of SCE’s Mountain</w:t>
      </w:r>
      <w:r w:rsidR="007F36B1">
        <w:t>v</w:t>
      </w:r>
      <w:r w:rsidRPr="00644C8C">
        <w:t xml:space="preserve">iew </w:t>
      </w:r>
      <w:r w:rsidR="007F36B1">
        <w:t xml:space="preserve">Generation </w:t>
      </w:r>
      <w:r w:rsidRPr="00644C8C">
        <w:t>Station in Section 5 and in Finding of Fact 13.</w:t>
      </w:r>
      <w:r w:rsidR="000E27CC">
        <w:rPr>
          <w:rStyle w:val="FootnoteReference"/>
        </w:rPr>
        <w:footnoteReference w:id="460"/>
      </w:r>
      <w:r w:rsidRPr="00644C8C">
        <w:t xml:space="preserve"> </w:t>
      </w:r>
    </w:p>
    <w:p w:rsidRPr="00A03B40" w:rsidR="00FD0C7D" w:rsidP="00FD0C7D" w:rsidRDefault="00644C8C" w14:paraId="4B9E33B1" w14:textId="16ABCBC9">
      <w:pPr>
        <w:pStyle w:val="Standard"/>
      </w:pPr>
      <w:r w:rsidRPr="00644C8C">
        <w:t>Finally, we have corrected typographical errors and page and line citations to the record noted in comments on the proposed decision.</w:t>
      </w:r>
      <w:r w:rsidR="000E27CC">
        <w:rPr>
          <w:rStyle w:val="FootnoteReference"/>
        </w:rPr>
        <w:footnoteReference w:id="461"/>
      </w:r>
    </w:p>
    <w:p w:rsidRPr="00A03B40" w:rsidR="005939A5" w:rsidP="005939A5" w:rsidRDefault="005939A5" w14:paraId="1A97E5AF" w14:textId="77777777">
      <w:pPr>
        <w:pStyle w:val="Heading1"/>
      </w:pPr>
      <w:bookmarkStart w:name="_Toc8123724" w:id="224"/>
      <w:bookmarkStart w:name="_Toc214629924" w:id="225"/>
      <w:r w:rsidRPr="00A03B40">
        <w:t>Assignment of Proceeding</w:t>
      </w:r>
      <w:bookmarkEnd w:id="224"/>
      <w:bookmarkEnd w:id="225"/>
    </w:p>
    <w:p w:rsidRPr="00A03B40" w:rsidR="005939A5" w:rsidP="006E6574" w:rsidRDefault="00827833" w14:paraId="5053204C" w14:textId="42B1688E">
      <w:pPr>
        <w:pStyle w:val="Standard"/>
      </w:pPr>
      <w:r w:rsidRPr="00A03B40">
        <w:t xml:space="preserve">Commissioner John Reynolds </w:t>
      </w:r>
      <w:r w:rsidRPr="00A03B40" w:rsidR="005939A5">
        <w:t xml:space="preserve">is the assigned Commissioner and </w:t>
      </w:r>
      <w:r w:rsidRPr="00A03B40">
        <w:t>Eileen</w:t>
      </w:r>
      <w:r w:rsidR="00726249">
        <w:t> </w:t>
      </w:r>
      <w:r w:rsidRPr="00A03B40">
        <w:t>Odell</w:t>
      </w:r>
      <w:r w:rsidRPr="00A03B40" w:rsidR="005939A5">
        <w:t xml:space="preserve"> is the assigned </w:t>
      </w:r>
      <w:r w:rsidR="00C33734">
        <w:t>ALJ</w:t>
      </w:r>
      <w:r w:rsidRPr="00A03B40" w:rsidR="005939A5">
        <w:t xml:space="preserve"> in this proceeding.</w:t>
      </w:r>
    </w:p>
    <w:p w:rsidRPr="00A03B40" w:rsidR="005939A5" w:rsidP="005939A5" w:rsidRDefault="005939A5" w14:paraId="200AE684" w14:textId="77777777">
      <w:pPr>
        <w:pStyle w:val="Dummy"/>
      </w:pPr>
      <w:bookmarkStart w:name="_Toc8123725" w:id="226"/>
      <w:bookmarkStart w:name="_Toc214629925" w:id="227"/>
      <w:r w:rsidRPr="00A03B40">
        <w:t>Findings of Fact</w:t>
      </w:r>
      <w:bookmarkEnd w:id="226"/>
      <w:bookmarkEnd w:id="227"/>
    </w:p>
    <w:p w:rsidRPr="00A03B40" w:rsidR="00D517CF" w:rsidP="00D74CBB" w:rsidRDefault="00D517CF" w14:paraId="6CC0CE91" w14:textId="507F2D13">
      <w:pPr>
        <w:pStyle w:val="FOFList"/>
        <w:numPr>
          <w:ilvl w:val="0"/>
          <w:numId w:val="22"/>
        </w:numPr>
        <w:ind w:left="0" w:firstLine="360"/>
      </w:pPr>
      <w:bookmarkStart w:name="_Hlk213051153" w:id="228"/>
      <w:proofErr w:type="gramStart"/>
      <w:r w:rsidRPr="00A03B40">
        <w:t>SCE’s</w:t>
      </w:r>
      <w:proofErr w:type="gramEnd"/>
      <w:r w:rsidRPr="00A03B40">
        <w:t xml:space="preserve"> proposed 2026 ERRA forecast revenue requirement includes its 2026 forecasts of electricity procurement costs, including expenses associated with </w:t>
      </w:r>
      <w:r w:rsidRPr="00A03B40">
        <w:lastRenderedPageBreak/>
        <w:t>F&amp;PP, UOG, CAISO related costs, and costs associated with the residual net short procurement requirements to serve bundled electric service customers. The forecast also includes a true</w:t>
      </w:r>
      <w:r w:rsidR="006E0D77">
        <w:t xml:space="preserve"> </w:t>
      </w:r>
      <w:r w:rsidRPr="00A03B40">
        <w:t xml:space="preserve">up of </w:t>
      </w:r>
      <w:proofErr w:type="gramStart"/>
      <w:r w:rsidRPr="00A03B40">
        <w:t>these</w:t>
      </w:r>
      <w:proofErr w:type="gramEnd"/>
      <w:r w:rsidRPr="00A03B40">
        <w:t xml:space="preserve"> costs incurred in 2025, as well as a forecast of GHG emissions costs, and </w:t>
      </w:r>
      <w:proofErr w:type="gramStart"/>
      <w:r w:rsidRPr="00A03B40">
        <w:t>SCE’s</w:t>
      </w:r>
      <w:proofErr w:type="gramEnd"/>
      <w:r w:rsidRPr="00A03B40">
        <w:t xml:space="preserve"> proposed GHG allowance revenue returns. Finally, SCE’s forecast includes its calculation of the 2026 </w:t>
      </w:r>
      <w:r w:rsidRPr="00A03B40" w:rsidR="001479EE">
        <w:t>Indifference Adjustment</w:t>
      </w:r>
      <w:r w:rsidRPr="00A03B40">
        <w:t>.</w:t>
      </w:r>
    </w:p>
    <w:p w:rsidRPr="00A03B40" w:rsidR="00D517CF" w:rsidP="00D74CBB" w:rsidRDefault="00D517CF" w14:paraId="3BC1705C" w14:textId="41A37F04">
      <w:pPr>
        <w:pStyle w:val="FOFList"/>
        <w:numPr>
          <w:ilvl w:val="0"/>
          <w:numId w:val="22"/>
        </w:numPr>
        <w:ind w:left="0" w:firstLine="360"/>
      </w:pPr>
      <w:r w:rsidRPr="00A03B40">
        <w:t xml:space="preserve">SCE’s 2026 </w:t>
      </w:r>
      <w:proofErr w:type="gramStart"/>
      <w:r w:rsidRPr="00A03B40">
        <w:t>total forecast</w:t>
      </w:r>
      <w:proofErr w:type="gramEnd"/>
      <w:r w:rsidRPr="00A03B40">
        <w:t xml:space="preserve"> ERRA revenue requirement is $4.</w:t>
      </w:r>
      <w:r w:rsidRPr="00A03B40" w:rsidR="004652D3">
        <w:t>68</w:t>
      </w:r>
      <w:r w:rsidRPr="00A03B40">
        <w:t>9 billion, which is $2</w:t>
      </w:r>
      <w:r w:rsidRPr="00A03B40" w:rsidR="004652D3">
        <w:t>28.520</w:t>
      </w:r>
      <w:r w:rsidRPr="00A03B40">
        <w:t xml:space="preserve"> million greater than the 2025 ERRA</w:t>
      </w:r>
      <w:r w:rsidRPr="00A03B40" w:rsidR="001479EE">
        <w:t xml:space="preserve">-related </w:t>
      </w:r>
      <w:r w:rsidRPr="00A03B40">
        <w:t>revenue requirement</w:t>
      </w:r>
      <w:r w:rsidRPr="00A03B40" w:rsidR="001479EE">
        <w:t xml:space="preserve"> in current rates</w:t>
      </w:r>
      <w:r w:rsidRPr="00A03B40">
        <w:t>.</w:t>
      </w:r>
    </w:p>
    <w:p w:rsidRPr="00A03B40" w:rsidR="00D517CF" w:rsidP="00C44216" w:rsidRDefault="00D517CF" w14:paraId="3247C5DC" w14:textId="472E9D79">
      <w:pPr>
        <w:pStyle w:val="FOFList"/>
        <w:numPr>
          <w:ilvl w:val="0"/>
          <w:numId w:val="22"/>
        </w:numPr>
        <w:ind w:left="0" w:firstLine="360"/>
      </w:pPr>
      <w:r w:rsidRPr="00A03B40">
        <w:t xml:space="preserve">SCE used econometric modelling to forecast its 2026 total retail sales estimate, from which it deducted estimated DL sales to arrive at its 2026 bundled customer sales forecast. The resulting forecast is adjusted for line losses and to account for </w:t>
      </w:r>
      <w:r w:rsidRPr="00A03B40" w:rsidR="004652D3">
        <w:t>NEM</w:t>
      </w:r>
      <w:r w:rsidRPr="00A03B40">
        <w:t xml:space="preserve"> energy exports.</w:t>
      </w:r>
    </w:p>
    <w:p w:rsidRPr="00A03B40" w:rsidR="00D517CF" w:rsidP="00C44216" w:rsidRDefault="00D517CF" w14:paraId="067E49E3" w14:textId="3C1D72DE">
      <w:pPr>
        <w:pStyle w:val="FOFList"/>
        <w:numPr>
          <w:ilvl w:val="0"/>
          <w:numId w:val="22"/>
        </w:numPr>
        <w:ind w:left="0" w:firstLine="360"/>
      </w:pPr>
      <w:r w:rsidRPr="00A03B40">
        <w:t>SCE forecasts hourly loads by applying a</w:t>
      </w:r>
      <w:r w:rsidR="00143AA9">
        <w:t xml:space="preserve"> modeled</w:t>
      </w:r>
      <w:r w:rsidRPr="00A03B40">
        <w:t xml:space="preserve"> hourly load shape to the annual bundled energy forecast. </w:t>
      </w:r>
    </w:p>
    <w:p w:rsidRPr="00A03B40" w:rsidR="00D517CF" w:rsidP="00C44216" w:rsidRDefault="00D517CF" w14:paraId="35E54F73" w14:textId="77777777">
      <w:pPr>
        <w:pStyle w:val="FOFList"/>
        <w:numPr>
          <w:ilvl w:val="0"/>
          <w:numId w:val="22"/>
        </w:numPr>
        <w:ind w:left="0" w:firstLine="360"/>
      </w:pPr>
      <w:r w:rsidRPr="00A03B40">
        <w:t>SCE forecast a slight decrease in total retail electricity sales in 2025, from 79,502 GWh recorded in 2024 to a forecast of 78,773 GWh in 2025. SCE forecasts a slight increase in 2026, for a total retail sales forecast of 80,447 GWh.</w:t>
      </w:r>
    </w:p>
    <w:p w:rsidRPr="00A03B40" w:rsidR="00D517CF" w:rsidP="00C44216" w:rsidRDefault="00D517CF" w14:paraId="3925BB48" w14:textId="77777777">
      <w:pPr>
        <w:pStyle w:val="FOFList"/>
        <w:numPr>
          <w:ilvl w:val="0"/>
          <w:numId w:val="22"/>
        </w:numPr>
        <w:ind w:left="0" w:firstLine="360"/>
      </w:pPr>
      <w:r w:rsidRPr="00A03B40">
        <w:t>SCE forecasts residential customer growth based primarily on population growth; commercial customer growth is assumed to be tied to residential customer growth, while industrial customer growth is related to changes in manufacturing employment.</w:t>
      </w:r>
    </w:p>
    <w:p w:rsidRPr="00A03B40" w:rsidR="00D517CF" w:rsidP="00C44216" w:rsidRDefault="00D517CF" w14:paraId="778E7E16" w14:textId="384C8F40">
      <w:pPr>
        <w:pStyle w:val="FOFList"/>
        <w:numPr>
          <w:ilvl w:val="0"/>
          <w:numId w:val="22"/>
        </w:numPr>
        <w:ind w:left="0" w:firstLine="360"/>
      </w:pPr>
      <w:r w:rsidRPr="00A03B40">
        <w:t>SCE forecast</w:t>
      </w:r>
      <w:r w:rsidRPr="00A03B40" w:rsidR="001479EE">
        <w:t>s</w:t>
      </w:r>
      <w:r w:rsidRPr="00A03B40">
        <w:t xml:space="preserve"> a 0.6 percent increase in its number of customers in 2025 and a 0.7 percent increase in 2026. </w:t>
      </w:r>
    </w:p>
    <w:p w:rsidRPr="00A03B40" w:rsidR="00D517CF" w:rsidP="00C44216" w:rsidRDefault="00D517CF" w14:paraId="6FCFD2AA" w14:textId="77777777">
      <w:pPr>
        <w:pStyle w:val="FOFList"/>
        <w:numPr>
          <w:ilvl w:val="0"/>
          <w:numId w:val="22"/>
        </w:numPr>
        <w:ind w:left="0" w:firstLine="360"/>
      </w:pPr>
      <w:r w:rsidRPr="00A03B40">
        <w:t xml:space="preserve">SCE develops its production and cost forecasts using PLEXOS software that (1) forecasts the least-cost dispatch of dispatchable resources in SCE’s </w:t>
      </w:r>
      <w:r w:rsidRPr="00A03B40">
        <w:lastRenderedPageBreak/>
        <w:t>portfolio; (2) optimizes hydroelectric dispatch; and (3) performs Monte Carlo simulations of forced outage rates of individual units.</w:t>
      </w:r>
    </w:p>
    <w:p w:rsidRPr="00A03B40" w:rsidR="00D517CF" w:rsidP="00C44216" w:rsidRDefault="00D517CF" w14:paraId="12D1C9E2" w14:textId="4870202E">
      <w:pPr>
        <w:pStyle w:val="FOFList"/>
        <w:numPr>
          <w:ilvl w:val="0"/>
          <w:numId w:val="22"/>
        </w:numPr>
        <w:ind w:left="0" w:firstLine="360"/>
      </w:pPr>
      <w:r w:rsidRPr="00A03B40">
        <w:t xml:space="preserve">SCE develops the production and cost forecast inputs for its PLEXOS models based on forecasts of power, gas, and GHG prices, the physical constraints of each generating unit, and contractual limitations. </w:t>
      </w:r>
    </w:p>
    <w:p w:rsidRPr="00A03B40" w:rsidR="00D517CF" w:rsidP="001D5744" w:rsidRDefault="00D517CF" w14:paraId="153A9BFA" w14:textId="77777777">
      <w:pPr>
        <w:pStyle w:val="FOFList"/>
        <w:numPr>
          <w:ilvl w:val="0"/>
          <w:numId w:val="22"/>
        </w:numPr>
        <w:ind w:left="0" w:firstLine="270"/>
      </w:pPr>
      <w:r w:rsidRPr="00A03B40">
        <w:t>SCE’s forecast of energy prices is based on the forward power broker quotes for 2026 in effect as of August 25, 2025; SCE’s natural gas price forecast is based on monthly NYMEX forward prices at the SoCal Citygate in effect as of August 25, 2025, plus intrastate transportation charges from Southern California Gas Company, as applicable. SCE used the ICE settlement price of a 2026-vintage GHG allowance, as of August 25, 2025, as the basis for its 2026 GHG price forecast.</w:t>
      </w:r>
    </w:p>
    <w:p w:rsidRPr="00A03B40" w:rsidR="00D517CF" w:rsidP="001D5744" w:rsidRDefault="00D517CF" w14:paraId="047E7421" w14:textId="77777777">
      <w:pPr>
        <w:pStyle w:val="FOFList"/>
        <w:numPr>
          <w:ilvl w:val="0"/>
          <w:numId w:val="22"/>
        </w:numPr>
        <w:ind w:left="0" w:firstLine="270"/>
      </w:pPr>
      <w:r w:rsidRPr="00A03B40">
        <w:t>SCE’s portfolio of resources available in 2026 includes UOG, including UO nuclear generation, UO hydroelectric generation, UO fossil fuel generation (</w:t>
      </w:r>
      <w:r w:rsidRPr="004F4F8D">
        <w:rPr>
          <w:i/>
          <w:iCs/>
        </w:rPr>
        <w:t xml:space="preserve">e.g., </w:t>
      </w:r>
      <w:r w:rsidRPr="00A03B40">
        <w:t xml:space="preserve">natural gas), UO renewable generation resources, and UO storage.  SCE’s purchased power resources include CHP and renewable resources, inter-utility and bilateral contracts, and anticipated future solicitations and market purchases. Finally, SCE’s 2026 forecast includes the costs of procurement contracts SCE </w:t>
      </w:r>
      <w:proofErr w:type="gramStart"/>
      <w:r w:rsidRPr="00A03B40">
        <w:t>entered into</w:t>
      </w:r>
      <w:proofErr w:type="gramEnd"/>
      <w:r w:rsidRPr="00A03B40">
        <w:t xml:space="preserve"> to meet Commission reliability requirements.</w:t>
      </w:r>
    </w:p>
    <w:p w:rsidRPr="00A03B40" w:rsidR="00D517CF" w:rsidP="001D5744" w:rsidRDefault="00D517CF" w14:paraId="0239D335" w14:textId="108F691F">
      <w:pPr>
        <w:pStyle w:val="FOFList"/>
        <w:numPr>
          <w:ilvl w:val="0"/>
          <w:numId w:val="22"/>
        </w:numPr>
        <w:ind w:left="0" w:firstLine="270"/>
      </w:pPr>
      <w:r w:rsidRPr="00A03B40">
        <w:t>SCE’s resource-specific energy production forecasts from SCE’s portfolio of resources are listed in Exhibit SCE-05</w:t>
      </w:r>
      <w:r w:rsidRPr="00A03B40" w:rsidR="004652D3">
        <w:t>A</w:t>
      </w:r>
      <w:r w:rsidRPr="00A03B40">
        <w:t>, Table IV-8, “Updated 2026 Energy Forecast of the SCE Portfolio,” and are confidential unless provided publicly elsewhere in SCE’s testimony.</w:t>
      </w:r>
    </w:p>
    <w:p w:rsidRPr="00A03B40" w:rsidR="00D517CF" w:rsidP="001D5744" w:rsidRDefault="00D517CF" w14:paraId="7F685B16" w14:textId="3434C82B">
      <w:pPr>
        <w:pStyle w:val="FOFList"/>
        <w:numPr>
          <w:ilvl w:val="0"/>
          <w:numId w:val="22"/>
        </w:numPr>
        <w:ind w:left="0" w:firstLine="270"/>
      </w:pPr>
      <w:r w:rsidRPr="00A03B40">
        <w:t xml:space="preserve">SCE’s forecast of UO generation and purchased power contract capacity in 2026 includes 1,164 MW of hydroelectric power nameplate capacity, approximately 9 MW of nameplate capacity in solar photovoltaic resources, </w:t>
      </w:r>
      <w:r w:rsidRPr="00A03B40">
        <w:lastRenderedPageBreak/>
        <w:t xml:space="preserve">11,045 MW from CHP and renewable resources, 245 MW of natural gas Peaker resources, and approximately </w:t>
      </w:r>
      <w:r w:rsidR="00A86AD6">
        <w:t>1,110</w:t>
      </w:r>
      <w:r w:rsidRPr="00A03B40">
        <w:t xml:space="preserve"> MW from its Mountainview Generating Station. SCE’s forecast also includes forecasts of inbound capacity available via SCE’s inter-utility contract with the WAPA and the U.S. Bureau of Reclamation, averaging 151 MW per month in 2026. </w:t>
      </w:r>
    </w:p>
    <w:p w:rsidRPr="00A03B40" w:rsidR="00D517CF" w:rsidP="001D5744" w:rsidRDefault="00D517CF" w14:paraId="617B5C18" w14:textId="77777777">
      <w:pPr>
        <w:pStyle w:val="FOFList"/>
        <w:numPr>
          <w:ilvl w:val="0"/>
          <w:numId w:val="22"/>
        </w:numPr>
        <w:ind w:left="0" w:firstLine="270"/>
      </w:pPr>
      <w:r w:rsidRPr="00A03B40">
        <w:t xml:space="preserve">SCE’s forecast includes the expected production </w:t>
      </w:r>
      <w:proofErr w:type="gramStart"/>
      <w:r w:rsidRPr="00A03B40">
        <w:t>from</w:t>
      </w:r>
      <w:proofErr w:type="gramEnd"/>
      <w:r w:rsidRPr="00A03B40">
        <w:t xml:space="preserve"> and revenues related to SCE’s UOG hydrogeneration facilities; SCE’s forecast assumes an average hydrological year for 2026 and incorporates SCE’s best estimate of upcoming outages and unavailability in 2026.</w:t>
      </w:r>
    </w:p>
    <w:p w:rsidRPr="00A03B40" w:rsidR="00D517CF" w:rsidP="001D5744" w:rsidRDefault="00D517CF" w14:paraId="5488F449" w14:textId="77777777">
      <w:pPr>
        <w:pStyle w:val="FOFList"/>
        <w:numPr>
          <w:ilvl w:val="0"/>
          <w:numId w:val="22"/>
        </w:numPr>
        <w:ind w:left="0" w:firstLine="270"/>
      </w:pPr>
      <w:r w:rsidRPr="00A03B40">
        <w:t>SCE’s forecast includes the anticipated energy production from SCE’s last remaining SPVP site, Site 42; this production forecast is based on the previous year’s project capacity factor.</w:t>
      </w:r>
    </w:p>
    <w:p w:rsidRPr="00A03B40" w:rsidR="00D517CF" w:rsidP="001D5744" w:rsidRDefault="00D517CF" w14:paraId="2510801E" w14:textId="5C78C9E1">
      <w:pPr>
        <w:pStyle w:val="FOFList"/>
        <w:numPr>
          <w:ilvl w:val="0"/>
          <w:numId w:val="22"/>
        </w:numPr>
        <w:ind w:left="0" w:firstLine="270"/>
      </w:pPr>
      <w:r w:rsidRPr="00A03B40">
        <w:t>SCE’s forecast includes the anticipated energy production, energy costs, and capacity costs of CHP and renewables projects; SCE forecasts monthly energy deliveries from CHP and renewables projects based on the historical performance of each project, adjusted to reflect anticipated curtailments from solar and wind projects. For new CHP projects without performance data, energy production and capacity forecasts are based on contractual expectations discounted by their expected probabilities of successful development.</w:t>
      </w:r>
    </w:p>
    <w:p w:rsidRPr="00A03B40" w:rsidR="00D517CF" w:rsidP="001D5744" w:rsidRDefault="00D517CF" w14:paraId="050FD273" w14:textId="77777777">
      <w:pPr>
        <w:pStyle w:val="FOFList"/>
        <w:numPr>
          <w:ilvl w:val="0"/>
          <w:numId w:val="22"/>
        </w:numPr>
        <w:ind w:left="0" w:firstLine="270"/>
      </w:pPr>
      <w:r w:rsidRPr="00A03B40">
        <w:t xml:space="preserve">SCE’s forecast includes the estimated production </w:t>
      </w:r>
      <w:proofErr w:type="gramStart"/>
      <w:r w:rsidRPr="00A03B40">
        <w:t>from and</w:t>
      </w:r>
      <w:proofErr w:type="gramEnd"/>
      <w:r w:rsidRPr="00A03B40">
        <w:t xml:space="preserve"> natural gas costs of its five dispatchable Peaker units; it includes the projected energy production, as well as capital and natural gas costs from the Mountainview Generating Station in its 2026 forecasts </w:t>
      </w:r>
      <w:proofErr w:type="gramStart"/>
      <w:r w:rsidRPr="00A03B40">
        <w:t>of</w:t>
      </w:r>
      <w:proofErr w:type="gramEnd"/>
      <w:r w:rsidRPr="00A03B40">
        <w:t xml:space="preserve"> energy deliveries and costs.</w:t>
      </w:r>
    </w:p>
    <w:p w:rsidRPr="00A03B40" w:rsidR="00D517CF" w:rsidP="001D5744" w:rsidRDefault="00D517CF" w14:paraId="4B092732" w14:textId="20E5B1B4">
      <w:pPr>
        <w:pStyle w:val="FOFList"/>
        <w:numPr>
          <w:ilvl w:val="0"/>
          <w:numId w:val="22"/>
        </w:numPr>
        <w:ind w:left="0" w:firstLine="270"/>
      </w:pPr>
      <w:r w:rsidRPr="00A03B40">
        <w:t xml:space="preserve">SCE’s forecast includes the anticipated energy and capacity costs of forecast deliveries from a fifty-year agreement executed with the WAPA and the U.S. Bureau of Reclamation. Ongoing drought conditions cause SCE to reduce its </w:t>
      </w:r>
      <w:r w:rsidRPr="00A03B40">
        <w:lastRenderedPageBreak/>
        <w:t xml:space="preserve">estimates to levels below its 2026 entitlement of 280.245 MW of contingent capacity and 238.16 GWh of firm energy generated by the Boulder Canyon Project at </w:t>
      </w:r>
      <w:proofErr w:type="gramStart"/>
      <w:r w:rsidRPr="00A03B40">
        <w:t>the Hoover</w:t>
      </w:r>
      <w:proofErr w:type="gramEnd"/>
      <w:r w:rsidRPr="00A03B40">
        <w:t xml:space="preserve"> Dam. SCE forecasts related net inter-utility contract purchases of 156 GWh in 2026.</w:t>
      </w:r>
    </w:p>
    <w:p w:rsidR="00D54AF8" w:rsidP="001D5744" w:rsidRDefault="00D517CF" w14:paraId="2B10AF55" w14:textId="77777777">
      <w:pPr>
        <w:pStyle w:val="FOFList"/>
        <w:numPr>
          <w:ilvl w:val="0"/>
          <w:numId w:val="22"/>
        </w:numPr>
        <w:ind w:left="0" w:firstLine="270"/>
      </w:pPr>
      <w:r w:rsidRPr="00A03B40">
        <w:t xml:space="preserve">SCE’s 2026 ERRA forecast includes anticipated energy costs, energy revenues, and capacity costs of New System Generation resources, including the storage costs and market revenues associated with its utility-owned storage facility, UOS Titanium. These costs are recovered via the Commission’s CAM to ensure all </w:t>
      </w:r>
      <w:proofErr w:type="gramStart"/>
      <w:r w:rsidRPr="00A03B40">
        <w:t>benefitting</w:t>
      </w:r>
      <w:proofErr w:type="gramEnd"/>
      <w:r w:rsidRPr="00A03B40">
        <w:t xml:space="preserve"> customers pay the costs of the resources. These costs are tracked </w:t>
      </w:r>
      <w:proofErr w:type="gramStart"/>
      <w:r w:rsidRPr="00A03B40">
        <w:t>in</w:t>
      </w:r>
      <w:proofErr w:type="gramEnd"/>
      <w:r w:rsidRPr="00A03B40">
        <w:t xml:space="preserve"> SCE’s NSGBA. SCE’s CAM-</w:t>
      </w:r>
      <w:proofErr w:type="spellStart"/>
      <w:r w:rsidRPr="00A03B40">
        <w:t>eligble</w:t>
      </w:r>
      <w:proofErr w:type="spellEnd"/>
      <w:r w:rsidRPr="00A03B40">
        <w:t xml:space="preserve"> contracts are listed in Exhibit </w:t>
      </w:r>
    </w:p>
    <w:p w:rsidRPr="00A03B40" w:rsidR="00D517CF" w:rsidP="001D5744" w:rsidRDefault="00D517CF" w14:paraId="39318374" w14:textId="349AA09E">
      <w:pPr>
        <w:pStyle w:val="FOFList"/>
        <w:ind w:left="180" w:firstLine="270"/>
      </w:pPr>
      <w:r w:rsidRPr="00A03B40">
        <w:t>SCE-05</w:t>
      </w:r>
      <w:r w:rsidRPr="00A03B40" w:rsidR="008844C6">
        <w:t>A</w:t>
      </w:r>
      <w:r w:rsidRPr="00A03B40">
        <w:t xml:space="preserve"> at Table VIII-39, “CAM Applicable Resources.”</w:t>
      </w:r>
    </w:p>
    <w:p w:rsidRPr="00A03B40" w:rsidR="00D517CF" w:rsidP="001D5744" w:rsidRDefault="00D517CF" w14:paraId="3B8CCE42" w14:textId="77777777">
      <w:pPr>
        <w:pStyle w:val="FOFList"/>
        <w:numPr>
          <w:ilvl w:val="0"/>
          <w:numId w:val="22"/>
        </w:numPr>
        <w:ind w:left="0" w:firstLine="270"/>
      </w:pPr>
      <w:r w:rsidRPr="00A03B40">
        <w:t>SCE includes in its forecast the anticipated net procurement costs of resources from SCE’s 2021 and 2022 SCE-CPE Local RA RFOs, CAISO costs, and $250,000 in administrative costs related to its role as a CPE. Projected administrative costs are based on the costs of the independent evaluator used for SCE’s last CPE solicitation. These costs are tracked in the CPE subaccount of the NSGBA and are recovered under the CAM.</w:t>
      </w:r>
    </w:p>
    <w:p w:rsidRPr="00A03B40" w:rsidR="00D517CF" w:rsidP="001D5744" w:rsidRDefault="00D517CF" w14:paraId="23D1A101" w14:textId="77777777">
      <w:pPr>
        <w:pStyle w:val="FOFList"/>
        <w:numPr>
          <w:ilvl w:val="0"/>
          <w:numId w:val="22"/>
        </w:numPr>
        <w:ind w:left="0" w:firstLine="270"/>
      </w:pPr>
      <w:r w:rsidRPr="00A03B40">
        <w:t xml:space="preserve">SCE’s forecast includes the capacity costs and net revenues of approximately 1,360 MW of total nameplate capacity secured via seven “Fast Track” and five “Standard Track” contracts </w:t>
      </w:r>
      <w:proofErr w:type="gramStart"/>
      <w:r w:rsidRPr="00A03B40">
        <w:t>entered into</w:t>
      </w:r>
      <w:proofErr w:type="gramEnd"/>
      <w:r w:rsidRPr="00A03B40">
        <w:t xml:space="preserve"> following SCE’s SRRFO, held pursuant to D.19-11-016. These costs are allocated across the PABA, the NSGBA, and the MCAMBA, which allows applicable costs to be recovered from Departed Load customers using the MCAM. </w:t>
      </w:r>
    </w:p>
    <w:p w:rsidR="00D54AF8" w:rsidP="001D5744" w:rsidRDefault="00D517CF" w14:paraId="0E2BC479" w14:textId="77777777">
      <w:pPr>
        <w:pStyle w:val="FOFList"/>
        <w:numPr>
          <w:ilvl w:val="0"/>
          <w:numId w:val="22"/>
        </w:numPr>
        <w:ind w:left="0" w:firstLine="270"/>
      </w:pPr>
      <w:r w:rsidRPr="00A03B40">
        <w:t xml:space="preserve">SCE includes in its forecast the remaining capacity costs of summer emergency reliability incremental procurement required by D.21-02-028, </w:t>
      </w:r>
    </w:p>
    <w:p w:rsidRPr="00A03B40" w:rsidR="00D517CF" w:rsidP="001D5744" w:rsidRDefault="00D517CF" w14:paraId="3C1A73D6" w14:textId="500C97E3">
      <w:pPr>
        <w:pStyle w:val="FOFList"/>
        <w:ind w:left="180" w:firstLine="270"/>
      </w:pPr>
      <w:r w:rsidRPr="00A03B40">
        <w:lastRenderedPageBreak/>
        <w:t xml:space="preserve">D.21-03-056, and D.21-12-015; these costs are tracked in the NSGBA and recovered from all </w:t>
      </w:r>
      <w:proofErr w:type="gramStart"/>
      <w:r w:rsidRPr="00A03B40">
        <w:t>benefitting</w:t>
      </w:r>
      <w:proofErr w:type="gramEnd"/>
      <w:r w:rsidRPr="00A03B40">
        <w:t xml:space="preserve"> customers via the CAM.</w:t>
      </w:r>
    </w:p>
    <w:p w:rsidR="00D54AF8" w:rsidP="001D5744" w:rsidRDefault="00D517CF" w14:paraId="69EEE987" w14:textId="77777777">
      <w:pPr>
        <w:pStyle w:val="FOFList"/>
        <w:numPr>
          <w:ilvl w:val="0"/>
          <w:numId w:val="22"/>
        </w:numPr>
        <w:ind w:left="0" w:firstLine="270"/>
      </w:pPr>
      <w:r w:rsidRPr="00A03B40">
        <w:t xml:space="preserve">SCE includes in its forecast the estimated remaining capacity costs of contracts secured to meet MTR requirements adopted </w:t>
      </w:r>
      <w:proofErr w:type="gramStart"/>
      <w:r w:rsidRPr="00A03B40">
        <w:t>in</w:t>
      </w:r>
      <w:proofErr w:type="gramEnd"/>
      <w:r w:rsidRPr="00A03B40">
        <w:t xml:space="preserve"> D.21-06-035 and </w:t>
      </w:r>
    </w:p>
    <w:p w:rsidRPr="00A03B40" w:rsidR="00D517CF" w:rsidP="001D5744" w:rsidRDefault="00D517CF" w14:paraId="5DDAB5BA" w14:textId="51EC1BAF">
      <w:pPr>
        <w:pStyle w:val="FOFList"/>
        <w:ind w:left="180" w:firstLine="270"/>
      </w:pPr>
      <w:r w:rsidRPr="00A03B40">
        <w:t xml:space="preserve">D.23-02-040. D.21-06-035 required SCE to procure 4,052 MW of nameplate capacity; D.23-02-040 required SCE to procure a combined 1,539 MW. </w:t>
      </w:r>
    </w:p>
    <w:p w:rsidRPr="00A03B40" w:rsidR="00D517CF" w:rsidP="001D5744" w:rsidRDefault="00D517CF" w14:paraId="2A7A8A5F" w14:textId="77777777">
      <w:pPr>
        <w:pStyle w:val="FOFList"/>
        <w:numPr>
          <w:ilvl w:val="0"/>
          <w:numId w:val="22"/>
        </w:numPr>
        <w:ind w:left="0" w:firstLine="270"/>
      </w:pPr>
      <w:r w:rsidRPr="00A03B40">
        <w:t>SCE includes in its forecast the estimated monthly capacity costs of generic contracts SCE projects it will need to secure to satisfy its RA obligations in 2026. SCE forecasts this incremental need using Slice-</w:t>
      </w:r>
      <w:proofErr w:type="gramStart"/>
      <w:r w:rsidRPr="00A03B40">
        <w:t>of Day</w:t>
      </w:r>
      <w:proofErr w:type="gramEnd"/>
      <w:r w:rsidRPr="00A03B40">
        <w:t xml:space="preserve"> methodology and applies the Commission’s Forecast RA MPB as the proxy price for these contracts.</w:t>
      </w:r>
    </w:p>
    <w:p w:rsidRPr="00A03B40" w:rsidR="00D517CF" w:rsidP="001D5744" w:rsidRDefault="00D517CF" w14:paraId="3A1B2445" w14:textId="39AFA827">
      <w:pPr>
        <w:pStyle w:val="FOFList"/>
        <w:numPr>
          <w:ilvl w:val="0"/>
          <w:numId w:val="22"/>
        </w:numPr>
        <w:ind w:left="0" w:firstLine="270"/>
      </w:pPr>
      <w:r w:rsidRPr="00A03B40">
        <w:t>SCE’s final 2026 RA requirements include an 18 percent PRM and an effective PRM procurement target ranging from 1,260 to 2,300 MW for the months of June through October.</w:t>
      </w:r>
    </w:p>
    <w:p w:rsidRPr="00A03B40" w:rsidR="008844C6" w:rsidP="001D5744" w:rsidRDefault="008844C6" w14:paraId="0867B9B7" w14:textId="47E988B9">
      <w:pPr>
        <w:pStyle w:val="FOFList"/>
        <w:numPr>
          <w:ilvl w:val="0"/>
          <w:numId w:val="22"/>
        </w:numPr>
        <w:ind w:left="0" w:firstLine="270"/>
      </w:pPr>
      <w:r w:rsidRPr="00A03B40">
        <w:t xml:space="preserve">Relating to its RA position, SCE’s Amended October Update: (1) includes two resources in its RA position that had been included in its May Filing but omitted from its October Update and (2) includes corrections to SCE’s excess energy storage position identified by </w:t>
      </w:r>
      <w:proofErr w:type="spellStart"/>
      <w:r w:rsidRPr="00A03B40">
        <w:t>CalCCA</w:t>
      </w:r>
      <w:proofErr w:type="spellEnd"/>
      <w:r w:rsidRPr="00A03B40">
        <w:t>, reducing SCE’s projected 2026 ERRA revenue requirement by $99.700 million.</w:t>
      </w:r>
    </w:p>
    <w:p w:rsidR="00D54AF8" w:rsidP="001D5744" w:rsidRDefault="00D517CF" w14:paraId="0886199B" w14:textId="77777777">
      <w:pPr>
        <w:pStyle w:val="FOFList"/>
        <w:numPr>
          <w:ilvl w:val="0"/>
          <w:numId w:val="22"/>
        </w:numPr>
        <w:ind w:left="0" w:firstLine="270"/>
      </w:pPr>
      <w:r w:rsidRPr="00A03B40">
        <w:t xml:space="preserve">SCE includes in its forecast the estimated capacity costs, and when applicable, the gas, GHG, and energy costs associated with its 63 LCR contracts in the LA Basin and Moorpark local reliability areas, procured pursuant to </w:t>
      </w:r>
    </w:p>
    <w:p w:rsidRPr="00A03B40" w:rsidR="00D517CF" w:rsidP="001D5744" w:rsidRDefault="00D517CF" w14:paraId="3E4B4907" w14:textId="155F6A84">
      <w:pPr>
        <w:pStyle w:val="FOFList"/>
        <w:ind w:firstLine="270"/>
      </w:pPr>
      <w:r w:rsidRPr="00A03B40">
        <w:t xml:space="preserve">D.13-02-015. SCE includes the estimated production from </w:t>
      </w:r>
      <w:r w:rsidRPr="00A03B40" w:rsidR="001479EE">
        <w:t>its</w:t>
      </w:r>
      <w:r w:rsidRPr="00A03B40">
        <w:t xml:space="preserve"> in-front-of-the-meter LCR resources in its production forecast, while </w:t>
      </w:r>
      <w:r w:rsidRPr="00A03B40" w:rsidR="001479EE">
        <w:t>its</w:t>
      </w:r>
      <w:r w:rsidRPr="00A03B40">
        <w:t xml:space="preserve"> behind-the-meter LCR resources decrease the bundled service customer load requirement.</w:t>
      </w:r>
    </w:p>
    <w:p w:rsidRPr="00A03B40" w:rsidR="00D517CF" w:rsidP="001D5744" w:rsidRDefault="00D517CF" w14:paraId="693D62D7" w14:textId="3E7FB5F6">
      <w:pPr>
        <w:pStyle w:val="FOFList"/>
        <w:numPr>
          <w:ilvl w:val="0"/>
          <w:numId w:val="22"/>
        </w:numPr>
        <w:ind w:left="0" w:firstLine="270"/>
      </w:pPr>
      <w:r w:rsidRPr="00A03B40">
        <w:lastRenderedPageBreak/>
        <w:t>SCE includes in its 2026 ERRA forecast the estimated front-of-the-meter production from and capacity costs of its PRP Program, which consists of 19</w:t>
      </w:r>
      <w:r w:rsidR="0089550C">
        <w:t> </w:t>
      </w:r>
      <w:r w:rsidRPr="00A03B40">
        <w:t>contracts approved by the Commission in D.18-07-023.</w:t>
      </w:r>
    </w:p>
    <w:p w:rsidRPr="00A03B40" w:rsidR="00D517CF" w:rsidP="001D5744" w:rsidRDefault="00D517CF" w14:paraId="7305AF04" w14:textId="4356D960">
      <w:pPr>
        <w:pStyle w:val="FOFList"/>
        <w:numPr>
          <w:ilvl w:val="0"/>
          <w:numId w:val="22"/>
        </w:numPr>
        <w:ind w:left="0" w:firstLine="270"/>
      </w:pPr>
      <w:r w:rsidRPr="00A03B40">
        <w:t>SCE includes in its forecast the estimated costs of SCE’s modified GTSR Program projects. SCE forecasts Green Tariff participation in 2026 to be 123,556</w:t>
      </w:r>
      <w:r w:rsidR="0089550C">
        <w:t> </w:t>
      </w:r>
      <w:r w:rsidRPr="00A03B40">
        <w:t>MWh and ECR participation to be 143,28</w:t>
      </w:r>
      <w:r w:rsidRPr="00A03B40" w:rsidR="001479EE">
        <w:t>3</w:t>
      </w:r>
      <w:r w:rsidRPr="00A03B40">
        <w:t xml:space="preserve"> MWh, which is an increase from the demand seen in 2025. </w:t>
      </w:r>
    </w:p>
    <w:p w:rsidRPr="00A03B40" w:rsidR="00D517CF" w:rsidP="001D5744" w:rsidRDefault="00D517CF" w14:paraId="3C180F49" w14:textId="619FBF11">
      <w:pPr>
        <w:pStyle w:val="FOFList"/>
        <w:numPr>
          <w:ilvl w:val="0"/>
          <w:numId w:val="22"/>
        </w:numPr>
        <w:ind w:left="0" w:firstLine="270"/>
      </w:pPr>
      <w:r w:rsidRPr="00A03B40">
        <w:t>SCE includes in its forecast the anticipated costs of generation-related nuclear fuel expenses and interim spent fuel storage costs associated with its partial ownership of PVNGS. These forecasts reflect planned outages. SCE forecasts $29.3</w:t>
      </w:r>
      <w:r w:rsidRPr="00A03B40" w:rsidR="008844C6">
        <w:t>5</w:t>
      </w:r>
      <w:r w:rsidRPr="00A03B40">
        <w:t>6 million in nuclear fuel expenses related to PVNGS. The PVNGS interim spent fuel costs included in that estimate will be offset by a credit of $3.03</w:t>
      </w:r>
      <w:r w:rsidR="0089550C">
        <w:t> </w:t>
      </w:r>
      <w:r w:rsidRPr="00A03B40">
        <w:t>million stemming from a damages award from DOE spent fuel litigation, leaving a remaining cost of $4</w:t>
      </w:r>
      <w:r w:rsidRPr="00A03B40" w:rsidR="008844C6">
        <w:t>0</w:t>
      </w:r>
      <w:r w:rsidRPr="00A03B40">
        <w:t xml:space="preserve">,000. </w:t>
      </w:r>
    </w:p>
    <w:p w:rsidRPr="00A03B40" w:rsidR="008844C6" w:rsidP="001D5744" w:rsidRDefault="008844C6" w14:paraId="1B6436A5" w14:textId="13D2C343">
      <w:pPr>
        <w:pStyle w:val="FOFList"/>
        <w:numPr>
          <w:ilvl w:val="0"/>
          <w:numId w:val="22"/>
        </w:numPr>
        <w:ind w:left="0" w:firstLine="270"/>
      </w:pPr>
      <w:r w:rsidRPr="00A03B40">
        <w:t xml:space="preserve">While SCE initially </w:t>
      </w:r>
      <w:proofErr w:type="gramStart"/>
      <w:r w:rsidRPr="00A03B40">
        <w:t>forecast</w:t>
      </w:r>
      <w:proofErr w:type="gramEnd"/>
      <w:r w:rsidRPr="00A03B40">
        <w:t xml:space="preserve"> that the costs for the SONG</w:t>
      </w:r>
      <w:r w:rsidR="00143AA9">
        <w:t>S</w:t>
      </w:r>
      <w:r w:rsidRPr="00A03B40">
        <w:t xml:space="preserve"> Unit 1 off-site interim spent fuel storage would be paid from the NQNDT, SCE’s Amended October Update noted that SCE had not received applicable litigation proceeds as of October 2025 and so forecast $5.234 million in costs in rates. </w:t>
      </w:r>
    </w:p>
    <w:p w:rsidRPr="00A03B40" w:rsidR="008F641E" w:rsidP="001D5744" w:rsidRDefault="008F641E" w14:paraId="0528766F" w14:textId="34ECDE84">
      <w:pPr>
        <w:pStyle w:val="FOFList"/>
        <w:numPr>
          <w:ilvl w:val="0"/>
          <w:numId w:val="22"/>
        </w:numPr>
        <w:ind w:left="0" w:firstLine="270"/>
      </w:pPr>
      <w:r w:rsidRPr="00A03B40">
        <w:t>D.24-08-001 requires that any applicable DOE litigation proceeds must be deposited into the NQNDT and must only be used for spent fuel management and storage costs for the SONGS. Remaining proceeds must be returned to ratepayers.</w:t>
      </w:r>
    </w:p>
    <w:p w:rsidRPr="00A03B40" w:rsidR="00D517CF" w:rsidP="001D5744" w:rsidRDefault="00D517CF" w14:paraId="1B505F83" w14:textId="77777777">
      <w:pPr>
        <w:pStyle w:val="FOFList"/>
        <w:numPr>
          <w:ilvl w:val="0"/>
          <w:numId w:val="22"/>
        </w:numPr>
        <w:ind w:left="0" w:firstLine="270"/>
      </w:pPr>
      <w:r w:rsidRPr="00A03B40">
        <w:t xml:space="preserve">SCE forecasts a total cost of $9.476 million in fuel costs to provide electricity service to Catalina Island in 2026, which includes $7.998 million in diesel fuel and $1.478 million for propane. These forecast diesel costs are based on 2024-2025 actual fuel purchases, actual fuel costs, and unused fuel, with an </w:t>
      </w:r>
      <w:r w:rsidRPr="00A03B40">
        <w:lastRenderedPageBreak/>
        <w:t>adjustment to the diesel price to incorporate a projected decrease based on the IHS Global Insight Variable for Gasoline and Fuels; the propane cost forecast was based on applying SCE’s Catalina Gas G-2 rate schedule to forecast propane quantities (estimated based on actual 2023 and 2024 usage).</w:t>
      </w:r>
    </w:p>
    <w:p w:rsidRPr="00A03B40" w:rsidR="00D517CF" w:rsidP="001D5744" w:rsidRDefault="00D517CF" w14:paraId="756CF549" w14:textId="77777777">
      <w:pPr>
        <w:pStyle w:val="FOFList"/>
        <w:numPr>
          <w:ilvl w:val="0"/>
          <w:numId w:val="22"/>
        </w:numPr>
        <w:ind w:left="0" w:firstLine="270"/>
      </w:pPr>
      <w:r w:rsidRPr="00A03B40">
        <w:t xml:space="preserve">SCE did not request approval of its plan for Catalina Gas to </w:t>
      </w:r>
      <w:proofErr w:type="spellStart"/>
      <w:r w:rsidRPr="00A03B40">
        <w:t>backbill</w:t>
      </w:r>
      <w:proofErr w:type="spellEnd"/>
      <w:r w:rsidRPr="00A03B40">
        <w:t xml:space="preserve"> SCE Electric for costs incurred as far back as January 2024 or earlier. </w:t>
      </w:r>
    </w:p>
    <w:p w:rsidRPr="00A03B40" w:rsidR="00D517CF" w:rsidP="001D5744" w:rsidRDefault="00D517CF" w14:paraId="700AFA69" w14:textId="77777777">
      <w:pPr>
        <w:pStyle w:val="FOFList"/>
        <w:numPr>
          <w:ilvl w:val="0"/>
          <w:numId w:val="22"/>
        </w:numPr>
        <w:ind w:left="0" w:firstLine="270"/>
      </w:pPr>
      <w:r w:rsidRPr="00A03B40">
        <w:t xml:space="preserve">SCE includes in its forecast the anticipated net costs and </w:t>
      </w:r>
      <w:proofErr w:type="spellStart"/>
      <w:r w:rsidRPr="00A03B40">
        <w:t>BioRAM</w:t>
      </w:r>
      <w:proofErr w:type="spellEnd"/>
      <w:r w:rsidRPr="00A03B40">
        <w:t xml:space="preserve"> audit costs related to two contracts funded by SCE’s Tree Mortality NBC, pursuant to D.18-12-003. These </w:t>
      </w:r>
      <w:proofErr w:type="gramStart"/>
      <w:r w:rsidRPr="00A03B40">
        <w:t>forecast costs</w:t>
      </w:r>
      <w:proofErr w:type="gramEnd"/>
      <w:r w:rsidRPr="00A03B40">
        <w:t xml:space="preserve"> total $21.567 million in 2026.</w:t>
      </w:r>
    </w:p>
    <w:p w:rsidRPr="00A03B40" w:rsidR="00D517CF" w:rsidP="001D5744" w:rsidRDefault="00D517CF" w14:paraId="50D3C764" w14:textId="4666E480">
      <w:pPr>
        <w:pStyle w:val="FOFList"/>
        <w:numPr>
          <w:ilvl w:val="0"/>
          <w:numId w:val="22"/>
        </w:numPr>
        <w:ind w:left="0" w:firstLine="270"/>
      </w:pPr>
      <w:r w:rsidRPr="00A03B40">
        <w:t xml:space="preserve">SCE includes the 2026 estimated net costs of its </w:t>
      </w:r>
      <w:proofErr w:type="spellStart"/>
      <w:r w:rsidRPr="00A03B40">
        <w:t>BioMAT</w:t>
      </w:r>
      <w:proofErr w:type="spellEnd"/>
      <w:r w:rsidRPr="00A03B40">
        <w:t xml:space="preserve"> program contracts totaling $4.383 million including FF&amp;U in its 2026 ERRA forecast. D.20-08-043 authorized recovery of such contracts via a non-</w:t>
      </w:r>
      <w:proofErr w:type="spellStart"/>
      <w:r w:rsidRPr="00A03B40">
        <w:t>bypassable</w:t>
      </w:r>
      <w:proofErr w:type="spellEnd"/>
      <w:r w:rsidRPr="00A03B40">
        <w:t xml:space="preserve"> charge.</w:t>
      </w:r>
    </w:p>
    <w:p w:rsidRPr="00A03B40" w:rsidR="00D517CF" w:rsidP="001D5744" w:rsidRDefault="00D517CF" w14:paraId="5E9C4680" w14:textId="73E6F1AC">
      <w:pPr>
        <w:pStyle w:val="FOFList"/>
        <w:numPr>
          <w:ilvl w:val="0"/>
          <w:numId w:val="22"/>
        </w:numPr>
        <w:ind w:left="0" w:firstLine="270"/>
      </w:pPr>
      <w:r w:rsidRPr="00A03B40">
        <w:t xml:space="preserve">SCE’s forecast includes </w:t>
      </w:r>
      <w:r w:rsidRPr="00A03B40" w:rsidR="001479EE">
        <w:t>the impacts</w:t>
      </w:r>
      <w:r w:rsidRPr="00A03B40">
        <w:t xml:space="preserve"> </w:t>
      </w:r>
      <w:r w:rsidRPr="00A03B40" w:rsidR="008844C6">
        <w:t>of</w:t>
      </w:r>
      <w:r w:rsidRPr="00A03B40">
        <w:t xml:space="preserve"> its economic DR programs</w:t>
      </w:r>
      <w:r w:rsidRPr="00A03B40" w:rsidR="008844C6">
        <w:t>, which, combined, are expected to</w:t>
      </w:r>
      <w:r w:rsidRPr="00A03B40">
        <w:t xml:space="preserve"> result in an estimated 5 GWh of energy reductions.</w:t>
      </w:r>
    </w:p>
    <w:p w:rsidRPr="00A03B40" w:rsidR="00D517CF" w:rsidP="001D5744" w:rsidRDefault="00D517CF" w14:paraId="2C497BE3" w14:textId="129B85D6">
      <w:pPr>
        <w:pStyle w:val="FOFList"/>
        <w:numPr>
          <w:ilvl w:val="0"/>
          <w:numId w:val="22"/>
        </w:numPr>
        <w:ind w:left="0" w:firstLine="270"/>
      </w:pPr>
      <w:r w:rsidRPr="00A03B40">
        <w:t>SCE forecast</w:t>
      </w:r>
      <w:r w:rsidRPr="00A03B40" w:rsidR="008844C6">
        <w:t>s</w:t>
      </w:r>
      <w:r w:rsidRPr="00A03B40">
        <w:t xml:space="preserve"> the non-energy costs related to SCE’s participation in the CAISO market in 2026. </w:t>
      </w:r>
      <w:r w:rsidRPr="00A03B40" w:rsidR="00877F7B">
        <w:t>SCE’s</w:t>
      </w:r>
      <w:r w:rsidRPr="00A03B40">
        <w:t xml:space="preserve"> forecast is based on actual costs incurred in 2024.</w:t>
      </w:r>
    </w:p>
    <w:p w:rsidRPr="00A03B40" w:rsidR="00D517CF" w:rsidP="001D5744" w:rsidRDefault="00D517CF" w14:paraId="1A226FB6" w14:textId="3A80A2E5">
      <w:pPr>
        <w:pStyle w:val="FOFList"/>
        <w:numPr>
          <w:ilvl w:val="0"/>
          <w:numId w:val="22"/>
        </w:numPr>
        <w:ind w:left="0" w:firstLine="270"/>
      </w:pPr>
      <w:r w:rsidRPr="00A03B40">
        <w:t>SCE</w:t>
      </w:r>
      <w:r w:rsidRPr="00A03B40" w:rsidR="008844C6">
        <w:t xml:space="preserve">’s </w:t>
      </w:r>
      <w:r w:rsidRPr="00A03B40">
        <w:t xml:space="preserve">forecast </w:t>
      </w:r>
      <w:r w:rsidRPr="00A03B40" w:rsidR="008844C6">
        <w:t xml:space="preserve">includes </w:t>
      </w:r>
      <w:r w:rsidRPr="00A03B40">
        <w:t>estimated load procurement charges, forecast by multiplying the hourly load net of NEM export adjustments with the hourly SP-15 prices for that hour. SCE incorporates expected load procurement charge reductions result</w:t>
      </w:r>
      <w:r w:rsidRPr="00A03B40" w:rsidR="008844C6">
        <w:t>ing</w:t>
      </w:r>
      <w:r w:rsidRPr="00A03B40">
        <w:t xml:space="preserve"> from SCE’s operation of two energy storage sites, Anode and Cathode, as distribution assets. </w:t>
      </w:r>
    </w:p>
    <w:p w:rsidRPr="00A03B40" w:rsidR="00D517CF" w:rsidP="001D5744" w:rsidRDefault="00D517CF" w14:paraId="36244E18" w14:textId="73F5F930">
      <w:pPr>
        <w:pStyle w:val="FOFList"/>
        <w:numPr>
          <w:ilvl w:val="0"/>
          <w:numId w:val="22"/>
        </w:numPr>
        <w:ind w:left="0" w:firstLine="270"/>
      </w:pPr>
      <w:r w:rsidRPr="00A03B40">
        <w:t>A third energy storage site, Separator, is used as MTR procurement and so its related costs and revenues are tracked in the 2021 subaccount of the PABA.</w:t>
      </w:r>
    </w:p>
    <w:p w:rsidRPr="00A03B40" w:rsidR="00D517CF" w:rsidP="001D5744" w:rsidRDefault="00D517CF" w14:paraId="29D4B24E" w14:textId="58BE6B39">
      <w:pPr>
        <w:pStyle w:val="FOFList"/>
        <w:numPr>
          <w:ilvl w:val="0"/>
          <w:numId w:val="22"/>
        </w:numPr>
        <w:ind w:left="0" w:firstLine="270"/>
      </w:pPr>
      <w:r w:rsidRPr="00A03B40">
        <w:t xml:space="preserve">SCE’s forecast of </w:t>
      </w:r>
      <w:r w:rsidRPr="00A03B40" w:rsidR="00EB7660">
        <w:t>F&amp;PP</w:t>
      </w:r>
      <w:r w:rsidRPr="00A03B40">
        <w:t xml:space="preserve"> </w:t>
      </w:r>
      <w:proofErr w:type="gramStart"/>
      <w:r w:rsidRPr="00A03B40">
        <w:t>costs it</w:t>
      </w:r>
      <w:proofErr w:type="gramEnd"/>
      <w:r w:rsidRPr="00A03B40">
        <w:t xml:space="preserve"> will incur in 2026 is offset by anticipated revenues from the dispatch of SCE’s portfolio. These revenues are forecast based on multiplying forecast hourly production by the </w:t>
      </w:r>
      <w:r w:rsidRPr="00A03B40" w:rsidR="00EB7660">
        <w:t xml:space="preserve">forecast </w:t>
      </w:r>
      <w:r w:rsidRPr="00A03B40">
        <w:t xml:space="preserve">SP-15 price at that </w:t>
      </w:r>
      <w:r w:rsidRPr="00A03B40">
        <w:lastRenderedPageBreak/>
        <w:t>hour</w:t>
      </w:r>
      <w:r w:rsidRPr="00A03B40" w:rsidR="00A93250">
        <w:t>; resource</w:t>
      </w:r>
      <w:r w:rsidRPr="00A03B40" w:rsidR="00FF46F3">
        <w:t xml:space="preserve"> </w:t>
      </w:r>
      <w:r w:rsidRPr="00A03B40">
        <w:t>revenues are tracked in an</w:t>
      </w:r>
      <w:r w:rsidRPr="00A03B40" w:rsidR="00FF46F3">
        <w:t>d</w:t>
      </w:r>
      <w:r w:rsidRPr="00A03B40">
        <w:t xml:space="preserve"> reduce the revenue requirements of the same balancing accounts in which the </w:t>
      </w:r>
      <w:r w:rsidRPr="00A03B40" w:rsidR="00A93250">
        <w:t xml:space="preserve">applicable </w:t>
      </w:r>
      <w:r w:rsidRPr="00A03B40">
        <w:t xml:space="preserve">resource </w:t>
      </w:r>
      <w:r w:rsidRPr="00A03B40" w:rsidR="00A93250">
        <w:t xml:space="preserve">costs </w:t>
      </w:r>
      <w:r w:rsidRPr="00A03B40">
        <w:t>are tracked.</w:t>
      </w:r>
    </w:p>
    <w:p w:rsidRPr="00A03B40" w:rsidR="00D517CF" w:rsidP="001D5744" w:rsidRDefault="00D517CF" w14:paraId="5FC92E07" w14:textId="79277E5F">
      <w:pPr>
        <w:pStyle w:val="FOFList"/>
        <w:numPr>
          <w:ilvl w:val="0"/>
          <w:numId w:val="22"/>
        </w:numPr>
        <w:ind w:left="0" w:firstLine="270"/>
      </w:pPr>
      <w:r w:rsidRPr="00A03B40">
        <w:t xml:space="preserve">SCE includes in its forecast the estimated costs of SCE’s hedging program. These fees include energy-related transaction fees and option premiums for hedging SCE’s open energy position in 2026. </w:t>
      </w:r>
    </w:p>
    <w:p w:rsidRPr="00A03B40" w:rsidR="00D517CF" w:rsidP="001D5744" w:rsidRDefault="00D517CF" w14:paraId="43F7BEA0" w14:textId="1F01BC34">
      <w:pPr>
        <w:pStyle w:val="FOFList"/>
        <w:numPr>
          <w:ilvl w:val="0"/>
          <w:numId w:val="22"/>
        </w:numPr>
        <w:ind w:left="0" w:firstLine="270"/>
      </w:pPr>
      <w:r w:rsidRPr="00A03B40">
        <w:t xml:space="preserve">SCE includes no fixed gas transportation or storage costs in its 2026 ERRA forecast. </w:t>
      </w:r>
      <w:r w:rsidRPr="00A03B40" w:rsidR="00EB7660">
        <w:t>SCE includes v</w:t>
      </w:r>
      <w:r w:rsidRPr="00A03B40">
        <w:t>olumetric gas transportation costs</w:t>
      </w:r>
      <w:r w:rsidRPr="00A03B40" w:rsidR="00EB7660">
        <w:t xml:space="preserve"> </w:t>
      </w:r>
      <w:r w:rsidRPr="00A03B40">
        <w:t>in</w:t>
      </w:r>
      <w:r w:rsidRPr="00A03B40" w:rsidR="00EB7660">
        <w:t xml:space="preserve"> its</w:t>
      </w:r>
      <w:r w:rsidRPr="00A03B40">
        <w:t xml:space="preserve"> modelling using a forecast natural gas rate that incorporates intrastate gas transportation charges.</w:t>
      </w:r>
    </w:p>
    <w:p w:rsidRPr="00A03B40" w:rsidR="00D517CF" w:rsidP="001D5744" w:rsidRDefault="00D517CF" w14:paraId="1258D22D" w14:textId="209DCAD1">
      <w:pPr>
        <w:pStyle w:val="FOFList"/>
        <w:numPr>
          <w:ilvl w:val="0"/>
          <w:numId w:val="22"/>
        </w:numPr>
        <w:ind w:left="0" w:firstLine="270"/>
      </w:pPr>
      <w:r w:rsidRPr="00A03B40">
        <w:t xml:space="preserve">SCE includes $1.042 million in subscription fees in its 2026 forecast. SCE relies on subscriptions to access independent market data, risk analysis reports, reports on power prices, gas prices, emissions prices, and industry news. </w:t>
      </w:r>
    </w:p>
    <w:p w:rsidRPr="00A03B40" w:rsidR="00D517CF" w:rsidP="001D5744" w:rsidRDefault="00D517CF" w14:paraId="7483B7D9" w14:textId="77777777">
      <w:pPr>
        <w:pStyle w:val="FOFList"/>
        <w:numPr>
          <w:ilvl w:val="0"/>
          <w:numId w:val="22"/>
        </w:numPr>
        <w:ind w:left="0" w:firstLine="270"/>
      </w:pPr>
      <w:r w:rsidRPr="00A03B40">
        <w:t>D.04-01-048 requires that the three-month commercial paper rate index should be applied to under-collected balances in ERRA forecast proceedings, and that the financing costs of such balances may be recovered.</w:t>
      </w:r>
    </w:p>
    <w:p w:rsidRPr="00A03B40" w:rsidR="00D517CF" w:rsidP="001D5744" w:rsidRDefault="00D517CF" w14:paraId="7C31062D" w14:textId="669E4098">
      <w:pPr>
        <w:pStyle w:val="FOFList"/>
        <w:numPr>
          <w:ilvl w:val="0"/>
          <w:numId w:val="22"/>
        </w:numPr>
        <w:ind w:left="0" w:firstLine="270"/>
      </w:pPr>
      <w:r w:rsidRPr="00A03B40">
        <w:t>D.93-01-027 a</w:t>
      </w:r>
      <w:r w:rsidRPr="00A03B40" w:rsidR="00EB7660">
        <w:t>llows</w:t>
      </w:r>
      <w:r w:rsidRPr="00A03B40">
        <w:t xml:space="preserve"> SCE to recover its actual fuel inventory financing costs.</w:t>
      </w:r>
    </w:p>
    <w:p w:rsidRPr="00A03B40" w:rsidR="00D517CF" w:rsidP="001D5744" w:rsidRDefault="00D517CF" w14:paraId="7FC6E068" w14:textId="703230EC">
      <w:pPr>
        <w:pStyle w:val="FOFList"/>
        <w:numPr>
          <w:ilvl w:val="0"/>
          <w:numId w:val="22"/>
        </w:numPr>
        <w:ind w:left="0" w:firstLine="270"/>
      </w:pPr>
      <w:r w:rsidRPr="00A03B40">
        <w:t xml:space="preserve">D.02-10-062 </w:t>
      </w:r>
      <w:r w:rsidRPr="00A03B40" w:rsidR="00EB7660">
        <w:t xml:space="preserve">allows SCE to recover </w:t>
      </w:r>
      <w:r w:rsidRPr="00A03B40">
        <w:t>collateral costs.</w:t>
      </w:r>
    </w:p>
    <w:p w:rsidRPr="00A03B40" w:rsidR="00D517CF" w:rsidP="001D5744" w:rsidRDefault="00D517CF" w14:paraId="0B9C03EC" w14:textId="26F3933E">
      <w:pPr>
        <w:pStyle w:val="FOFList"/>
        <w:numPr>
          <w:ilvl w:val="0"/>
          <w:numId w:val="22"/>
        </w:numPr>
        <w:ind w:left="0" w:firstLine="270"/>
      </w:pPr>
      <w:r w:rsidRPr="00A03B40">
        <w:t>SCE holds a $3.35 billion multi-year revolving credit facility with a May 202</w:t>
      </w:r>
      <w:r w:rsidRPr="00A03B40" w:rsidR="001479EE">
        <w:t>9</w:t>
      </w:r>
      <w:r w:rsidRPr="00A03B40">
        <w:t xml:space="preserve"> maturity, also called the “revolver,” to serve short-term borrowing requirements. Specifically, SCE anticipates that it will use the revolver to meet projected collateral requirements, balancing account under-collections, and short-term, general-purpose borrowing needs in 2026. SCE dedicates a minimum amount of </w:t>
      </w:r>
      <w:proofErr w:type="gramStart"/>
      <w:r w:rsidRPr="00A03B40">
        <w:t>the credit</w:t>
      </w:r>
      <w:proofErr w:type="gramEnd"/>
      <w:r w:rsidRPr="00A03B40">
        <w:t xml:space="preserve"> availability in the revolver to providing collateral to counterparties on short notice; the reserved amount is equal to the maximum collateral draw that could be required. </w:t>
      </w:r>
    </w:p>
    <w:p w:rsidRPr="00A03B40" w:rsidR="00D517CF" w:rsidP="001D5744" w:rsidRDefault="00D517CF" w14:paraId="7B4F3E3C" w14:textId="61D86253">
      <w:pPr>
        <w:pStyle w:val="FOFList"/>
        <w:numPr>
          <w:ilvl w:val="0"/>
          <w:numId w:val="22"/>
        </w:numPr>
        <w:ind w:left="0" w:firstLine="270"/>
      </w:pPr>
      <w:r w:rsidRPr="00A03B40">
        <w:lastRenderedPageBreak/>
        <w:t>SCE includes in its forecast financing costs a pro-rata share of the costs of the revolver corresponding to the capacity required to support potential collateral requirements and balancing account under-collections in 2026.</w:t>
      </w:r>
    </w:p>
    <w:p w:rsidRPr="00A03B40" w:rsidR="00D517CF" w:rsidP="001D5744" w:rsidRDefault="00D517CF" w14:paraId="4AD29920" w14:textId="454100FD">
      <w:pPr>
        <w:pStyle w:val="FOFList"/>
        <w:numPr>
          <w:ilvl w:val="0"/>
          <w:numId w:val="22"/>
        </w:numPr>
        <w:ind w:left="0" w:firstLine="270"/>
      </w:pPr>
      <w:r w:rsidRPr="00A03B40">
        <w:t>SCE will provide letters of credit as collateral for most counterparties; SCE will charge the associated participation and issuer fees to the balancing account of the applicable underlying resource.</w:t>
      </w:r>
    </w:p>
    <w:p w:rsidRPr="00A03B40" w:rsidR="00D517CF" w:rsidP="001D5744" w:rsidRDefault="00D517CF" w14:paraId="0C495046" w14:textId="77777777">
      <w:pPr>
        <w:pStyle w:val="FOFList"/>
        <w:numPr>
          <w:ilvl w:val="0"/>
          <w:numId w:val="22"/>
        </w:numPr>
        <w:ind w:left="0" w:firstLine="270"/>
      </w:pPr>
      <w:r w:rsidRPr="00A03B40">
        <w:t>SCE’s forecast includes fuel inventory carrying costs stemming from its ownership interest in PVNGS, its natural gas storage, and the diesel fuel for SCE’s diesel generators on Catalina Island. The projected costs are based on forecast average monthly inventory balances for these resources and the 2026 carrying cost rate, which, here, is SCE’s interest rate on short-term debt.</w:t>
      </w:r>
    </w:p>
    <w:p w:rsidRPr="00A03B40" w:rsidR="00D517CF" w:rsidP="001D5744" w:rsidRDefault="00D517CF" w14:paraId="73993344" w14:textId="77777777">
      <w:pPr>
        <w:pStyle w:val="FOFList"/>
        <w:numPr>
          <w:ilvl w:val="0"/>
          <w:numId w:val="22"/>
        </w:numPr>
        <w:ind w:left="0" w:firstLine="270"/>
      </w:pPr>
      <w:r w:rsidRPr="00A03B40">
        <w:t>SCE includes a forecast of GHG procurement compliance carrying costs based on its historical GHG inventory balances and the 90-Day Non-Financial Commercial Paper Rate.</w:t>
      </w:r>
    </w:p>
    <w:p w:rsidRPr="00A03B40" w:rsidR="00D517CF" w:rsidP="001D5744" w:rsidRDefault="00D517CF" w14:paraId="5750AD7D" w14:textId="630E28FD">
      <w:pPr>
        <w:pStyle w:val="FOFList"/>
        <w:numPr>
          <w:ilvl w:val="0"/>
          <w:numId w:val="22"/>
        </w:numPr>
        <w:ind w:left="0" w:firstLine="270"/>
      </w:pPr>
      <w:r w:rsidRPr="00A03B40">
        <w:t>SCE’s forecast of the carrying costs associated with its collateral requirements necessary to procure power is based on average collateral requirements and the projected terms of SCE’s revolver</w:t>
      </w:r>
      <w:r w:rsidRPr="00A03B40" w:rsidR="00083FDA">
        <w:t>.</w:t>
      </w:r>
    </w:p>
    <w:p w:rsidRPr="00A03B40" w:rsidR="00D517CF" w:rsidP="001D5744" w:rsidRDefault="00D517CF" w14:paraId="59D7BB3A" w14:textId="77777777">
      <w:pPr>
        <w:pStyle w:val="FOFList"/>
        <w:numPr>
          <w:ilvl w:val="0"/>
          <w:numId w:val="22"/>
        </w:numPr>
        <w:ind w:left="0" w:firstLine="270"/>
      </w:pPr>
      <w:r w:rsidRPr="00A03B40">
        <w:t>Because SCE still owns, operates, and procures power from GHG-emitting resources, it continues to incur emissions costs associated with the California Cap-and-Trade program.</w:t>
      </w:r>
    </w:p>
    <w:p w:rsidRPr="00A03B40" w:rsidR="00D517CF" w:rsidP="001D5744" w:rsidRDefault="00D517CF" w14:paraId="443686F2" w14:textId="77777777">
      <w:pPr>
        <w:pStyle w:val="FOFList"/>
        <w:numPr>
          <w:ilvl w:val="0"/>
          <w:numId w:val="22"/>
        </w:numPr>
        <w:ind w:left="0" w:firstLine="270"/>
      </w:pPr>
      <w:r w:rsidRPr="00A03B40">
        <w:t>D.14-14-033 and D.21-08-026 provide the Commission’s rules for forecasting GHG emissions costs.</w:t>
      </w:r>
    </w:p>
    <w:p w:rsidRPr="00A03B40" w:rsidR="00D517CF" w:rsidP="001D5744" w:rsidRDefault="00D517CF" w14:paraId="7AE3DACF" w14:textId="77777777">
      <w:pPr>
        <w:pStyle w:val="FOFList"/>
        <w:numPr>
          <w:ilvl w:val="0"/>
          <w:numId w:val="22"/>
        </w:numPr>
        <w:ind w:left="0" w:firstLine="270"/>
      </w:pPr>
      <w:r w:rsidRPr="00A03B40">
        <w:t>SCE forecasts GHG emissions costs by multiplying the estimated volume of GHG emissions of its 2026 procurement by a forecast proxy price.</w:t>
      </w:r>
    </w:p>
    <w:p w:rsidRPr="00A03B40" w:rsidR="00D517CF" w:rsidP="001D5744" w:rsidRDefault="00D517CF" w14:paraId="124E42CB" w14:textId="77777777">
      <w:pPr>
        <w:pStyle w:val="FOFList"/>
        <w:numPr>
          <w:ilvl w:val="0"/>
          <w:numId w:val="22"/>
        </w:numPr>
        <w:ind w:left="0" w:firstLine="270"/>
      </w:pPr>
      <w:r w:rsidRPr="00A03B40">
        <w:lastRenderedPageBreak/>
        <w:t xml:space="preserve">SCE uses the ICE settlement price of a 2026-vintage GHG allowance as its 2026 GHG forecast proxy price for the purpose of estimating emissions costs. The applicable ICE settlement price for 2026, as of August 25, 2025, was $30.57/MT. </w:t>
      </w:r>
    </w:p>
    <w:p w:rsidRPr="00A03B40" w:rsidR="00D517CF" w:rsidP="001D5744" w:rsidRDefault="00D517CF" w14:paraId="5F652881" w14:textId="0D428696">
      <w:pPr>
        <w:pStyle w:val="FOFList"/>
        <w:numPr>
          <w:ilvl w:val="0"/>
          <w:numId w:val="22"/>
        </w:numPr>
        <w:ind w:left="0" w:firstLine="270"/>
      </w:pPr>
      <w:r w:rsidRPr="00A03B40">
        <w:t xml:space="preserve">SCE forecast emissions volumes for direct GHG costs, </w:t>
      </w:r>
      <w:r w:rsidRPr="00A03B40">
        <w:rPr>
          <w:i/>
          <w:iCs/>
        </w:rPr>
        <w:t>i.e.</w:t>
      </w:r>
      <w:r w:rsidRPr="00A03B40">
        <w:t xml:space="preserve">, </w:t>
      </w:r>
      <w:r w:rsidRPr="00A03B40" w:rsidR="00083FDA">
        <w:t xml:space="preserve">the GHG costs of </w:t>
      </w:r>
      <w:r w:rsidRPr="00A03B40">
        <w:t>SCE’s UOG and procurement contract costs, as a function of the volume of energy SCE expects to generate or purchase from each source and the emissions intensity of the energy produced.</w:t>
      </w:r>
    </w:p>
    <w:p w:rsidRPr="00A03B40" w:rsidR="00D517CF" w:rsidP="001D5744" w:rsidRDefault="00D517CF" w14:paraId="46CFD6FF" w14:textId="4F204DD2">
      <w:pPr>
        <w:pStyle w:val="FOFList"/>
        <w:numPr>
          <w:ilvl w:val="0"/>
          <w:numId w:val="22"/>
        </w:numPr>
        <w:ind w:left="0" w:firstLine="270"/>
      </w:pPr>
      <w:r w:rsidRPr="00A03B40">
        <w:t>SCE’s indirect GHG costs are the GHG costs of QF contracts and wholesale purchases for which the power price and the GHG premium embedded therein change over time. SCE uses simplifying assumptions, discussed in testimony, to forecast the emissions costs stemming from indirect sources of GHG emissions.</w:t>
      </w:r>
    </w:p>
    <w:p w:rsidRPr="00A03B40" w:rsidR="00D517CF" w:rsidP="001D5744" w:rsidRDefault="00D517CF" w14:paraId="2E77D153" w14:textId="77777777">
      <w:pPr>
        <w:pStyle w:val="FOFList"/>
        <w:numPr>
          <w:ilvl w:val="0"/>
          <w:numId w:val="22"/>
        </w:numPr>
        <w:ind w:left="0" w:firstLine="270"/>
      </w:pPr>
      <w:r w:rsidRPr="00A03B40">
        <w:t>SCE forecasts 2026 GHG emissions costs of $349.789 million.</w:t>
      </w:r>
    </w:p>
    <w:p w:rsidRPr="00A03B40" w:rsidR="00D517CF" w:rsidP="001D5744" w:rsidRDefault="00D517CF" w14:paraId="45A62B14" w14:textId="71F72BB0">
      <w:pPr>
        <w:pStyle w:val="FOFList"/>
        <w:numPr>
          <w:ilvl w:val="0"/>
          <w:numId w:val="22"/>
        </w:numPr>
        <w:ind w:left="0" w:firstLine="270"/>
      </w:pPr>
      <w:r w:rsidRPr="00A03B40">
        <w:t>SCE’s GHG emissions costs are trued up as a part of SCE’s overall procurement balancing account true</w:t>
      </w:r>
      <w:r w:rsidR="006E0D77">
        <w:t xml:space="preserve"> </w:t>
      </w:r>
      <w:r w:rsidRPr="00A03B40">
        <w:t xml:space="preserve">ups. </w:t>
      </w:r>
    </w:p>
    <w:p w:rsidRPr="00A03B40" w:rsidR="00D517CF" w:rsidP="001D5744" w:rsidRDefault="00D517CF" w14:paraId="12CF7483" w14:textId="77777777">
      <w:pPr>
        <w:pStyle w:val="FOFList"/>
        <w:numPr>
          <w:ilvl w:val="0"/>
          <w:numId w:val="22"/>
        </w:numPr>
        <w:ind w:left="0" w:firstLine="270"/>
      </w:pPr>
      <w:r w:rsidRPr="00A03B40">
        <w:t>D.14-14-033 and D.21-08-026 provide the Commission’s rules for forecasting GHG allowance revenues.</w:t>
      </w:r>
    </w:p>
    <w:p w:rsidRPr="00A03B40" w:rsidR="00D517CF" w:rsidP="001D5744" w:rsidRDefault="00D517CF" w14:paraId="3BB57BB0" w14:textId="569527BF">
      <w:pPr>
        <w:pStyle w:val="FOFList"/>
        <w:numPr>
          <w:ilvl w:val="0"/>
          <w:numId w:val="22"/>
        </w:numPr>
        <w:ind w:left="0" w:firstLine="270"/>
      </w:pPr>
      <w:r w:rsidRPr="00A03B40">
        <w:t>SCE forecasts 2026 GHG allowance revenues totaling $682.214 million.</w:t>
      </w:r>
    </w:p>
    <w:p w:rsidRPr="00A03B40" w:rsidR="00D517CF" w:rsidP="001D5744" w:rsidRDefault="00D517CF" w14:paraId="3C56EE52" w14:textId="61F0F8F2">
      <w:pPr>
        <w:pStyle w:val="FOFList"/>
        <w:numPr>
          <w:ilvl w:val="0"/>
          <w:numId w:val="22"/>
        </w:numPr>
        <w:ind w:left="0" w:firstLine="270"/>
      </w:pPr>
      <w:r w:rsidRPr="00A03B40">
        <w:t xml:space="preserve">SCE forecasts 2026 GHG allowance revenues by multiplying </w:t>
      </w:r>
      <w:r w:rsidRPr="00A03B40" w:rsidR="00083FDA">
        <w:t>its</w:t>
      </w:r>
      <w:r w:rsidRPr="00A03B40">
        <w:t xml:space="preserve"> expected </w:t>
      </w:r>
      <w:r w:rsidRPr="00A03B40" w:rsidR="00083FDA">
        <w:t xml:space="preserve">2026 </w:t>
      </w:r>
      <w:r w:rsidRPr="00A03B40">
        <w:t>consignment of allowances by a forecast proxy price.</w:t>
      </w:r>
    </w:p>
    <w:p w:rsidRPr="00A03B40" w:rsidR="00D517CF" w:rsidP="001D5744" w:rsidRDefault="00D517CF" w14:paraId="6E01A264" w14:textId="393EBFBF">
      <w:pPr>
        <w:pStyle w:val="FOFList"/>
        <w:numPr>
          <w:ilvl w:val="0"/>
          <w:numId w:val="22"/>
        </w:numPr>
        <w:ind w:left="0" w:firstLine="270"/>
      </w:pPr>
      <w:r w:rsidRPr="00A03B40">
        <w:t xml:space="preserve">SCE uses the ICE settlement price of a 2026-vintage GHG allowance </w:t>
      </w:r>
      <w:r w:rsidRPr="00A03B40" w:rsidR="00083FDA">
        <w:t xml:space="preserve">as of August 25, 2025 ($30.57/MT) </w:t>
      </w:r>
      <w:r w:rsidRPr="00A03B40">
        <w:t xml:space="preserve">as its 2026 GHG </w:t>
      </w:r>
      <w:r w:rsidRPr="00A03B40" w:rsidR="00083FDA">
        <w:t xml:space="preserve">allowance </w:t>
      </w:r>
      <w:r w:rsidRPr="00A03B40">
        <w:t xml:space="preserve">proxy price. </w:t>
      </w:r>
    </w:p>
    <w:p w:rsidRPr="00A03B40" w:rsidR="00D517CF" w:rsidP="001D5744" w:rsidRDefault="00D517CF" w14:paraId="4FBFD807" w14:textId="0608F80C">
      <w:pPr>
        <w:pStyle w:val="FOFList"/>
        <w:numPr>
          <w:ilvl w:val="0"/>
          <w:numId w:val="22"/>
        </w:numPr>
        <w:ind w:left="0" w:firstLine="270"/>
      </w:pPr>
      <w:r w:rsidRPr="00A03B40">
        <w:t>SCE’s forecast of actual 2025 GHG revenue is based on the actual revenues received via SCE’s 2025 auctions held thus far, and the product of remaining allocations to be a</w:t>
      </w:r>
      <w:r w:rsidR="00560C3F">
        <w:t>uctioned</w:t>
      </w:r>
      <w:r w:rsidRPr="00A03B40">
        <w:t xml:space="preserve"> multiplied by the ICE futures settlement price for December 2025 deliveries as of August 25, </w:t>
      </w:r>
      <w:proofErr w:type="gramStart"/>
      <w:r w:rsidRPr="00A03B40">
        <w:t>2025</w:t>
      </w:r>
      <w:proofErr w:type="gramEnd"/>
      <w:r w:rsidRPr="00A03B40">
        <w:t xml:space="preserve"> as a proxy for remaining </w:t>
      </w:r>
      <w:proofErr w:type="gramStart"/>
      <w:r w:rsidRPr="00A03B40">
        <w:t xml:space="preserve">2025 </w:t>
      </w:r>
      <w:r w:rsidRPr="00A03B40">
        <w:lastRenderedPageBreak/>
        <w:t>auction</w:t>
      </w:r>
      <w:proofErr w:type="gramEnd"/>
      <w:r w:rsidRPr="00A03B40">
        <w:t xml:space="preserve"> clearing prices. This price is $28.81/MT. SCE forecasts an over-estimate of 2025 auction revenues of $178.47</w:t>
      </w:r>
      <w:r w:rsidR="00560C3F">
        <w:t>2</w:t>
      </w:r>
      <w:r w:rsidRPr="00A03B40">
        <w:t xml:space="preserve"> million.</w:t>
      </w:r>
    </w:p>
    <w:p w:rsidRPr="00A03B40" w:rsidR="00D517CF" w:rsidP="001D5744" w:rsidRDefault="00D517CF" w14:paraId="0DCF6E92" w14:textId="53A03398">
      <w:pPr>
        <w:pStyle w:val="FOFList"/>
        <w:numPr>
          <w:ilvl w:val="0"/>
          <w:numId w:val="22"/>
        </w:numPr>
        <w:ind w:left="0" w:firstLine="270"/>
      </w:pPr>
      <w:r w:rsidRPr="00A03B40">
        <w:t>SCE estimates $0.386 million in costs that it will incur to administer the GHG revenue return program in 2026. SCE forecasts approximately $4,443 in related FF&amp;U, for a total 2026 administrative cost forecast of $</w:t>
      </w:r>
      <w:r w:rsidR="00560C3F">
        <w:t>0</w:t>
      </w:r>
      <w:r w:rsidRPr="00A03B40">
        <w:t>.390 million. Most of these costs are related to its biannual disbursements of the California Climate Credit, including production and postage costs.</w:t>
      </w:r>
    </w:p>
    <w:p w:rsidRPr="00A03B40" w:rsidR="00D517CF" w:rsidP="001D5744" w:rsidRDefault="00083FDA" w14:paraId="69D18B56" w14:textId="2EDE4B24">
      <w:pPr>
        <w:pStyle w:val="FOFList"/>
        <w:numPr>
          <w:ilvl w:val="0"/>
          <w:numId w:val="22"/>
        </w:numPr>
        <w:ind w:left="0" w:firstLine="270"/>
      </w:pPr>
      <w:r w:rsidRPr="00A03B40">
        <w:t xml:space="preserve">Because much of the forecast costs of a 2025 billing system upgrade can be absorbed by SCE’s IT budget, </w:t>
      </w:r>
      <w:r w:rsidRPr="00A03B40" w:rsidR="00D517CF">
        <w:t>SCE</w:t>
      </w:r>
      <w:r w:rsidRPr="00A03B40">
        <w:t>’</w:t>
      </w:r>
      <w:r w:rsidRPr="00A03B40" w:rsidR="00D517CF">
        <w:t xml:space="preserve">s 2025 actual administrative costs </w:t>
      </w:r>
      <w:r w:rsidRPr="00A03B40">
        <w:t xml:space="preserve">for its customer return program </w:t>
      </w:r>
      <w:r w:rsidRPr="00A03B40" w:rsidR="00D517CF">
        <w:t>will ultimately be $</w:t>
      </w:r>
      <w:r w:rsidR="00560C3F">
        <w:t>0</w:t>
      </w:r>
      <w:r w:rsidRPr="00A03B40" w:rsidR="00D517CF">
        <w:t xml:space="preserve">.460 million less than forecast, </w:t>
      </w:r>
      <w:r w:rsidRPr="00A03B40">
        <w:t>increasing revenues</w:t>
      </w:r>
      <w:r w:rsidRPr="00A03B40" w:rsidR="00D517CF">
        <w:t xml:space="preserve"> available for customer returns in 2026.</w:t>
      </w:r>
    </w:p>
    <w:p w:rsidRPr="00A03B40" w:rsidR="00D517CF" w:rsidP="001D5744" w:rsidRDefault="00D517CF" w14:paraId="26DB5A34" w14:textId="53474CF3">
      <w:pPr>
        <w:pStyle w:val="FOFList"/>
        <w:numPr>
          <w:ilvl w:val="0"/>
          <w:numId w:val="22"/>
        </w:numPr>
        <w:ind w:left="0" w:firstLine="270"/>
      </w:pPr>
      <w:r w:rsidRPr="00A03B40">
        <w:t xml:space="preserve">Combining the forecast over-disbursement of allowance revenues in 2025 and the overcollection of 2025 administrative costs, a year-end 2025 </w:t>
      </w:r>
      <w:r w:rsidRPr="00A03B40" w:rsidR="00083FDA">
        <w:t xml:space="preserve">GHGRBA </w:t>
      </w:r>
      <w:r w:rsidRPr="00A03B40">
        <w:t>balance of $213.307 million carries forward, decreasing</w:t>
      </w:r>
      <w:r w:rsidRPr="00A03B40" w:rsidR="00083FDA">
        <w:t xml:space="preserve"> </w:t>
      </w:r>
      <w:r w:rsidRPr="00A03B40">
        <w:t xml:space="preserve">revenues available for 2026 customer returns. Accounting for the 2026 and 2025 forecast and actual auction revenues and </w:t>
      </w:r>
      <w:r w:rsidRPr="00A03B40" w:rsidR="00083FDA">
        <w:t xml:space="preserve">program </w:t>
      </w:r>
      <w:r w:rsidRPr="00A03B40">
        <w:t>expenses, SCE projects a net total of $476.372</w:t>
      </w:r>
      <w:r w:rsidR="0089550C">
        <w:t> </w:t>
      </w:r>
      <w:r w:rsidRPr="00A03B40">
        <w:t>million to allocate to clean energy programs and customer returns in 2026.</w:t>
      </w:r>
    </w:p>
    <w:p w:rsidRPr="00A03B40" w:rsidR="00D517CF" w:rsidP="001D5744" w:rsidRDefault="00083FDA" w14:paraId="48204F50" w14:textId="471A54E7">
      <w:pPr>
        <w:pStyle w:val="FOFList"/>
        <w:numPr>
          <w:ilvl w:val="0"/>
          <w:numId w:val="22"/>
        </w:numPr>
        <w:ind w:left="0" w:firstLine="270"/>
      </w:pPr>
      <w:r w:rsidRPr="00A03B40">
        <w:t xml:space="preserve">Until June 30, 2026, </w:t>
      </w:r>
      <w:r w:rsidRPr="00A03B40" w:rsidR="00D517CF">
        <w:t>Pub. Util. Code section 748.5 authorizes the Commission to allocate up to 15 percent of GHG allowance revenues for otherwise-unfunded clean energy and energy efficiency projects and requires the Commission to return the remaining GHG allowance revenues to customers.</w:t>
      </w:r>
    </w:p>
    <w:p w:rsidRPr="00A03B40" w:rsidR="00D517CF" w:rsidP="001D5744" w:rsidRDefault="00D517CF" w14:paraId="1A8F8269" w14:textId="77777777">
      <w:pPr>
        <w:pStyle w:val="FOFList"/>
        <w:numPr>
          <w:ilvl w:val="0"/>
          <w:numId w:val="22"/>
        </w:numPr>
        <w:ind w:left="0" w:firstLine="270"/>
      </w:pPr>
      <w:r w:rsidRPr="00A03B40">
        <w:t>SCE proposes to set aside $33.094 million for clean energy and energy efficiency program funding in 2026.</w:t>
      </w:r>
    </w:p>
    <w:p w:rsidRPr="00A03B40" w:rsidR="00D517CF" w:rsidP="001D5744" w:rsidRDefault="00D517CF" w14:paraId="0E8AC187" w14:textId="226C8983">
      <w:pPr>
        <w:pStyle w:val="FOFList"/>
        <w:numPr>
          <w:ilvl w:val="0"/>
          <w:numId w:val="22"/>
        </w:numPr>
        <w:ind w:left="0" w:firstLine="270"/>
      </w:pPr>
      <w:r w:rsidRPr="00A03B40">
        <w:lastRenderedPageBreak/>
        <w:t>AB 693 created the SOMAH program allocated up to the lesser of $100</w:t>
      </w:r>
      <w:r w:rsidR="00B25683">
        <w:t> </w:t>
      </w:r>
      <w:r w:rsidRPr="00A03B40">
        <w:t>million or 10 percent of all IOU GHG allowance revenues for SOMAH program costs for fiscal years 2016 through 2026.</w:t>
      </w:r>
    </w:p>
    <w:p w:rsidRPr="00A03B40" w:rsidR="00D517CF" w:rsidP="001D5744" w:rsidRDefault="00D517CF" w14:paraId="7C2F012D" w14:textId="77777777">
      <w:pPr>
        <w:pStyle w:val="FOFList"/>
        <w:numPr>
          <w:ilvl w:val="0"/>
          <w:numId w:val="22"/>
        </w:numPr>
        <w:ind w:left="0" w:firstLine="270"/>
      </w:pPr>
      <w:r w:rsidRPr="00A03B40">
        <w:t>D.17-12-022 required that 10 percent of allowance auction proceeds be reserved for SOMAH through each IOU’s ERRA applications and established that each IOU must contribute its proportionate share of the $100 million based on its share of allowance sale proceeds from the previous four quarters.</w:t>
      </w:r>
    </w:p>
    <w:p w:rsidRPr="00A03B40" w:rsidR="00D517CF" w:rsidP="001D5744" w:rsidRDefault="00D517CF" w14:paraId="324D10D6" w14:textId="77777777">
      <w:pPr>
        <w:pStyle w:val="FOFList"/>
        <w:numPr>
          <w:ilvl w:val="0"/>
          <w:numId w:val="22"/>
        </w:numPr>
        <w:ind w:left="0" w:firstLine="270"/>
      </w:pPr>
      <w:r w:rsidRPr="00A03B40">
        <w:t>D.20-01-022 clarified that prior-year SOMAH set-</w:t>
      </w:r>
      <w:proofErr w:type="gramStart"/>
      <w:r w:rsidRPr="00A03B40">
        <w:t>aside of</w:t>
      </w:r>
      <w:proofErr w:type="gramEnd"/>
      <w:r w:rsidRPr="00A03B40">
        <w:t xml:space="preserve"> 10 percent of forecast GHG allowance revenues should be trued-up based on actual GHG allowance revenues received.</w:t>
      </w:r>
    </w:p>
    <w:p w:rsidRPr="00A03B40" w:rsidR="00D517CF" w:rsidP="001D5744" w:rsidRDefault="00D517CF" w14:paraId="518BB463" w14:textId="77777777">
      <w:pPr>
        <w:pStyle w:val="FOFList"/>
        <w:numPr>
          <w:ilvl w:val="0"/>
          <w:numId w:val="22"/>
        </w:numPr>
        <w:ind w:left="0" w:firstLine="270"/>
      </w:pPr>
      <w:r w:rsidRPr="00A03B40">
        <w:t>In D.20-04-012, the Commission extended SOMAH through June 2026.</w:t>
      </w:r>
    </w:p>
    <w:p w:rsidRPr="00A03B40" w:rsidR="00D517CF" w:rsidP="001D5744" w:rsidRDefault="00D517CF" w14:paraId="77942137" w14:textId="4B54D5DD">
      <w:pPr>
        <w:pStyle w:val="FOFList"/>
        <w:numPr>
          <w:ilvl w:val="0"/>
          <w:numId w:val="22"/>
        </w:numPr>
        <w:ind w:left="0" w:firstLine="270"/>
      </w:pPr>
      <w:r w:rsidRPr="00A03B40">
        <w:t>D.22-09-009 modified the SOMAH forecast budgeting process by adding a pathway for each IOU to request to set aside its proportionate share of the 100</w:t>
      </w:r>
      <w:r w:rsidR="00B25683">
        <w:t> </w:t>
      </w:r>
      <w:r w:rsidRPr="00A03B40">
        <w:t>million budget and by identifying a set allocation for each IOU’s share.</w:t>
      </w:r>
    </w:p>
    <w:p w:rsidRPr="00A03B40" w:rsidR="00D517CF" w:rsidP="001D5744" w:rsidRDefault="00D517CF" w14:paraId="08CB205D" w14:textId="6FCD6128">
      <w:pPr>
        <w:pStyle w:val="FOFList"/>
        <w:numPr>
          <w:ilvl w:val="0"/>
          <w:numId w:val="22"/>
        </w:numPr>
        <w:ind w:left="0" w:firstLine="270"/>
      </w:pPr>
      <w:r w:rsidRPr="00A03B40">
        <w:t>SCE proposes to set aside $23.264 million to fund the SOMAH program through June 2026. This amount is SCE’s set proportionate share of the total 50</w:t>
      </w:r>
      <w:r w:rsidR="00B25683">
        <w:t> </w:t>
      </w:r>
      <w:r w:rsidRPr="00A03B40">
        <w:t>million (half-year) program budget.</w:t>
      </w:r>
    </w:p>
    <w:p w:rsidRPr="00A03B40" w:rsidR="00D517CF" w:rsidP="001D5744" w:rsidRDefault="00D517CF" w14:paraId="73A53A1E" w14:textId="5BD1956D">
      <w:pPr>
        <w:pStyle w:val="FOFList"/>
        <w:numPr>
          <w:ilvl w:val="0"/>
          <w:numId w:val="22"/>
        </w:numPr>
        <w:ind w:left="0" w:firstLine="270"/>
      </w:pPr>
      <w:r w:rsidRPr="00A03B40">
        <w:t>SCE’s 2024 SOMAH true</w:t>
      </w:r>
      <w:r w:rsidR="006E0D77">
        <w:t xml:space="preserve"> </w:t>
      </w:r>
      <w:r w:rsidRPr="00A03B40">
        <w:t>up revealed a $3.328 million difference between SCE’s share of the $100 million cap based on actual GHG revenues recorded in 2024, and its previously approved set-aside in the 2024 ERRA or ECAC filings. This extra funding rolls over to be available in 2026, yielding a total available SOMAH budget of approximately $26.59</w:t>
      </w:r>
      <w:r w:rsidR="00C57E60">
        <w:t>2</w:t>
      </w:r>
      <w:r w:rsidRPr="00A03B40">
        <w:t xml:space="preserve"> million.</w:t>
      </w:r>
    </w:p>
    <w:p w:rsidRPr="00A03B40" w:rsidR="00D517CF" w:rsidP="001D5744" w:rsidRDefault="00D517CF" w14:paraId="24B382CB" w14:textId="35C498D8">
      <w:pPr>
        <w:pStyle w:val="FOFList"/>
        <w:numPr>
          <w:ilvl w:val="0"/>
          <w:numId w:val="22"/>
        </w:numPr>
        <w:ind w:left="0" w:firstLine="270"/>
      </w:pPr>
      <w:r w:rsidRPr="00A03B40">
        <w:t>Among other requirements, AB 327 require</w:t>
      </w:r>
      <w:r w:rsidRPr="00A03B40" w:rsidR="00CF0A5A">
        <w:t>s</w:t>
      </w:r>
      <w:r w:rsidRPr="00A03B40">
        <w:t xml:space="preserve"> the Commission </w:t>
      </w:r>
      <w:r w:rsidRPr="00A03B40" w:rsidR="00CF0A5A">
        <w:t xml:space="preserve">to </w:t>
      </w:r>
      <w:r w:rsidRPr="00A03B40">
        <w:t>ensure that all eligible low-income electricity and gas customers are given the opportunity to participate in low-income energy efficiency programs, including customers occupying multi</w:t>
      </w:r>
      <w:r w:rsidRPr="00A03B40" w:rsidR="004A6075">
        <w:t>-</w:t>
      </w:r>
      <w:r w:rsidRPr="00A03B40">
        <w:t>unit residential structures.</w:t>
      </w:r>
    </w:p>
    <w:p w:rsidRPr="00A03B40" w:rsidR="00D517CF" w:rsidP="001D5744" w:rsidRDefault="00D517CF" w14:paraId="15AD5CD2" w14:textId="77777777">
      <w:pPr>
        <w:pStyle w:val="FOFList"/>
        <w:numPr>
          <w:ilvl w:val="0"/>
          <w:numId w:val="22"/>
        </w:numPr>
        <w:ind w:left="0" w:firstLine="270"/>
      </w:pPr>
      <w:r w:rsidRPr="00A03B40">
        <w:lastRenderedPageBreak/>
        <w:t xml:space="preserve">Pursuant to AB 327, the Commission created the DAC-SASH program </w:t>
      </w:r>
      <w:proofErr w:type="gramStart"/>
      <w:r w:rsidRPr="00A03B40">
        <w:t>in</w:t>
      </w:r>
      <w:proofErr w:type="gramEnd"/>
      <w:r w:rsidRPr="00A03B40">
        <w:t xml:space="preserve"> D.18-06-027, setting an annual, all-IOU $10 million budget for DAC-SASH, to be funded first via GHG allowance revenues, and through PPP funds, should GHG allowance revenues be exhausted. SCE’s proportionate share of that $10 million annual budget is 46 percent, starting in 2019.</w:t>
      </w:r>
    </w:p>
    <w:p w:rsidRPr="00A03B40" w:rsidR="00D517CF" w:rsidP="001D5744" w:rsidRDefault="00D517CF" w14:paraId="36CEAB2C" w14:textId="77777777">
      <w:pPr>
        <w:pStyle w:val="FOFList"/>
        <w:numPr>
          <w:ilvl w:val="0"/>
          <w:numId w:val="22"/>
        </w:numPr>
        <w:ind w:left="0" w:firstLine="270"/>
      </w:pPr>
      <w:r w:rsidRPr="00A03B40">
        <w:t>SCE has allocated $4.6 million of its projected GHG allowance revenues to its DAC-SASH program (46 percent of $10 million).</w:t>
      </w:r>
    </w:p>
    <w:p w:rsidRPr="00A03B40" w:rsidR="00D517CF" w:rsidP="001D5744" w:rsidRDefault="00D517CF" w14:paraId="31898A61" w14:textId="5F675299">
      <w:pPr>
        <w:pStyle w:val="FOFList"/>
        <w:numPr>
          <w:ilvl w:val="0"/>
          <w:numId w:val="22"/>
        </w:numPr>
        <w:ind w:left="0" w:firstLine="270"/>
      </w:pPr>
      <w:r w:rsidRPr="00A03B40">
        <w:t>D.18-06-027</w:t>
      </w:r>
      <w:r w:rsidRPr="00A03B40" w:rsidR="004A6075">
        <w:t xml:space="preserve"> </w:t>
      </w:r>
      <w:r w:rsidRPr="00A03B40">
        <w:t>allowed CCAs to access GHG allowance revenues to run their own Green Tariff programs, including DAC-GT and CSGT programs.</w:t>
      </w:r>
    </w:p>
    <w:p w:rsidRPr="00A03B40" w:rsidR="00D517CF" w:rsidP="001D5744" w:rsidRDefault="00D517CF" w14:paraId="048E8B73" w14:textId="58642D7F">
      <w:pPr>
        <w:pStyle w:val="FOFList"/>
        <w:numPr>
          <w:ilvl w:val="0"/>
          <w:numId w:val="22"/>
        </w:numPr>
        <w:ind w:left="0" w:firstLine="270"/>
      </w:pPr>
      <w:r w:rsidRPr="00A03B40">
        <w:t xml:space="preserve">On April 1, 2025, CPA submitted AL 0035-E, requesting $5.142 million in FY 2026 funding for its CCA-DAC program, which </w:t>
      </w:r>
      <w:r w:rsidRPr="00A03B40" w:rsidR="004A6075">
        <w:t xml:space="preserve">includes </w:t>
      </w:r>
      <w:r w:rsidRPr="00A03B40">
        <w:t xml:space="preserve">prior year unspent amounts. Due to CARB’s limits on volumetric-based allowance revenue returns, SCE proposes to fund the above market generation portion of $1.902 million through GHG allowance revenue, with the </w:t>
      </w:r>
      <w:r w:rsidRPr="00A03B40" w:rsidR="004A6075">
        <w:t>remaining</w:t>
      </w:r>
      <w:r w:rsidRPr="00A03B40">
        <w:t xml:space="preserve"> $3.240 million recovered through the PPP Charge.</w:t>
      </w:r>
    </w:p>
    <w:p w:rsidRPr="00A03B40" w:rsidR="00D517CF" w:rsidP="001D5744" w:rsidRDefault="00D517CF" w14:paraId="6B8876F1" w14:textId="16325414">
      <w:pPr>
        <w:pStyle w:val="FOFList"/>
        <w:numPr>
          <w:ilvl w:val="0"/>
          <w:numId w:val="22"/>
        </w:numPr>
        <w:ind w:left="0" w:firstLine="270"/>
      </w:pPr>
      <w:r w:rsidRPr="00A03B40">
        <w:t xml:space="preserve">After the proposed $33.094 million set-aside for clean energy programs is deducted, SCE estimates $443.279 million remaining for customer returns. </w:t>
      </w:r>
    </w:p>
    <w:p w:rsidR="00B25683" w:rsidP="001D5744" w:rsidRDefault="00D517CF" w14:paraId="0831B493" w14:textId="77777777">
      <w:pPr>
        <w:pStyle w:val="FOFList"/>
        <w:numPr>
          <w:ilvl w:val="0"/>
          <w:numId w:val="22"/>
        </w:numPr>
        <w:ind w:left="0" w:firstLine="270"/>
      </w:pPr>
      <w:r w:rsidRPr="00A03B40">
        <w:t xml:space="preserve">From GHG allowance revenue, EITE facilities receive California Industry Assistance credits to minimize leakage associated with Cap-and-Trade program costs in purchased energy. The Commission adopted methodologies for calculating EITE returns </w:t>
      </w:r>
      <w:proofErr w:type="gramStart"/>
      <w:r w:rsidRPr="00A03B40">
        <w:t>in</w:t>
      </w:r>
      <w:proofErr w:type="gramEnd"/>
      <w:r w:rsidRPr="00A03B40">
        <w:t xml:space="preserve"> D.14-12-037, as modified by D.15-08-006 and </w:t>
      </w:r>
    </w:p>
    <w:p w:rsidRPr="00A03B40" w:rsidR="00D517CF" w:rsidP="001D5744" w:rsidRDefault="00D517CF" w14:paraId="6D47F648" w14:textId="35152B7A">
      <w:pPr>
        <w:pStyle w:val="FOFList"/>
        <w:ind w:left="180" w:firstLine="270"/>
      </w:pPr>
      <w:r w:rsidRPr="00A03B40">
        <w:t>D.16-07-</w:t>
      </w:r>
      <w:proofErr w:type="gramStart"/>
      <w:r w:rsidRPr="00A03B40">
        <w:t>007, and</w:t>
      </w:r>
      <w:proofErr w:type="gramEnd"/>
      <w:r w:rsidRPr="00A03B40">
        <w:t xml:space="preserve"> updated these methodologies in D.21-08-026.  </w:t>
      </w:r>
    </w:p>
    <w:p w:rsidRPr="00A03B40" w:rsidR="00D517CF" w:rsidP="001D5744" w:rsidRDefault="00D517CF" w14:paraId="7CC0165F" w14:textId="12AF5E7B">
      <w:pPr>
        <w:pStyle w:val="FOFList"/>
        <w:numPr>
          <w:ilvl w:val="0"/>
          <w:numId w:val="22"/>
        </w:numPr>
        <w:ind w:left="0" w:firstLine="270"/>
      </w:pPr>
      <w:r w:rsidRPr="00A03B40">
        <w:t>The Commission calculates EITE returns</w:t>
      </w:r>
      <w:r w:rsidRPr="00A03B40" w:rsidR="004A6075">
        <w:t xml:space="preserve"> </w:t>
      </w:r>
      <w:r w:rsidRPr="00A03B40">
        <w:t xml:space="preserve">for each eligible facility using emissions-efficiency benchmarks, while </w:t>
      </w:r>
      <w:r w:rsidRPr="00A03B40" w:rsidR="004A6075">
        <w:t>SCE</w:t>
      </w:r>
      <w:r w:rsidRPr="00A03B40">
        <w:t xml:space="preserve"> is responsible for disbursement.</w:t>
      </w:r>
    </w:p>
    <w:p w:rsidRPr="00A03B40" w:rsidR="00D517CF" w:rsidP="001D5744" w:rsidRDefault="00D517CF" w14:paraId="70274234" w14:textId="7C27AC17">
      <w:pPr>
        <w:pStyle w:val="FOFList"/>
        <w:numPr>
          <w:ilvl w:val="0"/>
          <w:numId w:val="22"/>
        </w:numPr>
        <w:ind w:left="0" w:firstLine="270"/>
      </w:pPr>
      <w:r w:rsidRPr="00A03B40">
        <w:t xml:space="preserve">SCE proposes </w:t>
      </w:r>
      <w:proofErr w:type="gramStart"/>
      <w:r w:rsidRPr="00A03B40">
        <w:t>to set-</w:t>
      </w:r>
      <w:proofErr w:type="gramEnd"/>
      <w:r w:rsidRPr="00A03B40">
        <w:t xml:space="preserve">aside $58.908 million in revenues for </w:t>
      </w:r>
      <w:r w:rsidRPr="00A03B40" w:rsidR="004A6075">
        <w:t>EITE facilities</w:t>
      </w:r>
      <w:r w:rsidRPr="00A03B40">
        <w:t>.</w:t>
      </w:r>
    </w:p>
    <w:p w:rsidRPr="00A03B40" w:rsidR="00D517CF" w:rsidP="001D5744" w:rsidRDefault="00D517CF" w14:paraId="2D23C34C" w14:textId="77777777">
      <w:pPr>
        <w:pStyle w:val="FOFList"/>
        <w:numPr>
          <w:ilvl w:val="0"/>
          <w:numId w:val="22"/>
        </w:numPr>
        <w:ind w:left="0" w:firstLine="270"/>
      </w:pPr>
      <w:r w:rsidRPr="00A03B40">
        <w:lastRenderedPageBreak/>
        <w:t xml:space="preserve">Once EITE facilities receive credits, the remaining allowance revenue ($384.371 million) flows through to small business and residential customers. </w:t>
      </w:r>
    </w:p>
    <w:p w:rsidRPr="00A03B40" w:rsidR="00D517CF" w:rsidP="001D5744" w:rsidRDefault="00D517CF" w14:paraId="5007FE92" w14:textId="21B2B994">
      <w:pPr>
        <w:pStyle w:val="FOFList"/>
        <w:numPr>
          <w:ilvl w:val="0"/>
          <w:numId w:val="22"/>
        </w:numPr>
        <w:ind w:left="0" w:firstLine="270"/>
      </w:pPr>
      <w:r w:rsidRPr="00A03B40">
        <w:t xml:space="preserve">D.15-07-001 </w:t>
      </w:r>
      <w:r w:rsidR="00C57E60">
        <w:t>remov</w:t>
      </w:r>
      <w:r w:rsidRPr="00A03B40">
        <w:t xml:space="preserve">ed the </w:t>
      </w:r>
      <w:r w:rsidR="00C57E60">
        <w:t xml:space="preserve">volumetric portion of the </w:t>
      </w:r>
      <w:r w:rsidRPr="00A03B40">
        <w:t xml:space="preserve">residential credit from the credit </w:t>
      </w:r>
      <w:r w:rsidR="00C57E60">
        <w:t xml:space="preserve">methodology </w:t>
      </w:r>
      <w:r w:rsidRPr="00A03B40">
        <w:t xml:space="preserve">adopted in D.12-12-033, based on customer usage, </w:t>
      </w:r>
      <w:r w:rsidR="00C57E60">
        <w:t>and adopted</w:t>
      </w:r>
      <w:r w:rsidRPr="00A03B40">
        <w:t xml:space="preserve"> a flat rate credit that is the same for all residential customers starting January 1, 2016. D.21-08-026 changed the small business credit from the volumetric credit set forth in D.12-12-033 to a flat rate credit equal to the residential credit.</w:t>
      </w:r>
    </w:p>
    <w:p w:rsidRPr="00A03B40" w:rsidR="00D517CF" w:rsidP="001D5744" w:rsidRDefault="00D517CF" w14:paraId="5DBDF736" w14:textId="1896A0A8">
      <w:pPr>
        <w:pStyle w:val="FOFList"/>
        <w:numPr>
          <w:ilvl w:val="0"/>
          <w:numId w:val="22"/>
        </w:numPr>
        <w:ind w:left="0" w:firstLine="270"/>
      </w:pPr>
      <w:r w:rsidRPr="00A03B40">
        <w:t xml:space="preserve">Based on the estimated number of </w:t>
      </w:r>
      <w:r w:rsidRPr="00A03B40" w:rsidR="004A6075">
        <w:t>eligible</w:t>
      </w:r>
      <w:r w:rsidRPr="00A03B40">
        <w:t xml:space="preserve"> customers in 2026, SCE proposes a $36 </w:t>
      </w:r>
      <w:r w:rsidRPr="00A03B40" w:rsidR="004A6075">
        <w:t xml:space="preserve">biannual </w:t>
      </w:r>
      <w:r w:rsidRPr="00A03B40">
        <w:t>California Climate Credit to offset residential and small commercial customer bills twice in 2026.</w:t>
      </w:r>
    </w:p>
    <w:p w:rsidRPr="00A03B40" w:rsidR="00D517CF" w:rsidP="001D5744" w:rsidRDefault="00D517CF" w14:paraId="320CFEA4" w14:textId="283A7D0D">
      <w:pPr>
        <w:pStyle w:val="FOFList"/>
        <w:numPr>
          <w:ilvl w:val="0"/>
          <w:numId w:val="22"/>
        </w:numPr>
        <w:ind w:left="0" w:firstLine="270"/>
      </w:pPr>
      <w:r w:rsidRPr="00A03B40">
        <w:t>SCE proposes a</w:t>
      </w:r>
      <w:r w:rsidRPr="00A03B40" w:rsidR="004A6075">
        <w:t xml:space="preserve"> $4.689 billion </w:t>
      </w:r>
      <w:r w:rsidRPr="00A03B40">
        <w:t xml:space="preserve">updated </w:t>
      </w:r>
      <w:r w:rsidRPr="00A03B40" w:rsidR="004A6075">
        <w:t xml:space="preserve">and amended </w:t>
      </w:r>
      <w:r w:rsidRPr="00A03B40">
        <w:t>2026 ERRA forecast revenue requirement</w:t>
      </w:r>
      <w:r w:rsidRPr="00A03B40" w:rsidR="004A6075">
        <w:t>,</w:t>
      </w:r>
      <w:r w:rsidRPr="00A03B40">
        <w:t xml:space="preserve"> including a F&amp;PP revenue requirement of $4.</w:t>
      </w:r>
      <w:r w:rsidRPr="00A03B40" w:rsidR="004A6075">
        <w:t>7</w:t>
      </w:r>
      <w:r w:rsidRPr="00A03B40">
        <w:t>24 billion.</w:t>
      </w:r>
    </w:p>
    <w:p w:rsidRPr="00A03B40" w:rsidR="00D517CF" w:rsidP="001D5744" w:rsidRDefault="00D517CF" w14:paraId="37919DD7" w14:textId="77777777">
      <w:pPr>
        <w:pStyle w:val="FOFList"/>
        <w:numPr>
          <w:ilvl w:val="0"/>
          <w:numId w:val="22"/>
        </w:numPr>
        <w:ind w:left="0" w:firstLine="270"/>
      </w:pPr>
      <w:r w:rsidRPr="00A03B40">
        <w:t xml:space="preserve">SCE’s 2026 ERRA forecast is made up of a generation service revenue requirement and a delivery service revenue requirement.  </w:t>
      </w:r>
    </w:p>
    <w:p w:rsidRPr="00A03B40" w:rsidR="00D517CF" w:rsidP="001D5744" w:rsidRDefault="00D517CF" w14:paraId="686106C9" w14:textId="77777777">
      <w:pPr>
        <w:pStyle w:val="FOFList"/>
        <w:numPr>
          <w:ilvl w:val="0"/>
          <w:numId w:val="22"/>
        </w:numPr>
        <w:ind w:left="0" w:firstLine="270"/>
      </w:pPr>
      <w:r w:rsidRPr="00A03B40">
        <w:t xml:space="preserve">SCE’s requests the recovery of the balancing and memorandum account balances, costs, charge components, and forecast GHG allowance revenues that make up its 2026 ERRA forecast revenue requirement, as listed in Table 7-1. </w:t>
      </w:r>
    </w:p>
    <w:p w:rsidRPr="00A03B40" w:rsidR="00D517CF" w:rsidP="001D5744" w:rsidRDefault="00D517CF" w14:paraId="6D4E4A5F" w14:textId="77777777">
      <w:pPr>
        <w:pStyle w:val="FOFList"/>
        <w:numPr>
          <w:ilvl w:val="0"/>
          <w:numId w:val="22"/>
        </w:numPr>
        <w:ind w:left="0" w:firstLine="270"/>
      </w:pPr>
      <w:r w:rsidRPr="00A03B40">
        <w:t>Pursuant to Pub. Util. Code section 454.5 (d)(3), D.02-10-062 adopted the ERRA BA as the mechanism by which utilities would track actual procurement costs against forecast amounts. Amounts recorded to the ERRA BA are recovered from bundled customers through generation service rates.</w:t>
      </w:r>
    </w:p>
    <w:p w:rsidRPr="00A03B40" w:rsidR="00D517CF" w:rsidP="001D5744" w:rsidRDefault="00D517CF" w14:paraId="6F881A4A" w14:textId="77777777">
      <w:pPr>
        <w:pStyle w:val="FOFList"/>
        <w:numPr>
          <w:ilvl w:val="0"/>
          <w:numId w:val="22"/>
        </w:numPr>
        <w:ind w:left="0" w:firstLine="270"/>
      </w:pPr>
      <w:r w:rsidRPr="00A03B40">
        <w:t xml:space="preserve">SCE’s estimates of the 2025 year-end balances in the ERRA BA and PABA are based on the forecast costs adopted in SCE’s 2025 ERRA Forecast proceeding in D.24-12-039 except that January through September 30, </w:t>
      </w:r>
      <w:proofErr w:type="gramStart"/>
      <w:r w:rsidRPr="00A03B40">
        <w:t>2025</w:t>
      </w:r>
      <w:proofErr w:type="gramEnd"/>
      <w:r w:rsidRPr="00A03B40">
        <w:t xml:space="preserve"> have been </w:t>
      </w:r>
      <w:r w:rsidRPr="00A03B40">
        <w:lastRenderedPageBreak/>
        <w:t>updated with recorded actuals and October through December 2025 incorporate updated market forwards as of October 3, 2025.</w:t>
      </w:r>
    </w:p>
    <w:p w:rsidRPr="00A03B40" w:rsidR="00D517CF" w:rsidP="001D5744" w:rsidRDefault="00D517CF" w14:paraId="53658BC8" w14:textId="77777777">
      <w:pPr>
        <w:pStyle w:val="FOFList"/>
        <w:numPr>
          <w:ilvl w:val="0"/>
          <w:numId w:val="22"/>
        </w:numPr>
        <w:ind w:left="0" w:firstLine="270"/>
      </w:pPr>
      <w:r w:rsidRPr="00A03B40">
        <w:t>SCE’s year-end 2025 ERRA BA forecast also incorporates the impacts of SCE’s 2024 ERRA Trigger Application, which anticipated a $742.426 million over-collection. SCE requests to transfer the remaining year-end 2025 ERRA BA balance to the 2025 vintage subaccount of the PABA.</w:t>
      </w:r>
    </w:p>
    <w:p w:rsidRPr="00A03B40" w:rsidR="00D517CF" w:rsidP="001D5744" w:rsidRDefault="00D517CF" w14:paraId="79B05E14" w14:textId="77777777">
      <w:pPr>
        <w:pStyle w:val="FOFList"/>
        <w:numPr>
          <w:ilvl w:val="0"/>
          <w:numId w:val="22"/>
        </w:numPr>
        <w:ind w:left="0" w:firstLine="270"/>
      </w:pPr>
      <w:r w:rsidRPr="00A03B40">
        <w:t>The 2026 ERRA BA and year-end 2025 ERRA forecast are impacted by the disputed issues in this case regarding the valuation of certain RPS instruments that may be used for bundled service customer compliance.</w:t>
      </w:r>
    </w:p>
    <w:p w:rsidRPr="00A03B40" w:rsidR="00D517CF" w:rsidP="001D5744" w:rsidRDefault="00D517CF" w14:paraId="7E163114" w14:textId="149A6D0B">
      <w:pPr>
        <w:pStyle w:val="FOFList"/>
        <w:numPr>
          <w:ilvl w:val="0"/>
          <w:numId w:val="22"/>
        </w:numPr>
        <w:ind w:left="0" w:firstLine="270"/>
      </w:pPr>
      <w:r w:rsidRPr="00A03B40">
        <w:t xml:space="preserve">D.18-10-019 modified the balancing accounts considered in ERRA forecast proceedings and directed utilities to create new balancing accounts with vintaged subaccounts to track above-market costs and revenues associated with their electric portfolios. The PABA tracks and </w:t>
      </w:r>
      <w:r w:rsidR="00EC39AF">
        <w:t xml:space="preserve">accounts for </w:t>
      </w:r>
      <w:r w:rsidRPr="00A03B40">
        <w:t>recover</w:t>
      </w:r>
      <w:r w:rsidR="00EC39AF">
        <w:t>y</w:t>
      </w:r>
      <w:r w:rsidRPr="00A03B40">
        <w:t xml:space="preserve"> from responsible bundled service and Departing Load customers their respective shares of the “above-market” costs of all generation resources that are eligible for cost recovery through the </w:t>
      </w:r>
      <w:r w:rsidR="00EC39AF">
        <w:t>CTC and PCIA</w:t>
      </w:r>
      <w:r w:rsidRPr="00A03B40">
        <w:t>.</w:t>
      </w:r>
    </w:p>
    <w:p w:rsidRPr="00A03B40" w:rsidR="00D517CF" w:rsidP="001D5744" w:rsidRDefault="00D517CF" w14:paraId="3465CA5F" w14:textId="77777777">
      <w:pPr>
        <w:pStyle w:val="FOFList"/>
        <w:numPr>
          <w:ilvl w:val="0"/>
          <w:numId w:val="22"/>
        </w:numPr>
        <w:ind w:left="0" w:firstLine="270"/>
      </w:pPr>
      <w:r w:rsidRPr="00A03B40">
        <w:t>The calculation of the 2026 forecast and 2025 year-end PABA balances are impacted by the disputed issues in this proceeding.</w:t>
      </w:r>
    </w:p>
    <w:p w:rsidR="00760A35" w:rsidP="008274E8" w:rsidRDefault="00D517CF" w14:paraId="05485E11" w14:textId="77777777">
      <w:pPr>
        <w:pStyle w:val="FOFList"/>
        <w:numPr>
          <w:ilvl w:val="0"/>
          <w:numId w:val="22"/>
        </w:numPr>
        <w:ind w:left="0" w:firstLine="180"/>
      </w:pPr>
      <w:r w:rsidRPr="00A03B40">
        <w:t xml:space="preserve">SCE’s year-end 2025 ERRA BA and PABA balances changed significantly between SCE’s May Filing and its </w:t>
      </w:r>
      <w:r w:rsidRPr="00A03B40" w:rsidR="004A6075">
        <w:t xml:space="preserve">Amended </w:t>
      </w:r>
      <w:r w:rsidRPr="00A03B40">
        <w:t>October Update, mostly due to application of the Final 2025 and Forecast 2026 MPBs.</w:t>
      </w:r>
    </w:p>
    <w:p w:rsidR="00760A35" w:rsidP="001D5744" w:rsidRDefault="004A6075" w14:paraId="7BEEEB40" w14:textId="77777777">
      <w:pPr>
        <w:pStyle w:val="FOFList"/>
        <w:numPr>
          <w:ilvl w:val="0"/>
          <w:numId w:val="22"/>
        </w:numPr>
        <w:ind w:left="0" w:firstLine="180"/>
      </w:pPr>
      <w:r w:rsidRPr="00A03B40">
        <w:t>SCE’s Amended October Update, Exhibit SCE-05A, contains updated ERRA BA and PABA balances that SCE states correct for mistakes in its allocation of generation revenues received from bundled customers across balancing accounts. The errors were caused by its failure to incorporate authorized GRC revenues into the calculation of allocation percentages.</w:t>
      </w:r>
    </w:p>
    <w:p w:rsidR="00760A35" w:rsidP="001D5744" w:rsidRDefault="00D517CF" w14:paraId="35795793" w14:textId="77777777">
      <w:pPr>
        <w:pStyle w:val="FOFList"/>
        <w:numPr>
          <w:ilvl w:val="0"/>
          <w:numId w:val="22"/>
        </w:numPr>
        <w:ind w:left="0" w:firstLine="180"/>
      </w:pPr>
      <w:r w:rsidRPr="00A03B40">
        <w:lastRenderedPageBreak/>
        <w:t>D.15-01-015 authorized SCE to track the actual costs of contracts procured pursuant to SCE’s GT program, which allows customers opportunities to purchase more power from renewable sources. Costs tracked in the GTSRBA are recovered from customers participating in the GT program.</w:t>
      </w:r>
    </w:p>
    <w:p w:rsidR="00760A35" w:rsidP="001D5744" w:rsidRDefault="00D517CF" w14:paraId="7F7A586A" w14:textId="77777777">
      <w:pPr>
        <w:pStyle w:val="FOFList"/>
        <w:numPr>
          <w:ilvl w:val="0"/>
          <w:numId w:val="22"/>
        </w:numPr>
        <w:ind w:left="0" w:firstLine="180"/>
      </w:pPr>
      <w:r w:rsidRPr="00A03B40">
        <w:t xml:space="preserve">SCE is pursuing refunds from power generators who overcharged SCE for electricity during the 2000-2001 California Energy Crisis. SCE tracks such settlement funds in the ESMA. In Res. E-3894, the Commission required SCE to maintain </w:t>
      </w:r>
      <w:proofErr w:type="gramStart"/>
      <w:r w:rsidRPr="00A03B40">
        <w:t>a LCTA</w:t>
      </w:r>
      <w:proofErr w:type="gramEnd"/>
      <w:r w:rsidRPr="00A03B40">
        <w:t xml:space="preserve"> within the ESMA to track the litigation costs that are </w:t>
      </w:r>
      <w:proofErr w:type="gramStart"/>
      <w:r w:rsidRPr="00A03B40">
        <w:t>set-aside</w:t>
      </w:r>
      <w:proofErr w:type="gramEnd"/>
      <w:r w:rsidRPr="00A03B40">
        <w:t xml:space="preserve"> in the FERC investigation settlement agreements and actual litigation costs incurred by SCE. These costs are netted against any settlement refunds before the remaining ESMA balance is returned to ratepayers.</w:t>
      </w:r>
    </w:p>
    <w:p w:rsidR="00A32063" w:rsidP="001D5744" w:rsidRDefault="004A6075" w14:paraId="6BEF502C" w14:textId="77777777">
      <w:pPr>
        <w:pStyle w:val="FOFList"/>
        <w:numPr>
          <w:ilvl w:val="0"/>
          <w:numId w:val="22"/>
        </w:numPr>
        <w:ind w:left="0" w:firstLine="180"/>
      </w:pPr>
      <w:r w:rsidRPr="00A03B40">
        <w:t>Costs tracked in the NSGBA include</w:t>
      </w:r>
      <w:r w:rsidRPr="00A03B40" w:rsidR="00D517CF">
        <w:t xml:space="preserve"> the net capacity costs of New System Generation contracts entered into pursuant to D.06-07-029 and D.07-08-044, a portion of system reliability costs previously recorded to the SRPMA (pursuant to D.19-11-016, D.21-12-015, and D.22-05-015), summer reliability procurement costs (pursuant to D.21-02-028, D.21-03-056, and D.21-12-015), the storage charging costs and market revenues of the UOS DESI 2 (pursuant to </w:t>
      </w:r>
    </w:p>
    <w:p w:rsidR="00A32063" w:rsidP="00A32063" w:rsidRDefault="00D517CF" w14:paraId="0BB20CAB" w14:textId="77777777">
      <w:pPr>
        <w:pStyle w:val="FOFList"/>
        <w:ind w:firstLine="0"/>
      </w:pPr>
      <w:r w:rsidRPr="00A03B40">
        <w:t xml:space="preserve">D.15-11-021), certain CHP contract costs (pursuant to D.10-12-035), and local capacity requirement procurement (pursuant to D.23-06-029) and Central Procurement Entity procurement and administration costs (pursuant to </w:t>
      </w:r>
    </w:p>
    <w:p w:rsidR="00760A35" w:rsidP="00A32063" w:rsidRDefault="00D517CF" w14:paraId="10D278C3" w14:textId="785FBBBC">
      <w:pPr>
        <w:pStyle w:val="FOFList"/>
        <w:ind w:firstLine="0"/>
      </w:pPr>
      <w:r w:rsidRPr="00A03B40">
        <w:t xml:space="preserve">D.20-06-002, D.22-03-034). The costs tracked in the NSGBA are allocated via the CAM and are recovered from all </w:t>
      </w:r>
      <w:proofErr w:type="gramStart"/>
      <w:r w:rsidRPr="00A03B40">
        <w:t>benefitting</w:t>
      </w:r>
      <w:proofErr w:type="gramEnd"/>
      <w:r w:rsidRPr="00A03B40">
        <w:t xml:space="preserve"> customers (bundled service customers and unbundled customers) via the NSGNBC.</w:t>
      </w:r>
    </w:p>
    <w:p w:rsidR="00760A35" w:rsidP="001D5744" w:rsidRDefault="00D517CF" w14:paraId="631CCA11" w14:textId="77777777">
      <w:pPr>
        <w:pStyle w:val="FOFList"/>
        <w:numPr>
          <w:ilvl w:val="0"/>
          <w:numId w:val="22"/>
        </w:numPr>
        <w:ind w:left="0" w:firstLine="180"/>
      </w:pPr>
      <w:r w:rsidRPr="00A03B40">
        <w:t xml:space="preserve">To estimate the year-end 2025 NSGBA balance, SCE uses recorded amounts from January 1, </w:t>
      </w:r>
      <w:proofErr w:type="gramStart"/>
      <w:r w:rsidRPr="00A03B40">
        <w:t>2025</w:t>
      </w:r>
      <w:proofErr w:type="gramEnd"/>
      <w:r w:rsidRPr="00A03B40">
        <w:t xml:space="preserve"> through September 30, 2025, plus a forecast of the activity SCE expects to record in the NSGBA through December 31, 2025.</w:t>
      </w:r>
    </w:p>
    <w:p w:rsidR="00760A35" w:rsidP="001D5744" w:rsidRDefault="00D517CF" w14:paraId="0DDF8536" w14:textId="77777777">
      <w:pPr>
        <w:pStyle w:val="FOFList"/>
        <w:numPr>
          <w:ilvl w:val="0"/>
          <w:numId w:val="22"/>
        </w:numPr>
        <w:ind w:left="0" w:firstLine="180"/>
      </w:pPr>
      <w:r w:rsidRPr="00A03B40">
        <w:lastRenderedPageBreak/>
        <w:t xml:space="preserve">Pursuant to D.22-01-015, SCE’s MCAMBA tracks the costs of procurement authorized to be recovered via the MCAM, including the opt-out and backstop system reliability procurement required by D.19-11-016 and the backstop procurement required by D.21-06-035. The costs tracked in the MCAMBA are recovered from the customers of LSEs that opted out of or </w:t>
      </w:r>
      <w:r w:rsidRPr="00A03B40" w:rsidR="004A6075">
        <w:t>did not</w:t>
      </w:r>
      <w:r w:rsidRPr="00A03B40">
        <w:t xml:space="preserve"> meet procurement obligations. </w:t>
      </w:r>
    </w:p>
    <w:p w:rsidR="00760A35" w:rsidP="001D5744" w:rsidRDefault="00D517CF" w14:paraId="76B26BAB" w14:textId="77777777">
      <w:pPr>
        <w:pStyle w:val="FOFList"/>
        <w:numPr>
          <w:ilvl w:val="0"/>
          <w:numId w:val="22"/>
        </w:numPr>
        <w:ind w:left="0" w:firstLine="180"/>
      </w:pPr>
      <w:r w:rsidRPr="00A03B40">
        <w:t xml:space="preserve">For the purposes of its 2026 ERRA Forecast requests, SCE records the forecasts of the following costs or credits in the BRRBA-D: cost of and credits equaling the energy benefits of SCE’s UOS Anode and Cathode (pursuant to Res. E-5183); administrative payment fees to the CARB calculated to recover the costs of the State’s implementation of AB 32; EIM BOSR and DRAM costs; the impacts of SCE’s DR programs, and transfer amounts from the distribution sub-account of the LCRPBA. </w:t>
      </w:r>
    </w:p>
    <w:p w:rsidR="00760A35" w:rsidP="001D5744" w:rsidRDefault="00D517CF" w14:paraId="412C7DD9" w14:textId="77777777">
      <w:pPr>
        <w:pStyle w:val="FOFList"/>
        <w:numPr>
          <w:ilvl w:val="0"/>
          <w:numId w:val="22"/>
        </w:numPr>
        <w:ind w:left="0" w:firstLine="180"/>
      </w:pPr>
      <w:r w:rsidRPr="00A03B40">
        <w:t xml:space="preserve">Pursuant to D.14-10-033, </w:t>
      </w:r>
      <w:proofErr w:type="gramStart"/>
      <w:r w:rsidRPr="00A03B40">
        <w:t>SCE’s</w:t>
      </w:r>
      <w:proofErr w:type="gramEnd"/>
      <w:r w:rsidRPr="00A03B40">
        <w:t xml:space="preserve"> proposed 2026 GHGRBA forecast includes SCE’s forecast GHG allowance revenues, an estimated year-end 2025 </w:t>
      </w:r>
      <w:proofErr w:type="spellStart"/>
      <w:r w:rsidRPr="00A03B40">
        <w:t>undercollection</w:t>
      </w:r>
      <w:proofErr w:type="spellEnd"/>
      <w:r w:rsidRPr="00A03B40">
        <w:t xml:space="preserve">, and forecast administrative costs. </w:t>
      </w:r>
    </w:p>
    <w:p w:rsidR="00760A35" w:rsidP="001D5744" w:rsidRDefault="00D517CF" w14:paraId="787AB8AF" w14:textId="77777777">
      <w:pPr>
        <w:pStyle w:val="FOFList"/>
        <w:numPr>
          <w:ilvl w:val="0"/>
          <w:numId w:val="22"/>
        </w:numPr>
        <w:ind w:left="0" w:firstLine="180"/>
      </w:pPr>
      <w:r w:rsidRPr="00A03B40">
        <w:t>SCE’s proposed PPPC components are forecast 2026 costs for the TMNBC, including audit costs (pursuant to D.18-12-003), forecast costs for the BMNBC (pursuant to D.20-08-043), the forecast contract capacity costs of the PRP tracked in the LCR-PPP subaccount (pursuant to D.18-07-023), and CCA DAC-GT/CSGT (pursuant to D.18-06-027.) The proposed PPPC also includes year-end 2025 balances for the TMNBCBA and the BMNBCBA.</w:t>
      </w:r>
    </w:p>
    <w:p w:rsidRPr="00A03B40" w:rsidR="00D517CF" w:rsidP="001D5744" w:rsidRDefault="00D517CF" w14:paraId="090DE9BE" w14:textId="07E85E6A">
      <w:pPr>
        <w:pStyle w:val="FOFList"/>
        <w:numPr>
          <w:ilvl w:val="0"/>
          <w:numId w:val="22"/>
        </w:numPr>
        <w:ind w:left="0" w:firstLine="180"/>
      </w:pPr>
      <w:r w:rsidRPr="00A03B40">
        <w:t xml:space="preserve">The first component of the CRS is </w:t>
      </w:r>
      <w:proofErr w:type="gramStart"/>
      <w:r w:rsidRPr="00A03B40">
        <w:t>the CTC</w:t>
      </w:r>
      <w:proofErr w:type="gramEnd"/>
      <w:r w:rsidRPr="00A03B40">
        <w:t xml:space="preserve">. Pursuant to Pub. Util. Code § 367 and D.02-11-002, the CTC recovers the above-market costs of pre-energy market restructuring and other eligible resources (e.g., resources procured prior to December 20, 1995, and others as defined by the Public Utilities Code or </w:t>
      </w:r>
      <w:r w:rsidRPr="00A03B40">
        <w:lastRenderedPageBreak/>
        <w:t>Commission decision) and is the same for each customer within a class, regardless of a customer’s date of departure from bundled service.</w:t>
      </w:r>
    </w:p>
    <w:p w:rsidR="00B25683" w:rsidP="001D5744" w:rsidRDefault="00D517CF" w14:paraId="5066314C" w14:textId="77777777">
      <w:pPr>
        <w:pStyle w:val="FOFList"/>
        <w:numPr>
          <w:ilvl w:val="0"/>
          <w:numId w:val="22"/>
        </w:numPr>
        <w:ind w:left="0" w:firstLine="180"/>
      </w:pPr>
      <w:r w:rsidRPr="00A03B40">
        <w:t xml:space="preserve">The second component of the CRS is </w:t>
      </w:r>
      <w:proofErr w:type="gramStart"/>
      <w:r w:rsidRPr="00A03B40">
        <w:t>the PCIA</w:t>
      </w:r>
      <w:proofErr w:type="gramEnd"/>
      <w:r w:rsidRPr="00A03B40">
        <w:t xml:space="preserve">. Established in </w:t>
      </w:r>
    </w:p>
    <w:p w:rsidR="00760A35" w:rsidP="001D5744" w:rsidRDefault="00D517CF" w14:paraId="4CD49B9D" w14:textId="77777777">
      <w:pPr>
        <w:pStyle w:val="FOFList"/>
        <w:ind w:firstLine="180"/>
      </w:pPr>
      <w:r w:rsidRPr="00A03B40">
        <w:t xml:space="preserve">D.06-07-030, the PCIA implements procedures to fulfill Commission </w:t>
      </w:r>
      <w:proofErr w:type="gramStart"/>
      <w:r w:rsidRPr="00A03B40">
        <w:t>responsibilities incurred</w:t>
      </w:r>
      <w:proofErr w:type="gramEnd"/>
      <w:r w:rsidRPr="00A03B40">
        <w:t xml:space="preserve"> pursuant to Public Utilities Code </w:t>
      </w:r>
      <w:r w:rsidR="00B25683">
        <w:t>S</w:t>
      </w:r>
      <w:r w:rsidRPr="00A03B40">
        <w:t>ections 366.1, 366.2, 365.28 and 366.39. Under these provisions, the Commission has an obligation to ensure that (1) bundled service IOU customers do not experience any cost increases due to the departure of retail customers, and (2) customers who depart IOU service do not experience any cost increases due to an allocation of costs that were not incurred on their behalf. D.08-09-012 adopted the practice of vintaging a utilit</w:t>
      </w:r>
      <w:r w:rsidR="008F5355">
        <w:t>y’</w:t>
      </w:r>
      <w:r w:rsidRPr="00A03B40">
        <w:t>s portfolio subject to the PCIA.</w:t>
      </w:r>
      <w:r w:rsidR="000C3D05">
        <w:t xml:space="preserve"> This Decision refers to the CTC and PCIA, collectively as “PCIA charges,” recovering the “PCIA revenue requirement.</w:t>
      </w:r>
      <w:r w:rsidR="00760A35">
        <w:t>”</w:t>
      </w:r>
    </w:p>
    <w:p w:rsidRPr="00760A35" w:rsidR="00D517CF" w:rsidP="001D5744" w:rsidRDefault="00D517CF" w14:paraId="50511B03" w14:textId="6322E5BE">
      <w:pPr>
        <w:pStyle w:val="FOFList"/>
        <w:ind w:firstLine="180"/>
      </w:pPr>
      <w:r w:rsidRPr="00760A35">
        <w:t>A third CRS component, the Wildfire Mitigation NBC, is not determined in the ERRA forecast proceeding.</w:t>
      </w:r>
    </w:p>
    <w:p w:rsidRPr="00A03B40" w:rsidR="00D517CF" w:rsidP="001D5744" w:rsidRDefault="0085263E" w14:paraId="52862BF6" w14:textId="156ED619">
      <w:pPr>
        <w:pStyle w:val="FOFList"/>
        <w:numPr>
          <w:ilvl w:val="0"/>
          <w:numId w:val="22"/>
        </w:numPr>
        <w:ind w:left="0" w:firstLine="180"/>
      </w:pPr>
      <w:r w:rsidRPr="00A03B40">
        <w:t xml:space="preserve">The CTC and the PCIA recover the annual </w:t>
      </w:r>
      <w:r w:rsidR="0004181E">
        <w:t>PCIA</w:t>
      </w:r>
      <w:r w:rsidRPr="00A03B40" w:rsidR="0004181E">
        <w:t xml:space="preserve"> </w:t>
      </w:r>
      <w:r w:rsidRPr="00A03B40">
        <w:t>Indifference Amount, or the difference between the forecast</w:t>
      </w:r>
      <w:r w:rsidRPr="00A03B40" w:rsidR="00D517CF">
        <w:t xml:space="preserve"> Total Portfolio Costs and Total Portfolio Market Values of </w:t>
      </w:r>
      <w:r w:rsidRPr="00A03B40">
        <w:t>SCE’s</w:t>
      </w:r>
      <w:r w:rsidRPr="00A03B40" w:rsidR="00D517CF">
        <w:t xml:space="preserve"> </w:t>
      </w:r>
      <w:r w:rsidR="0004181E">
        <w:t>PCIA</w:t>
      </w:r>
      <w:r w:rsidRPr="00A03B40" w:rsidR="00D517CF">
        <w:t xml:space="preserve">-eligible portfolio. The </w:t>
      </w:r>
      <w:r w:rsidRPr="00A03B40">
        <w:t>market v</w:t>
      </w:r>
      <w:r w:rsidRPr="00A03B40" w:rsidR="00D517CF">
        <w:t xml:space="preserve">alues of the applicable portfolio </w:t>
      </w:r>
      <w:r w:rsidRPr="00A03B40">
        <w:t>fit</w:t>
      </w:r>
      <w:r w:rsidRPr="00A03B40" w:rsidR="00D517CF">
        <w:t xml:space="preserve"> into three categories based on the three revenue streams a resource may produce: energy values, RA values, and RPS values.</w:t>
      </w:r>
    </w:p>
    <w:p w:rsidRPr="00A03B40" w:rsidR="00AC41D4" w:rsidP="001D5744" w:rsidRDefault="00AC41D4" w14:paraId="30B2AA21" w14:textId="4C3FECDE">
      <w:pPr>
        <w:pStyle w:val="FOFList"/>
        <w:numPr>
          <w:ilvl w:val="0"/>
          <w:numId w:val="22"/>
        </w:numPr>
        <w:ind w:left="0" w:firstLine="180"/>
      </w:pPr>
      <w:r w:rsidRPr="00A03B40">
        <w:t>The 2026 Forecast MPBs are as stated in Table 8-2 of this Decision; the Final 2025 MPBs are as stated in Table 8-4.</w:t>
      </w:r>
    </w:p>
    <w:p w:rsidRPr="00A03B40" w:rsidR="00D517CF" w:rsidP="001D5744" w:rsidRDefault="00D517CF" w14:paraId="00516F76" w14:textId="4A3A6816">
      <w:pPr>
        <w:pStyle w:val="FOFList"/>
        <w:numPr>
          <w:ilvl w:val="0"/>
          <w:numId w:val="22"/>
        </w:numPr>
        <w:ind w:left="0" w:firstLine="180"/>
      </w:pPr>
      <w:r w:rsidRPr="00A03B40">
        <w:t>D.18-10-019 authorized utilities to conduct a true</w:t>
      </w:r>
      <w:r w:rsidR="006E0D77">
        <w:t xml:space="preserve"> </w:t>
      </w:r>
      <w:r w:rsidRPr="00A03B40">
        <w:t xml:space="preserve">up of the </w:t>
      </w:r>
      <w:r w:rsidR="0004181E">
        <w:t>PCIA</w:t>
      </w:r>
      <w:r w:rsidRPr="00A03B40">
        <w:t xml:space="preserve"> Indifference Amount to reflect actual costs incurred and actual revenues received</w:t>
      </w:r>
      <w:r w:rsidRPr="00A03B40" w:rsidR="00AC41D4">
        <w:t>.</w:t>
      </w:r>
    </w:p>
    <w:p w:rsidRPr="00A03B40" w:rsidR="00D517CF" w:rsidP="001D5744" w:rsidRDefault="00D517CF" w14:paraId="4F2DB558" w14:textId="1DB55C5A">
      <w:pPr>
        <w:pStyle w:val="FOFList"/>
        <w:numPr>
          <w:ilvl w:val="0"/>
          <w:numId w:val="22"/>
        </w:numPr>
        <w:ind w:left="0" w:firstLine="180"/>
      </w:pPr>
      <w:r w:rsidRPr="00A03B40">
        <w:t>SCE calculate</w:t>
      </w:r>
      <w:r w:rsidRPr="00A03B40" w:rsidR="00AC41D4">
        <w:t>s</w:t>
      </w:r>
      <w:r w:rsidRPr="00A03B40">
        <w:t xml:space="preserve"> Total Portfolio Costs in 2026 based on the forecast fixed and variable costs of SCE’s CTC- and PCIA-eligible resources as a part of its overall </w:t>
      </w:r>
      <w:r w:rsidRPr="00A03B40">
        <w:lastRenderedPageBreak/>
        <w:t xml:space="preserve">ERRA procurement cost forecast. </w:t>
      </w:r>
      <w:r w:rsidRPr="00A03B40" w:rsidR="00AC41D4">
        <w:t>T</w:t>
      </w:r>
      <w:r w:rsidRPr="00A03B40">
        <w:t xml:space="preserve">hese costs are SCE’s authorized base generation capital revenue requirement, as determined in SCE’s GRC Phase 1 proceeding; fuel costs, and direct GHG costs for all eligible UOG; RPS-eligible contract costs; QF and non-CAM-eligible CHP contract costs; all bilateral and RFO contract costs, including fuel costs and direct GHG costs if applicable; and any applicable one-time refunds or adjustments. </w:t>
      </w:r>
    </w:p>
    <w:p w:rsidRPr="00A03B40" w:rsidR="00D517CF" w:rsidP="001D5744" w:rsidRDefault="00D517CF" w14:paraId="2792C2A5" w14:textId="51A4A0F7">
      <w:pPr>
        <w:pStyle w:val="FOFList"/>
        <w:numPr>
          <w:ilvl w:val="0"/>
          <w:numId w:val="22"/>
        </w:numPr>
        <w:ind w:left="0" w:firstLine="180"/>
      </w:pPr>
      <w:r w:rsidRPr="00A03B40">
        <w:t xml:space="preserve">Pursuant to D.18-10-019 and D.19-10-001, the Total Portfolio Market Value is defined as the forecast output of the three streams of revenue produced by CTC- and PCIA eligible resources multiplied by the applicable MPBs (Energy Index, RA Ader, RPS Adder), calculated by the Commission and released in October of each year. D.25-06-049 recently updated the way the Commission calculates the RA MPB, referred to as the RA Adder; among other changes, instead of using separate adders to value local, flexible, and system capacity all relevant capacity is now valued at the same RA Adder. </w:t>
      </w:r>
    </w:p>
    <w:p w:rsidRPr="00A03B40" w:rsidR="00AC41D4" w:rsidP="007B180C" w:rsidRDefault="00AC41D4" w14:paraId="69CE206C" w14:textId="1C9D78F1">
      <w:pPr>
        <w:pStyle w:val="FOFList"/>
        <w:numPr>
          <w:ilvl w:val="0"/>
          <w:numId w:val="22"/>
        </w:numPr>
        <w:ind w:left="0" w:firstLine="180"/>
      </w:pPr>
      <w:r w:rsidRPr="00A03B40">
        <w:t xml:space="preserve">The Commission denied </w:t>
      </w:r>
      <w:proofErr w:type="spellStart"/>
      <w:r w:rsidRPr="00A03B40">
        <w:t>CalCCA’s</w:t>
      </w:r>
      <w:proofErr w:type="spellEnd"/>
      <w:r w:rsidRPr="00A03B40">
        <w:t xml:space="preserve"> AFR of D.25-06-049 on Oct. 30, 2025.</w:t>
      </w:r>
    </w:p>
    <w:p w:rsidRPr="00A03B40" w:rsidR="00D517CF" w:rsidP="001D5744" w:rsidRDefault="00D517CF" w14:paraId="4441F55B" w14:textId="63B100F1">
      <w:pPr>
        <w:pStyle w:val="FOFList"/>
        <w:numPr>
          <w:ilvl w:val="0"/>
          <w:numId w:val="22"/>
        </w:numPr>
        <w:ind w:left="0" w:firstLine="180"/>
      </w:pPr>
      <w:r w:rsidRPr="00A03B40">
        <w:t>Total Portfolio Cost and Total Portfolio Market Value calculations can be simplified to “price x quantity” formulas. SCE’s “quantity” calculation for its RA resource is based on its Slice</w:t>
      </w:r>
      <w:r w:rsidRPr="00A03B40" w:rsidR="00AC41D4">
        <w:t>-</w:t>
      </w:r>
      <w:r w:rsidRPr="00A03B40">
        <w:t>of</w:t>
      </w:r>
      <w:r w:rsidRPr="00A03B40" w:rsidR="00AC41D4">
        <w:t>-</w:t>
      </w:r>
      <w:r w:rsidRPr="00A03B40">
        <w:t>Day position. The Commission has adopted Slice-of-Day as the mechanism by which utilities measure RA compliance; the Commission has not addressed whether the methodology should be used for PCIA purposes on an industry-wide basis.</w:t>
      </w:r>
    </w:p>
    <w:p w:rsidR="00D517CF" w:rsidP="001D5744" w:rsidRDefault="00D517CF" w14:paraId="316E6D7D" w14:textId="77777777">
      <w:pPr>
        <w:pStyle w:val="FOFList"/>
        <w:numPr>
          <w:ilvl w:val="0"/>
          <w:numId w:val="22"/>
        </w:numPr>
        <w:ind w:left="0" w:firstLine="180"/>
      </w:pPr>
      <w:r w:rsidRPr="00A03B40">
        <w:t>In. D.24-12-039, the Commission found SCE’s use of Slice-of-Day for PCIA valuations to be reasonable on an interim basis.</w:t>
      </w:r>
    </w:p>
    <w:p w:rsidRPr="00A03B40" w:rsidR="0091533F" w:rsidP="001D5744" w:rsidRDefault="004D7EFC" w14:paraId="43EF7B46" w14:textId="0BC49174">
      <w:pPr>
        <w:pStyle w:val="FOFList"/>
        <w:numPr>
          <w:ilvl w:val="0"/>
          <w:numId w:val="22"/>
        </w:numPr>
        <w:ind w:left="0" w:firstLine="180"/>
      </w:pPr>
      <w:r>
        <w:t xml:space="preserve">The application of </w:t>
      </w:r>
      <w:r w:rsidR="0091533F">
        <w:t xml:space="preserve">Slice-of-Day methodology </w:t>
      </w:r>
      <w:r>
        <w:t xml:space="preserve">to portfolio value calculation </w:t>
      </w:r>
      <w:r w:rsidR="0091533F">
        <w:t>is ripe for consideration in a rulemaking.</w:t>
      </w:r>
    </w:p>
    <w:p w:rsidRPr="00A03B40" w:rsidR="00D517CF" w:rsidP="001D5744" w:rsidRDefault="00D517CF" w14:paraId="746B2E8C" w14:textId="77777777">
      <w:pPr>
        <w:pStyle w:val="FOFList"/>
        <w:numPr>
          <w:ilvl w:val="0"/>
          <w:numId w:val="22"/>
        </w:numPr>
        <w:ind w:left="0" w:firstLine="180"/>
      </w:pPr>
      <w:r w:rsidRPr="00A03B40">
        <w:lastRenderedPageBreak/>
        <w:t>SCE is not holding a short-term VAMO process for 2026 but will continue to allocate long term VA RECs from contracts signed in 2024, based on the accepted bid price. SCE states that all RPS volumes not allocated in either long-term VA or MO processes are forecast to be used by SCE towards its 2026 RPS compliance target.</w:t>
      </w:r>
    </w:p>
    <w:p w:rsidRPr="00A03B40" w:rsidR="00D517CF" w:rsidP="001D5744" w:rsidRDefault="00D517CF" w14:paraId="4EE59E67" w14:textId="28F98E03">
      <w:pPr>
        <w:pStyle w:val="FOFList"/>
        <w:numPr>
          <w:ilvl w:val="0"/>
          <w:numId w:val="22"/>
        </w:numPr>
        <w:ind w:left="0" w:firstLine="180"/>
      </w:pPr>
      <w:r w:rsidRPr="00A03B40">
        <w:t>SCE’s proposed valuation of a category of RPS resources referred to as “Pre-2019 Banked R</w:t>
      </w:r>
      <w:r w:rsidR="008A3B91">
        <w:t>EC</w:t>
      </w:r>
      <w:r w:rsidRPr="00A03B40">
        <w:t xml:space="preserve">s” that it may retire for bundled customer RPS compliance in 2026 or may have retired for bundled service customer compliance in 2025, is a disputed issue in this case. </w:t>
      </w:r>
    </w:p>
    <w:p w:rsidRPr="00A03B40" w:rsidR="00D517CF" w:rsidP="001D5744" w:rsidRDefault="00D517CF" w14:paraId="59FAC4D6" w14:textId="0E03BC86">
      <w:pPr>
        <w:pStyle w:val="FOFList"/>
        <w:numPr>
          <w:ilvl w:val="0"/>
          <w:numId w:val="22"/>
        </w:numPr>
        <w:ind w:left="0" w:firstLine="180"/>
      </w:pPr>
      <w:r w:rsidRPr="00A03B40">
        <w:t xml:space="preserve">Prior to D.19-10-001, bundled service customers credited DL customers the market value of </w:t>
      </w:r>
      <w:r w:rsidR="000C3D05">
        <w:t xml:space="preserve">all </w:t>
      </w:r>
      <w:r w:rsidRPr="00A03B40">
        <w:t xml:space="preserve">retained RECs at the time the RECs were generated and banked, based on the then-current RPS MPB, and the RECs were valued at $0 thereafter regardless of whether and when they were used for bundled customer RPS compliance. D.19-10-001 changed this, stating that retained RECs forecast to be used for bundled customer compliance in the following year should be valued at the Forecast RPS Adder, as calculated by Energy Division staff, and credited to the PCIA. D.19-10-001 contained a Finding of Fact that states: “[t]he methods adopted in this Decision apply to RECs generated commencing January 1, </w:t>
      </w:r>
      <w:proofErr w:type="gramStart"/>
      <w:r w:rsidRPr="00A03B40">
        <w:t>2019</w:t>
      </w:r>
      <w:proofErr w:type="gramEnd"/>
      <w:r w:rsidRPr="00A03B40">
        <w:t xml:space="preserve"> and going forward.”</w:t>
      </w:r>
    </w:p>
    <w:p w:rsidRPr="00A03B40" w:rsidR="00D517CF" w:rsidP="001D5744" w:rsidRDefault="00D517CF" w14:paraId="045E2368" w14:textId="17137BF5">
      <w:pPr>
        <w:pStyle w:val="FOFList"/>
        <w:numPr>
          <w:ilvl w:val="0"/>
          <w:numId w:val="22"/>
        </w:numPr>
        <w:ind w:left="0" w:firstLine="180"/>
      </w:pPr>
      <w:r w:rsidRPr="00A03B40">
        <w:t xml:space="preserve">SCE </w:t>
      </w:r>
      <w:r w:rsidRPr="00A03B40" w:rsidR="00AC41D4">
        <w:t>proposes to</w:t>
      </w:r>
      <w:r w:rsidRPr="00A03B40">
        <w:t xml:space="preserve"> value any RECs use</w:t>
      </w:r>
      <w:r w:rsidR="006B7FA3">
        <w:t>d</w:t>
      </w:r>
      <w:r w:rsidRPr="00A03B40">
        <w:t xml:space="preserve"> in 2025</w:t>
      </w:r>
      <w:r w:rsidR="006B7FA3">
        <w:t xml:space="preserve"> or 2026</w:t>
      </w:r>
      <w:r w:rsidRPr="00A03B40">
        <w:t xml:space="preserve"> for bundled customer compliance at $0 if those RECs were generated prior to 2019.</w:t>
      </w:r>
    </w:p>
    <w:p w:rsidRPr="00A03B40" w:rsidR="00D517CF" w:rsidP="001D5744" w:rsidRDefault="00D517CF" w14:paraId="20B33BDB" w14:textId="6AC35D0F">
      <w:pPr>
        <w:pStyle w:val="FOFList"/>
        <w:numPr>
          <w:ilvl w:val="0"/>
          <w:numId w:val="22"/>
        </w:numPr>
        <w:ind w:left="0" w:firstLine="180"/>
      </w:pPr>
      <w:r w:rsidRPr="00A03B40">
        <w:t xml:space="preserve">SCE intends to retire all Post-2018 </w:t>
      </w:r>
      <w:r w:rsidR="003B038D">
        <w:t xml:space="preserve">Banked </w:t>
      </w:r>
      <w:r w:rsidRPr="00A03B40">
        <w:t xml:space="preserve">RECs before retiring Pre-2019 Banked </w:t>
      </w:r>
      <w:proofErr w:type="spellStart"/>
      <w:r w:rsidRPr="00A03B40">
        <w:t>RECs.</w:t>
      </w:r>
      <w:proofErr w:type="spellEnd"/>
    </w:p>
    <w:p w:rsidR="00D517CF" w:rsidP="001D5744" w:rsidRDefault="00D517CF" w14:paraId="170BF22A" w14:textId="67EFE838">
      <w:pPr>
        <w:pStyle w:val="FOFList"/>
        <w:numPr>
          <w:ilvl w:val="0"/>
          <w:numId w:val="22"/>
        </w:numPr>
        <w:ind w:left="0" w:firstLine="180"/>
      </w:pPr>
      <w:r w:rsidRPr="00A03B40">
        <w:t>The Commission found SCE’s proposed method of valuing Pre-2019 Banked RECs it may use for bundled service customer compliance at $0 to be reasonable on an interim basis in D.23-11-094</w:t>
      </w:r>
      <w:r w:rsidR="00D72DA4">
        <w:t xml:space="preserve"> (the decision resolving SCE’s 2024 </w:t>
      </w:r>
      <w:r w:rsidR="00D72DA4">
        <w:lastRenderedPageBreak/>
        <w:t>ERRA forecast application)</w:t>
      </w:r>
      <w:r w:rsidRPr="00A03B40">
        <w:t xml:space="preserve"> and </w:t>
      </w:r>
      <w:r w:rsidR="00D72DA4">
        <w:t xml:space="preserve">also approved the treatment in </w:t>
      </w:r>
      <w:r w:rsidRPr="00A03B40">
        <w:t>D.24-12-039</w:t>
      </w:r>
      <w:r w:rsidR="00D72DA4">
        <w:t xml:space="preserve"> (the decision resolving SCE’s 2025 ERRA forecast application).</w:t>
      </w:r>
      <w:r w:rsidRPr="00A03B40">
        <w:t>.</w:t>
      </w:r>
    </w:p>
    <w:p w:rsidRPr="00A03B40" w:rsidR="00AE6FE4" w:rsidP="001D5744" w:rsidRDefault="00AE6FE4" w14:paraId="7E85FA59" w14:textId="368F2FEF">
      <w:pPr>
        <w:pStyle w:val="FOFList"/>
        <w:numPr>
          <w:ilvl w:val="0"/>
          <w:numId w:val="22"/>
        </w:numPr>
        <w:ind w:left="0" w:firstLine="180"/>
      </w:pPr>
      <w:r>
        <w:t xml:space="preserve">The proposal to address conflicting understandings of the valuation of </w:t>
      </w:r>
      <w:proofErr w:type="gramStart"/>
      <w:r>
        <w:t>Pre-2019</w:t>
      </w:r>
      <w:proofErr w:type="gramEnd"/>
      <w:r>
        <w:t xml:space="preserve"> banked RECs is ripe for consideration in a rulemaking.</w:t>
      </w:r>
    </w:p>
    <w:p w:rsidRPr="00A03B40" w:rsidR="00D517CF" w:rsidP="001D5744" w:rsidRDefault="00D517CF" w14:paraId="4055F22D" w14:textId="1C65F61A">
      <w:pPr>
        <w:pStyle w:val="FOFList"/>
        <w:numPr>
          <w:ilvl w:val="0"/>
          <w:numId w:val="22"/>
        </w:numPr>
        <w:ind w:left="0" w:firstLine="180"/>
      </w:pPr>
      <w:r w:rsidRPr="00A03B40">
        <w:t xml:space="preserve">SCE provided an </w:t>
      </w:r>
      <w:r w:rsidRPr="00A03B40" w:rsidR="00AC41D4">
        <w:t xml:space="preserve">Amended </w:t>
      </w:r>
      <w:r w:rsidRPr="00A03B40">
        <w:t>October Update that forecasts its Total Portfolio Market Value for its 2026 Indifference Amount and that trues-up its 2025 Indifference Amount based on updated Forecast 2026 MPBs and Final 2025 MPBs released by the Commission’s Energy Division on October 1, 2025.</w:t>
      </w:r>
    </w:p>
    <w:p w:rsidRPr="00A03B40" w:rsidR="00D517CF" w:rsidP="001D5744" w:rsidRDefault="00D517CF" w14:paraId="5D0732B5" w14:textId="4870A7FD">
      <w:pPr>
        <w:pStyle w:val="FOFList"/>
        <w:numPr>
          <w:ilvl w:val="0"/>
          <w:numId w:val="22"/>
        </w:numPr>
        <w:ind w:left="0" w:firstLine="180"/>
      </w:pPr>
      <w:r w:rsidRPr="00A03B40">
        <w:t xml:space="preserve">SCE forecasts an updated 2026 Indifference Amount of </w:t>
      </w:r>
      <w:r w:rsidRPr="00A03B40" w:rsidR="00C637D9">
        <w:t xml:space="preserve">negative </w:t>
      </w:r>
      <w:r w:rsidRPr="00A03B40">
        <w:t>$</w:t>
      </w:r>
      <w:r w:rsidRPr="00A03B40" w:rsidR="00C637D9">
        <w:t>388.078</w:t>
      </w:r>
      <w:r w:rsidRPr="00A03B40">
        <w:t xml:space="preserve"> million, comprised of an updated Total Portfolio Cost of $4.47</w:t>
      </w:r>
      <w:r w:rsidRPr="00A03B40" w:rsidR="00C637D9">
        <w:t>4</w:t>
      </w:r>
      <w:r w:rsidRPr="00A03B40">
        <w:t xml:space="preserve"> billion and a Total Portfolio Market Value of $4.</w:t>
      </w:r>
      <w:r w:rsidRPr="00A03B40" w:rsidR="00C637D9">
        <w:t>864</w:t>
      </w:r>
      <w:r w:rsidRPr="00A03B40">
        <w:t xml:space="preserve"> billion. The Total Portfolio Market Value forecast is comprised of an updated Total Energy Value of $1.427 billion, updated Total RPS Value of $1.984 billion, and an updated total RA value of $1.</w:t>
      </w:r>
      <w:r w:rsidRPr="00A03B40" w:rsidR="00C637D9">
        <w:t>454</w:t>
      </w:r>
      <w:r w:rsidRPr="00A03B40">
        <w:t xml:space="preserve"> billion.</w:t>
      </w:r>
    </w:p>
    <w:p w:rsidRPr="00A03B40" w:rsidR="00D517CF" w:rsidP="001D5744" w:rsidRDefault="00D517CF" w14:paraId="783120D1" w14:textId="4738DCFC">
      <w:pPr>
        <w:pStyle w:val="FOFList"/>
        <w:numPr>
          <w:ilvl w:val="0"/>
          <w:numId w:val="22"/>
        </w:numPr>
        <w:ind w:left="0" w:firstLine="180"/>
      </w:pPr>
      <w:r w:rsidRPr="00A03B40">
        <w:t xml:space="preserve">In addition to the 2026 Indifference Amount, SCE requests to include the following costs in its 2026 </w:t>
      </w:r>
      <w:r w:rsidR="0004181E">
        <w:t>PCIA</w:t>
      </w:r>
      <w:r w:rsidRPr="00A03B40">
        <w:t xml:space="preserve"> revenue requirement: (1) the 2025 year-end PABA balance (pursuant to D.18-10-019); (2) the 2025 year-end ERRA BA balance, after transferring this balance to the 2025 vintage sub-account of the PABA (pursuant to D.22-01-023); (3) the remainder of the PABA-eligible portion of the historical costs related to System Reliability procurement originally recorded in the SRPMA to effectuate the 36-month amortization recovery period adopted in Res. E-5240; (4) costs related to the UOS Separator project; and (5)</w:t>
      </w:r>
      <w:r w:rsidR="00641B85">
        <w:t> </w:t>
      </w:r>
      <w:r w:rsidRPr="00A03B40">
        <w:t xml:space="preserve">recovery of the applicable amounts of the amortization of SCE’s GRCRRMA balance over 24 months, beginning on October 1, 2025. </w:t>
      </w:r>
    </w:p>
    <w:p w:rsidRPr="00A03B40" w:rsidR="00D517CF" w:rsidP="001D5744" w:rsidRDefault="00D517CF" w14:paraId="0FC4F4AE" w14:textId="42CD9DB4">
      <w:pPr>
        <w:pStyle w:val="FOFList"/>
        <w:numPr>
          <w:ilvl w:val="0"/>
          <w:numId w:val="22"/>
        </w:numPr>
        <w:ind w:left="0" w:firstLine="180"/>
      </w:pPr>
      <w:r w:rsidRPr="00A03B40">
        <w:t>SCE</w:t>
      </w:r>
      <w:r w:rsidRPr="00A03B40" w:rsidR="00C637D9">
        <w:t xml:space="preserve"> updated its</w:t>
      </w:r>
      <w:r w:rsidRPr="00A03B40">
        <w:t xml:space="preserve"> 2026 </w:t>
      </w:r>
      <w:r w:rsidR="0004181E">
        <w:t>PCIA</w:t>
      </w:r>
      <w:r w:rsidRPr="00A03B40">
        <w:t xml:space="preserve"> Indifference Amount</w:t>
      </w:r>
      <w:r w:rsidRPr="00A03B40" w:rsidR="00C637D9">
        <w:t xml:space="preserve"> </w:t>
      </w:r>
      <w:r w:rsidRPr="00A03B40">
        <w:t xml:space="preserve">in </w:t>
      </w:r>
      <w:r w:rsidRPr="00A03B40" w:rsidR="00C637D9">
        <w:t>its</w:t>
      </w:r>
      <w:r w:rsidRPr="00A03B40">
        <w:t xml:space="preserve"> October </w:t>
      </w:r>
      <w:r w:rsidRPr="00A03B40" w:rsidR="00C637D9">
        <w:t>Update</w:t>
      </w:r>
      <w:r w:rsidRPr="00A03B40">
        <w:t xml:space="preserve"> to incorporate the following decisions: D.25-09-030, D.25-06-006, D.25-06-010, </w:t>
      </w:r>
      <w:r w:rsidR="007B180C">
        <w:br/>
      </w:r>
      <w:r w:rsidRPr="00A03B40">
        <w:lastRenderedPageBreak/>
        <w:t>D.25-09-012, D.25-06-048, and D.25-06-049.</w:t>
      </w:r>
      <w:r w:rsidRPr="00A03B40" w:rsidR="00C637D9">
        <w:t xml:space="preserve"> SCE’s Amended October Update made corrections to the proposed 2026 Indifference Amount. </w:t>
      </w:r>
    </w:p>
    <w:p w:rsidRPr="00A03B40" w:rsidR="00D517CF" w:rsidP="001D5744" w:rsidRDefault="00D517CF" w14:paraId="11EB6957" w14:textId="50593E7C">
      <w:pPr>
        <w:pStyle w:val="FOFList"/>
        <w:numPr>
          <w:ilvl w:val="0"/>
          <w:numId w:val="22"/>
        </w:numPr>
        <w:ind w:left="0" w:firstLine="180"/>
      </w:pPr>
      <w:r w:rsidRPr="00A03B40">
        <w:t xml:space="preserve">SCE’s </w:t>
      </w:r>
      <w:r w:rsidR="0004181E">
        <w:t>Indifference Amount</w:t>
      </w:r>
      <w:r w:rsidRPr="00A03B40">
        <w:t xml:space="preserve"> revenue requirement </w:t>
      </w:r>
      <w:r w:rsidRPr="00A03B40" w:rsidR="00C637D9">
        <w:t>is</w:t>
      </w:r>
      <w:r w:rsidRPr="00A03B40">
        <w:t xml:space="preserve"> recovered from DL</w:t>
      </w:r>
      <w:r w:rsidR="008A6429">
        <w:t> </w:t>
      </w:r>
      <w:r w:rsidRPr="00A03B40">
        <w:t xml:space="preserve">customers via </w:t>
      </w:r>
      <w:proofErr w:type="gramStart"/>
      <w:r w:rsidRPr="00A03B40">
        <w:t>the CTC</w:t>
      </w:r>
      <w:proofErr w:type="gramEnd"/>
      <w:r w:rsidRPr="00A03B40">
        <w:t xml:space="preserve"> and PCIA and from bundled service customers via generation rates.</w:t>
      </w:r>
    </w:p>
    <w:p w:rsidRPr="00A03B40" w:rsidR="00D517CF" w:rsidP="001D5744" w:rsidRDefault="00D517CF" w14:paraId="0F34F5F1" w14:textId="572B5385">
      <w:pPr>
        <w:pStyle w:val="FOFList"/>
        <w:numPr>
          <w:ilvl w:val="0"/>
          <w:numId w:val="22"/>
        </w:numPr>
        <w:ind w:left="0" w:firstLine="180"/>
      </w:pPr>
      <w:r w:rsidRPr="00A03B40">
        <w:t>SCE’s true</w:t>
      </w:r>
      <w:r w:rsidR="006E0D77">
        <w:t xml:space="preserve"> </w:t>
      </w:r>
      <w:r w:rsidRPr="00A03B40">
        <w:t xml:space="preserve">up of its year-end 2025 PABA and ERRA balances using the </w:t>
      </w:r>
      <w:r w:rsidRPr="00A03B40" w:rsidR="00C637D9">
        <w:t>Final 2025</w:t>
      </w:r>
      <w:r w:rsidRPr="00A03B40">
        <w:t xml:space="preserve"> MPB</w:t>
      </w:r>
      <w:r w:rsidRPr="00A03B40" w:rsidR="00C637D9">
        <w:t>s</w:t>
      </w:r>
      <w:r w:rsidRPr="00A03B40">
        <w:t xml:space="preserve"> caused SCE’s Trigger Balance to exceed its Trigger Point as of September 30, 2025. SCE determined that the balance would </w:t>
      </w:r>
      <w:proofErr w:type="gramStart"/>
      <w:r w:rsidRPr="00A03B40">
        <w:t>self</w:t>
      </w:r>
      <w:proofErr w:type="gramEnd"/>
      <w:r w:rsidRPr="00A03B40">
        <w:t xml:space="preserve">-correct within 120 days by virtue of the adoption of this Decision. SCE filed </w:t>
      </w:r>
      <w:r w:rsidRPr="00A03B40" w:rsidR="007579D8">
        <w:t>AL 5664-E</w:t>
      </w:r>
      <w:r w:rsidRPr="00A03B40">
        <w:t xml:space="preserve"> on </w:t>
      </w:r>
      <w:r w:rsidRPr="00A03B40" w:rsidR="007579D8">
        <w:t>October 30, 2025,</w:t>
      </w:r>
      <w:r w:rsidRPr="00A03B40">
        <w:t xml:space="preserve"> requesting no rate changes resulting from the Trigger Exceedance, given that the </w:t>
      </w:r>
      <w:proofErr w:type="spellStart"/>
      <w:r w:rsidRPr="00A03B40">
        <w:t>undercollection</w:t>
      </w:r>
      <w:proofErr w:type="spellEnd"/>
      <w:r w:rsidRPr="00A03B40">
        <w:t xml:space="preserve"> representing the exceedance amount will be incorporated and recovered via the rates adopted by this Decision.</w:t>
      </w:r>
    </w:p>
    <w:p w:rsidRPr="00A03B40" w:rsidR="00D517CF" w:rsidP="001D5744" w:rsidRDefault="00D517CF" w14:paraId="7DCBCF07" w14:textId="77777777">
      <w:pPr>
        <w:pStyle w:val="FOFList"/>
        <w:numPr>
          <w:ilvl w:val="0"/>
          <w:numId w:val="22"/>
        </w:numPr>
        <w:ind w:left="0" w:firstLine="180"/>
      </w:pPr>
      <w:r w:rsidRPr="00A03B40">
        <w:t>SCE’s proposed CTC and PCIA rates are determined by allocating the vintaged PABA revenue requirements to rate groups using generation revenue allocation factors approved in SCE’s GRC Phase 2 proceeding normalized to account for each rate group’s kWh sales forecast by vintage and divided by forecast sales by vintage (also referred to as billing determinants).</w:t>
      </w:r>
    </w:p>
    <w:p w:rsidRPr="00A03B40" w:rsidR="00D517CF" w:rsidP="001D5744" w:rsidRDefault="00D517CF" w14:paraId="0ED22D64" w14:textId="10052D6B">
      <w:pPr>
        <w:pStyle w:val="FOFList"/>
        <w:numPr>
          <w:ilvl w:val="0"/>
          <w:numId w:val="22"/>
        </w:numPr>
        <w:ind w:left="0" w:firstLine="180"/>
      </w:pPr>
      <w:proofErr w:type="gramStart"/>
      <w:r w:rsidRPr="00A03B40">
        <w:t>SCE’s</w:t>
      </w:r>
      <w:proofErr w:type="gramEnd"/>
      <w:r w:rsidRPr="00A03B40">
        <w:t xml:space="preserve"> proposed 2026 CTC rates are as stated in Table 8-3</w:t>
      </w:r>
      <w:r w:rsidRPr="00A03B40" w:rsidR="00C637D9">
        <w:t>.</w:t>
      </w:r>
    </w:p>
    <w:p w:rsidRPr="00A03B40" w:rsidR="00D517CF" w:rsidP="001D5744" w:rsidRDefault="00D517CF" w14:paraId="302413E5" w14:textId="31BEA8E0">
      <w:pPr>
        <w:pStyle w:val="FOFList"/>
        <w:numPr>
          <w:ilvl w:val="0"/>
          <w:numId w:val="22"/>
        </w:numPr>
        <w:ind w:left="0" w:firstLine="180"/>
      </w:pPr>
      <w:proofErr w:type="gramStart"/>
      <w:r w:rsidRPr="00A03B40">
        <w:t>SCE’s</w:t>
      </w:r>
      <w:proofErr w:type="gramEnd"/>
      <w:r w:rsidRPr="00A03B40">
        <w:t xml:space="preserve"> proposed 2026 PCIA rates are as stated in Table 8-4</w:t>
      </w:r>
      <w:r w:rsidRPr="00A03B40" w:rsidR="00C637D9">
        <w:t>.</w:t>
      </w:r>
    </w:p>
    <w:p w:rsidRPr="00A03B40" w:rsidR="00D517CF" w:rsidP="001D5744" w:rsidRDefault="00D517CF" w14:paraId="731C055D" w14:textId="7A616EA4">
      <w:pPr>
        <w:pStyle w:val="FOFList"/>
        <w:numPr>
          <w:ilvl w:val="0"/>
          <w:numId w:val="22"/>
        </w:numPr>
        <w:ind w:left="0" w:firstLine="180"/>
      </w:pPr>
      <w:r w:rsidRPr="00A03B40">
        <w:t xml:space="preserve">The average bundled customer rates representing </w:t>
      </w:r>
      <w:proofErr w:type="gramStart"/>
      <w:r w:rsidRPr="00A03B40">
        <w:t>SCE’s</w:t>
      </w:r>
      <w:proofErr w:type="gramEnd"/>
      <w:r w:rsidRPr="00A03B40">
        <w:t xml:space="preserve"> proposed 2026 ERRA forecast are as stated in Table 9-1 of this Decision.</w:t>
      </w:r>
    </w:p>
    <w:p w:rsidRPr="00A03B40" w:rsidR="00D517CF" w:rsidP="001D5744" w:rsidRDefault="00D517CF" w14:paraId="1506C470" w14:textId="06DE7E8C">
      <w:pPr>
        <w:pStyle w:val="FOFList"/>
        <w:numPr>
          <w:ilvl w:val="0"/>
          <w:numId w:val="22"/>
        </w:numPr>
        <w:ind w:left="0" w:firstLine="180"/>
      </w:pPr>
      <w:r w:rsidRPr="00A03B40">
        <w:t>SCE’s proposed CAM rate components are as stated in Table 9-2.</w:t>
      </w:r>
    </w:p>
    <w:p w:rsidRPr="00A03B40" w:rsidR="00D517CF" w:rsidP="001D5744" w:rsidRDefault="00D517CF" w14:paraId="3FAAB5B5" w14:textId="77777777">
      <w:pPr>
        <w:pStyle w:val="FOFList"/>
        <w:numPr>
          <w:ilvl w:val="0"/>
          <w:numId w:val="22"/>
        </w:numPr>
        <w:ind w:left="0" w:firstLine="180"/>
      </w:pPr>
      <w:proofErr w:type="gramStart"/>
      <w:r w:rsidRPr="00A03B40">
        <w:t>SCE’s</w:t>
      </w:r>
      <w:proofErr w:type="gramEnd"/>
      <w:r w:rsidRPr="00A03B40">
        <w:t xml:space="preserve"> proposed GHG costs and revenues accounting and allowance allocations help achieve a main goal of AB 32 and Pub. Util. Code § 748.5, reducing GHG emissions, and will therefore improve the health and safety of California residents.</w:t>
      </w:r>
    </w:p>
    <w:p w:rsidRPr="00A03B40" w:rsidR="00D517CF" w:rsidP="00D468F1" w:rsidRDefault="00D517CF" w14:paraId="1309C35D" w14:textId="77777777">
      <w:pPr>
        <w:pStyle w:val="FOFList"/>
        <w:numPr>
          <w:ilvl w:val="0"/>
          <w:numId w:val="22"/>
        </w:numPr>
        <w:spacing w:after="0" w:afterAutospacing="0"/>
        <w:ind w:left="0" w:firstLine="187"/>
        <w:contextualSpacing w:val="0"/>
      </w:pPr>
      <w:r w:rsidRPr="00A03B40">
        <w:lastRenderedPageBreak/>
        <w:t xml:space="preserve">The provision of F&amp;PP inherently assumes that all power providers are fully compliant with laws, rules, regulations, and </w:t>
      </w:r>
      <w:proofErr w:type="gramStart"/>
      <w:r w:rsidRPr="00A03B40">
        <w:t>internally-managed</w:t>
      </w:r>
      <w:proofErr w:type="gramEnd"/>
      <w:r w:rsidRPr="00A03B40">
        <w:t xml:space="preserve"> controls to help ensure that their generating facilities are operated and maintained in a safe working condition.</w:t>
      </w:r>
    </w:p>
    <w:p w:rsidRPr="00A03B40" w:rsidR="00D517CF" w:rsidP="00D517CF" w:rsidRDefault="00D517CF" w14:paraId="78987BC2" w14:textId="77777777">
      <w:pPr>
        <w:pStyle w:val="Dummy"/>
      </w:pPr>
      <w:bookmarkStart w:name="_Toc8123726" w:id="229"/>
      <w:bookmarkStart w:name="_Toc214629926" w:id="230"/>
      <w:r w:rsidRPr="00A03B40">
        <w:t>Conclusions of Law</w:t>
      </w:r>
      <w:bookmarkEnd w:id="229"/>
      <w:bookmarkEnd w:id="230"/>
    </w:p>
    <w:p w:rsidRPr="00A03B40" w:rsidR="00D517CF" w:rsidP="00C44216" w:rsidRDefault="00D517CF" w14:paraId="0CD0AB6E" w14:textId="77777777">
      <w:pPr>
        <w:pStyle w:val="FOFList"/>
        <w:numPr>
          <w:ilvl w:val="0"/>
          <w:numId w:val="30"/>
        </w:numPr>
        <w:ind w:left="0" w:firstLine="360"/>
      </w:pPr>
      <w:r w:rsidRPr="00A03B40">
        <w:t xml:space="preserve">SCE’s 2026 forecasts </w:t>
      </w:r>
      <w:proofErr w:type="gramStart"/>
      <w:r w:rsidRPr="00A03B40">
        <w:t>of</w:t>
      </w:r>
      <w:proofErr w:type="gramEnd"/>
      <w:r w:rsidRPr="00A03B40">
        <w:t xml:space="preserve"> customers, retail sales, bundled sales, and electric load are reasonable and should be approved.</w:t>
      </w:r>
    </w:p>
    <w:p w:rsidRPr="00A03B40" w:rsidR="00D517CF" w:rsidP="00C44216" w:rsidRDefault="00D517CF" w14:paraId="3C4D4871" w14:textId="77777777">
      <w:pPr>
        <w:pStyle w:val="FOFList"/>
        <w:numPr>
          <w:ilvl w:val="0"/>
          <w:numId w:val="30"/>
        </w:numPr>
        <w:ind w:left="0" w:firstLine="360"/>
      </w:pPr>
      <w:r w:rsidRPr="00A03B40">
        <w:t xml:space="preserve">SCE’s 2026 forecasts of energy prices, natural gas prices, and greenhouse gas prices are reasonable and should be approved. </w:t>
      </w:r>
    </w:p>
    <w:p w:rsidRPr="00A03B40" w:rsidR="005E4FEC" w:rsidP="00C44216" w:rsidRDefault="00D517CF" w14:paraId="28B2EC5E" w14:textId="77777777">
      <w:pPr>
        <w:pStyle w:val="FOFList"/>
        <w:numPr>
          <w:ilvl w:val="0"/>
          <w:numId w:val="30"/>
        </w:numPr>
        <w:ind w:left="0" w:firstLine="360"/>
      </w:pPr>
      <w:r w:rsidRPr="00A03B40">
        <w:t>SCE’s PLEXOS modelling of simulated least cost dispatch 2026 forecast of its F&amp;PP costs is reasonably based on SCE’s forecasts of power, gas, and GHG prices, the physical constraints of each relevant generating unit, and contractual limitations, and the resulting forecasts should be approved.</w:t>
      </w:r>
    </w:p>
    <w:p w:rsidRPr="00A03B40" w:rsidR="005E4FEC" w:rsidP="00C44216" w:rsidRDefault="005E4FEC" w14:paraId="162FF97D" w14:textId="5F5D8494">
      <w:pPr>
        <w:pStyle w:val="FOFList"/>
        <w:numPr>
          <w:ilvl w:val="0"/>
          <w:numId w:val="30"/>
        </w:numPr>
        <w:spacing w:after="0" w:afterAutospacing="0"/>
        <w:ind w:left="0" w:firstLine="360"/>
        <w:contextualSpacing w:val="0"/>
      </w:pPr>
      <w:r w:rsidRPr="00A03B40">
        <w:t xml:space="preserve">SCE should be required to file an Information Only Advice Letter within 60 days of the adoption of this decision to provide more information about its plan for Catalina Gas to </w:t>
      </w:r>
      <w:proofErr w:type="spellStart"/>
      <w:r w:rsidRPr="00A03B40">
        <w:t>backbill</w:t>
      </w:r>
      <w:proofErr w:type="spellEnd"/>
      <w:r w:rsidRPr="00A03B40">
        <w:t xml:space="preserve"> SCE Electric, </w:t>
      </w:r>
      <w:proofErr w:type="gramStart"/>
      <w:r w:rsidRPr="00A03B40">
        <w:t>explaining</w:t>
      </w:r>
      <w:proofErr w:type="gramEnd"/>
      <w:r w:rsidRPr="00A03B40">
        <w:t xml:space="preserve"> to the Commission:</w:t>
      </w:r>
    </w:p>
    <w:p w:rsidRPr="00A03B40" w:rsidR="005E4FEC" w:rsidP="00C44216" w:rsidRDefault="005E4FEC" w14:paraId="4982E3E3" w14:textId="77777777">
      <w:pPr>
        <w:pStyle w:val="Standard"/>
        <w:numPr>
          <w:ilvl w:val="0"/>
          <w:numId w:val="29"/>
        </w:numPr>
        <w:spacing w:after="120" w:line="240" w:lineRule="auto"/>
        <w:ind w:left="1080" w:right="1440"/>
      </w:pPr>
      <w:r w:rsidRPr="00A03B40">
        <w:t xml:space="preserve">The legal authority supporting SCE Catalina Gas’s intention to </w:t>
      </w:r>
      <w:proofErr w:type="spellStart"/>
      <w:r w:rsidRPr="00A03B40">
        <w:t>backbill</w:t>
      </w:r>
      <w:proofErr w:type="spellEnd"/>
      <w:r w:rsidRPr="00A03B40">
        <w:t xml:space="preserve"> SCE Electric “to January 2024 or earlier;”</w:t>
      </w:r>
    </w:p>
    <w:p w:rsidRPr="00A03B40" w:rsidR="005E4FEC" w:rsidP="00C44216" w:rsidRDefault="005E4FEC" w14:paraId="3D6D4D23" w14:textId="77777777">
      <w:pPr>
        <w:pStyle w:val="Standard"/>
        <w:numPr>
          <w:ilvl w:val="0"/>
          <w:numId w:val="29"/>
        </w:numPr>
        <w:spacing w:after="120" w:line="240" w:lineRule="auto"/>
        <w:ind w:left="1080" w:right="1440"/>
      </w:pPr>
      <w:r w:rsidRPr="00A03B40">
        <w:t xml:space="preserve">An accounting of the amounts for which SCE Catalina Gas has </w:t>
      </w:r>
      <w:proofErr w:type="spellStart"/>
      <w:r w:rsidRPr="00A03B40">
        <w:t>backbilled</w:t>
      </w:r>
      <w:proofErr w:type="spellEnd"/>
      <w:r w:rsidRPr="00A03B40">
        <w:t xml:space="preserve"> SCE Electric and/or intends to </w:t>
      </w:r>
      <w:proofErr w:type="spellStart"/>
      <w:r w:rsidRPr="00A03B40">
        <w:t>backbill</w:t>
      </w:r>
      <w:proofErr w:type="spellEnd"/>
      <w:r w:rsidRPr="00A03B40">
        <w:t xml:space="preserve"> SCE Electric, including accounting of any “propane and transportation costs already paid for” that SCE asserts will be subtracted from the amounts subject to </w:t>
      </w:r>
      <w:proofErr w:type="spellStart"/>
      <w:r w:rsidRPr="00A03B40">
        <w:t>backbilling</w:t>
      </w:r>
      <w:proofErr w:type="spellEnd"/>
      <w:r w:rsidRPr="00A03B40">
        <w:t>; and</w:t>
      </w:r>
    </w:p>
    <w:p w:rsidRPr="00A03B40" w:rsidR="005E4FEC" w:rsidP="00C44216" w:rsidRDefault="005E4FEC" w14:paraId="72E198BE" w14:textId="684311A3">
      <w:pPr>
        <w:pStyle w:val="Standard"/>
        <w:numPr>
          <w:ilvl w:val="0"/>
          <w:numId w:val="29"/>
        </w:numPr>
        <w:spacing w:after="120" w:line="240" w:lineRule="auto"/>
        <w:ind w:left="1080" w:right="1440"/>
      </w:pPr>
      <w:r w:rsidRPr="00A03B40">
        <w:t>Direct citations to the Commission decisions or orders authorizing recovery of the revenue requirements underlying those amounts.</w:t>
      </w:r>
    </w:p>
    <w:p w:rsidRPr="00A03B40" w:rsidR="00D517CF" w:rsidP="00C44216" w:rsidRDefault="00D517CF" w14:paraId="00FEBB90" w14:textId="4A3874B1">
      <w:pPr>
        <w:pStyle w:val="FOFList"/>
        <w:numPr>
          <w:ilvl w:val="0"/>
          <w:numId w:val="30"/>
        </w:numPr>
        <w:ind w:left="0" w:firstLine="360"/>
      </w:pPr>
      <w:r w:rsidRPr="00A03B40">
        <w:t>SCE’s 2026 forecast of costs for nuclear fuel expenses is reasonable and should be adopted.</w:t>
      </w:r>
    </w:p>
    <w:p w:rsidRPr="00A03B40" w:rsidR="000C3E77" w:rsidP="00C44216" w:rsidRDefault="000C3E77" w14:paraId="5FFFC487" w14:textId="37879188">
      <w:pPr>
        <w:pStyle w:val="FOFList"/>
        <w:numPr>
          <w:ilvl w:val="0"/>
          <w:numId w:val="30"/>
        </w:numPr>
        <w:ind w:left="0" w:firstLine="360"/>
      </w:pPr>
      <w:r w:rsidRPr="00A03B40">
        <w:lastRenderedPageBreak/>
        <w:t>Once SCE receives and deposits applicable DOE litigation funds in the SONGS 1 NQNDT, SCE should be required to propose a refund of 2026 SONGS 1 forecast costs in its next ERRA forecast or compliance proceeding.</w:t>
      </w:r>
    </w:p>
    <w:p w:rsidRPr="00A03B40" w:rsidR="00D517CF" w:rsidP="00C44216" w:rsidRDefault="00D517CF" w14:paraId="476E33A4" w14:textId="73552943">
      <w:pPr>
        <w:pStyle w:val="FOFList"/>
        <w:numPr>
          <w:ilvl w:val="0"/>
          <w:numId w:val="30"/>
        </w:numPr>
        <w:ind w:left="0" w:firstLine="360"/>
      </w:pPr>
      <w:r w:rsidRPr="00A03B40">
        <w:t xml:space="preserve">SCE’s forecast </w:t>
      </w:r>
      <w:r w:rsidRPr="00A03B40" w:rsidR="00C637D9">
        <w:t>2026</w:t>
      </w:r>
      <w:r w:rsidRPr="00A03B40">
        <w:t xml:space="preserve"> GHG emissions costs </w:t>
      </w:r>
      <w:r w:rsidRPr="00A03B40" w:rsidR="00C637D9">
        <w:t>are</w:t>
      </w:r>
      <w:r w:rsidRPr="00A03B40">
        <w:t xml:space="preserve"> reasonable and should be adopted.</w:t>
      </w:r>
    </w:p>
    <w:p w:rsidRPr="00A03B40" w:rsidR="00D517CF" w:rsidP="00C44216" w:rsidRDefault="00D517CF" w14:paraId="69BFFA7C" w14:textId="2FB9EEE6">
      <w:pPr>
        <w:pStyle w:val="FOFList"/>
        <w:numPr>
          <w:ilvl w:val="0"/>
          <w:numId w:val="30"/>
        </w:numPr>
        <w:ind w:left="0" w:firstLine="360"/>
      </w:pPr>
      <w:r w:rsidRPr="00A03B40">
        <w:t>SCE’s 2026 forecast of GHG revenues and true</w:t>
      </w:r>
      <w:r w:rsidR="006E0D77">
        <w:t xml:space="preserve"> </w:t>
      </w:r>
      <w:r w:rsidRPr="00A03B40">
        <w:t>up of 2025 GHG revenues are reasonable and should be adopted.</w:t>
      </w:r>
    </w:p>
    <w:p w:rsidRPr="00A03B40" w:rsidR="00D517CF" w:rsidP="00C44216" w:rsidRDefault="00D517CF" w14:paraId="04F95F89" w14:textId="51B95737">
      <w:pPr>
        <w:pStyle w:val="FOFList"/>
        <w:numPr>
          <w:ilvl w:val="0"/>
          <w:numId w:val="30"/>
        </w:numPr>
        <w:ind w:left="0" w:firstLine="360"/>
      </w:pPr>
      <w:r w:rsidRPr="00A03B40">
        <w:t>SCE’s 2026 forecast of administrative expenses it will incur to administer GHG revenue returns and true</w:t>
      </w:r>
      <w:r w:rsidR="006E0D77">
        <w:t xml:space="preserve"> </w:t>
      </w:r>
      <w:r w:rsidRPr="00A03B40">
        <w:t xml:space="preserve">up </w:t>
      </w:r>
      <w:proofErr w:type="gramStart"/>
      <w:r w:rsidRPr="00A03B40">
        <w:t>of</w:t>
      </w:r>
      <w:proofErr w:type="gramEnd"/>
      <w:r w:rsidRPr="00A03B40">
        <w:t xml:space="preserve"> 2025 costs of the same are reasonable and should be adopted.</w:t>
      </w:r>
    </w:p>
    <w:p w:rsidRPr="00A03B40" w:rsidR="00D517CF" w:rsidP="00C44216" w:rsidRDefault="00D517CF" w14:paraId="6DD2C13D" w14:textId="77777777">
      <w:pPr>
        <w:pStyle w:val="FOFList"/>
        <w:numPr>
          <w:ilvl w:val="0"/>
          <w:numId w:val="30"/>
        </w:numPr>
        <w:ind w:left="0" w:firstLine="180"/>
      </w:pPr>
      <w:r w:rsidRPr="00A03B40">
        <w:t xml:space="preserve">SCE’s clean energy program </w:t>
      </w:r>
      <w:proofErr w:type="gramStart"/>
      <w:r w:rsidRPr="00A03B40">
        <w:t>set-asides</w:t>
      </w:r>
      <w:proofErr w:type="gramEnd"/>
      <w:r w:rsidRPr="00A03B40">
        <w:t xml:space="preserve"> from GHG allowances are reasonable and should be adopted.</w:t>
      </w:r>
    </w:p>
    <w:p w:rsidRPr="00A03B40" w:rsidR="00D517CF" w:rsidP="00C44216" w:rsidRDefault="00D517CF" w14:paraId="494C4363" w14:textId="77777777">
      <w:pPr>
        <w:pStyle w:val="FOFList"/>
        <w:numPr>
          <w:ilvl w:val="0"/>
          <w:numId w:val="30"/>
        </w:numPr>
        <w:ind w:left="0" w:firstLine="180"/>
      </w:pPr>
      <w:r w:rsidRPr="00A03B40">
        <w:t>SCE’s calculations of its proposed California Climate Credit, and its proposed EITE customer assistance budget are reasonable and should be adopted.</w:t>
      </w:r>
    </w:p>
    <w:p w:rsidRPr="00A03B40" w:rsidR="00D517CF" w:rsidP="00C44216" w:rsidRDefault="00D517CF" w14:paraId="0DC1FB1E" w14:textId="7D44C558">
      <w:pPr>
        <w:pStyle w:val="FOFList"/>
        <w:numPr>
          <w:ilvl w:val="0"/>
          <w:numId w:val="30"/>
        </w:numPr>
        <w:ind w:left="0" w:firstLine="180"/>
      </w:pPr>
      <w:r w:rsidRPr="00A03B40">
        <w:t>SCE’s forecast balancing and memorandum account balances, proposed balance true</w:t>
      </w:r>
      <w:r w:rsidR="006E0D77">
        <w:t xml:space="preserve"> </w:t>
      </w:r>
      <w:r w:rsidRPr="00A03B40">
        <w:t>ups, and forecast rate components as depicted in Table 7-1 are reasonable and should be approved.</w:t>
      </w:r>
    </w:p>
    <w:p w:rsidRPr="00A03B40" w:rsidR="00D517CF" w:rsidP="00C44216" w:rsidRDefault="00D517CF" w14:paraId="65CB72AE" w14:textId="77777777">
      <w:pPr>
        <w:pStyle w:val="FOFList"/>
        <w:numPr>
          <w:ilvl w:val="0"/>
          <w:numId w:val="30"/>
        </w:numPr>
        <w:ind w:left="0" w:firstLine="180"/>
      </w:pPr>
      <w:r w:rsidRPr="00A03B40">
        <w:t>SCE’s proposal to use its Slice-of-Day methodology to forecast the quantity of RA need to calculate the 2026 Indifference Amount is reasonable and should be approved on an interim basis.</w:t>
      </w:r>
    </w:p>
    <w:p w:rsidR="00D517CF" w:rsidP="00C44216" w:rsidRDefault="00D517CF" w14:paraId="48FB73AC" w14:textId="77777777">
      <w:pPr>
        <w:pStyle w:val="FOFList"/>
        <w:numPr>
          <w:ilvl w:val="0"/>
          <w:numId w:val="30"/>
        </w:numPr>
        <w:ind w:left="0" w:firstLine="180"/>
      </w:pPr>
      <w:r w:rsidRPr="00A03B40">
        <w:t>SCE’s proposal to value Pre-2019 Banked RECs that it may use for bundled service customer compliance in 2025 or 2026 at $0 is a reasonable interim methodology.</w:t>
      </w:r>
    </w:p>
    <w:p w:rsidRPr="00A03B40" w:rsidR="000C3D05" w:rsidP="00C44216" w:rsidRDefault="000C3D05" w14:paraId="6616CF6B" w14:textId="5EA7B1F2">
      <w:pPr>
        <w:pStyle w:val="FOFList"/>
        <w:numPr>
          <w:ilvl w:val="0"/>
          <w:numId w:val="30"/>
        </w:numPr>
        <w:ind w:left="0" w:firstLine="180"/>
      </w:pPr>
      <w:r>
        <w:t xml:space="preserve">Because the Commission intends to address conflicting understandings of D.19-10-001’s impacts in the current PCIA </w:t>
      </w:r>
      <w:r w:rsidR="00DE4F31">
        <w:t>Rulemaking</w:t>
      </w:r>
      <w:r>
        <w:t>,</w:t>
      </w:r>
      <w:r w:rsidR="00DE4F31">
        <w:t xml:space="preserve"> SCE should be required </w:t>
      </w:r>
      <w:r w:rsidR="00DE4F31">
        <w:lastRenderedPageBreak/>
        <w:t xml:space="preserve">to file a Tier </w:t>
      </w:r>
      <w:r w:rsidR="00837ED5">
        <w:t>2</w:t>
      </w:r>
      <w:r w:rsidR="00DE4F31">
        <w:t xml:space="preserve"> </w:t>
      </w:r>
      <w:r w:rsidR="001606AA">
        <w:t>a</w:t>
      </w:r>
      <w:r w:rsidR="00DE4F31">
        <w:t xml:space="preserve">dvice </w:t>
      </w:r>
      <w:r w:rsidR="001606AA">
        <w:t>l</w:t>
      </w:r>
      <w:r w:rsidR="00DE4F31">
        <w:t>etter to</w:t>
      </w:r>
      <w:r w:rsidR="001606AA">
        <w:t xml:space="preserve"> explain how it intends to track the quantity and generation year of each Pre-2019 Banked REC SCE uses for bundled customer compliance in 2026</w:t>
      </w:r>
      <w:r w:rsidR="00DE4F31">
        <w:t>.</w:t>
      </w:r>
    </w:p>
    <w:p w:rsidRPr="00A03B40" w:rsidR="00D517CF" w:rsidP="00C44216" w:rsidRDefault="00D517CF" w14:paraId="71916DFD" w14:textId="1FB342A2">
      <w:pPr>
        <w:pStyle w:val="FOFList"/>
        <w:numPr>
          <w:ilvl w:val="0"/>
          <w:numId w:val="30"/>
        </w:numPr>
        <w:ind w:left="0" w:firstLine="180"/>
      </w:pPr>
      <w:proofErr w:type="spellStart"/>
      <w:r w:rsidRPr="00A03B40">
        <w:t>CalCCA’s</w:t>
      </w:r>
      <w:proofErr w:type="spellEnd"/>
      <w:r w:rsidRPr="00A03B40">
        <w:t xml:space="preserve"> proposal to require SCE to use a “first-in-first-out” methodology for using banked RECs </w:t>
      </w:r>
      <w:r w:rsidR="006B5599">
        <w:t>should not be adopted at this time</w:t>
      </w:r>
      <w:r w:rsidR="00837ED5">
        <w:t xml:space="preserve"> </w:t>
      </w:r>
      <w:r w:rsidRPr="00A03B40">
        <w:t xml:space="preserve">given that (1) SCE has already committed to using Post-2018 Banked RECs before Pre-2019 Banked RECs, and (2) </w:t>
      </w:r>
      <w:proofErr w:type="spellStart"/>
      <w:r w:rsidRPr="00A03B40">
        <w:t>CalCCA</w:t>
      </w:r>
      <w:proofErr w:type="spellEnd"/>
      <w:r w:rsidRPr="00A03B40">
        <w:t xml:space="preserve"> has not articulated a need for its proposal beyond its proposal to value Pre-2019 Banked RECs forecast to be used for bundled compliance at the Forecast RPS Adder and credited to the PCIA vintage in which the REC was generated, which we have rejected.</w:t>
      </w:r>
    </w:p>
    <w:p w:rsidRPr="00A03B40" w:rsidR="00D517CF" w:rsidP="00C44216" w:rsidRDefault="00D517CF" w14:paraId="73358150" w14:textId="77777777">
      <w:pPr>
        <w:pStyle w:val="FOFList"/>
        <w:numPr>
          <w:ilvl w:val="0"/>
          <w:numId w:val="30"/>
        </w:numPr>
        <w:ind w:left="0" w:firstLine="180"/>
      </w:pPr>
      <w:proofErr w:type="gramStart"/>
      <w:r w:rsidRPr="00A03B40">
        <w:t>SCE’s</w:t>
      </w:r>
      <w:proofErr w:type="gramEnd"/>
      <w:r w:rsidRPr="00A03B40">
        <w:t xml:space="preserve"> proposed 2026 CRS charges are reasonable and should be approved. </w:t>
      </w:r>
    </w:p>
    <w:p w:rsidRPr="00A03B40" w:rsidR="00D517CF" w:rsidP="00C44216" w:rsidRDefault="00D517CF" w14:paraId="66AEC462" w14:textId="77777777">
      <w:pPr>
        <w:pStyle w:val="FOFList"/>
        <w:numPr>
          <w:ilvl w:val="0"/>
          <w:numId w:val="30"/>
        </w:numPr>
        <w:ind w:left="0" w:firstLine="180"/>
      </w:pPr>
      <w:proofErr w:type="gramStart"/>
      <w:r w:rsidRPr="00A03B40">
        <w:t>SCE’s</w:t>
      </w:r>
      <w:proofErr w:type="gramEnd"/>
      <w:r w:rsidRPr="00A03B40">
        <w:t xml:space="preserve"> proposed 2026 CAM rate components are reasonable and should be adopted.</w:t>
      </w:r>
    </w:p>
    <w:p w:rsidRPr="00A03B40" w:rsidR="00D517CF" w:rsidP="00C44216" w:rsidRDefault="00D517CF" w14:paraId="59B0DA36" w14:textId="00CB97EC">
      <w:pPr>
        <w:pStyle w:val="FOFList"/>
        <w:numPr>
          <w:ilvl w:val="0"/>
          <w:numId w:val="30"/>
        </w:numPr>
        <w:ind w:left="0" w:firstLine="180"/>
      </w:pPr>
      <w:r w:rsidRPr="00A03B40">
        <w:t xml:space="preserve">SCE should implement the revenue requirement adopted in this proceeding, as updated to reflect October – November 2025 actuals and forecasts for November – December 2025, </w:t>
      </w:r>
      <w:r w:rsidRPr="00A03B40" w:rsidR="00C637D9">
        <w:t xml:space="preserve">as available, </w:t>
      </w:r>
      <w:r w:rsidRPr="00A03B40">
        <w:t xml:space="preserve">in its advice letter for rates to be effective starting January 1, 2026. </w:t>
      </w:r>
    </w:p>
    <w:p w:rsidRPr="00A03B40" w:rsidR="00D517CF" w:rsidP="00C44216" w:rsidRDefault="00D517CF" w14:paraId="70B0380F" w14:textId="77777777">
      <w:pPr>
        <w:pStyle w:val="FOFList"/>
        <w:numPr>
          <w:ilvl w:val="0"/>
          <w:numId w:val="30"/>
        </w:numPr>
        <w:ind w:left="0" w:firstLine="180"/>
      </w:pPr>
      <w:r w:rsidRPr="00A03B40">
        <w:t xml:space="preserve">Advice letters to implement changed tariff sheets in accordance with this Decision should be filed as Tier 1 Advice Letters. </w:t>
      </w:r>
    </w:p>
    <w:p w:rsidRPr="00A03B40" w:rsidR="00EC359C" w:rsidP="00C44216" w:rsidRDefault="00EC359C" w14:paraId="3D876439" w14:textId="77777777">
      <w:pPr>
        <w:pStyle w:val="FOFList"/>
        <w:numPr>
          <w:ilvl w:val="0"/>
          <w:numId w:val="30"/>
        </w:numPr>
        <w:ind w:left="0" w:firstLine="180"/>
      </w:pPr>
      <w:r w:rsidRPr="00A03B40">
        <w:t xml:space="preserve">SCE’s and </w:t>
      </w:r>
      <w:proofErr w:type="spellStart"/>
      <w:r w:rsidRPr="00A03B40">
        <w:t>CalCCA’s</w:t>
      </w:r>
      <w:proofErr w:type="spellEnd"/>
      <w:r w:rsidRPr="00A03B40">
        <w:t xml:space="preserve"> joint motion to admit testimony and exhibits into evidence should be granted.</w:t>
      </w:r>
    </w:p>
    <w:p w:rsidR="00C00C65" w:rsidP="00C44216" w:rsidRDefault="00EC359C" w14:paraId="0CA01D76" w14:textId="77777777">
      <w:pPr>
        <w:pStyle w:val="FOFList"/>
        <w:numPr>
          <w:ilvl w:val="0"/>
          <w:numId w:val="30"/>
        </w:numPr>
        <w:ind w:left="0" w:firstLine="180"/>
      </w:pPr>
      <w:r w:rsidRPr="00A03B40">
        <w:t xml:space="preserve">SCE’s and </w:t>
      </w:r>
      <w:proofErr w:type="spellStart"/>
      <w:r w:rsidRPr="00A03B40">
        <w:t>CalCCA’s</w:t>
      </w:r>
      <w:proofErr w:type="spellEnd"/>
      <w:r w:rsidRPr="00A03B40">
        <w:t xml:space="preserve"> joint motion to seal Exhibits SCE-01C, SCE-02C, </w:t>
      </w:r>
    </w:p>
    <w:p w:rsidRPr="00A03B40" w:rsidR="00EC359C" w:rsidP="00C00C65" w:rsidRDefault="00EC359C" w14:paraId="52CDD9AE" w14:textId="7296574D">
      <w:pPr>
        <w:pStyle w:val="FOFList"/>
        <w:ind w:firstLine="0"/>
      </w:pPr>
      <w:r w:rsidRPr="00A03B40">
        <w:t>SCE-05C, SCE-05AC, SCE-07C, CalCCA-01C and CalCCA-02C should be granted for a period of three years after the effective date of this Decision.</w:t>
      </w:r>
    </w:p>
    <w:p w:rsidRPr="00A03B40" w:rsidR="00EC359C" w:rsidP="00C44216" w:rsidRDefault="00EC359C" w14:paraId="3B73149E" w14:textId="3DD04F49">
      <w:pPr>
        <w:pStyle w:val="FOFList"/>
        <w:numPr>
          <w:ilvl w:val="0"/>
          <w:numId w:val="30"/>
        </w:numPr>
        <w:ind w:left="0" w:firstLine="180"/>
      </w:pPr>
      <w:r w:rsidRPr="00A03B40">
        <w:lastRenderedPageBreak/>
        <w:t>The parties’ joint motion to seal a confidential version of the Joint Case Management Statement should be granted for a period of three years after the effective date of this Decision.</w:t>
      </w:r>
    </w:p>
    <w:p w:rsidRPr="00A03B40" w:rsidR="00EC359C" w:rsidP="00C44216" w:rsidRDefault="00EC359C" w14:paraId="40C10B65" w14:textId="610C46A1">
      <w:pPr>
        <w:pStyle w:val="FOFList"/>
        <w:numPr>
          <w:ilvl w:val="0"/>
          <w:numId w:val="30"/>
        </w:numPr>
        <w:ind w:left="0" w:firstLine="180"/>
      </w:pPr>
      <w:r w:rsidRPr="00A03B40">
        <w:t xml:space="preserve">SCE’s and </w:t>
      </w:r>
      <w:proofErr w:type="spellStart"/>
      <w:r w:rsidRPr="00A03B40">
        <w:t>CalCCA’s</w:t>
      </w:r>
      <w:proofErr w:type="spellEnd"/>
      <w:r w:rsidRPr="00A03B40">
        <w:t xml:space="preserve"> motions to seal confidential versions of their Opening Briefs and Reply Briefs should be granted for a period of three years after the effective date of this Decision.</w:t>
      </w:r>
    </w:p>
    <w:p w:rsidRPr="00A03B40" w:rsidR="00D517CF" w:rsidP="00C44216" w:rsidRDefault="00D517CF" w14:paraId="33638D9D" w14:textId="77777777">
      <w:pPr>
        <w:pStyle w:val="FOFList"/>
        <w:numPr>
          <w:ilvl w:val="0"/>
          <w:numId w:val="30"/>
        </w:numPr>
        <w:ind w:left="0" w:firstLine="180"/>
      </w:pPr>
      <w:r w:rsidRPr="00A03B40">
        <w:t xml:space="preserve">All rulings issued by the assigned Commissioner and the assigned ALJ should be confirmed. </w:t>
      </w:r>
    </w:p>
    <w:p w:rsidRPr="00A03B40" w:rsidR="00D517CF" w:rsidP="00C44216" w:rsidRDefault="00D517CF" w14:paraId="0D3C84BF" w14:textId="2A6794AF">
      <w:pPr>
        <w:pStyle w:val="FOFList"/>
        <w:numPr>
          <w:ilvl w:val="0"/>
          <w:numId w:val="30"/>
        </w:numPr>
        <w:ind w:left="0" w:firstLine="180"/>
      </w:pPr>
      <w:r w:rsidRPr="00A03B40">
        <w:t xml:space="preserve">All motions not specifically addressed herein or previously addressed by the assigned Commissioner or ALJ should be denied. </w:t>
      </w:r>
    </w:p>
    <w:p w:rsidRPr="00A03B40" w:rsidR="00D517CF" w:rsidP="00C44216" w:rsidRDefault="00D517CF" w14:paraId="65BD5C84" w14:textId="77777777">
      <w:pPr>
        <w:pStyle w:val="FOFList"/>
        <w:numPr>
          <w:ilvl w:val="0"/>
          <w:numId w:val="30"/>
        </w:numPr>
        <w:spacing w:after="0" w:afterAutospacing="0"/>
        <w:ind w:left="0" w:firstLine="187"/>
        <w:contextualSpacing w:val="0"/>
      </w:pPr>
      <w:r w:rsidRPr="00A03B40">
        <w:t xml:space="preserve">Application 25-05-008 should be closed. </w:t>
      </w:r>
    </w:p>
    <w:p w:rsidRPr="00A03B40" w:rsidR="00D517CF" w:rsidP="00D468F1" w:rsidRDefault="00D517CF" w14:paraId="2C931895" w14:textId="77777777">
      <w:pPr>
        <w:pStyle w:val="Mainex"/>
        <w:spacing w:before="120"/>
      </w:pPr>
      <w:bookmarkStart w:name="_Toc214629927" w:id="231"/>
      <w:r w:rsidRPr="00A03B40">
        <w:t>ORDER</w:t>
      </w:r>
      <w:bookmarkEnd w:id="231"/>
    </w:p>
    <w:p w:rsidRPr="00A03B40" w:rsidR="00D517CF" w:rsidP="00D517CF" w:rsidRDefault="00D517CF" w14:paraId="2222E3CC" w14:textId="77777777">
      <w:pPr>
        <w:keepNext/>
      </w:pPr>
      <w:r w:rsidRPr="00A03B40">
        <w:rPr>
          <w:b/>
        </w:rPr>
        <w:t>IT IS ORDERED</w:t>
      </w:r>
      <w:r w:rsidRPr="00A03B40">
        <w:t xml:space="preserve"> that:</w:t>
      </w:r>
    </w:p>
    <w:p w:rsidRPr="00A03B40" w:rsidR="00D517CF" w:rsidP="00D517CF" w:rsidRDefault="00D517CF" w14:paraId="2F89D084" w14:textId="46C87B68">
      <w:pPr>
        <w:pStyle w:val="OP"/>
      </w:pPr>
      <w:r w:rsidRPr="00A03B40">
        <w:t>Southern California Edison Company is authorized to recover a total 2026 Energy Resource Recovery Account electric procurement cost revenue requirement forecast of $4.</w:t>
      </w:r>
      <w:r w:rsidRPr="00A03B40" w:rsidR="005E4FEC">
        <w:t>6</w:t>
      </w:r>
      <w:r w:rsidRPr="00A03B40">
        <w:t>8</w:t>
      </w:r>
      <w:r w:rsidRPr="00A03B40" w:rsidR="005E4FEC">
        <w:t>9</w:t>
      </w:r>
      <w:r w:rsidRPr="00A03B40">
        <w:t xml:space="preserve"> billion, consisting of both a generation service component and a delivery service component.</w:t>
      </w:r>
    </w:p>
    <w:p w:rsidRPr="00A03B40" w:rsidR="00D517CF" w:rsidP="00D517CF" w:rsidRDefault="00D517CF" w14:paraId="551135C3" w14:textId="28CA4887">
      <w:pPr>
        <w:pStyle w:val="OP"/>
      </w:pPr>
      <w:r w:rsidRPr="00A03B40">
        <w:t>Within Southern California Edison Company’s (SCE) 2026 generation service revenue requirement of $4.</w:t>
      </w:r>
      <w:r w:rsidRPr="00A03B40" w:rsidR="005E4FEC">
        <w:t>633</w:t>
      </w:r>
      <w:r w:rsidRPr="00A03B40">
        <w:t xml:space="preserve"> billion, SCE is authorized to recover the following: (1) $2.71</w:t>
      </w:r>
      <w:r w:rsidRPr="00A03B40" w:rsidR="005E4FEC">
        <w:t>0</w:t>
      </w:r>
      <w:r w:rsidRPr="00A03B40">
        <w:t xml:space="preserve"> billion forecast 2026 Energy Resource Recovery Account Balancing Account (ERRA BA) costs and a negative $</w:t>
      </w:r>
      <w:r w:rsidRPr="00A03B40" w:rsidR="005E4FEC">
        <w:t xml:space="preserve">898.645 million </w:t>
      </w:r>
      <w:r w:rsidRPr="00A03B40">
        <w:t>year-end 2025 ERRA BA balance; (2) $1.</w:t>
      </w:r>
      <w:r w:rsidRPr="00A03B40" w:rsidR="005E4FEC">
        <w:t>494</w:t>
      </w:r>
      <w:r w:rsidRPr="00A03B40">
        <w:t xml:space="preserve"> billion forecast 2026 Portfolio Allocation Balancing Account (PABA) costs and a $1.</w:t>
      </w:r>
      <w:r w:rsidRPr="00A03B40" w:rsidR="005E4FEC">
        <w:t>318</w:t>
      </w:r>
      <w:r w:rsidRPr="00A03B40">
        <w:t xml:space="preserve"> billion year-end 2025 PABA </w:t>
      </w:r>
      <w:proofErr w:type="spellStart"/>
      <w:r w:rsidRPr="00A03B40">
        <w:t>undercollection</w:t>
      </w:r>
      <w:proofErr w:type="spellEnd"/>
      <w:r w:rsidRPr="00A03B40">
        <w:t xml:space="preserve">; (3) $7.308 million in forecast 2026 Green Tariff Shared Renewables Program costs; and (4) $1.314 million in actual litigation costs incurred in 2025 and tracked in the Energy Settlement Memorandum Account. </w:t>
      </w:r>
      <w:r w:rsidRPr="00A03B40">
        <w:lastRenderedPageBreak/>
        <w:t>SCE is authorized to transfer the 2025 year-end ERRA BA balance to the vintage 2025 subaccount of the PABA.</w:t>
      </w:r>
    </w:p>
    <w:p w:rsidRPr="00A03B40" w:rsidR="00D517CF" w:rsidP="00D517CF" w:rsidRDefault="00D517CF" w14:paraId="10486391" w14:textId="4B8B695A">
      <w:pPr>
        <w:pStyle w:val="OP"/>
      </w:pPr>
      <w:r w:rsidRPr="00A03B40">
        <w:t>Within Southern California Edison Company’s (SCE) 2026 delivery service revenue requirement of $5</w:t>
      </w:r>
      <w:r w:rsidRPr="00A03B40" w:rsidR="005E4FEC">
        <w:t>6</w:t>
      </w:r>
      <w:r w:rsidRPr="00A03B40">
        <w:t>.47</w:t>
      </w:r>
      <w:r w:rsidRPr="00A03B40" w:rsidR="005E4FEC">
        <w:t>4</w:t>
      </w:r>
      <w:r w:rsidRPr="00A03B40">
        <w:t xml:space="preserve"> million, SCE is authorized to recover </w:t>
      </w:r>
      <w:r w:rsidRPr="00A03B40" w:rsidR="000C3E77">
        <w:t xml:space="preserve">or return to customers </w:t>
      </w:r>
      <w:r w:rsidRPr="00A03B40">
        <w:t>the following: (1) $4</w:t>
      </w:r>
      <w:r w:rsidRPr="00A03B40" w:rsidR="005E4FEC">
        <w:t>73</w:t>
      </w:r>
      <w:r w:rsidRPr="00A03B40">
        <w:t>.</w:t>
      </w:r>
      <w:r w:rsidRPr="00A03B40" w:rsidR="005E4FEC">
        <w:t>047</w:t>
      </w:r>
      <w:r w:rsidRPr="00A03B40">
        <w:t xml:space="preserve"> million for the New System Generation and other Cost Allocation Mechanism (CAM) fuel and purchased power (F&amp;PP) costs, representing a 2026 forecast </w:t>
      </w:r>
      <w:r w:rsidRPr="00A03B40" w:rsidR="000C3E77">
        <w:t>(2)</w:t>
      </w:r>
      <w:r w:rsidRPr="00A03B40">
        <w:t xml:space="preserve"> 2025 </w:t>
      </w:r>
      <w:r w:rsidRPr="00A03B40" w:rsidR="000C3E77">
        <w:t xml:space="preserve">New System Generation </w:t>
      </w:r>
      <w:r w:rsidRPr="00A03B40">
        <w:t>overcollection</w:t>
      </w:r>
      <w:r w:rsidRPr="00A03B40" w:rsidR="000C3E77">
        <w:t xml:space="preserve"> of $24.718 million</w:t>
      </w:r>
      <w:r w:rsidRPr="00A03B40">
        <w:t>; (</w:t>
      </w:r>
      <w:r w:rsidRPr="00A03B40" w:rsidR="000C3E77">
        <w:t>3</w:t>
      </w:r>
      <w:r w:rsidRPr="00A03B40">
        <w:t xml:space="preserve">) $6.204 million in Modified CAM </w:t>
      </w:r>
      <w:r w:rsidRPr="00A03B40" w:rsidR="000C3E77">
        <w:t xml:space="preserve">F&amp;PP </w:t>
      </w:r>
      <w:r w:rsidRPr="00A03B40">
        <w:t xml:space="preserve">costs, representing a </w:t>
      </w:r>
      <w:r w:rsidRPr="00A03B40" w:rsidR="000C3E77">
        <w:t xml:space="preserve">combined </w:t>
      </w:r>
      <w:r w:rsidRPr="00A03B40">
        <w:t xml:space="preserve">2026 forecast and a 2025 </w:t>
      </w:r>
      <w:proofErr w:type="spellStart"/>
      <w:r w:rsidRPr="00A03B40">
        <w:t>undercollection</w:t>
      </w:r>
      <w:proofErr w:type="spellEnd"/>
      <w:r w:rsidRPr="00A03B40">
        <w:t>; (3) $5.332 million in spent nuclear fuel costs; (4) negative $2.684 million for forecast Base Revenue Requirement Balancing Account — Distribution F&amp;PP costs; (5)</w:t>
      </w:r>
      <w:r w:rsidR="00AE06E6">
        <w:t> </w:t>
      </w:r>
      <w:r w:rsidRPr="00A03B40">
        <w:t>negative $443.279 million in returns of greenhouse gas allowance proceeds to customers; and (6) $42.571 million for the 2026 Public Purpose Program Charge.</w:t>
      </w:r>
    </w:p>
    <w:p w:rsidRPr="00A03B40" w:rsidR="000C3E77" w:rsidP="000C3E77" w:rsidRDefault="000C3E77" w14:paraId="09170C47" w14:textId="195DC5A9">
      <w:pPr>
        <w:pStyle w:val="OP"/>
      </w:pPr>
      <w:r w:rsidRPr="00A03B40">
        <w:t>Once Southern California Edison Company (SCE) receives and deposits applicable Department of Energy litigation funds in the San Onofre Nuclear Generating Station (SONGS) Unit 1 Non-Qualified Nuclear Decommissioning Trust, SCE must propose a refund of 2026 SONGS Unit 1 forecast costs in its next Energy Resource Recovery Account forecast or compliance proceeding.</w:t>
      </w:r>
    </w:p>
    <w:p w:rsidRPr="00A03B40" w:rsidR="00D517CF" w:rsidP="00D517CF" w:rsidRDefault="00D517CF" w14:paraId="44207077" w14:textId="73B862AD">
      <w:pPr>
        <w:pStyle w:val="OP"/>
      </w:pPr>
      <w:r w:rsidRPr="00A03B40">
        <w:t>Southern California Edison Company is authorized to reconcile its 2026 greenhouse gas (GHG) costs, revenues and requirements as follows: (1) recover a revenue requirement to cover the actual interest and forecasted carrying costs associated with its GHG Cap-and-Trade compliance; and (2) distribute $4</w:t>
      </w:r>
      <w:r w:rsidRPr="00A03B40" w:rsidR="00247109">
        <w:t>43</w:t>
      </w:r>
      <w:r w:rsidRPr="00A03B40">
        <w:t>.</w:t>
      </w:r>
      <w:r w:rsidRPr="00A03B40" w:rsidR="00247109">
        <w:t>279</w:t>
      </w:r>
      <w:r w:rsidR="00AE06E6">
        <w:t> </w:t>
      </w:r>
      <w:r w:rsidRPr="00A03B40">
        <w:t>million in forecast 2025 GHG allowance auction proceeds</w:t>
      </w:r>
      <w:r w:rsidRPr="00A03B40" w:rsidR="00247109">
        <w:t xml:space="preserve"> to its customers</w:t>
      </w:r>
      <w:r w:rsidRPr="00A03B40">
        <w:t xml:space="preserve">, </w:t>
      </w:r>
      <w:r w:rsidRPr="00A03B40" w:rsidR="00247109">
        <w:t>after setting aside</w:t>
      </w:r>
      <w:r w:rsidRPr="00A03B40">
        <w:t xml:space="preserve"> $33.094 million for clean energy and energy efficiency projects and $390,285 for outreach and administrative expenses.</w:t>
      </w:r>
    </w:p>
    <w:p w:rsidRPr="00A03B40" w:rsidR="00D517CF" w:rsidP="00D517CF" w:rsidRDefault="00D517CF" w14:paraId="2B876750" w14:textId="77777777">
      <w:pPr>
        <w:pStyle w:val="OP"/>
      </w:pPr>
      <w:r w:rsidRPr="00A03B40">
        <w:lastRenderedPageBreak/>
        <w:t xml:space="preserve">Southern California Edison Company shall return $384.371 million in greenhouse gas </w:t>
      </w:r>
      <w:proofErr w:type="gramStart"/>
      <w:r w:rsidRPr="00A03B40">
        <w:t>allowance auction</w:t>
      </w:r>
      <w:proofErr w:type="gramEnd"/>
      <w:r w:rsidRPr="00A03B40">
        <w:t xml:space="preserve"> revenues to residential and small commercial customers through the forecasted amount of $36.00 in April and October 2026 for the California Climate Credit program.</w:t>
      </w:r>
    </w:p>
    <w:p w:rsidRPr="00A03B40" w:rsidR="00D517CF" w:rsidP="00D517CF" w:rsidRDefault="00D517CF" w14:paraId="049338FD" w14:textId="5752288F">
      <w:pPr>
        <w:pStyle w:val="OP"/>
      </w:pPr>
      <w:r w:rsidRPr="00A03B40">
        <w:t>Southern California Edison Company shall return a forecast of $58.908</w:t>
      </w:r>
      <w:r w:rsidR="00AE06E6">
        <w:t> </w:t>
      </w:r>
      <w:r w:rsidRPr="00A03B40">
        <w:t xml:space="preserve">million in greenhouse gas </w:t>
      </w:r>
      <w:proofErr w:type="gramStart"/>
      <w:r w:rsidRPr="00A03B40">
        <w:t>allowance auction</w:t>
      </w:r>
      <w:proofErr w:type="gramEnd"/>
      <w:r w:rsidRPr="00A03B40">
        <w:t xml:space="preserve"> revenues to its Emissions-Intensive and Trade-Exposed customers in April 2026.</w:t>
      </w:r>
    </w:p>
    <w:p w:rsidRPr="00A03B40" w:rsidR="00D517CF" w:rsidP="00D517CF" w:rsidRDefault="00D517CF" w14:paraId="1EFDFBFB" w14:textId="77777777">
      <w:pPr>
        <w:pStyle w:val="OP"/>
      </w:pPr>
      <w:r w:rsidRPr="00A03B40">
        <w:t xml:space="preserve">Southern California Edison Company (SCE) shall file a Tier 1 Advice Letter and </w:t>
      </w:r>
      <w:proofErr w:type="gramStart"/>
      <w:r w:rsidRPr="00A03B40">
        <w:t>revised</w:t>
      </w:r>
      <w:proofErr w:type="gramEnd"/>
      <w:r w:rsidRPr="00A03B40">
        <w:t xml:space="preserve"> tariff sheets within 30 days of the issuance of this Decision to implement this Decision. The Advice Letter shall include supporting documentation for: </w:t>
      </w:r>
    </w:p>
    <w:p w:rsidRPr="00A03B40" w:rsidR="00D517CF" w:rsidP="00C44216" w:rsidRDefault="00D517CF" w14:paraId="10B89D42" w14:textId="77777777">
      <w:pPr>
        <w:pStyle w:val="OP"/>
        <w:numPr>
          <w:ilvl w:val="0"/>
          <w:numId w:val="28"/>
        </w:numPr>
        <w:spacing w:after="120" w:line="240" w:lineRule="auto"/>
        <w:ind w:left="1267" w:right="1440" w:hanging="547"/>
      </w:pPr>
      <w:r w:rsidRPr="00A03B40">
        <w:t xml:space="preserve">Residential rate schedules (including master-metered rate schedules) to include the authorized 2026 Climate Credit </w:t>
      </w:r>
      <w:proofErr w:type="gramStart"/>
      <w:r w:rsidRPr="00A03B40">
        <w:t>amount;</w:t>
      </w:r>
      <w:proofErr w:type="gramEnd"/>
      <w:r w:rsidRPr="00A03B40">
        <w:t xml:space="preserve"> </w:t>
      </w:r>
    </w:p>
    <w:p w:rsidRPr="00A03B40" w:rsidR="00D517CF" w:rsidP="00C44216" w:rsidRDefault="00D517CF" w14:paraId="1575B4FC" w14:textId="77777777">
      <w:pPr>
        <w:pStyle w:val="OP"/>
        <w:numPr>
          <w:ilvl w:val="0"/>
          <w:numId w:val="28"/>
        </w:numPr>
        <w:spacing w:after="120" w:line="240" w:lineRule="auto"/>
        <w:ind w:left="1267" w:right="1440" w:hanging="547"/>
      </w:pPr>
      <w:r w:rsidRPr="00A03B40">
        <w:t xml:space="preserve">Small business rate schedules to include the authorized 2026 Climate Credit </w:t>
      </w:r>
      <w:proofErr w:type="gramStart"/>
      <w:r w:rsidRPr="00A03B40">
        <w:t>amount;</w:t>
      </w:r>
      <w:proofErr w:type="gramEnd"/>
      <w:r w:rsidRPr="00A03B40">
        <w:t xml:space="preserve"> </w:t>
      </w:r>
    </w:p>
    <w:p w:rsidRPr="00A03B40" w:rsidR="00D517CF" w:rsidP="00C44216" w:rsidRDefault="00D517CF" w14:paraId="5FACF060" w14:textId="77777777">
      <w:pPr>
        <w:pStyle w:val="OP"/>
        <w:numPr>
          <w:ilvl w:val="0"/>
          <w:numId w:val="28"/>
        </w:numPr>
        <w:spacing w:after="120" w:line="240" w:lineRule="auto"/>
        <w:ind w:left="1267" w:right="1440" w:hanging="547"/>
      </w:pPr>
      <w:r w:rsidRPr="00A03B40">
        <w:t xml:space="preserve">The updated November 2025 revenue requirement actuals and forecasts for November and/or December 2025, depending on the availability of November revenue requirement actuals at the time of the Advice Letter filing; and </w:t>
      </w:r>
    </w:p>
    <w:p w:rsidRPr="00A03B40" w:rsidR="00D517CF" w:rsidP="00C44216" w:rsidRDefault="00D517CF" w14:paraId="088E81FF" w14:textId="77777777">
      <w:pPr>
        <w:pStyle w:val="OP"/>
        <w:numPr>
          <w:ilvl w:val="0"/>
          <w:numId w:val="28"/>
        </w:numPr>
        <w:spacing w:after="120" w:line="240" w:lineRule="auto"/>
        <w:ind w:left="1267" w:right="1440" w:hanging="547"/>
      </w:pPr>
      <w:r w:rsidRPr="00A03B40">
        <w:t>The usage of Renewable Energy Certificates banked in or before 2019 for 2025 Renewables Portfolio Standard compliance for SCE’s bundled customers.</w:t>
      </w:r>
    </w:p>
    <w:p w:rsidRPr="00A03B40" w:rsidR="00D517CF" w:rsidP="00D517CF" w:rsidRDefault="00D517CF" w14:paraId="5E1DD56C" w14:textId="55F78FFA">
      <w:pPr>
        <w:pStyle w:val="OP"/>
      </w:pPr>
      <w:r w:rsidRPr="00A03B40">
        <w:t xml:space="preserve">Southern California Edison Company </w:t>
      </w:r>
      <w:r w:rsidRPr="00A03B40" w:rsidR="005C0E10">
        <w:t>shall</w:t>
      </w:r>
      <w:r w:rsidRPr="00A03B40">
        <w:t xml:space="preserve"> file a separate Tier 1 Consolidated Revenue Requirement and Rate Change Advice Letter no later than December 31, 2025, pursuant to Resolution E-5217. This Tier 1 Advice Letter must contain tariff sheet revisions as necessary to implement the rate changes authorized in this Decision.</w:t>
      </w:r>
    </w:p>
    <w:p w:rsidRPr="00A03B40" w:rsidR="005C0E10" w:rsidP="00B44464" w:rsidRDefault="005C0E10" w14:paraId="5E480663" w14:textId="5316637C">
      <w:pPr>
        <w:pStyle w:val="OP"/>
      </w:pPr>
      <w:r w:rsidRPr="00A03B40">
        <w:lastRenderedPageBreak/>
        <w:t>In a subsequent Energy Resource Recovery Account forecast or compliance application, whichever occurs first, Southern California Edison Company (SCE) shall propose a refund of the 2026 San Onofre Nuclear Generating Station unit 1 (SONGS 1) offsite interim spent fuel storage costs adopted in this Decision that, by the time of the application, have been recovered in rates, following receipt and deposit of applicable Department of Energy SONGS 1 interim spent nuclear fuel storage litigation proceeds into the Non-Qualified Nuclear Decommissioning Trust for SONGS 1.</w:t>
      </w:r>
    </w:p>
    <w:p w:rsidRPr="00A03B40" w:rsidR="00B44464" w:rsidP="00B44464" w:rsidRDefault="00B44464" w14:paraId="25D20C0E" w14:textId="7D77215E">
      <w:pPr>
        <w:pStyle w:val="OP"/>
      </w:pPr>
      <w:r w:rsidRPr="00A03B40">
        <w:t>Southern California Edison Company (SCE) shall file an Information-Only Advice Letter within 60 days of the adoption of this Decision. SCE shall serve this Advice Letter on the service list in Application (A.)25-05-008 and on the most recently updated service list for A.23-12-011. This Advice Letter shall contain:</w:t>
      </w:r>
    </w:p>
    <w:p w:rsidRPr="00A03B40" w:rsidR="00B44464" w:rsidP="00C44216" w:rsidRDefault="00B44464" w14:paraId="22C6CBFD" w14:textId="77777777">
      <w:pPr>
        <w:pStyle w:val="OP"/>
        <w:numPr>
          <w:ilvl w:val="1"/>
          <w:numId w:val="22"/>
        </w:numPr>
        <w:spacing w:after="120" w:line="240" w:lineRule="auto"/>
        <w:ind w:left="1080" w:right="1440"/>
      </w:pPr>
      <w:r w:rsidRPr="00A03B40">
        <w:t xml:space="preserve">The legal authority supporting SCE Catalina Gas’s intention to </w:t>
      </w:r>
      <w:proofErr w:type="spellStart"/>
      <w:r w:rsidRPr="00A03B40">
        <w:t>backbill</w:t>
      </w:r>
      <w:proofErr w:type="spellEnd"/>
      <w:r w:rsidRPr="00A03B40">
        <w:t xml:space="preserve"> SCE Electric “to January 2024 or earlier;”</w:t>
      </w:r>
    </w:p>
    <w:p w:rsidRPr="00A03B40" w:rsidR="00B44464" w:rsidP="00C44216" w:rsidRDefault="00B44464" w14:paraId="186EADCB" w14:textId="77777777">
      <w:pPr>
        <w:pStyle w:val="OP"/>
        <w:numPr>
          <w:ilvl w:val="1"/>
          <w:numId w:val="22"/>
        </w:numPr>
        <w:spacing w:after="120" w:line="240" w:lineRule="auto"/>
        <w:ind w:left="1080" w:right="1440"/>
      </w:pPr>
      <w:r w:rsidRPr="00A03B40">
        <w:t xml:space="preserve">An accounting of the amounts for which SCE Catalina Gas has </w:t>
      </w:r>
      <w:proofErr w:type="spellStart"/>
      <w:r w:rsidRPr="00A03B40">
        <w:t>backbilled</w:t>
      </w:r>
      <w:proofErr w:type="spellEnd"/>
      <w:r w:rsidRPr="00A03B40">
        <w:t xml:space="preserve"> SCE Electric and/or intends to </w:t>
      </w:r>
      <w:proofErr w:type="spellStart"/>
      <w:r w:rsidRPr="00A03B40">
        <w:t>backbill</w:t>
      </w:r>
      <w:proofErr w:type="spellEnd"/>
      <w:r w:rsidRPr="00A03B40">
        <w:t xml:space="preserve"> SCE Electric, including accounting of any “propane and transportation costs already paid for” that SCE asserts will be subtracted from the amounts subject to </w:t>
      </w:r>
      <w:proofErr w:type="spellStart"/>
      <w:r w:rsidRPr="00A03B40">
        <w:t>backbilling</w:t>
      </w:r>
      <w:proofErr w:type="spellEnd"/>
      <w:r w:rsidRPr="00A03B40">
        <w:t>; and</w:t>
      </w:r>
    </w:p>
    <w:p w:rsidRPr="00A03B40" w:rsidR="00B44464" w:rsidP="00C44216" w:rsidRDefault="00B44464" w14:paraId="3237FDCF" w14:textId="2F063992">
      <w:pPr>
        <w:pStyle w:val="OP"/>
        <w:numPr>
          <w:ilvl w:val="1"/>
          <w:numId w:val="22"/>
        </w:numPr>
        <w:spacing w:after="120" w:line="240" w:lineRule="auto"/>
        <w:ind w:left="1080" w:right="1440"/>
      </w:pPr>
      <w:r w:rsidRPr="00A03B40">
        <w:t>Direct citations to the Commission decisions or orders authorizing recovery of the revenue requirements underlying those amounts.</w:t>
      </w:r>
    </w:p>
    <w:p w:rsidR="00DE4F31" w:rsidP="004D76AB" w:rsidRDefault="00DE4F31" w14:paraId="7463F5F5" w14:textId="6F8BB518">
      <w:pPr>
        <w:pStyle w:val="OP"/>
      </w:pPr>
      <w:r w:rsidRPr="00A03B40">
        <w:t>Southern California Edison Company</w:t>
      </w:r>
      <w:r>
        <w:t xml:space="preserve"> shall file a Tier </w:t>
      </w:r>
      <w:r w:rsidR="00C4495A">
        <w:t>2</w:t>
      </w:r>
      <w:r>
        <w:t xml:space="preserve"> Advice Letter </w:t>
      </w:r>
      <w:r w:rsidR="00C4495A">
        <w:t xml:space="preserve">by </w:t>
      </w:r>
      <w:r w:rsidR="006E0D77">
        <w:t>February</w:t>
      </w:r>
      <w:r w:rsidR="001E75C1">
        <w:t xml:space="preserve"> </w:t>
      </w:r>
      <w:r w:rsidR="00C4495A">
        <w:t xml:space="preserve">1, 2026, to propose how it will track the quantity of Pre-2019 Banked Renewable Energy Credits (RECs) used to meet bundled customer compliance in 2026. The Advice Letter shall explain how SCE intends to track the quantity and generation year of all Pre-2019 Banked RECs it will use to meet 2026 compliance requirements </w:t>
      </w:r>
      <w:r w:rsidR="001606AA">
        <w:t xml:space="preserve">through September 30, 2026. The Advice Letter shall also explain </w:t>
      </w:r>
      <w:r w:rsidR="001606AA">
        <w:lastRenderedPageBreak/>
        <w:t>how SCE intends to forecast how many and which RECs SCE intends to use for bundled customer compliance from October 1, 2026, through December 31, 2026.</w:t>
      </w:r>
      <w:r>
        <w:t xml:space="preserve"> </w:t>
      </w:r>
    </w:p>
    <w:p w:rsidRPr="00A03B40" w:rsidR="004D76AB" w:rsidP="004D76AB" w:rsidRDefault="004D76AB" w14:paraId="2CEC1050" w14:textId="58CABA8F">
      <w:pPr>
        <w:pStyle w:val="OP"/>
      </w:pPr>
      <w:r w:rsidRPr="00A03B40">
        <w:t xml:space="preserve">Southern California Edison Company’s (SCE) September 15, </w:t>
      </w:r>
      <w:proofErr w:type="gramStart"/>
      <w:r w:rsidRPr="00A03B40">
        <w:t>2025</w:t>
      </w:r>
      <w:proofErr w:type="gramEnd"/>
      <w:r w:rsidRPr="00A03B40">
        <w:t xml:space="preserve"> Motion for Leave to File the Confidential Version of the Joint Case Management Statement Under Seal is granted. The confidential version of the Joint Case Management Statement shall remain </w:t>
      </w:r>
      <w:proofErr w:type="gramStart"/>
      <w:r w:rsidRPr="00A03B40">
        <w:t>under seal</w:t>
      </w:r>
      <w:proofErr w:type="gramEnd"/>
      <w:r w:rsidRPr="00A03B40">
        <w:t xml:space="preserve"> for a period of three years from the effective date of this decision, consistent with Decision 06-06-066. During this three-year period, the information shall not be publicly disclosed except on further Commission order or Administrative Law Judge ruling. If SCE believes that it is necessary for this information to remain </w:t>
      </w:r>
      <w:proofErr w:type="gramStart"/>
      <w:r w:rsidRPr="00A03B40">
        <w:t>under seal</w:t>
      </w:r>
      <w:proofErr w:type="gramEnd"/>
      <w:r w:rsidRPr="00A03B40">
        <w:t xml:space="preserve"> for longer than three years, it may file a new motion owing good cause for extending this order no later than 30 days before the expiration of this order.</w:t>
      </w:r>
    </w:p>
    <w:p w:rsidRPr="00A03B40" w:rsidR="004D76AB" w:rsidP="004D76AB" w:rsidRDefault="004D76AB" w14:paraId="62B93D5D" w14:textId="2C6D82D9">
      <w:pPr>
        <w:pStyle w:val="OP"/>
      </w:pPr>
      <w:r w:rsidRPr="00A03B40">
        <w:t xml:space="preserve">Southern California Edison Company and California Community Choice Association’s October 28, </w:t>
      </w:r>
      <w:proofErr w:type="gramStart"/>
      <w:r w:rsidRPr="00A03B40">
        <w:t>2025</w:t>
      </w:r>
      <w:proofErr w:type="gramEnd"/>
      <w:r w:rsidRPr="00A03B40">
        <w:t xml:space="preserve"> Joint Motion to Admit Prepared Testimony and Exhibits into the record is granted.</w:t>
      </w:r>
    </w:p>
    <w:p w:rsidRPr="00A03B40" w:rsidR="004D76AB" w:rsidP="004D76AB" w:rsidRDefault="004D76AB" w14:paraId="0623D922" w14:textId="4120CE8F">
      <w:pPr>
        <w:pStyle w:val="OP"/>
      </w:pPr>
      <w:r w:rsidRPr="00A03B40">
        <w:t xml:space="preserve">Southern California Edison Company (SCE) and California Community Choice Association’s (Cal-CCA) October 28, </w:t>
      </w:r>
      <w:proofErr w:type="gramStart"/>
      <w:r w:rsidRPr="00A03B40">
        <w:t>2025</w:t>
      </w:r>
      <w:proofErr w:type="gramEnd"/>
      <w:r w:rsidRPr="00A03B40">
        <w:t xml:space="preserve"> Joint Motion to Seal a Portion of the Evidentiary Record is granted. The confidential versions of SCE’s Exhibits SCE-01, SCE-02, SCE-05, SCE-05A, and SCE-07 and the confidential versions of </w:t>
      </w:r>
      <w:proofErr w:type="spellStart"/>
      <w:r w:rsidRPr="00A03B40">
        <w:t>CalCCA</w:t>
      </w:r>
      <w:proofErr w:type="spellEnd"/>
      <w:r w:rsidRPr="00A03B40">
        <w:t xml:space="preserve">-s Exhibit CalCCA-01 and CalCCA-02 shall remain under seal for a period of three years from the effective date of this decision, consistent with Decision 06-06-066. During this three-year period, the information shall not be publicly disclosed except on further Commission order or Administrative Law Judge ruling. If SCE or </w:t>
      </w:r>
      <w:proofErr w:type="spellStart"/>
      <w:r w:rsidRPr="00A03B40">
        <w:t>CalCCA</w:t>
      </w:r>
      <w:proofErr w:type="spellEnd"/>
      <w:r w:rsidRPr="00A03B40">
        <w:t xml:space="preserve"> believes that it is necessary for this information to remain under seal for longer than three years, </w:t>
      </w:r>
      <w:r w:rsidR="005F4C1F">
        <w:t>it</w:t>
      </w:r>
      <w:r w:rsidRPr="00A03B40" w:rsidR="005F4C1F">
        <w:t xml:space="preserve"> </w:t>
      </w:r>
      <w:r w:rsidRPr="00A03B40">
        <w:t xml:space="preserve">may file a new motion </w:t>
      </w:r>
      <w:proofErr w:type="gramStart"/>
      <w:r w:rsidRPr="00A03B40">
        <w:t>owing</w:t>
      </w:r>
      <w:proofErr w:type="gramEnd"/>
      <w:r w:rsidRPr="00A03B40">
        <w:t xml:space="preserve"> </w:t>
      </w:r>
      <w:r w:rsidRPr="00A03B40">
        <w:lastRenderedPageBreak/>
        <w:t>good cause for extending this order no later than 30 days before the expiration of this order.</w:t>
      </w:r>
    </w:p>
    <w:p w:rsidRPr="00A03B40" w:rsidR="004D76AB" w:rsidP="004D76AB" w:rsidRDefault="004D76AB" w14:paraId="5B206DDF" w14:textId="24A565C3">
      <w:pPr>
        <w:pStyle w:val="OP"/>
      </w:pPr>
      <w:r w:rsidRPr="00A03B40">
        <w:t xml:space="preserve">Southern California Edison Company’s (SCE) October 29, </w:t>
      </w:r>
      <w:proofErr w:type="gramStart"/>
      <w:r w:rsidRPr="00A03B40">
        <w:t>2025</w:t>
      </w:r>
      <w:proofErr w:type="gramEnd"/>
      <w:r w:rsidRPr="00A03B40">
        <w:t xml:space="preserve"> Motion for Leave to File a Confidential Version of its Opening Brief Under Seal and November 4, </w:t>
      </w:r>
      <w:proofErr w:type="gramStart"/>
      <w:r w:rsidRPr="00A03B40">
        <w:t>2025</w:t>
      </w:r>
      <w:proofErr w:type="gramEnd"/>
      <w:r w:rsidRPr="00A03B40">
        <w:t xml:space="preserve"> Motion for Leave to File a Confidential Version of its Reply Brief Under Seal are granted. The confidential version of SCE’s Opening and Reply Briefs shall remain under seal for a period of three years from the effective date of this decision, consistent with Decision 06-06-066. During this three-year period, the information shall not be publicly disclosed except on further Commission order or Administrative Law Judge ruling. If SCE believes that it is necessary for this information to remain </w:t>
      </w:r>
      <w:proofErr w:type="gramStart"/>
      <w:r w:rsidRPr="00A03B40">
        <w:t>under seal</w:t>
      </w:r>
      <w:proofErr w:type="gramEnd"/>
      <w:r w:rsidRPr="00A03B40">
        <w:t xml:space="preserve"> for longer than three years, </w:t>
      </w:r>
      <w:r w:rsidR="005F4C1F">
        <w:t>it</w:t>
      </w:r>
      <w:r w:rsidRPr="00A03B40" w:rsidR="005F4C1F">
        <w:t xml:space="preserve"> </w:t>
      </w:r>
      <w:r w:rsidRPr="00A03B40">
        <w:t>may file a new motion owing good cause for extending this order no later than 30 days before the expiration of this order.</w:t>
      </w:r>
    </w:p>
    <w:p w:rsidRPr="00A03B40" w:rsidR="004D76AB" w:rsidP="00975424" w:rsidRDefault="004D76AB" w14:paraId="50369430" w14:textId="1BAB63DC">
      <w:pPr>
        <w:pStyle w:val="OP"/>
      </w:pPr>
      <w:r w:rsidRPr="00A03B40">
        <w:t>California Community Choice Association’s (</w:t>
      </w:r>
      <w:proofErr w:type="spellStart"/>
      <w:r w:rsidRPr="00A03B40">
        <w:t>CalCCA</w:t>
      </w:r>
      <w:proofErr w:type="spellEnd"/>
      <w:r w:rsidRPr="00A03B40">
        <w:t xml:space="preserve">) October 29, </w:t>
      </w:r>
      <w:proofErr w:type="gramStart"/>
      <w:r w:rsidRPr="00A03B40">
        <w:t>2025</w:t>
      </w:r>
      <w:proofErr w:type="gramEnd"/>
      <w:r w:rsidRPr="00A03B40">
        <w:t xml:space="preserve"> Motion for Leave to File a Confidential Version of its Opening Brief Under Seal and November 4, </w:t>
      </w:r>
      <w:proofErr w:type="gramStart"/>
      <w:r w:rsidRPr="00A03B40">
        <w:t>2025</w:t>
      </w:r>
      <w:proofErr w:type="gramEnd"/>
      <w:r w:rsidRPr="00A03B40">
        <w:t xml:space="preserve"> Motion for Leave to File a Confidential Version of its Reply Brief Under Seal are granted. The confidential version of </w:t>
      </w:r>
      <w:proofErr w:type="spellStart"/>
      <w:r w:rsidRPr="00A03B40" w:rsidR="00975424">
        <w:t>CalCCA’s</w:t>
      </w:r>
      <w:proofErr w:type="spellEnd"/>
      <w:r w:rsidRPr="00A03B40" w:rsidR="00975424">
        <w:t xml:space="preserve"> </w:t>
      </w:r>
      <w:r w:rsidRPr="00A03B40">
        <w:t xml:space="preserve">Opening and Reply Briefs shall remain under seal for a period of three years from the effective date of this decision, consistent with Decision 06-06-066. During this three-year period, the information shall not be publicly disclosed except on further Commission order or Administrative Law Judge ruling. If </w:t>
      </w:r>
      <w:proofErr w:type="spellStart"/>
      <w:r w:rsidRPr="00A03B40" w:rsidR="00975424">
        <w:t>CalCCA’s</w:t>
      </w:r>
      <w:proofErr w:type="spellEnd"/>
      <w:r w:rsidRPr="00A03B40" w:rsidR="00975424">
        <w:t xml:space="preserve"> </w:t>
      </w:r>
      <w:r w:rsidRPr="00A03B40">
        <w:t xml:space="preserve">believes that it is necessary for this information to remain under seal for longer than three years, </w:t>
      </w:r>
      <w:r w:rsidR="005F4C1F">
        <w:t>it</w:t>
      </w:r>
      <w:r w:rsidRPr="00A03B40" w:rsidR="005F4C1F">
        <w:t xml:space="preserve"> </w:t>
      </w:r>
      <w:r w:rsidRPr="00A03B40">
        <w:t>may file a new motion owing good cause for extending this order no later than 30 days before the expiration of this order.</w:t>
      </w:r>
    </w:p>
    <w:p w:rsidRPr="00A03B40" w:rsidR="00D517CF" w:rsidP="00E87759" w:rsidRDefault="00D517CF" w14:paraId="39917C82" w14:textId="5EA42B5D">
      <w:pPr>
        <w:pStyle w:val="OP"/>
        <w:keepNext/>
        <w:keepLines/>
      </w:pPr>
      <w:r w:rsidRPr="00A03B40">
        <w:lastRenderedPageBreak/>
        <w:t>Application 25-05-008 is closed.</w:t>
      </w:r>
    </w:p>
    <w:p w:rsidRPr="00A03B40" w:rsidR="00D517CF" w:rsidP="00E87759" w:rsidRDefault="00D517CF" w14:paraId="1D624CC3" w14:textId="77777777">
      <w:pPr>
        <w:keepNext/>
        <w:keepLines/>
      </w:pPr>
      <w:r w:rsidRPr="00A03B40">
        <w:t>This order is effective today.</w:t>
      </w:r>
    </w:p>
    <w:p w:rsidR="00D517CF" w:rsidP="00E87759" w:rsidRDefault="00D517CF" w14:paraId="5F279DE5" w14:textId="0B74749D">
      <w:pPr>
        <w:keepNext/>
        <w:keepLines/>
      </w:pPr>
      <w:r w:rsidRPr="00A03B40">
        <w:t>Dated</w:t>
      </w:r>
      <w:r w:rsidR="00ED20BC">
        <w:t>__________________</w:t>
      </w:r>
      <w:r w:rsidRPr="00A03B40">
        <w:t xml:space="preserve">, at </w:t>
      </w:r>
      <w:r w:rsidR="00ED20BC">
        <w:t>Sacramento</w:t>
      </w:r>
      <w:r w:rsidRPr="00A03B40">
        <w:t>, California</w:t>
      </w:r>
      <w:r w:rsidR="00E87759">
        <w:t>.</w:t>
      </w:r>
    </w:p>
    <w:p w:rsidR="00E87759" w:rsidP="00EA50DF" w:rsidRDefault="00E87759" w14:paraId="5F1D750D" w14:textId="77777777">
      <w:pPr>
        <w:spacing w:line="240" w:lineRule="auto"/>
      </w:pPr>
    </w:p>
    <w:p w:rsidR="00E87759" w:rsidP="00EA50DF" w:rsidRDefault="00E87759" w14:paraId="5E4D8829" w14:textId="77777777">
      <w:pPr>
        <w:spacing w:line="240" w:lineRule="auto"/>
      </w:pPr>
    </w:p>
    <w:p w:rsidR="00E87759" w:rsidP="00EA50DF" w:rsidRDefault="00E87759" w14:paraId="559C38EC" w14:textId="77777777">
      <w:pPr>
        <w:spacing w:line="240" w:lineRule="auto"/>
      </w:pPr>
    </w:p>
    <w:p w:rsidR="00E87759" w:rsidP="00EA50DF" w:rsidRDefault="00E87759" w14:paraId="0A5D78D9" w14:textId="77777777">
      <w:pPr>
        <w:spacing w:line="240" w:lineRule="auto"/>
      </w:pPr>
    </w:p>
    <w:p w:rsidRPr="00714CF2" w:rsidR="00E87759" w:rsidP="00EA50DF" w:rsidRDefault="00E87759" w14:paraId="0FC781E6" w14:textId="77777777">
      <w:pPr>
        <w:spacing w:line="240" w:lineRule="auto"/>
      </w:pPr>
    </w:p>
    <w:bookmarkEnd w:id="228"/>
    <w:p w:rsidRPr="00714CF2" w:rsidR="00714CF2" w:rsidP="00EA50DF" w:rsidRDefault="00714CF2" w14:paraId="4EAC76AF" w14:textId="209AC694">
      <w:pPr>
        <w:pStyle w:val="FOFList"/>
      </w:pPr>
    </w:p>
    <w:sectPr w:rsidRPr="00714CF2" w:rsidR="00714CF2" w:rsidSect="00B93FF9">
      <w:headerReference w:type="default" r:id="rId19"/>
      <w:footerReference w:type="defaul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2F00" w14:textId="77777777" w:rsidR="00F0196D" w:rsidRDefault="00F0196D" w:rsidP="0098138E">
      <w:pPr>
        <w:spacing w:line="240" w:lineRule="auto"/>
      </w:pPr>
      <w:r>
        <w:separator/>
      </w:r>
    </w:p>
  </w:endnote>
  <w:endnote w:type="continuationSeparator" w:id="0">
    <w:p w14:paraId="013A5CF2" w14:textId="77777777" w:rsidR="00F0196D" w:rsidRDefault="00F0196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728" w14:textId="77777777" w:rsidR="00C90365" w:rsidRDefault="00C9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3770" w14:textId="77777777" w:rsidR="00C90365" w:rsidRDefault="00C90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D07" w14:textId="571E2E55" w:rsidR="000A7839" w:rsidRDefault="00000000" w:rsidP="007E0FEE">
    <w:pPr>
      <w:tabs>
        <w:tab w:val="center" w:pos="4680"/>
      </w:tabs>
      <w:ind w:firstLine="0"/>
      <w:rPr>
        <w:noProof/>
      </w:rPr>
    </w:pPr>
    <w:sdt>
      <w:sdtPr>
        <w:id w:val="-1116288075"/>
        <w:docPartObj>
          <w:docPartGallery w:val="Page Numbers (Bottom of Page)"/>
          <w:docPartUnique/>
        </w:docPartObj>
      </w:sdtPr>
      <w:sdtEndPr>
        <w:rPr>
          <w:noProof/>
        </w:rPr>
      </w:sdtEndPr>
      <w:sdtContent>
        <w:r w:rsidR="00C90365" w:rsidRPr="00C90365">
          <w:rPr>
            <w:sz w:val="16"/>
            <w:szCs w:val="16"/>
          </w:rPr>
          <w:t>591230404</w:t>
        </w:r>
        <w:r w:rsidR="000A7839">
          <w:rPr>
            <w:rFonts w:ascii="Arial" w:hAnsi="Arial" w:cs="Arial"/>
            <w:sz w:val="16"/>
            <w:szCs w:val="16"/>
          </w:rPr>
          <w:tab/>
        </w:r>
        <w:r w:rsidR="000A7839">
          <w:t xml:space="preserve">- </w:t>
        </w:r>
        <w:r w:rsidR="000A7839">
          <w:fldChar w:fldCharType="begin"/>
        </w:r>
        <w:r w:rsidR="000A7839">
          <w:instrText xml:space="preserve"> PAGE   \* MERGEFORMAT </w:instrText>
        </w:r>
        <w:r w:rsidR="000A7839">
          <w:fldChar w:fldCharType="separate"/>
        </w:r>
        <w:r w:rsidR="000A7839">
          <w:rPr>
            <w:noProof/>
          </w:rPr>
          <w:t>2</w:t>
        </w:r>
        <w:r w:rsidR="000A7839">
          <w:rPr>
            <w:noProof/>
          </w:rPr>
          <w:fldChar w:fldCharType="end"/>
        </w:r>
      </w:sdtContent>
    </w:sdt>
    <w:r w:rsidR="000A7839">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4FA0"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48D0"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2391" w14:textId="77777777" w:rsidR="00F0196D" w:rsidRDefault="00F0196D" w:rsidP="00DF58E7">
      <w:pPr>
        <w:spacing w:line="240" w:lineRule="auto"/>
        <w:ind w:firstLine="0"/>
      </w:pPr>
      <w:r>
        <w:separator/>
      </w:r>
    </w:p>
  </w:footnote>
  <w:footnote w:type="continuationSeparator" w:id="0">
    <w:p w14:paraId="63A31F08" w14:textId="77777777" w:rsidR="00F0196D" w:rsidRDefault="00F0196D" w:rsidP="00DF58E7">
      <w:pPr>
        <w:spacing w:line="240" w:lineRule="auto"/>
        <w:ind w:firstLine="0"/>
      </w:pPr>
      <w:r>
        <w:continuationSeparator/>
      </w:r>
    </w:p>
  </w:footnote>
  <w:footnote w:type="continuationNotice" w:id="1">
    <w:p w14:paraId="5423C8F5" w14:textId="77777777" w:rsidR="00F0196D" w:rsidRPr="00DF58E7" w:rsidRDefault="00F0196D" w:rsidP="00DF58E7">
      <w:pPr>
        <w:spacing w:line="240" w:lineRule="auto"/>
        <w:ind w:firstLine="0"/>
        <w:jc w:val="right"/>
        <w:rPr>
          <w:i/>
          <w:sz w:val="22"/>
        </w:rPr>
      </w:pPr>
    </w:p>
  </w:footnote>
  <w:footnote w:id="2">
    <w:p w14:paraId="1652B6C4" w14:textId="62C6BB88" w:rsidR="00BC3B89" w:rsidRDefault="00BC3B89" w:rsidP="00BC3B89">
      <w:pPr>
        <w:pStyle w:val="FootnoteText"/>
      </w:pPr>
      <w:r>
        <w:rPr>
          <w:rStyle w:val="FootnoteReference"/>
        </w:rPr>
        <w:footnoteRef/>
      </w:r>
      <w:r>
        <w:t xml:space="preserve"> Contrasted with general rate cases in which the California Public Utilities Commission (Commission or CPUC) reviews a utility’s forecasts of capital infrastructure, labor, operations and maintenance, and other categories of costs, the Energy Resource Recovery Account (ERRA) Forecast processes focuses largely, though not exclusively, on the “pass through costs” a utility incurs specifically to procure power to provide to customers (</w:t>
      </w:r>
      <w:r w:rsidRPr="00C36F2C">
        <w:rPr>
          <w:i/>
          <w:iCs/>
        </w:rPr>
        <w:t>i.e.</w:t>
      </w:r>
      <w:r w:rsidRPr="00C36F2C">
        <w:t xml:space="preserve">, </w:t>
      </w:r>
      <w:r>
        <w:t xml:space="preserve">the utility’s actual costs), for which the utility does not earn a profit. </w:t>
      </w:r>
      <w:r w:rsidRPr="00B5135A">
        <w:rPr>
          <w:i/>
          <w:iCs/>
        </w:rPr>
        <w:t>See</w:t>
      </w:r>
      <w:r>
        <w:t xml:space="preserve"> the CPUC website, Energy Resource Recovery Account, </w:t>
      </w:r>
      <w:hyperlink r:id="rId1" w:history="1">
        <w:r w:rsidRPr="00F94B48">
          <w:rPr>
            <w:rStyle w:val="Hyperlink"/>
          </w:rPr>
          <w:t>https://www.cpuc.ca.gov/industries-and-topics/electrical-energy/electric-costs/what-is-an-energy-resource-recovery-account-proceeding</w:t>
        </w:r>
      </w:hyperlink>
      <w:r>
        <w:t xml:space="preserve"> (last visited Sept</w:t>
      </w:r>
      <w:r w:rsidR="005A691C">
        <w:t>.</w:t>
      </w:r>
      <w:r>
        <w:t xml:space="preserve"> 15, 2025).</w:t>
      </w:r>
    </w:p>
  </w:footnote>
  <w:footnote w:id="3">
    <w:p w14:paraId="5B824DCD" w14:textId="77777777" w:rsidR="00587B06" w:rsidRDefault="00587B06" w:rsidP="00587B06">
      <w:pPr>
        <w:pStyle w:val="FootnoteText"/>
        <w:spacing w:after="0"/>
      </w:pPr>
      <w:r w:rsidRPr="00E363F3">
        <w:rPr>
          <w:rStyle w:val="FootnoteReference"/>
        </w:rPr>
        <w:footnoteRef/>
      </w:r>
      <w:r w:rsidRPr="00E363F3">
        <w:t xml:space="preserve"> The Commission authorized the ERRA component of </w:t>
      </w:r>
      <w:r>
        <w:t>Southern California Edison Company’s (</w:t>
      </w:r>
      <w:r w:rsidRPr="00E363F3">
        <w:t>SCE’s</w:t>
      </w:r>
      <w:r>
        <w:t>)</w:t>
      </w:r>
      <w:r w:rsidRPr="00E363F3">
        <w:t xml:space="preserve"> current rates in Decision (D.)</w:t>
      </w:r>
      <w:r>
        <w:t> </w:t>
      </w:r>
      <w:r w:rsidRPr="00E363F3">
        <w:t>24-12-039, which resolved SCE’s 2025 ERRA forecast proceeding. SCE implemented these rates on January 1, 2025</w:t>
      </w:r>
      <w:r>
        <w:t>,</w:t>
      </w:r>
      <w:r w:rsidRPr="00E363F3">
        <w:t xml:space="preserve"> via Advice Letter (AL) 5448-E</w:t>
      </w:r>
      <w:r>
        <w:t>, which contained the required end-of-year updates</w:t>
      </w:r>
      <w:r w:rsidRPr="00E363F3">
        <w:t xml:space="preserve">. </w:t>
      </w:r>
      <w:r>
        <w:t xml:space="preserve">This Decision cites to the final 2025 ERRA revenue requirement implemented via AL 5448. </w:t>
      </w:r>
      <w:r w:rsidRPr="00F40ECD">
        <w:rPr>
          <w:i/>
          <w:iCs/>
        </w:rPr>
        <w:t>See</w:t>
      </w:r>
      <w:r w:rsidRPr="00E363F3">
        <w:t xml:space="preserve"> </w:t>
      </w:r>
      <w:r>
        <w:t xml:space="preserve">Amended </w:t>
      </w:r>
      <w:r w:rsidRPr="00E363F3">
        <w:t>Exhibit SCE-0</w:t>
      </w:r>
      <w:r>
        <w:t>5A, Table II-2 [hereinafter SCE-05A; all citations to documents with this naming convention are references to proceeding exhibits, unless otherwise stated]. This chart reflects only the ERRA-related component of SCE’s 2025 adopted and forecast 2026 revenue requirements.</w:t>
      </w:r>
    </w:p>
  </w:footnote>
  <w:footnote w:id="4">
    <w:p w14:paraId="003FDC88" w14:textId="7B1A972F" w:rsidR="00CC3D44" w:rsidRDefault="00CC3D44" w:rsidP="00CC3D44">
      <w:pPr>
        <w:pStyle w:val="FootnoteText"/>
      </w:pPr>
      <w:r>
        <w:rPr>
          <w:rStyle w:val="FootnoteReference"/>
        </w:rPr>
        <w:footnoteRef/>
      </w:r>
      <w:r>
        <w:t xml:space="preserve"> D.02-10-</w:t>
      </w:r>
      <w:r>
        <w:rPr>
          <w:spacing w:val="-4"/>
        </w:rPr>
        <w:t xml:space="preserve">062, </w:t>
      </w:r>
      <w:r w:rsidRPr="0093144D">
        <w:rPr>
          <w:i/>
          <w:iCs/>
          <w:spacing w:val="-4"/>
        </w:rPr>
        <w:t>Interim Decision</w:t>
      </w:r>
      <w:r>
        <w:rPr>
          <w:spacing w:val="-4"/>
        </w:rPr>
        <w:t xml:space="preserve"> at 1</w:t>
      </w:r>
      <w:r w:rsidR="008E1F63">
        <w:rPr>
          <w:spacing w:val="-4"/>
        </w:rPr>
        <w:t xml:space="preserve"> [hereinafter D.02-10-062]</w:t>
      </w:r>
      <w:r>
        <w:rPr>
          <w:spacing w:val="-4"/>
        </w:rPr>
        <w:t>.</w:t>
      </w:r>
    </w:p>
  </w:footnote>
  <w:footnote w:id="5">
    <w:p w14:paraId="2CFC07ED" w14:textId="77777777" w:rsidR="00CC3D44" w:rsidRDefault="00CC3D44" w:rsidP="00CC3D44">
      <w:pPr>
        <w:pStyle w:val="FootnoteText"/>
      </w:pPr>
      <w:r>
        <w:rPr>
          <w:rStyle w:val="FootnoteReference"/>
        </w:rPr>
        <w:footnoteRef/>
      </w:r>
      <w:r>
        <w:t xml:space="preserve"> D.02-10-062 at 52.</w:t>
      </w:r>
    </w:p>
  </w:footnote>
  <w:footnote w:id="6">
    <w:p w14:paraId="5BC8E39E" w14:textId="3FBF509F" w:rsidR="00CC3D44" w:rsidRDefault="00CC3D44" w:rsidP="00CC3D44">
      <w:pPr>
        <w:pStyle w:val="FootnoteText"/>
      </w:pPr>
      <w:r>
        <w:rPr>
          <w:rStyle w:val="FootnoteReference"/>
        </w:rPr>
        <w:footnoteRef/>
      </w:r>
      <w:r>
        <w:t xml:space="preserve"> D.02-10-062 at </w:t>
      </w:r>
      <w:r w:rsidR="00351A75">
        <w:t>17-</w:t>
      </w:r>
      <w:r>
        <w:t>18.</w:t>
      </w:r>
    </w:p>
  </w:footnote>
  <w:footnote w:id="7">
    <w:p w14:paraId="1C6742DB" w14:textId="5562F7F4" w:rsidR="005E3250" w:rsidRDefault="005E3250">
      <w:pPr>
        <w:pStyle w:val="FootnoteText"/>
      </w:pPr>
      <w:r>
        <w:rPr>
          <w:rStyle w:val="FootnoteReference"/>
        </w:rPr>
        <w:footnoteRef/>
      </w:r>
      <w:r>
        <w:t xml:space="preserve"> </w:t>
      </w:r>
      <w:r w:rsidRPr="005E3250">
        <w:t>Electric utilities generally file ERRA forecast applications in May (May Filings). Each October, the Commission’s Energy Division releases a set of Market Price Benchmarks (MPBs), representing actual costs benchmarks for the prior year and forecast price benchmarks for the upcoming year. The utilities file updates to their May Filings incorporating the Commission’s MPBs as well as updated actual cost data on which their forecasts are based</w:t>
      </w:r>
      <w:r w:rsidR="00EE5BE8">
        <w:t xml:space="preserve"> (October Updates)</w:t>
      </w:r>
      <w:r w:rsidRPr="005E3250">
        <w:t>.</w:t>
      </w:r>
    </w:p>
  </w:footnote>
  <w:footnote w:id="8">
    <w:p w14:paraId="2A6C995A" w14:textId="58C7B228" w:rsidR="004D32B9" w:rsidRDefault="004D32B9" w:rsidP="004D32B9">
      <w:pPr>
        <w:pStyle w:val="FootnoteText"/>
      </w:pPr>
      <w:r>
        <w:rPr>
          <w:rStyle w:val="FootnoteReference"/>
        </w:rPr>
        <w:footnoteRef/>
      </w:r>
      <w:r>
        <w:t xml:space="preserve"> </w:t>
      </w:r>
      <w:r w:rsidR="00CC3D44">
        <w:t>D.02-10-062 at 73.</w:t>
      </w:r>
    </w:p>
  </w:footnote>
  <w:footnote w:id="9">
    <w:p w14:paraId="5FAD4579" w14:textId="78855611" w:rsidR="00F8579E" w:rsidRDefault="00A00F63" w:rsidP="00F8579E">
      <w:pPr>
        <w:pStyle w:val="FootnoteText"/>
        <w:spacing w:after="0"/>
      </w:pPr>
      <w:r>
        <w:rPr>
          <w:rStyle w:val="FootnoteReference"/>
        </w:rPr>
        <w:footnoteRef/>
      </w:r>
      <w:r>
        <w:t xml:space="preserve"> The Commission adopted the Cost Responsibility Surcharge</w:t>
      </w:r>
      <w:r w:rsidR="0004181E">
        <w:t>s</w:t>
      </w:r>
      <w:r>
        <w:t xml:space="preserve"> (CRS) and Competition Transition Charge (CTC) in D.02-11-002 (as modified by D.03-07-030), </w:t>
      </w:r>
      <w:r w:rsidRPr="00A00F63">
        <w:rPr>
          <w:i/>
          <w:iCs/>
        </w:rPr>
        <w:t>Opinion</w:t>
      </w:r>
      <w:r>
        <w:t xml:space="preserve"> [hereinafter </w:t>
      </w:r>
    </w:p>
    <w:p w14:paraId="542C5404" w14:textId="6AE3269C" w:rsidR="00A00F63" w:rsidRDefault="00A00F63">
      <w:pPr>
        <w:pStyle w:val="FootnoteText"/>
      </w:pPr>
      <w:r>
        <w:t>D.02-11-002]. These charges are discussed in Section 8 of this Decision.</w:t>
      </w:r>
      <w:r w:rsidR="0004181E">
        <w:t xml:space="preserve"> The CTC recovers costs authorized by Pub. Util. Code 367(a)(1)-(6).</w:t>
      </w:r>
    </w:p>
  </w:footnote>
  <w:footnote w:id="10">
    <w:p w14:paraId="0E6C69EC" w14:textId="03F4A70E" w:rsidR="00F94A12" w:rsidRDefault="00F94A12" w:rsidP="00F94A12">
      <w:pPr>
        <w:pStyle w:val="FootnoteText"/>
      </w:pPr>
      <w:r>
        <w:rPr>
          <w:rStyle w:val="FootnoteReference"/>
        </w:rPr>
        <w:footnoteRef/>
      </w:r>
      <w:r>
        <w:t xml:space="preserve"> The Commission adopted the Power Charge Indifference Adjustment (PCIA) in D.06-07-030, </w:t>
      </w:r>
      <w:r w:rsidRPr="003D6D66">
        <w:rPr>
          <w:i/>
          <w:iCs/>
        </w:rPr>
        <w:t>Decision Regarding Direct Access and Departing Load Cost Responsibility Surcharge Obligations</w:t>
      </w:r>
      <w:r w:rsidRPr="003D6D66">
        <w:t>, (</w:t>
      </w:r>
      <w:r>
        <w:t xml:space="preserve">as modified by D.07-01-030 and as refined by </w:t>
      </w:r>
      <w:r w:rsidRPr="00AF0341">
        <w:t>D.11-12-018, D.14-10-045, D.18-10-019, D.19-10-001, D.20-01-030, D.20-03-019,</w:t>
      </w:r>
      <w:r>
        <w:t xml:space="preserve"> </w:t>
      </w:r>
      <w:r w:rsidRPr="00AF0341">
        <w:t>D.20-08-004, D.21-05-030, D.22-01-023, D.23-06-006</w:t>
      </w:r>
      <w:r>
        <w:t xml:space="preserve">, and D.25-06-025) [hereinafter D.06-07-030]. </w:t>
      </w:r>
    </w:p>
  </w:footnote>
  <w:footnote w:id="11">
    <w:p w14:paraId="71620656" w14:textId="5BB97370" w:rsidR="00F94A12" w:rsidRDefault="00F94A12">
      <w:pPr>
        <w:pStyle w:val="FootnoteText"/>
      </w:pPr>
      <w:r>
        <w:rPr>
          <w:rStyle w:val="FootnoteReference"/>
        </w:rPr>
        <w:footnoteRef/>
      </w:r>
      <w:r>
        <w:t xml:space="preserve"> “Bundled customers”</w:t>
      </w:r>
      <w:r w:rsidR="00E149F9">
        <w:t xml:space="preserve"> or “bundled service customers” </w:t>
      </w:r>
      <w:r>
        <w:t>receive energy generation and delivery service from SCE; “unbundled</w:t>
      </w:r>
      <w:r w:rsidR="0004181E">
        <w:t>” or “depart</w:t>
      </w:r>
      <w:r w:rsidR="009B1DF9">
        <w:t>ing load</w:t>
      </w:r>
      <w:r w:rsidR="0004181E">
        <w:t>”</w:t>
      </w:r>
      <w:r>
        <w:t xml:space="preserve"> customers receive only energy delivery service from SCE.</w:t>
      </w:r>
    </w:p>
  </w:footnote>
  <w:footnote w:id="12">
    <w:p w14:paraId="3CCE5374" w14:textId="4183823B" w:rsidR="0004181E" w:rsidRDefault="0004181E">
      <w:pPr>
        <w:pStyle w:val="FootnoteText"/>
      </w:pPr>
      <w:r>
        <w:rPr>
          <w:rStyle w:val="FootnoteReference"/>
        </w:rPr>
        <w:footnoteRef/>
      </w:r>
      <w:r>
        <w:t xml:space="preserve"> </w:t>
      </w:r>
      <w:r w:rsidRPr="0004181E">
        <w:t xml:space="preserve">In its testimony, SCE refers to the PCIA and the CTC as </w:t>
      </w:r>
      <w:r>
        <w:t>“</w:t>
      </w:r>
      <w:r w:rsidRPr="0004181E">
        <w:t>the Cost Responsibility Surcharges.</w:t>
      </w:r>
      <w:r>
        <w:t>”</w:t>
      </w:r>
      <w:r w:rsidRPr="0004181E">
        <w:t xml:space="preserve"> Unless otherwise specified and reflecting recent Commission decision terminology, for the purposes of this Decision, we refer to the PCIA and the CTC collectively, as “PCIA Charges” that recover the “PCIA Revenue Requirement</w:t>
      </w:r>
      <w:r>
        <w:t>,</w:t>
      </w:r>
      <w:r w:rsidRPr="0004181E">
        <w:t>”</w:t>
      </w:r>
      <w:r>
        <w:t xml:space="preserve"> pursuant to the “PCIA methodology.”</w:t>
      </w:r>
    </w:p>
  </w:footnote>
  <w:footnote w:id="13">
    <w:p w14:paraId="5F889EB3" w14:textId="7AF9411A" w:rsidR="00EC59CD" w:rsidRPr="00E95C01" w:rsidRDefault="00EC59CD" w:rsidP="009B1DF9">
      <w:pPr>
        <w:pStyle w:val="FootnoteText"/>
        <w:spacing w:before="240"/>
        <w:contextualSpacing/>
        <w:rPr>
          <w:i/>
          <w:iCs/>
        </w:rPr>
      </w:pPr>
      <w:r>
        <w:rPr>
          <w:rStyle w:val="FootnoteReference"/>
        </w:rPr>
        <w:footnoteRef/>
      </w:r>
      <w:r>
        <w:t xml:space="preserve"> </w:t>
      </w:r>
      <w:bookmarkStart w:id="7" w:name="_Hlk212619308"/>
      <w:r w:rsidR="00E95C01" w:rsidRPr="00E95C01">
        <w:t>While SCE’s Application in this proceeding was pending, the California Legislature amended AB 32 via AB 1207. Among other changes, AB 1207 (1) directed changes to the way the Commission and utilities must allocate allowance revenues across customers and (2) as of July</w:t>
      </w:r>
      <w:r w:rsidR="00C62221">
        <w:t> </w:t>
      </w:r>
      <w:r w:rsidR="00E95C01" w:rsidRPr="00E95C01">
        <w:t>1, 2026, eliminated the Commission’s authority to allocate allowance revenues to clean energy programs. Because these and AB 1207’s other provisions have not yet been implemented by the Commission, this Decision reflects Cap-and-Trade program rules as they existed prior to the passage of AB 1207.</w:t>
      </w:r>
      <w:bookmarkEnd w:id="7"/>
      <w:r w:rsidR="00E95C01" w:rsidRPr="00E95C01">
        <w:t xml:space="preserve"> These issues may be addressed in Rulemaking (R.) 25-07-013, the Commission’s Order Instituting Rulemaking to Improve the California Climate Credit.</w:t>
      </w:r>
    </w:p>
  </w:footnote>
  <w:footnote w:id="14">
    <w:p w14:paraId="22D07817" w14:textId="5C2595CA" w:rsidR="002A3CE0" w:rsidRDefault="002A3CE0" w:rsidP="00860334">
      <w:pPr>
        <w:pStyle w:val="FootnoteText"/>
        <w:spacing w:before="240"/>
      </w:pPr>
      <w:r>
        <w:rPr>
          <w:rStyle w:val="FootnoteReference"/>
        </w:rPr>
        <w:footnoteRef/>
      </w:r>
      <w:r>
        <w:t xml:space="preserve"> Application (A.) 25-05-008, Application of Southern California Edison Company for Approval of its 2026 ERRA Forecast Proceeding Revenue Requirement at 1 [hereinafter A.25-05-008]. </w:t>
      </w:r>
    </w:p>
  </w:footnote>
  <w:footnote w:id="15">
    <w:p w14:paraId="16755F9C" w14:textId="3BE9D185" w:rsidR="00042B53" w:rsidRDefault="00042B53">
      <w:pPr>
        <w:pStyle w:val="FootnoteText"/>
      </w:pPr>
      <w:r>
        <w:rPr>
          <w:rStyle w:val="FootnoteReference"/>
        </w:rPr>
        <w:footnoteRef/>
      </w:r>
      <w:r>
        <w:t xml:space="preserve"> A.25-05-008, R</w:t>
      </w:r>
      <w:r w:rsidR="005040F4">
        <w:t xml:space="preserve">eporter’s </w:t>
      </w:r>
      <w:r>
        <w:t>T</w:t>
      </w:r>
      <w:r w:rsidR="005040F4">
        <w:t>ranscript (RT)</w:t>
      </w:r>
      <w:r>
        <w:t xml:space="preserve"> Vol. 1 at 31, 23:24. </w:t>
      </w:r>
    </w:p>
  </w:footnote>
  <w:footnote w:id="16">
    <w:p w14:paraId="0CB8B47D" w14:textId="31F36CF5" w:rsidR="005040F4" w:rsidRDefault="005040F4">
      <w:pPr>
        <w:pStyle w:val="FootnoteText"/>
      </w:pPr>
      <w:r>
        <w:rPr>
          <w:rStyle w:val="FootnoteReference"/>
        </w:rPr>
        <w:footnoteRef/>
      </w:r>
      <w:r>
        <w:t xml:space="preserve"> A.25-05-008, RT Vol. 1 at 11.</w:t>
      </w:r>
    </w:p>
  </w:footnote>
  <w:footnote w:id="17">
    <w:p w14:paraId="3C722C73" w14:textId="0054B823" w:rsidR="005C1F26" w:rsidRDefault="005C1F26">
      <w:pPr>
        <w:pStyle w:val="FootnoteText"/>
      </w:pPr>
      <w:r>
        <w:rPr>
          <w:rStyle w:val="FootnoteReference"/>
        </w:rPr>
        <w:footnoteRef/>
      </w:r>
      <w:r>
        <w:t xml:space="preserve"> A.25-05-008, Joint Case Management Statement (Public) at 4 and Attachment A: Cross Examination Matrix, September 15, 2025</w:t>
      </w:r>
      <w:r w:rsidR="003D6D66">
        <w:t xml:space="preserve"> [hereinafter JCM Statement]</w:t>
      </w:r>
      <w:r>
        <w:t>.</w:t>
      </w:r>
    </w:p>
  </w:footnote>
  <w:footnote w:id="18">
    <w:p w14:paraId="3850F975" w14:textId="2F5A814F" w:rsidR="005C1F26" w:rsidRDefault="005C1F26">
      <w:pPr>
        <w:pStyle w:val="FootnoteText"/>
      </w:pPr>
      <w:r>
        <w:rPr>
          <w:rStyle w:val="FootnoteReference"/>
        </w:rPr>
        <w:footnoteRef/>
      </w:r>
      <w:r>
        <w:t xml:space="preserve"> </w:t>
      </w:r>
      <w:r w:rsidR="003D6D66">
        <w:t>JCM Statement</w:t>
      </w:r>
      <w:r>
        <w:t xml:space="preserve"> at 4.</w:t>
      </w:r>
    </w:p>
  </w:footnote>
  <w:footnote w:id="19">
    <w:p w14:paraId="48C364A7" w14:textId="75B279F7" w:rsidR="008A36A4" w:rsidRDefault="008A36A4">
      <w:pPr>
        <w:pStyle w:val="FootnoteText"/>
      </w:pPr>
      <w:r>
        <w:rPr>
          <w:rStyle w:val="FootnoteReference"/>
        </w:rPr>
        <w:footnoteRef/>
      </w:r>
      <w:r>
        <w:t xml:space="preserve"> CalCCA-01 at </w:t>
      </w:r>
      <w:r w:rsidR="00FA3447">
        <w:t>1-2.</w:t>
      </w:r>
    </w:p>
  </w:footnote>
  <w:footnote w:id="20">
    <w:p w14:paraId="726570A0" w14:textId="4CC3EBCB" w:rsidR="00DF15A9" w:rsidRDefault="00DF15A9">
      <w:pPr>
        <w:pStyle w:val="FootnoteText"/>
      </w:pPr>
      <w:r>
        <w:rPr>
          <w:rStyle w:val="FootnoteReference"/>
        </w:rPr>
        <w:footnoteRef/>
      </w:r>
      <w:r>
        <w:t xml:space="preserve"> SCE-05A at 3-4.</w:t>
      </w:r>
    </w:p>
  </w:footnote>
  <w:footnote w:id="21">
    <w:p w14:paraId="17008DFE" w14:textId="4A04B9B7" w:rsidR="005A3EAC" w:rsidRDefault="005A3EAC">
      <w:pPr>
        <w:pStyle w:val="FootnoteText"/>
      </w:pPr>
      <w:r>
        <w:rPr>
          <w:rStyle w:val="FootnoteReference"/>
        </w:rPr>
        <w:footnoteRef/>
      </w:r>
      <w:r>
        <w:t xml:space="preserve"> </w:t>
      </w:r>
      <w:r w:rsidRPr="00927656">
        <w:rPr>
          <w:i/>
          <w:iCs/>
        </w:rPr>
        <w:t>See</w:t>
      </w:r>
      <w:r>
        <w:t xml:space="preserve"> D.25-09-030, Decision on Test Year 2025 General Rate Case for Southern California Edison Company [hereinafter D.25-09-030].</w:t>
      </w:r>
    </w:p>
  </w:footnote>
  <w:footnote w:id="22">
    <w:p w14:paraId="74F5516D" w14:textId="4E65225D" w:rsidR="00AD5F6C" w:rsidRDefault="00AD5F6C" w:rsidP="00AD5F6C">
      <w:pPr>
        <w:pStyle w:val="FootnoteText"/>
      </w:pPr>
      <w:r>
        <w:rPr>
          <w:rStyle w:val="FootnoteReference"/>
        </w:rPr>
        <w:footnoteRef/>
      </w:r>
      <w:r>
        <w:t xml:space="preserve"> SCE-0</w:t>
      </w:r>
      <w:r w:rsidR="003E6D97">
        <w:t>5</w:t>
      </w:r>
      <w:r w:rsidR="00E149F9">
        <w:t>A</w:t>
      </w:r>
      <w:r>
        <w:t xml:space="preserve"> at </w:t>
      </w:r>
      <w:r w:rsidR="00E149F9">
        <w:t>20</w:t>
      </w:r>
      <w:r>
        <w:t>.</w:t>
      </w:r>
    </w:p>
  </w:footnote>
  <w:footnote w:id="23">
    <w:p w14:paraId="067C0C74" w14:textId="7EE544AF" w:rsidR="001D1A57" w:rsidRDefault="001D1A57">
      <w:pPr>
        <w:pStyle w:val="FootnoteText"/>
      </w:pPr>
      <w:r>
        <w:rPr>
          <w:rStyle w:val="FootnoteReference"/>
        </w:rPr>
        <w:footnoteRef/>
      </w:r>
      <w:r>
        <w:t xml:space="preserve"> SCE-0</w:t>
      </w:r>
      <w:r w:rsidR="003E6D97">
        <w:t>5</w:t>
      </w:r>
      <w:r w:rsidR="00E149F9">
        <w:t>A</w:t>
      </w:r>
      <w:r>
        <w:t xml:space="preserve"> at </w:t>
      </w:r>
      <w:r w:rsidR="00E149F9">
        <w:t>20</w:t>
      </w:r>
      <w:r>
        <w:t>.</w:t>
      </w:r>
    </w:p>
  </w:footnote>
  <w:footnote w:id="24">
    <w:p w14:paraId="64E2912B" w14:textId="6D767C2D" w:rsidR="00AD5F6C" w:rsidRDefault="00AD5F6C" w:rsidP="00AD5F6C">
      <w:pPr>
        <w:pStyle w:val="FootnoteText"/>
      </w:pPr>
      <w:r>
        <w:rPr>
          <w:rStyle w:val="FootnoteReference"/>
        </w:rPr>
        <w:footnoteRef/>
      </w:r>
      <w:r>
        <w:t xml:space="preserve"> SCE states that the typical estimation procedure used to construct the models is Ordinary Least Squares.</w:t>
      </w:r>
      <w:r w:rsidR="002A68CA">
        <w:t xml:space="preserve"> </w:t>
      </w:r>
      <w:r>
        <w:t>SCE-0</w:t>
      </w:r>
      <w:r w:rsidR="003E6D97">
        <w:t>5</w:t>
      </w:r>
      <w:r w:rsidR="00746514">
        <w:t>A</w:t>
      </w:r>
      <w:r>
        <w:t xml:space="preserve"> at </w:t>
      </w:r>
      <w:r w:rsidR="003E6D97">
        <w:t>2</w:t>
      </w:r>
      <w:r w:rsidR="00746514">
        <w:t>2</w:t>
      </w:r>
      <w:r>
        <w:t>.</w:t>
      </w:r>
    </w:p>
  </w:footnote>
  <w:footnote w:id="25">
    <w:p w14:paraId="21CA3232" w14:textId="1B07FCF4" w:rsidR="00746514" w:rsidRDefault="00746514" w:rsidP="00746514">
      <w:pPr>
        <w:pStyle w:val="FootnoteText"/>
      </w:pPr>
      <w:r>
        <w:rPr>
          <w:rStyle w:val="FootnoteReference"/>
        </w:rPr>
        <w:footnoteRef/>
      </w:r>
      <w:r>
        <w:t xml:space="preserve"> SCE-05A at 21.</w:t>
      </w:r>
    </w:p>
  </w:footnote>
  <w:footnote w:id="26">
    <w:p w14:paraId="547D95BC" w14:textId="75E61EAD" w:rsidR="00F464B1" w:rsidRDefault="00F464B1">
      <w:pPr>
        <w:pStyle w:val="FootnoteText"/>
      </w:pPr>
      <w:r>
        <w:rPr>
          <w:rStyle w:val="FootnoteReference"/>
        </w:rPr>
        <w:footnoteRef/>
      </w:r>
      <w:r>
        <w:t xml:space="preserve"> </w:t>
      </w:r>
      <w:r w:rsidR="000A03B7">
        <w:t xml:space="preserve">SCE </w:t>
      </w:r>
      <w:r w:rsidR="008B5DDA">
        <w:t>estimates 200 MW incremental growth in demand in 2025-2028 due to data centers and incorporated a proportion of that demand in its 2026 ERRA forecast.</w:t>
      </w:r>
      <w:r w:rsidR="000A03B7">
        <w:t xml:space="preserve"> SCE states that this </w:t>
      </w:r>
      <w:r w:rsidR="000A03B7" w:rsidRPr="000A03B7">
        <w:t>represents approximately one percent of SCE’s forecasted total retail demand during those years</w:t>
      </w:r>
      <w:r w:rsidR="000A03B7">
        <w:t xml:space="preserve">. </w:t>
      </w:r>
      <w:r w:rsidR="000A03B7" w:rsidRPr="000A03B7">
        <w:rPr>
          <w:i/>
          <w:iCs/>
        </w:rPr>
        <w:t xml:space="preserve">July 17, </w:t>
      </w:r>
      <w:proofErr w:type="gramStart"/>
      <w:r w:rsidR="000A03B7" w:rsidRPr="000A03B7">
        <w:rPr>
          <w:i/>
          <w:iCs/>
        </w:rPr>
        <w:t>2025</w:t>
      </w:r>
      <w:proofErr w:type="gramEnd"/>
      <w:r w:rsidR="000A03B7" w:rsidRPr="000A03B7">
        <w:rPr>
          <w:i/>
          <w:iCs/>
        </w:rPr>
        <w:t xml:space="preserve"> Email Ruling</w:t>
      </w:r>
      <w:r w:rsidR="000A03B7">
        <w:rPr>
          <w:i/>
          <w:iCs/>
        </w:rPr>
        <w:t xml:space="preserve"> on</w:t>
      </w:r>
      <w:r w:rsidR="000A03B7" w:rsidRPr="000A03B7">
        <w:rPr>
          <w:i/>
          <w:iCs/>
        </w:rPr>
        <w:t xml:space="preserve"> Southern California Edison Company’s 2026 ERRA Forecast, Replies to Response to ALJ Inquiry During July 10 PHC</w:t>
      </w:r>
      <w:r w:rsidR="000A03B7">
        <w:t xml:space="preserve"> at 4. </w:t>
      </w:r>
      <w:r>
        <w:t xml:space="preserve">  </w:t>
      </w:r>
    </w:p>
  </w:footnote>
  <w:footnote w:id="27">
    <w:p w14:paraId="1D075117" w14:textId="58F83AD0" w:rsidR="00AD5F6C" w:rsidRDefault="00AD5F6C" w:rsidP="00AD5F6C">
      <w:pPr>
        <w:pStyle w:val="FootnoteText"/>
      </w:pPr>
      <w:r>
        <w:rPr>
          <w:rStyle w:val="FootnoteReference"/>
        </w:rPr>
        <w:footnoteRef/>
      </w:r>
      <w:r>
        <w:t xml:space="preserve"> SCE-0</w:t>
      </w:r>
      <w:r w:rsidR="00A41D91">
        <w:t>5</w:t>
      </w:r>
      <w:r w:rsidR="00746514">
        <w:t>A</w:t>
      </w:r>
      <w:r>
        <w:t xml:space="preserve"> at </w:t>
      </w:r>
      <w:r w:rsidR="00A41D91">
        <w:t>2</w:t>
      </w:r>
      <w:r w:rsidR="00746514">
        <w:t>2</w:t>
      </w:r>
      <w:r>
        <w:t>.</w:t>
      </w:r>
    </w:p>
  </w:footnote>
  <w:footnote w:id="28">
    <w:p w14:paraId="49DBBD76" w14:textId="71CA976D" w:rsidR="009757BA" w:rsidRDefault="009757BA">
      <w:pPr>
        <w:pStyle w:val="FootnoteText"/>
      </w:pPr>
      <w:r>
        <w:rPr>
          <w:rStyle w:val="FootnoteReference"/>
        </w:rPr>
        <w:footnoteRef/>
      </w:r>
      <w:r>
        <w:t xml:space="preserve"> SCE-0</w:t>
      </w:r>
      <w:r w:rsidR="00A41D91">
        <w:t>5</w:t>
      </w:r>
      <w:r w:rsidR="00E64B04">
        <w:t>A</w:t>
      </w:r>
      <w:r>
        <w:t xml:space="preserve"> at 2</w:t>
      </w:r>
      <w:r w:rsidR="00E64B04">
        <w:t>6</w:t>
      </w:r>
      <w:r>
        <w:t>.</w:t>
      </w:r>
    </w:p>
  </w:footnote>
  <w:footnote w:id="29">
    <w:p w14:paraId="3CBE98C0" w14:textId="6493F1DC" w:rsidR="00AD5F6C" w:rsidRDefault="00AD5F6C" w:rsidP="00AD5F6C">
      <w:pPr>
        <w:pStyle w:val="FootnoteText"/>
      </w:pPr>
      <w:r>
        <w:rPr>
          <w:rStyle w:val="FootnoteReference"/>
        </w:rPr>
        <w:footnoteRef/>
      </w:r>
      <w:r>
        <w:t xml:space="preserve"> SCE-0</w:t>
      </w:r>
      <w:r w:rsidR="00FE305B">
        <w:t>5</w:t>
      </w:r>
      <w:r w:rsidR="00E64B04">
        <w:t>A</w:t>
      </w:r>
      <w:r>
        <w:t xml:space="preserve"> at </w:t>
      </w:r>
      <w:r w:rsidR="00FE305B">
        <w:t>2</w:t>
      </w:r>
      <w:r w:rsidR="00E64B04">
        <w:t>2</w:t>
      </w:r>
      <w:r>
        <w:t>.</w:t>
      </w:r>
    </w:p>
  </w:footnote>
  <w:footnote w:id="30">
    <w:p w14:paraId="76F6DCD5" w14:textId="155775E2" w:rsidR="00AD5F6C" w:rsidRDefault="00AD5F6C" w:rsidP="00AD5F6C">
      <w:pPr>
        <w:pStyle w:val="FootnoteText"/>
      </w:pPr>
      <w:r>
        <w:rPr>
          <w:rStyle w:val="FootnoteReference"/>
        </w:rPr>
        <w:footnoteRef/>
      </w:r>
      <w:r>
        <w:t xml:space="preserve"> SCE-0</w:t>
      </w:r>
      <w:r w:rsidR="00FE305B">
        <w:t>5</w:t>
      </w:r>
      <w:r w:rsidR="00E64B04">
        <w:t>A</w:t>
      </w:r>
      <w:r>
        <w:t xml:space="preserve"> at 2</w:t>
      </w:r>
      <w:r w:rsidR="00E64B04">
        <w:t>7</w:t>
      </w:r>
      <w:r>
        <w:t>.</w:t>
      </w:r>
    </w:p>
  </w:footnote>
  <w:footnote w:id="31">
    <w:p w14:paraId="61243B86" w14:textId="43CA31A7" w:rsidR="001B5962" w:rsidRDefault="001B5962" w:rsidP="00DC7B42">
      <w:pPr>
        <w:pStyle w:val="FootnoteText"/>
      </w:pPr>
      <w:r>
        <w:rPr>
          <w:rStyle w:val="FootnoteReference"/>
        </w:rPr>
        <w:footnoteRef/>
      </w:r>
      <w:r>
        <w:t xml:space="preserve"> SCE-0</w:t>
      </w:r>
      <w:r w:rsidR="00D46113">
        <w:t>5</w:t>
      </w:r>
      <w:r w:rsidR="00A02C69">
        <w:t>A</w:t>
      </w:r>
      <w:r>
        <w:t xml:space="preserve"> at </w:t>
      </w:r>
      <w:r w:rsidR="00A02C69">
        <w:t>19</w:t>
      </w:r>
      <w:r>
        <w:t>.</w:t>
      </w:r>
      <w:r w:rsidR="00DC7B42">
        <w:t xml:space="preserve"> “</w:t>
      </w:r>
      <w:r w:rsidR="00DC7B42" w:rsidRPr="00DC7B42">
        <w:t>Monthly bundled energy is</w:t>
      </w:r>
      <w:r w:rsidR="00DC7B42">
        <w:t xml:space="preserve"> </w:t>
      </w:r>
      <w:r w:rsidR="00DC7B42" w:rsidRPr="00DC7B42">
        <w:t>then derived by summing the hourly load for each calendar month. Monthly bundled service customer</w:t>
      </w:r>
      <w:r w:rsidR="00DC7B42">
        <w:t xml:space="preserve"> </w:t>
      </w:r>
      <w:r w:rsidR="00DC7B42" w:rsidRPr="00DC7B42">
        <w:t>peak demand is determined by selecting the maximum hourly load in each calendar month.</w:t>
      </w:r>
      <w:r w:rsidR="00DC7B42">
        <w:t>”</w:t>
      </w:r>
    </w:p>
  </w:footnote>
  <w:footnote w:id="32">
    <w:p w14:paraId="01A0A828" w14:textId="3BA3D047" w:rsidR="00366251" w:rsidRDefault="00366251">
      <w:pPr>
        <w:pStyle w:val="FootnoteText"/>
      </w:pPr>
      <w:r>
        <w:rPr>
          <w:rStyle w:val="FootnoteReference"/>
        </w:rPr>
        <w:footnoteRef/>
      </w:r>
      <w:r>
        <w:t xml:space="preserve"> SCE-0</w:t>
      </w:r>
      <w:r w:rsidR="00D46113">
        <w:t>5</w:t>
      </w:r>
      <w:r w:rsidR="00A02C69">
        <w:t>A</w:t>
      </w:r>
      <w:r>
        <w:t xml:space="preserve"> at </w:t>
      </w:r>
      <w:r w:rsidR="00A02C69">
        <w:t>30</w:t>
      </w:r>
      <w:r>
        <w:t>.</w:t>
      </w:r>
    </w:p>
  </w:footnote>
  <w:footnote w:id="33">
    <w:p w14:paraId="2B0A887F" w14:textId="1C7FD66A" w:rsidR="00D46113" w:rsidRDefault="00D46113" w:rsidP="00D46113">
      <w:pPr>
        <w:pStyle w:val="FootnoteText"/>
      </w:pPr>
      <w:r>
        <w:rPr>
          <w:rStyle w:val="FootnoteReference"/>
        </w:rPr>
        <w:footnoteRef/>
      </w:r>
      <w:r>
        <w:t xml:space="preserve"> </w:t>
      </w:r>
      <w:r w:rsidRPr="00D46113">
        <w:rPr>
          <w:i/>
          <w:iCs/>
        </w:rPr>
        <w:t>See</w:t>
      </w:r>
      <w:r>
        <w:t xml:space="preserve"> SCE-05</w:t>
      </w:r>
      <w:r w:rsidR="00A02C69">
        <w:t>A</w:t>
      </w:r>
      <w:r>
        <w:t xml:space="preserve"> at n.6</w:t>
      </w:r>
      <w:r w:rsidR="00A02C69">
        <w:t>4</w:t>
      </w:r>
      <w:r>
        <w:t xml:space="preserve">, explaining that </w:t>
      </w:r>
      <w:r w:rsidRPr="00D46113">
        <w:t>SCE applie</w:t>
      </w:r>
      <w:r w:rsidR="00B5585A">
        <w:t>s</w:t>
      </w:r>
      <w:r w:rsidRPr="00D46113">
        <w:t xml:space="preserve"> the updated capacity price of $138.36 /kW-year for all RA products, which is the 2026 Forecast</w:t>
      </w:r>
      <w:r>
        <w:t xml:space="preserve"> </w:t>
      </w:r>
      <w:r w:rsidRPr="00D46113">
        <w:t>RA Adder</w:t>
      </w:r>
      <w:r w:rsidR="0041426A">
        <w:t>.</w:t>
      </w:r>
    </w:p>
  </w:footnote>
  <w:footnote w:id="34">
    <w:p w14:paraId="3C5E8039" w14:textId="2D28A1BD" w:rsidR="00D46113" w:rsidRDefault="00D46113">
      <w:pPr>
        <w:pStyle w:val="FootnoteText"/>
      </w:pPr>
      <w:r>
        <w:rPr>
          <w:rStyle w:val="FootnoteReference"/>
        </w:rPr>
        <w:footnoteRef/>
      </w:r>
      <w:r>
        <w:t xml:space="preserve"> SCE-05</w:t>
      </w:r>
      <w:r w:rsidR="00A02C69">
        <w:t>A</w:t>
      </w:r>
      <w:r>
        <w:t xml:space="preserve"> at </w:t>
      </w:r>
      <w:r w:rsidR="00A02C69">
        <w:t>30</w:t>
      </w:r>
      <w:r>
        <w:t>.</w:t>
      </w:r>
    </w:p>
  </w:footnote>
  <w:footnote w:id="35">
    <w:p w14:paraId="6573FD1A" w14:textId="3EC3E5C6" w:rsidR="00776E6D" w:rsidRDefault="00776E6D" w:rsidP="00776E6D">
      <w:pPr>
        <w:pStyle w:val="FootnoteText"/>
      </w:pPr>
      <w:r>
        <w:rPr>
          <w:rStyle w:val="FootnoteReference"/>
        </w:rPr>
        <w:footnoteRef/>
      </w:r>
      <w:r>
        <w:t xml:space="preserve"> SCE-0</w:t>
      </w:r>
      <w:r w:rsidR="00B5585A">
        <w:t>5</w:t>
      </w:r>
      <w:r w:rsidR="00A02C69">
        <w:t>A</w:t>
      </w:r>
      <w:r>
        <w:t xml:space="preserve"> at </w:t>
      </w:r>
      <w:r w:rsidR="00B5585A">
        <w:t>3</w:t>
      </w:r>
      <w:r w:rsidR="00A02C69">
        <w:t>2</w:t>
      </w:r>
      <w:r>
        <w:t>.</w:t>
      </w:r>
    </w:p>
  </w:footnote>
  <w:footnote w:id="36">
    <w:p w14:paraId="2DC1C369" w14:textId="480E8FC2" w:rsidR="00776E6D" w:rsidRDefault="00776E6D" w:rsidP="00776E6D">
      <w:pPr>
        <w:pStyle w:val="FootnoteText"/>
      </w:pPr>
      <w:r>
        <w:rPr>
          <w:rStyle w:val="FootnoteReference"/>
        </w:rPr>
        <w:footnoteRef/>
      </w:r>
      <w:r>
        <w:t xml:space="preserve"> </w:t>
      </w:r>
      <w:r w:rsidRPr="00097883">
        <w:t>SCE base</w:t>
      </w:r>
      <w:r w:rsidR="00B5585A">
        <w:t>s</w:t>
      </w:r>
      <w:r w:rsidRPr="00097883">
        <w:t xml:space="preserve"> its 2026 power price forecast on the forward power broker quotes for 2026 in effect</w:t>
      </w:r>
      <w:r>
        <w:t xml:space="preserve"> </w:t>
      </w:r>
      <w:r w:rsidRPr="00097883">
        <w:t xml:space="preserve">as of </w:t>
      </w:r>
      <w:r w:rsidR="00B5585A">
        <w:t>August</w:t>
      </w:r>
      <w:r w:rsidRPr="00097883">
        <w:t xml:space="preserve"> 25, 2025.</w:t>
      </w:r>
      <w:r>
        <w:t xml:space="preserve"> </w:t>
      </w:r>
      <w:r w:rsidR="00A02C69" w:rsidRPr="00A02C69">
        <w:t xml:space="preserve">The </w:t>
      </w:r>
      <w:r w:rsidR="00A02C69">
        <w:t xml:space="preserve">applicable </w:t>
      </w:r>
      <w:r w:rsidR="00A02C69" w:rsidRPr="00A02C69">
        <w:t xml:space="preserve">24-hour flat price was $43.24/MWh. </w:t>
      </w:r>
      <w:r w:rsidR="00A02C69">
        <w:t>SCE-05A at 33.</w:t>
      </w:r>
    </w:p>
  </w:footnote>
  <w:footnote w:id="37">
    <w:p w14:paraId="7D725B5F" w14:textId="6C2EF54F" w:rsidR="00776E6D" w:rsidRDefault="00776E6D" w:rsidP="00C34796">
      <w:pPr>
        <w:pStyle w:val="FootnoteText"/>
      </w:pPr>
      <w:r>
        <w:rPr>
          <w:rStyle w:val="FootnoteReference"/>
        </w:rPr>
        <w:footnoteRef/>
      </w:r>
      <w:r>
        <w:t xml:space="preserve"> </w:t>
      </w:r>
      <w:r w:rsidRPr="00097883">
        <w:t>SCE base</w:t>
      </w:r>
      <w:r w:rsidR="00B5585A">
        <w:t>s</w:t>
      </w:r>
      <w:r w:rsidRPr="00097883">
        <w:t xml:space="preserve"> its daily</w:t>
      </w:r>
      <w:r>
        <w:t xml:space="preserve"> </w:t>
      </w:r>
      <w:r w:rsidRPr="00097883">
        <w:t>natural gas price forecast on monthly NYMEX forward prices at the SoCal Citygate in effect as of</w:t>
      </w:r>
      <w:r>
        <w:t xml:space="preserve"> </w:t>
      </w:r>
      <w:r w:rsidR="00B5585A">
        <w:t>August</w:t>
      </w:r>
      <w:r w:rsidRPr="00097883">
        <w:t xml:space="preserve"> 25, 2025, plus intrastate transportation charges from Southern California Gas Company</w:t>
      </w:r>
      <w:r>
        <w:t xml:space="preserve"> </w:t>
      </w:r>
      <w:r w:rsidRPr="00097883">
        <w:t>(SoCalGas), as applicable.</w:t>
      </w:r>
      <w:r>
        <w:t xml:space="preserve"> </w:t>
      </w:r>
      <w:r w:rsidR="00C34796" w:rsidRPr="00C34796">
        <w:t xml:space="preserve">The 12-month average NYMEX forward gas price as of August 25, </w:t>
      </w:r>
      <w:proofErr w:type="gramStart"/>
      <w:r w:rsidR="00C34796" w:rsidRPr="00C34796">
        <w:t>2025</w:t>
      </w:r>
      <w:proofErr w:type="gramEnd"/>
      <w:r w:rsidR="00C34796">
        <w:t xml:space="preserve"> </w:t>
      </w:r>
      <w:r w:rsidR="00C34796" w:rsidRPr="00C34796">
        <w:t>was $5.00/MMBtu for 2026</w:t>
      </w:r>
      <w:r w:rsidR="00C34796">
        <w:t xml:space="preserve">. </w:t>
      </w:r>
      <w:r>
        <w:t>SCE-0</w:t>
      </w:r>
      <w:r w:rsidR="00B5585A">
        <w:t>5</w:t>
      </w:r>
      <w:r w:rsidR="00A02C69">
        <w:t>A</w:t>
      </w:r>
      <w:r>
        <w:t xml:space="preserve"> at </w:t>
      </w:r>
      <w:r w:rsidR="00B5585A">
        <w:t>3</w:t>
      </w:r>
      <w:r w:rsidR="00C34796">
        <w:t>4</w:t>
      </w:r>
      <w:r>
        <w:t>.</w:t>
      </w:r>
    </w:p>
  </w:footnote>
  <w:footnote w:id="38">
    <w:p w14:paraId="27284F9D" w14:textId="5EBE06CF" w:rsidR="00776E6D" w:rsidRDefault="00776E6D" w:rsidP="00776E6D">
      <w:pPr>
        <w:pStyle w:val="FootnoteText"/>
      </w:pPr>
      <w:r>
        <w:rPr>
          <w:rStyle w:val="FootnoteReference"/>
        </w:rPr>
        <w:footnoteRef/>
      </w:r>
      <w:r>
        <w:t xml:space="preserve"> SCE-0</w:t>
      </w:r>
      <w:r w:rsidR="00B5585A">
        <w:t>5</w:t>
      </w:r>
      <w:r w:rsidR="00C34796">
        <w:t>A</w:t>
      </w:r>
      <w:r>
        <w:t xml:space="preserve"> at </w:t>
      </w:r>
      <w:r w:rsidR="00B5585A">
        <w:t>3</w:t>
      </w:r>
      <w:r w:rsidR="00C34796">
        <w:t>3</w:t>
      </w:r>
      <w:r>
        <w:t>. SCE d</w:t>
      </w:r>
      <w:r w:rsidR="00B5585A">
        <w:t>oes</w:t>
      </w:r>
      <w:r>
        <w:t xml:space="preserve"> not use the PLEXOS models to develop forecasts of GHG prices. </w:t>
      </w:r>
      <w:r w:rsidRPr="00700967">
        <w:rPr>
          <w:i/>
          <w:iCs/>
        </w:rPr>
        <w:t>Id.</w:t>
      </w:r>
      <w:r>
        <w:t xml:space="preserve"> </w:t>
      </w:r>
      <w:r w:rsidRPr="0041426A">
        <w:t>at n.</w:t>
      </w:r>
      <w:r w:rsidR="00C34796" w:rsidRPr="0041426A">
        <w:t>41</w:t>
      </w:r>
      <w:r w:rsidRPr="0041426A">
        <w:t xml:space="preserve">. </w:t>
      </w:r>
    </w:p>
  </w:footnote>
  <w:footnote w:id="39">
    <w:p w14:paraId="4BF1496A" w14:textId="3B0D5A0D" w:rsidR="000A75D1" w:rsidRDefault="000A75D1">
      <w:pPr>
        <w:pStyle w:val="FootnoteText"/>
      </w:pPr>
      <w:r>
        <w:rPr>
          <w:rStyle w:val="FootnoteReference"/>
        </w:rPr>
        <w:footnoteRef/>
      </w:r>
      <w:r>
        <w:t xml:space="preserve"> </w:t>
      </w:r>
      <w:r w:rsidR="004D4A3A" w:rsidRPr="004D4A3A">
        <w:rPr>
          <w:i/>
          <w:iCs/>
        </w:rPr>
        <w:t>See</w:t>
      </w:r>
      <w:r w:rsidR="004D4A3A">
        <w:t xml:space="preserve"> </w:t>
      </w:r>
      <w:r>
        <w:t>SCE-0</w:t>
      </w:r>
      <w:r w:rsidR="004D4A3A">
        <w:t>5A</w:t>
      </w:r>
      <w:r>
        <w:t xml:space="preserve"> at </w:t>
      </w:r>
      <w:r w:rsidR="004D4A3A">
        <w:t>Table II-2 ($184,470/$4,538,709).</w:t>
      </w:r>
    </w:p>
  </w:footnote>
  <w:footnote w:id="40">
    <w:p w14:paraId="2303FF21" w14:textId="25582EBF" w:rsidR="004C43F0" w:rsidRDefault="004C43F0">
      <w:pPr>
        <w:pStyle w:val="FootnoteText"/>
      </w:pPr>
      <w:r>
        <w:rPr>
          <w:rStyle w:val="FootnoteReference"/>
        </w:rPr>
        <w:footnoteRef/>
      </w:r>
      <w:r>
        <w:t xml:space="preserve"> SCE-0</w:t>
      </w:r>
      <w:r w:rsidR="005D3A7C">
        <w:t>5</w:t>
      </w:r>
      <w:r w:rsidR="004D4A3A">
        <w:t>A</w:t>
      </w:r>
      <w:r>
        <w:t xml:space="preserve"> at </w:t>
      </w:r>
      <w:r w:rsidR="004D4A3A">
        <w:t>31</w:t>
      </w:r>
      <w:r>
        <w:t>.</w:t>
      </w:r>
    </w:p>
  </w:footnote>
  <w:footnote w:id="41">
    <w:p w14:paraId="11D89718" w14:textId="5FBCB7A8" w:rsidR="00814AAF" w:rsidRDefault="00814AAF">
      <w:pPr>
        <w:pStyle w:val="FootnoteText"/>
      </w:pPr>
      <w:r>
        <w:rPr>
          <w:rStyle w:val="FootnoteReference"/>
        </w:rPr>
        <w:footnoteRef/>
      </w:r>
      <w:r>
        <w:t xml:space="preserve"> SCE-05</w:t>
      </w:r>
      <w:r w:rsidR="004D4A3A">
        <w:t>A</w:t>
      </w:r>
      <w:r>
        <w:t xml:space="preserve"> at 3</w:t>
      </w:r>
      <w:r w:rsidR="004D4A3A">
        <w:t>2</w:t>
      </w:r>
      <w:r>
        <w:t xml:space="preserve">. </w:t>
      </w:r>
    </w:p>
  </w:footnote>
  <w:footnote w:id="42">
    <w:p w14:paraId="7C594429" w14:textId="408585D5" w:rsidR="005F1226" w:rsidRDefault="005F1226">
      <w:pPr>
        <w:pStyle w:val="FootnoteText"/>
      </w:pPr>
      <w:r>
        <w:rPr>
          <w:rStyle w:val="FootnoteReference"/>
        </w:rPr>
        <w:footnoteRef/>
      </w:r>
      <w:r>
        <w:t xml:space="preserve"> SCE-05</w:t>
      </w:r>
      <w:r w:rsidR="00FF215B">
        <w:t>A</w:t>
      </w:r>
      <w:r>
        <w:t xml:space="preserve"> at </w:t>
      </w:r>
      <w:r w:rsidR="00FF215B">
        <w:t>31</w:t>
      </w:r>
      <w:r w:rsidR="008623BB">
        <w:t>-</w:t>
      </w:r>
      <w:r w:rsidR="00FF215B">
        <w:t>32</w:t>
      </w:r>
      <w:r>
        <w:t>.</w:t>
      </w:r>
    </w:p>
  </w:footnote>
  <w:footnote w:id="43">
    <w:p w14:paraId="3B1B9B0D" w14:textId="4BBC960C" w:rsidR="008623BB" w:rsidRDefault="008623BB" w:rsidP="008623BB">
      <w:pPr>
        <w:pStyle w:val="FootnoteText"/>
      </w:pPr>
      <w:r>
        <w:rPr>
          <w:rStyle w:val="FootnoteReference"/>
        </w:rPr>
        <w:footnoteRef/>
      </w:r>
      <w:r>
        <w:t xml:space="preserve"> SCE-05</w:t>
      </w:r>
      <w:r w:rsidR="00FF215B">
        <w:t>A</w:t>
      </w:r>
      <w:r>
        <w:t xml:space="preserve"> at </w:t>
      </w:r>
      <w:r w:rsidR="00FF215B">
        <w:t>40</w:t>
      </w:r>
      <w:r>
        <w:t>.</w:t>
      </w:r>
    </w:p>
  </w:footnote>
  <w:footnote w:id="44">
    <w:p w14:paraId="7E789648" w14:textId="70791A55" w:rsidR="00561EDA" w:rsidRDefault="00561EDA" w:rsidP="00561EDA">
      <w:pPr>
        <w:pStyle w:val="FootnoteText"/>
      </w:pPr>
      <w:r>
        <w:rPr>
          <w:rStyle w:val="FootnoteReference"/>
        </w:rPr>
        <w:footnoteRef/>
      </w:r>
      <w:r>
        <w:t xml:space="preserve"> SCE-0</w:t>
      </w:r>
      <w:r w:rsidR="008623BB">
        <w:t>5</w:t>
      </w:r>
      <w:r w:rsidR="00FF215B">
        <w:t>A</w:t>
      </w:r>
      <w:r>
        <w:t xml:space="preserve"> at </w:t>
      </w:r>
      <w:r w:rsidR="00FF215B">
        <w:t>40</w:t>
      </w:r>
      <w:r>
        <w:t>.</w:t>
      </w:r>
    </w:p>
  </w:footnote>
  <w:footnote w:id="45">
    <w:p w14:paraId="2ADE686A" w14:textId="1D25EF24" w:rsidR="0001399E" w:rsidRDefault="0001399E">
      <w:pPr>
        <w:pStyle w:val="FootnoteText"/>
      </w:pPr>
      <w:r>
        <w:rPr>
          <w:rStyle w:val="FootnoteReference"/>
        </w:rPr>
        <w:footnoteRef/>
      </w:r>
      <w:r>
        <w:t xml:space="preserve"> SCE-0</w:t>
      </w:r>
      <w:r w:rsidR="008623BB">
        <w:t>5</w:t>
      </w:r>
      <w:r w:rsidR="00FF215B">
        <w:t>A</w:t>
      </w:r>
      <w:r>
        <w:t xml:space="preserve"> at </w:t>
      </w:r>
      <w:r w:rsidR="00FF215B">
        <w:t>41</w:t>
      </w:r>
      <w:r>
        <w:t>.</w:t>
      </w:r>
    </w:p>
  </w:footnote>
  <w:footnote w:id="46">
    <w:p w14:paraId="4810A232" w14:textId="090D4342" w:rsidR="00A73784" w:rsidRDefault="00A73784" w:rsidP="00A73784">
      <w:pPr>
        <w:pStyle w:val="FootnoteText"/>
      </w:pPr>
      <w:r>
        <w:rPr>
          <w:rStyle w:val="FootnoteReference"/>
        </w:rPr>
        <w:footnoteRef/>
      </w:r>
      <w:r>
        <w:t xml:space="preserve"> SCE-0</w:t>
      </w:r>
      <w:r w:rsidR="004D2B40">
        <w:t>5</w:t>
      </w:r>
      <w:r w:rsidR="00FF215B">
        <w:t>A</w:t>
      </w:r>
      <w:r>
        <w:t xml:space="preserve"> at </w:t>
      </w:r>
      <w:r w:rsidR="00FF215B">
        <w:t>41</w:t>
      </w:r>
      <w:r>
        <w:t xml:space="preserve">. </w:t>
      </w:r>
      <w:r w:rsidRPr="00A73784">
        <w:rPr>
          <w:i/>
          <w:iCs/>
        </w:rPr>
        <w:t>See</w:t>
      </w:r>
      <w:r w:rsidRPr="00A73784">
        <w:t xml:space="preserve"> D.25-09-012,</w:t>
      </w:r>
      <w:r w:rsidRPr="00A73784">
        <w:rPr>
          <w:rFonts w:ascii="Arial" w:hAnsi="Arial" w:cs="Arial"/>
          <w:color w:val="000000"/>
          <w:sz w:val="18"/>
          <w:szCs w:val="18"/>
          <w:shd w:val="clear" w:color="auto" w:fill="F0F0F0"/>
        </w:rPr>
        <w:t xml:space="preserve"> </w:t>
      </w:r>
      <w:r w:rsidRPr="00A73784">
        <w:rPr>
          <w:i/>
          <w:iCs/>
        </w:rPr>
        <w:t xml:space="preserve">Decision Authorizing Southern California Edison Company </w:t>
      </w:r>
      <w:proofErr w:type="gramStart"/>
      <w:r w:rsidRPr="00A73784">
        <w:rPr>
          <w:i/>
          <w:iCs/>
        </w:rPr>
        <w:t>To</w:t>
      </w:r>
      <w:proofErr w:type="gramEnd"/>
      <w:r w:rsidRPr="00A73784">
        <w:rPr>
          <w:i/>
          <w:iCs/>
        </w:rPr>
        <w:t xml:space="preserve"> Sell Certain Hydroelectric Power Plants </w:t>
      </w:r>
      <w:proofErr w:type="gramStart"/>
      <w:r w:rsidRPr="00A73784">
        <w:rPr>
          <w:i/>
          <w:iCs/>
        </w:rPr>
        <w:t>To</w:t>
      </w:r>
      <w:proofErr w:type="gramEnd"/>
      <w:r w:rsidRPr="00A73784">
        <w:rPr>
          <w:i/>
          <w:iCs/>
        </w:rPr>
        <w:t xml:space="preserve"> San Bernardino Valley Municipal Water District Under Public Utilities Code Section 851</w:t>
      </w:r>
      <w:r w:rsidR="00FF215B">
        <w:t>.</w:t>
      </w:r>
      <w:r w:rsidRPr="00A73784">
        <w:t xml:space="preserve"> </w:t>
      </w:r>
      <w:r w:rsidR="00FF215B">
        <w:t>T</w:t>
      </w:r>
      <w:r w:rsidRPr="00A73784">
        <w:t>he Commission has not yet resolved A.24-09-008, Application of Southern California Edison Company (U338E) for Approval Under Public Utilities Code Section</w:t>
      </w:r>
      <w:r w:rsidR="00D20046">
        <w:t> </w:t>
      </w:r>
      <w:r w:rsidRPr="00A73784">
        <w:t>851 to Sell the Fontana Union Water Company or A.25-03-00</w:t>
      </w:r>
      <w:r w:rsidR="001E71AB">
        <w:t>1,</w:t>
      </w:r>
      <w:r w:rsidRPr="00A73784">
        <w:rPr>
          <w:rFonts w:ascii="Arial" w:hAnsi="Arial" w:cs="Arial"/>
          <w:color w:val="000000"/>
          <w:sz w:val="18"/>
          <w:szCs w:val="18"/>
          <w:shd w:val="clear" w:color="auto" w:fill="F0F0F0"/>
        </w:rPr>
        <w:t xml:space="preserve"> </w:t>
      </w:r>
      <w:r w:rsidRPr="00A73784">
        <w:t>Application of Southern California Edison Company (U338E) for Approval Under Public Utilities Code Section 851 to Sell the Lower Tule Hydroelectric Power Plant to Lower Tule Hydro LLC.</w:t>
      </w:r>
    </w:p>
  </w:footnote>
  <w:footnote w:id="47">
    <w:p w14:paraId="2BF9E8AE" w14:textId="01FE6004" w:rsidR="00207D79" w:rsidRDefault="00207D79">
      <w:pPr>
        <w:pStyle w:val="FootnoteText"/>
      </w:pPr>
      <w:r>
        <w:rPr>
          <w:rStyle w:val="FootnoteReference"/>
        </w:rPr>
        <w:footnoteRef/>
      </w:r>
      <w:r>
        <w:t xml:space="preserve"> D.13-05-033, </w:t>
      </w:r>
      <w:r w:rsidRPr="00207D79">
        <w:rPr>
          <w:i/>
          <w:iCs/>
        </w:rPr>
        <w:t>Partially Granting Southern California Edison Company’s Petition for Modification of Decision 12-02-035 (Solar Photovoltaic Program)</w:t>
      </w:r>
      <w:r>
        <w:t xml:space="preserve"> at 1.</w:t>
      </w:r>
      <w:r w:rsidR="004D2B40">
        <w:t xml:space="preserve"> SCE-05</w:t>
      </w:r>
      <w:r w:rsidR="00FF215B">
        <w:t>A</w:t>
      </w:r>
      <w:r w:rsidR="004D2B40">
        <w:t xml:space="preserve"> at n.4</w:t>
      </w:r>
      <w:r w:rsidR="00FF215B">
        <w:t>8</w:t>
      </w:r>
      <w:r w:rsidR="004D2B40">
        <w:t>.</w:t>
      </w:r>
    </w:p>
  </w:footnote>
  <w:footnote w:id="48">
    <w:p w14:paraId="25647C99" w14:textId="6D507E21" w:rsidR="00F97AF8" w:rsidRDefault="00F97AF8" w:rsidP="00F97AF8">
      <w:pPr>
        <w:pStyle w:val="FootnoteText"/>
      </w:pPr>
      <w:r>
        <w:rPr>
          <w:rStyle w:val="FootnoteReference"/>
        </w:rPr>
        <w:footnoteRef/>
      </w:r>
      <w:r>
        <w:t xml:space="preserve"> SCE-0</w:t>
      </w:r>
      <w:r w:rsidR="004D2B40">
        <w:t>5</w:t>
      </w:r>
      <w:r w:rsidR="00FF215B">
        <w:t>A</w:t>
      </w:r>
      <w:r>
        <w:t xml:space="preserve"> at </w:t>
      </w:r>
      <w:r w:rsidR="00FF215B">
        <w:t>43</w:t>
      </w:r>
      <w:r>
        <w:t>.</w:t>
      </w:r>
    </w:p>
  </w:footnote>
  <w:footnote w:id="49">
    <w:p w14:paraId="1B0CBF0B" w14:textId="78CECF7F" w:rsidR="00F97AF8" w:rsidRDefault="00F97AF8" w:rsidP="00F97AF8">
      <w:pPr>
        <w:pStyle w:val="FootnoteText"/>
      </w:pPr>
      <w:r>
        <w:rPr>
          <w:rStyle w:val="FootnoteReference"/>
        </w:rPr>
        <w:footnoteRef/>
      </w:r>
      <w:r>
        <w:t xml:space="preserve"> </w:t>
      </w:r>
      <w:r w:rsidR="0058604D" w:rsidRPr="0058604D">
        <w:t>D</w:t>
      </w:r>
      <w:r w:rsidR="0058604D">
        <w:t>.</w:t>
      </w:r>
      <w:r w:rsidR="0058604D" w:rsidRPr="0058604D">
        <w:t>24-12-039</w:t>
      </w:r>
      <w:r w:rsidR="00E575E2">
        <w:t xml:space="preserve">, </w:t>
      </w:r>
      <w:r w:rsidR="00E575E2" w:rsidRPr="00E575E2">
        <w:rPr>
          <w:i/>
          <w:iCs/>
        </w:rPr>
        <w:t>Decision Approving Southern California Edison Company’s 2025 Energy Resource Recovery Account-Related Forecast Revenue Requirement</w:t>
      </w:r>
      <w:r w:rsidR="0058604D">
        <w:t xml:space="preserve"> at 18</w:t>
      </w:r>
      <w:r w:rsidR="00E575E2">
        <w:t xml:space="preserve"> [hereinafter D.24-12-039]</w:t>
      </w:r>
      <w:r>
        <w:rPr>
          <w:spacing w:val="-5"/>
        </w:rPr>
        <w:t>.</w:t>
      </w:r>
    </w:p>
  </w:footnote>
  <w:footnote w:id="50">
    <w:p w14:paraId="5309CB15" w14:textId="0AA9B1A7" w:rsidR="00F97AF8" w:rsidRDefault="00F97AF8" w:rsidP="00F97AF8">
      <w:pPr>
        <w:pStyle w:val="FootnoteText"/>
      </w:pPr>
      <w:r>
        <w:rPr>
          <w:rStyle w:val="FootnoteReference"/>
        </w:rPr>
        <w:footnoteRef/>
      </w:r>
      <w:r>
        <w:t xml:space="preserve"> SCE-0</w:t>
      </w:r>
      <w:r w:rsidR="004D2B40">
        <w:t>5</w:t>
      </w:r>
      <w:r w:rsidR="00FF215B">
        <w:t>A</w:t>
      </w:r>
      <w:r>
        <w:t xml:space="preserve"> at </w:t>
      </w:r>
      <w:r w:rsidR="004D2B40">
        <w:t>4</w:t>
      </w:r>
      <w:r w:rsidR="00FF215B">
        <w:t>3</w:t>
      </w:r>
      <w:r>
        <w:t>.</w:t>
      </w:r>
    </w:p>
  </w:footnote>
  <w:footnote w:id="51">
    <w:p w14:paraId="2047DA58" w14:textId="5B9F2947" w:rsidR="00F97AF8" w:rsidRDefault="00F97AF8" w:rsidP="00F97AF8">
      <w:pPr>
        <w:pStyle w:val="FootnoteText"/>
      </w:pPr>
      <w:r>
        <w:rPr>
          <w:rStyle w:val="FootnoteReference"/>
        </w:rPr>
        <w:footnoteRef/>
      </w:r>
      <w:r>
        <w:t xml:space="preserve"> </w:t>
      </w:r>
      <w:r w:rsidR="004D2B40">
        <w:t>SCE-05</w:t>
      </w:r>
      <w:r w:rsidR="00FF215B">
        <w:t>A</w:t>
      </w:r>
      <w:r w:rsidR="004D2B40">
        <w:t xml:space="preserve"> at 4</w:t>
      </w:r>
      <w:r w:rsidR="00F12AD2">
        <w:t>3-44</w:t>
      </w:r>
      <w:r>
        <w:t>.</w:t>
      </w:r>
    </w:p>
  </w:footnote>
  <w:footnote w:id="52">
    <w:p w14:paraId="2B389E34" w14:textId="5338DE78" w:rsidR="003C7867" w:rsidRDefault="003C7867" w:rsidP="003C7867">
      <w:pPr>
        <w:pStyle w:val="FootnoteText"/>
      </w:pPr>
      <w:r>
        <w:rPr>
          <w:rStyle w:val="FootnoteReference"/>
        </w:rPr>
        <w:footnoteRef/>
      </w:r>
      <w:r>
        <w:t xml:space="preserve"> SCE-0</w:t>
      </w:r>
      <w:r w:rsidR="004D2B40">
        <w:t>5</w:t>
      </w:r>
      <w:r w:rsidR="00F12AD2">
        <w:t>A</w:t>
      </w:r>
      <w:r>
        <w:t xml:space="preserve"> at </w:t>
      </w:r>
      <w:r w:rsidR="004D2B40">
        <w:t>4</w:t>
      </w:r>
      <w:r w:rsidR="00F12AD2">
        <w:t>4</w:t>
      </w:r>
      <w:r>
        <w:t>.</w:t>
      </w:r>
    </w:p>
  </w:footnote>
  <w:footnote w:id="53">
    <w:p w14:paraId="62A6EF47" w14:textId="296F3920" w:rsidR="00542D7D" w:rsidRDefault="00542D7D" w:rsidP="00542D7D">
      <w:pPr>
        <w:pStyle w:val="FootnoteText"/>
      </w:pPr>
      <w:r>
        <w:rPr>
          <w:rStyle w:val="FootnoteReference"/>
        </w:rPr>
        <w:footnoteRef/>
      </w:r>
      <w:r>
        <w:t xml:space="preserve"> SCE-0</w:t>
      </w:r>
      <w:r w:rsidR="004D2B40">
        <w:t>5</w:t>
      </w:r>
      <w:r w:rsidR="00F12AD2">
        <w:t>A</w:t>
      </w:r>
      <w:r>
        <w:t xml:space="preserve"> at Table IV-1</w:t>
      </w:r>
      <w:r w:rsidR="004D2B40">
        <w:t>1</w:t>
      </w:r>
      <w:r w:rsidR="00EB36B5">
        <w:t>.</w:t>
      </w:r>
      <w:r>
        <w:t xml:space="preserve"> SCE states: </w:t>
      </w:r>
    </w:p>
    <w:p w14:paraId="39366DA1" w14:textId="18E83C49" w:rsidR="00542D7D" w:rsidRDefault="00542D7D" w:rsidP="002521BF">
      <w:pPr>
        <w:pStyle w:val="FootnoteText"/>
        <w:ind w:left="720" w:right="1440"/>
      </w:pPr>
      <w:r w:rsidRPr="00612583">
        <w:t>Average annual capacity factors are based on expected annual energy (adjusted</w:t>
      </w:r>
      <w:r>
        <w:t xml:space="preserve"> </w:t>
      </w:r>
      <w:r w:rsidRPr="00612583">
        <w:t xml:space="preserve">for curtailment) and contract capacity for each project aggregated by technology. </w:t>
      </w:r>
      <w:r w:rsidR="00254B20">
        <w:t>…[F]</w:t>
      </w:r>
      <w:r w:rsidRPr="00612583">
        <w:t>or new,</w:t>
      </w:r>
      <w:r>
        <w:t xml:space="preserve"> </w:t>
      </w:r>
      <w:r w:rsidRPr="00612583">
        <w:t>undeveloped projects, both the energy and capacity are weighted by each project’s respective probability</w:t>
      </w:r>
      <w:r>
        <w:t xml:space="preserve"> </w:t>
      </w:r>
      <w:r w:rsidRPr="00612583">
        <w:t>of successful development.</w:t>
      </w:r>
      <w:r>
        <w:t xml:space="preserve"> </w:t>
      </w:r>
      <w:r w:rsidRPr="00542D7D">
        <w:rPr>
          <w:i/>
          <w:iCs/>
        </w:rPr>
        <w:t>Id.</w:t>
      </w:r>
      <w:r>
        <w:t xml:space="preserve"> at </w:t>
      </w:r>
      <w:r w:rsidR="004D2B40">
        <w:t>4</w:t>
      </w:r>
      <w:r w:rsidR="00F12AD2">
        <w:t>4</w:t>
      </w:r>
      <w:r>
        <w:t>.</w:t>
      </w:r>
    </w:p>
  </w:footnote>
  <w:footnote w:id="54">
    <w:p w14:paraId="1A48ED7A" w14:textId="4FB19824" w:rsidR="00130139" w:rsidRDefault="00130139" w:rsidP="00130139">
      <w:pPr>
        <w:pStyle w:val="FootnoteText"/>
      </w:pPr>
      <w:r>
        <w:rPr>
          <w:rStyle w:val="FootnoteReference"/>
        </w:rPr>
        <w:footnoteRef/>
      </w:r>
      <w:r>
        <w:t xml:space="preserve"> SCE-0</w:t>
      </w:r>
      <w:r w:rsidR="004D2B40">
        <w:t>5</w:t>
      </w:r>
      <w:r w:rsidR="00F12AD2">
        <w:t>A</w:t>
      </w:r>
      <w:r>
        <w:t xml:space="preserve"> at </w:t>
      </w:r>
      <w:r w:rsidR="004D2B40">
        <w:t>4</w:t>
      </w:r>
      <w:r w:rsidR="00F12AD2">
        <w:t>4</w:t>
      </w:r>
      <w:r>
        <w:t>.</w:t>
      </w:r>
    </w:p>
  </w:footnote>
  <w:footnote w:id="55">
    <w:p w14:paraId="7ACB123F" w14:textId="21EDDD96" w:rsidR="00130139" w:rsidRDefault="00130139" w:rsidP="00130139">
      <w:pPr>
        <w:pStyle w:val="FootnoteText"/>
      </w:pPr>
      <w:r>
        <w:rPr>
          <w:rStyle w:val="FootnoteReference"/>
        </w:rPr>
        <w:footnoteRef/>
      </w:r>
      <w:r>
        <w:t xml:space="preserve"> SCE-0</w:t>
      </w:r>
      <w:r w:rsidR="004D2B40">
        <w:t>5</w:t>
      </w:r>
      <w:r w:rsidR="00F12AD2">
        <w:t>A</w:t>
      </w:r>
      <w:r>
        <w:t xml:space="preserve"> at 4</w:t>
      </w:r>
      <w:r w:rsidR="00F12AD2">
        <w:t>8</w:t>
      </w:r>
      <w:r>
        <w:t>.</w:t>
      </w:r>
    </w:p>
  </w:footnote>
  <w:footnote w:id="56">
    <w:p w14:paraId="4478E284" w14:textId="250B5C2B" w:rsidR="00130139" w:rsidRDefault="00130139">
      <w:pPr>
        <w:pStyle w:val="FootnoteText"/>
      </w:pPr>
      <w:r>
        <w:rPr>
          <w:rStyle w:val="FootnoteReference"/>
        </w:rPr>
        <w:footnoteRef/>
      </w:r>
      <w:r>
        <w:t xml:space="preserve"> SCE-0</w:t>
      </w:r>
      <w:r w:rsidR="004D2B40">
        <w:t>5</w:t>
      </w:r>
      <w:r w:rsidR="00F12AD2">
        <w:t>A</w:t>
      </w:r>
      <w:r>
        <w:t xml:space="preserve"> at </w:t>
      </w:r>
      <w:r w:rsidR="004D2B40">
        <w:t>4</w:t>
      </w:r>
      <w:r w:rsidR="00F12AD2">
        <w:t>6</w:t>
      </w:r>
      <w:r>
        <w:t>.</w:t>
      </w:r>
    </w:p>
  </w:footnote>
  <w:footnote w:id="57">
    <w:p w14:paraId="06C2456C" w14:textId="7B8738D7" w:rsidR="00E837B6" w:rsidRDefault="00E837B6" w:rsidP="00E837B6">
      <w:pPr>
        <w:pStyle w:val="FootnoteText"/>
      </w:pPr>
      <w:r>
        <w:rPr>
          <w:rStyle w:val="FootnoteReference"/>
        </w:rPr>
        <w:footnoteRef/>
      </w:r>
      <w:r>
        <w:t xml:space="preserve"> SCE explains that the posted avoided cost of energy for QF projects is set under </w:t>
      </w:r>
      <w:r w:rsidRPr="006A2868">
        <w:t>either the New Q</w:t>
      </w:r>
      <w:r>
        <w:t>F</w:t>
      </w:r>
      <w:r w:rsidRPr="006A2868">
        <w:t xml:space="preserve"> SOC, adopted in D.20-05-006, or the QF SOC adopted in the QF Summit Settlement.</w:t>
      </w:r>
      <w:r>
        <w:t xml:space="preserve"> The New QF SOC short run avoided cost</w:t>
      </w:r>
      <w:r w:rsidRPr="006E1530">
        <w:t xml:space="preserve"> is based on CAISO locational marginal prices</w:t>
      </w:r>
      <w:r>
        <w:t>, while the avoided cost of energy under the QF Summit Settlement is based on the average 12-month forward heat rates.</w:t>
      </w:r>
      <w:r w:rsidR="002A68CA">
        <w:t xml:space="preserve"> </w:t>
      </w:r>
      <w:r w:rsidR="00F93CE7">
        <w:t>SCE-05</w:t>
      </w:r>
      <w:r w:rsidR="00F12AD2">
        <w:t>A</w:t>
      </w:r>
      <w:r w:rsidR="00F93CE7">
        <w:t xml:space="preserve"> at 4</w:t>
      </w:r>
      <w:r w:rsidR="00F12AD2">
        <w:t>6</w:t>
      </w:r>
      <w:r w:rsidR="00F93CE7">
        <w:t xml:space="preserve">. </w:t>
      </w:r>
      <w:r w:rsidR="00574CC2" w:rsidRPr="00876DF8">
        <w:rPr>
          <w:i/>
          <w:iCs/>
        </w:rPr>
        <w:t>See also</w:t>
      </w:r>
      <w:r w:rsidR="00574CC2">
        <w:t xml:space="preserve"> D.20-05-006, </w:t>
      </w:r>
      <w:r w:rsidR="00876DF8" w:rsidRPr="00876DF8">
        <w:rPr>
          <w:i/>
          <w:iCs/>
        </w:rPr>
        <w:t>Decision Adopting a New Standard Offer Contract for Qualifying Facilities of 20 Megawatts or Less Pursuant to the Public Utility Regulatory Policies Act of 1978</w:t>
      </w:r>
      <w:r w:rsidR="00876DF8">
        <w:t>.</w:t>
      </w:r>
      <w:r w:rsidR="00F93CE7">
        <w:t xml:space="preserve"> </w:t>
      </w:r>
    </w:p>
  </w:footnote>
  <w:footnote w:id="58">
    <w:p w14:paraId="59207A72" w14:textId="77BEA82C" w:rsidR="00FD08BA" w:rsidRDefault="00FD08BA">
      <w:pPr>
        <w:pStyle w:val="FootnoteText"/>
      </w:pPr>
      <w:r>
        <w:rPr>
          <w:rStyle w:val="FootnoteReference"/>
        </w:rPr>
        <w:footnoteRef/>
      </w:r>
      <w:r>
        <w:t xml:space="preserve"> SCE-0</w:t>
      </w:r>
      <w:r w:rsidR="00744EFA">
        <w:t>5</w:t>
      </w:r>
      <w:r w:rsidR="00667E82">
        <w:t>A</w:t>
      </w:r>
      <w:r>
        <w:t xml:space="preserve"> at 4</w:t>
      </w:r>
      <w:r w:rsidR="00667E82">
        <w:t>8</w:t>
      </w:r>
      <w:r>
        <w:t>.</w:t>
      </w:r>
    </w:p>
  </w:footnote>
  <w:footnote w:id="59">
    <w:p w14:paraId="1B94CFBB" w14:textId="4D66EAC6" w:rsidR="00FD08BA" w:rsidRDefault="00FD08BA" w:rsidP="00FD08BA">
      <w:pPr>
        <w:pStyle w:val="FootnoteText"/>
      </w:pPr>
      <w:r>
        <w:rPr>
          <w:rStyle w:val="FootnoteReference"/>
        </w:rPr>
        <w:footnoteRef/>
      </w:r>
      <w:r>
        <w:t xml:space="preserve"> SCE-0</w:t>
      </w:r>
      <w:r w:rsidR="00744EFA">
        <w:t>5</w:t>
      </w:r>
      <w:r w:rsidR="00300B68">
        <w:t>A</w:t>
      </w:r>
      <w:r w:rsidR="00797A1D">
        <w:t xml:space="preserve"> at </w:t>
      </w:r>
      <w:r w:rsidR="00300B68">
        <w:t>48</w:t>
      </w:r>
      <w:r w:rsidR="00797A1D">
        <w:t>.</w:t>
      </w:r>
      <w:r w:rsidR="0011680A">
        <w:t xml:space="preserve"> </w:t>
      </w:r>
      <w:r w:rsidR="0011680A" w:rsidRPr="0011680A">
        <w:rPr>
          <w:i/>
          <w:iCs/>
        </w:rPr>
        <w:t>See also</w:t>
      </w:r>
      <w:r w:rsidR="0011680A">
        <w:t xml:space="preserve"> D.18-10-019, </w:t>
      </w:r>
      <w:r w:rsidR="0011680A" w:rsidRPr="0011680A">
        <w:rPr>
          <w:i/>
          <w:iCs/>
        </w:rPr>
        <w:t>Decision Modifying the Power Charge Indifference Adjustment Methodology</w:t>
      </w:r>
      <w:r w:rsidR="0011680A">
        <w:t xml:space="preserve"> at 56 and Conclusions of Law (COL) 13 and </w:t>
      </w:r>
      <w:r w:rsidR="00254B20">
        <w:t xml:space="preserve">COL </w:t>
      </w:r>
      <w:r w:rsidR="0011680A">
        <w:t xml:space="preserve">14, removing the 10-year limit on recovery of UOG costs from </w:t>
      </w:r>
      <w:r w:rsidR="00C25BEE">
        <w:t>DL</w:t>
      </w:r>
      <w:r w:rsidR="0011680A">
        <w:t xml:space="preserve"> customers [hereinafter D.18-10-019].</w:t>
      </w:r>
    </w:p>
  </w:footnote>
  <w:footnote w:id="60">
    <w:p w14:paraId="36F1F015" w14:textId="5A0C1804" w:rsidR="00FD08BA" w:rsidRDefault="00FD08BA" w:rsidP="00FD08BA">
      <w:pPr>
        <w:pStyle w:val="FootnoteText"/>
      </w:pPr>
      <w:r>
        <w:rPr>
          <w:rStyle w:val="FootnoteReference"/>
        </w:rPr>
        <w:footnoteRef/>
      </w:r>
      <w:r>
        <w:t xml:space="preserve"> </w:t>
      </w:r>
      <w:r w:rsidR="00A86AD6">
        <w:t>SCE, Opening Comments on the Proposed Decision at A-2.</w:t>
      </w:r>
    </w:p>
  </w:footnote>
  <w:footnote w:id="61">
    <w:p w14:paraId="7A94237A" w14:textId="1A080746" w:rsidR="00FD08BA" w:rsidRDefault="00FD08BA" w:rsidP="00FD08BA">
      <w:pPr>
        <w:pStyle w:val="FootnoteText"/>
      </w:pPr>
      <w:r>
        <w:rPr>
          <w:rStyle w:val="FootnoteReference"/>
        </w:rPr>
        <w:footnoteRef/>
      </w:r>
      <w:r>
        <w:t xml:space="preserve"> SCE-0</w:t>
      </w:r>
      <w:r w:rsidR="00744EFA">
        <w:t>5</w:t>
      </w:r>
      <w:r w:rsidR="00300B68">
        <w:t>A</w:t>
      </w:r>
      <w:r>
        <w:t xml:space="preserve"> at </w:t>
      </w:r>
      <w:r w:rsidR="00744EFA">
        <w:t>3</w:t>
      </w:r>
      <w:r w:rsidR="00300B68">
        <w:t>2</w:t>
      </w:r>
      <w:r>
        <w:t>.</w:t>
      </w:r>
    </w:p>
  </w:footnote>
  <w:footnote w:id="62">
    <w:p w14:paraId="1DE5BFA1" w14:textId="2A1D327B" w:rsidR="007D6194" w:rsidRDefault="007D6194" w:rsidP="007D6194">
      <w:pPr>
        <w:pStyle w:val="FootnoteText"/>
      </w:pPr>
      <w:r>
        <w:rPr>
          <w:rStyle w:val="FootnoteReference"/>
        </w:rPr>
        <w:footnoteRef/>
      </w:r>
      <w:r>
        <w:t xml:space="preserve"> SCE-0</w:t>
      </w:r>
      <w:r w:rsidR="00744EFA">
        <w:t>5</w:t>
      </w:r>
      <w:r w:rsidR="00300B68">
        <w:t>A</w:t>
      </w:r>
      <w:r>
        <w:t xml:space="preserve"> at 4</w:t>
      </w:r>
      <w:r w:rsidR="00300B68">
        <w:t>9</w:t>
      </w:r>
      <w:r>
        <w:t xml:space="preserve">. </w:t>
      </w:r>
    </w:p>
  </w:footnote>
  <w:footnote w:id="63">
    <w:p w14:paraId="399B5B1E" w14:textId="7BB01463" w:rsidR="00290509" w:rsidRDefault="00290509">
      <w:pPr>
        <w:pStyle w:val="FootnoteText"/>
      </w:pPr>
      <w:r>
        <w:rPr>
          <w:rStyle w:val="FootnoteReference"/>
        </w:rPr>
        <w:footnoteRef/>
      </w:r>
      <w:r>
        <w:t xml:space="preserve"> </w:t>
      </w:r>
      <w:r w:rsidR="00F464B1">
        <w:t>SCE-0</w:t>
      </w:r>
      <w:r w:rsidR="00A36CEA">
        <w:t>5</w:t>
      </w:r>
      <w:r w:rsidR="00F464B1">
        <w:t xml:space="preserve"> at </w:t>
      </w:r>
      <w:r w:rsidR="00300B68">
        <w:t>49</w:t>
      </w:r>
      <w:r w:rsidR="00F464B1">
        <w:t>-</w:t>
      </w:r>
      <w:r w:rsidR="00300B68">
        <w:t>50</w:t>
      </w:r>
      <w:r w:rsidR="00F464B1">
        <w:t>.</w:t>
      </w:r>
    </w:p>
  </w:footnote>
  <w:footnote w:id="64">
    <w:p w14:paraId="6D7FAB78" w14:textId="15913D7A" w:rsidR="00214677" w:rsidRDefault="00214677">
      <w:pPr>
        <w:pStyle w:val="FootnoteText"/>
      </w:pPr>
      <w:r>
        <w:rPr>
          <w:rStyle w:val="FootnoteReference"/>
        </w:rPr>
        <w:footnoteRef/>
      </w:r>
      <w:r>
        <w:t xml:space="preserve"> SCE-0</w:t>
      </w:r>
      <w:r w:rsidR="00A36CEA">
        <w:t>5</w:t>
      </w:r>
      <w:r w:rsidR="00300B68">
        <w:t>A</w:t>
      </w:r>
      <w:r>
        <w:t xml:space="preserve"> at n.</w:t>
      </w:r>
      <w:r w:rsidR="00300B68">
        <w:t>52</w:t>
      </w:r>
      <w:r>
        <w:t>.</w:t>
      </w:r>
    </w:p>
  </w:footnote>
  <w:footnote w:id="65">
    <w:p w14:paraId="4E8DA6C7" w14:textId="3B8F50BE" w:rsidR="00415CF6" w:rsidRDefault="00415CF6" w:rsidP="007D7A4E">
      <w:pPr>
        <w:pStyle w:val="FootnoteText"/>
      </w:pPr>
      <w:r>
        <w:rPr>
          <w:rStyle w:val="FootnoteReference"/>
        </w:rPr>
        <w:footnoteRef/>
      </w:r>
      <w:r>
        <w:t xml:space="preserve"> SCE-0</w:t>
      </w:r>
      <w:r w:rsidR="00A36CEA">
        <w:t>5</w:t>
      </w:r>
      <w:r w:rsidR="00300B68">
        <w:t>A</w:t>
      </w:r>
      <w:r>
        <w:t xml:space="preserve"> at </w:t>
      </w:r>
      <w:r w:rsidR="00300B68">
        <w:t>50</w:t>
      </w:r>
      <w:r>
        <w:t>.</w:t>
      </w:r>
      <w:r w:rsidR="002A68CA">
        <w:t xml:space="preserve"> </w:t>
      </w:r>
    </w:p>
  </w:footnote>
  <w:footnote w:id="66">
    <w:p w14:paraId="5369A912" w14:textId="0D5D3245" w:rsidR="003A2C15" w:rsidRDefault="003A2C15" w:rsidP="003A2C15">
      <w:pPr>
        <w:pStyle w:val="FootnoteText"/>
      </w:pPr>
      <w:r>
        <w:rPr>
          <w:rStyle w:val="FootnoteReference"/>
        </w:rPr>
        <w:footnoteRef/>
      </w:r>
      <w:r>
        <w:t xml:space="preserve"> </w:t>
      </w:r>
      <w:bookmarkStart w:id="35" w:name="_Hlk211172080"/>
      <w:r>
        <w:t>D.06-07-029</w:t>
      </w:r>
      <w:bookmarkEnd w:id="35"/>
      <w:r w:rsidR="00524F70">
        <w:t>, as modified by D.10-12-035,</w:t>
      </w:r>
      <w:r>
        <w:t xml:space="preserve"> </w:t>
      </w:r>
      <w:r w:rsidR="007C0DA1" w:rsidRPr="007C0DA1">
        <w:rPr>
          <w:i/>
          <w:iCs/>
        </w:rPr>
        <w:t>Opinion on New Generation and Long-Term Contract Proposals and Cost Allocation</w:t>
      </w:r>
      <w:r w:rsidR="007C0DA1">
        <w:t xml:space="preserve"> </w:t>
      </w:r>
      <w:r>
        <w:t xml:space="preserve">at </w:t>
      </w:r>
      <w:r w:rsidR="00222CC7">
        <w:t xml:space="preserve">Ordering </w:t>
      </w:r>
      <w:r w:rsidR="00A41EA9">
        <w:t xml:space="preserve">at </w:t>
      </w:r>
      <w:r w:rsidR="00222CC7">
        <w:t>OP 1</w:t>
      </w:r>
      <w:r w:rsidR="007C0DA1">
        <w:t xml:space="preserve"> [hereinafter D.06-07-029</w:t>
      </w:r>
      <w:r w:rsidR="00222CC7">
        <w:t>]</w:t>
      </w:r>
      <w:r>
        <w:t>.</w:t>
      </w:r>
      <w:r w:rsidR="002A68CA">
        <w:t xml:space="preserve"> </w:t>
      </w:r>
      <w:r w:rsidR="00A41EA9">
        <w:t>After</w:t>
      </w:r>
      <w:r>
        <w:t xml:space="preserve"> California’s electric market restructuring and the </w:t>
      </w:r>
      <w:r w:rsidR="00C25BEE">
        <w:t>energy</w:t>
      </w:r>
      <w:r>
        <w:t xml:space="preserve"> crisis of 20</w:t>
      </w:r>
      <w:r w:rsidR="00222CC7">
        <w:t>0</w:t>
      </w:r>
      <w:r>
        <w:t>0-2001, developers were reticent to construct new generation facilities without securing long term purchase contracts that were, at the time, unattractive to IOUs.</w:t>
      </w:r>
      <w:r w:rsidR="002A68CA">
        <w:t xml:space="preserve"> </w:t>
      </w:r>
      <w:proofErr w:type="gramStart"/>
      <w:r>
        <w:t>In particular, IOUs</w:t>
      </w:r>
      <w:proofErr w:type="gramEnd"/>
      <w:r>
        <w:t xml:space="preserve"> found long term contracts risky given market reforms that allowed customers to opt in and out of bundled IOU service.</w:t>
      </w:r>
      <w:r w:rsidR="002A68CA">
        <w:t xml:space="preserve"> </w:t>
      </w:r>
      <w:r w:rsidR="00440D94">
        <w:t>The Commission adopted its requirements for new generation procurement in D.06-07-029 to address these issues.</w:t>
      </w:r>
      <w:r w:rsidR="002A68CA">
        <w:t xml:space="preserve"> </w:t>
      </w:r>
      <w:r w:rsidR="00440D94" w:rsidRPr="007C0DA1">
        <w:rPr>
          <w:i/>
          <w:iCs/>
        </w:rPr>
        <w:t xml:space="preserve">See </w:t>
      </w:r>
      <w:r w:rsidR="007C0DA1" w:rsidRPr="007C0DA1">
        <w:rPr>
          <w:i/>
          <w:iCs/>
        </w:rPr>
        <w:t>id.</w:t>
      </w:r>
      <w:r w:rsidR="00440D94">
        <w:t xml:space="preserve"> at 1-5.</w:t>
      </w:r>
      <w:r w:rsidR="002A68CA">
        <w:t xml:space="preserve"> </w:t>
      </w:r>
      <w:r w:rsidR="00524F70" w:rsidRPr="004D46B6">
        <w:rPr>
          <w:i/>
          <w:iCs/>
        </w:rPr>
        <w:t>See also</w:t>
      </w:r>
      <w:r w:rsidR="00524F70">
        <w:t xml:space="preserve"> </w:t>
      </w:r>
      <w:r w:rsidR="00524F70" w:rsidRPr="00524F70">
        <w:t xml:space="preserve">Senate Bill </w:t>
      </w:r>
      <w:r w:rsidR="004D46B6">
        <w:t xml:space="preserve">(SB) </w:t>
      </w:r>
      <w:r w:rsidR="00524F70" w:rsidRPr="00524F70">
        <w:t>695 (Kehoe), Stat. 2009, Ch.337</w:t>
      </w:r>
      <w:r w:rsidR="00524F70">
        <w:t>.</w:t>
      </w:r>
    </w:p>
  </w:footnote>
  <w:footnote w:id="67">
    <w:p w14:paraId="4D4CA886" w14:textId="77777777" w:rsidR="003C1AAA" w:rsidRDefault="003C1AAA" w:rsidP="003C1AAA">
      <w:pPr>
        <w:pStyle w:val="FootnoteText"/>
      </w:pPr>
      <w:r>
        <w:rPr>
          <w:rStyle w:val="FootnoteReference"/>
        </w:rPr>
        <w:footnoteRef/>
      </w:r>
      <w:r>
        <w:t xml:space="preserve"> D.06-07-029 at 14.</w:t>
      </w:r>
    </w:p>
  </w:footnote>
  <w:footnote w:id="68">
    <w:p w14:paraId="4E5DFB3C" w14:textId="6A934B01" w:rsidR="003C1AAA" w:rsidRDefault="003C1AAA">
      <w:pPr>
        <w:pStyle w:val="FootnoteText"/>
      </w:pPr>
      <w:r>
        <w:rPr>
          <w:rStyle w:val="FootnoteReference"/>
        </w:rPr>
        <w:footnoteRef/>
      </w:r>
      <w:r>
        <w:t xml:space="preserve"> D.</w:t>
      </w:r>
      <w:r w:rsidR="00222CC7">
        <w:t>06-07-029</w:t>
      </w:r>
      <w:r>
        <w:t xml:space="preserve"> at OP 1.</w:t>
      </w:r>
    </w:p>
  </w:footnote>
  <w:footnote w:id="69">
    <w:p w14:paraId="0F2D4458" w14:textId="75B0B8B8" w:rsidR="0088061D" w:rsidRDefault="0088061D">
      <w:pPr>
        <w:pStyle w:val="FootnoteText"/>
      </w:pPr>
      <w:r>
        <w:rPr>
          <w:rStyle w:val="FootnoteReference"/>
        </w:rPr>
        <w:footnoteRef/>
      </w:r>
      <w:r>
        <w:t xml:space="preserve"> Benefitting customers are charged only the “net capacity costs” of the resource, defined as “a net of the total cost of the contract minus the energy revenues associated with dispatch of the contract.”</w:t>
      </w:r>
      <w:r w:rsidRPr="0088061D">
        <w:t xml:space="preserve"> </w:t>
      </w:r>
      <w:r>
        <w:t>D.06-07-029</w:t>
      </w:r>
      <w:r w:rsidRPr="0088061D">
        <w:t xml:space="preserve"> </w:t>
      </w:r>
      <w:r>
        <w:t>at OP 1.</w:t>
      </w:r>
    </w:p>
  </w:footnote>
  <w:footnote w:id="70">
    <w:p w14:paraId="0DCB534F" w14:textId="285B848A" w:rsidR="0088061D" w:rsidRDefault="0088061D" w:rsidP="0088061D">
      <w:pPr>
        <w:pStyle w:val="FootnoteText"/>
      </w:pPr>
      <w:r>
        <w:rPr>
          <w:rStyle w:val="FootnoteReference"/>
        </w:rPr>
        <w:footnoteRef/>
      </w:r>
      <w:r>
        <w:t xml:space="preserve"> D.06-07-029</w:t>
      </w:r>
      <w:r w:rsidR="00222CC7">
        <w:t xml:space="preserve"> </w:t>
      </w:r>
      <w:r>
        <w:t>at 31.</w:t>
      </w:r>
      <w:r w:rsidR="002A68CA">
        <w:t xml:space="preserve"> </w:t>
      </w:r>
      <w:r w:rsidR="007064F7">
        <w:t xml:space="preserve">SCE states that the </w:t>
      </w:r>
      <w:r w:rsidR="00FE00EA">
        <w:t>energy rights are not used to meet SCE’s bundled customer load.</w:t>
      </w:r>
      <w:r w:rsidR="002A68CA">
        <w:t xml:space="preserve"> </w:t>
      </w:r>
      <w:r w:rsidR="002568DE" w:rsidRPr="00222CC7">
        <w:rPr>
          <w:i/>
          <w:iCs/>
        </w:rPr>
        <w:t>See</w:t>
      </w:r>
      <w:r w:rsidR="002568DE">
        <w:t xml:space="preserve"> SCE-0</w:t>
      </w:r>
      <w:r w:rsidR="00A36CEA">
        <w:t>5</w:t>
      </w:r>
      <w:r w:rsidR="00300B68">
        <w:t>A</w:t>
      </w:r>
      <w:r w:rsidR="002568DE">
        <w:t xml:space="preserve"> at </w:t>
      </w:r>
      <w:r w:rsidR="00300B68">
        <w:t>50</w:t>
      </w:r>
      <w:r w:rsidR="002568DE">
        <w:t>-</w:t>
      </w:r>
      <w:r w:rsidR="00300B68">
        <w:t>51</w:t>
      </w:r>
      <w:r w:rsidR="002568DE">
        <w:t>.</w:t>
      </w:r>
    </w:p>
  </w:footnote>
  <w:footnote w:id="71">
    <w:p w14:paraId="6CA057F0" w14:textId="2DD899D2" w:rsidR="0088061D" w:rsidRPr="00C25BEE" w:rsidRDefault="0088061D" w:rsidP="0088061D">
      <w:pPr>
        <w:pStyle w:val="FootnoteText"/>
      </w:pPr>
      <w:r>
        <w:rPr>
          <w:rStyle w:val="FootnoteReference"/>
        </w:rPr>
        <w:footnoteRef/>
      </w:r>
      <w:r>
        <w:t xml:space="preserve"> D.07-09-044, </w:t>
      </w:r>
      <w:r w:rsidR="00826F17" w:rsidRPr="00826F17">
        <w:rPr>
          <w:i/>
          <w:iCs/>
        </w:rPr>
        <w:t>Opinion Adopting Joint Settlement Agreement, as Clarified, Regarding Principles for the Energy Auction Process and Products</w:t>
      </w:r>
      <w:r w:rsidR="00826F17">
        <w:t xml:space="preserve">, </w:t>
      </w:r>
      <w:r>
        <w:t>as modified by D.12-11-008, Appendix A at 1</w:t>
      </w:r>
      <w:r w:rsidR="00BD1BAA">
        <w:t xml:space="preserve"> </w:t>
      </w:r>
      <w:r w:rsidR="00D15560">
        <w:t>[</w:t>
      </w:r>
      <w:r w:rsidR="00BD1BAA">
        <w:t>hereinafter D.07-09-044]</w:t>
      </w:r>
      <w:r>
        <w:t>.</w:t>
      </w:r>
      <w:r w:rsidR="002A68CA">
        <w:t xml:space="preserve"> </w:t>
      </w:r>
      <w:r w:rsidRPr="003A15E9">
        <w:rPr>
          <w:i/>
          <w:iCs/>
        </w:rPr>
        <w:t xml:space="preserve">See </w:t>
      </w:r>
      <w:r w:rsidRPr="00C25BEE">
        <w:rPr>
          <w:i/>
          <w:iCs/>
        </w:rPr>
        <w:t>also</w:t>
      </w:r>
      <w:r w:rsidRPr="00C25BEE">
        <w:t xml:space="preserve"> SCE-0</w:t>
      </w:r>
      <w:r w:rsidR="0002293A" w:rsidRPr="00C25BEE">
        <w:t>5</w:t>
      </w:r>
      <w:r w:rsidR="00300B68" w:rsidRPr="00C25BEE">
        <w:t>A</w:t>
      </w:r>
      <w:r w:rsidRPr="00C25BEE">
        <w:t xml:space="preserve"> at n.</w:t>
      </w:r>
      <w:r w:rsidR="00300B68" w:rsidRPr="00C25BEE">
        <w:t>53</w:t>
      </w:r>
      <w:r w:rsidRPr="00C25BEE">
        <w:t>.</w:t>
      </w:r>
    </w:p>
  </w:footnote>
  <w:footnote w:id="72">
    <w:p w14:paraId="333DFB84" w14:textId="67F057AF" w:rsidR="00FE00EA" w:rsidRPr="00C25BEE" w:rsidRDefault="00FE00EA">
      <w:pPr>
        <w:pStyle w:val="FootnoteText"/>
      </w:pPr>
      <w:r w:rsidRPr="00C25BEE">
        <w:rPr>
          <w:rStyle w:val="FootnoteReference"/>
        </w:rPr>
        <w:footnoteRef/>
      </w:r>
      <w:r w:rsidRPr="00C25BEE">
        <w:t xml:space="preserve"> SCE-0</w:t>
      </w:r>
      <w:r w:rsidR="0002293A" w:rsidRPr="00C25BEE">
        <w:t>5</w:t>
      </w:r>
      <w:r w:rsidR="00300B68" w:rsidRPr="00C25BEE">
        <w:t>A</w:t>
      </w:r>
      <w:r w:rsidRPr="00C25BEE">
        <w:t xml:space="preserve"> at </w:t>
      </w:r>
      <w:r w:rsidR="00300B68" w:rsidRPr="00C25BEE">
        <w:t>51</w:t>
      </w:r>
      <w:r w:rsidRPr="00C25BEE">
        <w:t>.</w:t>
      </w:r>
      <w:r w:rsidR="002A68CA" w:rsidRPr="00C25BEE">
        <w:t xml:space="preserve"> </w:t>
      </w:r>
      <w:r w:rsidR="00426D01" w:rsidRPr="00C25BEE">
        <w:rPr>
          <w:i/>
          <w:iCs/>
        </w:rPr>
        <w:t>See also</w:t>
      </w:r>
      <w:r w:rsidR="00426D01" w:rsidRPr="00C25BEE">
        <w:t xml:space="preserve"> Section</w:t>
      </w:r>
      <w:r w:rsidR="00300B68" w:rsidRPr="00C25BEE">
        <w:t>s</w:t>
      </w:r>
      <w:r w:rsidR="00426D01" w:rsidRPr="00C25BEE">
        <w:t xml:space="preserve"> </w:t>
      </w:r>
      <w:r w:rsidR="00826F17" w:rsidRPr="00C25BEE">
        <w:t>5</w:t>
      </w:r>
      <w:r w:rsidR="00426D01" w:rsidRPr="00C25BEE">
        <w:t>.</w:t>
      </w:r>
      <w:r w:rsidR="00826F17" w:rsidRPr="00C25BEE">
        <w:t>1</w:t>
      </w:r>
      <w:r w:rsidR="00426D01" w:rsidRPr="00C25BEE">
        <w:t xml:space="preserve"> </w:t>
      </w:r>
      <w:r w:rsidR="00300B68" w:rsidRPr="00C25BEE">
        <w:t>(for a description of LCD modelling) and 5.4.2 (for a description of the impact of anticipated energy revenues on forecast costs)</w:t>
      </w:r>
      <w:r w:rsidR="00426D01" w:rsidRPr="00C25BEE">
        <w:t>.</w:t>
      </w:r>
    </w:p>
  </w:footnote>
  <w:footnote w:id="73">
    <w:p w14:paraId="2BF1B3D0" w14:textId="5245F46A" w:rsidR="007064F7" w:rsidRDefault="007064F7" w:rsidP="003E1212">
      <w:pPr>
        <w:pStyle w:val="FootnoteText"/>
      </w:pPr>
      <w:r w:rsidRPr="00C25BEE">
        <w:rPr>
          <w:rStyle w:val="FootnoteReference"/>
        </w:rPr>
        <w:footnoteRef/>
      </w:r>
      <w:r w:rsidRPr="00C25BEE">
        <w:t xml:space="preserve"> </w:t>
      </w:r>
      <w:r w:rsidR="00826F17" w:rsidRPr="00C25BEE">
        <w:t>SCE-0</w:t>
      </w:r>
      <w:r w:rsidR="0002293A" w:rsidRPr="00C25BEE">
        <w:t>5</w:t>
      </w:r>
      <w:r w:rsidR="005277EE" w:rsidRPr="00C25BEE">
        <w:t>A</w:t>
      </w:r>
      <w:r w:rsidR="00826F17" w:rsidRPr="00C25BEE">
        <w:t xml:space="preserve"> at </w:t>
      </w:r>
      <w:r w:rsidR="005277EE" w:rsidRPr="00C25BEE">
        <w:t>51</w:t>
      </w:r>
      <w:r w:rsidR="00826F17" w:rsidRPr="00C25BEE">
        <w:t xml:space="preserve">. </w:t>
      </w:r>
      <w:r w:rsidR="00826F17" w:rsidRPr="00C25BEE">
        <w:rPr>
          <w:i/>
          <w:iCs/>
        </w:rPr>
        <w:t>See also</w:t>
      </w:r>
      <w:r w:rsidR="00826F17" w:rsidRPr="00C25BEE">
        <w:t xml:space="preserve"> Section 7.2.1. </w:t>
      </w:r>
    </w:p>
  </w:footnote>
  <w:footnote w:id="74">
    <w:p w14:paraId="32A9810A" w14:textId="6DF9ED90" w:rsidR="002568DE" w:rsidRDefault="002568DE" w:rsidP="00C0460D">
      <w:pPr>
        <w:pStyle w:val="FootnoteText"/>
      </w:pPr>
      <w:r>
        <w:rPr>
          <w:rStyle w:val="FootnoteReference"/>
        </w:rPr>
        <w:footnoteRef/>
      </w:r>
      <w:r>
        <w:t xml:space="preserve"> </w:t>
      </w:r>
      <w:r w:rsidRPr="00826F17">
        <w:t>D.10-12-035</w:t>
      </w:r>
      <w:r w:rsidR="00543709" w:rsidRPr="00826F17">
        <w:t xml:space="preserve">, </w:t>
      </w:r>
      <w:r w:rsidR="00826F17" w:rsidRPr="00826F17">
        <w:rPr>
          <w:i/>
          <w:iCs/>
        </w:rPr>
        <w:t>Decision Adopting Proposed Settlement</w:t>
      </w:r>
      <w:r w:rsidRPr="00826F17">
        <w:t xml:space="preserve"> at </w:t>
      </w:r>
      <w:r w:rsidR="00826F17" w:rsidRPr="00826F17">
        <w:t>56 a</w:t>
      </w:r>
      <w:r w:rsidR="00BD1BAA">
        <w:t>nd</w:t>
      </w:r>
      <w:r w:rsidR="00826F17">
        <w:t xml:space="preserve"> COL 14</w:t>
      </w:r>
      <w:r>
        <w:t xml:space="preserve">; </w:t>
      </w:r>
      <w:r w:rsidRPr="009D622B">
        <w:rPr>
          <w:i/>
          <w:iCs/>
        </w:rPr>
        <w:t>see also</w:t>
      </w:r>
      <w:r>
        <w:t xml:space="preserve"> SCE-0</w:t>
      </w:r>
      <w:r w:rsidR="005277EE">
        <w:t>5A</w:t>
      </w:r>
      <w:r>
        <w:t xml:space="preserve"> at 1</w:t>
      </w:r>
      <w:r w:rsidR="005277EE">
        <w:t>2</w:t>
      </w:r>
      <w:r>
        <w:t>6.</w:t>
      </w:r>
      <w:r w:rsidR="002A68CA">
        <w:t xml:space="preserve"> </w:t>
      </w:r>
      <w:r w:rsidR="00C0460D">
        <w:t>The net capacity costs of these resources are recovered from all benefitting customers via the CAM.</w:t>
      </w:r>
      <w:r w:rsidR="002A68CA">
        <w:t xml:space="preserve"> </w:t>
      </w:r>
      <w:r w:rsidR="005277EE" w:rsidRPr="005277EE">
        <w:rPr>
          <w:i/>
          <w:iCs/>
        </w:rPr>
        <w:t>See</w:t>
      </w:r>
      <w:r w:rsidR="005277EE">
        <w:t xml:space="preserve"> </w:t>
      </w:r>
      <w:r w:rsidR="00C0460D">
        <w:t>SCE-0</w:t>
      </w:r>
      <w:r w:rsidR="00C465E6">
        <w:t>5</w:t>
      </w:r>
      <w:r w:rsidR="005277EE">
        <w:t>A</w:t>
      </w:r>
      <w:r w:rsidR="00C0460D">
        <w:t xml:space="preserve"> at 1</w:t>
      </w:r>
      <w:r w:rsidR="00C465E6">
        <w:t>2</w:t>
      </w:r>
      <w:r w:rsidR="005277EE">
        <w:t>9</w:t>
      </w:r>
      <w:r w:rsidR="00C0460D">
        <w:t>.</w:t>
      </w:r>
      <w:r w:rsidR="002A68CA">
        <w:t xml:space="preserve"> </w:t>
      </w:r>
    </w:p>
  </w:footnote>
  <w:footnote w:id="75">
    <w:p w14:paraId="1CE5E4E1" w14:textId="768DC97B" w:rsidR="00FE00EA" w:rsidRDefault="00FE00EA">
      <w:pPr>
        <w:pStyle w:val="FootnoteText"/>
      </w:pPr>
      <w:r>
        <w:rPr>
          <w:rStyle w:val="FootnoteReference"/>
        </w:rPr>
        <w:footnoteRef/>
      </w:r>
      <w:r w:rsidRPr="00FE00EA">
        <w:t xml:space="preserve"> </w:t>
      </w:r>
      <w:r>
        <w:t>D.11-05-005</w:t>
      </w:r>
      <w:r w:rsidR="009D622B">
        <w:t xml:space="preserve">, </w:t>
      </w:r>
      <w:r w:rsidR="009D622B" w:rsidRPr="009D622B">
        <w:rPr>
          <w:i/>
          <w:iCs/>
        </w:rPr>
        <w:t>Decision Modifying New Generation and Long-Term Cost Allocation Mechanism Pursuant to Sen</w:t>
      </w:r>
      <w:r w:rsidR="009D622B">
        <w:rPr>
          <w:i/>
          <w:iCs/>
        </w:rPr>
        <w:t>a</w:t>
      </w:r>
      <w:r w:rsidR="009D622B" w:rsidRPr="009D622B">
        <w:rPr>
          <w:i/>
          <w:iCs/>
        </w:rPr>
        <w:t>te Bill 695</w:t>
      </w:r>
      <w:r>
        <w:t xml:space="preserve"> at OPs 1-3</w:t>
      </w:r>
      <w:r w:rsidR="009D622B">
        <w:t xml:space="preserve"> [hereinafter D.11-05-005]</w:t>
      </w:r>
      <w:r>
        <w:t>.</w:t>
      </w:r>
      <w:r w:rsidR="002A68CA">
        <w:t xml:space="preserve"> </w:t>
      </w:r>
      <w:r w:rsidRPr="009D622B">
        <w:rPr>
          <w:i/>
          <w:iCs/>
        </w:rPr>
        <w:t>See also</w:t>
      </w:r>
      <w:r>
        <w:t xml:space="preserve"> SCE-0</w:t>
      </w:r>
      <w:r w:rsidR="00C465E6">
        <w:t>5</w:t>
      </w:r>
      <w:r w:rsidR="005277EE">
        <w:t>A</w:t>
      </w:r>
      <w:r>
        <w:t xml:space="preserve"> at 1</w:t>
      </w:r>
      <w:r w:rsidR="00C465E6">
        <w:t>2</w:t>
      </w:r>
      <w:r w:rsidR="005277EE">
        <w:t>8</w:t>
      </w:r>
      <w:r w:rsidR="00C465E6">
        <w:t xml:space="preserve"> and n.1</w:t>
      </w:r>
      <w:r w:rsidR="005277EE">
        <w:t>34</w:t>
      </w:r>
      <w:r>
        <w:t>.</w:t>
      </w:r>
      <w:r w:rsidR="002A68CA">
        <w:t xml:space="preserve"> </w:t>
      </w:r>
    </w:p>
  </w:footnote>
  <w:footnote w:id="76">
    <w:p w14:paraId="640F9C22" w14:textId="2E48A79B" w:rsidR="00A41EA9" w:rsidRDefault="00A41EA9" w:rsidP="00A41EA9">
      <w:pPr>
        <w:pStyle w:val="FootnoteText"/>
      </w:pPr>
      <w:r>
        <w:rPr>
          <w:rStyle w:val="FootnoteReference"/>
        </w:rPr>
        <w:footnoteRef/>
      </w:r>
      <w:r>
        <w:t xml:space="preserve"> SCE-0</w:t>
      </w:r>
      <w:r w:rsidR="00C465E6">
        <w:t>5</w:t>
      </w:r>
      <w:r w:rsidR="00254ED0">
        <w:t>A</w:t>
      </w:r>
      <w:r>
        <w:t xml:space="preserve"> at 1</w:t>
      </w:r>
      <w:r w:rsidR="00254ED0">
        <w:t>31</w:t>
      </w:r>
      <w:r>
        <w:t>-1</w:t>
      </w:r>
      <w:r w:rsidR="00254ED0">
        <w:t>32</w:t>
      </w:r>
      <w:r w:rsidRPr="00994926">
        <w:t>, citing</w:t>
      </w:r>
      <w:r>
        <w:t xml:space="preserve"> D.22-05-015</w:t>
      </w:r>
      <w:r w:rsidR="00BD1BAA">
        <w:t xml:space="preserve">, </w:t>
      </w:r>
      <w:r w:rsidR="00BD1BAA" w:rsidRPr="00BD1BAA">
        <w:rPr>
          <w:i/>
          <w:iCs/>
        </w:rPr>
        <w:t>Decision on Modified Cost Allocation Mechanism</w:t>
      </w:r>
      <w:r w:rsidR="00BD1BAA">
        <w:t>,</w:t>
      </w:r>
      <w:r>
        <w:t xml:space="preserve"> and D.23-02-040</w:t>
      </w:r>
      <w:r w:rsidR="00BD1BAA">
        <w:t xml:space="preserve">, </w:t>
      </w:r>
      <w:r w:rsidR="00BD1BAA" w:rsidRPr="00613911">
        <w:rPr>
          <w:i/>
          <w:iCs/>
        </w:rPr>
        <w:t>Decision Ordering Supplemental Mid-Term Reliability Procurement (2026-2027) and Transmitting Electric Resource Portfolios to California Independent System Operator for 2023-2024 Tran</w:t>
      </w:r>
      <w:r w:rsidR="00613911" w:rsidRPr="00613911">
        <w:rPr>
          <w:i/>
          <w:iCs/>
        </w:rPr>
        <w:t>smission Planning Process</w:t>
      </w:r>
      <w:r w:rsidR="0087487D">
        <w:rPr>
          <w:i/>
          <w:iCs/>
        </w:rPr>
        <w:t xml:space="preserve"> </w:t>
      </w:r>
      <w:r w:rsidR="0087487D" w:rsidRPr="0087487D">
        <w:t>[hereinafter D.22-05-015</w:t>
      </w:r>
      <w:r w:rsidR="0087487D">
        <w:t>]</w:t>
      </w:r>
      <w:r>
        <w:t xml:space="preserve">. The defunct LSEs must have had </w:t>
      </w:r>
      <w:r w:rsidRPr="00960828">
        <w:t>capacity obligation</w:t>
      </w:r>
      <w:r>
        <w:t>s</w:t>
      </w:r>
      <w:r w:rsidRPr="00960828">
        <w:t xml:space="preserve"> under D.19-11-016</w:t>
      </w:r>
      <w:r w:rsidR="00613911">
        <w:t>,</w:t>
      </w:r>
      <w:r w:rsidRPr="00960828">
        <w:t xml:space="preserve"> </w:t>
      </w:r>
      <w:r w:rsidR="00613911" w:rsidRPr="00290581">
        <w:rPr>
          <w:i/>
          <w:iCs/>
        </w:rPr>
        <w:t>Decision Requiring Electric System Reliability Procurement for 2021-2023</w:t>
      </w:r>
      <w:r w:rsidR="00613911">
        <w:t xml:space="preserve"> [hereinafter D.19-11-016] </w:t>
      </w:r>
      <w:r w:rsidRPr="00960828">
        <w:t>or D.21-06-035</w:t>
      </w:r>
      <w:r w:rsidR="00613911">
        <w:t xml:space="preserve">, </w:t>
      </w:r>
      <w:r w:rsidR="00613911" w:rsidRPr="00613911">
        <w:rPr>
          <w:i/>
          <w:iCs/>
        </w:rPr>
        <w:t>Decision Requiring Procurement to Address Mid-Term Reliability (2023-2026)</w:t>
      </w:r>
      <w:r>
        <w:t xml:space="preserve"> </w:t>
      </w:r>
      <w:r w:rsidR="00613911">
        <w:t xml:space="preserve">[hereinafter D.21-06-035] </w:t>
      </w:r>
      <w:r>
        <w:t>for this reversion to apply.</w:t>
      </w:r>
    </w:p>
  </w:footnote>
  <w:footnote w:id="77">
    <w:p w14:paraId="4F6626B0" w14:textId="4EDF66F7" w:rsidR="00426D01" w:rsidRDefault="00426D01" w:rsidP="00426D01">
      <w:pPr>
        <w:pStyle w:val="FootnoteText"/>
      </w:pPr>
      <w:r>
        <w:rPr>
          <w:rStyle w:val="FootnoteReference"/>
        </w:rPr>
        <w:footnoteRef/>
      </w:r>
      <w:r>
        <w:t xml:space="preserve"> SCE-0</w:t>
      </w:r>
      <w:r w:rsidR="00C465E6">
        <w:t>5</w:t>
      </w:r>
      <w:r w:rsidR="00254ED0">
        <w:t>A</w:t>
      </w:r>
      <w:r>
        <w:t xml:space="preserve"> at 1</w:t>
      </w:r>
      <w:r w:rsidR="00C465E6">
        <w:t>2</w:t>
      </w:r>
      <w:r w:rsidR="00254ED0">
        <w:t>9</w:t>
      </w:r>
      <w:r>
        <w:t>, citing D.21-02-028,</w:t>
      </w:r>
      <w:r w:rsidR="00C75D0B">
        <w:t xml:space="preserve"> </w:t>
      </w:r>
      <w:r w:rsidR="00C75D0B" w:rsidRPr="00C75D0B">
        <w:rPr>
          <w:i/>
          <w:iCs/>
        </w:rPr>
        <w:t>Decision Directing Pacific Gas and Electric Company, Southern California Edison Company, and San Diego Gas &amp; Electric Company to Seek Contracts for Additional Power Capacity for Summer 2021 Reliability</w:t>
      </w:r>
      <w:r w:rsidR="00C75D0B">
        <w:rPr>
          <w:i/>
          <w:iCs/>
        </w:rPr>
        <w:t xml:space="preserve"> </w:t>
      </w:r>
      <w:r w:rsidR="00C75D0B" w:rsidRPr="00C75D0B">
        <w:t>[hereinafter</w:t>
      </w:r>
      <w:r w:rsidR="00C75D0B">
        <w:rPr>
          <w:i/>
          <w:iCs/>
        </w:rPr>
        <w:t xml:space="preserve"> </w:t>
      </w:r>
      <w:r w:rsidR="00C75D0B">
        <w:t>D.21-02-028],</w:t>
      </w:r>
      <w:r>
        <w:t xml:space="preserve"> D.21-03-056</w:t>
      </w:r>
      <w:r w:rsidR="00C75D0B">
        <w:t xml:space="preserve">, </w:t>
      </w:r>
      <w:r w:rsidR="00C75D0B" w:rsidRPr="00C75D0B">
        <w:rPr>
          <w:i/>
          <w:iCs/>
        </w:rPr>
        <w:t>Decision Directing Pacific Gas and Electric Company, Southern California Edison Company, and San Diego Gas &amp; Electric Company to</w:t>
      </w:r>
      <w:r w:rsidR="00C75D0B">
        <w:rPr>
          <w:i/>
          <w:iCs/>
        </w:rPr>
        <w:t xml:space="preserve"> Take Actions to Prepare for Potential Extreme Weather in the Summers of 2021 and 2022 </w:t>
      </w:r>
      <w:r w:rsidR="00C75D0B" w:rsidRPr="00C75D0B">
        <w:t>[hereinafter</w:t>
      </w:r>
      <w:r w:rsidR="00C75D0B">
        <w:rPr>
          <w:i/>
          <w:iCs/>
        </w:rPr>
        <w:t xml:space="preserve"> </w:t>
      </w:r>
      <w:r w:rsidR="00C75D0B">
        <w:t>D.21-03-056],</w:t>
      </w:r>
      <w:r>
        <w:t xml:space="preserve"> </w:t>
      </w:r>
      <w:r w:rsidR="00C75D0B">
        <w:t xml:space="preserve">and </w:t>
      </w:r>
      <w:r>
        <w:t>D.21-12-015</w:t>
      </w:r>
      <w:r w:rsidR="00C75D0B">
        <w:t xml:space="preserve">, </w:t>
      </w:r>
      <w:r w:rsidR="00C75D0B" w:rsidRPr="00C75D0B">
        <w:rPr>
          <w:i/>
          <w:iCs/>
        </w:rPr>
        <w:t>Phase 2</w:t>
      </w:r>
      <w:r w:rsidR="00C75D0B">
        <w:t xml:space="preserve"> </w:t>
      </w:r>
      <w:r w:rsidR="00C75D0B" w:rsidRPr="00C75D0B">
        <w:rPr>
          <w:i/>
          <w:iCs/>
        </w:rPr>
        <w:t>Decision Directing Pacific Gas and Electric Company, Southern California Edison Company, and San Diego Gas &amp; Electric Company to</w:t>
      </w:r>
      <w:r w:rsidR="00C75D0B">
        <w:rPr>
          <w:i/>
          <w:iCs/>
        </w:rPr>
        <w:t xml:space="preserve"> Take Actions to Prepare for Potential Extreme Weather in the Summers of 2022 and 2023</w:t>
      </w:r>
      <w:r w:rsidR="00D80A1B">
        <w:rPr>
          <w:i/>
          <w:iCs/>
        </w:rPr>
        <w:t xml:space="preserve"> </w:t>
      </w:r>
      <w:r w:rsidR="00C75D0B" w:rsidRPr="00C75D0B">
        <w:t>[hereinafter</w:t>
      </w:r>
      <w:r w:rsidR="00C75D0B">
        <w:rPr>
          <w:i/>
          <w:iCs/>
        </w:rPr>
        <w:t xml:space="preserve"> </w:t>
      </w:r>
      <w:r w:rsidR="00C75D0B">
        <w:t>D.21-12-015]</w:t>
      </w:r>
      <w:r>
        <w:t>.</w:t>
      </w:r>
    </w:p>
  </w:footnote>
  <w:footnote w:id="78">
    <w:p w14:paraId="4FD9512C" w14:textId="5C6DAB2D" w:rsidR="00A41EA9" w:rsidRDefault="00A41EA9">
      <w:pPr>
        <w:pStyle w:val="FootnoteText"/>
      </w:pPr>
      <w:r>
        <w:rPr>
          <w:rStyle w:val="FootnoteReference"/>
        </w:rPr>
        <w:footnoteRef/>
      </w:r>
      <w:r>
        <w:t xml:space="preserve"> SCE-0</w:t>
      </w:r>
      <w:r w:rsidR="0002293A">
        <w:t>5</w:t>
      </w:r>
      <w:r w:rsidR="00254ED0">
        <w:t>A</w:t>
      </w:r>
      <w:r>
        <w:t xml:space="preserve"> at Table VIII-3</w:t>
      </w:r>
      <w:r w:rsidR="0002293A">
        <w:t>9</w:t>
      </w:r>
      <w:r w:rsidR="00EB36B5">
        <w:t>.</w:t>
      </w:r>
    </w:p>
  </w:footnote>
  <w:footnote w:id="79">
    <w:p w14:paraId="47E3178A" w14:textId="521DC1FE" w:rsidR="001222A6" w:rsidRDefault="001222A6">
      <w:pPr>
        <w:pStyle w:val="FootnoteText"/>
      </w:pPr>
      <w:r>
        <w:rPr>
          <w:rStyle w:val="FootnoteReference"/>
        </w:rPr>
        <w:footnoteRef/>
      </w:r>
      <w:r>
        <w:t xml:space="preserve"> D.20-06-002, </w:t>
      </w:r>
      <w:r w:rsidRPr="001D33FA">
        <w:rPr>
          <w:i/>
          <w:iCs/>
        </w:rPr>
        <w:t>Decision on Central Procurement of the Resource Adequacy Program</w:t>
      </w:r>
      <w:r>
        <w:t>, at O</w:t>
      </w:r>
      <w:r w:rsidR="002F258D">
        <w:t>P</w:t>
      </w:r>
      <w:r>
        <w:t xml:space="preserve">s 2 and </w:t>
      </w:r>
      <w:r w:rsidR="002F258D">
        <w:t>16.</w:t>
      </w:r>
      <w:r w:rsidR="002A68CA">
        <w:t xml:space="preserve"> </w:t>
      </w:r>
      <w:r w:rsidR="002F258D" w:rsidRPr="001D33FA">
        <w:rPr>
          <w:i/>
          <w:iCs/>
        </w:rPr>
        <w:t>See also</w:t>
      </w:r>
      <w:r w:rsidR="002F258D">
        <w:t xml:space="preserve"> SCE-0</w:t>
      </w:r>
      <w:r w:rsidR="00D24DA8">
        <w:t>7</w:t>
      </w:r>
      <w:r w:rsidR="002F258D">
        <w:t xml:space="preserve"> at </w:t>
      </w:r>
      <w:r w:rsidR="00290509">
        <w:t>1.</w:t>
      </w:r>
    </w:p>
  </w:footnote>
  <w:footnote w:id="80">
    <w:p w14:paraId="72597E05" w14:textId="10BDB11D" w:rsidR="00290509" w:rsidRDefault="00290509">
      <w:pPr>
        <w:pStyle w:val="FootnoteText"/>
      </w:pPr>
      <w:r>
        <w:rPr>
          <w:rStyle w:val="FootnoteReference"/>
        </w:rPr>
        <w:footnoteRef/>
      </w:r>
      <w:r>
        <w:t xml:space="preserve"> D.23-06-029</w:t>
      </w:r>
      <w:r w:rsidR="001708EE">
        <w:t xml:space="preserve">, </w:t>
      </w:r>
      <w:r w:rsidR="001708EE" w:rsidRPr="001708EE">
        <w:rPr>
          <w:i/>
          <w:iCs/>
        </w:rPr>
        <w:t xml:space="preserve">Decision Adopting Local Capacity Obligations for 2024-2026, Flexible Capacity Obligations for 2024, and Program </w:t>
      </w:r>
      <w:r w:rsidR="001708EE" w:rsidRPr="0087797C">
        <w:rPr>
          <w:i/>
          <w:iCs/>
        </w:rPr>
        <w:t>Requirements</w:t>
      </w:r>
      <w:r w:rsidR="001708EE" w:rsidRPr="0087797C">
        <w:t xml:space="preserve"> at</w:t>
      </w:r>
      <w:r w:rsidR="00A41EA9" w:rsidRPr="0087797C">
        <w:t xml:space="preserve"> </w:t>
      </w:r>
      <w:r w:rsidR="0087797C" w:rsidRPr="0087797C">
        <w:t>COL 8</w:t>
      </w:r>
      <w:r w:rsidR="00A41EA9" w:rsidRPr="0087797C">
        <w:t>.</w:t>
      </w:r>
      <w:r w:rsidR="001708EE">
        <w:t xml:space="preserve"> </w:t>
      </w:r>
    </w:p>
  </w:footnote>
  <w:footnote w:id="81">
    <w:p w14:paraId="27CA4F21" w14:textId="7D227E50" w:rsidR="0087797C" w:rsidRDefault="0087797C">
      <w:pPr>
        <w:pStyle w:val="FootnoteText"/>
      </w:pPr>
      <w:r>
        <w:rPr>
          <w:rStyle w:val="FootnoteReference"/>
        </w:rPr>
        <w:footnoteRef/>
      </w:r>
      <w:r>
        <w:t xml:space="preserve"> SCE-0</w:t>
      </w:r>
      <w:r w:rsidR="00D24DA8">
        <w:t>7</w:t>
      </w:r>
      <w:r>
        <w:t xml:space="preserve"> at 1.</w:t>
      </w:r>
    </w:p>
  </w:footnote>
  <w:footnote w:id="82">
    <w:p w14:paraId="2A42B229" w14:textId="1E8DE645" w:rsidR="00290509" w:rsidRDefault="00290509">
      <w:pPr>
        <w:pStyle w:val="FootnoteText"/>
      </w:pPr>
      <w:r>
        <w:rPr>
          <w:rStyle w:val="FootnoteReference"/>
        </w:rPr>
        <w:footnoteRef/>
      </w:r>
      <w:r>
        <w:t xml:space="preserve"> D.22-03-034, </w:t>
      </w:r>
      <w:r w:rsidRPr="00290509">
        <w:rPr>
          <w:i/>
          <w:iCs/>
        </w:rPr>
        <w:t>Decision on Phase 1 of the Implementation Track: Modifications to the Central Procurement Entity Structure</w:t>
      </w:r>
      <w:r>
        <w:t xml:space="preserve"> at OP 19.</w:t>
      </w:r>
    </w:p>
  </w:footnote>
  <w:footnote w:id="83">
    <w:p w14:paraId="6B443A74" w14:textId="001A217C" w:rsidR="00FF6F7A" w:rsidRDefault="00FF6F7A">
      <w:pPr>
        <w:pStyle w:val="FootnoteText"/>
      </w:pPr>
      <w:r>
        <w:rPr>
          <w:rStyle w:val="FootnoteReference"/>
        </w:rPr>
        <w:footnoteRef/>
      </w:r>
      <w:r>
        <w:t xml:space="preserve"> SCE-0</w:t>
      </w:r>
      <w:r w:rsidR="00D24DA8">
        <w:t>7</w:t>
      </w:r>
      <w:r>
        <w:t xml:space="preserve"> at </w:t>
      </w:r>
      <w:r w:rsidR="00774DA9">
        <w:t xml:space="preserve">10 and </w:t>
      </w:r>
      <w:r w:rsidR="00BF7611">
        <w:t>Table IV-3</w:t>
      </w:r>
      <w:r w:rsidR="00EB36B5">
        <w:t>.</w:t>
      </w:r>
    </w:p>
  </w:footnote>
  <w:footnote w:id="84">
    <w:p w14:paraId="382A9CA6" w14:textId="510FE10C" w:rsidR="0069612B" w:rsidRDefault="0069612B">
      <w:pPr>
        <w:pStyle w:val="FootnoteText"/>
      </w:pPr>
      <w:r>
        <w:rPr>
          <w:rStyle w:val="FootnoteReference"/>
        </w:rPr>
        <w:footnoteRef/>
      </w:r>
      <w:r>
        <w:t xml:space="preserve"> </w:t>
      </w:r>
      <w:r w:rsidR="00774DA9">
        <w:t>SCE-07 at</w:t>
      </w:r>
      <w:r>
        <w:t xml:space="preserve"> </w:t>
      </w:r>
      <w:r w:rsidR="00585285">
        <w:t xml:space="preserve">13 and </w:t>
      </w:r>
      <w:r>
        <w:t>Table IV-3</w:t>
      </w:r>
      <w:r w:rsidR="00EB36B5">
        <w:t>.</w:t>
      </w:r>
    </w:p>
  </w:footnote>
  <w:footnote w:id="85">
    <w:p w14:paraId="117798B4" w14:textId="5CA78A48" w:rsidR="0069612B" w:rsidRDefault="0069612B">
      <w:pPr>
        <w:pStyle w:val="FootnoteText"/>
      </w:pPr>
      <w:r>
        <w:rPr>
          <w:rStyle w:val="FootnoteReference"/>
        </w:rPr>
        <w:footnoteRef/>
      </w:r>
      <w:r>
        <w:t xml:space="preserve"> SCE-0</w:t>
      </w:r>
      <w:r w:rsidR="00585285">
        <w:t>7</w:t>
      </w:r>
      <w:r>
        <w:t xml:space="preserve"> at 13.</w:t>
      </w:r>
    </w:p>
  </w:footnote>
  <w:footnote w:id="86">
    <w:p w14:paraId="487BB175" w14:textId="5B519A58" w:rsidR="0069612B" w:rsidRDefault="0069612B">
      <w:pPr>
        <w:pStyle w:val="FootnoteText"/>
      </w:pPr>
      <w:r>
        <w:rPr>
          <w:rStyle w:val="FootnoteReference"/>
        </w:rPr>
        <w:footnoteRef/>
      </w:r>
      <w:r>
        <w:t xml:space="preserve"> SCE-0</w:t>
      </w:r>
      <w:r w:rsidR="00585285">
        <w:t>7</w:t>
      </w:r>
      <w:r>
        <w:t xml:space="preserve"> at 14-15</w:t>
      </w:r>
    </w:p>
  </w:footnote>
  <w:footnote w:id="87">
    <w:p w14:paraId="4C274C57" w14:textId="62B098FE" w:rsidR="006E3F53" w:rsidRDefault="006E3F53">
      <w:pPr>
        <w:pStyle w:val="FootnoteText"/>
      </w:pPr>
      <w:r>
        <w:rPr>
          <w:rStyle w:val="FootnoteReference"/>
        </w:rPr>
        <w:footnoteRef/>
      </w:r>
      <w:r>
        <w:t xml:space="preserve"> SCE-07 at 11-12.</w:t>
      </w:r>
    </w:p>
  </w:footnote>
  <w:footnote w:id="88">
    <w:p w14:paraId="7AC8090F" w14:textId="0841E096" w:rsidR="006E3F53" w:rsidRDefault="006E3F53">
      <w:pPr>
        <w:pStyle w:val="FootnoteText"/>
      </w:pPr>
      <w:r>
        <w:rPr>
          <w:rStyle w:val="FootnoteReference"/>
        </w:rPr>
        <w:footnoteRef/>
      </w:r>
      <w:r>
        <w:t xml:space="preserve"> SCE-07 at 8.</w:t>
      </w:r>
    </w:p>
  </w:footnote>
  <w:footnote w:id="89">
    <w:p w14:paraId="38CCD138" w14:textId="4F774296" w:rsidR="00F84176" w:rsidRDefault="00F84176">
      <w:pPr>
        <w:pStyle w:val="FootnoteText"/>
      </w:pPr>
      <w:r>
        <w:rPr>
          <w:rStyle w:val="FootnoteReference"/>
        </w:rPr>
        <w:footnoteRef/>
      </w:r>
      <w:r>
        <w:t xml:space="preserve"> </w:t>
      </w:r>
      <w:r w:rsidR="00257A17" w:rsidRPr="00257A17">
        <w:rPr>
          <w:i/>
          <w:iCs/>
        </w:rPr>
        <w:t xml:space="preserve">See </w:t>
      </w:r>
      <w:bookmarkStart w:id="39" w:name="_Hlk211172821"/>
      <w:r>
        <w:t>D.15-11-021</w:t>
      </w:r>
      <w:bookmarkEnd w:id="39"/>
      <w:r>
        <w:t xml:space="preserve">, </w:t>
      </w:r>
      <w:r w:rsidRPr="00257A17">
        <w:rPr>
          <w:i/>
          <w:iCs/>
        </w:rPr>
        <w:t>Decision on Test Year 2015 General Rate Case for Southern California Edison Company</w:t>
      </w:r>
      <w:r>
        <w:t xml:space="preserve"> at </w:t>
      </w:r>
      <w:r w:rsidR="00257A17">
        <w:t>47.</w:t>
      </w:r>
    </w:p>
  </w:footnote>
  <w:footnote w:id="90">
    <w:p w14:paraId="5EDA4DDB" w14:textId="3B609783" w:rsidR="009723E5" w:rsidRDefault="009723E5" w:rsidP="009723E5">
      <w:pPr>
        <w:pStyle w:val="FootnoteText"/>
      </w:pPr>
      <w:r>
        <w:rPr>
          <w:rStyle w:val="FootnoteReference"/>
        </w:rPr>
        <w:footnoteRef/>
      </w:r>
      <w:r>
        <w:t xml:space="preserve"> SCE-05</w:t>
      </w:r>
      <w:r w:rsidR="0008388C">
        <w:t>A</w:t>
      </w:r>
      <w:r>
        <w:t xml:space="preserve"> at </w:t>
      </w:r>
      <w:r w:rsidR="0008388C">
        <w:t>51</w:t>
      </w:r>
      <w:r>
        <w:t xml:space="preserve">. </w:t>
      </w:r>
    </w:p>
  </w:footnote>
  <w:footnote w:id="91">
    <w:p w14:paraId="38EEB5D5" w14:textId="1139FD08" w:rsidR="00C46A50" w:rsidRDefault="00C46A50">
      <w:pPr>
        <w:pStyle w:val="FootnoteText"/>
      </w:pPr>
      <w:r>
        <w:rPr>
          <w:rStyle w:val="FootnoteReference"/>
        </w:rPr>
        <w:footnoteRef/>
      </w:r>
      <w:r>
        <w:t xml:space="preserve"> D.19-11-016</w:t>
      </w:r>
      <w:r w:rsidR="00290581">
        <w:t xml:space="preserve">, </w:t>
      </w:r>
      <w:r w:rsidR="00290581" w:rsidRPr="00290581">
        <w:rPr>
          <w:i/>
          <w:iCs/>
        </w:rPr>
        <w:t>Decision Requiring Electric System Reliability Procurement for 2021-2023</w:t>
      </w:r>
      <w:r>
        <w:t xml:space="preserve"> at 41</w:t>
      </w:r>
      <w:r w:rsidR="00290581">
        <w:t xml:space="preserve"> [hereinafter D.19-11-016]</w:t>
      </w:r>
      <w:r>
        <w:t>.</w:t>
      </w:r>
      <w:r w:rsidR="0053194D">
        <w:t xml:space="preserve"> The Commission also required SCE to procure 140.3 MW for its Direct Access customers.</w:t>
      </w:r>
    </w:p>
  </w:footnote>
  <w:footnote w:id="92">
    <w:p w14:paraId="5EB12530" w14:textId="77777777" w:rsidR="001C656B" w:rsidRDefault="00EC4EF3" w:rsidP="001C656B">
      <w:pPr>
        <w:pStyle w:val="FootnoteText"/>
        <w:spacing w:after="0"/>
      </w:pPr>
      <w:r>
        <w:rPr>
          <w:rStyle w:val="FootnoteReference"/>
        </w:rPr>
        <w:footnoteRef/>
      </w:r>
      <w:r>
        <w:t xml:space="preserve"> SCE-0</w:t>
      </w:r>
      <w:r w:rsidR="009723E5">
        <w:t>5</w:t>
      </w:r>
      <w:r w:rsidR="00C57EE4">
        <w:t>A</w:t>
      </w:r>
      <w:r>
        <w:t xml:space="preserve"> at </w:t>
      </w:r>
      <w:r w:rsidR="009723E5">
        <w:t>n.5</w:t>
      </w:r>
      <w:r w:rsidR="0008388C">
        <w:t>6</w:t>
      </w:r>
      <w:r>
        <w:t xml:space="preserve">, </w:t>
      </w:r>
      <w:r w:rsidRPr="00994926">
        <w:t>citing</w:t>
      </w:r>
      <w:r>
        <w:t xml:space="preserve"> </w:t>
      </w:r>
      <w:r w:rsidR="00190D6B" w:rsidRPr="00190D6B">
        <w:t xml:space="preserve">April 15, </w:t>
      </w:r>
      <w:proofErr w:type="gramStart"/>
      <w:r w:rsidR="00190D6B" w:rsidRPr="00190D6B">
        <w:t>2020</w:t>
      </w:r>
      <w:proofErr w:type="gramEnd"/>
      <w:r w:rsidR="00190D6B" w:rsidRPr="00190D6B">
        <w:t xml:space="preserve"> </w:t>
      </w:r>
      <w:r w:rsidR="00190D6B" w:rsidRPr="00190D6B">
        <w:rPr>
          <w:i/>
          <w:iCs/>
        </w:rPr>
        <w:t>Administrative Law Judge’s Ruling Finalizing Load Forecasts and Greenhouse Gas</w:t>
      </w:r>
      <w:r w:rsidR="00190D6B">
        <w:rPr>
          <w:i/>
          <w:iCs/>
        </w:rPr>
        <w:t xml:space="preserve"> </w:t>
      </w:r>
      <w:r w:rsidR="00190D6B" w:rsidRPr="00190D6B">
        <w:rPr>
          <w:i/>
          <w:iCs/>
        </w:rPr>
        <w:t xml:space="preserve">Benchmarks </w:t>
      </w:r>
      <w:r w:rsidR="0053194D">
        <w:rPr>
          <w:i/>
          <w:iCs/>
        </w:rPr>
        <w:t>f</w:t>
      </w:r>
      <w:r w:rsidR="00190D6B" w:rsidRPr="00190D6B">
        <w:rPr>
          <w:i/>
          <w:iCs/>
        </w:rPr>
        <w:t>or Individual 2020 Integrated Resource Plan Filings and Assigning Procurement Obligations</w:t>
      </w:r>
      <w:r w:rsidR="00190D6B">
        <w:rPr>
          <w:i/>
          <w:iCs/>
        </w:rPr>
        <w:t xml:space="preserve"> </w:t>
      </w:r>
      <w:r w:rsidR="00190D6B" w:rsidRPr="00190D6B">
        <w:rPr>
          <w:i/>
          <w:iCs/>
        </w:rPr>
        <w:t xml:space="preserve">Pursuant </w:t>
      </w:r>
      <w:r w:rsidR="0053194D">
        <w:rPr>
          <w:i/>
          <w:iCs/>
        </w:rPr>
        <w:t>t</w:t>
      </w:r>
      <w:r w:rsidR="00190D6B" w:rsidRPr="00190D6B">
        <w:rPr>
          <w:i/>
          <w:iCs/>
        </w:rPr>
        <w:t xml:space="preserve">o Decision 19-11-016 </w:t>
      </w:r>
      <w:r w:rsidR="00290581">
        <w:t>at</w:t>
      </w:r>
      <w:r w:rsidR="00290581" w:rsidRPr="00190D6B">
        <w:t xml:space="preserve"> 9</w:t>
      </w:r>
      <w:r w:rsidR="00290581">
        <w:t xml:space="preserve">, </w:t>
      </w:r>
      <w:r w:rsidR="00190D6B" w:rsidRPr="00190D6B">
        <w:t>in R</w:t>
      </w:r>
      <w:r w:rsidR="0053194D">
        <w:t xml:space="preserve">ulemaking </w:t>
      </w:r>
    </w:p>
    <w:p w14:paraId="3C60408F" w14:textId="3EB91D98" w:rsidR="00EC4EF3" w:rsidRPr="00190D6B" w:rsidRDefault="0053194D" w:rsidP="00190D6B">
      <w:pPr>
        <w:pStyle w:val="FootnoteText"/>
        <w:rPr>
          <w:i/>
          <w:iCs/>
        </w:rPr>
      </w:pPr>
      <w:r>
        <w:t>(R</w:t>
      </w:r>
      <w:r w:rsidR="00190D6B" w:rsidRPr="00190D6B">
        <w:t>.</w:t>
      </w:r>
      <w:r>
        <w:t xml:space="preserve">) </w:t>
      </w:r>
      <w:r w:rsidR="00190D6B" w:rsidRPr="00190D6B">
        <w:t>16-02-007.</w:t>
      </w:r>
    </w:p>
  </w:footnote>
  <w:footnote w:id="93">
    <w:p w14:paraId="0A973107" w14:textId="5411CAF3" w:rsidR="0053194D" w:rsidRDefault="0053194D" w:rsidP="0053194D">
      <w:pPr>
        <w:pStyle w:val="FootnoteText"/>
      </w:pPr>
      <w:r>
        <w:rPr>
          <w:rStyle w:val="FootnoteReference"/>
        </w:rPr>
        <w:footnoteRef/>
      </w:r>
      <w:r>
        <w:t xml:space="preserve"> D.19-11-016 at 37, and 74-75, COL 13.</w:t>
      </w:r>
    </w:p>
  </w:footnote>
  <w:footnote w:id="94">
    <w:p w14:paraId="54022651" w14:textId="0C062305" w:rsidR="00370B99" w:rsidRDefault="00370B99" w:rsidP="00F248DC">
      <w:pPr>
        <w:pStyle w:val="FootnoteText"/>
      </w:pPr>
      <w:r>
        <w:rPr>
          <w:rStyle w:val="FootnoteReference"/>
        </w:rPr>
        <w:footnoteRef/>
      </w:r>
      <w:r>
        <w:t xml:space="preserve"> SCE-0</w:t>
      </w:r>
      <w:r w:rsidR="009723E5">
        <w:t>5</w:t>
      </w:r>
      <w:r w:rsidR="00C57EE4">
        <w:t>A</w:t>
      </w:r>
      <w:r>
        <w:t xml:space="preserve"> at </w:t>
      </w:r>
      <w:r w:rsidR="009723E5">
        <w:t>5</w:t>
      </w:r>
      <w:r w:rsidR="00C57EE4">
        <w:t>2</w:t>
      </w:r>
      <w:r>
        <w:t>.</w:t>
      </w:r>
      <w:r w:rsidR="002A68CA">
        <w:t xml:space="preserve"> </w:t>
      </w:r>
    </w:p>
  </w:footnote>
  <w:footnote w:id="95">
    <w:p w14:paraId="4DA75964" w14:textId="103FD907" w:rsidR="008E0322" w:rsidRDefault="008E0322">
      <w:pPr>
        <w:pStyle w:val="FootnoteText"/>
      </w:pPr>
      <w:r>
        <w:rPr>
          <w:rStyle w:val="FootnoteReference"/>
        </w:rPr>
        <w:footnoteRef/>
      </w:r>
      <w:r>
        <w:t xml:space="preserve"> D.21-06-035 required LSEs to procure an additional 11,500 MW of Net Qualifying Capacity that would come online between 2023 and 2026.</w:t>
      </w:r>
      <w:r w:rsidR="002A68CA">
        <w:t xml:space="preserve"> </w:t>
      </w:r>
      <w:r>
        <w:t>“</w:t>
      </w:r>
      <w:r w:rsidRPr="008E0322">
        <w:t>Unlike D.19-11-016, D.21-06-035 did not allow LSEs to opt-out of self-procurement. However, D.21-06-035 requires the IOUs to backstop any LSEs that fail to procure and bring-online their required share of reliability resources.</w:t>
      </w:r>
      <w:r w:rsidR="007D7A4E">
        <w:t>”</w:t>
      </w:r>
      <w:r w:rsidR="002A68CA">
        <w:t xml:space="preserve"> </w:t>
      </w:r>
      <w:r w:rsidR="00C57EE4">
        <w:t>Resolution (</w:t>
      </w:r>
      <w:r>
        <w:t>Res.</w:t>
      </w:r>
      <w:r w:rsidR="00C57EE4">
        <w:t>)</w:t>
      </w:r>
      <w:r>
        <w:t xml:space="preserve"> E-5240 at 2. </w:t>
      </w:r>
    </w:p>
  </w:footnote>
  <w:footnote w:id="96">
    <w:p w14:paraId="52795F6F" w14:textId="3C7CF53F" w:rsidR="009D50A6" w:rsidRDefault="009D50A6" w:rsidP="009D50A6">
      <w:pPr>
        <w:pStyle w:val="FootnoteText"/>
      </w:pPr>
      <w:r>
        <w:rPr>
          <w:rStyle w:val="FootnoteReference"/>
        </w:rPr>
        <w:footnoteRef/>
      </w:r>
      <w:r>
        <w:t xml:space="preserve"> D.22-05-015, </w:t>
      </w:r>
      <w:r w:rsidRPr="00320C29">
        <w:rPr>
          <w:i/>
          <w:iCs/>
        </w:rPr>
        <w:t>Decision on Modified Cost Allocation Mechanism for Opt-Out and Backstop Procurement Obligations</w:t>
      </w:r>
      <w:r>
        <w:t xml:space="preserve"> at 1</w:t>
      </w:r>
      <w:r w:rsidR="006C461A">
        <w:t xml:space="preserve"> [hereinafter D.22-05-015]</w:t>
      </w:r>
      <w:r>
        <w:t>.</w:t>
      </w:r>
    </w:p>
  </w:footnote>
  <w:footnote w:id="97">
    <w:p w14:paraId="154F14BF" w14:textId="257E2EEC" w:rsidR="009D50A6" w:rsidRDefault="009D50A6" w:rsidP="009D50A6">
      <w:pPr>
        <w:pStyle w:val="FootnoteText"/>
      </w:pPr>
      <w:r>
        <w:rPr>
          <w:rStyle w:val="FootnoteReference"/>
        </w:rPr>
        <w:footnoteRef/>
      </w:r>
      <w:r>
        <w:t xml:space="preserve"> D.22-05-015 at </w:t>
      </w:r>
      <w:r w:rsidR="00C57EE4">
        <w:t>Ordering Paragraphs (</w:t>
      </w:r>
      <w:r>
        <w:t>OPs</w:t>
      </w:r>
      <w:r w:rsidR="00C57EE4">
        <w:t>)</w:t>
      </w:r>
      <w:r>
        <w:t xml:space="preserve"> 2 and 3.</w:t>
      </w:r>
    </w:p>
  </w:footnote>
  <w:footnote w:id="98">
    <w:p w14:paraId="3109F9B0" w14:textId="56EC92CF" w:rsidR="003D249D" w:rsidRDefault="003D249D" w:rsidP="00045277">
      <w:pPr>
        <w:pStyle w:val="FootnoteText"/>
      </w:pPr>
      <w:r>
        <w:rPr>
          <w:rStyle w:val="FootnoteReference"/>
        </w:rPr>
        <w:footnoteRef/>
      </w:r>
      <w:r>
        <w:t xml:space="preserve"> D.22-05-015 at OP 4.</w:t>
      </w:r>
      <w:r w:rsidR="002A68CA">
        <w:t xml:space="preserve"> </w:t>
      </w:r>
    </w:p>
  </w:footnote>
  <w:footnote w:id="99">
    <w:p w14:paraId="047D4C0A" w14:textId="4E4E8CE9" w:rsidR="00FA6124" w:rsidRDefault="00FA6124" w:rsidP="00FA6124">
      <w:pPr>
        <w:pStyle w:val="FootnoteText"/>
      </w:pPr>
      <w:r>
        <w:rPr>
          <w:rStyle w:val="FootnoteReference"/>
        </w:rPr>
        <w:footnoteRef/>
      </w:r>
      <w:r>
        <w:t xml:space="preserve"> SCE-0</w:t>
      </w:r>
      <w:r w:rsidR="009723E5">
        <w:t>5</w:t>
      </w:r>
      <w:r w:rsidR="00C57EE4">
        <w:t>A</w:t>
      </w:r>
      <w:r>
        <w:t xml:space="preserve"> at </w:t>
      </w:r>
      <w:r w:rsidR="009723E5">
        <w:t>5</w:t>
      </w:r>
      <w:r w:rsidR="00C57EE4">
        <w:t>2</w:t>
      </w:r>
      <w:r>
        <w:t>.</w:t>
      </w:r>
    </w:p>
  </w:footnote>
  <w:footnote w:id="100">
    <w:p w14:paraId="3158B321" w14:textId="77777777" w:rsidR="00C57EE4" w:rsidRDefault="00C57EE4" w:rsidP="00C57EE4">
      <w:pPr>
        <w:pStyle w:val="FootnoteText"/>
      </w:pPr>
      <w:r>
        <w:rPr>
          <w:rStyle w:val="FootnoteReference"/>
        </w:rPr>
        <w:footnoteRef/>
      </w:r>
      <w:r>
        <w:t xml:space="preserve"> </w:t>
      </w:r>
      <w:r w:rsidRPr="00C57EE4">
        <w:t>Res. E-5240 lists the customer groups on whose behalf SCE procured resources pursuant to D.19-11-016</w:t>
      </w:r>
      <w:r>
        <w:t xml:space="preserve"> (and D.21-06-035, discussed </w:t>
      </w:r>
      <w:r w:rsidRPr="00EB5064">
        <w:t>further in Section 5.2.9) and</w:t>
      </w:r>
      <w:r>
        <w:t xml:space="preserve">, in some cases, where these costs will be transferred to from the SRPMA: </w:t>
      </w:r>
      <w:r w:rsidRPr="00456A89">
        <w:t>bundled customers</w:t>
      </w:r>
      <w:r>
        <w:t xml:space="preserve"> (PABA),</w:t>
      </w:r>
      <w:r w:rsidRPr="00456A89">
        <w:t xml:space="preserve"> Opt-Out LSE customers</w:t>
      </w:r>
      <w:r>
        <w:t xml:space="preserve"> (MCAMBA)</w:t>
      </w:r>
      <w:r w:rsidRPr="00456A89">
        <w:t>, non-operational Opt-Out LSE customers</w:t>
      </w:r>
      <w:r>
        <w:t xml:space="preserve"> (NSGBA)</w:t>
      </w:r>
      <w:r w:rsidRPr="00456A89">
        <w:t>, bundled customers who departed to non-IOU</w:t>
      </w:r>
      <w:r>
        <w:t xml:space="preserve"> and</w:t>
      </w:r>
      <w:r w:rsidRPr="00456A89">
        <w:t xml:space="preserve"> non-</w:t>
      </w:r>
      <w:proofErr w:type="spellStart"/>
      <w:r w:rsidRPr="00456A89">
        <w:t>Opt</w:t>
      </w:r>
      <w:proofErr w:type="spellEnd"/>
      <w:r w:rsidRPr="00456A89">
        <w:t xml:space="preserve"> Out LSEs between November 2019 and May 2022</w:t>
      </w:r>
      <w:r>
        <w:t xml:space="preserve"> (PABA)</w:t>
      </w:r>
      <w:r w:rsidRPr="00456A89">
        <w:t>, and Backstop/Deficient LSE customers</w:t>
      </w:r>
      <w:r>
        <w:t xml:space="preserve"> (MCAMBA)</w:t>
      </w:r>
      <w:r w:rsidRPr="00456A89">
        <w:t>.</w:t>
      </w:r>
      <w:r>
        <w:t xml:space="preserve"> </w:t>
      </w:r>
      <w:r w:rsidRPr="002A36DE">
        <w:rPr>
          <w:i/>
          <w:iCs/>
        </w:rPr>
        <w:t>Id</w:t>
      </w:r>
      <w:r>
        <w:t xml:space="preserve">. at 3-4. </w:t>
      </w:r>
      <w:r w:rsidRPr="002A36DE">
        <w:rPr>
          <w:i/>
          <w:iCs/>
        </w:rPr>
        <w:t>See also</w:t>
      </w:r>
      <w:r>
        <w:t xml:space="preserve"> SCE-05A at 52 and Table IV-9, in which SCE notes the applicable balancing account associated with each of the “System Reliability RFO” (or “SR RFO”) line items. </w:t>
      </w:r>
    </w:p>
  </w:footnote>
  <w:footnote w:id="101">
    <w:p w14:paraId="47BE52E1" w14:textId="50530011" w:rsidR="007D7A4E" w:rsidRDefault="007D7A4E">
      <w:pPr>
        <w:pStyle w:val="FootnoteText"/>
      </w:pPr>
      <w:r>
        <w:rPr>
          <w:rStyle w:val="FootnoteReference"/>
        </w:rPr>
        <w:footnoteRef/>
      </w:r>
      <w:r>
        <w:t xml:space="preserve"> </w:t>
      </w:r>
      <w:r w:rsidR="00BF5664">
        <w:t>D.22-05-10 at 8.</w:t>
      </w:r>
      <w:r w:rsidR="002A68CA">
        <w:t xml:space="preserve"> </w:t>
      </w:r>
    </w:p>
  </w:footnote>
  <w:footnote w:id="102">
    <w:p w14:paraId="1A0AC11D" w14:textId="4192F0CC" w:rsidR="00952D0F" w:rsidRDefault="00952D0F">
      <w:pPr>
        <w:pStyle w:val="FootnoteText"/>
      </w:pPr>
      <w:r>
        <w:rPr>
          <w:rStyle w:val="FootnoteReference"/>
        </w:rPr>
        <w:footnoteRef/>
      </w:r>
      <w:r>
        <w:t xml:space="preserve"> SCE-0</w:t>
      </w:r>
      <w:r w:rsidR="001E6D18">
        <w:t>5</w:t>
      </w:r>
      <w:r w:rsidR="00C57EE4">
        <w:t>A</w:t>
      </w:r>
      <w:r>
        <w:t xml:space="preserve"> at </w:t>
      </w:r>
      <w:r w:rsidR="00BC7E8C">
        <w:t>53-54</w:t>
      </w:r>
      <w:r w:rsidR="00EC715D">
        <w:t>.</w:t>
      </w:r>
    </w:p>
  </w:footnote>
  <w:footnote w:id="103">
    <w:p w14:paraId="79786288" w14:textId="4230ED01" w:rsidR="00573074" w:rsidRDefault="00573074">
      <w:pPr>
        <w:pStyle w:val="FootnoteText"/>
      </w:pPr>
      <w:r>
        <w:rPr>
          <w:rStyle w:val="FootnoteReference"/>
        </w:rPr>
        <w:footnoteRef/>
      </w:r>
      <w:r>
        <w:t xml:space="preserve"> SCE-0</w:t>
      </w:r>
      <w:r w:rsidR="001E6D18">
        <w:t>5</w:t>
      </w:r>
      <w:r w:rsidR="00BC7E8C">
        <w:t>A</w:t>
      </w:r>
      <w:r>
        <w:t xml:space="preserve"> at 1</w:t>
      </w:r>
      <w:r w:rsidR="001E6D18">
        <w:t>2</w:t>
      </w:r>
      <w:r w:rsidR="00BC7E8C">
        <w:t>9;</w:t>
      </w:r>
      <w:r>
        <w:t xml:space="preserve"> </w:t>
      </w:r>
      <w:r w:rsidRPr="00FF1C1C">
        <w:rPr>
          <w:i/>
          <w:iCs/>
        </w:rPr>
        <w:t>see also</w:t>
      </w:r>
      <w:r>
        <w:t xml:space="preserve"> SCE-0</w:t>
      </w:r>
      <w:r w:rsidR="001E6D18">
        <w:t>5</w:t>
      </w:r>
      <w:r w:rsidR="00BC7E8C">
        <w:t>A</w:t>
      </w:r>
      <w:r>
        <w:t xml:space="preserve"> at Table IV-</w:t>
      </w:r>
      <w:r w:rsidR="001E6D18">
        <w:t>9</w:t>
      </w:r>
      <w:r w:rsidR="00EB36B5">
        <w:t>.</w:t>
      </w:r>
    </w:p>
  </w:footnote>
  <w:footnote w:id="104">
    <w:p w14:paraId="54D582CE" w14:textId="1A3234D6" w:rsidR="00854612" w:rsidRDefault="00854612">
      <w:pPr>
        <w:pStyle w:val="FootnoteText"/>
      </w:pPr>
      <w:r>
        <w:rPr>
          <w:rStyle w:val="FootnoteReference"/>
        </w:rPr>
        <w:footnoteRef/>
      </w:r>
      <w:r>
        <w:t xml:space="preserve"> D.21-02-028 at </w:t>
      </w:r>
      <w:r w:rsidR="00FF1C1C">
        <w:t>11 and OP 1</w:t>
      </w:r>
      <w:r>
        <w:t>; SCE-0</w:t>
      </w:r>
      <w:r w:rsidR="001E6D18">
        <w:t>5</w:t>
      </w:r>
      <w:r w:rsidR="00BC7E8C">
        <w:t>A</w:t>
      </w:r>
      <w:r>
        <w:t xml:space="preserve"> at </w:t>
      </w:r>
      <w:r w:rsidR="001E6D18">
        <w:t>5</w:t>
      </w:r>
      <w:r w:rsidR="00BC7E8C">
        <w:t>3</w:t>
      </w:r>
      <w:r>
        <w:t>.</w:t>
      </w:r>
    </w:p>
  </w:footnote>
  <w:footnote w:id="105">
    <w:p w14:paraId="724DDAC7" w14:textId="24A18D19" w:rsidR="00854612" w:rsidRDefault="00854612">
      <w:pPr>
        <w:pStyle w:val="FootnoteText"/>
      </w:pPr>
      <w:r>
        <w:rPr>
          <w:rStyle w:val="FootnoteReference"/>
        </w:rPr>
        <w:footnoteRef/>
      </w:r>
      <w:r>
        <w:t xml:space="preserve"> </w:t>
      </w:r>
      <w:r w:rsidRPr="00EC715D">
        <w:t>D.21-03-056</w:t>
      </w:r>
      <w:r w:rsidR="00600F1F">
        <w:t xml:space="preserve"> at 1 and FOF 77.</w:t>
      </w:r>
    </w:p>
  </w:footnote>
  <w:footnote w:id="106">
    <w:p w14:paraId="4C7C2F87" w14:textId="577EAF9F" w:rsidR="00916DC0" w:rsidRDefault="00916DC0">
      <w:pPr>
        <w:pStyle w:val="FootnoteText"/>
      </w:pPr>
      <w:r>
        <w:rPr>
          <w:rStyle w:val="FootnoteReference"/>
        </w:rPr>
        <w:footnoteRef/>
      </w:r>
      <w:r>
        <w:t xml:space="preserve"> </w:t>
      </w:r>
      <w:r w:rsidR="00854612">
        <w:t>D.21-12-015 at 1</w:t>
      </w:r>
      <w:r w:rsidR="00D123C7">
        <w:t>, OP 2 and OP 3</w:t>
      </w:r>
      <w:r w:rsidR="00854612">
        <w:t xml:space="preserve">; </w:t>
      </w:r>
      <w:r>
        <w:t>SCE-0</w:t>
      </w:r>
      <w:r w:rsidR="001E6D18">
        <w:t>5</w:t>
      </w:r>
      <w:r w:rsidR="00BC7E8C">
        <w:t>A</w:t>
      </w:r>
      <w:r>
        <w:t xml:space="preserve"> at </w:t>
      </w:r>
      <w:r w:rsidR="001E6D18">
        <w:t>5</w:t>
      </w:r>
      <w:r w:rsidR="00BC7E8C">
        <w:t>4</w:t>
      </w:r>
      <w:r>
        <w:t>.</w:t>
      </w:r>
      <w:r w:rsidR="002A68CA">
        <w:t xml:space="preserve"> </w:t>
      </w:r>
    </w:p>
  </w:footnote>
  <w:footnote w:id="107">
    <w:p w14:paraId="36E5ED1D" w14:textId="16F40D7E" w:rsidR="00E73DDC" w:rsidRDefault="00E73DDC">
      <w:pPr>
        <w:pStyle w:val="FootnoteText"/>
      </w:pPr>
      <w:r>
        <w:rPr>
          <w:rStyle w:val="FootnoteReference"/>
        </w:rPr>
        <w:footnoteRef/>
      </w:r>
      <w:r>
        <w:t xml:space="preserve"> D.21-12-015 at OP 70.</w:t>
      </w:r>
    </w:p>
  </w:footnote>
  <w:footnote w:id="108">
    <w:p w14:paraId="12D89768" w14:textId="14F4FEDD" w:rsidR="008858BF" w:rsidRDefault="008858BF">
      <w:pPr>
        <w:pStyle w:val="FootnoteText"/>
      </w:pPr>
      <w:r>
        <w:rPr>
          <w:rStyle w:val="FootnoteReference"/>
        </w:rPr>
        <w:footnoteRef/>
      </w:r>
      <w:r>
        <w:t xml:space="preserve"> SCE-0</w:t>
      </w:r>
      <w:r w:rsidR="001E6D18">
        <w:t>5</w:t>
      </w:r>
      <w:r w:rsidR="00BC7E8C">
        <w:t>A</w:t>
      </w:r>
      <w:r>
        <w:t xml:space="preserve"> at 5</w:t>
      </w:r>
      <w:r w:rsidR="00BC7E8C">
        <w:t>4-55</w:t>
      </w:r>
      <w:r>
        <w:t>.</w:t>
      </w:r>
    </w:p>
  </w:footnote>
  <w:footnote w:id="109">
    <w:p w14:paraId="29DE74DD" w14:textId="31A89E82" w:rsidR="008858BF" w:rsidRDefault="008858BF">
      <w:pPr>
        <w:pStyle w:val="FootnoteText"/>
      </w:pPr>
      <w:r>
        <w:rPr>
          <w:rStyle w:val="FootnoteReference"/>
        </w:rPr>
        <w:footnoteRef/>
      </w:r>
      <w:r>
        <w:t xml:space="preserve"> </w:t>
      </w:r>
      <w:r w:rsidRPr="008858BF">
        <w:t>D.21-06-035</w:t>
      </w:r>
      <w:r>
        <w:t xml:space="preserve"> at 1 and OP 1</w:t>
      </w:r>
      <w:r w:rsidR="00E22624">
        <w:t>; SCE-0</w:t>
      </w:r>
      <w:r w:rsidR="001E6D18">
        <w:t>5</w:t>
      </w:r>
      <w:r w:rsidR="00BC7E8C">
        <w:t>A</w:t>
      </w:r>
      <w:r w:rsidR="00E22624">
        <w:t xml:space="preserve"> at </w:t>
      </w:r>
      <w:r w:rsidR="001E6D18">
        <w:t>5</w:t>
      </w:r>
      <w:r w:rsidR="00BC7E8C">
        <w:t>4</w:t>
      </w:r>
      <w:r w:rsidR="00E22624">
        <w:t>.</w:t>
      </w:r>
    </w:p>
  </w:footnote>
  <w:footnote w:id="110">
    <w:p w14:paraId="6EDA4D6E" w14:textId="49373563" w:rsidR="001C2E88" w:rsidRDefault="001C2E88">
      <w:pPr>
        <w:pStyle w:val="FootnoteText"/>
      </w:pPr>
      <w:r>
        <w:rPr>
          <w:rStyle w:val="FootnoteReference"/>
        </w:rPr>
        <w:footnoteRef/>
      </w:r>
      <w:r>
        <w:t xml:space="preserve"> </w:t>
      </w:r>
      <w:r w:rsidR="00E22624" w:rsidRPr="008858BF">
        <w:t>D.21-06-035</w:t>
      </w:r>
      <w:r w:rsidR="00E22624">
        <w:t xml:space="preserve"> </w:t>
      </w:r>
      <w:r w:rsidR="008465C3">
        <w:t xml:space="preserve">at </w:t>
      </w:r>
      <w:r w:rsidR="00E22624">
        <w:t>Table 6 and OP 3</w:t>
      </w:r>
      <w:r w:rsidR="008465C3">
        <w:t>;</w:t>
      </w:r>
      <w:r w:rsidR="00E22624">
        <w:t xml:space="preserve"> </w:t>
      </w:r>
      <w:r>
        <w:t>SCE-0</w:t>
      </w:r>
      <w:r w:rsidR="001E6D18">
        <w:t>5</w:t>
      </w:r>
      <w:r w:rsidR="00BC7E8C">
        <w:t>A</w:t>
      </w:r>
      <w:r>
        <w:t xml:space="preserve"> at </w:t>
      </w:r>
      <w:r w:rsidR="001E6D18">
        <w:t>5</w:t>
      </w:r>
      <w:r w:rsidR="00BC7E8C">
        <w:t>4</w:t>
      </w:r>
      <w:r>
        <w:t>.</w:t>
      </w:r>
    </w:p>
  </w:footnote>
  <w:footnote w:id="111">
    <w:p w14:paraId="51FB324E" w14:textId="23E6C5EF" w:rsidR="008858BF" w:rsidRDefault="008858BF">
      <w:pPr>
        <w:pStyle w:val="FootnoteText"/>
      </w:pPr>
      <w:r>
        <w:rPr>
          <w:rStyle w:val="FootnoteReference"/>
        </w:rPr>
        <w:footnoteRef/>
      </w:r>
      <w:r>
        <w:t xml:space="preserve"> SCE-0</w:t>
      </w:r>
      <w:r w:rsidR="00EB36B5">
        <w:t>5</w:t>
      </w:r>
      <w:r w:rsidR="00BC7E8C">
        <w:t>A</w:t>
      </w:r>
      <w:r>
        <w:t xml:space="preserve"> at </w:t>
      </w:r>
      <w:r w:rsidR="001E6D18">
        <w:t>5</w:t>
      </w:r>
      <w:r w:rsidR="00BC7E8C">
        <w:t>5</w:t>
      </w:r>
      <w:r>
        <w:t>.</w:t>
      </w:r>
    </w:p>
  </w:footnote>
  <w:footnote w:id="112">
    <w:p w14:paraId="2A27A4DA" w14:textId="33AB06F8" w:rsidR="00D371F3" w:rsidRDefault="00D371F3">
      <w:pPr>
        <w:pStyle w:val="FootnoteText"/>
      </w:pPr>
      <w:r>
        <w:rPr>
          <w:rStyle w:val="FootnoteReference"/>
        </w:rPr>
        <w:footnoteRef/>
      </w:r>
      <w:r>
        <w:t xml:space="preserve"> </w:t>
      </w:r>
      <w:r w:rsidRPr="00D371F3">
        <w:t>D.23-02-040</w:t>
      </w:r>
      <w:r w:rsidR="00643071">
        <w:t>,</w:t>
      </w:r>
      <w:r>
        <w:t xml:space="preserve"> </w:t>
      </w:r>
      <w:r w:rsidR="00643071" w:rsidRPr="00643071">
        <w:rPr>
          <w:i/>
          <w:iCs/>
        </w:rPr>
        <w:t>Decision Ordering Supplemental Mid-Term Reliability Procurement (2026-2027) and Transmitting Electric Resource Portfolios to California Independent System Operator for 2023-2024 Transmission Planning P</w:t>
      </w:r>
      <w:r w:rsidR="008546E0">
        <w:rPr>
          <w:i/>
          <w:iCs/>
        </w:rPr>
        <w:t>rocess</w:t>
      </w:r>
      <w:r w:rsidR="00643071">
        <w:t xml:space="preserve"> </w:t>
      </w:r>
      <w:r>
        <w:t>at 1</w:t>
      </w:r>
      <w:r w:rsidR="00643071">
        <w:t xml:space="preserve"> [hereinafter D.23-02-040]</w:t>
      </w:r>
      <w:r w:rsidR="0086512D">
        <w:t>; SCE-0</w:t>
      </w:r>
      <w:r w:rsidR="001E6D18">
        <w:t>5</w:t>
      </w:r>
      <w:r w:rsidR="00BC7E8C">
        <w:t>A</w:t>
      </w:r>
      <w:r w:rsidR="0086512D">
        <w:t xml:space="preserve"> at </w:t>
      </w:r>
      <w:r w:rsidR="001E6D18">
        <w:t>5</w:t>
      </w:r>
      <w:r w:rsidR="00BC7E8C">
        <w:t>4</w:t>
      </w:r>
      <w:r w:rsidR="001E6D18">
        <w:t>-5</w:t>
      </w:r>
      <w:r w:rsidR="00BC7E8C">
        <w:t>5</w:t>
      </w:r>
      <w:r w:rsidR="0086512D">
        <w:t>.</w:t>
      </w:r>
    </w:p>
  </w:footnote>
  <w:footnote w:id="113">
    <w:p w14:paraId="5E1353AA" w14:textId="2DA13B66" w:rsidR="00E124AC" w:rsidRPr="00C53ACF" w:rsidRDefault="00E124AC">
      <w:pPr>
        <w:pStyle w:val="FootnoteText"/>
      </w:pPr>
      <w:r>
        <w:rPr>
          <w:rStyle w:val="FootnoteReference"/>
        </w:rPr>
        <w:footnoteRef/>
      </w:r>
      <w:r>
        <w:t xml:space="preserve"> </w:t>
      </w:r>
      <w:r w:rsidR="00643071">
        <w:t>D.23-02-040 at 31 and OP 3.</w:t>
      </w:r>
      <w:r w:rsidR="00C53ACF">
        <w:t xml:space="preserve"> D.23-02-040 was modified by D.24-02-047. Compliance mechanisms for the procurement required by these decisions were modified in D.25-09-007, </w:t>
      </w:r>
      <w:r w:rsidR="00C53ACF" w:rsidRPr="00CC0FC1">
        <w:rPr>
          <w:i/>
          <w:iCs/>
        </w:rPr>
        <w:t>Decision Granting, with Modifications, Southern California Edison Company’s Petition for Modification of Decisions 23-02-040 and 24-02-047</w:t>
      </w:r>
      <w:r w:rsidR="00C53ACF">
        <w:rPr>
          <w:i/>
          <w:iCs/>
        </w:rPr>
        <w:t xml:space="preserve"> </w:t>
      </w:r>
      <w:r w:rsidR="00C53ACF">
        <w:t>[hereinafter D.25-09-007].</w:t>
      </w:r>
    </w:p>
  </w:footnote>
  <w:footnote w:id="114">
    <w:p w14:paraId="2DCB4D3D" w14:textId="56444C67" w:rsidR="000B3250" w:rsidRDefault="000B3250">
      <w:pPr>
        <w:pStyle w:val="FootnoteText"/>
      </w:pPr>
      <w:r>
        <w:rPr>
          <w:rStyle w:val="FootnoteReference"/>
        </w:rPr>
        <w:footnoteRef/>
      </w:r>
      <w:r>
        <w:t xml:space="preserve"> SCE-0</w:t>
      </w:r>
      <w:r w:rsidR="00974D9C">
        <w:t>5</w:t>
      </w:r>
      <w:r w:rsidR="00B07A4C">
        <w:t>A</w:t>
      </w:r>
      <w:r>
        <w:t xml:space="preserve"> at </w:t>
      </w:r>
      <w:r w:rsidR="00974D9C">
        <w:t>5</w:t>
      </w:r>
      <w:r w:rsidR="00BC7E8C">
        <w:t>5</w:t>
      </w:r>
      <w:r>
        <w:t>-</w:t>
      </w:r>
      <w:r w:rsidR="00C6105E">
        <w:t>60</w:t>
      </w:r>
      <w:r>
        <w:t>.</w:t>
      </w:r>
      <w:r w:rsidR="00B07A4C">
        <w:t xml:space="preserve"> </w:t>
      </w:r>
    </w:p>
  </w:footnote>
  <w:footnote w:id="115">
    <w:p w14:paraId="66ABD715" w14:textId="61E06A5A" w:rsidR="000B3250" w:rsidRDefault="000B3250">
      <w:pPr>
        <w:pStyle w:val="FootnoteText"/>
      </w:pPr>
      <w:r>
        <w:rPr>
          <w:rStyle w:val="FootnoteReference"/>
        </w:rPr>
        <w:footnoteRef/>
      </w:r>
      <w:r>
        <w:t xml:space="preserve"> SCE-0</w:t>
      </w:r>
      <w:r w:rsidR="000020DB">
        <w:t>5</w:t>
      </w:r>
      <w:r w:rsidR="00C6105E">
        <w:t>A</w:t>
      </w:r>
      <w:r>
        <w:t xml:space="preserve"> at 5</w:t>
      </w:r>
      <w:r w:rsidR="00B07A4C">
        <w:t>8</w:t>
      </w:r>
      <w:r>
        <w:t>-</w:t>
      </w:r>
      <w:r w:rsidR="00B07A4C">
        <w:t>60</w:t>
      </w:r>
      <w:r>
        <w:t>.</w:t>
      </w:r>
    </w:p>
  </w:footnote>
  <w:footnote w:id="116">
    <w:p w14:paraId="28262D28" w14:textId="5A7FF441" w:rsidR="000B3250" w:rsidRDefault="000B3250">
      <w:pPr>
        <w:pStyle w:val="FootnoteText"/>
      </w:pPr>
      <w:r>
        <w:rPr>
          <w:rStyle w:val="FootnoteReference"/>
        </w:rPr>
        <w:footnoteRef/>
      </w:r>
      <w:r>
        <w:t xml:space="preserve"> SCE-0</w:t>
      </w:r>
      <w:r w:rsidR="000020DB">
        <w:t>5</w:t>
      </w:r>
      <w:r w:rsidR="00B07A4C">
        <w:t>A</w:t>
      </w:r>
      <w:r>
        <w:t xml:space="preserve"> at </w:t>
      </w:r>
      <w:r w:rsidR="00B07A4C">
        <w:t>60</w:t>
      </w:r>
      <w:r>
        <w:t>.</w:t>
      </w:r>
    </w:p>
  </w:footnote>
  <w:footnote w:id="117">
    <w:p w14:paraId="73CA29A1" w14:textId="71C97EF5" w:rsidR="009879D2" w:rsidRDefault="009879D2">
      <w:pPr>
        <w:pStyle w:val="FootnoteText"/>
      </w:pPr>
      <w:r>
        <w:rPr>
          <w:rStyle w:val="FootnoteReference"/>
        </w:rPr>
        <w:footnoteRef/>
      </w:r>
      <w:r>
        <w:t xml:space="preserve"> SCE-05</w:t>
      </w:r>
      <w:r w:rsidR="00B07A4C">
        <w:t>A</w:t>
      </w:r>
      <w:r>
        <w:t xml:space="preserve"> at </w:t>
      </w:r>
      <w:r w:rsidR="00B07A4C">
        <w:t>61</w:t>
      </w:r>
      <w:r>
        <w:t>.</w:t>
      </w:r>
    </w:p>
  </w:footnote>
  <w:footnote w:id="118">
    <w:p w14:paraId="042E486C" w14:textId="7D3B8DE0" w:rsidR="00B16130" w:rsidRDefault="00B16130">
      <w:pPr>
        <w:pStyle w:val="FootnoteText"/>
      </w:pPr>
      <w:r>
        <w:rPr>
          <w:rStyle w:val="FootnoteReference"/>
        </w:rPr>
        <w:footnoteRef/>
      </w:r>
      <w:r>
        <w:t xml:space="preserve"> SCE-01 at 52-53.</w:t>
      </w:r>
    </w:p>
  </w:footnote>
  <w:footnote w:id="119">
    <w:p w14:paraId="2248B9BD" w14:textId="38DBF6D3" w:rsidR="00B16130" w:rsidRDefault="00B16130">
      <w:pPr>
        <w:pStyle w:val="FootnoteText"/>
      </w:pPr>
      <w:r>
        <w:rPr>
          <w:rStyle w:val="FootnoteReference"/>
        </w:rPr>
        <w:footnoteRef/>
      </w:r>
      <w:r>
        <w:t xml:space="preserve"> SCE-01 at 149.</w:t>
      </w:r>
    </w:p>
  </w:footnote>
  <w:footnote w:id="120">
    <w:p w14:paraId="28277B24" w14:textId="49001429" w:rsidR="00CC0FC1" w:rsidRDefault="00CC0FC1">
      <w:pPr>
        <w:pStyle w:val="FootnoteText"/>
      </w:pPr>
      <w:r>
        <w:rPr>
          <w:rStyle w:val="FootnoteReference"/>
        </w:rPr>
        <w:footnoteRef/>
      </w:r>
      <w:r>
        <w:t xml:space="preserve"> D.25-09-007</w:t>
      </w:r>
      <w:r w:rsidR="00C53ACF">
        <w:t xml:space="preserve"> </w:t>
      </w:r>
      <w:r>
        <w:t>at OP 2.</w:t>
      </w:r>
    </w:p>
  </w:footnote>
  <w:footnote w:id="121">
    <w:p w14:paraId="3D96E28B" w14:textId="452C3C50" w:rsidR="00B16130" w:rsidRDefault="00B16130" w:rsidP="008546E0">
      <w:pPr>
        <w:pStyle w:val="FootnoteText"/>
      </w:pPr>
      <w:r>
        <w:rPr>
          <w:rStyle w:val="FootnoteReference"/>
        </w:rPr>
        <w:footnoteRef/>
      </w:r>
      <w:r>
        <w:t xml:space="preserve"> D.25-09-007</w:t>
      </w:r>
      <w:r w:rsidR="00CC0FC1">
        <w:t xml:space="preserve"> at </w:t>
      </w:r>
      <w:r w:rsidR="00C53ACF">
        <w:t>OP 6.</w:t>
      </w:r>
      <w:r w:rsidR="008546E0">
        <w:t xml:space="preserve"> </w:t>
      </w:r>
    </w:p>
  </w:footnote>
  <w:footnote w:id="122">
    <w:p w14:paraId="1CEE9214" w14:textId="5B9A4E52" w:rsidR="009E7955" w:rsidRDefault="009E7955">
      <w:pPr>
        <w:pStyle w:val="FootnoteText"/>
      </w:pPr>
      <w:r>
        <w:rPr>
          <w:rStyle w:val="FootnoteReference"/>
        </w:rPr>
        <w:footnoteRef/>
      </w:r>
      <w:r>
        <w:t xml:space="preserve"> D.25-09-007 at 2 and F</w:t>
      </w:r>
      <w:r w:rsidR="00A75DD0">
        <w:t>O</w:t>
      </w:r>
      <w:r>
        <w:t>F 4.</w:t>
      </w:r>
    </w:p>
  </w:footnote>
  <w:footnote w:id="123">
    <w:p w14:paraId="0F318D42" w14:textId="3D4B7DBF" w:rsidR="00966E15" w:rsidRDefault="00966E15" w:rsidP="006C4FFE">
      <w:pPr>
        <w:pStyle w:val="FootnoteText"/>
      </w:pPr>
      <w:r>
        <w:rPr>
          <w:rStyle w:val="FootnoteReference"/>
        </w:rPr>
        <w:footnoteRef/>
      </w:r>
      <w:r>
        <w:t xml:space="preserve"> SCE-0</w:t>
      </w:r>
      <w:r w:rsidR="00C53D87">
        <w:t>5</w:t>
      </w:r>
      <w:r w:rsidR="00B07A4C">
        <w:t>A</w:t>
      </w:r>
      <w:r>
        <w:t xml:space="preserve"> at </w:t>
      </w:r>
      <w:r w:rsidR="00C53D87">
        <w:t>6</w:t>
      </w:r>
      <w:r w:rsidR="00B07A4C">
        <w:t>2</w:t>
      </w:r>
      <w:r>
        <w:t>.</w:t>
      </w:r>
      <w:r w:rsidR="00C53D87">
        <w:t xml:space="preserve"> </w:t>
      </w:r>
      <w:r w:rsidR="004B04F3">
        <w:t xml:space="preserve">The Commission adopted </w:t>
      </w:r>
      <w:r w:rsidR="00C53D87">
        <w:t>SCE’s final 2026 RA requirement</w:t>
      </w:r>
      <w:r w:rsidR="004B04F3">
        <w:t>s</w:t>
      </w:r>
      <w:r w:rsidR="006C4FFE">
        <w:t xml:space="preserve"> in D.25-06-048, </w:t>
      </w:r>
      <w:r w:rsidR="006C4FFE" w:rsidRPr="007F198A">
        <w:rPr>
          <w:i/>
          <w:iCs/>
        </w:rPr>
        <w:t>Adopting Local Capacity Obligations for 2026-2028, Flexible Capacity Obligations for 2026, and Program Refinements</w:t>
      </w:r>
      <w:r w:rsidR="006C4FFE">
        <w:rPr>
          <w:i/>
          <w:iCs/>
        </w:rPr>
        <w:t xml:space="preserve"> </w:t>
      </w:r>
      <w:r w:rsidR="006C4FFE" w:rsidRPr="006C4FFE">
        <w:t>[hereinafter D.25-06-048</w:t>
      </w:r>
      <w:r w:rsidR="006C4FFE">
        <w:t>]</w:t>
      </w:r>
      <w:r w:rsidR="006C4FFE" w:rsidRPr="006C4FFE">
        <w:t>.</w:t>
      </w:r>
      <w:r w:rsidR="006C4FFE">
        <w:t xml:space="preserve"> These requirements include an 18 percent planning reserve margin </w:t>
      </w:r>
      <w:r w:rsidR="004B04F3">
        <w:t xml:space="preserve">(PRM) </w:t>
      </w:r>
      <w:r w:rsidR="006C4FFE">
        <w:t xml:space="preserve">and </w:t>
      </w:r>
      <w:bookmarkStart w:id="57" w:name="_Hlk212446652"/>
      <w:r w:rsidR="006C4FFE" w:rsidRPr="006C4FFE">
        <w:t>an effective PRM procurement target ranging from 1,260 to 2,300 MW for the months of June</w:t>
      </w:r>
      <w:r w:rsidR="006C4FFE">
        <w:t xml:space="preserve"> </w:t>
      </w:r>
      <w:r w:rsidR="006C4FFE" w:rsidRPr="006C4FFE">
        <w:t>through October</w:t>
      </w:r>
      <w:r w:rsidR="006C4FFE">
        <w:t xml:space="preserve">. </w:t>
      </w:r>
      <w:bookmarkEnd w:id="57"/>
      <w:r w:rsidR="006C4FFE">
        <w:t>SCE-05</w:t>
      </w:r>
      <w:r w:rsidR="00FD61EE">
        <w:t>A</w:t>
      </w:r>
      <w:r w:rsidR="006C4FFE">
        <w:t xml:space="preserve"> at 15</w:t>
      </w:r>
      <w:r w:rsidR="00FD61EE">
        <w:t>3</w:t>
      </w:r>
      <w:r w:rsidR="006C4FFE">
        <w:t>.</w:t>
      </w:r>
    </w:p>
  </w:footnote>
  <w:footnote w:id="124">
    <w:p w14:paraId="5ABBF4E9" w14:textId="6C387815" w:rsidR="00C53D87" w:rsidRDefault="00C53D87">
      <w:pPr>
        <w:pStyle w:val="FootnoteText"/>
      </w:pPr>
      <w:r>
        <w:rPr>
          <w:rStyle w:val="FootnoteReference"/>
        </w:rPr>
        <w:footnoteRef/>
      </w:r>
      <w:r>
        <w:t xml:space="preserve"> </w:t>
      </w:r>
      <w:r w:rsidR="009E7955">
        <w:t>SCE-05</w:t>
      </w:r>
      <w:r w:rsidR="009D012D">
        <w:t>A</w:t>
      </w:r>
      <w:r w:rsidR="009E7955">
        <w:t xml:space="preserve"> at 6</w:t>
      </w:r>
      <w:r w:rsidR="009D012D">
        <w:t>3; D.25-06-048 at 20.</w:t>
      </w:r>
    </w:p>
  </w:footnote>
  <w:footnote w:id="125">
    <w:p w14:paraId="5E240DAE" w14:textId="4EFE9566" w:rsidR="00DE0295" w:rsidRDefault="00DE0295">
      <w:pPr>
        <w:pStyle w:val="FootnoteText"/>
      </w:pPr>
      <w:r>
        <w:rPr>
          <w:rStyle w:val="FootnoteReference"/>
        </w:rPr>
        <w:footnoteRef/>
      </w:r>
      <w:r>
        <w:t xml:space="preserve"> SCE-0</w:t>
      </w:r>
      <w:r w:rsidR="00887FFA">
        <w:t>5</w:t>
      </w:r>
      <w:r w:rsidR="009D012D">
        <w:t>A</w:t>
      </w:r>
      <w:r>
        <w:t xml:space="preserve"> at </w:t>
      </w:r>
      <w:r w:rsidR="00887FFA">
        <w:t>6</w:t>
      </w:r>
      <w:r w:rsidR="009D012D">
        <w:t>3</w:t>
      </w:r>
      <w:r>
        <w:t>.</w:t>
      </w:r>
    </w:p>
  </w:footnote>
  <w:footnote w:id="126">
    <w:p w14:paraId="1D37125B" w14:textId="5ABB5FA8" w:rsidR="0091309A" w:rsidRDefault="0091309A">
      <w:pPr>
        <w:pStyle w:val="FootnoteText"/>
      </w:pPr>
      <w:r>
        <w:rPr>
          <w:rStyle w:val="FootnoteReference"/>
        </w:rPr>
        <w:footnoteRef/>
      </w:r>
      <w:r>
        <w:t xml:space="preserve"> SCE-0</w:t>
      </w:r>
      <w:r w:rsidR="00E60501">
        <w:t>5</w:t>
      </w:r>
      <w:r w:rsidR="009D012D">
        <w:t>A</w:t>
      </w:r>
      <w:r>
        <w:t xml:space="preserve"> at </w:t>
      </w:r>
      <w:r w:rsidR="00E60501">
        <w:t>6</w:t>
      </w:r>
      <w:r w:rsidR="009D012D">
        <w:t>4</w:t>
      </w:r>
      <w:r>
        <w:t>.</w:t>
      </w:r>
    </w:p>
  </w:footnote>
  <w:footnote w:id="127">
    <w:p w14:paraId="5E08EA9F" w14:textId="4449487D" w:rsidR="007148C3" w:rsidRDefault="007148C3">
      <w:pPr>
        <w:pStyle w:val="FootnoteText"/>
      </w:pPr>
      <w:r>
        <w:rPr>
          <w:rStyle w:val="FootnoteReference"/>
        </w:rPr>
        <w:footnoteRef/>
      </w:r>
      <w:r>
        <w:t xml:space="preserve"> SCE-0</w:t>
      </w:r>
      <w:r w:rsidR="00E60501">
        <w:t>5</w:t>
      </w:r>
      <w:r w:rsidR="009D012D">
        <w:t>A</w:t>
      </w:r>
      <w:r>
        <w:t xml:space="preserve"> at </w:t>
      </w:r>
      <w:r w:rsidR="009D012D">
        <w:t>63</w:t>
      </w:r>
      <w:r>
        <w:t xml:space="preserve">; D.13-02-015, </w:t>
      </w:r>
      <w:r w:rsidRPr="007148C3">
        <w:rPr>
          <w:i/>
          <w:iCs/>
        </w:rPr>
        <w:t>Decision Authorizing Long-Term Procurement for Local Capacity Requirements</w:t>
      </w:r>
      <w:r>
        <w:t xml:space="preserve"> at OPs 1 and 2.</w:t>
      </w:r>
    </w:p>
  </w:footnote>
  <w:footnote w:id="128">
    <w:p w14:paraId="2A6641D4" w14:textId="11FC1EA1" w:rsidR="00C7384E" w:rsidRDefault="00C7384E">
      <w:pPr>
        <w:pStyle w:val="FootnoteText"/>
      </w:pPr>
      <w:r>
        <w:rPr>
          <w:rStyle w:val="FootnoteReference"/>
        </w:rPr>
        <w:footnoteRef/>
      </w:r>
      <w:r>
        <w:t xml:space="preserve"> </w:t>
      </w:r>
      <w:r w:rsidR="008C17BA">
        <w:t>SCE-0</w:t>
      </w:r>
      <w:r w:rsidR="00E60501">
        <w:t>5</w:t>
      </w:r>
      <w:r w:rsidR="009D012D">
        <w:t>A</w:t>
      </w:r>
      <w:r w:rsidR="008C17BA">
        <w:t xml:space="preserve"> at </w:t>
      </w:r>
      <w:r w:rsidR="00E60501">
        <w:t>6</w:t>
      </w:r>
      <w:r w:rsidR="009D012D">
        <w:t>3</w:t>
      </w:r>
      <w:r w:rsidR="007148C3">
        <w:t xml:space="preserve">; D.14-03-004, </w:t>
      </w:r>
      <w:r w:rsidR="007148C3" w:rsidRPr="007148C3">
        <w:rPr>
          <w:i/>
          <w:iCs/>
        </w:rPr>
        <w:t>Decision Authorizing Long-Term Procurement for Local Capacity Requirements</w:t>
      </w:r>
      <w:r w:rsidR="007148C3">
        <w:rPr>
          <w:i/>
          <w:iCs/>
        </w:rPr>
        <w:t xml:space="preserve"> Due to Permanent Retirement of the San Onofre Nuclear Generating Stations </w:t>
      </w:r>
      <w:r w:rsidR="007148C3" w:rsidRPr="007148C3">
        <w:t>at</w:t>
      </w:r>
      <w:r w:rsidR="0091309A">
        <w:rPr>
          <w:i/>
          <w:iCs/>
        </w:rPr>
        <w:t xml:space="preserve"> </w:t>
      </w:r>
      <w:r w:rsidR="0091309A" w:rsidRPr="0091309A">
        <w:t>OP 1</w:t>
      </w:r>
      <w:r w:rsidR="008C17BA">
        <w:t>.</w:t>
      </w:r>
    </w:p>
  </w:footnote>
  <w:footnote w:id="129">
    <w:p w14:paraId="7B98D645" w14:textId="3A4654BF" w:rsidR="008C17BA" w:rsidRDefault="008C17BA">
      <w:pPr>
        <w:pStyle w:val="FootnoteText"/>
      </w:pPr>
      <w:r>
        <w:rPr>
          <w:rStyle w:val="FootnoteReference"/>
        </w:rPr>
        <w:footnoteRef/>
      </w:r>
      <w:r>
        <w:t xml:space="preserve"> </w:t>
      </w:r>
      <w:r w:rsidR="0091309A">
        <w:t>SCE</w:t>
      </w:r>
      <w:r w:rsidR="00E60501">
        <w:t>-05</w:t>
      </w:r>
      <w:r w:rsidR="009D012D">
        <w:t>A</w:t>
      </w:r>
      <w:r w:rsidR="0091309A">
        <w:t xml:space="preserve"> at </w:t>
      </w:r>
      <w:r w:rsidR="00E60501" w:rsidRPr="00E60501">
        <w:t>6</w:t>
      </w:r>
      <w:r w:rsidR="009D012D">
        <w:t>3</w:t>
      </w:r>
      <w:r w:rsidR="0091309A" w:rsidRPr="00E60501">
        <w:t xml:space="preserve">; </w:t>
      </w:r>
      <w:r w:rsidR="00EE0BA6" w:rsidRPr="00E60501">
        <w:t>D.15-11-0</w:t>
      </w:r>
      <w:r w:rsidR="00E60501" w:rsidRPr="00E60501">
        <w:t>41</w:t>
      </w:r>
      <w:r w:rsidR="00B04DAC" w:rsidRPr="00E60501">
        <w:t>,</w:t>
      </w:r>
      <w:r w:rsidR="00B04DAC">
        <w:t xml:space="preserve"> </w:t>
      </w:r>
      <w:r w:rsidR="00B04DAC" w:rsidRPr="00B04DAC">
        <w:rPr>
          <w:i/>
          <w:iCs/>
        </w:rPr>
        <w:t xml:space="preserve">Decision Approving, in Part, Results of Southern California Edison Company Local Capacity Requirements Request for Offers for the Western LA Basin Pursuant to Decisions 13-02-015 and </w:t>
      </w:r>
      <w:r w:rsidR="00EA47D8">
        <w:rPr>
          <w:i/>
          <w:iCs/>
        </w:rPr>
        <w:t>D.</w:t>
      </w:r>
      <w:r w:rsidR="00B04DAC" w:rsidRPr="00B04DAC">
        <w:rPr>
          <w:i/>
          <w:iCs/>
        </w:rPr>
        <w:t>14-03-004</w:t>
      </w:r>
      <w:r w:rsidR="00B04DAC">
        <w:t xml:space="preserve"> at OP 1.</w:t>
      </w:r>
    </w:p>
  </w:footnote>
  <w:footnote w:id="130">
    <w:p w14:paraId="2A11E2A3" w14:textId="28EE87DF" w:rsidR="0091309A" w:rsidRDefault="0091309A">
      <w:pPr>
        <w:pStyle w:val="FootnoteText"/>
      </w:pPr>
      <w:r>
        <w:rPr>
          <w:rStyle w:val="FootnoteReference"/>
        </w:rPr>
        <w:footnoteRef/>
      </w:r>
      <w:r>
        <w:t xml:space="preserve"> SCE-0</w:t>
      </w:r>
      <w:r w:rsidR="00E60501">
        <w:t>5</w:t>
      </w:r>
      <w:r w:rsidR="009D012D">
        <w:t>A</w:t>
      </w:r>
      <w:r>
        <w:t xml:space="preserve"> at </w:t>
      </w:r>
      <w:r w:rsidR="00E60501">
        <w:t>6</w:t>
      </w:r>
      <w:r w:rsidR="009D012D">
        <w:t>4</w:t>
      </w:r>
      <w:r>
        <w:t>.</w:t>
      </w:r>
    </w:p>
  </w:footnote>
  <w:footnote w:id="131">
    <w:p w14:paraId="371ADA60" w14:textId="5F774443" w:rsidR="00FD3D11" w:rsidRDefault="00FD3D11">
      <w:pPr>
        <w:pStyle w:val="FootnoteText"/>
      </w:pPr>
      <w:r>
        <w:rPr>
          <w:rStyle w:val="FootnoteReference"/>
        </w:rPr>
        <w:footnoteRef/>
      </w:r>
      <w:r>
        <w:t xml:space="preserve"> SCE-0</w:t>
      </w:r>
      <w:r w:rsidR="00E60501">
        <w:t>5</w:t>
      </w:r>
      <w:r>
        <w:t xml:space="preserve"> at </w:t>
      </w:r>
      <w:r w:rsidR="00E60501">
        <w:t>62</w:t>
      </w:r>
      <w:r>
        <w:t>.</w:t>
      </w:r>
    </w:p>
  </w:footnote>
  <w:footnote w:id="132">
    <w:p w14:paraId="08D6CB44" w14:textId="246DA314" w:rsidR="001A6BFB" w:rsidRDefault="001A6BFB">
      <w:pPr>
        <w:pStyle w:val="FootnoteText"/>
      </w:pPr>
      <w:r>
        <w:rPr>
          <w:rStyle w:val="FootnoteReference"/>
        </w:rPr>
        <w:footnoteRef/>
      </w:r>
      <w:r>
        <w:t xml:space="preserve"> D.18-07-023, </w:t>
      </w:r>
      <w:r w:rsidRPr="001A6BFB">
        <w:rPr>
          <w:i/>
          <w:iCs/>
        </w:rPr>
        <w:t>Decision Approving the Results of Southern California Edison Company’s Second Preferred Resources Pilot Procurement</w:t>
      </w:r>
      <w:r>
        <w:t xml:space="preserve"> at OP 1.</w:t>
      </w:r>
    </w:p>
  </w:footnote>
  <w:footnote w:id="133">
    <w:p w14:paraId="536433AB" w14:textId="3B2E2A93" w:rsidR="001677AD" w:rsidRDefault="001677AD">
      <w:pPr>
        <w:pStyle w:val="FootnoteText"/>
      </w:pPr>
      <w:r>
        <w:rPr>
          <w:rStyle w:val="FootnoteReference"/>
        </w:rPr>
        <w:footnoteRef/>
      </w:r>
      <w:r>
        <w:t xml:space="preserve"> SCE-0</w:t>
      </w:r>
      <w:r w:rsidR="00E60501">
        <w:t>5</w:t>
      </w:r>
      <w:r w:rsidR="009D012D">
        <w:t>A</w:t>
      </w:r>
      <w:r>
        <w:t xml:space="preserve"> at Table VII-</w:t>
      </w:r>
      <w:r w:rsidR="00E60501">
        <w:t>9</w:t>
      </w:r>
      <w:r>
        <w:t xml:space="preserve">, </w:t>
      </w:r>
      <w:r w:rsidR="00FD3D11">
        <w:t>ln. 10</w:t>
      </w:r>
      <w:r w:rsidR="00E60501">
        <w:t>5</w:t>
      </w:r>
      <w:r>
        <w:t>: “Resource Adequacy – Purchases,” “PRP RFO.”</w:t>
      </w:r>
    </w:p>
  </w:footnote>
  <w:footnote w:id="134">
    <w:p w14:paraId="3C39014B" w14:textId="6EE7194D" w:rsidR="001677AD" w:rsidRDefault="001677AD" w:rsidP="001677AD">
      <w:pPr>
        <w:pStyle w:val="FootnoteText"/>
      </w:pPr>
      <w:r>
        <w:rPr>
          <w:rStyle w:val="FootnoteReference"/>
        </w:rPr>
        <w:footnoteRef/>
      </w:r>
      <w:r>
        <w:t xml:space="preserve"> </w:t>
      </w:r>
      <w:r w:rsidR="00C37A94" w:rsidRPr="00C37A94">
        <w:rPr>
          <w:i/>
          <w:iCs/>
        </w:rPr>
        <w:t>See</w:t>
      </w:r>
      <w:r w:rsidR="00C37A94">
        <w:t xml:space="preserve"> </w:t>
      </w:r>
      <w:r>
        <w:t>SCE-0</w:t>
      </w:r>
      <w:r w:rsidR="00E60501">
        <w:t>5</w:t>
      </w:r>
      <w:r w:rsidR="003E513B">
        <w:t xml:space="preserve">A, </w:t>
      </w:r>
      <w:r w:rsidRPr="00E60501">
        <w:t>n.6</w:t>
      </w:r>
      <w:r w:rsidR="009D012D">
        <w:t>6</w:t>
      </w:r>
      <w:r w:rsidR="00084F02">
        <w:t xml:space="preserve"> for reference to recovery </w:t>
      </w:r>
      <w:r w:rsidR="00C37A94">
        <w:t xml:space="preserve">of PRP costs </w:t>
      </w:r>
      <w:r w:rsidR="00084F02">
        <w:t>via the PPPC</w:t>
      </w:r>
      <w:r w:rsidRPr="00E60501">
        <w:t>.</w:t>
      </w:r>
      <w:r w:rsidR="00FD3D11" w:rsidRPr="00E60501">
        <w:t xml:space="preserve"> </w:t>
      </w:r>
      <w:r w:rsidR="00C37A94" w:rsidRPr="00C37A94">
        <w:rPr>
          <w:i/>
          <w:iCs/>
        </w:rPr>
        <w:t>See</w:t>
      </w:r>
      <w:r w:rsidR="00C37A94">
        <w:t xml:space="preserve"> </w:t>
      </w:r>
      <w:r w:rsidR="00084F02">
        <w:t>SCE-05</w:t>
      </w:r>
      <w:r w:rsidR="003E513B">
        <w:t>A</w:t>
      </w:r>
      <w:r w:rsidR="00084F02">
        <w:t xml:space="preserve"> at Table VIII-36</w:t>
      </w:r>
      <w:r w:rsidR="00EB36B5">
        <w:t xml:space="preserve">, </w:t>
      </w:r>
      <w:r w:rsidR="00084F02">
        <w:t>n.3</w:t>
      </w:r>
      <w:r w:rsidR="00EB36B5">
        <w:t>,</w:t>
      </w:r>
      <w:r w:rsidR="00084F02">
        <w:t xml:space="preserve"> for reference to recovery </w:t>
      </w:r>
      <w:r w:rsidR="00C37A94">
        <w:t xml:space="preserve">of PRP costs </w:t>
      </w:r>
      <w:r w:rsidR="00084F02">
        <w:t xml:space="preserve">via the </w:t>
      </w:r>
      <w:r w:rsidR="003E513B">
        <w:t>Base Revenue Requirement Balancing Account-</w:t>
      </w:r>
      <w:r w:rsidR="00084F02">
        <w:t xml:space="preserve">Distribution </w:t>
      </w:r>
      <w:r w:rsidR="003E513B">
        <w:t xml:space="preserve">(BRRBA-D) </w:t>
      </w:r>
      <w:r w:rsidR="00084F02">
        <w:t>rate component.</w:t>
      </w:r>
      <w:r w:rsidR="00C37A94">
        <w:t xml:space="preserve"> </w:t>
      </w:r>
      <w:r w:rsidR="00EB36B5" w:rsidRPr="00EB36B5">
        <w:rPr>
          <w:i/>
          <w:iCs/>
        </w:rPr>
        <w:t>See</w:t>
      </w:r>
      <w:r w:rsidR="00EB36B5">
        <w:t xml:space="preserve"> </w:t>
      </w:r>
      <w:r w:rsidR="00C37A94">
        <w:t>SCE-05</w:t>
      </w:r>
      <w:r w:rsidR="003E513B">
        <w:t>A</w:t>
      </w:r>
      <w:r w:rsidR="00C37A94">
        <w:t xml:space="preserve"> at Table IV-9</w:t>
      </w:r>
      <w:r w:rsidR="00EB36B5">
        <w:t>,</w:t>
      </w:r>
      <w:r w:rsidR="00542CE8">
        <w:t xml:space="preserve"> ln. 105</w:t>
      </w:r>
      <w:r w:rsidR="00EB36B5">
        <w:t>,</w:t>
      </w:r>
      <w:r w:rsidR="00542CE8">
        <w:t xml:space="preserve"> for reference to a portion of PRP costs </w:t>
      </w:r>
      <w:r w:rsidR="003E513B">
        <w:t xml:space="preserve">tracked </w:t>
      </w:r>
      <w:r w:rsidR="00542CE8">
        <w:t>via the PABA.</w:t>
      </w:r>
    </w:p>
  </w:footnote>
  <w:footnote w:id="135">
    <w:p w14:paraId="6EED2E3A" w14:textId="64B25AB6" w:rsidR="00767CE9" w:rsidRDefault="00767CE9" w:rsidP="00767CE9">
      <w:pPr>
        <w:pStyle w:val="FootnoteText"/>
      </w:pPr>
      <w:r>
        <w:rPr>
          <w:rStyle w:val="FootnoteReference"/>
        </w:rPr>
        <w:footnoteRef/>
      </w:r>
      <w:r>
        <w:t xml:space="preserve"> S</w:t>
      </w:r>
      <w:r w:rsidR="00B5339A">
        <w:t>CE-0</w:t>
      </w:r>
      <w:r w:rsidR="00E60501">
        <w:t>5</w:t>
      </w:r>
      <w:r w:rsidR="003E513B">
        <w:t>A</w:t>
      </w:r>
      <w:r w:rsidR="00B5339A">
        <w:t xml:space="preserve"> at </w:t>
      </w:r>
      <w:r w:rsidR="00E60501">
        <w:t>6</w:t>
      </w:r>
      <w:r w:rsidR="003E513B">
        <w:t>5</w:t>
      </w:r>
      <w:r w:rsidR="00B5339A">
        <w:t>.</w:t>
      </w:r>
      <w:r>
        <w:t xml:space="preserve"> </w:t>
      </w:r>
      <w:r w:rsidR="00855A2B">
        <w:t xml:space="preserve">D. 15-01-015, </w:t>
      </w:r>
      <w:r w:rsidR="00855A2B" w:rsidRPr="00B5339A">
        <w:rPr>
          <w:i/>
          <w:iCs/>
        </w:rPr>
        <w:t>Decision Approving Green Tariff Shared Renewables Program for San Diego Gas &amp; Electric Company, Pacific Gas and Electric Company, and Southern California Edison Company Pursuant to Senate Bill 43</w:t>
      </w:r>
      <w:r w:rsidR="00855A2B">
        <w:t>.</w:t>
      </w:r>
      <w:r w:rsidR="00B5339A">
        <w:t xml:space="preserve"> </w:t>
      </w:r>
      <w:r w:rsidR="00B5339A" w:rsidRPr="00B5339A">
        <w:rPr>
          <w:i/>
          <w:iCs/>
        </w:rPr>
        <w:t>See also</w:t>
      </w:r>
      <w:r w:rsidR="00B5339A">
        <w:t xml:space="preserve"> </w:t>
      </w:r>
      <w:r>
        <w:t>Pub. Util. Code §§ 2831-2833.</w:t>
      </w:r>
    </w:p>
  </w:footnote>
  <w:footnote w:id="136">
    <w:p w14:paraId="28B4E7C2" w14:textId="6320E6C5" w:rsidR="004524FD" w:rsidRDefault="00767CE9" w:rsidP="004524FD">
      <w:pPr>
        <w:pStyle w:val="FootnoteText"/>
        <w:spacing w:after="0"/>
      </w:pPr>
      <w:r>
        <w:rPr>
          <w:rStyle w:val="FootnoteReference"/>
        </w:rPr>
        <w:footnoteRef/>
      </w:r>
      <w:r>
        <w:t xml:space="preserve"> </w:t>
      </w:r>
      <w:r w:rsidRPr="00FA1A41">
        <w:t>The Commission adopted further guidelines for the GTSR</w:t>
      </w:r>
      <w:r>
        <w:t xml:space="preserve"> </w:t>
      </w:r>
      <w:r w:rsidRPr="00FA1A41">
        <w:t>Program in</w:t>
      </w:r>
      <w:r w:rsidR="00860334">
        <w:t>:</w:t>
      </w:r>
      <w:r w:rsidRPr="00FA1A41">
        <w:t xml:space="preserve"> D.16-05-006, </w:t>
      </w:r>
      <w:r w:rsidR="00B5339A" w:rsidRPr="00B5339A">
        <w:rPr>
          <w:i/>
          <w:iCs/>
        </w:rPr>
        <w:t xml:space="preserve">Addressing Participation of Enhanced Community Renewables Projects in the Renewable Auction Mechanism and other Refinements to the Green Tariff Shared Renewables </w:t>
      </w:r>
      <w:proofErr w:type="gramStart"/>
      <w:r w:rsidR="00B5339A" w:rsidRPr="00B5339A">
        <w:rPr>
          <w:i/>
          <w:iCs/>
        </w:rPr>
        <w:t>Program</w:t>
      </w:r>
      <w:r w:rsidR="00860334">
        <w:t>;</w:t>
      </w:r>
      <w:proofErr w:type="gramEnd"/>
      <w:r w:rsidR="00B5339A">
        <w:t xml:space="preserve"> </w:t>
      </w:r>
    </w:p>
    <w:p w14:paraId="1C134B41" w14:textId="3E0D8BB1" w:rsidR="00767CE9" w:rsidRDefault="00767CE9" w:rsidP="00767CE9">
      <w:pPr>
        <w:pStyle w:val="FootnoteText"/>
      </w:pPr>
      <w:r w:rsidRPr="00FA1A41">
        <w:t xml:space="preserve">D.17-07-007, </w:t>
      </w:r>
      <w:r w:rsidR="00B5339A" w:rsidRPr="00B5339A">
        <w:rPr>
          <w:i/>
          <w:iCs/>
        </w:rPr>
        <w:t>Decision Modifying the AmLaw 100 Securities Opinion Requirement for Enhanced Community Renewables Projects under the Green Tariff Shared Renewables Program in D.15-01-051</w:t>
      </w:r>
      <w:r w:rsidR="00B5339A">
        <w:t xml:space="preserve">, </w:t>
      </w:r>
      <w:r w:rsidRPr="00FA1A41">
        <w:t xml:space="preserve">and D.19-05-031, </w:t>
      </w:r>
      <w:r w:rsidR="00B5339A" w:rsidRPr="00B5339A">
        <w:rPr>
          <w:i/>
          <w:iCs/>
        </w:rPr>
        <w:t>Decision Dismissing the Application for Approval of Green Energy Programs</w:t>
      </w:r>
      <w:r w:rsidR="00B5339A">
        <w:t xml:space="preserve">, </w:t>
      </w:r>
      <w:r w:rsidRPr="00FA1A41">
        <w:t>and Res</w:t>
      </w:r>
      <w:r w:rsidR="00B5339A">
        <w:t>.</w:t>
      </w:r>
      <w:r w:rsidRPr="00FA1A41">
        <w:t xml:space="preserve"> E-4734 and E-5028.</w:t>
      </w:r>
      <w:r w:rsidR="002A68CA">
        <w:t xml:space="preserve"> </w:t>
      </w:r>
      <w:r>
        <w:t>SCE-0</w:t>
      </w:r>
      <w:r w:rsidR="00E60501">
        <w:t>5</w:t>
      </w:r>
      <w:r w:rsidR="003E513B">
        <w:t>A</w:t>
      </w:r>
      <w:r>
        <w:t xml:space="preserve"> at </w:t>
      </w:r>
      <w:r w:rsidR="00E60501">
        <w:t>6</w:t>
      </w:r>
      <w:r w:rsidR="003E513B">
        <w:t>5-66</w:t>
      </w:r>
      <w:r>
        <w:t>.</w:t>
      </w:r>
    </w:p>
  </w:footnote>
  <w:footnote w:id="137">
    <w:p w14:paraId="2B3AAA8C" w14:textId="3D9974B7" w:rsidR="00767CE9" w:rsidRDefault="00767CE9" w:rsidP="00767CE9">
      <w:pPr>
        <w:pStyle w:val="FootnoteText"/>
      </w:pPr>
      <w:r>
        <w:rPr>
          <w:rStyle w:val="FootnoteReference"/>
        </w:rPr>
        <w:footnoteRef/>
      </w:r>
      <w:r>
        <w:t xml:space="preserve"> SCE-0</w:t>
      </w:r>
      <w:r w:rsidR="00E33AE6">
        <w:t>5</w:t>
      </w:r>
      <w:r w:rsidR="003E513B">
        <w:t>A</w:t>
      </w:r>
      <w:r>
        <w:t xml:space="preserve"> at </w:t>
      </w:r>
      <w:r w:rsidR="00E33AE6">
        <w:t>6</w:t>
      </w:r>
      <w:r w:rsidR="003E513B">
        <w:t>7</w:t>
      </w:r>
      <w:r>
        <w:t>.</w:t>
      </w:r>
    </w:p>
  </w:footnote>
  <w:footnote w:id="138">
    <w:p w14:paraId="04AD7D9A" w14:textId="4242D9E2" w:rsidR="00767CE9" w:rsidRDefault="00767CE9" w:rsidP="00767CE9">
      <w:pPr>
        <w:pStyle w:val="FootnoteText"/>
      </w:pPr>
      <w:r>
        <w:rPr>
          <w:rStyle w:val="FootnoteReference"/>
        </w:rPr>
        <w:footnoteRef/>
      </w:r>
      <w:r>
        <w:t xml:space="preserve"> </w:t>
      </w:r>
      <w:r w:rsidR="00145412">
        <w:t xml:space="preserve">D.24-05-065, </w:t>
      </w:r>
      <w:r w:rsidR="00145412" w:rsidRPr="00647B67">
        <w:rPr>
          <w:i/>
          <w:iCs/>
        </w:rPr>
        <w:t xml:space="preserve">Decision Modifying Green Access Program Tariffs and Adopting a Community </w:t>
      </w:r>
      <w:r w:rsidR="00145412" w:rsidRPr="00BA55A4">
        <w:rPr>
          <w:i/>
          <w:iCs/>
        </w:rPr>
        <w:t>Renewable Program</w:t>
      </w:r>
      <w:r w:rsidR="00145412" w:rsidRPr="00BA55A4">
        <w:t xml:space="preserve"> at OP 2 [hereinafter D.24-05-065]. The DAC-GT program is discussed in Section 6.3.2 of this</w:t>
      </w:r>
      <w:r w:rsidR="00145412">
        <w:t xml:space="preserve"> Decision. </w:t>
      </w:r>
      <w:r w:rsidR="00145412" w:rsidRPr="00145412">
        <w:rPr>
          <w:i/>
          <w:iCs/>
        </w:rPr>
        <w:t>See also</w:t>
      </w:r>
      <w:r w:rsidR="00145412">
        <w:t xml:space="preserve"> </w:t>
      </w:r>
      <w:r>
        <w:t>S</w:t>
      </w:r>
      <w:r w:rsidR="00647B67">
        <w:t>CE-0</w:t>
      </w:r>
      <w:r w:rsidR="00E33AE6">
        <w:t>5</w:t>
      </w:r>
      <w:r w:rsidR="00145412">
        <w:t>A</w:t>
      </w:r>
      <w:r w:rsidR="00647B67">
        <w:t xml:space="preserve"> at </w:t>
      </w:r>
      <w:r w:rsidR="00145412">
        <w:t>66</w:t>
      </w:r>
      <w:r w:rsidR="00647B67">
        <w:t>.</w:t>
      </w:r>
      <w:r>
        <w:t xml:space="preserve"> </w:t>
      </w:r>
    </w:p>
  </w:footnote>
  <w:footnote w:id="139">
    <w:p w14:paraId="011443A8" w14:textId="03F35679" w:rsidR="00647B67" w:rsidRDefault="00647B67">
      <w:pPr>
        <w:pStyle w:val="FootnoteText"/>
      </w:pPr>
      <w:r>
        <w:rPr>
          <w:rStyle w:val="FootnoteReference"/>
        </w:rPr>
        <w:footnoteRef/>
      </w:r>
      <w:r>
        <w:t xml:space="preserve"> D.25-05-065 at </w:t>
      </w:r>
      <w:r w:rsidR="00894A64">
        <w:t>144 and n.378, OPs 5(b) and 5(c)</w:t>
      </w:r>
    </w:p>
  </w:footnote>
  <w:footnote w:id="140">
    <w:p w14:paraId="0EB82E07" w14:textId="5DF2211B" w:rsidR="00767CE9" w:rsidRDefault="00767CE9" w:rsidP="00767CE9">
      <w:pPr>
        <w:pStyle w:val="FootnoteText"/>
      </w:pPr>
      <w:r>
        <w:rPr>
          <w:rStyle w:val="FootnoteReference"/>
        </w:rPr>
        <w:footnoteRef/>
      </w:r>
      <w:r>
        <w:t xml:space="preserve"> SCE-0</w:t>
      </w:r>
      <w:r w:rsidR="00E33AE6">
        <w:t>5</w:t>
      </w:r>
      <w:r w:rsidR="003E513B">
        <w:t>A</w:t>
      </w:r>
      <w:r>
        <w:t xml:space="preserve"> at </w:t>
      </w:r>
      <w:r w:rsidR="00E33AE6">
        <w:t>6</w:t>
      </w:r>
      <w:r w:rsidR="003E513B">
        <w:t>7</w:t>
      </w:r>
      <w:r>
        <w:t>.</w:t>
      </w:r>
    </w:p>
  </w:footnote>
  <w:footnote w:id="141">
    <w:p w14:paraId="15148739" w14:textId="24F58F26" w:rsidR="00767CE9" w:rsidRDefault="00767CE9" w:rsidP="00B43A7F">
      <w:pPr>
        <w:pStyle w:val="FootnoteText"/>
      </w:pPr>
      <w:r>
        <w:rPr>
          <w:rStyle w:val="FootnoteReference"/>
        </w:rPr>
        <w:footnoteRef/>
      </w:r>
      <w:r>
        <w:t xml:space="preserve"> SCE-0</w:t>
      </w:r>
      <w:r w:rsidR="00E33AE6">
        <w:t>5</w:t>
      </w:r>
      <w:r w:rsidR="00145412">
        <w:t>A</w:t>
      </w:r>
      <w:r>
        <w:t xml:space="preserve"> at </w:t>
      </w:r>
      <w:r w:rsidR="00E33AE6">
        <w:t>6</w:t>
      </w:r>
      <w:r w:rsidR="00145412">
        <w:t>5</w:t>
      </w:r>
      <w:r>
        <w:t>-</w:t>
      </w:r>
      <w:r w:rsidR="00E33AE6">
        <w:t>6</w:t>
      </w:r>
      <w:r w:rsidR="00145412">
        <w:t>6</w:t>
      </w:r>
      <w:r>
        <w:t>.</w:t>
      </w:r>
      <w:r w:rsidR="002A68CA">
        <w:t xml:space="preserve"> </w:t>
      </w:r>
    </w:p>
  </w:footnote>
  <w:footnote w:id="142">
    <w:p w14:paraId="1EC088CC" w14:textId="6F18F972" w:rsidR="00855A2B" w:rsidRDefault="00855A2B">
      <w:pPr>
        <w:pStyle w:val="FootnoteText"/>
      </w:pPr>
      <w:r>
        <w:rPr>
          <w:rStyle w:val="FootnoteReference"/>
        </w:rPr>
        <w:footnoteRef/>
      </w:r>
      <w:r>
        <w:t xml:space="preserve"> SCE-0</w:t>
      </w:r>
      <w:r w:rsidR="00E33AE6">
        <w:t>5</w:t>
      </w:r>
      <w:r w:rsidR="00145412">
        <w:t>A</w:t>
      </w:r>
      <w:r>
        <w:t xml:space="preserve"> at </w:t>
      </w:r>
      <w:r w:rsidR="00A546E0">
        <w:t>6</w:t>
      </w:r>
      <w:r w:rsidR="00145412">
        <w:t>6</w:t>
      </w:r>
      <w:r>
        <w:t>.</w:t>
      </w:r>
    </w:p>
  </w:footnote>
  <w:footnote w:id="143">
    <w:p w14:paraId="7F010B82" w14:textId="0A072E75" w:rsidR="006E0C0C" w:rsidRDefault="006E0C0C" w:rsidP="006E0C0C">
      <w:pPr>
        <w:pStyle w:val="FootnoteText"/>
      </w:pPr>
      <w:r>
        <w:rPr>
          <w:rStyle w:val="FootnoteReference"/>
        </w:rPr>
        <w:footnoteRef/>
      </w:r>
      <w:r>
        <w:t xml:space="preserve"> SCE-0</w:t>
      </w:r>
      <w:r w:rsidR="000A04A7">
        <w:t>5</w:t>
      </w:r>
      <w:r w:rsidR="00203FFE">
        <w:t>A</w:t>
      </w:r>
      <w:r>
        <w:t xml:space="preserve"> at </w:t>
      </w:r>
      <w:r w:rsidR="000A04A7">
        <w:t>6</w:t>
      </w:r>
      <w:r w:rsidR="00203FFE">
        <w:t>9</w:t>
      </w:r>
      <w:r>
        <w:t>.</w:t>
      </w:r>
    </w:p>
  </w:footnote>
  <w:footnote w:id="144">
    <w:p w14:paraId="7822B677" w14:textId="474C2F73" w:rsidR="006E0C0C" w:rsidRDefault="006E0C0C" w:rsidP="006E0C0C">
      <w:pPr>
        <w:pStyle w:val="FootnoteText"/>
      </w:pPr>
      <w:r>
        <w:rPr>
          <w:rStyle w:val="FootnoteReference"/>
        </w:rPr>
        <w:footnoteRef/>
      </w:r>
      <w:r>
        <w:t xml:space="preserve"> SCE-0</w:t>
      </w:r>
      <w:r w:rsidR="000A04A7">
        <w:t>5</w:t>
      </w:r>
      <w:r w:rsidR="00203FFE">
        <w:t>A</w:t>
      </w:r>
      <w:r w:rsidR="000A04A7">
        <w:t xml:space="preserve"> at </w:t>
      </w:r>
      <w:r w:rsidR="00203FFE">
        <w:t>70-71</w:t>
      </w:r>
      <w:r w:rsidR="000A04A7">
        <w:t>.</w:t>
      </w:r>
    </w:p>
  </w:footnote>
  <w:footnote w:id="145">
    <w:p w14:paraId="66BEF65A" w14:textId="0A2AD03E" w:rsidR="006E0C0C" w:rsidRDefault="006E0C0C" w:rsidP="006E0C0C">
      <w:pPr>
        <w:pStyle w:val="FootnoteText"/>
      </w:pPr>
      <w:r>
        <w:rPr>
          <w:rStyle w:val="FootnoteReference"/>
        </w:rPr>
        <w:footnoteRef/>
      </w:r>
      <w:r>
        <w:t xml:space="preserve"> SCE-0</w:t>
      </w:r>
      <w:r w:rsidR="000A04A7">
        <w:t>5</w:t>
      </w:r>
      <w:r w:rsidR="00203FFE">
        <w:t>A</w:t>
      </w:r>
      <w:r>
        <w:t xml:space="preserve"> at </w:t>
      </w:r>
      <w:r w:rsidR="000A04A7">
        <w:t>6</w:t>
      </w:r>
      <w:r w:rsidR="00203FFE">
        <w:t>9</w:t>
      </w:r>
      <w:r>
        <w:t>.</w:t>
      </w:r>
    </w:p>
  </w:footnote>
  <w:footnote w:id="146">
    <w:p w14:paraId="46FDD61A" w14:textId="37A827CE" w:rsidR="006E0C0C" w:rsidRDefault="006E0C0C" w:rsidP="006E0C0C">
      <w:pPr>
        <w:pStyle w:val="FootnoteText"/>
      </w:pPr>
      <w:r>
        <w:rPr>
          <w:rStyle w:val="FootnoteReference"/>
        </w:rPr>
        <w:footnoteRef/>
      </w:r>
      <w:r>
        <w:t xml:space="preserve"> SCE-0</w:t>
      </w:r>
      <w:r w:rsidR="000A04A7">
        <w:t>5</w:t>
      </w:r>
      <w:r w:rsidR="00203FFE">
        <w:t>A</w:t>
      </w:r>
      <w:r>
        <w:t xml:space="preserve"> at </w:t>
      </w:r>
      <w:r w:rsidR="00683532">
        <w:t>70</w:t>
      </w:r>
      <w:r>
        <w:t>.</w:t>
      </w:r>
    </w:p>
  </w:footnote>
  <w:footnote w:id="147">
    <w:p w14:paraId="130B8382" w14:textId="091D47D0" w:rsidR="006E0C0C" w:rsidRDefault="006E0C0C" w:rsidP="006E0C0C">
      <w:pPr>
        <w:pStyle w:val="FootnoteText"/>
      </w:pPr>
      <w:r>
        <w:rPr>
          <w:rStyle w:val="FootnoteReference"/>
        </w:rPr>
        <w:footnoteRef/>
      </w:r>
      <w:r>
        <w:t xml:space="preserve"> SCE-0</w:t>
      </w:r>
      <w:r w:rsidR="000A04A7">
        <w:t>5</w:t>
      </w:r>
      <w:r w:rsidR="00683532">
        <w:t>A</w:t>
      </w:r>
      <w:r>
        <w:t xml:space="preserve"> at </w:t>
      </w:r>
      <w:r w:rsidR="00683532">
        <w:t>71</w:t>
      </w:r>
      <w:r>
        <w:t>.</w:t>
      </w:r>
    </w:p>
  </w:footnote>
  <w:footnote w:id="148">
    <w:p w14:paraId="23449BE8" w14:textId="718E11DB" w:rsidR="00683532" w:rsidRDefault="00683532">
      <w:pPr>
        <w:pStyle w:val="FootnoteText"/>
      </w:pPr>
      <w:r>
        <w:rPr>
          <w:rStyle w:val="FootnoteReference"/>
        </w:rPr>
        <w:footnoteRef/>
      </w:r>
      <w:r>
        <w:t xml:space="preserve"> SCE-05A at 69</w:t>
      </w:r>
      <w:r w:rsidR="00652184">
        <w:t>.</w:t>
      </w:r>
    </w:p>
  </w:footnote>
  <w:footnote w:id="149">
    <w:p w14:paraId="5A81F180" w14:textId="32658B68" w:rsidR="003C4D95" w:rsidRDefault="003C4D95" w:rsidP="003C4D95">
      <w:pPr>
        <w:pStyle w:val="FootnoteText"/>
      </w:pPr>
      <w:r>
        <w:rPr>
          <w:rStyle w:val="FootnoteReference"/>
        </w:rPr>
        <w:footnoteRef/>
      </w:r>
      <w:r>
        <w:t xml:space="preserve"> SCE-05</w:t>
      </w:r>
      <w:r w:rsidR="00683532">
        <w:t>A</w:t>
      </w:r>
      <w:r>
        <w:t xml:space="preserve"> at </w:t>
      </w:r>
      <w:r w:rsidR="00683532">
        <w:t>71</w:t>
      </w:r>
      <w:r>
        <w:t>.</w:t>
      </w:r>
    </w:p>
  </w:footnote>
  <w:footnote w:id="150">
    <w:p w14:paraId="7030B6DA" w14:textId="05849FC2" w:rsidR="006E0C0C" w:rsidRDefault="006E0C0C" w:rsidP="006E0C0C">
      <w:pPr>
        <w:pStyle w:val="FootnoteText"/>
      </w:pPr>
      <w:r>
        <w:rPr>
          <w:rStyle w:val="FootnoteReference"/>
        </w:rPr>
        <w:footnoteRef/>
      </w:r>
      <w:r>
        <w:t xml:space="preserve"> SCE-0</w:t>
      </w:r>
      <w:r w:rsidR="00ED5684">
        <w:t>5</w:t>
      </w:r>
      <w:r w:rsidR="00683532">
        <w:t>A</w:t>
      </w:r>
      <w:r>
        <w:t xml:space="preserve"> at </w:t>
      </w:r>
      <w:r w:rsidR="00683532">
        <w:t>71</w:t>
      </w:r>
      <w:r>
        <w:t>.</w:t>
      </w:r>
    </w:p>
  </w:footnote>
  <w:footnote w:id="151">
    <w:p w14:paraId="350B82E1" w14:textId="4C159155" w:rsidR="003C4D95" w:rsidRDefault="003C4D95" w:rsidP="003C4D95">
      <w:pPr>
        <w:pStyle w:val="FootnoteText"/>
      </w:pPr>
      <w:r>
        <w:rPr>
          <w:rStyle w:val="FootnoteReference"/>
        </w:rPr>
        <w:footnoteRef/>
      </w:r>
      <w:r>
        <w:t xml:space="preserve"> SCE-01 at 61-62, </w:t>
      </w:r>
      <w:r w:rsidRPr="00994926">
        <w:t>citing</w:t>
      </w:r>
      <w:r>
        <w:t xml:space="preserve"> D.24-08-001, </w:t>
      </w:r>
      <w:r w:rsidRPr="00531406">
        <w:rPr>
          <w:i/>
          <w:iCs/>
        </w:rPr>
        <w:t>Decision Approving the 2021 Nuclear Decommissioning Cost Triennial Proceeding Costs of Southern California Edison Company and San Diego Gas &amp; Electric Company</w:t>
      </w:r>
      <w:r>
        <w:t xml:space="preserve"> at 27, 36, and OP 3.</w:t>
      </w:r>
    </w:p>
  </w:footnote>
  <w:footnote w:id="152">
    <w:p w14:paraId="266CEE43" w14:textId="01D7FC3A" w:rsidR="0058724F" w:rsidRDefault="0058724F">
      <w:pPr>
        <w:pStyle w:val="FootnoteText"/>
      </w:pPr>
      <w:r>
        <w:rPr>
          <w:rStyle w:val="FootnoteReference"/>
        </w:rPr>
        <w:footnoteRef/>
      </w:r>
      <w:r>
        <w:t xml:space="preserve"> SCE-05A at 72.</w:t>
      </w:r>
    </w:p>
  </w:footnote>
  <w:footnote w:id="153">
    <w:p w14:paraId="1BB616CD" w14:textId="5E0E497F" w:rsidR="006E0C0C" w:rsidRDefault="006E0C0C" w:rsidP="006E0C0C">
      <w:pPr>
        <w:pStyle w:val="FootnoteText"/>
      </w:pPr>
      <w:r>
        <w:rPr>
          <w:rStyle w:val="FootnoteReference"/>
        </w:rPr>
        <w:footnoteRef/>
      </w:r>
      <w:r>
        <w:t xml:space="preserve"> SCE-0</w:t>
      </w:r>
      <w:r w:rsidR="003C4D95">
        <w:t>5</w:t>
      </w:r>
      <w:r w:rsidR="0058724F">
        <w:t>A</w:t>
      </w:r>
      <w:r>
        <w:t xml:space="preserve"> at </w:t>
      </w:r>
      <w:r w:rsidR="003C4D95">
        <w:t>7</w:t>
      </w:r>
      <w:r w:rsidR="0058724F">
        <w:t>2</w:t>
      </w:r>
      <w:r>
        <w:t>.</w:t>
      </w:r>
    </w:p>
  </w:footnote>
  <w:footnote w:id="154">
    <w:p w14:paraId="33956C0C" w14:textId="5E406376" w:rsidR="006E0C0C" w:rsidRDefault="006E0C0C" w:rsidP="006E0C0C">
      <w:pPr>
        <w:pStyle w:val="FootnoteText"/>
      </w:pPr>
      <w:r>
        <w:rPr>
          <w:rStyle w:val="FootnoteReference"/>
        </w:rPr>
        <w:footnoteRef/>
      </w:r>
      <w:r>
        <w:t xml:space="preserve"> SCE-0</w:t>
      </w:r>
      <w:r w:rsidR="003C4D95">
        <w:t>5</w:t>
      </w:r>
      <w:r w:rsidR="0058724F">
        <w:t>A</w:t>
      </w:r>
      <w:r>
        <w:t xml:space="preserve"> at </w:t>
      </w:r>
      <w:r w:rsidR="003C4D95">
        <w:t>7</w:t>
      </w:r>
      <w:r w:rsidR="002842C4">
        <w:t>3</w:t>
      </w:r>
      <w:r>
        <w:t>.</w:t>
      </w:r>
      <w:r w:rsidR="00397E84" w:rsidRPr="00397E84">
        <w:t xml:space="preserve"> </w:t>
      </w:r>
      <w:r w:rsidR="00C779E1">
        <w:t xml:space="preserve">SCE-01 </w:t>
      </w:r>
      <w:r w:rsidR="002842C4">
        <w:t xml:space="preserve">(at 62) </w:t>
      </w:r>
      <w:r w:rsidR="00C779E1">
        <w:t xml:space="preserve">refers to this adjustment as a decrease while SCE-05 refers to this adjustment as an increase, despite the </w:t>
      </w:r>
      <w:r w:rsidR="0058724F">
        <w:t>figures in Table IV-17</w:t>
      </w:r>
      <w:r w:rsidR="00C779E1">
        <w:t xml:space="preserve"> </w:t>
      </w:r>
      <w:r w:rsidR="00FB75FC">
        <w:t>being identical</w:t>
      </w:r>
      <w:r w:rsidR="00C779E1">
        <w:t xml:space="preserve"> in each document.</w:t>
      </w:r>
      <w:r w:rsidR="00FB75FC">
        <w:t xml:space="preserve"> Because </w:t>
      </w:r>
      <w:r w:rsidR="002842C4">
        <w:t xml:space="preserve">each of </w:t>
      </w:r>
      <w:r w:rsidR="00FB75FC">
        <w:t xml:space="preserve">the </w:t>
      </w:r>
      <w:r w:rsidR="002842C4">
        <w:t>monthly per-barrel costs forecast in 2026 is less than the corresponding per-barrel recorded costs, we characterize this adjustment as a decrease.</w:t>
      </w:r>
    </w:p>
  </w:footnote>
  <w:footnote w:id="155">
    <w:p w14:paraId="065EDD55" w14:textId="5A24E947" w:rsidR="006E0C0C" w:rsidRDefault="006E0C0C" w:rsidP="006E0C0C">
      <w:pPr>
        <w:pStyle w:val="FootnoteText"/>
      </w:pPr>
      <w:r>
        <w:rPr>
          <w:rStyle w:val="FootnoteReference"/>
        </w:rPr>
        <w:footnoteRef/>
      </w:r>
      <w:r>
        <w:t xml:space="preserve"> SCE-0</w:t>
      </w:r>
      <w:r w:rsidR="00021D69">
        <w:t>5</w:t>
      </w:r>
      <w:r w:rsidR="002842C4">
        <w:t>A</w:t>
      </w:r>
      <w:r>
        <w:t xml:space="preserve"> at </w:t>
      </w:r>
      <w:r w:rsidR="00021D69">
        <w:t>Table IV-17</w:t>
      </w:r>
      <w:r w:rsidR="00EB36B5">
        <w:t xml:space="preserve">. </w:t>
      </w:r>
      <w:r w:rsidR="00021D69">
        <w:t>Note, however that this total does not match the total SCE provides in the body of SCE-05</w:t>
      </w:r>
      <w:r w:rsidR="002842C4">
        <w:t>A</w:t>
      </w:r>
      <w:r w:rsidR="00021D69">
        <w:t xml:space="preserve"> a</w:t>
      </w:r>
      <w:r w:rsidR="002842C4">
        <w:t>t</w:t>
      </w:r>
      <w:r w:rsidR="00021D69">
        <w:t xml:space="preserve"> 7</w:t>
      </w:r>
      <w:r w:rsidR="002842C4">
        <w:t>5 and 77</w:t>
      </w:r>
      <w:r w:rsidR="00021D69">
        <w:t xml:space="preserve"> ($7.988 million). Given that the $7.988 figure is not supported by SCE’s data provided in Table IV-</w:t>
      </w:r>
      <w:r w:rsidR="00B44151">
        <w:t>1</w:t>
      </w:r>
      <w:r w:rsidR="00021D69">
        <w:t xml:space="preserve">7, and </w:t>
      </w:r>
      <w:r w:rsidR="00B44151">
        <w:t>SCE’s</w:t>
      </w:r>
      <w:r w:rsidR="00021D69">
        <w:t xml:space="preserve"> remaining references to the Santa Catalina diesel fuel costs </w:t>
      </w:r>
      <w:r w:rsidR="00B44151">
        <w:t xml:space="preserve">all refer to a $7.998 million total </w:t>
      </w:r>
      <w:r w:rsidR="00021D69">
        <w:t>(</w:t>
      </w:r>
      <w:r w:rsidR="00021D69" w:rsidRPr="00EE33E5">
        <w:rPr>
          <w:i/>
          <w:iCs/>
        </w:rPr>
        <w:t>e.g.</w:t>
      </w:r>
      <w:r w:rsidR="00021D69">
        <w:t>, SCE-01 at 63 and 64</w:t>
      </w:r>
      <w:r w:rsidR="00B44151">
        <w:t xml:space="preserve">, Table IV-16 and Table </w:t>
      </w:r>
      <w:r w:rsidR="00E763D8">
        <w:t>IV-8;</w:t>
      </w:r>
      <w:r w:rsidR="00021D69">
        <w:t xml:space="preserve"> SCE-05</w:t>
      </w:r>
      <w:r w:rsidR="002842C4">
        <w:t>A</w:t>
      </w:r>
      <w:r w:rsidR="00021D69">
        <w:t xml:space="preserve"> at Table IV-</w:t>
      </w:r>
      <w:r w:rsidR="00B44151">
        <w:t>1</w:t>
      </w:r>
      <w:r w:rsidR="00021D69">
        <w:t>7, SCE-05</w:t>
      </w:r>
      <w:r w:rsidR="002842C4">
        <w:t>A</w:t>
      </w:r>
      <w:r w:rsidR="00021D69">
        <w:t xml:space="preserve"> at Table IV-9), we assume that $7.998 million is the correct figure and </w:t>
      </w:r>
      <w:r w:rsidR="00B44151">
        <w:t xml:space="preserve">references to </w:t>
      </w:r>
      <w:r w:rsidR="00021D69">
        <w:t xml:space="preserve">$7.988 million </w:t>
      </w:r>
      <w:r w:rsidR="00B44151">
        <w:t>are</w:t>
      </w:r>
      <w:r w:rsidR="00021D69">
        <w:t xml:space="preserve"> </w:t>
      </w:r>
      <w:r w:rsidR="000E6C50">
        <w:t>typos</w:t>
      </w:r>
      <w:r w:rsidR="00021D69">
        <w:t xml:space="preserve">. </w:t>
      </w:r>
    </w:p>
  </w:footnote>
  <w:footnote w:id="156">
    <w:p w14:paraId="74FD16F9" w14:textId="1593D759" w:rsidR="000E6C50" w:rsidRDefault="000E6C50" w:rsidP="000E6C50">
      <w:pPr>
        <w:pStyle w:val="FootnoteText"/>
      </w:pPr>
      <w:r>
        <w:rPr>
          <w:rStyle w:val="FootnoteReference"/>
        </w:rPr>
        <w:footnoteRef/>
      </w:r>
      <w:r>
        <w:t xml:space="preserve"> </w:t>
      </w:r>
      <w:r w:rsidR="002842C4" w:rsidRPr="002842C4">
        <w:rPr>
          <w:i/>
          <w:iCs/>
        </w:rPr>
        <w:t>Compare</w:t>
      </w:r>
      <w:r w:rsidR="002842C4">
        <w:t xml:space="preserve"> </w:t>
      </w:r>
      <w:r>
        <w:t>SCE-05</w:t>
      </w:r>
      <w:r w:rsidR="002842C4">
        <w:t>A</w:t>
      </w:r>
      <w:r>
        <w:t xml:space="preserve"> at 7</w:t>
      </w:r>
      <w:r w:rsidR="002842C4">
        <w:t>5 and</w:t>
      </w:r>
      <w:r>
        <w:t xml:space="preserve"> SCE-01 at 64. D.25-06-010, </w:t>
      </w:r>
      <w:r w:rsidRPr="00EE33E5">
        <w:rPr>
          <w:i/>
          <w:iCs/>
        </w:rPr>
        <w:t>Decision Adopting Settlement Agreement, as Modified, and Resolving Undisputed Issues in a General Rate Case for Southern California Gas Company’s Santa Catalina Gas Utility Operations</w:t>
      </w:r>
      <w:r>
        <w:t>.</w:t>
      </w:r>
    </w:p>
  </w:footnote>
  <w:footnote w:id="157">
    <w:p w14:paraId="1FEE4C2D" w14:textId="7AF2A431" w:rsidR="00E763D8" w:rsidRDefault="00E763D8">
      <w:pPr>
        <w:pStyle w:val="FootnoteText"/>
      </w:pPr>
      <w:r>
        <w:rPr>
          <w:rStyle w:val="FootnoteReference"/>
        </w:rPr>
        <w:footnoteRef/>
      </w:r>
      <w:r>
        <w:t xml:space="preserve"> SCE-05</w:t>
      </w:r>
      <w:r w:rsidR="00504B3A">
        <w:t>A</w:t>
      </w:r>
      <w:r>
        <w:t xml:space="preserve"> at 7</w:t>
      </w:r>
      <w:r w:rsidR="00504B3A">
        <w:t>5</w:t>
      </w:r>
      <w:r>
        <w:t>.</w:t>
      </w:r>
      <w:r w:rsidR="00473A86">
        <w:t xml:space="preserve">  </w:t>
      </w:r>
    </w:p>
  </w:footnote>
  <w:footnote w:id="158">
    <w:p w14:paraId="574FB979" w14:textId="66FE3E71" w:rsidR="00504B3A" w:rsidRDefault="00504B3A">
      <w:pPr>
        <w:pStyle w:val="FootnoteText"/>
      </w:pPr>
      <w:r>
        <w:rPr>
          <w:rStyle w:val="FootnoteReference"/>
        </w:rPr>
        <w:footnoteRef/>
      </w:r>
      <w:r>
        <w:t xml:space="preserve"> SC</w:t>
      </w:r>
      <w:r w:rsidR="00B44464">
        <w:t>E-05A at 77.</w:t>
      </w:r>
    </w:p>
  </w:footnote>
  <w:footnote w:id="159">
    <w:p w14:paraId="267FEB07" w14:textId="0B92A424" w:rsidR="006E0C0C" w:rsidRDefault="006E0C0C" w:rsidP="006E0C0C">
      <w:pPr>
        <w:pStyle w:val="FootnoteText"/>
      </w:pPr>
      <w:r>
        <w:rPr>
          <w:rStyle w:val="FootnoteReference"/>
        </w:rPr>
        <w:footnoteRef/>
      </w:r>
      <w:r>
        <w:t xml:space="preserve"> </w:t>
      </w:r>
      <w:r w:rsidR="00E763D8">
        <w:t>SCE-05</w:t>
      </w:r>
      <w:r w:rsidR="00B44464">
        <w:t>A</w:t>
      </w:r>
      <w:r w:rsidR="00E763D8">
        <w:t xml:space="preserve"> at Table IV-9</w:t>
      </w:r>
      <w:r w:rsidR="00EB36B5">
        <w:t>,</w:t>
      </w:r>
      <w:r w:rsidR="00E763D8">
        <w:t xml:space="preserve"> </w:t>
      </w:r>
      <w:proofErr w:type="spellStart"/>
      <w:r w:rsidR="00E763D8">
        <w:t>lns</w:t>
      </w:r>
      <w:proofErr w:type="spellEnd"/>
      <w:r w:rsidR="00E763D8">
        <w:t>. 89-90</w:t>
      </w:r>
      <w:r>
        <w:t>.</w:t>
      </w:r>
    </w:p>
  </w:footnote>
  <w:footnote w:id="160">
    <w:p w14:paraId="423D27F6" w14:textId="46B85A85" w:rsidR="00FC71C2" w:rsidRDefault="00FC71C2">
      <w:pPr>
        <w:pStyle w:val="FootnoteText"/>
      </w:pPr>
      <w:r>
        <w:rPr>
          <w:rStyle w:val="FootnoteReference"/>
        </w:rPr>
        <w:footnoteRef/>
      </w:r>
      <w:r>
        <w:t xml:space="preserve"> SCE-05</w:t>
      </w:r>
      <w:r w:rsidR="00B44464">
        <w:t>A</w:t>
      </w:r>
      <w:r>
        <w:t xml:space="preserve"> at n.</w:t>
      </w:r>
      <w:r w:rsidR="00B44464">
        <w:t>72</w:t>
      </w:r>
      <w:r>
        <w:t>.</w:t>
      </w:r>
    </w:p>
  </w:footnote>
  <w:footnote w:id="161">
    <w:p w14:paraId="4B84CDA6" w14:textId="4D183E60" w:rsidR="00CD4C74" w:rsidRDefault="00CD4C74">
      <w:pPr>
        <w:pStyle w:val="FootnoteText"/>
      </w:pPr>
      <w:r>
        <w:rPr>
          <w:rStyle w:val="FootnoteReference"/>
        </w:rPr>
        <w:footnoteRef/>
      </w:r>
      <w:r>
        <w:t xml:space="preserve"> A.23-12-011, Exhibit SCE-01, </w:t>
      </w:r>
      <w:r w:rsidRPr="00CE1834">
        <w:t>Direct Testimony Supporting Southern California Edison Company’s Application for Authority to Increase Rates for its Catalina Gas Utility</w:t>
      </w:r>
      <w:r>
        <w:t xml:space="preserve"> at 110</w:t>
      </w:r>
      <w:r w:rsidR="00BD4A2E">
        <w:t xml:space="preserve"> [hereinafter A.23-12-011, SCE-01]</w:t>
      </w:r>
      <w:r>
        <w:t>.</w:t>
      </w:r>
    </w:p>
  </w:footnote>
  <w:footnote w:id="162">
    <w:p w14:paraId="40B2526F" w14:textId="4ED812FB" w:rsidR="00CE1834" w:rsidRDefault="00CE1834">
      <w:pPr>
        <w:pStyle w:val="FootnoteText"/>
      </w:pPr>
      <w:r>
        <w:rPr>
          <w:rStyle w:val="FootnoteReference"/>
        </w:rPr>
        <w:footnoteRef/>
      </w:r>
      <w:r>
        <w:t xml:space="preserve"> A.23-12-011, SCE-01 at 86.</w:t>
      </w:r>
    </w:p>
  </w:footnote>
  <w:footnote w:id="163">
    <w:p w14:paraId="1C391ACC" w14:textId="29D7BA70" w:rsidR="00FC71C2" w:rsidRDefault="00FC71C2">
      <w:pPr>
        <w:pStyle w:val="FootnoteText"/>
      </w:pPr>
      <w:r>
        <w:rPr>
          <w:rStyle w:val="FootnoteReference"/>
        </w:rPr>
        <w:footnoteRef/>
      </w:r>
      <w:r>
        <w:t xml:space="preserve"> D.25-06-010 at 14, citing A.23-12-011, SCE-01 at 110.</w:t>
      </w:r>
    </w:p>
  </w:footnote>
  <w:footnote w:id="164">
    <w:p w14:paraId="2AE41583" w14:textId="77777777" w:rsidR="004B6B60" w:rsidRDefault="004B6B60" w:rsidP="004B6B60">
      <w:pPr>
        <w:pStyle w:val="FootnoteText"/>
      </w:pPr>
      <w:r>
        <w:rPr>
          <w:rStyle w:val="FootnoteReference"/>
        </w:rPr>
        <w:footnoteRef/>
      </w:r>
      <w:r>
        <w:t xml:space="preserve"> SCE Gas Rule 17, Section A. Adjustment of Bills, Cal. P.U.C. Sheet No. 1346-G et seq., effective Dec. 22, 2010.</w:t>
      </w:r>
    </w:p>
  </w:footnote>
  <w:footnote w:id="165">
    <w:p w14:paraId="56DCC052" w14:textId="01CB116F" w:rsidR="006E0C0C" w:rsidRDefault="006E0C0C" w:rsidP="006E0C0C">
      <w:pPr>
        <w:pStyle w:val="FootnoteText"/>
      </w:pPr>
      <w:r>
        <w:rPr>
          <w:rStyle w:val="FootnoteReference"/>
        </w:rPr>
        <w:footnoteRef/>
      </w:r>
      <w:r>
        <w:t xml:space="preserve"> SCE-0</w:t>
      </w:r>
      <w:r w:rsidR="00EE33E5">
        <w:t>5</w:t>
      </w:r>
      <w:r w:rsidR="00F93324">
        <w:t>A</w:t>
      </w:r>
      <w:r>
        <w:t xml:space="preserve"> at 1</w:t>
      </w:r>
      <w:r w:rsidR="00EE33E5">
        <w:t>3</w:t>
      </w:r>
      <w:r w:rsidR="00F93324">
        <w:t>5</w:t>
      </w:r>
      <w:r>
        <w:t>.</w:t>
      </w:r>
    </w:p>
  </w:footnote>
  <w:footnote w:id="166">
    <w:p w14:paraId="6DCAE99F" w14:textId="77777777" w:rsidR="006E0C0C" w:rsidRDefault="006E0C0C" w:rsidP="006E0C0C">
      <w:pPr>
        <w:pStyle w:val="FootnoteText"/>
      </w:pPr>
      <w:r>
        <w:rPr>
          <w:rStyle w:val="FootnoteReference"/>
        </w:rPr>
        <w:footnoteRef/>
      </w:r>
      <w:r>
        <w:t xml:space="preserve"> </w:t>
      </w:r>
      <w:r w:rsidRPr="004D46B6">
        <w:rPr>
          <w:i/>
          <w:iCs/>
        </w:rPr>
        <w:t>See</w:t>
      </w:r>
      <w:r>
        <w:t xml:space="preserve"> the </w:t>
      </w:r>
      <w:r w:rsidRPr="002E3D17">
        <w:t xml:space="preserve">Proclamation of a State of Emergency on Tree Mortality declared by Governor </w:t>
      </w:r>
      <w:r>
        <w:t xml:space="preserve">Edmund G. Brown Jr. on October 30, 2015, available at the California State Library website, </w:t>
      </w:r>
      <w:hyperlink r:id="rId2" w:history="1">
        <w:r w:rsidRPr="00F94B48">
          <w:rPr>
            <w:rStyle w:val="Hyperlink"/>
          </w:rPr>
          <w:t>https://www.library.ca.gov/wp-content/uploads/GovernmentPublications/executive-order-proclamation/39-Proc-2015-10-30.pdf</w:t>
        </w:r>
      </w:hyperlink>
      <w:r>
        <w:t xml:space="preserve"> (last visited Aug. 7, 2025).</w:t>
      </w:r>
    </w:p>
  </w:footnote>
  <w:footnote w:id="167">
    <w:p w14:paraId="1C715ED1" w14:textId="77777777" w:rsidR="006E0C0C" w:rsidRDefault="006E0C0C" w:rsidP="006E0C0C">
      <w:pPr>
        <w:pStyle w:val="FootnoteText"/>
      </w:pPr>
      <w:r>
        <w:rPr>
          <w:rStyle w:val="FootnoteReference"/>
        </w:rPr>
        <w:footnoteRef/>
      </w:r>
      <w:r>
        <w:t xml:space="preserve"> D.18-12-003, </w:t>
      </w:r>
      <w:r w:rsidRPr="008B44E9">
        <w:rPr>
          <w:i/>
          <w:iCs/>
        </w:rPr>
        <w:t>Decision Establishing a Non-</w:t>
      </w:r>
      <w:proofErr w:type="spellStart"/>
      <w:r w:rsidRPr="008B44E9">
        <w:rPr>
          <w:i/>
          <w:iCs/>
        </w:rPr>
        <w:t>Bypassable</w:t>
      </w:r>
      <w:proofErr w:type="spellEnd"/>
      <w:r w:rsidRPr="008B44E9">
        <w:rPr>
          <w:i/>
          <w:iCs/>
        </w:rPr>
        <w:t xml:space="preserve"> Charge for Costs Associated with Tree Mortality Biomass Energy Procurement</w:t>
      </w:r>
      <w:r>
        <w:t xml:space="preserve">, at OP 9. </w:t>
      </w:r>
    </w:p>
  </w:footnote>
  <w:footnote w:id="168">
    <w:p w14:paraId="61E62F8A" w14:textId="0296BB99" w:rsidR="00293130" w:rsidRDefault="00293130" w:rsidP="00293130">
      <w:pPr>
        <w:pStyle w:val="FootnoteText"/>
      </w:pPr>
      <w:r>
        <w:rPr>
          <w:rStyle w:val="FootnoteReference"/>
        </w:rPr>
        <w:footnoteRef/>
      </w:r>
      <w:r>
        <w:t xml:space="preserve"> </w:t>
      </w:r>
      <w:r w:rsidR="00F93324">
        <w:t>SCE-05A at 135.</w:t>
      </w:r>
    </w:p>
  </w:footnote>
  <w:footnote w:id="169">
    <w:p w14:paraId="444F3AB0" w14:textId="77777777" w:rsidR="006E0C0C" w:rsidRDefault="006E0C0C" w:rsidP="006E0C0C">
      <w:pPr>
        <w:pStyle w:val="FootnoteText"/>
      </w:pPr>
      <w:r>
        <w:rPr>
          <w:rStyle w:val="FootnoteReference"/>
        </w:rPr>
        <w:footnoteRef/>
      </w:r>
      <w:r>
        <w:t xml:space="preserve"> Res. E-4805.</w:t>
      </w:r>
    </w:p>
  </w:footnote>
  <w:footnote w:id="170">
    <w:p w14:paraId="2E8B45B5" w14:textId="65463D98" w:rsidR="006E0C0C" w:rsidRDefault="006E0C0C" w:rsidP="006E0C0C">
      <w:pPr>
        <w:pStyle w:val="FootnoteText"/>
      </w:pPr>
      <w:r>
        <w:rPr>
          <w:rStyle w:val="FootnoteReference"/>
        </w:rPr>
        <w:footnoteRef/>
      </w:r>
      <w:r>
        <w:t xml:space="preserve"> SCE-0</w:t>
      </w:r>
      <w:r w:rsidR="00EE33E5">
        <w:t>5</w:t>
      </w:r>
      <w:r w:rsidR="00F93324">
        <w:t>A</w:t>
      </w:r>
      <w:r>
        <w:t xml:space="preserve"> at 1</w:t>
      </w:r>
      <w:r w:rsidR="00EE33E5">
        <w:t>3</w:t>
      </w:r>
      <w:r w:rsidR="00F93324">
        <w:t>5</w:t>
      </w:r>
      <w:r>
        <w:t>.</w:t>
      </w:r>
    </w:p>
  </w:footnote>
  <w:footnote w:id="171">
    <w:p w14:paraId="4FF8CE10" w14:textId="4CE41E10" w:rsidR="006E0C0C" w:rsidRDefault="006E0C0C" w:rsidP="006E0C0C">
      <w:pPr>
        <w:pStyle w:val="FootnoteText"/>
      </w:pPr>
      <w:r w:rsidRPr="00EE33E5">
        <w:rPr>
          <w:rStyle w:val="FootnoteReference"/>
        </w:rPr>
        <w:footnoteRef/>
      </w:r>
      <w:r w:rsidRPr="00EE33E5">
        <w:t xml:space="preserve"> D.20-08-043, </w:t>
      </w:r>
      <w:r w:rsidRPr="00EE33E5">
        <w:rPr>
          <w:i/>
          <w:iCs/>
        </w:rPr>
        <w:t>Decision</w:t>
      </w:r>
      <w:r w:rsidRPr="00A37389">
        <w:rPr>
          <w:i/>
          <w:iCs/>
        </w:rPr>
        <w:t xml:space="preserve"> Revising the </w:t>
      </w:r>
      <w:proofErr w:type="spellStart"/>
      <w:r w:rsidRPr="00A37389">
        <w:rPr>
          <w:i/>
          <w:iCs/>
        </w:rPr>
        <w:t>BioEnergy</w:t>
      </w:r>
      <w:proofErr w:type="spellEnd"/>
      <w:r w:rsidRPr="00A37389">
        <w:rPr>
          <w:i/>
          <w:iCs/>
        </w:rPr>
        <w:t xml:space="preserve"> Market Adjusting Tariff Program</w:t>
      </w:r>
      <w:r>
        <w:t xml:space="preserve"> at OP 3.</w:t>
      </w:r>
      <w:r w:rsidR="00EE33E5">
        <w:t xml:space="preserve"> </w:t>
      </w:r>
      <w:r w:rsidR="00EE33E5" w:rsidRPr="00EE33E5">
        <w:rPr>
          <w:i/>
          <w:iCs/>
        </w:rPr>
        <w:t>See also</w:t>
      </w:r>
      <w:r w:rsidR="00EE33E5">
        <w:t xml:space="preserve"> SCE-05</w:t>
      </w:r>
      <w:r w:rsidR="00F93324">
        <w:t>A</w:t>
      </w:r>
      <w:r w:rsidR="00EE33E5">
        <w:t xml:space="preserve"> at 13</w:t>
      </w:r>
      <w:r w:rsidR="00F93324">
        <w:t>6</w:t>
      </w:r>
      <w:r w:rsidR="00EE33E5">
        <w:t>.</w:t>
      </w:r>
    </w:p>
  </w:footnote>
  <w:footnote w:id="172">
    <w:p w14:paraId="17061847" w14:textId="10643A7C" w:rsidR="006E0C0C" w:rsidRDefault="006E0C0C" w:rsidP="006E0C0C">
      <w:pPr>
        <w:pStyle w:val="FootnoteText"/>
      </w:pPr>
      <w:r>
        <w:rPr>
          <w:rStyle w:val="FootnoteReference"/>
        </w:rPr>
        <w:footnoteRef/>
      </w:r>
      <w:r>
        <w:t xml:space="preserve"> SCE-0</w:t>
      </w:r>
      <w:r w:rsidR="0063115C">
        <w:t>5</w:t>
      </w:r>
      <w:r w:rsidR="00F93324">
        <w:t>A</w:t>
      </w:r>
      <w:r>
        <w:t xml:space="preserve"> at 1</w:t>
      </w:r>
      <w:r w:rsidR="0063115C">
        <w:t>3</w:t>
      </w:r>
      <w:r w:rsidR="00F93324">
        <w:t>7</w:t>
      </w:r>
      <w:r>
        <w:t>.</w:t>
      </w:r>
    </w:p>
  </w:footnote>
  <w:footnote w:id="173">
    <w:p w14:paraId="5FDE14D0" w14:textId="0D1E8930" w:rsidR="006E0C0C" w:rsidRDefault="006E0C0C" w:rsidP="006E0C0C">
      <w:pPr>
        <w:pStyle w:val="FootnoteText"/>
      </w:pPr>
      <w:r>
        <w:rPr>
          <w:rStyle w:val="FootnoteReference"/>
        </w:rPr>
        <w:footnoteRef/>
      </w:r>
      <w:r>
        <w:t xml:space="preserve"> SCE-0</w:t>
      </w:r>
      <w:r w:rsidR="00A71215">
        <w:t>5</w:t>
      </w:r>
      <w:r w:rsidR="00F93324">
        <w:t>A</w:t>
      </w:r>
      <w:r>
        <w:t xml:space="preserve"> at 1</w:t>
      </w:r>
      <w:r w:rsidR="00A71215">
        <w:t>3</w:t>
      </w:r>
      <w:r w:rsidR="00F93324">
        <w:t>7</w:t>
      </w:r>
      <w:r>
        <w:t>.</w:t>
      </w:r>
    </w:p>
  </w:footnote>
  <w:footnote w:id="174">
    <w:p w14:paraId="0B3B8395" w14:textId="77777777" w:rsidR="00271BDE" w:rsidRDefault="00271BDE" w:rsidP="00271BDE">
      <w:pPr>
        <w:pStyle w:val="FootnoteText"/>
      </w:pPr>
      <w:r>
        <w:rPr>
          <w:rStyle w:val="FootnoteReference"/>
        </w:rPr>
        <w:footnoteRef/>
      </w:r>
      <w:r>
        <w:t xml:space="preserve"> </w:t>
      </w:r>
      <w:r w:rsidRPr="00271BDE">
        <w:rPr>
          <w:i/>
          <w:iCs/>
        </w:rPr>
        <w:t>See also</w:t>
      </w:r>
      <w:r>
        <w:t xml:space="preserve"> CalCCA-01 at 1.</w:t>
      </w:r>
    </w:p>
  </w:footnote>
  <w:footnote w:id="175">
    <w:p w14:paraId="5742D75B" w14:textId="37E44660" w:rsidR="003D05CE" w:rsidRDefault="003D05CE" w:rsidP="003D05CE">
      <w:pPr>
        <w:pStyle w:val="FootnoteText"/>
      </w:pPr>
      <w:r>
        <w:rPr>
          <w:rStyle w:val="FootnoteReference"/>
        </w:rPr>
        <w:footnoteRef/>
      </w:r>
      <w:r>
        <w:t xml:space="preserve"> SCE-0</w:t>
      </w:r>
      <w:r w:rsidR="00791C0B">
        <w:t>5</w:t>
      </w:r>
      <w:r w:rsidR="00F93324">
        <w:t>A</w:t>
      </w:r>
      <w:r>
        <w:t xml:space="preserve"> at </w:t>
      </w:r>
      <w:r w:rsidR="00791C0B">
        <w:t>7</w:t>
      </w:r>
      <w:r w:rsidR="00F93324">
        <w:t>7</w:t>
      </w:r>
      <w:r>
        <w:t>.</w:t>
      </w:r>
    </w:p>
  </w:footnote>
  <w:footnote w:id="176">
    <w:p w14:paraId="3A4C9713" w14:textId="23CA22AD" w:rsidR="003D05CE" w:rsidRDefault="003D05CE" w:rsidP="003D05CE">
      <w:pPr>
        <w:pStyle w:val="FootnoteText"/>
      </w:pPr>
      <w:r>
        <w:rPr>
          <w:rStyle w:val="FootnoteReference"/>
        </w:rPr>
        <w:footnoteRef/>
      </w:r>
      <w:r>
        <w:t xml:space="preserve"> SCE-0</w:t>
      </w:r>
      <w:r w:rsidR="00791C0B">
        <w:t>5</w:t>
      </w:r>
      <w:r w:rsidR="006A6185">
        <w:t>A</w:t>
      </w:r>
      <w:r>
        <w:t xml:space="preserve"> at 7</w:t>
      </w:r>
      <w:r w:rsidR="006A6185">
        <w:t>7</w:t>
      </w:r>
      <w:r>
        <w:t>.</w:t>
      </w:r>
    </w:p>
  </w:footnote>
  <w:footnote w:id="177">
    <w:p w14:paraId="51788E01" w14:textId="38ED450A" w:rsidR="004D46B6" w:rsidRDefault="004D46B6">
      <w:pPr>
        <w:pStyle w:val="FootnoteText"/>
      </w:pPr>
      <w:r>
        <w:rPr>
          <w:rStyle w:val="FootnoteReference"/>
        </w:rPr>
        <w:footnoteRef/>
      </w:r>
      <w:r>
        <w:t xml:space="preserve"> </w:t>
      </w:r>
      <w:r w:rsidR="00494639">
        <w:t xml:space="preserve">D.23-12-005, </w:t>
      </w:r>
      <w:r w:rsidR="00494639" w:rsidRPr="00494639">
        <w:rPr>
          <w:i/>
          <w:iCs/>
        </w:rPr>
        <w:t>Decision Directing Certain Investor-Owned Utilities’ Demand Response Programs, Pilots, and Budgets for the Years 2024-2027</w:t>
      </w:r>
      <w:r w:rsidR="00494639">
        <w:t xml:space="preserve"> at 183. </w:t>
      </w:r>
      <w:r w:rsidR="006A6185">
        <w:t xml:space="preserve">SCE-05A </w:t>
      </w:r>
      <w:r w:rsidR="006A6185" w:rsidRPr="007F3AF4">
        <w:t xml:space="preserve">at 78. </w:t>
      </w:r>
      <w:r w:rsidRPr="007F3AF4">
        <w:rPr>
          <w:i/>
          <w:iCs/>
        </w:rPr>
        <w:t>See</w:t>
      </w:r>
      <w:r w:rsidR="00494639" w:rsidRPr="007F3AF4">
        <w:rPr>
          <w:i/>
          <w:iCs/>
        </w:rPr>
        <w:t xml:space="preserve"> also</w:t>
      </w:r>
      <w:r w:rsidRPr="007F3AF4">
        <w:t xml:space="preserve"> Section </w:t>
      </w:r>
      <w:r w:rsidR="0065040C" w:rsidRPr="007F3AF4">
        <w:t>7.2.4</w:t>
      </w:r>
      <w:r w:rsidRPr="007F3AF4">
        <w:t>, below.</w:t>
      </w:r>
    </w:p>
  </w:footnote>
  <w:footnote w:id="178">
    <w:p w14:paraId="7FDEA606" w14:textId="1460045E" w:rsidR="00FC0120" w:rsidRDefault="00FC0120">
      <w:pPr>
        <w:pStyle w:val="FootnoteText"/>
      </w:pPr>
      <w:r>
        <w:rPr>
          <w:rStyle w:val="FootnoteReference"/>
        </w:rPr>
        <w:footnoteRef/>
      </w:r>
      <w:r>
        <w:t xml:space="preserve"> SCE-0</w:t>
      </w:r>
      <w:r w:rsidR="00791C0B">
        <w:t>5</w:t>
      </w:r>
      <w:r w:rsidR="006A6185">
        <w:t>A</w:t>
      </w:r>
      <w:r>
        <w:t xml:space="preserve"> at </w:t>
      </w:r>
      <w:r w:rsidR="00791C0B">
        <w:t>7</w:t>
      </w:r>
      <w:r w:rsidR="006A6185">
        <w:t>8</w:t>
      </w:r>
      <w:r>
        <w:t>.</w:t>
      </w:r>
    </w:p>
  </w:footnote>
  <w:footnote w:id="179">
    <w:p w14:paraId="2FFD5830" w14:textId="7148B40D" w:rsidR="00791C0B" w:rsidRDefault="00791C0B" w:rsidP="00791C0B">
      <w:pPr>
        <w:pStyle w:val="FootnoteText"/>
      </w:pPr>
      <w:r>
        <w:rPr>
          <w:rStyle w:val="FootnoteReference"/>
        </w:rPr>
        <w:footnoteRef/>
      </w:r>
      <w:r>
        <w:t xml:space="preserve"> SCE-05</w:t>
      </w:r>
      <w:r w:rsidR="006A6185">
        <w:t>A</w:t>
      </w:r>
      <w:r>
        <w:t xml:space="preserve"> at 7</w:t>
      </w:r>
      <w:r w:rsidR="006A6185">
        <w:t>8-79</w:t>
      </w:r>
      <w:r>
        <w:t>.</w:t>
      </w:r>
    </w:p>
  </w:footnote>
  <w:footnote w:id="180">
    <w:p w14:paraId="165D6D78" w14:textId="67DC9FD5" w:rsidR="00791C0B" w:rsidRDefault="00791C0B">
      <w:pPr>
        <w:pStyle w:val="FootnoteText"/>
      </w:pPr>
      <w:r>
        <w:rPr>
          <w:rStyle w:val="FootnoteReference"/>
        </w:rPr>
        <w:footnoteRef/>
      </w:r>
      <w:r>
        <w:t xml:space="preserve"> SCE-05</w:t>
      </w:r>
      <w:r w:rsidR="006A6185">
        <w:t>A</w:t>
      </w:r>
      <w:r>
        <w:t xml:space="preserve"> at 7</w:t>
      </w:r>
      <w:r w:rsidR="006A6185">
        <w:t>9</w:t>
      </w:r>
      <w:r>
        <w:t>.</w:t>
      </w:r>
    </w:p>
  </w:footnote>
  <w:footnote w:id="181">
    <w:p w14:paraId="77F3D53B" w14:textId="22E7DE3A" w:rsidR="00FC0120" w:rsidRDefault="00FC0120">
      <w:pPr>
        <w:pStyle w:val="FootnoteText"/>
      </w:pPr>
      <w:r>
        <w:rPr>
          <w:rStyle w:val="FootnoteReference"/>
        </w:rPr>
        <w:footnoteRef/>
      </w:r>
      <w:r>
        <w:t xml:space="preserve"> SCE-0</w:t>
      </w:r>
      <w:r w:rsidR="00791C0B">
        <w:t>5</w:t>
      </w:r>
      <w:r w:rsidR="006A6185">
        <w:t>A</w:t>
      </w:r>
      <w:r>
        <w:t xml:space="preserve"> at </w:t>
      </w:r>
      <w:r w:rsidR="006A6185">
        <w:t>80</w:t>
      </w:r>
      <w:r>
        <w:t>.</w:t>
      </w:r>
    </w:p>
  </w:footnote>
  <w:footnote w:id="182">
    <w:p w14:paraId="0E817244" w14:textId="780CAAA1" w:rsidR="00B87AF3" w:rsidRDefault="00B87AF3">
      <w:pPr>
        <w:pStyle w:val="FootnoteText"/>
      </w:pPr>
      <w:r>
        <w:rPr>
          <w:rStyle w:val="FootnoteReference"/>
        </w:rPr>
        <w:footnoteRef/>
      </w:r>
      <w:r>
        <w:t xml:space="preserve"> SCE-05</w:t>
      </w:r>
      <w:r w:rsidR="00920679">
        <w:t>A</w:t>
      </w:r>
      <w:r>
        <w:t xml:space="preserve"> at </w:t>
      </w:r>
      <w:r w:rsidR="00920679">
        <w:t>80</w:t>
      </w:r>
      <w:r>
        <w:t>.</w:t>
      </w:r>
    </w:p>
  </w:footnote>
  <w:footnote w:id="183">
    <w:p w14:paraId="2B53A1CE" w14:textId="19987E08" w:rsidR="008C7D9E" w:rsidRDefault="008C7D9E" w:rsidP="008C7D9E">
      <w:pPr>
        <w:pStyle w:val="FootnoteText"/>
      </w:pPr>
      <w:r>
        <w:rPr>
          <w:rStyle w:val="FootnoteReference"/>
        </w:rPr>
        <w:footnoteRef/>
      </w:r>
      <w:r>
        <w:t xml:space="preserve"> SCE-0</w:t>
      </w:r>
      <w:r w:rsidR="00791C0B">
        <w:t>5</w:t>
      </w:r>
      <w:r w:rsidR="00920679">
        <w:t>A</w:t>
      </w:r>
      <w:r>
        <w:t xml:space="preserve"> at </w:t>
      </w:r>
      <w:r w:rsidR="00920679">
        <w:t>80</w:t>
      </w:r>
      <w:r>
        <w:t xml:space="preserve">, </w:t>
      </w:r>
      <w:r w:rsidRPr="00994926">
        <w:t>citing</w:t>
      </w:r>
      <w:r>
        <w:t xml:space="preserve"> </w:t>
      </w:r>
      <w:r w:rsidRPr="00334380">
        <w:t>D.21-06-035 and Res</w:t>
      </w:r>
      <w:r>
        <w:t>.</w:t>
      </w:r>
      <w:r w:rsidRPr="00334380">
        <w:t xml:space="preserve"> E-</w:t>
      </w:r>
      <w:r w:rsidRPr="007F3AF4">
        <w:t>5259.</w:t>
      </w:r>
      <w:r w:rsidR="003015AB" w:rsidRPr="007F3AF4">
        <w:t xml:space="preserve"> </w:t>
      </w:r>
      <w:r w:rsidR="003015AB" w:rsidRPr="007F3AF4">
        <w:rPr>
          <w:i/>
          <w:iCs/>
        </w:rPr>
        <w:t>See also</w:t>
      </w:r>
      <w:r w:rsidR="003015AB" w:rsidRPr="007F3AF4">
        <w:t xml:space="preserve"> Section </w:t>
      </w:r>
      <w:r w:rsidR="00A37389" w:rsidRPr="007F3AF4">
        <w:t>8.2.4</w:t>
      </w:r>
      <w:r w:rsidR="003015AB" w:rsidRPr="007F3AF4">
        <w:t>, below</w:t>
      </w:r>
      <w:r w:rsidR="00A37389" w:rsidRPr="007F3AF4">
        <w:t>.</w:t>
      </w:r>
    </w:p>
  </w:footnote>
  <w:footnote w:id="184">
    <w:p w14:paraId="55CA01E9" w14:textId="51CD31D8" w:rsidR="00E9673D" w:rsidRDefault="00E9673D">
      <w:pPr>
        <w:pStyle w:val="FootnoteText"/>
      </w:pPr>
      <w:r>
        <w:rPr>
          <w:rStyle w:val="FootnoteReference"/>
        </w:rPr>
        <w:footnoteRef/>
      </w:r>
      <w:r>
        <w:t xml:space="preserve"> SCE-0</w:t>
      </w:r>
      <w:r w:rsidR="00B87AF3">
        <w:t>5</w:t>
      </w:r>
      <w:r w:rsidR="00920679">
        <w:t>A</w:t>
      </w:r>
      <w:r>
        <w:t xml:space="preserve"> at </w:t>
      </w:r>
      <w:r w:rsidR="00920679">
        <w:t>80</w:t>
      </w:r>
      <w:r w:rsidR="00B87AF3">
        <w:t>-</w:t>
      </w:r>
      <w:r w:rsidR="00920679">
        <w:t>81</w:t>
      </w:r>
      <w:r>
        <w:t>.</w:t>
      </w:r>
    </w:p>
  </w:footnote>
  <w:footnote w:id="185">
    <w:p w14:paraId="13C1745C" w14:textId="5FE0BA43" w:rsidR="006754A9" w:rsidRDefault="006754A9">
      <w:pPr>
        <w:pStyle w:val="FootnoteText"/>
      </w:pPr>
      <w:r>
        <w:rPr>
          <w:rStyle w:val="FootnoteReference"/>
        </w:rPr>
        <w:footnoteRef/>
      </w:r>
      <w:r>
        <w:t xml:space="preserve"> SCE-0</w:t>
      </w:r>
      <w:r w:rsidR="00B87AF3">
        <w:t>5</w:t>
      </w:r>
      <w:r w:rsidR="00920679">
        <w:t>A</w:t>
      </w:r>
      <w:r>
        <w:t xml:space="preserve"> at </w:t>
      </w:r>
      <w:r w:rsidR="00B87AF3">
        <w:t>9</w:t>
      </w:r>
      <w:r w:rsidR="00920679">
        <w:t>3</w:t>
      </w:r>
      <w:r>
        <w:t>.</w:t>
      </w:r>
    </w:p>
  </w:footnote>
  <w:footnote w:id="186">
    <w:p w14:paraId="5942F771" w14:textId="4FDFCEBF" w:rsidR="004A1E34" w:rsidRDefault="004A1E34" w:rsidP="004A1E34">
      <w:pPr>
        <w:pStyle w:val="FootnoteText"/>
      </w:pPr>
      <w:r>
        <w:rPr>
          <w:rStyle w:val="FootnoteReference"/>
        </w:rPr>
        <w:footnoteRef/>
      </w:r>
      <w:r>
        <w:t xml:space="preserve"> SCE-0</w:t>
      </w:r>
      <w:r w:rsidR="00B87AF3">
        <w:t>5</w:t>
      </w:r>
      <w:r w:rsidR="00920679">
        <w:t>A</w:t>
      </w:r>
      <w:r>
        <w:t xml:space="preserve"> at </w:t>
      </w:r>
      <w:r w:rsidR="00B87AF3">
        <w:t>9</w:t>
      </w:r>
      <w:r w:rsidR="00920679">
        <w:t>3</w:t>
      </w:r>
      <w:r>
        <w:t xml:space="preserve">, </w:t>
      </w:r>
      <w:r w:rsidRPr="00994926">
        <w:t>citing</w:t>
      </w:r>
      <w:r>
        <w:t xml:space="preserve"> D.24-07-009, </w:t>
      </w:r>
      <w:r w:rsidRPr="004A1E34">
        <w:rPr>
          <w:i/>
          <w:iCs/>
        </w:rPr>
        <w:t xml:space="preserve">Decision Adopting an All-Party Settlement Agreement and Granting San Diego Gas &amp; Electric Company and Southern California Gas Company Authority to Revise </w:t>
      </w:r>
      <w:r>
        <w:rPr>
          <w:i/>
          <w:iCs/>
        </w:rPr>
        <w:t>T</w:t>
      </w:r>
      <w:r w:rsidRPr="004A1E34">
        <w:rPr>
          <w:i/>
          <w:iCs/>
        </w:rPr>
        <w:t>heir Natural Gas Rates and Implement Storage Proposals</w:t>
      </w:r>
      <w:r w:rsidR="00E17F59">
        <w:t>.</w:t>
      </w:r>
    </w:p>
  </w:footnote>
  <w:footnote w:id="187">
    <w:p w14:paraId="17734C5D" w14:textId="46105425" w:rsidR="009057C5" w:rsidRDefault="009057C5" w:rsidP="009057C5">
      <w:pPr>
        <w:pStyle w:val="FootnoteText"/>
      </w:pPr>
      <w:r>
        <w:rPr>
          <w:rStyle w:val="FootnoteReference"/>
        </w:rPr>
        <w:footnoteRef/>
      </w:r>
      <w:r>
        <w:t xml:space="preserve"> SCE-0</w:t>
      </w:r>
      <w:r w:rsidR="00A722C9">
        <w:t>5</w:t>
      </w:r>
      <w:r w:rsidR="00920679">
        <w:t>A</w:t>
      </w:r>
      <w:r>
        <w:t xml:space="preserve"> at </w:t>
      </w:r>
      <w:r w:rsidR="00A722C9">
        <w:t>9</w:t>
      </w:r>
      <w:r w:rsidR="00920679">
        <w:t>4</w:t>
      </w:r>
      <w:r>
        <w:t>.</w:t>
      </w:r>
    </w:p>
  </w:footnote>
  <w:footnote w:id="188">
    <w:p w14:paraId="0B6E5C0D" w14:textId="6BA78172" w:rsidR="009057C5" w:rsidRDefault="009057C5" w:rsidP="009057C5">
      <w:pPr>
        <w:pStyle w:val="FootnoteText"/>
      </w:pPr>
      <w:r>
        <w:rPr>
          <w:rStyle w:val="FootnoteReference"/>
        </w:rPr>
        <w:footnoteRef/>
      </w:r>
      <w:r>
        <w:t xml:space="preserve"> SCE-0</w:t>
      </w:r>
      <w:r w:rsidR="00920679">
        <w:t>5A</w:t>
      </w:r>
      <w:r>
        <w:t xml:space="preserve"> at </w:t>
      </w:r>
      <w:r w:rsidR="00A722C9">
        <w:t>9</w:t>
      </w:r>
      <w:r w:rsidR="00920679">
        <w:t>4</w:t>
      </w:r>
      <w:r>
        <w:t>.</w:t>
      </w:r>
    </w:p>
  </w:footnote>
  <w:footnote w:id="189">
    <w:p w14:paraId="063D07B3" w14:textId="11C71F01" w:rsidR="009057C5" w:rsidRDefault="009057C5">
      <w:pPr>
        <w:pStyle w:val="FootnoteText"/>
      </w:pPr>
      <w:r>
        <w:rPr>
          <w:rStyle w:val="FootnoteReference"/>
        </w:rPr>
        <w:footnoteRef/>
      </w:r>
      <w:r>
        <w:t xml:space="preserve"> SCE-0</w:t>
      </w:r>
      <w:r w:rsidR="00A722C9">
        <w:t>5</w:t>
      </w:r>
      <w:r w:rsidR="00817831">
        <w:t>A</w:t>
      </w:r>
      <w:r>
        <w:t xml:space="preserve"> at </w:t>
      </w:r>
      <w:r w:rsidR="00A722C9">
        <w:t>3</w:t>
      </w:r>
      <w:r w:rsidR="00817831">
        <w:t>4</w:t>
      </w:r>
      <w:r>
        <w:t>.</w:t>
      </w:r>
    </w:p>
  </w:footnote>
  <w:footnote w:id="190">
    <w:p w14:paraId="25B8709E" w14:textId="407FF37F" w:rsidR="004A1E34" w:rsidRDefault="004A1E34">
      <w:pPr>
        <w:pStyle w:val="FootnoteText"/>
      </w:pPr>
      <w:r>
        <w:rPr>
          <w:rStyle w:val="FootnoteReference"/>
        </w:rPr>
        <w:footnoteRef/>
      </w:r>
      <w:r>
        <w:t xml:space="preserve"> SCE-0</w:t>
      </w:r>
      <w:r w:rsidR="00A722C9">
        <w:t>5</w:t>
      </w:r>
      <w:r w:rsidR="00817831">
        <w:t>A</w:t>
      </w:r>
      <w:r>
        <w:t xml:space="preserve"> at </w:t>
      </w:r>
      <w:r w:rsidR="00A722C9">
        <w:t>9</w:t>
      </w:r>
      <w:r w:rsidR="00817831">
        <w:t>4</w:t>
      </w:r>
      <w:r>
        <w:t>.</w:t>
      </w:r>
    </w:p>
  </w:footnote>
  <w:footnote w:id="191">
    <w:p w14:paraId="019B138F" w14:textId="71B3DDBF" w:rsidR="001B67B2" w:rsidRDefault="001B67B2">
      <w:pPr>
        <w:pStyle w:val="FootnoteText"/>
      </w:pPr>
      <w:r>
        <w:rPr>
          <w:rStyle w:val="FootnoteReference"/>
        </w:rPr>
        <w:footnoteRef/>
      </w:r>
      <w:r>
        <w:t xml:space="preserve"> SCE-0</w:t>
      </w:r>
      <w:r w:rsidR="00A722C9">
        <w:t>5</w:t>
      </w:r>
      <w:r w:rsidR="00665110">
        <w:t>A</w:t>
      </w:r>
      <w:r>
        <w:t xml:space="preserve"> at </w:t>
      </w:r>
      <w:r w:rsidR="00A722C9">
        <w:t>9</w:t>
      </w:r>
      <w:r w:rsidR="00665110">
        <w:t>4</w:t>
      </w:r>
      <w:r>
        <w:t>.</w:t>
      </w:r>
    </w:p>
  </w:footnote>
  <w:footnote w:id="192">
    <w:p w14:paraId="1E2E56E0" w14:textId="39723FE2" w:rsidR="00062879" w:rsidRDefault="00062879" w:rsidP="00062879">
      <w:pPr>
        <w:pStyle w:val="FootnoteText"/>
      </w:pPr>
      <w:r>
        <w:rPr>
          <w:rStyle w:val="FootnoteReference"/>
        </w:rPr>
        <w:footnoteRef/>
      </w:r>
      <w:r>
        <w:t xml:space="preserve"> SCE-0</w:t>
      </w:r>
      <w:r w:rsidR="00F07BDB">
        <w:t>5</w:t>
      </w:r>
      <w:r w:rsidR="00665110">
        <w:t>A</w:t>
      </w:r>
      <w:r>
        <w:t xml:space="preserve"> at </w:t>
      </w:r>
      <w:r w:rsidR="00F07BDB">
        <w:t>9</w:t>
      </w:r>
      <w:r w:rsidR="00665110">
        <w:t>6</w:t>
      </w:r>
      <w:r>
        <w:t xml:space="preserve">, </w:t>
      </w:r>
      <w:r w:rsidRPr="00994926">
        <w:t>citing</w:t>
      </w:r>
      <w:r>
        <w:t xml:space="preserve"> </w:t>
      </w:r>
      <w:r w:rsidRPr="00062879">
        <w:t xml:space="preserve">D.93-01-027, </w:t>
      </w:r>
      <w:r w:rsidR="00715BE6" w:rsidRPr="00715BE6">
        <w:rPr>
          <w:i/>
          <w:iCs/>
        </w:rPr>
        <w:t>Opinion</w:t>
      </w:r>
      <w:r w:rsidR="00715BE6">
        <w:t xml:space="preserve"> at </w:t>
      </w:r>
      <w:r>
        <w:t>FOF</w:t>
      </w:r>
      <w:r w:rsidRPr="00062879">
        <w:t xml:space="preserve"> 23-26, 28, 30-32</w:t>
      </w:r>
      <w:r>
        <w:t xml:space="preserve"> and</w:t>
      </w:r>
      <w:r w:rsidRPr="00062879">
        <w:t xml:space="preserve"> </w:t>
      </w:r>
      <w:r>
        <w:t>COL</w:t>
      </w:r>
      <w:r w:rsidRPr="00062879">
        <w:t xml:space="preserve"> 14</w:t>
      </w:r>
      <w:r>
        <w:t>.</w:t>
      </w:r>
    </w:p>
  </w:footnote>
  <w:footnote w:id="193">
    <w:p w14:paraId="3087ED10" w14:textId="14C9418D" w:rsidR="00062879" w:rsidRDefault="00062879">
      <w:pPr>
        <w:pStyle w:val="FootnoteText"/>
      </w:pPr>
      <w:r>
        <w:rPr>
          <w:rStyle w:val="FootnoteReference"/>
        </w:rPr>
        <w:footnoteRef/>
      </w:r>
      <w:r>
        <w:t xml:space="preserve"> SCE-0</w:t>
      </w:r>
      <w:r w:rsidR="00F07BDB">
        <w:t>5</w:t>
      </w:r>
      <w:r w:rsidR="00665110">
        <w:t>A</w:t>
      </w:r>
      <w:r>
        <w:t xml:space="preserve"> at </w:t>
      </w:r>
      <w:r w:rsidR="00F07BDB">
        <w:t>9</w:t>
      </w:r>
      <w:r w:rsidR="00665110">
        <w:t>6</w:t>
      </w:r>
      <w:r>
        <w:t xml:space="preserve">, </w:t>
      </w:r>
      <w:r w:rsidRPr="00994926">
        <w:t>citing</w:t>
      </w:r>
      <w:r>
        <w:t xml:space="preserve"> </w:t>
      </w:r>
      <w:r w:rsidRPr="00062879">
        <w:t>D.02-10-062, F</w:t>
      </w:r>
      <w:r>
        <w:t>O</w:t>
      </w:r>
      <w:r w:rsidRPr="00062879">
        <w:t>F 23</w:t>
      </w:r>
      <w:r>
        <w:t>.</w:t>
      </w:r>
    </w:p>
  </w:footnote>
  <w:footnote w:id="194">
    <w:p w14:paraId="111E284E" w14:textId="20F8D9AC" w:rsidR="00062879" w:rsidRDefault="00062879">
      <w:pPr>
        <w:pStyle w:val="FootnoteText"/>
      </w:pPr>
      <w:r>
        <w:rPr>
          <w:rStyle w:val="FootnoteReference"/>
        </w:rPr>
        <w:footnoteRef/>
      </w:r>
      <w:r>
        <w:t xml:space="preserve"> SCE-0</w:t>
      </w:r>
      <w:r w:rsidR="00966226">
        <w:t>5</w:t>
      </w:r>
      <w:r w:rsidR="00665110">
        <w:t>A</w:t>
      </w:r>
      <w:r>
        <w:t xml:space="preserve"> at </w:t>
      </w:r>
      <w:r w:rsidR="00966226">
        <w:t>9</w:t>
      </w:r>
      <w:r w:rsidR="00665110">
        <w:t>6</w:t>
      </w:r>
      <w:r>
        <w:t xml:space="preserve">, </w:t>
      </w:r>
      <w:r w:rsidRPr="00994926">
        <w:t>citing</w:t>
      </w:r>
      <w:r>
        <w:t xml:space="preserve"> </w:t>
      </w:r>
      <w:r w:rsidRPr="00062879">
        <w:t>D.04-01-048</w:t>
      </w:r>
      <w:r w:rsidR="00715BE6">
        <w:t>,</w:t>
      </w:r>
      <w:r w:rsidR="00715BE6" w:rsidRPr="00715BE6">
        <w:rPr>
          <w:i/>
          <w:iCs/>
        </w:rPr>
        <w:t xml:space="preserve"> Opinion on Southern California Edison Company’s Energy Resource Recovery Account</w:t>
      </w:r>
      <w:r>
        <w:t xml:space="preserve"> at 10 and OP 4.</w:t>
      </w:r>
    </w:p>
  </w:footnote>
  <w:footnote w:id="195">
    <w:p w14:paraId="13C2241D" w14:textId="74D0889B" w:rsidR="00A71215" w:rsidRDefault="00A71215" w:rsidP="00A71215">
      <w:pPr>
        <w:pStyle w:val="FootnoteText"/>
      </w:pPr>
      <w:r w:rsidRPr="00A71215">
        <w:rPr>
          <w:rStyle w:val="FootnoteReference"/>
        </w:rPr>
        <w:footnoteRef/>
      </w:r>
      <w:r w:rsidRPr="00A71215">
        <w:t xml:space="preserve"> SCE-05</w:t>
      </w:r>
      <w:r w:rsidR="00665110">
        <w:t>A</w:t>
      </w:r>
      <w:r w:rsidRPr="00A71215">
        <w:t xml:space="preserve"> at 9</w:t>
      </w:r>
      <w:r w:rsidR="00665110">
        <w:t>6</w:t>
      </w:r>
      <w:r w:rsidRPr="00A71215">
        <w:t>. SCE states that, in 2025, it exercised an option to extend the revolver one additional year.</w:t>
      </w:r>
    </w:p>
  </w:footnote>
  <w:footnote w:id="196">
    <w:p w14:paraId="4CD1F6FB" w14:textId="2499D477" w:rsidR="006E5CA8" w:rsidRDefault="006E5CA8">
      <w:pPr>
        <w:pStyle w:val="FootnoteText"/>
      </w:pPr>
      <w:r>
        <w:rPr>
          <w:rStyle w:val="FootnoteReference"/>
        </w:rPr>
        <w:footnoteRef/>
      </w:r>
      <w:r>
        <w:t xml:space="preserve"> SCE-0</w:t>
      </w:r>
      <w:r w:rsidR="00966226">
        <w:t>5</w:t>
      </w:r>
      <w:r w:rsidR="00665110">
        <w:t>A</w:t>
      </w:r>
      <w:r>
        <w:t xml:space="preserve"> at </w:t>
      </w:r>
      <w:r w:rsidR="00966226">
        <w:t>9</w:t>
      </w:r>
      <w:r w:rsidR="00665110">
        <w:t>7</w:t>
      </w:r>
      <w:r>
        <w:t>.</w:t>
      </w:r>
    </w:p>
  </w:footnote>
  <w:footnote w:id="197">
    <w:p w14:paraId="0BE7A6C0" w14:textId="0F1F2B7B" w:rsidR="00DD14D8" w:rsidRDefault="00DD14D8">
      <w:pPr>
        <w:pStyle w:val="FootnoteText"/>
      </w:pPr>
      <w:r>
        <w:rPr>
          <w:rStyle w:val="FootnoteReference"/>
        </w:rPr>
        <w:footnoteRef/>
      </w:r>
      <w:r>
        <w:t xml:space="preserve"> SCE-0</w:t>
      </w:r>
      <w:r w:rsidR="00966226">
        <w:t>5</w:t>
      </w:r>
      <w:r w:rsidR="00665110">
        <w:t>A</w:t>
      </w:r>
      <w:r>
        <w:t xml:space="preserve"> at </w:t>
      </w:r>
      <w:r w:rsidR="00966226">
        <w:t>9</w:t>
      </w:r>
      <w:r w:rsidR="00665110">
        <w:t>7</w:t>
      </w:r>
      <w:r>
        <w:t>.</w:t>
      </w:r>
    </w:p>
  </w:footnote>
  <w:footnote w:id="198">
    <w:p w14:paraId="77190AE4" w14:textId="3B552255" w:rsidR="001B67B2" w:rsidRDefault="001B67B2">
      <w:pPr>
        <w:pStyle w:val="FootnoteText"/>
      </w:pPr>
      <w:r>
        <w:rPr>
          <w:rStyle w:val="FootnoteReference"/>
        </w:rPr>
        <w:footnoteRef/>
      </w:r>
      <w:r>
        <w:t xml:space="preserve"> SCE-0</w:t>
      </w:r>
      <w:r w:rsidR="00966226">
        <w:t>5</w:t>
      </w:r>
      <w:r w:rsidR="00665110">
        <w:t>A</w:t>
      </w:r>
      <w:r>
        <w:t xml:space="preserve"> at </w:t>
      </w:r>
      <w:r w:rsidR="00966226">
        <w:t>9</w:t>
      </w:r>
      <w:r w:rsidR="00665110">
        <w:t>6-97</w:t>
      </w:r>
      <w:r>
        <w:t>.</w:t>
      </w:r>
      <w:r w:rsidR="006E5CA8">
        <w:t xml:space="preserve"> The revolver has a May 202</w:t>
      </w:r>
      <w:r w:rsidR="00966226">
        <w:t>9</w:t>
      </w:r>
      <w:r w:rsidR="006E5CA8">
        <w:t xml:space="preserve"> maturity date.</w:t>
      </w:r>
    </w:p>
  </w:footnote>
  <w:footnote w:id="199">
    <w:p w14:paraId="30CB015F" w14:textId="77B5CC7A" w:rsidR="001B67B2" w:rsidRDefault="001B67B2" w:rsidP="001B67B2">
      <w:pPr>
        <w:pStyle w:val="FootnoteText"/>
      </w:pPr>
      <w:r>
        <w:rPr>
          <w:rStyle w:val="FootnoteReference"/>
        </w:rPr>
        <w:footnoteRef/>
      </w:r>
      <w:r>
        <w:t xml:space="preserve"> </w:t>
      </w:r>
      <w:r w:rsidR="00966226">
        <w:t xml:space="preserve">SCE’s </w:t>
      </w:r>
      <w:r w:rsidR="00665110">
        <w:t xml:space="preserve">Amended </w:t>
      </w:r>
      <w:r w:rsidR="00966226">
        <w:t xml:space="preserve">October Update indicated </w:t>
      </w:r>
      <w:r w:rsidR="00665110">
        <w:t xml:space="preserve">a </w:t>
      </w:r>
      <w:r w:rsidR="00966226">
        <w:t>change in ratings for its commercial paper program, from A2/P2</w:t>
      </w:r>
      <w:r w:rsidR="00665110">
        <w:t xml:space="preserve"> </w:t>
      </w:r>
      <w:r w:rsidR="00966226">
        <w:t>to A3/P2</w:t>
      </w:r>
      <w:r>
        <w:t>.</w:t>
      </w:r>
      <w:r w:rsidR="00665110">
        <w:t xml:space="preserve"> </w:t>
      </w:r>
      <w:r w:rsidR="00665110" w:rsidRPr="00665110">
        <w:rPr>
          <w:i/>
          <w:iCs/>
        </w:rPr>
        <w:t>Compare</w:t>
      </w:r>
      <w:r w:rsidR="00665110">
        <w:t xml:space="preserve"> SCE-01 at 86 and SCE-05A at 98. </w:t>
      </w:r>
    </w:p>
  </w:footnote>
  <w:footnote w:id="200">
    <w:p w14:paraId="62E8FB92" w14:textId="08A653C3" w:rsidR="00C42C77" w:rsidRDefault="00C42C77" w:rsidP="00C42C77">
      <w:pPr>
        <w:pStyle w:val="FootnoteText"/>
      </w:pPr>
      <w:r>
        <w:rPr>
          <w:rStyle w:val="FootnoteReference"/>
        </w:rPr>
        <w:footnoteRef/>
      </w:r>
      <w:r>
        <w:t xml:space="preserve"> SCE-0</w:t>
      </w:r>
      <w:r w:rsidR="00966226">
        <w:t>5</w:t>
      </w:r>
      <w:r w:rsidR="00665110">
        <w:t>A</w:t>
      </w:r>
      <w:r>
        <w:t xml:space="preserve"> at </w:t>
      </w:r>
      <w:r w:rsidR="00966226">
        <w:t>9</w:t>
      </w:r>
      <w:r w:rsidR="00665110">
        <w:t>8</w:t>
      </w:r>
      <w:r>
        <w:t>.</w:t>
      </w:r>
    </w:p>
  </w:footnote>
  <w:footnote w:id="201">
    <w:p w14:paraId="081A89B7" w14:textId="615E07C2" w:rsidR="003158A5" w:rsidRDefault="003158A5">
      <w:pPr>
        <w:pStyle w:val="FootnoteText"/>
      </w:pPr>
      <w:r>
        <w:rPr>
          <w:rStyle w:val="FootnoteReference"/>
        </w:rPr>
        <w:footnoteRef/>
      </w:r>
      <w:r>
        <w:t xml:space="preserve"> SCE-0</w:t>
      </w:r>
      <w:r w:rsidR="00966226">
        <w:t>5</w:t>
      </w:r>
      <w:r w:rsidR="00462967">
        <w:t>A</w:t>
      </w:r>
      <w:r w:rsidR="00966226">
        <w:t xml:space="preserve"> </w:t>
      </w:r>
      <w:r>
        <w:t xml:space="preserve">at </w:t>
      </w:r>
      <w:r w:rsidR="00966226">
        <w:t>9</w:t>
      </w:r>
      <w:r w:rsidR="00462967">
        <w:t>9</w:t>
      </w:r>
      <w:r>
        <w:t>.</w:t>
      </w:r>
    </w:p>
  </w:footnote>
  <w:footnote w:id="202">
    <w:p w14:paraId="1352C57B" w14:textId="2F5145AC" w:rsidR="008769AB" w:rsidRDefault="008769AB">
      <w:pPr>
        <w:pStyle w:val="FootnoteText"/>
      </w:pPr>
      <w:r>
        <w:rPr>
          <w:rStyle w:val="FootnoteReference"/>
        </w:rPr>
        <w:footnoteRef/>
      </w:r>
      <w:r w:rsidRPr="008769AB">
        <w:rPr>
          <w:i/>
          <w:iCs/>
        </w:rPr>
        <w:t xml:space="preserve"> </w:t>
      </w:r>
      <w:r>
        <w:t>SCE-0</w:t>
      </w:r>
      <w:r w:rsidR="000C292B">
        <w:t>5</w:t>
      </w:r>
      <w:r w:rsidR="00462967">
        <w:t>A</w:t>
      </w:r>
      <w:r>
        <w:t xml:space="preserve"> at </w:t>
      </w:r>
      <w:r w:rsidR="00462967">
        <w:t>100</w:t>
      </w:r>
      <w:r w:rsidR="00B72DF6">
        <w:t xml:space="preserve"> and n.</w:t>
      </w:r>
      <w:r w:rsidR="000C292B">
        <w:t>9</w:t>
      </w:r>
      <w:r w:rsidR="00462967">
        <w:t>5</w:t>
      </w:r>
      <w:r>
        <w:t xml:space="preserve">, </w:t>
      </w:r>
      <w:r w:rsidRPr="00994926">
        <w:t>citing</w:t>
      </w:r>
      <w:r>
        <w:t xml:space="preserve"> D.</w:t>
      </w:r>
      <w:r w:rsidRPr="008769AB">
        <w:t xml:space="preserve">14-10-033, </w:t>
      </w:r>
      <w:r w:rsidR="007B622E" w:rsidRPr="007B622E">
        <w:rPr>
          <w:i/>
          <w:iCs/>
        </w:rPr>
        <w:t>Phase 2 Decision Adopting Standard Procedures for Utilities to File Greenhouse Gas Forecast and Revenue Reconciliation Requests</w:t>
      </w:r>
      <w:r w:rsidR="007B622E">
        <w:t xml:space="preserve"> at </w:t>
      </w:r>
      <w:r w:rsidRPr="008769AB">
        <w:t xml:space="preserve">Attachment B, Section G - GHG Accounting Procedures for </w:t>
      </w:r>
      <w:proofErr w:type="spellStart"/>
      <w:r w:rsidRPr="008769AB">
        <w:t>Ratesetting</w:t>
      </w:r>
      <w:proofErr w:type="spellEnd"/>
      <w:r w:rsidRPr="008769AB">
        <w:t xml:space="preserve"> Purposes</w:t>
      </w:r>
      <w:r w:rsidR="007B622E">
        <w:t xml:space="preserve"> [hereinafter D.14-10-033]</w:t>
      </w:r>
      <w:r w:rsidRPr="008769AB">
        <w:t>.</w:t>
      </w:r>
      <w:r w:rsidR="00FC62C7">
        <w:t xml:space="preserve"> </w:t>
      </w:r>
    </w:p>
  </w:footnote>
  <w:footnote w:id="203">
    <w:p w14:paraId="128A4B99" w14:textId="4D40C818" w:rsidR="008769AB" w:rsidRDefault="008769AB">
      <w:pPr>
        <w:pStyle w:val="FootnoteText"/>
      </w:pPr>
      <w:r>
        <w:rPr>
          <w:rStyle w:val="FootnoteReference"/>
        </w:rPr>
        <w:footnoteRef/>
      </w:r>
      <w:r>
        <w:t xml:space="preserve"> SCE-0</w:t>
      </w:r>
      <w:r w:rsidR="000C292B">
        <w:t>5</w:t>
      </w:r>
      <w:r w:rsidR="00462967">
        <w:t>A</w:t>
      </w:r>
      <w:r>
        <w:t xml:space="preserve"> at </w:t>
      </w:r>
      <w:r w:rsidR="00462967">
        <w:t>100</w:t>
      </w:r>
      <w:r w:rsidR="00B340AB">
        <w:t xml:space="preserve"> and n.</w:t>
      </w:r>
      <w:r w:rsidR="000C292B">
        <w:t>9</w:t>
      </w:r>
      <w:r w:rsidR="00462967">
        <w:t>6</w:t>
      </w:r>
      <w:r w:rsidR="00B340AB">
        <w:t>.</w:t>
      </w:r>
    </w:p>
  </w:footnote>
  <w:footnote w:id="204">
    <w:p w14:paraId="39EE2EFA" w14:textId="222ADE16" w:rsidR="00B340AB" w:rsidRDefault="00B340AB">
      <w:pPr>
        <w:pStyle w:val="FootnoteText"/>
      </w:pPr>
      <w:r>
        <w:rPr>
          <w:rStyle w:val="FootnoteReference"/>
        </w:rPr>
        <w:footnoteRef/>
      </w:r>
      <w:r>
        <w:t xml:space="preserve"> SCE-0</w:t>
      </w:r>
      <w:r w:rsidR="000C292B">
        <w:t>5</w:t>
      </w:r>
      <w:r w:rsidR="00462967">
        <w:t>A</w:t>
      </w:r>
      <w:r>
        <w:t xml:space="preserve"> at </w:t>
      </w:r>
      <w:r w:rsidR="00462967">
        <w:t>100</w:t>
      </w:r>
      <w:r>
        <w:t>.</w:t>
      </w:r>
    </w:p>
  </w:footnote>
  <w:footnote w:id="205">
    <w:p w14:paraId="4BBB384C" w14:textId="77777777" w:rsidR="00054B37" w:rsidRDefault="00054B37" w:rsidP="00054B37">
      <w:pPr>
        <w:pStyle w:val="FootnoteText"/>
      </w:pPr>
      <w:r>
        <w:rPr>
          <w:rStyle w:val="FootnoteReference"/>
        </w:rPr>
        <w:footnoteRef/>
      </w:r>
      <w:r>
        <w:t xml:space="preserve"> Information on California’s Cap-and-Trade program can be found on the CARB website. California Air Resources Board, Cap-and-Trade Program, </w:t>
      </w:r>
      <w:hyperlink r:id="rId3" w:history="1">
        <w:r w:rsidRPr="00F94B48">
          <w:rPr>
            <w:rStyle w:val="Hyperlink"/>
          </w:rPr>
          <w:t>https://ww2.arb.ca.gov/our-work/programs/cap-and-trade-program/about</w:t>
        </w:r>
      </w:hyperlink>
      <w:r>
        <w:t xml:space="preserve"> (last visited Aug. 7, 2025).</w:t>
      </w:r>
    </w:p>
  </w:footnote>
  <w:footnote w:id="206">
    <w:p w14:paraId="53204DB3" w14:textId="303B2080" w:rsidR="000C7B2F" w:rsidRDefault="000C7B2F">
      <w:pPr>
        <w:pStyle w:val="FootnoteText"/>
      </w:pPr>
      <w:r>
        <w:rPr>
          <w:rStyle w:val="FootnoteReference"/>
        </w:rPr>
        <w:footnoteRef/>
      </w:r>
      <w:r>
        <w:t xml:space="preserve"> </w:t>
      </w:r>
      <w:r w:rsidR="005E3250" w:rsidRPr="00A97197">
        <w:t xml:space="preserve">D.12-12-033, </w:t>
      </w:r>
      <w:r w:rsidR="005E3250" w:rsidRPr="00A97197">
        <w:rPr>
          <w:i/>
          <w:iCs/>
        </w:rPr>
        <w:t xml:space="preserve">Decision Adopting Cap-and-Trade Greenhouse Gas Allowance Revenue Allocation Methodology for the </w:t>
      </w:r>
      <w:proofErr w:type="gramStart"/>
      <w:r w:rsidR="005E3250" w:rsidRPr="00A97197">
        <w:rPr>
          <w:i/>
          <w:iCs/>
        </w:rPr>
        <w:t>Investor Owned</w:t>
      </w:r>
      <w:proofErr w:type="gramEnd"/>
      <w:r w:rsidR="005E3250" w:rsidRPr="00A97197">
        <w:rPr>
          <w:i/>
          <w:iCs/>
        </w:rPr>
        <w:t xml:space="preserve"> Utilities</w:t>
      </w:r>
      <w:r w:rsidR="005E3250" w:rsidRPr="00A97197">
        <w:t xml:space="preserve"> at </w:t>
      </w:r>
      <w:r w:rsidR="005E3250">
        <w:t>2-3</w:t>
      </w:r>
      <w:r w:rsidR="005E3250" w:rsidRPr="00A97197">
        <w:t xml:space="preserve"> [hereinafter D.12-12-033]</w:t>
      </w:r>
      <w:r w:rsidR="005E3250">
        <w:t xml:space="preserve">. </w:t>
      </w:r>
      <w:r w:rsidR="005E3250" w:rsidRPr="00A97197">
        <w:t>D.14-10-033</w:t>
      </w:r>
      <w:r w:rsidR="005E3250">
        <w:t xml:space="preserve"> </w:t>
      </w:r>
      <w:r w:rsidR="005E3250" w:rsidRPr="00A97197">
        <w:t>at 5.</w:t>
      </w:r>
      <w:r w:rsidR="005E3250">
        <w:t xml:space="preserve"> </w:t>
      </w:r>
    </w:p>
  </w:footnote>
  <w:footnote w:id="207">
    <w:p w14:paraId="569C97F5" w14:textId="3EB5A03B" w:rsidR="00E33A5F" w:rsidRDefault="00E33A5F">
      <w:pPr>
        <w:pStyle w:val="FootnoteText"/>
      </w:pPr>
      <w:r>
        <w:rPr>
          <w:rStyle w:val="FootnoteReference"/>
        </w:rPr>
        <w:footnoteRef/>
      </w:r>
      <w:r>
        <w:t xml:space="preserve"> </w:t>
      </w:r>
      <w:r w:rsidR="009E4D3E">
        <w:t>D.</w:t>
      </w:r>
      <w:r w:rsidR="009E4D3E" w:rsidRPr="008769AB">
        <w:t>14-10-033</w:t>
      </w:r>
      <w:r w:rsidR="009E4D3E">
        <w:t xml:space="preserve"> at </w:t>
      </w:r>
      <w:r w:rsidR="009E4D3E" w:rsidRPr="008769AB">
        <w:t xml:space="preserve">Attachment </w:t>
      </w:r>
      <w:r w:rsidR="009E4D3E">
        <w:t xml:space="preserve">D, </w:t>
      </w:r>
      <w:r w:rsidR="009E4D3E" w:rsidRPr="009E4D3E">
        <w:t>GHG Revenue and Reconciliation Application Form</w:t>
      </w:r>
      <w:r w:rsidR="009E4D3E" w:rsidRPr="008769AB">
        <w:t>.</w:t>
      </w:r>
      <w:r w:rsidR="009E4D3E">
        <w:t xml:space="preserve"> </w:t>
      </w:r>
    </w:p>
  </w:footnote>
  <w:footnote w:id="208">
    <w:p w14:paraId="681FD8E4" w14:textId="34E5BD22" w:rsidR="00E11DBC" w:rsidRDefault="00E11DBC">
      <w:pPr>
        <w:pStyle w:val="FootnoteText"/>
      </w:pPr>
      <w:r>
        <w:rPr>
          <w:rStyle w:val="FootnoteReference"/>
        </w:rPr>
        <w:footnoteRef/>
      </w:r>
      <w:r>
        <w:t xml:space="preserve"> </w:t>
      </w:r>
      <w:r w:rsidRPr="00E11DBC">
        <w:rPr>
          <w:i/>
          <w:iCs/>
        </w:rPr>
        <w:t>See</w:t>
      </w:r>
      <w:r>
        <w:t xml:space="preserve"> D.21-08-026, </w:t>
      </w:r>
      <w:r w:rsidRPr="0017356B">
        <w:rPr>
          <w:i/>
          <w:iCs/>
        </w:rPr>
        <w:t>Decision Adopting Customer Climate Credit Updates</w:t>
      </w:r>
      <w:r>
        <w:t xml:space="preserve"> [hereinafter D.21-08-026].</w:t>
      </w:r>
      <w:r w:rsidR="00560C3F">
        <w:t xml:space="preserve"> This decision also removed the requirement to include Templates D4 and D5.</w:t>
      </w:r>
    </w:p>
  </w:footnote>
  <w:footnote w:id="209">
    <w:p w14:paraId="53031DF2" w14:textId="600B39A0" w:rsidR="000C7B2F" w:rsidRDefault="000C7B2F">
      <w:pPr>
        <w:pStyle w:val="FootnoteText"/>
      </w:pPr>
      <w:r>
        <w:rPr>
          <w:rStyle w:val="FootnoteReference"/>
        </w:rPr>
        <w:footnoteRef/>
      </w:r>
      <w:r>
        <w:t xml:space="preserve"> SCE-0</w:t>
      </w:r>
      <w:r w:rsidR="00215A87">
        <w:t>5</w:t>
      </w:r>
      <w:r w:rsidR="00EA5440">
        <w:t>A</w:t>
      </w:r>
      <w:r>
        <w:t xml:space="preserve"> at </w:t>
      </w:r>
      <w:r w:rsidR="00EA5440">
        <w:t>81</w:t>
      </w:r>
      <w:r>
        <w:t>.</w:t>
      </w:r>
    </w:p>
  </w:footnote>
  <w:footnote w:id="210">
    <w:p w14:paraId="40CDF032" w14:textId="7FE71991" w:rsidR="0033596E" w:rsidRDefault="0033596E" w:rsidP="0033596E">
      <w:pPr>
        <w:pStyle w:val="FootnoteText"/>
      </w:pPr>
      <w:r>
        <w:rPr>
          <w:rStyle w:val="FootnoteReference"/>
        </w:rPr>
        <w:footnoteRef/>
      </w:r>
      <w:r>
        <w:t xml:space="preserve"> D.14-10-033 at 14. </w:t>
      </w:r>
      <w:r w:rsidRPr="000C7EA0">
        <w:rPr>
          <w:i/>
          <w:iCs/>
        </w:rPr>
        <w:t>See also</w:t>
      </w:r>
      <w:r>
        <w:t xml:space="preserve"> SCE-0</w:t>
      </w:r>
      <w:r w:rsidR="00215A87">
        <w:t>5</w:t>
      </w:r>
      <w:r w:rsidR="00EA5440">
        <w:t>A</w:t>
      </w:r>
      <w:r>
        <w:t xml:space="preserve"> at </w:t>
      </w:r>
      <w:r w:rsidR="00215A87">
        <w:t>8</w:t>
      </w:r>
      <w:r w:rsidR="00EA5440">
        <w:t>1</w:t>
      </w:r>
      <w:r w:rsidR="00E11DBC">
        <w:t>.</w:t>
      </w:r>
      <w:r w:rsidR="00CF21FC">
        <w:t xml:space="preserve"> </w:t>
      </w:r>
    </w:p>
  </w:footnote>
  <w:footnote w:id="211">
    <w:p w14:paraId="37847A84" w14:textId="60DBF882" w:rsidR="0033596E" w:rsidRDefault="0033596E" w:rsidP="0033596E">
      <w:pPr>
        <w:pStyle w:val="FootnoteText"/>
      </w:pPr>
      <w:r>
        <w:rPr>
          <w:rStyle w:val="FootnoteReference"/>
        </w:rPr>
        <w:footnoteRef/>
      </w:r>
      <w:r>
        <w:t xml:space="preserve"> </w:t>
      </w:r>
      <w:r w:rsidRPr="000C7EA0">
        <w:rPr>
          <w:i/>
          <w:iCs/>
        </w:rPr>
        <w:t>See</w:t>
      </w:r>
      <w:r>
        <w:t xml:space="preserve"> D.14-10-033, Attachment A, Confidentiality Protocols, at 2</w:t>
      </w:r>
      <w:r w:rsidR="00B43A7F">
        <w:t>.</w:t>
      </w:r>
      <w:r>
        <w:t xml:space="preserve"> </w:t>
      </w:r>
      <w:r w:rsidRPr="000C7EA0">
        <w:rPr>
          <w:i/>
          <w:iCs/>
        </w:rPr>
        <w:t>See also</w:t>
      </w:r>
      <w:r>
        <w:t xml:space="preserve"> D.06-06-066, </w:t>
      </w:r>
      <w:r w:rsidRPr="000C7EA0">
        <w:rPr>
          <w:i/>
          <w:iCs/>
        </w:rPr>
        <w:t>Interim Opinion Implementing Senate Bill No. 1488, Relating to Confidentiality of Electric Procurement Data Submitted to the Commission</w:t>
      </w:r>
      <w:r>
        <w:t>.</w:t>
      </w:r>
    </w:p>
  </w:footnote>
  <w:footnote w:id="212">
    <w:p w14:paraId="705CF750" w14:textId="09D249E5" w:rsidR="0033596E" w:rsidRDefault="0033596E" w:rsidP="0033596E">
      <w:pPr>
        <w:pStyle w:val="FootnoteText"/>
      </w:pPr>
      <w:r>
        <w:rPr>
          <w:rStyle w:val="FootnoteReference"/>
        </w:rPr>
        <w:footnoteRef/>
      </w:r>
      <w:r>
        <w:t xml:space="preserve"> SCE’s methodologies for estimating GHG emissions volumes for the direct GHG costs of UOG, </w:t>
      </w:r>
      <w:r w:rsidR="00157E37">
        <w:t>p</w:t>
      </w:r>
      <w:r>
        <w:t xml:space="preserve">rocurement </w:t>
      </w:r>
      <w:r w:rsidR="00157E37">
        <w:t>c</w:t>
      </w:r>
      <w:r>
        <w:t xml:space="preserve">ontracts, and </w:t>
      </w:r>
      <w:r w:rsidR="00157E37">
        <w:t>o</w:t>
      </w:r>
      <w:r>
        <w:t xml:space="preserve">ut of </w:t>
      </w:r>
      <w:r w:rsidR="00157E37">
        <w:t>s</w:t>
      </w:r>
      <w:r>
        <w:t xml:space="preserve">tate </w:t>
      </w:r>
      <w:r w:rsidR="00157E37">
        <w:t>i</w:t>
      </w:r>
      <w:r>
        <w:t xml:space="preserve">mports and the indirect GHG costs of </w:t>
      </w:r>
      <w:r w:rsidR="00157E37">
        <w:t>i</w:t>
      </w:r>
      <w:r>
        <w:t xml:space="preserve">n </w:t>
      </w:r>
      <w:r w:rsidR="00157E37">
        <w:t>s</w:t>
      </w:r>
      <w:r>
        <w:t xml:space="preserve">tate </w:t>
      </w:r>
      <w:r w:rsidR="00157E37">
        <w:t>m</w:t>
      </w:r>
      <w:r>
        <w:t xml:space="preserve">arket </w:t>
      </w:r>
      <w:r w:rsidR="00157E37">
        <w:t>p</w:t>
      </w:r>
      <w:r>
        <w:t xml:space="preserve">ower </w:t>
      </w:r>
      <w:r w:rsidR="00157E37">
        <w:t>p</w:t>
      </w:r>
      <w:r>
        <w:t>urchases and QF are described in full at SCE-0</w:t>
      </w:r>
      <w:r w:rsidR="00215A87">
        <w:t>5</w:t>
      </w:r>
      <w:r w:rsidR="00EA5440">
        <w:t>A</w:t>
      </w:r>
      <w:r>
        <w:t xml:space="preserve"> at </w:t>
      </w:r>
      <w:r w:rsidR="00215A87">
        <w:t>8</w:t>
      </w:r>
      <w:r w:rsidR="00EA5440">
        <w:t>4</w:t>
      </w:r>
      <w:r w:rsidR="00215A87">
        <w:t>-8</w:t>
      </w:r>
      <w:r w:rsidR="00EA5440">
        <w:t>7</w:t>
      </w:r>
      <w:r>
        <w:t>.</w:t>
      </w:r>
    </w:p>
  </w:footnote>
  <w:footnote w:id="213">
    <w:p w14:paraId="492F4732" w14:textId="07D5A373" w:rsidR="0033596E" w:rsidRDefault="0033596E" w:rsidP="0033596E">
      <w:pPr>
        <w:pStyle w:val="FootnoteText"/>
      </w:pPr>
      <w:r>
        <w:rPr>
          <w:rStyle w:val="FootnoteReference"/>
        </w:rPr>
        <w:footnoteRef/>
      </w:r>
      <w:r>
        <w:t xml:space="preserve"> Resources for which SCE incurs direct compliance costs are those for which it is the “First Deliverer” of electricity: SCE’s UOG in California in-state facilities that emit more than 25,000</w:t>
      </w:r>
      <w:r w:rsidR="00C85F04">
        <w:t> </w:t>
      </w:r>
      <w:r>
        <w:t>metric ton (MT) of GHG, and power SCE imports from out of state as unspecified market power</w:t>
      </w:r>
      <w:r w:rsidR="00B43A7F">
        <w:t xml:space="preserve">, </w:t>
      </w:r>
      <w:r>
        <w:t>non-zero specified source power (assessed at a CARB-assigned GHG emissions rate specific to the generating facility), or Asset-Controlling Supplier power (assessed at a CARB-assigned GHG emissions rate specific to the entity that supplies the power).</w:t>
      </w:r>
      <w:r w:rsidRPr="00E06B66">
        <w:t xml:space="preserve"> </w:t>
      </w:r>
      <w:r>
        <w:t>SCE-0</w:t>
      </w:r>
      <w:r w:rsidR="00215A87">
        <w:t>5</w:t>
      </w:r>
      <w:r w:rsidR="00EA5440">
        <w:t>A</w:t>
      </w:r>
      <w:r>
        <w:t xml:space="preserve"> at </w:t>
      </w:r>
      <w:r w:rsidR="00EA5440">
        <w:t>82</w:t>
      </w:r>
      <w:r>
        <w:t>.</w:t>
      </w:r>
    </w:p>
  </w:footnote>
  <w:footnote w:id="214">
    <w:p w14:paraId="6B36A03D" w14:textId="77777777" w:rsidR="00C85F04" w:rsidRDefault="0033596E" w:rsidP="00C85F04">
      <w:pPr>
        <w:pStyle w:val="FootnoteText"/>
        <w:spacing w:after="0"/>
      </w:pPr>
      <w:r>
        <w:rPr>
          <w:rStyle w:val="FootnoteReference"/>
        </w:rPr>
        <w:footnoteRef/>
      </w:r>
      <w:r>
        <w:t xml:space="preserve"> SCE-0</w:t>
      </w:r>
      <w:r w:rsidR="00215A87">
        <w:t>5</w:t>
      </w:r>
      <w:r w:rsidR="00EA5440">
        <w:t>A</w:t>
      </w:r>
      <w:r>
        <w:t xml:space="preserve"> at </w:t>
      </w:r>
      <w:r w:rsidR="00EA5440">
        <w:t>82</w:t>
      </w:r>
      <w:r>
        <w:t xml:space="preserve">. SCE notes that, under most of its tolling agreements with in-state gas-fired power generators, SCE bears the responsibility of reimbursing the generator for the GHG costs of the resources for which SCE is under contract. These costs are calculated based on the quantity of gas fired during the contract period and a contract-specific emissions factor. CARB may reimburse the generator financially or with SCE’s allowances or offsets. </w:t>
      </w:r>
      <w:r w:rsidRPr="00E43392">
        <w:rPr>
          <w:i/>
          <w:iCs/>
        </w:rPr>
        <w:t>Id</w:t>
      </w:r>
      <w:r w:rsidRPr="00304041">
        <w:t>.</w:t>
      </w:r>
      <w:r w:rsidR="00E11DBC">
        <w:rPr>
          <w:i/>
          <w:iCs/>
        </w:rPr>
        <w:t xml:space="preserve"> </w:t>
      </w:r>
      <w:r w:rsidR="00E11DBC" w:rsidRPr="00E11DBC">
        <w:rPr>
          <w:i/>
          <w:iCs/>
        </w:rPr>
        <w:t>See also</w:t>
      </w:r>
      <w:r w:rsidR="00E11DBC">
        <w:t xml:space="preserve"> </w:t>
      </w:r>
    </w:p>
    <w:p w14:paraId="35CB2FF7" w14:textId="09B7CCC0" w:rsidR="0033596E" w:rsidRPr="00E11DBC" w:rsidRDefault="00E11DBC" w:rsidP="0033596E">
      <w:pPr>
        <w:pStyle w:val="FootnoteText"/>
      </w:pPr>
      <w:r>
        <w:t>D.14-10-033 at 7.</w:t>
      </w:r>
    </w:p>
  </w:footnote>
  <w:footnote w:id="215">
    <w:p w14:paraId="63889367" w14:textId="7D9BD631" w:rsidR="00054B37" w:rsidRDefault="00054B37" w:rsidP="00054B37">
      <w:pPr>
        <w:pStyle w:val="FootnoteText"/>
      </w:pPr>
      <w:r>
        <w:rPr>
          <w:rStyle w:val="FootnoteReference"/>
        </w:rPr>
        <w:footnoteRef/>
      </w:r>
      <w:r>
        <w:t xml:space="preserve"> SCE-0</w:t>
      </w:r>
      <w:r w:rsidR="00E67693">
        <w:t>5</w:t>
      </w:r>
      <w:r w:rsidR="001C60DD">
        <w:t>A</w:t>
      </w:r>
      <w:r>
        <w:t xml:space="preserve"> at </w:t>
      </w:r>
      <w:r w:rsidR="00E67693">
        <w:t>8</w:t>
      </w:r>
      <w:r w:rsidR="001C60DD">
        <w:t>4</w:t>
      </w:r>
      <w:r w:rsidR="00E953E6">
        <w:t>; D.14-10-033 at 14.</w:t>
      </w:r>
    </w:p>
  </w:footnote>
  <w:footnote w:id="216">
    <w:p w14:paraId="7E1B5487" w14:textId="35A9E746" w:rsidR="00E11DBC" w:rsidRDefault="00E11DBC">
      <w:pPr>
        <w:pStyle w:val="FootnoteText"/>
      </w:pPr>
      <w:r>
        <w:rPr>
          <w:rStyle w:val="FootnoteReference"/>
        </w:rPr>
        <w:footnoteRef/>
      </w:r>
      <w:r>
        <w:t xml:space="preserve"> D.14-10-033 at 7.</w:t>
      </w:r>
    </w:p>
  </w:footnote>
  <w:footnote w:id="217">
    <w:p w14:paraId="4EFBF8A9" w14:textId="637BBBDB" w:rsidR="0033596E" w:rsidRDefault="0033596E" w:rsidP="0033596E">
      <w:pPr>
        <w:pStyle w:val="FootnoteText"/>
      </w:pPr>
      <w:r>
        <w:rPr>
          <w:rStyle w:val="FootnoteReference"/>
        </w:rPr>
        <w:footnoteRef/>
      </w:r>
      <w:r>
        <w:t xml:space="preserve"> SCE-0</w:t>
      </w:r>
      <w:r w:rsidR="00E67693">
        <w:t>5</w:t>
      </w:r>
      <w:r w:rsidR="001C60DD">
        <w:t>A</w:t>
      </w:r>
      <w:r>
        <w:t xml:space="preserve"> at </w:t>
      </w:r>
      <w:r w:rsidR="00E67693">
        <w:t>8</w:t>
      </w:r>
      <w:r w:rsidR="001C60DD">
        <w:t>6-87</w:t>
      </w:r>
      <w:r>
        <w:t>.</w:t>
      </w:r>
    </w:p>
  </w:footnote>
  <w:footnote w:id="218">
    <w:p w14:paraId="337F54BF" w14:textId="0466393E" w:rsidR="0033596E" w:rsidRDefault="0033596E" w:rsidP="0033596E">
      <w:pPr>
        <w:pStyle w:val="FootnoteText"/>
      </w:pPr>
      <w:r>
        <w:rPr>
          <w:rStyle w:val="FootnoteReference"/>
        </w:rPr>
        <w:footnoteRef/>
      </w:r>
      <w:r>
        <w:t xml:space="preserve"> SCE’s methodologies for estimating GHG emissions volumes for the direct GHG costs of UOG, </w:t>
      </w:r>
      <w:r w:rsidR="008D0AF4">
        <w:t>out of state imports, and p</w:t>
      </w:r>
      <w:r>
        <w:t xml:space="preserve">rocurement </w:t>
      </w:r>
      <w:r w:rsidR="008D0AF4">
        <w:t>c</w:t>
      </w:r>
      <w:r>
        <w:t xml:space="preserve">ontracts and the indirect GHG costs of </w:t>
      </w:r>
      <w:r w:rsidR="008D0AF4">
        <w:t>i</w:t>
      </w:r>
      <w:r>
        <w:t>n</w:t>
      </w:r>
      <w:r w:rsidR="00F4414E">
        <w:t>-</w:t>
      </w:r>
      <w:r w:rsidR="008D0AF4">
        <w:t>s</w:t>
      </w:r>
      <w:r>
        <w:t xml:space="preserve">tate </w:t>
      </w:r>
      <w:r w:rsidR="00F4414E">
        <w:t xml:space="preserve">QFs and wholesale </w:t>
      </w:r>
      <w:r w:rsidR="008D0AF4">
        <w:t>m</w:t>
      </w:r>
      <w:r>
        <w:t xml:space="preserve">arket </w:t>
      </w:r>
      <w:r w:rsidR="008D0AF4">
        <w:t>p</w:t>
      </w:r>
      <w:r>
        <w:t xml:space="preserve">urchases are described in full detail at </w:t>
      </w:r>
      <w:r w:rsidR="001C60DD">
        <w:t>SCE-05A at 84-87.</w:t>
      </w:r>
    </w:p>
  </w:footnote>
  <w:footnote w:id="219">
    <w:p w14:paraId="7F1C10FE" w14:textId="07544F9D" w:rsidR="00F4414E" w:rsidRDefault="00F4414E">
      <w:pPr>
        <w:pStyle w:val="FootnoteText"/>
      </w:pPr>
      <w:r>
        <w:rPr>
          <w:rStyle w:val="FootnoteReference"/>
        </w:rPr>
        <w:footnoteRef/>
      </w:r>
      <w:r>
        <w:t xml:space="preserve"> SCE-0</w:t>
      </w:r>
      <w:r w:rsidR="00E67693">
        <w:t>5</w:t>
      </w:r>
      <w:r w:rsidR="00521650">
        <w:t>A</w:t>
      </w:r>
      <w:r w:rsidR="00A71215">
        <w:t xml:space="preserve"> at</w:t>
      </w:r>
      <w:r>
        <w:t xml:space="preserve"> n.</w:t>
      </w:r>
      <w:r w:rsidR="00521650">
        <w:t>79</w:t>
      </w:r>
      <w:r>
        <w:t>. D.14-10-033 at 12</w:t>
      </w:r>
      <w:r w:rsidR="00157E37">
        <w:t>.</w:t>
      </w:r>
    </w:p>
  </w:footnote>
  <w:footnote w:id="220">
    <w:p w14:paraId="36E2E5B3" w14:textId="75EA8B18" w:rsidR="0033596E" w:rsidRDefault="0033596E" w:rsidP="0033596E">
      <w:pPr>
        <w:pStyle w:val="FootnoteText"/>
      </w:pPr>
      <w:r>
        <w:rPr>
          <w:rStyle w:val="FootnoteReference"/>
        </w:rPr>
        <w:footnoteRef/>
      </w:r>
      <w:r>
        <w:t xml:space="preserve"> SCE-0</w:t>
      </w:r>
      <w:r w:rsidR="00E67693">
        <w:t>5</w:t>
      </w:r>
      <w:r w:rsidR="001C60DD">
        <w:t>A</w:t>
      </w:r>
      <w:r>
        <w:t xml:space="preserve"> at </w:t>
      </w:r>
      <w:r w:rsidR="00E67693">
        <w:t>8</w:t>
      </w:r>
      <w:r w:rsidR="00521650">
        <w:t>1</w:t>
      </w:r>
      <w:r>
        <w:t>.</w:t>
      </w:r>
      <w:r w:rsidR="00F4414E">
        <w:t xml:space="preserve"> </w:t>
      </w:r>
    </w:p>
  </w:footnote>
  <w:footnote w:id="221">
    <w:p w14:paraId="0A11F93E" w14:textId="714930C3" w:rsidR="00120455" w:rsidRDefault="00120455">
      <w:pPr>
        <w:pStyle w:val="FootnoteText"/>
      </w:pPr>
      <w:r>
        <w:rPr>
          <w:rStyle w:val="FootnoteReference"/>
        </w:rPr>
        <w:footnoteRef/>
      </w:r>
      <w:r>
        <w:t xml:space="preserve"> Pursuant to D.14-10-033, </w:t>
      </w:r>
      <w:r w:rsidR="002A38CC">
        <w:t xml:space="preserve">actual </w:t>
      </w:r>
      <w:r>
        <w:t>GHG costs are trued up as a part of the overall true</w:t>
      </w:r>
      <w:r w:rsidR="006E0D77">
        <w:t xml:space="preserve"> </w:t>
      </w:r>
      <w:r>
        <w:t xml:space="preserve">up of SCE’s procurement balancing accounts. D.14-10-033 at </w:t>
      </w:r>
      <w:r w:rsidR="002A38CC">
        <w:t>4</w:t>
      </w:r>
      <w:r>
        <w:t>; SCE-0</w:t>
      </w:r>
      <w:r w:rsidR="00E67693">
        <w:t>5</w:t>
      </w:r>
      <w:r w:rsidR="00521650">
        <w:t>A</w:t>
      </w:r>
      <w:r>
        <w:t xml:space="preserve"> at </w:t>
      </w:r>
      <w:r w:rsidR="00521650">
        <w:t>91</w:t>
      </w:r>
      <w:r w:rsidR="002A38CC">
        <w:t>.</w:t>
      </w:r>
    </w:p>
  </w:footnote>
  <w:footnote w:id="222">
    <w:p w14:paraId="06DDA262" w14:textId="5337E96C" w:rsidR="00B7225F" w:rsidRDefault="00B7225F">
      <w:pPr>
        <w:pStyle w:val="FootnoteText"/>
      </w:pPr>
      <w:r>
        <w:rPr>
          <w:rStyle w:val="FootnoteReference"/>
        </w:rPr>
        <w:footnoteRef/>
      </w:r>
      <w:r>
        <w:t xml:space="preserve"> </w:t>
      </w:r>
      <w:r w:rsidRPr="00B7225F">
        <w:rPr>
          <w:i/>
          <w:iCs/>
        </w:rPr>
        <w:t>See</w:t>
      </w:r>
      <w:r>
        <w:t xml:space="preserve"> </w:t>
      </w:r>
      <w:r w:rsidRPr="00B7225F">
        <w:rPr>
          <w:i/>
          <w:iCs/>
        </w:rPr>
        <w:t>e.g.,</w:t>
      </w:r>
      <w:r>
        <w:t xml:space="preserve"> D.24-12-039 at 38-39.</w:t>
      </w:r>
    </w:p>
  </w:footnote>
  <w:footnote w:id="223">
    <w:p w14:paraId="1FD1068D" w14:textId="4D50CF78" w:rsidR="003949D6" w:rsidRDefault="003949D6">
      <w:pPr>
        <w:pStyle w:val="FootnoteText"/>
      </w:pPr>
      <w:r>
        <w:rPr>
          <w:rStyle w:val="FootnoteReference"/>
        </w:rPr>
        <w:footnoteRef/>
      </w:r>
      <w:r>
        <w:t xml:space="preserve"> SCE-0</w:t>
      </w:r>
      <w:r w:rsidR="00683618">
        <w:t>5</w:t>
      </w:r>
      <w:r w:rsidR="00521650">
        <w:t>A</w:t>
      </w:r>
      <w:r>
        <w:t xml:space="preserve"> at Table VII-3</w:t>
      </w:r>
      <w:r w:rsidR="00683618">
        <w:t>4</w:t>
      </w:r>
      <w:r>
        <w:t>, ln. 1</w:t>
      </w:r>
      <w:r w:rsidR="00A35C48">
        <w:t>4</w:t>
      </w:r>
      <w:r>
        <w:t>.</w:t>
      </w:r>
    </w:p>
  </w:footnote>
  <w:footnote w:id="224">
    <w:p w14:paraId="15024870" w14:textId="53D8B081" w:rsidR="00A35C48" w:rsidRDefault="00A35C48">
      <w:pPr>
        <w:pStyle w:val="FootnoteText"/>
      </w:pPr>
      <w:r>
        <w:rPr>
          <w:rStyle w:val="FootnoteReference"/>
        </w:rPr>
        <w:footnoteRef/>
      </w:r>
      <w:r>
        <w:t xml:space="preserve"> </w:t>
      </w:r>
      <w:r w:rsidR="00683618">
        <w:t>SCE-05</w:t>
      </w:r>
      <w:r w:rsidR="00521650">
        <w:t>A</w:t>
      </w:r>
      <w:r w:rsidR="00683618">
        <w:t xml:space="preserve"> at Table VII-34, </w:t>
      </w:r>
      <w:r>
        <w:t>ln. 17.</w:t>
      </w:r>
    </w:p>
  </w:footnote>
  <w:footnote w:id="225">
    <w:p w14:paraId="50CD1B4B" w14:textId="6C39D696" w:rsidR="00BD025A" w:rsidRDefault="00BD025A" w:rsidP="00BD025A">
      <w:pPr>
        <w:pStyle w:val="FootnoteText"/>
      </w:pPr>
      <w:r>
        <w:rPr>
          <w:rStyle w:val="FootnoteReference"/>
        </w:rPr>
        <w:footnoteRef/>
      </w:r>
      <w:r>
        <w:t xml:space="preserve"> </w:t>
      </w:r>
      <w:r w:rsidR="00683618">
        <w:t>SCE-05</w:t>
      </w:r>
      <w:r w:rsidR="00521650">
        <w:t>A</w:t>
      </w:r>
      <w:r w:rsidR="00683618">
        <w:t xml:space="preserve"> at Table VII-34, </w:t>
      </w:r>
      <w:r w:rsidR="00A35C48">
        <w:t xml:space="preserve">ln. 28. </w:t>
      </w:r>
    </w:p>
  </w:footnote>
  <w:footnote w:id="226">
    <w:p w14:paraId="6339A0DE" w14:textId="075E7978" w:rsidR="008A5CC0" w:rsidRDefault="008A5CC0" w:rsidP="008A5CC0">
      <w:pPr>
        <w:pStyle w:val="FootnoteText"/>
      </w:pPr>
      <w:r>
        <w:rPr>
          <w:rStyle w:val="FootnoteReference"/>
        </w:rPr>
        <w:footnoteRef/>
      </w:r>
      <w:r>
        <w:t xml:space="preserve"> </w:t>
      </w:r>
      <w:r w:rsidR="008D393C">
        <w:t>SCE-05</w:t>
      </w:r>
      <w:r w:rsidR="00521650">
        <w:t>A</w:t>
      </w:r>
      <w:r w:rsidR="008D393C">
        <w:t xml:space="preserve"> at Table VII-34, </w:t>
      </w:r>
      <w:r w:rsidR="00A35C48">
        <w:t>ln. 5.</w:t>
      </w:r>
    </w:p>
  </w:footnote>
  <w:footnote w:id="227">
    <w:p w14:paraId="34DD423C" w14:textId="1944254A" w:rsidR="008A5CC0" w:rsidRDefault="008A5CC0" w:rsidP="008A5CC0">
      <w:pPr>
        <w:pStyle w:val="FootnoteText"/>
      </w:pPr>
      <w:r>
        <w:rPr>
          <w:rStyle w:val="FootnoteReference"/>
        </w:rPr>
        <w:footnoteRef/>
      </w:r>
      <w:r>
        <w:t xml:space="preserve"> SCE-0</w:t>
      </w:r>
      <w:r w:rsidR="008D393C">
        <w:t>5</w:t>
      </w:r>
      <w:r w:rsidR="00521650">
        <w:t>A</w:t>
      </w:r>
      <w:r>
        <w:t xml:space="preserve"> at </w:t>
      </w:r>
      <w:r w:rsidR="008D393C">
        <w:t>10</w:t>
      </w:r>
      <w:r w:rsidR="00521650">
        <w:t>3</w:t>
      </w:r>
      <w:r>
        <w:t>.</w:t>
      </w:r>
      <w:r w:rsidR="002A68CA">
        <w:t xml:space="preserve"> </w:t>
      </w:r>
      <w:r w:rsidR="00336869" w:rsidRPr="00A96AFF">
        <w:rPr>
          <w:i/>
          <w:iCs/>
        </w:rPr>
        <w:t>See also</w:t>
      </w:r>
      <w:r w:rsidR="00336869">
        <w:t xml:space="preserve"> D.14-</w:t>
      </w:r>
      <w:r w:rsidR="007C74EF">
        <w:t>10</w:t>
      </w:r>
      <w:r w:rsidR="00336869">
        <w:t>-033 at 13.</w:t>
      </w:r>
    </w:p>
  </w:footnote>
  <w:footnote w:id="228">
    <w:p w14:paraId="736DEFCF" w14:textId="4D34D56E" w:rsidR="004205E4" w:rsidRDefault="004205E4" w:rsidP="004205E4">
      <w:pPr>
        <w:pStyle w:val="FootnoteText"/>
      </w:pPr>
      <w:r>
        <w:rPr>
          <w:rStyle w:val="FootnoteReference"/>
        </w:rPr>
        <w:footnoteRef/>
      </w:r>
      <w:r>
        <w:t xml:space="preserve"> </w:t>
      </w:r>
      <w:r w:rsidR="008D393C">
        <w:t>SCE-05</w:t>
      </w:r>
      <w:r w:rsidR="00521650">
        <w:t>A</w:t>
      </w:r>
      <w:r w:rsidR="008D393C">
        <w:t xml:space="preserve"> at Table VII-</w:t>
      </w:r>
      <w:r w:rsidR="00560C3F">
        <w:t>34</w:t>
      </w:r>
      <w:r w:rsidR="00EB36B5">
        <w:t xml:space="preserve">, </w:t>
      </w:r>
      <w:r w:rsidR="00A35C48">
        <w:t xml:space="preserve">ln. </w:t>
      </w:r>
      <w:r w:rsidR="00560C3F">
        <w:t>2</w:t>
      </w:r>
      <w:r w:rsidR="00A35C48">
        <w:t>.</w:t>
      </w:r>
    </w:p>
  </w:footnote>
  <w:footnote w:id="229">
    <w:p w14:paraId="2742CC9E" w14:textId="59105B4E" w:rsidR="008A5CC0" w:rsidRDefault="008A5CC0" w:rsidP="008A5CC0">
      <w:pPr>
        <w:pStyle w:val="FootnoteText"/>
      </w:pPr>
      <w:r>
        <w:rPr>
          <w:rStyle w:val="FootnoteReference"/>
        </w:rPr>
        <w:footnoteRef/>
      </w:r>
      <w:r>
        <w:t xml:space="preserve"> SCE-0</w:t>
      </w:r>
      <w:r w:rsidR="008D393C">
        <w:t>5</w:t>
      </w:r>
      <w:r w:rsidR="00521650">
        <w:t>A</w:t>
      </w:r>
      <w:r>
        <w:t xml:space="preserve"> at </w:t>
      </w:r>
      <w:r w:rsidR="008D393C">
        <w:t>10</w:t>
      </w:r>
      <w:r w:rsidR="00521650">
        <w:t>3</w:t>
      </w:r>
      <w:r>
        <w:t>.</w:t>
      </w:r>
      <w:r w:rsidR="002A68CA">
        <w:t xml:space="preserve"> </w:t>
      </w:r>
      <w:r w:rsidR="00336869" w:rsidRPr="00A96AFF">
        <w:rPr>
          <w:i/>
          <w:iCs/>
        </w:rPr>
        <w:t>See also</w:t>
      </w:r>
      <w:r w:rsidR="00336869">
        <w:t xml:space="preserve"> D.14-10-033</w:t>
      </w:r>
      <w:r w:rsidR="009E6885">
        <w:t xml:space="preserve"> at 13.</w:t>
      </w:r>
    </w:p>
  </w:footnote>
  <w:footnote w:id="230">
    <w:p w14:paraId="30E1AAA5" w14:textId="12236864" w:rsidR="00A35C48" w:rsidRDefault="00A35C48">
      <w:pPr>
        <w:pStyle w:val="FootnoteText"/>
      </w:pPr>
      <w:r>
        <w:rPr>
          <w:rStyle w:val="FootnoteReference"/>
        </w:rPr>
        <w:footnoteRef/>
      </w:r>
      <w:r>
        <w:t xml:space="preserve"> </w:t>
      </w:r>
      <w:r w:rsidR="00F023C3">
        <w:t>SCE-05</w:t>
      </w:r>
      <w:r w:rsidR="00521650">
        <w:t>A</w:t>
      </w:r>
      <w:r w:rsidR="00F023C3">
        <w:t xml:space="preserve"> at Table VII-34, </w:t>
      </w:r>
      <w:r w:rsidR="001C059F">
        <w:t xml:space="preserve">sum of </w:t>
      </w:r>
      <w:proofErr w:type="spellStart"/>
      <w:r>
        <w:t>ln</w:t>
      </w:r>
      <w:r w:rsidR="001C059F">
        <w:t>s</w:t>
      </w:r>
      <w:proofErr w:type="spellEnd"/>
      <w:r>
        <w:t xml:space="preserve">. </w:t>
      </w:r>
      <w:r w:rsidR="001C059F">
        <w:t>5 and 7</w:t>
      </w:r>
      <w:r>
        <w:t>.</w:t>
      </w:r>
    </w:p>
  </w:footnote>
  <w:footnote w:id="231">
    <w:p w14:paraId="18289180" w14:textId="7843D67A" w:rsidR="00F023C3" w:rsidRDefault="00F023C3">
      <w:pPr>
        <w:pStyle w:val="FootnoteText"/>
      </w:pPr>
      <w:r>
        <w:rPr>
          <w:rStyle w:val="FootnoteReference"/>
        </w:rPr>
        <w:footnoteRef/>
      </w:r>
      <w:r>
        <w:t xml:space="preserve"> SCE-05</w:t>
      </w:r>
      <w:r w:rsidR="00521650">
        <w:t>A</w:t>
      </w:r>
      <w:r>
        <w:t xml:space="preserve"> at </w:t>
      </w:r>
      <w:r w:rsidR="00521650">
        <w:t>102</w:t>
      </w:r>
      <w:r>
        <w:t>.</w:t>
      </w:r>
    </w:p>
  </w:footnote>
  <w:footnote w:id="232">
    <w:p w14:paraId="01F4EF0E" w14:textId="77777777" w:rsidR="00E44FC6" w:rsidRDefault="00E44FC6" w:rsidP="00E44FC6">
      <w:pPr>
        <w:pStyle w:val="FootnoteText"/>
      </w:pPr>
      <w:r>
        <w:rPr>
          <w:rStyle w:val="FootnoteReference"/>
        </w:rPr>
        <w:footnoteRef/>
      </w:r>
      <w:r>
        <w:t xml:space="preserve"> D.14-10-033 at 36-37.</w:t>
      </w:r>
    </w:p>
  </w:footnote>
  <w:footnote w:id="233">
    <w:p w14:paraId="606C5DC0" w14:textId="1D022693" w:rsidR="001C059F" w:rsidRDefault="001C059F">
      <w:pPr>
        <w:pStyle w:val="FootnoteText"/>
      </w:pPr>
      <w:r>
        <w:rPr>
          <w:rStyle w:val="FootnoteReference"/>
        </w:rPr>
        <w:footnoteRef/>
      </w:r>
      <w:r>
        <w:t xml:space="preserve"> </w:t>
      </w:r>
      <w:r w:rsidR="00F023C3">
        <w:t>SCE-05</w:t>
      </w:r>
      <w:r w:rsidR="00521650">
        <w:t>A</w:t>
      </w:r>
      <w:r w:rsidR="00F023C3">
        <w:t xml:space="preserve"> at Table VII-34, </w:t>
      </w:r>
      <w:r>
        <w:t xml:space="preserve">ln. </w:t>
      </w:r>
      <w:r w:rsidR="000E65AB">
        <w:t>5</w:t>
      </w:r>
      <w:r>
        <w:t>, difference between 2025 forecast and actual values.</w:t>
      </w:r>
    </w:p>
  </w:footnote>
  <w:footnote w:id="234">
    <w:p w14:paraId="2C83972C" w14:textId="768E9610" w:rsidR="00E44FC6" w:rsidRDefault="00E44FC6" w:rsidP="00E44FC6">
      <w:pPr>
        <w:pStyle w:val="FootnoteText"/>
      </w:pPr>
      <w:r>
        <w:rPr>
          <w:rStyle w:val="FootnoteReference"/>
        </w:rPr>
        <w:footnoteRef/>
      </w:r>
      <w:r>
        <w:t xml:space="preserve"> SCE-0</w:t>
      </w:r>
      <w:r w:rsidR="00F023C3">
        <w:t>5</w:t>
      </w:r>
      <w:r w:rsidR="00521650">
        <w:t>A</w:t>
      </w:r>
      <w:r>
        <w:t xml:space="preserve"> at </w:t>
      </w:r>
      <w:r w:rsidR="000E65AB">
        <w:t>103</w:t>
      </w:r>
      <w:r>
        <w:t xml:space="preserve">; </w:t>
      </w:r>
      <w:r w:rsidRPr="005110E7">
        <w:t xml:space="preserve">D.14-10-033 at </w:t>
      </w:r>
      <w:r w:rsidR="005110E7" w:rsidRPr="005110E7">
        <w:t>12.</w:t>
      </w:r>
    </w:p>
  </w:footnote>
  <w:footnote w:id="235">
    <w:p w14:paraId="474847A1" w14:textId="534512E9" w:rsidR="005110E7" w:rsidRDefault="005110E7">
      <w:pPr>
        <w:pStyle w:val="FootnoteText"/>
      </w:pPr>
      <w:r>
        <w:rPr>
          <w:rStyle w:val="FootnoteReference"/>
        </w:rPr>
        <w:footnoteRef/>
      </w:r>
      <w:r>
        <w:t xml:space="preserve"> </w:t>
      </w:r>
      <w:r w:rsidR="00275A34">
        <w:t>SCE-05</w:t>
      </w:r>
      <w:r w:rsidR="00521650">
        <w:t>A</w:t>
      </w:r>
      <w:r w:rsidR="00275A34">
        <w:t xml:space="preserve"> at Table VII-34, </w:t>
      </w:r>
      <w:r>
        <w:t>ln. 10.</w:t>
      </w:r>
    </w:p>
  </w:footnote>
  <w:footnote w:id="236">
    <w:p w14:paraId="1D9AEB50" w14:textId="3F2C03DB" w:rsidR="005D2BE7" w:rsidRDefault="005D2BE7">
      <w:pPr>
        <w:pStyle w:val="FootnoteText"/>
      </w:pPr>
      <w:r>
        <w:rPr>
          <w:rStyle w:val="FootnoteReference"/>
        </w:rPr>
        <w:footnoteRef/>
      </w:r>
      <w:r>
        <w:t xml:space="preserve"> </w:t>
      </w:r>
      <w:r w:rsidR="0077546B">
        <w:t>SCE-0</w:t>
      </w:r>
      <w:r w:rsidR="00275A34">
        <w:t>5</w:t>
      </w:r>
      <w:r w:rsidR="00521650">
        <w:t>A</w:t>
      </w:r>
      <w:r w:rsidR="0077546B">
        <w:t xml:space="preserve"> at</w:t>
      </w:r>
      <w:r w:rsidR="00275A34">
        <w:t xml:space="preserve"> 10</w:t>
      </w:r>
      <w:r w:rsidR="006700B5">
        <w:t>6</w:t>
      </w:r>
      <w:r w:rsidR="0077546B">
        <w:t xml:space="preserve"> and n.</w:t>
      </w:r>
      <w:r w:rsidR="006700B5">
        <w:t>102</w:t>
      </w:r>
      <w:r w:rsidR="0077546B">
        <w:t xml:space="preserve">. </w:t>
      </w:r>
      <w:r w:rsidR="0077546B" w:rsidRPr="0077546B">
        <w:rPr>
          <w:i/>
          <w:iCs/>
        </w:rPr>
        <w:t>See also</w:t>
      </w:r>
      <w:r w:rsidR="0077546B">
        <w:t xml:space="preserve"> SCE-0</w:t>
      </w:r>
      <w:r w:rsidR="00275A34">
        <w:t>5</w:t>
      </w:r>
      <w:r w:rsidR="00521650">
        <w:t>A</w:t>
      </w:r>
      <w:r w:rsidR="0077546B">
        <w:t xml:space="preserve"> at Table VII-</w:t>
      </w:r>
      <w:r w:rsidR="00275A34">
        <w:t>30</w:t>
      </w:r>
      <w:r w:rsidR="00EB36B5">
        <w:t>.</w:t>
      </w:r>
    </w:p>
  </w:footnote>
  <w:footnote w:id="237">
    <w:p w14:paraId="11FE07CF" w14:textId="003FE491" w:rsidR="00E15C69" w:rsidRDefault="00E15C69">
      <w:pPr>
        <w:pStyle w:val="FootnoteText"/>
      </w:pPr>
      <w:r>
        <w:rPr>
          <w:rStyle w:val="FootnoteReference"/>
        </w:rPr>
        <w:footnoteRef/>
      </w:r>
      <w:r>
        <w:t xml:space="preserve"> </w:t>
      </w:r>
      <w:r w:rsidR="00275A34">
        <w:t>SCE-05</w:t>
      </w:r>
      <w:r w:rsidR="006700B5">
        <w:t>A</w:t>
      </w:r>
      <w:r w:rsidR="00275A34">
        <w:t xml:space="preserve"> at Table VII-34, </w:t>
      </w:r>
      <w:proofErr w:type="spellStart"/>
      <w:r w:rsidR="005110E7">
        <w:t>lns</w:t>
      </w:r>
      <w:proofErr w:type="spellEnd"/>
      <w:r w:rsidR="005110E7">
        <w:t>. 11 and 13.</w:t>
      </w:r>
    </w:p>
  </w:footnote>
  <w:footnote w:id="238">
    <w:p w14:paraId="6035DD59" w14:textId="0A8586AA" w:rsidR="00832299" w:rsidRDefault="00832299" w:rsidP="00832299">
      <w:pPr>
        <w:pStyle w:val="FootnoteText"/>
      </w:pPr>
      <w:r>
        <w:rPr>
          <w:rStyle w:val="FootnoteReference"/>
        </w:rPr>
        <w:footnoteRef/>
      </w:r>
      <w:r>
        <w:t xml:space="preserve"> </w:t>
      </w:r>
      <w:r w:rsidRPr="006536F1">
        <w:rPr>
          <w:i/>
          <w:iCs/>
        </w:rPr>
        <w:t>See</w:t>
      </w:r>
      <w:r>
        <w:t xml:space="preserve"> SCE-05</w:t>
      </w:r>
      <w:r w:rsidR="006700B5">
        <w:t>A</w:t>
      </w:r>
      <w:r>
        <w:t xml:space="preserve"> at Table VII-30</w:t>
      </w:r>
      <w:r w:rsidR="00EB36B5">
        <w:t xml:space="preserve">. </w:t>
      </w:r>
      <w:r w:rsidRPr="00832299">
        <w:rPr>
          <w:i/>
          <w:iCs/>
        </w:rPr>
        <w:t>See also</w:t>
      </w:r>
      <w:r>
        <w:t xml:space="preserve"> SCE-05</w:t>
      </w:r>
      <w:r w:rsidR="006700B5">
        <w:t>A</w:t>
      </w:r>
      <w:r>
        <w:t xml:space="preserve"> at 10</w:t>
      </w:r>
      <w:r w:rsidR="006700B5">
        <w:t>5</w:t>
      </w:r>
      <w:r>
        <w:t>-10</w:t>
      </w:r>
      <w:r w:rsidR="006700B5">
        <w:t>6</w:t>
      </w:r>
      <w:r>
        <w:t>.</w:t>
      </w:r>
    </w:p>
  </w:footnote>
  <w:footnote w:id="239">
    <w:p w14:paraId="4C086CE0" w14:textId="326577CA" w:rsidR="00FC5407" w:rsidRDefault="00FC5407">
      <w:pPr>
        <w:pStyle w:val="FootnoteText"/>
      </w:pPr>
      <w:r>
        <w:rPr>
          <w:rStyle w:val="FootnoteReference"/>
        </w:rPr>
        <w:footnoteRef/>
      </w:r>
      <w:r>
        <w:t xml:space="preserve"> D.14-10-033 at 26.</w:t>
      </w:r>
    </w:p>
  </w:footnote>
  <w:footnote w:id="240">
    <w:p w14:paraId="217F4359" w14:textId="7D0A33C2" w:rsidR="00355F62" w:rsidRDefault="00355F62" w:rsidP="00355F62">
      <w:pPr>
        <w:pStyle w:val="FootnoteText"/>
      </w:pPr>
      <w:r>
        <w:rPr>
          <w:rStyle w:val="FootnoteReference"/>
        </w:rPr>
        <w:footnoteRef/>
      </w:r>
      <w:r>
        <w:t xml:space="preserve"> D.24-12-039 at 40-41; SCE-0</w:t>
      </w:r>
      <w:r w:rsidR="00832299">
        <w:t>5</w:t>
      </w:r>
      <w:r w:rsidR="006700B5">
        <w:t>A</w:t>
      </w:r>
      <w:r>
        <w:t xml:space="preserve"> at </w:t>
      </w:r>
      <w:r w:rsidR="00832299">
        <w:t>10</w:t>
      </w:r>
      <w:r w:rsidR="006700B5">
        <w:t>5</w:t>
      </w:r>
      <w:r>
        <w:t>.</w:t>
      </w:r>
    </w:p>
  </w:footnote>
  <w:footnote w:id="241">
    <w:p w14:paraId="2A151500" w14:textId="0B86751D" w:rsidR="00832299" w:rsidRDefault="00832299" w:rsidP="00832299">
      <w:pPr>
        <w:pStyle w:val="FootnoteText"/>
      </w:pPr>
      <w:r>
        <w:rPr>
          <w:rStyle w:val="FootnoteReference"/>
        </w:rPr>
        <w:footnoteRef/>
      </w:r>
      <w:r>
        <w:t xml:space="preserve"> SCE-0</w:t>
      </w:r>
      <w:r w:rsidR="00881222">
        <w:t>5</w:t>
      </w:r>
      <w:r w:rsidR="006700B5">
        <w:t>A</w:t>
      </w:r>
      <w:r>
        <w:t xml:space="preserve"> at </w:t>
      </w:r>
      <w:r w:rsidR="00881222">
        <w:t>102</w:t>
      </w:r>
      <w:r>
        <w:t>.</w:t>
      </w:r>
    </w:p>
  </w:footnote>
  <w:footnote w:id="242">
    <w:p w14:paraId="047C8D04" w14:textId="5595C177" w:rsidR="00881222" w:rsidRDefault="00881222">
      <w:pPr>
        <w:pStyle w:val="FootnoteText"/>
      </w:pPr>
      <w:r>
        <w:rPr>
          <w:rStyle w:val="FootnoteReference"/>
        </w:rPr>
        <w:footnoteRef/>
      </w:r>
      <w:r>
        <w:t xml:space="preserve"> SCE-05</w:t>
      </w:r>
      <w:r w:rsidR="006700B5">
        <w:t>A</w:t>
      </w:r>
      <w:r>
        <w:t xml:space="preserve"> at Table VII-34, ln. 4.</w:t>
      </w:r>
    </w:p>
  </w:footnote>
  <w:footnote w:id="243">
    <w:p w14:paraId="79167D60" w14:textId="1FC296E3" w:rsidR="000C26E9" w:rsidRDefault="000C26E9" w:rsidP="000C26E9">
      <w:pPr>
        <w:pStyle w:val="FootnoteText"/>
      </w:pPr>
      <w:r>
        <w:rPr>
          <w:rStyle w:val="FootnoteReference"/>
        </w:rPr>
        <w:footnoteRef/>
      </w:r>
      <w:r>
        <w:t xml:space="preserve"> </w:t>
      </w:r>
      <w:r w:rsidR="00881222">
        <w:t>SCE-05</w:t>
      </w:r>
      <w:r w:rsidR="0052544C">
        <w:t>A</w:t>
      </w:r>
      <w:r w:rsidR="00881222">
        <w:t xml:space="preserve"> at Table VII-34, </w:t>
      </w:r>
      <w:r w:rsidR="006E5A2A">
        <w:t xml:space="preserve">sum of </w:t>
      </w:r>
      <w:r w:rsidR="00881222">
        <w:t xml:space="preserve">the absolute values in </w:t>
      </w:r>
      <w:proofErr w:type="spellStart"/>
      <w:r w:rsidR="006E5A2A">
        <w:t>lns</w:t>
      </w:r>
      <w:proofErr w:type="spellEnd"/>
      <w:r w:rsidR="006E5A2A">
        <w:t>. 1</w:t>
      </w:r>
      <w:r w:rsidR="00881222">
        <w:t>4</w:t>
      </w:r>
      <w:r w:rsidR="006E5A2A">
        <w:t xml:space="preserve"> and 1</w:t>
      </w:r>
      <w:r w:rsidR="00881222">
        <w:t>7</w:t>
      </w:r>
      <w:r w:rsidR="006E5A2A">
        <w:t>.</w:t>
      </w:r>
    </w:p>
  </w:footnote>
  <w:footnote w:id="244">
    <w:p w14:paraId="7FC3CE4D" w14:textId="6F90D0EC" w:rsidR="003A6669" w:rsidRDefault="003A6669">
      <w:pPr>
        <w:pStyle w:val="FootnoteText"/>
      </w:pPr>
      <w:r>
        <w:rPr>
          <w:rStyle w:val="FootnoteReference"/>
        </w:rPr>
        <w:footnoteRef/>
      </w:r>
      <w:r>
        <w:t xml:space="preserve"> Figures are derived from </w:t>
      </w:r>
      <w:r w:rsidR="00881222">
        <w:t>SCE-0</w:t>
      </w:r>
      <w:r w:rsidR="0052544C">
        <w:t>A</w:t>
      </w:r>
      <w:r w:rsidR="00881222">
        <w:t>5 at Table VII-34</w:t>
      </w:r>
      <w:r w:rsidR="00F24DCC">
        <w:t>.</w:t>
      </w:r>
    </w:p>
  </w:footnote>
  <w:footnote w:id="245">
    <w:p w14:paraId="355B17F0" w14:textId="1DE66D91" w:rsidR="009758CE" w:rsidRDefault="009758CE">
      <w:pPr>
        <w:pStyle w:val="FootnoteText"/>
      </w:pPr>
      <w:r>
        <w:rPr>
          <w:rStyle w:val="FootnoteReference"/>
        </w:rPr>
        <w:footnoteRef/>
      </w:r>
      <w:r>
        <w:t xml:space="preserve"> Values may not add up to total due to rounding.</w:t>
      </w:r>
    </w:p>
  </w:footnote>
  <w:footnote w:id="246">
    <w:p w14:paraId="4F8D9442" w14:textId="4FB07517" w:rsidR="00F602D3" w:rsidRDefault="00F602D3">
      <w:pPr>
        <w:pStyle w:val="FootnoteText"/>
      </w:pPr>
      <w:r w:rsidRPr="007F3AF4">
        <w:rPr>
          <w:rStyle w:val="FootnoteReference"/>
        </w:rPr>
        <w:footnoteRef/>
      </w:r>
      <w:r w:rsidRPr="007F3AF4">
        <w:t xml:space="preserve"> AB 1207 amended </w:t>
      </w:r>
      <w:r w:rsidR="000D2376">
        <w:t>Pub. Util. Code § 748.5</w:t>
      </w:r>
      <w:r w:rsidRPr="007F3AF4">
        <w:t xml:space="preserve"> to render the provision obligating the Commission to direct this set-aside inoperative as of July 1, 2026.</w:t>
      </w:r>
    </w:p>
  </w:footnote>
  <w:footnote w:id="247">
    <w:p w14:paraId="07FB67EB" w14:textId="6627C2C8" w:rsidR="006126D6" w:rsidRDefault="006126D6">
      <w:pPr>
        <w:pStyle w:val="FootnoteText"/>
      </w:pPr>
      <w:r>
        <w:rPr>
          <w:rStyle w:val="FootnoteReference"/>
        </w:rPr>
        <w:footnoteRef/>
      </w:r>
      <w:r>
        <w:t xml:space="preserve"> </w:t>
      </w:r>
      <w:r w:rsidR="00CE700A">
        <w:t>SCE-05</w:t>
      </w:r>
      <w:r w:rsidR="00F602D3">
        <w:t>A</w:t>
      </w:r>
      <w:r w:rsidR="00CE700A">
        <w:t xml:space="preserve"> at Table VII-34, </w:t>
      </w:r>
      <w:r w:rsidR="004B1302">
        <w:t>ln. 1</w:t>
      </w:r>
      <w:r w:rsidR="00CE700A">
        <w:t>4</w:t>
      </w:r>
      <w:r w:rsidR="004B1302">
        <w:t>.</w:t>
      </w:r>
    </w:p>
  </w:footnote>
  <w:footnote w:id="248">
    <w:p w14:paraId="586D231C" w14:textId="4B8EEFD8" w:rsidR="00B346B4" w:rsidRDefault="00B346B4">
      <w:pPr>
        <w:pStyle w:val="FootnoteText"/>
      </w:pPr>
      <w:r>
        <w:rPr>
          <w:rStyle w:val="FootnoteReference"/>
        </w:rPr>
        <w:footnoteRef/>
      </w:r>
      <w:r>
        <w:t xml:space="preserve"> </w:t>
      </w:r>
      <w:r w:rsidR="00CE700A">
        <w:t>SCE-05</w:t>
      </w:r>
      <w:r w:rsidR="00F602D3">
        <w:t>A</w:t>
      </w:r>
      <w:r w:rsidR="00CE700A">
        <w:t xml:space="preserve"> at Table VII-34, </w:t>
      </w:r>
      <w:r>
        <w:t xml:space="preserve">ln. </w:t>
      </w:r>
      <w:r w:rsidR="00CE700A">
        <w:t>14a</w:t>
      </w:r>
      <w:r>
        <w:t>.</w:t>
      </w:r>
    </w:p>
  </w:footnote>
  <w:footnote w:id="249">
    <w:p w14:paraId="7623F83A" w14:textId="6EFEA4D7" w:rsidR="00CF3C1D" w:rsidRDefault="00CF3C1D">
      <w:pPr>
        <w:pStyle w:val="FootnoteText"/>
      </w:pPr>
      <w:r>
        <w:rPr>
          <w:rStyle w:val="FootnoteReference"/>
        </w:rPr>
        <w:footnoteRef/>
      </w:r>
      <w:r>
        <w:t xml:space="preserve"> </w:t>
      </w:r>
      <w:r w:rsidRPr="00CF3C1D">
        <w:t>D.17-12-022</w:t>
      </w:r>
      <w:r w:rsidR="008B44B9">
        <w:t xml:space="preserve">, </w:t>
      </w:r>
      <w:r w:rsidR="00DC3747" w:rsidRPr="00DC3747">
        <w:rPr>
          <w:i/>
          <w:iCs/>
        </w:rPr>
        <w:t>Decision Adopting Implementation Framework</w:t>
      </w:r>
      <w:r w:rsidRPr="00DC3747">
        <w:rPr>
          <w:i/>
          <w:iCs/>
        </w:rPr>
        <w:t xml:space="preserve"> </w:t>
      </w:r>
      <w:r w:rsidR="00DC3747" w:rsidRPr="00DC3747">
        <w:rPr>
          <w:i/>
          <w:iCs/>
        </w:rPr>
        <w:t xml:space="preserve">for Assembly Bill 693 and </w:t>
      </w:r>
      <w:proofErr w:type="gramStart"/>
      <w:r w:rsidR="00DC3747" w:rsidRPr="00DC3747">
        <w:rPr>
          <w:i/>
          <w:iCs/>
        </w:rPr>
        <w:t>Creating</w:t>
      </w:r>
      <w:proofErr w:type="gramEnd"/>
      <w:r w:rsidR="00DC3747" w:rsidRPr="00DC3747">
        <w:rPr>
          <w:i/>
          <w:iCs/>
        </w:rPr>
        <w:t xml:space="preserve"> the Solar on Multifamily Affordable Housing Program</w:t>
      </w:r>
      <w:r w:rsidR="00DC3747">
        <w:t xml:space="preserve"> </w:t>
      </w:r>
      <w:r w:rsidRPr="00CF3C1D">
        <w:t>at OP 4 and OP 7.</w:t>
      </w:r>
      <w:r w:rsidR="00AC7244">
        <w:t xml:space="preserve"> </w:t>
      </w:r>
    </w:p>
  </w:footnote>
  <w:footnote w:id="250">
    <w:p w14:paraId="3B649437" w14:textId="5ACF7895" w:rsidR="00F05FBD" w:rsidRDefault="00F05FBD">
      <w:pPr>
        <w:pStyle w:val="FootnoteText"/>
      </w:pPr>
      <w:r>
        <w:rPr>
          <w:rStyle w:val="FootnoteReference"/>
        </w:rPr>
        <w:footnoteRef/>
      </w:r>
      <w:r>
        <w:t xml:space="preserve"> D.20-01-022</w:t>
      </w:r>
      <w:r w:rsidR="005F3914">
        <w:t xml:space="preserve">, </w:t>
      </w:r>
      <w:r w:rsidR="005F3914" w:rsidRPr="005F3914">
        <w:rPr>
          <w:i/>
          <w:iCs/>
        </w:rPr>
        <w:t>Decision Adopting Southern California Edison Company’s 2020 Electric Procurement Cost Revenue Requirement Forecast and 2020 Forecast of Greenhouse-Gas-Related Costs</w:t>
      </w:r>
      <w:r>
        <w:t xml:space="preserve"> at COL 15</w:t>
      </w:r>
      <w:r w:rsidR="00F602D3">
        <w:t>.</w:t>
      </w:r>
    </w:p>
  </w:footnote>
  <w:footnote w:id="251">
    <w:p w14:paraId="51293CC9" w14:textId="15D16077" w:rsidR="00B346B4" w:rsidRDefault="00B346B4">
      <w:pPr>
        <w:pStyle w:val="FootnoteText"/>
      </w:pPr>
      <w:r>
        <w:rPr>
          <w:rStyle w:val="FootnoteReference"/>
        </w:rPr>
        <w:footnoteRef/>
      </w:r>
      <w:r>
        <w:t xml:space="preserve"> D.20-04-012, </w:t>
      </w:r>
      <w:r w:rsidRPr="005F3914">
        <w:rPr>
          <w:i/>
          <w:iCs/>
        </w:rPr>
        <w:t>Decision Determining Revenue Availability and Adequacy of Participation and Interest in the Solar on Multifamily Affordable Housing</w:t>
      </w:r>
      <w:r w:rsidR="00035234">
        <w:t xml:space="preserve"> at OP 6, </w:t>
      </w:r>
      <w:r w:rsidR="00A91F32">
        <w:t>OP 5, and OPs 2-4, respectively</w:t>
      </w:r>
      <w:r w:rsidR="003C3EE4">
        <w:t>.</w:t>
      </w:r>
    </w:p>
  </w:footnote>
  <w:footnote w:id="252">
    <w:p w14:paraId="2B401656" w14:textId="77777777" w:rsidR="00035234" w:rsidRDefault="00035234" w:rsidP="00035234">
      <w:pPr>
        <w:pStyle w:val="FootnoteText"/>
      </w:pPr>
      <w:r>
        <w:rPr>
          <w:rStyle w:val="FootnoteReference"/>
        </w:rPr>
        <w:footnoteRef/>
      </w:r>
      <w:r>
        <w:t xml:space="preserve"> </w:t>
      </w:r>
      <w:r w:rsidRPr="00256677">
        <w:t>D.22-09-009</w:t>
      </w:r>
      <w:r>
        <w:t xml:space="preserve">, </w:t>
      </w:r>
      <w:r w:rsidRPr="00035234">
        <w:rPr>
          <w:i/>
          <w:iCs/>
        </w:rPr>
        <w:t>Decision Modifying Decision (D.) 17-12-022 and D.20-04-012 Regarding Process for Solar on Multifamily Affordable Housing Program Funding</w:t>
      </w:r>
      <w:r>
        <w:t xml:space="preserve"> at OP 1 and OP 3</w:t>
      </w:r>
      <w:r w:rsidRPr="00256677">
        <w:t>.</w:t>
      </w:r>
    </w:p>
  </w:footnote>
  <w:footnote w:id="253">
    <w:p w14:paraId="2F87BA38" w14:textId="6CC75473" w:rsidR="00DC0BFD" w:rsidRDefault="00DC0BFD">
      <w:pPr>
        <w:pStyle w:val="FootnoteText"/>
      </w:pPr>
      <w:r>
        <w:rPr>
          <w:rStyle w:val="FootnoteReference"/>
        </w:rPr>
        <w:footnoteRef/>
      </w:r>
      <w:r>
        <w:t xml:space="preserve"> SCE-0</w:t>
      </w:r>
      <w:r w:rsidR="00F602D3">
        <w:t>5A</w:t>
      </w:r>
      <w:r>
        <w:t xml:space="preserve"> at </w:t>
      </w:r>
      <w:r w:rsidR="00F602D3">
        <w:t xml:space="preserve">108-109 </w:t>
      </w:r>
      <w:r w:rsidR="00316B11">
        <w:t>and n.</w:t>
      </w:r>
      <w:r w:rsidR="00F602D3">
        <w:t>109</w:t>
      </w:r>
      <w:r w:rsidR="00316B11">
        <w:t>.</w:t>
      </w:r>
      <w:r w:rsidR="00560C3F">
        <w:t xml:space="preserve"> SCE notes that its set-aside is for the first half of 2026 and so the set-aside amount </w:t>
      </w:r>
      <w:r w:rsidR="00C57E60">
        <w:t>represents</w:t>
      </w:r>
      <w:r w:rsidR="00560C3F">
        <w:t xml:space="preserve"> half of SCE’s </w:t>
      </w:r>
      <w:r w:rsidR="00C57E60">
        <w:t xml:space="preserve">annual </w:t>
      </w:r>
      <w:r w:rsidR="00560C3F">
        <w:t>share adopted in D.22-09-009.</w:t>
      </w:r>
      <w:r w:rsidR="00C57E60">
        <w:t xml:space="preserve"> </w:t>
      </w:r>
      <w:r w:rsidR="00C57E60" w:rsidRPr="00C57E60">
        <w:rPr>
          <w:i/>
          <w:iCs/>
        </w:rPr>
        <w:t>Id.</w:t>
      </w:r>
    </w:p>
  </w:footnote>
  <w:footnote w:id="254">
    <w:p w14:paraId="6580ADAC" w14:textId="5D1F7B49" w:rsidR="0091204F" w:rsidRDefault="0091204F">
      <w:pPr>
        <w:pStyle w:val="FootnoteText"/>
      </w:pPr>
      <w:r>
        <w:rPr>
          <w:rStyle w:val="FootnoteReference"/>
        </w:rPr>
        <w:footnoteRef/>
      </w:r>
      <w:r>
        <w:t xml:space="preserve"> </w:t>
      </w:r>
      <w:r w:rsidR="00B74157">
        <w:t>SCE-0</w:t>
      </w:r>
      <w:r w:rsidR="006A2D54">
        <w:t>5</w:t>
      </w:r>
      <w:r w:rsidR="001E170A">
        <w:t>A</w:t>
      </w:r>
      <w:r w:rsidR="00B74157">
        <w:t xml:space="preserve"> at </w:t>
      </w:r>
      <w:r w:rsidR="006A2D54">
        <w:t>10</w:t>
      </w:r>
      <w:r w:rsidR="001E170A">
        <w:t>9-110</w:t>
      </w:r>
      <w:r w:rsidR="00235D70">
        <w:t xml:space="preserve">, </w:t>
      </w:r>
      <w:r w:rsidR="00235D70" w:rsidRPr="00994926">
        <w:t>citing</w:t>
      </w:r>
      <w:r w:rsidR="00235D70">
        <w:t xml:space="preserve"> AL 5482-E-B.</w:t>
      </w:r>
    </w:p>
  </w:footnote>
  <w:footnote w:id="255">
    <w:p w14:paraId="15445B00" w14:textId="3960B21C" w:rsidR="00DC0BFD" w:rsidRDefault="00DC0BFD">
      <w:pPr>
        <w:pStyle w:val="FootnoteText"/>
      </w:pPr>
      <w:r>
        <w:rPr>
          <w:rStyle w:val="FootnoteReference"/>
        </w:rPr>
        <w:footnoteRef/>
      </w:r>
      <w:r>
        <w:t xml:space="preserve"> SCE-0</w:t>
      </w:r>
      <w:r w:rsidR="006A2D54">
        <w:t>5</w:t>
      </w:r>
      <w:r w:rsidR="001E170A">
        <w:t xml:space="preserve">A at </w:t>
      </w:r>
      <w:r w:rsidR="006A2D54">
        <w:t xml:space="preserve">Table VII-34, </w:t>
      </w:r>
      <w:r w:rsidR="007C2682">
        <w:t xml:space="preserve">sum of </w:t>
      </w:r>
      <w:proofErr w:type="spellStart"/>
      <w:r w:rsidR="007C2682">
        <w:t>lns</w:t>
      </w:r>
      <w:proofErr w:type="spellEnd"/>
      <w:r w:rsidR="007C2682">
        <w:t>. 1</w:t>
      </w:r>
      <w:r w:rsidR="00B42F10">
        <w:t>4a</w:t>
      </w:r>
      <w:r w:rsidR="007C2682">
        <w:t xml:space="preserve"> and 1</w:t>
      </w:r>
      <w:r w:rsidR="00B42F10">
        <w:t>4b</w:t>
      </w:r>
      <w:r w:rsidR="007C2682">
        <w:t xml:space="preserve">. </w:t>
      </w:r>
    </w:p>
  </w:footnote>
  <w:footnote w:id="256">
    <w:p w14:paraId="2F412290" w14:textId="20E1BAB9" w:rsidR="00044DFB" w:rsidRDefault="00044DFB" w:rsidP="00044DFB">
      <w:pPr>
        <w:pStyle w:val="FootnoteText"/>
      </w:pPr>
      <w:r>
        <w:rPr>
          <w:rStyle w:val="FootnoteReference"/>
        </w:rPr>
        <w:footnoteRef/>
      </w:r>
      <w:r>
        <w:t xml:space="preserve"> AB 327 (Perea), Stats. 2013, </w:t>
      </w:r>
      <w:proofErr w:type="spellStart"/>
      <w:r>
        <w:t>ch.</w:t>
      </w:r>
      <w:proofErr w:type="spellEnd"/>
      <w:r>
        <w:t xml:space="preserve"> 611</w:t>
      </w:r>
      <w:bookmarkStart w:id="139" w:name="_Hlk211073078"/>
      <w:r w:rsidRPr="00044DFB">
        <w:t>.</w:t>
      </w:r>
      <w:r>
        <w:t xml:space="preserve"> </w:t>
      </w:r>
      <w:bookmarkEnd w:id="139"/>
    </w:p>
  </w:footnote>
  <w:footnote w:id="257">
    <w:p w14:paraId="1C84CC39" w14:textId="6345BD68" w:rsidR="00B74157" w:rsidRDefault="00B74157">
      <w:pPr>
        <w:pStyle w:val="FootnoteText"/>
      </w:pPr>
      <w:r>
        <w:rPr>
          <w:rStyle w:val="FootnoteReference"/>
        </w:rPr>
        <w:footnoteRef/>
      </w:r>
      <w:r>
        <w:t xml:space="preserve"> D.18-06-027</w:t>
      </w:r>
      <w:r w:rsidR="00F3499E">
        <w:t xml:space="preserve">, </w:t>
      </w:r>
      <w:r w:rsidR="00F3499E" w:rsidRPr="00F3499E">
        <w:rPr>
          <w:i/>
          <w:iCs/>
        </w:rPr>
        <w:t>Alternate Decision Adopting Alternatives to Promote Solar Distributed Generation in Disadvantaged Communities</w:t>
      </w:r>
      <w:r>
        <w:t xml:space="preserve"> at </w:t>
      </w:r>
      <w:r w:rsidR="00F3499E">
        <w:t>1 and OP 8 [hereinafter D.18-06-027]</w:t>
      </w:r>
      <w:r>
        <w:t>.</w:t>
      </w:r>
    </w:p>
  </w:footnote>
  <w:footnote w:id="258">
    <w:p w14:paraId="4E48A16F" w14:textId="50912694" w:rsidR="00B74157" w:rsidRDefault="00B74157">
      <w:pPr>
        <w:pStyle w:val="FootnoteText"/>
      </w:pPr>
      <w:r>
        <w:rPr>
          <w:rStyle w:val="FootnoteReference"/>
        </w:rPr>
        <w:footnoteRef/>
      </w:r>
      <w:r>
        <w:t xml:space="preserve"> </w:t>
      </w:r>
      <w:r w:rsidR="003F65B6">
        <w:t>SCE-0</w:t>
      </w:r>
      <w:r w:rsidR="006A2D54">
        <w:t>5</w:t>
      </w:r>
      <w:r w:rsidR="00B42F10">
        <w:t>A</w:t>
      </w:r>
      <w:r w:rsidR="003F65B6">
        <w:t xml:space="preserve"> at </w:t>
      </w:r>
      <w:r w:rsidR="006A2D54">
        <w:t>1</w:t>
      </w:r>
      <w:r w:rsidR="00B42F10">
        <w:t>11</w:t>
      </w:r>
      <w:r w:rsidR="003F65B6">
        <w:t>.</w:t>
      </w:r>
    </w:p>
  </w:footnote>
  <w:footnote w:id="259">
    <w:p w14:paraId="7E5F1D68" w14:textId="70BC1BC6" w:rsidR="00F3499E" w:rsidRDefault="00F3499E">
      <w:pPr>
        <w:pStyle w:val="FootnoteText"/>
      </w:pPr>
      <w:r>
        <w:rPr>
          <w:rStyle w:val="FootnoteReference"/>
        </w:rPr>
        <w:footnoteRef/>
      </w:r>
      <w:r>
        <w:t xml:space="preserve"> D.18-06-027 at OP 11 and OP 12.</w:t>
      </w:r>
    </w:p>
  </w:footnote>
  <w:footnote w:id="260">
    <w:p w14:paraId="4C8B7C60" w14:textId="5AA7940D" w:rsidR="003F65B6" w:rsidRDefault="003F65B6">
      <w:pPr>
        <w:pStyle w:val="FootnoteText"/>
      </w:pPr>
      <w:r>
        <w:rPr>
          <w:rStyle w:val="FootnoteReference"/>
        </w:rPr>
        <w:footnoteRef/>
      </w:r>
      <w:r>
        <w:t xml:space="preserve"> </w:t>
      </w:r>
      <w:r w:rsidR="006A2D54">
        <w:t>SCE-05</w:t>
      </w:r>
      <w:r w:rsidR="00B42F10">
        <w:t>A</w:t>
      </w:r>
      <w:r w:rsidR="006A2D54">
        <w:t xml:space="preserve"> at 1</w:t>
      </w:r>
      <w:r w:rsidR="00B42F10">
        <w:t>12</w:t>
      </w:r>
      <w:r w:rsidR="006A2D54">
        <w:t xml:space="preserve">. </w:t>
      </w:r>
      <w:r w:rsidR="00EF2313">
        <w:t xml:space="preserve">Green Tariff </w:t>
      </w:r>
      <w:r w:rsidR="00467170">
        <w:t xml:space="preserve">programs are described </w:t>
      </w:r>
      <w:r w:rsidR="00235D70" w:rsidRPr="007F3AF4">
        <w:t xml:space="preserve">generally </w:t>
      </w:r>
      <w:r w:rsidR="00467170" w:rsidRPr="007F3AF4">
        <w:t>in Section 5.</w:t>
      </w:r>
      <w:r w:rsidR="00F3499E" w:rsidRPr="007F3AF4">
        <w:t>2</w:t>
      </w:r>
      <w:r w:rsidR="00467170" w:rsidRPr="007F3AF4">
        <w:t>.</w:t>
      </w:r>
      <w:r w:rsidR="00F3499E" w:rsidRPr="007F3AF4">
        <w:t>1</w:t>
      </w:r>
      <w:r w:rsidR="00467170" w:rsidRPr="007F3AF4">
        <w:t>4 of this</w:t>
      </w:r>
      <w:r w:rsidR="00467170">
        <w:t xml:space="preserve"> Decision.</w:t>
      </w:r>
      <w:r w:rsidR="002A68CA">
        <w:t xml:space="preserve"> </w:t>
      </w:r>
    </w:p>
  </w:footnote>
  <w:footnote w:id="261">
    <w:p w14:paraId="51AD908E" w14:textId="53BF1290" w:rsidR="003F65B6" w:rsidRDefault="003F65B6">
      <w:pPr>
        <w:pStyle w:val="FootnoteText"/>
      </w:pPr>
      <w:r>
        <w:rPr>
          <w:rStyle w:val="FootnoteReference"/>
        </w:rPr>
        <w:footnoteRef/>
      </w:r>
      <w:r>
        <w:t xml:space="preserve"> SCE-0</w:t>
      </w:r>
      <w:r w:rsidR="006A2D54">
        <w:t>5</w:t>
      </w:r>
      <w:r w:rsidR="00B42F10">
        <w:t>A</w:t>
      </w:r>
      <w:r>
        <w:t xml:space="preserve"> at 1</w:t>
      </w:r>
      <w:r w:rsidR="006A2D54">
        <w:t>1</w:t>
      </w:r>
      <w:r w:rsidR="00B42F10">
        <w:t>3</w:t>
      </w:r>
      <w:r>
        <w:t>.</w:t>
      </w:r>
    </w:p>
  </w:footnote>
  <w:footnote w:id="262">
    <w:p w14:paraId="15480C93" w14:textId="0EC51829" w:rsidR="006A2D54" w:rsidRDefault="006A2D54" w:rsidP="006A2D54">
      <w:pPr>
        <w:pStyle w:val="FootnoteText"/>
      </w:pPr>
      <w:r>
        <w:rPr>
          <w:rStyle w:val="FootnoteReference"/>
        </w:rPr>
        <w:footnoteRef/>
      </w:r>
      <w:r>
        <w:t xml:space="preserve"> SCE-05</w:t>
      </w:r>
      <w:r w:rsidR="00B42F10">
        <w:t>A</w:t>
      </w:r>
      <w:r>
        <w:t xml:space="preserve"> at 11</w:t>
      </w:r>
      <w:r w:rsidR="00B42F10">
        <w:t>3-114</w:t>
      </w:r>
      <w:r>
        <w:t xml:space="preserve"> and n.11</w:t>
      </w:r>
      <w:r w:rsidR="00B42F10">
        <w:t>9</w:t>
      </w:r>
      <w:r>
        <w:t xml:space="preserve">, </w:t>
      </w:r>
      <w:r w:rsidRPr="00994926">
        <w:t>citing</w:t>
      </w:r>
      <w:r>
        <w:t xml:space="preserve"> </w:t>
      </w:r>
      <w:r w:rsidRPr="003F65B6">
        <w:t>Lancaster Choice Energy, A</w:t>
      </w:r>
      <w:r>
        <w:t xml:space="preserve">L </w:t>
      </w:r>
      <w:r w:rsidRPr="003F65B6">
        <w:t>34-E, Pico Rivera Innovative</w:t>
      </w:r>
      <w:r>
        <w:t xml:space="preserve"> </w:t>
      </w:r>
      <w:r w:rsidRPr="003F65B6">
        <w:t>Municipal Energy, A</w:t>
      </w:r>
      <w:r>
        <w:t>L</w:t>
      </w:r>
      <w:r w:rsidRPr="003F65B6">
        <w:t xml:space="preserve"> 29-E, and San Jacinto Power </w:t>
      </w:r>
      <w:r>
        <w:t xml:space="preserve">AL </w:t>
      </w:r>
      <w:r w:rsidRPr="003F65B6">
        <w:t>27-E.</w:t>
      </w:r>
    </w:p>
  </w:footnote>
  <w:footnote w:id="263">
    <w:p w14:paraId="3CEBFB9F" w14:textId="6B4C5718" w:rsidR="007B1EDD" w:rsidRDefault="007B1EDD">
      <w:pPr>
        <w:pStyle w:val="FootnoteText"/>
      </w:pPr>
      <w:r>
        <w:rPr>
          <w:rStyle w:val="FootnoteReference"/>
        </w:rPr>
        <w:footnoteRef/>
      </w:r>
      <w:r>
        <w:t xml:space="preserve"> SCE-05</w:t>
      </w:r>
      <w:r w:rsidR="00132022">
        <w:t>A</w:t>
      </w:r>
      <w:r>
        <w:t xml:space="preserve"> at 11</w:t>
      </w:r>
      <w:r w:rsidR="00132022">
        <w:t>3</w:t>
      </w:r>
      <w:r>
        <w:t>-11</w:t>
      </w:r>
      <w:r w:rsidR="0013424F">
        <w:t>4</w:t>
      </w:r>
      <w:r>
        <w:t>.</w:t>
      </w:r>
    </w:p>
  </w:footnote>
  <w:footnote w:id="264">
    <w:p w14:paraId="30FCEE79" w14:textId="41E5E12F" w:rsidR="001F7FEB" w:rsidRDefault="001F7FEB" w:rsidP="001F7FEB">
      <w:pPr>
        <w:pStyle w:val="FootnoteText"/>
      </w:pPr>
      <w:r>
        <w:rPr>
          <w:rStyle w:val="FootnoteReference"/>
        </w:rPr>
        <w:footnoteRef/>
      </w:r>
      <w:r>
        <w:t xml:space="preserve"> SCE-0</w:t>
      </w:r>
      <w:r w:rsidR="00E043DC">
        <w:t>5</w:t>
      </w:r>
      <w:r w:rsidR="00132022">
        <w:t>A</w:t>
      </w:r>
      <w:r>
        <w:t xml:space="preserve"> at </w:t>
      </w:r>
      <w:r w:rsidR="00E043DC">
        <w:t xml:space="preserve">Table VII-34, </w:t>
      </w:r>
      <w:r w:rsidR="00AC7244">
        <w:t>at</w:t>
      </w:r>
      <w:r w:rsidR="00AC7244" w:rsidRPr="00AC7244">
        <w:t xml:space="preserve"> </w:t>
      </w:r>
      <w:r>
        <w:t>l</w:t>
      </w:r>
      <w:r w:rsidR="00AC7244">
        <w:t>n.</w:t>
      </w:r>
      <w:r>
        <w:t xml:space="preserve"> </w:t>
      </w:r>
      <w:r w:rsidR="00E043DC">
        <w:t>19</w:t>
      </w:r>
      <w:r>
        <w:t>.</w:t>
      </w:r>
      <w:r w:rsidR="009F1778">
        <w:t xml:space="preserve"> </w:t>
      </w:r>
      <w:r w:rsidR="009F1778" w:rsidRPr="009F1778">
        <w:t xml:space="preserve">Customers operating EITE businesses are eligible to receive industry assistance in the form of a bill credit </w:t>
      </w:r>
      <w:r w:rsidR="00E043DC">
        <w:t>each</w:t>
      </w:r>
      <w:r w:rsidR="009F1778" w:rsidRPr="009F1778">
        <w:t xml:space="preserve"> April.</w:t>
      </w:r>
    </w:p>
  </w:footnote>
  <w:footnote w:id="265">
    <w:p w14:paraId="18344341" w14:textId="77777777" w:rsidR="00A805F7" w:rsidRDefault="00AC7244" w:rsidP="00A805F7">
      <w:pPr>
        <w:pStyle w:val="FootnoteText"/>
        <w:spacing w:after="0"/>
      </w:pPr>
      <w:r>
        <w:rPr>
          <w:rStyle w:val="FootnoteReference"/>
        </w:rPr>
        <w:footnoteRef/>
      </w:r>
      <w:r>
        <w:t xml:space="preserve"> </w:t>
      </w:r>
      <w:r w:rsidRPr="00AC7244">
        <w:rPr>
          <w:i/>
          <w:iCs/>
        </w:rPr>
        <w:t>See</w:t>
      </w:r>
      <w:r>
        <w:t xml:space="preserve"> D.14-12-037, </w:t>
      </w:r>
      <w:r w:rsidRPr="00A065D1">
        <w:rPr>
          <w:i/>
          <w:iCs/>
        </w:rPr>
        <w:t>Decision Adopting Greenhouse Gas Allowance Revenue Allocation Formulas and Distribution Methodologies for Emissions-Intensive and Trade Exposed Customers</w:t>
      </w:r>
      <w:r w:rsidR="00A065D1">
        <w:t xml:space="preserve"> [hereinafter </w:t>
      </w:r>
    </w:p>
    <w:p w14:paraId="3CA31D57" w14:textId="1E720B9D" w:rsidR="00AC7244" w:rsidRDefault="00A065D1" w:rsidP="00AC7244">
      <w:pPr>
        <w:pStyle w:val="FootnoteText"/>
      </w:pPr>
      <w:r>
        <w:t>D.14-12-037].</w:t>
      </w:r>
    </w:p>
  </w:footnote>
  <w:footnote w:id="266">
    <w:p w14:paraId="38B124C7" w14:textId="6D5D40BB" w:rsidR="00AC7244" w:rsidRDefault="00AC7244">
      <w:pPr>
        <w:pStyle w:val="FootnoteText"/>
      </w:pPr>
      <w:r>
        <w:rPr>
          <w:rStyle w:val="FootnoteReference"/>
        </w:rPr>
        <w:footnoteRef/>
      </w:r>
      <w:r>
        <w:t xml:space="preserve"> D.21-0</w:t>
      </w:r>
      <w:r w:rsidR="007341AD">
        <w:t>8-026 at OP 3-OP 5.</w:t>
      </w:r>
    </w:p>
  </w:footnote>
  <w:footnote w:id="267">
    <w:p w14:paraId="7E1E9793" w14:textId="53E72A5E" w:rsidR="00CD6945" w:rsidRDefault="00CD6945" w:rsidP="00CD6945">
      <w:pPr>
        <w:pStyle w:val="FootnoteText"/>
      </w:pPr>
      <w:r>
        <w:rPr>
          <w:rStyle w:val="FootnoteReference"/>
        </w:rPr>
        <w:footnoteRef/>
      </w:r>
      <w:r>
        <w:t xml:space="preserve"> D.14-12-037 at OP 3. </w:t>
      </w:r>
    </w:p>
  </w:footnote>
  <w:footnote w:id="268">
    <w:p w14:paraId="76DEA4E0" w14:textId="22EE1BD4" w:rsidR="00CD6945" w:rsidRDefault="00CD6945">
      <w:pPr>
        <w:pStyle w:val="FootnoteText"/>
      </w:pPr>
      <w:r>
        <w:rPr>
          <w:rStyle w:val="FootnoteReference"/>
        </w:rPr>
        <w:footnoteRef/>
      </w:r>
      <w:r>
        <w:t xml:space="preserve"> CPUC website, “California Industry Assistance,” </w:t>
      </w:r>
      <w:hyperlink r:id="rId4" w:history="1">
        <w:r w:rsidRPr="00F815D0">
          <w:rPr>
            <w:rStyle w:val="Hyperlink"/>
          </w:rPr>
          <w:t>https://www.cpuc.ca.gov/industries-and-topics/natural-gas/greenhouse-gas-cap-and-trade-program/california-industry-assistance</w:t>
        </w:r>
      </w:hyperlink>
      <w:r>
        <w:t>, last visited Sept. 8, 2025.</w:t>
      </w:r>
    </w:p>
  </w:footnote>
  <w:footnote w:id="269">
    <w:p w14:paraId="673C53AA" w14:textId="19330DE8" w:rsidR="001F7FEB" w:rsidRDefault="001F7FEB">
      <w:pPr>
        <w:pStyle w:val="FootnoteText"/>
      </w:pPr>
      <w:r>
        <w:rPr>
          <w:rStyle w:val="FootnoteReference"/>
        </w:rPr>
        <w:footnoteRef/>
      </w:r>
      <w:r>
        <w:t xml:space="preserve"> </w:t>
      </w:r>
      <w:r w:rsidR="00E043DC">
        <w:t>SCE-05</w:t>
      </w:r>
      <w:r w:rsidR="00132022">
        <w:t>A</w:t>
      </w:r>
      <w:r w:rsidR="00E043DC">
        <w:t xml:space="preserve"> at Table VII-34, ln. 29. </w:t>
      </w:r>
      <w:r>
        <w:t>D.21-08-096 at 7.</w:t>
      </w:r>
    </w:p>
  </w:footnote>
  <w:footnote w:id="270">
    <w:p w14:paraId="3DF443B1" w14:textId="3DCEE2DB" w:rsidR="00F11DC3" w:rsidRDefault="00F11DC3">
      <w:pPr>
        <w:pStyle w:val="FootnoteText"/>
      </w:pPr>
      <w:r>
        <w:rPr>
          <w:rStyle w:val="FootnoteReference"/>
        </w:rPr>
        <w:footnoteRef/>
      </w:r>
      <w:r>
        <w:t xml:space="preserve"> D.15-07-001, </w:t>
      </w:r>
      <w:r w:rsidRPr="00F11DC3">
        <w:rPr>
          <w:i/>
          <w:iCs/>
        </w:rPr>
        <w:t xml:space="preserve">Decision on Residential Rate Reform </w:t>
      </w:r>
      <w:proofErr w:type="gramStart"/>
      <w:r w:rsidRPr="00F11DC3">
        <w:rPr>
          <w:i/>
          <w:iCs/>
        </w:rPr>
        <w:t>For</w:t>
      </w:r>
      <w:proofErr w:type="gramEnd"/>
      <w:r w:rsidRPr="00F11DC3">
        <w:rPr>
          <w:i/>
          <w:iCs/>
        </w:rPr>
        <w:t xml:space="preserve"> Pacific Gas and Electric Company, Southern California Edison Company, and San Diego Gas &amp; Electric Company and Transition to Time-of-Use Rates</w:t>
      </w:r>
      <w:r w:rsidRPr="00F11DC3">
        <w:t xml:space="preserve"> </w:t>
      </w:r>
      <w:r>
        <w:t xml:space="preserve">at 254; D.12-12-033 at </w:t>
      </w:r>
      <w:r w:rsidR="00CE543F">
        <w:t>OP 1.</w:t>
      </w:r>
      <w:r w:rsidRPr="00F11DC3">
        <w:t xml:space="preserve"> </w:t>
      </w:r>
      <w:r>
        <w:t>D.21-08-026</w:t>
      </w:r>
      <w:r w:rsidR="00CE543F">
        <w:t xml:space="preserve"> at OP 6;</w:t>
      </w:r>
      <w:r w:rsidRPr="00F11DC3">
        <w:t xml:space="preserve"> </w:t>
      </w:r>
      <w:r w:rsidR="00CE543F">
        <w:t>D.12-12-033 at OP 1.</w:t>
      </w:r>
    </w:p>
  </w:footnote>
  <w:footnote w:id="271">
    <w:p w14:paraId="6555B3F0" w14:textId="75B461B8" w:rsidR="007E3987" w:rsidRDefault="007E3987">
      <w:pPr>
        <w:pStyle w:val="FootnoteText"/>
      </w:pPr>
      <w:r>
        <w:rPr>
          <w:rStyle w:val="FootnoteReference"/>
        </w:rPr>
        <w:footnoteRef/>
      </w:r>
      <w:r>
        <w:t xml:space="preserve"> </w:t>
      </w:r>
      <w:r w:rsidR="00E043DC">
        <w:t>SCE-05</w:t>
      </w:r>
      <w:r w:rsidR="00132022">
        <w:t>A</w:t>
      </w:r>
      <w:r w:rsidR="00E043DC">
        <w:t xml:space="preserve"> at Table VII-34, ln. 28.</w:t>
      </w:r>
    </w:p>
  </w:footnote>
  <w:footnote w:id="272">
    <w:p w14:paraId="13AF7434" w14:textId="7FECD3EB" w:rsidR="000447AA" w:rsidRDefault="000447AA">
      <w:pPr>
        <w:pStyle w:val="FootnoteText"/>
      </w:pPr>
      <w:r>
        <w:rPr>
          <w:rStyle w:val="FootnoteReference"/>
        </w:rPr>
        <w:footnoteRef/>
      </w:r>
      <w:r>
        <w:t xml:space="preserve"> </w:t>
      </w:r>
      <w:r w:rsidR="00F70192">
        <w:t>SCE-05A at Table II-1.</w:t>
      </w:r>
    </w:p>
  </w:footnote>
  <w:footnote w:id="273">
    <w:p w14:paraId="1B9E499B" w14:textId="26487288" w:rsidR="000E6101" w:rsidRDefault="000E6101" w:rsidP="000E6101">
      <w:pPr>
        <w:pStyle w:val="FootnoteText"/>
      </w:pPr>
      <w:r>
        <w:rPr>
          <w:rStyle w:val="FootnoteReference"/>
        </w:rPr>
        <w:footnoteRef/>
      </w:r>
      <w:r>
        <w:t xml:space="preserve"> </w:t>
      </w:r>
      <w:r w:rsidR="00F24DCC" w:rsidRPr="0020037B">
        <w:rPr>
          <w:i/>
          <w:iCs/>
        </w:rPr>
        <w:t>See</w:t>
      </w:r>
      <w:r w:rsidR="00F24DCC">
        <w:t xml:space="preserve"> </w:t>
      </w:r>
      <w:r>
        <w:t>SCE-0</w:t>
      </w:r>
      <w:r w:rsidR="00EF2698">
        <w:t>1</w:t>
      </w:r>
      <w:r>
        <w:t xml:space="preserve"> at Table II-2</w:t>
      </w:r>
      <w:r w:rsidR="00F24DCC">
        <w:t xml:space="preserve">; </w:t>
      </w:r>
      <w:r w:rsidR="00EF2698">
        <w:t>SCE-05</w:t>
      </w:r>
      <w:r w:rsidR="006B7DC9">
        <w:t>A</w:t>
      </w:r>
      <w:r w:rsidR="00EF2698">
        <w:t xml:space="preserve"> at Table II-3</w:t>
      </w:r>
      <w:r w:rsidR="00F24DCC">
        <w:t>.</w:t>
      </w:r>
    </w:p>
  </w:footnote>
  <w:footnote w:id="274">
    <w:p w14:paraId="4F4C9067" w14:textId="519F8FBD" w:rsidR="004332E6" w:rsidRDefault="004332E6" w:rsidP="004332E6">
      <w:pPr>
        <w:pStyle w:val="FootnoteText"/>
      </w:pPr>
      <w:r>
        <w:rPr>
          <w:rStyle w:val="FootnoteReference"/>
        </w:rPr>
        <w:footnoteRef/>
      </w:r>
      <w:r>
        <w:t xml:space="preserve"> SCE-0</w:t>
      </w:r>
      <w:r w:rsidR="00927656">
        <w:t>5</w:t>
      </w:r>
      <w:r w:rsidR="00912F48">
        <w:t>A</w:t>
      </w:r>
      <w:r>
        <w:t xml:space="preserve"> at 1</w:t>
      </w:r>
      <w:r w:rsidR="00912F48">
        <w:t>22</w:t>
      </w:r>
      <w:r>
        <w:t>.</w:t>
      </w:r>
    </w:p>
  </w:footnote>
  <w:footnote w:id="275">
    <w:p w14:paraId="2DF6CB83" w14:textId="3EBAAAB8" w:rsidR="00B861E0" w:rsidRDefault="00B861E0" w:rsidP="00B861E0">
      <w:pPr>
        <w:pStyle w:val="FootnoteText"/>
      </w:pPr>
      <w:r>
        <w:rPr>
          <w:rStyle w:val="FootnoteReference"/>
        </w:rPr>
        <w:footnoteRef/>
      </w:r>
      <w:r>
        <w:t xml:space="preserve"> SCE-0</w:t>
      </w:r>
      <w:r w:rsidR="00C03715">
        <w:t>5</w:t>
      </w:r>
      <w:r w:rsidR="00912F48">
        <w:t>A</w:t>
      </w:r>
      <w:r>
        <w:t xml:space="preserve"> at Table II-</w:t>
      </w:r>
      <w:r w:rsidR="00C03715">
        <w:t>3</w:t>
      </w:r>
      <w:r w:rsidR="00F24DCC">
        <w:t>.</w:t>
      </w:r>
    </w:p>
  </w:footnote>
  <w:footnote w:id="276">
    <w:p w14:paraId="407620D4" w14:textId="6A142D1D" w:rsidR="0019301E" w:rsidRDefault="0019301E">
      <w:pPr>
        <w:pStyle w:val="FootnoteText"/>
      </w:pPr>
      <w:r>
        <w:rPr>
          <w:rStyle w:val="FootnoteReference"/>
        </w:rPr>
        <w:footnoteRef/>
      </w:r>
      <w:r>
        <w:t xml:space="preserve"> The year-end 2025 balance of the LCTA-ESMA contains estimated costs related to the net generator refund items stemming from the 2000-2001 California Energy Crisis. SCE-0</w:t>
      </w:r>
      <w:r w:rsidR="00C03715">
        <w:t>5</w:t>
      </w:r>
      <w:r w:rsidR="00912F48">
        <w:t>A</w:t>
      </w:r>
      <w:r>
        <w:t xml:space="preserve"> at</w:t>
      </w:r>
      <w:r w:rsidR="00B861E0">
        <w:t xml:space="preserve"> </w:t>
      </w:r>
      <w:r>
        <w:t>1</w:t>
      </w:r>
      <w:r w:rsidR="00C03715">
        <w:t>23</w:t>
      </w:r>
      <w:r>
        <w:t xml:space="preserve">.  </w:t>
      </w:r>
    </w:p>
  </w:footnote>
  <w:footnote w:id="277">
    <w:p w14:paraId="72370E34" w14:textId="6F5A8916" w:rsidR="002A73E4" w:rsidRDefault="002A73E4" w:rsidP="002A73E4">
      <w:pPr>
        <w:pStyle w:val="FootnoteText"/>
      </w:pPr>
      <w:r>
        <w:rPr>
          <w:rStyle w:val="FootnoteReference"/>
        </w:rPr>
        <w:footnoteRef/>
      </w:r>
      <w:r>
        <w:t xml:space="preserve"> SCE-0</w:t>
      </w:r>
      <w:r w:rsidR="00C03715">
        <w:t>5</w:t>
      </w:r>
      <w:r w:rsidR="00912F48">
        <w:t>A</w:t>
      </w:r>
      <w:r>
        <w:t xml:space="preserve"> at 1</w:t>
      </w:r>
      <w:r w:rsidR="00C03715">
        <w:t>2</w:t>
      </w:r>
      <w:r w:rsidR="00912F48">
        <w:t>2</w:t>
      </w:r>
      <w:r>
        <w:t>-1</w:t>
      </w:r>
      <w:r w:rsidR="00C03715">
        <w:t>23</w:t>
      </w:r>
      <w:r>
        <w:t>.</w:t>
      </w:r>
    </w:p>
  </w:footnote>
  <w:footnote w:id="278">
    <w:p w14:paraId="5054776C" w14:textId="7D1CDF1B" w:rsidR="0019301E" w:rsidRDefault="0019301E" w:rsidP="0019301E">
      <w:pPr>
        <w:pStyle w:val="FootnoteText"/>
      </w:pPr>
      <w:r>
        <w:rPr>
          <w:rStyle w:val="FootnoteReference"/>
        </w:rPr>
        <w:footnoteRef/>
      </w:r>
      <w:r>
        <w:t xml:space="preserve"> SCE-0</w:t>
      </w:r>
      <w:r w:rsidR="00C03715">
        <w:t>5</w:t>
      </w:r>
      <w:r w:rsidR="00912F48">
        <w:t>A</w:t>
      </w:r>
      <w:r>
        <w:t xml:space="preserve"> at 1</w:t>
      </w:r>
      <w:r w:rsidR="00C03715">
        <w:t>2</w:t>
      </w:r>
      <w:r w:rsidR="00912F48">
        <w:t>3</w:t>
      </w:r>
      <w:r>
        <w:t>.</w:t>
      </w:r>
    </w:p>
  </w:footnote>
  <w:footnote w:id="279">
    <w:p w14:paraId="09150B48" w14:textId="0594C5EF" w:rsidR="000D6F1F" w:rsidRDefault="000D6F1F" w:rsidP="000D6F1F">
      <w:pPr>
        <w:pStyle w:val="FootnoteText"/>
      </w:pPr>
      <w:r>
        <w:rPr>
          <w:rStyle w:val="FootnoteReference"/>
        </w:rPr>
        <w:footnoteRef/>
      </w:r>
      <w:r>
        <w:t xml:space="preserve"> D.02-10-062 at OP 14.</w:t>
      </w:r>
    </w:p>
  </w:footnote>
  <w:footnote w:id="280">
    <w:p w14:paraId="58B6F445" w14:textId="06BAC9ED" w:rsidR="00DC1A6A" w:rsidRPr="00C03715" w:rsidRDefault="00DC1A6A" w:rsidP="00DC1A6A">
      <w:pPr>
        <w:pStyle w:val="FootnoteText"/>
      </w:pPr>
      <w:r>
        <w:rPr>
          <w:rStyle w:val="FootnoteReference"/>
        </w:rPr>
        <w:footnoteRef/>
      </w:r>
      <w:r>
        <w:t xml:space="preserve"> SCE</w:t>
      </w:r>
      <w:r w:rsidRPr="00C03715">
        <w:t>-0</w:t>
      </w:r>
      <w:r w:rsidR="00C03715" w:rsidRPr="00C03715">
        <w:t>5</w:t>
      </w:r>
      <w:r w:rsidR="0026329D">
        <w:t>A</w:t>
      </w:r>
      <w:r w:rsidRPr="00C03715">
        <w:t xml:space="preserve"> at</w:t>
      </w:r>
      <w:r w:rsidR="00C03715" w:rsidRPr="00C03715">
        <w:t xml:space="preserve"> 1</w:t>
      </w:r>
      <w:r w:rsidR="0026329D">
        <w:t>3</w:t>
      </w:r>
      <w:r w:rsidRPr="00C03715">
        <w:t>-</w:t>
      </w:r>
      <w:r w:rsidR="00C03715" w:rsidRPr="00C03715">
        <w:t>1</w:t>
      </w:r>
      <w:r w:rsidR="0026329D">
        <w:t>4</w:t>
      </w:r>
      <w:r w:rsidRPr="00C03715">
        <w:t>.</w:t>
      </w:r>
    </w:p>
  </w:footnote>
  <w:footnote w:id="281">
    <w:p w14:paraId="4C62972B" w14:textId="10F96DBF" w:rsidR="00A831E7" w:rsidRDefault="00A831E7">
      <w:pPr>
        <w:pStyle w:val="FootnoteText"/>
      </w:pPr>
      <w:r w:rsidRPr="00C03715">
        <w:rPr>
          <w:rStyle w:val="FootnoteReference"/>
        </w:rPr>
        <w:footnoteRef/>
      </w:r>
      <w:r w:rsidRPr="00C03715">
        <w:t xml:space="preserve"> </w:t>
      </w:r>
      <w:r w:rsidR="00DB4ADE" w:rsidRPr="00C03715">
        <w:t>SCE-0</w:t>
      </w:r>
      <w:r w:rsidR="00C03715" w:rsidRPr="00C03715">
        <w:t>5</w:t>
      </w:r>
      <w:r w:rsidR="005A6436">
        <w:t>A</w:t>
      </w:r>
      <w:r w:rsidR="00DB4ADE" w:rsidRPr="00C03715">
        <w:t xml:space="preserve"> at 1</w:t>
      </w:r>
      <w:r w:rsidR="00C03715" w:rsidRPr="00C03715">
        <w:t>2</w:t>
      </w:r>
      <w:r w:rsidR="005A6436">
        <w:t>5</w:t>
      </w:r>
      <w:r w:rsidRPr="00C03715">
        <w:t>, citing AL 3914-E</w:t>
      </w:r>
      <w:r w:rsidR="00787E26" w:rsidRPr="00C03715">
        <w:t xml:space="preserve">. SCE identifies the specific resources </w:t>
      </w:r>
      <w:r w:rsidR="00AF6EBE" w:rsidRPr="00C03715">
        <w:t xml:space="preserve">and costs </w:t>
      </w:r>
      <w:r w:rsidR="00787E26" w:rsidRPr="00C03715">
        <w:t>that are tracked in the ERRA BA in SCE-0</w:t>
      </w:r>
      <w:r w:rsidR="00C03715" w:rsidRPr="00C03715">
        <w:t>5</w:t>
      </w:r>
      <w:r w:rsidR="005A6436">
        <w:t>A</w:t>
      </w:r>
      <w:r w:rsidR="00787E26" w:rsidRPr="00C03715">
        <w:t>, Table IV-</w:t>
      </w:r>
      <w:r w:rsidR="00C03715" w:rsidRPr="00C03715">
        <w:t>9</w:t>
      </w:r>
      <w:r w:rsidR="00787E26" w:rsidRPr="00C03715">
        <w:t xml:space="preserve"> and describes how the production and costs of each resource are estimated in SCE-0</w:t>
      </w:r>
      <w:r w:rsidR="00C03715" w:rsidRPr="00C03715">
        <w:t>5</w:t>
      </w:r>
      <w:r w:rsidR="005A6436">
        <w:t>A</w:t>
      </w:r>
      <w:r w:rsidR="00787E26" w:rsidRPr="00C03715">
        <w:t xml:space="preserve">, </w:t>
      </w:r>
      <w:r w:rsidR="00AF6EBE" w:rsidRPr="00C03715">
        <w:t>as summarized in Sections 4, 5, and 6 of this Decision.</w:t>
      </w:r>
    </w:p>
  </w:footnote>
  <w:footnote w:id="282">
    <w:p w14:paraId="67B40949" w14:textId="388DDDDC" w:rsidR="002D0C2A" w:rsidRDefault="002D0C2A" w:rsidP="002D0C2A">
      <w:pPr>
        <w:pStyle w:val="FootnoteText"/>
      </w:pPr>
      <w:r>
        <w:rPr>
          <w:rStyle w:val="FootnoteReference"/>
        </w:rPr>
        <w:footnoteRef/>
      </w:r>
      <w:r>
        <w:t xml:space="preserve"> SCE-05</w:t>
      </w:r>
      <w:r w:rsidR="00CC6CF2">
        <w:t>A</w:t>
      </w:r>
      <w:r>
        <w:t xml:space="preserve"> at 12</w:t>
      </w:r>
      <w:r w:rsidR="00CC6CF2">
        <w:t>4</w:t>
      </w:r>
      <w:r w:rsidR="00E87E55">
        <w:t>-12</w:t>
      </w:r>
      <w:r w:rsidR="00CC6CF2">
        <w:t>5</w:t>
      </w:r>
      <w:r>
        <w:t>.</w:t>
      </w:r>
      <w:r w:rsidR="007974D9">
        <w:t xml:space="preserve"> Because SCE’s YE 2025 ERRA Forecast is based on actual revenues received through September 2025, SCE’s </w:t>
      </w:r>
      <w:r w:rsidR="00CC6CF2">
        <w:t xml:space="preserve">2026 ERRA </w:t>
      </w:r>
      <w:r w:rsidR="007974D9">
        <w:t xml:space="preserve">forecast </w:t>
      </w:r>
      <w:r w:rsidR="00CC6CF2">
        <w:t>needs no adjustment to reflect</w:t>
      </w:r>
      <w:r w:rsidR="007974D9">
        <w:t xml:space="preserve"> the results of SCE 2024 Trigger Exceedance, which was amortized </w:t>
      </w:r>
      <w:r w:rsidR="00CC6CF2">
        <w:t xml:space="preserve">and returned to customers </w:t>
      </w:r>
      <w:r w:rsidR="007974D9">
        <w:t>up through September 30, 2025. SCE-05</w:t>
      </w:r>
      <w:r w:rsidR="00CC6CF2">
        <w:t>A</w:t>
      </w:r>
      <w:r w:rsidR="007974D9">
        <w:t xml:space="preserve"> at </w:t>
      </w:r>
      <w:r w:rsidR="00CC6CF2">
        <w:t>5</w:t>
      </w:r>
      <w:r w:rsidR="007974D9">
        <w:t>-</w:t>
      </w:r>
      <w:r w:rsidR="00CC6CF2">
        <w:t>6</w:t>
      </w:r>
      <w:r w:rsidR="007974D9">
        <w:t>.</w:t>
      </w:r>
    </w:p>
  </w:footnote>
  <w:footnote w:id="283">
    <w:p w14:paraId="6E0F1597" w14:textId="67F0C1CE" w:rsidR="00DB4ADE" w:rsidRDefault="00DB4ADE" w:rsidP="00DB4ADE">
      <w:pPr>
        <w:pStyle w:val="FootnoteText"/>
      </w:pPr>
      <w:r>
        <w:rPr>
          <w:rStyle w:val="FootnoteReference"/>
        </w:rPr>
        <w:footnoteRef/>
      </w:r>
      <w:r>
        <w:t xml:space="preserve"> SCE-0</w:t>
      </w:r>
      <w:r w:rsidR="00595E0B">
        <w:t>5</w:t>
      </w:r>
      <w:r w:rsidR="005A6436">
        <w:t>A</w:t>
      </w:r>
      <w:r>
        <w:t xml:space="preserve"> at 1</w:t>
      </w:r>
      <w:r w:rsidR="00595E0B">
        <w:t>2</w:t>
      </w:r>
      <w:r w:rsidR="005A6436">
        <w:t>5</w:t>
      </w:r>
      <w:r>
        <w:t>.</w:t>
      </w:r>
    </w:p>
  </w:footnote>
  <w:footnote w:id="284">
    <w:p w14:paraId="6F57428A" w14:textId="67624E70" w:rsidR="00581A67" w:rsidRDefault="00581A67" w:rsidP="00615BFE">
      <w:pPr>
        <w:pStyle w:val="FootnoteText"/>
      </w:pPr>
      <w:r>
        <w:rPr>
          <w:rStyle w:val="FootnoteReference"/>
        </w:rPr>
        <w:footnoteRef/>
      </w:r>
      <w:r>
        <w:t xml:space="preserve"> SCE-0</w:t>
      </w:r>
      <w:r w:rsidR="00C20651">
        <w:t>5</w:t>
      </w:r>
      <w:r w:rsidR="005A6436">
        <w:t>A</w:t>
      </w:r>
      <w:r>
        <w:t xml:space="preserve"> at </w:t>
      </w:r>
      <w:r w:rsidR="00C20651">
        <w:t>12</w:t>
      </w:r>
      <w:r w:rsidR="005A6436">
        <w:t>3</w:t>
      </w:r>
      <w:r>
        <w:t>.</w:t>
      </w:r>
      <w:r w:rsidR="002A68CA">
        <w:t xml:space="preserve"> </w:t>
      </w:r>
    </w:p>
  </w:footnote>
  <w:footnote w:id="285">
    <w:p w14:paraId="7EBA8FD6" w14:textId="1DFCBFE4" w:rsidR="001D518A" w:rsidRDefault="001D518A">
      <w:pPr>
        <w:pStyle w:val="FootnoteText"/>
      </w:pPr>
      <w:r>
        <w:rPr>
          <w:rStyle w:val="FootnoteReference"/>
        </w:rPr>
        <w:footnoteRef/>
      </w:r>
      <w:r>
        <w:t xml:space="preserve"> </w:t>
      </w:r>
      <w:r w:rsidR="00335BE2">
        <w:t>SCE defines “above-market costs of PABA-eligible resources” as “</w:t>
      </w:r>
      <w:r w:rsidR="00335BE2" w:rsidRPr="003A0824">
        <w:t>the actual costs less (1)</w:t>
      </w:r>
      <w:r w:rsidR="007819BD">
        <w:t> </w:t>
      </w:r>
      <w:r w:rsidR="00335BE2" w:rsidRPr="003A0824">
        <w:t>actual revenues received through bilateral transactions</w:t>
      </w:r>
      <w:r w:rsidR="008F7ADF">
        <w:t>;</w:t>
      </w:r>
      <w:r w:rsidR="00335BE2" w:rsidRPr="003A0824">
        <w:t xml:space="preserve"> (2) actual energy and ancillary services revenues</w:t>
      </w:r>
      <w:r w:rsidR="008F7ADF">
        <w:t>;</w:t>
      </w:r>
      <w:r w:rsidR="00335BE2" w:rsidRPr="003A0824">
        <w:t xml:space="preserve"> (3) actual retained RPS value</w:t>
      </w:r>
      <w:r w:rsidR="008F7ADF">
        <w:t xml:space="preserve">; </w:t>
      </w:r>
      <w:r w:rsidR="00335BE2" w:rsidRPr="003A0824">
        <w:t>and (4) actual retained RA value.</w:t>
      </w:r>
      <w:r w:rsidR="00335BE2">
        <w:t>” SCE-0</w:t>
      </w:r>
      <w:r w:rsidR="004839B0">
        <w:t>5</w:t>
      </w:r>
      <w:r w:rsidR="005A6436">
        <w:t>A</w:t>
      </w:r>
      <w:r w:rsidR="00335BE2">
        <w:t xml:space="preserve"> at n.1</w:t>
      </w:r>
      <w:r w:rsidR="004839B0">
        <w:t>2</w:t>
      </w:r>
      <w:r w:rsidR="008F7ADF">
        <w:t>9</w:t>
      </w:r>
      <w:r w:rsidR="00335BE2">
        <w:t xml:space="preserve">, </w:t>
      </w:r>
      <w:r w:rsidR="00335BE2" w:rsidRPr="00994926">
        <w:t>citing</w:t>
      </w:r>
      <w:r w:rsidR="00335BE2">
        <w:t xml:space="preserve"> D.18-10-019 at 42 and OP 1.</w:t>
      </w:r>
    </w:p>
  </w:footnote>
  <w:footnote w:id="286">
    <w:p w14:paraId="3E19A166" w14:textId="6DF2F2FA" w:rsidR="00BD655B" w:rsidRDefault="00BD655B" w:rsidP="00BD655B">
      <w:pPr>
        <w:pStyle w:val="FootnoteText"/>
      </w:pPr>
      <w:r w:rsidRPr="004839B0">
        <w:rPr>
          <w:rStyle w:val="FootnoteReference"/>
        </w:rPr>
        <w:footnoteRef/>
      </w:r>
      <w:r w:rsidRPr="004839B0">
        <w:t xml:space="preserve"> SCE identifies the resources tracked in its PABA in SCE-0</w:t>
      </w:r>
      <w:r w:rsidR="004839B0" w:rsidRPr="004839B0">
        <w:t>5</w:t>
      </w:r>
      <w:r w:rsidR="008F7ADF">
        <w:t>A</w:t>
      </w:r>
      <w:r w:rsidRPr="004839B0">
        <w:t>, Table IV-</w:t>
      </w:r>
      <w:r w:rsidR="004839B0" w:rsidRPr="004839B0">
        <w:t>9</w:t>
      </w:r>
      <w:r w:rsidRPr="004839B0">
        <w:t xml:space="preserve"> and describes how the production and costs of each resource are estimated in Exhibit SCE-0</w:t>
      </w:r>
      <w:r w:rsidR="004839B0" w:rsidRPr="004839B0">
        <w:t>5</w:t>
      </w:r>
      <w:r w:rsidR="008F7ADF">
        <w:t>A</w:t>
      </w:r>
      <w:r w:rsidRPr="004839B0">
        <w:t>, as summarized in Sections 4, 5, and 6 of this Decision.</w:t>
      </w:r>
      <w:r>
        <w:t xml:space="preserve"> </w:t>
      </w:r>
    </w:p>
  </w:footnote>
  <w:footnote w:id="287">
    <w:p w14:paraId="72576018" w14:textId="181211E0" w:rsidR="00581A67" w:rsidRDefault="00581A67" w:rsidP="00581A67">
      <w:pPr>
        <w:pStyle w:val="FootnoteText"/>
      </w:pPr>
      <w:r>
        <w:rPr>
          <w:rStyle w:val="FootnoteReference"/>
        </w:rPr>
        <w:footnoteRef/>
      </w:r>
      <w:r>
        <w:t xml:space="preserve"> SCE-0</w:t>
      </w:r>
      <w:r w:rsidR="004839B0">
        <w:t>5</w:t>
      </w:r>
      <w:r w:rsidR="008F7ADF">
        <w:t>A</w:t>
      </w:r>
      <w:r>
        <w:t xml:space="preserve"> at 1</w:t>
      </w:r>
      <w:r w:rsidR="004839B0">
        <w:t>2</w:t>
      </w:r>
      <w:r w:rsidR="008F7ADF">
        <w:t>3</w:t>
      </w:r>
      <w:r>
        <w:t>-1</w:t>
      </w:r>
      <w:r w:rsidR="004839B0">
        <w:t>2</w:t>
      </w:r>
      <w:r w:rsidR="008F7ADF">
        <w:t>4</w:t>
      </w:r>
      <w:r>
        <w:t>.</w:t>
      </w:r>
    </w:p>
  </w:footnote>
  <w:footnote w:id="288">
    <w:p w14:paraId="5FCAE5F3" w14:textId="2D75E88F" w:rsidR="008F7ADF" w:rsidRDefault="00BB1FC7">
      <w:pPr>
        <w:pStyle w:val="FootnoteText"/>
      </w:pPr>
      <w:r>
        <w:rPr>
          <w:rStyle w:val="FootnoteReference"/>
        </w:rPr>
        <w:footnoteRef/>
      </w:r>
      <w:r>
        <w:t xml:space="preserve"> SCE-0</w:t>
      </w:r>
      <w:r w:rsidR="004561A1">
        <w:t>5</w:t>
      </w:r>
      <w:r w:rsidR="008F7ADF">
        <w:t>A</w:t>
      </w:r>
      <w:r>
        <w:t xml:space="preserve"> at 1</w:t>
      </w:r>
      <w:r w:rsidR="004561A1">
        <w:t>2</w:t>
      </w:r>
      <w:r w:rsidR="008F7ADF">
        <w:t>6</w:t>
      </w:r>
      <w:r>
        <w:t>.</w:t>
      </w:r>
      <w:r w:rsidR="002A68CA">
        <w:t xml:space="preserve"> </w:t>
      </w:r>
    </w:p>
  </w:footnote>
  <w:footnote w:id="289">
    <w:p w14:paraId="754EB4D7" w14:textId="4384962F" w:rsidR="001542D2" w:rsidRDefault="001542D2" w:rsidP="001542D2">
      <w:pPr>
        <w:pStyle w:val="FootnoteText"/>
      </w:pPr>
      <w:r>
        <w:rPr>
          <w:rStyle w:val="FootnoteReference"/>
        </w:rPr>
        <w:footnoteRef/>
      </w:r>
      <w:r>
        <w:t xml:space="preserve"> SCE-05</w:t>
      </w:r>
      <w:r w:rsidR="008F7ADF">
        <w:t>A</w:t>
      </w:r>
      <w:r>
        <w:t xml:space="preserve"> at 12</w:t>
      </w:r>
      <w:r w:rsidR="008F7ADF">
        <w:t>4</w:t>
      </w:r>
      <w:r>
        <w:t>.</w:t>
      </w:r>
    </w:p>
  </w:footnote>
  <w:footnote w:id="290">
    <w:p w14:paraId="4A388995" w14:textId="0FEC8538" w:rsidR="008F6635" w:rsidRDefault="008F6635">
      <w:pPr>
        <w:pStyle w:val="FootnoteText"/>
      </w:pPr>
      <w:r>
        <w:rPr>
          <w:rStyle w:val="FootnoteReference"/>
        </w:rPr>
        <w:footnoteRef/>
      </w:r>
      <w:r>
        <w:t xml:space="preserve"> SCE-0</w:t>
      </w:r>
      <w:r w:rsidR="004561A1">
        <w:t>5</w:t>
      </w:r>
      <w:r w:rsidR="008F7ADF">
        <w:t>A</w:t>
      </w:r>
      <w:r>
        <w:t xml:space="preserve"> at </w:t>
      </w:r>
      <w:r w:rsidR="004561A1">
        <w:t>12</w:t>
      </w:r>
      <w:r w:rsidR="008F7ADF">
        <w:t>4</w:t>
      </w:r>
      <w:r w:rsidR="004561A1">
        <w:t>.</w:t>
      </w:r>
    </w:p>
  </w:footnote>
  <w:footnote w:id="291">
    <w:p w14:paraId="76005268" w14:textId="78DD7304" w:rsidR="00CA4DCD" w:rsidRDefault="00CA4DCD">
      <w:pPr>
        <w:pStyle w:val="FootnoteText"/>
      </w:pPr>
      <w:r>
        <w:rPr>
          <w:rStyle w:val="FootnoteReference"/>
        </w:rPr>
        <w:footnoteRef/>
      </w:r>
      <w:r>
        <w:t xml:space="preserve"> </w:t>
      </w:r>
      <w:r w:rsidR="00544A2E">
        <w:t xml:space="preserve">SCE’s </w:t>
      </w:r>
      <w:r>
        <w:t xml:space="preserve">GTSR purchased power contracts are </w:t>
      </w:r>
      <w:r w:rsidRPr="007F3AF4">
        <w:t>discussed in Section 5.2.14 of</w:t>
      </w:r>
      <w:r w:rsidRPr="001B161D">
        <w:t xml:space="preserve"> this Decision</w:t>
      </w:r>
      <w:r w:rsidR="00652184">
        <w:t>.</w:t>
      </w:r>
    </w:p>
  </w:footnote>
  <w:footnote w:id="292">
    <w:p w14:paraId="0A900147" w14:textId="3A26DA5C" w:rsidR="002F3CBD" w:rsidRDefault="002F3CBD">
      <w:pPr>
        <w:pStyle w:val="FootnoteText"/>
      </w:pPr>
      <w:r>
        <w:rPr>
          <w:rStyle w:val="FootnoteReference"/>
        </w:rPr>
        <w:footnoteRef/>
      </w:r>
      <w:r>
        <w:t xml:space="preserve"> SCE-05A at 13-14.</w:t>
      </w:r>
    </w:p>
  </w:footnote>
  <w:footnote w:id="293">
    <w:p w14:paraId="1DCFC41C" w14:textId="5913E239" w:rsidR="00544A2E" w:rsidRPr="00642488" w:rsidRDefault="00544A2E" w:rsidP="00544A2E">
      <w:pPr>
        <w:pStyle w:val="FootnoteText"/>
      </w:pPr>
      <w:r>
        <w:rPr>
          <w:rStyle w:val="FootnoteReference"/>
        </w:rPr>
        <w:footnoteRef/>
      </w:r>
      <w:r>
        <w:t xml:space="preserve"> </w:t>
      </w:r>
      <w:r w:rsidR="00642488">
        <w:t>SCE-05</w:t>
      </w:r>
      <w:r w:rsidR="002F3CBD">
        <w:t>A</w:t>
      </w:r>
      <w:r w:rsidR="00642488">
        <w:t xml:space="preserve"> at </w:t>
      </w:r>
      <w:r w:rsidR="00B43A7F">
        <w:t>126</w:t>
      </w:r>
      <w:r w:rsidR="00642488">
        <w:t>.</w:t>
      </w:r>
      <w:r w:rsidR="008E09C2">
        <w:t xml:space="preserve"> </w:t>
      </w:r>
    </w:p>
  </w:footnote>
  <w:footnote w:id="294">
    <w:p w14:paraId="3E1D9EB2" w14:textId="10E39281" w:rsidR="00276BF8" w:rsidRDefault="00276BF8">
      <w:pPr>
        <w:pStyle w:val="FootnoteText"/>
      </w:pPr>
      <w:r>
        <w:rPr>
          <w:rStyle w:val="FootnoteReference"/>
        </w:rPr>
        <w:footnoteRef/>
      </w:r>
      <w:r>
        <w:t xml:space="preserve"> SCE-0</w:t>
      </w:r>
      <w:r w:rsidR="00740537">
        <w:t>5</w:t>
      </w:r>
      <w:r w:rsidR="00E95C01">
        <w:t>A</w:t>
      </w:r>
      <w:r>
        <w:t xml:space="preserve"> at 1</w:t>
      </w:r>
      <w:r w:rsidR="00740537">
        <w:t>2</w:t>
      </w:r>
      <w:r w:rsidR="00E95C01">
        <w:t>6</w:t>
      </w:r>
      <w:r>
        <w:t>.</w:t>
      </w:r>
    </w:p>
  </w:footnote>
  <w:footnote w:id="295">
    <w:p w14:paraId="2D4FBD9F" w14:textId="2E04A029" w:rsidR="00544A2E" w:rsidRDefault="00544A2E" w:rsidP="00544A2E">
      <w:pPr>
        <w:pStyle w:val="FootnoteText"/>
      </w:pPr>
      <w:r>
        <w:rPr>
          <w:rStyle w:val="FootnoteReference"/>
        </w:rPr>
        <w:footnoteRef/>
      </w:r>
      <w:r>
        <w:t xml:space="preserve"> SCE-0</w:t>
      </w:r>
      <w:r w:rsidR="006804F6">
        <w:t>5</w:t>
      </w:r>
      <w:r w:rsidR="00E95C01">
        <w:t>A</w:t>
      </w:r>
      <w:r>
        <w:t xml:space="preserve"> at Table VIII-3</w:t>
      </w:r>
      <w:r w:rsidR="006804F6">
        <w:t>5</w:t>
      </w:r>
      <w:r>
        <w:t>, n.1.</w:t>
      </w:r>
    </w:p>
  </w:footnote>
  <w:footnote w:id="296">
    <w:p w14:paraId="14C4B52A" w14:textId="02CA2B34" w:rsidR="004332E6" w:rsidRDefault="004332E6" w:rsidP="004332E6">
      <w:pPr>
        <w:pStyle w:val="FootnoteText"/>
      </w:pPr>
      <w:r>
        <w:rPr>
          <w:rStyle w:val="FootnoteReference"/>
        </w:rPr>
        <w:footnoteRef/>
      </w:r>
      <w:r>
        <w:t xml:space="preserve"> SCE-0</w:t>
      </w:r>
      <w:r w:rsidR="00740537">
        <w:t>5</w:t>
      </w:r>
      <w:r w:rsidR="00E95C01">
        <w:t>A</w:t>
      </w:r>
      <w:r>
        <w:t xml:space="preserve"> at 1</w:t>
      </w:r>
      <w:r w:rsidR="00740537">
        <w:t>2</w:t>
      </w:r>
      <w:r w:rsidR="00EC39AF">
        <w:t>7</w:t>
      </w:r>
      <w:r>
        <w:t>.</w:t>
      </w:r>
    </w:p>
  </w:footnote>
  <w:footnote w:id="297">
    <w:p w14:paraId="5966CB7F" w14:textId="5BEEE671" w:rsidR="004332E6" w:rsidRDefault="004332E6" w:rsidP="004332E6">
      <w:pPr>
        <w:pStyle w:val="FootnoteText"/>
      </w:pPr>
      <w:r>
        <w:rPr>
          <w:rStyle w:val="FootnoteReference"/>
        </w:rPr>
        <w:footnoteRef/>
      </w:r>
      <w:r>
        <w:t xml:space="preserve"> SCE-0</w:t>
      </w:r>
      <w:r w:rsidR="00E91CAD">
        <w:t>5</w:t>
      </w:r>
      <w:r w:rsidR="00E95C01">
        <w:t>A</w:t>
      </w:r>
      <w:r>
        <w:t xml:space="preserve"> at Table II-</w:t>
      </w:r>
      <w:r w:rsidR="00E91CAD">
        <w:t>3</w:t>
      </w:r>
      <w:r w:rsidR="00F24DCC">
        <w:t>.</w:t>
      </w:r>
    </w:p>
  </w:footnote>
  <w:footnote w:id="298">
    <w:p w14:paraId="3D81D451" w14:textId="05212801" w:rsidR="004332E6" w:rsidRDefault="004332E6" w:rsidP="004332E6">
      <w:pPr>
        <w:pStyle w:val="FootnoteText"/>
      </w:pPr>
      <w:r>
        <w:rPr>
          <w:rStyle w:val="FootnoteReference"/>
        </w:rPr>
        <w:footnoteRef/>
      </w:r>
      <w:r>
        <w:t xml:space="preserve"> D.24-12-039 at 52</w:t>
      </w:r>
      <w:r w:rsidR="00884051">
        <w:t>.</w:t>
      </w:r>
    </w:p>
  </w:footnote>
  <w:footnote w:id="299">
    <w:p w14:paraId="67B3B35A" w14:textId="2B1755D1" w:rsidR="000A07AF" w:rsidRDefault="000A07AF">
      <w:pPr>
        <w:pStyle w:val="FootnoteText"/>
      </w:pPr>
      <w:r>
        <w:rPr>
          <w:rStyle w:val="FootnoteReference"/>
        </w:rPr>
        <w:footnoteRef/>
      </w:r>
      <w:r>
        <w:t xml:space="preserve"> The CTC, PCIA, and Wildfire Mitigation </w:t>
      </w:r>
      <w:r w:rsidR="00BD655B">
        <w:t>Non-</w:t>
      </w:r>
      <w:proofErr w:type="spellStart"/>
      <w:r w:rsidR="00BD655B">
        <w:t>Bypassable</w:t>
      </w:r>
      <w:proofErr w:type="spellEnd"/>
      <w:r w:rsidR="00BD655B">
        <w:t xml:space="preserve"> </w:t>
      </w:r>
      <w:r>
        <w:t>Charge are discussed in Section 8 of this Decision.</w:t>
      </w:r>
    </w:p>
  </w:footnote>
  <w:footnote w:id="300">
    <w:p w14:paraId="22A4C1BB" w14:textId="25FFBCEC" w:rsidR="000A07AF" w:rsidRDefault="000A07AF">
      <w:pPr>
        <w:pStyle w:val="FootnoteText"/>
      </w:pPr>
      <w:r>
        <w:rPr>
          <w:rStyle w:val="FootnoteReference"/>
        </w:rPr>
        <w:footnoteRef/>
      </w:r>
      <w:r>
        <w:t xml:space="preserve"> </w:t>
      </w:r>
      <w:r w:rsidR="002A68CA">
        <w:t>SCE-0</w:t>
      </w:r>
      <w:r w:rsidR="00FA6BDB">
        <w:t>5</w:t>
      </w:r>
      <w:r w:rsidR="00E95C01">
        <w:t>A</w:t>
      </w:r>
      <w:r w:rsidR="002A68CA">
        <w:t xml:space="preserve"> at Table II-</w:t>
      </w:r>
      <w:r w:rsidR="00FA6BDB">
        <w:t>3</w:t>
      </w:r>
      <w:r w:rsidR="00F24DCC">
        <w:t>.</w:t>
      </w:r>
    </w:p>
  </w:footnote>
  <w:footnote w:id="301">
    <w:p w14:paraId="653B6CE3" w14:textId="497A4575" w:rsidR="00D15560" w:rsidRDefault="00D15560">
      <w:pPr>
        <w:pStyle w:val="FootnoteText"/>
      </w:pPr>
      <w:r>
        <w:rPr>
          <w:rStyle w:val="FootnoteReference"/>
        </w:rPr>
        <w:footnoteRef/>
      </w:r>
      <w:r>
        <w:t xml:space="preserve"> </w:t>
      </w:r>
      <w:r w:rsidRPr="00D15560">
        <w:t>D.07-09-044</w:t>
      </w:r>
      <w:r>
        <w:t xml:space="preserve"> established the NSGBA at OP 2.</w:t>
      </w:r>
    </w:p>
  </w:footnote>
  <w:footnote w:id="302">
    <w:p w14:paraId="7E704D42" w14:textId="502AD343" w:rsidR="00FF350F" w:rsidRDefault="00FF350F" w:rsidP="00FF350F">
      <w:pPr>
        <w:pStyle w:val="FootnoteText"/>
      </w:pPr>
      <w:r>
        <w:rPr>
          <w:rStyle w:val="FootnoteReference"/>
        </w:rPr>
        <w:footnoteRef/>
      </w:r>
      <w:r>
        <w:t xml:space="preserve"> </w:t>
      </w:r>
      <w:r w:rsidR="00FA6BDB">
        <w:t>SCE-05</w:t>
      </w:r>
      <w:r w:rsidR="00E95C01">
        <w:t>A</w:t>
      </w:r>
      <w:r w:rsidR="00FA6BDB">
        <w:t xml:space="preserve"> at Table II-3</w:t>
      </w:r>
      <w:r w:rsidR="00F24DCC">
        <w:t>.</w:t>
      </w:r>
    </w:p>
  </w:footnote>
  <w:footnote w:id="303">
    <w:p w14:paraId="62FC90F9" w14:textId="01127B29" w:rsidR="00B917C5" w:rsidRDefault="00B917C5" w:rsidP="00B917C5">
      <w:pPr>
        <w:pStyle w:val="FootnoteText"/>
      </w:pPr>
      <w:r>
        <w:rPr>
          <w:rStyle w:val="FootnoteReference"/>
        </w:rPr>
        <w:footnoteRef/>
      </w:r>
      <w:r>
        <w:t xml:space="preserve"> SCE lists the contracts and authorizing documents for its CAM-eligible resources in SCE-0</w:t>
      </w:r>
      <w:r w:rsidR="00FA6BDB">
        <w:t>5</w:t>
      </w:r>
      <w:r w:rsidR="00E95C01">
        <w:t>A</w:t>
      </w:r>
      <w:r>
        <w:t xml:space="preserve"> at Table VI</w:t>
      </w:r>
      <w:r w:rsidR="009C29B0">
        <w:t>I</w:t>
      </w:r>
      <w:r>
        <w:t>I-3</w:t>
      </w:r>
      <w:r w:rsidR="00FA6BDB">
        <w:t>9</w:t>
      </w:r>
      <w:r w:rsidR="00F24DCC">
        <w:t xml:space="preserve">. </w:t>
      </w:r>
      <w:r w:rsidR="009C29B0" w:rsidRPr="00FA6BDB">
        <w:rPr>
          <w:i/>
          <w:iCs/>
        </w:rPr>
        <w:t>See also</w:t>
      </w:r>
      <w:r w:rsidR="009C29B0" w:rsidRPr="00FA6BDB">
        <w:t xml:space="preserve"> Section 5.2.6</w:t>
      </w:r>
      <w:r w:rsidR="00037419" w:rsidRPr="00FA6BDB">
        <w:t>.</w:t>
      </w:r>
    </w:p>
  </w:footnote>
  <w:footnote w:id="304">
    <w:p w14:paraId="6F4CEB0A" w14:textId="19E7E615" w:rsidR="00444595" w:rsidRPr="009A4A36" w:rsidRDefault="00444595">
      <w:pPr>
        <w:pStyle w:val="FootnoteText"/>
      </w:pPr>
      <w:r>
        <w:rPr>
          <w:rStyle w:val="FootnoteReference"/>
        </w:rPr>
        <w:footnoteRef/>
      </w:r>
      <w:r>
        <w:t xml:space="preserve"> SCE-0</w:t>
      </w:r>
      <w:r w:rsidR="00FA6BDB">
        <w:t>5</w:t>
      </w:r>
      <w:r w:rsidR="00E95C01">
        <w:t>A</w:t>
      </w:r>
      <w:r>
        <w:t xml:space="preserve"> at 1</w:t>
      </w:r>
      <w:r w:rsidR="00FA6BDB">
        <w:t>3</w:t>
      </w:r>
      <w:r w:rsidR="00E95C01">
        <w:t>3</w:t>
      </w:r>
      <w:r w:rsidR="00FA6BDB">
        <w:t xml:space="preserve"> and n.1</w:t>
      </w:r>
      <w:r w:rsidR="00E95C01">
        <w:t>51</w:t>
      </w:r>
      <w:r w:rsidR="008500F6">
        <w:t>.</w:t>
      </w:r>
      <w:r>
        <w:t xml:space="preserve"> </w:t>
      </w:r>
      <w:r w:rsidR="008500F6" w:rsidRPr="008500F6">
        <w:rPr>
          <w:i/>
          <w:iCs/>
        </w:rPr>
        <w:t>S</w:t>
      </w:r>
      <w:r w:rsidRPr="008500F6">
        <w:rPr>
          <w:i/>
          <w:iCs/>
        </w:rPr>
        <w:t>ee also</w:t>
      </w:r>
      <w:r>
        <w:t xml:space="preserve"> </w:t>
      </w:r>
      <w:r w:rsidRPr="009A4A36">
        <w:t>Section 5.2.7.</w:t>
      </w:r>
    </w:p>
  </w:footnote>
  <w:footnote w:id="305">
    <w:p w14:paraId="7044E61C" w14:textId="27B834E7" w:rsidR="00D03544" w:rsidRPr="009A4A36" w:rsidRDefault="00D03544">
      <w:pPr>
        <w:pStyle w:val="FootnoteText"/>
      </w:pPr>
      <w:r w:rsidRPr="009A4A36">
        <w:rPr>
          <w:rStyle w:val="FootnoteReference"/>
        </w:rPr>
        <w:footnoteRef/>
      </w:r>
      <w:r w:rsidRPr="009A4A36">
        <w:t xml:space="preserve"> SCE-0</w:t>
      </w:r>
      <w:r w:rsidR="00FA6BDB" w:rsidRPr="009A4A36">
        <w:t>5</w:t>
      </w:r>
      <w:r w:rsidR="00E95C01">
        <w:t>A</w:t>
      </w:r>
      <w:r w:rsidRPr="009A4A36">
        <w:t xml:space="preserve"> at 1</w:t>
      </w:r>
      <w:r w:rsidR="00FA6BDB" w:rsidRPr="009A4A36">
        <w:t>2</w:t>
      </w:r>
      <w:r w:rsidR="00E95C01">
        <w:t>9</w:t>
      </w:r>
      <w:r w:rsidRPr="009A4A36">
        <w:t>.</w:t>
      </w:r>
    </w:p>
  </w:footnote>
  <w:footnote w:id="306">
    <w:p w14:paraId="2FB734C6" w14:textId="5001D0CA" w:rsidR="00D03544" w:rsidRPr="009A4A36" w:rsidRDefault="00D03544">
      <w:pPr>
        <w:pStyle w:val="FootnoteText"/>
      </w:pPr>
      <w:r w:rsidRPr="009A4A36">
        <w:rPr>
          <w:rStyle w:val="FootnoteReference"/>
        </w:rPr>
        <w:footnoteRef/>
      </w:r>
      <w:r w:rsidRPr="009A4A36">
        <w:t xml:space="preserve"> SCE-0</w:t>
      </w:r>
      <w:r w:rsidR="009A4A36" w:rsidRPr="009A4A36">
        <w:t>5</w:t>
      </w:r>
      <w:r w:rsidR="00E95C01">
        <w:t>A</w:t>
      </w:r>
      <w:r w:rsidRPr="009A4A36">
        <w:t xml:space="preserve"> at 1</w:t>
      </w:r>
      <w:r w:rsidR="00E95C01">
        <w:t>31</w:t>
      </w:r>
      <w:r w:rsidRPr="009A4A36">
        <w:t>.</w:t>
      </w:r>
    </w:p>
  </w:footnote>
  <w:footnote w:id="307">
    <w:p w14:paraId="7BD46DE2" w14:textId="467AA60F" w:rsidR="00FC71F6" w:rsidRPr="009A4A36" w:rsidRDefault="00FC71F6" w:rsidP="00FC71F6">
      <w:pPr>
        <w:pStyle w:val="FootnoteText"/>
      </w:pPr>
      <w:r w:rsidRPr="009A4A36">
        <w:rPr>
          <w:rStyle w:val="FootnoteReference"/>
        </w:rPr>
        <w:footnoteRef/>
      </w:r>
      <w:r w:rsidRPr="009A4A36">
        <w:t xml:space="preserve"> SCE-0</w:t>
      </w:r>
      <w:r w:rsidR="009A4A36" w:rsidRPr="009A4A36">
        <w:t>5</w:t>
      </w:r>
      <w:r w:rsidR="00E95C01">
        <w:t>A</w:t>
      </w:r>
      <w:r w:rsidRPr="009A4A36">
        <w:t xml:space="preserve"> at </w:t>
      </w:r>
      <w:r w:rsidR="00E95C01">
        <w:t>51</w:t>
      </w:r>
      <w:r w:rsidRPr="009A4A36">
        <w:t>.</w:t>
      </w:r>
      <w:r w:rsidR="002A68CA" w:rsidRPr="009A4A36">
        <w:t xml:space="preserve"> </w:t>
      </w:r>
      <w:r w:rsidRPr="009A4A36">
        <w:rPr>
          <w:i/>
          <w:iCs/>
        </w:rPr>
        <w:t>See also</w:t>
      </w:r>
      <w:r w:rsidRPr="009A4A36">
        <w:t xml:space="preserve"> Section 5.</w:t>
      </w:r>
      <w:r w:rsidR="008500F6" w:rsidRPr="009A4A36">
        <w:t>2</w:t>
      </w:r>
      <w:r w:rsidRPr="009A4A36">
        <w:t>.6.2.</w:t>
      </w:r>
    </w:p>
  </w:footnote>
  <w:footnote w:id="308">
    <w:p w14:paraId="4DB78629" w14:textId="51AD16AC" w:rsidR="00247EF1" w:rsidRPr="009A4A36" w:rsidRDefault="00247EF1">
      <w:pPr>
        <w:pStyle w:val="FootnoteText"/>
      </w:pPr>
      <w:r w:rsidRPr="009A4A36">
        <w:rPr>
          <w:rStyle w:val="FootnoteReference"/>
        </w:rPr>
        <w:footnoteRef/>
      </w:r>
      <w:r w:rsidRPr="009A4A36">
        <w:t xml:space="preserve"> SCE-0</w:t>
      </w:r>
      <w:r w:rsidR="009A4A36">
        <w:t>5</w:t>
      </w:r>
      <w:r w:rsidR="0088235A">
        <w:t>A</w:t>
      </w:r>
      <w:r w:rsidRPr="009A4A36">
        <w:t xml:space="preserve"> at 1</w:t>
      </w:r>
      <w:r w:rsidR="009A4A36">
        <w:t>2</w:t>
      </w:r>
      <w:r w:rsidR="0088235A">
        <w:t>8 and 131</w:t>
      </w:r>
      <w:r w:rsidRPr="009A4A36">
        <w:t xml:space="preserve">. </w:t>
      </w:r>
      <w:r w:rsidR="008500F6" w:rsidRPr="009A4A36">
        <w:rPr>
          <w:i/>
          <w:iCs/>
        </w:rPr>
        <w:t>See also</w:t>
      </w:r>
      <w:r w:rsidR="008500F6" w:rsidRPr="009A4A36">
        <w:t xml:space="preserve"> Section 5.2.6.</w:t>
      </w:r>
    </w:p>
  </w:footnote>
  <w:footnote w:id="309">
    <w:p w14:paraId="3B978219" w14:textId="08AC4E0F" w:rsidR="00074E46" w:rsidRDefault="00074E46">
      <w:pPr>
        <w:pStyle w:val="FootnoteText"/>
      </w:pPr>
      <w:r w:rsidRPr="009A4A36">
        <w:rPr>
          <w:rStyle w:val="FootnoteReference"/>
        </w:rPr>
        <w:footnoteRef/>
      </w:r>
      <w:r w:rsidRPr="009A4A36">
        <w:t xml:space="preserve"> </w:t>
      </w:r>
      <w:r w:rsidRPr="009A4A36">
        <w:rPr>
          <w:i/>
          <w:iCs/>
        </w:rPr>
        <w:t>See</w:t>
      </w:r>
      <w:r w:rsidRPr="009A4A36">
        <w:t xml:space="preserve"> SCE-0</w:t>
      </w:r>
      <w:r w:rsidR="009A4A36" w:rsidRPr="009A4A36">
        <w:t>5</w:t>
      </w:r>
      <w:r w:rsidR="0088235A">
        <w:t>A</w:t>
      </w:r>
      <w:r w:rsidRPr="009A4A36">
        <w:t xml:space="preserve"> at </w:t>
      </w:r>
      <w:r w:rsidR="009A4A36" w:rsidRPr="009A4A36">
        <w:t>12</w:t>
      </w:r>
      <w:r w:rsidR="0088235A">
        <w:t>8</w:t>
      </w:r>
      <w:r w:rsidR="009A4A36">
        <w:t>-12</w:t>
      </w:r>
      <w:r w:rsidR="0088235A">
        <w:t>9</w:t>
      </w:r>
      <w:r w:rsidR="009A4A36" w:rsidRPr="009A4A36">
        <w:t xml:space="preserve"> and </w:t>
      </w:r>
      <w:r w:rsidRPr="009A4A36">
        <w:t>n.2</w:t>
      </w:r>
      <w:r w:rsidR="0088235A">
        <w:t>4</w:t>
      </w:r>
      <w:r w:rsidRPr="009A4A36">
        <w:t xml:space="preserve"> and SCE-0</w:t>
      </w:r>
      <w:r w:rsidR="009A4A36" w:rsidRPr="009A4A36">
        <w:t>7</w:t>
      </w:r>
      <w:r w:rsidRPr="009A4A36">
        <w:t>, detailing SCE’s forecast of</w:t>
      </w:r>
      <w:r w:rsidR="00BF7611" w:rsidRPr="009A4A36">
        <w:t xml:space="preserve"> procurement and</w:t>
      </w:r>
      <w:r w:rsidRPr="009A4A36">
        <w:t xml:space="preserve"> administrative costs incurred to serve as a CPE.</w:t>
      </w:r>
      <w:r w:rsidR="008500F6" w:rsidRPr="009A4A36">
        <w:t xml:space="preserve"> </w:t>
      </w:r>
      <w:r w:rsidR="008500F6" w:rsidRPr="009A4A36">
        <w:rPr>
          <w:i/>
          <w:iCs/>
        </w:rPr>
        <w:t>See also</w:t>
      </w:r>
      <w:r w:rsidR="008500F6" w:rsidRPr="009A4A36">
        <w:t xml:space="preserve"> Section 5.2.6.1 of</w:t>
      </w:r>
      <w:r w:rsidR="008500F6">
        <w:t xml:space="preserve"> this Decision. </w:t>
      </w:r>
    </w:p>
  </w:footnote>
  <w:footnote w:id="310">
    <w:p w14:paraId="1B30C21D" w14:textId="08C8C308" w:rsidR="007D3289" w:rsidRDefault="007D3289">
      <w:pPr>
        <w:pStyle w:val="FootnoteText"/>
      </w:pPr>
      <w:r>
        <w:rPr>
          <w:rStyle w:val="FootnoteReference"/>
        </w:rPr>
        <w:footnoteRef/>
      </w:r>
      <w:r>
        <w:t xml:space="preserve"> SCE-0</w:t>
      </w:r>
      <w:r w:rsidR="005348EF">
        <w:t>5</w:t>
      </w:r>
      <w:r w:rsidR="0088235A">
        <w:t>A</w:t>
      </w:r>
      <w:r>
        <w:t xml:space="preserve"> at 1</w:t>
      </w:r>
      <w:r w:rsidR="005348EF">
        <w:t>2</w:t>
      </w:r>
      <w:r w:rsidR="0088235A">
        <w:t>7</w:t>
      </w:r>
      <w:r>
        <w:t>-1</w:t>
      </w:r>
      <w:r w:rsidR="005348EF">
        <w:t>2</w:t>
      </w:r>
      <w:r w:rsidR="0088235A">
        <w:t>8</w:t>
      </w:r>
      <w:r>
        <w:t>.</w:t>
      </w:r>
    </w:p>
  </w:footnote>
  <w:footnote w:id="311">
    <w:p w14:paraId="3550C727" w14:textId="42CC7969" w:rsidR="00FF350F" w:rsidRDefault="00FF350F" w:rsidP="00FF350F">
      <w:pPr>
        <w:pStyle w:val="FootnoteText"/>
      </w:pPr>
      <w:r>
        <w:rPr>
          <w:rStyle w:val="FootnoteReference"/>
        </w:rPr>
        <w:footnoteRef/>
      </w:r>
      <w:r>
        <w:t xml:space="preserve"> </w:t>
      </w:r>
      <w:r w:rsidR="00D03544">
        <w:t>SCE-0</w:t>
      </w:r>
      <w:r w:rsidR="005348EF">
        <w:t>5</w:t>
      </w:r>
      <w:r w:rsidR="0088235A">
        <w:t>A</w:t>
      </w:r>
      <w:r w:rsidR="00D03544">
        <w:t xml:space="preserve"> at Table II-</w:t>
      </w:r>
      <w:r w:rsidR="005348EF">
        <w:t>3</w:t>
      </w:r>
      <w:r w:rsidR="00F24DCC">
        <w:t>.</w:t>
      </w:r>
    </w:p>
  </w:footnote>
  <w:footnote w:id="312">
    <w:p w14:paraId="2E23FCDE" w14:textId="04C71F55" w:rsidR="00AB09BE" w:rsidRDefault="00AB09BE">
      <w:pPr>
        <w:pStyle w:val="FootnoteText"/>
      </w:pPr>
      <w:r>
        <w:rPr>
          <w:rStyle w:val="FootnoteReference"/>
        </w:rPr>
        <w:footnoteRef/>
      </w:r>
      <w:r>
        <w:t xml:space="preserve"> SCE-0</w:t>
      </w:r>
      <w:r w:rsidR="005348EF">
        <w:t>5</w:t>
      </w:r>
      <w:r w:rsidR="0088235A">
        <w:t>A</w:t>
      </w:r>
      <w:r>
        <w:t xml:space="preserve"> at 1</w:t>
      </w:r>
      <w:r w:rsidR="0088235A">
        <w:t>32</w:t>
      </w:r>
      <w:r>
        <w:t>.</w:t>
      </w:r>
    </w:p>
  </w:footnote>
  <w:footnote w:id="313">
    <w:p w14:paraId="10333432" w14:textId="5C24B148" w:rsidR="00190D6B" w:rsidRDefault="00190D6B" w:rsidP="00190D6B">
      <w:pPr>
        <w:pStyle w:val="FootnoteText"/>
      </w:pPr>
      <w:r>
        <w:rPr>
          <w:rStyle w:val="FootnoteReference"/>
        </w:rPr>
        <w:footnoteRef/>
      </w:r>
      <w:r>
        <w:t xml:space="preserve"> </w:t>
      </w:r>
      <w:r w:rsidR="001245D6">
        <w:t>SCE-0</w:t>
      </w:r>
      <w:r w:rsidR="0048458E">
        <w:t>5</w:t>
      </w:r>
      <w:r w:rsidR="00CC754E">
        <w:t>A</w:t>
      </w:r>
      <w:r w:rsidR="001245D6">
        <w:t xml:space="preserve"> at Table II-</w:t>
      </w:r>
      <w:r w:rsidR="0048458E">
        <w:t>3</w:t>
      </w:r>
      <w:r w:rsidR="00F24DCC">
        <w:t>.</w:t>
      </w:r>
    </w:p>
  </w:footnote>
  <w:footnote w:id="314">
    <w:p w14:paraId="6C870528" w14:textId="2D43162D" w:rsidR="00190D6B" w:rsidRDefault="00190D6B">
      <w:pPr>
        <w:pStyle w:val="FootnoteText"/>
      </w:pPr>
      <w:r>
        <w:rPr>
          <w:rStyle w:val="FootnoteReference"/>
        </w:rPr>
        <w:footnoteRef/>
      </w:r>
      <w:r>
        <w:t xml:space="preserve"> </w:t>
      </w:r>
      <w:r w:rsidR="00DE2EBA">
        <w:t>SCE-0</w:t>
      </w:r>
      <w:r w:rsidR="0048458E">
        <w:t>5</w:t>
      </w:r>
      <w:r w:rsidR="00CC754E">
        <w:t>A</w:t>
      </w:r>
      <w:r w:rsidR="00DE2EBA">
        <w:t xml:space="preserve"> at 1</w:t>
      </w:r>
      <w:r w:rsidR="00CC754E">
        <w:t>33.</w:t>
      </w:r>
    </w:p>
  </w:footnote>
  <w:footnote w:id="315">
    <w:p w14:paraId="21F66B7B" w14:textId="16BF85B3" w:rsidR="0048458E" w:rsidRPr="0048458E" w:rsidRDefault="0048458E">
      <w:pPr>
        <w:pStyle w:val="FootnoteText"/>
        <w:rPr>
          <w:b/>
          <w:bCs/>
        </w:rPr>
      </w:pPr>
      <w:r>
        <w:rPr>
          <w:rStyle w:val="FootnoteReference"/>
        </w:rPr>
        <w:footnoteRef/>
      </w:r>
      <w:r>
        <w:t xml:space="preserve"> SCE-05</w:t>
      </w:r>
      <w:r w:rsidR="00CC754E">
        <w:t>A</w:t>
      </w:r>
      <w:r>
        <w:t xml:space="preserve"> at Table II-3</w:t>
      </w:r>
      <w:r w:rsidR="00F24DCC">
        <w:t>.</w:t>
      </w:r>
    </w:p>
  </w:footnote>
  <w:footnote w:id="316">
    <w:p w14:paraId="4984C2BD" w14:textId="64D4B9E8" w:rsidR="0048458E" w:rsidRPr="0048458E" w:rsidRDefault="0048458E">
      <w:pPr>
        <w:pStyle w:val="FootnoteText"/>
        <w:rPr>
          <w:b/>
          <w:bCs/>
        </w:rPr>
      </w:pPr>
      <w:r>
        <w:rPr>
          <w:rStyle w:val="FootnoteReference"/>
        </w:rPr>
        <w:footnoteRef/>
      </w:r>
      <w:r>
        <w:t xml:space="preserve"> SCE-05</w:t>
      </w:r>
      <w:r w:rsidR="005D7E14">
        <w:t>A</w:t>
      </w:r>
      <w:r>
        <w:t xml:space="preserve"> at Table II-3</w:t>
      </w:r>
      <w:r w:rsidR="005D7E14">
        <w:t>.</w:t>
      </w:r>
    </w:p>
  </w:footnote>
  <w:footnote w:id="317">
    <w:p w14:paraId="01DB3952" w14:textId="5FDE77F4" w:rsidR="00F04023" w:rsidRDefault="00F04023">
      <w:pPr>
        <w:pStyle w:val="FootnoteText"/>
      </w:pPr>
      <w:r>
        <w:rPr>
          <w:rStyle w:val="FootnoteReference"/>
        </w:rPr>
        <w:footnoteRef/>
      </w:r>
      <w:r>
        <w:t xml:space="preserve"> SCE-01 at 61-62.</w:t>
      </w:r>
    </w:p>
  </w:footnote>
  <w:footnote w:id="318">
    <w:p w14:paraId="71740BD2" w14:textId="40EECBF3" w:rsidR="00F04023" w:rsidRDefault="00F04023">
      <w:pPr>
        <w:pStyle w:val="FootnoteText"/>
      </w:pPr>
      <w:r>
        <w:rPr>
          <w:rStyle w:val="FootnoteReference"/>
        </w:rPr>
        <w:footnoteRef/>
      </w:r>
      <w:r>
        <w:t xml:space="preserve"> SCE-05</w:t>
      </w:r>
      <w:r w:rsidR="004C0322">
        <w:t>A</w:t>
      </w:r>
      <w:r>
        <w:t xml:space="preserve"> at </w:t>
      </w:r>
      <w:r w:rsidR="004C0322">
        <w:t>71-72</w:t>
      </w:r>
      <w:r>
        <w:t>.</w:t>
      </w:r>
    </w:p>
  </w:footnote>
  <w:footnote w:id="319">
    <w:p w14:paraId="076AA7B3" w14:textId="0F8D0C30" w:rsidR="005D7E14" w:rsidRDefault="005D7E14">
      <w:pPr>
        <w:pStyle w:val="FootnoteText"/>
      </w:pPr>
      <w:r>
        <w:rPr>
          <w:rStyle w:val="FootnoteReference"/>
        </w:rPr>
        <w:footnoteRef/>
      </w:r>
      <w:r>
        <w:t xml:space="preserve"> D.24-08-001, </w:t>
      </w:r>
      <w:r w:rsidRPr="005D7E14">
        <w:rPr>
          <w:i/>
          <w:iCs/>
        </w:rPr>
        <w:t>Decision Approving the 2021 Nuclear Decommissioning Cost Triennial Proceeding Costs of Southern California Edison Company and San Diego Gas &amp; Electric Company</w:t>
      </w:r>
      <w:r>
        <w:t xml:space="preserve"> at OP 3.</w:t>
      </w:r>
    </w:p>
  </w:footnote>
  <w:footnote w:id="320">
    <w:p w14:paraId="6C4EB748" w14:textId="27C97DF1" w:rsidR="00E91CAD" w:rsidRDefault="00AA303F">
      <w:pPr>
        <w:pStyle w:val="FootnoteText"/>
      </w:pPr>
      <w:r>
        <w:rPr>
          <w:rStyle w:val="FootnoteReference"/>
        </w:rPr>
        <w:footnoteRef/>
      </w:r>
      <w:r>
        <w:t xml:space="preserve"> </w:t>
      </w:r>
      <w:bookmarkStart w:id="178" w:name="_Hlk211175600"/>
      <w:r w:rsidR="00E63555">
        <w:t xml:space="preserve">SCE-05A at Table II-3. </w:t>
      </w:r>
      <w:r>
        <w:t>For the purposes of its 2026 ERRA Forecast requests, SCE records the forecasts of the following costs or credits in the BRRBA-D:</w:t>
      </w:r>
      <w:r w:rsidR="002A68CA">
        <w:t xml:space="preserve"> </w:t>
      </w:r>
    </w:p>
    <w:p w14:paraId="295EDADC" w14:textId="6E1F0BDB" w:rsidR="00E91CAD" w:rsidRDefault="009431E2" w:rsidP="00C44216">
      <w:pPr>
        <w:pStyle w:val="FootnoteText"/>
        <w:numPr>
          <w:ilvl w:val="0"/>
          <w:numId w:val="23"/>
        </w:numPr>
        <w:ind w:right="1440"/>
      </w:pPr>
      <w:r>
        <w:t xml:space="preserve">costs of and </w:t>
      </w:r>
      <w:r w:rsidR="00AA303F">
        <w:t>credits equaling the energy benefits of SCE’s U</w:t>
      </w:r>
      <w:r w:rsidR="00AA303F" w:rsidRPr="00E91CAD">
        <w:t>OS Anode and Cathode (SCE-0</w:t>
      </w:r>
      <w:r w:rsidR="003A168E" w:rsidRPr="00E91CAD">
        <w:t>5</w:t>
      </w:r>
      <w:r w:rsidR="004C0322">
        <w:t>A</w:t>
      </w:r>
      <w:r w:rsidR="00AA303F" w:rsidRPr="00E91CAD">
        <w:t xml:space="preserve"> at </w:t>
      </w:r>
      <w:r w:rsidR="004C0322">
        <w:t>80</w:t>
      </w:r>
      <w:proofErr w:type="gramStart"/>
      <w:r w:rsidR="00AA303F" w:rsidRPr="00E91CAD">
        <w:t>);</w:t>
      </w:r>
      <w:proofErr w:type="gramEnd"/>
      <w:r w:rsidR="00AA303F" w:rsidRPr="00E91CAD">
        <w:t xml:space="preserve"> </w:t>
      </w:r>
    </w:p>
    <w:p w14:paraId="7160DA4F" w14:textId="238B88AF" w:rsidR="00E91CAD" w:rsidRDefault="0090005C" w:rsidP="00C44216">
      <w:pPr>
        <w:pStyle w:val="FootnoteText"/>
        <w:numPr>
          <w:ilvl w:val="0"/>
          <w:numId w:val="23"/>
        </w:numPr>
        <w:ind w:right="1440"/>
      </w:pPr>
      <w:r w:rsidRPr="00E91CAD">
        <w:t>administrative payment fees to the CARB, calculated to recover the costs of the State’s implementation of AB 32 (SCE-0</w:t>
      </w:r>
      <w:r w:rsidR="003A168E" w:rsidRPr="00E91CAD">
        <w:t>5</w:t>
      </w:r>
      <w:r w:rsidR="004C0322">
        <w:t>A</w:t>
      </w:r>
      <w:r w:rsidRPr="00E91CAD">
        <w:t xml:space="preserve"> at n.1</w:t>
      </w:r>
      <w:r w:rsidR="00396D76">
        <w:t>32</w:t>
      </w:r>
      <w:proofErr w:type="gramStart"/>
      <w:r w:rsidR="00BA7C16" w:rsidRPr="00E91CAD">
        <w:t>)</w:t>
      </w:r>
      <w:r w:rsidR="00F749D7" w:rsidRPr="00E91CAD">
        <w:t>;</w:t>
      </w:r>
      <w:proofErr w:type="gramEnd"/>
      <w:r w:rsidR="00F749D7" w:rsidRPr="00E91CAD">
        <w:t xml:space="preserve"> </w:t>
      </w:r>
    </w:p>
    <w:p w14:paraId="4CEB2F34" w14:textId="567C5E8A" w:rsidR="00E91CAD" w:rsidRDefault="00DF584A" w:rsidP="00C44216">
      <w:pPr>
        <w:pStyle w:val="FootnoteText"/>
        <w:numPr>
          <w:ilvl w:val="0"/>
          <w:numId w:val="23"/>
        </w:numPr>
        <w:ind w:right="1440"/>
      </w:pPr>
      <w:r w:rsidRPr="00E91CAD">
        <w:t xml:space="preserve">Energy Imbalance Market Body of State Regulator (EIM BOSR) costs </w:t>
      </w:r>
      <w:r w:rsidR="005D0142" w:rsidRPr="00E91CAD">
        <w:t xml:space="preserve">and DRAM costs </w:t>
      </w:r>
      <w:r w:rsidRPr="00E91CAD">
        <w:t>(SCE-0</w:t>
      </w:r>
      <w:r w:rsidR="003A168E" w:rsidRPr="00E91CAD">
        <w:t>5</w:t>
      </w:r>
      <w:r w:rsidR="00396D76">
        <w:t>A</w:t>
      </w:r>
      <w:r w:rsidR="00476EED" w:rsidRPr="00E91CAD">
        <w:t xml:space="preserve">, </w:t>
      </w:r>
      <w:r w:rsidRPr="00E91CAD">
        <w:t>Table VIII-3</w:t>
      </w:r>
      <w:r w:rsidR="003A168E" w:rsidRPr="00E91CAD">
        <w:t>6</w:t>
      </w:r>
      <w:r w:rsidR="00396D76">
        <w:t xml:space="preserve"> </w:t>
      </w:r>
      <w:r w:rsidRPr="00E91CAD">
        <w:t xml:space="preserve">at </w:t>
      </w:r>
      <w:r w:rsidR="005D0142" w:rsidRPr="00E91CAD">
        <w:t xml:space="preserve">n.3 and </w:t>
      </w:r>
      <w:r w:rsidRPr="00E91CAD">
        <w:t>n.6</w:t>
      </w:r>
      <w:proofErr w:type="gramStart"/>
      <w:r w:rsidRPr="00E91CAD">
        <w:t>)</w:t>
      </w:r>
      <w:r w:rsidR="00476EED" w:rsidRPr="00E91CAD">
        <w:t>;</w:t>
      </w:r>
      <w:proofErr w:type="gramEnd"/>
      <w:r w:rsidR="00476EED" w:rsidRPr="00E91CAD">
        <w:t xml:space="preserve"> </w:t>
      </w:r>
    </w:p>
    <w:p w14:paraId="17C0451A" w14:textId="78FDA238" w:rsidR="00E91CAD" w:rsidRPr="007F3AF4" w:rsidRDefault="00CE2E44" w:rsidP="00C44216">
      <w:pPr>
        <w:pStyle w:val="FootnoteText"/>
        <w:numPr>
          <w:ilvl w:val="0"/>
          <w:numId w:val="23"/>
        </w:numPr>
        <w:ind w:right="1440"/>
      </w:pPr>
      <w:r w:rsidRPr="007F3AF4">
        <w:t xml:space="preserve">the </w:t>
      </w:r>
      <w:r w:rsidR="00C249C5" w:rsidRPr="007F3AF4">
        <w:t xml:space="preserve">net impacts of </w:t>
      </w:r>
      <w:r w:rsidR="00E63555" w:rsidRPr="007F3AF4">
        <w:t xml:space="preserve">SCE’s </w:t>
      </w:r>
      <w:r w:rsidR="00C249C5" w:rsidRPr="007F3AF4">
        <w:t xml:space="preserve">DR </w:t>
      </w:r>
      <w:r w:rsidR="00E63555" w:rsidRPr="007F3AF4">
        <w:t xml:space="preserve">and PRP </w:t>
      </w:r>
      <w:r w:rsidR="00C249C5" w:rsidRPr="007F3AF4">
        <w:t xml:space="preserve">programs </w:t>
      </w:r>
      <w:r w:rsidRPr="007F3AF4">
        <w:t>(</w:t>
      </w:r>
      <w:r w:rsidR="00727D90" w:rsidRPr="007F3AF4">
        <w:rPr>
          <w:i/>
          <w:iCs/>
        </w:rPr>
        <w:t>see</w:t>
      </w:r>
      <w:r w:rsidR="00727D90" w:rsidRPr="007F3AF4">
        <w:t xml:space="preserve"> SCE-05</w:t>
      </w:r>
      <w:r w:rsidR="00396D76" w:rsidRPr="007F3AF4">
        <w:t>A</w:t>
      </w:r>
      <w:r w:rsidR="00727D90" w:rsidRPr="007F3AF4">
        <w:t xml:space="preserve"> at </w:t>
      </w:r>
      <w:r w:rsidR="00C249C5" w:rsidRPr="007F3AF4">
        <w:t>7</w:t>
      </w:r>
      <w:r w:rsidR="00474453" w:rsidRPr="007F3AF4">
        <w:t>8</w:t>
      </w:r>
      <w:r w:rsidR="00E63555" w:rsidRPr="007F3AF4">
        <w:t xml:space="preserve"> and Table VIII-36, n.3</w:t>
      </w:r>
      <w:r w:rsidR="00C249C5" w:rsidRPr="007F3AF4">
        <w:t>)</w:t>
      </w:r>
      <w:r w:rsidR="00735ED6" w:rsidRPr="007F3AF4">
        <w:t xml:space="preserve">, and </w:t>
      </w:r>
    </w:p>
    <w:p w14:paraId="38996481" w14:textId="400E3B68" w:rsidR="00AA303F" w:rsidRDefault="00476EED" w:rsidP="00C44216">
      <w:pPr>
        <w:pStyle w:val="FootnoteText"/>
        <w:numPr>
          <w:ilvl w:val="0"/>
          <w:numId w:val="23"/>
        </w:numPr>
        <w:ind w:right="1440"/>
      </w:pPr>
      <w:r w:rsidRPr="00E91CAD">
        <w:t>transfer amounts from the Distribution sub-account of the Local Capacity Requirements Products Balancing Account (SCE-0</w:t>
      </w:r>
      <w:r w:rsidR="004260F5" w:rsidRPr="00E91CAD">
        <w:t>5</w:t>
      </w:r>
      <w:r w:rsidR="00E63555">
        <w:t>A</w:t>
      </w:r>
      <w:r w:rsidRPr="00E91CAD">
        <w:t xml:space="preserve"> at Table VIII</w:t>
      </w:r>
      <w:r w:rsidR="00735ED6" w:rsidRPr="00E91CAD">
        <w:t>-3</w:t>
      </w:r>
      <w:r w:rsidR="004260F5" w:rsidRPr="00E91CAD">
        <w:t>6</w:t>
      </w:r>
      <w:r w:rsidR="00735ED6" w:rsidRPr="00E91CAD">
        <w:t>, n.3).</w:t>
      </w:r>
      <w:r>
        <w:t xml:space="preserve"> </w:t>
      </w:r>
    </w:p>
    <w:bookmarkEnd w:id="178"/>
  </w:footnote>
  <w:footnote w:id="321">
    <w:p w14:paraId="1849324A" w14:textId="485931D9" w:rsidR="00FF350F" w:rsidRPr="001920F4" w:rsidRDefault="00FF350F" w:rsidP="00FF350F">
      <w:pPr>
        <w:pStyle w:val="FootnoteText"/>
      </w:pPr>
      <w:r w:rsidRPr="001920F4">
        <w:rPr>
          <w:rStyle w:val="FootnoteReference"/>
        </w:rPr>
        <w:footnoteRef/>
      </w:r>
      <w:r w:rsidRPr="001920F4">
        <w:t xml:space="preserve"> SCE-0</w:t>
      </w:r>
      <w:r w:rsidR="002B2044" w:rsidRPr="001920F4">
        <w:t>5</w:t>
      </w:r>
      <w:r w:rsidR="004C0322">
        <w:t>A</w:t>
      </w:r>
      <w:r w:rsidR="00CE2E44" w:rsidRPr="001920F4">
        <w:t xml:space="preserve"> at</w:t>
      </w:r>
      <w:r w:rsidR="00476EED" w:rsidRPr="001920F4">
        <w:t xml:space="preserve"> </w:t>
      </w:r>
      <w:r w:rsidR="007A037D" w:rsidRPr="001920F4">
        <w:t>Table II-</w:t>
      </w:r>
      <w:r w:rsidR="002B2044" w:rsidRPr="001920F4">
        <w:t>3</w:t>
      </w:r>
      <w:r w:rsidR="007A037D" w:rsidRPr="001920F4">
        <w:t>, ln. 23.</w:t>
      </w:r>
    </w:p>
  </w:footnote>
  <w:footnote w:id="322">
    <w:p w14:paraId="04AD5D6B" w14:textId="547356CE" w:rsidR="00367F93" w:rsidRPr="001920F4" w:rsidRDefault="00367F93" w:rsidP="00E62657">
      <w:pPr>
        <w:pStyle w:val="FootnoteText"/>
      </w:pPr>
      <w:r w:rsidRPr="001920F4">
        <w:rPr>
          <w:rStyle w:val="FootnoteReference"/>
        </w:rPr>
        <w:footnoteRef/>
      </w:r>
      <w:r w:rsidRPr="001920F4">
        <w:t xml:space="preserve"> </w:t>
      </w:r>
      <w:r w:rsidR="00E62657" w:rsidRPr="001920F4">
        <w:rPr>
          <w:i/>
          <w:iCs/>
        </w:rPr>
        <w:t>See</w:t>
      </w:r>
      <w:r w:rsidR="00E62657" w:rsidRPr="001920F4">
        <w:t xml:space="preserve"> SCE-0</w:t>
      </w:r>
      <w:r w:rsidR="002B2044" w:rsidRPr="001920F4">
        <w:t>5</w:t>
      </w:r>
      <w:r w:rsidR="007A01FD">
        <w:t>A</w:t>
      </w:r>
      <w:r w:rsidR="00E62657" w:rsidRPr="001920F4">
        <w:t xml:space="preserve"> at Table II-</w:t>
      </w:r>
      <w:r w:rsidR="002B2044" w:rsidRPr="001920F4">
        <w:t>3</w:t>
      </w:r>
      <w:r w:rsidR="00F24DCC">
        <w:t xml:space="preserve"> </w:t>
      </w:r>
      <w:r w:rsidR="00E62657" w:rsidRPr="001920F4">
        <w:t>and Table VII-3</w:t>
      </w:r>
      <w:r w:rsidR="002B2044" w:rsidRPr="001920F4">
        <w:t>4</w:t>
      </w:r>
      <w:r w:rsidR="00F24DCC">
        <w:t>.</w:t>
      </w:r>
    </w:p>
  </w:footnote>
  <w:footnote w:id="323">
    <w:p w14:paraId="69B25177" w14:textId="353885D7" w:rsidR="007A01FD" w:rsidRDefault="007A01FD">
      <w:pPr>
        <w:pStyle w:val="FootnoteText"/>
      </w:pPr>
      <w:r>
        <w:rPr>
          <w:rStyle w:val="FootnoteReference"/>
        </w:rPr>
        <w:footnoteRef/>
      </w:r>
      <w:r>
        <w:t xml:space="preserve"> SCE-01 at Table II-2.</w:t>
      </w:r>
    </w:p>
  </w:footnote>
  <w:footnote w:id="324">
    <w:p w14:paraId="3E5190AE" w14:textId="7D73C115" w:rsidR="005D0142" w:rsidRPr="001920F4" w:rsidRDefault="005D0142">
      <w:pPr>
        <w:pStyle w:val="FootnoteText"/>
      </w:pPr>
      <w:r w:rsidRPr="001920F4">
        <w:rPr>
          <w:rStyle w:val="FootnoteReference"/>
        </w:rPr>
        <w:footnoteRef/>
      </w:r>
      <w:r w:rsidRPr="001920F4">
        <w:t xml:space="preserve"> SCE-05</w:t>
      </w:r>
      <w:r w:rsidR="007A01FD">
        <w:t>A</w:t>
      </w:r>
      <w:r w:rsidRPr="001920F4">
        <w:t xml:space="preserve"> at n.6</w:t>
      </w:r>
      <w:r w:rsidR="007A01FD">
        <w:t>6</w:t>
      </w:r>
      <w:r w:rsidRPr="001920F4">
        <w:t>.</w:t>
      </w:r>
      <w:r w:rsidR="00805267" w:rsidRPr="001920F4">
        <w:t xml:space="preserve"> </w:t>
      </w:r>
    </w:p>
  </w:footnote>
  <w:footnote w:id="325">
    <w:p w14:paraId="45C5577F" w14:textId="2AE69969" w:rsidR="004C186A" w:rsidRPr="001920F4" w:rsidRDefault="004C186A">
      <w:pPr>
        <w:pStyle w:val="FootnoteText"/>
      </w:pPr>
      <w:r w:rsidRPr="001920F4">
        <w:rPr>
          <w:rStyle w:val="FootnoteReference"/>
        </w:rPr>
        <w:footnoteRef/>
      </w:r>
      <w:r w:rsidRPr="001920F4">
        <w:t xml:space="preserve"> </w:t>
      </w:r>
      <w:r w:rsidR="00037419" w:rsidRPr="001920F4">
        <w:t>SCE-0</w:t>
      </w:r>
      <w:r w:rsidR="002B2044" w:rsidRPr="001920F4">
        <w:t>5</w:t>
      </w:r>
      <w:r w:rsidR="007A01FD">
        <w:t>A</w:t>
      </w:r>
      <w:r w:rsidR="00037419" w:rsidRPr="001920F4">
        <w:t xml:space="preserve"> at Table II-</w:t>
      </w:r>
      <w:r w:rsidR="002B2044" w:rsidRPr="001920F4">
        <w:t>3</w:t>
      </w:r>
      <w:r w:rsidR="00037419" w:rsidRPr="001920F4">
        <w:t xml:space="preserve">, </w:t>
      </w:r>
      <w:proofErr w:type="spellStart"/>
      <w:r w:rsidRPr="001920F4">
        <w:t>lns</w:t>
      </w:r>
      <w:proofErr w:type="spellEnd"/>
      <w:r w:rsidRPr="001920F4">
        <w:t>. 26-30</w:t>
      </w:r>
      <w:r w:rsidR="002B2044" w:rsidRPr="001920F4">
        <w:t xml:space="preserve"> and n.2</w:t>
      </w:r>
      <w:r w:rsidRPr="001920F4">
        <w:t>.</w:t>
      </w:r>
    </w:p>
  </w:footnote>
  <w:footnote w:id="326">
    <w:p w14:paraId="12A13A10" w14:textId="4665865A" w:rsidR="00C63E1F" w:rsidRPr="001920F4" w:rsidRDefault="00C63E1F" w:rsidP="00C63E1F">
      <w:pPr>
        <w:pStyle w:val="FootnoteText"/>
      </w:pPr>
      <w:r w:rsidRPr="001920F4">
        <w:rPr>
          <w:rStyle w:val="FootnoteReference"/>
        </w:rPr>
        <w:footnoteRef/>
      </w:r>
      <w:r w:rsidRPr="001920F4">
        <w:t xml:space="preserve"> SCE-0</w:t>
      </w:r>
      <w:r w:rsidR="005D4793" w:rsidRPr="001920F4">
        <w:t>5</w:t>
      </w:r>
      <w:r w:rsidR="007A01FD">
        <w:t>A</w:t>
      </w:r>
      <w:r w:rsidRPr="001920F4">
        <w:t xml:space="preserve"> at 1</w:t>
      </w:r>
      <w:r w:rsidR="005D4793" w:rsidRPr="001920F4">
        <w:t>3</w:t>
      </w:r>
      <w:r w:rsidR="007A01FD">
        <w:t>5</w:t>
      </w:r>
      <w:r w:rsidRPr="001920F4">
        <w:t>; SCE notes that only actual audit costs will ultimately be recovered via the TMNBC.</w:t>
      </w:r>
      <w:r w:rsidR="00BA7C16" w:rsidRPr="001920F4">
        <w:t xml:space="preserve"> </w:t>
      </w:r>
      <w:r w:rsidR="00BA7C16" w:rsidRPr="001920F4">
        <w:rPr>
          <w:i/>
          <w:iCs/>
        </w:rPr>
        <w:t>See</w:t>
      </w:r>
      <w:r w:rsidR="00BA7C16" w:rsidRPr="001920F4">
        <w:t xml:space="preserve"> Section 5.2.17.</w:t>
      </w:r>
    </w:p>
  </w:footnote>
  <w:footnote w:id="327">
    <w:p w14:paraId="3582EF09" w14:textId="3FDFF39A" w:rsidR="00C63E1F" w:rsidRPr="001920F4" w:rsidRDefault="00C63E1F" w:rsidP="00C63E1F">
      <w:pPr>
        <w:pStyle w:val="FootnoteText"/>
      </w:pPr>
      <w:r w:rsidRPr="001920F4">
        <w:rPr>
          <w:rStyle w:val="FootnoteReference"/>
        </w:rPr>
        <w:footnoteRef/>
      </w:r>
      <w:r w:rsidRPr="001920F4">
        <w:t xml:space="preserve"> </w:t>
      </w:r>
      <w:r w:rsidR="00037419" w:rsidRPr="001920F4">
        <w:t>SCE-0</w:t>
      </w:r>
      <w:r w:rsidR="005D4793" w:rsidRPr="001920F4">
        <w:t>5</w:t>
      </w:r>
      <w:r w:rsidR="007A01FD">
        <w:t>A</w:t>
      </w:r>
      <w:r w:rsidR="00037419" w:rsidRPr="001920F4">
        <w:t xml:space="preserve"> at Table II-</w:t>
      </w:r>
      <w:r w:rsidR="005D4793" w:rsidRPr="001920F4">
        <w:t>3</w:t>
      </w:r>
      <w:r w:rsidR="00037419" w:rsidRPr="001920F4">
        <w:t xml:space="preserve">, ln. </w:t>
      </w:r>
      <w:r w:rsidRPr="001920F4">
        <w:t>28.</w:t>
      </w:r>
    </w:p>
  </w:footnote>
  <w:footnote w:id="328">
    <w:p w14:paraId="43E1E9D3" w14:textId="58A48C73" w:rsidR="00C63E1F" w:rsidRDefault="00C63E1F" w:rsidP="00C63E1F">
      <w:pPr>
        <w:pStyle w:val="FootnoteText"/>
      </w:pPr>
      <w:r w:rsidRPr="001920F4">
        <w:rPr>
          <w:rStyle w:val="FootnoteReference"/>
        </w:rPr>
        <w:footnoteRef/>
      </w:r>
      <w:r w:rsidRPr="001920F4">
        <w:t xml:space="preserve"> SCE-0</w:t>
      </w:r>
      <w:r w:rsidR="005D4793" w:rsidRPr="001920F4">
        <w:t>5</w:t>
      </w:r>
      <w:r w:rsidR="007A01FD">
        <w:t>A</w:t>
      </w:r>
      <w:r w:rsidRPr="001920F4">
        <w:t xml:space="preserve"> at 1</w:t>
      </w:r>
      <w:r w:rsidR="005D4793" w:rsidRPr="001920F4">
        <w:t>3</w:t>
      </w:r>
      <w:r w:rsidR="007A01FD">
        <w:t>7</w:t>
      </w:r>
      <w:r w:rsidRPr="001920F4">
        <w:t>.</w:t>
      </w:r>
      <w:r w:rsidR="00BA7C16" w:rsidRPr="001920F4">
        <w:t xml:space="preserve"> </w:t>
      </w:r>
      <w:r w:rsidR="00BA7C16" w:rsidRPr="001920F4">
        <w:rPr>
          <w:i/>
          <w:iCs/>
        </w:rPr>
        <w:t>See</w:t>
      </w:r>
      <w:r w:rsidR="00BA7C16" w:rsidRPr="001920F4">
        <w:t xml:space="preserve"> Section 5.2.18.</w:t>
      </w:r>
    </w:p>
  </w:footnote>
  <w:footnote w:id="329">
    <w:p w14:paraId="4CD4189F" w14:textId="5F21C13D" w:rsidR="00C63E1F" w:rsidRDefault="00C63E1F" w:rsidP="00C63E1F">
      <w:pPr>
        <w:pStyle w:val="FootnoteText"/>
      </w:pPr>
      <w:r>
        <w:rPr>
          <w:rStyle w:val="FootnoteReference"/>
        </w:rPr>
        <w:footnoteRef/>
      </w:r>
      <w:r>
        <w:t xml:space="preserve"> SCE-0</w:t>
      </w:r>
      <w:r w:rsidR="005D4793">
        <w:t>5</w:t>
      </w:r>
      <w:r w:rsidR="00656EF4">
        <w:t>A</w:t>
      </w:r>
      <w:r>
        <w:t xml:space="preserve"> at 1</w:t>
      </w:r>
      <w:r w:rsidR="005D4793">
        <w:t>3</w:t>
      </w:r>
      <w:r w:rsidR="00656EF4">
        <w:t>8</w:t>
      </w:r>
      <w:r>
        <w:t>.</w:t>
      </w:r>
    </w:p>
  </w:footnote>
  <w:footnote w:id="330">
    <w:p w14:paraId="44542B73" w14:textId="53056069" w:rsidR="004C186A" w:rsidRDefault="004C186A">
      <w:pPr>
        <w:pStyle w:val="FootnoteText"/>
      </w:pPr>
      <w:r>
        <w:rPr>
          <w:rStyle w:val="FootnoteReference"/>
        </w:rPr>
        <w:footnoteRef/>
      </w:r>
      <w:r>
        <w:t xml:space="preserve"> SCE-0</w:t>
      </w:r>
      <w:r w:rsidR="00974E40">
        <w:t>5</w:t>
      </w:r>
      <w:r w:rsidR="00656EF4">
        <w:t>A</w:t>
      </w:r>
      <w:r>
        <w:t xml:space="preserve"> at 1</w:t>
      </w:r>
      <w:r w:rsidR="00974E40">
        <w:t>1</w:t>
      </w:r>
      <w:r w:rsidR="00656EF4">
        <w:t>3</w:t>
      </w:r>
      <w:r>
        <w:t>.</w:t>
      </w:r>
    </w:p>
  </w:footnote>
  <w:footnote w:id="331">
    <w:p w14:paraId="17A2FB15" w14:textId="1E60EB16" w:rsidR="0004181E" w:rsidRDefault="0004181E">
      <w:pPr>
        <w:pStyle w:val="FootnoteText"/>
      </w:pPr>
      <w:r>
        <w:rPr>
          <w:rStyle w:val="FootnoteReference"/>
        </w:rPr>
        <w:footnoteRef/>
      </w:r>
      <w:r>
        <w:t xml:space="preserve"> As noted above, i</w:t>
      </w:r>
      <w:r w:rsidRPr="0004181E">
        <w:t xml:space="preserve">n its testimony, SCE refers to the PCIA and the CTC as </w:t>
      </w:r>
      <w:r>
        <w:t>“</w:t>
      </w:r>
      <w:r w:rsidRPr="0004181E">
        <w:t>the Cost Responsibility Surcharges.</w:t>
      </w:r>
      <w:r>
        <w:t>”</w:t>
      </w:r>
      <w:r w:rsidRPr="0004181E">
        <w:t xml:space="preserve"> Unless otherwise specified and reflecting recent Commission decision terminology, for the purposes of this Decision, we refer to the PCIA and the CTC collectively, as “PCIA Charges” that recover the “PCIA Revenue Requirement</w:t>
      </w:r>
      <w:r>
        <w:t>,</w:t>
      </w:r>
      <w:r w:rsidRPr="0004181E">
        <w:t>”</w:t>
      </w:r>
      <w:r>
        <w:t xml:space="preserve"> pursuant to the “PCIA methodology.”</w:t>
      </w:r>
    </w:p>
  </w:footnote>
  <w:footnote w:id="332">
    <w:p w14:paraId="48A4C9CB" w14:textId="7F142881" w:rsidR="004958B1" w:rsidRDefault="004958B1" w:rsidP="004958B1">
      <w:pPr>
        <w:pStyle w:val="FootnoteText"/>
      </w:pPr>
      <w:r>
        <w:rPr>
          <w:rStyle w:val="FootnoteReference"/>
        </w:rPr>
        <w:footnoteRef/>
      </w:r>
      <w:r>
        <w:t xml:space="preserve"> The remaining 2025 balances for the ERRA BA and the PABA are also addressed in </w:t>
      </w:r>
      <w:r w:rsidR="0007585C" w:rsidRPr="00014950">
        <w:t>Sections 7.1.1 and 7.1.2</w:t>
      </w:r>
      <w:r w:rsidRPr="00014950">
        <w:t>, above</w:t>
      </w:r>
      <w:r>
        <w:t xml:space="preserve">, as components of the proposed </w:t>
      </w:r>
      <w:r w:rsidR="00F906C4">
        <w:t>g</w:t>
      </w:r>
      <w:r>
        <w:t xml:space="preserve">eneration </w:t>
      </w:r>
      <w:r w:rsidR="00F906C4">
        <w:t>s</w:t>
      </w:r>
      <w:r>
        <w:t xml:space="preserve">ervice </w:t>
      </w:r>
      <w:r w:rsidR="00F906C4">
        <w:t>r</w:t>
      </w:r>
      <w:r>
        <w:t xml:space="preserve">evenue </w:t>
      </w:r>
      <w:r w:rsidR="00F906C4">
        <w:t>r</w:t>
      </w:r>
      <w:r>
        <w:t>equirement.</w:t>
      </w:r>
      <w:r w:rsidR="002A68CA">
        <w:t xml:space="preserve"> </w:t>
      </w:r>
      <w:r>
        <w:t xml:space="preserve">However, because these balances are collected via the </w:t>
      </w:r>
      <w:r w:rsidR="0004181E">
        <w:t>PCIA</w:t>
      </w:r>
      <w:r>
        <w:t xml:space="preserve">, they are </w:t>
      </w:r>
      <w:r w:rsidR="0080561D">
        <w:t>discussed</w:t>
      </w:r>
      <w:r>
        <w:t xml:space="preserve"> here to complete the explanation of the final adopted </w:t>
      </w:r>
      <w:r w:rsidR="0004181E">
        <w:t xml:space="preserve">CTC and PCIA </w:t>
      </w:r>
      <w:r>
        <w:t>surcharges.</w:t>
      </w:r>
    </w:p>
  </w:footnote>
  <w:footnote w:id="333">
    <w:p w14:paraId="0F4D929F" w14:textId="0E76795B" w:rsidR="00F906C4" w:rsidRDefault="00F906C4" w:rsidP="00F906C4">
      <w:pPr>
        <w:pStyle w:val="FootnoteText"/>
      </w:pPr>
      <w:r>
        <w:rPr>
          <w:rStyle w:val="FootnoteReference"/>
        </w:rPr>
        <w:footnoteRef/>
      </w:r>
      <w:r>
        <w:t xml:space="preserve"> SCE-0</w:t>
      </w:r>
      <w:r w:rsidR="001920F4">
        <w:t>5</w:t>
      </w:r>
      <w:r w:rsidR="00656EF4">
        <w:t>A</w:t>
      </w:r>
      <w:r>
        <w:t xml:space="preserve"> at 1</w:t>
      </w:r>
      <w:r w:rsidR="001920F4">
        <w:t>5</w:t>
      </w:r>
      <w:r w:rsidR="00656EF4">
        <w:t>8</w:t>
      </w:r>
      <w:r>
        <w:t>.</w:t>
      </w:r>
    </w:p>
  </w:footnote>
  <w:footnote w:id="334">
    <w:p w14:paraId="34DDA318" w14:textId="357F3527" w:rsidR="004942F3" w:rsidRDefault="004942F3">
      <w:pPr>
        <w:pStyle w:val="FootnoteText"/>
      </w:pPr>
      <w:r>
        <w:rPr>
          <w:rStyle w:val="FootnoteReference"/>
        </w:rPr>
        <w:footnoteRef/>
      </w:r>
      <w:r>
        <w:t xml:space="preserve"> </w:t>
      </w:r>
      <w:r w:rsidRPr="004942F3">
        <w:rPr>
          <w:i/>
          <w:iCs/>
        </w:rPr>
        <w:t>See</w:t>
      </w:r>
      <w:r>
        <w:t xml:space="preserve"> Pub. Util Code </w:t>
      </w:r>
      <w:bookmarkStart w:id="185" w:name="_Hlk211237490"/>
      <w:r>
        <w:t>§§366.1, 366.2, 365.28 and 366.39</w:t>
      </w:r>
      <w:bookmarkEnd w:id="185"/>
      <w:r>
        <w:t xml:space="preserve">. </w:t>
      </w:r>
    </w:p>
  </w:footnote>
  <w:footnote w:id="335">
    <w:p w14:paraId="0EF28E81" w14:textId="56BB117C" w:rsidR="00193E3B" w:rsidRDefault="00193E3B">
      <w:pPr>
        <w:pStyle w:val="FootnoteText"/>
      </w:pPr>
      <w:r>
        <w:rPr>
          <w:rStyle w:val="FootnoteReference"/>
        </w:rPr>
        <w:footnoteRef/>
      </w:r>
      <w:r>
        <w:t xml:space="preserve"> </w:t>
      </w:r>
      <w:r w:rsidR="001C27A6" w:rsidRPr="001C27A6">
        <w:t>The Commission adopted the C</w:t>
      </w:r>
      <w:r w:rsidR="00745EB6">
        <w:t>RS</w:t>
      </w:r>
      <w:r w:rsidR="001C27A6" w:rsidRPr="001C27A6">
        <w:t xml:space="preserve"> in D.02-11-022, </w:t>
      </w:r>
      <w:r w:rsidR="00393B0F">
        <w:t xml:space="preserve">and </w:t>
      </w:r>
      <w:r w:rsidR="0004181E">
        <w:t xml:space="preserve">it </w:t>
      </w:r>
      <w:r w:rsidR="00393B0F">
        <w:t>has been modified by decisions including</w:t>
      </w:r>
      <w:r w:rsidR="001C27A6" w:rsidRPr="001C27A6">
        <w:t xml:space="preserve"> D.03-07-030, D.06-07-030, D.08-09-012, D.11-12-018, Res</w:t>
      </w:r>
      <w:r w:rsidR="00745EB6">
        <w:t>.</w:t>
      </w:r>
      <w:r w:rsidR="001C27A6" w:rsidRPr="001C27A6">
        <w:t xml:space="preserve"> E-4475, D.18-10-019</w:t>
      </w:r>
      <w:r w:rsidR="00393B0F">
        <w:t xml:space="preserve">, </w:t>
      </w:r>
      <w:r w:rsidR="001C27A6" w:rsidRPr="001C27A6">
        <w:t>D.19-10-001, D.20-08-004, D.21-05-030</w:t>
      </w:r>
      <w:r w:rsidR="004E14C5">
        <w:t>, D.22-01-023, D.22-07-008</w:t>
      </w:r>
      <w:r w:rsidR="00393B0F">
        <w:t>, and D.25-06-049</w:t>
      </w:r>
      <w:r w:rsidR="001C27A6" w:rsidRPr="001C27A6">
        <w:t>.</w:t>
      </w:r>
      <w:r w:rsidR="00884083">
        <w:t xml:space="preserve"> </w:t>
      </w:r>
    </w:p>
  </w:footnote>
  <w:footnote w:id="336">
    <w:p w14:paraId="1C5B28DB" w14:textId="06914027" w:rsidR="000108B4" w:rsidRDefault="000108B4">
      <w:pPr>
        <w:pStyle w:val="FootnoteText"/>
      </w:pPr>
      <w:r>
        <w:rPr>
          <w:rStyle w:val="FootnoteReference"/>
        </w:rPr>
        <w:footnoteRef/>
      </w:r>
      <w:r>
        <w:t xml:space="preserve"> </w:t>
      </w:r>
      <w:r w:rsidR="00745EB6">
        <w:t>SCE’s</w:t>
      </w:r>
      <w:r>
        <w:t xml:space="preserve"> vintaged subaccounts </w:t>
      </w:r>
      <w:proofErr w:type="gramStart"/>
      <w:r>
        <w:t>are:</w:t>
      </w:r>
      <w:proofErr w:type="gramEnd"/>
      <w:r>
        <w:t xml:space="preserve"> a Pre-2002 CTC subaccount, a legacy UOG account, a subaccount for resources committed in 2004-2009, annual subaccounts for each year from 2010-2025, and a subaccount for New QF SOC.</w:t>
      </w:r>
      <w:r w:rsidR="002A68CA">
        <w:t xml:space="preserve"> </w:t>
      </w:r>
      <w:r w:rsidRPr="00EA6E34">
        <w:rPr>
          <w:i/>
          <w:iCs/>
        </w:rPr>
        <w:t>See</w:t>
      </w:r>
      <w:r>
        <w:t xml:space="preserve"> SCE-0</w:t>
      </w:r>
      <w:r w:rsidR="001920F4">
        <w:t>5</w:t>
      </w:r>
      <w:r w:rsidR="00656EF4">
        <w:t>A</w:t>
      </w:r>
      <w:r>
        <w:t xml:space="preserve">, Appendix B at B-1. </w:t>
      </w:r>
      <w:r w:rsidR="00EA6E34" w:rsidRPr="00EA6E34">
        <w:rPr>
          <w:i/>
          <w:iCs/>
        </w:rPr>
        <w:t>See also</w:t>
      </w:r>
      <w:r w:rsidR="00EA6E34">
        <w:t xml:space="preserve"> D.08-09-012, </w:t>
      </w:r>
      <w:r w:rsidR="00EA6E34" w:rsidRPr="00EA6E34">
        <w:rPr>
          <w:i/>
          <w:iCs/>
        </w:rPr>
        <w:t>Decision on Non-</w:t>
      </w:r>
      <w:proofErr w:type="spellStart"/>
      <w:r w:rsidR="00EA6E34" w:rsidRPr="00EA6E34">
        <w:rPr>
          <w:i/>
          <w:iCs/>
        </w:rPr>
        <w:t>Bypassable</w:t>
      </w:r>
      <w:proofErr w:type="spellEnd"/>
      <w:r w:rsidR="00EA6E34" w:rsidRPr="00EA6E34">
        <w:rPr>
          <w:i/>
          <w:iCs/>
        </w:rPr>
        <w:t xml:space="preserve"> Charges for New World Generation and Related Issues</w:t>
      </w:r>
      <w:r w:rsidR="00EA6E34">
        <w:t xml:space="preserve"> at </w:t>
      </w:r>
      <w:r w:rsidR="00E15B79">
        <w:t>OP</w:t>
      </w:r>
      <w:r w:rsidR="00A456B9">
        <w:t> </w:t>
      </w:r>
      <w:r w:rsidR="00E15B79">
        <w:t>10 [hereinafter D.08-09-012</w:t>
      </w:r>
      <w:r w:rsidR="00745EB6">
        <w:t>]</w:t>
      </w:r>
      <w:r w:rsidR="00E15B79">
        <w:t>.</w:t>
      </w:r>
    </w:p>
  </w:footnote>
  <w:footnote w:id="337">
    <w:p w14:paraId="280F303F" w14:textId="118E89F2" w:rsidR="000108B4" w:rsidRDefault="000108B4" w:rsidP="002D0F19">
      <w:pPr>
        <w:pStyle w:val="FootnoteText"/>
      </w:pPr>
      <w:r>
        <w:rPr>
          <w:rStyle w:val="FootnoteReference"/>
        </w:rPr>
        <w:footnoteRef/>
      </w:r>
      <w:r>
        <w:t xml:space="preserve"> SCE-0</w:t>
      </w:r>
      <w:r w:rsidR="001920F4">
        <w:t>5</w:t>
      </w:r>
      <w:r w:rsidR="00656EF4">
        <w:t>A</w:t>
      </w:r>
      <w:r>
        <w:t xml:space="preserve"> at 1</w:t>
      </w:r>
      <w:r w:rsidR="00656EF4">
        <w:t>42</w:t>
      </w:r>
      <w:r>
        <w:t>.</w:t>
      </w:r>
      <w:r w:rsidR="002A68CA">
        <w:t xml:space="preserve"> </w:t>
      </w:r>
    </w:p>
  </w:footnote>
  <w:footnote w:id="338">
    <w:p w14:paraId="7379CEF7" w14:textId="3726BD76" w:rsidR="006B42D7" w:rsidRDefault="006B42D7">
      <w:pPr>
        <w:pStyle w:val="FootnoteText"/>
      </w:pPr>
      <w:r>
        <w:rPr>
          <w:rStyle w:val="FootnoteReference"/>
        </w:rPr>
        <w:footnoteRef/>
      </w:r>
      <w:r>
        <w:t xml:space="preserve"> SCE</w:t>
      </w:r>
      <w:r w:rsidR="00851BCE">
        <w:t xml:space="preserve"> notes that its </w:t>
      </w:r>
      <w:r>
        <w:t>CRS also includes its Wildfire Fund Non-</w:t>
      </w:r>
      <w:proofErr w:type="spellStart"/>
      <w:r>
        <w:t>Bypassable</w:t>
      </w:r>
      <w:proofErr w:type="spellEnd"/>
      <w:r>
        <w:t xml:space="preserve"> Charge (NBC). The Wildfire Fund NBC incorporated into SCE’s estimates in this case was approved </w:t>
      </w:r>
      <w:r w:rsidR="00BE4172">
        <w:t xml:space="preserve">for use in 2025 </w:t>
      </w:r>
      <w:r>
        <w:t xml:space="preserve">in </w:t>
      </w:r>
      <w:r w:rsidR="005C69B1">
        <w:t>D.24-12-001.</w:t>
      </w:r>
      <w:r w:rsidR="00BE4172">
        <w:t xml:space="preserve"> </w:t>
      </w:r>
      <w:r w:rsidR="008D708F">
        <w:t>On September 9, 2025, the assigned ALJ in R.23-03-007 issued a ruling requesting comment on the California Department of Water Resources</w:t>
      </w:r>
      <w:r w:rsidR="00AA0297">
        <w:t>’</w:t>
      </w:r>
      <w:r w:rsidR="008D708F">
        <w:t xml:space="preserve"> </w:t>
      </w:r>
      <w:r w:rsidR="008D708F" w:rsidRPr="008D708F">
        <w:t>September 8, 2025, “90-day Notice Regarding 2026 Wildfire Non-</w:t>
      </w:r>
      <w:proofErr w:type="spellStart"/>
      <w:r w:rsidR="008D708F" w:rsidRPr="008D708F">
        <w:t>Bypassable</w:t>
      </w:r>
      <w:proofErr w:type="spellEnd"/>
      <w:r w:rsidR="008D708F" w:rsidRPr="008D708F">
        <w:t xml:space="preserve"> </w:t>
      </w:r>
      <w:r w:rsidR="008D708F" w:rsidRPr="008E09C2">
        <w:t>Charge</w:t>
      </w:r>
      <w:r w:rsidR="008D708F" w:rsidRPr="00B84A32">
        <w:t>.” Pursuant to AB 1054, AB 111, and D.19-10-056, the Commission will authorize a Wildfire Fund NBC for 2026.</w:t>
      </w:r>
      <w:r w:rsidR="00AA0297">
        <w:t xml:space="preserve"> </w:t>
      </w:r>
    </w:p>
  </w:footnote>
  <w:footnote w:id="339">
    <w:p w14:paraId="4387E243" w14:textId="1EEE26B3" w:rsidR="008C045D" w:rsidRDefault="008C045D">
      <w:pPr>
        <w:pStyle w:val="FootnoteText"/>
      </w:pPr>
      <w:r>
        <w:rPr>
          <w:rStyle w:val="FootnoteReference"/>
        </w:rPr>
        <w:footnoteRef/>
      </w:r>
      <w:r>
        <w:t xml:space="preserve"> </w:t>
      </w:r>
      <w:r w:rsidRPr="00A56FA2">
        <w:rPr>
          <w:i/>
          <w:iCs/>
        </w:rPr>
        <w:t>See</w:t>
      </w:r>
      <w:r>
        <w:t xml:space="preserve"> Pub. Util. Code § 367(a)(1)-(6)</w:t>
      </w:r>
      <w:r w:rsidR="00A56FA2">
        <w:t xml:space="preserve"> and D.02-11-002. </w:t>
      </w:r>
    </w:p>
  </w:footnote>
  <w:footnote w:id="340">
    <w:p w14:paraId="41DB78F4" w14:textId="6DAC647C" w:rsidR="00A56FA2" w:rsidRDefault="00A56FA2">
      <w:pPr>
        <w:pStyle w:val="FootnoteText"/>
      </w:pPr>
      <w:r>
        <w:rPr>
          <w:rStyle w:val="FootnoteReference"/>
        </w:rPr>
        <w:footnoteRef/>
      </w:r>
      <w:r>
        <w:t xml:space="preserve"> </w:t>
      </w:r>
      <w:r w:rsidR="00D95557">
        <w:t>D.06-07-030 at OP 16.</w:t>
      </w:r>
    </w:p>
  </w:footnote>
  <w:footnote w:id="341">
    <w:p w14:paraId="786E23B9" w14:textId="55A38B14" w:rsidR="00453671" w:rsidRDefault="00453671" w:rsidP="00453671">
      <w:pPr>
        <w:pStyle w:val="FootnoteText"/>
      </w:pPr>
      <w:r>
        <w:rPr>
          <w:rStyle w:val="FootnoteReference"/>
        </w:rPr>
        <w:footnoteRef/>
      </w:r>
      <w:r>
        <w:t xml:space="preserve"> SCE-0</w:t>
      </w:r>
      <w:r w:rsidR="00017183">
        <w:t>5</w:t>
      </w:r>
      <w:r w:rsidR="00656EF4">
        <w:t>A</w:t>
      </w:r>
      <w:r>
        <w:t xml:space="preserve"> at 1</w:t>
      </w:r>
      <w:r w:rsidR="00656EF4">
        <w:t>42</w:t>
      </w:r>
      <w:r>
        <w:t xml:space="preserve"> and n.1</w:t>
      </w:r>
      <w:r w:rsidR="00656EF4">
        <w:t>73</w:t>
      </w:r>
      <w:r w:rsidR="001920F4">
        <w:t>, citing D.06-07-030</w:t>
      </w:r>
      <w:r>
        <w:t xml:space="preserve">. </w:t>
      </w:r>
    </w:p>
  </w:footnote>
  <w:footnote w:id="342">
    <w:p w14:paraId="5F739F3C" w14:textId="77777777" w:rsidR="0080561D" w:rsidRDefault="0080561D" w:rsidP="0080561D">
      <w:pPr>
        <w:pStyle w:val="FootnoteText"/>
      </w:pPr>
      <w:r w:rsidRPr="00745EB6">
        <w:rPr>
          <w:rStyle w:val="FootnoteReference"/>
        </w:rPr>
        <w:footnoteRef/>
      </w:r>
      <w:r w:rsidRPr="00745EB6">
        <w:t xml:space="preserve"> D.18-10-019 at OP 6.</w:t>
      </w:r>
    </w:p>
  </w:footnote>
  <w:footnote w:id="343">
    <w:p w14:paraId="6AF550CC" w14:textId="2B7F2C32" w:rsidR="006426E7" w:rsidRDefault="006426E7">
      <w:pPr>
        <w:pStyle w:val="FootnoteText"/>
      </w:pPr>
      <w:r>
        <w:rPr>
          <w:rStyle w:val="FootnoteReference"/>
        </w:rPr>
        <w:footnoteRef/>
      </w:r>
      <w:r>
        <w:t xml:space="preserve"> SCE-05A at </w:t>
      </w:r>
      <w:r w:rsidR="00E349AB">
        <w:t xml:space="preserve">140. </w:t>
      </w:r>
    </w:p>
  </w:footnote>
  <w:footnote w:id="344">
    <w:p w14:paraId="6E60DD46" w14:textId="7E1B55EE" w:rsidR="00302A7A" w:rsidRDefault="00302A7A">
      <w:pPr>
        <w:pStyle w:val="FootnoteText"/>
      </w:pPr>
      <w:r w:rsidRPr="00D77B96">
        <w:rPr>
          <w:rStyle w:val="FootnoteReference"/>
        </w:rPr>
        <w:footnoteRef/>
      </w:r>
      <w:r w:rsidRPr="00D77B96">
        <w:t xml:space="preserve"> SCE-05</w:t>
      </w:r>
      <w:r w:rsidR="00656EF4">
        <w:t>A</w:t>
      </w:r>
      <w:r w:rsidRPr="00D77B96">
        <w:t xml:space="preserve"> at </w:t>
      </w:r>
      <w:r w:rsidR="00D77B96" w:rsidRPr="00D77B96">
        <w:t>Table IX-42</w:t>
      </w:r>
      <w:r w:rsidR="00F24DCC">
        <w:t>.</w:t>
      </w:r>
    </w:p>
  </w:footnote>
  <w:footnote w:id="345">
    <w:p w14:paraId="27BBD862" w14:textId="72E54486" w:rsidR="00017183" w:rsidRDefault="00D77B96">
      <w:pPr>
        <w:pStyle w:val="FootnoteText"/>
      </w:pPr>
      <w:r>
        <w:rPr>
          <w:rStyle w:val="FootnoteReference"/>
        </w:rPr>
        <w:footnoteRef/>
      </w:r>
      <w:r>
        <w:t xml:space="preserve"> </w:t>
      </w:r>
      <w:r w:rsidR="00017183">
        <w:t xml:space="preserve">SCE’s Total Portfolio Cost as expressed here is the sum of </w:t>
      </w:r>
      <w:r w:rsidR="00A8693B">
        <w:t xml:space="preserve">the costs of </w:t>
      </w:r>
      <w:r w:rsidR="00017183">
        <w:t xml:space="preserve">its </w:t>
      </w:r>
      <w:r w:rsidR="0004181E">
        <w:t>PCIA</w:t>
      </w:r>
      <w:r w:rsidR="00814AD7">
        <w:t xml:space="preserve">-eligible </w:t>
      </w:r>
      <w:r w:rsidR="00017183">
        <w:t>UOG Capital and O&amp;M, its non-renewable UOG, QF-eligible CHP, Renewable QF and RPS, Conventional Contracts (Bilateral/RFO/IU), and Common Costs</w:t>
      </w:r>
      <w:r w:rsidR="00814AD7">
        <w:t xml:space="preserve"> before netting out the impacts of sold or retained RA</w:t>
      </w:r>
      <w:r w:rsidR="00A8693B">
        <w:t xml:space="preserve">, </w:t>
      </w:r>
      <w:r w:rsidR="00814AD7">
        <w:t>RPS</w:t>
      </w:r>
      <w:r w:rsidR="00A8693B">
        <w:t xml:space="preserve"> and energy revenues</w:t>
      </w:r>
      <w:r w:rsidR="00814AD7">
        <w:t>.</w:t>
      </w:r>
      <w:r w:rsidR="00814AD7" w:rsidRPr="00814AD7">
        <w:t xml:space="preserve"> </w:t>
      </w:r>
      <w:r w:rsidR="00A8693B" w:rsidRPr="00A8693B">
        <w:rPr>
          <w:i/>
          <w:iCs/>
        </w:rPr>
        <w:t xml:space="preserve">See </w:t>
      </w:r>
      <w:r w:rsidR="00814AD7">
        <w:t>SCE-05</w:t>
      </w:r>
      <w:r w:rsidR="009F0428">
        <w:t>A</w:t>
      </w:r>
      <w:r w:rsidR="00814AD7">
        <w:t xml:space="preserve"> at Appendix B</w:t>
      </w:r>
      <w:r w:rsidR="00D27E9B">
        <w:t>, Table</w:t>
      </w:r>
      <w:r w:rsidR="00A8693B">
        <w:t>: “</w:t>
      </w:r>
      <w:r w:rsidR="00A8693B" w:rsidRPr="00A8693B">
        <w:t>IOU Portfolio by Resource Type</w:t>
      </w:r>
      <w:r w:rsidR="00A8693B">
        <w:t xml:space="preserve">[.]” </w:t>
      </w:r>
      <w:r w:rsidR="009B48EB">
        <w:t xml:space="preserve">Portfolio costs are offset by anticipated portfolio revenues as </w:t>
      </w:r>
      <w:r w:rsidR="009B48EB" w:rsidRPr="007F3AF4">
        <w:t>described in n.3</w:t>
      </w:r>
      <w:r w:rsidR="00C32701">
        <w:t>4</w:t>
      </w:r>
      <w:r w:rsidR="009B48EB" w:rsidRPr="007F3AF4">
        <w:t>5, below.</w:t>
      </w:r>
    </w:p>
  </w:footnote>
  <w:footnote w:id="346">
    <w:p w14:paraId="4922426D" w14:textId="0E2DF262" w:rsidR="00AB1EBE" w:rsidRDefault="00AB1EBE">
      <w:pPr>
        <w:pStyle w:val="FootnoteText"/>
      </w:pPr>
      <w:r>
        <w:rPr>
          <w:rStyle w:val="FootnoteReference"/>
        </w:rPr>
        <w:footnoteRef/>
      </w:r>
      <w:r>
        <w:t xml:space="preserve"> For each revenue stream, the Total Portfolio Market Value is calculated by subtracting applicable anticipated revenues from the associated resource market value, </w:t>
      </w:r>
      <w:r w:rsidRPr="00A456B9">
        <w:rPr>
          <w:i/>
          <w:iCs/>
        </w:rPr>
        <w:t>e.g.,</w:t>
      </w:r>
      <w:r>
        <w:t xml:space="preserve"> the total energy market value of SCE’s energy resources is the</w:t>
      </w:r>
      <w:r w:rsidR="00A8693B">
        <w:t xml:space="preserve"> forecast</w:t>
      </w:r>
      <w:r>
        <w:t xml:space="preserve"> market value calculated using the Energy Index, as described below (Section 8.2.2.1), minus forecast energy revenues (Section 5.4.2). </w:t>
      </w:r>
    </w:p>
  </w:footnote>
  <w:footnote w:id="347">
    <w:p w14:paraId="76A3C287" w14:textId="40A929E1" w:rsidR="00AB1EBE" w:rsidRDefault="00AB1EBE">
      <w:pPr>
        <w:pStyle w:val="FootnoteText"/>
      </w:pPr>
      <w:r>
        <w:rPr>
          <w:rStyle w:val="FootnoteReference"/>
        </w:rPr>
        <w:footnoteRef/>
      </w:r>
      <w:r>
        <w:t xml:space="preserve"> SCE’s $1.3 million adjustment in its </w:t>
      </w:r>
      <w:r w:rsidR="009F0428">
        <w:t xml:space="preserve">Amended </w:t>
      </w:r>
      <w:r>
        <w:t>October Update</w:t>
      </w:r>
      <w:r w:rsidR="00B50CE3">
        <w:t xml:space="preserve"> reflects recovery of the year-end 2025 balance in the LCTA-ESMA</w:t>
      </w:r>
      <w:r w:rsidR="008E09C2">
        <w:t xml:space="preserve">. </w:t>
      </w:r>
    </w:p>
  </w:footnote>
  <w:footnote w:id="348">
    <w:p w14:paraId="133DA2D1" w14:textId="38969BDC" w:rsidR="00EE7612" w:rsidRDefault="00EE7612" w:rsidP="00EE7612">
      <w:pPr>
        <w:pStyle w:val="FootnoteText"/>
      </w:pPr>
      <w:r>
        <w:rPr>
          <w:rStyle w:val="FootnoteReference"/>
        </w:rPr>
        <w:footnoteRef/>
      </w:r>
      <w:r>
        <w:t xml:space="preserve"> SCE-05</w:t>
      </w:r>
      <w:r w:rsidR="009F0428">
        <w:t>A</w:t>
      </w:r>
      <w:r>
        <w:t xml:space="preserve"> at 14</w:t>
      </w:r>
      <w:r w:rsidR="00A74873">
        <w:t>7</w:t>
      </w:r>
      <w:r>
        <w:t>, noting that the Total Portfolio Costs were calculated consistent with the costs outlined in SCE-05</w:t>
      </w:r>
      <w:r w:rsidR="00A74873">
        <w:t>A</w:t>
      </w:r>
      <w:r>
        <w:t>, Table IV-9</w:t>
      </w:r>
      <w:r w:rsidR="00F24DCC">
        <w:t>.</w:t>
      </w:r>
      <w:r>
        <w:t xml:space="preserve"> Thus, SCE’s Total Portfolio Cost was calculated using the methods described in Section 4 of this Decision, as refined by the information provided in Sections 5 and 6 of this Decision.</w:t>
      </w:r>
    </w:p>
  </w:footnote>
  <w:footnote w:id="349">
    <w:p w14:paraId="3364DF0B" w14:textId="1DB4B003" w:rsidR="001D1DF4" w:rsidRDefault="001D1DF4" w:rsidP="001D1DF4">
      <w:pPr>
        <w:pStyle w:val="FootnoteText"/>
      </w:pPr>
      <w:r>
        <w:rPr>
          <w:rStyle w:val="FootnoteReference"/>
        </w:rPr>
        <w:footnoteRef/>
      </w:r>
      <w:r>
        <w:t xml:space="preserve"> SCE’s </w:t>
      </w:r>
      <w:r w:rsidR="00686B63">
        <w:t xml:space="preserve">test year (TY) </w:t>
      </w:r>
      <w:r>
        <w:t xml:space="preserve">2025 GRC had not been resolved at the time of </w:t>
      </w:r>
      <w:proofErr w:type="gramStart"/>
      <w:r>
        <w:t>SCE’s</w:t>
      </w:r>
      <w:proofErr w:type="gramEnd"/>
      <w:r>
        <w:t xml:space="preserve"> May Filing, and so SCE used </w:t>
      </w:r>
      <w:r w:rsidRPr="001D1DF4">
        <w:t>the 2024 AGBRR as authorized in D.23-11-096 and modified with the</w:t>
      </w:r>
      <w:r>
        <w:t xml:space="preserve"> </w:t>
      </w:r>
      <w:r w:rsidRPr="001D1DF4">
        <w:t>approval of Advice 5406-E</w:t>
      </w:r>
      <w:r>
        <w:t xml:space="preserve"> to forecast this value. However, on September 18, 2025, the Commission adopted D.25-09-030, </w:t>
      </w:r>
      <w:r w:rsidRPr="00D77B96">
        <w:t>resolving SCE’s TY 2025 GRC, and which, among other authorizations</w:t>
      </w:r>
      <w:r w:rsidR="00D77B96" w:rsidRPr="00D77B96">
        <w:t>,</w:t>
      </w:r>
      <w:r w:rsidRPr="00D77B96">
        <w:t xml:space="preserve"> approved a Commission-jurisdictional base revenue requirement of $9.664 billion for the 2025 TY, effective January 1, 2025. SCE has incorporated the impacts of this Decision into their </w:t>
      </w:r>
      <w:r w:rsidR="00E349AB">
        <w:t xml:space="preserve">Amended </w:t>
      </w:r>
      <w:r w:rsidRPr="00D77B96">
        <w:t xml:space="preserve">October Update. </w:t>
      </w:r>
      <w:r w:rsidR="00D77B96" w:rsidRPr="00D77B96">
        <w:t xml:space="preserve">SCE states that it will update the AGBRR for 2026 in its implementation advice letter. </w:t>
      </w:r>
      <w:r w:rsidRPr="00D77B96">
        <w:t>SCE-0</w:t>
      </w:r>
      <w:r w:rsidR="000D7F43" w:rsidRPr="00D77B96">
        <w:t>5</w:t>
      </w:r>
      <w:r w:rsidR="00A74873">
        <w:t>A</w:t>
      </w:r>
      <w:r w:rsidRPr="00D77B96">
        <w:t xml:space="preserve"> at</w:t>
      </w:r>
      <w:r w:rsidR="00D77B96" w:rsidRPr="00D77B96">
        <w:t xml:space="preserve"> 14</w:t>
      </w:r>
      <w:r w:rsidR="00A74873">
        <w:t>7</w:t>
      </w:r>
      <w:r w:rsidR="00D77B96" w:rsidRPr="00D77B96">
        <w:t xml:space="preserve"> and n.17</w:t>
      </w:r>
      <w:r w:rsidR="00A74873">
        <w:t>5</w:t>
      </w:r>
      <w:r w:rsidRPr="00D77B96">
        <w:t>.</w:t>
      </w:r>
      <w:r>
        <w:t xml:space="preserve"> </w:t>
      </w:r>
      <w:r w:rsidR="007620EC" w:rsidRPr="007620EC">
        <w:rPr>
          <w:i/>
          <w:iCs/>
        </w:rPr>
        <w:t>See also</w:t>
      </w:r>
      <w:r w:rsidR="007620EC">
        <w:t xml:space="preserve"> SCE-05</w:t>
      </w:r>
      <w:r w:rsidR="00A74873">
        <w:t>A</w:t>
      </w:r>
      <w:r w:rsidR="007620EC">
        <w:t xml:space="preserve"> at 1</w:t>
      </w:r>
      <w:r w:rsidR="00A74873">
        <w:t>62</w:t>
      </w:r>
      <w:r w:rsidR="007620EC">
        <w:t>.</w:t>
      </w:r>
    </w:p>
  </w:footnote>
  <w:footnote w:id="350">
    <w:p w14:paraId="16B8C595" w14:textId="4A31D42A" w:rsidR="00F32E29" w:rsidRDefault="00F32E29" w:rsidP="00F32E29">
      <w:pPr>
        <w:pStyle w:val="FootnoteText"/>
      </w:pPr>
      <w:r>
        <w:rPr>
          <w:rStyle w:val="FootnoteReference"/>
        </w:rPr>
        <w:footnoteRef/>
      </w:r>
      <w:r>
        <w:t xml:space="preserve"> SCE-0</w:t>
      </w:r>
      <w:r w:rsidR="007F6D98">
        <w:t>5</w:t>
      </w:r>
      <w:r w:rsidR="00A74873">
        <w:t>A</w:t>
      </w:r>
      <w:r>
        <w:t xml:space="preserve"> at 1</w:t>
      </w:r>
      <w:r w:rsidR="007F6D98">
        <w:t>4</w:t>
      </w:r>
      <w:r w:rsidR="00A74873">
        <w:t>7</w:t>
      </w:r>
      <w:r>
        <w:t>, citations omitted.</w:t>
      </w:r>
      <w:r w:rsidR="002A68CA">
        <w:t xml:space="preserve"> </w:t>
      </w:r>
    </w:p>
  </w:footnote>
  <w:footnote w:id="351">
    <w:p w14:paraId="67E3DEBE" w14:textId="3B9DECAA" w:rsidR="00D83B12" w:rsidRDefault="00D83B12">
      <w:pPr>
        <w:pStyle w:val="FootnoteText"/>
      </w:pPr>
      <w:r>
        <w:rPr>
          <w:rStyle w:val="FootnoteReference"/>
        </w:rPr>
        <w:footnoteRef/>
      </w:r>
      <w:r>
        <w:t xml:space="preserve"> SCE-05</w:t>
      </w:r>
      <w:r w:rsidR="00A74873">
        <w:t>A</w:t>
      </w:r>
      <w:r>
        <w:t xml:space="preserve"> at Table IX-42</w:t>
      </w:r>
      <w:r w:rsidR="00F24DCC">
        <w:t>.</w:t>
      </w:r>
    </w:p>
  </w:footnote>
  <w:footnote w:id="352">
    <w:p w14:paraId="7173FCBE" w14:textId="348D10A6" w:rsidR="005425D5" w:rsidRPr="00D83B12" w:rsidRDefault="005425D5">
      <w:pPr>
        <w:pStyle w:val="FootnoteText"/>
      </w:pPr>
      <w:r>
        <w:rPr>
          <w:rStyle w:val="FootnoteReference"/>
        </w:rPr>
        <w:footnoteRef/>
      </w:r>
      <w:r>
        <w:t xml:space="preserve"> </w:t>
      </w:r>
      <w:r w:rsidRPr="00226325">
        <w:rPr>
          <w:i/>
          <w:iCs/>
        </w:rPr>
        <w:t>See</w:t>
      </w:r>
      <w:r>
        <w:t xml:space="preserve"> SCE-0</w:t>
      </w:r>
      <w:r w:rsidR="000C573B">
        <w:t>1</w:t>
      </w:r>
      <w:r>
        <w:t xml:space="preserve"> at Appendix B, B-4 for SCE’s </w:t>
      </w:r>
      <w:r w:rsidR="00D768E7">
        <w:t xml:space="preserve">proposed 2026 </w:t>
      </w:r>
      <w:r>
        <w:t xml:space="preserve">Indifference Amount </w:t>
      </w:r>
      <w:r w:rsidR="00A02FDB">
        <w:t>c</w:t>
      </w:r>
      <w:r>
        <w:t>alculation</w:t>
      </w:r>
      <w:r w:rsidR="00A02FDB">
        <w:t xml:space="preserve"> as of its May </w:t>
      </w:r>
      <w:r w:rsidR="006F4248">
        <w:t>Filing</w:t>
      </w:r>
      <w:r>
        <w:t>.</w:t>
      </w:r>
      <w:r w:rsidR="00A02FDB">
        <w:t xml:space="preserve"> </w:t>
      </w:r>
      <w:r w:rsidR="00A02FDB" w:rsidRPr="00D83B12">
        <w:rPr>
          <w:i/>
          <w:iCs/>
        </w:rPr>
        <w:t>See</w:t>
      </w:r>
      <w:r w:rsidR="00A02FDB" w:rsidRPr="00D83B12">
        <w:t xml:space="preserve"> SCE-05</w:t>
      </w:r>
      <w:r w:rsidR="00A74873">
        <w:t>A</w:t>
      </w:r>
      <w:r w:rsidR="00A02FDB" w:rsidRPr="00D83B12">
        <w:t xml:space="preserve"> at Appendix B for SCE’s updated forecast Indifference Amount calculation.</w:t>
      </w:r>
    </w:p>
  </w:footnote>
  <w:footnote w:id="353">
    <w:p w14:paraId="12CD3178" w14:textId="218CD1FC" w:rsidR="00433695" w:rsidRDefault="00433695" w:rsidP="00433695">
      <w:pPr>
        <w:pStyle w:val="FootnoteText"/>
      </w:pPr>
      <w:r w:rsidRPr="00D83B12">
        <w:rPr>
          <w:rStyle w:val="FootnoteReference"/>
        </w:rPr>
        <w:footnoteRef/>
      </w:r>
      <w:r w:rsidRPr="00D83B12">
        <w:t xml:space="preserve"> SCE-0</w:t>
      </w:r>
      <w:r w:rsidR="000C573B" w:rsidRPr="00D83B12">
        <w:t>5</w:t>
      </w:r>
      <w:r w:rsidR="00A74873">
        <w:t>A</w:t>
      </w:r>
      <w:r w:rsidRPr="00D83B12">
        <w:t xml:space="preserve"> at 1</w:t>
      </w:r>
      <w:r w:rsidR="000C573B" w:rsidRPr="00D83B12">
        <w:t>4</w:t>
      </w:r>
      <w:r w:rsidR="00A74873">
        <w:t>8</w:t>
      </w:r>
      <w:r w:rsidRPr="00D83B12">
        <w:t>.</w:t>
      </w:r>
    </w:p>
  </w:footnote>
  <w:footnote w:id="354">
    <w:p w14:paraId="6D0EB714" w14:textId="78C13520" w:rsidR="006F4248" w:rsidRDefault="006F4248">
      <w:pPr>
        <w:pStyle w:val="FootnoteText"/>
      </w:pPr>
      <w:r>
        <w:rPr>
          <w:rStyle w:val="FootnoteReference"/>
        </w:rPr>
        <w:footnoteRef/>
      </w:r>
      <w:r>
        <w:t xml:space="preserve"> SCE-05</w:t>
      </w:r>
      <w:r w:rsidR="00A74873">
        <w:t>A</w:t>
      </w:r>
      <w:r>
        <w:t xml:space="preserve"> at </w:t>
      </w:r>
      <w:r w:rsidR="007C2535">
        <w:t>Table IX-42</w:t>
      </w:r>
      <w:r w:rsidR="00F24DCC">
        <w:t>.</w:t>
      </w:r>
    </w:p>
  </w:footnote>
  <w:footnote w:id="355">
    <w:p w14:paraId="507597BF" w14:textId="77777777" w:rsidR="0019607C" w:rsidRDefault="0019607C" w:rsidP="0019607C">
      <w:pPr>
        <w:pStyle w:val="FootnoteText"/>
      </w:pPr>
      <w:r>
        <w:rPr>
          <w:rStyle w:val="FootnoteReference"/>
        </w:rPr>
        <w:footnoteRef/>
      </w:r>
      <w:r>
        <w:t xml:space="preserve"> SCE-05A at Table IX-43. In SCE-05A, n.78, SCE states that a footnote in Energy Division’s October 1, </w:t>
      </w:r>
      <w:proofErr w:type="gramStart"/>
      <w:r>
        <w:t>2025</w:t>
      </w:r>
      <w:proofErr w:type="gramEnd"/>
      <w:r>
        <w:t xml:space="preserve"> MPB Report is incorrect. Referring to the October MPBs released in 2024, the footnote states “</w:t>
      </w:r>
      <w:r w:rsidRPr="00D83B12">
        <w:t xml:space="preserve">Energy Division issued a subsequent set of revised MPB values to the service list on November 5th, </w:t>
      </w:r>
      <w:proofErr w:type="gramStart"/>
      <w:r w:rsidRPr="00D83B12">
        <w:t>2024</w:t>
      </w:r>
      <w:proofErr w:type="gramEnd"/>
      <w:r w:rsidRPr="00D83B12">
        <w:t xml:space="preserve"> for informational purposes, which was not used in the ERRA proceeding.</w:t>
      </w:r>
      <w:r>
        <w:t>” SCE states “</w:t>
      </w:r>
      <w:r w:rsidRPr="00D83B12">
        <w:t xml:space="preserve">SCE believes Footnote 1 of October 1, </w:t>
      </w:r>
      <w:proofErr w:type="gramStart"/>
      <w:r w:rsidRPr="00D83B12">
        <w:t>2025</w:t>
      </w:r>
      <w:proofErr w:type="gramEnd"/>
      <w:r w:rsidRPr="00D83B12">
        <w:t xml:space="preserve"> MPBs to be incorrect as SCE was ordered on page 80 of D.24-12-039 (Final Decision for the 2025 ERRA Forecast) to </w:t>
      </w:r>
      <w:r>
        <w:t>‘</w:t>
      </w:r>
      <w:r w:rsidRPr="00D83B12">
        <w:t>utilize the most updated MPB values available</w:t>
      </w:r>
      <w:r>
        <w:t xml:space="preserve">’ </w:t>
      </w:r>
      <w:r w:rsidRPr="00D83B12">
        <w:t>when updating its final 2024 year-end balances and 2025 forecasts</w:t>
      </w:r>
      <w:r>
        <w:t>.” With this understanding, SCE used the November MPBs in its 2025 ERRA forecast implementation AL.</w:t>
      </w:r>
    </w:p>
    <w:p w14:paraId="4A4B63CF" w14:textId="77777777" w:rsidR="0019607C" w:rsidRDefault="0019607C" w:rsidP="0019607C">
      <w:pPr>
        <w:pStyle w:val="FootnoteText"/>
      </w:pPr>
      <w:r>
        <w:t xml:space="preserve">We read the October 1, </w:t>
      </w:r>
      <w:proofErr w:type="gramStart"/>
      <w:r>
        <w:t>2025</w:t>
      </w:r>
      <w:proofErr w:type="gramEnd"/>
      <w:r>
        <w:t xml:space="preserve"> MPB Report Footnote 1 as noting, for our purposes, that the decision resolving SCE’s 2025 ERRA forecast did not use the November MPBs in its tables or listed authorizations. Therefore, we agree with Energy Division that the proceeding itself (</w:t>
      </w:r>
      <w:r w:rsidRPr="00FC35E0">
        <w:rPr>
          <w:i/>
          <w:iCs/>
        </w:rPr>
        <w:t>i.e.,</w:t>
      </w:r>
      <w:r>
        <w:t xml:space="preserve"> the decision resolving SCE’s 2025 ERRA forecast proceeding) did not use the November MPBs, other than by directing SCE to use them in its implementation AL and we agree with SCE that it was, in fact, directed to use the November MPBs in its 2025 ERRA forecast implementation AL. </w:t>
      </w:r>
    </w:p>
  </w:footnote>
  <w:footnote w:id="356">
    <w:p w14:paraId="6366935F" w14:textId="1311070F" w:rsidR="001005D5" w:rsidRDefault="001005D5">
      <w:pPr>
        <w:pStyle w:val="FootnoteText"/>
      </w:pPr>
      <w:r>
        <w:rPr>
          <w:rStyle w:val="FootnoteReference"/>
        </w:rPr>
        <w:footnoteRef/>
      </w:r>
      <w:r>
        <w:t xml:space="preserve"> </w:t>
      </w:r>
      <w:r w:rsidR="0015197D">
        <w:t>Consistent with what</w:t>
      </w:r>
      <w:r w:rsidR="0004181E">
        <w:t xml:space="preserve"> i</w:t>
      </w:r>
      <w:r w:rsidR="0015197D">
        <w:t xml:space="preserve">s </w:t>
      </w:r>
      <w:r w:rsidR="0015197D" w:rsidRPr="007F3AF4">
        <w:t>described in n.3</w:t>
      </w:r>
      <w:r w:rsidR="00C32701">
        <w:t>54</w:t>
      </w:r>
      <w:r w:rsidR="0015197D" w:rsidRPr="007F3AF4">
        <w:t>, these MPBs are the MPBs</w:t>
      </w:r>
      <w:r w:rsidR="00D07A0B" w:rsidRPr="007F3AF4">
        <w:t xml:space="preserve"> released in November 2024 </w:t>
      </w:r>
      <w:r w:rsidR="0015197D" w:rsidRPr="007F3AF4">
        <w:t xml:space="preserve">rather than the October Addendum </w:t>
      </w:r>
      <w:r w:rsidR="00A11118" w:rsidRPr="007F3AF4">
        <w:t xml:space="preserve">2024 </w:t>
      </w:r>
      <w:r w:rsidR="0015197D" w:rsidRPr="007F3AF4">
        <w:t>MPBs</w:t>
      </w:r>
      <w:r w:rsidR="0015197D">
        <w:t xml:space="preserve"> listed in</w:t>
      </w:r>
      <w:r w:rsidR="00477527">
        <w:t xml:space="preserve"> D.24-12-039</w:t>
      </w:r>
      <w:r w:rsidR="00980073">
        <w:t>, the decision resolving SCE’s last ERRA forecast case</w:t>
      </w:r>
      <w:r w:rsidR="0015197D">
        <w:t>.</w:t>
      </w:r>
      <w:r w:rsidR="00477527">
        <w:t xml:space="preserve"> </w:t>
      </w:r>
      <w:r w:rsidR="00980073" w:rsidRPr="00686B63">
        <w:rPr>
          <w:i/>
          <w:iCs/>
        </w:rPr>
        <w:t xml:space="preserve">See </w:t>
      </w:r>
      <w:r w:rsidR="00980073">
        <w:t>D.24-12-039 at Table 7-4 and at 80.</w:t>
      </w:r>
    </w:p>
  </w:footnote>
  <w:footnote w:id="357">
    <w:p w14:paraId="284AF384" w14:textId="40CAC38D" w:rsidR="00D07A0B" w:rsidRDefault="00D07A0B">
      <w:pPr>
        <w:pStyle w:val="FootnoteText"/>
      </w:pPr>
      <w:r>
        <w:rPr>
          <w:rStyle w:val="FootnoteReference"/>
        </w:rPr>
        <w:footnoteRef/>
      </w:r>
      <w:r>
        <w:t xml:space="preserve"> SCE-05A at Table IX-42.</w:t>
      </w:r>
    </w:p>
  </w:footnote>
  <w:footnote w:id="358">
    <w:p w14:paraId="615FBBB9" w14:textId="5BAA2B67" w:rsidR="0047691C" w:rsidRDefault="0047691C">
      <w:pPr>
        <w:pStyle w:val="FootnoteText"/>
      </w:pPr>
      <w:r>
        <w:rPr>
          <w:rStyle w:val="FootnoteReference"/>
        </w:rPr>
        <w:footnoteRef/>
      </w:r>
      <w:r>
        <w:t xml:space="preserve"> SCE-0</w:t>
      </w:r>
      <w:r w:rsidR="002C3B37">
        <w:t>5</w:t>
      </w:r>
      <w:r w:rsidR="00E1039D">
        <w:t>A</w:t>
      </w:r>
      <w:r>
        <w:t xml:space="preserve"> at 1</w:t>
      </w:r>
      <w:r w:rsidR="002C3B37">
        <w:t>4</w:t>
      </w:r>
      <w:r w:rsidR="00E1039D">
        <w:t>9</w:t>
      </w:r>
      <w:r>
        <w:t>.</w:t>
      </w:r>
    </w:p>
  </w:footnote>
  <w:footnote w:id="359">
    <w:p w14:paraId="17DA9B4E" w14:textId="75B93690" w:rsidR="005E75B4" w:rsidRDefault="005E75B4">
      <w:pPr>
        <w:pStyle w:val="FootnoteText"/>
      </w:pPr>
      <w:r>
        <w:rPr>
          <w:rStyle w:val="FootnoteReference"/>
        </w:rPr>
        <w:footnoteRef/>
      </w:r>
      <w:r>
        <w:t xml:space="preserve"> </w:t>
      </w:r>
      <w:r w:rsidRPr="00226325">
        <w:rPr>
          <w:i/>
          <w:iCs/>
        </w:rPr>
        <w:t>See</w:t>
      </w:r>
      <w:r>
        <w:t xml:space="preserve"> </w:t>
      </w:r>
      <w:r w:rsidRPr="0047691C">
        <w:t>D.23-06-006</w:t>
      </w:r>
      <w:r w:rsidR="00226325">
        <w:t xml:space="preserve">, </w:t>
      </w:r>
      <w:r w:rsidR="00226325" w:rsidRPr="00226325">
        <w:rPr>
          <w:i/>
          <w:iCs/>
        </w:rPr>
        <w:t>Decision Addressing Greenhouse Gas-Free Resources, Long-Term Renewable Transactions, Energy Index Calculations, and Energy Service Providers’ Data Access</w:t>
      </w:r>
      <w:r w:rsidR="00226325">
        <w:t xml:space="preserve"> at COL 11 [hereinafter D.23-06-006].</w:t>
      </w:r>
      <w:r w:rsidR="0093258F">
        <w:t xml:space="preserve"> SCE-05</w:t>
      </w:r>
      <w:r w:rsidR="00E1039D">
        <w:t>A</w:t>
      </w:r>
      <w:r w:rsidR="0093258F">
        <w:t xml:space="preserve"> at 1</w:t>
      </w:r>
      <w:r w:rsidR="000C7D23">
        <w:t>50</w:t>
      </w:r>
      <w:r w:rsidR="006426E7">
        <w:t>-151. SCE-05A at 150-151 illustrates these calculations.</w:t>
      </w:r>
    </w:p>
  </w:footnote>
  <w:footnote w:id="360">
    <w:p w14:paraId="20F7BE64" w14:textId="7D21F687" w:rsidR="002C3B37" w:rsidRDefault="002C3B37">
      <w:pPr>
        <w:pStyle w:val="FootnoteText"/>
      </w:pPr>
      <w:r>
        <w:rPr>
          <w:rStyle w:val="FootnoteReference"/>
        </w:rPr>
        <w:footnoteRef/>
      </w:r>
      <w:r>
        <w:t xml:space="preserve"> SCE-05</w:t>
      </w:r>
      <w:r w:rsidR="00E349AB">
        <w:t>A</w:t>
      </w:r>
      <w:r>
        <w:t xml:space="preserve"> at 14</w:t>
      </w:r>
      <w:r w:rsidR="00E349AB">
        <w:t>9</w:t>
      </w:r>
      <w:r>
        <w:t>.</w:t>
      </w:r>
    </w:p>
  </w:footnote>
  <w:footnote w:id="361">
    <w:p w14:paraId="6E5B9C0C" w14:textId="77777777" w:rsidR="00B84A32" w:rsidRDefault="00B84A32" w:rsidP="00B84A32">
      <w:pPr>
        <w:pStyle w:val="FootnoteText"/>
      </w:pPr>
      <w:r>
        <w:rPr>
          <w:rStyle w:val="FootnoteReference"/>
        </w:rPr>
        <w:footnoteRef/>
      </w:r>
      <w:r>
        <w:t xml:space="preserve"> SCE-05A at 154.</w:t>
      </w:r>
    </w:p>
  </w:footnote>
  <w:footnote w:id="362">
    <w:p w14:paraId="44B86042" w14:textId="547B63C5" w:rsidR="000D7F43" w:rsidRDefault="000D7F43">
      <w:pPr>
        <w:pStyle w:val="FootnoteText"/>
      </w:pPr>
      <w:r>
        <w:rPr>
          <w:rStyle w:val="FootnoteReference"/>
        </w:rPr>
        <w:footnoteRef/>
      </w:r>
      <w:r>
        <w:t xml:space="preserve"> SCE-0</w:t>
      </w:r>
      <w:r w:rsidR="00EC38B6">
        <w:t>5</w:t>
      </w:r>
      <w:r w:rsidR="00E349AB">
        <w:t>A</w:t>
      </w:r>
      <w:r>
        <w:t xml:space="preserve"> at 1</w:t>
      </w:r>
      <w:r w:rsidR="00EC38B6">
        <w:t>4</w:t>
      </w:r>
      <w:r w:rsidR="001C19D1">
        <w:t>8 and Table IX-42</w:t>
      </w:r>
    </w:p>
  </w:footnote>
  <w:footnote w:id="363">
    <w:p w14:paraId="1C92B99A" w14:textId="58EC9D7B" w:rsidR="00BE51C0" w:rsidRDefault="00BE51C0" w:rsidP="00BE51C0">
      <w:pPr>
        <w:pStyle w:val="FootnoteText"/>
      </w:pPr>
      <w:r>
        <w:rPr>
          <w:rStyle w:val="FootnoteReference"/>
        </w:rPr>
        <w:footnoteRef/>
      </w:r>
      <w:r>
        <w:t xml:space="preserve"> SCE-0</w:t>
      </w:r>
      <w:r w:rsidR="00EC38B6">
        <w:t>5</w:t>
      </w:r>
      <w:r w:rsidR="001C19D1">
        <w:t>A</w:t>
      </w:r>
      <w:r>
        <w:t xml:space="preserve"> at </w:t>
      </w:r>
      <w:r w:rsidR="00EC38B6">
        <w:t>Table IX-47</w:t>
      </w:r>
      <w:r w:rsidR="00F24DCC">
        <w:t>.</w:t>
      </w:r>
    </w:p>
  </w:footnote>
  <w:footnote w:id="364">
    <w:p w14:paraId="02A313E5" w14:textId="4E52A913" w:rsidR="00CB05A1" w:rsidRDefault="00CB05A1">
      <w:pPr>
        <w:pStyle w:val="FootnoteText"/>
      </w:pPr>
      <w:r>
        <w:rPr>
          <w:rStyle w:val="FootnoteReference"/>
        </w:rPr>
        <w:footnoteRef/>
      </w:r>
      <w:r>
        <w:t xml:space="preserve"> SCE-0</w:t>
      </w:r>
      <w:r w:rsidR="001E2A44">
        <w:t>5</w:t>
      </w:r>
      <w:r w:rsidR="001C19D1">
        <w:t>A</w:t>
      </w:r>
      <w:r>
        <w:t xml:space="preserve"> at 1</w:t>
      </w:r>
      <w:r w:rsidR="001E2A44">
        <w:t>5</w:t>
      </w:r>
      <w:r w:rsidR="001C19D1">
        <w:t>5</w:t>
      </w:r>
      <w:r w:rsidR="00EE668D">
        <w:t>-1</w:t>
      </w:r>
      <w:r w:rsidR="001E2A44">
        <w:t>5</w:t>
      </w:r>
      <w:r w:rsidR="001C19D1">
        <w:t>6</w:t>
      </w:r>
      <w:r>
        <w:t>.</w:t>
      </w:r>
    </w:p>
  </w:footnote>
  <w:footnote w:id="365">
    <w:p w14:paraId="50D8784C" w14:textId="5CDB43F6" w:rsidR="0057006D" w:rsidRDefault="0057006D" w:rsidP="0057006D">
      <w:pPr>
        <w:pStyle w:val="FootnoteText"/>
      </w:pPr>
      <w:r>
        <w:rPr>
          <w:rStyle w:val="FootnoteReference"/>
        </w:rPr>
        <w:footnoteRef/>
      </w:r>
      <w:r>
        <w:t xml:space="preserve"> SCE-0</w:t>
      </w:r>
      <w:r w:rsidR="001C19D1">
        <w:t>5A</w:t>
      </w:r>
      <w:r>
        <w:t xml:space="preserve"> at Table IX-4</w:t>
      </w:r>
      <w:r w:rsidR="001C19D1">
        <w:t>7</w:t>
      </w:r>
      <w:r w:rsidR="00F24DCC">
        <w:t>.</w:t>
      </w:r>
      <w:r w:rsidR="00B859A6">
        <w:t xml:space="preserve"> SCE proposes valuing RPS quantities as follows: RECs that cannot be allocated, SCE’s portion of VAMO RECs, non-SCE Voluntary Allocations, and Post-2018 Banked RECs forecast to be used for bundled customer compliance are forecast at the prior years’ Forecast RPS Adder. RPS sold through Market Offers and Actual Sold RPS are valued at actual prices and Forecast Unsold and Pre-2019 Banked RECs are valued at $0.</w:t>
      </w:r>
    </w:p>
  </w:footnote>
  <w:footnote w:id="366">
    <w:p w14:paraId="0EABF161" w14:textId="6953B4A2" w:rsidR="00233E37" w:rsidRDefault="00233E37" w:rsidP="00233E37">
      <w:pPr>
        <w:pStyle w:val="FootnoteText"/>
      </w:pPr>
      <w:r>
        <w:rPr>
          <w:rStyle w:val="FootnoteReference"/>
        </w:rPr>
        <w:footnoteRef/>
      </w:r>
      <w:r>
        <w:t xml:space="preserve"> D.19-10-001 at </w:t>
      </w:r>
      <w:r w:rsidR="00530FFE">
        <w:t xml:space="preserve">4-5, </w:t>
      </w:r>
      <w:r>
        <w:t>12.</w:t>
      </w:r>
    </w:p>
  </w:footnote>
  <w:footnote w:id="367">
    <w:p w14:paraId="7557D939" w14:textId="77777777" w:rsidR="00233E37" w:rsidRDefault="00233E37" w:rsidP="00233E37">
      <w:pPr>
        <w:pStyle w:val="FootnoteText"/>
      </w:pPr>
      <w:r>
        <w:rPr>
          <w:rStyle w:val="FootnoteReference"/>
        </w:rPr>
        <w:footnoteRef/>
      </w:r>
      <w:r>
        <w:t xml:space="preserve"> D.19-10-001 at 13.</w:t>
      </w:r>
    </w:p>
  </w:footnote>
  <w:footnote w:id="368">
    <w:p w14:paraId="3EBE9E62" w14:textId="77777777" w:rsidR="00CC1B6B" w:rsidRDefault="00CC1B6B" w:rsidP="00CC1B6B">
      <w:pPr>
        <w:pStyle w:val="FootnoteText"/>
      </w:pPr>
      <w:r>
        <w:rPr>
          <w:rStyle w:val="FootnoteReference"/>
        </w:rPr>
        <w:footnoteRef/>
      </w:r>
      <w:r>
        <w:t xml:space="preserve"> D.19-10-001 at 35.</w:t>
      </w:r>
    </w:p>
  </w:footnote>
  <w:footnote w:id="369">
    <w:p w14:paraId="5DE15573" w14:textId="77777777" w:rsidR="00CC1B6B" w:rsidRDefault="00CC1B6B" w:rsidP="00CC1B6B">
      <w:pPr>
        <w:pStyle w:val="FootnoteText"/>
      </w:pPr>
      <w:r>
        <w:rPr>
          <w:rStyle w:val="FootnoteReference"/>
        </w:rPr>
        <w:footnoteRef/>
      </w:r>
      <w:r>
        <w:t xml:space="preserve"> D.19-10-001 at OP 2 and Attachment B, Table I.</w:t>
      </w:r>
    </w:p>
  </w:footnote>
  <w:footnote w:id="370">
    <w:p w14:paraId="0E28FF7C" w14:textId="77777777" w:rsidR="00CC1B6B" w:rsidRDefault="00CC1B6B" w:rsidP="00CC1B6B">
      <w:pPr>
        <w:pStyle w:val="FootnoteText"/>
      </w:pPr>
      <w:r>
        <w:rPr>
          <w:rStyle w:val="FootnoteReference"/>
        </w:rPr>
        <w:footnoteRef/>
      </w:r>
      <w:r>
        <w:t xml:space="preserve"> D.19-10-001 at FOF 8. </w:t>
      </w:r>
    </w:p>
  </w:footnote>
  <w:footnote w:id="371">
    <w:p w14:paraId="4594123C" w14:textId="64EC8DB6" w:rsidR="001C19D1" w:rsidRDefault="001C19D1" w:rsidP="001C19D1">
      <w:pPr>
        <w:pStyle w:val="FootnoteText"/>
      </w:pPr>
      <w:r>
        <w:rPr>
          <w:rStyle w:val="FootnoteReference"/>
        </w:rPr>
        <w:footnoteRef/>
      </w:r>
      <w:r>
        <w:t xml:space="preserve"> SCE-04 at 5; CalCCA-01 at 17.</w:t>
      </w:r>
    </w:p>
  </w:footnote>
  <w:footnote w:id="372">
    <w:p w14:paraId="5ABCF3F0" w14:textId="0F8CC8F2" w:rsidR="00D36FC9" w:rsidRDefault="00D36FC9">
      <w:pPr>
        <w:pStyle w:val="FootnoteText"/>
      </w:pPr>
      <w:r>
        <w:rPr>
          <w:rStyle w:val="FootnoteReference"/>
        </w:rPr>
        <w:footnoteRef/>
      </w:r>
      <w:r>
        <w:t xml:space="preserve"> </w:t>
      </w:r>
      <w:r w:rsidR="00770945">
        <w:t>SCE-0</w:t>
      </w:r>
      <w:r w:rsidR="000D17CE">
        <w:t>5A</w:t>
      </w:r>
      <w:r w:rsidR="00770945">
        <w:t xml:space="preserve"> at 1</w:t>
      </w:r>
      <w:r w:rsidR="000D17CE">
        <w:t>56-157</w:t>
      </w:r>
      <w:r w:rsidR="00770945">
        <w:t xml:space="preserve"> and n.1</w:t>
      </w:r>
      <w:r w:rsidR="000D17CE">
        <w:t>86</w:t>
      </w:r>
      <w:r w:rsidR="00770945">
        <w:t xml:space="preserve">; </w:t>
      </w:r>
      <w:r>
        <w:t xml:space="preserve">SCE-04 at </w:t>
      </w:r>
      <w:r w:rsidR="00575744">
        <w:t>3 (ln. 15-17) and 4 (ln. 5-9).</w:t>
      </w:r>
      <w:r w:rsidR="008B7022">
        <w:t xml:space="preserve"> SCE notes that in response to its </w:t>
      </w:r>
      <w:r w:rsidR="007C17FE">
        <w:t>PFM</w:t>
      </w:r>
      <w:r w:rsidR="008B7022">
        <w:t xml:space="preserve"> of D.23-06-006, which modifi</w:t>
      </w:r>
      <w:r w:rsidR="00B04C46">
        <w:t>ed</w:t>
      </w:r>
      <w:r w:rsidR="008B7022">
        <w:t xml:space="preserve"> to the PCIA methodology, the Commission found that D.23-06-006 did not modify D.19-10-001 with respect to the treatment of </w:t>
      </w:r>
      <w:r w:rsidR="00FA117C">
        <w:t>Pre-2019 B</w:t>
      </w:r>
      <w:r w:rsidR="008B7022">
        <w:t xml:space="preserve">anked </w:t>
      </w:r>
      <w:proofErr w:type="spellStart"/>
      <w:r w:rsidR="008B7022">
        <w:t>RECs</w:t>
      </w:r>
      <w:r w:rsidR="00D82118">
        <w:t>.</w:t>
      </w:r>
      <w:proofErr w:type="spellEnd"/>
      <w:r w:rsidR="00D82118">
        <w:t xml:space="preserve"> SCE-04 at 5 and n.10, </w:t>
      </w:r>
      <w:r w:rsidR="00D82118" w:rsidRPr="00994926">
        <w:t>citing</w:t>
      </w:r>
      <w:r w:rsidR="00D82118">
        <w:t xml:space="preserve"> D.24-08-004</w:t>
      </w:r>
      <w:r w:rsidR="006D4912">
        <w:t xml:space="preserve">, </w:t>
      </w:r>
      <w:r w:rsidR="006D4912" w:rsidRPr="006D4912">
        <w:rPr>
          <w:i/>
          <w:iCs/>
        </w:rPr>
        <w:t>Decision Denying Petition for Modification of Decision</w:t>
      </w:r>
      <w:r w:rsidR="006D4912">
        <w:t xml:space="preserve"> 23-06-006</w:t>
      </w:r>
      <w:r w:rsidR="00D82118">
        <w:t xml:space="preserve"> at 4.</w:t>
      </w:r>
    </w:p>
  </w:footnote>
  <w:footnote w:id="373">
    <w:p w14:paraId="0E65ED06" w14:textId="70794983" w:rsidR="00EE0B95" w:rsidRDefault="00EE0B95">
      <w:pPr>
        <w:pStyle w:val="FootnoteText"/>
      </w:pPr>
      <w:r>
        <w:rPr>
          <w:rStyle w:val="FootnoteReference"/>
        </w:rPr>
        <w:footnoteRef/>
      </w:r>
      <w:r>
        <w:t xml:space="preserve"> </w:t>
      </w:r>
      <w:r w:rsidR="00972D40" w:rsidRPr="00CC0D02">
        <w:t>SCE Opening Brief at 21.</w:t>
      </w:r>
    </w:p>
  </w:footnote>
  <w:footnote w:id="374">
    <w:p w14:paraId="333697BE" w14:textId="603CC6AB" w:rsidR="00C348D1" w:rsidRDefault="00C348D1" w:rsidP="00C348D1">
      <w:pPr>
        <w:pStyle w:val="FootnoteText"/>
      </w:pPr>
      <w:r>
        <w:rPr>
          <w:rStyle w:val="FootnoteReference"/>
        </w:rPr>
        <w:footnoteRef/>
      </w:r>
      <w:r>
        <w:t xml:space="preserve"> SCE Reply Brief at 9. SCE states in testimony that it “</w:t>
      </w:r>
      <w:r w:rsidRPr="00967263">
        <w:t>does not track which resources (and thereby which PABA vintage) produce the RECs that are used for</w:t>
      </w:r>
      <w:r>
        <w:t xml:space="preserve"> </w:t>
      </w:r>
      <w:r w:rsidRPr="00967263">
        <w:t xml:space="preserve">compliance versus those that are </w:t>
      </w:r>
      <w:proofErr w:type="gramStart"/>
      <w:r w:rsidRPr="00967263">
        <w:t>banked</w:t>
      </w:r>
      <w:r>
        <w:t>[</w:t>
      </w:r>
      <w:proofErr w:type="gramEnd"/>
      <w:r>
        <w:t xml:space="preserve">,]” and that that information would be needed to implement </w:t>
      </w:r>
      <w:proofErr w:type="spellStart"/>
      <w:r>
        <w:t>CalCCA’s</w:t>
      </w:r>
      <w:proofErr w:type="spellEnd"/>
      <w:r>
        <w:t xml:space="preserve"> proposal. SCE-04 at 8. </w:t>
      </w:r>
      <w:proofErr w:type="spellStart"/>
      <w:r>
        <w:t>CalCCA</w:t>
      </w:r>
      <w:proofErr w:type="spellEnd"/>
      <w:r>
        <w:t xml:space="preserve"> responds that its proposal is agnostic as to the date the REC’s original generating resource or contract went into service. What matters is the </w:t>
      </w:r>
      <w:r w:rsidR="0049481A" w:rsidRPr="00CC0D02">
        <w:t>year</w:t>
      </w:r>
      <w:r w:rsidR="0049481A">
        <w:t xml:space="preserve"> </w:t>
      </w:r>
      <w:r>
        <w:t xml:space="preserve">in which a REC is generated, as that is the customer vintage into which </w:t>
      </w:r>
      <w:proofErr w:type="spellStart"/>
      <w:r>
        <w:t>CalCCA’s</w:t>
      </w:r>
      <w:proofErr w:type="spellEnd"/>
      <w:r>
        <w:t xml:space="preserve"> proposed credit flows, and so its proposal can be implemented based on information SCE has. </w:t>
      </w:r>
      <w:proofErr w:type="spellStart"/>
      <w:r>
        <w:t>CalCCA</w:t>
      </w:r>
      <w:proofErr w:type="spellEnd"/>
      <w:r>
        <w:t xml:space="preserve"> Opening Brief at </w:t>
      </w:r>
      <w:r w:rsidR="0049481A" w:rsidRPr="00CC0D02">
        <w:t>37-</w:t>
      </w:r>
      <w:r>
        <w:t>38. SCE does not state in briefs that it does not track RECs in a way that would allow it to implement its proposal; as noted above, SCE concludes that it results in a misalignment of costs and benefits. SCE Reply Brief at 9.</w:t>
      </w:r>
    </w:p>
  </w:footnote>
  <w:footnote w:id="375">
    <w:p w14:paraId="7022AA29" w14:textId="4BCF80C1" w:rsidR="00CC1B6B" w:rsidRDefault="00CC1B6B" w:rsidP="00CC1B6B">
      <w:pPr>
        <w:pStyle w:val="FootnoteText"/>
      </w:pPr>
      <w:r>
        <w:rPr>
          <w:rStyle w:val="FootnoteReference"/>
        </w:rPr>
        <w:footnoteRef/>
      </w:r>
      <w:r>
        <w:t xml:space="preserve"> </w:t>
      </w:r>
      <w:r w:rsidRPr="00CC1B6B">
        <w:t>D.24-12-039 at 68: “Weighing the record, we find SCE’s treatment of RPS resources to be reasonable and therefore approve them as proposed for this proceeding.”</w:t>
      </w:r>
      <w:r>
        <w:t xml:space="preserve"> </w:t>
      </w:r>
      <w:r w:rsidRPr="00CC1B6B">
        <w:rPr>
          <w:i/>
          <w:iCs/>
        </w:rPr>
        <w:t>See also</w:t>
      </w:r>
      <w:r>
        <w:t>, A.24-05-007, Exhibit SCE-09 at 114: “</w:t>
      </w:r>
      <w:r w:rsidRPr="00CC1B6B">
        <w:t>However, should the post-2018 banked RECs be exhausted, SCE will then use pre-2019 banked RECs and value those pre-2019 banked RECs at zero.”</w:t>
      </w:r>
      <w:r w:rsidR="00064AC1">
        <w:t xml:space="preserve"> D.23-11-094, </w:t>
      </w:r>
      <w:r w:rsidR="00064AC1" w:rsidRPr="002D069E">
        <w:rPr>
          <w:i/>
          <w:iCs/>
        </w:rPr>
        <w:t>Southern California Edison Company’s 2024 Energy Resource Recovery Account Forecast</w:t>
      </w:r>
      <w:r w:rsidR="00064AC1">
        <w:t xml:space="preserve"> at 60 [hereinafter D</w:t>
      </w:r>
      <w:r w:rsidR="00FF2E28">
        <w:t>.</w:t>
      </w:r>
      <w:r w:rsidR="00064AC1">
        <w:t>23-11-094]: “</w:t>
      </w:r>
      <w:r w:rsidR="00064AC1" w:rsidRPr="002D069E">
        <w:t>Should SCE determine that the use of RECs banked in or before 2018 is necessary for its bundled service RPS compliance, it should value those RECs at zero, as it proposed.</w:t>
      </w:r>
      <w:r w:rsidR="00064AC1">
        <w:t>”</w:t>
      </w:r>
    </w:p>
  </w:footnote>
  <w:footnote w:id="376">
    <w:p w14:paraId="4F13BD71" w14:textId="0A6EEE2F" w:rsidR="00F3561C" w:rsidRDefault="00F3561C">
      <w:pPr>
        <w:pStyle w:val="FootnoteText"/>
      </w:pPr>
      <w:r>
        <w:rPr>
          <w:rStyle w:val="FootnoteReference"/>
        </w:rPr>
        <w:footnoteRef/>
      </w:r>
      <w:r>
        <w:t xml:space="preserve"> </w:t>
      </w:r>
      <w:proofErr w:type="spellStart"/>
      <w:r>
        <w:t>CalCCA’s</w:t>
      </w:r>
      <w:proofErr w:type="spellEnd"/>
      <w:r>
        <w:t xml:space="preserve"> “first-in, first-out” proposal is intended to allow DL customers who paid for RECs earlier</w:t>
      </w:r>
      <w:r w:rsidRPr="00CC0D02">
        <w:t xml:space="preserve"> </w:t>
      </w:r>
      <w:r w:rsidR="0049481A" w:rsidRPr="00CC0D02">
        <w:t xml:space="preserve">to </w:t>
      </w:r>
      <w:r>
        <w:t>be compensated first. CalCCA-01 at 25.</w:t>
      </w:r>
    </w:p>
  </w:footnote>
  <w:footnote w:id="377">
    <w:p w14:paraId="4753148D" w14:textId="5C841DE2" w:rsidR="007E5A7A" w:rsidRDefault="007E5A7A" w:rsidP="00963DB5">
      <w:pPr>
        <w:pStyle w:val="FootnoteText"/>
      </w:pPr>
      <w:r>
        <w:rPr>
          <w:rStyle w:val="FootnoteReference"/>
        </w:rPr>
        <w:footnoteRef/>
      </w:r>
      <w:r>
        <w:t xml:space="preserve"> CalCCA-01 at </w:t>
      </w:r>
      <w:r w:rsidR="00963DB5">
        <w:t>25.</w:t>
      </w:r>
      <w:r w:rsidR="00FA75B2">
        <w:t xml:space="preserve"> </w:t>
      </w:r>
      <w:r w:rsidR="00FA75B2" w:rsidRPr="00547A5C">
        <w:rPr>
          <w:i/>
          <w:iCs/>
        </w:rPr>
        <w:t>See also</w:t>
      </w:r>
      <w:r w:rsidR="00FA75B2">
        <w:t xml:space="preserve"> </w:t>
      </w:r>
      <w:proofErr w:type="spellStart"/>
      <w:r w:rsidR="00FA75B2">
        <w:t>CalCCA</w:t>
      </w:r>
      <w:proofErr w:type="spellEnd"/>
      <w:r w:rsidR="00FA75B2">
        <w:t xml:space="preserve"> Opening Brief at </w:t>
      </w:r>
      <w:r w:rsidR="00D34B22">
        <w:rPr>
          <w:u w:val="single"/>
        </w:rPr>
        <w:t>6-7</w:t>
      </w:r>
      <w:r w:rsidR="00547A5C" w:rsidRPr="0077061F">
        <w:rPr>
          <w:strike/>
        </w:rPr>
        <w:t>27</w:t>
      </w:r>
      <w:r w:rsidR="00547A5C">
        <w:t>.</w:t>
      </w:r>
    </w:p>
  </w:footnote>
  <w:footnote w:id="378">
    <w:p w14:paraId="11C8D3A3" w14:textId="77777777" w:rsidR="00EE0B95" w:rsidRDefault="00EE0B95" w:rsidP="00EE0B95">
      <w:pPr>
        <w:pStyle w:val="FootnoteText"/>
      </w:pPr>
      <w:r>
        <w:rPr>
          <w:rStyle w:val="FootnoteReference"/>
        </w:rPr>
        <w:footnoteRef/>
      </w:r>
      <w:r>
        <w:t xml:space="preserve"> CalCCA-01 at 32. </w:t>
      </w:r>
      <w:proofErr w:type="spellStart"/>
      <w:r>
        <w:t>CalCCA</w:t>
      </w:r>
      <w:proofErr w:type="spellEnd"/>
      <w:r>
        <w:t xml:space="preserve"> Opening Brief at 20-21.</w:t>
      </w:r>
    </w:p>
  </w:footnote>
  <w:footnote w:id="379">
    <w:p w14:paraId="606BD134" w14:textId="77777777" w:rsidR="00EE0B95" w:rsidRDefault="00EE0B95" w:rsidP="00EE0B95">
      <w:pPr>
        <w:pStyle w:val="FootnoteText"/>
      </w:pPr>
      <w:r>
        <w:rPr>
          <w:rStyle w:val="FootnoteReference"/>
        </w:rPr>
        <w:footnoteRef/>
      </w:r>
      <w:r>
        <w:t xml:space="preserve"> </w:t>
      </w:r>
      <w:proofErr w:type="spellStart"/>
      <w:r>
        <w:t>CalCCA</w:t>
      </w:r>
      <w:proofErr w:type="spellEnd"/>
      <w:r>
        <w:t xml:space="preserve"> Opening Brief at 6. Pub. Util. Code § 366.2(g) states: </w:t>
      </w:r>
    </w:p>
    <w:p w14:paraId="2345B28D" w14:textId="77777777" w:rsidR="00EE0B95" w:rsidRDefault="00EE0B95" w:rsidP="00EE0B95">
      <w:pPr>
        <w:pStyle w:val="FootnoteText"/>
        <w:ind w:left="720" w:right="1440"/>
      </w:pPr>
      <w:r w:rsidRPr="00AA611D">
        <w:t>Estimated net unavoidable electricity costs paid by the customers of a community choice aggregator shall be reduced by the value of any benefits that remain with bundled service customers, unless the customers of the community choice aggregator are allocated a fair and equitable share of those benefits.</w:t>
      </w:r>
    </w:p>
  </w:footnote>
  <w:footnote w:id="380">
    <w:p w14:paraId="35B3761D" w14:textId="4A80AAAA" w:rsidR="009A33AF" w:rsidRDefault="009A33AF" w:rsidP="009A33AF">
      <w:pPr>
        <w:pStyle w:val="FootnoteText"/>
      </w:pPr>
      <w:r>
        <w:rPr>
          <w:rStyle w:val="FootnoteReference"/>
        </w:rPr>
        <w:footnoteRef/>
      </w:r>
      <w:r>
        <w:t xml:space="preserve"> CalCCA-01 at </w:t>
      </w:r>
      <w:r w:rsidRPr="00CC0D02">
        <w:t>2</w:t>
      </w:r>
      <w:r w:rsidR="00D34B22" w:rsidRPr="00CC0D02">
        <w:t>9</w:t>
      </w:r>
      <w:r>
        <w:t xml:space="preserve">. </w:t>
      </w:r>
      <w:proofErr w:type="spellStart"/>
      <w:r>
        <w:t>CalCCA</w:t>
      </w:r>
      <w:proofErr w:type="spellEnd"/>
      <w:r>
        <w:t xml:space="preserve"> Opening Brief at 30.</w:t>
      </w:r>
    </w:p>
  </w:footnote>
  <w:footnote w:id="381">
    <w:p w14:paraId="163BD4D7" w14:textId="3746FAD0" w:rsidR="00120974" w:rsidRDefault="00120974" w:rsidP="002D0F19">
      <w:pPr>
        <w:pStyle w:val="FootnoteText"/>
      </w:pPr>
      <w:r>
        <w:rPr>
          <w:rStyle w:val="FootnoteReference"/>
        </w:rPr>
        <w:footnoteRef/>
      </w:r>
      <w:r>
        <w:t xml:space="preserve"> CalCCA-01 at n.3</w:t>
      </w:r>
      <w:r w:rsidR="00D34B22" w:rsidRPr="00A8486C">
        <w:t>6</w:t>
      </w:r>
      <w:r>
        <w:t xml:space="preserve">. </w:t>
      </w:r>
    </w:p>
  </w:footnote>
  <w:footnote w:id="382">
    <w:p w14:paraId="584F8208" w14:textId="30068FB7" w:rsidR="003A2026" w:rsidRDefault="003A2026">
      <w:pPr>
        <w:pStyle w:val="FootnoteText"/>
      </w:pPr>
      <w:r>
        <w:rPr>
          <w:rStyle w:val="FootnoteReference"/>
        </w:rPr>
        <w:footnoteRef/>
      </w:r>
      <w:r>
        <w:t xml:space="preserve"> CalCCA-01 at 21</w:t>
      </w:r>
      <w:r w:rsidR="00D36FC9">
        <w:t xml:space="preserve">, </w:t>
      </w:r>
      <w:r w:rsidR="00D36FC9" w:rsidRPr="00994926">
        <w:t>citing</w:t>
      </w:r>
      <w:r w:rsidR="00D36FC9">
        <w:t xml:space="preserve"> </w:t>
      </w:r>
      <w:r w:rsidR="00D36FC9" w:rsidRPr="00D36FC9">
        <w:t>D.19-10-001, at Attachment B.</w:t>
      </w:r>
    </w:p>
  </w:footnote>
  <w:footnote w:id="383">
    <w:p w14:paraId="388B652A" w14:textId="7C6FD3F9" w:rsidR="00653740" w:rsidRPr="001C1D4D" w:rsidRDefault="00653740" w:rsidP="00653740">
      <w:pPr>
        <w:pStyle w:val="FootnoteText"/>
        <w:rPr>
          <w:strike/>
        </w:rPr>
      </w:pPr>
      <w:r>
        <w:rPr>
          <w:rStyle w:val="FootnoteReference"/>
        </w:rPr>
        <w:footnoteRef/>
      </w:r>
      <w:r>
        <w:t xml:space="preserve"> CalCCA-01 at 19 and n.42, </w:t>
      </w:r>
      <w:r w:rsidRPr="00994926">
        <w:t>citing</w:t>
      </w:r>
      <w:r>
        <w:t xml:space="preserve"> D.23-11-094</w:t>
      </w:r>
      <w:r w:rsidR="00D34B22">
        <w:t xml:space="preserve"> </w:t>
      </w:r>
      <w:r w:rsidR="00D34B22" w:rsidRPr="00CC0D02">
        <w:t>at 53</w:t>
      </w:r>
      <w:r w:rsidR="001C1D4D" w:rsidRPr="00CC0D02">
        <w:t>.</w:t>
      </w:r>
    </w:p>
  </w:footnote>
  <w:footnote w:id="384">
    <w:p w14:paraId="489497E1" w14:textId="77777777" w:rsidR="00653740" w:rsidRDefault="00653740" w:rsidP="00653740">
      <w:pPr>
        <w:pStyle w:val="FootnoteText"/>
      </w:pPr>
      <w:r>
        <w:rPr>
          <w:rStyle w:val="FootnoteReference"/>
        </w:rPr>
        <w:footnoteRef/>
      </w:r>
      <w:r>
        <w:t xml:space="preserve"> CalCCA-01 at 20 and n.45, </w:t>
      </w:r>
      <w:r w:rsidRPr="00994926">
        <w:t>citing</w:t>
      </w:r>
      <w:r>
        <w:t xml:space="preserve"> </w:t>
      </w:r>
      <w:r w:rsidRPr="00667402">
        <w:t>D.24-12-039</w:t>
      </w:r>
      <w:r>
        <w:t xml:space="preserve"> </w:t>
      </w:r>
      <w:r w:rsidRPr="00667402">
        <w:t>at 68</w:t>
      </w:r>
      <w:r>
        <w:t>: “</w:t>
      </w:r>
      <w:r w:rsidRPr="003F35D9">
        <w:t>Weighing the record, we find SCE’s treatment of RPS resources to be reasonable and therefore approve them as proposed for this proceeding.</w:t>
      </w:r>
      <w:r>
        <w:t>”</w:t>
      </w:r>
    </w:p>
  </w:footnote>
  <w:footnote w:id="385">
    <w:p w14:paraId="790B3C93" w14:textId="5F567964" w:rsidR="000B38BC" w:rsidRDefault="000B38BC" w:rsidP="000B38BC">
      <w:pPr>
        <w:pStyle w:val="FootnoteText"/>
      </w:pPr>
      <w:r>
        <w:rPr>
          <w:rStyle w:val="FootnoteReference"/>
        </w:rPr>
        <w:footnoteRef/>
      </w:r>
      <w:r>
        <w:t xml:space="preserve"> CalCCA-01 at 20. </w:t>
      </w:r>
    </w:p>
  </w:footnote>
  <w:footnote w:id="386">
    <w:p w14:paraId="0C73F18F" w14:textId="421B2E76" w:rsidR="006D03F8" w:rsidRDefault="006D03F8" w:rsidP="00260EB9">
      <w:pPr>
        <w:pStyle w:val="FootnoteText"/>
      </w:pPr>
      <w:r>
        <w:rPr>
          <w:rStyle w:val="FootnoteReference"/>
        </w:rPr>
        <w:footnoteRef/>
      </w:r>
      <w:r>
        <w:t xml:space="preserve"> </w:t>
      </w:r>
      <w:proofErr w:type="spellStart"/>
      <w:r>
        <w:t>CalCCA</w:t>
      </w:r>
      <w:proofErr w:type="spellEnd"/>
      <w:r>
        <w:t xml:space="preserve"> Opening Brief at 19. </w:t>
      </w:r>
      <w:r w:rsidRPr="006D03F8">
        <w:rPr>
          <w:i/>
          <w:iCs/>
        </w:rPr>
        <w:t>See also id.</w:t>
      </w:r>
      <w:r>
        <w:t xml:space="preserve"> at 22</w:t>
      </w:r>
      <w:r w:rsidR="00260EB9">
        <w:t>: “[D.]</w:t>
      </w:r>
      <w:r w:rsidR="00260EB9" w:rsidRPr="00260EB9">
        <w:t>19-10-001, however, left intact the</w:t>
      </w:r>
      <w:r w:rsidR="00260EB9">
        <w:t xml:space="preserve"> </w:t>
      </w:r>
      <w:r w:rsidR="00260EB9" w:rsidRPr="00260EB9">
        <w:t>fundamental requirement, created by D.11-12-018, that for RPS-eligible resources retained by bundled customers, the indifference</w:t>
      </w:r>
      <w:r w:rsidR="00260EB9">
        <w:t xml:space="preserve"> </w:t>
      </w:r>
      <w:r w:rsidR="00260EB9" w:rsidRPr="00260EB9">
        <w:t>calculation must reflect the incremental RPS value</w:t>
      </w:r>
      <w:r w:rsidR="00260EB9">
        <w:t>.”</w:t>
      </w:r>
    </w:p>
  </w:footnote>
  <w:footnote w:id="387">
    <w:p w14:paraId="56DE069C" w14:textId="70FD7EDE" w:rsidR="00547F01" w:rsidRDefault="00547F01">
      <w:pPr>
        <w:pStyle w:val="FootnoteText"/>
      </w:pPr>
      <w:r>
        <w:rPr>
          <w:rStyle w:val="FootnoteReference"/>
        </w:rPr>
        <w:footnoteRef/>
      </w:r>
      <w:r>
        <w:t xml:space="preserve"> </w:t>
      </w:r>
      <w:proofErr w:type="spellStart"/>
      <w:r>
        <w:t>CalCCA</w:t>
      </w:r>
      <w:proofErr w:type="spellEnd"/>
      <w:r>
        <w:t xml:space="preserve"> Opening Brief at</w:t>
      </w:r>
      <w:r w:rsidRPr="00CC0D02">
        <w:t xml:space="preserve"> </w:t>
      </w:r>
      <w:r w:rsidR="0094541A" w:rsidRPr="00CC0D02">
        <w:t>22-</w:t>
      </w:r>
      <w:r>
        <w:t>23.</w:t>
      </w:r>
    </w:p>
  </w:footnote>
  <w:footnote w:id="388">
    <w:p w14:paraId="2FE32941" w14:textId="2C78575F" w:rsidR="004A03A3" w:rsidRDefault="004A03A3" w:rsidP="002D0F19">
      <w:pPr>
        <w:pStyle w:val="FootnoteText"/>
      </w:pPr>
      <w:r>
        <w:rPr>
          <w:rStyle w:val="FootnoteReference"/>
        </w:rPr>
        <w:footnoteRef/>
      </w:r>
      <w:r>
        <w:t xml:space="preserve"> SCE Reply Brief at 4-5.</w:t>
      </w:r>
    </w:p>
  </w:footnote>
  <w:footnote w:id="389">
    <w:p w14:paraId="5011C4BF" w14:textId="77777777" w:rsidR="007D1061" w:rsidRDefault="00CC6D57" w:rsidP="0004181E">
      <w:pPr>
        <w:pStyle w:val="FootnoteText"/>
      </w:pPr>
      <w:r>
        <w:rPr>
          <w:rStyle w:val="FootnoteReference"/>
        </w:rPr>
        <w:footnoteRef/>
      </w:r>
      <w:r>
        <w:t xml:space="preserve"> SCE-04 at 3 and n.3, </w:t>
      </w:r>
      <w:r w:rsidRPr="00994926">
        <w:t>citing</w:t>
      </w:r>
      <w:r>
        <w:t xml:space="preserve"> CalCCA-01 at 13</w:t>
      </w:r>
      <w:r w:rsidR="0004181E">
        <w:t xml:space="preserve">: </w:t>
      </w:r>
    </w:p>
    <w:p w14:paraId="13B5765B" w14:textId="0886E6F0" w:rsidR="00CC6D57" w:rsidRDefault="0004181E" w:rsidP="007D1061">
      <w:pPr>
        <w:pStyle w:val="FootnoteText"/>
        <w:ind w:left="720" w:right="720"/>
      </w:pPr>
      <w:r w:rsidRPr="0004181E">
        <w:t>In my experience, the Commission generally does not allow</w:t>
      </w:r>
      <w:r>
        <w:t xml:space="preserve"> </w:t>
      </w:r>
      <w:r w:rsidRPr="0004181E">
        <w:t>policymaking in ERRA Forecast cases. Proposals to change the PCIA ratemaking framework are first</w:t>
      </w:r>
      <w:r>
        <w:t xml:space="preserve"> </w:t>
      </w:r>
      <w:r w:rsidRPr="0004181E">
        <w:t>reviewed in other proceedings, such as the PCIA Rulemaking Proceeding initiated this year, so that all</w:t>
      </w:r>
      <w:r>
        <w:t xml:space="preserve"> </w:t>
      </w:r>
      <w:r w:rsidRPr="0004181E">
        <w:t>interested parties have an opportunity to evaluate and respond to those proposals</w:t>
      </w:r>
      <w:r w:rsidR="00CC6D57">
        <w:t>.</w:t>
      </w:r>
    </w:p>
  </w:footnote>
  <w:footnote w:id="390">
    <w:p w14:paraId="338A3835" w14:textId="77777777" w:rsidR="00CC6D57" w:rsidRDefault="00CC6D57" w:rsidP="00CC6D57">
      <w:pPr>
        <w:pStyle w:val="FootnoteText"/>
      </w:pPr>
      <w:r>
        <w:rPr>
          <w:rStyle w:val="FootnoteReference"/>
        </w:rPr>
        <w:footnoteRef/>
      </w:r>
      <w:r>
        <w:t xml:space="preserve"> SCE-04 at 6-7.</w:t>
      </w:r>
    </w:p>
  </w:footnote>
  <w:footnote w:id="391">
    <w:p w14:paraId="226212C5" w14:textId="23730B04" w:rsidR="004C5EDE" w:rsidRDefault="004C5EDE">
      <w:pPr>
        <w:pStyle w:val="FootnoteText"/>
      </w:pPr>
      <w:r>
        <w:rPr>
          <w:rStyle w:val="FootnoteReference"/>
        </w:rPr>
        <w:footnoteRef/>
      </w:r>
      <w:r>
        <w:t xml:space="preserve"> SCE-04 at 5, n.9, </w:t>
      </w:r>
      <w:r w:rsidRPr="00994926">
        <w:t>citing</w:t>
      </w:r>
      <w:r>
        <w:t xml:space="preserve"> </w:t>
      </w:r>
      <w:r w:rsidRPr="004C5EDE">
        <w:t>D.23-11-094</w:t>
      </w:r>
      <w:r>
        <w:t xml:space="preserve"> at</w:t>
      </w:r>
      <w:r w:rsidRPr="004C5EDE">
        <w:t xml:space="preserve"> 53</w:t>
      </w:r>
      <w:r>
        <w:t>.</w:t>
      </w:r>
    </w:p>
  </w:footnote>
  <w:footnote w:id="392">
    <w:p w14:paraId="4C8AD260" w14:textId="77777777" w:rsidR="005549C2" w:rsidRDefault="005549C2" w:rsidP="005549C2">
      <w:pPr>
        <w:pStyle w:val="FootnoteText"/>
      </w:pPr>
      <w:r>
        <w:rPr>
          <w:rStyle w:val="FootnoteReference"/>
        </w:rPr>
        <w:footnoteRef/>
      </w:r>
      <w:r>
        <w:t xml:space="preserve"> CalCCA-01 at 25.</w:t>
      </w:r>
    </w:p>
  </w:footnote>
  <w:footnote w:id="393">
    <w:p w14:paraId="507BB34C" w14:textId="4E8012EA" w:rsidR="007A1F0C" w:rsidRDefault="007A1F0C">
      <w:pPr>
        <w:pStyle w:val="FootnoteText"/>
      </w:pPr>
      <w:r>
        <w:rPr>
          <w:rStyle w:val="FootnoteReference"/>
        </w:rPr>
        <w:footnoteRef/>
      </w:r>
      <w:r>
        <w:t xml:space="preserve"> SCE-04 at 8.</w:t>
      </w:r>
    </w:p>
  </w:footnote>
  <w:footnote w:id="394">
    <w:p w14:paraId="484355FC" w14:textId="00FF782B" w:rsidR="0085775E" w:rsidRDefault="0085775E" w:rsidP="0085775E">
      <w:pPr>
        <w:pStyle w:val="FootnoteText"/>
      </w:pPr>
      <w:r>
        <w:rPr>
          <w:rStyle w:val="FootnoteReference"/>
        </w:rPr>
        <w:footnoteRef/>
      </w:r>
      <w:r>
        <w:t xml:space="preserve"> SCE-</w:t>
      </w:r>
      <w:r w:rsidR="00E03F9A">
        <w:t>01</w:t>
      </w:r>
      <w:r>
        <w:t xml:space="preserve"> at Table IX-45, noting that the quantity of Pre-2019 Banked RECs SCE forecasts </w:t>
      </w:r>
      <w:proofErr w:type="gramStart"/>
      <w:r>
        <w:t>equals</w:t>
      </w:r>
      <w:proofErr w:type="gramEnd"/>
      <w:r>
        <w:t xml:space="preserve"> its “Forecast RPS compliance if short, required to use bank, and all Post-2018 RECs are exhausted.”</w:t>
      </w:r>
      <w:r w:rsidR="00F24DCC">
        <w:t xml:space="preserve"> </w:t>
      </w:r>
    </w:p>
  </w:footnote>
  <w:footnote w:id="395">
    <w:p w14:paraId="7246E34E" w14:textId="259EB3B3" w:rsidR="00E9010E" w:rsidRDefault="00E9010E">
      <w:pPr>
        <w:pStyle w:val="FootnoteText"/>
      </w:pPr>
      <w:r>
        <w:rPr>
          <w:rStyle w:val="FootnoteReference"/>
        </w:rPr>
        <w:footnoteRef/>
      </w:r>
      <w:r>
        <w:t xml:space="preserve"> SCE-05A at Table IX-42.</w:t>
      </w:r>
    </w:p>
  </w:footnote>
  <w:footnote w:id="396">
    <w:p w14:paraId="4B41EBB3" w14:textId="77777777" w:rsidR="00E9010E" w:rsidRDefault="00E9010E" w:rsidP="00E9010E">
      <w:pPr>
        <w:pStyle w:val="FootnoteText"/>
      </w:pPr>
      <w:r>
        <w:rPr>
          <w:rStyle w:val="FootnoteReference"/>
        </w:rPr>
        <w:footnoteRef/>
      </w:r>
      <w:r>
        <w:t xml:space="preserve"> SCE-05A at 148.</w:t>
      </w:r>
    </w:p>
  </w:footnote>
  <w:footnote w:id="397">
    <w:p w14:paraId="3FCF3316" w14:textId="5BC5ADE4" w:rsidR="00A53A9F" w:rsidRDefault="00A53A9F" w:rsidP="00A53A9F">
      <w:pPr>
        <w:pStyle w:val="FootnoteText"/>
      </w:pPr>
      <w:r>
        <w:rPr>
          <w:rStyle w:val="FootnoteReference"/>
        </w:rPr>
        <w:footnoteRef/>
      </w:r>
      <w:r>
        <w:t xml:space="preserve"> SCE-05A at 152-153. </w:t>
      </w:r>
    </w:p>
  </w:footnote>
  <w:footnote w:id="398">
    <w:p w14:paraId="792D350F" w14:textId="020BCED0" w:rsidR="003365E5" w:rsidRDefault="003365E5">
      <w:pPr>
        <w:pStyle w:val="FootnoteText"/>
      </w:pPr>
      <w:r>
        <w:rPr>
          <w:rStyle w:val="FootnoteReference"/>
        </w:rPr>
        <w:footnoteRef/>
      </w:r>
      <w:r>
        <w:t xml:space="preserve"> SCE-05</w:t>
      </w:r>
      <w:r w:rsidR="00D867F9">
        <w:t>A</w:t>
      </w:r>
      <w:r>
        <w:t xml:space="preserve"> at 1</w:t>
      </w:r>
      <w:r w:rsidR="00D867F9">
        <w:t>51</w:t>
      </w:r>
      <w:r>
        <w:t>.</w:t>
      </w:r>
    </w:p>
  </w:footnote>
  <w:footnote w:id="399">
    <w:p w14:paraId="1116C470" w14:textId="25B2B0CD" w:rsidR="00A53A9F" w:rsidRDefault="00A53A9F">
      <w:pPr>
        <w:pStyle w:val="FootnoteText"/>
      </w:pPr>
      <w:r>
        <w:rPr>
          <w:rStyle w:val="FootnoteReference"/>
        </w:rPr>
        <w:footnoteRef/>
      </w:r>
      <w:r>
        <w:t xml:space="preserve"> </w:t>
      </w:r>
      <w:proofErr w:type="spellStart"/>
      <w:r>
        <w:t>CalCCA</w:t>
      </w:r>
      <w:proofErr w:type="spellEnd"/>
      <w:r>
        <w:t xml:space="preserve"> Opening Brief at 59.</w:t>
      </w:r>
    </w:p>
  </w:footnote>
  <w:footnote w:id="400">
    <w:p w14:paraId="20D1FC9E" w14:textId="244B91E1" w:rsidR="00A53A9F" w:rsidRDefault="00A53A9F" w:rsidP="00A53A9F">
      <w:pPr>
        <w:pStyle w:val="FootnoteText"/>
      </w:pPr>
      <w:r>
        <w:rPr>
          <w:rStyle w:val="FootnoteReference"/>
        </w:rPr>
        <w:footnoteRef/>
      </w:r>
      <w:r>
        <w:t xml:space="preserve"> SCE-05A at 4-5.</w:t>
      </w:r>
    </w:p>
  </w:footnote>
  <w:footnote w:id="401">
    <w:p w14:paraId="23FA103A" w14:textId="77777777" w:rsidR="00D867F9" w:rsidRDefault="00D867F9" w:rsidP="00D867F9">
      <w:pPr>
        <w:pStyle w:val="FootnoteText"/>
      </w:pPr>
      <w:r>
        <w:rPr>
          <w:rStyle w:val="FootnoteReference"/>
        </w:rPr>
        <w:footnoteRef/>
      </w:r>
      <w:r>
        <w:t xml:space="preserve"> SCE-05A at 153, citing D.25-06-048, </w:t>
      </w:r>
      <w:r w:rsidRPr="007F198A">
        <w:rPr>
          <w:i/>
          <w:iCs/>
        </w:rPr>
        <w:t>Adopting Local Capacity Obligations for 2026-2028, Flexible Capacity Obligations for 2026, and Program Refinements</w:t>
      </w:r>
      <w:r>
        <w:rPr>
          <w:i/>
          <w:iCs/>
        </w:rPr>
        <w:t xml:space="preserve"> </w:t>
      </w:r>
      <w:r w:rsidRPr="006C4FFE">
        <w:t>[hereinafter D.25-06-048].</w:t>
      </w:r>
    </w:p>
  </w:footnote>
  <w:footnote w:id="402">
    <w:p w14:paraId="2CF7C30E" w14:textId="76F891F9" w:rsidR="00DF3D87" w:rsidRDefault="00DF3D87">
      <w:pPr>
        <w:pStyle w:val="FootnoteText"/>
      </w:pPr>
      <w:r>
        <w:rPr>
          <w:rStyle w:val="FootnoteReference"/>
        </w:rPr>
        <w:footnoteRef/>
      </w:r>
      <w:r>
        <w:t xml:space="preserve"> SCE-0</w:t>
      </w:r>
      <w:r w:rsidR="008B14A7">
        <w:t>1</w:t>
      </w:r>
      <w:r>
        <w:t xml:space="preserve"> at </w:t>
      </w:r>
      <w:r w:rsidR="006C1464">
        <w:t>1</w:t>
      </w:r>
      <w:r w:rsidR="008B14A7">
        <w:t>37-138.</w:t>
      </w:r>
    </w:p>
  </w:footnote>
  <w:footnote w:id="403">
    <w:p w14:paraId="39774D79" w14:textId="37319411" w:rsidR="00693DA5" w:rsidRPr="00170B87" w:rsidRDefault="00693DA5">
      <w:pPr>
        <w:pStyle w:val="FootnoteText"/>
        <w:rPr>
          <w:i/>
          <w:iCs/>
        </w:rPr>
      </w:pPr>
      <w:r>
        <w:rPr>
          <w:rStyle w:val="FootnoteReference"/>
        </w:rPr>
        <w:footnoteRef/>
      </w:r>
      <w:r>
        <w:t xml:space="preserve"> D.25-06-049, </w:t>
      </w:r>
      <w:r w:rsidR="00170B87" w:rsidRPr="00170B87">
        <w:rPr>
          <w:i/>
          <w:iCs/>
        </w:rPr>
        <w:t>Decision Adopting Changes to the Calculation of the Resource Adequacy Market Price Benchmark</w:t>
      </w:r>
      <w:r w:rsidR="00170B87">
        <w:t xml:space="preserve"> at OP 1. The decision also changed the pool of data Energy Division is to use to calculate the forecast RA Adder. </w:t>
      </w:r>
      <w:r w:rsidR="00170B87">
        <w:rPr>
          <w:i/>
          <w:iCs/>
        </w:rPr>
        <w:t>I</w:t>
      </w:r>
      <w:r w:rsidR="00170B87" w:rsidRPr="00170B87">
        <w:rPr>
          <w:i/>
          <w:iCs/>
        </w:rPr>
        <w:t>d.</w:t>
      </w:r>
    </w:p>
  </w:footnote>
  <w:footnote w:id="404">
    <w:p w14:paraId="7B698924" w14:textId="63B1B261" w:rsidR="007B52C4" w:rsidRDefault="007B52C4">
      <w:pPr>
        <w:pStyle w:val="FootnoteText"/>
      </w:pPr>
      <w:r>
        <w:rPr>
          <w:rStyle w:val="FootnoteReference"/>
        </w:rPr>
        <w:footnoteRef/>
      </w:r>
      <w:r>
        <w:t xml:space="preserve"> </w:t>
      </w:r>
      <w:r w:rsidR="00623A84" w:rsidRPr="00623A84">
        <w:rPr>
          <w:i/>
          <w:iCs/>
        </w:rPr>
        <w:t>See</w:t>
      </w:r>
      <w:r w:rsidR="00623A84">
        <w:t xml:space="preserve"> SCE-05</w:t>
      </w:r>
      <w:r w:rsidR="00E03F9A">
        <w:t>A</w:t>
      </w:r>
      <w:r w:rsidR="00623A84">
        <w:t xml:space="preserve"> at Table IX-45</w:t>
      </w:r>
      <w:r w:rsidR="00F24DCC">
        <w:t>.</w:t>
      </w:r>
    </w:p>
  </w:footnote>
  <w:footnote w:id="405">
    <w:p w14:paraId="080EA99A" w14:textId="509343B0" w:rsidR="00324170" w:rsidRPr="007C17FE" w:rsidRDefault="00324170">
      <w:pPr>
        <w:pStyle w:val="FootnoteText"/>
      </w:pPr>
      <w:r>
        <w:rPr>
          <w:rStyle w:val="FootnoteReference"/>
        </w:rPr>
        <w:footnoteRef/>
      </w:r>
      <w:r>
        <w:t xml:space="preserve"> SCE-0</w:t>
      </w:r>
      <w:r w:rsidR="00623A84">
        <w:t>5</w:t>
      </w:r>
      <w:r w:rsidR="00E03F9A">
        <w:t>A</w:t>
      </w:r>
      <w:r>
        <w:t xml:space="preserve"> at </w:t>
      </w:r>
      <w:r w:rsidR="000D3529">
        <w:t>6</w:t>
      </w:r>
      <w:r w:rsidR="00E03F9A">
        <w:t>3</w:t>
      </w:r>
      <w:r w:rsidR="004B30FF">
        <w:t xml:space="preserve">, </w:t>
      </w:r>
      <w:r w:rsidR="00623A84" w:rsidRPr="007C17FE">
        <w:t>14</w:t>
      </w:r>
      <w:r w:rsidR="00E03F9A" w:rsidRPr="007C17FE">
        <w:t>2</w:t>
      </w:r>
      <w:r w:rsidR="004B30FF" w:rsidRPr="007C17FE">
        <w:t>;</w:t>
      </w:r>
      <w:r w:rsidRPr="007C17FE">
        <w:t xml:space="preserve"> </w:t>
      </w:r>
      <w:r w:rsidRPr="007C17FE">
        <w:rPr>
          <w:i/>
          <w:iCs/>
        </w:rPr>
        <w:t>see also</w:t>
      </w:r>
      <w:r w:rsidRPr="007C17FE">
        <w:t xml:space="preserve"> Section 5</w:t>
      </w:r>
      <w:r w:rsidR="004B30FF" w:rsidRPr="007C17FE">
        <w:t>.</w:t>
      </w:r>
      <w:r w:rsidR="00170B87" w:rsidRPr="007C17FE">
        <w:t>2</w:t>
      </w:r>
      <w:r w:rsidR="004B30FF" w:rsidRPr="007C17FE">
        <w:t>.11 of this Decision.</w:t>
      </w:r>
    </w:p>
  </w:footnote>
  <w:footnote w:id="406">
    <w:p w14:paraId="1D0AE4D5" w14:textId="77777777" w:rsidR="00201307" w:rsidRDefault="005477DF" w:rsidP="00201307">
      <w:pPr>
        <w:pStyle w:val="FootnoteText"/>
        <w:spacing w:after="0"/>
      </w:pPr>
      <w:r w:rsidRPr="007C17FE">
        <w:rPr>
          <w:rStyle w:val="FootnoteReference"/>
        </w:rPr>
        <w:footnoteRef/>
      </w:r>
      <w:r w:rsidRPr="007C17FE">
        <w:t xml:space="preserve"> </w:t>
      </w:r>
      <w:r w:rsidRPr="007C17FE">
        <w:rPr>
          <w:i/>
          <w:iCs/>
        </w:rPr>
        <w:t>See</w:t>
      </w:r>
      <w:r w:rsidRPr="007C17FE">
        <w:t xml:space="preserve"> D.23-04-010</w:t>
      </w:r>
      <w:r w:rsidR="00B176C7" w:rsidRPr="007C17FE">
        <w:t xml:space="preserve">, </w:t>
      </w:r>
      <w:r w:rsidR="00B176C7" w:rsidRPr="007C17FE">
        <w:rPr>
          <w:i/>
          <w:iCs/>
        </w:rPr>
        <w:t>Decision on Phase 2 of the Resource Adequacy Reform Track</w:t>
      </w:r>
      <w:r w:rsidR="00B176C7" w:rsidRPr="007C17FE">
        <w:t xml:space="preserve"> at OP 2</w:t>
      </w:r>
      <w:r w:rsidRPr="007C17FE">
        <w:t xml:space="preserve"> and </w:t>
      </w:r>
    </w:p>
    <w:p w14:paraId="29ACDFDC" w14:textId="0B7EDDAD" w:rsidR="005477DF" w:rsidRPr="007C17FE" w:rsidRDefault="005477DF">
      <w:pPr>
        <w:pStyle w:val="FootnoteText"/>
      </w:pPr>
      <w:r w:rsidRPr="007C17FE">
        <w:t>D.24-06-004</w:t>
      </w:r>
      <w:r w:rsidR="00B176C7" w:rsidRPr="007C17FE">
        <w:t xml:space="preserve"> at OP 5</w:t>
      </w:r>
      <w:r w:rsidRPr="007C17FE">
        <w:t>.</w:t>
      </w:r>
    </w:p>
  </w:footnote>
  <w:footnote w:id="407">
    <w:p w14:paraId="70967953" w14:textId="6913DC22" w:rsidR="004B30FF" w:rsidRPr="007C17FE" w:rsidRDefault="004B30FF">
      <w:pPr>
        <w:pStyle w:val="FootnoteText"/>
      </w:pPr>
      <w:r w:rsidRPr="007C17FE">
        <w:rPr>
          <w:rStyle w:val="FootnoteReference"/>
        </w:rPr>
        <w:footnoteRef/>
      </w:r>
      <w:r w:rsidRPr="007C17FE">
        <w:t xml:space="preserve"> CalCCA-01 at 12.</w:t>
      </w:r>
    </w:p>
  </w:footnote>
  <w:footnote w:id="408">
    <w:p w14:paraId="38991612" w14:textId="02EE4519" w:rsidR="00AF47A4" w:rsidRPr="007C17FE" w:rsidRDefault="00AF47A4">
      <w:pPr>
        <w:pStyle w:val="FootnoteText"/>
      </w:pPr>
      <w:r w:rsidRPr="007C17FE">
        <w:rPr>
          <w:rStyle w:val="FootnoteReference"/>
        </w:rPr>
        <w:footnoteRef/>
      </w:r>
      <w:r w:rsidRPr="007C17FE">
        <w:t xml:space="preserve"> SCE-0</w:t>
      </w:r>
      <w:r w:rsidR="007752B6" w:rsidRPr="007C17FE">
        <w:t>5</w:t>
      </w:r>
      <w:r w:rsidR="00E03F9A" w:rsidRPr="007C17FE">
        <w:t>A</w:t>
      </w:r>
      <w:r w:rsidRPr="007C17FE">
        <w:t xml:space="preserve"> at 1</w:t>
      </w:r>
      <w:r w:rsidR="007752B6" w:rsidRPr="007C17FE">
        <w:t>4</w:t>
      </w:r>
      <w:r w:rsidR="00E03F9A" w:rsidRPr="007C17FE">
        <w:t>3</w:t>
      </w:r>
      <w:r w:rsidRPr="007C17FE">
        <w:t>.</w:t>
      </w:r>
    </w:p>
  </w:footnote>
  <w:footnote w:id="409">
    <w:p w14:paraId="59AD4F0C" w14:textId="5AE8FF55" w:rsidR="00F134EB" w:rsidRDefault="00F134EB">
      <w:pPr>
        <w:pStyle w:val="FootnoteText"/>
      </w:pPr>
      <w:r w:rsidRPr="007C17FE">
        <w:rPr>
          <w:rStyle w:val="FootnoteReference"/>
        </w:rPr>
        <w:footnoteRef/>
      </w:r>
      <w:r w:rsidRPr="007C17FE">
        <w:t xml:space="preserve"> SCE-0</w:t>
      </w:r>
      <w:r w:rsidR="007752B6" w:rsidRPr="007C17FE">
        <w:t>5</w:t>
      </w:r>
      <w:r w:rsidR="00D20A53" w:rsidRPr="007C17FE">
        <w:t>A</w:t>
      </w:r>
      <w:r w:rsidRPr="007C17FE">
        <w:t xml:space="preserve"> at </w:t>
      </w:r>
      <w:r w:rsidR="00D20A53" w:rsidRPr="007C17FE">
        <w:t>146.</w:t>
      </w:r>
      <w:r w:rsidR="005371DA" w:rsidRPr="007C17FE">
        <w:t xml:space="preserve"> </w:t>
      </w:r>
      <w:r w:rsidR="005371DA" w:rsidRPr="007C17FE">
        <w:rPr>
          <w:i/>
          <w:iCs/>
        </w:rPr>
        <w:t>See also</w:t>
      </w:r>
      <w:r w:rsidR="005371DA" w:rsidRPr="007C17FE">
        <w:t xml:space="preserve"> Section 5.</w:t>
      </w:r>
      <w:r w:rsidR="009F0FAB" w:rsidRPr="007C17FE">
        <w:t>2</w:t>
      </w:r>
      <w:r w:rsidR="005371DA" w:rsidRPr="007C17FE">
        <w:t>.11.</w:t>
      </w:r>
    </w:p>
  </w:footnote>
  <w:footnote w:id="410">
    <w:p w14:paraId="726D217B" w14:textId="1C393D15" w:rsidR="00A237BD" w:rsidRDefault="00A237BD">
      <w:pPr>
        <w:pStyle w:val="FootnoteText"/>
      </w:pPr>
      <w:r>
        <w:rPr>
          <w:rStyle w:val="FootnoteReference"/>
        </w:rPr>
        <w:footnoteRef/>
      </w:r>
      <w:r>
        <w:t xml:space="preserve"> SCE-0</w:t>
      </w:r>
      <w:r w:rsidR="007752B6">
        <w:t>5</w:t>
      </w:r>
      <w:r w:rsidR="00D20A53">
        <w:t>A</w:t>
      </w:r>
      <w:r>
        <w:t xml:space="preserve"> at 1</w:t>
      </w:r>
      <w:r w:rsidR="007752B6">
        <w:t>4</w:t>
      </w:r>
      <w:r w:rsidR="00D20A53">
        <w:t>3</w:t>
      </w:r>
      <w:r>
        <w:t>.</w:t>
      </w:r>
    </w:p>
  </w:footnote>
  <w:footnote w:id="411">
    <w:p w14:paraId="673D3EBD" w14:textId="44ED3A4B" w:rsidR="00A237BD" w:rsidRDefault="00A237BD">
      <w:pPr>
        <w:pStyle w:val="FootnoteText"/>
      </w:pPr>
      <w:r>
        <w:rPr>
          <w:rStyle w:val="FootnoteReference"/>
        </w:rPr>
        <w:footnoteRef/>
      </w:r>
      <w:r>
        <w:t xml:space="preserve"> SCE-0</w:t>
      </w:r>
      <w:r w:rsidR="007752B6">
        <w:t>5</w:t>
      </w:r>
      <w:r w:rsidR="00D20A53">
        <w:t>A</w:t>
      </w:r>
      <w:r>
        <w:t xml:space="preserve"> at 1</w:t>
      </w:r>
      <w:r w:rsidR="007752B6">
        <w:t>4</w:t>
      </w:r>
      <w:r w:rsidR="00EB711E">
        <w:t>4</w:t>
      </w:r>
      <w:r>
        <w:t>.</w:t>
      </w:r>
    </w:p>
  </w:footnote>
  <w:footnote w:id="412">
    <w:p w14:paraId="4E5526C1" w14:textId="3E5AE6E8" w:rsidR="00AF47A4" w:rsidRDefault="00AF47A4">
      <w:pPr>
        <w:pStyle w:val="FootnoteText"/>
      </w:pPr>
      <w:r>
        <w:rPr>
          <w:rStyle w:val="FootnoteReference"/>
        </w:rPr>
        <w:footnoteRef/>
      </w:r>
      <w:r>
        <w:t xml:space="preserve"> SCE-0</w:t>
      </w:r>
      <w:r w:rsidR="00EB711E">
        <w:t>5A</w:t>
      </w:r>
      <w:r>
        <w:t xml:space="preserve"> at 1</w:t>
      </w:r>
      <w:r w:rsidR="00B76463">
        <w:t>4</w:t>
      </w:r>
      <w:r w:rsidR="00EB711E">
        <w:t>4</w:t>
      </w:r>
      <w:r>
        <w:t>-1</w:t>
      </w:r>
      <w:r w:rsidR="00B76463">
        <w:t>4</w:t>
      </w:r>
      <w:r w:rsidR="00EB711E">
        <w:t>7</w:t>
      </w:r>
      <w:r>
        <w:t>.</w:t>
      </w:r>
    </w:p>
  </w:footnote>
  <w:footnote w:id="413">
    <w:p w14:paraId="62027FD5" w14:textId="4CC314A4" w:rsidR="00C064F0" w:rsidRDefault="00C064F0" w:rsidP="00996D6D">
      <w:pPr>
        <w:pStyle w:val="FootnoteText"/>
      </w:pPr>
      <w:r>
        <w:rPr>
          <w:rStyle w:val="FootnoteReference"/>
        </w:rPr>
        <w:footnoteRef/>
      </w:r>
      <w:r>
        <w:t xml:space="preserve"> CalCCA-01 at 12.  </w:t>
      </w:r>
    </w:p>
  </w:footnote>
  <w:footnote w:id="414">
    <w:p w14:paraId="3DFEF522" w14:textId="2C02BD90" w:rsidR="0096243B" w:rsidRDefault="0096243B" w:rsidP="0096243B">
      <w:pPr>
        <w:pStyle w:val="FootnoteText"/>
      </w:pPr>
      <w:r>
        <w:rPr>
          <w:rStyle w:val="FootnoteReference"/>
        </w:rPr>
        <w:footnoteRef/>
      </w:r>
      <w:r>
        <w:t xml:space="preserve"> CalCCA-01 at 13 and n.26. </w:t>
      </w:r>
    </w:p>
  </w:footnote>
  <w:footnote w:id="415">
    <w:p w14:paraId="6882CA5D" w14:textId="1E6C109B" w:rsidR="00C064F0" w:rsidRDefault="00C064F0">
      <w:pPr>
        <w:pStyle w:val="FootnoteText"/>
      </w:pPr>
      <w:r>
        <w:rPr>
          <w:rStyle w:val="FootnoteReference"/>
        </w:rPr>
        <w:footnoteRef/>
      </w:r>
      <w:r>
        <w:t xml:space="preserve"> SCE-04 at 11. </w:t>
      </w:r>
    </w:p>
  </w:footnote>
  <w:footnote w:id="416">
    <w:p w14:paraId="7320537F" w14:textId="196C6CB9" w:rsidR="005E0A57" w:rsidRDefault="005E0A57" w:rsidP="005E0A57">
      <w:pPr>
        <w:pStyle w:val="FootnoteText"/>
      </w:pPr>
      <w:r>
        <w:rPr>
          <w:rStyle w:val="FootnoteReference"/>
        </w:rPr>
        <w:footnoteRef/>
      </w:r>
      <w:r>
        <w:t xml:space="preserve"> </w:t>
      </w:r>
      <w:proofErr w:type="spellStart"/>
      <w:r>
        <w:t>CalCCA</w:t>
      </w:r>
      <w:proofErr w:type="spellEnd"/>
      <w:r>
        <w:t xml:space="preserve"> Opening </w:t>
      </w:r>
      <w:r w:rsidR="00A970FB">
        <w:t>Brief at 57</w:t>
      </w:r>
      <w:r w:rsidR="00886389">
        <w:t>, 60.</w:t>
      </w:r>
    </w:p>
  </w:footnote>
  <w:footnote w:id="417">
    <w:p w14:paraId="35F436C0" w14:textId="32F2F738" w:rsidR="002E198D" w:rsidRDefault="002E198D">
      <w:pPr>
        <w:pStyle w:val="FootnoteText"/>
      </w:pPr>
      <w:r>
        <w:rPr>
          <w:rStyle w:val="FootnoteReference"/>
        </w:rPr>
        <w:footnoteRef/>
      </w:r>
      <w:r>
        <w:t xml:space="preserve"> </w:t>
      </w:r>
      <w:proofErr w:type="spellStart"/>
      <w:r>
        <w:t>CalCCA</w:t>
      </w:r>
      <w:proofErr w:type="spellEnd"/>
      <w:r>
        <w:t xml:space="preserve"> Opening Brief at 59.</w:t>
      </w:r>
    </w:p>
  </w:footnote>
  <w:footnote w:id="418">
    <w:p w14:paraId="6169FA31" w14:textId="07ED20AD" w:rsidR="002E198D" w:rsidRDefault="002E198D">
      <w:pPr>
        <w:pStyle w:val="FootnoteText"/>
      </w:pPr>
      <w:r>
        <w:rPr>
          <w:rStyle w:val="FootnoteReference"/>
        </w:rPr>
        <w:footnoteRef/>
      </w:r>
      <w:r>
        <w:t xml:space="preserve"> SCE-05A at 4.</w:t>
      </w:r>
    </w:p>
  </w:footnote>
  <w:footnote w:id="419">
    <w:p w14:paraId="015687A5" w14:textId="1CE8D325" w:rsidR="00886389" w:rsidRDefault="00886389">
      <w:pPr>
        <w:pStyle w:val="FootnoteText"/>
      </w:pPr>
      <w:r>
        <w:rPr>
          <w:rStyle w:val="FootnoteReference"/>
        </w:rPr>
        <w:footnoteRef/>
      </w:r>
      <w:r>
        <w:t xml:space="preserve"> </w:t>
      </w:r>
      <w:proofErr w:type="spellStart"/>
      <w:r>
        <w:t>CalCCA</w:t>
      </w:r>
      <w:proofErr w:type="spellEnd"/>
      <w:r>
        <w:t xml:space="preserve"> Opening Brief at 60.</w:t>
      </w:r>
    </w:p>
  </w:footnote>
  <w:footnote w:id="420">
    <w:p w14:paraId="047D54EE" w14:textId="77777C0B" w:rsidR="00844669" w:rsidRDefault="00844669">
      <w:pPr>
        <w:pStyle w:val="FootnoteText"/>
      </w:pPr>
      <w:r>
        <w:rPr>
          <w:rStyle w:val="FootnoteReference"/>
        </w:rPr>
        <w:footnoteRef/>
      </w:r>
      <w:r>
        <w:t xml:space="preserve"> </w:t>
      </w:r>
      <w:proofErr w:type="spellStart"/>
      <w:r>
        <w:t>CalCCA</w:t>
      </w:r>
      <w:proofErr w:type="spellEnd"/>
      <w:r>
        <w:t xml:space="preserve"> Opening Brief at </w:t>
      </w:r>
      <w:r w:rsidR="00A970FB">
        <w:t>60-61.</w:t>
      </w:r>
    </w:p>
  </w:footnote>
  <w:footnote w:id="421">
    <w:p w14:paraId="7576BCF2" w14:textId="75BE0D9E" w:rsidR="00A970FB" w:rsidRDefault="00A970FB">
      <w:pPr>
        <w:pStyle w:val="FootnoteText"/>
      </w:pPr>
      <w:r>
        <w:rPr>
          <w:rStyle w:val="FootnoteReference"/>
        </w:rPr>
        <w:footnoteRef/>
      </w:r>
      <w:r>
        <w:t xml:space="preserve"> </w:t>
      </w:r>
      <w:proofErr w:type="spellStart"/>
      <w:r>
        <w:t>CalCCA</w:t>
      </w:r>
      <w:proofErr w:type="spellEnd"/>
      <w:r>
        <w:t xml:space="preserve"> Opening Brief at 59.</w:t>
      </w:r>
    </w:p>
  </w:footnote>
  <w:footnote w:id="422">
    <w:p w14:paraId="25726812" w14:textId="31B07E00" w:rsidR="006568B9" w:rsidRDefault="006568B9">
      <w:pPr>
        <w:pStyle w:val="FootnoteText"/>
      </w:pPr>
      <w:r>
        <w:rPr>
          <w:rStyle w:val="FootnoteReference"/>
        </w:rPr>
        <w:footnoteRef/>
      </w:r>
      <w:r>
        <w:t xml:space="preserve"> D.24-12-039 at 75.</w:t>
      </w:r>
    </w:p>
  </w:footnote>
  <w:footnote w:id="423">
    <w:p w14:paraId="25AF5E5E" w14:textId="77777777" w:rsidR="00395FCA" w:rsidRDefault="00395FCA" w:rsidP="00395FCA">
      <w:pPr>
        <w:pStyle w:val="FootnoteText"/>
      </w:pPr>
      <w:r>
        <w:rPr>
          <w:rStyle w:val="FootnoteReference"/>
        </w:rPr>
        <w:footnoteRef/>
      </w:r>
      <w:r>
        <w:t xml:space="preserve"> CalCCA-01 at 36-37. </w:t>
      </w:r>
    </w:p>
  </w:footnote>
  <w:footnote w:id="424">
    <w:p w14:paraId="22D90144" w14:textId="76E4F7CE" w:rsidR="009C0BA9" w:rsidRDefault="009C0BA9">
      <w:pPr>
        <w:pStyle w:val="FootnoteText"/>
      </w:pPr>
      <w:r>
        <w:rPr>
          <w:rStyle w:val="FootnoteReference"/>
        </w:rPr>
        <w:footnoteRef/>
      </w:r>
      <w:r>
        <w:t xml:space="preserve"> CalCCA-01 at 39-40.</w:t>
      </w:r>
    </w:p>
  </w:footnote>
  <w:footnote w:id="425">
    <w:p w14:paraId="678B4D60" w14:textId="402C134C" w:rsidR="009C0BA9" w:rsidRDefault="009C0BA9">
      <w:pPr>
        <w:pStyle w:val="FootnoteText"/>
      </w:pPr>
      <w:r>
        <w:rPr>
          <w:rStyle w:val="FootnoteReference"/>
        </w:rPr>
        <w:footnoteRef/>
      </w:r>
      <w:r>
        <w:t xml:space="preserve"> SCE-04 at 11-12.</w:t>
      </w:r>
    </w:p>
  </w:footnote>
  <w:footnote w:id="426">
    <w:p w14:paraId="3D8F2979" w14:textId="5DB1D173" w:rsidR="00F44045" w:rsidRDefault="00F44045">
      <w:pPr>
        <w:pStyle w:val="FootnoteText"/>
      </w:pPr>
      <w:r>
        <w:rPr>
          <w:rStyle w:val="FootnoteReference"/>
        </w:rPr>
        <w:footnoteRef/>
      </w:r>
      <w:r>
        <w:t xml:space="preserve"> SCE-05</w:t>
      </w:r>
      <w:r w:rsidR="00413E77">
        <w:t>A</w:t>
      </w:r>
      <w:r>
        <w:t xml:space="preserve"> at 15</w:t>
      </w:r>
      <w:r w:rsidR="00413E77">
        <w:t>8</w:t>
      </w:r>
      <w:r w:rsidR="00116A90">
        <w:t>.</w:t>
      </w:r>
    </w:p>
  </w:footnote>
  <w:footnote w:id="427">
    <w:p w14:paraId="12F7C542" w14:textId="40C6F524" w:rsidR="00845F40" w:rsidRDefault="00845F40">
      <w:pPr>
        <w:pStyle w:val="FootnoteText"/>
      </w:pPr>
      <w:r>
        <w:rPr>
          <w:rStyle w:val="FootnoteReference"/>
        </w:rPr>
        <w:footnoteRef/>
      </w:r>
      <w:r>
        <w:t xml:space="preserve"> </w:t>
      </w:r>
      <w:r w:rsidR="00F35D0C" w:rsidRPr="00F35D0C">
        <w:rPr>
          <w:i/>
          <w:iCs/>
        </w:rPr>
        <w:t xml:space="preserve">See </w:t>
      </w:r>
      <w:r>
        <w:t>SCE-05</w:t>
      </w:r>
      <w:r w:rsidR="00F35D0C">
        <w:t>A</w:t>
      </w:r>
      <w:r>
        <w:t xml:space="preserve"> at 1</w:t>
      </w:r>
      <w:r w:rsidR="00F35D0C">
        <w:t>60</w:t>
      </w:r>
      <w:r w:rsidR="00E808FE">
        <w:t>.</w:t>
      </w:r>
      <w:r>
        <w:t xml:space="preserve"> </w:t>
      </w:r>
    </w:p>
  </w:footnote>
  <w:footnote w:id="428">
    <w:p w14:paraId="185BA2D2" w14:textId="0AF13ACB" w:rsidR="008555E6" w:rsidRDefault="008555E6">
      <w:pPr>
        <w:pStyle w:val="FootnoteText"/>
      </w:pPr>
      <w:r>
        <w:rPr>
          <w:rStyle w:val="FootnoteReference"/>
        </w:rPr>
        <w:footnoteRef/>
      </w:r>
      <w:r>
        <w:t xml:space="preserve"> D.25-09-030 at 2, OP 2.</w:t>
      </w:r>
    </w:p>
  </w:footnote>
  <w:footnote w:id="429">
    <w:p w14:paraId="1DB2CC1E" w14:textId="62EBF3A9" w:rsidR="00865BD1" w:rsidRDefault="00865BD1">
      <w:pPr>
        <w:pStyle w:val="FootnoteText"/>
      </w:pPr>
      <w:r>
        <w:rPr>
          <w:rStyle w:val="FootnoteReference"/>
        </w:rPr>
        <w:footnoteRef/>
      </w:r>
      <w:r>
        <w:t xml:space="preserve"> SCE-05A at 170, n.215, and Appendix A at Table 2.</w:t>
      </w:r>
    </w:p>
  </w:footnote>
  <w:footnote w:id="430">
    <w:p w14:paraId="450A1915" w14:textId="456C333C" w:rsidR="004E0D40" w:rsidRDefault="004E0D40">
      <w:pPr>
        <w:pStyle w:val="FootnoteText"/>
      </w:pPr>
      <w:r>
        <w:rPr>
          <w:rStyle w:val="FootnoteReference"/>
        </w:rPr>
        <w:footnoteRef/>
      </w:r>
      <w:r>
        <w:t xml:space="preserve"> SCE adjusts the year-end 2025 NSGBA in a similar way, removing the full year-end 2025 overcollection of NSGBA resources</w:t>
      </w:r>
      <w:r w:rsidR="00865BD1">
        <w:t xml:space="preserve">, and including only the portion that is to be returned over the first 12 months of the </w:t>
      </w:r>
      <w:proofErr w:type="gramStart"/>
      <w:r w:rsidR="00865BD1">
        <w:t>24 month</w:t>
      </w:r>
      <w:proofErr w:type="gramEnd"/>
      <w:r w:rsidR="00865BD1">
        <w:t xml:space="preserve"> amortization period. </w:t>
      </w:r>
      <w:r w:rsidR="00865BD1" w:rsidRPr="00865BD1">
        <w:rPr>
          <w:i/>
          <w:iCs/>
        </w:rPr>
        <w:t>See</w:t>
      </w:r>
      <w:r w:rsidR="00865BD1">
        <w:t xml:space="preserve"> SCE-05A at Appendix A, Table 4.</w:t>
      </w:r>
    </w:p>
  </w:footnote>
  <w:footnote w:id="431">
    <w:p w14:paraId="2B772DB8" w14:textId="62F670FE" w:rsidR="00F43363" w:rsidRDefault="00F43363">
      <w:pPr>
        <w:pStyle w:val="FootnoteText"/>
      </w:pPr>
      <w:r>
        <w:rPr>
          <w:rStyle w:val="FootnoteReference"/>
        </w:rPr>
        <w:footnoteRef/>
      </w:r>
      <w:r>
        <w:t xml:space="preserve"> D.18-10-019, as refined by D.19-10-001 and D</w:t>
      </w:r>
      <w:r w:rsidR="00B02B74">
        <w:t>.</w:t>
      </w:r>
      <w:r>
        <w:t>25-06-049.</w:t>
      </w:r>
      <w:r w:rsidR="00B10495">
        <w:t xml:space="preserve"> </w:t>
      </w:r>
      <w:r w:rsidR="00B10495" w:rsidRPr="00B10495">
        <w:rPr>
          <w:i/>
          <w:iCs/>
        </w:rPr>
        <w:t>See also</w:t>
      </w:r>
      <w:r w:rsidR="00B10495">
        <w:t xml:space="preserve"> SCE-05</w:t>
      </w:r>
      <w:r w:rsidR="00865BD1">
        <w:t>A</w:t>
      </w:r>
      <w:r w:rsidR="00B10495">
        <w:t xml:space="preserve"> at 152.</w:t>
      </w:r>
    </w:p>
  </w:footnote>
  <w:footnote w:id="432">
    <w:p w14:paraId="4FF23F3F" w14:textId="7F765863" w:rsidR="00272131" w:rsidRDefault="00272131">
      <w:pPr>
        <w:pStyle w:val="FootnoteText"/>
      </w:pPr>
      <w:r>
        <w:rPr>
          <w:rStyle w:val="FootnoteReference"/>
        </w:rPr>
        <w:footnoteRef/>
      </w:r>
      <w:r>
        <w:t xml:space="preserve"> </w:t>
      </w:r>
      <w:r w:rsidRPr="00272131">
        <w:rPr>
          <w:i/>
          <w:iCs/>
        </w:rPr>
        <w:t>See</w:t>
      </w:r>
      <w:r>
        <w:t xml:space="preserve"> SCE-05 at n.152.</w:t>
      </w:r>
    </w:p>
  </w:footnote>
  <w:footnote w:id="433">
    <w:p w14:paraId="5FAFAACF" w14:textId="0AA22E7A" w:rsidR="000E5010" w:rsidRDefault="000E5010" w:rsidP="000E5010">
      <w:pPr>
        <w:pStyle w:val="FootnoteText"/>
      </w:pPr>
      <w:r>
        <w:rPr>
          <w:rStyle w:val="FootnoteReference"/>
        </w:rPr>
        <w:footnoteRef/>
      </w:r>
      <w:r>
        <w:t xml:space="preserve"> D.19-10-001 at OP</w:t>
      </w:r>
      <w:r w:rsidR="00865BD1">
        <w:t>s</w:t>
      </w:r>
      <w:r>
        <w:t xml:space="preserve"> 3</w:t>
      </w:r>
      <w:r w:rsidR="00865BD1">
        <w:t xml:space="preserve"> and 4</w:t>
      </w:r>
      <w:r>
        <w:t>.</w:t>
      </w:r>
      <w:r w:rsidR="0034639E">
        <w:t xml:space="preserve"> </w:t>
      </w:r>
      <w:r w:rsidR="00865BD1">
        <w:t xml:space="preserve">D.23-11-094 at 60: “Should SCE determine that the use of RECs banked in or before 2018 is necessary for its bundled service RPS compliance , it should value those RECs at zero, as proposed[;]” D.24-12-0 at 68: “we find SCE’s treatment of RPS resources to be reasonable and therefore approve them as proposed for this proceeding.”  </w:t>
      </w:r>
    </w:p>
  </w:footnote>
  <w:footnote w:id="434">
    <w:p w14:paraId="098DB847" w14:textId="7069747E" w:rsidR="00671066" w:rsidRDefault="00671066" w:rsidP="00671066">
      <w:pPr>
        <w:pStyle w:val="FootnoteText"/>
      </w:pPr>
      <w:r>
        <w:rPr>
          <w:rStyle w:val="FootnoteReference"/>
        </w:rPr>
        <w:footnoteRef/>
      </w:r>
      <w:r>
        <w:t xml:space="preserve"> D.25-06-049 at C</w:t>
      </w:r>
      <w:r w:rsidR="00AD4378">
        <w:t>O</w:t>
      </w:r>
      <w:r>
        <w:t>L 10.</w:t>
      </w:r>
    </w:p>
  </w:footnote>
  <w:footnote w:id="435">
    <w:p w14:paraId="28838B2D" w14:textId="62B1AA4F" w:rsidR="00FB0873" w:rsidRDefault="00FB0873">
      <w:pPr>
        <w:pStyle w:val="FootnoteText"/>
      </w:pPr>
      <w:r>
        <w:rPr>
          <w:rStyle w:val="FootnoteReference"/>
        </w:rPr>
        <w:footnoteRef/>
      </w:r>
      <w:r>
        <w:t xml:space="preserve"> May Filing data is taken from SCE-01 at Table II-2; </w:t>
      </w:r>
      <w:r w:rsidR="001E4331">
        <w:t xml:space="preserve">Amended </w:t>
      </w:r>
      <w:r>
        <w:t>October Update data is taken from SCE-05</w:t>
      </w:r>
      <w:r w:rsidR="00A127FE">
        <w:t>A</w:t>
      </w:r>
      <w:r>
        <w:t xml:space="preserve"> at Table II-3.</w:t>
      </w:r>
    </w:p>
  </w:footnote>
  <w:footnote w:id="436">
    <w:p w14:paraId="611B437D" w14:textId="0DC5CA3A" w:rsidR="007C4F8C" w:rsidRDefault="007C4F8C" w:rsidP="00671066">
      <w:pPr>
        <w:pStyle w:val="FootnoteText"/>
      </w:pPr>
      <w:r>
        <w:rPr>
          <w:rStyle w:val="FootnoteReference"/>
        </w:rPr>
        <w:footnoteRef/>
      </w:r>
      <w:r>
        <w:t xml:space="preserve"> </w:t>
      </w:r>
      <w:r w:rsidR="00671066">
        <w:t>SCE-05</w:t>
      </w:r>
      <w:r w:rsidR="003975DE">
        <w:t>A</w:t>
      </w:r>
      <w:r w:rsidR="00671066">
        <w:t xml:space="preserve"> at Table X-50</w:t>
      </w:r>
      <w:r w:rsidR="00F24DCC">
        <w:t>.</w:t>
      </w:r>
    </w:p>
  </w:footnote>
  <w:footnote w:id="437">
    <w:p w14:paraId="68E8D32B" w14:textId="5FECAAD0" w:rsidR="00886E74" w:rsidRDefault="00886E74">
      <w:pPr>
        <w:pStyle w:val="FootnoteText"/>
      </w:pPr>
      <w:r>
        <w:rPr>
          <w:rStyle w:val="FootnoteReference"/>
        </w:rPr>
        <w:footnoteRef/>
      </w:r>
      <w:r>
        <w:t xml:space="preserve"> </w:t>
      </w:r>
      <w:proofErr w:type="spellStart"/>
      <w:r>
        <w:t>CalCCA</w:t>
      </w:r>
      <w:proofErr w:type="spellEnd"/>
      <w:r>
        <w:t xml:space="preserve"> Opening Brief at 39.</w:t>
      </w:r>
    </w:p>
  </w:footnote>
  <w:footnote w:id="438">
    <w:p w14:paraId="4AC5CE84" w14:textId="105CCF33" w:rsidR="0080456C" w:rsidRDefault="0080456C">
      <w:pPr>
        <w:pStyle w:val="FootnoteText"/>
      </w:pPr>
      <w:r w:rsidRPr="007C17FE">
        <w:rPr>
          <w:rStyle w:val="FootnoteReference"/>
        </w:rPr>
        <w:footnoteRef/>
      </w:r>
      <w:r w:rsidRPr="007C17FE">
        <w:t xml:space="preserve"> </w:t>
      </w:r>
      <w:r w:rsidRPr="007C17FE">
        <w:rPr>
          <w:i/>
          <w:iCs/>
        </w:rPr>
        <w:t>See</w:t>
      </w:r>
      <w:r w:rsidRPr="007C17FE">
        <w:t xml:space="preserve"> D.25-10-0</w:t>
      </w:r>
      <w:r w:rsidR="007C17FE" w:rsidRPr="007C17FE">
        <w:t>61</w:t>
      </w:r>
      <w:r w:rsidRPr="007C17FE">
        <w:t xml:space="preserve">, </w:t>
      </w:r>
      <w:r w:rsidRPr="007C17FE">
        <w:rPr>
          <w:i/>
          <w:iCs/>
        </w:rPr>
        <w:t>Order Denying Rehearing of Decision 25-06-049</w:t>
      </w:r>
      <w:r w:rsidR="00A57B01" w:rsidRPr="007C17FE">
        <w:t>.</w:t>
      </w:r>
    </w:p>
  </w:footnote>
  <w:footnote w:id="439">
    <w:p w14:paraId="1D3D1333" w14:textId="6A1BC997" w:rsidR="00CA29CE" w:rsidRDefault="00CA29CE">
      <w:pPr>
        <w:pStyle w:val="FootnoteText"/>
      </w:pPr>
      <w:r>
        <w:rPr>
          <w:rStyle w:val="FootnoteReference"/>
        </w:rPr>
        <w:footnoteRef/>
      </w:r>
      <w:r>
        <w:t xml:space="preserve"> </w:t>
      </w:r>
      <w:proofErr w:type="spellStart"/>
      <w:r>
        <w:t>CalCCA</w:t>
      </w:r>
      <w:proofErr w:type="spellEnd"/>
      <w:r>
        <w:t xml:space="preserve"> Reply Brief at 12.</w:t>
      </w:r>
    </w:p>
  </w:footnote>
  <w:footnote w:id="440">
    <w:p w14:paraId="15D9A605" w14:textId="73C49F06" w:rsidR="00A45490" w:rsidRDefault="00A45490" w:rsidP="007024F9">
      <w:pPr>
        <w:pStyle w:val="FootnoteText"/>
      </w:pPr>
      <w:r>
        <w:rPr>
          <w:rStyle w:val="FootnoteReference"/>
        </w:rPr>
        <w:footnoteRef/>
      </w:r>
      <w:r>
        <w:t xml:space="preserve"> </w:t>
      </w:r>
      <w:r w:rsidR="008450F9">
        <w:t>SCE-05</w:t>
      </w:r>
      <w:r w:rsidR="003975DE">
        <w:t>A</w:t>
      </w:r>
      <w:r w:rsidR="008450F9">
        <w:t xml:space="preserve"> at 4.</w:t>
      </w:r>
      <w:r w:rsidR="007024F9">
        <w:t xml:space="preserve"> </w:t>
      </w:r>
    </w:p>
  </w:footnote>
  <w:footnote w:id="441">
    <w:p w14:paraId="4A147CF1" w14:textId="59BFFD68" w:rsidR="00A45490" w:rsidRPr="006C0B9D" w:rsidRDefault="00A45490" w:rsidP="00A45490">
      <w:pPr>
        <w:pStyle w:val="FootnoteText"/>
      </w:pPr>
      <w:r>
        <w:rPr>
          <w:rStyle w:val="FootnoteReference"/>
        </w:rPr>
        <w:footnoteRef/>
      </w:r>
      <w:r>
        <w:t xml:space="preserve"> The Commission’s resolution of SCE’s 2024 ERRA Trigger application decreased SCE’s bundled service customer rates from October 1, 2024-September 30, 2025. While the impacts of SCE’s 2024 ERRA Trigger Application were included in SCE’s estimates of its 2025 year-end balance forecasts in SCE-01, by the time SCE served SCE-05</w:t>
      </w:r>
      <w:r w:rsidR="00A57B01">
        <w:t>A</w:t>
      </w:r>
      <w:r>
        <w:t xml:space="preserve">, the impacts of the Trigger application had lapsed. SCE’s year-end 2025 balancing account forecasts now incorporate the impacts of the 2024 ERRA Trigger by virtue of being based on recorded amounts through September 30, 2025. </w:t>
      </w:r>
      <w:r w:rsidRPr="006C0B9D">
        <w:rPr>
          <w:i/>
          <w:iCs/>
        </w:rPr>
        <w:t>See</w:t>
      </w:r>
      <w:r>
        <w:t xml:space="preserve"> SCE-01 at 3-4 and SCE-05</w:t>
      </w:r>
      <w:r w:rsidR="00A57B01">
        <w:t>A</w:t>
      </w:r>
      <w:r>
        <w:t xml:space="preserve"> at </w:t>
      </w:r>
      <w:r w:rsidR="00A57B01">
        <w:t>5</w:t>
      </w:r>
      <w:r>
        <w:t>-</w:t>
      </w:r>
      <w:r w:rsidR="00A57B01">
        <w:t>6</w:t>
      </w:r>
      <w:r>
        <w:t xml:space="preserve">.  </w:t>
      </w:r>
    </w:p>
  </w:footnote>
  <w:footnote w:id="442">
    <w:p w14:paraId="3674D176" w14:textId="732C4296" w:rsidR="009B5F19" w:rsidRDefault="009B5F19">
      <w:pPr>
        <w:pStyle w:val="FootnoteText"/>
      </w:pPr>
      <w:r>
        <w:rPr>
          <w:rStyle w:val="FootnoteReference"/>
        </w:rPr>
        <w:footnoteRef/>
      </w:r>
      <w:r>
        <w:t xml:space="preserve"> SCE-01 at 147-150.</w:t>
      </w:r>
    </w:p>
  </w:footnote>
  <w:footnote w:id="443">
    <w:p w14:paraId="1F58DE00" w14:textId="3656B137" w:rsidR="008134F2" w:rsidRDefault="008134F2">
      <w:pPr>
        <w:pStyle w:val="FootnoteText"/>
      </w:pPr>
      <w:r>
        <w:rPr>
          <w:rStyle w:val="FootnoteReference"/>
        </w:rPr>
        <w:footnoteRef/>
      </w:r>
      <w:r>
        <w:t xml:space="preserve"> D.25-09-030 at 1.</w:t>
      </w:r>
    </w:p>
  </w:footnote>
  <w:footnote w:id="444">
    <w:p w14:paraId="4A9C3961" w14:textId="4502F082" w:rsidR="008134F2" w:rsidRDefault="008134F2">
      <w:pPr>
        <w:pStyle w:val="FootnoteText"/>
      </w:pPr>
      <w:r>
        <w:rPr>
          <w:rStyle w:val="FootnoteReference"/>
        </w:rPr>
        <w:footnoteRef/>
      </w:r>
      <w:r>
        <w:t xml:space="preserve"> D.25-09-030 at OP 2.</w:t>
      </w:r>
    </w:p>
  </w:footnote>
  <w:footnote w:id="445">
    <w:p w14:paraId="476C0377" w14:textId="153DD9E9" w:rsidR="00473A86" w:rsidRDefault="00473A86">
      <w:pPr>
        <w:pStyle w:val="FootnoteText"/>
      </w:pPr>
      <w:r>
        <w:rPr>
          <w:rStyle w:val="FootnoteReference"/>
        </w:rPr>
        <w:footnoteRef/>
      </w:r>
      <w:r w:rsidR="008134F2">
        <w:t>D.25-09-030 at OP 3</w:t>
      </w:r>
      <w:r w:rsidR="004F3450">
        <w:t>.</w:t>
      </w:r>
      <w:r w:rsidR="008134F2">
        <w:t xml:space="preserve"> </w:t>
      </w:r>
      <w:r>
        <w:t>SCE-05</w:t>
      </w:r>
      <w:r w:rsidR="004F3450">
        <w:t>A</w:t>
      </w:r>
      <w:r>
        <w:t xml:space="preserve"> at 1</w:t>
      </w:r>
      <w:r w:rsidR="004F3450">
        <w:t>62</w:t>
      </w:r>
      <w:r>
        <w:t>.</w:t>
      </w:r>
    </w:p>
  </w:footnote>
  <w:footnote w:id="446">
    <w:p w14:paraId="127F77BC" w14:textId="54287944" w:rsidR="008312BD" w:rsidRDefault="008312BD">
      <w:pPr>
        <w:pStyle w:val="FootnoteText"/>
      </w:pPr>
      <w:r>
        <w:rPr>
          <w:rStyle w:val="FootnoteReference"/>
        </w:rPr>
        <w:footnoteRef/>
      </w:r>
      <w:r>
        <w:t xml:space="preserve"> </w:t>
      </w:r>
      <w:r w:rsidR="004F3450">
        <w:t xml:space="preserve">D.25-09-030 at OP 21. </w:t>
      </w:r>
      <w:r>
        <w:t>SCE-05</w:t>
      </w:r>
      <w:r w:rsidR="004F3450">
        <w:t>A</w:t>
      </w:r>
      <w:r>
        <w:t xml:space="preserve"> at 1</w:t>
      </w:r>
      <w:r w:rsidR="004F3450">
        <w:t>77</w:t>
      </w:r>
      <w:r>
        <w:t>-17</w:t>
      </w:r>
      <w:r w:rsidR="004F3450">
        <w:t>8</w:t>
      </w:r>
      <w:r w:rsidR="008134F2">
        <w:t xml:space="preserve"> </w:t>
      </w:r>
    </w:p>
  </w:footnote>
  <w:footnote w:id="447">
    <w:p w14:paraId="42B4DC80" w14:textId="1873C1F7" w:rsidR="000F6BC1" w:rsidRDefault="000F6BC1">
      <w:pPr>
        <w:pStyle w:val="FootnoteText"/>
      </w:pPr>
      <w:r>
        <w:rPr>
          <w:rStyle w:val="FootnoteReference"/>
        </w:rPr>
        <w:footnoteRef/>
      </w:r>
      <w:r>
        <w:t xml:space="preserve"> SCE-05</w:t>
      </w:r>
      <w:r w:rsidR="004F3450">
        <w:t>A</w:t>
      </w:r>
      <w:r>
        <w:t xml:space="preserve"> at 17</w:t>
      </w:r>
      <w:r w:rsidR="004F3450">
        <w:t>8</w:t>
      </w:r>
      <w:r>
        <w:t>.</w:t>
      </w:r>
    </w:p>
  </w:footnote>
  <w:footnote w:id="448">
    <w:p w14:paraId="2C13BC48" w14:textId="24536FAB" w:rsidR="008312BD" w:rsidRDefault="008312BD">
      <w:pPr>
        <w:pStyle w:val="FootnoteText"/>
      </w:pPr>
      <w:r>
        <w:rPr>
          <w:rStyle w:val="FootnoteReference"/>
        </w:rPr>
        <w:footnoteRef/>
      </w:r>
      <w:r>
        <w:t xml:space="preserve"> SCE-05</w:t>
      </w:r>
      <w:r w:rsidR="004F3450">
        <w:t>A</w:t>
      </w:r>
      <w:r>
        <w:t xml:space="preserve"> at 1</w:t>
      </w:r>
      <w:r w:rsidR="004F3450">
        <w:t>62</w:t>
      </w:r>
      <w:r>
        <w:t>.</w:t>
      </w:r>
    </w:p>
  </w:footnote>
  <w:footnote w:id="449">
    <w:p w14:paraId="3546CB92" w14:textId="1BFAB135" w:rsidR="007F198A" w:rsidRDefault="007F198A">
      <w:pPr>
        <w:pStyle w:val="FootnoteText"/>
      </w:pPr>
      <w:r>
        <w:rPr>
          <w:rStyle w:val="FootnoteReference"/>
        </w:rPr>
        <w:footnoteRef/>
      </w:r>
      <w:r>
        <w:t xml:space="preserve"> SCE-01 at 150.</w:t>
      </w:r>
    </w:p>
  </w:footnote>
  <w:footnote w:id="450">
    <w:p w14:paraId="6F98958D" w14:textId="50687B58" w:rsidR="00C669BD" w:rsidRDefault="00C669BD" w:rsidP="00C669BD">
      <w:pPr>
        <w:pStyle w:val="FootnoteText"/>
      </w:pPr>
      <w:r>
        <w:rPr>
          <w:rStyle w:val="FootnoteReference"/>
        </w:rPr>
        <w:footnoteRef/>
      </w:r>
      <w:r>
        <w:t xml:space="preserve"> SCE-05</w:t>
      </w:r>
      <w:r w:rsidR="004F3450">
        <w:t>A at</w:t>
      </w:r>
      <w:r>
        <w:t xml:space="preserve"> 1</w:t>
      </w:r>
      <w:r w:rsidR="004F3450">
        <w:t>62</w:t>
      </w:r>
      <w:r>
        <w:t>.</w:t>
      </w:r>
    </w:p>
  </w:footnote>
  <w:footnote w:id="451">
    <w:p w14:paraId="4231594B" w14:textId="14066386" w:rsidR="004247AE" w:rsidRDefault="004247AE" w:rsidP="004247AE">
      <w:pPr>
        <w:pStyle w:val="FootnoteText"/>
      </w:pPr>
      <w:r>
        <w:rPr>
          <w:rStyle w:val="FootnoteReference"/>
        </w:rPr>
        <w:footnoteRef/>
      </w:r>
      <w:r>
        <w:t xml:space="preserve"> SCE-0</w:t>
      </w:r>
      <w:r w:rsidR="000B7F0F">
        <w:t>5A at</w:t>
      </w:r>
      <w:r>
        <w:t xml:space="preserve"> 1</w:t>
      </w:r>
      <w:r w:rsidR="000B7F0F">
        <w:t>42</w:t>
      </w:r>
      <w:r>
        <w:t>.</w:t>
      </w:r>
    </w:p>
  </w:footnote>
  <w:footnote w:id="452">
    <w:p w14:paraId="5373F7D4" w14:textId="1EC1F589" w:rsidR="00796453" w:rsidRDefault="00796453">
      <w:pPr>
        <w:pStyle w:val="FootnoteText"/>
      </w:pPr>
      <w:r>
        <w:rPr>
          <w:rStyle w:val="FootnoteReference"/>
        </w:rPr>
        <w:footnoteRef/>
      </w:r>
      <w:r>
        <w:t xml:space="preserve"> SCE-05A, Appendix B, </w:t>
      </w:r>
      <w:r w:rsidRPr="00796453">
        <w:t>Table: “ERRA CRS Rates - Vintaged Specific Sales Rate Design</w:t>
      </w:r>
      <w:r>
        <w:rPr>
          <w:b/>
          <w:bCs/>
        </w:rPr>
        <w:t>.”</w:t>
      </w:r>
    </w:p>
  </w:footnote>
  <w:footnote w:id="453">
    <w:p w14:paraId="793AD552" w14:textId="1DE78B66" w:rsidR="000B7F0F" w:rsidRDefault="000B7F0F">
      <w:pPr>
        <w:pStyle w:val="FootnoteText"/>
      </w:pPr>
      <w:r>
        <w:rPr>
          <w:rStyle w:val="FootnoteReference"/>
        </w:rPr>
        <w:footnoteRef/>
      </w:r>
      <w:r>
        <w:t xml:space="preserve"> SCE-05A at 142.</w:t>
      </w:r>
    </w:p>
  </w:footnote>
  <w:footnote w:id="454">
    <w:p w14:paraId="017377FC" w14:textId="2C6BE4F3" w:rsidR="007F38F8" w:rsidRDefault="007F38F8">
      <w:pPr>
        <w:pStyle w:val="FootnoteText"/>
      </w:pPr>
      <w:r>
        <w:rPr>
          <w:rStyle w:val="FootnoteReference"/>
        </w:rPr>
        <w:footnoteRef/>
      </w:r>
      <w:r>
        <w:t xml:space="preserve"> SCE AL 5448E Attachment C, “</w:t>
      </w:r>
      <w:r w:rsidRPr="007F38F8">
        <w:t>ERRA CRS Rates - Vintaged Specific Sales Rate Design</w:t>
      </w:r>
      <w:r>
        <w:t>.”</w:t>
      </w:r>
    </w:p>
  </w:footnote>
  <w:footnote w:id="455">
    <w:p w14:paraId="028DA8D6" w14:textId="02F75591" w:rsidR="00400DE5" w:rsidRDefault="00400DE5">
      <w:pPr>
        <w:pStyle w:val="FootnoteText"/>
      </w:pPr>
      <w:r>
        <w:rPr>
          <w:rStyle w:val="FootnoteReference"/>
        </w:rPr>
        <w:footnoteRef/>
      </w:r>
      <w:r>
        <w:t xml:space="preserve"> SCE-05A, Appendix B, </w:t>
      </w:r>
      <w:r w:rsidRPr="00796453">
        <w:t>Table: “ERRA CRS Rates - Vintaged Specific Sales Rate Design</w:t>
      </w:r>
      <w:r>
        <w:rPr>
          <w:b/>
          <w:bCs/>
        </w:rPr>
        <w:t>.”</w:t>
      </w:r>
    </w:p>
  </w:footnote>
  <w:footnote w:id="456">
    <w:p w14:paraId="75C17C23" w14:textId="5FAF612D" w:rsidR="00A03B40" w:rsidRDefault="00A03B40">
      <w:pPr>
        <w:pStyle w:val="FootnoteText"/>
      </w:pPr>
      <w:r>
        <w:rPr>
          <w:rStyle w:val="FootnoteReference"/>
        </w:rPr>
        <w:footnoteRef/>
      </w:r>
      <w:r>
        <w:t xml:space="preserve"> SCE Amended October Update Workpapers, 2026 ERRA Forecast Chapter XI tables October Amended.xlsx, tab: 2026 ERRA October Amended. The “Total” column includes the Public Utilities Commission Regulatory Fee.</w:t>
      </w:r>
    </w:p>
  </w:footnote>
  <w:footnote w:id="457">
    <w:p w14:paraId="41328EDF" w14:textId="36987917" w:rsidR="009620AA" w:rsidRDefault="009620AA">
      <w:pPr>
        <w:pStyle w:val="FootnoteText"/>
      </w:pPr>
      <w:r>
        <w:rPr>
          <w:rStyle w:val="FootnoteReference"/>
        </w:rPr>
        <w:footnoteRef/>
      </w:r>
      <w:r>
        <w:t xml:space="preserve"> SCE Amended October Update Workpapers, </w:t>
      </w:r>
      <w:r w:rsidR="00A03B40">
        <w:t>2026 ERRA Forecast Chapter XI tables October Amended.xlsx, tab: 2026 ERRA October Amended.</w:t>
      </w:r>
    </w:p>
  </w:footnote>
  <w:footnote w:id="458">
    <w:p w14:paraId="7CD3B6C4" w14:textId="3DE7978B" w:rsidR="00DF16FB" w:rsidRDefault="00DF16FB">
      <w:pPr>
        <w:pStyle w:val="FootnoteText"/>
      </w:pPr>
      <w:r>
        <w:rPr>
          <w:rStyle w:val="FootnoteReference"/>
        </w:rPr>
        <w:footnoteRef/>
      </w:r>
      <w:r>
        <w:t xml:space="preserve"> </w:t>
      </w:r>
      <w:r w:rsidRPr="00DF16FB">
        <w:t>If SCE’s November 202</w:t>
      </w:r>
      <w:r>
        <w:t>5</w:t>
      </w:r>
      <w:r w:rsidRPr="00DF16FB">
        <w:t xml:space="preserve"> actual numbers are not available at the time the utility files its implementation advice letter, it may use November 202</w:t>
      </w:r>
      <w:r>
        <w:t>5</w:t>
      </w:r>
      <w:r w:rsidRPr="00DF16FB">
        <w:t xml:space="preserve"> forecasts.</w:t>
      </w:r>
    </w:p>
  </w:footnote>
  <w:footnote w:id="459">
    <w:p w14:paraId="657A4C35" w14:textId="3F3C3018" w:rsidR="000E27CC" w:rsidRDefault="000E27CC">
      <w:pPr>
        <w:pStyle w:val="FootnoteText"/>
      </w:pPr>
      <w:r>
        <w:rPr>
          <w:rStyle w:val="FootnoteReference"/>
        </w:rPr>
        <w:footnoteRef/>
      </w:r>
      <w:r>
        <w:t xml:space="preserve"> SCE, Opening Comments on the Proposed Decision at A-1.</w:t>
      </w:r>
    </w:p>
  </w:footnote>
  <w:footnote w:id="460">
    <w:p w14:paraId="0F9192FA" w14:textId="3DFCE1E1" w:rsidR="000E27CC" w:rsidRDefault="000E27CC">
      <w:pPr>
        <w:pStyle w:val="FootnoteText"/>
      </w:pPr>
      <w:r>
        <w:rPr>
          <w:rStyle w:val="FootnoteReference"/>
        </w:rPr>
        <w:footnoteRef/>
      </w:r>
      <w:r>
        <w:t xml:space="preserve"> SCE, Opening Comments on the Proposed Decision at A-1 through A-2.</w:t>
      </w:r>
    </w:p>
  </w:footnote>
  <w:footnote w:id="461">
    <w:p w14:paraId="05344E4F" w14:textId="2E91C33C" w:rsidR="000E27CC" w:rsidRDefault="000E27CC">
      <w:pPr>
        <w:pStyle w:val="FootnoteText"/>
      </w:pPr>
      <w:r>
        <w:rPr>
          <w:rStyle w:val="FootnoteReference"/>
        </w:rPr>
        <w:footnoteRef/>
      </w:r>
      <w:r>
        <w:t xml:space="preserve"> SCE, Opening Comments on the Proposed Decision at A-1 through 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F8C8" w14:textId="77777777" w:rsidR="00C90365" w:rsidRDefault="00C90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ADA" w14:textId="77777777" w:rsidR="00C90365" w:rsidRDefault="00C90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0318" w14:textId="77777777" w:rsidR="00C90365" w:rsidRDefault="00C90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27F4" w14:textId="7BAA353E" w:rsidR="00E23CBB" w:rsidRDefault="00B93FF9" w:rsidP="00EE4315">
    <w:pPr>
      <w:pStyle w:val="Header"/>
      <w:tabs>
        <w:tab w:val="clear" w:pos="4680"/>
      </w:tabs>
      <w:ind w:firstLine="0"/>
      <w:rPr>
        <w:b/>
      </w:rPr>
    </w:pPr>
    <w:r>
      <w:t>A.25-05-</w:t>
    </w:r>
    <w:proofErr w:type="gramStart"/>
    <w:r>
      <w:t>008  ALJ</w:t>
    </w:r>
    <w:proofErr w:type="gramEnd"/>
    <w:r>
      <w:t>/EO2/</w:t>
    </w:r>
    <w:proofErr w:type="spellStart"/>
    <w:r>
      <w:t>avs</w:t>
    </w:r>
    <w:proofErr w:type="spellEnd"/>
    <w:r w:rsidR="00E23CBB">
      <w:tab/>
    </w:r>
    <w:r w:rsidR="00E23CBB">
      <w:rPr>
        <w:b/>
      </w:rPr>
      <w:t>PROPOSED DECISION</w:t>
    </w:r>
    <w:r w:rsidR="00C90365">
      <w:rPr>
        <w:b/>
      </w:rPr>
      <w:t xml:space="preserve"> (REV. 1)</w:t>
    </w:r>
  </w:p>
  <w:p w14:paraId="634E4D49" w14:textId="77777777" w:rsidR="00B93FF9" w:rsidRDefault="00B93FF9" w:rsidP="00B3087D">
    <w:pPr>
      <w:pStyle w:val="Header"/>
      <w:tabs>
        <w:tab w:val="clear" w:pos="4680"/>
      </w:tabs>
      <w:ind w:firstLine="0"/>
      <w:rPr>
        <w:iCs/>
      </w:rPr>
    </w:pPr>
  </w:p>
  <w:p w14:paraId="352E10AC" w14:textId="77777777" w:rsidR="00B93FF9" w:rsidRPr="00B93FF9" w:rsidRDefault="00B93FF9" w:rsidP="00B3087D">
    <w:pPr>
      <w:pStyle w:val="Header"/>
      <w:tabs>
        <w:tab w:val="clear" w:pos="4680"/>
      </w:tabs>
      <w:ind w:firstLine="0"/>
      <w:rPr>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99C6" w14:textId="6B6F2D3C" w:rsidR="00B93FF9" w:rsidRDefault="00B93FF9" w:rsidP="00B93FF9">
    <w:pPr>
      <w:pStyle w:val="Header"/>
      <w:tabs>
        <w:tab w:val="clear" w:pos="4680"/>
      </w:tabs>
      <w:ind w:firstLine="0"/>
      <w:rPr>
        <w:b/>
      </w:rPr>
    </w:pPr>
    <w:r>
      <w:t>A.25-05-</w:t>
    </w:r>
    <w:proofErr w:type="gramStart"/>
    <w:r>
      <w:t>008  ALJ</w:t>
    </w:r>
    <w:proofErr w:type="gramEnd"/>
    <w:r>
      <w:t>/EO2/</w:t>
    </w:r>
    <w:proofErr w:type="spellStart"/>
    <w:r>
      <w:t>avs</w:t>
    </w:r>
    <w:proofErr w:type="spellEnd"/>
    <w:r>
      <w:tab/>
    </w:r>
    <w:r>
      <w:rPr>
        <w:b/>
      </w:rPr>
      <w:t>PROPOSED DECISION</w:t>
    </w:r>
    <w:r w:rsidR="00C90365">
      <w:rPr>
        <w:b/>
      </w:rPr>
      <w:t xml:space="preserve"> (REV. 1)</w:t>
    </w:r>
  </w:p>
  <w:p w14:paraId="6AD0EDA3" w14:textId="77777777" w:rsidR="00B93FF9" w:rsidRDefault="00B93FF9" w:rsidP="00B93FF9">
    <w:pPr>
      <w:pStyle w:val="Header"/>
      <w:tabs>
        <w:tab w:val="clear" w:pos="4680"/>
      </w:tabs>
      <w:ind w:firstLine="0"/>
      <w:rPr>
        <w:iCs/>
      </w:rPr>
    </w:pPr>
  </w:p>
  <w:p w14:paraId="6C396D77" w14:textId="77777777" w:rsidR="00B93FF9" w:rsidRPr="00B93FF9" w:rsidRDefault="00B93FF9" w:rsidP="00B93FF9">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35429"/>
    <w:multiLevelType w:val="hybridMultilevel"/>
    <w:tmpl w:val="553C5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00D"/>
    <w:multiLevelType w:val="hybridMultilevel"/>
    <w:tmpl w:val="13D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96B3A"/>
    <w:multiLevelType w:val="hybridMultilevel"/>
    <w:tmpl w:val="DDB02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6A3E19"/>
    <w:multiLevelType w:val="hybridMultilevel"/>
    <w:tmpl w:val="35DCA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D77DDC"/>
    <w:multiLevelType w:val="hybridMultilevel"/>
    <w:tmpl w:val="EB0A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A7DBF"/>
    <w:multiLevelType w:val="hybridMultilevel"/>
    <w:tmpl w:val="507E5AFC"/>
    <w:lvl w:ilvl="0" w:tplc="FFFFFFFF">
      <w:start w:val="1"/>
      <w:numFmt w:val="decimal"/>
      <w:lvlText w:val="%1."/>
      <w:lvlJc w:val="left"/>
      <w:pPr>
        <w:ind w:left="171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87452F0"/>
    <w:multiLevelType w:val="hybridMultilevel"/>
    <w:tmpl w:val="F02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10D77"/>
    <w:multiLevelType w:val="hybridMultilevel"/>
    <w:tmpl w:val="7ED41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8127B"/>
    <w:multiLevelType w:val="hybridMultilevel"/>
    <w:tmpl w:val="C5B4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96189"/>
    <w:multiLevelType w:val="hybridMultilevel"/>
    <w:tmpl w:val="3A52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B0133"/>
    <w:multiLevelType w:val="hybridMultilevel"/>
    <w:tmpl w:val="5FA4B5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41412B02"/>
    <w:multiLevelType w:val="hybridMultilevel"/>
    <w:tmpl w:val="6F38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1208"/>
    <w:multiLevelType w:val="hybridMultilevel"/>
    <w:tmpl w:val="CD76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9710B"/>
    <w:multiLevelType w:val="hybridMultilevel"/>
    <w:tmpl w:val="3ED2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82174"/>
    <w:multiLevelType w:val="hybridMultilevel"/>
    <w:tmpl w:val="49A0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042D7"/>
    <w:multiLevelType w:val="multilevel"/>
    <w:tmpl w:val="18F4A5AC"/>
    <w:numStyleLink w:val="FoFCoLOP"/>
  </w:abstractNum>
  <w:abstractNum w:abstractNumId="20" w15:restartNumberingAfterBreak="0">
    <w:nsid w:val="60CC375E"/>
    <w:multiLevelType w:val="hybridMultilevel"/>
    <w:tmpl w:val="BA8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25780"/>
    <w:multiLevelType w:val="multilevel"/>
    <w:tmpl w:val="3C526EDE"/>
    <w:numStyleLink w:val="Headings"/>
  </w:abstractNum>
  <w:abstractNum w:abstractNumId="22" w15:restartNumberingAfterBreak="0">
    <w:nsid w:val="62910E44"/>
    <w:multiLevelType w:val="hybridMultilevel"/>
    <w:tmpl w:val="0CC8CE80"/>
    <w:lvl w:ilvl="0" w:tplc="220A3440">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07F06"/>
    <w:multiLevelType w:val="hybridMultilevel"/>
    <w:tmpl w:val="C142BDA4"/>
    <w:lvl w:ilvl="0" w:tplc="7526AA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C820F1D"/>
    <w:multiLevelType w:val="hybridMultilevel"/>
    <w:tmpl w:val="3F5ADB24"/>
    <w:lvl w:ilvl="0" w:tplc="5F8CD6AC">
      <w:start w:val="11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05875"/>
    <w:multiLevelType w:val="hybridMultilevel"/>
    <w:tmpl w:val="DDB0272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89A0AFE"/>
    <w:multiLevelType w:val="multilevel"/>
    <w:tmpl w:val="18F4A5AC"/>
    <w:numStyleLink w:val="FoFCoLOP"/>
  </w:abstractNum>
  <w:num w:numId="1" w16cid:durableId="140774137">
    <w:abstractNumId w:val="7"/>
  </w:num>
  <w:num w:numId="2" w16cid:durableId="1898543446">
    <w:abstractNumId w:val="19"/>
  </w:num>
  <w:num w:numId="3" w16cid:durableId="701521005">
    <w:abstractNumId w:val="8"/>
  </w:num>
  <w:num w:numId="4" w16cid:durableId="2017029027">
    <w:abstractNumId w:val="26"/>
  </w:num>
  <w:num w:numId="5" w16cid:durableId="973756952">
    <w:abstractNumId w:val="14"/>
  </w:num>
  <w:num w:numId="6" w16cid:durableId="816924040">
    <w:abstractNumId w:val="0"/>
  </w:num>
  <w:num w:numId="7" w16cid:durableId="1714382259">
    <w:abstractNumId w:val="21"/>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8" w16cid:durableId="304087790">
    <w:abstractNumId w:val="4"/>
  </w:num>
  <w:num w:numId="9" w16cid:durableId="502862286">
    <w:abstractNumId w:val="13"/>
  </w:num>
  <w:num w:numId="10" w16cid:durableId="2104298897">
    <w:abstractNumId w:val="10"/>
  </w:num>
  <w:num w:numId="11" w16cid:durableId="320937247">
    <w:abstractNumId w:val="21"/>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2" w16cid:durableId="1449352584">
    <w:abstractNumId w:val="21"/>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260067906">
    <w:abstractNumId w:val="2"/>
  </w:num>
  <w:num w:numId="14" w16cid:durableId="1178273267">
    <w:abstractNumId w:val="18"/>
  </w:num>
  <w:num w:numId="15" w16cid:durableId="1482162626">
    <w:abstractNumId w:val="9"/>
  </w:num>
  <w:num w:numId="16" w16cid:durableId="1016345505">
    <w:abstractNumId w:val="20"/>
  </w:num>
  <w:num w:numId="17" w16cid:durableId="1527788411">
    <w:abstractNumId w:val="16"/>
  </w:num>
  <w:num w:numId="18" w16cid:durableId="1775436677">
    <w:abstractNumId w:val="11"/>
  </w:num>
  <w:num w:numId="19" w16cid:durableId="1457868723">
    <w:abstractNumId w:val="17"/>
  </w:num>
  <w:num w:numId="20" w16cid:durableId="345641534">
    <w:abstractNumId w:val="1"/>
  </w:num>
  <w:num w:numId="21" w16cid:durableId="257257917">
    <w:abstractNumId w:val="21"/>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2" w16cid:durableId="1549412219">
    <w:abstractNumId w:val="6"/>
  </w:num>
  <w:num w:numId="23" w16cid:durableId="856114730">
    <w:abstractNumId w:val="5"/>
  </w:num>
  <w:num w:numId="24" w16cid:durableId="464783370">
    <w:abstractNumId w:val="12"/>
  </w:num>
  <w:num w:numId="25" w16cid:durableId="1796437769">
    <w:abstractNumId w:val="21"/>
    <w:lvlOverride w:ilvl="0">
      <w:startOverride w:val="8"/>
      <w:lvl w:ilvl="0">
        <w:start w:val="8"/>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2"/>
      <w:lvl w:ilvl="1">
        <w:start w:val="2"/>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4"/>
      <w:lvl w:ilvl="2">
        <w:start w:val="4"/>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6" w16cid:durableId="707217632">
    <w:abstractNumId w:val="3"/>
  </w:num>
  <w:num w:numId="27" w16cid:durableId="735857589">
    <w:abstractNumId w:val="24"/>
  </w:num>
  <w:num w:numId="28" w16cid:durableId="138350254">
    <w:abstractNumId w:val="23"/>
  </w:num>
  <w:num w:numId="29" w16cid:durableId="984359533">
    <w:abstractNumId w:val="25"/>
  </w:num>
  <w:num w:numId="30" w16cid:durableId="1573275137">
    <w:abstractNumId w:val="22"/>
  </w:num>
  <w:num w:numId="31" w16cid:durableId="46282009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36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C7"/>
    <w:rsid w:val="00000F6A"/>
    <w:rsid w:val="000020DB"/>
    <w:rsid w:val="000030A6"/>
    <w:rsid w:val="0000313F"/>
    <w:rsid w:val="00003469"/>
    <w:rsid w:val="00005BE6"/>
    <w:rsid w:val="00006179"/>
    <w:rsid w:val="000108B4"/>
    <w:rsid w:val="00010A22"/>
    <w:rsid w:val="000133F6"/>
    <w:rsid w:val="000134FF"/>
    <w:rsid w:val="0001399E"/>
    <w:rsid w:val="00014950"/>
    <w:rsid w:val="000150E7"/>
    <w:rsid w:val="00017183"/>
    <w:rsid w:val="00017702"/>
    <w:rsid w:val="000218AD"/>
    <w:rsid w:val="00021D5F"/>
    <w:rsid w:val="00021D69"/>
    <w:rsid w:val="00022917"/>
    <w:rsid w:val="0002293A"/>
    <w:rsid w:val="0002363E"/>
    <w:rsid w:val="000238CC"/>
    <w:rsid w:val="0002552B"/>
    <w:rsid w:val="00026321"/>
    <w:rsid w:val="00026333"/>
    <w:rsid w:val="00026D3F"/>
    <w:rsid w:val="00030534"/>
    <w:rsid w:val="00030616"/>
    <w:rsid w:val="00030847"/>
    <w:rsid w:val="0003220C"/>
    <w:rsid w:val="00033B74"/>
    <w:rsid w:val="00034612"/>
    <w:rsid w:val="000348D5"/>
    <w:rsid w:val="00034F1B"/>
    <w:rsid w:val="00035234"/>
    <w:rsid w:val="000353C0"/>
    <w:rsid w:val="00036A83"/>
    <w:rsid w:val="00037419"/>
    <w:rsid w:val="00037ABB"/>
    <w:rsid w:val="0004154C"/>
    <w:rsid w:val="0004181E"/>
    <w:rsid w:val="0004187C"/>
    <w:rsid w:val="00042B53"/>
    <w:rsid w:val="0004330E"/>
    <w:rsid w:val="00043C04"/>
    <w:rsid w:val="000447AA"/>
    <w:rsid w:val="00044D00"/>
    <w:rsid w:val="00044DFB"/>
    <w:rsid w:val="00045277"/>
    <w:rsid w:val="00046B75"/>
    <w:rsid w:val="00047D7D"/>
    <w:rsid w:val="0005457E"/>
    <w:rsid w:val="00054B37"/>
    <w:rsid w:val="0005721A"/>
    <w:rsid w:val="000617FA"/>
    <w:rsid w:val="00062879"/>
    <w:rsid w:val="00062A93"/>
    <w:rsid w:val="00063A51"/>
    <w:rsid w:val="000648E4"/>
    <w:rsid w:val="00064AC1"/>
    <w:rsid w:val="00066574"/>
    <w:rsid w:val="00066FA2"/>
    <w:rsid w:val="00070BE4"/>
    <w:rsid w:val="0007115A"/>
    <w:rsid w:val="00072552"/>
    <w:rsid w:val="000740A8"/>
    <w:rsid w:val="00074E46"/>
    <w:rsid w:val="0007585C"/>
    <w:rsid w:val="00076B13"/>
    <w:rsid w:val="000774EA"/>
    <w:rsid w:val="000800C6"/>
    <w:rsid w:val="0008388C"/>
    <w:rsid w:val="00083C92"/>
    <w:rsid w:val="00083FDA"/>
    <w:rsid w:val="000842E6"/>
    <w:rsid w:val="00084AB2"/>
    <w:rsid w:val="00084B1C"/>
    <w:rsid w:val="00084F02"/>
    <w:rsid w:val="00084FFF"/>
    <w:rsid w:val="000969B4"/>
    <w:rsid w:val="000973C8"/>
    <w:rsid w:val="00097883"/>
    <w:rsid w:val="000A03B7"/>
    <w:rsid w:val="000A04A7"/>
    <w:rsid w:val="000A07AF"/>
    <w:rsid w:val="000A279D"/>
    <w:rsid w:val="000A2AA9"/>
    <w:rsid w:val="000A547D"/>
    <w:rsid w:val="000A56F2"/>
    <w:rsid w:val="000A5BBF"/>
    <w:rsid w:val="000A6D11"/>
    <w:rsid w:val="000A6E05"/>
    <w:rsid w:val="000A74DA"/>
    <w:rsid w:val="000A75D1"/>
    <w:rsid w:val="000A7838"/>
    <w:rsid w:val="000A7839"/>
    <w:rsid w:val="000B12FA"/>
    <w:rsid w:val="000B3250"/>
    <w:rsid w:val="000B38BC"/>
    <w:rsid w:val="000B3CEF"/>
    <w:rsid w:val="000B4E6D"/>
    <w:rsid w:val="000B7812"/>
    <w:rsid w:val="000B7F0F"/>
    <w:rsid w:val="000C08BF"/>
    <w:rsid w:val="000C1D50"/>
    <w:rsid w:val="000C26E9"/>
    <w:rsid w:val="000C292B"/>
    <w:rsid w:val="000C3B9A"/>
    <w:rsid w:val="000C3D05"/>
    <w:rsid w:val="000C3E77"/>
    <w:rsid w:val="000C41CD"/>
    <w:rsid w:val="000C4CB2"/>
    <w:rsid w:val="000C573B"/>
    <w:rsid w:val="000C5A54"/>
    <w:rsid w:val="000C5FE8"/>
    <w:rsid w:val="000C7B2F"/>
    <w:rsid w:val="000C7D23"/>
    <w:rsid w:val="000C7EA0"/>
    <w:rsid w:val="000C7F7C"/>
    <w:rsid w:val="000D0266"/>
    <w:rsid w:val="000D0A27"/>
    <w:rsid w:val="000D0C0E"/>
    <w:rsid w:val="000D17CE"/>
    <w:rsid w:val="000D2376"/>
    <w:rsid w:val="000D25A8"/>
    <w:rsid w:val="000D31DB"/>
    <w:rsid w:val="000D3529"/>
    <w:rsid w:val="000D43F0"/>
    <w:rsid w:val="000D4930"/>
    <w:rsid w:val="000D6F1F"/>
    <w:rsid w:val="000D6FEF"/>
    <w:rsid w:val="000D7F43"/>
    <w:rsid w:val="000E240F"/>
    <w:rsid w:val="000E270A"/>
    <w:rsid w:val="000E27CC"/>
    <w:rsid w:val="000E4C53"/>
    <w:rsid w:val="000E5010"/>
    <w:rsid w:val="000E6101"/>
    <w:rsid w:val="000E65AB"/>
    <w:rsid w:val="000E6785"/>
    <w:rsid w:val="000E6C50"/>
    <w:rsid w:val="000E6CF9"/>
    <w:rsid w:val="000F48A3"/>
    <w:rsid w:val="000F48C6"/>
    <w:rsid w:val="000F6BA4"/>
    <w:rsid w:val="000F6BC1"/>
    <w:rsid w:val="001005D5"/>
    <w:rsid w:val="00100DF6"/>
    <w:rsid w:val="001040C9"/>
    <w:rsid w:val="00106E40"/>
    <w:rsid w:val="00107BA0"/>
    <w:rsid w:val="00110112"/>
    <w:rsid w:val="001101A8"/>
    <w:rsid w:val="001130D3"/>
    <w:rsid w:val="00113C74"/>
    <w:rsid w:val="0011680A"/>
    <w:rsid w:val="00116A90"/>
    <w:rsid w:val="00117851"/>
    <w:rsid w:val="00120455"/>
    <w:rsid w:val="00120974"/>
    <w:rsid w:val="00121089"/>
    <w:rsid w:val="001222A6"/>
    <w:rsid w:val="00122DEE"/>
    <w:rsid w:val="00122E4F"/>
    <w:rsid w:val="001245D6"/>
    <w:rsid w:val="00124EBC"/>
    <w:rsid w:val="001251F3"/>
    <w:rsid w:val="0012596D"/>
    <w:rsid w:val="001269A7"/>
    <w:rsid w:val="00127300"/>
    <w:rsid w:val="00130139"/>
    <w:rsid w:val="00130DB3"/>
    <w:rsid w:val="001316AD"/>
    <w:rsid w:val="00131EBC"/>
    <w:rsid w:val="00132022"/>
    <w:rsid w:val="0013424F"/>
    <w:rsid w:val="00134D79"/>
    <w:rsid w:val="001376CB"/>
    <w:rsid w:val="00137D42"/>
    <w:rsid w:val="00142639"/>
    <w:rsid w:val="00143100"/>
    <w:rsid w:val="00143577"/>
    <w:rsid w:val="00143AA9"/>
    <w:rsid w:val="00143C7B"/>
    <w:rsid w:val="00144147"/>
    <w:rsid w:val="00145412"/>
    <w:rsid w:val="00146B6E"/>
    <w:rsid w:val="00147014"/>
    <w:rsid w:val="001479EE"/>
    <w:rsid w:val="001502E4"/>
    <w:rsid w:val="00151328"/>
    <w:rsid w:val="0015197D"/>
    <w:rsid w:val="001542D2"/>
    <w:rsid w:val="00154FFE"/>
    <w:rsid w:val="00155E38"/>
    <w:rsid w:val="001570DF"/>
    <w:rsid w:val="00157E37"/>
    <w:rsid w:val="001602F0"/>
    <w:rsid w:val="001606AA"/>
    <w:rsid w:val="0016296A"/>
    <w:rsid w:val="001631A6"/>
    <w:rsid w:val="00163847"/>
    <w:rsid w:val="00163C98"/>
    <w:rsid w:val="0016531E"/>
    <w:rsid w:val="00165F5F"/>
    <w:rsid w:val="001666FE"/>
    <w:rsid w:val="001677AD"/>
    <w:rsid w:val="001708EE"/>
    <w:rsid w:val="00170B87"/>
    <w:rsid w:val="00170BB2"/>
    <w:rsid w:val="00171629"/>
    <w:rsid w:val="00171B2E"/>
    <w:rsid w:val="0017204B"/>
    <w:rsid w:val="00173437"/>
    <w:rsid w:val="0017356B"/>
    <w:rsid w:val="001738BD"/>
    <w:rsid w:val="00175D63"/>
    <w:rsid w:val="001768F3"/>
    <w:rsid w:val="0018105E"/>
    <w:rsid w:val="00182338"/>
    <w:rsid w:val="001827D0"/>
    <w:rsid w:val="00182A13"/>
    <w:rsid w:val="00182BE9"/>
    <w:rsid w:val="00184A8F"/>
    <w:rsid w:val="00190D6B"/>
    <w:rsid w:val="001920F4"/>
    <w:rsid w:val="0019301E"/>
    <w:rsid w:val="00193E3B"/>
    <w:rsid w:val="0019607C"/>
    <w:rsid w:val="00196497"/>
    <w:rsid w:val="00196DC1"/>
    <w:rsid w:val="001A2C41"/>
    <w:rsid w:val="001A3314"/>
    <w:rsid w:val="001A39BF"/>
    <w:rsid w:val="001A4064"/>
    <w:rsid w:val="001A45D2"/>
    <w:rsid w:val="001A4A27"/>
    <w:rsid w:val="001A6BFB"/>
    <w:rsid w:val="001B080B"/>
    <w:rsid w:val="001B161D"/>
    <w:rsid w:val="001B2141"/>
    <w:rsid w:val="001B51B3"/>
    <w:rsid w:val="001B5962"/>
    <w:rsid w:val="001B67B2"/>
    <w:rsid w:val="001B7E4A"/>
    <w:rsid w:val="001C0548"/>
    <w:rsid w:val="001C059F"/>
    <w:rsid w:val="001C19D1"/>
    <w:rsid w:val="001C1BCE"/>
    <w:rsid w:val="001C1D4D"/>
    <w:rsid w:val="001C22ED"/>
    <w:rsid w:val="001C27A6"/>
    <w:rsid w:val="001C29B6"/>
    <w:rsid w:val="001C2E88"/>
    <w:rsid w:val="001C363F"/>
    <w:rsid w:val="001C5624"/>
    <w:rsid w:val="001C60DD"/>
    <w:rsid w:val="001C656B"/>
    <w:rsid w:val="001D1A57"/>
    <w:rsid w:val="001D1DF4"/>
    <w:rsid w:val="001D2272"/>
    <w:rsid w:val="001D33FA"/>
    <w:rsid w:val="001D518A"/>
    <w:rsid w:val="001D5294"/>
    <w:rsid w:val="001D54B9"/>
    <w:rsid w:val="001D5744"/>
    <w:rsid w:val="001D5C2A"/>
    <w:rsid w:val="001D7B01"/>
    <w:rsid w:val="001E170A"/>
    <w:rsid w:val="001E2A44"/>
    <w:rsid w:val="001E2A62"/>
    <w:rsid w:val="001E2AE6"/>
    <w:rsid w:val="001E4209"/>
    <w:rsid w:val="001E4331"/>
    <w:rsid w:val="001E4348"/>
    <w:rsid w:val="001E6D18"/>
    <w:rsid w:val="001E71AB"/>
    <w:rsid w:val="001E75C1"/>
    <w:rsid w:val="001F13A7"/>
    <w:rsid w:val="001F1FB0"/>
    <w:rsid w:val="001F2819"/>
    <w:rsid w:val="001F50FA"/>
    <w:rsid w:val="001F7D14"/>
    <w:rsid w:val="001F7FEB"/>
    <w:rsid w:val="0020037B"/>
    <w:rsid w:val="00200B90"/>
    <w:rsid w:val="00200C4B"/>
    <w:rsid w:val="00201307"/>
    <w:rsid w:val="00201C99"/>
    <w:rsid w:val="0020254F"/>
    <w:rsid w:val="00203FFE"/>
    <w:rsid w:val="002043EC"/>
    <w:rsid w:val="002057BE"/>
    <w:rsid w:val="00207D79"/>
    <w:rsid w:val="00213F07"/>
    <w:rsid w:val="00214677"/>
    <w:rsid w:val="00215A87"/>
    <w:rsid w:val="00216935"/>
    <w:rsid w:val="002202AD"/>
    <w:rsid w:val="00222CC7"/>
    <w:rsid w:val="00224592"/>
    <w:rsid w:val="00224667"/>
    <w:rsid w:val="00225E3E"/>
    <w:rsid w:val="00226325"/>
    <w:rsid w:val="002268C5"/>
    <w:rsid w:val="002276F0"/>
    <w:rsid w:val="00227D22"/>
    <w:rsid w:val="00227D4C"/>
    <w:rsid w:val="00230B07"/>
    <w:rsid w:val="00233057"/>
    <w:rsid w:val="00233E37"/>
    <w:rsid w:val="002342D5"/>
    <w:rsid w:val="002353E1"/>
    <w:rsid w:val="00235D70"/>
    <w:rsid w:val="002402AE"/>
    <w:rsid w:val="00242E68"/>
    <w:rsid w:val="00243DC0"/>
    <w:rsid w:val="00244A15"/>
    <w:rsid w:val="00244F06"/>
    <w:rsid w:val="00247109"/>
    <w:rsid w:val="00247477"/>
    <w:rsid w:val="00247EF1"/>
    <w:rsid w:val="002513B7"/>
    <w:rsid w:val="002521BF"/>
    <w:rsid w:val="00252F38"/>
    <w:rsid w:val="002542BE"/>
    <w:rsid w:val="00254B20"/>
    <w:rsid w:val="00254ED0"/>
    <w:rsid w:val="0025522E"/>
    <w:rsid w:val="00255FC4"/>
    <w:rsid w:val="00256677"/>
    <w:rsid w:val="002568DE"/>
    <w:rsid w:val="00257A17"/>
    <w:rsid w:val="00257EEF"/>
    <w:rsid w:val="00260715"/>
    <w:rsid w:val="00260EB9"/>
    <w:rsid w:val="002617B5"/>
    <w:rsid w:val="0026329D"/>
    <w:rsid w:val="00263CCC"/>
    <w:rsid w:val="00264AA3"/>
    <w:rsid w:val="00264C56"/>
    <w:rsid w:val="00264F8B"/>
    <w:rsid w:val="002651D9"/>
    <w:rsid w:val="002656DC"/>
    <w:rsid w:val="00266DCD"/>
    <w:rsid w:val="00266E94"/>
    <w:rsid w:val="00270440"/>
    <w:rsid w:val="00271BDE"/>
    <w:rsid w:val="00272131"/>
    <w:rsid w:val="0027243E"/>
    <w:rsid w:val="0027262B"/>
    <w:rsid w:val="00273150"/>
    <w:rsid w:val="0027380A"/>
    <w:rsid w:val="00275A34"/>
    <w:rsid w:val="00276BF8"/>
    <w:rsid w:val="0028009F"/>
    <w:rsid w:val="00281D20"/>
    <w:rsid w:val="00283914"/>
    <w:rsid w:val="002842C4"/>
    <w:rsid w:val="0028435B"/>
    <w:rsid w:val="00284D8D"/>
    <w:rsid w:val="00287BC5"/>
    <w:rsid w:val="00290509"/>
    <w:rsid w:val="00290581"/>
    <w:rsid w:val="00293130"/>
    <w:rsid w:val="00293DEE"/>
    <w:rsid w:val="002947BB"/>
    <w:rsid w:val="0029506E"/>
    <w:rsid w:val="00295A5A"/>
    <w:rsid w:val="002A0B5D"/>
    <w:rsid w:val="002A1667"/>
    <w:rsid w:val="002A36DE"/>
    <w:rsid w:val="002A38CC"/>
    <w:rsid w:val="002A3CE0"/>
    <w:rsid w:val="002A42D5"/>
    <w:rsid w:val="002A4CDC"/>
    <w:rsid w:val="002A68CA"/>
    <w:rsid w:val="002A6B45"/>
    <w:rsid w:val="002A73E4"/>
    <w:rsid w:val="002B020A"/>
    <w:rsid w:val="002B0440"/>
    <w:rsid w:val="002B2044"/>
    <w:rsid w:val="002B2603"/>
    <w:rsid w:val="002B29F5"/>
    <w:rsid w:val="002B2A6D"/>
    <w:rsid w:val="002B6D32"/>
    <w:rsid w:val="002B78D6"/>
    <w:rsid w:val="002B7EA9"/>
    <w:rsid w:val="002C0CA7"/>
    <w:rsid w:val="002C2FC2"/>
    <w:rsid w:val="002C3B37"/>
    <w:rsid w:val="002C3ECB"/>
    <w:rsid w:val="002C6E3F"/>
    <w:rsid w:val="002C739A"/>
    <w:rsid w:val="002C7FE9"/>
    <w:rsid w:val="002D069E"/>
    <w:rsid w:val="002D0C2A"/>
    <w:rsid w:val="002D0DC5"/>
    <w:rsid w:val="002D0F19"/>
    <w:rsid w:val="002D46B8"/>
    <w:rsid w:val="002D4EFD"/>
    <w:rsid w:val="002D68B4"/>
    <w:rsid w:val="002D75CC"/>
    <w:rsid w:val="002E198D"/>
    <w:rsid w:val="002E3D17"/>
    <w:rsid w:val="002E740F"/>
    <w:rsid w:val="002E74CF"/>
    <w:rsid w:val="002F08FD"/>
    <w:rsid w:val="002F1F12"/>
    <w:rsid w:val="002F258D"/>
    <w:rsid w:val="002F3CBD"/>
    <w:rsid w:val="00300B68"/>
    <w:rsid w:val="00300C6F"/>
    <w:rsid w:val="003015AB"/>
    <w:rsid w:val="00301998"/>
    <w:rsid w:val="00302932"/>
    <w:rsid w:val="00302A7A"/>
    <w:rsid w:val="0030363E"/>
    <w:rsid w:val="00304041"/>
    <w:rsid w:val="00305238"/>
    <w:rsid w:val="00310631"/>
    <w:rsid w:val="003120EB"/>
    <w:rsid w:val="0031309A"/>
    <w:rsid w:val="00314EB8"/>
    <w:rsid w:val="003158A5"/>
    <w:rsid w:val="00315A97"/>
    <w:rsid w:val="00316071"/>
    <w:rsid w:val="00316B11"/>
    <w:rsid w:val="00316B9C"/>
    <w:rsid w:val="0031718C"/>
    <w:rsid w:val="003171F7"/>
    <w:rsid w:val="003179DC"/>
    <w:rsid w:val="00317EC4"/>
    <w:rsid w:val="00320E43"/>
    <w:rsid w:val="00324170"/>
    <w:rsid w:val="003271D9"/>
    <w:rsid w:val="003302B8"/>
    <w:rsid w:val="00330A7A"/>
    <w:rsid w:val="003331D7"/>
    <w:rsid w:val="0033347D"/>
    <w:rsid w:val="00333AD8"/>
    <w:rsid w:val="00334380"/>
    <w:rsid w:val="0033575E"/>
    <w:rsid w:val="0033596E"/>
    <w:rsid w:val="00335BE2"/>
    <w:rsid w:val="003365E5"/>
    <w:rsid w:val="00336869"/>
    <w:rsid w:val="00337EC5"/>
    <w:rsid w:val="00342A5E"/>
    <w:rsid w:val="00342E6E"/>
    <w:rsid w:val="00343378"/>
    <w:rsid w:val="00343E5C"/>
    <w:rsid w:val="00344FB8"/>
    <w:rsid w:val="0034639E"/>
    <w:rsid w:val="003501AA"/>
    <w:rsid w:val="00350627"/>
    <w:rsid w:val="00351A75"/>
    <w:rsid w:val="00353C61"/>
    <w:rsid w:val="00355550"/>
    <w:rsid w:val="00355F62"/>
    <w:rsid w:val="0036017B"/>
    <w:rsid w:val="0036267B"/>
    <w:rsid w:val="00362755"/>
    <w:rsid w:val="00366251"/>
    <w:rsid w:val="00366930"/>
    <w:rsid w:val="00366A9F"/>
    <w:rsid w:val="00367B12"/>
    <w:rsid w:val="00367F93"/>
    <w:rsid w:val="00370B99"/>
    <w:rsid w:val="00371FF5"/>
    <w:rsid w:val="00373B93"/>
    <w:rsid w:val="00375607"/>
    <w:rsid w:val="00375CD7"/>
    <w:rsid w:val="00380CD1"/>
    <w:rsid w:val="00383AF7"/>
    <w:rsid w:val="00384452"/>
    <w:rsid w:val="00385CA8"/>
    <w:rsid w:val="00386640"/>
    <w:rsid w:val="003875EC"/>
    <w:rsid w:val="003911ED"/>
    <w:rsid w:val="00393B0F"/>
    <w:rsid w:val="003942E9"/>
    <w:rsid w:val="003949D6"/>
    <w:rsid w:val="00395E41"/>
    <w:rsid w:val="00395FCA"/>
    <w:rsid w:val="00396058"/>
    <w:rsid w:val="00396D76"/>
    <w:rsid w:val="003975DE"/>
    <w:rsid w:val="00397E84"/>
    <w:rsid w:val="003A02CA"/>
    <w:rsid w:val="003A0824"/>
    <w:rsid w:val="003A0DFC"/>
    <w:rsid w:val="003A15E9"/>
    <w:rsid w:val="003A168E"/>
    <w:rsid w:val="003A1C90"/>
    <w:rsid w:val="003A2026"/>
    <w:rsid w:val="003A2C15"/>
    <w:rsid w:val="003A38F0"/>
    <w:rsid w:val="003A3AB8"/>
    <w:rsid w:val="003A6669"/>
    <w:rsid w:val="003B038D"/>
    <w:rsid w:val="003B1F4A"/>
    <w:rsid w:val="003B4C76"/>
    <w:rsid w:val="003B4FA1"/>
    <w:rsid w:val="003B6AC4"/>
    <w:rsid w:val="003B6BC8"/>
    <w:rsid w:val="003B77B4"/>
    <w:rsid w:val="003B78F8"/>
    <w:rsid w:val="003C1AAA"/>
    <w:rsid w:val="003C3EE4"/>
    <w:rsid w:val="003C3F8E"/>
    <w:rsid w:val="003C3FCF"/>
    <w:rsid w:val="003C4177"/>
    <w:rsid w:val="003C42A2"/>
    <w:rsid w:val="003C4D95"/>
    <w:rsid w:val="003C66DC"/>
    <w:rsid w:val="003C7867"/>
    <w:rsid w:val="003D05CE"/>
    <w:rsid w:val="003D0AEA"/>
    <w:rsid w:val="003D249D"/>
    <w:rsid w:val="003D3B3A"/>
    <w:rsid w:val="003D6D66"/>
    <w:rsid w:val="003E0110"/>
    <w:rsid w:val="003E0A2F"/>
    <w:rsid w:val="003E1212"/>
    <w:rsid w:val="003E132A"/>
    <w:rsid w:val="003E4D43"/>
    <w:rsid w:val="003E513B"/>
    <w:rsid w:val="003E54B2"/>
    <w:rsid w:val="003E5AB4"/>
    <w:rsid w:val="003E6D97"/>
    <w:rsid w:val="003E7694"/>
    <w:rsid w:val="003F069A"/>
    <w:rsid w:val="003F14DB"/>
    <w:rsid w:val="003F3421"/>
    <w:rsid w:val="003F35D9"/>
    <w:rsid w:val="003F3F5B"/>
    <w:rsid w:val="003F4329"/>
    <w:rsid w:val="003F46FD"/>
    <w:rsid w:val="003F58DD"/>
    <w:rsid w:val="003F65B6"/>
    <w:rsid w:val="003F7EC7"/>
    <w:rsid w:val="00400DE5"/>
    <w:rsid w:val="00403849"/>
    <w:rsid w:val="00404029"/>
    <w:rsid w:val="00405668"/>
    <w:rsid w:val="004068E7"/>
    <w:rsid w:val="00411BB8"/>
    <w:rsid w:val="00411F55"/>
    <w:rsid w:val="00412534"/>
    <w:rsid w:val="00412C83"/>
    <w:rsid w:val="0041399A"/>
    <w:rsid w:val="00413DA7"/>
    <w:rsid w:val="00413E77"/>
    <w:rsid w:val="0041426A"/>
    <w:rsid w:val="00415CF6"/>
    <w:rsid w:val="00416C2D"/>
    <w:rsid w:val="004205B0"/>
    <w:rsid w:val="004205E4"/>
    <w:rsid w:val="004228E1"/>
    <w:rsid w:val="00422C4C"/>
    <w:rsid w:val="00423B07"/>
    <w:rsid w:val="004247AE"/>
    <w:rsid w:val="00425A36"/>
    <w:rsid w:val="00426014"/>
    <w:rsid w:val="004260F5"/>
    <w:rsid w:val="00426958"/>
    <w:rsid w:val="0042697F"/>
    <w:rsid w:val="00426D01"/>
    <w:rsid w:val="00426FB6"/>
    <w:rsid w:val="004331AB"/>
    <w:rsid w:val="004332E6"/>
    <w:rsid w:val="00433695"/>
    <w:rsid w:val="00437515"/>
    <w:rsid w:val="004401F1"/>
    <w:rsid w:val="004402EF"/>
    <w:rsid w:val="00440B1E"/>
    <w:rsid w:val="00440D94"/>
    <w:rsid w:val="004423CC"/>
    <w:rsid w:val="00444595"/>
    <w:rsid w:val="0044517C"/>
    <w:rsid w:val="0044549A"/>
    <w:rsid w:val="0044617E"/>
    <w:rsid w:val="00450D32"/>
    <w:rsid w:val="00451627"/>
    <w:rsid w:val="004524FD"/>
    <w:rsid w:val="00453671"/>
    <w:rsid w:val="004561A1"/>
    <w:rsid w:val="004569D5"/>
    <w:rsid w:val="00456A89"/>
    <w:rsid w:val="0046078B"/>
    <w:rsid w:val="00460B7D"/>
    <w:rsid w:val="00462967"/>
    <w:rsid w:val="0046436B"/>
    <w:rsid w:val="00464707"/>
    <w:rsid w:val="004652D3"/>
    <w:rsid w:val="00467170"/>
    <w:rsid w:val="00473A86"/>
    <w:rsid w:val="00474453"/>
    <w:rsid w:val="004746C6"/>
    <w:rsid w:val="00474D2E"/>
    <w:rsid w:val="0047691C"/>
    <w:rsid w:val="00476EED"/>
    <w:rsid w:val="00477527"/>
    <w:rsid w:val="004809A0"/>
    <w:rsid w:val="00480CB0"/>
    <w:rsid w:val="0048142E"/>
    <w:rsid w:val="004828A2"/>
    <w:rsid w:val="00483603"/>
    <w:rsid w:val="004839B0"/>
    <w:rsid w:val="0048458E"/>
    <w:rsid w:val="004848FD"/>
    <w:rsid w:val="00484D18"/>
    <w:rsid w:val="0048568E"/>
    <w:rsid w:val="00492A27"/>
    <w:rsid w:val="004942F3"/>
    <w:rsid w:val="00494639"/>
    <w:rsid w:val="0049481A"/>
    <w:rsid w:val="004958B1"/>
    <w:rsid w:val="00496725"/>
    <w:rsid w:val="004A03A3"/>
    <w:rsid w:val="004A1E34"/>
    <w:rsid w:val="004A1EAD"/>
    <w:rsid w:val="004A4641"/>
    <w:rsid w:val="004A47BE"/>
    <w:rsid w:val="004A5ADF"/>
    <w:rsid w:val="004A5EB9"/>
    <w:rsid w:val="004A6075"/>
    <w:rsid w:val="004A614F"/>
    <w:rsid w:val="004B04F3"/>
    <w:rsid w:val="004B0693"/>
    <w:rsid w:val="004B121B"/>
    <w:rsid w:val="004B1302"/>
    <w:rsid w:val="004B1315"/>
    <w:rsid w:val="004B2080"/>
    <w:rsid w:val="004B30FF"/>
    <w:rsid w:val="004B34EA"/>
    <w:rsid w:val="004B5494"/>
    <w:rsid w:val="004B6B60"/>
    <w:rsid w:val="004B7658"/>
    <w:rsid w:val="004B7C42"/>
    <w:rsid w:val="004C0322"/>
    <w:rsid w:val="004C11CB"/>
    <w:rsid w:val="004C186A"/>
    <w:rsid w:val="004C1AC1"/>
    <w:rsid w:val="004C2F19"/>
    <w:rsid w:val="004C43D7"/>
    <w:rsid w:val="004C43F0"/>
    <w:rsid w:val="004C45A0"/>
    <w:rsid w:val="004C5EDE"/>
    <w:rsid w:val="004C6EB6"/>
    <w:rsid w:val="004C7A2B"/>
    <w:rsid w:val="004C7D3A"/>
    <w:rsid w:val="004D0F87"/>
    <w:rsid w:val="004D2B40"/>
    <w:rsid w:val="004D32B9"/>
    <w:rsid w:val="004D46B6"/>
    <w:rsid w:val="004D4A3A"/>
    <w:rsid w:val="004D4B4E"/>
    <w:rsid w:val="004D62AD"/>
    <w:rsid w:val="004D76AB"/>
    <w:rsid w:val="004D7EFC"/>
    <w:rsid w:val="004E0553"/>
    <w:rsid w:val="004E0D40"/>
    <w:rsid w:val="004E0E69"/>
    <w:rsid w:val="004E14C5"/>
    <w:rsid w:val="004E1B43"/>
    <w:rsid w:val="004E3A6E"/>
    <w:rsid w:val="004E526B"/>
    <w:rsid w:val="004F20BF"/>
    <w:rsid w:val="004F3172"/>
    <w:rsid w:val="004F33A1"/>
    <w:rsid w:val="004F3450"/>
    <w:rsid w:val="004F3B5E"/>
    <w:rsid w:val="004F4F8D"/>
    <w:rsid w:val="004F6A33"/>
    <w:rsid w:val="004F6A99"/>
    <w:rsid w:val="005003AD"/>
    <w:rsid w:val="00500BF9"/>
    <w:rsid w:val="00500E87"/>
    <w:rsid w:val="005018A8"/>
    <w:rsid w:val="00503144"/>
    <w:rsid w:val="005034BC"/>
    <w:rsid w:val="005040F4"/>
    <w:rsid w:val="00504B3A"/>
    <w:rsid w:val="00505634"/>
    <w:rsid w:val="00505A39"/>
    <w:rsid w:val="0050732B"/>
    <w:rsid w:val="00507AE9"/>
    <w:rsid w:val="00510D93"/>
    <w:rsid w:val="005110E7"/>
    <w:rsid w:val="005121D7"/>
    <w:rsid w:val="00512524"/>
    <w:rsid w:val="005133EB"/>
    <w:rsid w:val="005150B2"/>
    <w:rsid w:val="00515C1F"/>
    <w:rsid w:val="005164A5"/>
    <w:rsid w:val="005168A4"/>
    <w:rsid w:val="005176D9"/>
    <w:rsid w:val="0052079E"/>
    <w:rsid w:val="00521650"/>
    <w:rsid w:val="00521F91"/>
    <w:rsid w:val="005224D9"/>
    <w:rsid w:val="00522ED9"/>
    <w:rsid w:val="00523083"/>
    <w:rsid w:val="00523D1B"/>
    <w:rsid w:val="005240BF"/>
    <w:rsid w:val="00524F70"/>
    <w:rsid w:val="0052544C"/>
    <w:rsid w:val="00526626"/>
    <w:rsid w:val="00526C17"/>
    <w:rsid w:val="00526F1F"/>
    <w:rsid w:val="00527343"/>
    <w:rsid w:val="005277EE"/>
    <w:rsid w:val="0053090A"/>
    <w:rsid w:val="00530E44"/>
    <w:rsid w:val="00530FFE"/>
    <w:rsid w:val="00531406"/>
    <w:rsid w:val="00531449"/>
    <w:rsid w:val="0053194D"/>
    <w:rsid w:val="00531CA5"/>
    <w:rsid w:val="00532337"/>
    <w:rsid w:val="0053297D"/>
    <w:rsid w:val="005346F1"/>
    <w:rsid w:val="005348EF"/>
    <w:rsid w:val="005371DA"/>
    <w:rsid w:val="005419FD"/>
    <w:rsid w:val="005425D5"/>
    <w:rsid w:val="00542CE8"/>
    <w:rsid w:val="00542D7D"/>
    <w:rsid w:val="00543409"/>
    <w:rsid w:val="00543709"/>
    <w:rsid w:val="00544A2E"/>
    <w:rsid w:val="005462D3"/>
    <w:rsid w:val="0054655F"/>
    <w:rsid w:val="005477DF"/>
    <w:rsid w:val="00547A5C"/>
    <w:rsid w:val="00547C2E"/>
    <w:rsid w:val="00547F01"/>
    <w:rsid w:val="00550129"/>
    <w:rsid w:val="00550C49"/>
    <w:rsid w:val="005538F2"/>
    <w:rsid w:val="005549C2"/>
    <w:rsid w:val="00560C3F"/>
    <w:rsid w:val="00561242"/>
    <w:rsid w:val="00561EDA"/>
    <w:rsid w:val="00563669"/>
    <w:rsid w:val="00563A67"/>
    <w:rsid w:val="005645FD"/>
    <w:rsid w:val="005647D5"/>
    <w:rsid w:val="005674AE"/>
    <w:rsid w:val="0056793C"/>
    <w:rsid w:val="00567B22"/>
    <w:rsid w:val="0057006D"/>
    <w:rsid w:val="00573074"/>
    <w:rsid w:val="00573265"/>
    <w:rsid w:val="00573EE8"/>
    <w:rsid w:val="00574CC2"/>
    <w:rsid w:val="00574F77"/>
    <w:rsid w:val="00575744"/>
    <w:rsid w:val="00575EE9"/>
    <w:rsid w:val="0057608E"/>
    <w:rsid w:val="00581A67"/>
    <w:rsid w:val="00581BAF"/>
    <w:rsid w:val="00582761"/>
    <w:rsid w:val="00583B62"/>
    <w:rsid w:val="00585285"/>
    <w:rsid w:val="00585390"/>
    <w:rsid w:val="005854DA"/>
    <w:rsid w:val="00585BC1"/>
    <w:rsid w:val="00585BC4"/>
    <w:rsid w:val="0058604D"/>
    <w:rsid w:val="0058724F"/>
    <w:rsid w:val="005875F5"/>
    <w:rsid w:val="00587B06"/>
    <w:rsid w:val="00592104"/>
    <w:rsid w:val="005939A5"/>
    <w:rsid w:val="00595E0B"/>
    <w:rsid w:val="00596D14"/>
    <w:rsid w:val="005977DB"/>
    <w:rsid w:val="005A1094"/>
    <w:rsid w:val="005A148C"/>
    <w:rsid w:val="005A2544"/>
    <w:rsid w:val="005A3EAC"/>
    <w:rsid w:val="005A55D7"/>
    <w:rsid w:val="005A6436"/>
    <w:rsid w:val="005A64E8"/>
    <w:rsid w:val="005A691C"/>
    <w:rsid w:val="005A7AC7"/>
    <w:rsid w:val="005B0259"/>
    <w:rsid w:val="005B069E"/>
    <w:rsid w:val="005B20D1"/>
    <w:rsid w:val="005B35B4"/>
    <w:rsid w:val="005B4CE9"/>
    <w:rsid w:val="005B5AFA"/>
    <w:rsid w:val="005B67AC"/>
    <w:rsid w:val="005B786D"/>
    <w:rsid w:val="005C0E10"/>
    <w:rsid w:val="005C1F26"/>
    <w:rsid w:val="005C2839"/>
    <w:rsid w:val="005C30C7"/>
    <w:rsid w:val="005C58FA"/>
    <w:rsid w:val="005C69B1"/>
    <w:rsid w:val="005D00A7"/>
    <w:rsid w:val="005D0142"/>
    <w:rsid w:val="005D03EE"/>
    <w:rsid w:val="005D2BE7"/>
    <w:rsid w:val="005D3260"/>
    <w:rsid w:val="005D3A7C"/>
    <w:rsid w:val="005D4119"/>
    <w:rsid w:val="005D4793"/>
    <w:rsid w:val="005D4BF8"/>
    <w:rsid w:val="005D5297"/>
    <w:rsid w:val="005D54B0"/>
    <w:rsid w:val="005D7E14"/>
    <w:rsid w:val="005E0101"/>
    <w:rsid w:val="005E03E5"/>
    <w:rsid w:val="005E0A57"/>
    <w:rsid w:val="005E1AFF"/>
    <w:rsid w:val="005E3250"/>
    <w:rsid w:val="005E3F6C"/>
    <w:rsid w:val="005E4D68"/>
    <w:rsid w:val="005E4FEC"/>
    <w:rsid w:val="005E5B23"/>
    <w:rsid w:val="005E5D31"/>
    <w:rsid w:val="005E75B4"/>
    <w:rsid w:val="005E7AA5"/>
    <w:rsid w:val="005F1226"/>
    <w:rsid w:val="005F2833"/>
    <w:rsid w:val="005F3914"/>
    <w:rsid w:val="005F4C1F"/>
    <w:rsid w:val="005F560F"/>
    <w:rsid w:val="005F6EE8"/>
    <w:rsid w:val="005F7B6A"/>
    <w:rsid w:val="00600F1F"/>
    <w:rsid w:val="00600F6E"/>
    <w:rsid w:val="00603238"/>
    <w:rsid w:val="00603871"/>
    <w:rsid w:val="0060447E"/>
    <w:rsid w:val="006076B4"/>
    <w:rsid w:val="00607E7C"/>
    <w:rsid w:val="00607E87"/>
    <w:rsid w:val="006104D7"/>
    <w:rsid w:val="00610D19"/>
    <w:rsid w:val="0061221D"/>
    <w:rsid w:val="00612270"/>
    <w:rsid w:val="00612583"/>
    <w:rsid w:val="006126D6"/>
    <w:rsid w:val="00612BE2"/>
    <w:rsid w:val="0061371C"/>
    <w:rsid w:val="00613911"/>
    <w:rsid w:val="00614D9F"/>
    <w:rsid w:val="00615BFE"/>
    <w:rsid w:val="0061620B"/>
    <w:rsid w:val="0062157C"/>
    <w:rsid w:val="00622869"/>
    <w:rsid w:val="0062286F"/>
    <w:rsid w:val="00623A84"/>
    <w:rsid w:val="00624A89"/>
    <w:rsid w:val="00625759"/>
    <w:rsid w:val="00625A6D"/>
    <w:rsid w:val="006271CB"/>
    <w:rsid w:val="006310FD"/>
    <w:rsid w:val="0063115C"/>
    <w:rsid w:val="00632207"/>
    <w:rsid w:val="006348F2"/>
    <w:rsid w:val="0063491C"/>
    <w:rsid w:val="006349BB"/>
    <w:rsid w:val="00634EEF"/>
    <w:rsid w:val="00637C0B"/>
    <w:rsid w:val="00640382"/>
    <w:rsid w:val="00641391"/>
    <w:rsid w:val="0064162D"/>
    <w:rsid w:val="00641A5C"/>
    <w:rsid w:val="00641B85"/>
    <w:rsid w:val="00641E65"/>
    <w:rsid w:val="00642488"/>
    <w:rsid w:val="006426E7"/>
    <w:rsid w:val="00643071"/>
    <w:rsid w:val="00644B21"/>
    <w:rsid w:val="00644C8C"/>
    <w:rsid w:val="006477BA"/>
    <w:rsid w:val="00647B67"/>
    <w:rsid w:val="0065040C"/>
    <w:rsid w:val="00652184"/>
    <w:rsid w:val="006536F1"/>
    <w:rsid w:val="00653740"/>
    <w:rsid w:val="00653A44"/>
    <w:rsid w:val="00654F03"/>
    <w:rsid w:val="0065656E"/>
    <w:rsid w:val="006568B9"/>
    <w:rsid w:val="00656EF4"/>
    <w:rsid w:val="00656FC9"/>
    <w:rsid w:val="0065794A"/>
    <w:rsid w:val="006608B9"/>
    <w:rsid w:val="00660ED6"/>
    <w:rsid w:val="00661AFE"/>
    <w:rsid w:val="00661FAC"/>
    <w:rsid w:val="00665110"/>
    <w:rsid w:val="00665338"/>
    <w:rsid w:val="00667402"/>
    <w:rsid w:val="00667DF2"/>
    <w:rsid w:val="00667E82"/>
    <w:rsid w:val="006700B5"/>
    <w:rsid w:val="00670288"/>
    <w:rsid w:val="00671066"/>
    <w:rsid w:val="0067217C"/>
    <w:rsid w:val="00673E73"/>
    <w:rsid w:val="00674266"/>
    <w:rsid w:val="006754A9"/>
    <w:rsid w:val="006763B2"/>
    <w:rsid w:val="00677F3E"/>
    <w:rsid w:val="006804F6"/>
    <w:rsid w:val="00680F19"/>
    <w:rsid w:val="00683532"/>
    <w:rsid w:val="00683618"/>
    <w:rsid w:val="00683813"/>
    <w:rsid w:val="00683B2C"/>
    <w:rsid w:val="00684781"/>
    <w:rsid w:val="00686B63"/>
    <w:rsid w:val="00687A27"/>
    <w:rsid w:val="00687A67"/>
    <w:rsid w:val="00690716"/>
    <w:rsid w:val="00692F29"/>
    <w:rsid w:val="00693DA5"/>
    <w:rsid w:val="006949D9"/>
    <w:rsid w:val="0069612B"/>
    <w:rsid w:val="0069713A"/>
    <w:rsid w:val="00697408"/>
    <w:rsid w:val="006A2868"/>
    <w:rsid w:val="006A2D54"/>
    <w:rsid w:val="006A4D45"/>
    <w:rsid w:val="006A4EE6"/>
    <w:rsid w:val="006A6185"/>
    <w:rsid w:val="006A73AB"/>
    <w:rsid w:val="006A7F96"/>
    <w:rsid w:val="006B41AE"/>
    <w:rsid w:val="006B42D7"/>
    <w:rsid w:val="006B5599"/>
    <w:rsid w:val="006B5D9E"/>
    <w:rsid w:val="006B639A"/>
    <w:rsid w:val="006B6816"/>
    <w:rsid w:val="006B73E2"/>
    <w:rsid w:val="006B7DC9"/>
    <w:rsid w:val="006B7FA3"/>
    <w:rsid w:val="006C0B9D"/>
    <w:rsid w:val="006C1464"/>
    <w:rsid w:val="006C1F10"/>
    <w:rsid w:val="006C2FD1"/>
    <w:rsid w:val="006C461A"/>
    <w:rsid w:val="006C4FFE"/>
    <w:rsid w:val="006C77D7"/>
    <w:rsid w:val="006C7A24"/>
    <w:rsid w:val="006D03F8"/>
    <w:rsid w:val="006D0530"/>
    <w:rsid w:val="006D0740"/>
    <w:rsid w:val="006D30CC"/>
    <w:rsid w:val="006D4912"/>
    <w:rsid w:val="006D7AC7"/>
    <w:rsid w:val="006D7B5B"/>
    <w:rsid w:val="006D7EDF"/>
    <w:rsid w:val="006E0C0C"/>
    <w:rsid w:val="006E0D77"/>
    <w:rsid w:val="006E2D21"/>
    <w:rsid w:val="006E3824"/>
    <w:rsid w:val="006E3F53"/>
    <w:rsid w:val="006E5A2A"/>
    <w:rsid w:val="006E5CA8"/>
    <w:rsid w:val="006E5E28"/>
    <w:rsid w:val="006E6574"/>
    <w:rsid w:val="006E6C9F"/>
    <w:rsid w:val="006E7003"/>
    <w:rsid w:val="006E74BE"/>
    <w:rsid w:val="006F31ED"/>
    <w:rsid w:val="006F4248"/>
    <w:rsid w:val="006F554F"/>
    <w:rsid w:val="006F693E"/>
    <w:rsid w:val="00700967"/>
    <w:rsid w:val="00701973"/>
    <w:rsid w:val="00701A4F"/>
    <w:rsid w:val="007024F9"/>
    <w:rsid w:val="00703F81"/>
    <w:rsid w:val="007064F7"/>
    <w:rsid w:val="007076F1"/>
    <w:rsid w:val="00707965"/>
    <w:rsid w:val="007135DE"/>
    <w:rsid w:val="007148C3"/>
    <w:rsid w:val="00714CF2"/>
    <w:rsid w:val="00715422"/>
    <w:rsid w:val="007156B9"/>
    <w:rsid w:val="00715BE6"/>
    <w:rsid w:val="00716049"/>
    <w:rsid w:val="00716B25"/>
    <w:rsid w:val="00720817"/>
    <w:rsid w:val="00722850"/>
    <w:rsid w:val="00722FFD"/>
    <w:rsid w:val="007243C1"/>
    <w:rsid w:val="00726249"/>
    <w:rsid w:val="00727D90"/>
    <w:rsid w:val="00732466"/>
    <w:rsid w:val="0073353F"/>
    <w:rsid w:val="007337DA"/>
    <w:rsid w:val="0073412E"/>
    <w:rsid w:val="007341AD"/>
    <w:rsid w:val="00734662"/>
    <w:rsid w:val="00735052"/>
    <w:rsid w:val="00735A91"/>
    <w:rsid w:val="00735ED6"/>
    <w:rsid w:val="00736AEF"/>
    <w:rsid w:val="007370CE"/>
    <w:rsid w:val="00740376"/>
    <w:rsid w:val="00740537"/>
    <w:rsid w:val="00741C97"/>
    <w:rsid w:val="007423BA"/>
    <w:rsid w:val="00742E45"/>
    <w:rsid w:val="007447AF"/>
    <w:rsid w:val="00744B58"/>
    <w:rsid w:val="00744EFA"/>
    <w:rsid w:val="00744FB8"/>
    <w:rsid w:val="00745EB6"/>
    <w:rsid w:val="007461A9"/>
    <w:rsid w:val="00746514"/>
    <w:rsid w:val="007506E3"/>
    <w:rsid w:val="00750816"/>
    <w:rsid w:val="007508DC"/>
    <w:rsid w:val="0075109B"/>
    <w:rsid w:val="00753235"/>
    <w:rsid w:val="00754DC9"/>
    <w:rsid w:val="00755DE2"/>
    <w:rsid w:val="007560CA"/>
    <w:rsid w:val="00757031"/>
    <w:rsid w:val="0075756D"/>
    <w:rsid w:val="007579D8"/>
    <w:rsid w:val="007600E2"/>
    <w:rsid w:val="00760A35"/>
    <w:rsid w:val="00761B39"/>
    <w:rsid w:val="007620EC"/>
    <w:rsid w:val="00762BF0"/>
    <w:rsid w:val="00762FD3"/>
    <w:rsid w:val="00763BE8"/>
    <w:rsid w:val="007647E1"/>
    <w:rsid w:val="007657C1"/>
    <w:rsid w:val="00767CE9"/>
    <w:rsid w:val="0077061F"/>
    <w:rsid w:val="00770945"/>
    <w:rsid w:val="007721FC"/>
    <w:rsid w:val="00773245"/>
    <w:rsid w:val="00773CF6"/>
    <w:rsid w:val="0077407E"/>
    <w:rsid w:val="00774356"/>
    <w:rsid w:val="00774807"/>
    <w:rsid w:val="00774DA9"/>
    <w:rsid w:val="007752B6"/>
    <w:rsid w:val="0077546B"/>
    <w:rsid w:val="00775603"/>
    <w:rsid w:val="0077699C"/>
    <w:rsid w:val="00776E6D"/>
    <w:rsid w:val="00776F96"/>
    <w:rsid w:val="0077755F"/>
    <w:rsid w:val="00777C19"/>
    <w:rsid w:val="007819BD"/>
    <w:rsid w:val="007822D0"/>
    <w:rsid w:val="007836B5"/>
    <w:rsid w:val="00783E5D"/>
    <w:rsid w:val="00787E26"/>
    <w:rsid w:val="00791C0B"/>
    <w:rsid w:val="007926E9"/>
    <w:rsid w:val="0079298F"/>
    <w:rsid w:val="00793EB1"/>
    <w:rsid w:val="00793F55"/>
    <w:rsid w:val="0079546A"/>
    <w:rsid w:val="00796283"/>
    <w:rsid w:val="00796453"/>
    <w:rsid w:val="0079731F"/>
    <w:rsid w:val="007974D9"/>
    <w:rsid w:val="00797A1D"/>
    <w:rsid w:val="007A01FD"/>
    <w:rsid w:val="007A037D"/>
    <w:rsid w:val="007A19B4"/>
    <w:rsid w:val="007A1F0C"/>
    <w:rsid w:val="007A406D"/>
    <w:rsid w:val="007A4956"/>
    <w:rsid w:val="007A62B0"/>
    <w:rsid w:val="007A6567"/>
    <w:rsid w:val="007B180C"/>
    <w:rsid w:val="007B1EDD"/>
    <w:rsid w:val="007B297A"/>
    <w:rsid w:val="007B3F6C"/>
    <w:rsid w:val="007B4FD5"/>
    <w:rsid w:val="007B52C4"/>
    <w:rsid w:val="007B5307"/>
    <w:rsid w:val="007B58FB"/>
    <w:rsid w:val="007B59F6"/>
    <w:rsid w:val="007B5D87"/>
    <w:rsid w:val="007B622E"/>
    <w:rsid w:val="007C0DA1"/>
    <w:rsid w:val="007C17FE"/>
    <w:rsid w:val="007C2535"/>
    <w:rsid w:val="007C2682"/>
    <w:rsid w:val="007C37E7"/>
    <w:rsid w:val="007C4F8C"/>
    <w:rsid w:val="007C502A"/>
    <w:rsid w:val="007C5A0C"/>
    <w:rsid w:val="007C74EF"/>
    <w:rsid w:val="007D077C"/>
    <w:rsid w:val="007D1061"/>
    <w:rsid w:val="007D3289"/>
    <w:rsid w:val="007D4535"/>
    <w:rsid w:val="007D4699"/>
    <w:rsid w:val="007D6194"/>
    <w:rsid w:val="007D7A4E"/>
    <w:rsid w:val="007D7F6C"/>
    <w:rsid w:val="007E0FEE"/>
    <w:rsid w:val="007E2901"/>
    <w:rsid w:val="007E36E6"/>
    <w:rsid w:val="007E3987"/>
    <w:rsid w:val="007E5A7A"/>
    <w:rsid w:val="007E725F"/>
    <w:rsid w:val="007F198A"/>
    <w:rsid w:val="007F2017"/>
    <w:rsid w:val="007F36B1"/>
    <w:rsid w:val="007F38F8"/>
    <w:rsid w:val="007F3AF4"/>
    <w:rsid w:val="007F4226"/>
    <w:rsid w:val="007F45FF"/>
    <w:rsid w:val="007F50DA"/>
    <w:rsid w:val="007F5E63"/>
    <w:rsid w:val="007F5ECD"/>
    <w:rsid w:val="007F6D98"/>
    <w:rsid w:val="0080155C"/>
    <w:rsid w:val="0080390E"/>
    <w:rsid w:val="00803F0F"/>
    <w:rsid w:val="0080456C"/>
    <w:rsid w:val="00805267"/>
    <w:rsid w:val="0080561D"/>
    <w:rsid w:val="008107E2"/>
    <w:rsid w:val="00810C39"/>
    <w:rsid w:val="008134F2"/>
    <w:rsid w:val="00814877"/>
    <w:rsid w:val="00814AAF"/>
    <w:rsid w:val="00814AD7"/>
    <w:rsid w:val="00814D86"/>
    <w:rsid w:val="008158A0"/>
    <w:rsid w:val="008159C3"/>
    <w:rsid w:val="008159CF"/>
    <w:rsid w:val="008161C1"/>
    <w:rsid w:val="00816E05"/>
    <w:rsid w:val="00817831"/>
    <w:rsid w:val="00820DB1"/>
    <w:rsid w:val="008236CE"/>
    <w:rsid w:val="008237FA"/>
    <w:rsid w:val="00825156"/>
    <w:rsid w:val="00826F17"/>
    <w:rsid w:val="008274E8"/>
    <w:rsid w:val="00827680"/>
    <w:rsid w:val="00827833"/>
    <w:rsid w:val="0083021A"/>
    <w:rsid w:val="008312BD"/>
    <w:rsid w:val="00831AF0"/>
    <w:rsid w:val="00832299"/>
    <w:rsid w:val="008336C2"/>
    <w:rsid w:val="008339BB"/>
    <w:rsid w:val="00835FFA"/>
    <w:rsid w:val="00837EB3"/>
    <w:rsid w:val="00837ED5"/>
    <w:rsid w:val="00841DED"/>
    <w:rsid w:val="0084274C"/>
    <w:rsid w:val="0084397B"/>
    <w:rsid w:val="00844669"/>
    <w:rsid w:val="00844E91"/>
    <w:rsid w:val="008450F9"/>
    <w:rsid w:val="00845F40"/>
    <w:rsid w:val="008465C3"/>
    <w:rsid w:val="008500F6"/>
    <w:rsid w:val="008502D1"/>
    <w:rsid w:val="00850829"/>
    <w:rsid w:val="008509E5"/>
    <w:rsid w:val="00851865"/>
    <w:rsid w:val="00851BCE"/>
    <w:rsid w:val="0085224D"/>
    <w:rsid w:val="0085263E"/>
    <w:rsid w:val="00852941"/>
    <w:rsid w:val="00854612"/>
    <w:rsid w:val="008546E0"/>
    <w:rsid w:val="008555E6"/>
    <w:rsid w:val="00855A2B"/>
    <w:rsid w:val="0085619E"/>
    <w:rsid w:val="00856846"/>
    <w:rsid w:val="00857319"/>
    <w:rsid w:val="0085775E"/>
    <w:rsid w:val="00860334"/>
    <w:rsid w:val="008606D2"/>
    <w:rsid w:val="00860992"/>
    <w:rsid w:val="00860FA9"/>
    <w:rsid w:val="00861A3E"/>
    <w:rsid w:val="008623BB"/>
    <w:rsid w:val="0086310B"/>
    <w:rsid w:val="0086419A"/>
    <w:rsid w:val="0086512D"/>
    <w:rsid w:val="00865882"/>
    <w:rsid w:val="00865BD1"/>
    <w:rsid w:val="0087023B"/>
    <w:rsid w:val="00870E7A"/>
    <w:rsid w:val="008714AD"/>
    <w:rsid w:val="00871FEE"/>
    <w:rsid w:val="008722D5"/>
    <w:rsid w:val="00873C66"/>
    <w:rsid w:val="0087487D"/>
    <w:rsid w:val="00874D64"/>
    <w:rsid w:val="008769AB"/>
    <w:rsid w:val="00876DF8"/>
    <w:rsid w:val="0087797C"/>
    <w:rsid w:val="00877F7B"/>
    <w:rsid w:val="0088061D"/>
    <w:rsid w:val="008806E1"/>
    <w:rsid w:val="00880CE3"/>
    <w:rsid w:val="00880F54"/>
    <w:rsid w:val="00881222"/>
    <w:rsid w:val="008812AD"/>
    <w:rsid w:val="0088235A"/>
    <w:rsid w:val="00882E8A"/>
    <w:rsid w:val="00883524"/>
    <w:rsid w:val="00883AC9"/>
    <w:rsid w:val="00884051"/>
    <w:rsid w:val="00884083"/>
    <w:rsid w:val="00884490"/>
    <w:rsid w:val="008844C6"/>
    <w:rsid w:val="0088529F"/>
    <w:rsid w:val="008858BF"/>
    <w:rsid w:val="00885EDE"/>
    <w:rsid w:val="00886389"/>
    <w:rsid w:val="008863D9"/>
    <w:rsid w:val="00886E74"/>
    <w:rsid w:val="008873D9"/>
    <w:rsid w:val="008875BA"/>
    <w:rsid w:val="00887FFA"/>
    <w:rsid w:val="008907C0"/>
    <w:rsid w:val="008910D7"/>
    <w:rsid w:val="00893461"/>
    <w:rsid w:val="00894560"/>
    <w:rsid w:val="00894749"/>
    <w:rsid w:val="00894A64"/>
    <w:rsid w:val="00894D4B"/>
    <w:rsid w:val="0089550C"/>
    <w:rsid w:val="00895CD4"/>
    <w:rsid w:val="008975A0"/>
    <w:rsid w:val="008A08BF"/>
    <w:rsid w:val="008A179F"/>
    <w:rsid w:val="008A224C"/>
    <w:rsid w:val="008A33BB"/>
    <w:rsid w:val="008A36A4"/>
    <w:rsid w:val="008A3B91"/>
    <w:rsid w:val="008A5CC0"/>
    <w:rsid w:val="008A624D"/>
    <w:rsid w:val="008A6429"/>
    <w:rsid w:val="008A67E9"/>
    <w:rsid w:val="008B0864"/>
    <w:rsid w:val="008B14A7"/>
    <w:rsid w:val="008B175A"/>
    <w:rsid w:val="008B3567"/>
    <w:rsid w:val="008B40EA"/>
    <w:rsid w:val="008B44B9"/>
    <w:rsid w:val="008B44E9"/>
    <w:rsid w:val="008B464E"/>
    <w:rsid w:val="008B4D2C"/>
    <w:rsid w:val="008B590C"/>
    <w:rsid w:val="008B5DDA"/>
    <w:rsid w:val="008B6C9A"/>
    <w:rsid w:val="008B7022"/>
    <w:rsid w:val="008C03D5"/>
    <w:rsid w:val="008C045D"/>
    <w:rsid w:val="008C0E46"/>
    <w:rsid w:val="008C10EC"/>
    <w:rsid w:val="008C17BA"/>
    <w:rsid w:val="008C1D4A"/>
    <w:rsid w:val="008C1DF2"/>
    <w:rsid w:val="008C31D2"/>
    <w:rsid w:val="008C3CB7"/>
    <w:rsid w:val="008C3F8C"/>
    <w:rsid w:val="008C7413"/>
    <w:rsid w:val="008C7D9E"/>
    <w:rsid w:val="008D0AF4"/>
    <w:rsid w:val="008D16B7"/>
    <w:rsid w:val="008D2C24"/>
    <w:rsid w:val="008D393C"/>
    <w:rsid w:val="008D41BA"/>
    <w:rsid w:val="008D51B2"/>
    <w:rsid w:val="008D60D1"/>
    <w:rsid w:val="008D61FF"/>
    <w:rsid w:val="008D6321"/>
    <w:rsid w:val="008D6558"/>
    <w:rsid w:val="008D6AA6"/>
    <w:rsid w:val="008D708F"/>
    <w:rsid w:val="008D7A47"/>
    <w:rsid w:val="008E0270"/>
    <w:rsid w:val="008E0322"/>
    <w:rsid w:val="008E09C2"/>
    <w:rsid w:val="008E1F63"/>
    <w:rsid w:val="008E439D"/>
    <w:rsid w:val="008E4617"/>
    <w:rsid w:val="008E5675"/>
    <w:rsid w:val="008E5A9B"/>
    <w:rsid w:val="008E6942"/>
    <w:rsid w:val="008E6AE6"/>
    <w:rsid w:val="008F0116"/>
    <w:rsid w:val="008F143D"/>
    <w:rsid w:val="008F3760"/>
    <w:rsid w:val="008F5355"/>
    <w:rsid w:val="008F5FA9"/>
    <w:rsid w:val="008F641E"/>
    <w:rsid w:val="008F6635"/>
    <w:rsid w:val="008F7ADF"/>
    <w:rsid w:val="0090005C"/>
    <w:rsid w:val="00900075"/>
    <w:rsid w:val="009037F5"/>
    <w:rsid w:val="009057C5"/>
    <w:rsid w:val="00907F0E"/>
    <w:rsid w:val="00910BD9"/>
    <w:rsid w:val="0091204F"/>
    <w:rsid w:val="00912F48"/>
    <w:rsid w:val="0091309A"/>
    <w:rsid w:val="00913B91"/>
    <w:rsid w:val="00914F91"/>
    <w:rsid w:val="0091533F"/>
    <w:rsid w:val="009160AD"/>
    <w:rsid w:val="009169BB"/>
    <w:rsid w:val="00916DC0"/>
    <w:rsid w:val="0091744E"/>
    <w:rsid w:val="00917C9E"/>
    <w:rsid w:val="00917D5A"/>
    <w:rsid w:val="00920679"/>
    <w:rsid w:val="00927656"/>
    <w:rsid w:val="00927E7A"/>
    <w:rsid w:val="00927F56"/>
    <w:rsid w:val="009306CA"/>
    <w:rsid w:val="0093258F"/>
    <w:rsid w:val="00932865"/>
    <w:rsid w:val="009336D1"/>
    <w:rsid w:val="00936E90"/>
    <w:rsid w:val="00941985"/>
    <w:rsid w:val="009431E2"/>
    <w:rsid w:val="00944F00"/>
    <w:rsid w:val="0094541A"/>
    <w:rsid w:val="00946ADD"/>
    <w:rsid w:val="00947C72"/>
    <w:rsid w:val="00950892"/>
    <w:rsid w:val="00951C02"/>
    <w:rsid w:val="00952D0F"/>
    <w:rsid w:val="0095378D"/>
    <w:rsid w:val="0096001F"/>
    <w:rsid w:val="0096003A"/>
    <w:rsid w:val="00960828"/>
    <w:rsid w:val="009608A6"/>
    <w:rsid w:val="009611B2"/>
    <w:rsid w:val="009620AA"/>
    <w:rsid w:val="0096243B"/>
    <w:rsid w:val="00963DB5"/>
    <w:rsid w:val="00963F1F"/>
    <w:rsid w:val="009656E2"/>
    <w:rsid w:val="00966226"/>
    <w:rsid w:val="00966D09"/>
    <w:rsid w:val="00966E15"/>
    <w:rsid w:val="00967263"/>
    <w:rsid w:val="009700D9"/>
    <w:rsid w:val="009712F3"/>
    <w:rsid w:val="009723E5"/>
    <w:rsid w:val="00972569"/>
    <w:rsid w:val="00972D40"/>
    <w:rsid w:val="00972FC8"/>
    <w:rsid w:val="00974D9C"/>
    <w:rsid w:val="00974E40"/>
    <w:rsid w:val="00975424"/>
    <w:rsid w:val="009757BA"/>
    <w:rsid w:val="009758CE"/>
    <w:rsid w:val="009778F0"/>
    <w:rsid w:val="00980073"/>
    <w:rsid w:val="00981093"/>
    <w:rsid w:val="0098138E"/>
    <w:rsid w:val="00983ACC"/>
    <w:rsid w:val="0098655A"/>
    <w:rsid w:val="009879D2"/>
    <w:rsid w:val="00990160"/>
    <w:rsid w:val="009917FF"/>
    <w:rsid w:val="009926E3"/>
    <w:rsid w:val="00992CA4"/>
    <w:rsid w:val="0099321A"/>
    <w:rsid w:val="00994211"/>
    <w:rsid w:val="00994265"/>
    <w:rsid w:val="00994926"/>
    <w:rsid w:val="0099557B"/>
    <w:rsid w:val="00995B53"/>
    <w:rsid w:val="00996D6D"/>
    <w:rsid w:val="009A33AF"/>
    <w:rsid w:val="009A4452"/>
    <w:rsid w:val="009A4A36"/>
    <w:rsid w:val="009A4DEE"/>
    <w:rsid w:val="009A54F8"/>
    <w:rsid w:val="009A6B81"/>
    <w:rsid w:val="009A6E36"/>
    <w:rsid w:val="009A7D5E"/>
    <w:rsid w:val="009B1DF9"/>
    <w:rsid w:val="009B219B"/>
    <w:rsid w:val="009B2879"/>
    <w:rsid w:val="009B3429"/>
    <w:rsid w:val="009B48EB"/>
    <w:rsid w:val="009B5F19"/>
    <w:rsid w:val="009C0486"/>
    <w:rsid w:val="009C08AE"/>
    <w:rsid w:val="009C0BA9"/>
    <w:rsid w:val="009C265A"/>
    <w:rsid w:val="009C29B0"/>
    <w:rsid w:val="009C3FD8"/>
    <w:rsid w:val="009C465D"/>
    <w:rsid w:val="009C59C0"/>
    <w:rsid w:val="009D012D"/>
    <w:rsid w:val="009D045A"/>
    <w:rsid w:val="009D0537"/>
    <w:rsid w:val="009D254E"/>
    <w:rsid w:val="009D2ABB"/>
    <w:rsid w:val="009D2F85"/>
    <w:rsid w:val="009D3E87"/>
    <w:rsid w:val="009D50A6"/>
    <w:rsid w:val="009D622B"/>
    <w:rsid w:val="009D7194"/>
    <w:rsid w:val="009E111A"/>
    <w:rsid w:val="009E3F49"/>
    <w:rsid w:val="009E45A5"/>
    <w:rsid w:val="009E4BA6"/>
    <w:rsid w:val="009E4D3E"/>
    <w:rsid w:val="009E506E"/>
    <w:rsid w:val="009E6052"/>
    <w:rsid w:val="009E67F6"/>
    <w:rsid w:val="009E6885"/>
    <w:rsid w:val="009E7955"/>
    <w:rsid w:val="009E7C7F"/>
    <w:rsid w:val="009F0428"/>
    <w:rsid w:val="009F0FAB"/>
    <w:rsid w:val="009F1778"/>
    <w:rsid w:val="009F2444"/>
    <w:rsid w:val="009F363B"/>
    <w:rsid w:val="009F3734"/>
    <w:rsid w:val="009F3F37"/>
    <w:rsid w:val="009F3F3F"/>
    <w:rsid w:val="009F4E3C"/>
    <w:rsid w:val="009F5C65"/>
    <w:rsid w:val="009F5D82"/>
    <w:rsid w:val="009F689F"/>
    <w:rsid w:val="00A00F63"/>
    <w:rsid w:val="00A02C69"/>
    <w:rsid w:val="00A02FDB"/>
    <w:rsid w:val="00A039E4"/>
    <w:rsid w:val="00A03B40"/>
    <w:rsid w:val="00A049E2"/>
    <w:rsid w:val="00A05760"/>
    <w:rsid w:val="00A065D1"/>
    <w:rsid w:val="00A06ACA"/>
    <w:rsid w:val="00A11118"/>
    <w:rsid w:val="00A127FE"/>
    <w:rsid w:val="00A129BB"/>
    <w:rsid w:val="00A12D14"/>
    <w:rsid w:val="00A16C0B"/>
    <w:rsid w:val="00A1741D"/>
    <w:rsid w:val="00A17CE0"/>
    <w:rsid w:val="00A207CB"/>
    <w:rsid w:val="00A208AF"/>
    <w:rsid w:val="00A22BCB"/>
    <w:rsid w:val="00A22EE8"/>
    <w:rsid w:val="00A232B0"/>
    <w:rsid w:val="00A237BD"/>
    <w:rsid w:val="00A23D48"/>
    <w:rsid w:val="00A24C2A"/>
    <w:rsid w:val="00A25936"/>
    <w:rsid w:val="00A27CDB"/>
    <w:rsid w:val="00A32063"/>
    <w:rsid w:val="00A32B55"/>
    <w:rsid w:val="00A32F12"/>
    <w:rsid w:val="00A34DEE"/>
    <w:rsid w:val="00A35C48"/>
    <w:rsid w:val="00A36CEA"/>
    <w:rsid w:val="00A37389"/>
    <w:rsid w:val="00A37605"/>
    <w:rsid w:val="00A4055B"/>
    <w:rsid w:val="00A41D91"/>
    <w:rsid w:val="00A41EA9"/>
    <w:rsid w:val="00A42285"/>
    <w:rsid w:val="00A42306"/>
    <w:rsid w:val="00A442E7"/>
    <w:rsid w:val="00A44E8D"/>
    <w:rsid w:val="00A45490"/>
    <w:rsid w:val="00A456B9"/>
    <w:rsid w:val="00A45D75"/>
    <w:rsid w:val="00A46EA8"/>
    <w:rsid w:val="00A4793C"/>
    <w:rsid w:val="00A503BD"/>
    <w:rsid w:val="00A5179E"/>
    <w:rsid w:val="00A51EBE"/>
    <w:rsid w:val="00A53A9F"/>
    <w:rsid w:val="00A53CA2"/>
    <w:rsid w:val="00A546E0"/>
    <w:rsid w:val="00A54E86"/>
    <w:rsid w:val="00A555EF"/>
    <w:rsid w:val="00A55ACD"/>
    <w:rsid w:val="00A56FA2"/>
    <w:rsid w:val="00A57B01"/>
    <w:rsid w:val="00A60210"/>
    <w:rsid w:val="00A6104E"/>
    <w:rsid w:val="00A63F93"/>
    <w:rsid w:val="00A64987"/>
    <w:rsid w:val="00A71215"/>
    <w:rsid w:val="00A722C9"/>
    <w:rsid w:val="00A73784"/>
    <w:rsid w:val="00A74873"/>
    <w:rsid w:val="00A75761"/>
    <w:rsid w:val="00A75DD0"/>
    <w:rsid w:val="00A76195"/>
    <w:rsid w:val="00A77FDB"/>
    <w:rsid w:val="00A805F7"/>
    <w:rsid w:val="00A807DE"/>
    <w:rsid w:val="00A81407"/>
    <w:rsid w:val="00A829D5"/>
    <w:rsid w:val="00A831E7"/>
    <w:rsid w:val="00A83415"/>
    <w:rsid w:val="00A8407E"/>
    <w:rsid w:val="00A842CB"/>
    <w:rsid w:val="00A8486C"/>
    <w:rsid w:val="00A84BCE"/>
    <w:rsid w:val="00A8598D"/>
    <w:rsid w:val="00A85D27"/>
    <w:rsid w:val="00A8693B"/>
    <w:rsid w:val="00A86AD6"/>
    <w:rsid w:val="00A87A1F"/>
    <w:rsid w:val="00A9062E"/>
    <w:rsid w:val="00A9145B"/>
    <w:rsid w:val="00A91F32"/>
    <w:rsid w:val="00A93250"/>
    <w:rsid w:val="00A941EF"/>
    <w:rsid w:val="00A96AFF"/>
    <w:rsid w:val="00A970FB"/>
    <w:rsid w:val="00A97197"/>
    <w:rsid w:val="00AA0297"/>
    <w:rsid w:val="00AA303F"/>
    <w:rsid w:val="00AA54F1"/>
    <w:rsid w:val="00AA611D"/>
    <w:rsid w:val="00AB09BE"/>
    <w:rsid w:val="00AB18F7"/>
    <w:rsid w:val="00AB1BED"/>
    <w:rsid w:val="00AB1EBE"/>
    <w:rsid w:val="00AB2028"/>
    <w:rsid w:val="00AB27E3"/>
    <w:rsid w:val="00AB7875"/>
    <w:rsid w:val="00AC1749"/>
    <w:rsid w:val="00AC1B5F"/>
    <w:rsid w:val="00AC41D4"/>
    <w:rsid w:val="00AC68EE"/>
    <w:rsid w:val="00AC7244"/>
    <w:rsid w:val="00AD04F0"/>
    <w:rsid w:val="00AD230B"/>
    <w:rsid w:val="00AD2BAE"/>
    <w:rsid w:val="00AD3EE5"/>
    <w:rsid w:val="00AD4378"/>
    <w:rsid w:val="00AD4B4C"/>
    <w:rsid w:val="00AD4BBD"/>
    <w:rsid w:val="00AD524C"/>
    <w:rsid w:val="00AD5F6C"/>
    <w:rsid w:val="00AD657E"/>
    <w:rsid w:val="00AD7CBF"/>
    <w:rsid w:val="00AE06E6"/>
    <w:rsid w:val="00AE07A9"/>
    <w:rsid w:val="00AE1A13"/>
    <w:rsid w:val="00AE3A9A"/>
    <w:rsid w:val="00AE5148"/>
    <w:rsid w:val="00AE5E68"/>
    <w:rsid w:val="00AE6FE4"/>
    <w:rsid w:val="00AF0341"/>
    <w:rsid w:val="00AF2974"/>
    <w:rsid w:val="00AF3068"/>
    <w:rsid w:val="00AF37D1"/>
    <w:rsid w:val="00AF47A4"/>
    <w:rsid w:val="00AF6EBE"/>
    <w:rsid w:val="00AF74AF"/>
    <w:rsid w:val="00AF75EE"/>
    <w:rsid w:val="00B01F7E"/>
    <w:rsid w:val="00B0223A"/>
    <w:rsid w:val="00B02B74"/>
    <w:rsid w:val="00B04C46"/>
    <w:rsid w:val="00B04DAC"/>
    <w:rsid w:val="00B061C4"/>
    <w:rsid w:val="00B07A4C"/>
    <w:rsid w:val="00B10155"/>
    <w:rsid w:val="00B10495"/>
    <w:rsid w:val="00B11B08"/>
    <w:rsid w:val="00B12327"/>
    <w:rsid w:val="00B1592E"/>
    <w:rsid w:val="00B159AA"/>
    <w:rsid w:val="00B16130"/>
    <w:rsid w:val="00B169B7"/>
    <w:rsid w:val="00B16C2A"/>
    <w:rsid w:val="00B172D6"/>
    <w:rsid w:val="00B17619"/>
    <w:rsid w:val="00B176C7"/>
    <w:rsid w:val="00B21F45"/>
    <w:rsid w:val="00B2273F"/>
    <w:rsid w:val="00B25683"/>
    <w:rsid w:val="00B25B9C"/>
    <w:rsid w:val="00B27242"/>
    <w:rsid w:val="00B3087D"/>
    <w:rsid w:val="00B31A17"/>
    <w:rsid w:val="00B3322C"/>
    <w:rsid w:val="00B340AB"/>
    <w:rsid w:val="00B346B4"/>
    <w:rsid w:val="00B34794"/>
    <w:rsid w:val="00B34C16"/>
    <w:rsid w:val="00B3538A"/>
    <w:rsid w:val="00B35ACF"/>
    <w:rsid w:val="00B37696"/>
    <w:rsid w:val="00B40720"/>
    <w:rsid w:val="00B42113"/>
    <w:rsid w:val="00B42F10"/>
    <w:rsid w:val="00B43A7F"/>
    <w:rsid w:val="00B44151"/>
    <w:rsid w:val="00B44464"/>
    <w:rsid w:val="00B45A61"/>
    <w:rsid w:val="00B47030"/>
    <w:rsid w:val="00B47770"/>
    <w:rsid w:val="00B47808"/>
    <w:rsid w:val="00B50CE3"/>
    <w:rsid w:val="00B5135A"/>
    <w:rsid w:val="00B5339A"/>
    <w:rsid w:val="00B5585A"/>
    <w:rsid w:val="00B563D8"/>
    <w:rsid w:val="00B57645"/>
    <w:rsid w:val="00B57D35"/>
    <w:rsid w:val="00B60421"/>
    <w:rsid w:val="00B60557"/>
    <w:rsid w:val="00B65A1C"/>
    <w:rsid w:val="00B65CB4"/>
    <w:rsid w:val="00B66F50"/>
    <w:rsid w:val="00B71BFB"/>
    <w:rsid w:val="00B7225F"/>
    <w:rsid w:val="00B72287"/>
    <w:rsid w:val="00B7265F"/>
    <w:rsid w:val="00B72DF6"/>
    <w:rsid w:val="00B73BEB"/>
    <w:rsid w:val="00B74157"/>
    <w:rsid w:val="00B742C5"/>
    <w:rsid w:val="00B746C7"/>
    <w:rsid w:val="00B74F84"/>
    <w:rsid w:val="00B75406"/>
    <w:rsid w:val="00B76463"/>
    <w:rsid w:val="00B802A9"/>
    <w:rsid w:val="00B81EB6"/>
    <w:rsid w:val="00B83075"/>
    <w:rsid w:val="00B8494B"/>
    <w:rsid w:val="00B84A32"/>
    <w:rsid w:val="00B859A6"/>
    <w:rsid w:val="00B861E0"/>
    <w:rsid w:val="00B8755E"/>
    <w:rsid w:val="00B87AF3"/>
    <w:rsid w:val="00B90666"/>
    <w:rsid w:val="00B914BF"/>
    <w:rsid w:val="00B917C5"/>
    <w:rsid w:val="00B92FAB"/>
    <w:rsid w:val="00B93FF9"/>
    <w:rsid w:val="00B96854"/>
    <w:rsid w:val="00BA0C11"/>
    <w:rsid w:val="00BA546E"/>
    <w:rsid w:val="00BA55A4"/>
    <w:rsid w:val="00BA60C8"/>
    <w:rsid w:val="00BA7C16"/>
    <w:rsid w:val="00BB0243"/>
    <w:rsid w:val="00BB14E3"/>
    <w:rsid w:val="00BB1FC7"/>
    <w:rsid w:val="00BB2530"/>
    <w:rsid w:val="00BB26B8"/>
    <w:rsid w:val="00BB2BBF"/>
    <w:rsid w:val="00BB36AD"/>
    <w:rsid w:val="00BB656E"/>
    <w:rsid w:val="00BB69B8"/>
    <w:rsid w:val="00BC1768"/>
    <w:rsid w:val="00BC3B89"/>
    <w:rsid w:val="00BC5BD0"/>
    <w:rsid w:val="00BC7E8C"/>
    <w:rsid w:val="00BD025A"/>
    <w:rsid w:val="00BD0681"/>
    <w:rsid w:val="00BD0808"/>
    <w:rsid w:val="00BD1565"/>
    <w:rsid w:val="00BD1BAA"/>
    <w:rsid w:val="00BD4A2E"/>
    <w:rsid w:val="00BD4DC0"/>
    <w:rsid w:val="00BD57BD"/>
    <w:rsid w:val="00BD640F"/>
    <w:rsid w:val="00BD655B"/>
    <w:rsid w:val="00BD6CD6"/>
    <w:rsid w:val="00BE020D"/>
    <w:rsid w:val="00BE16C2"/>
    <w:rsid w:val="00BE2927"/>
    <w:rsid w:val="00BE2F27"/>
    <w:rsid w:val="00BE35D0"/>
    <w:rsid w:val="00BE4172"/>
    <w:rsid w:val="00BE4B2E"/>
    <w:rsid w:val="00BE5115"/>
    <w:rsid w:val="00BE51C0"/>
    <w:rsid w:val="00BE6830"/>
    <w:rsid w:val="00BE78EB"/>
    <w:rsid w:val="00BF2C99"/>
    <w:rsid w:val="00BF5664"/>
    <w:rsid w:val="00BF7611"/>
    <w:rsid w:val="00C00C65"/>
    <w:rsid w:val="00C03715"/>
    <w:rsid w:val="00C039A8"/>
    <w:rsid w:val="00C0460D"/>
    <w:rsid w:val="00C04ADD"/>
    <w:rsid w:val="00C04F77"/>
    <w:rsid w:val="00C064F0"/>
    <w:rsid w:val="00C1018E"/>
    <w:rsid w:val="00C10B5F"/>
    <w:rsid w:val="00C11205"/>
    <w:rsid w:val="00C1141E"/>
    <w:rsid w:val="00C11A2F"/>
    <w:rsid w:val="00C13E8D"/>
    <w:rsid w:val="00C14569"/>
    <w:rsid w:val="00C159FA"/>
    <w:rsid w:val="00C167E1"/>
    <w:rsid w:val="00C169FA"/>
    <w:rsid w:val="00C20651"/>
    <w:rsid w:val="00C22A24"/>
    <w:rsid w:val="00C23166"/>
    <w:rsid w:val="00C231DD"/>
    <w:rsid w:val="00C249C5"/>
    <w:rsid w:val="00C25BEE"/>
    <w:rsid w:val="00C277D5"/>
    <w:rsid w:val="00C32701"/>
    <w:rsid w:val="00C33734"/>
    <w:rsid w:val="00C33F0C"/>
    <w:rsid w:val="00C34796"/>
    <w:rsid w:val="00C348D1"/>
    <w:rsid w:val="00C35973"/>
    <w:rsid w:val="00C36F2C"/>
    <w:rsid w:val="00C37A94"/>
    <w:rsid w:val="00C40F27"/>
    <w:rsid w:val="00C42C77"/>
    <w:rsid w:val="00C44216"/>
    <w:rsid w:val="00C4495A"/>
    <w:rsid w:val="00C44C54"/>
    <w:rsid w:val="00C45AF7"/>
    <w:rsid w:val="00C45D23"/>
    <w:rsid w:val="00C465E6"/>
    <w:rsid w:val="00C467E4"/>
    <w:rsid w:val="00C46A50"/>
    <w:rsid w:val="00C532E6"/>
    <w:rsid w:val="00C53ACF"/>
    <w:rsid w:val="00C53D87"/>
    <w:rsid w:val="00C57E60"/>
    <w:rsid w:val="00C57EE4"/>
    <w:rsid w:val="00C6105E"/>
    <w:rsid w:val="00C6194C"/>
    <w:rsid w:val="00C61AB2"/>
    <w:rsid w:val="00C61DF3"/>
    <w:rsid w:val="00C62221"/>
    <w:rsid w:val="00C629AC"/>
    <w:rsid w:val="00C62A98"/>
    <w:rsid w:val="00C637D9"/>
    <w:rsid w:val="00C63E1F"/>
    <w:rsid w:val="00C669BD"/>
    <w:rsid w:val="00C71035"/>
    <w:rsid w:val="00C71781"/>
    <w:rsid w:val="00C7384E"/>
    <w:rsid w:val="00C75C66"/>
    <w:rsid w:val="00C75D0B"/>
    <w:rsid w:val="00C76383"/>
    <w:rsid w:val="00C76B49"/>
    <w:rsid w:val="00C76D03"/>
    <w:rsid w:val="00C770B1"/>
    <w:rsid w:val="00C77386"/>
    <w:rsid w:val="00C779E1"/>
    <w:rsid w:val="00C81310"/>
    <w:rsid w:val="00C819A6"/>
    <w:rsid w:val="00C82642"/>
    <w:rsid w:val="00C8450D"/>
    <w:rsid w:val="00C8543F"/>
    <w:rsid w:val="00C85F04"/>
    <w:rsid w:val="00C865C4"/>
    <w:rsid w:val="00C878D5"/>
    <w:rsid w:val="00C9033B"/>
    <w:rsid w:val="00C90365"/>
    <w:rsid w:val="00C913A1"/>
    <w:rsid w:val="00C924B6"/>
    <w:rsid w:val="00C92940"/>
    <w:rsid w:val="00C92EDA"/>
    <w:rsid w:val="00C93082"/>
    <w:rsid w:val="00C96A7F"/>
    <w:rsid w:val="00CA0E0C"/>
    <w:rsid w:val="00CA2736"/>
    <w:rsid w:val="00CA29CE"/>
    <w:rsid w:val="00CA3EE2"/>
    <w:rsid w:val="00CA4CD0"/>
    <w:rsid w:val="00CA4DCD"/>
    <w:rsid w:val="00CA7FA2"/>
    <w:rsid w:val="00CB00EE"/>
    <w:rsid w:val="00CB05A1"/>
    <w:rsid w:val="00CB0A0C"/>
    <w:rsid w:val="00CB0B4E"/>
    <w:rsid w:val="00CB2109"/>
    <w:rsid w:val="00CB490E"/>
    <w:rsid w:val="00CB5F67"/>
    <w:rsid w:val="00CB7E63"/>
    <w:rsid w:val="00CC0D02"/>
    <w:rsid w:val="00CC0FC1"/>
    <w:rsid w:val="00CC1B6B"/>
    <w:rsid w:val="00CC3D44"/>
    <w:rsid w:val="00CC6A99"/>
    <w:rsid w:val="00CC6CF2"/>
    <w:rsid w:val="00CC6D57"/>
    <w:rsid w:val="00CC754E"/>
    <w:rsid w:val="00CC7C11"/>
    <w:rsid w:val="00CD17C0"/>
    <w:rsid w:val="00CD4C74"/>
    <w:rsid w:val="00CD6945"/>
    <w:rsid w:val="00CD7813"/>
    <w:rsid w:val="00CE0988"/>
    <w:rsid w:val="00CE1834"/>
    <w:rsid w:val="00CE220F"/>
    <w:rsid w:val="00CE2372"/>
    <w:rsid w:val="00CE2E44"/>
    <w:rsid w:val="00CE543F"/>
    <w:rsid w:val="00CE54DF"/>
    <w:rsid w:val="00CE57D2"/>
    <w:rsid w:val="00CE5C12"/>
    <w:rsid w:val="00CE700A"/>
    <w:rsid w:val="00CF0A5A"/>
    <w:rsid w:val="00CF21FC"/>
    <w:rsid w:val="00CF24AE"/>
    <w:rsid w:val="00CF2FFA"/>
    <w:rsid w:val="00CF3C1D"/>
    <w:rsid w:val="00CF3D73"/>
    <w:rsid w:val="00D003FA"/>
    <w:rsid w:val="00D00AA3"/>
    <w:rsid w:val="00D00BF9"/>
    <w:rsid w:val="00D01C68"/>
    <w:rsid w:val="00D02B25"/>
    <w:rsid w:val="00D03544"/>
    <w:rsid w:val="00D0504E"/>
    <w:rsid w:val="00D05673"/>
    <w:rsid w:val="00D0600A"/>
    <w:rsid w:val="00D06324"/>
    <w:rsid w:val="00D06CF4"/>
    <w:rsid w:val="00D07A0B"/>
    <w:rsid w:val="00D07F73"/>
    <w:rsid w:val="00D12310"/>
    <w:rsid w:val="00D123C7"/>
    <w:rsid w:val="00D12957"/>
    <w:rsid w:val="00D13B14"/>
    <w:rsid w:val="00D14844"/>
    <w:rsid w:val="00D15560"/>
    <w:rsid w:val="00D20046"/>
    <w:rsid w:val="00D2041C"/>
    <w:rsid w:val="00D20748"/>
    <w:rsid w:val="00D20A53"/>
    <w:rsid w:val="00D20DC1"/>
    <w:rsid w:val="00D24DA8"/>
    <w:rsid w:val="00D25ADE"/>
    <w:rsid w:val="00D2604E"/>
    <w:rsid w:val="00D27E9B"/>
    <w:rsid w:val="00D312C7"/>
    <w:rsid w:val="00D31C97"/>
    <w:rsid w:val="00D32D19"/>
    <w:rsid w:val="00D32F16"/>
    <w:rsid w:val="00D34B22"/>
    <w:rsid w:val="00D36FC9"/>
    <w:rsid w:val="00D371F3"/>
    <w:rsid w:val="00D40A5F"/>
    <w:rsid w:val="00D43297"/>
    <w:rsid w:val="00D44A0A"/>
    <w:rsid w:val="00D44DB6"/>
    <w:rsid w:val="00D44E78"/>
    <w:rsid w:val="00D44F00"/>
    <w:rsid w:val="00D46113"/>
    <w:rsid w:val="00D468F1"/>
    <w:rsid w:val="00D4775A"/>
    <w:rsid w:val="00D50119"/>
    <w:rsid w:val="00D517CF"/>
    <w:rsid w:val="00D52A80"/>
    <w:rsid w:val="00D52EE8"/>
    <w:rsid w:val="00D53505"/>
    <w:rsid w:val="00D5425D"/>
    <w:rsid w:val="00D545B7"/>
    <w:rsid w:val="00D54AF8"/>
    <w:rsid w:val="00D5617A"/>
    <w:rsid w:val="00D6710A"/>
    <w:rsid w:val="00D711EC"/>
    <w:rsid w:val="00D7189C"/>
    <w:rsid w:val="00D71CF9"/>
    <w:rsid w:val="00D723DD"/>
    <w:rsid w:val="00D72DA4"/>
    <w:rsid w:val="00D7338F"/>
    <w:rsid w:val="00D74661"/>
    <w:rsid w:val="00D748BE"/>
    <w:rsid w:val="00D74CBB"/>
    <w:rsid w:val="00D768E7"/>
    <w:rsid w:val="00D76D55"/>
    <w:rsid w:val="00D77369"/>
    <w:rsid w:val="00D77B96"/>
    <w:rsid w:val="00D802F5"/>
    <w:rsid w:val="00D8051E"/>
    <w:rsid w:val="00D80A1B"/>
    <w:rsid w:val="00D80ADE"/>
    <w:rsid w:val="00D82118"/>
    <w:rsid w:val="00D82557"/>
    <w:rsid w:val="00D82A43"/>
    <w:rsid w:val="00D834D7"/>
    <w:rsid w:val="00D83B12"/>
    <w:rsid w:val="00D83F4A"/>
    <w:rsid w:val="00D85736"/>
    <w:rsid w:val="00D85A55"/>
    <w:rsid w:val="00D860F7"/>
    <w:rsid w:val="00D867F9"/>
    <w:rsid w:val="00D86FF5"/>
    <w:rsid w:val="00D877E5"/>
    <w:rsid w:val="00D90240"/>
    <w:rsid w:val="00D90E97"/>
    <w:rsid w:val="00D928AB"/>
    <w:rsid w:val="00D93CC1"/>
    <w:rsid w:val="00D94712"/>
    <w:rsid w:val="00D94802"/>
    <w:rsid w:val="00D95557"/>
    <w:rsid w:val="00D960AC"/>
    <w:rsid w:val="00D968AF"/>
    <w:rsid w:val="00D97C80"/>
    <w:rsid w:val="00D97F95"/>
    <w:rsid w:val="00DA1EE7"/>
    <w:rsid w:val="00DA5A4E"/>
    <w:rsid w:val="00DA5CF5"/>
    <w:rsid w:val="00DA6751"/>
    <w:rsid w:val="00DA7B5D"/>
    <w:rsid w:val="00DB1F21"/>
    <w:rsid w:val="00DB28F7"/>
    <w:rsid w:val="00DB4175"/>
    <w:rsid w:val="00DB4ADE"/>
    <w:rsid w:val="00DB7BD9"/>
    <w:rsid w:val="00DB7F82"/>
    <w:rsid w:val="00DC0BFD"/>
    <w:rsid w:val="00DC18D8"/>
    <w:rsid w:val="00DC1A6A"/>
    <w:rsid w:val="00DC1C27"/>
    <w:rsid w:val="00DC3747"/>
    <w:rsid w:val="00DC456F"/>
    <w:rsid w:val="00DC7B42"/>
    <w:rsid w:val="00DD14D8"/>
    <w:rsid w:val="00DD34E9"/>
    <w:rsid w:val="00DD3FE9"/>
    <w:rsid w:val="00DD48CE"/>
    <w:rsid w:val="00DD74C5"/>
    <w:rsid w:val="00DE0295"/>
    <w:rsid w:val="00DE1FEA"/>
    <w:rsid w:val="00DE2B36"/>
    <w:rsid w:val="00DE2EBA"/>
    <w:rsid w:val="00DE4E7F"/>
    <w:rsid w:val="00DE4F31"/>
    <w:rsid w:val="00DE58A2"/>
    <w:rsid w:val="00DE74C2"/>
    <w:rsid w:val="00DF15A9"/>
    <w:rsid w:val="00DF16FB"/>
    <w:rsid w:val="00DF1A58"/>
    <w:rsid w:val="00DF1A5E"/>
    <w:rsid w:val="00DF3D87"/>
    <w:rsid w:val="00DF584A"/>
    <w:rsid w:val="00DF58E7"/>
    <w:rsid w:val="00DF7DC3"/>
    <w:rsid w:val="00E00006"/>
    <w:rsid w:val="00E006B6"/>
    <w:rsid w:val="00E00C72"/>
    <w:rsid w:val="00E01870"/>
    <w:rsid w:val="00E01C05"/>
    <w:rsid w:val="00E01CA0"/>
    <w:rsid w:val="00E02C67"/>
    <w:rsid w:val="00E03F9A"/>
    <w:rsid w:val="00E043DC"/>
    <w:rsid w:val="00E04DFF"/>
    <w:rsid w:val="00E05953"/>
    <w:rsid w:val="00E05DCA"/>
    <w:rsid w:val="00E06B66"/>
    <w:rsid w:val="00E07376"/>
    <w:rsid w:val="00E1039D"/>
    <w:rsid w:val="00E11876"/>
    <w:rsid w:val="00E11DBC"/>
    <w:rsid w:val="00E124AC"/>
    <w:rsid w:val="00E134CA"/>
    <w:rsid w:val="00E13AA3"/>
    <w:rsid w:val="00E149F9"/>
    <w:rsid w:val="00E15B79"/>
    <w:rsid w:val="00E15C69"/>
    <w:rsid w:val="00E17F59"/>
    <w:rsid w:val="00E20C7D"/>
    <w:rsid w:val="00E22624"/>
    <w:rsid w:val="00E23493"/>
    <w:rsid w:val="00E23CBB"/>
    <w:rsid w:val="00E26916"/>
    <w:rsid w:val="00E26EF3"/>
    <w:rsid w:val="00E326D9"/>
    <w:rsid w:val="00E33A5F"/>
    <w:rsid w:val="00E33AE6"/>
    <w:rsid w:val="00E349AB"/>
    <w:rsid w:val="00E349B6"/>
    <w:rsid w:val="00E363F3"/>
    <w:rsid w:val="00E364EF"/>
    <w:rsid w:val="00E372BF"/>
    <w:rsid w:val="00E379BB"/>
    <w:rsid w:val="00E37B59"/>
    <w:rsid w:val="00E400D6"/>
    <w:rsid w:val="00E40681"/>
    <w:rsid w:val="00E43392"/>
    <w:rsid w:val="00E44855"/>
    <w:rsid w:val="00E44FC6"/>
    <w:rsid w:val="00E453CC"/>
    <w:rsid w:val="00E455CB"/>
    <w:rsid w:val="00E46546"/>
    <w:rsid w:val="00E4714E"/>
    <w:rsid w:val="00E47F5D"/>
    <w:rsid w:val="00E47FBC"/>
    <w:rsid w:val="00E47FF5"/>
    <w:rsid w:val="00E53438"/>
    <w:rsid w:val="00E575E2"/>
    <w:rsid w:val="00E57620"/>
    <w:rsid w:val="00E60501"/>
    <w:rsid w:val="00E619C1"/>
    <w:rsid w:val="00E61D91"/>
    <w:rsid w:val="00E62657"/>
    <w:rsid w:val="00E626CB"/>
    <w:rsid w:val="00E62B5D"/>
    <w:rsid w:val="00E62C50"/>
    <w:rsid w:val="00E63555"/>
    <w:rsid w:val="00E64B04"/>
    <w:rsid w:val="00E66471"/>
    <w:rsid w:val="00E669B3"/>
    <w:rsid w:val="00E66BB6"/>
    <w:rsid w:val="00E67693"/>
    <w:rsid w:val="00E725FC"/>
    <w:rsid w:val="00E72D3E"/>
    <w:rsid w:val="00E73DDC"/>
    <w:rsid w:val="00E754E9"/>
    <w:rsid w:val="00E75C68"/>
    <w:rsid w:val="00E763D8"/>
    <w:rsid w:val="00E776D1"/>
    <w:rsid w:val="00E808FE"/>
    <w:rsid w:val="00E82DBE"/>
    <w:rsid w:val="00E837B6"/>
    <w:rsid w:val="00E871ED"/>
    <w:rsid w:val="00E87759"/>
    <w:rsid w:val="00E87E55"/>
    <w:rsid w:val="00E9010E"/>
    <w:rsid w:val="00E91292"/>
    <w:rsid w:val="00E91CAD"/>
    <w:rsid w:val="00E94B65"/>
    <w:rsid w:val="00E953E6"/>
    <w:rsid w:val="00E95C01"/>
    <w:rsid w:val="00E9673D"/>
    <w:rsid w:val="00E9765D"/>
    <w:rsid w:val="00E9783D"/>
    <w:rsid w:val="00EA0E75"/>
    <w:rsid w:val="00EA128A"/>
    <w:rsid w:val="00EA32CF"/>
    <w:rsid w:val="00EA36C6"/>
    <w:rsid w:val="00EA47D8"/>
    <w:rsid w:val="00EA50DF"/>
    <w:rsid w:val="00EA5440"/>
    <w:rsid w:val="00EA6513"/>
    <w:rsid w:val="00EA6DE7"/>
    <w:rsid w:val="00EA6E34"/>
    <w:rsid w:val="00EA7021"/>
    <w:rsid w:val="00EA7557"/>
    <w:rsid w:val="00EA778C"/>
    <w:rsid w:val="00EB1C9D"/>
    <w:rsid w:val="00EB2DAB"/>
    <w:rsid w:val="00EB36B5"/>
    <w:rsid w:val="00EB36E4"/>
    <w:rsid w:val="00EB5064"/>
    <w:rsid w:val="00EB65AC"/>
    <w:rsid w:val="00EB711E"/>
    <w:rsid w:val="00EB7660"/>
    <w:rsid w:val="00EC001A"/>
    <w:rsid w:val="00EC30F9"/>
    <w:rsid w:val="00EC359C"/>
    <w:rsid w:val="00EC38B6"/>
    <w:rsid w:val="00EC39AF"/>
    <w:rsid w:val="00EC3F3E"/>
    <w:rsid w:val="00EC4EF3"/>
    <w:rsid w:val="00EC59CD"/>
    <w:rsid w:val="00EC715D"/>
    <w:rsid w:val="00EC7A21"/>
    <w:rsid w:val="00EC7CB9"/>
    <w:rsid w:val="00ED051B"/>
    <w:rsid w:val="00ED20BC"/>
    <w:rsid w:val="00ED2BA4"/>
    <w:rsid w:val="00ED5684"/>
    <w:rsid w:val="00ED5725"/>
    <w:rsid w:val="00ED7031"/>
    <w:rsid w:val="00EE0299"/>
    <w:rsid w:val="00EE0B95"/>
    <w:rsid w:val="00EE0BA6"/>
    <w:rsid w:val="00EE1823"/>
    <w:rsid w:val="00EE1974"/>
    <w:rsid w:val="00EE3060"/>
    <w:rsid w:val="00EE33E5"/>
    <w:rsid w:val="00EE3B20"/>
    <w:rsid w:val="00EE3F58"/>
    <w:rsid w:val="00EE4315"/>
    <w:rsid w:val="00EE4958"/>
    <w:rsid w:val="00EE5BE8"/>
    <w:rsid w:val="00EE668D"/>
    <w:rsid w:val="00EE7612"/>
    <w:rsid w:val="00EE7B6C"/>
    <w:rsid w:val="00EF1834"/>
    <w:rsid w:val="00EF2313"/>
    <w:rsid w:val="00EF2698"/>
    <w:rsid w:val="00EF3336"/>
    <w:rsid w:val="00EF690A"/>
    <w:rsid w:val="00EF6925"/>
    <w:rsid w:val="00EF788C"/>
    <w:rsid w:val="00EF7B0C"/>
    <w:rsid w:val="00F00512"/>
    <w:rsid w:val="00F011EA"/>
    <w:rsid w:val="00F012D6"/>
    <w:rsid w:val="00F0196D"/>
    <w:rsid w:val="00F01CE2"/>
    <w:rsid w:val="00F023C3"/>
    <w:rsid w:val="00F04023"/>
    <w:rsid w:val="00F04F3C"/>
    <w:rsid w:val="00F05FBD"/>
    <w:rsid w:val="00F063DA"/>
    <w:rsid w:val="00F07BDB"/>
    <w:rsid w:val="00F1096B"/>
    <w:rsid w:val="00F10E8A"/>
    <w:rsid w:val="00F11401"/>
    <w:rsid w:val="00F11DC3"/>
    <w:rsid w:val="00F12118"/>
    <w:rsid w:val="00F12AD2"/>
    <w:rsid w:val="00F134EB"/>
    <w:rsid w:val="00F13A6B"/>
    <w:rsid w:val="00F140F4"/>
    <w:rsid w:val="00F21A98"/>
    <w:rsid w:val="00F22B3A"/>
    <w:rsid w:val="00F248DC"/>
    <w:rsid w:val="00F24DCC"/>
    <w:rsid w:val="00F26ED3"/>
    <w:rsid w:val="00F275D8"/>
    <w:rsid w:val="00F318B6"/>
    <w:rsid w:val="00F321A2"/>
    <w:rsid w:val="00F321DB"/>
    <w:rsid w:val="00F32E29"/>
    <w:rsid w:val="00F32EDF"/>
    <w:rsid w:val="00F3499E"/>
    <w:rsid w:val="00F3561C"/>
    <w:rsid w:val="00F35D0C"/>
    <w:rsid w:val="00F40BE8"/>
    <w:rsid w:val="00F40ECD"/>
    <w:rsid w:val="00F428B4"/>
    <w:rsid w:val="00F43363"/>
    <w:rsid w:val="00F43371"/>
    <w:rsid w:val="00F44045"/>
    <w:rsid w:val="00F440D7"/>
    <w:rsid w:val="00F4414E"/>
    <w:rsid w:val="00F464B1"/>
    <w:rsid w:val="00F532EF"/>
    <w:rsid w:val="00F536D7"/>
    <w:rsid w:val="00F57D18"/>
    <w:rsid w:val="00F602D3"/>
    <w:rsid w:val="00F614C9"/>
    <w:rsid w:val="00F62B7A"/>
    <w:rsid w:val="00F6397D"/>
    <w:rsid w:val="00F63B25"/>
    <w:rsid w:val="00F63F02"/>
    <w:rsid w:val="00F65EBE"/>
    <w:rsid w:val="00F677B0"/>
    <w:rsid w:val="00F70192"/>
    <w:rsid w:val="00F71402"/>
    <w:rsid w:val="00F71B18"/>
    <w:rsid w:val="00F7293E"/>
    <w:rsid w:val="00F732AC"/>
    <w:rsid w:val="00F73C95"/>
    <w:rsid w:val="00F749D7"/>
    <w:rsid w:val="00F760BF"/>
    <w:rsid w:val="00F76650"/>
    <w:rsid w:val="00F775F0"/>
    <w:rsid w:val="00F8114A"/>
    <w:rsid w:val="00F81300"/>
    <w:rsid w:val="00F84176"/>
    <w:rsid w:val="00F8579E"/>
    <w:rsid w:val="00F85E68"/>
    <w:rsid w:val="00F868DF"/>
    <w:rsid w:val="00F906C4"/>
    <w:rsid w:val="00F90912"/>
    <w:rsid w:val="00F910D0"/>
    <w:rsid w:val="00F9187B"/>
    <w:rsid w:val="00F92385"/>
    <w:rsid w:val="00F93324"/>
    <w:rsid w:val="00F93CE7"/>
    <w:rsid w:val="00F93E20"/>
    <w:rsid w:val="00F94A12"/>
    <w:rsid w:val="00F9571E"/>
    <w:rsid w:val="00F95727"/>
    <w:rsid w:val="00F97160"/>
    <w:rsid w:val="00F973A2"/>
    <w:rsid w:val="00F97AF8"/>
    <w:rsid w:val="00FA117A"/>
    <w:rsid w:val="00FA117C"/>
    <w:rsid w:val="00FA1186"/>
    <w:rsid w:val="00FA16AD"/>
    <w:rsid w:val="00FA1A41"/>
    <w:rsid w:val="00FA1B4F"/>
    <w:rsid w:val="00FA2940"/>
    <w:rsid w:val="00FA3447"/>
    <w:rsid w:val="00FA6124"/>
    <w:rsid w:val="00FA6BDB"/>
    <w:rsid w:val="00FA75B2"/>
    <w:rsid w:val="00FB0873"/>
    <w:rsid w:val="00FB467F"/>
    <w:rsid w:val="00FB75FC"/>
    <w:rsid w:val="00FC0120"/>
    <w:rsid w:val="00FC10BF"/>
    <w:rsid w:val="00FC35E0"/>
    <w:rsid w:val="00FC47F9"/>
    <w:rsid w:val="00FC5407"/>
    <w:rsid w:val="00FC58B6"/>
    <w:rsid w:val="00FC62C7"/>
    <w:rsid w:val="00FC71C2"/>
    <w:rsid w:val="00FC71F6"/>
    <w:rsid w:val="00FC7887"/>
    <w:rsid w:val="00FC7992"/>
    <w:rsid w:val="00FD03D7"/>
    <w:rsid w:val="00FD08BA"/>
    <w:rsid w:val="00FD0C7D"/>
    <w:rsid w:val="00FD1777"/>
    <w:rsid w:val="00FD266E"/>
    <w:rsid w:val="00FD3D11"/>
    <w:rsid w:val="00FD3F8E"/>
    <w:rsid w:val="00FD50BD"/>
    <w:rsid w:val="00FD61EE"/>
    <w:rsid w:val="00FE00EA"/>
    <w:rsid w:val="00FE072E"/>
    <w:rsid w:val="00FE1D94"/>
    <w:rsid w:val="00FE2351"/>
    <w:rsid w:val="00FE2529"/>
    <w:rsid w:val="00FE2F55"/>
    <w:rsid w:val="00FE305B"/>
    <w:rsid w:val="00FE337D"/>
    <w:rsid w:val="00FE34FF"/>
    <w:rsid w:val="00FE5580"/>
    <w:rsid w:val="00FE648A"/>
    <w:rsid w:val="00FE6E4F"/>
    <w:rsid w:val="00FE79BD"/>
    <w:rsid w:val="00FF110C"/>
    <w:rsid w:val="00FF12A1"/>
    <w:rsid w:val="00FF1C1C"/>
    <w:rsid w:val="00FF215B"/>
    <w:rsid w:val="00FF2E28"/>
    <w:rsid w:val="00FF331A"/>
    <w:rsid w:val="00FF350F"/>
    <w:rsid w:val="00FF3653"/>
    <w:rsid w:val="00FF46F3"/>
    <w:rsid w:val="00FF6B55"/>
    <w:rsid w:val="00FF6F7A"/>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AB87"/>
  <w15:chartTrackingRefBased/>
  <w15:docId w15:val="{12B1E14A-A58F-4966-A063-B6BA938ABB0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character" w:styleId="CommentReference">
    <w:name w:val="annotation reference"/>
    <w:basedOn w:val="DefaultParagraphFont"/>
    <w:uiPriority w:val="99"/>
    <w:semiHidden/>
    <w:unhideWhenUsed/>
    <w:rsid w:val="008C0E46"/>
    <w:rPr>
      <w:sz w:val="16"/>
      <w:szCs w:val="16"/>
    </w:rPr>
  </w:style>
  <w:style w:type="paragraph" w:styleId="CommentText">
    <w:name w:val="annotation text"/>
    <w:basedOn w:val="Normal"/>
    <w:link w:val="CommentTextChar"/>
    <w:uiPriority w:val="99"/>
    <w:unhideWhenUsed/>
    <w:rsid w:val="008C0E46"/>
    <w:pPr>
      <w:spacing w:line="240" w:lineRule="auto"/>
    </w:pPr>
    <w:rPr>
      <w:sz w:val="20"/>
      <w:szCs w:val="20"/>
    </w:rPr>
  </w:style>
  <w:style w:type="character" w:customStyle="1" w:styleId="CommentTextChar">
    <w:name w:val="Comment Text Char"/>
    <w:basedOn w:val="DefaultParagraphFont"/>
    <w:link w:val="CommentText"/>
    <w:uiPriority w:val="99"/>
    <w:rsid w:val="008C0E4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C0E46"/>
    <w:rPr>
      <w:b/>
      <w:bCs/>
    </w:rPr>
  </w:style>
  <w:style w:type="character" w:customStyle="1" w:styleId="CommentSubjectChar">
    <w:name w:val="Comment Subject Char"/>
    <w:basedOn w:val="CommentTextChar"/>
    <w:link w:val="CommentSubject"/>
    <w:uiPriority w:val="99"/>
    <w:semiHidden/>
    <w:rsid w:val="008C0E46"/>
    <w:rPr>
      <w:rFonts w:ascii="Book Antiqua" w:hAnsi="Book Antiqua"/>
      <w:b/>
      <w:bCs/>
      <w:sz w:val="20"/>
      <w:szCs w:val="20"/>
    </w:rPr>
  </w:style>
  <w:style w:type="paragraph" w:styleId="ListParagraph">
    <w:name w:val="List Paragraph"/>
    <w:basedOn w:val="Normal"/>
    <w:link w:val="ListParagraphChar"/>
    <w:uiPriority w:val="34"/>
    <w:qFormat/>
    <w:rsid w:val="00D0600A"/>
    <w:pPr>
      <w:ind w:left="720"/>
      <w:contextualSpacing/>
    </w:pPr>
  </w:style>
  <w:style w:type="character" w:styleId="UnresolvedMention">
    <w:name w:val="Unresolved Mention"/>
    <w:basedOn w:val="DefaultParagraphFont"/>
    <w:uiPriority w:val="99"/>
    <w:semiHidden/>
    <w:unhideWhenUsed/>
    <w:rsid w:val="00503144"/>
    <w:rPr>
      <w:color w:val="605E5C"/>
      <w:shd w:val="clear" w:color="auto" w:fill="E1DFDD"/>
    </w:rPr>
  </w:style>
  <w:style w:type="paragraph" w:styleId="TOC7">
    <w:name w:val="toc 7"/>
    <w:basedOn w:val="Normal"/>
    <w:next w:val="Normal"/>
    <w:autoRedefine/>
    <w:uiPriority w:val="39"/>
    <w:unhideWhenUsed/>
    <w:rsid w:val="00B35ACF"/>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B35ACF"/>
    <w:pPr>
      <w:spacing w:after="100" w:line="278" w:lineRule="auto"/>
      <w:ind w:left="1680" w:firstLine="0"/>
    </w:pPr>
    <w:rPr>
      <w:rFonts w:asciiTheme="minorHAnsi" w:eastAsiaTheme="minorEastAsia" w:hAnsiTheme="minorHAnsi"/>
      <w:kern w:val="2"/>
      <w:sz w:val="24"/>
      <w:szCs w:val="24"/>
      <w14:ligatures w14:val="standardContextual"/>
    </w:rPr>
  </w:style>
  <w:style w:type="paragraph" w:customStyle="1" w:styleId="FOFList">
    <w:name w:val="FOF List"/>
    <w:basedOn w:val="ListParagraph"/>
    <w:link w:val="FOFListChar"/>
    <w:qFormat/>
    <w:rsid w:val="00D97C80"/>
    <w:pPr>
      <w:spacing w:after="100" w:afterAutospacing="1"/>
      <w:ind w:left="0" w:firstLine="360"/>
    </w:pPr>
    <w:rPr>
      <w:kern w:val="2"/>
      <w:szCs w:val="26"/>
      <w14:ligatures w14:val="standardContextual"/>
    </w:rPr>
  </w:style>
  <w:style w:type="character" w:customStyle="1" w:styleId="FOFListChar">
    <w:name w:val="FOF List Char"/>
    <w:basedOn w:val="DefaultParagraphFont"/>
    <w:link w:val="FOFList"/>
    <w:rsid w:val="00D97C80"/>
    <w:rPr>
      <w:rFonts w:ascii="Book Antiqua" w:hAnsi="Book Antiqua"/>
      <w:kern w:val="2"/>
      <w:sz w:val="26"/>
      <w:szCs w:val="26"/>
      <w14:ligatures w14:val="standardContextual"/>
    </w:rPr>
  </w:style>
  <w:style w:type="character" w:customStyle="1" w:styleId="ListParagraphChar">
    <w:name w:val="List Paragraph Char"/>
    <w:basedOn w:val="DefaultParagraphFont"/>
    <w:link w:val="ListParagraph"/>
    <w:uiPriority w:val="34"/>
    <w:rsid w:val="00547C2E"/>
    <w:rPr>
      <w:rFonts w:ascii="Book Antiqua" w:hAnsi="Book Antiqua"/>
      <w:sz w:val="26"/>
    </w:rPr>
  </w:style>
  <w:style w:type="paragraph" w:styleId="Revision">
    <w:name w:val="Revision"/>
    <w:hidden/>
    <w:uiPriority w:val="99"/>
    <w:semiHidden/>
    <w:rsid w:val="00831AF0"/>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296">
      <w:bodyDiv w:val="1"/>
      <w:marLeft w:val="0"/>
      <w:marRight w:val="0"/>
      <w:marTop w:val="0"/>
      <w:marBottom w:val="0"/>
      <w:divBdr>
        <w:top w:val="none" w:sz="0" w:space="0" w:color="auto"/>
        <w:left w:val="none" w:sz="0" w:space="0" w:color="auto"/>
        <w:bottom w:val="none" w:sz="0" w:space="0" w:color="auto"/>
        <w:right w:val="none" w:sz="0" w:space="0" w:color="auto"/>
      </w:divBdr>
    </w:div>
    <w:div w:id="102188987">
      <w:bodyDiv w:val="1"/>
      <w:marLeft w:val="0"/>
      <w:marRight w:val="0"/>
      <w:marTop w:val="0"/>
      <w:marBottom w:val="0"/>
      <w:divBdr>
        <w:top w:val="none" w:sz="0" w:space="0" w:color="auto"/>
        <w:left w:val="none" w:sz="0" w:space="0" w:color="auto"/>
        <w:bottom w:val="none" w:sz="0" w:space="0" w:color="auto"/>
        <w:right w:val="none" w:sz="0" w:space="0" w:color="auto"/>
      </w:divBdr>
    </w:div>
    <w:div w:id="134179398">
      <w:bodyDiv w:val="1"/>
      <w:marLeft w:val="0"/>
      <w:marRight w:val="0"/>
      <w:marTop w:val="0"/>
      <w:marBottom w:val="0"/>
      <w:divBdr>
        <w:top w:val="none" w:sz="0" w:space="0" w:color="auto"/>
        <w:left w:val="none" w:sz="0" w:space="0" w:color="auto"/>
        <w:bottom w:val="none" w:sz="0" w:space="0" w:color="auto"/>
        <w:right w:val="none" w:sz="0" w:space="0" w:color="auto"/>
      </w:divBdr>
    </w:div>
    <w:div w:id="135345554">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11772271">
      <w:bodyDiv w:val="1"/>
      <w:marLeft w:val="0"/>
      <w:marRight w:val="0"/>
      <w:marTop w:val="0"/>
      <w:marBottom w:val="0"/>
      <w:divBdr>
        <w:top w:val="none" w:sz="0" w:space="0" w:color="auto"/>
        <w:left w:val="none" w:sz="0" w:space="0" w:color="auto"/>
        <w:bottom w:val="none" w:sz="0" w:space="0" w:color="auto"/>
        <w:right w:val="none" w:sz="0" w:space="0" w:color="auto"/>
      </w:divBdr>
    </w:div>
    <w:div w:id="21713167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29061921">
      <w:bodyDiv w:val="1"/>
      <w:marLeft w:val="0"/>
      <w:marRight w:val="0"/>
      <w:marTop w:val="0"/>
      <w:marBottom w:val="0"/>
      <w:divBdr>
        <w:top w:val="none" w:sz="0" w:space="0" w:color="auto"/>
        <w:left w:val="none" w:sz="0" w:space="0" w:color="auto"/>
        <w:bottom w:val="none" w:sz="0" w:space="0" w:color="auto"/>
        <w:right w:val="none" w:sz="0" w:space="0" w:color="auto"/>
      </w:divBdr>
    </w:div>
    <w:div w:id="360936329">
      <w:bodyDiv w:val="1"/>
      <w:marLeft w:val="0"/>
      <w:marRight w:val="0"/>
      <w:marTop w:val="0"/>
      <w:marBottom w:val="0"/>
      <w:divBdr>
        <w:top w:val="none" w:sz="0" w:space="0" w:color="auto"/>
        <w:left w:val="none" w:sz="0" w:space="0" w:color="auto"/>
        <w:bottom w:val="none" w:sz="0" w:space="0" w:color="auto"/>
        <w:right w:val="none" w:sz="0" w:space="0" w:color="auto"/>
      </w:divBdr>
    </w:div>
    <w:div w:id="474764918">
      <w:bodyDiv w:val="1"/>
      <w:marLeft w:val="0"/>
      <w:marRight w:val="0"/>
      <w:marTop w:val="0"/>
      <w:marBottom w:val="0"/>
      <w:divBdr>
        <w:top w:val="none" w:sz="0" w:space="0" w:color="auto"/>
        <w:left w:val="none" w:sz="0" w:space="0" w:color="auto"/>
        <w:bottom w:val="none" w:sz="0" w:space="0" w:color="auto"/>
        <w:right w:val="none" w:sz="0" w:space="0" w:color="auto"/>
      </w:divBdr>
    </w:div>
    <w:div w:id="504829515">
      <w:bodyDiv w:val="1"/>
      <w:marLeft w:val="0"/>
      <w:marRight w:val="0"/>
      <w:marTop w:val="0"/>
      <w:marBottom w:val="0"/>
      <w:divBdr>
        <w:top w:val="none" w:sz="0" w:space="0" w:color="auto"/>
        <w:left w:val="none" w:sz="0" w:space="0" w:color="auto"/>
        <w:bottom w:val="none" w:sz="0" w:space="0" w:color="auto"/>
        <w:right w:val="none" w:sz="0" w:space="0" w:color="auto"/>
      </w:divBdr>
    </w:div>
    <w:div w:id="555169601">
      <w:bodyDiv w:val="1"/>
      <w:marLeft w:val="0"/>
      <w:marRight w:val="0"/>
      <w:marTop w:val="0"/>
      <w:marBottom w:val="0"/>
      <w:divBdr>
        <w:top w:val="none" w:sz="0" w:space="0" w:color="auto"/>
        <w:left w:val="none" w:sz="0" w:space="0" w:color="auto"/>
        <w:bottom w:val="none" w:sz="0" w:space="0" w:color="auto"/>
        <w:right w:val="none" w:sz="0" w:space="0" w:color="auto"/>
      </w:divBdr>
    </w:div>
    <w:div w:id="576786285">
      <w:bodyDiv w:val="1"/>
      <w:marLeft w:val="0"/>
      <w:marRight w:val="0"/>
      <w:marTop w:val="0"/>
      <w:marBottom w:val="0"/>
      <w:divBdr>
        <w:top w:val="none" w:sz="0" w:space="0" w:color="auto"/>
        <w:left w:val="none" w:sz="0" w:space="0" w:color="auto"/>
        <w:bottom w:val="none" w:sz="0" w:space="0" w:color="auto"/>
        <w:right w:val="none" w:sz="0" w:space="0" w:color="auto"/>
      </w:divBdr>
    </w:div>
    <w:div w:id="639850384">
      <w:bodyDiv w:val="1"/>
      <w:marLeft w:val="0"/>
      <w:marRight w:val="0"/>
      <w:marTop w:val="0"/>
      <w:marBottom w:val="0"/>
      <w:divBdr>
        <w:top w:val="none" w:sz="0" w:space="0" w:color="auto"/>
        <w:left w:val="none" w:sz="0" w:space="0" w:color="auto"/>
        <w:bottom w:val="none" w:sz="0" w:space="0" w:color="auto"/>
        <w:right w:val="none" w:sz="0" w:space="0" w:color="auto"/>
      </w:divBdr>
    </w:div>
    <w:div w:id="663322556">
      <w:bodyDiv w:val="1"/>
      <w:marLeft w:val="0"/>
      <w:marRight w:val="0"/>
      <w:marTop w:val="0"/>
      <w:marBottom w:val="0"/>
      <w:divBdr>
        <w:top w:val="none" w:sz="0" w:space="0" w:color="auto"/>
        <w:left w:val="none" w:sz="0" w:space="0" w:color="auto"/>
        <w:bottom w:val="none" w:sz="0" w:space="0" w:color="auto"/>
        <w:right w:val="none" w:sz="0" w:space="0" w:color="auto"/>
      </w:divBdr>
    </w:div>
    <w:div w:id="683437908">
      <w:bodyDiv w:val="1"/>
      <w:marLeft w:val="0"/>
      <w:marRight w:val="0"/>
      <w:marTop w:val="0"/>
      <w:marBottom w:val="0"/>
      <w:divBdr>
        <w:top w:val="none" w:sz="0" w:space="0" w:color="auto"/>
        <w:left w:val="none" w:sz="0" w:space="0" w:color="auto"/>
        <w:bottom w:val="none" w:sz="0" w:space="0" w:color="auto"/>
        <w:right w:val="none" w:sz="0" w:space="0" w:color="auto"/>
      </w:divBdr>
    </w:div>
    <w:div w:id="726028808">
      <w:bodyDiv w:val="1"/>
      <w:marLeft w:val="0"/>
      <w:marRight w:val="0"/>
      <w:marTop w:val="0"/>
      <w:marBottom w:val="0"/>
      <w:divBdr>
        <w:top w:val="none" w:sz="0" w:space="0" w:color="auto"/>
        <w:left w:val="none" w:sz="0" w:space="0" w:color="auto"/>
        <w:bottom w:val="none" w:sz="0" w:space="0" w:color="auto"/>
        <w:right w:val="none" w:sz="0" w:space="0" w:color="auto"/>
      </w:divBdr>
    </w:div>
    <w:div w:id="745494152">
      <w:bodyDiv w:val="1"/>
      <w:marLeft w:val="0"/>
      <w:marRight w:val="0"/>
      <w:marTop w:val="0"/>
      <w:marBottom w:val="0"/>
      <w:divBdr>
        <w:top w:val="none" w:sz="0" w:space="0" w:color="auto"/>
        <w:left w:val="none" w:sz="0" w:space="0" w:color="auto"/>
        <w:bottom w:val="none" w:sz="0" w:space="0" w:color="auto"/>
        <w:right w:val="none" w:sz="0" w:space="0" w:color="auto"/>
      </w:divBdr>
    </w:div>
    <w:div w:id="765612352">
      <w:bodyDiv w:val="1"/>
      <w:marLeft w:val="0"/>
      <w:marRight w:val="0"/>
      <w:marTop w:val="0"/>
      <w:marBottom w:val="0"/>
      <w:divBdr>
        <w:top w:val="none" w:sz="0" w:space="0" w:color="auto"/>
        <w:left w:val="none" w:sz="0" w:space="0" w:color="auto"/>
        <w:bottom w:val="none" w:sz="0" w:space="0" w:color="auto"/>
        <w:right w:val="none" w:sz="0" w:space="0" w:color="auto"/>
      </w:divBdr>
    </w:div>
    <w:div w:id="81233299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44173727">
      <w:bodyDiv w:val="1"/>
      <w:marLeft w:val="0"/>
      <w:marRight w:val="0"/>
      <w:marTop w:val="0"/>
      <w:marBottom w:val="0"/>
      <w:divBdr>
        <w:top w:val="none" w:sz="0" w:space="0" w:color="auto"/>
        <w:left w:val="none" w:sz="0" w:space="0" w:color="auto"/>
        <w:bottom w:val="none" w:sz="0" w:space="0" w:color="auto"/>
        <w:right w:val="none" w:sz="0" w:space="0" w:color="auto"/>
      </w:divBdr>
    </w:div>
    <w:div w:id="889534747">
      <w:bodyDiv w:val="1"/>
      <w:marLeft w:val="0"/>
      <w:marRight w:val="0"/>
      <w:marTop w:val="0"/>
      <w:marBottom w:val="0"/>
      <w:divBdr>
        <w:top w:val="none" w:sz="0" w:space="0" w:color="auto"/>
        <w:left w:val="none" w:sz="0" w:space="0" w:color="auto"/>
        <w:bottom w:val="none" w:sz="0" w:space="0" w:color="auto"/>
        <w:right w:val="none" w:sz="0" w:space="0" w:color="auto"/>
      </w:divBdr>
    </w:div>
    <w:div w:id="1000616355">
      <w:bodyDiv w:val="1"/>
      <w:marLeft w:val="0"/>
      <w:marRight w:val="0"/>
      <w:marTop w:val="0"/>
      <w:marBottom w:val="0"/>
      <w:divBdr>
        <w:top w:val="none" w:sz="0" w:space="0" w:color="auto"/>
        <w:left w:val="none" w:sz="0" w:space="0" w:color="auto"/>
        <w:bottom w:val="none" w:sz="0" w:space="0" w:color="auto"/>
        <w:right w:val="none" w:sz="0" w:space="0" w:color="auto"/>
      </w:divBdr>
    </w:div>
    <w:div w:id="1056202178">
      <w:bodyDiv w:val="1"/>
      <w:marLeft w:val="0"/>
      <w:marRight w:val="0"/>
      <w:marTop w:val="0"/>
      <w:marBottom w:val="0"/>
      <w:divBdr>
        <w:top w:val="none" w:sz="0" w:space="0" w:color="auto"/>
        <w:left w:val="none" w:sz="0" w:space="0" w:color="auto"/>
        <w:bottom w:val="none" w:sz="0" w:space="0" w:color="auto"/>
        <w:right w:val="none" w:sz="0" w:space="0" w:color="auto"/>
      </w:divBdr>
    </w:div>
    <w:div w:id="1060904716">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41113647">
      <w:bodyDiv w:val="1"/>
      <w:marLeft w:val="0"/>
      <w:marRight w:val="0"/>
      <w:marTop w:val="0"/>
      <w:marBottom w:val="0"/>
      <w:divBdr>
        <w:top w:val="none" w:sz="0" w:space="0" w:color="auto"/>
        <w:left w:val="none" w:sz="0" w:space="0" w:color="auto"/>
        <w:bottom w:val="none" w:sz="0" w:space="0" w:color="auto"/>
        <w:right w:val="none" w:sz="0" w:space="0" w:color="auto"/>
      </w:divBdr>
    </w:div>
    <w:div w:id="1214124082">
      <w:bodyDiv w:val="1"/>
      <w:marLeft w:val="0"/>
      <w:marRight w:val="0"/>
      <w:marTop w:val="0"/>
      <w:marBottom w:val="0"/>
      <w:divBdr>
        <w:top w:val="none" w:sz="0" w:space="0" w:color="auto"/>
        <w:left w:val="none" w:sz="0" w:space="0" w:color="auto"/>
        <w:bottom w:val="none" w:sz="0" w:space="0" w:color="auto"/>
        <w:right w:val="none" w:sz="0" w:space="0" w:color="auto"/>
      </w:divBdr>
    </w:div>
    <w:div w:id="1277105614">
      <w:bodyDiv w:val="1"/>
      <w:marLeft w:val="0"/>
      <w:marRight w:val="0"/>
      <w:marTop w:val="0"/>
      <w:marBottom w:val="0"/>
      <w:divBdr>
        <w:top w:val="none" w:sz="0" w:space="0" w:color="auto"/>
        <w:left w:val="none" w:sz="0" w:space="0" w:color="auto"/>
        <w:bottom w:val="none" w:sz="0" w:space="0" w:color="auto"/>
        <w:right w:val="none" w:sz="0" w:space="0" w:color="auto"/>
      </w:divBdr>
    </w:div>
    <w:div w:id="1309280429">
      <w:bodyDiv w:val="1"/>
      <w:marLeft w:val="0"/>
      <w:marRight w:val="0"/>
      <w:marTop w:val="0"/>
      <w:marBottom w:val="0"/>
      <w:divBdr>
        <w:top w:val="none" w:sz="0" w:space="0" w:color="auto"/>
        <w:left w:val="none" w:sz="0" w:space="0" w:color="auto"/>
        <w:bottom w:val="none" w:sz="0" w:space="0" w:color="auto"/>
        <w:right w:val="none" w:sz="0" w:space="0" w:color="auto"/>
      </w:divBdr>
    </w:div>
    <w:div w:id="1367439443">
      <w:bodyDiv w:val="1"/>
      <w:marLeft w:val="0"/>
      <w:marRight w:val="0"/>
      <w:marTop w:val="0"/>
      <w:marBottom w:val="0"/>
      <w:divBdr>
        <w:top w:val="none" w:sz="0" w:space="0" w:color="auto"/>
        <w:left w:val="none" w:sz="0" w:space="0" w:color="auto"/>
        <w:bottom w:val="none" w:sz="0" w:space="0" w:color="auto"/>
        <w:right w:val="none" w:sz="0" w:space="0" w:color="auto"/>
      </w:divBdr>
    </w:div>
    <w:div w:id="1378747567">
      <w:bodyDiv w:val="1"/>
      <w:marLeft w:val="0"/>
      <w:marRight w:val="0"/>
      <w:marTop w:val="0"/>
      <w:marBottom w:val="0"/>
      <w:divBdr>
        <w:top w:val="none" w:sz="0" w:space="0" w:color="auto"/>
        <w:left w:val="none" w:sz="0" w:space="0" w:color="auto"/>
        <w:bottom w:val="none" w:sz="0" w:space="0" w:color="auto"/>
        <w:right w:val="none" w:sz="0" w:space="0" w:color="auto"/>
      </w:divBdr>
    </w:div>
    <w:div w:id="1392574909">
      <w:bodyDiv w:val="1"/>
      <w:marLeft w:val="0"/>
      <w:marRight w:val="0"/>
      <w:marTop w:val="0"/>
      <w:marBottom w:val="0"/>
      <w:divBdr>
        <w:top w:val="none" w:sz="0" w:space="0" w:color="auto"/>
        <w:left w:val="none" w:sz="0" w:space="0" w:color="auto"/>
        <w:bottom w:val="none" w:sz="0" w:space="0" w:color="auto"/>
        <w:right w:val="none" w:sz="0" w:space="0" w:color="auto"/>
      </w:divBdr>
    </w:div>
    <w:div w:id="1401170154">
      <w:bodyDiv w:val="1"/>
      <w:marLeft w:val="0"/>
      <w:marRight w:val="0"/>
      <w:marTop w:val="0"/>
      <w:marBottom w:val="0"/>
      <w:divBdr>
        <w:top w:val="none" w:sz="0" w:space="0" w:color="auto"/>
        <w:left w:val="none" w:sz="0" w:space="0" w:color="auto"/>
        <w:bottom w:val="none" w:sz="0" w:space="0" w:color="auto"/>
        <w:right w:val="none" w:sz="0" w:space="0" w:color="auto"/>
      </w:divBdr>
    </w:div>
    <w:div w:id="1421293781">
      <w:bodyDiv w:val="1"/>
      <w:marLeft w:val="0"/>
      <w:marRight w:val="0"/>
      <w:marTop w:val="0"/>
      <w:marBottom w:val="0"/>
      <w:divBdr>
        <w:top w:val="none" w:sz="0" w:space="0" w:color="auto"/>
        <w:left w:val="none" w:sz="0" w:space="0" w:color="auto"/>
        <w:bottom w:val="none" w:sz="0" w:space="0" w:color="auto"/>
        <w:right w:val="none" w:sz="0" w:space="0" w:color="auto"/>
      </w:divBdr>
    </w:div>
    <w:div w:id="1509368877">
      <w:bodyDiv w:val="1"/>
      <w:marLeft w:val="0"/>
      <w:marRight w:val="0"/>
      <w:marTop w:val="0"/>
      <w:marBottom w:val="0"/>
      <w:divBdr>
        <w:top w:val="none" w:sz="0" w:space="0" w:color="auto"/>
        <w:left w:val="none" w:sz="0" w:space="0" w:color="auto"/>
        <w:bottom w:val="none" w:sz="0" w:space="0" w:color="auto"/>
        <w:right w:val="none" w:sz="0" w:space="0" w:color="auto"/>
      </w:divBdr>
    </w:div>
    <w:div w:id="1579830069">
      <w:bodyDiv w:val="1"/>
      <w:marLeft w:val="0"/>
      <w:marRight w:val="0"/>
      <w:marTop w:val="0"/>
      <w:marBottom w:val="0"/>
      <w:divBdr>
        <w:top w:val="none" w:sz="0" w:space="0" w:color="auto"/>
        <w:left w:val="none" w:sz="0" w:space="0" w:color="auto"/>
        <w:bottom w:val="none" w:sz="0" w:space="0" w:color="auto"/>
        <w:right w:val="none" w:sz="0" w:space="0" w:color="auto"/>
      </w:divBdr>
    </w:div>
    <w:div w:id="1589540505">
      <w:bodyDiv w:val="1"/>
      <w:marLeft w:val="0"/>
      <w:marRight w:val="0"/>
      <w:marTop w:val="0"/>
      <w:marBottom w:val="0"/>
      <w:divBdr>
        <w:top w:val="none" w:sz="0" w:space="0" w:color="auto"/>
        <w:left w:val="none" w:sz="0" w:space="0" w:color="auto"/>
        <w:bottom w:val="none" w:sz="0" w:space="0" w:color="auto"/>
        <w:right w:val="none" w:sz="0" w:space="0" w:color="auto"/>
      </w:divBdr>
    </w:div>
    <w:div w:id="1591113765">
      <w:bodyDiv w:val="1"/>
      <w:marLeft w:val="0"/>
      <w:marRight w:val="0"/>
      <w:marTop w:val="0"/>
      <w:marBottom w:val="0"/>
      <w:divBdr>
        <w:top w:val="none" w:sz="0" w:space="0" w:color="auto"/>
        <w:left w:val="none" w:sz="0" w:space="0" w:color="auto"/>
        <w:bottom w:val="none" w:sz="0" w:space="0" w:color="auto"/>
        <w:right w:val="none" w:sz="0" w:space="0" w:color="auto"/>
      </w:divBdr>
    </w:div>
    <w:div w:id="1631015051">
      <w:bodyDiv w:val="1"/>
      <w:marLeft w:val="0"/>
      <w:marRight w:val="0"/>
      <w:marTop w:val="0"/>
      <w:marBottom w:val="0"/>
      <w:divBdr>
        <w:top w:val="none" w:sz="0" w:space="0" w:color="auto"/>
        <w:left w:val="none" w:sz="0" w:space="0" w:color="auto"/>
        <w:bottom w:val="none" w:sz="0" w:space="0" w:color="auto"/>
        <w:right w:val="none" w:sz="0" w:space="0" w:color="auto"/>
      </w:divBdr>
    </w:div>
    <w:div w:id="1636595273">
      <w:bodyDiv w:val="1"/>
      <w:marLeft w:val="0"/>
      <w:marRight w:val="0"/>
      <w:marTop w:val="0"/>
      <w:marBottom w:val="0"/>
      <w:divBdr>
        <w:top w:val="none" w:sz="0" w:space="0" w:color="auto"/>
        <w:left w:val="none" w:sz="0" w:space="0" w:color="auto"/>
        <w:bottom w:val="none" w:sz="0" w:space="0" w:color="auto"/>
        <w:right w:val="none" w:sz="0" w:space="0" w:color="auto"/>
      </w:divBdr>
    </w:div>
    <w:div w:id="1666014575">
      <w:bodyDiv w:val="1"/>
      <w:marLeft w:val="0"/>
      <w:marRight w:val="0"/>
      <w:marTop w:val="0"/>
      <w:marBottom w:val="0"/>
      <w:divBdr>
        <w:top w:val="none" w:sz="0" w:space="0" w:color="auto"/>
        <w:left w:val="none" w:sz="0" w:space="0" w:color="auto"/>
        <w:bottom w:val="none" w:sz="0" w:space="0" w:color="auto"/>
        <w:right w:val="none" w:sz="0" w:space="0" w:color="auto"/>
      </w:divBdr>
    </w:div>
    <w:div w:id="1693995080">
      <w:bodyDiv w:val="1"/>
      <w:marLeft w:val="0"/>
      <w:marRight w:val="0"/>
      <w:marTop w:val="0"/>
      <w:marBottom w:val="0"/>
      <w:divBdr>
        <w:top w:val="none" w:sz="0" w:space="0" w:color="auto"/>
        <w:left w:val="none" w:sz="0" w:space="0" w:color="auto"/>
        <w:bottom w:val="none" w:sz="0" w:space="0" w:color="auto"/>
        <w:right w:val="none" w:sz="0" w:space="0" w:color="auto"/>
      </w:divBdr>
    </w:div>
    <w:div w:id="1713963252">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56516596">
      <w:bodyDiv w:val="1"/>
      <w:marLeft w:val="0"/>
      <w:marRight w:val="0"/>
      <w:marTop w:val="0"/>
      <w:marBottom w:val="0"/>
      <w:divBdr>
        <w:top w:val="none" w:sz="0" w:space="0" w:color="auto"/>
        <w:left w:val="none" w:sz="0" w:space="0" w:color="auto"/>
        <w:bottom w:val="none" w:sz="0" w:space="0" w:color="auto"/>
        <w:right w:val="none" w:sz="0" w:space="0" w:color="auto"/>
      </w:divBdr>
    </w:div>
    <w:div w:id="1776515872">
      <w:bodyDiv w:val="1"/>
      <w:marLeft w:val="0"/>
      <w:marRight w:val="0"/>
      <w:marTop w:val="0"/>
      <w:marBottom w:val="0"/>
      <w:divBdr>
        <w:top w:val="none" w:sz="0" w:space="0" w:color="auto"/>
        <w:left w:val="none" w:sz="0" w:space="0" w:color="auto"/>
        <w:bottom w:val="none" w:sz="0" w:space="0" w:color="auto"/>
        <w:right w:val="none" w:sz="0" w:space="0" w:color="auto"/>
      </w:divBdr>
    </w:div>
    <w:div w:id="1875732980">
      <w:bodyDiv w:val="1"/>
      <w:marLeft w:val="0"/>
      <w:marRight w:val="0"/>
      <w:marTop w:val="0"/>
      <w:marBottom w:val="0"/>
      <w:divBdr>
        <w:top w:val="none" w:sz="0" w:space="0" w:color="auto"/>
        <w:left w:val="none" w:sz="0" w:space="0" w:color="auto"/>
        <w:bottom w:val="none" w:sz="0" w:space="0" w:color="auto"/>
        <w:right w:val="none" w:sz="0" w:space="0" w:color="auto"/>
      </w:divBdr>
    </w:div>
    <w:div w:id="1983540057">
      <w:bodyDiv w:val="1"/>
      <w:marLeft w:val="0"/>
      <w:marRight w:val="0"/>
      <w:marTop w:val="0"/>
      <w:marBottom w:val="0"/>
      <w:divBdr>
        <w:top w:val="none" w:sz="0" w:space="0" w:color="auto"/>
        <w:left w:val="none" w:sz="0" w:space="0" w:color="auto"/>
        <w:bottom w:val="none" w:sz="0" w:space="0" w:color="auto"/>
        <w:right w:val="none" w:sz="0" w:space="0" w:color="auto"/>
      </w:divBdr>
    </w:div>
    <w:div w:id="2048531347">
      <w:bodyDiv w:val="1"/>
      <w:marLeft w:val="0"/>
      <w:marRight w:val="0"/>
      <w:marTop w:val="0"/>
      <w:marBottom w:val="0"/>
      <w:divBdr>
        <w:top w:val="none" w:sz="0" w:space="0" w:color="auto"/>
        <w:left w:val="none" w:sz="0" w:space="0" w:color="auto"/>
        <w:bottom w:val="none" w:sz="0" w:space="0" w:color="auto"/>
        <w:right w:val="none" w:sz="0" w:space="0" w:color="auto"/>
      </w:divBdr>
    </w:div>
    <w:div w:id="2074430792">
      <w:bodyDiv w:val="1"/>
      <w:marLeft w:val="0"/>
      <w:marRight w:val="0"/>
      <w:marTop w:val="0"/>
      <w:marBottom w:val="0"/>
      <w:divBdr>
        <w:top w:val="none" w:sz="0" w:space="0" w:color="auto"/>
        <w:left w:val="none" w:sz="0" w:space="0" w:color="auto"/>
        <w:bottom w:val="none" w:sz="0" w:space="0" w:color="auto"/>
        <w:right w:val="none" w:sz="0" w:space="0" w:color="auto"/>
      </w:divBdr>
    </w:div>
    <w:div w:id="2112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2.arb.ca.gov/our-work/programs/cap-and-trade-program/about" TargetMode="External"/><Relationship Id="rId2" Type="http://schemas.openxmlformats.org/officeDocument/2006/relationships/hyperlink" Target="https://www.library.ca.gov/wp-content/uploads/GovernmentPublications/executive-order-proclamation/39-Proc-2015-10-30.pdf" TargetMode="External"/><Relationship Id="rId1" Type="http://schemas.openxmlformats.org/officeDocument/2006/relationships/hyperlink" Target="https://www.cpuc.ca.gov/industries-and-topics/electrical-energy/electric-costs/what-is-an-energy-resource-recovery-account-proceeding" TargetMode="External"/><Relationship Id="rId4" Type="http://schemas.openxmlformats.org/officeDocument/2006/relationships/hyperlink" Target="https://www.cpuc.ca.gov/industries-and-topics/natural-gas/greenhouse-gas-cap-and-trade-program/california-industry-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165</ap:Pages>
  <ap:Words>35534</ap:Words>
  <ap:Characters>202548</ap:Characters>
  <ap:Application>Microsoft Office Word</ap:Application>
  <ap:DocSecurity>0</ap:DocSecurity>
  <ap:Lines>1687</ap:Lines>
  <ap:Paragraphs>475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237607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2025-12-15T19:30:00Z</cp:lastPrinted>
  <dcterms:created xsi:type="dcterms:W3CDTF">2025-12-15T13:48:40Z</dcterms:created>
  <dcterms:modified xsi:type="dcterms:W3CDTF">2025-12-15T13:48:40Z</dcterms:modified>
</cp:coreProperties>
</file>