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721" w:rsidP="00D06721" w:rsidRDefault="00D06721" w14:paraId="3822AB5E" w14:textId="2A81D656">
      <w:pPr>
        <w:tabs>
          <w:tab w:val="center" w:pos="4680"/>
          <w:tab w:val="right" w:pos="9360"/>
        </w:tabs>
        <w:suppressAutoHyphens/>
        <w:rPr>
          <w:b/>
          <w:bCs/>
          <w:color w:val="000000"/>
        </w:rPr>
      </w:pPr>
      <w:r>
        <w:rPr>
          <w:color w:val="000000"/>
        </w:rPr>
        <w:t>ALJ/ZZ1/jnf</w:t>
      </w:r>
      <w:r>
        <w:rPr>
          <w:color w:val="000000"/>
        </w:rPr>
        <w:tab/>
      </w:r>
      <w:r w:rsidRPr="000404B5">
        <w:rPr>
          <w:b/>
          <w:bCs/>
          <w:color w:val="000000"/>
          <w:sz w:val="26"/>
          <w:szCs w:val="26"/>
        </w:rPr>
        <w:t>PROPOSED DECISION</w:t>
      </w:r>
      <w:r>
        <w:rPr>
          <w:color w:val="000000"/>
        </w:rPr>
        <w:tab/>
      </w:r>
      <w:r>
        <w:rPr>
          <w:b/>
          <w:bCs/>
          <w:color w:val="000000"/>
        </w:rPr>
        <w:t>Agenda ID</w:t>
      </w:r>
      <w:r w:rsidR="00666ACB">
        <w:rPr>
          <w:b/>
          <w:bCs/>
          <w:color w:val="000000"/>
        </w:rPr>
        <w:t xml:space="preserve"> </w:t>
      </w:r>
      <w:r>
        <w:rPr>
          <w:b/>
          <w:bCs/>
          <w:color w:val="000000"/>
        </w:rPr>
        <w:t>#</w:t>
      </w:r>
      <w:r w:rsidR="00666ACB">
        <w:rPr>
          <w:b/>
          <w:bCs/>
          <w:color w:val="000000"/>
        </w:rPr>
        <w:t>23861</w:t>
      </w:r>
      <w:r w:rsidR="008E0B83">
        <w:rPr>
          <w:b/>
          <w:bCs/>
          <w:color w:val="000000"/>
        </w:rPr>
        <w:t xml:space="preserve"> (Rev. 1)</w:t>
      </w:r>
    </w:p>
    <w:p w:rsidR="00D06721" w:rsidP="00D06721" w:rsidRDefault="00D06721" w14:paraId="25150121" w14:textId="59CB67FF">
      <w:pPr>
        <w:tabs>
          <w:tab w:val="center" w:pos="4680"/>
          <w:tab w:val="right" w:pos="9360"/>
        </w:tabs>
        <w:suppressAutoHyphens/>
        <w:jc w:val="right"/>
        <w:rPr>
          <w:b/>
          <w:bCs/>
          <w:color w:val="000000"/>
        </w:rPr>
      </w:pPr>
      <w:r>
        <w:rPr>
          <w:b/>
          <w:bCs/>
          <w:color w:val="000000"/>
        </w:rPr>
        <w:t>Ratesetting</w:t>
      </w:r>
    </w:p>
    <w:p w:rsidR="00D06721" w:rsidP="008E0B83" w:rsidRDefault="008E0B83" w14:paraId="31D90982" w14:textId="3C47DB68">
      <w:pPr>
        <w:tabs>
          <w:tab w:val="center" w:pos="4680"/>
          <w:tab w:val="right" w:pos="9360"/>
        </w:tabs>
        <w:suppressAutoHyphens/>
        <w:jc w:val="right"/>
        <w:rPr>
          <w:b/>
          <w:bCs/>
          <w:color w:val="000000"/>
        </w:rPr>
      </w:pPr>
      <w:r>
        <w:rPr>
          <w:b/>
          <w:bCs/>
          <w:color w:val="000000"/>
        </w:rPr>
        <w:t>12/18/2025 Item #26</w:t>
      </w:r>
    </w:p>
    <w:p w:rsidR="008E0B83" w:rsidP="008E0B83" w:rsidRDefault="008E0B83" w14:paraId="1E9A7BFC" w14:textId="77777777">
      <w:pPr>
        <w:tabs>
          <w:tab w:val="center" w:pos="4680"/>
          <w:tab w:val="right" w:pos="9360"/>
        </w:tabs>
        <w:suppressAutoHyphens/>
        <w:spacing w:line="360" w:lineRule="auto"/>
        <w:rPr>
          <w:b/>
          <w:bCs/>
          <w:color w:val="000000"/>
        </w:rPr>
      </w:pPr>
    </w:p>
    <w:p w:rsidRPr="007F620E" w:rsidR="00D06721" w:rsidP="00D06721" w:rsidRDefault="00D06721" w14:paraId="57AD3907" w14:textId="558D8F7F">
      <w:pPr>
        <w:suppressAutoHyphens/>
        <w:ind w:left="900" w:hanging="900"/>
        <w:rPr>
          <w:color w:val="000000"/>
        </w:rPr>
      </w:pPr>
      <w:r w:rsidRPr="007F620E">
        <w:rPr>
          <w:color w:val="000000"/>
        </w:rPr>
        <w:t>Decision</w:t>
      </w:r>
      <w:r>
        <w:rPr>
          <w:color w:val="000000"/>
        </w:rPr>
        <w:t> </w:t>
      </w:r>
      <w:r>
        <w:rPr>
          <w:b/>
          <w:bCs/>
          <w:color w:val="000000"/>
          <w:u w:val="single"/>
        </w:rPr>
        <w:t>PROPOSED DECISION OF ALJ ZHANG</w:t>
      </w:r>
      <w:r w:rsidRPr="00D06721">
        <w:rPr>
          <w:color w:val="000000"/>
        </w:rPr>
        <w:t>  </w:t>
      </w:r>
      <w:r w:rsidRPr="00CD7053">
        <w:rPr>
          <w:b/>
          <w:bCs/>
          <w:color w:val="000000"/>
        </w:rPr>
        <w:t>(</w:t>
      </w:r>
      <w:r w:rsidRPr="00666ACB">
        <w:rPr>
          <w:b/>
          <w:bCs/>
          <w:color w:val="000000"/>
          <w:u w:val="single"/>
        </w:rPr>
        <w:t xml:space="preserve">Mailed </w:t>
      </w:r>
      <w:r w:rsidRPr="00666ACB" w:rsidR="00666ACB">
        <w:rPr>
          <w:b/>
          <w:bCs/>
          <w:color w:val="000000"/>
          <w:u w:val="single"/>
        </w:rPr>
        <w:t>11/1</w:t>
      </w:r>
      <w:r w:rsidR="001646E6">
        <w:rPr>
          <w:b/>
          <w:bCs/>
          <w:color w:val="000000"/>
          <w:u w:val="single"/>
        </w:rPr>
        <w:t>4</w:t>
      </w:r>
      <w:r w:rsidRPr="00666ACB" w:rsidR="00666ACB">
        <w:rPr>
          <w:b/>
          <w:bCs/>
          <w:color w:val="000000"/>
          <w:u w:val="single"/>
        </w:rPr>
        <w:t>/2025</w:t>
      </w:r>
      <w:r w:rsidRPr="00CD7053">
        <w:rPr>
          <w:b/>
          <w:bCs/>
          <w:color w:val="000000"/>
        </w:rPr>
        <w:t>)</w:t>
      </w:r>
    </w:p>
    <w:p w:rsidR="00D06721" w:rsidP="00D06721" w:rsidRDefault="00D06721" w14:paraId="2B71B310" w14:textId="77777777">
      <w:pPr>
        <w:pStyle w:val="titlebar"/>
        <w:jc w:val="left"/>
        <w:rPr>
          <w:rFonts w:ascii="Times New Roman" w:hAnsi="Times New Roman"/>
          <w:color w:val="000000"/>
          <w:sz w:val="24"/>
          <w:szCs w:val="24"/>
        </w:rPr>
      </w:pPr>
    </w:p>
    <w:p w:rsidR="00D06721" w:rsidP="00D06721" w:rsidRDefault="00D06721" w14:paraId="60A800EE" w14:textId="77777777">
      <w:pPr>
        <w:pStyle w:val="titlebar"/>
        <w:jc w:val="left"/>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4680"/>
        <w:gridCol w:w="5148"/>
      </w:tblGrid>
      <w:tr w:rsidRPr="007F620E" w:rsidR="00A92D0B" w:rsidTr="00D06721" w14:paraId="3942D7B4" w14:textId="77777777">
        <w:tc>
          <w:tcPr>
            <w:tcW w:w="4680" w:type="dxa"/>
          </w:tcPr>
          <w:p w:rsidR="00D06721" w:rsidP="003640C4" w:rsidRDefault="00D06721" w14:paraId="78F6AFAB" w14:textId="0DA92830">
            <w:pPr>
              <w:tabs>
                <w:tab w:val="left" w:pos="1882"/>
              </w:tabs>
            </w:pPr>
            <w:r>
              <w:t>A</w:t>
            </w:r>
            <w:r w:rsidRPr="00D06721">
              <w:t>pplication of Southern California Edison Company (U338-E) for Authority to Establish Its Authorized Cost of Capital for Utility Operations for 2022 and Reset the Annual Cost of Capital Adjustment Mechanism.</w:t>
            </w:r>
          </w:p>
          <w:p w:rsidRPr="007F620E" w:rsidR="00D06721" w:rsidP="003640C4" w:rsidRDefault="00D06721" w14:paraId="47850BD9" w14:textId="12D18DDD">
            <w:pPr>
              <w:tabs>
                <w:tab w:val="left" w:pos="1882"/>
              </w:tabs>
              <w:rPr>
                <w:color w:val="000000"/>
              </w:rPr>
            </w:pPr>
          </w:p>
        </w:tc>
        <w:tc>
          <w:tcPr>
            <w:tcW w:w="5148" w:type="dxa"/>
            <w:tcBorders>
              <w:top w:val="nil"/>
              <w:bottom w:val="nil"/>
            </w:tcBorders>
            <w:vAlign w:val="center"/>
          </w:tcPr>
          <w:p w:rsidRPr="007F620E" w:rsidR="00250AEC" w:rsidP="00D06721" w:rsidRDefault="001F53DF" w14:paraId="7EC7277D" w14:textId="3F23217E">
            <w:pPr>
              <w:tabs>
                <w:tab w:val="left" w:pos="1440"/>
                <w:tab w:val="left" w:pos="3600"/>
              </w:tabs>
              <w:jc w:val="center"/>
              <w:rPr>
                <w:color w:val="000000"/>
              </w:rPr>
            </w:pPr>
            <w:r>
              <w:rPr>
                <w:color w:val="000000"/>
              </w:rPr>
              <w:t>Application 21-08-013</w:t>
            </w:r>
          </w:p>
        </w:tc>
      </w:tr>
      <w:tr w:rsidRPr="007F620E" w:rsidR="001F53DF" w:rsidTr="00EE2FA5" w14:paraId="2638EA48" w14:textId="77777777">
        <w:trPr>
          <w:trHeight w:val="746"/>
        </w:trPr>
        <w:tc>
          <w:tcPr>
            <w:tcW w:w="4680" w:type="dxa"/>
            <w:vAlign w:val="center"/>
          </w:tcPr>
          <w:p w:rsidR="001F53DF" w:rsidP="003640C4" w:rsidRDefault="001F53DF" w14:paraId="54B83443" w14:textId="7936C6CF">
            <w:pPr>
              <w:tabs>
                <w:tab w:val="left" w:pos="1882"/>
              </w:tabs>
            </w:pPr>
            <w:r>
              <w:t>And Related Matters</w:t>
            </w:r>
            <w:r w:rsidR="00EE2FA5">
              <w:t>.</w:t>
            </w:r>
          </w:p>
        </w:tc>
        <w:tc>
          <w:tcPr>
            <w:tcW w:w="5148" w:type="dxa"/>
            <w:tcBorders>
              <w:top w:val="nil"/>
              <w:bottom w:val="nil"/>
            </w:tcBorders>
            <w:vAlign w:val="center"/>
          </w:tcPr>
          <w:p w:rsidR="001F53DF" w:rsidP="00AB2250" w:rsidRDefault="001F53DF" w14:paraId="1C36FD32" w14:textId="77777777">
            <w:pPr>
              <w:tabs>
                <w:tab w:val="left" w:pos="1440"/>
                <w:tab w:val="left" w:pos="3600"/>
              </w:tabs>
              <w:jc w:val="center"/>
              <w:rPr>
                <w:color w:val="000000"/>
              </w:rPr>
            </w:pPr>
            <w:r>
              <w:rPr>
                <w:color w:val="000000"/>
              </w:rPr>
              <w:t>Application 21-08-014</w:t>
            </w:r>
          </w:p>
          <w:p w:rsidR="001F53DF" w:rsidP="00AB2250" w:rsidRDefault="001F53DF" w14:paraId="39B9C149" w14:textId="70F41924">
            <w:pPr>
              <w:tabs>
                <w:tab w:val="left" w:pos="1440"/>
                <w:tab w:val="left" w:pos="3600"/>
              </w:tabs>
              <w:jc w:val="center"/>
              <w:rPr>
                <w:color w:val="000000"/>
              </w:rPr>
            </w:pPr>
            <w:r>
              <w:rPr>
                <w:color w:val="000000"/>
              </w:rPr>
              <w:t>Application 21-08-015</w:t>
            </w:r>
          </w:p>
        </w:tc>
      </w:tr>
    </w:tbl>
    <w:p w:rsidR="00FC72B7" w:rsidRDefault="00FC72B7" w14:paraId="5459E071" w14:textId="77777777">
      <w:pPr>
        <w:jc w:val="center"/>
        <w:rPr>
          <w:b/>
          <w:color w:val="000000"/>
        </w:rPr>
      </w:pPr>
    </w:p>
    <w:p w:rsidRPr="007F620E" w:rsidR="00D06721" w:rsidRDefault="00D06721" w14:paraId="4D875A64" w14:textId="77777777">
      <w:pPr>
        <w:jc w:val="center"/>
        <w:rPr>
          <w:b/>
          <w:color w:val="000000"/>
        </w:rPr>
      </w:pPr>
    </w:p>
    <w:p w:rsidRPr="00D77539" w:rsidR="00A92D0B" w:rsidP="00D77539" w:rsidRDefault="009969B5" w14:paraId="17BB0C52" w14:textId="76BD6E6E">
      <w:pPr>
        <w:pStyle w:val="Dummy"/>
        <w:spacing w:after="360"/>
        <w:jc w:val="center"/>
        <w:rPr>
          <w:rFonts w:ascii="Times New Roman" w:hAnsi="Times New Roman" w:cs="Times New Roman"/>
          <w:sz w:val="24"/>
          <w:szCs w:val="24"/>
        </w:rPr>
      </w:pPr>
      <w:r w:rsidRPr="00D77539">
        <w:rPr>
          <w:rFonts w:ascii="Times New Roman" w:hAnsi="Times New Roman" w:cs="Times New Roman"/>
          <w:sz w:val="24"/>
          <w:szCs w:val="24"/>
        </w:rPr>
        <w:t>DECISION GRANTING COMPENSATION TO</w:t>
      </w:r>
      <w:r w:rsidRPr="00D77539" w:rsidR="00D06721">
        <w:rPr>
          <w:rFonts w:ascii="Times New Roman" w:hAnsi="Times New Roman" w:cs="Times New Roman"/>
          <w:sz w:val="24"/>
          <w:szCs w:val="24"/>
        </w:rPr>
        <w:br/>
      </w:r>
      <w:r w:rsidRPr="00D77539">
        <w:rPr>
          <w:rFonts w:ascii="Times New Roman" w:hAnsi="Times New Roman" w:cs="Times New Roman"/>
          <w:sz w:val="24"/>
          <w:szCs w:val="24"/>
        </w:rPr>
        <w:t>ENVIRONMENTAL DEFENSE FUND FOR</w:t>
      </w:r>
      <w:r w:rsidRPr="00D77539" w:rsidR="00D06721">
        <w:rPr>
          <w:rFonts w:ascii="Times New Roman" w:hAnsi="Times New Roman" w:cs="Times New Roman"/>
          <w:sz w:val="24"/>
          <w:szCs w:val="24"/>
        </w:rPr>
        <w:br/>
      </w:r>
      <w:r w:rsidRPr="00D77539">
        <w:rPr>
          <w:rFonts w:ascii="Times New Roman" w:hAnsi="Times New Roman" w:cs="Times New Roman"/>
          <w:sz w:val="24"/>
          <w:szCs w:val="24"/>
        </w:rPr>
        <w:t>SUBSTANTIAL CONTRIBU</w:t>
      </w:r>
      <w:r w:rsidRPr="00D77539" w:rsidR="0036516D">
        <w:rPr>
          <w:rFonts w:ascii="Times New Roman" w:hAnsi="Times New Roman" w:cs="Times New Roman"/>
          <w:sz w:val="24"/>
          <w:szCs w:val="24"/>
        </w:rPr>
        <w:t>TION TO DECISION</w:t>
      </w:r>
      <w:r w:rsidRPr="00D77539" w:rsidR="00D06721">
        <w:rPr>
          <w:rFonts w:ascii="Times New Roman" w:hAnsi="Times New Roman" w:cs="Times New Roman"/>
          <w:sz w:val="24"/>
          <w:szCs w:val="24"/>
        </w:rPr>
        <w:t> </w:t>
      </w:r>
      <w:r w:rsidRPr="00D77539" w:rsidR="0036516D">
        <w:rPr>
          <w:rFonts w:ascii="Times New Roman" w:hAnsi="Times New Roman" w:cs="Times New Roman"/>
          <w:sz w:val="24"/>
          <w:szCs w:val="24"/>
        </w:rPr>
        <w:t>22</w:t>
      </w:r>
      <w:r w:rsidRPr="00D77539" w:rsidR="00D06721">
        <w:rPr>
          <w:rFonts w:ascii="Times New Roman" w:hAnsi="Times New Roman" w:cs="Times New Roman"/>
          <w:sz w:val="24"/>
          <w:szCs w:val="24"/>
        </w:rPr>
        <w:noBreakHyphen/>
      </w:r>
      <w:r w:rsidRPr="00D77539" w:rsidR="0036516D">
        <w:rPr>
          <w:rFonts w:ascii="Times New Roman" w:hAnsi="Times New Roman" w:cs="Times New Roman"/>
          <w:sz w:val="24"/>
          <w:szCs w:val="24"/>
        </w:rPr>
        <w:t>11</w:t>
      </w:r>
      <w:r w:rsidRPr="00D77539" w:rsidR="00D06721">
        <w:rPr>
          <w:rFonts w:ascii="Times New Roman" w:hAnsi="Times New Roman" w:cs="Times New Roman"/>
          <w:sz w:val="24"/>
          <w:szCs w:val="24"/>
        </w:rPr>
        <w:noBreakHyphen/>
      </w:r>
      <w:r w:rsidRPr="00D77539" w:rsidR="0036516D">
        <w:rPr>
          <w:rFonts w:ascii="Times New Roman" w:hAnsi="Times New Roman" w:cs="Times New Roman"/>
          <w:sz w:val="24"/>
          <w:szCs w:val="24"/>
        </w:rPr>
        <w:t>018</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405"/>
        <w:gridCol w:w="4955"/>
      </w:tblGrid>
      <w:tr w:rsidRPr="007F620E" w:rsidR="00A92D0B" w:rsidTr="008A5E94" w14:paraId="0FE98F62" w14:textId="77777777">
        <w:tc>
          <w:tcPr>
            <w:tcW w:w="4405" w:type="dxa"/>
          </w:tcPr>
          <w:p w:rsidRPr="00691528" w:rsidR="00A92D0B" w:rsidP="00C47A2B" w:rsidRDefault="005A63D4" w14:paraId="11570D4A" w14:textId="21871519">
            <w:pPr>
              <w:tabs>
                <w:tab w:val="left" w:pos="1620"/>
                <w:tab w:val="right" w:pos="4500"/>
              </w:tabs>
              <w:rPr>
                <w:color w:val="000000"/>
              </w:rPr>
            </w:pPr>
            <w:r w:rsidRPr="007F620E">
              <w:rPr>
                <w:b/>
                <w:color w:val="000000"/>
              </w:rPr>
              <w:t>Intervenor</w:t>
            </w:r>
            <w:r w:rsidRPr="007F620E" w:rsidR="00F63C29">
              <w:rPr>
                <w:b/>
                <w:color w:val="000000"/>
              </w:rPr>
              <w:t>:</w:t>
            </w:r>
            <w:r w:rsidR="00691528">
              <w:rPr>
                <w:b/>
                <w:color w:val="000000"/>
              </w:rPr>
              <w:t xml:space="preserve"> </w:t>
            </w:r>
            <w:r w:rsidRPr="006B2FA8" w:rsidR="00407800">
              <w:rPr>
                <w:bCs/>
                <w:color w:val="000000"/>
              </w:rPr>
              <w:t>Environmental Defense Fund</w:t>
            </w:r>
          </w:p>
        </w:tc>
        <w:tc>
          <w:tcPr>
            <w:tcW w:w="4955" w:type="dxa"/>
          </w:tcPr>
          <w:p w:rsidRPr="00DA7E4E" w:rsidR="00A92D0B" w:rsidP="00C47A2B" w:rsidRDefault="00A92D0B" w14:paraId="53A584EE" w14:textId="1D0C5039">
            <w:pPr>
              <w:tabs>
                <w:tab w:val="left" w:pos="1872"/>
                <w:tab w:val="right" w:pos="3672"/>
              </w:tabs>
              <w:rPr>
                <w:b/>
                <w:color w:val="000000"/>
              </w:rPr>
            </w:pPr>
            <w:r w:rsidRPr="00DA7E4E">
              <w:rPr>
                <w:b/>
                <w:color w:val="000000"/>
              </w:rPr>
              <w:t>For contribution to D</w:t>
            </w:r>
            <w:r w:rsidRPr="00DA7E4E" w:rsidR="00DE3A5D">
              <w:rPr>
                <w:b/>
                <w:color w:val="000000"/>
              </w:rPr>
              <w:t xml:space="preserve">ecision (D.) </w:t>
            </w:r>
            <w:r w:rsidRPr="00DA7E4E" w:rsidR="001F53DF">
              <w:rPr>
                <w:b/>
                <w:color w:val="000000"/>
              </w:rPr>
              <w:t>22-11-018</w:t>
            </w:r>
          </w:p>
        </w:tc>
      </w:tr>
      <w:tr w:rsidRPr="007F620E" w:rsidR="00A92D0B" w:rsidTr="008075C8" w14:paraId="47003B8E" w14:textId="77777777">
        <w:tc>
          <w:tcPr>
            <w:tcW w:w="4405" w:type="dxa"/>
          </w:tcPr>
          <w:p w:rsidRPr="007F620E" w:rsidR="00A92D0B" w:rsidP="00C47A2B" w:rsidRDefault="00A92D0B" w14:paraId="0E2E4BD1" w14:textId="6549238F">
            <w:pPr>
              <w:tabs>
                <w:tab w:val="left" w:pos="1620"/>
                <w:tab w:val="right" w:pos="4500"/>
              </w:tabs>
              <w:rPr>
                <w:b/>
                <w:color w:val="000000"/>
                <w:u w:val="single"/>
              </w:rPr>
            </w:pPr>
            <w:r w:rsidRPr="007F620E">
              <w:rPr>
                <w:b/>
                <w:color w:val="000000"/>
              </w:rPr>
              <w:t>Claimed:</w:t>
            </w:r>
            <w:r w:rsidRPr="007F620E" w:rsidR="00F63C29">
              <w:rPr>
                <w:b/>
                <w:color w:val="000000"/>
              </w:rPr>
              <w:t xml:space="preserve"> </w:t>
            </w:r>
            <w:r w:rsidR="002D21CA">
              <w:rPr>
                <w:b/>
                <w:color w:val="000000"/>
              </w:rPr>
              <w:t xml:space="preserve"> </w:t>
            </w:r>
            <w:r w:rsidRPr="008075C8" w:rsidR="00FC72B7">
              <w:rPr>
                <w:bCs/>
                <w:color w:val="000000"/>
              </w:rPr>
              <w:t>$</w:t>
            </w:r>
            <w:r w:rsidRPr="008075C8" w:rsidR="00AA7026">
              <w:rPr>
                <w:bCs/>
                <w:color w:val="000000"/>
              </w:rPr>
              <w:t xml:space="preserve"> </w:t>
            </w:r>
            <w:r w:rsidRPr="008075C8" w:rsidR="007D02FB">
              <w:rPr>
                <w:bCs/>
                <w:color w:val="000000"/>
              </w:rPr>
              <w:t>161,483.00</w:t>
            </w:r>
          </w:p>
        </w:tc>
        <w:tc>
          <w:tcPr>
            <w:tcW w:w="4955" w:type="dxa"/>
            <w:tcBorders>
              <w:bottom w:val="single" w:color="auto" w:sz="4" w:space="0"/>
            </w:tcBorders>
          </w:tcPr>
          <w:p w:rsidRPr="007F620E" w:rsidR="00A92D0B" w:rsidP="00C47A2B" w:rsidRDefault="00A92D0B" w14:paraId="211F40A8" w14:textId="56E0B27B">
            <w:pPr>
              <w:tabs>
                <w:tab w:val="left" w:pos="1872"/>
                <w:tab w:val="right" w:pos="3672"/>
              </w:tabs>
              <w:rPr>
                <w:b/>
                <w:color w:val="000000"/>
                <w:u w:val="single"/>
              </w:rPr>
            </w:pPr>
            <w:r w:rsidRPr="007F620E">
              <w:rPr>
                <w:b/>
                <w:color w:val="000000"/>
              </w:rPr>
              <w:t>Awarded:</w:t>
            </w:r>
            <w:r w:rsidRPr="007F620E" w:rsidR="00FC72B7">
              <w:rPr>
                <w:b/>
                <w:color w:val="000000"/>
              </w:rPr>
              <w:t xml:space="preserve">  </w:t>
            </w:r>
            <w:r w:rsidRPr="00776653" w:rsidR="00FC72B7">
              <w:rPr>
                <w:bCs/>
                <w:color w:val="000000"/>
              </w:rPr>
              <w:t>$</w:t>
            </w:r>
            <w:r w:rsidRPr="00331AB1" w:rsidR="00331AB1">
              <w:rPr>
                <w:bCs/>
                <w:color w:val="000000"/>
              </w:rPr>
              <w:t>70,096.64</w:t>
            </w:r>
          </w:p>
        </w:tc>
      </w:tr>
      <w:tr w:rsidRPr="007F620E" w:rsidR="00A92D0B" w:rsidTr="00B829EA" w14:paraId="5C56877D" w14:textId="77777777">
        <w:tc>
          <w:tcPr>
            <w:tcW w:w="4405" w:type="dxa"/>
          </w:tcPr>
          <w:p w:rsidRPr="00691528" w:rsidR="00A92D0B" w:rsidP="00C47A2B" w:rsidRDefault="00A92D0B" w14:paraId="6EF99E36" w14:textId="2EA1AD17">
            <w:pPr>
              <w:tabs>
                <w:tab w:val="left" w:pos="3060"/>
                <w:tab w:val="right" w:pos="4500"/>
              </w:tabs>
              <w:rPr>
                <w:color w:val="000000"/>
                <w:u w:val="single"/>
              </w:rPr>
            </w:pPr>
            <w:r w:rsidRPr="007F620E">
              <w:rPr>
                <w:b/>
                <w:color w:val="000000"/>
              </w:rPr>
              <w:t xml:space="preserve">Assigned Commissioner: </w:t>
            </w:r>
            <w:r w:rsidR="00857C05">
              <w:rPr>
                <w:b/>
                <w:color w:val="000000"/>
              </w:rPr>
              <w:t xml:space="preserve"> </w:t>
            </w:r>
            <w:r w:rsidRPr="008664CA" w:rsidR="00B80C42">
              <w:rPr>
                <w:bCs/>
                <w:color w:val="000000"/>
              </w:rPr>
              <w:t>A</w:t>
            </w:r>
            <w:r w:rsidRPr="008664CA" w:rsidR="008664CA">
              <w:rPr>
                <w:bCs/>
                <w:color w:val="000000"/>
              </w:rPr>
              <w:t>lice</w:t>
            </w:r>
            <w:r w:rsidRPr="008664CA" w:rsidR="00B80C42">
              <w:rPr>
                <w:bCs/>
                <w:color w:val="000000"/>
              </w:rPr>
              <w:t xml:space="preserve"> Reynolds</w:t>
            </w:r>
          </w:p>
        </w:tc>
        <w:tc>
          <w:tcPr>
            <w:tcW w:w="4955" w:type="dxa"/>
          </w:tcPr>
          <w:p w:rsidRPr="00691528" w:rsidR="00A92D0B" w:rsidP="00C47A2B" w:rsidRDefault="00A92D0B" w14:paraId="79375F78" w14:textId="53EE3E53">
            <w:pPr>
              <w:tabs>
                <w:tab w:val="left" w:pos="1872"/>
                <w:tab w:val="right" w:pos="3672"/>
              </w:tabs>
              <w:rPr>
                <w:color w:val="000000"/>
                <w:u w:val="single"/>
              </w:rPr>
            </w:pPr>
            <w:r w:rsidRPr="007F620E">
              <w:rPr>
                <w:b/>
                <w:color w:val="000000"/>
              </w:rPr>
              <w:t>Assigned ALJ:</w:t>
            </w:r>
            <w:r w:rsidRPr="007F620E" w:rsidR="00F63C29">
              <w:rPr>
                <w:b/>
                <w:color w:val="000000"/>
              </w:rPr>
              <w:t xml:space="preserve"> </w:t>
            </w:r>
            <w:r w:rsidR="00DA7E4E">
              <w:rPr>
                <w:b/>
                <w:color w:val="000000"/>
              </w:rPr>
              <w:t xml:space="preserve"> </w:t>
            </w:r>
            <w:r w:rsidRPr="008664CA" w:rsidR="008D32E4">
              <w:rPr>
                <w:bCs/>
                <w:color w:val="000000"/>
              </w:rPr>
              <w:t>Zhen</w:t>
            </w:r>
            <w:r w:rsidRPr="008664CA" w:rsidR="00B80C42">
              <w:rPr>
                <w:bCs/>
                <w:color w:val="000000"/>
              </w:rPr>
              <w:t xml:space="preserve"> Zhang</w:t>
            </w:r>
          </w:p>
        </w:tc>
      </w:tr>
    </w:tbl>
    <w:p w:rsidRPr="00D77539" w:rsidR="00A92D0B" w:rsidP="00D77539" w:rsidRDefault="00A92D0B" w14:paraId="31F24E14" w14:textId="76ECA303">
      <w:pPr>
        <w:pStyle w:val="Dummy"/>
        <w:keepLines w:val="0"/>
        <w:spacing w:before="480" w:after="240"/>
        <w:jc w:val="center"/>
        <w:rPr>
          <w:rFonts w:ascii="Times New Roman" w:hAnsi="Times New Roman" w:cs="Times New Roman"/>
          <w:color w:val="000000"/>
          <w:sz w:val="24"/>
          <w:szCs w:val="24"/>
        </w:rPr>
      </w:pPr>
      <w:r w:rsidRPr="00D77539">
        <w:rPr>
          <w:rFonts w:ascii="Times New Roman" w:hAnsi="Times New Roman" w:cs="Times New Roman"/>
          <w:color w:val="000000"/>
          <w:sz w:val="24"/>
          <w:szCs w:val="24"/>
        </w:rPr>
        <w:t>PART I:</w:t>
      </w:r>
      <w:r w:rsidRPr="00D77539" w:rsidR="008E182E">
        <w:rPr>
          <w:rFonts w:ascii="Times New Roman" w:hAnsi="Times New Roman" w:cs="Times New Roman"/>
          <w:color w:val="000000"/>
          <w:sz w:val="24"/>
          <w:szCs w:val="24"/>
        </w:rPr>
        <w:t xml:space="preserve">  </w:t>
      </w:r>
      <w:r w:rsidRPr="00D77539">
        <w:rPr>
          <w:rFonts w:ascii="Times New Roman" w:hAnsi="Times New Roman" w:cs="Times New Roman"/>
          <w:color w:val="000000"/>
          <w:sz w:val="24"/>
          <w:szCs w:val="24"/>
        </w:rPr>
        <w:t>PROCEDURAL ISSUES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552"/>
        <w:gridCol w:w="5808"/>
      </w:tblGrid>
      <w:tr w:rsidRPr="007F620E" w:rsidR="00A92D0B" w:rsidTr="00EE2FA5" w14:paraId="3C5C25ED" w14:textId="77777777">
        <w:tc>
          <w:tcPr>
            <w:tcW w:w="3552"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5808" w:type="dxa"/>
          </w:tcPr>
          <w:p w:rsidRPr="007F620E" w:rsidR="00000E23" w:rsidP="003C1EA5" w:rsidRDefault="00F52480" w14:paraId="67B8ECAA" w14:textId="40C4435E">
            <w:pPr>
              <w:rPr>
                <w:color w:val="000000"/>
              </w:rPr>
            </w:pPr>
            <w:r>
              <w:t>Decision on Off-Cycle Applications of Southern California Edison Company, San Diego Gas &amp; Electric Company, and Pacific Gas And Electric Company (</w:t>
            </w:r>
            <w:r w:rsidR="0095647F">
              <w:t>D.22</w:t>
            </w:r>
            <w:r w:rsidR="00EE2FA5">
              <w:noBreakHyphen/>
            </w:r>
            <w:r w:rsidR="0095647F">
              <w:t>11</w:t>
            </w:r>
            <w:r w:rsidR="00EE2FA5">
              <w:noBreakHyphen/>
            </w:r>
            <w:r w:rsidR="0095647F">
              <w:t>018)</w:t>
            </w:r>
          </w:p>
        </w:tc>
      </w:tr>
    </w:tbl>
    <w:p w:rsidRPr="007F620E" w:rsidR="00A92D0B" w:rsidP="00880855" w:rsidRDefault="005A63D4" w14:paraId="2FBF046C" w14:textId="77777777">
      <w:pPr>
        <w:keepNext/>
        <w:numPr>
          <w:ilvl w:val="0"/>
          <w:numId w:val="5"/>
        </w:numPr>
        <w:spacing w:before="240"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0F028C8"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B829EA" w14:paraId="160E284A" w14:textId="77777777">
        <w:tc>
          <w:tcPr>
            <w:tcW w:w="481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7F620E" w:rsidR="00A92D0B" w:rsidP="00F028C8" w:rsidRDefault="001D46E8" w14:paraId="35450816" w14:textId="7826A1F0">
            <w:pPr>
              <w:keepNext/>
              <w:keepLines/>
              <w:tabs>
                <w:tab w:val="left" w:pos="360"/>
              </w:tabs>
              <w:ind w:left="360" w:hanging="360"/>
              <w:rPr>
                <w:color w:val="000000"/>
              </w:rPr>
            </w:pPr>
            <w:r>
              <w:rPr>
                <w:color w:val="000000"/>
              </w:rPr>
              <w:t>October 15, 2021</w:t>
            </w:r>
          </w:p>
        </w:tc>
        <w:tc>
          <w:tcPr>
            <w:tcW w:w="2276" w:type="dxa"/>
            <w:tcBorders>
              <w:top w:val="single" w:color="auto" w:sz="4" w:space="0"/>
            </w:tcBorders>
          </w:tcPr>
          <w:p w:rsidRPr="007F620E" w:rsidR="00A92D0B" w:rsidP="00F028C8" w:rsidRDefault="0064525B" w14:paraId="34540344" w14:textId="51B71F6F">
            <w:pPr>
              <w:keepNext/>
              <w:tabs>
                <w:tab w:val="left" w:pos="360"/>
              </w:tabs>
              <w:jc w:val="both"/>
              <w:rPr>
                <w:color w:val="000000"/>
              </w:rPr>
            </w:pPr>
            <w:r>
              <w:rPr>
                <w:color w:val="000000"/>
              </w:rPr>
              <w:t>Verified</w:t>
            </w:r>
          </w:p>
        </w:tc>
      </w:tr>
      <w:tr w:rsidRPr="007F620E" w:rsidR="00A92D0B" w:rsidTr="00B829EA"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7F620E" w:rsidR="00A92D0B" w:rsidP="00F028C8" w:rsidRDefault="001A2B48" w14:paraId="1826BC2C" w14:textId="11AA03F4">
            <w:pPr>
              <w:keepNext/>
              <w:keepLines/>
              <w:tabs>
                <w:tab w:val="left" w:pos="360"/>
              </w:tabs>
              <w:ind w:left="360" w:hanging="360"/>
              <w:rPr>
                <w:color w:val="000000"/>
              </w:rPr>
            </w:pPr>
            <w:r>
              <w:rPr>
                <w:color w:val="000000"/>
              </w:rPr>
              <w:t>N/A</w:t>
            </w:r>
          </w:p>
        </w:tc>
        <w:tc>
          <w:tcPr>
            <w:tcW w:w="2276" w:type="dxa"/>
          </w:tcPr>
          <w:p w:rsidRPr="007F620E" w:rsidR="00A92D0B" w:rsidP="00F028C8" w:rsidRDefault="00A92D0B" w14:paraId="210DAD91" w14:textId="77777777">
            <w:pPr>
              <w:tabs>
                <w:tab w:val="left" w:pos="360"/>
              </w:tabs>
              <w:jc w:val="both"/>
              <w:rPr>
                <w:color w:val="000000"/>
              </w:rPr>
            </w:pPr>
          </w:p>
        </w:tc>
      </w:tr>
      <w:tr w:rsidRPr="007F620E" w:rsidR="00A92D0B" w:rsidTr="00B829EA"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7F620E" w:rsidR="00A92D0B" w:rsidP="00F028C8" w:rsidRDefault="008E4E4D" w14:paraId="44F7CCB9" w14:textId="4B2F8E5D">
            <w:pPr>
              <w:keepNext/>
              <w:keepLines/>
              <w:tabs>
                <w:tab w:val="left" w:pos="360"/>
              </w:tabs>
              <w:ind w:left="360" w:hanging="360"/>
              <w:rPr>
                <w:color w:val="000000"/>
              </w:rPr>
            </w:pPr>
            <w:r>
              <w:rPr>
                <w:color w:val="000000"/>
              </w:rPr>
              <w:t xml:space="preserve">November </w:t>
            </w:r>
            <w:r w:rsidR="003C7D6F">
              <w:rPr>
                <w:color w:val="000000"/>
              </w:rPr>
              <w:t>15, 2021</w:t>
            </w:r>
          </w:p>
        </w:tc>
        <w:tc>
          <w:tcPr>
            <w:tcW w:w="2276" w:type="dxa"/>
            <w:tcBorders>
              <w:bottom w:val="single" w:color="auto" w:sz="4" w:space="0"/>
            </w:tcBorders>
          </w:tcPr>
          <w:p w:rsidRPr="007F620E" w:rsidR="00A92D0B" w:rsidP="00F028C8" w:rsidRDefault="009D716C" w14:paraId="71759DE3" w14:textId="378E0E68">
            <w:pPr>
              <w:tabs>
                <w:tab w:val="left" w:pos="360"/>
              </w:tabs>
              <w:jc w:val="both"/>
              <w:rPr>
                <w:color w:val="000000"/>
              </w:rPr>
            </w:pPr>
            <w:r>
              <w:rPr>
                <w:color w:val="000000"/>
              </w:rPr>
              <w:t>Verified</w:t>
            </w:r>
          </w:p>
        </w:tc>
      </w:tr>
      <w:tr w:rsidRPr="007F620E" w:rsidR="00A92D0B" w:rsidTr="00F028C8"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color="auto" w:sz="4" w:space="0"/>
            </w:tcBorders>
          </w:tcPr>
          <w:p w:rsidRPr="007F620E" w:rsidR="00A92D0B" w:rsidP="00F028C8" w:rsidRDefault="00A4115E" w14:paraId="61DE2845" w14:textId="4E196116">
            <w:pPr>
              <w:tabs>
                <w:tab w:val="left" w:pos="360"/>
              </w:tabs>
              <w:rPr>
                <w:color w:val="000000"/>
              </w:rPr>
            </w:pPr>
            <w:r>
              <w:rPr>
                <w:color w:val="000000"/>
              </w:rPr>
              <w:t>Yes</w:t>
            </w:r>
          </w:p>
        </w:tc>
      </w:tr>
      <w:tr w:rsidRPr="007F620E"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60829E03">
            <w:pPr>
              <w:keepNext/>
              <w:keepLines/>
              <w:tabs>
                <w:tab w:val="left" w:pos="360"/>
              </w:tabs>
              <w:jc w:val="center"/>
              <w:rPr>
                <w:b/>
                <w:color w:val="000000"/>
              </w:rPr>
            </w:pPr>
            <w:r w:rsidRPr="007F620E">
              <w:rPr>
                <w:b/>
                <w:color w:val="000000"/>
              </w:rPr>
              <w:t xml:space="preserve">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193273" w14:paraId="259EC227" w14:textId="77777777">
        <w:tc>
          <w:tcPr>
            <w:tcW w:w="4817"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F028C8" w:rsidRDefault="002A51E2" w14:paraId="13E72B6D" w14:textId="602F6623">
            <w:pPr>
              <w:keepNext/>
              <w:keepLines/>
              <w:tabs>
                <w:tab w:val="left" w:pos="360"/>
              </w:tabs>
              <w:ind w:left="360" w:hanging="360"/>
              <w:rPr>
                <w:color w:val="000000"/>
              </w:rPr>
            </w:pPr>
            <w:r>
              <w:rPr>
                <w:color w:val="000000"/>
              </w:rPr>
              <w:t>R.12-06-013</w:t>
            </w:r>
          </w:p>
        </w:tc>
        <w:tc>
          <w:tcPr>
            <w:tcW w:w="2276" w:type="dxa"/>
            <w:tcBorders>
              <w:top w:val="single" w:color="auto" w:sz="4" w:space="0"/>
            </w:tcBorders>
          </w:tcPr>
          <w:p w:rsidRPr="007F620E" w:rsidR="00A92D0B" w:rsidP="00F028C8" w:rsidRDefault="00334F7A" w14:paraId="2679B197" w14:textId="2C8266C6">
            <w:pPr>
              <w:keepNext/>
              <w:keepLines/>
              <w:tabs>
                <w:tab w:val="left" w:pos="360"/>
              </w:tabs>
              <w:rPr>
                <w:color w:val="000000"/>
              </w:rPr>
            </w:pPr>
            <w:r>
              <w:rPr>
                <w:color w:val="000000"/>
              </w:rPr>
              <w:t>R.21-06-017</w:t>
            </w:r>
          </w:p>
        </w:tc>
      </w:tr>
      <w:tr w:rsidRPr="007F620E" w:rsidR="00A92D0B" w:rsidTr="00193273"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F028C8" w:rsidRDefault="002A51E2" w14:paraId="306125B9" w14:textId="00603D11">
            <w:pPr>
              <w:tabs>
                <w:tab w:val="left" w:pos="360"/>
              </w:tabs>
              <w:ind w:left="360" w:hanging="360"/>
              <w:rPr>
                <w:color w:val="000000"/>
              </w:rPr>
            </w:pPr>
            <w:r>
              <w:rPr>
                <w:color w:val="000000"/>
              </w:rPr>
              <w:t>February 25, 2013</w:t>
            </w:r>
          </w:p>
        </w:tc>
        <w:tc>
          <w:tcPr>
            <w:tcW w:w="2276" w:type="dxa"/>
          </w:tcPr>
          <w:p w:rsidRPr="007F620E" w:rsidR="00A92D0B" w:rsidP="00F028C8" w:rsidRDefault="00334F7A" w14:paraId="19F10313" w14:textId="6EE23CA3">
            <w:pPr>
              <w:tabs>
                <w:tab w:val="left" w:pos="360"/>
              </w:tabs>
              <w:rPr>
                <w:color w:val="000000"/>
              </w:rPr>
            </w:pPr>
            <w:r>
              <w:rPr>
                <w:color w:val="000000"/>
              </w:rPr>
              <w:t>November 9, 2021</w:t>
            </w:r>
          </w:p>
        </w:tc>
      </w:tr>
      <w:tr w:rsidRPr="007F620E" w:rsidR="00A92D0B" w:rsidTr="00193273"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7F620E" w:rsidR="00A92D0B" w:rsidP="00F028C8" w:rsidRDefault="001A2B48" w14:paraId="5E0F9D32" w14:textId="3BAAD6F1">
            <w:pPr>
              <w:tabs>
                <w:tab w:val="left" w:pos="360"/>
              </w:tabs>
              <w:ind w:left="360" w:hanging="360"/>
              <w:rPr>
                <w:color w:val="000000"/>
              </w:rPr>
            </w:pPr>
            <w:r>
              <w:rPr>
                <w:color w:val="000000"/>
              </w:rPr>
              <w:t>N/A</w:t>
            </w:r>
          </w:p>
        </w:tc>
        <w:tc>
          <w:tcPr>
            <w:tcW w:w="2276" w:type="dxa"/>
            <w:tcBorders>
              <w:bottom w:val="single" w:color="auto" w:sz="4" w:space="0"/>
            </w:tcBorders>
          </w:tcPr>
          <w:p w:rsidRPr="007F620E" w:rsidR="00A92D0B" w:rsidP="00F028C8" w:rsidRDefault="00A92D0B" w14:paraId="180E80B3" w14:textId="77777777">
            <w:pPr>
              <w:tabs>
                <w:tab w:val="left" w:pos="360"/>
              </w:tabs>
              <w:rPr>
                <w:color w:val="000000"/>
              </w:rPr>
            </w:pPr>
          </w:p>
        </w:tc>
      </w:tr>
      <w:tr w:rsidRPr="007F620E" w:rsidR="00A92D0B" w:rsidTr="00F028C8"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F028C8" w:rsidRDefault="00334F7A" w14:paraId="7D296E63" w14:textId="51B04768">
            <w:pPr>
              <w:tabs>
                <w:tab w:val="left" w:pos="360"/>
              </w:tabs>
              <w:rPr>
                <w:color w:val="000000"/>
              </w:rPr>
            </w:pPr>
            <w:r>
              <w:rPr>
                <w:color w:val="000000"/>
              </w:rPr>
              <w:t>Yes</w:t>
            </w:r>
          </w:p>
        </w:tc>
      </w:tr>
      <w:tr w:rsidRPr="007F620E"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193273" w14:paraId="77F91856" w14:textId="77777777">
        <w:tc>
          <w:tcPr>
            <w:tcW w:w="4817" w:type="dxa"/>
            <w:tcBorders>
              <w:top w:val="single" w:color="auto" w:sz="4" w:space="0"/>
            </w:tcBorders>
          </w:tcPr>
          <w:p w:rsidRPr="00D4523F" w:rsidR="00A92D0B" w:rsidP="00F028C8" w:rsidRDefault="00A92D0B" w14:paraId="6506E60E" w14:textId="7F0FF6A0">
            <w:pPr>
              <w:tabs>
                <w:tab w:val="left" w:pos="315"/>
              </w:tabs>
              <w:ind w:left="360" w:hanging="360"/>
              <w:rPr>
                <w:color w:val="000000"/>
              </w:rPr>
            </w:pPr>
            <w:r w:rsidRPr="00D4523F">
              <w:rPr>
                <w:color w:val="000000"/>
              </w:rPr>
              <w:t>9.</w:t>
            </w:r>
            <w:r w:rsidRPr="00D4523F" w:rsidR="001E7EE2">
              <w:rPr>
                <w:color w:val="000000"/>
              </w:rPr>
              <w:tab/>
            </w:r>
            <w:r w:rsidRPr="00D4523F">
              <w:rPr>
                <w:color w:val="000000"/>
              </w:rPr>
              <w:t>Based on ALJ ruling issued in proceeding number:</w:t>
            </w:r>
          </w:p>
        </w:tc>
        <w:tc>
          <w:tcPr>
            <w:tcW w:w="2267" w:type="dxa"/>
            <w:tcBorders>
              <w:top w:val="single" w:color="auto" w:sz="4" w:space="0"/>
            </w:tcBorders>
          </w:tcPr>
          <w:p w:rsidRPr="00D4523F" w:rsidR="00A92D0B" w:rsidP="00F028C8" w:rsidRDefault="002A51E2" w14:paraId="54B4911C" w14:textId="443EFB77">
            <w:pPr>
              <w:tabs>
                <w:tab w:val="left" w:pos="360"/>
              </w:tabs>
              <w:ind w:left="360" w:hanging="360"/>
              <w:rPr>
                <w:color w:val="000000"/>
              </w:rPr>
            </w:pPr>
            <w:r w:rsidRPr="00D4523F">
              <w:rPr>
                <w:color w:val="000000"/>
              </w:rPr>
              <w:t>D.21-11-017</w:t>
            </w:r>
          </w:p>
        </w:tc>
        <w:tc>
          <w:tcPr>
            <w:tcW w:w="2276" w:type="dxa"/>
            <w:tcBorders>
              <w:top w:val="single" w:color="auto" w:sz="4" w:space="0"/>
            </w:tcBorders>
          </w:tcPr>
          <w:p w:rsidRPr="007F620E" w:rsidR="00A92D0B" w:rsidP="00F028C8" w:rsidRDefault="008265FE" w14:paraId="2E2FB9D6" w14:textId="5DC81005">
            <w:pPr>
              <w:tabs>
                <w:tab w:val="left" w:pos="360"/>
              </w:tabs>
              <w:rPr>
                <w:color w:val="000000"/>
              </w:rPr>
            </w:pPr>
            <w:r>
              <w:rPr>
                <w:color w:val="000000"/>
              </w:rPr>
              <w:t>R.</w:t>
            </w:r>
            <w:r w:rsidR="00524A9F">
              <w:rPr>
                <w:color w:val="000000"/>
              </w:rPr>
              <w:t>21-06-017</w:t>
            </w:r>
          </w:p>
        </w:tc>
      </w:tr>
      <w:tr w:rsidRPr="007F620E" w:rsidR="00A92D0B" w:rsidTr="00193273" w14:paraId="4AD750C1" w14:textId="77777777">
        <w:tc>
          <w:tcPr>
            <w:tcW w:w="4817" w:type="dxa"/>
          </w:tcPr>
          <w:p w:rsidRPr="00D4523F" w:rsidR="00A92D0B" w:rsidP="00F028C8" w:rsidRDefault="00A92D0B" w14:paraId="2A279407" w14:textId="1E831EEE">
            <w:pPr>
              <w:ind w:left="360" w:hanging="360"/>
              <w:rPr>
                <w:color w:val="000000"/>
              </w:rPr>
            </w:pPr>
            <w:r w:rsidRPr="00D4523F">
              <w:rPr>
                <w:color w:val="000000"/>
              </w:rPr>
              <w:t>10.</w:t>
            </w:r>
            <w:r w:rsidRPr="00D4523F" w:rsidR="001E7EE2">
              <w:rPr>
                <w:color w:val="000000"/>
              </w:rPr>
              <w:tab/>
            </w:r>
            <w:r w:rsidRPr="00D4523F">
              <w:rPr>
                <w:color w:val="000000"/>
              </w:rPr>
              <w:t>Date of ALJ ruling:</w:t>
            </w:r>
          </w:p>
        </w:tc>
        <w:tc>
          <w:tcPr>
            <w:tcW w:w="2267" w:type="dxa"/>
          </w:tcPr>
          <w:p w:rsidRPr="00D4523F" w:rsidR="00A92D0B" w:rsidP="00F028C8" w:rsidRDefault="002A51E2" w14:paraId="4B66A2E4" w14:textId="0954FD86">
            <w:pPr>
              <w:tabs>
                <w:tab w:val="left" w:pos="360"/>
              </w:tabs>
              <w:ind w:left="360" w:hanging="360"/>
              <w:rPr>
                <w:color w:val="000000"/>
              </w:rPr>
            </w:pPr>
            <w:r w:rsidRPr="00D4523F">
              <w:rPr>
                <w:color w:val="000000"/>
              </w:rPr>
              <w:t>November 19, 2021</w:t>
            </w:r>
          </w:p>
        </w:tc>
        <w:tc>
          <w:tcPr>
            <w:tcW w:w="2276" w:type="dxa"/>
          </w:tcPr>
          <w:p w:rsidRPr="007F620E" w:rsidR="00A92D0B" w:rsidP="00F028C8" w:rsidRDefault="00524A9F" w14:paraId="3B83D035" w14:textId="0165985F">
            <w:pPr>
              <w:tabs>
                <w:tab w:val="left" w:pos="360"/>
              </w:tabs>
              <w:rPr>
                <w:color w:val="000000"/>
              </w:rPr>
            </w:pPr>
            <w:r>
              <w:rPr>
                <w:color w:val="000000"/>
              </w:rPr>
              <w:t>November 9, 2021</w:t>
            </w:r>
          </w:p>
        </w:tc>
      </w:tr>
      <w:tr w:rsidRPr="007F620E" w:rsidR="00357F1A" w:rsidTr="00193273" w14:paraId="7C183C5E" w14:textId="77777777">
        <w:tc>
          <w:tcPr>
            <w:tcW w:w="4817" w:type="dxa"/>
          </w:tcPr>
          <w:p w:rsidRPr="00D4523F" w:rsidR="00357F1A" w:rsidP="00F028C8" w:rsidRDefault="00357F1A" w14:paraId="4141CB3D" w14:textId="2DCA8797">
            <w:pPr>
              <w:ind w:left="360" w:hanging="360"/>
              <w:rPr>
                <w:color w:val="000000"/>
              </w:rPr>
            </w:pPr>
            <w:r w:rsidRPr="00D4523F">
              <w:rPr>
                <w:color w:val="000000"/>
              </w:rPr>
              <w:t>11.</w:t>
            </w:r>
            <w:r w:rsidRPr="00D4523F" w:rsidR="001E7EE2">
              <w:rPr>
                <w:color w:val="000000"/>
              </w:rPr>
              <w:tab/>
            </w:r>
            <w:r w:rsidRPr="00D4523F">
              <w:rPr>
                <w:color w:val="000000"/>
              </w:rPr>
              <w:t>Based on another CPUC determination (specify):</w:t>
            </w:r>
          </w:p>
        </w:tc>
        <w:tc>
          <w:tcPr>
            <w:tcW w:w="2267" w:type="dxa"/>
          </w:tcPr>
          <w:p w:rsidRPr="00D4523F" w:rsidR="00357F1A" w:rsidP="00F028C8" w:rsidRDefault="001A2B48" w14:paraId="141EB5CF" w14:textId="5044D4BF">
            <w:pPr>
              <w:tabs>
                <w:tab w:val="left" w:pos="360"/>
              </w:tabs>
              <w:ind w:left="360" w:hanging="360"/>
              <w:rPr>
                <w:color w:val="000000"/>
              </w:rPr>
            </w:pPr>
            <w:r w:rsidRPr="00D4523F">
              <w:rPr>
                <w:color w:val="000000"/>
              </w:rPr>
              <w:t>N/As</w:t>
            </w:r>
          </w:p>
        </w:tc>
        <w:tc>
          <w:tcPr>
            <w:tcW w:w="2276" w:type="dxa"/>
          </w:tcPr>
          <w:p w:rsidRPr="007F620E" w:rsidR="00357F1A" w:rsidP="00F028C8" w:rsidRDefault="00357F1A" w14:paraId="79318715" w14:textId="77777777">
            <w:pPr>
              <w:tabs>
                <w:tab w:val="left" w:pos="360"/>
              </w:tabs>
              <w:rPr>
                <w:color w:val="000000"/>
              </w:rPr>
            </w:pPr>
          </w:p>
        </w:tc>
      </w:tr>
      <w:tr w:rsidRPr="007F620E" w:rsidR="00A92D0B" w:rsidTr="00F028C8" w14:paraId="4E8D20BF" w14:textId="77777777">
        <w:tc>
          <w:tcPr>
            <w:tcW w:w="7084" w:type="dxa"/>
            <w:gridSpan w:val="2"/>
            <w:tcBorders>
              <w:bottom w:val="single" w:color="auto" w:sz="4" w:space="0"/>
            </w:tcBorders>
          </w:tcPr>
          <w:p w:rsidRPr="007F620E" w:rsidR="00A92D0B" w:rsidP="00F028C8" w:rsidRDefault="00180E8C" w14:paraId="48D0D936" w14:textId="6A3DF8B8">
            <w:pPr>
              <w:tabs>
                <w:tab w:val="left" w:pos="360"/>
              </w:tabs>
              <w:ind w:left="360" w:hanging="360"/>
              <w:rPr>
                <w:color w:val="000000"/>
              </w:rPr>
            </w:pPr>
            <w:r>
              <w:rPr>
                <w:color w:val="000000"/>
              </w:rPr>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2276" w:type="dxa"/>
            <w:tcBorders>
              <w:bottom w:val="single" w:color="auto" w:sz="4" w:space="0"/>
            </w:tcBorders>
          </w:tcPr>
          <w:p w:rsidRPr="007F620E" w:rsidR="00A92D0B" w:rsidP="00F028C8" w:rsidRDefault="00524A9F" w14:paraId="0F29B839" w14:textId="41C4B59F">
            <w:pPr>
              <w:tabs>
                <w:tab w:val="left" w:pos="360"/>
              </w:tabs>
              <w:rPr>
                <w:color w:val="000000"/>
              </w:rPr>
            </w:pPr>
            <w:r>
              <w:rPr>
                <w:color w:val="000000"/>
              </w:rPr>
              <w:t>Yes</w:t>
            </w:r>
          </w:p>
        </w:tc>
      </w:tr>
      <w:tr w:rsidRPr="007F620E" w:rsidR="00A92D0B"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193273" w14:paraId="3E7938B0" w14:textId="77777777">
        <w:tc>
          <w:tcPr>
            <w:tcW w:w="4817"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7F620E" w:rsidR="00A92D0B" w:rsidP="00F028C8" w:rsidRDefault="006D1C42" w14:paraId="7166F318" w14:textId="0EA4404F">
            <w:pPr>
              <w:tabs>
                <w:tab w:val="left" w:pos="360"/>
              </w:tabs>
              <w:rPr>
                <w:color w:val="000000"/>
              </w:rPr>
            </w:pPr>
            <w:r>
              <w:rPr>
                <w:color w:val="000000"/>
              </w:rPr>
              <w:t>D.2</w:t>
            </w:r>
            <w:r w:rsidR="00987BC5">
              <w:rPr>
                <w:color w:val="000000"/>
              </w:rPr>
              <w:t>2-01-018</w:t>
            </w:r>
          </w:p>
        </w:tc>
        <w:tc>
          <w:tcPr>
            <w:tcW w:w="2276" w:type="dxa"/>
            <w:tcBorders>
              <w:top w:val="single" w:color="auto" w:sz="4" w:space="0"/>
            </w:tcBorders>
          </w:tcPr>
          <w:p w:rsidRPr="007F620E" w:rsidR="00A92D0B" w:rsidP="00F028C8" w:rsidRDefault="00193273" w14:paraId="1588DC54" w14:textId="0A896447">
            <w:pPr>
              <w:tabs>
                <w:tab w:val="left" w:pos="360"/>
              </w:tabs>
              <w:rPr>
                <w:color w:val="000000"/>
              </w:rPr>
            </w:pPr>
            <w:r>
              <w:rPr>
                <w:color w:val="000000"/>
              </w:rPr>
              <w:t>D.22-11-018</w:t>
            </w:r>
          </w:p>
        </w:tc>
      </w:tr>
      <w:tr w:rsidRPr="007F620E" w:rsidR="00A92D0B" w:rsidTr="00193273" w14:paraId="6360DE59" w14:textId="77777777">
        <w:tc>
          <w:tcPr>
            <w:tcW w:w="4817"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7F620E" w:rsidR="00A92D0B" w:rsidP="00F028C8" w:rsidRDefault="00987BC5" w14:paraId="20455B5F" w14:textId="5DF83C89">
            <w:pPr>
              <w:tabs>
                <w:tab w:val="left" w:pos="360"/>
              </w:tabs>
              <w:rPr>
                <w:color w:val="000000"/>
              </w:rPr>
            </w:pPr>
            <w:r>
              <w:rPr>
                <w:color w:val="000000"/>
              </w:rPr>
              <w:t>November 4, 2022</w:t>
            </w:r>
          </w:p>
        </w:tc>
        <w:tc>
          <w:tcPr>
            <w:tcW w:w="2276" w:type="dxa"/>
          </w:tcPr>
          <w:p w:rsidRPr="007F620E" w:rsidR="00A92D0B" w:rsidP="00F028C8" w:rsidRDefault="003F443D" w14:paraId="1FCF00DD" w14:textId="72ED35BD">
            <w:pPr>
              <w:tabs>
                <w:tab w:val="left" w:pos="360"/>
              </w:tabs>
              <w:rPr>
                <w:color w:val="000000"/>
              </w:rPr>
            </w:pPr>
            <w:r>
              <w:rPr>
                <w:color w:val="000000"/>
              </w:rPr>
              <w:t>Verified</w:t>
            </w:r>
          </w:p>
        </w:tc>
      </w:tr>
      <w:tr w:rsidRPr="007F620E" w:rsidR="00A92D0B" w:rsidTr="00193273" w14:paraId="723259E3" w14:textId="77777777">
        <w:tc>
          <w:tcPr>
            <w:tcW w:w="4817" w:type="dxa"/>
          </w:tcPr>
          <w:p w:rsidRPr="00712A8B" w:rsidR="00A92D0B" w:rsidP="00F028C8" w:rsidRDefault="00A92D0B" w14:paraId="163EE1CA" w14:textId="2B64EB9E">
            <w:pPr>
              <w:tabs>
                <w:tab w:val="left" w:pos="612"/>
              </w:tabs>
              <w:ind w:left="360" w:hanging="360"/>
              <w:rPr>
                <w:color w:val="000000"/>
              </w:rPr>
            </w:pPr>
            <w:r w:rsidRPr="00712A8B">
              <w:rPr>
                <w:color w:val="000000"/>
              </w:rPr>
              <w:t>15.</w:t>
            </w:r>
            <w:r w:rsidRPr="00712A8B" w:rsidR="001E7EE2">
              <w:rPr>
                <w:color w:val="000000"/>
              </w:rPr>
              <w:tab/>
            </w:r>
            <w:r w:rsidRPr="00712A8B">
              <w:rPr>
                <w:color w:val="000000"/>
              </w:rPr>
              <w:t>File date of compensation request:</w:t>
            </w:r>
          </w:p>
        </w:tc>
        <w:tc>
          <w:tcPr>
            <w:tcW w:w="2267" w:type="dxa"/>
          </w:tcPr>
          <w:p w:rsidRPr="00712A8B" w:rsidR="00A92D0B" w:rsidP="00F028C8" w:rsidRDefault="00987BC5" w14:paraId="0568B39D" w14:textId="49E189D4">
            <w:pPr>
              <w:tabs>
                <w:tab w:val="left" w:pos="360"/>
              </w:tabs>
              <w:rPr>
                <w:color w:val="000000"/>
              </w:rPr>
            </w:pPr>
            <w:r>
              <w:rPr>
                <w:color w:val="000000"/>
              </w:rPr>
              <w:t>January 4, 202</w:t>
            </w:r>
            <w:r w:rsidR="00DB2A17">
              <w:rPr>
                <w:color w:val="000000"/>
              </w:rPr>
              <w:t>3</w:t>
            </w:r>
          </w:p>
        </w:tc>
        <w:tc>
          <w:tcPr>
            <w:tcW w:w="2276" w:type="dxa"/>
          </w:tcPr>
          <w:p w:rsidRPr="007F620E" w:rsidR="00A92D0B" w:rsidP="00F028C8" w:rsidRDefault="00743AE5" w14:paraId="1CBF4E7A" w14:textId="5CB72C69">
            <w:pPr>
              <w:tabs>
                <w:tab w:val="left" w:pos="360"/>
              </w:tabs>
              <w:rPr>
                <w:color w:val="000000"/>
              </w:rPr>
            </w:pPr>
            <w:r>
              <w:rPr>
                <w:color w:val="000000"/>
              </w:rPr>
              <w:t>Verified</w:t>
            </w:r>
          </w:p>
        </w:tc>
      </w:tr>
      <w:tr w:rsidRPr="007F620E" w:rsidR="00A92D0B" w:rsidTr="00F028C8" w14:paraId="406BCA3A" w14:textId="77777777">
        <w:tc>
          <w:tcPr>
            <w:tcW w:w="7084" w:type="dxa"/>
            <w:gridSpan w:val="2"/>
          </w:tcPr>
          <w:p w:rsidRPr="007F620E" w:rsidR="00A92D0B" w:rsidP="00F028C8" w:rsidRDefault="00A92D0B" w14:paraId="10AF42D1" w14:textId="67695104">
            <w:pPr>
              <w:tabs>
                <w:tab w:val="left" w:pos="360"/>
              </w:tabs>
              <w:ind w:left="360" w:hanging="360"/>
              <w:rPr>
                <w:color w:val="000000"/>
              </w:rPr>
            </w:pPr>
            <w:r w:rsidRPr="007F620E">
              <w:rPr>
                <w:color w:val="000000"/>
              </w:rPr>
              <w:t>16</w:t>
            </w:r>
            <w:r w:rsidR="001E7EE2">
              <w:rPr>
                <w:color w:val="000000"/>
              </w:rPr>
              <w:t>.</w:t>
            </w:r>
            <w:r w:rsidR="001E7EE2">
              <w:rPr>
                <w:color w:val="000000"/>
              </w:rPr>
              <w:tab/>
            </w:r>
            <w:r w:rsidRPr="007F620E">
              <w:rPr>
                <w:color w:val="000000"/>
              </w:rPr>
              <w:t>Was the request for compensation timely?</w:t>
            </w:r>
          </w:p>
        </w:tc>
        <w:tc>
          <w:tcPr>
            <w:tcW w:w="2276" w:type="dxa"/>
          </w:tcPr>
          <w:p w:rsidRPr="007F620E" w:rsidR="00A92D0B" w:rsidP="00F028C8" w:rsidRDefault="003B170D" w14:paraId="2EA30E63" w14:textId="06D93ABA">
            <w:pPr>
              <w:tabs>
                <w:tab w:val="left" w:pos="360"/>
              </w:tabs>
              <w:rPr>
                <w:color w:val="000000"/>
              </w:rPr>
            </w:pPr>
            <w:r w:rsidRPr="00EE2FA5">
              <w:rPr>
                <w:i/>
                <w:iCs/>
                <w:color w:val="000000"/>
              </w:rPr>
              <w:t>See</w:t>
            </w:r>
            <w:r>
              <w:rPr>
                <w:color w:val="000000"/>
              </w:rPr>
              <w:t xml:space="preserve"> Part I.C, Comment A</w:t>
            </w:r>
          </w:p>
        </w:tc>
      </w:tr>
    </w:tbl>
    <w:p w:rsidRPr="007F620E" w:rsidR="00A92D0B" w:rsidP="00880855" w:rsidRDefault="00A92D0B" w14:paraId="0068592B" w14:textId="7F00184D">
      <w:pPr>
        <w:keepNext/>
        <w:numPr>
          <w:ilvl w:val="0"/>
          <w:numId w:val="5"/>
        </w:numPr>
        <w:spacing w:before="240" w:after="240"/>
        <w:rPr>
          <w:b/>
          <w:color w:val="000000"/>
        </w:rPr>
      </w:pPr>
      <w:r w:rsidRPr="007F620E">
        <w:rPr>
          <w:b/>
          <w:color w:val="000000"/>
        </w:rPr>
        <w:lastRenderedPageBreak/>
        <w:t>Additional Comments on Part I</w:t>
      </w:r>
      <w:r w:rsidR="00C02649">
        <w:rPr>
          <w:b/>
          <w:color w:val="000000"/>
        </w:rPr>
        <w:t>:</w:t>
      </w:r>
      <w:r w:rsidRPr="007F620E">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741"/>
      </w:tblGrid>
      <w:tr w:rsidRPr="007F620E" w:rsidR="003C608A" w:rsidTr="007056FC"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3759"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4741"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193273" w14:paraId="1C6180A4" w14:textId="77777777">
        <w:trPr>
          <w:trHeight w:val="67"/>
        </w:trPr>
        <w:tc>
          <w:tcPr>
            <w:tcW w:w="860" w:type="dxa"/>
          </w:tcPr>
          <w:p w:rsidRPr="00D4523F" w:rsidR="003C608A" w:rsidP="007056FC" w:rsidRDefault="008A62E0" w14:paraId="4350D384" w14:textId="4F994825">
            <w:pPr>
              <w:tabs>
                <w:tab w:val="left" w:pos="360"/>
              </w:tabs>
              <w:rPr>
                <w:color w:val="000000"/>
              </w:rPr>
            </w:pPr>
            <w:r w:rsidRPr="00D4523F">
              <w:rPr>
                <w:color w:val="000000"/>
              </w:rPr>
              <w:t>9 / 10</w:t>
            </w:r>
          </w:p>
        </w:tc>
        <w:tc>
          <w:tcPr>
            <w:tcW w:w="3759" w:type="dxa"/>
          </w:tcPr>
          <w:p w:rsidRPr="00D4523F" w:rsidR="003C608A" w:rsidP="007056FC" w:rsidRDefault="008A62E0" w14:paraId="0ECF4A98" w14:textId="0E5879F4">
            <w:pPr>
              <w:tabs>
                <w:tab w:val="left" w:pos="360"/>
              </w:tabs>
              <w:rPr>
                <w:color w:val="000000"/>
              </w:rPr>
            </w:pPr>
            <w:r w:rsidRPr="00D4523F">
              <w:rPr>
                <w:color w:val="000000"/>
              </w:rPr>
              <w:t xml:space="preserve">In D.20-09-007, the CPUC found that EDF had demonstrated </w:t>
            </w:r>
            <w:r w:rsidRPr="00D4523F" w:rsidR="00CF0470">
              <w:rPr>
                <w:color w:val="000000"/>
              </w:rPr>
              <w:t>customer status and significant financial hardship.</w:t>
            </w:r>
          </w:p>
        </w:tc>
        <w:tc>
          <w:tcPr>
            <w:tcW w:w="4741" w:type="dxa"/>
          </w:tcPr>
          <w:p w:rsidRPr="007F620E" w:rsidR="003C608A" w:rsidP="007056FC" w:rsidRDefault="00193273" w14:paraId="416D6250" w14:textId="4A002598">
            <w:pPr>
              <w:tabs>
                <w:tab w:val="left" w:pos="360"/>
              </w:tabs>
              <w:rPr>
                <w:color w:val="000000"/>
              </w:rPr>
            </w:pPr>
            <w:r>
              <w:rPr>
                <w:color w:val="000000"/>
              </w:rPr>
              <w:t>Noted</w:t>
            </w:r>
          </w:p>
        </w:tc>
      </w:tr>
      <w:tr w:rsidRPr="007F620E" w:rsidR="00FF194D" w:rsidTr="00193273" w14:paraId="5A0F6DE2" w14:textId="77777777">
        <w:trPr>
          <w:trHeight w:val="67"/>
        </w:trPr>
        <w:tc>
          <w:tcPr>
            <w:tcW w:w="860" w:type="dxa"/>
          </w:tcPr>
          <w:p w:rsidRPr="00D4523F" w:rsidR="00FF194D" w:rsidP="007056FC" w:rsidRDefault="00FF194D" w14:paraId="32FCC568" w14:textId="1CF760D4">
            <w:pPr>
              <w:tabs>
                <w:tab w:val="left" w:pos="360"/>
              </w:tabs>
              <w:rPr>
                <w:color w:val="000000"/>
              </w:rPr>
            </w:pPr>
            <w:r>
              <w:rPr>
                <w:color w:val="000000"/>
              </w:rPr>
              <w:t>A</w:t>
            </w:r>
          </w:p>
        </w:tc>
        <w:tc>
          <w:tcPr>
            <w:tcW w:w="3759" w:type="dxa"/>
          </w:tcPr>
          <w:p w:rsidRPr="00D4523F" w:rsidR="00FF194D" w:rsidP="007056FC" w:rsidRDefault="00FF194D" w14:paraId="262DFE73" w14:textId="77777777">
            <w:pPr>
              <w:tabs>
                <w:tab w:val="left" w:pos="360"/>
              </w:tabs>
              <w:rPr>
                <w:color w:val="000000"/>
              </w:rPr>
            </w:pPr>
          </w:p>
        </w:tc>
        <w:tc>
          <w:tcPr>
            <w:tcW w:w="4741" w:type="dxa"/>
          </w:tcPr>
          <w:p w:rsidR="006B43B5" w:rsidP="007056FC" w:rsidRDefault="008524EA" w14:paraId="060F2D2E" w14:textId="4A179F26">
            <w:pPr>
              <w:tabs>
                <w:tab w:val="left" w:pos="360"/>
              </w:tabs>
              <w:rPr>
                <w:color w:val="000000"/>
              </w:rPr>
            </w:pPr>
            <w:r>
              <w:rPr>
                <w:color w:val="000000"/>
              </w:rPr>
              <w:t xml:space="preserve">Per </w:t>
            </w:r>
            <w:r w:rsidRPr="006A7F46">
              <w:rPr>
                <w:color w:val="000000"/>
              </w:rPr>
              <w:t>Rule 17.3</w:t>
            </w:r>
            <w:r w:rsidRPr="006A7F46">
              <w:rPr>
                <w:color w:val="000000"/>
                <w:vertAlign w:val="superscript"/>
              </w:rPr>
              <w:footnoteReference w:id="2"/>
            </w:r>
            <w:r w:rsidRPr="006A7F46">
              <w:rPr>
                <w:color w:val="000000"/>
              </w:rPr>
              <w:t xml:space="preserve"> and § 1804(c)</w:t>
            </w:r>
            <w:r>
              <w:rPr>
                <w:color w:val="000000"/>
              </w:rPr>
              <w:t xml:space="preserve">, a </w:t>
            </w:r>
            <w:r w:rsidRPr="005552BC">
              <w:rPr>
                <w:color w:val="000000"/>
              </w:rPr>
              <w:t xml:space="preserve">request for an award of compensation may be filed after the issuance of a </w:t>
            </w:r>
            <w:r>
              <w:rPr>
                <w:color w:val="000000"/>
              </w:rPr>
              <w:t xml:space="preserve">final </w:t>
            </w:r>
            <w:r w:rsidRPr="005552BC">
              <w:rPr>
                <w:color w:val="000000"/>
              </w:rPr>
              <w:t>decision that resolves an issue on which the intervenor believes it made a substantial contribution, but in no event later than 60 days after the issuance of the decision that closes the proceeding</w:t>
            </w:r>
            <w:r>
              <w:rPr>
                <w:color w:val="000000"/>
              </w:rPr>
              <w:t>.  Per Rule 17.3, i</w:t>
            </w:r>
            <w:r w:rsidRPr="00A74A48">
              <w:rPr>
                <w:color w:val="000000"/>
              </w:rPr>
              <w:t>f an application for rehearing challenges a decision on an issue on which the intervenor believes it made a substantial contribution, the request for an award of compensation may be filed within 60 days of the issuance of the decision denying rehearing on that issue, the order or decision that resolves that issue after rehearing, or the decision closing the proceeding</w:t>
            </w:r>
            <w:r>
              <w:rPr>
                <w:color w:val="000000"/>
              </w:rPr>
              <w:t>.</w:t>
            </w:r>
          </w:p>
          <w:p w:rsidR="004B0A21" w:rsidP="007056FC" w:rsidRDefault="004B0A21" w14:paraId="3EF8970D" w14:textId="77777777">
            <w:pPr>
              <w:tabs>
                <w:tab w:val="left" w:pos="360"/>
              </w:tabs>
              <w:rPr>
                <w:color w:val="000000"/>
              </w:rPr>
            </w:pPr>
          </w:p>
          <w:p w:rsidR="00D757E3" w:rsidP="007056FC" w:rsidRDefault="0062435E" w14:paraId="75255C9C" w14:textId="5298A2BB">
            <w:pPr>
              <w:tabs>
                <w:tab w:val="left" w:pos="360"/>
              </w:tabs>
              <w:rPr>
                <w:color w:val="000000"/>
              </w:rPr>
            </w:pPr>
            <w:r>
              <w:rPr>
                <w:color w:val="000000"/>
              </w:rPr>
              <w:t>Decision (D.)</w:t>
            </w:r>
            <w:r w:rsidR="0051188D">
              <w:rPr>
                <w:color w:val="000000"/>
              </w:rPr>
              <w:t xml:space="preserve"> 22-11-018 was issued on November 4, 2022,</w:t>
            </w:r>
            <w:r w:rsidR="00817D37">
              <w:rPr>
                <w:color w:val="000000"/>
              </w:rPr>
              <w:t xml:space="preserve"> and closed the </w:t>
            </w:r>
            <w:r w:rsidR="00C46CB4">
              <w:rPr>
                <w:color w:val="000000"/>
              </w:rPr>
              <w:t xml:space="preserve">instant </w:t>
            </w:r>
            <w:r w:rsidR="00817D37">
              <w:rPr>
                <w:color w:val="000000"/>
              </w:rPr>
              <w:t xml:space="preserve">proceeding. </w:t>
            </w:r>
            <w:r w:rsidR="00C46CB4">
              <w:rPr>
                <w:color w:val="000000"/>
              </w:rPr>
              <w:t xml:space="preserve">The period to file a request for </w:t>
            </w:r>
            <w:r w:rsidRPr="005552BC" w:rsidR="00C46CB4">
              <w:rPr>
                <w:color w:val="000000"/>
              </w:rPr>
              <w:t xml:space="preserve">an award of </w:t>
            </w:r>
            <w:r w:rsidR="00C46CB4">
              <w:rPr>
                <w:color w:val="000000"/>
              </w:rPr>
              <w:t xml:space="preserve">compensation </w:t>
            </w:r>
            <w:r w:rsidR="00B97F3F">
              <w:rPr>
                <w:color w:val="000000"/>
              </w:rPr>
              <w:t xml:space="preserve">for contributions towards D.22-11-018 </w:t>
            </w:r>
            <w:r w:rsidR="00C46CB4">
              <w:rPr>
                <w:color w:val="000000"/>
              </w:rPr>
              <w:t xml:space="preserve">was </w:t>
            </w:r>
            <w:r w:rsidRPr="00C46CB4" w:rsidR="00C46CB4">
              <w:rPr>
                <w:color w:val="000000"/>
              </w:rPr>
              <w:t>November 4, 2022- January 3, 2023</w:t>
            </w:r>
            <w:r w:rsidR="00C46CB4">
              <w:rPr>
                <w:color w:val="000000"/>
              </w:rPr>
              <w:t>.</w:t>
            </w:r>
          </w:p>
          <w:p w:rsidR="00D757E3" w:rsidP="007056FC" w:rsidRDefault="00D757E3" w14:paraId="3FD766EF" w14:textId="77777777">
            <w:pPr>
              <w:tabs>
                <w:tab w:val="left" w:pos="360"/>
              </w:tabs>
              <w:rPr>
                <w:color w:val="000000"/>
              </w:rPr>
            </w:pPr>
          </w:p>
          <w:p w:rsidR="006B43B5" w:rsidP="007056FC" w:rsidRDefault="00C46CB4" w14:paraId="33313F40" w14:textId="2B7CD72F">
            <w:pPr>
              <w:tabs>
                <w:tab w:val="left" w:pos="360"/>
              </w:tabs>
              <w:rPr>
                <w:color w:val="000000"/>
              </w:rPr>
            </w:pPr>
            <w:r>
              <w:rPr>
                <w:color w:val="000000"/>
              </w:rPr>
              <w:t>However, o</w:t>
            </w:r>
            <w:r w:rsidR="00BA54C3">
              <w:rPr>
                <w:color w:val="000000"/>
              </w:rPr>
              <w:t xml:space="preserve">n December </w:t>
            </w:r>
            <w:r w:rsidR="00737E4C">
              <w:rPr>
                <w:color w:val="000000"/>
              </w:rPr>
              <w:t>5, 2022, an application for rehearing</w:t>
            </w:r>
            <w:r w:rsidR="000607DA">
              <w:rPr>
                <w:color w:val="000000"/>
              </w:rPr>
              <w:t xml:space="preserve"> (AFR)</w:t>
            </w:r>
            <w:r w:rsidR="00737E4C">
              <w:rPr>
                <w:color w:val="000000"/>
              </w:rPr>
              <w:t xml:space="preserve"> was filed, which reopened the proceeding.</w:t>
            </w:r>
            <w:r w:rsidR="006B43B5">
              <w:rPr>
                <w:color w:val="000000"/>
              </w:rPr>
              <w:t xml:space="preserve"> </w:t>
            </w:r>
            <w:r w:rsidR="00731D70">
              <w:rPr>
                <w:color w:val="000000"/>
              </w:rPr>
              <w:t>D.</w:t>
            </w:r>
            <w:r w:rsidR="00A51D0A">
              <w:rPr>
                <w:color w:val="000000"/>
              </w:rPr>
              <w:t>23-11-0</w:t>
            </w:r>
            <w:r w:rsidR="00F472CF">
              <w:rPr>
                <w:color w:val="000000"/>
              </w:rPr>
              <w:t>4</w:t>
            </w:r>
            <w:r w:rsidR="00A51D0A">
              <w:rPr>
                <w:color w:val="000000"/>
              </w:rPr>
              <w:t xml:space="preserve">6 was issued on November 9, 2023, which </w:t>
            </w:r>
            <w:r w:rsidR="00F472CF">
              <w:rPr>
                <w:color w:val="000000"/>
              </w:rPr>
              <w:t>modified D.22-11-018, denied the</w:t>
            </w:r>
            <w:r w:rsidR="00247D40">
              <w:rPr>
                <w:color w:val="000000"/>
              </w:rPr>
              <w:t xml:space="preserve"> AF</w:t>
            </w:r>
            <w:r w:rsidR="00F378D1">
              <w:rPr>
                <w:color w:val="000000"/>
              </w:rPr>
              <w:t>R</w:t>
            </w:r>
            <w:r w:rsidR="00247D40">
              <w:rPr>
                <w:color w:val="000000"/>
              </w:rPr>
              <w:t xml:space="preserve">, and </w:t>
            </w:r>
            <w:r w:rsidR="00A51D0A">
              <w:rPr>
                <w:color w:val="000000"/>
              </w:rPr>
              <w:t>closed the proceeding.</w:t>
            </w:r>
            <w:r w:rsidR="00737E4C">
              <w:rPr>
                <w:color w:val="000000"/>
              </w:rPr>
              <w:t xml:space="preserve"> </w:t>
            </w:r>
            <w:r>
              <w:rPr>
                <w:color w:val="000000"/>
              </w:rPr>
              <w:t xml:space="preserve">The period to file a request for </w:t>
            </w:r>
            <w:r w:rsidRPr="005552BC">
              <w:rPr>
                <w:color w:val="000000"/>
              </w:rPr>
              <w:t xml:space="preserve">an award of </w:t>
            </w:r>
            <w:r>
              <w:rPr>
                <w:color w:val="000000"/>
              </w:rPr>
              <w:t xml:space="preserve">compensation </w:t>
            </w:r>
            <w:r w:rsidR="00B97F3F">
              <w:rPr>
                <w:color w:val="000000"/>
              </w:rPr>
              <w:t>for the specific issues raised in the AF</w:t>
            </w:r>
            <w:r w:rsidR="00F378D1">
              <w:rPr>
                <w:color w:val="000000"/>
              </w:rPr>
              <w:t>R</w:t>
            </w:r>
            <w:r w:rsidR="00B97F3F">
              <w:rPr>
                <w:color w:val="000000"/>
              </w:rPr>
              <w:t xml:space="preserve"> </w:t>
            </w:r>
            <w:r w:rsidR="001B6D3E">
              <w:rPr>
                <w:color w:val="000000"/>
              </w:rPr>
              <w:t>was November 9, 2023 - January 9, 2024</w:t>
            </w:r>
            <w:r w:rsidR="00B97F3F">
              <w:rPr>
                <w:color w:val="000000"/>
              </w:rPr>
              <w:t xml:space="preserve">. </w:t>
            </w:r>
          </w:p>
          <w:p w:rsidR="006B43B5" w:rsidP="007056FC" w:rsidRDefault="006B43B5" w14:paraId="550569B5" w14:textId="77777777">
            <w:pPr>
              <w:tabs>
                <w:tab w:val="left" w:pos="360"/>
              </w:tabs>
              <w:rPr>
                <w:color w:val="000000"/>
              </w:rPr>
            </w:pPr>
          </w:p>
          <w:p w:rsidR="005D6D10" w:rsidP="00B97F3F" w:rsidRDefault="006A31B2" w14:paraId="67D8DC64" w14:textId="6D04D4BE">
            <w:pPr>
              <w:tabs>
                <w:tab w:val="left" w:pos="360"/>
              </w:tabs>
              <w:rPr>
                <w:color w:val="000000"/>
              </w:rPr>
            </w:pPr>
            <w:r>
              <w:rPr>
                <w:color w:val="000000"/>
              </w:rPr>
              <w:lastRenderedPageBreak/>
              <w:t xml:space="preserve">EDF filed this </w:t>
            </w:r>
            <w:r w:rsidR="00B97F3F">
              <w:rPr>
                <w:color w:val="000000"/>
              </w:rPr>
              <w:t xml:space="preserve">instant </w:t>
            </w:r>
            <w:r>
              <w:rPr>
                <w:color w:val="000000"/>
              </w:rPr>
              <w:t xml:space="preserve">claim </w:t>
            </w:r>
            <w:r w:rsidR="00BF5DF3">
              <w:rPr>
                <w:color w:val="000000"/>
              </w:rPr>
              <w:t>on January 4, 2023</w:t>
            </w:r>
            <w:r w:rsidR="001E4476">
              <w:rPr>
                <w:color w:val="000000"/>
              </w:rPr>
              <w:t xml:space="preserve">, </w:t>
            </w:r>
            <w:r w:rsidR="00CC73DB">
              <w:rPr>
                <w:color w:val="000000"/>
              </w:rPr>
              <w:t>61 days after the issuance of D.22-11-018</w:t>
            </w:r>
            <w:r w:rsidR="001E4476">
              <w:rPr>
                <w:color w:val="000000"/>
              </w:rPr>
              <w:t xml:space="preserve">, </w:t>
            </w:r>
            <w:r w:rsidR="00C553C7">
              <w:rPr>
                <w:color w:val="000000"/>
              </w:rPr>
              <w:t xml:space="preserve">but during the </w:t>
            </w:r>
            <w:r w:rsidR="001E4476">
              <w:rPr>
                <w:color w:val="000000"/>
              </w:rPr>
              <w:t xml:space="preserve">period the </w:t>
            </w:r>
            <w:r w:rsidR="009C5FFE">
              <w:rPr>
                <w:color w:val="000000"/>
              </w:rPr>
              <w:t>proce</w:t>
            </w:r>
            <w:r w:rsidR="000607DA">
              <w:rPr>
                <w:color w:val="000000"/>
              </w:rPr>
              <w:t xml:space="preserve">eding </w:t>
            </w:r>
            <w:r w:rsidR="001E4476">
              <w:rPr>
                <w:color w:val="000000"/>
              </w:rPr>
              <w:t xml:space="preserve">was </w:t>
            </w:r>
            <w:r w:rsidR="000607DA">
              <w:rPr>
                <w:color w:val="000000"/>
              </w:rPr>
              <w:t xml:space="preserve">reopened </w:t>
            </w:r>
            <w:r w:rsidR="001211A9">
              <w:rPr>
                <w:color w:val="000000"/>
              </w:rPr>
              <w:t xml:space="preserve">due to </w:t>
            </w:r>
            <w:r w:rsidR="000607DA">
              <w:rPr>
                <w:color w:val="000000"/>
              </w:rPr>
              <w:t>the AFR.</w:t>
            </w:r>
            <w:r w:rsidR="00187109">
              <w:rPr>
                <w:color w:val="000000"/>
              </w:rPr>
              <w:t xml:space="preserve"> </w:t>
            </w:r>
            <w:r w:rsidR="001A4068">
              <w:rPr>
                <w:color w:val="000000"/>
              </w:rPr>
              <w:t xml:space="preserve"> </w:t>
            </w:r>
          </w:p>
          <w:p w:rsidR="005D6D10" w:rsidP="001873A6" w:rsidRDefault="005D6D10" w14:paraId="621CC9D2" w14:textId="77777777">
            <w:pPr>
              <w:tabs>
                <w:tab w:val="left" w:pos="360"/>
              </w:tabs>
              <w:rPr>
                <w:color w:val="000000"/>
              </w:rPr>
            </w:pPr>
          </w:p>
          <w:p w:rsidR="00A0377B" w:rsidP="001873A6" w:rsidRDefault="00986840" w14:paraId="4F76E1B0" w14:textId="1856A474">
            <w:pPr>
              <w:tabs>
                <w:tab w:val="left" w:pos="360"/>
              </w:tabs>
              <w:rPr>
                <w:color w:val="000000"/>
              </w:rPr>
            </w:pPr>
            <w:r>
              <w:rPr>
                <w:color w:val="000000"/>
              </w:rPr>
              <w:t>D</w:t>
            </w:r>
            <w:r w:rsidR="003E4F33">
              <w:rPr>
                <w:color w:val="000000"/>
              </w:rPr>
              <w:t xml:space="preserve">.15-07-017 provides precedent for </w:t>
            </w:r>
            <w:r w:rsidR="005D6D10">
              <w:rPr>
                <w:color w:val="000000"/>
              </w:rPr>
              <w:t>how to proceed</w:t>
            </w:r>
            <w:r w:rsidR="003C6321">
              <w:rPr>
                <w:color w:val="000000"/>
              </w:rPr>
              <w:t xml:space="preserve">. </w:t>
            </w:r>
            <w:r w:rsidR="001C57D8">
              <w:rPr>
                <w:color w:val="000000"/>
              </w:rPr>
              <w:t>In that case</w:t>
            </w:r>
            <w:r w:rsidR="003C6321">
              <w:rPr>
                <w:color w:val="000000"/>
              </w:rPr>
              <w:t xml:space="preserve">, </w:t>
            </w:r>
            <w:r w:rsidR="003E4F33">
              <w:rPr>
                <w:color w:val="000000"/>
              </w:rPr>
              <w:t xml:space="preserve">EDF filed </w:t>
            </w:r>
            <w:r w:rsidR="0021166E">
              <w:rPr>
                <w:color w:val="000000"/>
              </w:rPr>
              <w:t xml:space="preserve">a request for compensation </w:t>
            </w:r>
            <w:r w:rsidR="007E4C94">
              <w:rPr>
                <w:color w:val="000000"/>
              </w:rPr>
              <w:t xml:space="preserve">related to </w:t>
            </w:r>
            <w:r w:rsidR="002B7EF5">
              <w:rPr>
                <w:color w:val="000000"/>
              </w:rPr>
              <w:t>D.14-03-00</w:t>
            </w:r>
            <w:r w:rsidR="007B315C">
              <w:rPr>
                <w:color w:val="000000"/>
              </w:rPr>
              <w:t>4, which</w:t>
            </w:r>
            <w:r w:rsidR="0021166E">
              <w:rPr>
                <w:color w:val="000000"/>
              </w:rPr>
              <w:t xml:space="preserve"> closed </w:t>
            </w:r>
            <w:r w:rsidR="00826A74">
              <w:t>Rulemaking (R.)</w:t>
            </w:r>
            <w:r w:rsidDel="004A403A" w:rsidR="004A403A">
              <w:t xml:space="preserve"> </w:t>
            </w:r>
            <w:r w:rsidR="00826A74">
              <w:t>12-03-014</w:t>
            </w:r>
            <w:r w:rsidR="00862D37">
              <w:t>, after the 60-day deadline</w:t>
            </w:r>
            <w:r w:rsidR="00AA5EBE">
              <w:t xml:space="preserve">. </w:t>
            </w:r>
            <w:r w:rsidR="00862D37">
              <w:t xml:space="preserve">However, </w:t>
            </w:r>
            <w:r w:rsidR="007E4C94">
              <w:t>prior to</w:t>
            </w:r>
            <w:r w:rsidR="007E4C94">
              <w:rPr>
                <w:color w:val="000000"/>
              </w:rPr>
              <w:t xml:space="preserve"> </w:t>
            </w:r>
            <w:r w:rsidR="0021166E">
              <w:rPr>
                <w:color w:val="000000"/>
              </w:rPr>
              <w:t>EDF</w:t>
            </w:r>
            <w:r w:rsidR="007E4C94">
              <w:rPr>
                <w:color w:val="000000"/>
              </w:rPr>
              <w:t>’s late</w:t>
            </w:r>
            <w:r w:rsidR="0021166E">
              <w:rPr>
                <w:color w:val="000000"/>
              </w:rPr>
              <w:t xml:space="preserve"> fil</w:t>
            </w:r>
            <w:r w:rsidR="007E4C94">
              <w:rPr>
                <w:color w:val="000000"/>
              </w:rPr>
              <w:t>ing</w:t>
            </w:r>
            <w:r w:rsidR="00A70E16">
              <w:rPr>
                <w:color w:val="000000"/>
              </w:rPr>
              <w:t>,</w:t>
            </w:r>
            <w:r w:rsidR="0021166E">
              <w:rPr>
                <w:color w:val="000000"/>
              </w:rPr>
              <w:t xml:space="preserve"> </w:t>
            </w:r>
            <w:r w:rsidR="002B7EF5">
              <w:rPr>
                <w:color w:val="000000"/>
              </w:rPr>
              <w:t>an application for rehearing was filed</w:t>
            </w:r>
            <w:r w:rsidR="004C0B99">
              <w:rPr>
                <w:color w:val="000000"/>
              </w:rPr>
              <w:t xml:space="preserve"> in that proceeding on a separate decision</w:t>
            </w:r>
            <w:r w:rsidR="00A70E16">
              <w:rPr>
                <w:color w:val="000000"/>
              </w:rPr>
              <w:t xml:space="preserve">, which reopened the proceeding. </w:t>
            </w:r>
            <w:r w:rsidR="001D05C9">
              <w:rPr>
                <w:color w:val="000000"/>
              </w:rPr>
              <w:t>Subsequently, a</w:t>
            </w:r>
            <w:r w:rsidR="00926ABD">
              <w:rPr>
                <w:color w:val="000000"/>
              </w:rPr>
              <w:t xml:space="preserve"> series of additional requests for rehearing</w:t>
            </w:r>
            <w:r w:rsidR="00767072">
              <w:rPr>
                <w:color w:val="000000"/>
              </w:rPr>
              <w:t xml:space="preserve"> and petitions for</w:t>
            </w:r>
            <w:r w:rsidR="00F04460">
              <w:rPr>
                <w:color w:val="000000"/>
              </w:rPr>
              <w:t xml:space="preserve"> modification were filed</w:t>
            </w:r>
            <w:r w:rsidR="00FA31F4">
              <w:rPr>
                <w:color w:val="000000"/>
              </w:rPr>
              <w:t xml:space="preserve">, </w:t>
            </w:r>
            <w:r w:rsidR="00A0377B">
              <w:rPr>
                <w:color w:val="000000"/>
              </w:rPr>
              <w:t>causing</w:t>
            </w:r>
            <w:r w:rsidR="00FA31F4">
              <w:rPr>
                <w:color w:val="000000"/>
              </w:rPr>
              <w:t xml:space="preserve"> the proceeding </w:t>
            </w:r>
            <w:r w:rsidR="00A0377B">
              <w:rPr>
                <w:color w:val="000000"/>
              </w:rPr>
              <w:t xml:space="preserve">to be </w:t>
            </w:r>
            <w:r w:rsidR="00FA31F4">
              <w:rPr>
                <w:color w:val="000000"/>
              </w:rPr>
              <w:t xml:space="preserve">reopened and closed multiple times. </w:t>
            </w:r>
          </w:p>
          <w:p w:rsidR="00A0377B" w:rsidP="001873A6" w:rsidRDefault="00A0377B" w14:paraId="7156C03B" w14:textId="77777777">
            <w:pPr>
              <w:tabs>
                <w:tab w:val="left" w:pos="360"/>
              </w:tabs>
              <w:rPr>
                <w:color w:val="000000"/>
              </w:rPr>
            </w:pPr>
          </w:p>
          <w:p w:rsidR="008975CD" w:rsidP="001873A6" w:rsidRDefault="00826A74" w14:paraId="0C10C29E" w14:textId="5B925E2D">
            <w:pPr>
              <w:tabs>
                <w:tab w:val="left" w:pos="360"/>
              </w:tabs>
              <w:rPr>
                <w:color w:val="000000"/>
              </w:rPr>
            </w:pPr>
            <w:r>
              <w:rPr>
                <w:color w:val="000000"/>
              </w:rPr>
              <w:t xml:space="preserve">The key point is that when EDF filed </w:t>
            </w:r>
            <w:r w:rsidR="00A0377B">
              <w:rPr>
                <w:color w:val="000000"/>
              </w:rPr>
              <w:t xml:space="preserve">its </w:t>
            </w:r>
            <w:r>
              <w:rPr>
                <w:color w:val="000000"/>
              </w:rPr>
              <w:t xml:space="preserve">request </w:t>
            </w:r>
            <w:r w:rsidR="00AA5EBE">
              <w:rPr>
                <w:color w:val="000000"/>
              </w:rPr>
              <w:t xml:space="preserve">for compensation </w:t>
            </w:r>
            <w:r w:rsidR="00A0377B">
              <w:rPr>
                <w:color w:val="000000"/>
              </w:rPr>
              <w:t xml:space="preserve">related to </w:t>
            </w:r>
            <w:r w:rsidR="009C0FD6">
              <w:rPr>
                <w:color w:val="000000"/>
              </w:rPr>
              <w:t>D.14</w:t>
            </w:r>
            <w:r w:rsidR="00DA7E4E">
              <w:rPr>
                <w:color w:val="000000"/>
              </w:rPr>
              <w:noBreakHyphen/>
            </w:r>
            <w:r w:rsidR="009C0FD6">
              <w:rPr>
                <w:color w:val="000000"/>
              </w:rPr>
              <w:t>03</w:t>
            </w:r>
            <w:r w:rsidR="00DA7E4E">
              <w:rPr>
                <w:color w:val="000000"/>
              </w:rPr>
              <w:noBreakHyphen/>
            </w:r>
            <w:r w:rsidR="009C0FD6">
              <w:rPr>
                <w:color w:val="000000"/>
              </w:rPr>
              <w:t xml:space="preserve">014, the proceeding had </w:t>
            </w:r>
            <w:r w:rsidR="00A0377B">
              <w:rPr>
                <w:color w:val="000000"/>
              </w:rPr>
              <w:t xml:space="preserve">technically </w:t>
            </w:r>
            <w:r w:rsidR="009C0FD6">
              <w:rPr>
                <w:color w:val="000000"/>
              </w:rPr>
              <w:t>been reopened</w:t>
            </w:r>
            <w:r w:rsidR="00BF0C0E">
              <w:rPr>
                <w:color w:val="000000"/>
              </w:rPr>
              <w:t xml:space="preserve">, just </w:t>
            </w:r>
            <w:r w:rsidR="00C458AB">
              <w:rPr>
                <w:color w:val="000000"/>
              </w:rPr>
              <w:t xml:space="preserve">as </w:t>
            </w:r>
            <w:r w:rsidR="00BF0C0E">
              <w:rPr>
                <w:color w:val="000000"/>
              </w:rPr>
              <w:t xml:space="preserve">in this </w:t>
            </w:r>
            <w:r w:rsidR="00C458AB">
              <w:rPr>
                <w:color w:val="000000"/>
              </w:rPr>
              <w:t xml:space="preserve">current </w:t>
            </w:r>
            <w:r w:rsidR="00BF0C0E">
              <w:rPr>
                <w:color w:val="000000"/>
              </w:rPr>
              <w:t>request</w:t>
            </w:r>
            <w:r w:rsidR="009C0FD6">
              <w:rPr>
                <w:color w:val="000000"/>
              </w:rPr>
              <w:t xml:space="preserve">. </w:t>
            </w:r>
            <w:r w:rsidR="00C458AB">
              <w:rPr>
                <w:color w:val="000000"/>
              </w:rPr>
              <w:t>Nonetheless</w:t>
            </w:r>
            <w:r w:rsidR="009C0FD6">
              <w:rPr>
                <w:color w:val="000000"/>
              </w:rPr>
              <w:t xml:space="preserve">, the Commission denied EDF’s </w:t>
            </w:r>
            <w:r w:rsidR="00BF0C0E">
              <w:rPr>
                <w:color w:val="000000"/>
              </w:rPr>
              <w:t>request</w:t>
            </w:r>
            <w:r w:rsidR="00C458AB">
              <w:rPr>
                <w:color w:val="000000"/>
              </w:rPr>
              <w:t>, stating that</w:t>
            </w:r>
            <w:r w:rsidR="009C0FD6">
              <w:rPr>
                <w:color w:val="000000"/>
              </w:rPr>
              <w:t xml:space="preserve"> </w:t>
            </w:r>
            <w:r w:rsidR="00B53E21">
              <w:rPr>
                <w:color w:val="000000"/>
              </w:rPr>
              <w:t>“</w:t>
            </w:r>
            <w:r w:rsidRPr="00B53E21" w:rsidR="00B53E21">
              <w:rPr>
                <w:color w:val="000000"/>
              </w:rPr>
              <w:t xml:space="preserve">none of these petitions </w:t>
            </w:r>
            <w:r w:rsidR="00C053E9">
              <w:rPr>
                <w:color w:val="000000"/>
              </w:rPr>
              <w:t xml:space="preserve">[and applications for rehearing which reopened the proceeding] </w:t>
            </w:r>
            <w:r w:rsidRPr="00B53E21" w:rsidR="00B53E21">
              <w:rPr>
                <w:color w:val="000000"/>
              </w:rPr>
              <w:t>addressed the issues upon which EDF based its claimed substantial contribution</w:t>
            </w:r>
            <w:r w:rsidR="003D44F4">
              <w:rPr>
                <w:color w:val="000000"/>
              </w:rPr>
              <w:t>,</w:t>
            </w:r>
            <w:r w:rsidR="00B53E21">
              <w:rPr>
                <w:color w:val="000000"/>
              </w:rPr>
              <w:t>”</w:t>
            </w:r>
            <w:r w:rsidR="003D44F4">
              <w:rPr>
                <w:color w:val="000000"/>
              </w:rPr>
              <w:t xml:space="preserve"> D.15-07-017 a</w:t>
            </w:r>
            <w:r w:rsidR="006F4D98">
              <w:rPr>
                <w:color w:val="000000"/>
              </w:rPr>
              <w:t xml:space="preserve">t 2. </w:t>
            </w:r>
          </w:p>
          <w:p w:rsidR="008975CD" w:rsidP="001873A6" w:rsidRDefault="008975CD" w14:paraId="759CE2CF" w14:textId="77777777">
            <w:pPr>
              <w:tabs>
                <w:tab w:val="left" w:pos="360"/>
              </w:tabs>
              <w:rPr>
                <w:color w:val="000000"/>
              </w:rPr>
            </w:pPr>
          </w:p>
          <w:p w:rsidRPr="00DF0A6D" w:rsidR="008975CD" w:rsidP="008F38B8" w:rsidRDefault="00167CED" w14:paraId="1B2FF088" w14:textId="17B16F3C">
            <w:pPr>
              <w:tabs>
                <w:tab w:val="left" w:pos="360"/>
              </w:tabs>
              <w:rPr>
                <w:color w:val="000000"/>
              </w:rPr>
            </w:pPr>
            <w:r w:rsidRPr="00167CED">
              <w:rPr>
                <w:color w:val="000000"/>
              </w:rPr>
              <w:t xml:space="preserve">As stated in </w:t>
            </w:r>
            <w:r w:rsidRPr="00167CED" w:rsidR="00732045">
              <w:rPr>
                <w:color w:val="000000"/>
              </w:rPr>
              <w:t>D.15-07-017</w:t>
            </w:r>
            <w:r w:rsidRPr="00167CED" w:rsidR="008F38B8">
              <w:rPr>
                <w:color w:val="000000"/>
              </w:rPr>
              <w:t>, a</w:t>
            </w:r>
            <w:r w:rsidRPr="00167CED" w:rsidR="00732045">
              <w:rPr>
                <w:color w:val="000000"/>
              </w:rPr>
              <w:t xml:space="preserve"> request for compensation for substantial contribution towards a decision may only be filed outside the normal 60-day deadline in §1804(c) and Rule 17.3 if:</w:t>
            </w:r>
            <w:r w:rsidRPr="00167CED" w:rsidR="008975CD">
              <w:rPr>
                <w:color w:val="000000"/>
              </w:rPr>
              <w:t xml:space="preserve"> </w:t>
            </w:r>
            <w:r w:rsidRPr="00167CED" w:rsidR="00732045">
              <w:rPr>
                <w:color w:val="000000"/>
              </w:rPr>
              <w:t xml:space="preserve">(1) </w:t>
            </w:r>
            <w:r w:rsidRPr="00167CED" w:rsidR="00F63564">
              <w:rPr>
                <w:color w:val="000000"/>
              </w:rPr>
              <w:t xml:space="preserve">the request is filed after </w:t>
            </w:r>
            <w:r w:rsidRPr="00167CED" w:rsidR="00206E65">
              <w:rPr>
                <w:color w:val="000000"/>
              </w:rPr>
              <w:t>a decision clos</w:t>
            </w:r>
            <w:r w:rsidRPr="00167CED" w:rsidR="0037633B">
              <w:rPr>
                <w:color w:val="000000"/>
              </w:rPr>
              <w:t>es</w:t>
            </w:r>
            <w:r w:rsidRPr="00167CED" w:rsidR="00206E65">
              <w:rPr>
                <w:color w:val="000000"/>
              </w:rPr>
              <w:t xml:space="preserve"> </w:t>
            </w:r>
            <w:r w:rsidRPr="00167CED" w:rsidR="0037633B">
              <w:rPr>
                <w:color w:val="000000"/>
              </w:rPr>
              <w:t>the</w:t>
            </w:r>
            <w:r w:rsidRPr="00167CED" w:rsidR="00206E65">
              <w:rPr>
                <w:color w:val="000000"/>
              </w:rPr>
              <w:t xml:space="preserve"> proceeding</w:t>
            </w:r>
            <w:r w:rsidRPr="00167CED" w:rsidR="0037633B">
              <w:rPr>
                <w:color w:val="000000"/>
              </w:rPr>
              <w:t>,</w:t>
            </w:r>
            <w:r w:rsidRPr="00167CED" w:rsidR="00D06323">
              <w:rPr>
                <w:color w:val="000000"/>
              </w:rPr>
              <w:t xml:space="preserve"> </w:t>
            </w:r>
            <w:r w:rsidRPr="00167CED" w:rsidR="002432F9">
              <w:rPr>
                <w:color w:val="000000"/>
              </w:rPr>
              <w:t>(2) the request is filed</w:t>
            </w:r>
            <w:r w:rsidRPr="00167CED" w:rsidR="00CC4D6A">
              <w:rPr>
                <w:color w:val="000000"/>
              </w:rPr>
              <w:t xml:space="preserve"> while the proceeding has been reopened</w:t>
            </w:r>
            <w:r w:rsidRPr="00167CED" w:rsidR="00732045">
              <w:rPr>
                <w:color w:val="000000"/>
              </w:rPr>
              <w:t>,</w:t>
            </w:r>
            <w:r w:rsidRPr="00167CED" w:rsidR="008975CD">
              <w:rPr>
                <w:color w:val="000000"/>
              </w:rPr>
              <w:t xml:space="preserve"> </w:t>
            </w:r>
            <w:r w:rsidRPr="00167CED" w:rsidR="0037633B">
              <w:rPr>
                <w:color w:val="000000"/>
              </w:rPr>
              <w:t>and</w:t>
            </w:r>
            <w:r w:rsidRPr="008F38B8" w:rsidR="00D54302">
              <w:rPr>
                <w:color w:val="000000"/>
              </w:rPr>
              <w:t xml:space="preserve"> </w:t>
            </w:r>
            <w:r w:rsidRPr="00DF0A6D" w:rsidR="00732045">
              <w:rPr>
                <w:color w:val="000000"/>
              </w:rPr>
              <w:t>(</w:t>
            </w:r>
            <w:r w:rsidRPr="00DF0A6D" w:rsidR="00CC4D6A">
              <w:rPr>
                <w:color w:val="000000"/>
              </w:rPr>
              <w:t>3</w:t>
            </w:r>
            <w:r w:rsidRPr="00DF0A6D" w:rsidR="00732045">
              <w:rPr>
                <w:color w:val="000000"/>
              </w:rPr>
              <w:t>) the request</w:t>
            </w:r>
            <w:r w:rsidRPr="00DF0A6D" w:rsidR="000B4E80">
              <w:rPr>
                <w:color w:val="000000"/>
              </w:rPr>
              <w:t xml:space="preserve"> is filed</w:t>
            </w:r>
            <w:r w:rsidRPr="00DF0A6D" w:rsidR="00732045">
              <w:rPr>
                <w:color w:val="000000"/>
              </w:rPr>
              <w:t xml:space="preserve"> before the issuance of </w:t>
            </w:r>
            <w:r w:rsidRPr="00DF0A6D" w:rsidR="00CC4D6A">
              <w:rPr>
                <w:color w:val="000000"/>
              </w:rPr>
              <w:t>a</w:t>
            </w:r>
            <w:r w:rsidRPr="00DF0A6D" w:rsidR="00732045">
              <w:rPr>
                <w:color w:val="000000"/>
              </w:rPr>
              <w:t xml:space="preserve"> decision </w:t>
            </w:r>
            <w:r w:rsidRPr="00DF0A6D" w:rsidR="00CC4D6A">
              <w:rPr>
                <w:color w:val="000000"/>
              </w:rPr>
              <w:t>closing the reopened proceeding</w:t>
            </w:r>
            <w:r w:rsidRPr="00DF0A6D" w:rsidR="0037633B">
              <w:rPr>
                <w:color w:val="000000"/>
              </w:rPr>
              <w:t>.</w:t>
            </w:r>
          </w:p>
          <w:p w:rsidR="008975CD" w:rsidP="008975CD" w:rsidRDefault="008975CD" w14:paraId="2E3D49E9" w14:textId="77777777">
            <w:pPr>
              <w:tabs>
                <w:tab w:val="left" w:pos="360"/>
              </w:tabs>
              <w:ind w:left="360"/>
            </w:pPr>
          </w:p>
          <w:p w:rsidR="00986840" w:rsidP="00CC4D6A" w:rsidRDefault="007A1F6D" w14:paraId="7B1C5982" w14:textId="171AD1EA">
            <w:pPr>
              <w:tabs>
                <w:tab w:val="left" w:pos="360"/>
              </w:tabs>
              <w:rPr>
                <w:color w:val="000000"/>
              </w:rPr>
            </w:pPr>
            <w:r>
              <w:t xml:space="preserve">Even when </w:t>
            </w:r>
            <w:r w:rsidR="00CC4D6A">
              <w:t xml:space="preserve">all three conditions are met, an </w:t>
            </w:r>
            <w:r w:rsidR="00732045">
              <w:t xml:space="preserve">intervenor </w:t>
            </w:r>
            <w:r w:rsidR="00735355">
              <w:t xml:space="preserve">may </w:t>
            </w:r>
            <w:r w:rsidR="00732045">
              <w:t xml:space="preserve">only receive compensation for issues </w:t>
            </w:r>
            <w:r w:rsidR="00735355">
              <w:t>that are addressed</w:t>
            </w:r>
            <w:r w:rsidR="00732045">
              <w:t xml:space="preserve"> in</w:t>
            </w:r>
            <w:r w:rsidR="0074348C">
              <w:t xml:space="preserve"> both</w:t>
            </w:r>
            <w:r w:rsidR="00732045">
              <w:t xml:space="preserve"> the </w:t>
            </w:r>
            <w:r w:rsidR="00AD6B44">
              <w:t xml:space="preserve">filing that </w:t>
            </w:r>
            <w:r w:rsidR="00735355">
              <w:lastRenderedPageBreak/>
              <w:t xml:space="preserve">led to the </w:t>
            </w:r>
            <w:r w:rsidR="00AD6B44">
              <w:t>reopen</w:t>
            </w:r>
            <w:r w:rsidR="00735355">
              <w:t>ing of</w:t>
            </w:r>
            <w:r w:rsidR="00AD6B44">
              <w:t xml:space="preserve"> the proceeding</w:t>
            </w:r>
            <w:r w:rsidR="0074348C">
              <w:t xml:space="preserve"> and the request for compensation</w:t>
            </w:r>
            <w:r w:rsidR="00732045">
              <w:t>.</w:t>
            </w:r>
            <w:r w:rsidR="0007501B">
              <w:rPr>
                <w:color w:val="000000"/>
              </w:rPr>
              <w:t xml:space="preserve"> </w:t>
            </w:r>
          </w:p>
          <w:p w:rsidR="001873A6" w:rsidP="001873A6" w:rsidRDefault="001873A6" w14:paraId="48BD30ED" w14:textId="77777777">
            <w:pPr>
              <w:tabs>
                <w:tab w:val="left" w:pos="360"/>
              </w:tabs>
              <w:rPr>
                <w:color w:val="000000"/>
              </w:rPr>
            </w:pPr>
          </w:p>
          <w:p w:rsidRPr="00E257A5" w:rsidR="00E257A5" w:rsidP="00A4526F" w:rsidRDefault="008450FB" w14:paraId="32AA13D2" w14:textId="3F052DC3">
            <w:pPr>
              <w:tabs>
                <w:tab w:val="left" w:pos="360"/>
              </w:tabs>
              <w:rPr>
                <w:color w:val="000000"/>
              </w:rPr>
            </w:pPr>
            <w:r>
              <w:rPr>
                <w:color w:val="000000"/>
              </w:rPr>
              <w:t xml:space="preserve">At the request of the </w:t>
            </w:r>
            <w:r w:rsidR="001E18EE">
              <w:rPr>
                <w:color w:val="000000"/>
              </w:rPr>
              <w:t>Commission</w:t>
            </w:r>
            <w:r>
              <w:rPr>
                <w:color w:val="000000"/>
              </w:rPr>
              <w:t>, EDF filed</w:t>
            </w:r>
            <w:r w:rsidR="00183F70">
              <w:rPr>
                <w:color w:val="000000"/>
              </w:rPr>
              <w:t xml:space="preserve"> a supplement </w:t>
            </w:r>
            <w:r w:rsidR="00FA0CB2">
              <w:rPr>
                <w:color w:val="000000"/>
              </w:rPr>
              <w:t>to</w:t>
            </w:r>
            <w:r w:rsidR="00183F70">
              <w:rPr>
                <w:color w:val="000000"/>
              </w:rPr>
              <w:t xml:space="preserve"> </w:t>
            </w:r>
            <w:r w:rsidR="005E690A">
              <w:rPr>
                <w:color w:val="000000"/>
              </w:rPr>
              <w:t>this</w:t>
            </w:r>
            <w:r w:rsidR="00845041">
              <w:rPr>
                <w:color w:val="000000"/>
              </w:rPr>
              <w:t xml:space="preserve"> claim </w:t>
            </w:r>
            <w:r w:rsidR="00AE14C0">
              <w:rPr>
                <w:color w:val="000000"/>
              </w:rPr>
              <w:t>(Supplement)</w:t>
            </w:r>
            <w:r w:rsidR="00845041">
              <w:rPr>
                <w:color w:val="000000"/>
              </w:rPr>
              <w:t xml:space="preserve">, </w:t>
            </w:r>
            <w:r w:rsidR="001E18EE">
              <w:rPr>
                <w:color w:val="000000"/>
              </w:rPr>
              <w:t>on March 7, 2025</w:t>
            </w:r>
            <w:r w:rsidR="005E690A">
              <w:rPr>
                <w:color w:val="000000"/>
              </w:rPr>
              <w:t>,</w:t>
            </w:r>
            <w:r w:rsidR="00CA07E3">
              <w:rPr>
                <w:color w:val="000000"/>
              </w:rPr>
              <w:t xml:space="preserve"> </w:t>
            </w:r>
            <w:r w:rsidR="005E690A">
              <w:rPr>
                <w:color w:val="000000"/>
              </w:rPr>
              <w:t xml:space="preserve">which </w:t>
            </w:r>
            <w:r w:rsidR="001E18EE">
              <w:rPr>
                <w:color w:val="000000"/>
              </w:rPr>
              <w:t xml:space="preserve">reallocated the number of hours </w:t>
            </w:r>
            <w:r w:rsidR="00E81B16">
              <w:rPr>
                <w:color w:val="000000"/>
              </w:rPr>
              <w:t xml:space="preserve">worked </w:t>
            </w:r>
            <w:r w:rsidR="00604D98">
              <w:rPr>
                <w:color w:val="000000"/>
              </w:rPr>
              <w:t xml:space="preserve">by </w:t>
            </w:r>
            <w:r w:rsidR="00E81B16">
              <w:rPr>
                <w:color w:val="000000"/>
              </w:rPr>
              <w:t xml:space="preserve">the following </w:t>
            </w:r>
            <w:r w:rsidR="001E18EE">
              <w:rPr>
                <w:color w:val="000000"/>
              </w:rPr>
              <w:t>issue</w:t>
            </w:r>
            <w:r w:rsidR="00E81B16">
              <w:rPr>
                <w:color w:val="000000"/>
              </w:rPr>
              <w:t>s</w:t>
            </w:r>
            <w:r w:rsidR="003828C5">
              <w:rPr>
                <w:color w:val="000000"/>
              </w:rPr>
              <w:t xml:space="preserve">: </w:t>
            </w:r>
          </w:p>
          <w:p w:rsidRPr="00C7523B" w:rsidR="00E257A5" w:rsidP="00E257A5" w:rsidRDefault="00E257A5" w14:paraId="61EC086A" w14:textId="77777777">
            <w:pPr>
              <w:tabs>
                <w:tab w:val="left" w:pos="360"/>
              </w:tabs>
              <w:rPr>
                <w:color w:val="000000"/>
              </w:rPr>
            </w:pPr>
          </w:p>
          <w:p w:rsidR="003828C5" w:rsidP="005E7DEC" w:rsidRDefault="005E7DEC" w14:paraId="6B7670D1" w14:textId="31BC473E">
            <w:pPr>
              <w:pStyle w:val="ListParagraph"/>
              <w:numPr>
                <w:ilvl w:val="0"/>
                <w:numId w:val="26"/>
              </w:numPr>
              <w:tabs>
                <w:tab w:val="left" w:pos="360"/>
              </w:tabs>
              <w:rPr>
                <w:rFonts w:ascii="Times New Roman" w:hAnsi="Times New Roman"/>
                <w:color w:val="000000"/>
                <w:sz w:val="24"/>
                <w:szCs w:val="24"/>
              </w:rPr>
            </w:pPr>
            <w:r w:rsidRPr="00A4526F">
              <w:rPr>
                <w:rFonts w:ascii="Times New Roman" w:hAnsi="Times New Roman"/>
                <w:color w:val="000000"/>
                <w:sz w:val="24"/>
                <w:szCs w:val="24"/>
              </w:rPr>
              <w:t xml:space="preserve">Are there extraordinary circumstances that warrant a departure from the [Cost of Capital Mechanism] CCM for 2022? </w:t>
            </w:r>
            <w:r w:rsidRPr="00A4526F" w:rsidR="00C7523B">
              <w:rPr>
                <w:rFonts w:ascii="Times New Roman" w:hAnsi="Times New Roman"/>
                <w:color w:val="000000"/>
                <w:sz w:val="24"/>
                <w:szCs w:val="24"/>
              </w:rPr>
              <w:t>[310 hours]</w:t>
            </w:r>
          </w:p>
          <w:p w:rsidRPr="004604FC" w:rsidR="005367B1" w:rsidP="004604FC" w:rsidRDefault="005367B1" w14:paraId="08C1BD55" w14:textId="77777777">
            <w:pPr>
              <w:tabs>
                <w:tab w:val="left" w:pos="360"/>
              </w:tabs>
              <w:rPr>
                <w:color w:val="000000"/>
              </w:rPr>
            </w:pPr>
          </w:p>
          <w:p w:rsidRPr="00A4526F" w:rsidR="00C7523B" w:rsidP="009B77AA" w:rsidRDefault="00C7523B" w14:paraId="13FCE408" w14:textId="004A86CD">
            <w:pPr>
              <w:pStyle w:val="ListParagraph"/>
              <w:numPr>
                <w:ilvl w:val="0"/>
                <w:numId w:val="26"/>
              </w:numPr>
              <w:tabs>
                <w:tab w:val="left" w:pos="360"/>
              </w:tabs>
              <w:rPr>
                <w:rFonts w:ascii="Times New Roman" w:hAnsi="Times New Roman"/>
                <w:color w:val="000000"/>
                <w:sz w:val="24"/>
                <w:szCs w:val="24"/>
              </w:rPr>
            </w:pPr>
            <w:r w:rsidRPr="00A4526F">
              <w:rPr>
                <w:rFonts w:ascii="Times New Roman" w:hAnsi="Times New Roman"/>
                <w:color w:val="000000"/>
                <w:sz w:val="24"/>
                <w:szCs w:val="24"/>
              </w:rPr>
              <w:t>If so, should the Commission leave the cost of capital components at pre-2022 levels for the year 2022, or open a second phase to consider alternative cost of capital proposals for the year 2022? [79 hours]</w:t>
            </w:r>
            <w:bookmarkStart w:name="_Ref193456252" w:id="0"/>
            <w:r w:rsidR="009239C8">
              <w:rPr>
                <w:rStyle w:val="FootnoteReference"/>
                <w:rFonts w:ascii="Times New Roman" w:hAnsi="Times New Roman"/>
                <w:color w:val="000000"/>
                <w:sz w:val="24"/>
                <w:szCs w:val="24"/>
              </w:rPr>
              <w:footnoteReference w:id="3"/>
            </w:r>
            <w:bookmarkEnd w:id="0"/>
          </w:p>
          <w:p w:rsidRPr="00A4526F" w:rsidR="00C7523B" w:rsidP="00C7523B" w:rsidRDefault="00C7523B" w14:paraId="524E7F76" w14:textId="77777777">
            <w:pPr>
              <w:tabs>
                <w:tab w:val="left" w:pos="360"/>
              </w:tabs>
              <w:rPr>
                <w:color w:val="000000"/>
              </w:rPr>
            </w:pPr>
          </w:p>
          <w:p w:rsidRPr="00E257A5" w:rsidR="009733F5" w:rsidP="00E257A5" w:rsidRDefault="009977A6" w14:paraId="4D87492F" w14:textId="03575B1F">
            <w:pPr>
              <w:tabs>
                <w:tab w:val="left" w:pos="360"/>
              </w:tabs>
              <w:rPr>
                <w:color w:val="000000"/>
              </w:rPr>
            </w:pPr>
            <w:r>
              <w:rPr>
                <w:color w:val="000000"/>
              </w:rPr>
              <w:t>T</w:t>
            </w:r>
            <w:r w:rsidR="00C759E8">
              <w:rPr>
                <w:color w:val="000000"/>
              </w:rPr>
              <w:t>he Commission finds</w:t>
            </w:r>
            <w:r w:rsidR="00761668">
              <w:rPr>
                <w:color w:val="000000"/>
              </w:rPr>
              <w:t xml:space="preserve"> that with respect to </w:t>
            </w:r>
            <w:r>
              <w:rPr>
                <w:color w:val="000000"/>
              </w:rPr>
              <w:t xml:space="preserve">EDF’s first issue </w:t>
            </w:r>
            <w:r w:rsidR="00B705DC">
              <w:rPr>
                <w:color w:val="000000"/>
              </w:rPr>
              <w:t xml:space="preserve">listed </w:t>
            </w:r>
            <w:r>
              <w:rPr>
                <w:color w:val="000000"/>
              </w:rPr>
              <w:t>in th</w:t>
            </w:r>
            <w:r w:rsidR="00B13846">
              <w:rPr>
                <w:color w:val="000000"/>
              </w:rPr>
              <w:t>e Supplement</w:t>
            </w:r>
            <w:r w:rsidR="00761668">
              <w:rPr>
                <w:color w:val="000000"/>
              </w:rPr>
              <w:t xml:space="preserve">, </w:t>
            </w:r>
            <w:r w:rsidR="00C759E8">
              <w:rPr>
                <w:color w:val="000000"/>
              </w:rPr>
              <w:t xml:space="preserve">the AFR </w:t>
            </w:r>
            <w:r>
              <w:rPr>
                <w:color w:val="000000"/>
              </w:rPr>
              <w:t>did</w:t>
            </w:r>
            <w:r w:rsidR="00C759E8">
              <w:rPr>
                <w:color w:val="000000"/>
              </w:rPr>
              <w:t xml:space="preserve"> not </w:t>
            </w:r>
            <w:r w:rsidR="00EC3D99">
              <w:rPr>
                <w:color w:val="000000"/>
              </w:rPr>
              <w:t>contest</w:t>
            </w:r>
            <w:r w:rsidR="00A14389">
              <w:rPr>
                <w:color w:val="000000"/>
              </w:rPr>
              <w:t xml:space="preserve"> whether</w:t>
            </w:r>
            <w:r w:rsidR="00305BED">
              <w:rPr>
                <w:color w:val="000000"/>
              </w:rPr>
              <w:t xml:space="preserve"> the</w:t>
            </w:r>
            <w:r w:rsidR="00A14389">
              <w:rPr>
                <w:color w:val="000000"/>
              </w:rPr>
              <w:t>re were</w:t>
            </w:r>
            <w:r w:rsidR="00305BED">
              <w:rPr>
                <w:color w:val="000000"/>
              </w:rPr>
              <w:t xml:space="preserve"> “</w:t>
            </w:r>
            <w:r w:rsidR="00A14389">
              <w:rPr>
                <w:color w:val="000000"/>
              </w:rPr>
              <w:t>extraordinary circum</w:t>
            </w:r>
            <w:r w:rsidR="00287D42">
              <w:rPr>
                <w:color w:val="000000"/>
              </w:rPr>
              <w:t>stances</w:t>
            </w:r>
            <w:r w:rsidR="008B6C8C">
              <w:rPr>
                <w:color w:val="000000"/>
              </w:rPr>
              <w:t>.</w:t>
            </w:r>
            <w:r w:rsidR="00ED0CE3">
              <w:rPr>
                <w:color w:val="000000"/>
              </w:rPr>
              <w:t>”</w:t>
            </w:r>
            <w:r w:rsidR="002B414D">
              <w:rPr>
                <w:color w:val="000000"/>
              </w:rPr>
              <w:t xml:space="preserve"> </w:t>
            </w:r>
            <w:r w:rsidR="008B6C8C">
              <w:rPr>
                <w:color w:val="000000"/>
              </w:rPr>
              <w:t>Accordingly</w:t>
            </w:r>
            <w:r w:rsidR="009B67D6">
              <w:rPr>
                <w:color w:val="000000"/>
              </w:rPr>
              <w:t>,</w:t>
            </w:r>
            <w:r w:rsidR="002B414D">
              <w:rPr>
                <w:color w:val="000000"/>
              </w:rPr>
              <w:t xml:space="preserve"> EDF</w:t>
            </w:r>
            <w:r w:rsidR="008B6C8C">
              <w:rPr>
                <w:color w:val="000000"/>
              </w:rPr>
              <w:t xml:space="preserve"> is not eligible for</w:t>
            </w:r>
            <w:r w:rsidR="002B414D">
              <w:rPr>
                <w:color w:val="000000"/>
              </w:rPr>
              <w:t xml:space="preserve"> compensat</w:t>
            </w:r>
            <w:r w:rsidR="00EC5C79">
              <w:rPr>
                <w:color w:val="000000"/>
              </w:rPr>
              <w:t>ion</w:t>
            </w:r>
            <w:r w:rsidR="002B414D">
              <w:rPr>
                <w:color w:val="000000"/>
              </w:rPr>
              <w:t xml:space="preserve"> for </w:t>
            </w:r>
            <w:r w:rsidR="00EC5C79">
              <w:rPr>
                <w:color w:val="000000"/>
              </w:rPr>
              <w:t>its</w:t>
            </w:r>
            <w:r w:rsidR="002B414D">
              <w:rPr>
                <w:color w:val="000000"/>
              </w:rPr>
              <w:t xml:space="preserve"> </w:t>
            </w:r>
            <w:r w:rsidR="009B67D6">
              <w:rPr>
                <w:color w:val="000000"/>
              </w:rPr>
              <w:t xml:space="preserve">work </w:t>
            </w:r>
            <w:r w:rsidR="002B414D">
              <w:rPr>
                <w:color w:val="000000"/>
              </w:rPr>
              <w:t>on</w:t>
            </w:r>
            <w:r w:rsidR="00EC3D99">
              <w:rPr>
                <w:color w:val="000000"/>
              </w:rPr>
              <w:t xml:space="preserve"> th</w:t>
            </w:r>
            <w:r w:rsidR="00EC5C79">
              <w:rPr>
                <w:color w:val="000000"/>
              </w:rPr>
              <w:t>at</w:t>
            </w:r>
            <w:r w:rsidR="00EC3D99">
              <w:rPr>
                <w:color w:val="000000"/>
              </w:rPr>
              <w:t xml:space="preserve"> p</w:t>
            </w:r>
            <w:r w:rsidR="00EC5C79">
              <w:rPr>
                <w:color w:val="000000"/>
              </w:rPr>
              <w:t>ortion</w:t>
            </w:r>
            <w:r w:rsidR="00EC3D99">
              <w:rPr>
                <w:color w:val="000000"/>
              </w:rPr>
              <w:t xml:space="preserve"> of the first issue. </w:t>
            </w:r>
            <w:r w:rsidR="00EC5C79">
              <w:rPr>
                <w:color w:val="000000"/>
              </w:rPr>
              <w:t>However, t</w:t>
            </w:r>
            <w:r w:rsidR="00EC3D99">
              <w:rPr>
                <w:color w:val="000000"/>
              </w:rPr>
              <w:t xml:space="preserve">he Commission </w:t>
            </w:r>
            <w:r w:rsidR="00EC5C79">
              <w:rPr>
                <w:color w:val="000000"/>
              </w:rPr>
              <w:t xml:space="preserve">did </w:t>
            </w:r>
            <w:r w:rsidR="00EC3D99">
              <w:rPr>
                <w:color w:val="000000"/>
              </w:rPr>
              <w:t xml:space="preserve">find that the AFR </w:t>
            </w:r>
            <w:r w:rsidR="003A413B">
              <w:rPr>
                <w:color w:val="000000"/>
              </w:rPr>
              <w:t>did</w:t>
            </w:r>
            <w:r w:rsidR="00305BED">
              <w:rPr>
                <w:color w:val="000000"/>
              </w:rPr>
              <w:t xml:space="preserve"> </w:t>
            </w:r>
            <w:r w:rsidR="009B67D6">
              <w:rPr>
                <w:color w:val="000000"/>
              </w:rPr>
              <w:t xml:space="preserve">contest </w:t>
            </w:r>
            <w:r w:rsidR="008A0129">
              <w:rPr>
                <w:color w:val="000000"/>
              </w:rPr>
              <w:t>whether a departure from the 2022 CCM</w:t>
            </w:r>
            <w:r w:rsidR="0012788A">
              <w:rPr>
                <w:color w:val="000000"/>
              </w:rPr>
              <w:t xml:space="preserve"> </w:t>
            </w:r>
            <w:r w:rsidR="00FF1A7E">
              <w:rPr>
                <w:color w:val="000000"/>
              </w:rPr>
              <w:t xml:space="preserve">was warranted, </w:t>
            </w:r>
            <w:r w:rsidR="0012788A">
              <w:rPr>
                <w:color w:val="000000"/>
              </w:rPr>
              <w:t xml:space="preserve">as well as </w:t>
            </w:r>
            <w:r w:rsidR="00FF1A7E">
              <w:rPr>
                <w:color w:val="000000"/>
              </w:rPr>
              <w:t xml:space="preserve">the entirety </w:t>
            </w:r>
            <w:r w:rsidR="0012788A">
              <w:rPr>
                <w:color w:val="000000"/>
              </w:rPr>
              <w:t xml:space="preserve">of the second issue. </w:t>
            </w:r>
            <w:r w:rsidR="00FF1A7E">
              <w:rPr>
                <w:color w:val="000000"/>
              </w:rPr>
              <w:t xml:space="preserve">Therefore, </w:t>
            </w:r>
            <w:r w:rsidR="0012788A">
              <w:rPr>
                <w:color w:val="000000"/>
              </w:rPr>
              <w:t xml:space="preserve">EDF </w:t>
            </w:r>
            <w:r w:rsidR="00FF1A7E">
              <w:rPr>
                <w:color w:val="000000"/>
              </w:rPr>
              <w:t xml:space="preserve">may </w:t>
            </w:r>
            <w:r w:rsidR="00CA07E3">
              <w:rPr>
                <w:color w:val="000000"/>
              </w:rPr>
              <w:t xml:space="preserve">claim </w:t>
            </w:r>
            <w:r w:rsidR="0012788A">
              <w:rPr>
                <w:color w:val="000000"/>
              </w:rPr>
              <w:t>compensat</w:t>
            </w:r>
            <w:r w:rsidR="00CA07E3">
              <w:rPr>
                <w:color w:val="000000"/>
              </w:rPr>
              <w:t>ion</w:t>
            </w:r>
            <w:r w:rsidR="0012788A">
              <w:rPr>
                <w:color w:val="000000"/>
              </w:rPr>
              <w:t xml:space="preserve"> for </w:t>
            </w:r>
            <w:r w:rsidR="002C4B6B">
              <w:rPr>
                <w:color w:val="000000"/>
              </w:rPr>
              <w:t xml:space="preserve">its </w:t>
            </w:r>
            <w:r w:rsidR="00EA1D11">
              <w:rPr>
                <w:color w:val="000000"/>
              </w:rPr>
              <w:t>contributions to</w:t>
            </w:r>
            <w:r w:rsidR="002C4B6B">
              <w:rPr>
                <w:color w:val="000000"/>
              </w:rPr>
              <w:t xml:space="preserve"> the later portion </w:t>
            </w:r>
            <w:r w:rsidR="00EA1D11">
              <w:rPr>
                <w:color w:val="000000"/>
              </w:rPr>
              <w:t>of the first issue and all of the second issue.</w:t>
            </w:r>
          </w:p>
        </w:tc>
      </w:tr>
    </w:tbl>
    <w:p w:rsidR="00CC1638" w:rsidP="00A533F4" w:rsidRDefault="00CC1638" w14:paraId="6BD297C7" w14:textId="77777777">
      <w:pPr>
        <w:jc w:val="center"/>
        <w:rPr>
          <w:b/>
          <w:color w:val="000000"/>
          <w:highlight w:val="yellow"/>
        </w:rPr>
      </w:pPr>
    </w:p>
    <w:p w:rsidRPr="00D77539" w:rsidR="00A92D0B" w:rsidP="00D77539" w:rsidRDefault="00A92D0B" w14:paraId="45219348" w14:textId="30C82A11">
      <w:pPr>
        <w:pStyle w:val="Dummy"/>
        <w:keepLines w:val="0"/>
        <w:spacing w:before="480" w:after="240"/>
        <w:jc w:val="center"/>
        <w:rPr>
          <w:rFonts w:ascii="Times New Roman" w:hAnsi="Times New Roman" w:cs="Times New Roman"/>
          <w:color w:val="000000"/>
          <w:sz w:val="24"/>
          <w:szCs w:val="24"/>
        </w:rPr>
      </w:pPr>
      <w:r w:rsidRPr="00D77539">
        <w:rPr>
          <w:rFonts w:ascii="Times New Roman" w:hAnsi="Times New Roman" w:cs="Times New Roman"/>
          <w:color w:val="000000"/>
          <w:sz w:val="24"/>
          <w:szCs w:val="24"/>
        </w:rPr>
        <w:lastRenderedPageBreak/>
        <w:t>PART II:</w:t>
      </w:r>
      <w:r w:rsidRPr="00D77539" w:rsidR="00D1778A">
        <w:rPr>
          <w:rFonts w:ascii="Times New Roman" w:hAnsi="Times New Roman" w:cs="Times New Roman"/>
          <w:color w:val="000000"/>
          <w:sz w:val="24"/>
          <w:szCs w:val="24"/>
        </w:rPr>
        <w:t xml:space="preserve">  </w:t>
      </w:r>
      <w:r w:rsidRPr="00D77539">
        <w:rPr>
          <w:rFonts w:ascii="Times New Roman" w:hAnsi="Times New Roman" w:cs="Times New Roman"/>
          <w:color w:val="000000"/>
          <w:sz w:val="24"/>
          <w:szCs w:val="24"/>
        </w:rPr>
        <w:t>SUBSTANTIAL CONTRIBUTION</w:t>
      </w:r>
    </w:p>
    <w:p w:rsidRPr="00C02649" w:rsidR="00A92D0B" w:rsidP="0015045F" w:rsidRDefault="00D075B1" w14:paraId="337CC332" w14:textId="5ADD6490">
      <w:pPr>
        <w:keepNext/>
        <w:numPr>
          <w:ilvl w:val="0"/>
          <w:numId w:val="8"/>
        </w:numPr>
        <w:spacing w:before="240" w:after="24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415"/>
        <w:gridCol w:w="3607"/>
        <w:gridCol w:w="2338"/>
      </w:tblGrid>
      <w:tr w:rsidRPr="007F620E" w:rsidR="00A92D0B" w:rsidTr="00D77539" w14:paraId="67755362" w14:textId="77777777">
        <w:trPr>
          <w:tblHeader/>
        </w:trPr>
        <w:tc>
          <w:tcPr>
            <w:tcW w:w="3415" w:type="dxa"/>
            <w:tcBorders>
              <w:bottom w:val="single" w:color="auto" w:sz="4" w:space="0"/>
            </w:tcBorders>
            <w:shd w:val="pct12" w:color="auto" w:fill="auto"/>
            <w:vAlign w:val="bottom"/>
          </w:tcPr>
          <w:p w:rsidRPr="007F620E" w:rsidR="00A92D0B" w:rsidP="00073262" w:rsidRDefault="00D075B1" w14:paraId="7CE2E5BB" w14:textId="77777777">
            <w:pPr>
              <w:jc w:val="center"/>
              <w:rPr>
                <w:b/>
                <w:color w:val="000000"/>
              </w:rPr>
            </w:pPr>
            <w:r w:rsidRPr="007F620E">
              <w:rPr>
                <w:b/>
                <w:color w:val="000000"/>
              </w:rPr>
              <w:t>Intervenor’s Claimed Contribution(s)</w:t>
            </w:r>
          </w:p>
        </w:tc>
        <w:tc>
          <w:tcPr>
            <w:tcW w:w="3870" w:type="dxa"/>
            <w:tcBorders>
              <w:bottom w:val="single" w:color="auto" w:sz="4" w:space="0"/>
            </w:tcBorders>
            <w:shd w:val="pct12" w:color="auto" w:fill="auto"/>
            <w:vAlign w:val="bottom"/>
          </w:tcPr>
          <w:p w:rsidRPr="007F620E" w:rsidR="00A92D0B" w:rsidP="00073262" w:rsidRDefault="00A92D0B" w14:paraId="2794272E" w14:textId="77777777">
            <w:pPr>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2453" w:type="dxa"/>
            <w:shd w:val="pct12" w:color="auto" w:fill="auto"/>
            <w:vAlign w:val="bottom"/>
          </w:tcPr>
          <w:p w:rsidRPr="007F620E" w:rsidR="00A92D0B" w:rsidP="00073262" w:rsidRDefault="00D075B1" w14:paraId="79AFC714" w14:textId="77777777">
            <w:pPr>
              <w:jc w:val="center"/>
              <w:rPr>
                <w:b/>
                <w:color w:val="000000"/>
              </w:rPr>
            </w:pPr>
            <w:r w:rsidRPr="007F620E">
              <w:rPr>
                <w:b/>
                <w:color w:val="000000"/>
              </w:rPr>
              <w:t>CPUC Discussion</w:t>
            </w:r>
          </w:p>
        </w:tc>
      </w:tr>
      <w:tr w:rsidRPr="007F620E" w:rsidR="00FB1262" w:rsidTr="00D77539" w14:paraId="02D23218" w14:textId="77777777">
        <w:tc>
          <w:tcPr>
            <w:tcW w:w="3415" w:type="dxa"/>
          </w:tcPr>
          <w:p w:rsidR="00FB1262" w:rsidP="003E1C89" w:rsidRDefault="00AC0F7C" w14:paraId="0732D822" w14:textId="77777777">
            <w:pPr>
              <w:rPr>
                <w:rFonts w:eastAsiaTheme="minorEastAsia"/>
                <w:color w:val="000000"/>
                <w:lang w:eastAsia="ko-KR"/>
              </w:rPr>
            </w:pPr>
            <w:r>
              <w:rPr>
                <w:rFonts w:eastAsiaTheme="minorEastAsia"/>
                <w:color w:val="000000"/>
                <w:lang w:eastAsia="ko-KR"/>
              </w:rPr>
              <w:t xml:space="preserve">EDF argued that the utilities failed to meet the </w:t>
            </w:r>
            <w:r w:rsidR="0089395F">
              <w:rPr>
                <w:rFonts w:eastAsiaTheme="minorEastAsia"/>
                <w:color w:val="000000"/>
                <w:lang w:eastAsia="ko-KR"/>
              </w:rPr>
              <w:t xml:space="preserve">requirements for </w:t>
            </w:r>
            <w:r w:rsidR="00BD3A80">
              <w:rPr>
                <w:rFonts w:eastAsiaTheme="minorEastAsia"/>
                <w:color w:val="000000"/>
                <w:lang w:eastAsia="ko-KR"/>
              </w:rPr>
              <w:t>D.08-05-035</w:t>
            </w:r>
          </w:p>
          <w:p w:rsidR="00BD3A80" w:rsidP="003E1C89" w:rsidRDefault="00BD3A80" w14:paraId="5D843FF7" w14:textId="77777777">
            <w:pPr>
              <w:rPr>
                <w:rFonts w:eastAsiaTheme="minorEastAsia"/>
                <w:color w:val="000000"/>
                <w:lang w:eastAsia="ko-KR"/>
              </w:rPr>
            </w:pPr>
          </w:p>
          <w:p w:rsidR="00CF6AA6" w:rsidP="003E1C89" w:rsidRDefault="00CF6AA6" w14:paraId="5DA8A0E8" w14:textId="77777777">
            <w:pPr>
              <w:rPr>
                <w:rFonts w:eastAsiaTheme="minorEastAsia"/>
                <w:color w:val="000000"/>
                <w:lang w:eastAsia="ko-KR"/>
              </w:rPr>
            </w:pPr>
            <w:r>
              <w:rPr>
                <w:rFonts w:eastAsiaTheme="minorEastAsia"/>
                <w:color w:val="000000"/>
                <w:lang w:eastAsia="ko-KR"/>
              </w:rPr>
              <w:t>Opening Brief of EDF at 2</w:t>
            </w:r>
            <w:r w:rsidR="006428F6">
              <w:rPr>
                <w:rFonts w:eastAsiaTheme="minorEastAsia"/>
                <w:color w:val="000000"/>
                <w:lang w:eastAsia="ko-KR"/>
              </w:rPr>
              <w:t>.</w:t>
            </w:r>
          </w:p>
          <w:p w:rsidR="00D77403" w:rsidP="003E1C89" w:rsidRDefault="00D77403" w14:paraId="5DC5D9F3" w14:textId="77777777">
            <w:pPr>
              <w:rPr>
                <w:rFonts w:eastAsiaTheme="minorEastAsia"/>
                <w:color w:val="000000"/>
                <w:lang w:eastAsia="ko-KR"/>
              </w:rPr>
            </w:pPr>
          </w:p>
          <w:p w:rsidR="00E562C9" w:rsidP="003E1C89" w:rsidRDefault="00E562C9" w14:paraId="02CBA1EE" w14:textId="4BF053A6">
            <w:pPr>
              <w:rPr>
                <w:rFonts w:eastAsiaTheme="minorEastAsia"/>
                <w:color w:val="000000"/>
                <w:lang w:eastAsia="ko-KR"/>
              </w:rPr>
            </w:pPr>
            <w:r>
              <w:rPr>
                <w:rFonts w:eastAsiaTheme="minorEastAsia"/>
                <w:color w:val="000000"/>
                <w:lang w:eastAsia="ko-KR"/>
              </w:rPr>
              <w:t>Reply Brief of EDF at 4-5.</w:t>
            </w:r>
          </w:p>
          <w:p w:rsidR="00D77403" w:rsidP="003E1C89" w:rsidRDefault="00D77403" w14:paraId="669DEE6B" w14:textId="77777777">
            <w:pPr>
              <w:rPr>
                <w:rFonts w:eastAsiaTheme="minorEastAsia"/>
                <w:color w:val="000000"/>
                <w:lang w:eastAsia="ko-KR"/>
              </w:rPr>
            </w:pPr>
          </w:p>
          <w:p w:rsidRPr="00F85B62" w:rsidR="00F1421E" w:rsidP="003E1C89" w:rsidRDefault="00F1421E" w14:paraId="54B356F6" w14:textId="4DF5D1FD">
            <w:pPr>
              <w:rPr>
                <w:rFonts w:eastAsiaTheme="minorEastAsia"/>
                <w:color w:val="000000"/>
                <w:lang w:eastAsia="ko-KR"/>
              </w:rPr>
            </w:pPr>
            <w:r>
              <w:rPr>
                <w:rFonts w:eastAsiaTheme="minorEastAsia"/>
                <w:color w:val="000000"/>
                <w:lang w:eastAsia="ko-KR"/>
              </w:rPr>
              <w:t>Opening Comments of EDF on Proposed Decision and Alternate Proposed Decision</w:t>
            </w:r>
            <w:r w:rsidR="00D77403">
              <w:rPr>
                <w:rFonts w:eastAsiaTheme="minorEastAsia"/>
                <w:color w:val="000000"/>
                <w:lang w:eastAsia="ko-KR"/>
              </w:rPr>
              <w:t xml:space="preserve"> (Opening Comments of EDF)</w:t>
            </w:r>
            <w:r>
              <w:rPr>
                <w:rFonts w:eastAsiaTheme="minorEastAsia"/>
                <w:color w:val="000000"/>
                <w:lang w:eastAsia="ko-KR"/>
              </w:rPr>
              <w:t xml:space="preserve"> at 3. </w:t>
            </w:r>
          </w:p>
        </w:tc>
        <w:tc>
          <w:tcPr>
            <w:tcW w:w="3870" w:type="dxa"/>
          </w:tcPr>
          <w:p w:rsidR="00FB1262" w:rsidP="003E1C89" w:rsidRDefault="00CF6AA6" w14:paraId="09B8C858" w14:textId="77777777">
            <w:pPr>
              <w:rPr>
                <w:color w:val="000000"/>
              </w:rPr>
            </w:pPr>
            <w:r>
              <w:rPr>
                <w:color w:val="000000"/>
              </w:rPr>
              <w:t xml:space="preserve">The assigned Commissioner and the assigned Administrative Law Judges (ALJs) </w:t>
            </w:r>
            <w:r w:rsidR="00660BCD">
              <w:rPr>
                <w:color w:val="000000"/>
              </w:rPr>
              <w:t xml:space="preserve">found that the utilities failed to </w:t>
            </w:r>
            <w:r w:rsidR="00620966">
              <w:rPr>
                <w:color w:val="000000"/>
              </w:rPr>
              <w:t xml:space="preserve">meet the requirements of D.08-05-035. </w:t>
            </w:r>
          </w:p>
          <w:p w:rsidR="00620966" w:rsidP="003E1C89" w:rsidRDefault="00620966" w14:paraId="1255F62F" w14:textId="77777777">
            <w:pPr>
              <w:rPr>
                <w:color w:val="000000"/>
              </w:rPr>
            </w:pPr>
          </w:p>
          <w:p w:rsidR="00620966" w:rsidP="003E1C89" w:rsidRDefault="005F6EE2" w14:paraId="55BE2BA8" w14:textId="77777777">
            <w:pPr>
              <w:rPr>
                <w:color w:val="000000"/>
              </w:rPr>
            </w:pPr>
            <w:r>
              <w:rPr>
                <w:color w:val="000000"/>
              </w:rPr>
              <w:t xml:space="preserve">D.22-11-018 at 5. </w:t>
            </w:r>
          </w:p>
          <w:p w:rsidR="00D77403" w:rsidP="003E1C89" w:rsidRDefault="00D77403" w14:paraId="6E949685" w14:textId="77777777">
            <w:pPr>
              <w:rPr>
                <w:color w:val="000000"/>
              </w:rPr>
            </w:pPr>
          </w:p>
          <w:p w:rsidR="00D77403" w:rsidP="003E1C89" w:rsidRDefault="005266C3" w14:paraId="7F1C0A08" w14:textId="6250A1CF">
            <w:pPr>
              <w:rPr>
                <w:color w:val="000000"/>
              </w:rPr>
            </w:pPr>
            <w:r w:rsidRPr="005266C3">
              <w:rPr>
                <w:color w:val="000000"/>
              </w:rPr>
              <w:t xml:space="preserve">E-Mail Ruling </w:t>
            </w:r>
            <w:r>
              <w:rPr>
                <w:color w:val="000000"/>
              </w:rPr>
              <w:t>o</w:t>
            </w:r>
            <w:r w:rsidRPr="005266C3">
              <w:rPr>
                <w:color w:val="000000"/>
              </w:rPr>
              <w:t xml:space="preserve">f </w:t>
            </w:r>
            <w:r>
              <w:rPr>
                <w:color w:val="000000"/>
              </w:rPr>
              <w:t>t</w:t>
            </w:r>
            <w:r w:rsidRPr="005266C3">
              <w:rPr>
                <w:color w:val="000000"/>
              </w:rPr>
              <w:t xml:space="preserve">he Assigned Commissioner </w:t>
            </w:r>
            <w:r>
              <w:rPr>
                <w:color w:val="000000"/>
              </w:rPr>
              <w:t>a</w:t>
            </w:r>
            <w:r w:rsidRPr="005266C3">
              <w:rPr>
                <w:color w:val="000000"/>
              </w:rPr>
              <w:t xml:space="preserve">nd </w:t>
            </w:r>
            <w:r>
              <w:rPr>
                <w:color w:val="000000"/>
              </w:rPr>
              <w:t>t</w:t>
            </w:r>
            <w:r w:rsidRPr="005266C3">
              <w:rPr>
                <w:color w:val="000000"/>
              </w:rPr>
              <w:t xml:space="preserve">he </w:t>
            </w:r>
            <w:r>
              <w:rPr>
                <w:color w:val="000000"/>
              </w:rPr>
              <w:t>ALJs</w:t>
            </w:r>
            <w:r w:rsidRPr="005266C3">
              <w:rPr>
                <w:color w:val="000000"/>
              </w:rPr>
              <w:t xml:space="preserve"> Ordering Compliance </w:t>
            </w:r>
            <w:r w:rsidR="00040A71">
              <w:rPr>
                <w:color w:val="000000"/>
              </w:rPr>
              <w:t>w</w:t>
            </w:r>
            <w:r w:rsidRPr="005266C3" w:rsidR="00040A71">
              <w:rPr>
                <w:color w:val="000000"/>
              </w:rPr>
              <w:t xml:space="preserve">ith </w:t>
            </w:r>
            <w:r w:rsidRPr="005266C3">
              <w:rPr>
                <w:color w:val="000000"/>
              </w:rPr>
              <w:t>Decision 08-05-035</w:t>
            </w:r>
            <w:r>
              <w:rPr>
                <w:color w:val="000000"/>
              </w:rPr>
              <w:t xml:space="preserve"> at 3.</w:t>
            </w:r>
          </w:p>
        </w:tc>
        <w:tc>
          <w:tcPr>
            <w:tcW w:w="2453" w:type="dxa"/>
          </w:tcPr>
          <w:p w:rsidRPr="007F620E" w:rsidR="00FB1262" w:rsidP="003E1C89" w:rsidRDefault="00C577EF" w14:paraId="71B9DFF8" w14:textId="433503CB">
            <w:pPr>
              <w:rPr>
                <w:color w:val="000000"/>
              </w:rPr>
            </w:pPr>
            <w:r>
              <w:rPr>
                <w:color w:val="000000"/>
              </w:rPr>
              <w:t>T</w:t>
            </w:r>
            <w:r w:rsidR="00F85692">
              <w:rPr>
                <w:color w:val="000000"/>
              </w:rPr>
              <w:t>he AFR d</w:t>
            </w:r>
            <w:r w:rsidR="00D57F8F">
              <w:rPr>
                <w:color w:val="000000"/>
              </w:rPr>
              <w:t>id</w:t>
            </w:r>
            <w:r w:rsidR="00F85692">
              <w:rPr>
                <w:color w:val="000000"/>
              </w:rPr>
              <w:t xml:space="preserve"> not </w:t>
            </w:r>
            <w:r w:rsidR="009C21B8">
              <w:rPr>
                <w:color w:val="000000"/>
              </w:rPr>
              <w:t xml:space="preserve">contest this issue. Thus, EDF </w:t>
            </w:r>
            <w:r w:rsidR="00D56BF0">
              <w:rPr>
                <w:color w:val="000000"/>
              </w:rPr>
              <w:t>is not eligible for</w:t>
            </w:r>
            <w:r w:rsidDel="00D56BF0" w:rsidR="00D56BF0">
              <w:rPr>
                <w:color w:val="000000"/>
              </w:rPr>
              <w:t xml:space="preserve"> </w:t>
            </w:r>
            <w:r w:rsidR="009C21B8">
              <w:rPr>
                <w:color w:val="000000"/>
              </w:rPr>
              <w:t xml:space="preserve">compensation for </w:t>
            </w:r>
            <w:r w:rsidR="00D56BF0">
              <w:rPr>
                <w:color w:val="000000"/>
              </w:rPr>
              <w:t xml:space="preserve">its </w:t>
            </w:r>
            <w:r w:rsidR="009C21B8">
              <w:rPr>
                <w:color w:val="000000"/>
              </w:rPr>
              <w:t>contributions</w:t>
            </w:r>
            <w:r w:rsidR="000E79A5">
              <w:rPr>
                <w:color w:val="000000"/>
              </w:rPr>
              <w:t xml:space="preserve"> on this issue as noted in Part I.C.A</w:t>
            </w:r>
            <w:r w:rsidR="009C21B8">
              <w:rPr>
                <w:color w:val="000000"/>
              </w:rPr>
              <w:t>.</w:t>
            </w:r>
          </w:p>
        </w:tc>
      </w:tr>
      <w:tr w:rsidRPr="007F620E" w:rsidR="0091528C" w:rsidTr="00D77539" w14:paraId="073BD862" w14:textId="77777777">
        <w:tc>
          <w:tcPr>
            <w:tcW w:w="3415" w:type="dxa"/>
          </w:tcPr>
          <w:p w:rsidR="0091528C" w:rsidP="003E1C89" w:rsidRDefault="0091528C" w14:paraId="50F130EA" w14:textId="77777777">
            <w:pPr>
              <w:rPr>
                <w:color w:val="000000"/>
              </w:rPr>
            </w:pPr>
            <w:r>
              <w:rPr>
                <w:color w:val="000000"/>
              </w:rPr>
              <w:t xml:space="preserve">EDF argued that the CCM deviations were historically based on consensus; and that the utilities’ request are not in line with such precedence. </w:t>
            </w:r>
          </w:p>
          <w:p w:rsidR="0091528C" w:rsidP="003E1C89" w:rsidRDefault="0091528C" w14:paraId="073F7B93" w14:textId="77777777">
            <w:pPr>
              <w:rPr>
                <w:color w:val="000000"/>
              </w:rPr>
            </w:pPr>
          </w:p>
          <w:p w:rsidR="0091528C" w:rsidP="003E1C89" w:rsidRDefault="0091528C" w14:paraId="3F24BC61" w14:textId="77777777">
            <w:pPr>
              <w:rPr>
                <w:color w:val="000000"/>
              </w:rPr>
            </w:pPr>
            <w:r>
              <w:rPr>
                <w:color w:val="000000"/>
              </w:rPr>
              <w:t xml:space="preserve">Opening Brief of EDF at 3. </w:t>
            </w:r>
          </w:p>
          <w:p w:rsidR="0091528C" w:rsidP="003E1C89" w:rsidRDefault="0091528C" w14:paraId="7A10B2AD" w14:textId="77777777">
            <w:pPr>
              <w:rPr>
                <w:color w:val="000000"/>
              </w:rPr>
            </w:pPr>
          </w:p>
          <w:p w:rsidR="0091528C" w:rsidP="003E1C89" w:rsidRDefault="0091528C" w14:paraId="72BBDEB7" w14:textId="73177F19">
            <w:pPr>
              <w:rPr>
                <w:color w:val="000000"/>
              </w:rPr>
            </w:pPr>
          </w:p>
        </w:tc>
        <w:tc>
          <w:tcPr>
            <w:tcW w:w="3870" w:type="dxa"/>
          </w:tcPr>
          <w:p w:rsidR="0091528C" w:rsidP="003E1C89" w:rsidRDefault="0091528C" w14:paraId="3A0D0D48" w14:textId="77777777">
            <w:pPr>
              <w:rPr>
                <w:color w:val="000000"/>
              </w:rPr>
            </w:pPr>
            <w:r>
              <w:rPr>
                <w:color w:val="000000"/>
              </w:rPr>
              <w:t xml:space="preserve">The assigned Commissioner and the assigned Administrative Law Judges (ALJs) found that the utilities failed to meet the requirements of D.08-05-035. </w:t>
            </w:r>
          </w:p>
          <w:p w:rsidR="0091528C" w:rsidP="003E1C89" w:rsidRDefault="0091528C" w14:paraId="183B30D3" w14:textId="77777777">
            <w:pPr>
              <w:rPr>
                <w:color w:val="000000"/>
              </w:rPr>
            </w:pPr>
          </w:p>
          <w:p w:rsidR="0091528C" w:rsidP="003E1C89" w:rsidRDefault="0091528C" w14:paraId="21C344A5" w14:textId="184B91A3">
            <w:pPr>
              <w:rPr>
                <w:color w:val="000000"/>
              </w:rPr>
            </w:pPr>
            <w:r>
              <w:rPr>
                <w:color w:val="000000"/>
              </w:rPr>
              <w:t>D.22-11-018 at 5.</w:t>
            </w:r>
          </w:p>
          <w:p w:rsidR="0091528C" w:rsidP="003E1C89" w:rsidRDefault="0091528C" w14:paraId="261ECD9E" w14:textId="77777777">
            <w:pPr>
              <w:rPr>
                <w:color w:val="000000"/>
              </w:rPr>
            </w:pPr>
          </w:p>
          <w:p w:rsidR="0091528C" w:rsidP="003E1C89" w:rsidRDefault="0091528C" w14:paraId="2C5C189B" w14:textId="4A5C712B">
            <w:pPr>
              <w:rPr>
                <w:color w:val="000000"/>
              </w:rPr>
            </w:pPr>
            <w:r w:rsidRPr="005266C3">
              <w:rPr>
                <w:color w:val="000000"/>
              </w:rPr>
              <w:t xml:space="preserve">E-Mail Ruling </w:t>
            </w:r>
            <w:r>
              <w:rPr>
                <w:color w:val="000000"/>
              </w:rPr>
              <w:t>o</w:t>
            </w:r>
            <w:r w:rsidRPr="005266C3">
              <w:rPr>
                <w:color w:val="000000"/>
              </w:rPr>
              <w:t xml:space="preserve">f </w:t>
            </w:r>
            <w:r>
              <w:rPr>
                <w:color w:val="000000"/>
              </w:rPr>
              <w:t>t</w:t>
            </w:r>
            <w:r w:rsidRPr="005266C3">
              <w:rPr>
                <w:color w:val="000000"/>
              </w:rPr>
              <w:t xml:space="preserve">he Assigned Commissioner </w:t>
            </w:r>
            <w:r>
              <w:rPr>
                <w:color w:val="000000"/>
              </w:rPr>
              <w:t>a</w:t>
            </w:r>
            <w:r w:rsidRPr="005266C3">
              <w:rPr>
                <w:color w:val="000000"/>
              </w:rPr>
              <w:t xml:space="preserve">nd </w:t>
            </w:r>
            <w:r>
              <w:rPr>
                <w:color w:val="000000"/>
              </w:rPr>
              <w:t>t</w:t>
            </w:r>
            <w:r w:rsidRPr="005266C3">
              <w:rPr>
                <w:color w:val="000000"/>
              </w:rPr>
              <w:t xml:space="preserve">he </w:t>
            </w:r>
            <w:r>
              <w:rPr>
                <w:color w:val="000000"/>
              </w:rPr>
              <w:t>ALJs</w:t>
            </w:r>
            <w:r w:rsidRPr="005266C3">
              <w:rPr>
                <w:color w:val="000000"/>
              </w:rPr>
              <w:t xml:space="preserve"> Ordering Compliance </w:t>
            </w:r>
            <w:r>
              <w:rPr>
                <w:color w:val="000000"/>
              </w:rPr>
              <w:t>w</w:t>
            </w:r>
            <w:r w:rsidRPr="005266C3">
              <w:rPr>
                <w:color w:val="000000"/>
              </w:rPr>
              <w:t>ith Decision 08-05-035</w:t>
            </w:r>
            <w:r>
              <w:rPr>
                <w:color w:val="000000"/>
              </w:rPr>
              <w:t xml:space="preserve"> at 3. </w:t>
            </w:r>
          </w:p>
        </w:tc>
        <w:tc>
          <w:tcPr>
            <w:tcW w:w="2453" w:type="dxa"/>
          </w:tcPr>
          <w:p w:rsidRPr="007F620E" w:rsidR="0091528C" w:rsidP="003E1C89" w:rsidRDefault="00F646CB" w14:paraId="6428AB2D" w14:textId="4B3BC723">
            <w:pPr>
              <w:rPr>
                <w:color w:val="000000"/>
              </w:rPr>
            </w:pPr>
            <w:r>
              <w:rPr>
                <w:color w:val="000000"/>
              </w:rPr>
              <w:t>T</w:t>
            </w:r>
            <w:r w:rsidR="0091528C">
              <w:rPr>
                <w:color w:val="000000"/>
              </w:rPr>
              <w:t>he AFR d</w:t>
            </w:r>
            <w:r w:rsidR="00D57F8F">
              <w:rPr>
                <w:color w:val="000000"/>
              </w:rPr>
              <w:t>id</w:t>
            </w:r>
            <w:r w:rsidR="0091528C">
              <w:rPr>
                <w:color w:val="000000"/>
              </w:rPr>
              <w:t xml:space="preserve"> not contest this issue. Thus, EDF </w:t>
            </w:r>
            <w:r w:rsidR="00D56BF0">
              <w:rPr>
                <w:color w:val="000000"/>
              </w:rPr>
              <w:t>is not eligible for</w:t>
            </w:r>
            <w:r w:rsidDel="00D56BF0" w:rsidR="00D56BF0">
              <w:rPr>
                <w:color w:val="000000"/>
              </w:rPr>
              <w:t xml:space="preserve"> </w:t>
            </w:r>
            <w:r w:rsidR="0091528C">
              <w:rPr>
                <w:color w:val="000000"/>
              </w:rPr>
              <w:t xml:space="preserve">compensation for </w:t>
            </w:r>
            <w:r w:rsidR="00D56BF0">
              <w:rPr>
                <w:color w:val="000000"/>
              </w:rPr>
              <w:t xml:space="preserve">its </w:t>
            </w:r>
            <w:r w:rsidR="0091528C">
              <w:rPr>
                <w:color w:val="000000"/>
              </w:rPr>
              <w:t>contributions on this issue as noted in Part I.C.A.</w:t>
            </w:r>
          </w:p>
        </w:tc>
      </w:tr>
      <w:tr w:rsidRPr="007F620E" w:rsidR="0091528C" w:rsidTr="00D77539" w14:paraId="2FE9B1CF" w14:textId="77777777">
        <w:tc>
          <w:tcPr>
            <w:tcW w:w="3415" w:type="dxa"/>
          </w:tcPr>
          <w:p w:rsidR="0091528C" w:rsidP="003E1C89" w:rsidRDefault="0091528C" w14:paraId="6773E0B6" w14:textId="77777777">
            <w:pPr>
              <w:rPr>
                <w:color w:val="000000"/>
              </w:rPr>
            </w:pPr>
            <w:r>
              <w:rPr>
                <w:color w:val="000000"/>
              </w:rPr>
              <w:t xml:space="preserve">EDF argued that due to the lack of consensus, triggering the CCM was warranted and reasonable. </w:t>
            </w:r>
          </w:p>
          <w:p w:rsidR="0091528C" w:rsidP="003E1C89" w:rsidRDefault="0091528C" w14:paraId="638095FC" w14:textId="77777777">
            <w:pPr>
              <w:rPr>
                <w:color w:val="000000"/>
              </w:rPr>
            </w:pPr>
          </w:p>
          <w:p w:rsidR="0091528C" w:rsidP="003E1C89" w:rsidRDefault="0091528C" w14:paraId="40399805" w14:textId="5706C5A7">
            <w:pPr>
              <w:rPr>
                <w:color w:val="000000"/>
              </w:rPr>
            </w:pPr>
            <w:r>
              <w:rPr>
                <w:color w:val="000000"/>
              </w:rPr>
              <w:t>Prepared Direct Testimony of Richard McCann, Ph.D. (EDF Testimony) at 7.</w:t>
            </w:r>
          </w:p>
        </w:tc>
        <w:tc>
          <w:tcPr>
            <w:tcW w:w="3870" w:type="dxa"/>
          </w:tcPr>
          <w:p w:rsidR="0091528C" w:rsidP="003E1C89" w:rsidRDefault="0091528C" w14:paraId="131EE5FB" w14:textId="2FCE9FA8">
            <w:pPr>
              <w:rPr>
                <w:color w:val="000000"/>
              </w:rPr>
            </w:pPr>
            <w:r>
              <w:rPr>
                <w:color w:val="000000"/>
              </w:rPr>
              <w:t xml:space="preserve">While finding that the utilities failed to meet the requirements of D.08-05-035, the Commission declined to accept EDF’s request. </w:t>
            </w:r>
          </w:p>
          <w:p w:rsidR="0091528C" w:rsidP="003E1C89" w:rsidRDefault="0091528C" w14:paraId="236998BD" w14:textId="77777777">
            <w:pPr>
              <w:rPr>
                <w:color w:val="000000"/>
              </w:rPr>
            </w:pPr>
          </w:p>
          <w:p w:rsidR="0091528C" w:rsidP="003E1C89" w:rsidRDefault="0091528C" w14:paraId="25155A3C" w14:textId="77777777">
            <w:pPr>
              <w:rPr>
                <w:color w:val="000000"/>
              </w:rPr>
            </w:pPr>
            <w:r>
              <w:rPr>
                <w:color w:val="000000"/>
              </w:rPr>
              <w:t>D.22-11-018 at 5.</w:t>
            </w:r>
          </w:p>
          <w:p w:rsidR="0091528C" w:rsidP="003E1C89" w:rsidRDefault="0091528C" w14:paraId="3F3385E4" w14:textId="77777777">
            <w:pPr>
              <w:rPr>
                <w:color w:val="000000"/>
              </w:rPr>
            </w:pPr>
          </w:p>
          <w:p w:rsidR="0091528C" w:rsidP="003E1C89" w:rsidRDefault="0091528C" w14:paraId="7C89C969" w14:textId="576E58D5">
            <w:pPr>
              <w:rPr>
                <w:color w:val="000000"/>
              </w:rPr>
            </w:pPr>
            <w:r w:rsidRPr="005266C3">
              <w:rPr>
                <w:color w:val="000000"/>
              </w:rPr>
              <w:t xml:space="preserve">E-Mail Ruling </w:t>
            </w:r>
            <w:r>
              <w:rPr>
                <w:color w:val="000000"/>
              </w:rPr>
              <w:t>o</w:t>
            </w:r>
            <w:r w:rsidRPr="005266C3">
              <w:rPr>
                <w:color w:val="000000"/>
              </w:rPr>
              <w:t xml:space="preserve">f </w:t>
            </w:r>
            <w:r>
              <w:rPr>
                <w:color w:val="000000"/>
              </w:rPr>
              <w:t>t</w:t>
            </w:r>
            <w:r w:rsidRPr="005266C3">
              <w:rPr>
                <w:color w:val="000000"/>
              </w:rPr>
              <w:t xml:space="preserve">he Assigned Commissioner </w:t>
            </w:r>
            <w:r>
              <w:rPr>
                <w:color w:val="000000"/>
              </w:rPr>
              <w:t>a</w:t>
            </w:r>
            <w:r w:rsidRPr="005266C3">
              <w:rPr>
                <w:color w:val="000000"/>
              </w:rPr>
              <w:t xml:space="preserve">nd </w:t>
            </w:r>
            <w:r>
              <w:rPr>
                <w:color w:val="000000"/>
              </w:rPr>
              <w:t>t</w:t>
            </w:r>
            <w:r w:rsidRPr="005266C3">
              <w:rPr>
                <w:color w:val="000000"/>
              </w:rPr>
              <w:t xml:space="preserve">he </w:t>
            </w:r>
            <w:r>
              <w:rPr>
                <w:color w:val="000000"/>
              </w:rPr>
              <w:t>ALJs</w:t>
            </w:r>
            <w:r w:rsidRPr="005266C3">
              <w:rPr>
                <w:color w:val="000000"/>
              </w:rPr>
              <w:t xml:space="preserve"> Ordering Compliance </w:t>
            </w:r>
            <w:r>
              <w:rPr>
                <w:color w:val="000000"/>
              </w:rPr>
              <w:t>w</w:t>
            </w:r>
            <w:r w:rsidRPr="005266C3">
              <w:rPr>
                <w:color w:val="000000"/>
              </w:rPr>
              <w:t>ith Decision 08-05-035</w:t>
            </w:r>
            <w:r>
              <w:rPr>
                <w:color w:val="000000"/>
              </w:rPr>
              <w:t xml:space="preserve"> at 3.</w:t>
            </w:r>
          </w:p>
        </w:tc>
        <w:tc>
          <w:tcPr>
            <w:tcW w:w="2453" w:type="dxa"/>
          </w:tcPr>
          <w:p w:rsidRPr="007F620E" w:rsidR="0091528C" w:rsidP="003E1C89" w:rsidRDefault="0091528C" w14:paraId="4D00B9EE" w14:textId="0134E3C4">
            <w:pPr>
              <w:rPr>
                <w:color w:val="000000"/>
              </w:rPr>
            </w:pPr>
            <w:r>
              <w:rPr>
                <w:color w:val="000000"/>
              </w:rPr>
              <w:t>The AFR d</w:t>
            </w:r>
            <w:r w:rsidR="00D57F8F">
              <w:rPr>
                <w:color w:val="000000"/>
              </w:rPr>
              <w:t>id</w:t>
            </w:r>
            <w:r>
              <w:rPr>
                <w:color w:val="000000"/>
              </w:rPr>
              <w:t xml:space="preserve"> not contest this issue. Thus, EDF </w:t>
            </w:r>
            <w:r w:rsidR="00D56BF0">
              <w:rPr>
                <w:color w:val="000000"/>
              </w:rPr>
              <w:t>is not eligible for</w:t>
            </w:r>
            <w:r>
              <w:rPr>
                <w:color w:val="000000"/>
              </w:rPr>
              <w:t xml:space="preserve"> compensation for </w:t>
            </w:r>
            <w:r w:rsidR="00D56BF0">
              <w:rPr>
                <w:color w:val="000000"/>
              </w:rPr>
              <w:t xml:space="preserve">its </w:t>
            </w:r>
            <w:r>
              <w:rPr>
                <w:color w:val="000000"/>
              </w:rPr>
              <w:t>contributions on this issue as noted in Part I.C.A.</w:t>
            </w:r>
          </w:p>
        </w:tc>
      </w:tr>
      <w:tr w:rsidRPr="007F620E" w:rsidR="0091528C" w:rsidTr="00D77539" w14:paraId="00E4557E" w14:textId="77777777">
        <w:tc>
          <w:tcPr>
            <w:tcW w:w="3415" w:type="dxa"/>
          </w:tcPr>
          <w:p w:rsidR="0091528C" w:rsidP="003E1C89" w:rsidRDefault="0091528C" w14:paraId="144EC82C" w14:textId="1FBCAB6E">
            <w:pPr>
              <w:rPr>
                <w:color w:val="000000"/>
              </w:rPr>
            </w:pPr>
            <w:r>
              <w:rPr>
                <w:color w:val="000000"/>
              </w:rPr>
              <w:lastRenderedPageBreak/>
              <w:t>EDF argued that maintaining the CCM streamlines the cost of capital determination process.</w:t>
            </w:r>
          </w:p>
          <w:p w:rsidR="0091528C" w:rsidP="003E1C89" w:rsidRDefault="0091528C" w14:paraId="24A2C690" w14:textId="77777777">
            <w:pPr>
              <w:rPr>
                <w:color w:val="000000"/>
              </w:rPr>
            </w:pPr>
          </w:p>
          <w:p w:rsidR="0091528C" w:rsidP="003E1C89" w:rsidRDefault="0091528C" w14:paraId="53F3B918" w14:textId="1F0CDB44">
            <w:pPr>
              <w:rPr>
                <w:color w:val="000000"/>
              </w:rPr>
            </w:pPr>
            <w:r>
              <w:rPr>
                <w:color w:val="000000"/>
              </w:rPr>
              <w:t xml:space="preserve">Opening Brief of EDF at 7. </w:t>
            </w:r>
          </w:p>
        </w:tc>
        <w:tc>
          <w:tcPr>
            <w:tcW w:w="3870" w:type="dxa"/>
          </w:tcPr>
          <w:p w:rsidR="0091528C" w:rsidP="003E1C89" w:rsidRDefault="0091528C" w14:paraId="0BF7108B" w14:textId="77777777">
            <w:pPr>
              <w:rPr>
                <w:color w:val="000000"/>
              </w:rPr>
            </w:pPr>
            <w:r>
              <w:rPr>
                <w:color w:val="000000"/>
              </w:rPr>
              <w:t xml:space="preserve">The Commission rejected EDF’s argument and found that maintaining cost of capital at levels already authorized in 2019 would better mitigate regulatory uncertainty; however, EDF developed the record on this matter. </w:t>
            </w:r>
          </w:p>
          <w:p w:rsidR="0091528C" w:rsidP="003E1C89" w:rsidRDefault="0091528C" w14:paraId="2AA34F3C" w14:textId="77777777">
            <w:pPr>
              <w:rPr>
                <w:color w:val="000000"/>
              </w:rPr>
            </w:pPr>
          </w:p>
          <w:p w:rsidR="0091528C" w:rsidP="003E1C89" w:rsidRDefault="0091528C" w14:paraId="4810BA84" w14:textId="2DB2BB03">
            <w:pPr>
              <w:rPr>
                <w:color w:val="000000"/>
              </w:rPr>
            </w:pPr>
            <w:r>
              <w:rPr>
                <w:color w:val="000000"/>
              </w:rPr>
              <w:t xml:space="preserve">D.22-11-018 at 27. </w:t>
            </w:r>
          </w:p>
        </w:tc>
        <w:tc>
          <w:tcPr>
            <w:tcW w:w="2453" w:type="dxa"/>
          </w:tcPr>
          <w:p w:rsidRPr="007F620E" w:rsidR="0091528C" w:rsidP="003E1C89" w:rsidRDefault="0091528C" w14:paraId="44D029E7" w14:textId="020606B0">
            <w:pPr>
              <w:rPr>
                <w:color w:val="000000"/>
              </w:rPr>
            </w:pPr>
            <w:r>
              <w:rPr>
                <w:color w:val="000000"/>
              </w:rPr>
              <w:t>Noted</w:t>
            </w:r>
          </w:p>
        </w:tc>
      </w:tr>
      <w:tr w:rsidRPr="007F620E" w:rsidR="0091528C" w:rsidTr="00D77539" w14:paraId="4B30DD4D" w14:textId="77777777">
        <w:tc>
          <w:tcPr>
            <w:tcW w:w="3415" w:type="dxa"/>
          </w:tcPr>
          <w:p w:rsidR="0091528C" w:rsidP="003E1C89" w:rsidRDefault="0091528C" w14:paraId="1CD553F2" w14:textId="77777777">
            <w:pPr>
              <w:rPr>
                <w:color w:val="000000"/>
              </w:rPr>
            </w:pPr>
            <w:r>
              <w:rPr>
                <w:color w:val="000000"/>
              </w:rPr>
              <w:t>EDF argued that the CCM provides regulatory certainty and clarity.</w:t>
            </w:r>
          </w:p>
          <w:p w:rsidR="0091528C" w:rsidP="003E1C89" w:rsidRDefault="0091528C" w14:paraId="502C4A4D" w14:textId="77777777">
            <w:pPr>
              <w:rPr>
                <w:color w:val="000000"/>
              </w:rPr>
            </w:pPr>
          </w:p>
          <w:p w:rsidR="0091528C" w:rsidP="003E1C89" w:rsidRDefault="0091528C" w14:paraId="24F5DB8B" w14:textId="1393B1B9">
            <w:pPr>
              <w:rPr>
                <w:color w:val="000000"/>
              </w:rPr>
            </w:pPr>
            <w:r>
              <w:rPr>
                <w:color w:val="000000"/>
              </w:rPr>
              <w:t>EDF Testimony at 7.</w:t>
            </w:r>
          </w:p>
        </w:tc>
        <w:tc>
          <w:tcPr>
            <w:tcW w:w="3870" w:type="dxa"/>
          </w:tcPr>
          <w:p w:rsidR="0091528C" w:rsidP="003E1C89" w:rsidRDefault="0091528C" w14:paraId="1C6D864E" w14:textId="77777777">
            <w:pPr>
              <w:rPr>
                <w:color w:val="000000"/>
              </w:rPr>
            </w:pPr>
            <w:r>
              <w:rPr>
                <w:color w:val="000000"/>
              </w:rPr>
              <w:t xml:space="preserve">The Commission rejected EDF’s argument and found that maintaining cost of capital at levels already authorized in 2019 would better mitigate regulatory uncertainty; however, EDF developed the record on this matter. </w:t>
            </w:r>
          </w:p>
          <w:p w:rsidR="0091528C" w:rsidP="003E1C89" w:rsidRDefault="0091528C" w14:paraId="30C62DE9" w14:textId="77777777">
            <w:pPr>
              <w:rPr>
                <w:color w:val="000000"/>
              </w:rPr>
            </w:pPr>
          </w:p>
          <w:p w:rsidR="0091528C" w:rsidP="003E1C89" w:rsidRDefault="0091528C" w14:paraId="06F4394B" w14:textId="3DDC19BD">
            <w:pPr>
              <w:rPr>
                <w:color w:val="000000"/>
              </w:rPr>
            </w:pPr>
            <w:r>
              <w:rPr>
                <w:color w:val="000000"/>
              </w:rPr>
              <w:t xml:space="preserve">D.22-11-018 at 27. </w:t>
            </w:r>
          </w:p>
        </w:tc>
        <w:tc>
          <w:tcPr>
            <w:tcW w:w="2453" w:type="dxa"/>
          </w:tcPr>
          <w:p w:rsidRPr="007F620E" w:rsidR="0091528C" w:rsidP="003E1C89" w:rsidRDefault="001D3B42" w14:paraId="6246A4E5" w14:textId="599C358A">
            <w:pPr>
              <w:rPr>
                <w:color w:val="000000"/>
              </w:rPr>
            </w:pPr>
            <w:r>
              <w:rPr>
                <w:color w:val="000000"/>
              </w:rPr>
              <w:t>Noted</w:t>
            </w:r>
          </w:p>
        </w:tc>
      </w:tr>
      <w:tr w:rsidRPr="007F620E" w:rsidR="00B86BB4" w:rsidTr="00D77539" w14:paraId="2F08E342" w14:textId="77777777">
        <w:tc>
          <w:tcPr>
            <w:tcW w:w="3415" w:type="dxa"/>
          </w:tcPr>
          <w:p w:rsidR="00B86BB4" w:rsidP="003E1C89" w:rsidRDefault="00B86BB4" w14:paraId="2262ABEF" w14:textId="77777777">
            <w:pPr>
              <w:rPr>
                <w:color w:val="000000"/>
              </w:rPr>
            </w:pPr>
            <w:r>
              <w:rPr>
                <w:color w:val="000000"/>
              </w:rPr>
              <w:t xml:space="preserve">EDF argued that the utilities must be required to submit a joint petition for modification per precedent Commission decisions. </w:t>
            </w:r>
          </w:p>
          <w:p w:rsidR="00B86BB4" w:rsidP="003E1C89" w:rsidRDefault="00B86BB4" w14:paraId="1CD0C998" w14:textId="77777777">
            <w:pPr>
              <w:rPr>
                <w:color w:val="000000"/>
              </w:rPr>
            </w:pPr>
          </w:p>
          <w:p w:rsidR="00B86BB4" w:rsidP="003E1C89" w:rsidRDefault="00B86BB4" w14:paraId="769AB0CC" w14:textId="2D5B4132">
            <w:pPr>
              <w:rPr>
                <w:color w:val="000000"/>
              </w:rPr>
            </w:pPr>
            <w:r>
              <w:rPr>
                <w:color w:val="000000"/>
              </w:rPr>
              <w:t xml:space="preserve">Opening Comments of EDF at 5. </w:t>
            </w:r>
          </w:p>
        </w:tc>
        <w:tc>
          <w:tcPr>
            <w:tcW w:w="3870" w:type="dxa"/>
          </w:tcPr>
          <w:p w:rsidR="00B86BB4" w:rsidP="003E1C89" w:rsidRDefault="00B86BB4" w14:paraId="5A09B7C9" w14:textId="77777777">
            <w:pPr>
              <w:rPr>
                <w:color w:val="000000"/>
              </w:rPr>
            </w:pPr>
            <w:r>
              <w:rPr>
                <w:color w:val="000000"/>
              </w:rPr>
              <w:t xml:space="preserve">While acknowledging intervenor comments on this matter and reminding the utilities of their responsibility to comply with all applicable, laws, orders, decisions, and regulations, the Commission declined to require the utilities to file petitions to modify. </w:t>
            </w:r>
          </w:p>
          <w:p w:rsidR="00B86BB4" w:rsidP="003E1C89" w:rsidRDefault="00B86BB4" w14:paraId="42AE8113" w14:textId="77777777">
            <w:pPr>
              <w:rPr>
                <w:color w:val="000000"/>
              </w:rPr>
            </w:pPr>
          </w:p>
          <w:p w:rsidR="00B86BB4" w:rsidP="003E1C89" w:rsidRDefault="00B86BB4" w14:paraId="277D74E7" w14:textId="210132A4">
            <w:pPr>
              <w:rPr>
                <w:color w:val="000000"/>
              </w:rPr>
            </w:pPr>
            <w:r>
              <w:rPr>
                <w:color w:val="000000"/>
              </w:rPr>
              <w:t>D.22-11-018 at 29-30.</w:t>
            </w:r>
          </w:p>
        </w:tc>
        <w:tc>
          <w:tcPr>
            <w:tcW w:w="2453" w:type="dxa"/>
          </w:tcPr>
          <w:p w:rsidRPr="007F620E" w:rsidR="00B86BB4" w:rsidP="003E1C89" w:rsidRDefault="00B86BB4" w14:paraId="12FA7FE3" w14:textId="0B7075FA">
            <w:pPr>
              <w:rPr>
                <w:color w:val="000000"/>
              </w:rPr>
            </w:pPr>
            <w:r>
              <w:rPr>
                <w:color w:val="000000"/>
              </w:rPr>
              <w:t>The AFR d</w:t>
            </w:r>
            <w:r w:rsidR="00D57F8F">
              <w:rPr>
                <w:color w:val="000000"/>
              </w:rPr>
              <w:t>id</w:t>
            </w:r>
            <w:r>
              <w:rPr>
                <w:color w:val="000000"/>
              </w:rPr>
              <w:t xml:space="preserve"> not contest this issue. Thus, EDF </w:t>
            </w:r>
            <w:r w:rsidR="00D56BF0">
              <w:rPr>
                <w:color w:val="000000"/>
              </w:rPr>
              <w:t>is not eligible for</w:t>
            </w:r>
            <w:r w:rsidDel="00D56BF0" w:rsidR="00D56BF0">
              <w:rPr>
                <w:color w:val="000000"/>
              </w:rPr>
              <w:t xml:space="preserve"> </w:t>
            </w:r>
            <w:r>
              <w:rPr>
                <w:color w:val="000000"/>
              </w:rPr>
              <w:t xml:space="preserve">compensation for </w:t>
            </w:r>
            <w:r w:rsidR="00D56BF0">
              <w:rPr>
                <w:color w:val="000000"/>
              </w:rPr>
              <w:t xml:space="preserve">its </w:t>
            </w:r>
            <w:r>
              <w:rPr>
                <w:color w:val="000000"/>
              </w:rPr>
              <w:t>contributions on this issue as noted in Part I.C.A.</w:t>
            </w:r>
          </w:p>
        </w:tc>
      </w:tr>
      <w:tr w:rsidRPr="007F620E" w:rsidR="00B7458F" w:rsidTr="00D77539" w14:paraId="26D2895F" w14:textId="77777777">
        <w:tc>
          <w:tcPr>
            <w:tcW w:w="3415" w:type="dxa"/>
          </w:tcPr>
          <w:p w:rsidR="00B7458F" w:rsidP="003E1C89" w:rsidRDefault="00B7458F" w14:paraId="1971F432" w14:textId="245E0D04">
            <w:pPr>
              <w:rPr>
                <w:color w:val="000000"/>
              </w:rPr>
            </w:pPr>
            <w:r>
              <w:rPr>
                <w:color w:val="000000"/>
              </w:rPr>
              <w:t xml:space="preserve">EDF did not dispute that an “extraordinary or catastrophic event” had occurred during the COVID-19 pandemic. </w:t>
            </w:r>
          </w:p>
          <w:p w:rsidR="00B7458F" w:rsidP="003E1C89" w:rsidRDefault="00B7458F" w14:paraId="1A888D4B" w14:textId="77777777">
            <w:pPr>
              <w:rPr>
                <w:color w:val="000000"/>
              </w:rPr>
            </w:pPr>
          </w:p>
          <w:p w:rsidR="00B7458F" w:rsidP="003E1C89" w:rsidRDefault="00B7458F" w14:paraId="1BA81309" w14:textId="77777777">
            <w:pPr>
              <w:rPr>
                <w:color w:val="000000"/>
              </w:rPr>
            </w:pPr>
            <w:r>
              <w:rPr>
                <w:color w:val="000000"/>
              </w:rPr>
              <w:t>Opening Brief of EDF at 10-11.</w:t>
            </w:r>
          </w:p>
          <w:p w:rsidR="00B7458F" w:rsidP="003E1C89" w:rsidRDefault="00B7458F" w14:paraId="4571B5A0" w14:textId="77777777">
            <w:pPr>
              <w:rPr>
                <w:color w:val="000000"/>
              </w:rPr>
            </w:pPr>
          </w:p>
          <w:p w:rsidR="00B7458F" w:rsidP="003E1C89" w:rsidRDefault="00B7458F" w14:paraId="24F406D0" w14:textId="77777777">
            <w:pPr>
              <w:rPr>
                <w:color w:val="000000"/>
              </w:rPr>
            </w:pPr>
            <w:r>
              <w:rPr>
                <w:color w:val="000000"/>
              </w:rPr>
              <w:t xml:space="preserve">Reply Brief of EDF at 4. </w:t>
            </w:r>
          </w:p>
          <w:p w:rsidR="00B7458F" w:rsidP="003E1C89" w:rsidRDefault="00B7458F" w14:paraId="40553B5F" w14:textId="42D74E83">
            <w:pPr>
              <w:rPr>
                <w:color w:val="000000"/>
              </w:rPr>
            </w:pPr>
            <w:r>
              <w:rPr>
                <w:color w:val="000000"/>
              </w:rPr>
              <w:t xml:space="preserve"> </w:t>
            </w:r>
          </w:p>
        </w:tc>
        <w:tc>
          <w:tcPr>
            <w:tcW w:w="3870" w:type="dxa"/>
          </w:tcPr>
          <w:p w:rsidR="00B7458F" w:rsidP="003E1C89" w:rsidRDefault="00B7458F" w14:paraId="6CE6CD93" w14:textId="6BF42024">
            <w:pPr>
              <w:rPr>
                <w:color w:val="000000"/>
              </w:rPr>
            </w:pPr>
            <w:r>
              <w:rPr>
                <w:color w:val="000000"/>
              </w:rPr>
              <w:t xml:space="preserve">The Commission found that the COVID-19 pandemic was “an extraordinary event” extending beyond October 2020 through September 2021. </w:t>
            </w:r>
          </w:p>
          <w:p w:rsidR="00B7458F" w:rsidP="003E1C89" w:rsidRDefault="00B7458F" w14:paraId="000AD394" w14:textId="77777777">
            <w:pPr>
              <w:rPr>
                <w:color w:val="000000"/>
              </w:rPr>
            </w:pPr>
          </w:p>
          <w:p w:rsidR="00B7458F" w:rsidP="003E1C89" w:rsidRDefault="00B7458F" w14:paraId="20D3934B" w14:textId="61A630DD">
            <w:pPr>
              <w:rPr>
                <w:color w:val="000000"/>
              </w:rPr>
            </w:pPr>
            <w:r>
              <w:rPr>
                <w:color w:val="000000"/>
              </w:rPr>
              <w:t xml:space="preserve">D.22-11-018 at 9. </w:t>
            </w:r>
          </w:p>
        </w:tc>
        <w:tc>
          <w:tcPr>
            <w:tcW w:w="2453" w:type="dxa"/>
          </w:tcPr>
          <w:p w:rsidRPr="007F620E" w:rsidR="00B7458F" w:rsidP="003E1C89" w:rsidRDefault="004D56CA" w14:paraId="6FC655B2" w14:textId="5B40D037">
            <w:pPr>
              <w:rPr>
                <w:color w:val="000000"/>
              </w:rPr>
            </w:pPr>
            <w:r>
              <w:rPr>
                <w:color w:val="000000"/>
              </w:rPr>
              <w:t>The AFR d</w:t>
            </w:r>
            <w:r w:rsidR="00D57F8F">
              <w:rPr>
                <w:color w:val="000000"/>
              </w:rPr>
              <w:t>id</w:t>
            </w:r>
            <w:r>
              <w:rPr>
                <w:color w:val="000000"/>
              </w:rPr>
              <w:t xml:space="preserve"> not contest this issue.</w:t>
            </w:r>
            <w:r w:rsidR="00E044A0">
              <w:rPr>
                <w:color w:val="000000"/>
              </w:rPr>
              <w:t xml:space="preserve"> </w:t>
            </w:r>
            <w:r w:rsidR="00B7458F">
              <w:rPr>
                <w:color w:val="000000"/>
              </w:rPr>
              <w:t xml:space="preserve">Thus, EDF </w:t>
            </w:r>
            <w:r w:rsidR="00D56BF0">
              <w:rPr>
                <w:color w:val="000000"/>
              </w:rPr>
              <w:t>is not eligible for</w:t>
            </w:r>
            <w:r w:rsidR="00B7458F">
              <w:rPr>
                <w:color w:val="000000"/>
              </w:rPr>
              <w:t xml:space="preserve"> compensation for </w:t>
            </w:r>
            <w:r w:rsidR="00D56BF0">
              <w:rPr>
                <w:color w:val="000000"/>
              </w:rPr>
              <w:t xml:space="preserve">its </w:t>
            </w:r>
            <w:r w:rsidR="00B7458F">
              <w:rPr>
                <w:color w:val="000000"/>
              </w:rPr>
              <w:t>contributions on this issue as noted in Part I.C.A.</w:t>
            </w:r>
          </w:p>
        </w:tc>
      </w:tr>
      <w:tr w:rsidRPr="007F620E" w:rsidR="00B7458F" w:rsidTr="00D77539" w14:paraId="358B111B" w14:textId="77777777">
        <w:tc>
          <w:tcPr>
            <w:tcW w:w="3415" w:type="dxa"/>
          </w:tcPr>
          <w:p w:rsidR="00B7458F" w:rsidP="003E1C89" w:rsidRDefault="00B7458F" w14:paraId="58EBC7D6" w14:textId="15D8A05C">
            <w:pPr>
              <w:rPr>
                <w:color w:val="000000"/>
              </w:rPr>
            </w:pPr>
            <w:r>
              <w:rPr>
                <w:color w:val="000000"/>
              </w:rPr>
              <w:lastRenderedPageBreak/>
              <w:t>EDF highlighted that both the state of California and the Commission took significant action to mitigate the impacts of the pandemic on the utilities, including relief for the most significant risk of rising uncollectible billing revenues.</w:t>
            </w:r>
          </w:p>
          <w:p w:rsidR="00B7458F" w:rsidP="003E1C89" w:rsidRDefault="00B7458F" w14:paraId="6DE828CB" w14:textId="77777777">
            <w:pPr>
              <w:rPr>
                <w:color w:val="000000"/>
              </w:rPr>
            </w:pPr>
          </w:p>
          <w:p w:rsidR="00B7458F" w:rsidP="003E1C89" w:rsidRDefault="00B7458F" w14:paraId="65BFBCB2" w14:textId="685E4B2F">
            <w:pPr>
              <w:rPr>
                <w:color w:val="000000"/>
              </w:rPr>
            </w:pPr>
            <w:r>
              <w:rPr>
                <w:color w:val="000000"/>
              </w:rPr>
              <w:t>EDF Testimony at 9.</w:t>
            </w:r>
          </w:p>
        </w:tc>
        <w:tc>
          <w:tcPr>
            <w:tcW w:w="3870" w:type="dxa"/>
          </w:tcPr>
          <w:p w:rsidR="00B7458F" w:rsidP="003E1C89" w:rsidRDefault="00B7458F" w14:paraId="59AF292F" w14:textId="77777777">
            <w:pPr>
              <w:rPr>
                <w:color w:val="000000"/>
              </w:rPr>
            </w:pPr>
            <w:r>
              <w:rPr>
                <w:color w:val="000000"/>
              </w:rPr>
              <w:t>The Commission did not accept EDF’s argument; however, EDF developed the record on this matter.</w:t>
            </w:r>
          </w:p>
          <w:p w:rsidR="00B7458F" w:rsidP="003E1C89" w:rsidRDefault="00B7458F" w14:paraId="3A7F1B97" w14:textId="77777777">
            <w:pPr>
              <w:rPr>
                <w:color w:val="000000"/>
              </w:rPr>
            </w:pPr>
          </w:p>
          <w:p w:rsidR="00B7458F" w:rsidP="003E1C89" w:rsidRDefault="00B7458F" w14:paraId="07B6E2FE" w14:textId="39523EC1">
            <w:pPr>
              <w:rPr>
                <w:color w:val="000000"/>
              </w:rPr>
            </w:pPr>
            <w:r>
              <w:rPr>
                <w:color w:val="000000"/>
              </w:rPr>
              <w:t>D.22-11-018 at 9.</w:t>
            </w:r>
          </w:p>
        </w:tc>
        <w:tc>
          <w:tcPr>
            <w:tcW w:w="2453" w:type="dxa"/>
          </w:tcPr>
          <w:p w:rsidRPr="007F620E" w:rsidR="00B7458F" w:rsidP="003E1C89" w:rsidRDefault="00CD07A1" w14:paraId="0E2ED416" w14:textId="76563665">
            <w:pPr>
              <w:rPr>
                <w:color w:val="000000"/>
              </w:rPr>
            </w:pPr>
            <w:r>
              <w:rPr>
                <w:color w:val="000000"/>
              </w:rPr>
              <w:t>The AFR d</w:t>
            </w:r>
            <w:r w:rsidR="00D57F8F">
              <w:rPr>
                <w:color w:val="000000"/>
              </w:rPr>
              <w:t>id</w:t>
            </w:r>
            <w:r>
              <w:rPr>
                <w:color w:val="000000"/>
              </w:rPr>
              <w:t xml:space="preserve"> not contest this issue</w:t>
            </w:r>
            <w:r w:rsidR="00276474">
              <w:rPr>
                <w:color w:val="000000"/>
              </w:rPr>
              <w:t xml:space="preserve">. </w:t>
            </w:r>
            <w:r w:rsidR="00B7458F">
              <w:rPr>
                <w:color w:val="000000"/>
              </w:rPr>
              <w:t xml:space="preserve">Thus, EDF </w:t>
            </w:r>
            <w:r w:rsidR="00D56BF0">
              <w:rPr>
                <w:color w:val="000000"/>
              </w:rPr>
              <w:t>is not eligible for</w:t>
            </w:r>
            <w:r w:rsidDel="00D56BF0" w:rsidR="00D56BF0">
              <w:rPr>
                <w:color w:val="000000"/>
              </w:rPr>
              <w:t xml:space="preserve"> </w:t>
            </w:r>
            <w:r w:rsidR="00B7458F">
              <w:rPr>
                <w:color w:val="000000"/>
              </w:rPr>
              <w:t xml:space="preserve">compensation for </w:t>
            </w:r>
            <w:r w:rsidR="00D56BF0">
              <w:rPr>
                <w:color w:val="000000"/>
              </w:rPr>
              <w:t xml:space="preserve">its </w:t>
            </w:r>
            <w:r w:rsidR="00B7458F">
              <w:rPr>
                <w:color w:val="000000"/>
              </w:rPr>
              <w:t>contributions on this issue as noted in Part I.C.A.</w:t>
            </w:r>
          </w:p>
        </w:tc>
      </w:tr>
      <w:tr w:rsidRPr="007F620E" w:rsidR="00AA42BC" w:rsidTr="00D77539" w14:paraId="1B4FA041" w14:textId="77777777">
        <w:tc>
          <w:tcPr>
            <w:tcW w:w="3415" w:type="dxa"/>
          </w:tcPr>
          <w:p w:rsidR="00AA42BC" w:rsidP="003E1C89" w:rsidRDefault="00AA42BC" w14:paraId="4927B1D9" w14:textId="77777777">
            <w:pPr>
              <w:rPr>
                <w:color w:val="000000"/>
              </w:rPr>
            </w:pPr>
            <w:r>
              <w:rPr>
                <w:color w:val="000000"/>
              </w:rPr>
              <w:t xml:space="preserve">EDF argued that the utilities’ costs of capital and/or capital structures were not materially impacted since the utilities did not demonstrate any inability to raise capital or issue debt. </w:t>
            </w:r>
          </w:p>
          <w:p w:rsidR="00AA42BC" w:rsidP="003E1C89" w:rsidRDefault="00AA42BC" w14:paraId="5BE7BDD3" w14:textId="77777777">
            <w:pPr>
              <w:rPr>
                <w:color w:val="000000"/>
              </w:rPr>
            </w:pPr>
          </w:p>
          <w:p w:rsidR="00AA42BC" w:rsidP="003E1C89" w:rsidRDefault="00AA42BC" w14:paraId="170CB664" w14:textId="77777777">
            <w:pPr>
              <w:rPr>
                <w:color w:val="000000"/>
              </w:rPr>
            </w:pPr>
            <w:r>
              <w:rPr>
                <w:color w:val="000000"/>
              </w:rPr>
              <w:t xml:space="preserve">Opening Brief of EDF at 12. </w:t>
            </w:r>
          </w:p>
          <w:p w:rsidR="00AA42BC" w:rsidP="003E1C89" w:rsidRDefault="00AA42BC" w14:paraId="74E06179" w14:textId="77777777">
            <w:pPr>
              <w:rPr>
                <w:color w:val="000000"/>
              </w:rPr>
            </w:pPr>
          </w:p>
          <w:p w:rsidR="00AA42BC" w:rsidP="003E1C89" w:rsidRDefault="00AA42BC" w14:paraId="01B86835" w14:textId="77777777">
            <w:pPr>
              <w:rPr>
                <w:color w:val="000000"/>
              </w:rPr>
            </w:pPr>
            <w:r>
              <w:rPr>
                <w:color w:val="000000"/>
              </w:rPr>
              <w:t>Reply Brief of EDF at 7.</w:t>
            </w:r>
          </w:p>
          <w:p w:rsidR="00AA42BC" w:rsidP="003E1C89" w:rsidRDefault="00AA42BC" w14:paraId="1892139C" w14:textId="77777777">
            <w:pPr>
              <w:rPr>
                <w:color w:val="000000"/>
              </w:rPr>
            </w:pPr>
          </w:p>
          <w:p w:rsidR="00AA42BC" w:rsidP="003E1C89" w:rsidRDefault="00AA42BC" w14:paraId="771E0D50" w14:textId="02249BE6">
            <w:pPr>
              <w:rPr>
                <w:color w:val="000000"/>
              </w:rPr>
            </w:pPr>
            <w:r>
              <w:rPr>
                <w:color w:val="000000"/>
              </w:rPr>
              <w:t>EDF Testimony at 8.</w:t>
            </w:r>
          </w:p>
        </w:tc>
        <w:tc>
          <w:tcPr>
            <w:tcW w:w="3870" w:type="dxa"/>
          </w:tcPr>
          <w:p w:rsidR="00AA42BC" w:rsidP="003E1C89" w:rsidRDefault="00AA42BC" w14:paraId="4776D304" w14:textId="61568319">
            <w:r>
              <w:rPr>
                <w:color w:val="000000"/>
              </w:rPr>
              <w:t xml:space="preserve">The Commission rejected EDF’s argument, finding that the threshold for </w:t>
            </w:r>
            <w:r>
              <w:t>filing off-cycle applications does not require events such as a credit downgrade or lack of access to capital; however, EDF developed the record on this matter.</w:t>
            </w:r>
          </w:p>
          <w:p w:rsidR="00AA42BC" w:rsidP="003E1C89" w:rsidRDefault="00AA42BC" w14:paraId="31C6396B" w14:textId="77777777">
            <w:pPr>
              <w:rPr>
                <w:color w:val="000000"/>
              </w:rPr>
            </w:pPr>
          </w:p>
          <w:p w:rsidR="00AA42BC" w:rsidP="003E1C89" w:rsidRDefault="00AA42BC" w14:paraId="56F1A87A" w14:textId="1EFFCCCA">
            <w:pPr>
              <w:rPr>
                <w:color w:val="000000"/>
              </w:rPr>
            </w:pPr>
            <w:r>
              <w:rPr>
                <w:color w:val="000000"/>
              </w:rPr>
              <w:t xml:space="preserve">D.22-11-018 at 18. </w:t>
            </w:r>
          </w:p>
        </w:tc>
        <w:tc>
          <w:tcPr>
            <w:tcW w:w="2453" w:type="dxa"/>
          </w:tcPr>
          <w:p w:rsidRPr="007F620E" w:rsidR="00AA42BC" w:rsidP="003E1C89" w:rsidRDefault="00CD07A1" w14:paraId="0FD93840" w14:textId="6B8BC507">
            <w:pPr>
              <w:rPr>
                <w:color w:val="000000"/>
              </w:rPr>
            </w:pPr>
            <w:r>
              <w:rPr>
                <w:color w:val="000000"/>
              </w:rPr>
              <w:t>The AFR d</w:t>
            </w:r>
            <w:r w:rsidR="00D57F8F">
              <w:rPr>
                <w:color w:val="000000"/>
              </w:rPr>
              <w:t>id</w:t>
            </w:r>
            <w:r>
              <w:rPr>
                <w:color w:val="000000"/>
              </w:rPr>
              <w:t xml:space="preserve"> not contest this issue. </w:t>
            </w:r>
            <w:r w:rsidR="00AA42BC">
              <w:rPr>
                <w:color w:val="000000"/>
              </w:rPr>
              <w:t xml:space="preserve">Thus, EDF </w:t>
            </w:r>
            <w:r w:rsidR="00D56BF0">
              <w:rPr>
                <w:color w:val="000000"/>
              </w:rPr>
              <w:t>is not eligible for</w:t>
            </w:r>
            <w:r w:rsidDel="00D56BF0" w:rsidR="00D56BF0">
              <w:rPr>
                <w:color w:val="000000"/>
              </w:rPr>
              <w:t xml:space="preserve"> </w:t>
            </w:r>
            <w:r w:rsidR="00AA42BC">
              <w:rPr>
                <w:color w:val="000000"/>
              </w:rPr>
              <w:t xml:space="preserve">compensation for </w:t>
            </w:r>
            <w:r w:rsidR="00D56BF0">
              <w:rPr>
                <w:color w:val="000000"/>
              </w:rPr>
              <w:t xml:space="preserve">its </w:t>
            </w:r>
            <w:r w:rsidR="00AA42BC">
              <w:rPr>
                <w:color w:val="000000"/>
              </w:rPr>
              <w:t>contributions on this issue as noted in Part I.C.A.</w:t>
            </w:r>
          </w:p>
        </w:tc>
      </w:tr>
      <w:tr w:rsidRPr="007F620E" w:rsidR="00AA42BC" w:rsidTr="00D77539" w14:paraId="3847FBE7" w14:textId="77777777">
        <w:tc>
          <w:tcPr>
            <w:tcW w:w="3415" w:type="dxa"/>
          </w:tcPr>
          <w:p w:rsidR="00AA42BC" w:rsidP="003E1C89" w:rsidRDefault="00AA42BC" w14:paraId="68C54683" w14:textId="42A8C2EB">
            <w:pPr>
              <w:rPr>
                <w:color w:val="000000"/>
              </w:rPr>
            </w:pPr>
            <w:r>
              <w:rPr>
                <w:color w:val="000000"/>
              </w:rPr>
              <w:t xml:space="preserve">EDF argued that the COVID-19 pandemic did not impact the utilities differently from overall financial markets. </w:t>
            </w:r>
          </w:p>
          <w:p w:rsidR="00AA42BC" w:rsidP="003E1C89" w:rsidRDefault="00AA42BC" w14:paraId="6F35D3A6" w14:textId="77777777">
            <w:pPr>
              <w:rPr>
                <w:color w:val="000000"/>
              </w:rPr>
            </w:pPr>
          </w:p>
          <w:p w:rsidR="00AA42BC" w:rsidP="003E1C89" w:rsidRDefault="00AA42BC" w14:paraId="0D535489" w14:textId="77777777">
            <w:pPr>
              <w:rPr>
                <w:color w:val="000000"/>
              </w:rPr>
            </w:pPr>
            <w:r>
              <w:rPr>
                <w:color w:val="000000"/>
              </w:rPr>
              <w:t xml:space="preserve">Opening Brief of EDF at 13. </w:t>
            </w:r>
          </w:p>
          <w:p w:rsidR="00AA42BC" w:rsidP="003E1C89" w:rsidRDefault="00AA42BC" w14:paraId="17473EB1" w14:textId="2A105196">
            <w:pPr>
              <w:tabs>
                <w:tab w:val="right" w:pos="3199"/>
              </w:tabs>
              <w:rPr>
                <w:color w:val="000000"/>
              </w:rPr>
            </w:pPr>
            <w:r>
              <w:rPr>
                <w:color w:val="000000"/>
              </w:rPr>
              <w:tab/>
            </w:r>
          </w:p>
        </w:tc>
        <w:tc>
          <w:tcPr>
            <w:tcW w:w="3870" w:type="dxa"/>
          </w:tcPr>
          <w:p w:rsidR="00AA42BC" w:rsidP="003E1C89" w:rsidRDefault="00AA42BC" w14:paraId="237C4CB6" w14:textId="77777777">
            <w:pPr>
              <w:rPr>
                <w:color w:val="000000"/>
              </w:rPr>
            </w:pPr>
            <w:r>
              <w:rPr>
                <w:color w:val="000000"/>
              </w:rPr>
              <w:t xml:space="preserve">The Commission rejected EDF’s argument; however, EDF developed the record on this matter. </w:t>
            </w:r>
          </w:p>
          <w:p w:rsidR="00AA42BC" w:rsidP="003E1C89" w:rsidRDefault="00AA42BC" w14:paraId="3E947FE6" w14:textId="77777777">
            <w:pPr>
              <w:rPr>
                <w:color w:val="000000"/>
              </w:rPr>
            </w:pPr>
          </w:p>
          <w:p w:rsidR="00AA42BC" w:rsidP="003E1C89" w:rsidRDefault="00AA42BC" w14:paraId="233CDC07" w14:textId="3BFF843D">
            <w:pPr>
              <w:rPr>
                <w:color w:val="000000"/>
              </w:rPr>
            </w:pPr>
            <w:r>
              <w:rPr>
                <w:color w:val="000000"/>
              </w:rPr>
              <w:t>D.22-11-018 at 18 and 27.</w:t>
            </w:r>
          </w:p>
        </w:tc>
        <w:tc>
          <w:tcPr>
            <w:tcW w:w="2453" w:type="dxa"/>
          </w:tcPr>
          <w:p w:rsidRPr="007F620E" w:rsidR="00AA42BC" w:rsidP="003E1C89" w:rsidRDefault="00276474" w14:paraId="70D1B635" w14:textId="18506D5F">
            <w:pPr>
              <w:rPr>
                <w:color w:val="000000"/>
              </w:rPr>
            </w:pPr>
            <w:r>
              <w:rPr>
                <w:color w:val="000000"/>
              </w:rPr>
              <w:t xml:space="preserve">The AFR </w:t>
            </w:r>
            <w:r w:rsidR="00CD07A1">
              <w:rPr>
                <w:color w:val="000000"/>
              </w:rPr>
              <w:t>did not contest this issue</w:t>
            </w:r>
            <w:r>
              <w:rPr>
                <w:color w:val="000000"/>
              </w:rPr>
              <w:t xml:space="preserve">. </w:t>
            </w:r>
            <w:r w:rsidR="00AA42BC">
              <w:rPr>
                <w:color w:val="000000"/>
              </w:rPr>
              <w:t xml:space="preserve">Thus, EDF </w:t>
            </w:r>
            <w:r w:rsidR="00D56BF0">
              <w:rPr>
                <w:color w:val="000000"/>
              </w:rPr>
              <w:t>is not eligible for</w:t>
            </w:r>
            <w:r w:rsidR="00AA42BC">
              <w:rPr>
                <w:color w:val="000000"/>
              </w:rPr>
              <w:t xml:space="preserve"> compensation for </w:t>
            </w:r>
            <w:r w:rsidR="00D56BF0">
              <w:rPr>
                <w:color w:val="000000"/>
              </w:rPr>
              <w:t xml:space="preserve">its </w:t>
            </w:r>
            <w:r w:rsidR="00AA42BC">
              <w:rPr>
                <w:color w:val="000000"/>
              </w:rPr>
              <w:t>contributions on this issue as noted in Part I.C.A.</w:t>
            </w:r>
          </w:p>
        </w:tc>
      </w:tr>
      <w:tr w:rsidRPr="007F620E" w:rsidR="00AA42BC" w:rsidTr="00D77539" w14:paraId="632DA586" w14:textId="77777777">
        <w:tc>
          <w:tcPr>
            <w:tcW w:w="3415" w:type="dxa"/>
          </w:tcPr>
          <w:p w:rsidR="00AA42BC" w:rsidP="003E1C89" w:rsidRDefault="00AA42BC" w14:paraId="213D1A64" w14:textId="77777777">
            <w:pPr>
              <w:rPr>
                <w:color w:val="000000"/>
              </w:rPr>
            </w:pPr>
            <w:r>
              <w:rPr>
                <w:color w:val="000000"/>
              </w:rPr>
              <w:t>EDF argued that the California utilities’ share prices show rising valuations over a longer period of time; and that the focus on short-term betas should be disregarded as myopic.</w:t>
            </w:r>
          </w:p>
          <w:p w:rsidR="00AA42BC" w:rsidP="003E1C89" w:rsidRDefault="00AA42BC" w14:paraId="20A442D5" w14:textId="77777777">
            <w:pPr>
              <w:rPr>
                <w:color w:val="000000"/>
              </w:rPr>
            </w:pPr>
          </w:p>
          <w:p w:rsidR="00AA42BC" w:rsidP="003E1C89" w:rsidRDefault="00AA42BC" w14:paraId="3CB07BB4" w14:textId="59563381">
            <w:pPr>
              <w:rPr>
                <w:color w:val="000000"/>
              </w:rPr>
            </w:pPr>
            <w:r>
              <w:rPr>
                <w:color w:val="000000"/>
              </w:rPr>
              <w:t>EDF Testimony at 15-23.</w:t>
            </w:r>
          </w:p>
        </w:tc>
        <w:tc>
          <w:tcPr>
            <w:tcW w:w="3870" w:type="dxa"/>
          </w:tcPr>
          <w:p w:rsidR="00AA42BC" w:rsidP="003E1C89" w:rsidRDefault="00AA42BC" w14:paraId="5401DDCE" w14:textId="77777777">
            <w:pPr>
              <w:rPr>
                <w:color w:val="000000"/>
              </w:rPr>
            </w:pPr>
            <w:r>
              <w:rPr>
                <w:color w:val="000000"/>
              </w:rPr>
              <w:t xml:space="preserve">The Commission rejected EDF’s argument; however, EDF developed the record on this matter. </w:t>
            </w:r>
          </w:p>
          <w:p w:rsidR="00AA42BC" w:rsidP="003E1C89" w:rsidRDefault="00AA42BC" w14:paraId="66A70E1C" w14:textId="77777777">
            <w:pPr>
              <w:rPr>
                <w:color w:val="000000"/>
              </w:rPr>
            </w:pPr>
          </w:p>
          <w:p w:rsidR="00AA42BC" w:rsidP="003E1C89" w:rsidRDefault="00AA42BC" w14:paraId="59867D35" w14:textId="31D5460D">
            <w:pPr>
              <w:rPr>
                <w:color w:val="000000"/>
              </w:rPr>
            </w:pPr>
            <w:r>
              <w:rPr>
                <w:color w:val="000000"/>
              </w:rPr>
              <w:t>D.22-11-018 at 18 and 27.</w:t>
            </w:r>
          </w:p>
        </w:tc>
        <w:tc>
          <w:tcPr>
            <w:tcW w:w="2453" w:type="dxa"/>
          </w:tcPr>
          <w:p w:rsidRPr="007F620E" w:rsidR="00AA42BC" w:rsidP="003E1C89" w:rsidRDefault="00CD07A1" w14:paraId="177E4BC6" w14:textId="46EC73E8">
            <w:pPr>
              <w:rPr>
                <w:color w:val="000000"/>
              </w:rPr>
            </w:pPr>
            <w:r>
              <w:rPr>
                <w:color w:val="000000"/>
              </w:rPr>
              <w:t xml:space="preserve">The AFR did not contest this issue. </w:t>
            </w:r>
            <w:r w:rsidR="00276474">
              <w:rPr>
                <w:color w:val="000000"/>
              </w:rPr>
              <w:t xml:space="preserve"> </w:t>
            </w:r>
            <w:r w:rsidR="00873685">
              <w:rPr>
                <w:color w:val="000000"/>
              </w:rPr>
              <w:t xml:space="preserve">Thus, EDF </w:t>
            </w:r>
            <w:r w:rsidR="00D56BF0">
              <w:rPr>
                <w:color w:val="000000"/>
              </w:rPr>
              <w:t>is not eligible for</w:t>
            </w:r>
            <w:r w:rsidDel="00D56BF0" w:rsidR="00D56BF0">
              <w:rPr>
                <w:color w:val="000000"/>
              </w:rPr>
              <w:t xml:space="preserve"> </w:t>
            </w:r>
            <w:r w:rsidR="00873685">
              <w:rPr>
                <w:color w:val="000000"/>
              </w:rPr>
              <w:t xml:space="preserve">compensation for </w:t>
            </w:r>
            <w:r w:rsidR="00D56BF0">
              <w:rPr>
                <w:color w:val="000000"/>
              </w:rPr>
              <w:t xml:space="preserve">its </w:t>
            </w:r>
            <w:r w:rsidR="00873685">
              <w:rPr>
                <w:color w:val="000000"/>
              </w:rPr>
              <w:t>contributions on this issue as noted in Part I.C.A.</w:t>
            </w:r>
          </w:p>
        </w:tc>
      </w:tr>
      <w:tr w:rsidRPr="007F620E" w:rsidR="00AA42BC" w:rsidTr="00D77539" w14:paraId="3121F652" w14:textId="77777777">
        <w:tc>
          <w:tcPr>
            <w:tcW w:w="3415" w:type="dxa"/>
          </w:tcPr>
          <w:p w:rsidR="00AA42BC" w:rsidP="003E1C89" w:rsidRDefault="00AA42BC" w14:paraId="1E252A0D" w14:textId="2CAB84FB">
            <w:pPr>
              <w:rPr>
                <w:color w:val="000000"/>
              </w:rPr>
            </w:pPr>
            <w:r>
              <w:rPr>
                <w:color w:val="000000"/>
              </w:rPr>
              <w:lastRenderedPageBreak/>
              <w:t>EDF argued that the focus on short-term betas should be disregarded as myopic.</w:t>
            </w:r>
          </w:p>
          <w:p w:rsidR="00AA42BC" w:rsidP="003E1C89" w:rsidRDefault="00AA42BC" w14:paraId="4B195FEF" w14:textId="77777777">
            <w:pPr>
              <w:rPr>
                <w:color w:val="000000"/>
              </w:rPr>
            </w:pPr>
          </w:p>
          <w:p w:rsidR="00AA42BC" w:rsidP="003E1C89" w:rsidRDefault="00AA42BC" w14:paraId="355EE8E2" w14:textId="3F1CA4B5">
            <w:pPr>
              <w:rPr>
                <w:color w:val="000000"/>
              </w:rPr>
            </w:pPr>
            <w:r>
              <w:rPr>
                <w:color w:val="000000"/>
              </w:rPr>
              <w:t>Reply Brief of EDF at 10.</w:t>
            </w:r>
          </w:p>
        </w:tc>
        <w:tc>
          <w:tcPr>
            <w:tcW w:w="3870" w:type="dxa"/>
          </w:tcPr>
          <w:p w:rsidR="00AA42BC" w:rsidP="003E1C89" w:rsidRDefault="00AA42BC" w14:paraId="1158FD3E" w14:textId="77777777">
            <w:pPr>
              <w:rPr>
                <w:color w:val="000000"/>
              </w:rPr>
            </w:pPr>
            <w:r>
              <w:rPr>
                <w:color w:val="000000"/>
              </w:rPr>
              <w:t xml:space="preserve">The Commission rejected EDF’s argument; however, EDF developed the record on this matter. </w:t>
            </w:r>
          </w:p>
          <w:p w:rsidR="00AA42BC" w:rsidP="003E1C89" w:rsidRDefault="00AA42BC" w14:paraId="1DF7EEF2" w14:textId="77777777">
            <w:pPr>
              <w:rPr>
                <w:color w:val="000000"/>
              </w:rPr>
            </w:pPr>
          </w:p>
          <w:p w:rsidR="00AA42BC" w:rsidP="003E1C89" w:rsidRDefault="00AA42BC" w14:paraId="1518E87E" w14:textId="4B966EF7">
            <w:pPr>
              <w:rPr>
                <w:color w:val="000000"/>
              </w:rPr>
            </w:pPr>
            <w:r>
              <w:rPr>
                <w:color w:val="000000"/>
              </w:rPr>
              <w:t>D.22-11-018 at 18 and 27.</w:t>
            </w:r>
          </w:p>
        </w:tc>
        <w:tc>
          <w:tcPr>
            <w:tcW w:w="2453" w:type="dxa"/>
          </w:tcPr>
          <w:p w:rsidRPr="007F620E" w:rsidR="00AA42BC" w:rsidP="003E1C89" w:rsidRDefault="00CD07A1" w14:paraId="779BDAB3" w14:textId="0DE82997">
            <w:pPr>
              <w:rPr>
                <w:color w:val="000000"/>
              </w:rPr>
            </w:pPr>
            <w:r>
              <w:rPr>
                <w:color w:val="000000"/>
              </w:rPr>
              <w:t>The AFR did not contest this issue.</w:t>
            </w:r>
            <w:r w:rsidR="00276474">
              <w:rPr>
                <w:color w:val="000000"/>
              </w:rPr>
              <w:t xml:space="preserve"> </w:t>
            </w:r>
            <w:r w:rsidR="00873685">
              <w:rPr>
                <w:color w:val="000000"/>
              </w:rPr>
              <w:t xml:space="preserve">Thus, EDF </w:t>
            </w:r>
            <w:r w:rsidR="007D0197">
              <w:rPr>
                <w:color w:val="000000"/>
              </w:rPr>
              <w:t>is not eligible for</w:t>
            </w:r>
            <w:r w:rsidR="00873685">
              <w:rPr>
                <w:color w:val="000000"/>
              </w:rPr>
              <w:t xml:space="preserve"> compensation for their contributions on this issue as noted in Part I.C.A.</w:t>
            </w:r>
          </w:p>
        </w:tc>
      </w:tr>
      <w:tr w:rsidRPr="007F620E" w:rsidR="00AA42BC" w:rsidTr="00D77539" w14:paraId="7E58AF9C" w14:textId="77777777">
        <w:tc>
          <w:tcPr>
            <w:tcW w:w="3415" w:type="dxa"/>
          </w:tcPr>
          <w:p w:rsidR="00AA42BC" w:rsidP="003E1C89" w:rsidRDefault="00AA42BC" w14:paraId="2B39AAB9" w14:textId="77777777">
            <w:pPr>
              <w:rPr>
                <w:color w:val="000000"/>
              </w:rPr>
            </w:pPr>
            <w:r>
              <w:rPr>
                <w:color w:val="000000"/>
              </w:rPr>
              <w:t xml:space="preserve">EDF argued that the Commission should apply enhanced scrutiny to whether the utilities’ coordination have been in violation of antitrust laws or Commission decisions. </w:t>
            </w:r>
          </w:p>
          <w:p w:rsidR="00AA42BC" w:rsidP="003E1C89" w:rsidRDefault="00AA42BC" w14:paraId="551EF949" w14:textId="77777777">
            <w:pPr>
              <w:rPr>
                <w:color w:val="000000"/>
              </w:rPr>
            </w:pPr>
          </w:p>
          <w:p w:rsidR="00AA42BC" w:rsidP="003E1C89" w:rsidRDefault="00AA42BC" w14:paraId="7E9CAFC7" w14:textId="141E715D">
            <w:pPr>
              <w:rPr>
                <w:color w:val="000000"/>
              </w:rPr>
            </w:pPr>
            <w:r>
              <w:rPr>
                <w:color w:val="000000"/>
              </w:rPr>
              <w:t xml:space="preserve">Opening Brief of EDF at 6. </w:t>
            </w:r>
          </w:p>
        </w:tc>
        <w:tc>
          <w:tcPr>
            <w:tcW w:w="3870" w:type="dxa"/>
          </w:tcPr>
          <w:p w:rsidR="00AA42BC" w:rsidP="003E1C89" w:rsidRDefault="00AA42BC" w14:paraId="5C105DDA" w14:textId="1BBC4499">
            <w:pPr>
              <w:rPr>
                <w:color w:val="000000"/>
              </w:rPr>
            </w:pPr>
            <w:r>
              <w:rPr>
                <w:color w:val="000000"/>
              </w:rPr>
              <w:t xml:space="preserve">The Commission did not rule on this matter; however, EDF developed the record on this matter. </w:t>
            </w:r>
          </w:p>
        </w:tc>
        <w:tc>
          <w:tcPr>
            <w:tcW w:w="2453" w:type="dxa"/>
          </w:tcPr>
          <w:p w:rsidRPr="007856A6" w:rsidR="00AA42BC" w:rsidP="003E1C89" w:rsidRDefault="00AA42BC" w14:paraId="7AED5812" w14:textId="66CB2620">
            <w:r>
              <w:t xml:space="preserve">The AFR </w:t>
            </w:r>
            <w:r w:rsidR="00225740">
              <w:t xml:space="preserve">did </w:t>
            </w:r>
            <w:r>
              <w:t xml:space="preserve">not </w:t>
            </w:r>
            <w:r w:rsidR="00E348D2">
              <w:t>contest</w:t>
            </w:r>
            <w:r w:rsidR="00A94B62">
              <w:t xml:space="preserve"> this issue, therefore, EDF </w:t>
            </w:r>
            <w:r w:rsidR="00A94B62">
              <w:rPr>
                <w:color w:val="000000"/>
              </w:rPr>
              <w:t>is not eligible for</w:t>
            </w:r>
            <w:r w:rsidDel="00D56BF0" w:rsidR="00A94B62">
              <w:rPr>
                <w:color w:val="000000"/>
              </w:rPr>
              <w:t xml:space="preserve"> </w:t>
            </w:r>
            <w:r w:rsidR="00A94B62">
              <w:rPr>
                <w:color w:val="000000"/>
              </w:rPr>
              <w:t xml:space="preserve">compensation for its contributions on this issue as noted in Part I.C.A.  </w:t>
            </w:r>
          </w:p>
        </w:tc>
      </w:tr>
      <w:tr w:rsidRPr="007F620E" w:rsidR="00AA42BC" w:rsidTr="00D77539" w14:paraId="587B43AE" w14:textId="77777777">
        <w:tc>
          <w:tcPr>
            <w:tcW w:w="3415" w:type="dxa"/>
          </w:tcPr>
          <w:p w:rsidR="00AA42BC" w:rsidP="003E1C89" w:rsidRDefault="00AA42BC" w14:paraId="76161FFA" w14:textId="45EEB6C4">
            <w:pPr>
              <w:rPr>
                <w:color w:val="000000"/>
              </w:rPr>
            </w:pPr>
            <w:r>
              <w:rPr>
                <w:color w:val="000000"/>
              </w:rPr>
              <w:t xml:space="preserve">EDF argued that the triggered CCM rates would be just and reasonable. </w:t>
            </w:r>
          </w:p>
          <w:p w:rsidR="00AA42BC" w:rsidP="003E1C89" w:rsidRDefault="00AA42BC" w14:paraId="359D6F25" w14:textId="77777777">
            <w:pPr>
              <w:rPr>
                <w:color w:val="000000"/>
              </w:rPr>
            </w:pPr>
          </w:p>
          <w:p w:rsidR="00AA42BC" w:rsidP="003E1C89" w:rsidRDefault="00AA42BC" w14:paraId="2735DA84" w14:textId="20B7BE5F">
            <w:pPr>
              <w:rPr>
                <w:color w:val="000000"/>
              </w:rPr>
            </w:pPr>
            <w:r>
              <w:rPr>
                <w:color w:val="000000"/>
              </w:rPr>
              <w:t xml:space="preserve">Opening Brief of EDF at 18. </w:t>
            </w:r>
          </w:p>
          <w:p w:rsidR="00AA42BC" w:rsidP="003E1C89" w:rsidRDefault="00AA42BC" w14:paraId="51AF442E" w14:textId="2794BECF">
            <w:pPr>
              <w:rPr>
                <w:color w:val="000000"/>
              </w:rPr>
            </w:pPr>
          </w:p>
          <w:p w:rsidRPr="00994C11" w:rsidR="00AA42BC" w:rsidP="003E1C89" w:rsidRDefault="00AA42BC" w14:paraId="5A6316A2" w14:textId="73BDC158">
            <w:pPr>
              <w:rPr>
                <w:color w:val="000000"/>
              </w:rPr>
            </w:pPr>
            <w:r>
              <w:rPr>
                <w:color w:val="000000"/>
              </w:rPr>
              <w:t xml:space="preserve">Opening Comments of EDF at 2. </w:t>
            </w:r>
          </w:p>
        </w:tc>
        <w:tc>
          <w:tcPr>
            <w:tcW w:w="3870" w:type="dxa"/>
          </w:tcPr>
          <w:p w:rsidR="00AA42BC" w:rsidP="003E1C89" w:rsidRDefault="00AA42BC" w14:paraId="678406FA" w14:textId="77777777">
            <w:pPr>
              <w:rPr>
                <w:color w:val="000000"/>
              </w:rPr>
            </w:pPr>
            <w:r>
              <w:rPr>
                <w:color w:val="000000"/>
              </w:rPr>
              <w:t xml:space="preserve">The Commission found EDF’s argument “unpersuasive”; however, EDF developed the record on this matter. </w:t>
            </w:r>
          </w:p>
          <w:p w:rsidR="00AA42BC" w:rsidP="003E1C89" w:rsidRDefault="00AA42BC" w14:paraId="4F0C9B95" w14:textId="77777777">
            <w:pPr>
              <w:rPr>
                <w:color w:val="000000"/>
              </w:rPr>
            </w:pPr>
          </w:p>
          <w:p w:rsidR="00AA42BC" w:rsidP="003E1C89" w:rsidRDefault="00AA42BC" w14:paraId="26682A75" w14:textId="31B97926">
            <w:pPr>
              <w:rPr>
                <w:color w:val="000000"/>
              </w:rPr>
            </w:pPr>
            <w:r>
              <w:rPr>
                <w:color w:val="000000"/>
              </w:rPr>
              <w:t xml:space="preserve">D.22-11-018 at 29. </w:t>
            </w:r>
          </w:p>
        </w:tc>
        <w:tc>
          <w:tcPr>
            <w:tcW w:w="2453" w:type="dxa"/>
          </w:tcPr>
          <w:p w:rsidRPr="007F620E" w:rsidR="00AA42BC" w:rsidP="003E1C89" w:rsidRDefault="00AA42BC" w14:paraId="053189AC" w14:textId="42E6C02E">
            <w:pPr>
              <w:rPr>
                <w:color w:val="000000"/>
              </w:rPr>
            </w:pPr>
            <w:r>
              <w:rPr>
                <w:color w:val="000000"/>
              </w:rPr>
              <w:t>Verified</w:t>
            </w:r>
          </w:p>
        </w:tc>
      </w:tr>
      <w:tr w:rsidRPr="007F620E" w:rsidR="00972D8C" w:rsidTr="00D77539" w14:paraId="7CF5BA32" w14:textId="77777777">
        <w:tc>
          <w:tcPr>
            <w:tcW w:w="3415" w:type="dxa"/>
          </w:tcPr>
          <w:p w:rsidR="00972D8C" w:rsidP="00972D8C" w:rsidRDefault="00972D8C" w14:paraId="76BDB3ED" w14:textId="2753444D">
            <w:pPr>
              <w:rPr>
                <w:color w:val="000000"/>
              </w:rPr>
            </w:pPr>
            <w:r>
              <w:rPr>
                <w:color w:val="000000"/>
              </w:rPr>
              <w:t xml:space="preserve">EDF argued that the utilities’ request would amount to a </w:t>
            </w:r>
            <w:r>
              <w:rPr>
                <w:i/>
                <w:iCs/>
                <w:color w:val="000000"/>
              </w:rPr>
              <w:t>de facto</w:t>
            </w:r>
            <w:r>
              <w:rPr>
                <w:color w:val="000000"/>
              </w:rPr>
              <w:t xml:space="preserve"> $400 million rate increase, which would not be just and reasonable given the impact of the pandemic on ratepayers, as well as the environmental toll of excessive rates.</w:t>
            </w:r>
          </w:p>
          <w:p w:rsidR="00972D8C" w:rsidP="00972D8C" w:rsidRDefault="00972D8C" w14:paraId="04B9571A" w14:textId="77777777">
            <w:pPr>
              <w:rPr>
                <w:color w:val="000000"/>
              </w:rPr>
            </w:pPr>
          </w:p>
          <w:p w:rsidR="00972D8C" w:rsidP="00972D8C" w:rsidRDefault="00972D8C" w14:paraId="628A5462" w14:textId="3EBB77EC">
            <w:pPr>
              <w:rPr>
                <w:color w:val="000000"/>
              </w:rPr>
            </w:pPr>
            <w:r>
              <w:rPr>
                <w:color w:val="000000"/>
              </w:rPr>
              <w:t xml:space="preserve">Opening Brief of EDF at 19-24. </w:t>
            </w:r>
          </w:p>
          <w:p w:rsidR="00972D8C" w:rsidP="00972D8C" w:rsidRDefault="00972D8C" w14:paraId="462E7638" w14:textId="77777777">
            <w:pPr>
              <w:rPr>
                <w:color w:val="000000"/>
              </w:rPr>
            </w:pPr>
          </w:p>
          <w:p w:rsidRPr="007F536C" w:rsidR="00972D8C" w:rsidP="00972D8C" w:rsidRDefault="00972D8C" w14:paraId="737BC17A" w14:textId="7F7A15A9">
            <w:pPr>
              <w:rPr>
                <w:color w:val="000000"/>
              </w:rPr>
            </w:pPr>
            <w:r>
              <w:rPr>
                <w:color w:val="000000"/>
              </w:rPr>
              <w:t>Opening Comments of EDF at 2.</w:t>
            </w:r>
          </w:p>
        </w:tc>
        <w:tc>
          <w:tcPr>
            <w:tcW w:w="3870" w:type="dxa"/>
          </w:tcPr>
          <w:p w:rsidR="00972D8C" w:rsidP="00972D8C" w:rsidRDefault="00972D8C" w14:paraId="0D9823DD" w14:textId="77777777">
            <w:pPr>
              <w:rPr>
                <w:color w:val="000000"/>
              </w:rPr>
            </w:pPr>
            <w:r>
              <w:rPr>
                <w:color w:val="000000"/>
              </w:rPr>
              <w:t xml:space="preserve">The Commission found EDF’s argument “unpersuasive”; however, EDF developed the record on this matter. </w:t>
            </w:r>
          </w:p>
          <w:p w:rsidR="00972D8C" w:rsidP="00972D8C" w:rsidRDefault="00972D8C" w14:paraId="20A482C5" w14:textId="77777777">
            <w:pPr>
              <w:rPr>
                <w:color w:val="000000"/>
              </w:rPr>
            </w:pPr>
          </w:p>
          <w:p w:rsidR="00972D8C" w:rsidP="00972D8C" w:rsidRDefault="00972D8C" w14:paraId="6DBA68BE" w14:textId="62397CDB">
            <w:pPr>
              <w:rPr>
                <w:color w:val="000000"/>
              </w:rPr>
            </w:pPr>
            <w:r>
              <w:rPr>
                <w:color w:val="000000"/>
              </w:rPr>
              <w:t>D.22-11-018 at 29.</w:t>
            </w:r>
          </w:p>
        </w:tc>
        <w:tc>
          <w:tcPr>
            <w:tcW w:w="2453" w:type="dxa"/>
          </w:tcPr>
          <w:p w:rsidRPr="007F620E" w:rsidR="00972D8C" w:rsidP="00972D8C" w:rsidRDefault="00CD07A1" w14:paraId="235131F1" w14:textId="35D95B33">
            <w:pPr>
              <w:rPr>
                <w:color w:val="000000"/>
              </w:rPr>
            </w:pPr>
            <w:r>
              <w:rPr>
                <w:color w:val="000000"/>
              </w:rPr>
              <w:t xml:space="preserve">The AFR did not contest this issue. </w:t>
            </w:r>
            <w:r w:rsidR="00972D8C">
              <w:rPr>
                <w:color w:val="000000"/>
              </w:rPr>
              <w:t xml:space="preserve">Thus, EDF </w:t>
            </w:r>
            <w:r w:rsidR="00E348D2">
              <w:rPr>
                <w:color w:val="000000"/>
              </w:rPr>
              <w:t xml:space="preserve">is not eligible for </w:t>
            </w:r>
            <w:r w:rsidR="00972D8C">
              <w:rPr>
                <w:color w:val="000000"/>
              </w:rPr>
              <w:t xml:space="preserve">compensation for </w:t>
            </w:r>
            <w:r w:rsidR="00E348D2">
              <w:rPr>
                <w:color w:val="000000"/>
              </w:rPr>
              <w:t>its</w:t>
            </w:r>
            <w:r w:rsidR="00972D8C">
              <w:rPr>
                <w:color w:val="000000"/>
              </w:rPr>
              <w:t xml:space="preserve"> contributions on this issue as noted in Part I.C.A.</w:t>
            </w:r>
          </w:p>
        </w:tc>
      </w:tr>
      <w:tr w:rsidRPr="007F620E" w:rsidR="00AA42BC" w:rsidTr="00D77539" w14:paraId="04911AFC" w14:textId="77777777">
        <w:tc>
          <w:tcPr>
            <w:tcW w:w="3415" w:type="dxa"/>
          </w:tcPr>
          <w:p w:rsidR="00AA42BC" w:rsidP="003E1C89" w:rsidRDefault="00AA42BC" w14:paraId="611EB362" w14:textId="77777777">
            <w:pPr>
              <w:rPr>
                <w:color w:val="000000"/>
              </w:rPr>
            </w:pPr>
            <w:r>
              <w:rPr>
                <w:color w:val="000000"/>
              </w:rPr>
              <w:t xml:space="preserve">EDF argued that a second phase was required, </w:t>
            </w:r>
            <w:r>
              <w:rPr>
                <w:b/>
                <w:bCs/>
                <w:i/>
                <w:iCs/>
                <w:color w:val="000000"/>
              </w:rPr>
              <w:t>if</w:t>
            </w:r>
            <w:r>
              <w:rPr>
                <w:color w:val="000000"/>
              </w:rPr>
              <w:t xml:space="preserve"> the Commission determined the utilities met their burden of proof for diverging from the CCM. </w:t>
            </w:r>
          </w:p>
          <w:p w:rsidR="00AA42BC" w:rsidP="003E1C89" w:rsidRDefault="00AA42BC" w14:paraId="71D4AE69" w14:textId="77777777">
            <w:pPr>
              <w:rPr>
                <w:color w:val="000000"/>
              </w:rPr>
            </w:pPr>
          </w:p>
          <w:p w:rsidR="00AA42BC" w:rsidP="003E1C89" w:rsidRDefault="00AA42BC" w14:paraId="6F321219" w14:textId="5D6D9457">
            <w:pPr>
              <w:rPr>
                <w:color w:val="000000"/>
              </w:rPr>
            </w:pPr>
            <w:r>
              <w:rPr>
                <w:color w:val="000000"/>
              </w:rPr>
              <w:t>Reply Brief of EDF at 15.</w:t>
            </w:r>
          </w:p>
        </w:tc>
        <w:tc>
          <w:tcPr>
            <w:tcW w:w="3870" w:type="dxa"/>
          </w:tcPr>
          <w:p w:rsidR="00AA42BC" w:rsidP="003E1C89" w:rsidRDefault="00AA42BC" w14:paraId="36C77D06" w14:textId="77777777">
            <w:pPr>
              <w:rPr>
                <w:color w:val="000000"/>
              </w:rPr>
            </w:pPr>
            <w:r>
              <w:rPr>
                <w:color w:val="000000"/>
              </w:rPr>
              <w:lastRenderedPageBreak/>
              <w:t xml:space="preserve">The Commission found EDF’s argument “unpersuasive”; however, EDF developed the record on this matter. </w:t>
            </w:r>
          </w:p>
          <w:p w:rsidR="00AA42BC" w:rsidP="003E1C89" w:rsidRDefault="00AA42BC" w14:paraId="1E14208E" w14:textId="77777777">
            <w:pPr>
              <w:rPr>
                <w:color w:val="000000"/>
              </w:rPr>
            </w:pPr>
          </w:p>
          <w:p w:rsidR="00AA42BC" w:rsidP="003E1C89" w:rsidRDefault="00AA42BC" w14:paraId="6EED4755" w14:textId="0531A51B">
            <w:pPr>
              <w:rPr>
                <w:color w:val="000000"/>
              </w:rPr>
            </w:pPr>
            <w:r>
              <w:rPr>
                <w:color w:val="000000"/>
              </w:rPr>
              <w:lastRenderedPageBreak/>
              <w:t xml:space="preserve">D.22-11-018 at 29. </w:t>
            </w:r>
          </w:p>
        </w:tc>
        <w:tc>
          <w:tcPr>
            <w:tcW w:w="2453" w:type="dxa"/>
          </w:tcPr>
          <w:p w:rsidRPr="007F620E" w:rsidR="00AA42BC" w:rsidP="003E1C89" w:rsidRDefault="00276A71" w14:paraId="1FD68AA2" w14:textId="6A6489A8">
            <w:pPr>
              <w:rPr>
                <w:color w:val="000000"/>
              </w:rPr>
            </w:pPr>
            <w:r>
              <w:rPr>
                <w:color w:val="000000"/>
              </w:rPr>
              <w:lastRenderedPageBreak/>
              <w:t>Verified</w:t>
            </w:r>
          </w:p>
        </w:tc>
      </w:tr>
      <w:tr w:rsidRPr="007F620E" w:rsidR="00AA42BC" w:rsidTr="00D77539" w14:paraId="2EAAA140" w14:textId="77777777">
        <w:tc>
          <w:tcPr>
            <w:tcW w:w="3415" w:type="dxa"/>
          </w:tcPr>
          <w:p w:rsidR="00AA42BC" w:rsidP="003E1C89" w:rsidRDefault="00AA42BC" w14:paraId="20BFA4D9" w14:textId="77777777">
            <w:pPr>
              <w:rPr>
                <w:color w:val="000000"/>
              </w:rPr>
            </w:pPr>
            <w:r>
              <w:rPr>
                <w:color w:val="000000"/>
              </w:rPr>
              <w:t>EDF filed a motion to name Southern California Gas Company as a respondent.</w:t>
            </w:r>
          </w:p>
          <w:p w:rsidR="00AA42BC" w:rsidP="003E1C89" w:rsidRDefault="00AA42BC" w14:paraId="42898008" w14:textId="77777777">
            <w:pPr>
              <w:rPr>
                <w:color w:val="000000"/>
              </w:rPr>
            </w:pPr>
          </w:p>
          <w:p w:rsidR="00AA42BC" w:rsidP="003E1C89" w:rsidRDefault="00AA42BC" w14:paraId="3A7B296D" w14:textId="5038E51C">
            <w:pPr>
              <w:rPr>
                <w:color w:val="000000"/>
              </w:rPr>
            </w:pPr>
            <w:r>
              <w:rPr>
                <w:color w:val="000000"/>
              </w:rPr>
              <w:t>Motion of EDF et al. filed February 4, 2022</w:t>
            </w:r>
          </w:p>
        </w:tc>
        <w:tc>
          <w:tcPr>
            <w:tcW w:w="3870" w:type="dxa"/>
          </w:tcPr>
          <w:p w:rsidR="00AA42BC" w:rsidP="003E1C89" w:rsidRDefault="00AA42BC" w14:paraId="374B07E7" w14:textId="77777777">
            <w:pPr>
              <w:rPr>
                <w:color w:val="000000"/>
              </w:rPr>
            </w:pPr>
            <w:r>
              <w:rPr>
                <w:color w:val="000000"/>
              </w:rPr>
              <w:t xml:space="preserve">The ALJ addressed the motion during the Prehearing Conference held February 16, 2022. </w:t>
            </w:r>
          </w:p>
          <w:p w:rsidR="00AA42BC" w:rsidP="003E1C89" w:rsidRDefault="00AA42BC" w14:paraId="0D9304BF" w14:textId="77777777">
            <w:pPr>
              <w:rPr>
                <w:color w:val="000000"/>
              </w:rPr>
            </w:pPr>
          </w:p>
          <w:p w:rsidR="00AA42BC" w:rsidP="003E1C89" w:rsidRDefault="00AA42BC" w14:paraId="21F11424" w14:textId="08365347">
            <w:pPr>
              <w:rPr>
                <w:color w:val="000000"/>
              </w:rPr>
            </w:pPr>
            <w:r>
              <w:rPr>
                <w:color w:val="000000"/>
              </w:rPr>
              <w:t>Transcript of the Prehearing Conference at 23:17.</w:t>
            </w:r>
          </w:p>
        </w:tc>
        <w:tc>
          <w:tcPr>
            <w:tcW w:w="2453" w:type="dxa"/>
          </w:tcPr>
          <w:p w:rsidRPr="007F620E" w:rsidR="00AA42BC" w:rsidP="003E1C89" w:rsidRDefault="00A23AB2" w14:paraId="389E5EE1" w14:textId="399E1DEC">
            <w:pPr>
              <w:rPr>
                <w:color w:val="000000"/>
              </w:rPr>
            </w:pPr>
            <w:r>
              <w:rPr>
                <w:color w:val="000000"/>
              </w:rPr>
              <w:t xml:space="preserve">The AFR </w:t>
            </w:r>
            <w:r w:rsidR="00225740">
              <w:rPr>
                <w:color w:val="000000"/>
              </w:rPr>
              <w:t xml:space="preserve">did </w:t>
            </w:r>
            <w:r>
              <w:rPr>
                <w:color w:val="000000"/>
              </w:rPr>
              <w:t xml:space="preserve">not contest this issue. Thus, EDF </w:t>
            </w:r>
            <w:r w:rsidR="00E348D2">
              <w:rPr>
                <w:color w:val="000000"/>
              </w:rPr>
              <w:t>is not eligible for</w:t>
            </w:r>
            <w:r>
              <w:rPr>
                <w:color w:val="000000"/>
              </w:rPr>
              <w:t xml:space="preserve"> compensation for </w:t>
            </w:r>
            <w:r w:rsidR="00E348D2">
              <w:rPr>
                <w:color w:val="000000"/>
              </w:rPr>
              <w:t xml:space="preserve">its </w:t>
            </w:r>
            <w:r>
              <w:rPr>
                <w:color w:val="000000"/>
              </w:rPr>
              <w:t>contributions on this issue as noted in Part I.C.A.</w:t>
            </w:r>
          </w:p>
        </w:tc>
      </w:tr>
    </w:tbl>
    <w:p w:rsidRPr="00621362" w:rsidR="00A92D0B" w:rsidP="003E1C89" w:rsidRDefault="00A92D0B" w14:paraId="0D4BCD3A" w14:textId="77777777">
      <w:pPr>
        <w:keepNext/>
        <w:numPr>
          <w:ilvl w:val="0"/>
          <w:numId w:val="8"/>
        </w:numPr>
        <w:spacing w:before="240" w:after="240"/>
        <w:rPr>
          <w:b/>
          <w:color w:val="000000"/>
        </w:rPr>
      </w:pPr>
      <w:r w:rsidRPr="00621362">
        <w:rPr>
          <w:b/>
          <w:color w:val="000000"/>
        </w:rPr>
        <w:t xml:space="preserve">Duplication of Effort (§ 1801.3(f) </w:t>
      </w:r>
      <w:r w:rsidRPr="00621362" w:rsidR="00F30DA8">
        <w:rPr>
          <w:b/>
          <w:color w:val="000000"/>
        </w:rPr>
        <w:t xml:space="preserve">and § </w:t>
      </w:r>
      <w:r w:rsidRPr="00621362" w:rsidR="0022302F">
        <w:rPr>
          <w:b/>
          <w:color w:val="000000"/>
        </w:rPr>
        <w:t>1802.5)</w:t>
      </w:r>
      <w:r w:rsidRPr="00621362" w:rsidR="00C02649">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5805"/>
        <w:gridCol w:w="1648"/>
        <w:gridCol w:w="1907"/>
      </w:tblGrid>
      <w:tr w:rsidRPr="007F620E" w:rsidR="00A92D0B" w:rsidTr="00D77539" w14:paraId="76F3266C" w14:textId="77777777">
        <w:trPr>
          <w:tblHeader/>
        </w:trPr>
        <w:tc>
          <w:tcPr>
            <w:tcW w:w="6048" w:type="dxa"/>
            <w:shd w:val="clear" w:color="auto" w:fill="D9D9D9" w:themeFill="background1" w:themeFillShade="D9"/>
          </w:tcPr>
          <w:p w:rsidRPr="007F620E" w:rsidR="00A92D0B" w:rsidP="00A23AB2" w:rsidRDefault="00A92D0B" w14:paraId="300CEDBC" w14:textId="77777777">
            <w:pPr>
              <w:keepNext/>
              <w:rPr>
                <w:color w:val="000000"/>
              </w:rPr>
            </w:pPr>
          </w:p>
        </w:tc>
        <w:tc>
          <w:tcPr>
            <w:tcW w:w="1710" w:type="dxa"/>
            <w:tcBorders>
              <w:bottom w:val="single" w:color="auto" w:sz="4" w:space="0"/>
            </w:tcBorders>
            <w:shd w:val="clear" w:color="auto" w:fill="D9D9D9" w:themeFill="background1" w:themeFillShade="D9"/>
          </w:tcPr>
          <w:p w:rsidRPr="007F620E" w:rsidR="00A92D0B" w:rsidP="00A23AB2" w:rsidRDefault="005A63D4" w14:paraId="7B091096" w14:textId="77777777">
            <w:pPr>
              <w:keepNext/>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980" w:type="dxa"/>
            <w:shd w:val="clear" w:color="auto" w:fill="D9D9D9" w:themeFill="background1" w:themeFillShade="D9"/>
          </w:tcPr>
          <w:p w:rsidRPr="007F620E" w:rsidR="00A92D0B" w:rsidP="00A23AB2" w:rsidRDefault="00A92D0B" w14:paraId="25CE5081" w14:textId="77777777">
            <w:pPr>
              <w:keepNext/>
              <w:jc w:val="center"/>
              <w:rPr>
                <w:b/>
                <w:color w:val="000000"/>
              </w:rPr>
            </w:pPr>
            <w:r w:rsidRPr="007F620E">
              <w:rPr>
                <w:b/>
                <w:color w:val="000000"/>
              </w:rPr>
              <w:t xml:space="preserve">CPUC </w:t>
            </w:r>
            <w:r w:rsidRPr="007F620E" w:rsidR="00D075B1">
              <w:rPr>
                <w:b/>
                <w:color w:val="000000"/>
              </w:rPr>
              <w:t>Discussion</w:t>
            </w:r>
          </w:p>
        </w:tc>
      </w:tr>
      <w:tr w:rsidRPr="007F620E" w:rsidR="00A92D0B" w:rsidTr="00D77539" w14:paraId="24A12BE1" w14:textId="77777777">
        <w:tc>
          <w:tcPr>
            <w:tcW w:w="6048" w:type="dxa"/>
          </w:tcPr>
          <w:p w:rsidRPr="007F620E" w:rsidR="00A92D0B" w:rsidP="00A23AB2" w:rsidRDefault="00A92D0B" w14:paraId="6915FAF6" w14:textId="6F6A103A">
            <w:pPr>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A92D0B" w:rsidP="00A23AB2" w:rsidRDefault="00F75F83" w14:paraId="0B49A7C8" w14:textId="76EFBE23">
            <w:pPr>
              <w:rPr>
                <w:color w:val="000000"/>
              </w:rPr>
            </w:pPr>
            <w:r>
              <w:rPr>
                <w:color w:val="000000"/>
              </w:rPr>
              <w:t>Yes</w:t>
            </w:r>
          </w:p>
        </w:tc>
        <w:tc>
          <w:tcPr>
            <w:tcW w:w="1980" w:type="dxa"/>
          </w:tcPr>
          <w:p w:rsidRPr="00E25078" w:rsidR="00A92D0B" w:rsidP="00A23AB2" w:rsidRDefault="00A23AB2" w14:paraId="23B6532A" w14:textId="43A7A759">
            <w:pPr>
              <w:rPr>
                <w:color w:val="000000"/>
              </w:rPr>
            </w:pPr>
            <w:r>
              <w:rPr>
                <w:color w:val="000000"/>
              </w:rPr>
              <w:t>Verified</w:t>
            </w:r>
          </w:p>
        </w:tc>
      </w:tr>
      <w:tr w:rsidRPr="007F620E" w:rsidR="00A92D0B" w:rsidTr="00D77539" w14:paraId="3317BD71" w14:textId="77777777">
        <w:tc>
          <w:tcPr>
            <w:tcW w:w="6048" w:type="dxa"/>
          </w:tcPr>
          <w:p w:rsidRPr="007F620E" w:rsidR="00A92D0B" w:rsidP="0007326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the proceeding with positions similar to yours? </w:t>
            </w:r>
          </w:p>
        </w:tc>
        <w:tc>
          <w:tcPr>
            <w:tcW w:w="1710" w:type="dxa"/>
          </w:tcPr>
          <w:p w:rsidRPr="00E25078" w:rsidR="00A92D0B" w:rsidP="00073262" w:rsidRDefault="00F75F83" w14:paraId="3708E485" w14:textId="241C67B8">
            <w:pPr>
              <w:rPr>
                <w:color w:val="000000"/>
              </w:rPr>
            </w:pPr>
            <w:r>
              <w:rPr>
                <w:color w:val="000000"/>
              </w:rPr>
              <w:t>Yes</w:t>
            </w:r>
          </w:p>
        </w:tc>
        <w:tc>
          <w:tcPr>
            <w:tcW w:w="1980" w:type="dxa"/>
          </w:tcPr>
          <w:p w:rsidRPr="00E25078" w:rsidR="00A92D0B" w:rsidP="00073262" w:rsidRDefault="00A23AB2" w14:paraId="6B3388E6" w14:textId="435FD1A3">
            <w:pPr>
              <w:rPr>
                <w:color w:val="000000"/>
              </w:rPr>
            </w:pPr>
            <w:r>
              <w:rPr>
                <w:color w:val="000000"/>
              </w:rPr>
              <w:t>Verified</w:t>
            </w:r>
          </w:p>
        </w:tc>
      </w:tr>
      <w:tr w:rsidRPr="007F620E" w:rsidR="00A92D0B" w:rsidTr="00D77539" w14:paraId="0A51B7D4" w14:textId="77777777">
        <w:tc>
          <w:tcPr>
            <w:tcW w:w="7758" w:type="dxa"/>
            <w:gridSpan w:val="2"/>
          </w:tcPr>
          <w:p w:rsidRPr="00EF12D9" w:rsidR="00A92D0B" w:rsidP="00073262" w:rsidRDefault="00A92D0B" w14:paraId="30CB6275" w14:textId="7D63B4F2">
            <w:pPr>
              <w:ind w:left="360" w:hanging="360"/>
              <w:rPr>
                <w:color w:val="000000"/>
              </w:rPr>
            </w:pPr>
            <w:r w:rsidRPr="00621362">
              <w:rPr>
                <w:b/>
                <w:color w:val="000000"/>
              </w:rPr>
              <w:t>c.</w:t>
            </w:r>
            <w:r w:rsidRPr="00621362">
              <w:rPr>
                <w:b/>
                <w:color w:val="000000"/>
              </w:rPr>
              <w:tab/>
              <w:t>If so, provide name of other parties:</w:t>
            </w:r>
            <w:r w:rsidRPr="00EF12D9" w:rsidR="00E25078">
              <w:rPr>
                <w:color w:val="000000"/>
              </w:rPr>
              <w:t xml:space="preserve"> </w:t>
            </w:r>
          </w:p>
          <w:p w:rsidRPr="00E25078" w:rsidR="00A92D0B" w:rsidP="00944BCC" w:rsidRDefault="00A121B7" w14:paraId="0919176B" w14:textId="5A22877D">
            <w:pPr>
              <w:rPr>
                <w:color w:val="000000"/>
              </w:rPr>
            </w:pPr>
            <w:r>
              <w:rPr>
                <w:color w:val="000000"/>
              </w:rPr>
              <w:t xml:space="preserve">Utility Consumers’ Action Network (UCAN), Protect Our Communities Foundation, </w:t>
            </w:r>
            <w:r w:rsidR="00FD7438">
              <w:rPr>
                <w:color w:val="000000"/>
              </w:rPr>
              <w:t>The Utility Reform Network (TURN), Indicated Shippers, Wild Tree Foundation</w:t>
            </w:r>
          </w:p>
        </w:tc>
        <w:tc>
          <w:tcPr>
            <w:tcW w:w="1980" w:type="dxa"/>
          </w:tcPr>
          <w:p w:rsidRPr="00E25078" w:rsidR="00A92D0B" w:rsidP="00073262" w:rsidRDefault="00A23AB2" w14:paraId="22A40B49" w14:textId="41F1914E">
            <w:pPr>
              <w:rPr>
                <w:color w:val="000000"/>
              </w:rPr>
            </w:pPr>
            <w:r>
              <w:rPr>
                <w:color w:val="000000"/>
              </w:rPr>
              <w:t>Noted</w:t>
            </w:r>
          </w:p>
        </w:tc>
      </w:tr>
      <w:tr w:rsidRPr="007F620E" w:rsidR="00A92D0B" w:rsidTr="00D77539" w14:paraId="744830F5" w14:textId="77777777">
        <w:tc>
          <w:tcPr>
            <w:tcW w:w="7758" w:type="dxa"/>
            <w:gridSpan w:val="2"/>
          </w:tcPr>
          <w:p w:rsidRPr="00EF12D9" w:rsidR="00691528" w:rsidP="00073262" w:rsidRDefault="00A92D0B" w14:paraId="0CFBC7B2" w14:textId="1369A03D">
            <w:pPr>
              <w:tabs>
                <w:tab w:val="left" w:pos="360"/>
              </w:tabs>
              <w:ind w:left="360" w:hanging="360"/>
              <w:rPr>
                <w:color w:val="000000"/>
              </w:rPr>
            </w:pPr>
            <w:r w:rsidRPr="00621362">
              <w:rPr>
                <w:b/>
                <w:color w:val="000000"/>
              </w:rPr>
              <w:t>d.</w:t>
            </w:r>
            <w:r w:rsidRPr="00621362">
              <w:rPr>
                <w:b/>
                <w:color w:val="000000"/>
              </w:rPr>
              <w:tab/>
            </w:r>
            <w:r w:rsidRPr="00621362" w:rsidR="00D075B1">
              <w:rPr>
                <w:b/>
                <w:color w:val="000000"/>
              </w:rPr>
              <w:t xml:space="preserve">Intervenor’s </w:t>
            </w:r>
            <w:r w:rsidRPr="00621362" w:rsidR="00A319DE">
              <w:rPr>
                <w:b/>
                <w:color w:val="000000"/>
              </w:rPr>
              <w:t>c</w:t>
            </w:r>
            <w:r w:rsidRPr="00621362" w:rsidR="00D075B1">
              <w:rPr>
                <w:b/>
                <w:color w:val="000000"/>
              </w:rPr>
              <w:t xml:space="preserve">laim of </w:t>
            </w:r>
            <w:r w:rsidRPr="00621362" w:rsidR="00A319DE">
              <w:rPr>
                <w:b/>
                <w:color w:val="000000"/>
              </w:rPr>
              <w:t>n</w:t>
            </w:r>
            <w:r w:rsidRPr="00621362" w:rsidR="00D075B1">
              <w:rPr>
                <w:b/>
                <w:color w:val="000000"/>
              </w:rPr>
              <w:t>on-</w:t>
            </w:r>
            <w:r w:rsidRPr="00621362" w:rsidR="00A319DE">
              <w:rPr>
                <w:b/>
                <w:color w:val="000000"/>
              </w:rPr>
              <w:t>d</w:t>
            </w:r>
            <w:r w:rsidRPr="00621362" w:rsidR="00D075B1">
              <w:rPr>
                <w:b/>
                <w:color w:val="000000"/>
              </w:rPr>
              <w:t>uplication:</w:t>
            </w:r>
            <w:r w:rsidRPr="00EF12D9" w:rsidR="00E25078">
              <w:rPr>
                <w:color w:val="000000"/>
              </w:rPr>
              <w:t xml:space="preserve"> </w:t>
            </w:r>
          </w:p>
          <w:p w:rsidRPr="00EF12D9" w:rsidR="005B4C1C" w:rsidP="00EF12D9" w:rsidRDefault="0025660F" w14:paraId="3228BB07" w14:textId="46384B1C">
            <w:pPr>
              <w:tabs>
                <w:tab w:val="left" w:pos="360"/>
              </w:tabs>
              <w:rPr>
                <w:color w:val="000000"/>
              </w:rPr>
            </w:pPr>
            <w:r>
              <w:rPr>
                <w:color w:val="000000"/>
              </w:rPr>
              <w:t>Intervenors participating in this proceeding focused on the rates impact on customers</w:t>
            </w:r>
            <w:r w:rsidR="00621362">
              <w:rPr>
                <w:color w:val="000000"/>
              </w:rPr>
              <w:t xml:space="preserve">. </w:t>
            </w:r>
            <w:r>
              <w:rPr>
                <w:color w:val="000000"/>
              </w:rPr>
              <w:t xml:space="preserve">EDF focused on the consequences of rate impacts, not only for customers, but for the environment. </w:t>
            </w:r>
            <w:r w:rsidR="002D37CD">
              <w:rPr>
                <w:color w:val="000000"/>
              </w:rPr>
              <w:t>As noted by EDF in its Opening Brief</w:t>
            </w:r>
            <w:r w:rsidR="009D1C41">
              <w:rPr>
                <w:color w:val="000000"/>
              </w:rPr>
              <w:t xml:space="preserve"> (at 22): </w:t>
            </w:r>
            <w:r w:rsidR="00F9323A">
              <w:rPr>
                <w:color w:val="000000"/>
              </w:rPr>
              <w:t>“</w:t>
            </w:r>
            <w:r w:rsidR="009D1C41">
              <w:rPr>
                <w:sz w:val="23"/>
                <w:szCs w:val="23"/>
              </w:rPr>
              <w:t>Beyond the human toll exacerbated by excessive rates, California must maintain</w:t>
            </w:r>
            <w:r w:rsidR="00F9323A">
              <w:rPr>
                <w:sz w:val="23"/>
                <w:szCs w:val="23"/>
              </w:rPr>
              <w:t xml:space="preserve"> just and reasonable rates in order to achieve its critical environmental objectives. ‘If rates are set too high, customers will be discouraged from </w:t>
            </w:r>
            <w:r w:rsidR="00CB4492">
              <w:rPr>
                <w:sz w:val="23"/>
                <w:szCs w:val="23"/>
              </w:rPr>
              <w:t>investing</w:t>
            </w:r>
            <w:r w:rsidR="00F9323A">
              <w:rPr>
                <w:sz w:val="23"/>
                <w:szCs w:val="23"/>
              </w:rPr>
              <w:t xml:space="preserve"> in the building and transportation decarbonization measure that will be required to meet our GHG goals.’” [Citing to EDF Testimony]</w:t>
            </w:r>
          </w:p>
        </w:tc>
        <w:tc>
          <w:tcPr>
            <w:tcW w:w="1980" w:type="dxa"/>
          </w:tcPr>
          <w:p w:rsidRPr="00E25078" w:rsidR="00A92D0B" w:rsidP="00A23AB2" w:rsidRDefault="00A23AB2" w14:paraId="5F9BBA55" w14:textId="4F66DC15">
            <w:pPr>
              <w:tabs>
                <w:tab w:val="left" w:pos="360"/>
              </w:tabs>
              <w:rPr>
                <w:color w:val="000000"/>
              </w:rPr>
            </w:pPr>
            <w:r>
              <w:rPr>
                <w:color w:val="000000"/>
              </w:rPr>
              <w:t xml:space="preserve">Noted, however </w:t>
            </w:r>
            <w:r w:rsidRPr="00EE2FA5">
              <w:rPr>
                <w:i/>
                <w:iCs/>
                <w:color w:val="000000"/>
              </w:rPr>
              <w:t>see</w:t>
            </w:r>
            <w:r>
              <w:rPr>
                <w:color w:val="000000"/>
              </w:rPr>
              <w:t xml:space="preserve"> Part III.D, Item [</w:t>
            </w:r>
            <w:r w:rsidR="001218BA">
              <w:rPr>
                <w:color w:val="000000"/>
              </w:rPr>
              <w:t>7</w:t>
            </w:r>
            <w:r>
              <w:rPr>
                <w:color w:val="000000"/>
              </w:rPr>
              <w:t>].</w:t>
            </w:r>
          </w:p>
        </w:tc>
      </w:tr>
    </w:tbl>
    <w:p w:rsidRPr="00D77539" w:rsidR="00B312DA" w:rsidP="00D77539" w:rsidRDefault="00A92D0B" w14:paraId="175C3F89" w14:textId="4A247F90">
      <w:pPr>
        <w:pStyle w:val="Dummy"/>
        <w:keepLines w:val="0"/>
        <w:spacing w:before="480" w:after="240"/>
        <w:jc w:val="center"/>
        <w:rPr>
          <w:rFonts w:ascii="Times New Roman" w:hAnsi="Times New Roman" w:cs="Times New Roman"/>
          <w:color w:val="000000"/>
          <w:sz w:val="24"/>
          <w:szCs w:val="24"/>
        </w:rPr>
      </w:pPr>
      <w:r w:rsidRPr="00D77539">
        <w:rPr>
          <w:rFonts w:ascii="Times New Roman" w:hAnsi="Times New Roman" w:cs="Times New Roman"/>
          <w:color w:val="000000"/>
          <w:sz w:val="24"/>
          <w:szCs w:val="24"/>
        </w:rPr>
        <w:lastRenderedPageBreak/>
        <w:t>PART III:</w:t>
      </w:r>
      <w:r w:rsidRPr="00D77539" w:rsidR="00D1778A">
        <w:rPr>
          <w:rFonts w:ascii="Times New Roman" w:hAnsi="Times New Roman" w:cs="Times New Roman"/>
          <w:color w:val="000000"/>
          <w:sz w:val="24"/>
          <w:szCs w:val="24"/>
        </w:rPr>
        <w:t xml:space="preserve">  </w:t>
      </w:r>
      <w:r w:rsidRPr="00D77539">
        <w:rPr>
          <w:rFonts w:ascii="Times New Roman" w:hAnsi="Times New Roman" w:cs="Times New Roman"/>
          <w:color w:val="000000"/>
          <w:sz w:val="24"/>
          <w:szCs w:val="24"/>
        </w:rPr>
        <w:t>REASONABLENESS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745"/>
        <w:gridCol w:w="2615"/>
      </w:tblGrid>
      <w:tr w:rsidRPr="007F620E" w:rsidR="00FE3BAE" w:rsidTr="00D77539" w14:paraId="4078AC87" w14:textId="77777777">
        <w:trPr>
          <w:tblHeader/>
        </w:trPr>
        <w:tc>
          <w:tcPr>
            <w:tcW w:w="6745" w:type="dxa"/>
            <w:tcBorders>
              <w:bottom w:val="single" w:color="auto" w:sz="4" w:space="0"/>
            </w:tcBorders>
            <w:shd w:val="clear" w:color="auto" w:fill="D9D9D9" w:themeFill="background1" w:themeFillShade="D9"/>
          </w:tcPr>
          <w:p w:rsidRPr="007F620E" w:rsidR="00FE3BAE" w:rsidP="00D77539" w:rsidRDefault="00FE3BAE" w14:paraId="70FDF5DA" w14:textId="77777777">
            <w:pPr>
              <w:jc w:val="center"/>
              <w:rPr>
                <w:b/>
                <w:color w:val="000000"/>
              </w:rPr>
            </w:pPr>
          </w:p>
        </w:tc>
        <w:tc>
          <w:tcPr>
            <w:tcW w:w="2615" w:type="dxa"/>
            <w:shd w:val="clear" w:color="auto" w:fill="D9D9D9" w:themeFill="background1" w:themeFillShade="D9"/>
          </w:tcPr>
          <w:p w:rsidRPr="00FE3BAE" w:rsidR="00FE3BAE" w:rsidP="00D77539" w:rsidRDefault="00FE3BAE" w14:paraId="59CD9FCF" w14:textId="77777777">
            <w:pPr>
              <w:jc w:val="center"/>
              <w:rPr>
                <w:color w:val="000000"/>
              </w:rPr>
            </w:pPr>
            <w:r w:rsidRPr="007F620E">
              <w:rPr>
                <w:b/>
                <w:color w:val="000000"/>
              </w:rPr>
              <w:t>CPUC Discussion</w:t>
            </w:r>
          </w:p>
        </w:tc>
      </w:tr>
      <w:tr w:rsidRPr="007F620E" w:rsidR="00FE3BAE" w:rsidTr="00D77539" w14:paraId="5708510E" w14:textId="77777777">
        <w:tc>
          <w:tcPr>
            <w:tcW w:w="6745" w:type="dxa"/>
            <w:tcBorders>
              <w:bottom w:val="single" w:color="auto" w:sz="4" w:space="0"/>
            </w:tcBorders>
          </w:tcPr>
          <w:p w:rsidRPr="00E25078" w:rsidR="00FE3BAE" w:rsidP="00EC6387" w:rsidRDefault="00FE3BAE" w14:paraId="707F9932" w14:textId="24B1B5E0">
            <w:pPr>
              <w:rPr>
                <w:color w:val="000000"/>
              </w:rPr>
            </w:pPr>
            <w:r w:rsidRPr="007F620E">
              <w:rPr>
                <w:b/>
                <w:color w:val="000000"/>
              </w:rPr>
              <w:t>a. Intervenor’s claim of cost reasonableness:</w:t>
            </w:r>
            <w:r w:rsidRPr="00E25078" w:rsidR="00E25078">
              <w:rPr>
                <w:color w:val="000000"/>
              </w:rPr>
              <w:t xml:space="preserve"> </w:t>
            </w:r>
          </w:p>
          <w:p w:rsidRPr="00691528" w:rsidR="00691528" w:rsidP="00EC6387" w:rsidRDefault="008A590A" w14:paraId="6A25116A" w14:textId="027A67D9">
            <w:pPr>
              <w:rPr>
                <w:color w:val="000000"/>
              </w:rPr>
            </w:pPr>
            <w:r w:rsidRPr="006258E0">
              <w:t xml:space="preserve">EDF requests a total </w:t>
            </w:r>
            <w:r w:rsidRPr="00C732A4">
              <w:t xml:space="preserve">intervenor compensation claim of </w:t>
            </w:r>
            <w:r w:rsidR="007D02FB">
              <w:t>$161,483.00</w:t>
            </w:r>
            <w:r w:rsidRPr="00C732A4">
              <w:t>. This is reasonable for the scale of the proceeding, number of issues presented, and also given the fact that EDF addressed unique environmental issues in the proceeding that required research, evidence, testimony and briefing that could not otherwise be shared across intervenors.</w:t>
            </w:r>
          </w:p>
          <w:p w:rsidRPr="003D4455" w:rsidR="00FE3BAE" w:rsidP="00EC6387" w:rsidRDefault="00FE3BAE" w14:paraId="2B1A1242" w14:textId="77777777">
            <w:pPr>
              <w:rPr>
                <w:color w:val="000000"/>
              </w:rPr>
            </w:pPr>
          </w:p>
        </w:tc>
        <w:tc>
          <w:tcPr>
            <w:tcW w:w="2615" w:type="dxa"/>
          </w:tcPr>
          <w:p w:rsidRPr="00FE3BAE" w:rsidR="00FE3BAE" w:rsidP="00EC6387" w:rsidRDefault="009D1923" w14:paraId="223B4665" w14:textId="23B1308B">
            <w:pPr>
              <w:rPr>
                <w:color w:val="000000"/>
              </w:rPr>
            </w:pPr>
            <w:r>
              <w:rPr>
                <w:color w:val="000000"/>
              </w:rPr>
              <w:t>Noted</w:t>
            </w:r>
          </w:p>
        </w:tc>
      </w:tr>
      <w:tr w:rsidRPr="007F620E" w:rsidR="00FE3BAE" w:rsidTr="00D77539" w14:paraId="5548029C" w14:textId="77777777">
        <w:tc>
          <w:tcPr>
            <w:tcW w:w="6745" w:type="dxa"/>
          </w:tcPr>
          <w:p w:rsidRPr="00944BCC" w:rsidR="00FE3BAE" w:rsidP="00EC6387" w:rsidRDefault="00FE3BAE" w14:paraId="751A610C" w14:textId="509B1715">
            <w:pPr>
              <w:rPr>
                <w:color w:val="000000"/>
              </w:rPr>
            </w:pPr>
            <w:r w:rsidRPr="00944BCC">
              <w:rPr>
                <w:b/>
                <w:color w:val="000000"/>
              </w:rPr>
              <w:t>b. Reasonableness of hours claimed:</w:t>
            </w:r>
            <w:r w:rsidRPr="00944BCC" w:rsidR="00E25078">
              <w:rPr>
                <w:color w:val="000000"/>
              </w:rPr>
              <w:t xml:space="preserve"> </w:t>
            </w:r>
          </w:p>
          <w:p w:rsidRPr="006258E0" w:rsidR="00842C96" w:rsidP="00842C96" w:rsidRDefault="00842C96" w14:paraId="4232562C" w14:textId="77777777">
            <w:pPr>
              <w:spacing w:after="240"/>
            </w:pPr>
            <w:r w:rsidRPr="00944BCC">
              <w:rPr>
                <w:u w:val="single"/>
              </w:rPr>
              <w:t>Attorney</w:t>
            </w:r>
            <w:r w:rsidRPr="006258E0">
              <w:rPr>
                <w:u w:val="single"/>
              </w:rPr>
              <w:t xml:space="preserve"> Time</w:t>
            </w:r>
            <w:r w:rsidRPr="006258E0">
              <w:t>:</w:t>
            </w:r>
          </w:p>
          <w:p w:rsidRPr="006258E0" w:rsidR="00842C96" w:rsidP="00842C96" w:rsidRDefault="00842C96" w14:paraId="2020BDC3" w14:textId="4CD98044">
            <w:pPr>
              <w:spacing w:after="240"/>
            </w:pPr>
            <w:r w:rsidRPr="006258E0">
              <w:t>EDF devoted a total of approximately</w:t>
            </w:r>
            <w:r w:rsidR="005968AB">
              <w:t xml:space="preserve"> 121.10</w:t>
            </w:r>
            <w:r w:rsidRPr="006258E0">
              <w:t xml:space="preserve"> hours of attorney time for work performed by EDF’s attorney, Elizabeth Kelly. This is reasonable for the scale of the proceeding</w:t>
            </w:r>
            <w:r w:rsidR="00F1420B">
              <w:t xml:space="preserve"> and wide </w:t>
            </w:r>
            <w:r w:rsidR="006D61A8">
              <w:t xml:space="preserve">range of issues presented in the </w:t>
            </w:r>
            <w:r w:rsidRPr="006D61A8" w:rsidR="006D61A8">
              <w:t>proceeding</w:t>
            </w:r>
            <w:r w:rsidRPr="006D61A8">
              <w:t>.</w:t>
            </w:r>
          </w:p>
          <w:p w:rsidRPr="006258E0" w:rsidR="00842C96" w:rsidP="00842C96" w:rsidRDefault="00842C96" w14:paraId="231CAB46" w14:textId="77777777">
            <w:pPr>
              <w:spacing w:after="240"/>
            </w:pPr>
            <w:r w:rsidRPr="006258E0">
              <w:rPr>
                <w:u w:val="single"/>
              </w:rPr>
              <w:t>Expert Time</w:t>
            </w:r>
            <w:r w:rsidRPr="006258E0">
              <w:t>:</w:t>
            </w:r>
          </w:p>
          <w:p w:rsidR="001C1A1C" w:rsidP="00D43370" w:rsidRDefault="00842C96" w14:paraId="112D613B" w14:textId="79C3F05A">
            <w:r w:rsidRPr="00134FF4">
              <w:t>EDF utilized approximatel</w:t>
            </w:r>
            <w:r w:rsidR="00357F5E">
              <w:t>y 55.10</w:t>
            </w:r>
            <w:r w:rsidRPr="00134FF4">
              <w:t xml:space="preserve"> hours of the expert time of Mr. Colvin, EDF’s Director of Regulatory and Legislative Affairs, California Energy Program.</w:t>
            </w:r>
            <w:r w:rsidR="00FD7438">
              <w:t xml:space="preserve"> EDF also utilized approximately</w:t>
            </w:r>
            <w:r w:rsidR="005968AB">
              <w:t xml:space="preserve"> </w:t>
            </w:r>
            <w:r w:rsidR="00D9301E">
              <w:t>212.75</w:t>
            </w:r>
            <w:r w:rsidR="007E08C3">
              <w:t xml:space="preserve"> </w:t>
            </w:r>
            <w:r w:rsidR="00FD7438">
              <w:t>hours of the expert time of Dr. Richard McCann</w:t>
            </w:r>
            <w:r w:rsidR="001C1A1C">
              <w:t xml:space="preserve"> as expert witness.</w:t>
            </w:r>
            <w:r w:rsidRPr="00134FF4">
              <w:t xml:space="preserve"> This is reasonable in light of the issues presented, particularly the issues uniquely </w:t>
            </w:r>
            <w:r w:rsidRPr="001874A0">
              <w:t>raised by EDF including:</w:t>
            </w:r>
            <w:r w:rsidRPr="006258E0">
              <w:t xml:space="preserve"> </w:t>
            </w:r>
          </w:p>
          <w:p w:rsidRPr="00C7158F" w:rsidR="00D43370" w:rsidP="00D43370" w:rsidRDefault="00D43370" w14:paraId="3E92627F" w14:textId="61566838"/>
          <w:p w:rsidRPr="00C7158F" w:rsidR="00D43370" w:rsidP="00D43370" w:rsidRDefault="00D43370" w14:paraId="4AE924D4" w14:textId="2B9AED80">
            <w:pPr>
              <w:pStyle w:val="ListParagraph"/>
              <w:numPr>
                <w:ilvl w:val="0"/>
                <w:numId w:val="15"/>
              </w:numPr>
              <w:rPr>
                <w:rFonts w:ascii="Times New Roman" w:hAnsi="Times New Roman"/>
                <w:sz w:val="24"/>
                <w:szCs w:val="24"/>
              </w:rPr>
            </w:pPr>
            <w:r w:rsidRPr="00C7158F">
              <w:rPr>
                <w:rFonts w:ascii="Times New Roman" w:hAnsi="Times New Roman"/>
                <w:sz w:val="24"/>
                <w:szCs w:val="24"/>
              </w:rPr>
              <w:t xml:space="preserve">The appropriateness of the utilities’ request, particularly in line with Commission guidance on </w:t>
            </w:r>
            <w:r w:rsidRPr="00C7158F" w:rsidR="00292254">
              <w:rPr>
                <w:rFonts w:ascii="Times New Roman" w:hAnsi="Times New Roman"/>
                <w:sz w:val="24"/>
                <w:szCs w:val="24"/>
              </w:rPr>
              <w:t>cost of capital mechanism (CCM) as established in previous decisions and precedence</w:t>
            </w:r>
            <w:r w:rsidRPr="00C7158F" w:rsidR="0050530E">
              <w:rPr>
                <w:rFonts w:ascii="Times New Roman" w:hAnsi="Times New Roman"/>
                <w:sz w:val="24"/>
                <w:szCs w:val="24"/>
              </w:rPr>
              <w:t>;</w:t>
            </w:r>
            <w:r w:rsidRPr="00C7158F" w:rsidR="00292254">
              <w:rPr>
                <w:rFonts w:ascii="Times New Roman" w:hAnsi="Times New Roman"/>
                <w:sz w:val="24"/>
                <w:szCs w:val="24"/>
              </w:rPr>
              <w:t xml:space="preserve"> </w:t>
            </w:r>
          </w:p>
          <w:p w:rsidRPr="00C7158F" w:rsidR="00292254" w:rsidP="00D43370" w:rsidRDefault="006614BB" w14:paraId="601635A7" w14:textId="719609A9">
            <w:pPr>
              <w:pStyle w:val="ListParagraph"/>
              <w:numPr>
                <w:ilvl w:val="0"/>
                <w:numId w:val="15"/>
              </w:numPr>
              <w:rPr>
                <w:rFonts w:ascii="Times New Roman" w:hAnsi="Times New Roman"/>
                <w:sz w:val="24"/>
                <w:szCs w:val="24"/>
              </w:rPr>
            </w:pPr>
            <w:r w:rsidRPr="00C7158F">
              <w:rPr>
                <w:rFonts w:ascii="Times New Roman" w:hAnsi="Times New Roman"/>
                <w:sz w:val="24"/>
                <w:szCs w:val="24"/>
              </w:rPr>
              <w:t xml:space="preserve">The specific impacts of COVID-19 on the utilities’ cost of capital and/or capital structures, including </w:t>
            </w:r>
            <w:r w:rsidRPr="00C7158F" w:rsidR="0050530E">
              <w:rPr>
                <w:rFonts w:ascii="Times New Roman" w:hAnsi="Times New Roman"/>
                <w:sz w:val="24"/>
                <w:szCs w:val="24"/>
              </w:rPr>
              <w:t xml:space="preserve">their ability to </w:t>
            </w:r>
            <w:proofErr w:type="spellStart"/>
            <w:r w:rsidRPr="00C7158F" w:rsidR="0050530E">
              <w:rPr>
                <w:rFonts w:ascii="Times New Roman" w:hAnsi="Times New Roman"/>
                <w:sz w:val="24"/>
                <w:szCs w:val="24"/>
              </w:rPr>
              <w:t>raised</w:t>
            </w:r>
            <w:proofErr w:type="spellEnd"/>
            <w:r w:rsidRPr="00C7158F" w:rsidR="0050530E">
              <w:rPr>
                <w:rFonts w:ascii="Times New Roman" w:hAnsi="Times New Roman"/>
                <w:sz w:val="24"/>
                <w:szCs w:val="24"/>
              </w:rPr>
              <w:t xml:space="preserve"> capital or issue debt;</w:t>
            </w:r>
          </w:p>
          <w:p w:rsidRPr="00C7158F" w:rsidR="0050530E" w:rsidP="00D43370" w:rsidRDefault="0050530E" w14:paraId="23FD8125" w14:textId="3C26D2F4">
            <w:pPr>
              <w:pStyle w:val="ListParagraph"/>
              <w:numPr>
                <w:ilvl w:val="0"/>
                <w:numId w:val="15"/>
              </w:numPr>
              <w:rPr>
                <w:rFonts w:ascii="Times New Roman" w:hAnsi="Times New Roman"/>
                <w:sz w:val="24"/>
                <w:szCs w:val="24"/>
              </w:rPr>
            </w:pPr>
            <w:r w:rsidRPr="00C7158F">
              <w:rPr>
                <w:rFonts w:ascii="Times New Roman" w:hAnsi="Times New Roman"/>
                <w:sz w:val="24"/>
                <w:szCs w:val="24"/>
              </w:rPr>
              <w:t xml:space="preserve">Relative impacts of COVID-19 on the utilities’ </w:t>
            </w:r>
            <w:r w:rsidRPr="00C7158F" w:rsidR="00A62BEA">
              <w:rPr>
                <w:rFonts w:ascii="Times New Roman" w:hAnsi="Times New Roman"/>
                <w:sz w:val="24"/>
                <w:szCs w:val="24"/>
              </w:rPr>
              <w:t xml:space="preserve">compared to overall financial market; </w:t>
            </w:r>
            <w:r w:rsidRPr="00C7158F" w:rsidR="00C7158F">
              <w:rPr>
                <w:rFonts w:ascii="Times New Roman" w:hAnsi="Times New Roman"/>
                <w:sz w:val="24"/>
                <w:szCs w:val="24"/>
              </w:rPr>
              <w:t>and</w:t>
            </w:r>
          </w:p>
          <w:p w:rsidR="00D77539" w:rsidP="00D77539" w:rsidRDefault="00C7158F" w14:paraId="1DD76BFB" w14:textId="77777777">
            <w:pPr>
              <w:pStyle w:val="ListParagraph"/>
              <w:numPr>
                <w:ilvl w:val="0"/>
                <w:numId w:val="15"/>
              </w:numPr>
              <w:rPr>
                <w:rFonts w:ascii="Times New Roman" w:hAnsi="Times New Roman"/>
                <w:sz w:val="24"/>
                <w:szCs w:val="24"/>
              </w:rPr>
            </w:pPr>
            <w:r w:rsidRPr="00C7158F">
              <w:rPr>
                <w:rFonts w:ascii="Times New Roman" w:hAnsi="Times New Roman"/>
                <w:sz w:val="24"/>
                <w:szCs w:val="24"/>
              </w:rPr>
              <w:t>Need for a second phase to the proceeding if the Commission were to determine that a suspension of the CCM were reasonable.</w:t>
            </w:r>
          </w:p>
          <w:p w:rsidRPr="00D77539" w:rsidR="00D77539" w:rsidP="005372FA" w:rsidRDefault="00D77539" w14:paraId="694F0B63" w14:textId="6ED53087">
            <w:pPr>
              <w:pStyle w:val="ListParagraph"/>
              <w:rPr>
                <w:rFonts w:ascii="Times New Roman" w:hAnsi="Times New Roman"/>
                <w:sz w:val="24"/>
                <w:szCs w:val="24"/>
              </w:rPr>
            </w:pPr>
          </w:p>
        </w:tc>
        <w:tc>
          <w:tcPr>
            <w:tcW w:w="2615" w:type="dxa"/>
          </w:tcPr>
          <w:p w:rsidRPr="007F620E" w:rsidR="00FE3BAE" w:rsidP="00EC6387" w:rsidRDefault="009D1923" w14:paraId="1874D625" w14:textId="1C9C496C">
            <w:pPr>
              <w:rPr>
                <w:color w:val="000000"/>
              </w:rPr>
            </w:pPr>
            <w:r>
              <w:rPr>
                <w:color w:val="000000"/>
              </w:rPr>
              <w:t>Noted</w:t>
            </w:r>
          </w:p>
        </w:tc>
      </w:tr>
      <w:tr w:rsidRPr="007F620E" w:rsidR="00FE3BAE" w:rsidTr="00D77539" w14:paraId="3FD38B74" w14:textId="77777777">
        <w:tc>
          <w:tcPr>
            <w:tcW w:w="6745" w:type="dxa"/>
          </w:tcPr>
          <w:p w:rsidRPr="00E25078" w:rsidR="00FE3BAE" w:rsidP="00D77539" w:rsidRDefault="00FE3BAE" w14:paraId="46990B37" w14:textId="569E5E0F">
            <w:pPr>
              <w:keepNext/>
              <w:rPr>
                <w:color w:val="000000"/>
              </w:rPr>
            </w:pPr>
            <w:r w:rsidRPr="007F620E">
              <w:rPr>
                <w:b/>
                <w:color w:val="000000"/>
              </w:rPr>
              <w:lastRenderedPageBreak/>
              <w:t>c. Allocation of hours by issue:</w:t>
            </w:r>
            <w:r w:rsidRPr="00E25078" w:rsidR="00E25078">
              <w:rPr>
                <w:color w:val="000000"/>
              </w:rPr>
              <w:t xml:space="preserve"> </w:t>
            </w:r>
          </w:p>
          <w:p w:rsidR="00FE3BAE" w:rsidP="00EC6387" w:rsidRDefault="00FE3BAE" w14:paraId="78501013" w14:textId="4928F768">
            <w:pPr>
              <w:rPr>
                <w:color w:val="000000"/>
              </w:rPr>
            </w:pPr>
          </w:p>
          <w:p w:rsidRPr="006258E0" w:rsidR="00FA49BA" w:rsidP="00FA49BA" w:rsidRDefault="00FA49BA" w14:paraId="236CBEF9" w14:textId="5D65A9F2">
            <w:pPr>
              <w:spacing w:after="240"/>
            </w:pPr>
            <w:r w:rsidRPr="006258E0">
              <w:t xml:space="preserve">In this proceeding, the substantive issues of EDF </w:t>
            </w:r>
            <w:r w:rsidR="00D56E2F">
              <w:t xml:space="preserve">were intertwined in </w:t>
            </w:r>
            <w:r w:rsidR="00F51DE2">
              <w:t>the Staff Proposal and Proposed Decision</w:t>
            </w:r>
            <w:r w:rsidRPr="006258E0">
              <w:t xml:space="preserve">. </w:t>
            </w:r>
          </w:p>
          <w:tbl>
            <w:tblPr>
              <w:tblStyle w:val="TableGrid"/>
              <w:tblW w:w="6535" w:type="dxa"/>
              <w:tblLayout w:type="fixed"/>
              <w:tblCellMar>
                <w:top w:w="58" w:type="dxa"/>
                <w:bottom w:w="58" w:type="dxa"/>
              </w:tblCellMar>
              <w:tblLook w:val="04A0" w:firstRow="1" w:lastRow="0" w:firstColumn="1" w:lastColumn="0" w:noHBand="0" w:noVBand="1"/>
            </w:tblPr>
            <w:tblGrid>
              <w:gridCol w:w="5185"/>
              <w:gridCol w:w="1350"/>
            </w:tblGrid>
            <w:tr w:rsidRPr="006258E0" w:rsidR="00FA49BA" w:rsidTr="00D77539" w14:paraId="5ACBF659" w14:textId="77777777">
              <w:tc>
                <w:tcPr>
                  <w:tcW w:w="5185" w:type="dxa"/>
                </w:tcPr>
                <w:p w:rsidRPr="006258E0" w:rsidR="00FA49BA" w:rsidP="00FA49BA" w:rsidRDefault="00FA49BA" w14:paraId="1DE71E9E" w14:textId="77777777">
                  <w:pPr>
                    <w:jc w:val="center"/>
                    <w:rPr>
                      <w:b/>
                      <w:bCs/>
                    </w:rPr>
                  </w:pPr>
                  <w:r w:rsidRPr="006258E0">
                    <w:rPr>
                      <w:b/>
                      <w:bCs/>
                    </w:rPr>
                    <w:t>Issue</w:t>
                  </w:r>
                </w:p>
              </w:tc>
              <w:tc>
                <w:tcPr>
                  <w:tcW w:w="1350" w:type="dxa"/>
                </w:tcPr>
                <w:p w:rsidRPr="006258E0" w:rsidR="00FA49BA" w:rsidP="00FA49BA" w:rsidRDefault="00FA49BA" w14:paraId="468E43CD" w14:textId="77777777">
                  <w:pPr>
                    <w:jc w:val="center"/>
                    <w:rPr>
                      <w:b/>
                      <w:bCs/>
                    </w:rPr>
                  </w:pPr>
                  <w:r w:rsidRPr="006258E0">
                    <w:rPr>
                      <w:b/>
                      <w:bCs/>
                    </w:rPr>
                    <w:t>Allocation</w:t>
                  </w:r>
                </w:p>
              </w:tc>
            </w:tr>
            <w:tr w:rsidRPr="006258E0" w:rsidR="00FA49BA" w:rsidTr="00D77539" w14:paraId="1EFF5B38" w14:textId="77777777">
              <w:tc>
                <w:tcPr>
                  <w:tcW w:w="5185" w:type="dxa"/>
                </w:tcPr>
                <w:p w:rsidRPr="006258E0" w:rsidR="00FA49BA" w:rsidP="00FA49BA" w:rsidRDefault="00790B12" w14:paraId="41BAC5A9" w14:textId="47C4146D">
                  <w:r>
                    <w:t>Procedural a</w:t>
                  </w:r>
                  <w:r w:rsidR="002F24E1">
                    <w:t>ppropriateness of the utilities’ request and whether the request is in line with the CCM as established in previous decisions and precedence</w:t>
                  </w:r>
                </w:p>
              </w:tc>
              <w:tc>
                <w:tcPr>
                  <w:tcW w:w="1350" w:type="dxa"/>
                </w:tcPr>
                <w:p w:rsidRPr="006258E0" w:rsidR="00FA49BA" w:rsidP="00FA49BA" w:rsidRDefault="00D36B36" w14:paraId="353DCD72" w14:textId="43C0718C">
                  <w:pPr>
                    <w:jc w:val="center"/>
                  </w:pPr>
                  <w:r>
                    <w:t>10</w:t>
                  </w:r>
                  <w:r w:rsidR="009102B9">
                    <w:t>8 hours</w:t>
                  </w:r>
                </w:p>
              </w:tc>
            </w:tr>
            <w:tr w:rsidRPr="006258E0" w:rsidR="00FA49BA" w:rsidTr="00D77539" w14:paraId="7118308E" w14:textId="77777777">
              <w:tc>
                <w:tcPr>
                  <w:tcW w:w="5185" w:type="dxa"/>
                </w:tcPr>
                <w:p w:rsidRPr="006258E0" w:rsidR="004C38C3" w:rsidP="00FA49BA" w:rsidRDefault="008638B7" w14:paraId="55F86BEF" w14:textId="71DAC3D2">
                  <w:r>
                    <w:t>The specific impacts of COVID-19 and the existence of extraordinary</w:t>
                  </w:r>
                  <w:r w:rsidR="00131FEC">
                    <w:t xml:space="preserve"> financial</w:t>
                  </w:r>
                  <w:r>
                    <w:t xml:space="preserve"> circumstances that justify the utilities’ request</w:t>
                  </w:r>
                </w:p>
              </w:tc>
              <w:tc>
                <w:tcPr>
                  <w:tcW w:w="1350" w:type="dxa"/>
                </w:tcPr>
                <w:p w:rsidRPr="006258E0" w:rsidR="00FA49BA" w:rsidP="00FA49BA" w:rsidRDefault="00352626" w14:paraId="36518997" w14:textId="341F112F">
                  <w:pPr>
                    <w:jc w:val="center"/>
                  </w:pPr>
                  <w:r>
                    <w:t>2</w:t>
                  </w:r>
                  <w:r w:rsidR="00D36B36">
                    <w:t>2</w:t>
                  </w:r>
                  <w:r>
                    <w:t>6 hours</w:t>
                  </w:r>
                </w:p>
              </w:tc>
            </w:tr>
            <w:tr w:rsidRPr="006258E0" w:rsidR="00FA49BA" w:rsidTr="00D77539" w14:paraId="7B16FC7A" w14:textId="77777777">
              <w:tc>
                <w:tcPr>
                  <w:tcW w:w="5185" w:type="dxa"/>
                </w:tcPr>
                <w:p w:rsidRPr="006258E0" w:rsidR="00193E14" w:rsidP="00FA49BA" w:rsidRDefault="00BB188F" w14:paraId="05236BB9" w14:textId="1F94934F">
                  <w:r>
                    <w:t>The need for a second phase to the pro</w:t>
                  </w:r>
                  <w:r w:rsidR="009102B9">
                    <w:t>c</w:t>
                  </w:r>
                  <w:r>
                    <w:t>eeding</w:t>
                  </w:r>
                </w:p>
              </w:tc>
              <w:tc>
                <w:tcPr>
                  <w:tcW w:w="1350" w:type="dxa"/>
                </w:tcPr>
                <w:p w:rsidRPr="006258E0" w:rsidR="00FA49BA" w:rsidP="00FA49BA" w:rsidRDefault="00D36B36" w14:paraId="3AE8411E" w14:textId="119A5441">
                  <w:pPr>
                    <w:jc w:val="center"/>
                  </w:pPr>
                  <w:r>
                    <w:t>58 hours</w:t>
                  </w:r>
                </w:p>
              </w:tc>
            </w:tr>
          </w:tbl>
          <w:p w:rsidRPr="00691528" w:rsidR="00FA49BA" w:rsidP="00EC6387" w:rsidRDefault="00FA49BA" w14:paraId="43A81CFC" w14:textId="77777777">
            <w:pPr>
              <w:rPr>
                <w:color w:val="000000"/>
              </w:rPr>
            </w:pPr>
          </w:p>
          <w:p w:rsidRPr="003D4455" w:rsidR="00691528" w:rsidP="00EC6387" w:rsidRDefault="00691528" w14:paraId="3285939A" w14:textId="77777777">
            <w:pPr>
              <w:rPr>
                <w:color w:val="000000"/>
              </w:rPr>
            </w:pPr>
          </w:p>
        </w:tc>
        <w:tc>
          <w:tcPr>
            <w:tcW w:w="2615" w:type="dxa"/>
          </w:tcPr>
          <w:p w:rsidR="001D5F8B" w:rsidP="00EC6387" w:rsidRDefault="00025E8E" w14:paraId="4184C676" w14:textId="77777777">
            <w:pPr>
              <w:rPr>
                <w:color w:val="000000"/>
              </w:rPr>
            </w:pPr>
            <w:r>
              <w:rPr>
                <w:color w:val="000000"/>
              </w:rPr>
              <w:t xml:space="preserve">On March </w:t>
            </w:r>
            <w:r w:rsidR="00E353A1">
              <w:rPr>
                <w:color w:val="000000"/>
              </w:rPr>
              <w:t xml:space="preserve">7, 2025, </w:t>
            </w:r>
            <w:r>
              <w:rPr>
                <w:color w:val="000000"/>
              </w:rPr>
              <w:t>EDF filed a supplem</w:t>
            </w:r>
            <w:r w:rsidR="00E353A1">
              <w:rPr>
                <w:color w:val="000000"/>
              </w:rPr>
              <w:t>ent to this request for compensation and corrected the</w:t>
            </w:r>
            <w:r w:rsidR="001D5F8B">
              <w:rPr>
                <w:color w:val="000000"/>
              </w:rPr>
              <w:t>ir allocation of hours by issue to be as follows:</w:t>
            </w:r>
          </w:p>
          <w:p w:rsidR="001D5F8B" w:rsidP="00EC6387" w:rsidRDefault="001D5F8B" w14:paraId="3FE4EFC1" w14:textId="77777777">
            <w:pPr>
              <w:rPr>
                <w:color w:val="000000"/>
              </w:rPr>
            </w:pPr>
          </w:p>
          <w:p w:rsidR="001D5F8B" w:rsidP="001D5F8B" w:rsidRDefault="001D5F8B" w14:paraId="0F5BB337" w14:textId="77777777">
            <w:pPr>
              <w:pStyle w:val="ListParagraph"/>
              <w:numPr>
                <w:ilvl w:val="0"/>
                <w:numId w:val="28"/>
              </w:numPr>
              <w:tabs>
                <w:tab w:val="left" w:pos="360"/>
              </w:tabs>
              <w:rPr>
                <w:rFonts w:ascii="Times New Roman" w:hAnsi="Times New Roman"/>
                <w:color w:val="000000"/>
                <w:sz w:val="24"/>
                <w:szCs w:val="24"/>
              </w:rPr>
            </w:pPr>
            <w:r w:rsidRPr="008127F2">
              <w:rPr>
                <w:rFonts w:ascii="Times New Roman" w:hAnsi="Times New Roman"/>
                <w:color w:val="000000"/>
                <w:sz w:val="24"/>
                <w:szCs w:val="24"/>
              </w:rPr>
              <w:t>Are there extraordinary circumstances that warrant a departure from the [Cost of Capital Mechanism] CCM for 2022? [310 hours]</w:t>
            </w:r>
          </w:p>
          <w:p w:rsidRPr="008127F2" w:rsidR="001D7C4F" w:rsidP="00A4526F" w:rsidRDefault="001D7C4F" w14:paraId="46BC9E91" w14:textId="77777777">
            <w:pPr>
              <w:pStyle w:val="ListParagraph"/>
              <w:tabs>
                <w:tab w:val="left" w:pos="360"/>
              </w:tabs>
              <w:ind w:left="360"/>
              <w:rPr>
                <w:rFonts w:ascii="Times New Roman" w:hAnsi="Times New Roman"/>
                <w:color w:val="000000"/>
                <w:sz w:val="24"/>
                <w:szCs w:val="24"/>
              </w:rPr>
            </w:pPr>
          </w:p>
          <w:p w:rsidRPr="008127F2" w:rsidR="001D5F8B" w:rsidP="001D5F8B" w:rsidRDefault="001D5F8B" w14:paraId="4BF70664" w14:textId="77777777">
            <w:pPr>
              <w:pStyle w:val="ListParagraph"/>
              <w:numPr>
                <w:ilvl w:val="0"/>
                <w:numId w:val="28"/>
              </w:numPr>
              <w:tabs>
                <w:tab w:val="left" w:pos="360"/>
              </w:tabs>
              <w:rPr>
                <w:rFonts w:ascii="Times New Roman" w:hAnsi="Times New Roman"/>
                <w:color w:val="000000"/>
                <w:sz w:val="24"/>
                <w:szCs w:val="24"/>
              </w:rPr>
            </w:pPr>
            <w:r w:rsidRPr="008127F2">
              <w:rPr>
                <w:rFonts w:ascii="Times New Roman" w:hAnsi="Times New Roman"/>
                <w:color w:val="000000"/>
                <w:sz w:val="24"/>
                <w:szCs w:val="24"/>
              </w:rPr>
              <w:t>If so, should the Commission leave the cost of capital components at pre-2022 levels for the year 2022, or open a second phase to consider alternative cost of capital proposals for the year 2022? [79 hours]</w:t>
            </w:r>
          </w:p>
          <w:p w:rsidR="001D5F8B" w:rsidP="00EC6387" w:rsidRDefault="001D5F8B" w14:paraId="606D7E6E" w14:textId="77777777">
            <w:pPr>
              <w:rPr>
                <w:color w:val="000000"/>
              </w:rPr>
            </w:pPr>
          </w:p>
          <w:p w:rsidRPr="007F620E" w:rsidR="00332E8B" w:rsidP="00940563" w:rsidRDefault="00940563" w14:paraId="497C4799" w14:textId="07AA5E3D">
            <w:pPr>
              <w:rPr>
                <w:color w:val="000000"/>
              </w:rPr>
            </w:pPr>
            <w:r>
              <w:rPr>
                <w:color w:val="000000"/>
              </w:rPr>
              <w:t>EDF allocate</w:t>
            </w:r>
            <w:r w:rsidR="00AA3ACD">
              <w:rPr>
                <w:color w:val="000000"/>
              </w:rPr>
              <w:t>d</w:t>
            </w:r>
            <w:r w:rsidR="00886FF3">
              <w:rPr>
                <w:color w:val="000000"/>
              </w:rPr>
              <w:t xml:space="preserve"> 389 hours</w:t>
            </w:r>
            <w:r>
              <w:rPr>
                <w:color w:val="000000"/>
              </w:rPr>
              <w:t xml:space="preserve"> to these two issues</w:t>
            </w:r>
            <w:r w:rsidR="00886FF3">
              <w:rPr>
                <w:color w:val="000000"/>
              </w:rPr>
              <w:t>,</w:t>
            </w:r>
            <w:r w:rsidR="0022658D">
              <w:rPr>
                <w:color w:val="000000"/>
              </w:rPr>
              <w:t xml:space="preserve"> which </w:t>
            </w:r>
            <w:r w:rsidR="00886FF3">
              <w:rPr>
                <w:color w:val="000000"/>
              </w:rPr>
              <w:t>is different from</w:t>
            </w:r>
            <w:r w:rsidR="00384F98">
              <w:rPr>
                <w:color w:val="000000"/>
              </w:rPr>
              <w:t xml:space="preserve"> </w:t>
            </w:r>
            <w:r w:rsidR="0022658D">
              <w:rPr>
                <w:color w:val="000000"/>
              </w:rPr>
              <w:t xml:space="preserve">the 388.95 hours </w:t>
            </w:r>
            <w:r w:rsidR="00034DB4">
              <w:rPr>
                <w:color w:val="000000"/>
              </w:rPr>
              <w:t>EDF</w:t>
            </w:r>
            <w:r w:rsidR="0022658D">
              <w:rPr>
                <w:color w:val="000000"/>
              </w:rPr>
              <w:t xml:space="preserve"> </w:t>
            </w:r>
            <w:r w:rsidR="00BD668F">
              <w:rPr>
                <w:color w:val="000000"/>
              </w:rPr>
              <w:t>claimed</w:t>
            </w:r>
            <w:r w:rsidR="00034DB4">
              <w:rPr>
                <w:color w:val="000000"/>
              </w:rPr>
              <w:t xml:space="preserve"> </w:t>
            </w:r>
            <w:r w:rsidR="00781E89">
              <w:rPr>
                <w:color w:val="000000"/>
              </w:rPr>
              <w:t>in Part III.B</w:t>
            </w:r>
            <w:r w:rsidR="00BD668F">
              <w:rPr>
                <w:color w:val="000000"/>
              </w:rPr>
              <w:t xml:space="preserve"> </w:t>
            </w:r>
            <w:r w:rsidR="003C063F">
              <w:rPr>
                <w:color w:val="000000"/>
              </w:rPr>
              <w:t xml:space="preserve">and </w:t>
            </w:r>
            <w:r w:rsidR="00276614">
              <w:rPr>
                <w:color w:val="000000"/>
              </w:rPr>
              <w:t>their</w:t>
            </w:r>
            <w:r w:rsidR="00207E72">
              <w:rPr>
                <w:color w:val="000000"/>
              </w:rPr>
              <w:t xml:space="preserve"> supplemental</w:t>
            </w:r>
            <w:r w:rsidR="00276614">
              <w:rPr>
                <w:color w:val="000000"/>
              </w:rPr>
              <w:t xml:space="preserve"> timesheets</w:t>
            </w:r>
            <w:r w:rsidR="008859EC">
              <w:rPr>
                <w:color w:val="000000"/>
              </w:rPr>
              <w:t>.</w:t>
            </w:r>
            <w:r w:rsidR="00207E72">
              <w:rPr>
                <w:color w:val="000000"/>
              </w:rPr>
              <w:t xml:space="preserve"> </w:t>
            </w:r>
            <w:r w:rsidR="00BB20AC">
              <w:rPr>
                <w:color w:val="000000"/>
              </w:rPr>
              <w:t xml:space="preserve">As stated in footnote </w:t>
            </w:r>
            <w:r w:rsidR="009239C8">
              <w:rPr>
                <w:color w:val="000000"/>
              </w:rPr>
              <w:t>3</w:t>
            </w:r>
            <w:r w:rsidR="00BB20AC">
              <w:rPr>
                <w:color w:val="000000"/>
              </w:rPr>
              <w:t xml:space="preserve">, </w:t>
            </w:r>
            <w:r w:rsidR="00BD378B">
              <w:rPr>
                <w:color w:val="000000"/>
              </w:rPr>
              <w:t>EDF’s supplemental timesheets</w:t>
            </w:r>
            <w:r w:rsidR="004C23DE">
              <w:rPr>
                <w:color w:val="000000"/>
              </w:rPr>
              <w:t xml:space="preserve"> </w:t>
            </w:r>
            <w:r w:rsidR="00BD378B">
              <w:rPr>
                <w:color w:val="000000"/>
              </w:rPr>
              <w:t xml:space="preserve">allocate </w:t>
            </w:r>
            <w:r w:rsidR="00EB1CF6">
              <w:rPr>
                <w:color w:val="000000"/>
              </w:rPr>
              <w:t xml:space="preserve">309.63 hours to Issue 1 and </w:t>
            </w:r>
            <w:r w:rsidR="006A4DC5">
              <w:rPr>
                <w:color w:val="000000"/>
              </w:rPr>
              <w:t>79.23 hours to Issue 2</w:t>
            </w:r>
            <w:r w:rsidR="004C23DE">
              <w:rPr>
                <w:color w:val="000000"/>
              </w:rPr>
              <w:t>.</w:t>
            </w:r>
            <w:r w:rsidR="00366DCA">
              <w:rPr>
                <w:color w:val="000000"/>
              </w:rPr>
              <w:t xml:space="preserve">  Therefore, this decision relies on the timesheets for accuracy.</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lastRenderedPageBreak/>
        <w:t>Specific Claim</w:t>
      </w:r>
      <w:r w:rsidR="00C02649">
        <w:rPr>
          <w:b/>
          <w:color w:val="000000"/>
        </w:rPr>
        <w:t>:</w:t>
      </w:r>
      <w:r w:rsidRPr="007F620E" w:rsidR="00D075B1">
        <w:rPr>
          <w:b/>
          <w:color w:val="000000"/>
        </w:rPr>
        <w:t>*</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393"/>
        <w:gridCol w:w="1260"/>
        <w:gridCol w:w="1080"/>
        <w:gridCol w:w="1535"/>
      </w:tblGrid>
      <w:tr w:rsidRPr="007F620E" w:rsidR="00A92D0B" w:rsidTr="00CA07E3" w14:paraId="780664A2" w14:textId="77777777">
        <w:trPr>
          <w:cantSplit/>
          <w:tblHeader/>
          <w:jc w:val="center"/>
        </w:trPr>
        <w:tc>
          <w:tcPr>
            <w:tcW w:w="7285"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875"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CA07E3" w14:paraId="0F5B6CAA" w14:textId="77777777">
        <w:trPr>
          <w:cantSplit/>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1874A0" w:rsidR="00A92D0B" w:rsidP="00DE3A5D" w:rsidRDefault="00A92D0B" w14:paraId="284F9031" w14:textId="77777777">
            <w:pPr>
              <w:keepNext/>
              <w:keepLines/>
              <w:spacing w:before="60" w:after="60"/>
              <w:jc w:val="center"/>
              <w:rPr>
                <w:b/>
              </w:rPr>
            </w:pPr>
            <w:r w:rsidRPr="001874A0">
              <w:rPr>
                <w:b/>
              </w:rPr>
              <w:t>ATTORNEY, EXPERT, AND ADVOCATE FEES</w:t>
            </w:r>
          </w:p>
        </w:tc>
      </w:tr>
      <w:tr w:rsidRPr="00260518" w:rsidR="00A92D0B" w:rsidTr="00CA07E3" w14:paraId="5A70C962" w14:textId="77777777">
        <w:trPr>
          <w:cantSplit/>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440" w:type="dxa"/>
            <w:gridSpan w:val="2"/>
            <w:tcBorders>
              <w:top w:val="single" w:color="auto" w:sz="4" w:space="0"/>
              <w:left w:val="single" w:color="auto" w:sz="4" w:space="0"/>
              <w:bottom w:val="single" w:color="auto" w:sz="4" w:space="0"/>
              <w:right w:val="single" w:color="auto" w:sz="24" w:space="0"/>
            </w:tcBorders>
            <w:vAlign w:val="bottom"/>
          </w:tcPr>
          <w:p w:rsidRPr="00C56097" w:rsidR="00A92D0B" w:rsidP="003B6A1B" w:rsidRDefault="00A92D0B" w14:paraId="7099C603" w14:textId="77777777">
            <w:pPr>
              <w:keepNext/>
              <w:keepLines/>
              <w:spacing w:before="60" w:after="60"/>
              <w:jc w:val="center"/>
              <w:rPr>
                <w:b/>
                <w:color w:val="000000"/>
                <w:sz w:val="22"/>
                <w:szCs w:val="22"/>
              </w:rPr>
            </w:pPr>
            <w:r w:rsidRPr="00C56097">
              <w:rPr>
                <w:b/>
                <w:color w:val="000000"/>
                <w:sz w:val="22"/>
                <w:szCs w:val="22"/>
              </w:rPr>
              <w:t>Total $</w:t>
            </w:r>
          </w:p>
        </w:tc>
        <w:tc>
          <w:tcPr>
            <w:tcW w:w="1260"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080" w:type="dxa"/>
            <w:tcBorders>
              <w:top w:val="single" w:color="auto" w:sz="4" w:space="0"/>
            </w:tcBorders>
            <w:vAlign w:val="bottom"/>
          </w:tcPr>
          <w:p w:rsidRPr="00260518" w:rsidR="00A92D0B" w:rsidP="00290380"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535" w:type="dxa"/>
            <w:tcBorders>
              <w:top w:val="single" w:color="auto" w:sz="4" w:space="0"/>
            </w:tcBorders>
            <w:vAlign w:val="bottom"/>
          </w:tcPr>
          <w:p w:rsidRPr="00260518" w:rsidR="00A92D0B" w:rsidP="00290380"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7763FC" w:rsidTr="00CA07E3" w14:paraId="63410C23" w14:textId="77777777">
        <w:trPr>
          <w:cantSplit/>
          <w:jc w:val="center"/>
        </w:trPr>
        <w:tc>
          <w:tcPr>
            <w:tcW w:w="1489" w:type="dxa"/>
          </w:tcPr>
          <w:p w:rsidRPr="00D77539" w:rsidR="007763FC" w:rsidP="007763FC" w:rsidRDefault="007763FC" w14:paraId="5FC902FC" w14:textId="30E31A13">
            <w:pPr>
              <w:spacing w:before="60" w:after="60"/>
              <w:rPr>
                <w:color w:val="000000"/>
                <w:sz w:val="23"/>
                <w:szCs w:val="23"/>
              </w:rPr>
            </w:pPr>
            <w:r w:rsidRPr="00D77539">
              <w:rPr>
                <w:color w:val="000000"/>
                <w:sz w:val="23"/>
                <w:szCs w:val="23"/>
              </w:rPr>
              <w:t>Elizabeth Kelly</w:t>
            </w:r>
          </w:p>
        </w:tc>
        <w:tc>
          <w:tcPr>
            <w:tcW w:w="821" w:type="dxa"/>
          </w:tcPr>
          <w:p w:rsidRPr="00D77539" w:rsidR="007763FC" w:rsidP="007763FC" w:rsidRDefault="007763FC" w14:paraId="3D847129" w14:textId="5C1F1B2E">
            <w:pPr>
              <w:spacing w:before="60" w:after="60"/>
              <w:jc w:val="center"/>
              <w:rPr>
                <w:color w:val="000000"/>
                <w:sz w:val="23"/>
                <w:szCs w:val="23"/>
              </w:rPr>
            </w:pPr>
            <w:r w:rsidRPr="00D77539">
              <w:rPr>
                <w:color w:val="000000"/>
                <w:sz w:val="23"/>
                <w:szCs w:val="23"/>
              </w:rPr>
              <w:t>2021</w:t>
            </w:r>
          </w:p>
        </w:tc>
        <w:tc>
          <w:tcPr>
            <w:tcW w:w="884" w:type="dxa"/>
            <w:gridSpan w:val="2"/>
          </w:tcPr>
          <w:p w:rsidRPr="00D77539" w:rsidR="007763FC" w:rsidP="007763FC" w:rsidRDefault="007763FC" w14:paraId="1CF61627" w14:textId="114B2DBC">
            <w:pPr>
              <w:spacing w:before="60" w:after="60"/>
              <w:jc w:val="center"/>
              <w:rPr>
                <w:color w:val="000000"/>
                <w:sz w:val="23"/>
                <w:szCs w:val="23"/>
              </w:rPr>
            </w:pPr>
            <w:r w:rsidRPr="00D77539">
              <w:rPr>
                <w:color w:val="000000"/>
                <w:sz w:val="23"/>
                <w:szCs w:val="23"/>
              </w:rPr>
              <w:t>36.90</w:t>
            </w:r>
          </w:p>
        </w:tc>
        <w:tc>
          <w:tcPr>
            <w:tcW w:w="930" w:type="dxa"/>
          </w:tcPr>
          <w:p w:rsidRPr="00D77539" w:rsidR="007763FC" w:rsidP="007763FC" w:rsidRDefault="007763FC" w14:paraId="27BC8AFF" w14:textId="4D88CB8F">
            <w:pPr>
              <w:spacing w:before="60" w:after="60"/>
              <w:jc w:val="right"/>
              <w:rPr>
                <w:color w:val="000000"/>
                <w:sz w:val="23"/>
                <w:szCs w:val="23"/>
              </w:rPr>
            </w:pPr>
            <w:r w:rsidRPr="00D77539">
              <w:rPr>
                <w:color w:val="000000"/>
                <w:sz w:val="23"/>
                <w:szCs w:val="23"/>
              </w:rPr>
              <w:t>$550</w:t>
            </w:r>
          </w:p>
        </w:tc>
        <w:tc>
          <w:tcPr>
            <w:tcW w:w="1721" w:type="dxa"/>
            <w:gridSpan w:val="2"/>
            <w:tcBorders>
              <w:right w:val="single" w:color="auto" w:sz="4" w:space="0"/>
            </w:tcBorders>
          </w:tcPr>
          <w:p w:rsidRPr="00D77539" w:rsidR="007763FC" w:rsidP="007763FC" w:rsidRDefault="007763FC" w14:paraId="072D0E4A" w14:textId="2FE1B976">
            <w:pPr>
              <w:spacing w:before="60" w:after="60"/>
              <w:rPr>
                <w:color w:val="000000"/>
                <w:sz w:val="23"/>
                <w:szCs w:val="23"/>
              </w:rPr>
            </w:pPr>
            <w:r w:rsidRPr="00D77539">
              <w:rPr>
                <w:color w:val="000000"/>
                <w:sz w:val="23"/>
                <w:szCs w:val="23"/>
              </w:rPr>
              <w:t xml:space="preserve">D.22-06-036; Intervenor Compensation Hourly Rate Chart Effective 1/1/2021 for Attorney </w:t>
            </w:r>
            <w:r w:rsidRPr="00D77539" w:rsidR="0032097E">
              <w:rPr>
                <w:color w:val="000000"/>
                <w:sz w:val="23"/>
                <w:szCs w:val="23"/>
              </w:rPr>
              <w:t>V</w:t>
            </w:r>
          </w:p>
        </w:tc>
        <w:tc>
          <w:tcPr>
            <w:tcW w:w="1440" w:type="dxa"/>
            <w:gridSpan w:val="2"/>
            <w:tcBorders>
              <w:top w:val="single" w:color="auto" w:sz="4" w:space="0"/>
              <w:left w:val="single" w:color="auto" w:sz="4" w:space="0"/>
              <w:bottom w:val="single" w:color="auto" w:sz="4" w:space="0"/>
              <w:right w:val="single" w:color="auto" w:sz="24" w:space="0"/>
            </w:tcBorders>
          </w:tcPr>
          <w:p w:rsidRPr="00D77539" w:rsidR="007763FC" w:rsidP="007763FC" w:rsidRDefault="00590A62" w14:paraId="6689E274" w14:textId="12382ADF">
            <w:pPr>
              <w:spacing w:before="60" w:after="60"/>
              <w:jc w:val="right"/>
              <w:rPr>
                <w:color w:val="000000"/>
                <w:sz w:val="23"/>
                <w:szCs w:val="23"/>
              </w:rPr>
            </w:pPr>
            <w:r w:rsidRPr="00D77539">
              <w:rPr>
                <w:color w:val="000000"/>
                <w:sz w:val="23"/>
                <w:szCs w:val="23"/>
              </w:rPr>
              <w:t>$20,295.00</w:t>
            </w:r>
          </w:p>
        </w:tc>
        <w:tc>
          <w:tcPr>
            <w:tcW w:w="1260" w:type="dxa"/>
            <w:tcBorders>
              <w:left w:val="single" w:color="auto" w:sz="4" w:space="0"/>
            </w:tcBorders>
          </w:tcPr>
          <w:p w:rsidRPr="00D77539" w:rsidR="00685F64" w:rsidP="007763FC" w:rsidRDefault="00AD652C" w14:paraId="4761239B" w14:textId="371AB986">
            <w:pPr>
              <w:spacing w:before="60" w:after="60"/>
              <w:jc w:val="center"/>
              <w:rPr>
                <w:color w:val="000000"/>
                <w:sz w:val="23"/>
                <w:szCs w:val="23"/>
              </w:rPr>
            </w:pPr>
            <w:r w:rsidRPr="00D77539">
              <w:rPr>
                <w:color w:val="000000"/>
                <w:sz w:val="23"/>
                <w:szCs w:val="23"/>
              </w:rPr>
              <w:t>24.65</w:t>
            </w:r>
          </w:p>
          <w:p w:rsidRPr="00D77539" w:rsidR="007763FC" w:rsidP="007763FC" w:rsidRDefault="00614960" w14:paraId="52C17779" w14:textId="6C995604">
            <w:pPr>
              <w:spacing w:before="60" w:after="60"/>
              <w:jc w:val="center"/>
              <w:rPr>
                <w:color w:val="000000"/>
                <w:sz w:val="23"/>
                <w:szCs w:val="23"/>
              </w:rPr>
            </w:pPr>
            <w:r w:rsidRPr="00D77539">
              <w:rPr>
                <w:color w:val="000000"/>
                <w:sz w:val="23"/>
                <w:szCs w:val="23"/>
              </w:rPr>
              <w:t xml:space="preserve"> [</w:t>
            </w:r>
            <w:r w:rsidRPr="00D77539" w:rsidR="00D215C0">
              <w:rPr>
                <w:color w:val="000000"/>
                <w:sz w:val="23"/>
                <w:szCs w:val="23"/>
              </w:rPr>
              <w:t>5, 6</w:t>
            </w:r>
            <w:r w:rsidRPr="00D77539">
              <w:rPr>
                <w:color w:val="000000"/>
                <w:sz w:val="23"/>
                <w:szCs w:val="23"/>
              </w:rPr>
              <w:t>]</w:t>
            </w:r>
          </w:p>
        </w:tc>
        <w:tc>
          <w:tcPr>
            <w:tcW w:w="1080" w:type="dxa"/>
          </w:tcPr>
          <w:p w:rsidRPr="00D77539" w:rsidR="007763FC" w:rsidP="00290380" w:rsidRDefault="002B4EA8" w14:paraId="6311360C" w14:textId="40E1388D">
            <w:pPr>
              <w:spacing w:before="60" w:after="60"/>
              <w:jc w:val="center"/>
              <w:rPr>
                <w:color w:val="000000"/>
                <w:sz w:val="23"/>
                <w:szCs w:val="23"/>
              </w:rPr>
            </w:pPr>
            <w:r w:rsidRPr="00D77539">
              <w:rPr>
                <w:color w:val="000000"/>
                <w:sz w:val="23"/>
                <w:szCs w:val="23"/>
              </w:rPr>
              <w:t>$550.00</w:t>
            </w:r>
            <w:r w:rsidRPr="00D77539" w:rsidR="00F71FB4">
              <w:rPr>
                <w:color w:val="000000"/>
                <w:sz w:val="23"/>
                <w:szCs w:val="23"/>
              </w:rPr>
              <w:t xml:space="preserve"> [1]</w:t>
            </w:r>
            <w:r w:rsidRPr="00D77539" w:rsidR="00D32A88">
              <w:rPr>
                <w:color w:val="000000"/>
                <w:sz w:val="23"/>
                <w:szCs w:val="23"/>
              </w:rPr>
              <w:t xml:space="preserve"> [8]</w:t>
            </w:r>
          </w:p>
        </w:tc>
        <w:tc>
          <w:tcPr>
            <w:tcW w:w="1535" w:type="dxa"/>
          </w:tcPr>
          <w:p w:rsidRPr="00D77539" w:rsidR="007763FC" w:rsidP="0082695A" w:rsidRDefault="00D27129" w14:paraId="26534314" w14:textId="60E1354F">
            <w:pPr>
              <w:spacing w:before="60" w:after="60"/>
              <w:jc w:val="right"/>
              <w:rPr>
                <w:color w:val="000000"/>
                <w:sz w:val="23"/>
                <w:szCs w:val="23"/>
              </w:rPr>
            </w:pPr>
            <w:r w:rsidRPr="00D77539">
              <w:rPr>
                <w:color w:val="000000"/>
                <w:sz w:val="23"/>
                <w:szCs w:val="23"/>
              </w:rPr>
              <w:t>$</w:t>
            </w:r>
            <w:r w:rsidRPr="00D77539" w:rsidR="00AD652C">
              <w:rPr>
                <w:color w:val="000000"/>
                <w:sz w:val="23"/>
                <w:szCs w:val="23"/>
              </w:rPr>
              <w:t>13,557.50</w:t>
            </w:r>
          </w:p>
        </w:tc>
      </w:tr>
      <w:tr w:rsidRPr="007F620E" w:rsidR="007763FC" w:rsidTr="00CA07E3" w14:paraId="0B874B12" w14:textId="77777777">
        <w:trPr>
          <w:cantSplit/>
          <w:jc w:val="center"/>
        </w:trPr>
        <w:tc>
          <w:tcPr>
            <w:tcW w:w="1489" w:type="dxa"/>
          </w:tcPr>
          <w:p w:rsidRPr="00D77539" w:rsidR="007763FC" w:rsidP="007763FC" w:rsidRDefault="007763FC" w14:paraId="16B0B06B" w14:textId="7791437C">
            <w:pPr>
              <w:spacing w:before="60" w:after="60"/>
              <w:rPr>
                <w:color w:val="000000"/>
                <w:sz w:val="23"/>
                <w:szCs w:val="23"/>
              </w:rPr>
            </w:pPr>
            <w:r w:rsidRPr="00D77539">
              <w:rPr>
                <w:color w:val="000000"/>
                <w:sz w:val="23"/>
                <w:szCs w:val="23"/>
              </w:rPr>
              <w:t>Elizabeth Kelly</w:t>
            </w:r>
          </w:p>
        </w:tc>
        <w:tc>
          <w:tcPr>
            <w:tcW w:w="821" w:type="dxa"/>
          </w:tcPr>
          <w:p w:rsidRPr="00D77539" w:rsidR="007763FC" w:rsidP="007763FC" w:rsidRDefault="007763FC" w14:paraId="136CBA23" w14:textId="1AD6EDAD">
            <w:pPr>
              <w:spacing w:before="60" w:after="60"/>
              <w:jc w:val="center"/>
              <w:rPr>
                <w:color w:val="000000"/>
                <w:sz w:val="23"/>
                <w:szCs w:val="23"/>
              </w:rPr>
            </w:pPr>
            <w:r w:rsidRPr="00D77539">
              <w:rPr>
                <w:color w:val="000000"/>
                <w:sz w:val="23"/>
                <w:szCs w:val="23"/>
              </w:rPr>
              <w:t>2022</w:t>
            </w:r>
          </w:p>
        </w:tc>
        <w:tc>
          <w:tcPr>
            <w:tcW w:w="884" w:type="dxa"/>
            <w:gridSpan w:val="2"/>
          </w:tcPr>
          <w:p w:rsidRPr="00D77539" w:rsidR="007763FC" w:rsidP="007763FC" w:rsidRDefault="00930407" w14:paraId="4D2D8C35" w14:textId="200E604D">
            <w:pPr>
              <w:spacing w:before="60" w:after="60"/>
              <w:jc w:val="center"/>
              <w:rPr>
                <w:color w:val="000000"/>
                <w:sz w:val="23"/>
                <w:szCs w:val="23"/>
              </w:rPr>
            </w:pPr>
            <w:r w:rsidRPr="00D77539">
              <w:rPr>
                <w:color w:val="000000"/>
                <w:sz w:val="23"/>
                <w:szCs w:val="23"/>
              </w:rPr>
              <w:t>84.20</w:t>
            </w:r>
          </w:p>
        </w:tc>
        <w:tc>
          <w:tcPr>
            <w:tcW w:w="930" w:type="dxa"/>
          </w:tcPr>
          <w:p w:rsidRPr="00D77539" w:rsidR="007763FC" w:rsidP="007763FC" w:rsidRDefault="007763FC" w14:paraId="6768AFA2" w14:textId="47FEE6CA">
            <w:pPr>
              <w:spacing w:before="60" w:after="60"/>
              <w:jc w:val="right"/>
              <w:rPr>
                <w:color w:val="000000"/>
                <w:sz w:val="23"/>
                <w:szCs w:val="23"/>
              </w:rPr>
            </w:pPr>
            <w:r w:rsidRPr="00D77539">
              <w:rPr>
                <w:color w:val="000000"/>
                <w:sz w:val="23"/>
                <w:szCs w:val="23"/>
              </w:rPr>
              <w:t>$625</w:t>
            </w:r>
          </w:p>
        </w:tc>
        <w:tc>
          <w:tcPr>
            <w:tcW w:w="1721" w:type="dxa"/>
            <w:gridSpan w:val="2"/>
            <w:tcBorders>
              <w:right w:val="single" w:color="auto" w:sz="4" w:space="0"/>
            </w:tcBorders>
          </w:tcPr>
          <w:p w:rsidRPr="00D77539" w:rsidR="007763FC" w:rsidP="007763FC" w:rsidRDefault="007763FC" w14:paraId="3626C6A6" w14:textId="3CEEBBAB">
            <w:pPr>
              <w:spacing w:before="60" w:after="60"/>
              <w:rPr>
                <w:color w:val="000000"/>
                <w:sz w:val="23"/>
                <w:szCs w:val="23"/>
              </w:rPr>
            </w:pPr>
            <w:r w:rsidRPr="00D77539">
              <w:rPr>
                <w:color w:val="000000"/>
                <w:sz w:val="23"/>
                <w:szCs w:val="23"/>
              </w:rPr>
              <w:t xml:space="preserve">Intervenor Compensation Hourly Rate Chart Effective 1/1/2021 for Attorney </w:t>
            </w:r>
            <w:r w:rsidRPr="00D77539" w:rsidR="00C75FD9">
              <w:rPr>
                <w:color w:val="000000"/>
                <w:sz w:val="23"/>
                <w:szCs w:val="23"/>
              </w:rPr>
              <w:t>V</w:t>
            </w:r>
          </w:p>
        </w:tc>
        <w:tc>
          <w:tcPr>
            <w:tcW w:w="1440" w:type="dxa"/>
            <w:gridSpan w:val="2"/>
            <w:tcBorders>
              <w:top w:val="single" w:color="auto" w:sz="4" w:space="0"/>
              <w:left w:val="single" w:color="auto" w:sz="4" w:space="0"/>
              <w:bottom w:val="single" w:color="auto" w:sz="4" w:space="0"/>
              <w:right w:val="single" w:color="auto" w:sz="24" w:space="0"/>
            </w:tcBorders>
          </w:tcPr>
          <w:p w:rsidRPr="00D77539" w:rsidR="007763FC" w:rsidP="007763FC" w:rsidRDefault="007763FC" w14:paraId="089F9E42" w14:textId="59429B7C">
            <w:pPr>
              <w:spacing w:before="60" w:after="60"/>
              <w:jc w:val="right"/>
              <w:rPr>
                <w:color w:val="000000"/>
                <w:sz w:val="23"/>
                <w:szCs w:val="23"/>
              </w:rPr>
            </w:pPr>
            <w:r w:rsidRPr="00D77539">
              <w:rPr>
                <w:color w:val="000000"/>
                <w:sz w:val="23"/>
                <w:szCs w:val="23"/>
              </w:rPr>
              <w:t>$</w:t>
            </w:r>
            <w:r w:rsidRPr="00D77539" w:rsidR="00590A62">
              <w:rPr>
                <w:color w:val="000000"/>
                <w:sz w:val="23"/>
                <w:szCs w:val="23"/>
              </w:rPr>
              <w:t>52,6</w:t>
            </w:r>
            <w:r w:rsidRPr="00D77539" w:rsidR="003A26AF">
              <w:rPr>
                <w:color w:val="000000"/>
                <w:sz w:val="23"/>
                <w:szCs w:val="23"/>
              </w:rPr>
              <w:t>25</w:t>
            </w:r>
            <w:r w:rsidRPr="00D77539" w:rsidR="00590A62">
              <w:rPr>
                <w:color w:val="000000"/>
                <w:sz w:val="23"/>
                <w:szCs w:val="23"/>
              </w:rPr>
              <w:t>.</w:t>
            </w:r>
            <w:r w:rsidRPr="00D77539" w:rsidR="003A26AF">
              <w:rPr>
                <w:color w:val="000000"/>
                <w:sz w:val="23"/>
                <w:szCs w:val="23"/>
              </w:rPr>
              <w:t>0</w:t>
            </w:r>
            <w:r w:rsidRPr="00D77539" w:rsidR="00590A62">
              <w:rPr>
                <w:color w:val="000000"/>
                <w:sz w:val="23"/>
                <w:szCs w:val="23"/>
              </w:rPr>
              <w:t>0</w:t>
            </w:r>
          </w:p>
        </w:tc>
        <w:tc>
          <w:tcPr>
            <w:tcW w:w="1260" w:type="dxa"/>
            <w:tcBorders>
              <w:left w:val="single" w:color="auto" w:sz="4" w:space="0"/>
            </w:tcBorders>
          </w:tcPr>
          <w:p w:rsidRPr="00D77539" w:rsidR="008B0925" w:rsidP="007763FC" w:rsidRDefault="000E055D" w14:paraId="63A9C079" w14:textId="03664930">
            <w:pPr>
              <w:spacing w:before="60" w:after="60"/>
              <w:jc w:val="center"/>
              <w:rPr>
                <w:color w:val="000000"/>
                <w:sz w:val="23"/>
                <w:szCs w:val="23"/>
              </w:rPr>
            </w:pPr>
            <w:r w:rsidRPr="00D77539">
              <w:rPr>
                <w:color w:val="000000"/>
                <w:sz w:val="23"/>
                <w:szCs w:val="23"/>
              </w:rPr>
              <w:t>52.80</w:t>
            </w:r>
          </w:p>
          <w:p w:rsidRPr="00D77539" w:rsidR="007763FC" w:rsidP="007763FC" w:rsidRDefault="00B60398" w14:paraId="6E86F62F" w14:textId="16399FC7">
            <w:pPr>
              <w:spacing w:before="60" w:after="60"/>
              <w:jc w:val="center"/>
              <w:rPr>
                <w:color w:val="000000"/>
                <w:sz w:val="23"/>
                <w:szCs w:val="23"/>
              </w:rPr>
            </w:pPr>
            <w:r w:rsidRPr="00D77539">
              <w:rPr>
                <w:color w:val="000000"/>
                <w:sz w:val="23"/>
                <w:szCs w:val="23"/>
              </w:rPr>
              <w:t>[</w:t>
            </w:r>
            <w:r w:rsidRPr="00D77539" w:rsidR="00D215C0">
              <w:rPr>
                <w:color w:val="000000"/>
                <w:sz w:val="23"/>
                <w:szCs w:val="23"/>
              </w:rPr>
              <w:t>5, 6</w:t>
            </w:r>
            <w:r w:rsidRPr="00D77539">
              <w:rPr>
                <w:color w:val="000000"/>
                <w:sz w:val="23"/>
                <w:szCs w:val="23"/>
              </w:rPr>
              <w:t>]</w:t>
            </w:r>
          </w:p>
        </w:tc>
        <w:tc>
          <w:tcPr>
            <w:tcW w:w="1080" w:type="dxa"/>
          </w:tcPr>
          <w:p w:rsidRPr="00D77539" w:rsidR="007763FC" w:rsidP="00290380" w:rsidRDefault="002B4EA8" w14:paraId="4A9F495B" w14:textId="3C2D4A69">
            <w:pPr>
              <w:spacing w:before="60" w:after="60"/>
              <w:jc w:val="center"/>
              <w:rPr>
                <w:color w:val="000000"/>
                <w:sz w:val="23"/>
                <w:szCs w:val="23"/>
              </w:rPr>
            </w:pPr>
            <w:r w:rsidRPr="00D77539">
              <w:rPr>
                <w:color w:val="000000"/>
                <w:sz w:val="23"/>
                <w:szCs w:val="23"/>
              </w:rPr>
              <w:t>$570.00</w:t>
            </w:r>
            <w:r w:rsidRPr="00D77539" w:rsidR="00F71FB4">
              <w:rPr>
                <w:color w:val="000000"/>
                <w:sz w:val="23"/>
                <w:szCs w:val="23"/>
              </w:rPr>
              <w:t xml:space="preserve"> [1]</w:t>
            </w:r>
            <w:r w:rsidRPr="00D77539" w:rsidR="00D32A88">
              <w:rPr>
                <w:color w:val="000000"/>
                <w:sz w:val="23"/>
                <w:szCs w:val="23"/>
              </w:rPr>
              <w:t xml:space="preserve"> [8]</w:t>
            </w:r>
          </w:p>
        </w:tc>
        <w:tc>
          <w:tcPr>
            <w:tcW w:w="1535" w:type="dxa"/>
          </w:tcPr>
          <w:p w:rsidRPr="00D77539" w:rsidR="007763FC" w:rsidP="0082695A" w:rsidRDefault="00DC464A" w14:paraId="5BCE11A2" w14:textId="3AC21C2D">
            <w:pPr>
              <w:spacing w:before="60" w:after="60"/>
              <w:jc w:val="right"/>
              <w:rPr>
                <w:color w:val="000000"/>
                <w:sz w:val="23"/>
                <w:szCs w:val="23"/>
              </w:rPr>
            </w:pPr>
            <w:r w:rsidRPr="00D77539">
              <w:rPr>
                <w:color w:val="000000"/>
                <w:sz w:val="23"/>
                <w:szCs w:val="23"/>
              </w:rPr>
              <w:t>$</w:t>
            </w:r>
            <w:r w:rsidRPr="00D77539" w:rsidR="003C0836">
              <w:rPr>
                <w:color w:val="000000"/>
                <w:sz w:val="23"/>
                <w:szCs w:val="23"/>
              </w:rPr>
              <w:t>30,096.00</w:t>
            </w:r>
          </w:p>
        </w:tc>
      </w:tr>
      <w:tr w:rsidRPr="007F620E" w:rsidR="00BB01ED" w:rsidTr="00CA07E3" w14:paraId="09E8E577" w14:textId="77777777">
        <w:trPr>
          <w:cantSplit/>
          <w:jc w:val="center"/>
        </w:trPr>
        <w:tc>
          <w:tcPr>
            <w:tcW w:w="1489" w:type="dxa"/>
          </w:tcPr>
          <w:p w:rsidRPr="00D77539" w:rsidR="00BB01ED" w:rsidP="00BB01ED" w:rsidRDefault="00BB01ED" w14:paraId="1123BC85" w14:textId="759FCBB1">
            <w:pPr>
              <w:spacing w:before="60" w:after="60"/>
              <w:rPr>
                <w:color w:val="000000"/>
                <w:sz w:val="23"/>
                <w:szCs w:val="23"/>
              </w:rPr>
            </w:pPr>
            <w:r w:rsidRPr="00D77539">
              <w:rPr>
                <w:color w:val="000000"/>
                <w:sz w:val="23"/>
                <w:szCs w:val="23"/>
              </w:rPr>
              <w:t>Michael Colvin</w:t>
            </w:r>
          </w:p>
        </w:tc>
        <w:tc>
          <w:tcPr>
            <w:tcW w:w="821" w:type="dxa"/>
          </w:tcPr>
          <w:p w:rsidRPr="00D77539" w:rsidR="00BB01ED" w:rsidP="00BB01ED" w:rsidRDefault="00BB01ED" w14:paraId="2303F609" w14:textId="5E3457CD">
            <w:pPr>
              <w:spacing w:before="60" w:after="60"/>
              <w:jc w:val="center"/>
              <w:rPr>
                <w:color w:val="000000"/>
                <w:sz w:val="23"/>
                <w:szCs w:val="23"/>
              </w:rPr>
            </w:pPr>
            <w:r w:rsidRPr="00D77539">
              <w:rPr>
                <w:color w:val="000000"/>
                <w:sz w:val="23"/>
                <w:szCs w:val="23"/>
              </w:rPr>
              <w:t>2021</w:t>
            </w:r>
          </w:p>
        </w:tc>
        <w:tc>
          <w:tcPr>
            <w:tcW w:w="884" w:type="dxa"/>
            <w:gridSpan w:val="2"/>
          </w:tcPr>
          <w:p w:rsidRPr="00D77539" w:rsidR="00BB01ED" w:rsidP="00BB01ED" w:rsidRDefault="00241F79" w14:paraId="6A028831" w14:textId="7A1E560D">
            <w:pPr>
              <w:spacing w:before="60" w:after="60"/>
              <w:jc w:val="center"/>
              <w:rPr>
                <w:color w:val="000000"/>
                <w:sz w:val="23"/>
                <w:szCs w:val="23"/>
              </w:rPr>
            </w:pPr>
            <w:r w:rsidRPr="00D77539">
              <w:rPr>
                <w:color w:val="000000"/>
                <w:sz w:val="23"/>
                <w:szCs w:val="23"/>
              </w:rPr>
              <w:t>20.90</w:t>
            </w:r>
          </w:p>
        </w:tc>
        <w:tc>
          <w:tcPr>
            <w:tcW w:w="930" w:type="dxa"/>
          </w:tcPr>
          <w:p w:rsidRPr="00D77539" w:rsidR="00BB01ED" w:rsidP="00BB01ED" w:rsidRDefault="00BB01ED" w14:paraId="7E2FA03B" w14:textId="08CB4D16">
            <w:pPr>
              <w:spacing w:before="60" w:after="60"/>
              <w:jc w:val="right"/>
              <w:rPr>
                <w:color w:val="000000"/>
                <w:sz w:val="23"/>
                <w:szCs w:val="23"/>
              </w:rPr>
            </w:pPr>
            <w:r w:rsidRPr="00D77539">
              <w:rPr>
                <w:color w:val="000000"/>
                <w:sz w:val="23"/>
                <w:szCs w:val="23"/>
              </w:rPr>
              <w:t>$490</w:t>
            </w:r>
          </w:p>
        </w:tc>
        <w:tc>
          <w:tcPr>
            <w:tcW w:w="1721" w:type="dxa"/>
            <w:gridSpan w:val="2"/>
            <w:tcBorders>
              <w:right w:val="single" w:color="auto" w:sz="4" w:space="0"/>
            </w:tcBorders>
          </w:tcPr>
          <w:p w:rsidRPr="00D77539" w:rsidR="00BB01ED" w:rsidP="00BB01ED" w:rsidRDefault="00BB01ED" w14:paraId="0422EEE0" w14:textId="7A58EAFA">
            <w:pPr>
              <w:spacing w:before="60" w:after="60"/>
              <w:rPr>
                <w:color w:val="000000"/>
                <w:sz w:val="23"/>
                <w:szCs w:val="23"/>
              </w:rPr>
            </w:pPr>
            <w:r w:rsidRPr="00D77539">
              <w:rPr>
                <w:color w:val="000000"/>
                <w:sz w:val="23"/>
                <w:szCs w:val="23"/>
              </w:rPr>
              <w:t>ALJ-393; Public Policy Analyst IV</w:t>
            </w:r>
          </w:p>
        </w:tc>
        <w:tc>
          <w:tcPr>
            <w:tcW w:w="1440" w:type="dxa"/>
            <w:gridSpan w:val="2"/>
            <w:tcBorders>
              <w:top w:val="single" w:color="auto" w:sz="4" w:space="0"/>
              <w:left w:val="single" w:color="auto" w:sz="4" w:space="0"/>
              <w:bottom w:val="single" w:color="auto" w:sz="4" w:space="0"/>
              <w:right w:val="single" w:color="auto" w:sz="24" w:space="0"/>
            </w:tcBorders>
          </w:tcPr>
          <w:p w:rsidRPr="00D77539" w:rsidR="00BB01ED" w:rsidP="00BB01ED" w:rsidRDefault="00B97F3A" w14:paraId="4B32A92B" w14:textId="65C95165">
            <w:pPr>
              <w:spacing w:before="60" w:after="60"/>
              <w:jc w:val="right"/>
              <w:rPr>
                <w:color w:val="000000"/>
                <w:sz w:val="23"/>
                <w:szCs w:val="23"/>
              </w:rPr>
            </w:pPr>
            <w:r w:rsidRPr="00D77539">
              <w:rPr>
                <w:color w:val="000000"/>
                <w:sz w:val="23"/>
                <w:szCs w:val="23"/>
              </w:rPr>
              <w:t>$10,241.00</w:t>
            </w:r>
          </w:p>
        </w:tc>
        <w:tc>
          <w:tcPr>
            <w:tcW w:w="1260" w:type="dxa"/>
            <w:tcBorders>
              <w:left w:val="single" w:color="auto" w:sz="4" w:space="0"/>
            </w:tcBorders>
          </w:tcPr>
          <w:p w:rsidRPr="00D77539" w:rsidR="00B05BE2" w:rsidP="00BB01ED" w:rsidRDefault="00B05BE2" w14:paraId="256EA6C5" w14:textId="6CC53568">
            <w:pPr>
              <w:spacing w:before="60" w:after="60"/>
              <w:jc w:val="center"/>
              <w:rPr>
                <w:color w:val="000000"/>
                <w:sz w:val="23"/>
                <w:szCs w:val="23"/>
              </w:rPr>
            </w:pPr>
            <w:r w:rsidRPr="00D77539">
              <w:rPr>
                <w:color w:val="000000"/>
                <w:sz w:val="23"/>
                <w:szCs w:val="23"/>
              </w:rPr>
              <w:t>13.475</w:t>
            </w:r>
          </w:p>
          <w:p w:rsidRPr="00D77539" w:rsidR="00BB01ED" w:rsidP="00BB01ED" w:rsidRDefault="003220AD" w14:paraId="7190AD63" w14:textId="649EB81C">
            <w:pPr>
              <w:spacing w:before="60" w:after="60"/>
              <w:jc w:val="center"/>
              <w:rPr>
                <w:color w:val="000000"/>
                <w:sz w:val="23"/>
                <w:szCs w:val="23"/>
              </w:rPr>
            </w:pPr>
            <w:r w:rsidRPr="00D77539">
              <w:rPr>
                <w:color w:val="000000"/>
                <w:sz w:val="23"/>
                <w:szCs w:val="23"/>
              </w:rPr>
              <w:t xml:space="preserve"> [</w:t>
            </w:r>
            <w:r w:rsidRPr="00D77539" w:rsidR="00D215C0">
              <w:rPr>
                <w:color w:val="000000"/>
                <w:sz w:val="23"/>
                <w:szCs w:val="23"/>
              </w:rPr>
              <w:t>6</w:t>
            </w:r>
            <w:r w:rsidRPr="00D77539">
              <w:rPr>
                <w:color w:val="000000"/>
                <w:sz w:val="23"/>
                <w:szCs w:val="23"/>
              </w:rPr>
              <w:t>]</w:t>
            </w:r>
          </w:p>
        </w:tc>
        <w:tc>
          <w:tcPr>
            <w:tcW w:w="1080" w:type="dxa"/>
          </w:tcPr>
          <w:p w:rsidRPr="00D77539" w:rsidR="00BB01ED" w:rsidP="00290380" w:rsidRDefault="00164560" w14:paraId="565895D7" w14:textId="1B50D5D0">
            <w:pPr>
              <w:spacing w:before="60" w:after="60"/>
              <w:jc w:val="center"/>
              <w:rPr>
                <w:color w:val="000000"/>
                <w:sz w:val="23"/>
                <w:szCs w:val="23"/>
              </w:rPr>
            </w:pPr>
            <w:r w:rsidRPr="00D77539">
              <w:rPr>
                <w:color w:val="000000"/>
                <w:sz w:val="23"/>
                <w:szCs w:val="23"/>
              </w:rPr>
              <w:t>$480.00</w:t>
            </w:r>
            <w:r w:rsidRPr="00D77539" w:rsidR="00290380">
              <w:rPr>
                <w:color w:val="000000"/>
                <w:sz w:val="23"/>
                <w:szCs w:val="23"/>
              </w:rPr>
              <w:t xml:space="preserve"> [2]</w:t>
            </w:r>
          </w:p>
        </w:tc>
        <w:tc>
          <w:tcPr>
            <w:tcW w:w="1535" w:type="dxa"/>
          </w:tcPr>
          <w:p w:rsidRPr="00D77539" w:rsidR="00BB01ED" w:rsidP="0082695A" w:rsidRDefault="0082695A" w14:paraId="1F794215" w14:textId="380A0894">
            <w:pPr>
              <w:spacing w:before="60" w:after="60"/>
              <w:jc w:val="right"/>
              <w:rPr>
                <w:color w:val="000000"/>
                <w:sz w:val="23"/>
                <w:szCs w:val="23"/>
              </w:rPr>
            </w:pPr>
            <w:r w:rsidRPr="00D77539">
              <w:rPr>
                <w:color w:val="000000"/>
                <w:sz w:val="23"/>
                <w:szCs w:val="23"/>
              </w:rPr>
              <w:t>$</w:t>
            </w:r>
            <w:r w:rsidRPr="00D77539" w:rsidR="004973AB">
              <w:rPr>
                <w:color w:val="000000"/>
                <w:sz w:val="23"/>
                <w:szCs w:val="23"/>
              </w:rPr>
              <w:t>6,4</w:t>
            </w:r>
            <w:r w:rsidRPr="00D77539" w:rsidR="00B53CE0">
              <w:rPr>
                <w:color w:val="000000"/>
                <w:sz w:val="23"/>
                <w:szCs w:val="23"/>
              </w:rPr>
              <w:t>6</w:t>
            </w:r>
            <w:r w:rsidRPr="00D77539" w:rsidR="004973AB">
              <w:rPr>
                <w:color w:val="000000"/>
                <w:sz w:val="23"/>
                <w:szCs w:val="23"/>
              </w:rPr>
              <w:t>8</w:t>
            </w:r>
            <w:r w:rsidRPr="00D77539" w:rsidR="001E7CFF">
              <w:rPr>
                <w:color w:val="000000"/>
                <w:sz w:val="23"/>
                <w:szCs w:val="23"/>
              </w:rPr>
              <w:t>.00</w:t>
            </w:r>
          </w:p>
        </w:tc>
      </w:tr>
      <w:tr w:rsidRPr="007F620E" w:rsidR="00BB01ED" w:rsidTr="00CA07E3" w14:paraId="6A745078" w14:textId="77777777">
        <w:trPr>
          <w:cantSplit/>
          <w:jc w:val="center"/>
        </w:trPr>
        <w:tc>
          <w:tcPr>
            <w:tcW w:w="1489" w:type="dxa"/>
          </w:tcPr>
          <w:p w:rsidRPr="00D77539" w:rsidR="00BB01ED" w:rsidP="00BB01ED" w:rsidRDefault="00BB01ED" w14:paraId="4A259F6D" w14:textId="09F21BDB">
            <w:pPr>
              <w:spacing w:before="60" w:after="60"/>
              <w:rPr>
                <w:color w:val="000000"/>
                <w:sz w:val="23"/>
                <w:szCs w:val="23"/>
              </w:rPr>
            </w:pPr>
            <w:r w:rsidRPr="00D77539">
              <w:rPr>
                <w:color w:val="000000"/>
                <w:sz w:val="23"/>
                <w:szCs w:val="23"/>
              </w:rPr>
              <w:t>Michael Colvin</w:t>
            </w:r>
          </w:p>
        </w:tc>
        <w:tc>
          <w:tcPr>
            <w:tcW w:w="821" w:type="dxa"/>
          </w:tcPr>
          <w:p w:rsidRPr="00D77539" w:rsidR="00BB01ED" w:rsidP="00BB01ED" w:rsidRDefault="00BB01ED" w14:paraId="2061FFED" w14:textId="28236605">
            <w:pPr>
              <w:spacing w:before="60" w:after="60"/>
              <w:jc w:val="center"/>
              <w:rPr>
                <w:color w:val="000000"/>
                <w:sz w:val="23"/>
                <w:szCs w:val="23"/>
              </w:rPr>
            </w:pPr>
            <w:r w:rsidRPr="00D77539">
              <w:rPr>
                <w:color w:val="000000"/>
                <w:sz w:val="23"/>
                <w:szCs w:val="23"/>
              </w:rPr>
              <w:t>2022</w:t>
            </w:r>
          </w:p>
        </w:tc>
        <w:tc>
          <w:tcPr>
            <w:tcW w:w="884" w:type="dxa"/>
            <w:gridSpan w:val="2"/>
          </w:tcPr>
          <w:p w:rsidRPr="00D77539" w:rsidR="00BB01ED" w:rsidP="00BB01ED" w:rsidRDefault="007076F4" w14:paraId="6AA3ED14" w14:textId="3083B249">
            <w:pPr>
              <w:spacing w:before="60" w:after="60"/>
              <w:jc w:val="center"/>
              <w:rPr>
                <w:color w:val="000000"/>
                <w:sz w:val="23"/>
                <w:szCs w:val="23"/>
              </w:rPr>
            </w:pPr>
            <w:r w:rsidRPr="00D77539">
              <w:rPr>
                <w:color w:val="000000"/>
                <w:sz w:val="23"/>
                <w:szCs w:val="23"/>
              </w:rPr>
              <w:t>34.20</w:t>
            </w:r>
          </w:p>
        </w:tc>
        <w:tc>
          <w:tcPr>
            <w:tcW w:w="930" w:type="dxa"/>
          </w:tcPr>
          <w:p w:rsidRPr="00D77539" w:rsidR="00BB01ED" w:rsidP="00BB01ED" w:rsidRDefault="00BB01ED" w14:paraId="2DCB0B22" w14:textId="710D8FE7">
            <w:pPr>
              <w:spacing w:before="60" w:after="60"/>
              <w:jc w:val="right"/>
              <w:rPr>
                <w:color w:val="000000"/>
                <w:sz w:val="23"/>
                <w:szCs w:val="23"/>
              </w:rPr>
            </w:pPr>
            <w:r w:rsidRPr="00D77539">
              <w:rPr>
                <w:color w:val="000000"/>
                <w:sz w:val="23"/>
                <w:szCs w:val="23"/>
              </w:rPr>
              <w:t>$515</w:t>
            </w:r>
          </w:p>
        </w:tc>
        <w:tc>
          <w:tcPr>
            <w:tcW w:w="1721" w:type="dxa"/>
            <w:gridSpan w:val="2"/>
            <w:tcBorders>
              <w:right w:val="single" w:color="auto" w:sz="4" w:space="0"/>
            </w:tcBorders>
          </w:tcPr>
          <w:p w:rsidRPr="00D77539" w:rsidR="00BB01ED" w:rsidP="00BB01ED" w:rsidRDefault="00BB01ED" w14:paraId="6176DC49" w14:textId="1D68D08A">
            <w:pPr>
              <w:spacing w:before="60" w:after="60"/>
              <w:rPr>
                <w:color w:val="000000"/>
                <w:sz w:val="23"/>
                <w:szCs w:val="23"/>
              </w:rPr>
            </w:pPr>
            <w:r w:rsidRPr="00D77539">
              <w:rPr>
                <w:color w:val="000000"/>
                <w:sz w:val="23"/>
                <w:szCs w:val="23"/>
              </w:rPr>
              <w:t>2021 rate and 5% step increase per D.07-01-009</w:t>
            </w:r>
          </w:p>
        </w:tc>
        <w:tc>
          <w:tcPr>
            <w:tcW w:w="1440" w:type="dxa"/>
            <w:gridSpan w:val="2"/>
            <w:tcBorders>
              <w:top w:val="single" w:color="auto" w:sz="4" w:space="0"/>
              <w:left w:val="single" w:color="auto" w:sz="4" w:space="0"/>
              <w:bottom w:val="single" w:color="auto" w:sz="4" w:space="0"/>
              <w:right w:val="single" w:color="auto" w:sz="24" w:space="0"/>
            </w:tcBorders>
          </w:tcPr>
          <w:p w:rsidRPr="00D77539" w:rsidR="00BB01ED" w:rsidP="00BB01ED" w:rsidRDefault="007076F4" w14:paraId="27EDBA8E" w14:textId="3C8ABCAE">
            <w:pPr>
              <w:spacing w:before="60" w:after="60"/>
              <w:jc w:val="right"/>
              <w:rPr>
                <w:color w:val="000000"/>
                <w:sz w:val="23"/>
                <w:szCs w:val="23"/>
              </w:rPr>
            </w:pPr>
            <w:r w:rsidRPr="00D77539">
              <w:rPr>
                <w:color w:val="000000"/>
                <w:sz w:val="23"/>
                <w:szCs w:val="23"/>
              </w:rPr>
              <w:t>$17,613.00</w:t>
            </w:r>
          </w:p>
        </w:tc>
        <w:tc>
          <w:tcPr>
            <w:tcW w:w="1260" w:type="dxa"/>
            <w:tcBorders>
              <w:left w:val="single" w:color="auto" w:sz="4" w:space="0"/>
            </w:tcBorders>
          </w:tcPr>
          <w:p w:rsidRPr="00D77539" w:rsidR="008724EA" w:rsidP="00BB01ED" w:rsidRDefault="008724EA" w14:paraId="6DADCE86" w14:textId="0665A4E0">
            <w:pPr>
              <w:spacing w:before="60" w:after="60"/>
              <w:jc w:val="center"/>
              <w:rPr>
                <w:color w:val="000000"/>
                <w:sz w:val="23"/>
                <w:szCs w:val="23"/>
              </w:rPr>
            </w:pPr>
            <w:r w:rsidRPr="00D77539">
              <w:rPr>
                <w:color w:val="000000"/>
                <w:sz w:val="23"/>
                <w:szCs w:val="23"/>
              </w:rPr>
              <w:t>22.675</w:t>
            </w:r>
          </w:p>
          <w:p w:rsidRPr="00D77539" w:rsidR="00BB01ED" w:rsidP="00BB01ED" w:rsidRDefault="003533C5" w14:paraId="661AB1D9" w14:textId="0472EAB0">
            <w:pPr>
              <w:spacing w:before="60" w:after="60"/>
              <w:jc w:val="center"/>
              <w:rPr>
                <w:color w:val="000000"/>
                <w:sz w:val="23"/>
                <w:szCs w:val="23"/>
              </w:rPr>
            </w:pPr>
            <w:r w:rsidRPr="00D77539">
              <w:rPr>
                <w:color w:val="000000"/>
                <w:sz w:val="23"/>
                <w:szCs w:val="23"/>
              </w:rPr>
              <w:t xml:space="preserve"> [</w:t>
            </w:r>
            <w:r w:rsidRPr="00D77539" w:rsidR="00D215C0">
              <w:rPr>
                <w:color w:val="000000"/>
                <w:sz w:val="23"/>
                <w:szCs w:val="23"/>
              </w:rPr>
              <w:t>5, 6</w:t>
            </w:r>
            <w:r w:rsidRPr="00D77539">
              <w:rPr>
                <w:color w:val="000000"/>
                <w:sz w:val="23"/>
                <w:szCs w:val="23"/>
              </w:rPr>
              <w:t>]</w:t>
            </w:r>
          </w:p>
        </w:tc>
        <w:tc>
          <w:tcPr>
            <w:tcW w:w="1080" w:type="dxa"/>
          </w:tcPr>
          <w:p w:rsidRPr="00D77539" w:rsidR="00BB01ED" w:rsidP="00290380" w:rsidRDefault="00164560" w14:paraId="2925D0FD" w14:textId="559A6281">
            <w:pPr>
              <w:spacing w:before="60" w:after="60"/>
              <w:jc w:val="center"/>
              <w:rPr>
                <w:color w:val="000000"/>
                <w:sz w:val="23"/>
                <w:szCs w:val="23"/>
              </w:rPr>
            </w:pPr>
            <w:r w:rsidRPr="00D77539">
              <w:rPr>
                <w:color w:val="000000"/>
                <w:sz w:val="23"/>
                <w:szCs w:val="23"/>
              </w:rPr>
              <w:t>$505.00</w:t>
            </w:r>
            <w:r w:rsidRPr="00D77539" w:rsidR="00290380">
              <w:rPr>
                <w:color w:val="000000"/>
                <w:sz w:val="23"/>
                <w:szCs w:val="23"/>
              </w:rPr>
              <w:t xml:space="preserve"> [2]</w:t>
            </w:r>
          </w:p>
        </w:tc>
        <w:tc>
          <w:tcPr>
            <w:tcW w:w="1535" w:type="dxa"/>
          </w:tcPr>
          <w:p w:rsidRPr="00D77539" w:rsidR="00BB01ED" w:rsidP="0082695A" w:rsidRDefault="00CA4995" w14:paraId="2ACF36C1" w14:textId="602D028E">
            <w:pPr>
              <w:spacing w:before="60" w:after="60"/>
              <w:jc w:val="right"/>
              <w:rPr>
                <w:color w:val="000000"/>
                <w:sz w:val="23"/>
                <w:szCs w:val="23"/>
              </w:rPr>
            </w:pPr>
            <w:r w:rsidRPr="00D77539">
              <w:rPr>
                <w:color w:val="000000"/>
                <w:sz w:val="23"/>
                <w:szCs w:val="23"/>
              </w:rPr>
              <w:t>$</w:t>
            </w:r>
            <w:r w:rsidRPr="00D77539" w:rsidR="00B24C51">
              <w:rPr>
                <w:color w:val="000000"/>
                <w:sz w:val="23"/>
                <w:szCs w:val="23"/>
              </w:rPr>
              <w:t>11,450.88</w:t>
            </w:r>
          </w:p>
        </w:tc>
      </w:tr>
      <w:tr w:rsidRPr="007F620E" w:rsidR="00B05F3F" w:rsidTr="00CA07E3" w14:paraId="20E02724" w14:textId="77777777">
        <w:trPr>
          <w:cantSplit/>
          <w:jc w:val="center"/>
        </w:trPr>
        <w:tc>
          <w:tcPr>
            <w:tcW w:w="1489" w:type="dxa"/>
          </w:tcPr>
          <w:p w:rsidRPr="00D77539" w:rsidR="00B05F3F" w:rsidP="00BB01ED" w:rsidRDefault="00B05F3F" w14:paraId="28DC7A67" w14:textId="1AB38919">
            <w:pPr>
              <w:spacing w:before="60" w:after="60"/>
              <w:rPr>
                <w:color w:val="000000"/>
                <w:sz w:val="23"/>
                <w:szCs w:val="23"/>
              </w:rPr>
            </w:pPr>
            <w:r w:rsidRPr="00D77539">
              <w:rPr>
                <w:color w:val="000000"/>
                <w:sz w:val="23"/>
                <w:szCs w:val="23"/>
              </w:rPr>
              <w:t>Richard McCann</w:t>
            </w:r>
          </w:p>
        </w:tc>
        <w:tc>
          <w:tcPr>
            <w:tcW w:w="821" w:type="dxa"/>
          </w:tcPr>
          <w:p w:rsidRPr="00D77539" w:rsidR="00B05F3F" w:rsidP="00BB01ED" w:rsidRDefault="00B05F3F" w14:paraId="2D509A5C" w14:textId="39B0FCF8">
            <w:pPr>
              <w:spacing w:before="60" w:after="60"/>
              <w:jc w:val="center"/>
              <w:rPr>
                <w:color w:val="000000"/>
                <w:sz w:val="23"/>
                <w:szCs w:val="23"/>
              </w:rPr>
            </w:pPr>
            <w:r w:rsidRPr="00D77539">
              <w:rPr>
                <w:color w:val="000000"/>
                <w:sz w:val="23"/>
                <w:szCs w:val="23"/>
              </w:rPr>
              <w:t>2021</w:t>
            </w:r>
          </w:p>
        </w:tc>
        <w:tc>
          <w:tcPr>
            <w:tcW w:w="884" w:type="dxa"/>
            <w:gridSpan w:val="2"/>
          </w:tcPr>
          <w:p w:rsidRPr="00D77539" w:rsidR="00B05F3F" w:rsidP="00BB01ED" w:rsidRDefault="00B05F3F" w14:paraId="083E8634" w14:textId="62625A69">
            <w:pPr>
              <w:spacing w:before="60" w:after="60"/>
              <w:jc w:val="center"/>
              <w:rPr>
                <w:color w:val="000000"/>
                <w:sz w:val="23"/>
                <w:szCs w:val="23"/>
              </w:rPr>
            </w:pPr>
            <w:r w:rsidRPr="00D77539">
              <w:rPr>
                <w:color w:val="000000"/>
                <w:sz w:val="23"/>
                <w:szCs w:val="23"/>
              </w:rPr>
              <w:t>13</w:t>
            </w:r>
          </w:p>
        </w:tc>
        <w:tc>
          <w:tcPr>
            <w:tcW w:w="930" w:type="dxa"/>
          </w:tcPr>
          <w:p w:rsidRPr="00D77539" w:rsidR="00B05F3F" w:rsidP="00BB01ED" w:rsidRDefault="00C71EF2" w14:paraId="61AF3701" w14:textId="183EFBDA">
            <w:pPr>
              <w:spacing w:before="60" w:after="60"/>
              <w:jc w:val="right"/>
              <w:rPr>
                <w:color w:val="000000"/>
                <w:sz w:val="23"/>
                <w:szCs w:val="23"/>
              </w:rPr>
            </w:pPr>
            <w:r w:rsidRPr="00D77539">
              <w:rPr>
                <w:color w:val="000000"/>
                <w:sz w:val="23"/>
                <w:szCs w:val="23"/>
              </w:rPr>
              <w:t>$269</w:t>
            </w:r>
          </w:p>
        </w:tc>
        <w:tc>
          <w:tcPr>
            <w:tcW w:w="1721" w:type="dxa"/>
            <w:gridSpan w:val="2"/>
            <w:tcBorders>
              <w:right w:val="single" w:color="auto" w:sz="4" w:space="0"/>
            </w:tcBorders>
          </w:tcPr>
          <w:p w:rsidRPr="00D77539" w:rsidR="00B05F3F" w:rsidP="00BB01ED" w:rsidRDefault="00AF6387" w14:paraId="19DE1175" w14:textId="147D5B02">
            <w:pPr>
              <w:spacing w:before="60" w:after="60"/>
              <w:rPr>
                <w:color w:val="000000"/>
                <w:sz w:val="23"/>
                <w:szCs w:val="23"/>
              </w:rPr>
            </w:pPr>
            <w:r w:rsidRPr="00D77539">
              <w:rPr>
                <w:color w:val="000000"/>
                <w:sz w:val="23"/>
                <w:szCs w:val="23"/>
              </w:rPr>
              <w:t>ALJ-393; Economist V</w:t>
            </w:r>
          </w:p>
        </w:tc>
        <w:tc>
          <w:tcPr>
            <w:tcW w:w="1440" w:type="dxa"/>
            <w:gridSpan w:val="2"/>
            <w:tcBorders>
              <w:top w:val="single" w:color="auto" w:sz="4" w:space="0"/>
              <w:left w:val="single" w:color="auto" w:sz="4" w:space="0"/>
              <w:bottom w:val="single" w:color="auto" w:sz="4" w:space="0"/>
              <w:right w:val="single" w:color="auto" w:sz="24" w:space="0"/>
            </w:tcBorders>
          </w:tcPr>
          <w:p w:rsidRPr="00D77539" w:rsidR="00B05F3F" w:rsidP="00BB01ED" w:rsidRDefault="00DC06A1" w14:paraId="77508526" w14:textId="44E09DC7">
            <w:pPr>
              <w:spacing w:before="60" w:after="60"/>
              <w:jc w:val="right"/>
              <w:rPr>
                <w:color w:val="000000"/>
                <w:sz w:val="23"/>
                <w:szCs w:val="23"/>
              </w:rPr>
            </w:pPr>
            <w:r w:rsidRPr="00D77539">
              <w:rPr>
                <w:color w:val="000000"/>
                <w:sz w:val="23"/>
                <w:szCs w:val="23"/>
              </w:rPr>
              <w:t>$3,497.00</w:t>
            </w:r>
          </w:p>
        </w:tc>
        <w:tc>
          <w:tcPr>
            <w:tcW w:w="1260" w:type="dxa"/>
            <w:tcBorders>
              <w:left w:val="single" w:color="auto" w:sz="4" w:space="0"/>
            </w:tcBorders>
          </w:tcPr>
          <w:p w:rsidRPr="00D77539" w:rsidR="0048213C" w:rsidP="00BB01ED" w:rsidRDefault="00F51087" w14:paraId="240923DD" w14:textId="5852EFC3">
            <w:pPr>
              <w:spacing w:before="60" w:after="60"/>
              <w:jc w:val="center"/>
              <w:rPr>
                <w:color w:val="000000"/>
                <w:sz w:val="23"/>
                <w:szCs w:val="23"/>
              </w:rPr>
            </w:pPr>
            <w:r w:rsidRPr="00D77539">
              <w:rPr>
                <w:color w:val="000000"/>
                <w:sz w:val="23"/>
                <w:szCs w:val="23"/>
              </w:rPr>
              <w:t>7.00</w:t>
            </w:r>
          </w:p>
          <w:p w:rsidRPr="00D77539" w:rsidR="00B05F3F" w:rsidP="00BB01ED" w:rsidRDefault="00A37900" w14:paraId="6711063A" w14:textId="47DA00FD">
            <w:pPr>
              <w:spacing w:before="60" w:after="60"/>
              <w:jc w:val="center"/>
              <w:rPr>
                <w:color w:val="000000"/>
                <w:sz w:val="23"/>
                <w:szCs w:val="23"/>
              </w:rPr>
            </w:pPr>
            <w:r w:rsidRPr="00D77539">
              <w:rPr>
                <w:color w:val="000000"/>
                <w:sz w:val="23"/>
                <w:szCs w:val="23"/>
              </w:rPr>
              <w:t xml:space="preserve"> [</w:t>
            </w:r>
            <w:r w:rsidRPr="00D77539" w:rsidR="00D215C0">
              <w:rPr>
                <w:color w:val="000000"/>
                <w:sz w:val="23"/>
                <w:szCs w:val="23"/>
              </w:rPr>
              <w:t>5, 6</w:t>
            </w:r>
            <w:r w:rsidRPr="00D77539">
              <w:rPr>
                <w:color w:val="000000"/>
                <w:sz w:val="23"/>
                <w:szCs w:val="23"/>
              </w:rPr>
              <w:t>]</w:t>
            </w:r>
          </w:p>
        </w:tc>
        <w:tc>
          <w:tcPr>
            <w:tcW w:w="1080" w:type="dxa"/>
          </w:tcPr>
          <w:p w:rsidRPr="00D77539" w:rsidR="00B05F3F" w:rsidP="00290380" w:rsidRDefault="00A605C8" w14:paraId="1328CFFE" w14:textId="27B4C0B5">
            <w:pPr>
              <w:spacing w:before="60" w:after="60"/>
              <w:jc w:val="center"/>
              <w:rPr>
                <w:color w:val="000000"/>
                <w:sz w:val="23"/>
                <w:szCs w:val="23"/>
              </w:rPr>
            </w:pPr>
            <w:r w:rsidRPr="00D77539">
              <w:rPr>
                <w:color w:val="000000"/>
                <w:sz w:val="23"/>
                <w:szCs w:val="23"/>
              </w:rPr>
              <w:t>$269.00 [</w:t>
            </w:r>
            <w:r w:rsidRPr="00D77539" w:rsidR="00F71FB4">
              <w:rPr>
                <w:color w:val="000000"/>
                <w:sz w:val="23"/>
                <w:szCs w:val="23"/>
              </w:rPr>
              <w:t>3</w:t>
            </w:r>
            <w:r w:rsidRPr="00D77539">
              <w:rPr>
                <w:color w:val="000000"/>
                <w:sz w:val="23"/>
                <w:szCs w:val="23"/>
              </w:rPr>
              <w:t>]</w:t>
            </w:r>
            <w:r w:rsidRPr="00D77539" w:rsidR="00D32A88">
              <w:rPr>
                <w:color w:val="000000"/>
                <w:sz w:val="23"/>
                <w:szCs w:val="23"/>
              </w:rPr>
              <w:t xml:space="preserve"> [8]</w:t>
            </w:r>
          </w:p>
        </w:tc>
        <w:tc>
          <w:tcPr>
            <w:tcW w:w="1535" w:type="dxa"/>
          </w:tcPr>
          <w:p w:rsidRPr="00D77539" w:rsidR="00B05F3F" w:rsidP="0082695A" w:rsidRDefault="00A37900" w14:paraId="1FBFEC7C" w14:textId="3123C71F">
            <w:pPr>
              <w:spacing w:before="60" w:after="60"/>
              <w:jc w:val="right"/>
              <w:rPr>
                <w:color w:val="000000"/>
                <w:sz w:val="23"/>
                <w:szCs w:val="23"/>
              </w:rPr>
            </w:pPr>
            <w:r w:rsidRPr="00D77539">
              <w:rPr>
                <w:color w:val="000000"/>
                <w:sz w:val="23"/>
                <w:szCs w:val="23"/>
              </w:rPr>
              <w:t>$</w:t>
            </w:r>
            <w:r w:rsidRPr="00D77539" w:rsidR="00C67B98">
              <w:rPr>
                <w:color w:val="000000"/>
                <w:sz w:val="23"/>
                <w:szCs w:val="23"/>
              </w:rPr>
              <w:t>1,</w:t>
            </w:r>
            <w:r w:rsidRPr="00D77539" w:rsidR="00332616">
              <w:rPr>
                <w:color w:val="000000"/>
                <w:sz w:val="23"/>
                <w:szCs w:val="23"/>
              </w:rPr>
              <w:t>883.00</w:t>
            </w:r>
          </w:p>
        </w:tc>
      </w:tr>
      <w:tr w:rsidRPr="007F620E" w:rsidR="00BB01ED" w:rsidTr="00CA07E3" w14:paraId="4E698889" w14:textId="77777777">
        <w:trPr>
          <w:cantSplit/>
          <w:jc w:val="center"/>
        </w:trPr>
        <w:tc>
          <w:tcPr>
            <w:tcW w:w="1489" w:type="dxa"/>
          </w:tcPr>
          <w:p w:rsidRPr="00D77539" w:rsidR="00BB01ED" w:rsidP="00BB01ED" w:rsidRDefault="00BB01ED" w14:paraId="04CDED11" w14:textId="0F6D8C82">
            <w:pPr>
              <w:spacing w:before="60" w:after="60"/>
              <w:rPr>
                <w:color w:val="000000"/>
                <w:sz w:val="23"/>
                <w:szCs w:val="23"/>
              </w:rPr>
            </w:pPr>
            <w:r w:rsidRPr="00D77539">
              <w:rPr>
                <w:color w:val="000000"/>
                <w:sz w:val="23"/>
                <w:szCs w:val="23"/>
              </w:rPr>
              <w:t>Richard McCann</w:t>
            </w:r>
          </w:p>
        </w:tc>
        <w:tc>
          <w:tcPr>
            <w:tcW w:w="821" w:type="dxa"/>
          </w:tcPr>
          <w:p w:rsidRPr="00D77539" w:rsidR="00BB01ED" w:rsidP="00BB01ED" w:rsidRDefault="00BB01ED" w14:paraId="6B0C4BC3" w14:textId="0C5D1E48">
            <w:pPr>
              <w:spacing w:before="60" w:after="60"/>
              <w:jc w:val="center"/>
              <w:rPr>
                <w:color w:val="000000"/>
                <w:sz w:val="23"/>
                <w:szCs w:val="23"/>
              </w:rPr>
            </w:pPr>
            <w:r w:rsidRPr="00D77539">
              <w:rPr>
                <w:color w:val="000000"/>
                <w:sz w:val="23"/>
                <w:szCs w:val="23"/>
              </w:rPr>
              <w:t>2022</w:t>
            </w:r>
          </w:p>
        </w:tc>
        <w:tc>
          <w:tcPr>
            <w:tcW w:w="884" w:type="dxa"/>
            <w:gridSpan w:val="2"/>
          </w:tcPr>
          <w:p w:rsidRPr="00D77539" w:rsidR="00BB01ED" w:rsidP="00BB01ED" w:rsidRDefault="0009081D" w14:paraId="51C36695" w14:textId="10D52915">
            <w:pPr>
              <w:spacing w:before="60" w:after="60"/>
              <w:jc w:val="center"/>
              <w:rPr>
                <w:color w:val="000000"/>
                <w:sz w:val="23"/>
                <w:szCs w:val="23"/>
              </w:rPr>
            </w:pPr>
            <w:r w:rsidRPr="00D77539">
              <w:rPr>
                <w:color w:val="000000"/>
                <w:sz w:val="23"/>
                <w:szCs w:val="23"/>
              </w:rPr>
              <w:t>199.75</w:t>
            </w:r>
          </w:p>
        </w:tc>
        <w:tc>
          <w:tcPr>
            <w:tcW w:w="930" w:type="dxa"/>
          </w:tcPr>
          <w:p w:rsidRPr="00D77539" w:rsidR="00BB01ED" w:rsidP="00BB01ED" w:rsidRDefault="00FD706B" w14:paraId="50434DF3" w14:textId="2731C691">
            <w:pPr>
              <w:spacing w:before="60" w:after="60"/>
              <w:jc w:val="right"/>
              <w:rPr>
                <w:color w:val="000000"/>
                <w:sz w:val="23"/>
                <w:szCs w:val="23"/>
              </w:rPr>
            </w:pPr>
            <w:r w:rsidRPr="00D77539">
              <w:rPr>
                <w:color w:val="000000"/>
                <w:sz w:val="23"/>
                <w:szCs w:val="23"/>
              </w:rPr>
              <w:t>$2</w:t>
            </w:r>
            <w:r w:rsidRPr="00D77539" w:rsidR="00D82ABC">
              <w:rPr>
                <w:color w:val="000000"/>
                <w:sz w:val="23"/>
                <w:szCs w:val="23"/>
              </w:rPr>
              <w:t>82</w:t>
            </w:r>
          </w:p>
        </w:tc>
        <w:tc>
          <w:tcPr>
            <w:tcW w:w="1721" w:type="dxa"/>
            <w:gridSpan w:val="2"/>
            <w:tcBorders>
              <w:right w:val="single" w:color="auto" w:sz="4" w:space="0"/>
            </w:tcBorders>
          </w:tcPr>
          <w:p w:rsidRPr="00D77539" w:rsidR="00BB01ED" w:rsidP="00BB01ED" w:rsidRDefault="00D82ABC" w14:paraId="41124BBA" w14:textId="2CF0D235">
            <w:pPr>
              <w:spacing w:before="60" w:after="60"/>
              <w:rPr>
                <w:color w:val="000000"/>
                <w:sz w:val="23"/>
                <w:szCs w:val="23"/>
              </w:rPr>
            </w:pPr>
            <w:r w:rsidRPr="00D77539">
              <w:rPr>
                <w:color w:val="000000"/>
                <w:sz w:val="23"/>
                <w:szCs w:val="23"/>
              </w:rPr>
              <w:t xml:space="preserve">2021 rate for </w:t>
            </w:r>
            <w:r w:rsidRPr="00D77539" w:rsidR="00191F4D">
              <w:rPr>
                <w:color w:val="000000"/>
                <w:sz w:val="23"/>
                <w:szCs w:val="23"/>
              </w:rPr>
              <w:t>Expert Economist V and 5% step increase per D.07-01-009</w:t>
            </w:r>
          </w:p>
        </w:tc>
        <w:tc>
          <w:tcPr>
            <w:tcW w:w="1440" w:type="dxa"/>
            <w:gridSpan w:val="2"/>
            <w:tcBorders>
              <w:top w:val="single" w:color="auto" w:sz="4" w:space="0"/>
              <w:left w:val="single" w:color="auto" w:sz="4" w:space="0"/>
              <w:bottom w:val="single" w:color="auto" w:sz="4" w:space="0"/>
              <w:right w:val="single" w:color="auto" w:sz="24" w:space="0"/>
            </w:tcBorders>
          </w:tcPr>
          <w:p w:rsidRPr="00D77539" w:rsidR="00BB01ED" w:rsidP="00BB01ED" w:rsidRDefault="00127188" w14:paraId="75F00059" w14:textId="025B36C6">
            <w:pPr>
              <w:spacing w:before="60" w:after="60"/>
              <w:jc w:val="right"/>
              <w:rPr>
                <w:color w:val="000000"/>
                <w:sz w:val="23"/>
                <w:szCs w:val="23"/>
              </w:rPr>
            </w:pPr>
            <w:r w:rsidRPr="00D77539">
              <w:rPr>
                <w:color w:val="000000"/>
                <w:sz w:val="23"/>
                <w:szCs w:val="23"/>
              </w:rPr>
              <w:t>$</w:t>
            </w:r>
            <w:r w:rsidRPr="00D77539" w:rsidR="00D563F7">
              <w:rPr>
                <w:color w:val="000000"/>
                <w:sz w:val="23"/>
                <w:szCs w:val="23"/>
              </w:rPr>
              <w:t>56,329</w:t>
            </w:r>
            <w:r w:rsidRPr="00D77539" w:rsidR="00A909E5">
              <w:rPr>
                <w:color w:val="000000"/>
                <w:sz w:val="23"/>
                <w:szCs w:val="23"/>
              </w:rPr>
              <w:t>.50</w:t>
            </w:r>
          </w:p>
        </w:tc>
        <w:tc>
          <w:tcPr>
            <w:tcW w:w="1260" w:type="dxa"/>
            <w:tcBorders>
              <w:left w:val="single" w:color="auto" w:sz="4" w:space="0"/>
            </w:tcBorders>
          </w:tcPr>
          <w:p w:rsidRPr="00D77539" w:rsidR="00BB01ED" w:rsidP="00BB01ED" w:rsidRDefault="00ED38F8" w14:paraId="134A581C" w14:textId="3D3DF07F">
            <w:pPr>
              <w:spacing w:before="60" w:after="60"/>
              <w:jc w:val="center"/>
              <w:rPr>
                <w:color w:val="000000"/>
                <w:sz w:val="23"/>
                <w:szCs w:val="23"/>
              </w:rPr>
            </w:pPr>
            <w:r w:rsidRPr="00B34F2A">
              <w:rPr>
                <w:color w:val="000000"/>
                <w:sz w:val="23"/>
                <w:szCs w:val="23"/>
              </w:rPr>
              <w:t>103.3125</w:t>
            </w:r>
            <w:r w:rsidRPr="00B34F2A" w:rsidR="00F72DCF">
              <w:rPr>
                <w:color w:val="000000"/>
                <w:sz w:val="23"/>
                <w:szCs w:val="23"/>
              </w:rPr>
              <w:t xml:space="preserve"> [</w:t>
            </w:r>
            <w:r w:rsidRPr="00B34F2A" w:rsidR="00D215C0">
              <w:rPr>
                <w:color w:val="000000"/>
                <w:sz w:val="23"/>
                <w:szCs w:val="23"/>
              </w:rPr>
              <w:t>5, 6</w:t>
            </w:r>
            <w:r w:rsidRPr="00B34F2A" w:rsidR="00F72DCF">
              <w:rPr>
                <w:color w:val="000000"/>
                <w:sz w:val="23"/>
                <w:szCs w:val="23"/>
              </w:rPr>
              <w:t>]</w:t>
            </w:r>
          </w:p>
        </w:tc>
        <w:tc>
          <w:tcPr>
            <w:tcW w:w="1080" w:type="dxa"/>
          </w:tcPr>
          <w:p w:rsidRPr="00D77539" w:rsidR="00BB01ED" w:rsidP="00290380" w:rsidRDefault="00A605C8" w14:paraId="2622F4BA" w14:textId="1189F16E">
            <w:pPr>
              <w:spacing w:before="60" w:after="60"/>
              <w:jc w:val="center"/>
              <w:rPr>
                <w:color w:val="000000"/>
                <w:sz w:val="23"/>
                <w:szCs w:val="23"/>
              </w:rPr>
            </w:pPr>
            <w:r w:rsidRPr="00D77539">
              <w:rPr>
                <w:color w:val="000000"/>
                <w:sz w:val="23"/>
                <w:szCs w:val="23"/>
              </w:rPr>
              <w:t>$282.00 [</w:t>
            </w:r>
            <w:r w:rsidRPr="00D77539" w:rsidR="00F71FB4">
              <w:rPr>
                <w:color w:val="000000"/>
                <w:sz w:val="23"/>
                <w:szCs w:val="23"/>
              </w:rPr>
              <w:t>3</w:t>
            </w:r>
            <w:r w:rsidRPr="00D77539">
              <w:rPr>
                <w:color w:val="000000"/>
                <w:sz w:val="23"/>
                <w:szCs w:val="23"/>
              </w:rPr>
              <w:t>]</w:t>
            </w:r>
            <w:r w:rsidRPr="00D77539" w:rsidR="00D32A88">
              <w:rPr>
                <w:color w:val="000000"/>
                <w:sz w:val="23"/>
                <w:szCs w:val="23"/>
              </w:rPr>
              <w:t xml:space="preserve"> [8]</w:t>
            </w:r>
          </w:p>
        </w:tc>
        <w:tc>
          <w:tcPr>
            <w:tcW w:w="1535" w:type="dxa"/>
          </w:tcPr>
          <w:p w:rsidRPr="00D77539" w:rsidR="00BB01ED" w:rsidP="0082695A" w:rsidRDefault="00043854" w14:paraId="26135325" w14:textId="7AF0E272">
            <w:pPr>
              <w:spacing w:before="60" w:after="60"/>
              <w:jc w:val="right"/>
              <w:rPr>
                <w:color w:val="000000"/>
                <w:sz w:val="23"/>
                <w:szCs w:val="23"/>
              </w:rPr>
            </w:pPr>
            <w:r w:rsidRPr="00D77539">
              <w:rPr>
                <w:color w:val="000000"/>
                <w:sz w:val="23"/>
                <w:szCs w:val="23"/>
              </w:rPr>
              <w:t>$</w:t>
            </w:r>
            <w:r w:rsidRPr="00D77539" w:rsidR="002B1DFB">
              <w:rPr>
                <w:color w:val="000000"/>
                <w:sz w:val="23"/>
                <w:szCs w:val="23"/>
              </w:rPr>
              <w:t>29,134.13</w:t>
            </w:r>
          </w:p>
        </w:tc>
      </w:tr>
      <w:tr w:rsidRPr="007F620E" w:rsidR="00BB01ED" w:rsidTr="00CA07E3" w14:paraId="1B237C11" w14:textId="77777777">
        <w:trPr>
          <w:cantSplit/>
          <w:jc w:val="center"/>
        </w:trPr>
        <w:tc>
          <w:tcPr>
            <w:tcW w:w="7285" w:type="dxa"/>
            <w:gridSpan w:val="9"/>
            <w:tcBorders>
              <w:bottom w:val="single" w:color="auto" w:sz="4" w:space="0"/>
              <w:right w:val="single" w:color="auto" w:sz="24" w:space="0"/>
            </w:tcBorders>
          </w:tcPr>
          <w:p w:rsidRPr="00D77539" w:rsidR="00BB01ED" w:rsidP="00A4526F" w:rsidRDefault="00BB01ED" w14:paraId="2ECB6744" w14:textId="3F92FF7B">
            <w:pPr>
              <w:tabs>
                <w:tab w:val="left" w:pos="957"/>
              </w:tabs>
              <w:ind w:right="162"/>
              <w:jc w:val="right"/>
              <w:rPr>
                <w:b/>
                <w:i/>
                <w:color w:val="000000"/>
                <w:sz w:val="23"/>
                <w:szCs w:val="23"/>
              </w:rPr>
            </w:pPr>
            <w:r w:rsidRPr="00D77539">
              <w:rPr>
                <w:b/>
                <w:i/>
                <w:color w:val="000000"/>
                <w:sz w:val="23"/>
                <w:szCs w:val="23"/>
              </w:rPr>
              <w:t>Subtotal: $</w:t>
            </w:r>
            <w:r w:rsidRPr="00D77539" w:rsidR="000E30E4">
              <w:rPr>
                <w:b/>
                <w:i/>
                <w:color w:val="000000"/>
                <w:sz w:val="23"/>
                <w:szCs w:val="23"/>
              </w:rPr>
              <w:t xml:space="preserve"> 160,600.50</w:t>
            </w:r>
          </w:p>
        </w:tc>
        <w:tc>
          <w:tcPr>
            <w:tcW w:w="3875" w:type="dxa"/>
            <w:gridSpan w:val="3"/>
            <w:tcBorders>
              <w:left w:val="single" w:color="auto" w:sz="24" w:space="0"/>
              <w:bottom w:val="single" w:color="auto" w:sz="4" w:space="0"/>
            </w:tcBorders>
            <w:vAlign w:val="bottom"/>
          </w:tcPr>
          <w:p w:rsidRPr="00D77539" w:rsidR="00BB01ED" w:rsidP="00A4526F" w:rsidRDefault="00BB01ED" w14:paraId="2EBF1ADF" w14:textId="1F951C04">
            <w:pPr>
              <w:tabs>
                <w:tab w:val="left" w:pos="957"/>
              </w:tabs>
              <w:ind w:right="162"/>
              <w:jc w:val="right"/>
              <w:rPr>
                <w:b/>
                <w:i/>
                <w:iCs/>
                <w:color w:val="000000"/>
                <w:sz w:val="23"/>
                <w:szCs w:val="23"/>
              </w:rPr>
            </w:pPr>
            <w:r w:rsidRPr="00D77539">
              <w:rPr>
                <w:b/>
                <w:i/>
                <w:color w:val="000000"/>
                <w:sz w:val="23"/>
                <w:szCs w:val="23"/>
              </w:rPr>
              <w:t>Subtotal:</w:t>
            </w:r>
            <w:r w:rsidRPr="00D77539">
              <w:rPr>
                <w:b/>
                <w:i/>
                <w:iCs/>
                <w:color w:val="000000"/>
                <w:sz w:val="23"/>
                <w:szCs w:val="23"/>
              </w:rPr>
              <w:t xml:space="preserve"> $</w:t>
            </w:r>
            <w:r w:rsidRPr="00D77539" w:rsidR="00F21DC0">
              <w:rPr>
                <w:b/>
                <w:i/>
                <w:iCs/>
                <w:color w:val="000000"/>
                <w:sz w:val="23"/>
                <w:szCs w:val="23"/>
              </w:rPr>
              <w:t>92,589.51</w:t>
            </w:r>
          </w:p>
          <w:p w:rsidRPr="00D77539" w:rsidR="009923B8" w:rsidP="009923B8" w:rsidRDefault="009923B8" w14:paraId="38628C84" w14:textId="77777777">
            <w:pPr>
              <w:tabs>
                <w:tab w:val="left" w:pos="957"/>
              </w:tabs>
              <w:ind w:right="162"/>
              <w:jc w:val="right"/>
              <w:rPr>
                <w:b/>
                <w:bCs/>
                <w:i/>
                <w:iCs/>
                <w:color w:val="000000"/>
                <w:sz w:val="23"/>
                <w:szCs w:val="23"/>
              </w:rPr>
            </w:pPr>
            <w:r w:rsidRPr="00D77539">
              <w:rPr>
                <w:b/>
                <w:bCs/>
                <w:i/>
                <w:iCs/>
                <w:color w:val="000000"/>
                <w:sz w:val="23"/>
                <w:szCs w:val="23"/>
              </w:rPr>
              <w:t>[25% overall reduction] [7]:</w:t>
            </w:r>
          </w:p>
          <w:p w:rsidRPr="00D77539" w:rsidR="006E261B" w:rsidP="00A4526F" w:rsidRDefault="006E261B" w14:paraId="4C4556E5" w14:textId="6D240768">
            <w:pPr>
              <w:tabs>
                <w:tab w:val="left" w:pos="957"/>
              </w:tabs>
              <w:ind w:right="162"/>
              <w:jc w:val="right"/>
              <w:rPr>
                <w:b/>
                <w:bCs/>
                <w:color w:val="000000"/>
                <w:sz w:val="23"/>
                <w:szCs w:val="23"/>
              </w:rPr>
            </w:pPr>
            <w:r w:rsidRPr="00D77539">
              <w:rPr>
                <w:b/>
                <w:bCs/>
                <w:i/>
                <w:iCs/>
                <w:color w:val="000000"/>
                <w:sz w:val="23"/>
                <w:szCs w:val="23"/>
              </w:rPr>
              <w:t>$</w:t>
            </w:r>
            <w:r w:rsidRPr="00D77539" w:rsidR="00B17D4F">
              <w:rPr>
                <w:b/>
                <w:bCs/>
                <w:i/>
                <w:iCs/>
                <w:color w:val="000000"/>
                <w:sz w:val="23"/>
                <w:szCs w:val="23"/>
              </w:rPr>
              <w:t>69,442.13</w:t>
            </w:r>
          </w:p>
        </w:tc>
      </w:tr>
      <w:tr w:rsidRPr="007F620E" w:rsidR="00BB01ED" w:rsidTr="00CA07E3" w14:paraId="4F8FAF05" w14:textId="77777777">
        <w:trPr>
          <w:cantSplit/>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D77539" w:rsidR="00BB01ED" w:rsidP="00BB01ED" w:rsidRDefault="00BB01ED" w14:paraId="41FE304C" w14:textId="77777777">
            <w:pPr>
              <w:keepNext/>
              <w:spacing w:before="60" w:after="60"/>
              <w:jc w:val="center"/>
              <w:rPr>
                <w:color w:val="000000"/>
                <w:sz w:val="23"/>
                <w:szCs w:val="23"/>
              </w:rPr>
            </w:pPr>
            <w:r w:rsidRPr="00D77539">
              <w:rPr>
                <w:b/>
                <w:color w:val="000000"/>
                <w:sz w:val="23"/>
                <w:szCs w:val="23"/>
              </w:rPr>
              <w:lastRenderedPageBreak/>
              <w:t xml:space="preserve">INTERVENOR COMPENSATION CLAIM PREPARATION </w:t>
            </w:r>
            <w:r w:rsidRPr="00D77539">
              <w:rPr>
                <w:b/>
                <w:smallCaps/>
                <w:color w:val="000000"/>
                <w:sz w:val="23"/>
                <w:szCs w:val="23"/>
              </w:rPr>
              <w:t xml:space="preserve"> **</w:t>
            </w:r>
          </w:p>
        </w:tc>
      </w:tr>
      <w:tr w:rsidRPr="00260518" w:rsidR="00BB01ED" w:rsidTr="00CA07E3" w14:paraId="48B3E535" w14:textId="77777777">
        <w:trPr>
          <w:cantSplit/>
          <w:jc w:val="center"/>
        </w:trPr>
        <w:tc>
          <w:tcPr>
            <w:tcW w:w="1489" w:type="dxa"/>
            <w:tcBorders>
              <w:top w:val="single" w:color="auto" w:sz="4" w:space="0"/>
              <w:bottom w:val="single" w:color="auto" w:sz="4" w:space="0"/>
            </w:tcBorders>
            <w:vAlign w:val="bottom"/>
          </w:tcPr>
          <w:p w:rsidRPr="00D77539" w:rsidR="00BB01ED" w:rsidP="00BB01ED" w:rsidRDefault="00BB01ED" w14:paraId="563A43BB" w14:textId="77777777">
            <w:pPr>
              <w:keepNext/>
              <w:spacing w:before="60" w:after="60"/>
              <w:jc w:val="center"/>
              <w:rPr>
                <w:b/>
                <w:color w:val="000000"/>
                <w:sz w:val="23"/>
                <w:szCs w:val="23"/>
              </w:rPr>
            </w:pPr>
            <w:r w:rsidRPr="00D77539">
              <w:rPr>
                <w:b/>
                <w:color w:val="000000"/>
                <w:sz w:val="23"/>
                <w:szCs w:val="23"/>
              </w:rPr>
              <w:t>Item</w:t>
            </w:r>
          </w:p>
        </w:tc>
        <w:tc>
          <w:tcPr>
            <w:tcW w:w="821" w:type="dxa"/>
            <w:tcBorders>
              <w:top w:val="single" w:color="auto" w:sz="4" w:space="0"/>
              <w:bottom w:val="single" w:color="auto" w:sz="4" w:space="0"/>
            </w:tcBorders>
            <w:vAlign w:val="bottom"/>
          </w:tcPr>
          <w:p w:rsidRPr="00D77539" w:rsidR="00BB01ED" w:rsidP="00BB01ED" w:rsidRDefault="00BB01ED" w14:paraId="144552E0" w14:textId="77777777">
            <w:pPr>
              <w:keepNext/>
              <w:spacing w:before="60" w:after="60"/>
              <w:jc w:val="center"/>
              <w:rPr>
                <w:b/>
                <w:color w:val="000000"/>
                <w:sz w:val="23"/>
                <w:szCs w:val="23"/>
              </w:rPr>
            </w:pPr>
            <w:r w:rsidRPr="00D77539">
              <w:rPr>
                <w:b/>
                <w:color w:val="000000"/>
                <w:sz w:val="23"/>
                <w:szCs w:val="23"/>
              </w:rPr>
              <w:t>Year</w:t>
            </w:r>
          </w:p>
        </w:tc>
        <w:tc>
          <w:tcPr>
            <w:tcW w:w="884" w:type="dxa"/>
            <w:gridSpan w:val="2"/>
            <w:tcBorders>
              <w:top w:val="single" w:color="auto" w:sz="4" w:space="0"/>
              <w:bottom w:val="single" w:color="auto" w:sz="4" w:space="0"/>
            </w:tcBorders>
            <w:vAlign w:val="bottom"/>
          </w:tcPr>
          <w:p w:rsidRPr="00D77539" w:rsidR="00BB01ED" w:rsidP="00BB01ED" w:rsidRDefault="00BB01ED" w14:paraId="42890B1B" w14:textId="77777777">
            <w:pPr>
              <w:keepNext/>
              <w:spacing w:before="60" w:after="60"/>
              <w:jc w:val="center"/>
              <w:rPr>
                <w:b/>
                <w:color w:val="000000"/>
                <w:sz w:val="23"/>
                <w:szCs w:val="23"/>
              </w:rPr>
            </w:pPr>
            <w:r w:rsidRPr="00D77539">
              <w:rPr>
                <w:b/>
                <w:color w:val="000000"/>
                <w:sz w:val="23"/>
                <w:szCs w:val="23"/>
              </w:rPr>
              <w:t>Hours</w:t>
            </w:r>
          </w:p>
        </w:tc>
        <w:tc>
          <w:tcPr>
            <w:tcW w:w="930" w:type="dxa"/>
            <w:tcBorders>
              <w:top w:val="single" w:color="auto" w:sz="4" w:space="0"/>
              <w:bottom w:val="single" w:color="auto" w:sz="4" w:space="0"/>
            </w:tcBorders>
            <w:vAlign w:val="bottom"/>
          </w:tcPr>
          <w:p w:rsidRPr="00D77539" w:rsidR="00BB01ED" w:rsidP="00BB01ED" w:rsidRDefault="00BB01ED" w14:paraId="1E7BD956" w14:textId="243077B9">
            <w:pPr>
              <w:keepNext/>
              <w:spacing w:before="60" w:after="60"/>
              <w:jc w:val="center"/>
              <w:rPr>
                <w:b/>
                <w:color w:val="000000"/>
                <w:sz w:val="23"/>
                <w:szCs w:val="23"/>
              </w:rPr>
            </w:pPr>
            <w:r w:rsidRPr="00D77539">
              <w:rPr>
                <w:b/>
                <w:color w:val="000000"/>
                <w:sz w:val="23"/>
                <w:szCs w:val="23"/>
              </w:rPr>
              <w:t>Rate $</w:t>
            </w:r>
          </w:p>
        </w:tc>
        <w:tc>
          <w:tcPr>
            <w:tcW w:w="1721" w:type="dxa"/>
            <w:gridSpan w:val="2"/>
            <w:tcBorders>
              <w:top w:val="single" w:color="auto" w:sz="4" w:space="0"/>
              <w:bottom w:val="single" w:color="auto" w:sz="4" w:space="0"/>
              <w:right w:val="single" w:color="auto" w:sz="4" w:space="0"/>
            </w:tcBorders>
            <w:vAlign w:val="bottom"/>
          </w:tcPr>
          <w:p w:rsidRPr="00D77539" w:rsidR="00BB01ED" w:rsidP="00BB01ED" w:rsidRDefault="00BB01ED" w14:paraId="104D7982" w14:textId="77777777">
            <w:pPr>
              <w:keepNext/>
              <w:spacing w:before="60" w:after="60"/>
              <w:jc w:val="center"/>
              <w:rPr>
                <w:b/>
                <w:color w:val="000000"/>
                <w:sz w:val="23"/>
                <w:szCs w:val="23"/>
              </w:rPr>
            </w:pPr>
            <w:r w:rsidRPr="00D77539">
              <w:rPr>
                <w:b/>
                <w:color w:val="000000"/>
                <w:sz w:val="23"/>
                <w:szCs w:val="23"/>
              </w:rPr>
              <w:t>Basis for Rate*</w:t>
            </w:r>
          </w:p>
        </w:tc>
        <w:tc>
          <w:tcPr>
            <w:tcW w:w="1440" w:type="dxa"/>
            <w:gridSpan w:val="2"/>
            <w:tcBorders>
              <w:top w:val="single" w:color="auto" w:sz="4" w:space="0"/>
              <w:left w:val="single" w:color="auto" w:sz="4" w:space="0"/>
              <w:bottom w:val="single" w:color="auto" w:sz="4" w:space="0"/>
              <w:right w:val="single" w:color="auto" w:sz="24" w:space="0"/>
            </w:tcBorders>
            <w:vAlign w:val="bottom"/>
          </w:tcPr>
          <w:p w:rsidRPr="00D77539" w:rsidR="00BB01ED" w:rsidP="00BB01ED" w:rsidRDefault="00BB01ED" w14:paraId="073B2BB9" w14:textId="77777777">
            <w:pPr>
              <w:keepNext/>
              <w:spacing w:before="60" w:after="60"/>
              <w:jc w:val="center"/>
              <w:rPr>
                <w:b/>
                <w:color w:val="000000"/>
                <w:sz w:val="23"/>
                <w:szCs w:val="23"/>
              </w:rPr>
            </w:pPr>
            <w:r w:rsidRPr="00D77539">
              <w:rPr>
                <w:b/>
                <w:color w:val="000000"/>
                <w:sz w:val="23"/>
                <w:szCs w:val="23"/>
              </w:rPr>
              <w:t>Total $</w:t>
            </w:r>
          </w:p>
        </w:tc>
        <w:tc>
          <w:tcPr>
            <w:tcW w:w="1260" w:type="dxa"/>
            <w:tcBorders>
              <w:top w:val="single" w:color="auto" w:sz="4" w:space="0"/>
              <w:left w:val="single" w:color="auto" w:sz="4" w:space="0"/>
            </w:tcBorders>
            <w:vAlign w:val="bottom"/>
          </w:tcPr>
          <w:p w:rsidRPr="00D77539" w:rsidR="00BB01ED" w:rsidP="00BB01ED" w:rsidRDefault="00BB01ED" w14:paraId="0409143B" w14:textId="77777777">
            <w:pPr>
              <w:keepNext/>
              <w:spacing w:before="60" w:after="60"/>
              <w:jc w:val="center"/>
              <w:rPr>
                <w:b/>
                <w:color w:val="000000"/>
                <w:sz w:val="23"/>
                <w:szCs w:val="23"/>
              </w:rPr>
            </w:pPr>
            <w:r w:rsidRPr="00D77539">
              <w:rPr>
                <w:b/>
                <w:color w:val="000000"/>
                <w:sz w:val="23"/>
                <w:szCs w:val="23"/>
              </w:rPr>
              <w:t>Hours</w:t>
            </w:r>
          </w:p>
        </w:tc>
        <w:tc>
          <w:tcPr>
            <w:tcW w:w="1080" w:type="dxa"/>
            <w:tcBorders>
              <w:top w:val="single" w:color="auto" w:sz="4" w:space="0"/>
            </w:tcBorders>
            <w:vAlign w:val="bottom"/>
          </w:tcPr>
          <w:p w:rsidRPr="00D77539" w:rsidR="00BB01ED" w:rsidP="00BB01ED" w:rsidRDefault="00BB01ED" w14:paraId="6B59BB80" w14:textId="2C791D8E">
            <w:pPr>
              <w:keepNext/>
              <w:spacing w:before="60" w:after="60"/>
              <w:jc w:val="center"/>
              <w:rPr>
                <w:b/>
                <w:color w:val="000000"/>
                <w:sz w:val="23"/>
                <w:szCs w:val="23"/>
              </w:rPr>
            </w:pPr>
            <w:r w:rsidRPr="00D77539">
              <w:rPr>
                <w:b/>
                <w:color w:val="000000"/>
                <w:sz w:val="23"/>
                <w:szCs w:val="23"/>
              </w:rPr>
              <w:t>Rate $</w:t>
            </w:r>
          </w:p>
        </w:tc>
        <w:tc>
          <w:tcPr>
            <w:tcW w:w="1535" w:type="dxa"/>
            <w:tcBorders>
              <w:top w:val="single" w:color="auto" w:sz="4" w:space="0"/>
            </w:tcBorders>
            <w:vAlign w:val="bottom"/>
          </w:tcPr>
          <w:p w:rsidRPr="00D77539" w:rsidR="00BB01ED" w:rsidP="00BB01ED" w:rsidRDefault="00BB01ED" w14:paraId="6C7B13CF" w14:textId="77777777">
            <w:pPr>
              <w:keepNext/>
              <w:spacing w:before="60" w:after="60"/>
              <w:jc w:val="center"/>
              <w:rPr>
                <w:b/>
                <w:color w:val="000000"/>
                <w:sz w:val="23"/>
                <w:szCs w:val="23"/>
              </w:rPr>
            </w:pPr>
            <w:r w:rsidRPr="00D77539">
              <w:rPr>
                <w:b/>
                <w:color w:val="000000"/>
                <w:sz w:val="23"/>
                <w:szCs w:val="23"/>
              </w:rPr>
              <w:t>Total $</w:t>
            </w:r>
          </w:p>
        </w:tc>
      </w:tr>
      <w:tr w:rsidRPr="007F620E" w:rsidR="00B67E8B" w:rsidTr="00CA07E3" w14:paraId="25086E67" w14:textId="77777777">
        <w:trPr>
          <w:cantSplit/>
          <w:jc w:val="center"/>
        </w:trPr>
        <w:tc>
          <w:tcPr>
            <w:tcW w:w="1489" w:type="dxa"/>
          </w:tcPr>
          <w:p w:rsidRPr="00D77539" w:rsidR="00B67E8B" w:rsidP="00B67E8B" w:rsidRDefault="00B67E8B" w14:paraId="386D0995" w14:textId="1F4F2A1F">
            <w:pPr>
              <w:spacing w:before="60" w:after="60"/>
              <w:rPr>
                <w:color w:val="000000"/>
                <w:sz w:val="23"/>
                <w:szCs w:val="23"/>
              </w:rPr>
            </w:pPr>
            <w:r w:rsidRPr="00D77539">
              <w:rPr>
                <w:color w:val="000000"/>
                <w:sz w:val="23"/>
                <w:szCs w:val="23"/>
              </w:rPr>
              <w:t>Joon Hun Seong</w:t>
            </w:r>
          </w:p>
        </w:tc>
        <w:tc>
          <w:tcPr>
            <w:tcW w:w="821" w:type="dxa"/>
          </w:tcPr>
          <w:p w:rsidRPr="00D77539" w:rsidR="00B67E8B" w:rsidP="00B67E8B" w:rsidRDefault="00B67E8B" w14:paraId="4A155F1D" w14:textId="3285C230">
            <w:pPr>
              <w:spacing w:before="60" w:after="60"/>
              <w:jc w:val="center"/>
              <w:rPr>
                <w:color w:val="000000"/>
                <w:sz w:val="23"/>
                <w:szCs w:val="23"/>
              </w:rPr>
            </w:pPr>
            <w:r w:rsidRPr="00D77539">
              <w:rPr>
                <w:color w:val="000000"/>
                <w:sz w:val="23"/>
                <w:szCs w:val="23"/>
              </w:rPr>
              <w:t>2022</w:t>
            </w:r>
          </w:p>
        </w:tc>
        <w:tc>
          <w:tcPr>
            <w:tcW w:w="884" w:type="dxa"/>
            <w:gridSpan w:val="2"/>
          </w:tcPr>
          <w:p w:rsidRPr="00D77539" w:rsidR="00B67E8B" w:rsidP="00B67E8B" w:rsidRDefault="00D563F7" w14:paraId="30EEA80A" w14:textId="091965E5">
            <w:pPr>
              <w:spacing w:before="60" w:after="60"/>
              <w:jc w:val="center"/>
              <w:rPr>
                <w:color w:val="000000"/>
                <w:sz w:val="23"/>
                <w:szCs w:val="23"/>
              </w:rPr>
            </w:pPr>
            <w:r w:rsidRPr="00D77539">
              <w:rPr>
                <w:color w:val="000000"/>
                <w:sz w:val="23"/>
                <w:szCs w:val="23"/>
              </w:rPr>
              <w:t>1.75</w:t>
            </w:r>
          </w:p>
        </w:tc>
        <w:tc>
          <w:tcPr>
            <w:tcW w:w="930" w:type="dxa"/>
          </w:tcPr>
          <w:p w:rsidRPr="00D77539" w:rsidR="00B67E8B" w:rsidP="00B67E8B" w:rsidRDefault="00CB4BA6" w14:paraId="4EB14C91" w14:textId="554C527E">
            <w:pPr>
              <w:spacing w:before="60" w:after="60"/>
              <w:rPr>
                <w:color w:val="000000"/>
                <w:sz w:val="23"/>
                <w:szCs w:val="23"/>
              </w:rPr>
            </w:pPr>
            <w:r w:rsidRPr="00D77539">
              <w:rPr>
                <w:color w:val="000000"/>
                <w:sz w:val="23"/>
                <w:szCs w:val="23"/>
              </w:rPr>
              <w:t>$</w:t>
            </w:r>
            <w:r w:rsidRPr="00D77539" w:rsidR="005B65C6">
              <w:rPr>
                <w:color w:val="000000"/>
                <w:sz w:val="23"/>
                <w:szCs w:val="23"/>
              </w:rPr>
              <w:t>165</w:t>
            </w:r>
          </w:p>
        </w:tc>
        <w:tc>
          <w:tcPr>
            <w:tcW w:w="1721" w:type="dxa"/>
            <w:gridSpan w:val="2"/>
            <w:tcBorders>
              <w:right w:val="single" w:color="auto" w:sz="4" w:space="0"/>
            </w:tcBorders>
          </w:tcPr>
          <w:p w:rsidRPr="00D77539" w:rsidR="00B67E8B" w:rsidP="00B67E8B" w:rsidRDefault="00B67E8B" w14:paraId="02D334B7" w14:textId="6DFFF6ED">
            <w:pPr>
              <w:spacing w:before="60" w:after="60"/>
              <w:rPr>
                <w:color w:val="000000"/>
                <w:sz w:val="23"/>
                <w:szCs w:val="23"/>
              </w:rPr>
            </w:pPr>
            <w:r w:rsidRPr="00D77539">
              <w:rPr>
                <w:color w:val="000000"/>
                <w:sz w:val="23"/>
                <w:szCs w:val="23"/>
              </w:rPr>
              <w:t>ALJ-393; Public Policy Analyst III with 5% increase per D.07-01-009 (divided by two)</w:t>
            </w:r>
          </w:p>
        </w:tc>
        <w:tc>
          <w:tcPr>
            <w:tcW w:w="1440" w:type="dxa"/>
            <w:gridSpan w:val="2"/>
            <w:tcBorders>
              <w:top w:val="single" w:color="auto" w:sz="4" w:space="0"/>
              <w:left w:val="single" w:color="auto" w:sz="4" w:space="0"/>
              <w:bottom w:val="single" w:color="auto" w:sz="4" w:space="0"/>
              <w:right w:val="single" w:color="auto" w:sz="24" w:space="0"/>
            </w:tcBorders>
          </w:tcPr>
          <w:p w:rsidRPr="00D77539" w:rsidR="00B67E8B" w:rsidP="00B67E8B" w:rsidRDefault="008E05EE" w14:paraId="7B9A0261" w14:textId="4F187CB0">
            <w:pPr>
              <w:spacing w:before="60" w:after="60"/>
              <w:jc w:val="right"/>
              <w:rPr>
                <w:color w:val="000000"/>
                <w:sz w:val="23"/>
                <w:szCs w:val="23"/>
              </w:rPr>
            </w:pPr>
            <w:r w:rsidRPr="00D77539">
              <w:rPr>
                <w:color w:val="000000"/>
                <w:sz w:val="23"/>
                <w:szCs w:val="23"/>
              </w:rPr>
              <w:t>$288.75</w:t>
            </w:r>
          </w:p>
        </w:tc>
        <w:tc>
          <w:tcPr>
            <w:tcW w:w="1260" w:type="dxa"/>
            <w:tcBorders>
              <w:left w:val="single" w:color="auto" w:sz="4" w:space="0"/>
              <w:right w:val="single" w:color="auto" w:sz="4" w:space="0"/>
            </w:tcBorders>
          </w:tcPr>
          <w:p w:rsidRPr="00D77539" w:rsidR="00B67E8B" w:rsidP="00EA125E" w:rsidRDefault="00EA125E" w14:paraId="5E5A4264" w14:textId="13997E68">
            <w:pPr>
              <w:spacing w:before="60" w:after="60"/>
              <w:jc w:val="center"/>
              <w:rPr>
                <w:color w:val="000000"/>
                <w:sz w:val="23"/>
                <w:szCs w:val="23"/>
              </w:rPr>
            </w:pPr>
            <w:r w:rsidRPr="00D77539">
              <w:rPr>
                <w:color w:val="000000"/>
                <w:sz w:val="23"/>
                <w:szCs w:val="23"/>
              </w:rPr>
              <w:t>1.75</w:t>
            </w:r>
          </w:p>
        </w:tc>
        <w:tc>
          <w:tcPr>
            <w:tcW w:w="1080" w:type="dxa"/>
            <w:tcBorders>
              <w:left w:val="single" w:color="auto" w:sz="4" w:space="0"/>
            </w:tcBorders>
          </w:tcPr>
          <w:p w:rsidRPr="00D77539" w:rsidR="00B67E8B" w:rsidP="00290380" w:rsidRDefault="000008F2" w14:paraId="47B1F089" w14:textId="66B64D07">
            <w:pPr>
              <w:spacing w:before="60" w:after="60"/>
              <w:jc w:val="center"/>
              <w:rPr>
                <w:color w:val="000000"/>
                <w:sz w:val="23"/>
                <w:szCs w:val="23"/>
              </w:rPr>
            </w:pPr>
            <w:r w:rsidRPr="00D77539">
              <w:rPr>
                <w:color w:val="000000"/>
                <w:sz w:val="23"/>
                <w:szCs w:val="23"/>
              </w:rPr>
              <w:t>$112.50</w:t>
            </w:r>
            <w:r w:rsidRPr="00D77539" w:rsidR="00EB2642">
              <w:rPr>
                <w:color w:val="000000"/>
                <w:sz w:val="23"/>
                <w:szCs w:val="23"/>
              </w:rPr>
              <w:t xml:space="preserve"> [4]</w:t>
            </w:r>
          </w:p>
        </w:tc>
        <w:tc>
          <w:tcPr>
            <w:tcW w:w="1535" w:type="dxa"/>
          </w:tcPr>
          <w:p w:rsidRPr="00D77539" w:rsidR="00DD3AF4" w:rsidP="00D02ABE" w:rsidRDefault="007A4B59" w14:paraId="10659B6D" w14:textId="65EC3E4F">
            <w:pPr>
              <w:spacing w:before="60" w:after="60"/>
              <w:jc w:val="right"/>
              <w:rPr>
                <w:color w:val="000000"/>
                <w:sz w:val="23"/>
                <w:szCs w:val="23"/>
              </w:rPr>
            </w:pPr>
            <w:r w:rsidRPr="00D77539">
              <w:rPr>
                <w:color w:val="000000"/>
                <w:sz w:val="23"/>
                <w:szCs w:val="23"/>
              </w:rPr>
              <w:t>$196.88</w:t>
            </w:r>
          </w:p>
        </w:tc>
      </w:tr>
      <w:tr w:rsidRPr="007F620E" w:rsidR="00930407" w:rsidTr="00CA07E3" w14:paraId="3164B521" w14:textId="77777777">
        <w:trPr>
          <w:cantSplit/>
          <w:jc w:val="center"/>
        </w:trPr>
        <w:tc>
          <w:tcPr>
            <w:tcW w:w="1489" w:type="dxa"/>
          </w:tcPr>
          <w:p w:rsidRPr="00D77539" w:rsidR="00930407" w:rsidP="00930407" w:rsidRDefault="008E05EE" w14:paraId="51D04FD9" w14:textId="22C0C2EA">
            <w:pPr>
              <w:spacing w:before="60" w:after="60"/>
              <w:rPr>
                <w:color w:val="000000"/>
                <w:sz w:val="23"/>
                <w:szCs w:val="23"/>
              </w:rPr>
            </w:pPr>
            <w:r w:rsidRPr="00D77539">
              <w:rPr>
                <w:color w:val="000000"/>
                <w:sz w:val="23"/>
                <w:szCs w:val="23"/>
              </w:rPr>
              <w:t>Joon Hun Seong</w:t>
            </w:r>
          </w:p>
        </w:tc>
        <w:tc>
          <w:tcPr>
            <w:tcW w:w="821" w:type="dxa"/>
          </w:tcPr>
          <w:p w:rsidRPr="00D77539" w:rsidR="00930407" w:rsidP="00930407" w:rsidRDefault="008E05EE" w14:paraId="3F94151E" w14:textId="42A8D3E8">
            <w:pPr>
              <w:spacing w:before="60" w:after="60"/>
              <w:jc w:val="center"/>
              <w:rPr>
                <w:color w:val="000000"/>
                <w:sz w:val="23"/>
                <w:szCs w:val="23"/>
              </w:rPr>
            </w:pPr>
            <w:r w:rsidRPr="00D77539">
              <w:rPr>
                <w:color w:val="000000"/>
                <w:sz w:val="23"/>
                <w:szCs w:val="23"/>
              </w:rPr>
              <w:t>2023</w:t>
            </w:r>
          </w:p>
        </w:tc>
        <w:tc>
          <w:tcPr>
            <w:tcW w:w="884" w:type="dxa"/>
            <w:gridSpan w:val="2"/>
          </w:tcPr>
          <w:p w:rsidRPr="00D77539" w:rsidR="00930407" w:rsidP="00930407" w:rsidRDefault="00B97F3A" w14:paraId="2EFAFF35" w14:textId="17DEC914">
            <w:pPr>
              <w:spacing w:before="60" w:after="60"/>
              <w:jc w:val="center"/>
              <w:rPr>
                <w:color w:val="000000"/>
                <w:sz w:val="23"/>
                <w:szCs w:val="23"/>
              </w:rPr>
            </w:pPr>
            <w:r w:rsidRPr="00D77539">
              <w:rPr>
                <w:color w:val="000000"/>
                <w:sz w:val="23"/>
                <w:szCs w:val="23"/>
              </w:rPr>
              <w:t>2</w:t>
            </w:r>
            <w:r w:rsidRPr="00D77539" w:rsidR="00CB4BA6">
              <w:rPr>
                <w:color w:val="000000"/>
                <w:sz w:val="23"/>
                <w:szCs w:val="23"/>
              </w:rPr>
              <w:t>.25</w:t>
            </w:r>
          </w:p>
        </w:tc>
        <w:tc>
          <w:tcPr>
            <w:tcW w:w="930" w:type="dxa"/>
          </w:tcPr>
          <w:p w:rsidRPr="00D77539" w:rsidR="00930407" w:rsidP="00930407" w:rsidRDefault="00CB4BA6" w14:paraId="6E1D6FE4" w14:textId="2A326397">
            <w:pPr>
              <w:spacing w:before="60" w:after="60"/>
              <w:rPr>
                <w:color w:val="000000"/>
                <w:sz w:val="23"/>
                <w:szCs w:val="23"/>
              </w:rPr>
            </w:pPr>
            <w:r w:rsidRPr="00D77539">
              <w:rPr>
                <w:color w:val="000000"/>
                <w:sz w:val="23"/>
                <w:szCs w:val="23"/>
              </w:rPr>
              <w:t>$173</w:t>
            </w:r>
          </w:p>
        </w:tc>
        <w:tc>
          <w:tcPr>
            <w:tcW w:w="1721" w:type="dxa"/>
            <w:gridSpan w:val="2"/>
            <w:tcBorders>
              <w:right w:val="single" w:color="auto" w:sz="4" w:space="0"/>
            </w:tcBorders>
          </w:tcPr>
          <w:p w:rsidRPr="00D77539" w:rsidR="00930407" w:rsidP="00930407" w:rsidRDefault="00CB4BA6" w14:paraId="7A5A5D49" w14:textId="6CF8A965">
            <w:pPr>
              <w:spacing w:before="60" w:after="60"/>
              <w:rPr>
                <w:color w:val="000000"/>
                <w:sz w:val="23"/>
                <w:szCs w:val="23"/>
              </w:rPr>
            </w:pPr>
            <w:r w:rsidRPr="00D77539">
              <w:rPr>
                <w:color w:val="000000"/>
                <w:sz w:val="23"/>
                <w:szCs w:val="23"/>
              </w:rPr>
              <w:t>ALJ-393; Public Policy Analyst III with 5% increase per D.07-01-009 (divided by two)</w:t>
            </w:r>
          </w:p>
        </w:tc>
        <w:tc>
          <w:tcPr>
            <w:tcW w:w="1440" w:type="dxa"/>
            <w:gridSpan w:val="2"/>
            <w:tcBorders>
              <w:top w:val="single" w:color="auto" w:sz="4" w:space="0"/>
              <w:left w:val="single" w:color="auto" w:sz="4" w:space="0"/>
              <w:bottom w:val="single" w:color="auto" w:sz="4" w:space="0"/>
              <w:right w:val="single" w:color="auto" w:sz="24" w:space="0"/>
            </w:tcBorders>
          </w:tcPr>
          <w:p w:rsidRPr="00D77539" w:rsidR="00930407" w:rsidP="00930407" w:rsidRDefault="00CB4BA6" w14:paraId="77B9A33E" w14:textId="57A2A424">
            <w:pPr>
              <w:spacing w:before="60" w:after="60"/>
              <w:jc w:val="right"/>
              <w:rPr>
                <w:color w:val="000000"/>
                <w:sz w:val="23"/>
                <w:szCs w:val="23"/>
              </w:rPr>
            </w:pPr>
            <w:r w:rsidRPr="00D77539">
              <w:rPr>
                <w:color w:val="000000"/>
                <w:sz w:val="23"/>
                <w:szCs w:val="23"/>
              </w:rPr>
              <w:t>$</w:t>
            </w:r>
            <w:r w:rsidRPr="00D77539" w:rsidR="00F260DC">
              <w:rPr>
                <w:color w:val="000000"/>
                <w:sz w:val="23"/>
                <w:szCs w:val="23"/>
              </w:rPr>
              <w:t>389.25</w:t>
            </w:r>
          </w:p>
        </w:tc>
        <w:tc>
          <w:tcPr>
            <w:tcW w:w="1260" w:type="dxa"/>
            <w:tcBorders>
              <w:left w:val="single" w:color="auto" w:sz="4" w:space="0"/>
              <w:right w:val="single" w:color="auto" w:sz="4" w:space="0"/>
            </w:tcBorders>
          </w:tcPr>
          <w:p w:rsidRPr="00D77539" w:rsidR="00930407" w:rsidP="00EA125E" w:rsidRDefault="00EA125E" w14:paraId="27B866C1" w14:textId="1B07287B">
            <w:pPr>
              <w:spacing w:before="60" w:after="60"/>
              <w:jc w:val="center"/>
              <w:rPr>
                <w:color w:val="000000"/>
                <w:sz w:val="23"/>
                <w:szCs w:val="23"/>
              </w:rPr>
            </w:pPr>
            <w:r w:rsidRPr="00D77539">
              <w:rPr>
                <w:color w:val="000000"/>
                <w:sz w:val="23"/>
                <w:szCs w:val="23"/>
              </w:rPr>
              <w:t>2.25</w:t>
            </w:r>
          </w:p>
        </w:tc>
        <w:tc>
          <w:tcPr>
            <w:tcW w:w="1080" w:type="dxa"/>
            <w:tcBorders>
              <w:left w:val="single" w:color="auto" w:sz="4" w:space="0"/>
            </w:tcBorders>
          </w:tcPr>
          <w:p w:rsidRPr="00D77539" w:rsidR="00D02ABE" w:rsidP="00D02ABE" w:rsidRDefault="00350BA9" w14:paraId="7BE08084" w14:textId="14E5B7BE">
            <w:pPr>
              <w:spacing w:before="60" w:after="60"/>
              <w:jc w:val="center"/>
              <w:rPr>
                <w:color w:val="000000"/>
                <w:sz w:val="23"/>
                <w:szCs w:val="23"/>
              </w:rPr>
            </w:pPr>
            <w:r w:rsidRPr="00D77539">
              <w:rPr>
                <w:color w:val="000000"/>
                <w:sz w:val="23"/>
                <w:szCs w:val="23"/>
              </w:rPr>
              <w:t>$122.50</w:t>
            </w:r>
            <w:r w:rsidRPr="00D77539" w:rsidR="00EB2642">
              <w:rPr>
                <w:color w:val="000000"/>
                <w:sz w:val="23"/>
                <w:szCs w:val="23"/>
              </w:rPr>
              <w:t xml:space="preserve"> [4]</w:t>
            </w:r>
          </w:p>
          <w:p w:rsidRPr="00D77539" w:rsidR="00930407" w:rsidP="00290380" w:rsidRDefault="00930407" w14:paraId="684ABCDF" w14:textId="5FE202DC">
            <w:pPr>
              <w:spacing w:before="60" w:after="60"/>
              <w:jc w:val="center"/>
              <w:rPr>
                <w:color w:val="000000"/>
                <w:sz w:val="23"/>
                <w:szCs w:val="23"/>
              </w:rPr>
            </w:pPr>
          </w:p>
        </w:tc>
        <w:tc>
          <w:tcPr>
            <w:tcW w:w="1535" w:type="dxa"/>
          </w:tcPr>
          <w:p w:rsidRPr="00D77539" w:rsidR="00D02ABE" w:rsidP="00D02ABE" w:rsidRDefault="009B7196" w14:paraId="7EAA4E32" w14:textId="4B0735C9">
            <w:pPr>
              <w:spacing w:before="60" w:after="60"/>
              <w:jc w:val="right"/>
              <w:rPr>
                <w:color w:val="000000"/>
                <w:sz w:val="23"/>
                <w:szCs w:val="23"/>
              </w:rPr>
            </w:pPr>
            <w:r w:rsidRPr="00D77539">
              <w:rPr>
                <w:color w:val="000000"/>
                <w:sz w:val="23"/>
                <w:szCs w:val="23"/>
              </w:rPr>
              <w:t>$275.63</w:t>
            </w:r>
          </w:p>
          <w:p w:rsidRPr="00D77539" w:rsidR="00DD3AF4" w:rsidP="007A4B59" w:rsidRDefault="00DD3AF4" w14:paraId="163CB126" w14:textId="46C479F8">
            <w:pPr>
              <w:spacing w:before="60" w:after="60"/>
              <w:jc w:val="right"/>
              <w:rPr>
                <w:color w:val="000000"/>
                <w:sz w:val="23"/>
                <w:szCs w:val="23"/>
              </w:rPr>
            </w:pPr>
          </w:p>
        </w:tc>
      </w:tr>
      <w:tr w:rsidRPr="007F620E" w:rsidR="008E05EE" w:rsidTr="00CA07E3" w14:paraId="1CC8E9D0" w14:textId="77777777">
        <w:trPr>
          <w:cantSplit/>
          <w:jc w:val="center"/>
        </w:trPr>
        <w:tc>
          <w:tcPr>
            <w:tcW w:w="1489" w:type="dxa"/>
          </w:tcPr>
          <w:p w:rsidRPr="00D77539" w:rsidR="008E05EE" w:rsidP="008E05EE" w:rsidRDefault="008E05EE" w14:paraId="2CE89BAC" w14:textId="013C2AC7">
            <w:pPr>
              <w:spacing w:before="60" w:after="60"/>
              <w:rPr>
                <w:color w:val="000000"/>
                <w:sz w:val="23"/>
                <w:szCs w:val="23"/>
              </w:rPr>
            </w:pPr>
            <w:r w:rsidRPr="00D77539">
              <w:rPr>
                <w:color w:val="000000"/>
                <w:sz w:val="23"/>
                <w:szCs w:val="23"/>
              </w:rPr>
              <w:t>Elizabeth Kelly</w:t>
            </w:r>
          </w:p>
        </w:tc>
        <w:tc>
          <w:tcPr>
            <w:tcW w:w="821" w:type="dxa"/>
          </w:tcPr>
          <w:p w:rsidRPr="00D77539" w:rsidR="008E05EE" w:rsidP="008E05EE" w:rsidRDefault="008E05EE" w14:paraId="72A8E5BB" w14:textId="7C41D793">
            <w:pPr>
              <w:spacing w:before="60" w:after="60"/>
              <w:jc w:val="center"/>
              <w:rPr>
                <w:color w:val="000000"/>
                <w:sz w:val="23"/>
                <w:szCs w:val="23"/>
              </w:rPr>
            </w:pPr>
            <w:r w:rsidRPr="00D77539">
              <w:rPr>
                <w:color w:val="000000"/>
                <w:sz w:val="23"/>
                <w:szCs w:val="23"/>
              </w:rPr>
              <w:t>2022</w:t>
            </w:r>
          </w:p>
        </w:tc>
        <w:tc>
          <w:tcPr>
            <w:tcW w:w="884" w:type="dxa"/>
            <w:gridSpan w:val="2"/>
          </w:tcPr>
          <w:p w:rsidRPr="00D77539" w:rsidR="008E05EE" w:rsidP="008E05EE" w:rsidRDefault="008E05EE" w14:paraId="54822561" w14:textId="04F826F5">
            <w:pPr>
              <w:spacing w:before="60" w:after="60"/>
              <w:jc w:val="center"/>
              <w:rPr>
                <w:color w:val="000000"/>
                <w:sz w:val="23"/>
                <w:szCs w:val="23"/>
              </w:rPr>
            </w:pPr>
            <w:r w:rsidRPr="00D77539">
              <w:rPr>
                <w:color w:val="000000"/>
                <w:sz w:val="23"/>
                <w:szCs w:val="23"/>
              </w:rPr>
              <w:t>0.2</w:t>
            </w:r>
          </w:p>
        </w:tc>
        <w:tc>
          <w:tcPr>
            <w:tcW w:w="930" w:type="dxa"/>
          </w:tcPr>
          <w:p w:rsidRPr="00D77539" w:rsidR="008E05EE" w:rsidP="008E05EE" w:rsidRDefault="00CB4BA6" w14:paraId="1FE0CA30" w14:textId="6C057E6B">
            <w:pPr>
              <w:spacing w:before="60" w:after="60"/>
              <w:rPr>
                <w:color w:val="000000"/>
                <w:sz w:val="23"/>
                <w:szCs w:val="23"/>
              </w:rPr>
            </w:pPr>
            <w:r w:rsidRPr="00D77539">
              <w:rPr>
                <w:color w:val="000000"/>
                <w:sz w:val="23"/>
                <w:szCs w:val="23"/>
              </w:rPr>
              <w:t>$</w:t>
            </w:r>
            <w:r w:rsidRPr="00D77539" w:rsidR="008E05EE">
              <w:rPr>
                <w:color w:val="000000"/>
                <w:sz w:val="23"/>
                <w:szCs w:val="23"/>
              </w:rPr>
              <w:t>312.5</w:t>
            </w:r>
          </w:p>
        </w:tc>
        <w:tc>
          <w:tcPr>
            <w:tcW w:w="1721" w:type="dxa"/>
            <w:gridSpan w:val="2"/>
            <w:tcBorders>
              <w:right w:val="single" w:color="auto" w:sz="4" w:space="0"/>
            </w:tcBorders>
          </w:tcPr>
          <w:p w:rsidRPr="00D77539" w:rsidR="008E05EE" w:rsidP="008E05EE" w:rsidRDefault="008E05EE" w14:paraId="0DB96603" w14:textId="28903208">
            <w:pPr>
              <w:spacing w:before="60" w:after="60"/>
              <w:rPr>
                <w:color w:val="000000"/>
                <w:sz w:val="23"/>
                <w:szCs w:val="23"/>
              </w:rPr>
            </w:pPr>
            <w:r w:rsidRPr="00D77539">
              <w:rPr>
                <w:color w:val="000000"/>
                <w:sz w:val="23"/>
                <w:szCs w:val="23"/>
              </w:rPr>
              <w:t xml:space="preserve">Intervenor Compensation Hourly Rate Chart Effective 1/1/2021 for Attorney </w:t>
            </w:r>
            <w:r w:rsidRPr="00D77539" w:rsidR="00B846E2">
              <w:rPr>
                <w:color w:val="000000"/>
                <w:sz w:val="23"/>
                <w:szCs w:val="23"/>
              </w:rPr>
              <w:t>V</w:t>
            </w:r>
            <w:r w:rsidRPr="00D77539">
              <w:rPr>
                <w:color w:val="000000"/>
                <w:sz w:val="23"/>
                <w:szCs w:val="23"/>
              </w:rPr>
              <w:t xml:space="preserve"> (divided by two)</w:t>
            </w:r>
          </w:p>
        </w:tc>
        <w:tc>
          <w:tcPr>
            <w:tcW w:w="1440" w:type="dxa"/>
            <w:gridSpan w:val="2"/>
            <w:tcBorders>
              <w:top w:val="single" w:color="auto" w:sz="4" w:space="0"/>
              <w:left w:val="single" w:color="auto" w:sz="4" w:space="0"/>
              <w:bottom w:val="single" w:color="auto" w:sz="4" w:space="0"/>
              <w:right w:val="single" w:color="auto" w:sz="24" w:space="0"/>
            </w:tcBorders>
          </w:tcPr>
          <w:p w:rsidRPr="00D77539" w:rsidR="008E05EE" w:rsidP="008E05EE" w:rsidRDefault="008E05EE" w14:paraId="1C8B3B03" w14:textId="17BC4972">
            <w:pPr>
              <w:spacing w:before="60" w:after="60"/>
              <w:jc w:val="right"/>
              <w:rPr>
                <w:color w:val="000000"/>
                <w:sz w:val="23"/>
                <w:szCs w:val="23"/>
              </w:rPr>
            </w:pPr>
            <w:r w:rsidRPr="00D77539">
              <w:rPr>
                <w:color w:val="000000"/>
                <w:sz w:val="23"/>
                <w:szCs w:val="23"/>
              </w:rPr>
              <w:t>$62.50</w:t>
            </w:r>
          </w:p>
        </w:tc>
        <w:tc>
          <w:tcPr>
            <w:tcW w:w="1260" w:type="dxa"/>
            <w:tcBorders>
              <w:left w:val="single" w:color="auto" w:sz="4" w:space="0"/>
              <w:right w:val="single" w:color="auto" w:sz="4" w:space="0"/>
            </w:tcBorders>
          </w:tcPr>
          <w:p w:rsidRPr="00D77539" w:rsidR="008E05EE" w:rsidP="00EA125E" w:rsidRDefault="00EA125E" w14:paraId="2463A53A" w14:textId="604DF848">
            <w:pPr>
              <w:spacing w:before="60" w:after="60"/>
              <w:jc w:val="center"/>
              <w:rPr>
                <w:color w:val="000000"/>
                <w:sz w:val="23"/>
                <w:szCs w:val="23"/>
              </w:rPr>
            </w:pPr>
            <w:r w:rsidRPr="00D77539">
              <w:rPr>
                <w:color w:val="000000"/>
                <w:sz w:val="23"/>
                <w:szCs w:val="23"/>
              </w:rPr>
              <w:t>0.20</w:t>
            </w:r>
          </w:p>
        </w:tc>
        <w:tc>
          <w:tcPr>
            <w:tcW w:w="1080" w:type="dxa"/>
            <w:tcBorders>
              <w:left w:val="single" w:color="auto" w:sz="4" w:space="0"/>
            </w:tcBorders>
          </w:tcPr>
          <w:p w:rsidRPr="00D77539" w:rsidR="008E05EE" w:rsidP="00290380" w:rsidRDefault="008C4229" w14:paraId="1DC67252" w14:textId="197962EB">
            <w:pPr>
              <w:spacing w:before="60" w:after="60"/>
              <w:jc w:val="center"/>
              <w:rPr>
                <w:color w:val="000000"/>
                <w:sz w:val="23"/>
                <w:szCs w:val="23"/>
              </w:rPr>
            </w:pPr>
            <w:r w:rsidRPr="00D77539">
              <w:rPr>
                <w:color w:val="000000"/>
                <w:sz w:val="23"/>
                <w:szCs w:val="23"/>
              </w:rPr>
              <w:t>$285.00 [</w:t>
            </w:r>
            <w:r w:rsidRPr="00D77539" w:rsidR="00EB2642">
              <w:rPr>
                <w:color w:val="000000"/>
                <w:sz w:val="23"/>
                <w:szCs w:val="23"/>
              </w:rPr>
              <w:t>1</w:t>
            </w:r>
            <w:r w:rsidRPr="00D77539">
              <w:rPr>
                <w:color w:val="000000"/>
                <w:sz w:val="23"/>
                <w:szCs w:val="23"/>
              </w:rPr>
              <w:t>]</w:t>
            </w:r>
            <w:r w:rsidRPr="00D77539" w:rsidR="00D32A88">
              <w:rPr>
                <w:color w:val="000000"/>
                <w:sz w:val="23"/>
                <w:szCs w:val="23"/>
              </w:rPr>
              <w:t xml:space="preserve"> [8]</w:t>
            </w:r>
          </w:p>
        </w:tc>
        <w:tc>
          <w:tcPr>
            <w:tcW w:w="1535" w:type="dxa"/>
          </w:tcPr>
          <w:p w:rsidRPr="00D77539" w:rsidR="008E05EE" w:rsidP="007A4B59" w:rsidRDefault="008C4229" w14:paraId="611C7BDE" w14:textId="3FA88BFA">
            <w:pPr>
              <w:spacing w:before="60" w:after="60"/>
              <w:jc w:val="right"/>
              <w:rPr>
                <w:color w:val="000000"/>
                <w:sz w:val="23"/>
                <w:szCs w:val="23"/>
              </w:rPr>
            </w:pPr>
            <w:r w:rsidRPr="00D77539">
              <w:rPr>
                <w:color w:val="000000"/>
                <w:sz w:val="23"/>
                <w:szCs w:val="23"/>
              </w:rPr>
              <w:t>$57.00</w:t>
            </w:r>
          </w:p>
        </w:tc>
      </w:tr>
      <w:tr w:rsidRPr="007F620E" w:rsidR="000B5BE8" w:rsidTr="00CA07E3" w14:paraId="66C07FB7" w14:textId="77777777">
        <w:trPr>
          <w:cantSplit/>
          <w:jc w:val="center"/>
        </w:trPr>
        <w:tc>
          <w:tcPr>
            <w:tcW w:w="1489" w:type="dxa"/>
          </w:tcPr>
          <w:p w:rsidRPr="00D77539" w:rsidR="000B5BE8" w:rsidP="000B5BE8" w:rsidRDefault="000B5BE8" w14:paraId="5145F8B7" w14:textId="435F079F">
            <w:pPr>
              <w:spacing w:before="60" w:after="60"/>
              <w:rPr>
                <w:color w:val="000000"/>
                <w:sz w:val="23"/>
                <w:szCs w:val="23"/>
              </w:rPr>
            </w:pPr>
            <w:r w:rsidRPr="00D77539">
              <w:rPr>
                <w:color w:val="000000"/>
                <w:sz w:val="23"/>
                <w:szCs w:val="23"/>
              </w:rPr>
              <w:t>Elizabeth Kelly</w:t>
            </w:r>
          </w:p>
        </w:tc>
        <w:tc>
          <w:tcPr>
            <w:tcW w:w="821" w:type="dxa"/>
          </w:tcPr>
          <w:p w:rsidRPr="00D77539" w:rsidR="000B5BE8" w:rsidP="000B5BE8" w:rsidRDefault="000B5BE8" w14:paraId="04636AFD" w14:textId="7947F15E">
            <w:pPr>
              <w:spacing w:before="60" w:after="60"/>
              <w:jc w:val="center"/>
              <w:rPr>
                <w:color w:val="000000"/>
                <w:sz w:val="23"/>
                <w:szCs w:val="23"/>
              </w:rPr>
            </w:pPr>
            <w:r w:rsidRPr="00D77539">
              <w:rPr>
                <w:color w:val="000000"/>
                <w:sz w:val="23"/>
                <w:szCs w:val="23"/>
              </w:rPr>
              <w:t>2023</w:t>
            </w:r>
          </w:p>
        </w:tc>
        <w:tc>
          <w:tcPr>
            <w:tcW w:w="884" w:type="dxa"/>
            <w:gridSpan w:val="2"/>
          </w:tcPr>
          <w:p w:rsidRPr="00D77539" w:rsidR="000B5BE8" w:rsidP="000B5BE8" w:rsidRDefault="000B5BE8" w14:paraId="750C0B9A" w14:textId="45F0DF60">
            <w:pPr>
              <w:spacing w:before="60" w:after="60"/>
              <w:jc w:val="center"/>
              <w:rPr>
                <w:color w:val="000000"/>
                <w:sz w:val="23"/>
                <w:szCs w:val="23"/>
              </w:rPr>
            </w:pPr>
            <w:r w:rsidRPr="00D77539">
              <w:rPr>
                <w:color w:val="000000"/>
                <w:sz w:val="23"/>
                <w:szCs w:val="23"/>
              </w:rPr>
              <w:t>0.</w:t>
            </w:r>
            <w:r w:rsidRPr="00D77539" w:rsidR="00C955D2">
              <w:rPr>
                <w:color w:val="000000"/>
                <w:sz w:val="23"/>
                <w:szCs w:val="23"/>
              </w:rPr>
              <w:t>4</w:t>
            </w:r>
          </w:p>
        </w:tc>
        <w:tc>
          <w:tcPr>
            <w:tcW w:w="930" w:type="dxa"/>
          </w:tcPr>
          <w:p w:rsidRPr="00D77539" w:rsidR="000B5BE8" w:rsidP="000B5BE8" w:rsidRDefault="000B5BE8" w14:paraId="6A260CC7" w14:textId="6085F71C">
            <w:pPr>
              <w:spacing w:before="60" w:after="60"/>
              <w:rPr>
                <w:color w:val="000000"/>
                <w:sz w:val="23"/>
                <w:szCs w:val="23"/>
              </w:rPr>
            </w:pPr>
            <w:r w:rsidRPr="00D77539">
              <w:rPr>
                <w:color w:val="000000"/>
                <w:sz w:val="23"/>
                <w:szCs w:val="23"/>
              </w:rPr>
              <w:t>$</w:t>
            </w:r>
            <w:r w:rsidRPr="00D77539" w:rsidR="00D401EE">
              <w:rPr>
                <w:color w:val="000000"/>
                <w:sz w:val="23"/>
                <w:szCs w:val="23"/>
              </w:rPr>
              <w:t>355</w:t>
            </w:r>
          </w:p>
        </w:tc>
        <w:tc>
          <w:tcPr>
            <w:tcW w:w="1721" w:type="dxa"/>
            <w:gridSpan w:val="2"/>
            <w:tcBorders>
              <w:right w:val="single" w:color="auto" w:sz="4" w:space="0"/>
            </w:tcBorders>
          </w:tcPr>
          <w:p w:rsidRPr="00D77539" w:rsidR="000B5BE8" w:rsidP="000B5BE8" w:rsidRDefault="00050A8F" w14:paraId="0564EF41" w14:textId="2241B936">
            <w:pPr>
              <w:spacing w:before="60" w:after="60"/>
              <w:rPr>
                <w:color w:val="000000"/>
                <w:sz w:val="23"/>
                <w:szCs w:val="23"/>
              </w:rPr>
            </w:pPr>
            <w:r w:rsidRPr="00D77539">
              <w:rPr>
                <w:color w:val="000000"/>
                <w:sz w:val="23"/>
                <w:szCs w:val="23"/>
              </w:rPr>
              <w:t>Intervenor Compensation</w:t>
            </w:r>
            <w:r w:rsidRPr="00D77539" w:rsidR="00CF53D1">
              <w:rPr>
                <w:color w:val="000000"/>
                <w:sz w:val="23"/>
                <w:szCs w:val="23"/>
              </w:rPr>
              <w:t xml:space="preserve"> rate </w:t>
            </w:r>
            <w:r w:rsidRPr="00D77539">
              <w:rPr>
                <w:color w:val="000000"/>
                <w:sz w:val="23"/>
                <w:szCs w:val="23"/>
              </w:rPr>
              <w:t>with 7.1% escalation and</w:t>
            </w:r>
            <w:r w:rsidRPr="00D77539" w:rsidR="00CF53D1">
              <w:rPr>
                <w:color w:val="000000"/>
                <w:sz w:val="23"/>
                <w:szCs w:val="23"/>
              </w:rPr>
              <w:t xml:space="preserve"> 5% step</w:t>
            </w:r>
            <w:r w:rsidRPr="00D77539" w:rsidR="00E3510C">
              <w:rPr>
                <w:color w:val="000000"/>
                <w:sz w:val="23"/>
                <w:szCs w:val="23"/>
              </w:rPr>
              <w:t xml:space="preserve"> ($710/hour)</w:t>
            </w:r>
            <w:r w:rsidRPr="00D77539" w:rsidR="00FA374D">
              <w:rPr>
                <w:color w:val="000000"/>
                <w:sz w:val="23"/>
                <w:szCs w:val="23"/>
              </w:rPr>
              <w:t xml:space="preserve"> divided by two.</w:t>
            </w:r>
          </w:p>
          <w:p w:rsidRPr="00D77539" w:rsidR="00FA374D" w:rsidP="000B5BE8" w:rsidRDefault="00FA374D" w14:paraId="50C5159E" w14:textId="6F04FF0B">
            <w:pPr>
              <w:spacing w:before="60" w:after="60"/>
              <w:rPr>
                <w:color w:val="000000"/>
                <w:sz w:val="23"/>
                <w:szCs w:val="23"/>
              </w:rPr>
            </w:pPr>
            <w:r w:rsidRPr="00D77539">
              <w:rPr>
                <w:color w:val="000000"/>
                <w:sz w:val="23"/>
                <w:szCs w:val="23"/>
              </w:rPr>
              <w:t xml:space="preserve">Note: Updated </w:t>
            </w:r>
            <w:proofErr w:type="spellStart"/>
            <w:r w:rsidRPr="00D77539">
              <w:rPr>
                <w:color w:val="000000"/>
                <w:sz w:val="23"/>
                <w:szCs w:val="23"/>
              </w:rPr>
              <w:t>IComp</w:t>
            </w:r>
            <w:proofErr w:type="spellEnd"/>
            <w:r w:rsidRPr="00D77539">
              <w:rPr>
                <w:color w:val="000000"/>
                <w:sz w:val="23"/>
                <w:szCs w:val="23"/>
              </w:rPr>
              <w:t xml:space="preserve"> spreadsheet for 2023 not available at time of filing.</w:t>
            </w:r>
          </w:p>
        </w:tc>
        <w:tc>
          <w:tcPr>
            <w:tcW w:w="1440" w:type="dxa"/>
            <w:gridSpan w:val="2"/>
            <w:tcBorders>
              <w:top w:val="single" w:color="auto" w:sz="4" w:space="0"/>
              <w:left w:val="single" w:color="auto" w:sz="4" w:space="0"/>
              <w:bottom w:val="single" w:color="auto" w:sz="4" w:space="0"/>
              <w:right w:val="single" w:color="auto" w:sz="24" w:space="0"/>
            </w:tcBorders>
          </w:tcPr>
          <w:p w:rsidRPr="00D77539" w:rsidR="000B5BE8" w:rsidP="000B5BE8" w:rsidRDefault="000B5BE8" w14:paraId="33DB3ABF" w14:textId="1406ED84">
            <w:pPr>
              <w:spacing w:before="60" w:after="60"/>
              <w:jc w:val="right"/>
              <w:rPr>
                <w:color w:val="000000"/>
                <w:sz w:val="23"/>
                <w:szCs w:val="23"/>
              </w:rPr>
            </w:pPr>
            <w:r w:rsidRPr="00D77539">
              <w:rPr>
                <w:color w:val="000000"/>
                <w:sz w:val="23"/>
                <w:szCs w:val="23"/>
              </w:rPr>
              <w:t>$</w:t>
            </w:r>
            <w:r w:rsidRPr="00D77539" w:rsidR="00D401EE">
              <w:rPr>
                <w:color w:val="000000"/>
                <w:sz w:val="23"/>
                <w:szCs w:val="23"/>
              </w:rPr>
              <w:t>142</w:t>
            </w:r>
          </w:p>
        </w:tc>
        <w:tc>
          <w:tcPr>
            <w:tcW w:w="1260" w:type="dxa"/>
            <w:tcBorders>
              <w:left w:val="single" w:color="auto" w:sz="4" w:space="0"/>
              <w:right w:val="single" w:color="auto" w:sz="4" w:space="0"/>
            </w:tcBorders>
          </w:tcPr>
          <w:p w:rsidRPr="00D77539" w:rsidR="000B5BE8" w:rsidP="00EA125E" w:rsidRDefault="00EA125E" w14:paraId="7C697DE3" w14:textId="1F7FA209">
            <w:pPr>
              <w:spacing w:before="60" w:after="60"/>
              <w:jc w:val="center"/>
              <w:rPr>
                <w:color w:val="000000"/>
                <w:sz w:val="23"/>
                <w:szCs w:val="23"/>
              </w:rPr>
            </w:pPr>
            <w:r w:rsidRPr="00D77539">
              <w:rPr>
                <w:color w:val="000000"/>
                <w:sz w:val="23"/>
                <w:szCs w:val="23"/>
              </w:rPr>
              <w:t>0.40</w:t>
            </w:r>
          </w:p>
        </w:tc>
        <w:tc>
          <w:tcPr>
            <w:tcW w:w="1080" w:type="dxa"/>
            <w:tcBorders>
              <w:left w:val="single" w:color="auto" w:sz="4" w:space="0"/>
            </w:tcBorders>
          </w:tcPr>
          <w:p w:rsidRPr="00D77539" w:rsidR="000B5BE8" w:rsidP="00290380" w:rsidRDefault="008C4229" w14:paraId="760F58C2" w14:textId="59A29C6F">
            <w:pPr>
              <w:spacing w:before="60" w:after="60"/>
              <w:jc w:val="center"/>
              <w:rPr>
                <w:color w:val="000000"/>
                <w:sz w:val="23"/>
                <w:szCs w:val="23"/>
              </w:rPr>
            </w:pPr>
            <w:r w:rsidRPr="00D77539">
              <w:rPr>
                <w:color w:val="000000"/>
                <w:sz w:val="23"/>
                <w:szCs w:val="23"/>
              </w:rPr>
              <w:t>$312.50 [</w:t>
            </w:r>
            <w:r w:rsidRPr="00D77539" w:rsidR="00EB2642">
              <w:rPr>
                <w:color w:val="000000"/>
                <w:sz w:val="23"/>
                <w:szCs w:val="23"/>
              </w:rPr>
              <w:t>1</w:t>
            </w:r>
            <w:r w:rsidRPr="00D77539">
              <w:rPr>
                <w:color w:val="000000"/>
                <w:sz w:val="23"/>
                <w:szCs w:val="23"/>
              </w:rPr>
              <w:t>]</w:t>
            </w:r>
            <w:r w:rsidRPr="00D77539" w:rsidR="00D32A88">
              <w:rPr>
                <w:color w:val="000000"/>
                <w:sz w:val="23"/>
                <w:szCs w:val="23"/>
              </w:rPr>
              <w:t xml:space="preserve"> [8]</w:t>
            </w:r>
          </w:p>
        </w:tc>
        <w:tc>
          <w:tcPr>
            <w:tcW w:w="1535" w:type="dxa"/>
          </w:tcPr>
          <w:p w:rsidRPr="00D77539" w:rsidR="000B5BE8" w:rsidP="007A4B59" w:rsidRDefault="0071294F" w14:paraId="45CD0EE0" w14:textId="5AC192C0">
            <w:pPr>
              <w:spacing w:before="60" w:after="60"/>
              <w:jc w:val="right"/>
              <w:rPr>
                <w:color w:val="000000"/>
                <w:sz w:val="23"/>
                <w:szCs w:val="23"/>
              </w:rPr>
            </w:pPr>
            <w:r w:rsidRPr="00D77539">
              <w:rPr>
                <w:color w:val="000000"/>
                <w:sz w:val="23"/>
                <w:szCs w:val="23"/>
              </w:rPr>
              <w:t>$125.00</w:t>
            </w:r>
          </w:p>
        </w:tc>
      </w:tr>
      <w:tr w:rsidRPr="007F620E" w:rsidR="000B5BE8" w:rsidTr="00CA07E3" w14:paraId="266CEDD5" w14:textId="77777777">
        <w:trPr>
          <w:cantSplit/>
          <w:jc w:val="center"/>
        </w:trPr>
        <w:tc>
          <w:tcPr>
            <w:tcW w:w="7285" w:type="dxa"/>
            <w:gridSpan w:val="9"/>
            <w:tcBorders>
              <w:bottom w:val="single" w:color="auto" w:sz="4" w:space="0"/>
              <w:right w:val="single" w:color="auto" w:sz="24" w:space="0"/>
            </w:tcBorders>
            <w:vAlign w:val="bottom"/>
          </w:tcPr>
          <w:p w:rsidRPr="00D77539" w:rsidR="000B5BE8" w:rsidP="000B5BE8" w:rsidRDefault="000B5BE8" w14:paraId="4A1F5988" w14:textId="4CC793EF">
            <w:pPr>
              <w:tabs>
                <w:tab w:val="left" w:pos="957"/>
              </w:tabs>
              <w:spacing w:before="60" w:after="60"/>
              <w:ind w:right="162"/>
              <w:jc w:val="right"/>
              <w:rPr>
                <w:b/>
                <w:i/>
                <w:color w:val="000000"/>
                <w:sz w:val="23"/>
                <w:szCs w:val="23"/>
              </w:rPr>
            </w:pPr>
            <w:r w:rsidRPr="00D77539">
              <w:rPr>
                <w:b/>
                <w:i/>
                <w:color w:val="000000"/>
                <w:sz w:val="23"/>
                <w:szCs w:val="23"/>
              </w:rPr>
              <w:t>Subtotal: $</w:t>
            </w:r>
            <w:r w:rsidRPr="00D77539" w:rsidR="00F260DC">
              <w:rPr>
                <w:b/>
                <w:i/>
                <w:color w:val="000000"/>
                <w:sz w:val="23"/>
                <w:szCs w:val="23"/>
              </w:rPr>
              <w:t>882.50</w:t>
            </w:r>
          </w:p>
        </w:tc>
        <w:tc>
          <w:tcPr>
            <w:tcW w:w="3875" w:type="dxa"/>
            <w:gridSpan w:val="3"/>
            <w:tcBorders>
              <w:left w:val="single" w:color="auto" w:sz="24" w:space="0"/>
              <w:bottom w:val="single" w:color="auto" w:sz="4" w:space="0"/>
            </w:tcBorders>
            <w:vAlign w:val="bottom"/>
          </w:tcPr>
          <w:p w:rsidRPr="00D77539" w:rsidR="000B5BE8" w:rsidP="000B5BE8" w:rsidRDefault="000B5BE8" w14:paraId="2FBAA587" w14:textId="355576FC">
            <w:pPr>
              <w:tabs>
                <w:tab w:val="left" w:pos="957"/>
              </w:tabs>
              <w:spacing w:before="60" w:after="60"/>
              <w:ind w:right="162"/>
              <w:jc w:val="right"/>
              <w:rPr>
                <w:b/>
                <w:i/>
                <w:color w:val="000000"/>
                <w:sz w:val="23"/>
                <w:szCs w:val="23"/>
              </w:rPr>
            </w:pPr>
            <w:r w:rsidRPr="00D77539">
              <w:rPr>
                <w:b/>
                <w:i/>
                <w:color w:val="000000"/>
                <w:sz w:val="23"/>
                <w:szCs w:val="23"/>
              </w:rPr>
              <w:t>Subtotal: $</w:t>
            </w:r>
            <w:r w:rsidRPr="00D77539" w:rsidR="00617438">
              <w:rPr>
                <w:b/>
                <w:i/>
                <w:color w:val="000000"/>
                <w:sz w:val="23"/>
                <w:szCs w:val="23"/>
              </w:rPr>
              <w:t>654.51</w:t>
            </w:r>
          </w:p>
        </w:tc>
      </w:tr>
      <w:tr w:rsidRPr="007F620E" w:rsidR="000B5BE8" w:rsidTr="00CA07E3" w14:paraId="06E7371A" w14:textId="77777777">
        <w:trPr>
          <w:cantSplit/>
          <w:jc w:val="center"/>
        </w:trPr>
        <w:tc>
          <w:tcPr>
            <w:tcW w:w="7285" w:type="dxa"/>
            <w:gridSpan w:val="9"/>
            <w:tcBorders>
              <w:top w:val="single" w:color="auto" w:sz="4" w:space="0"/>
              <w:bottom w:val="single" w:color="auto" w:sz="4" w:space="0"/>
              <w:right w:val="single" w:color="auto" w:sz="24" w:space="0"/>
            </w:tcBorders>
            <w:shd w:val="clear" w:color="auto" w:fill="E6E6E6"/>
            <w:vAlign w:val="bottom"/>
          </w:tcPr>
          <w:p w:rsidRPr="00D77539" w:rsidR="000B5BE8" w:rsidP="000B5BE8" w:rsidRDefault="000B5BE8" w14:paraId="11B3B704" w14:textId="6C20C1F5">
            <w:pPr>
              <w:tabs>
                <w:tab w:val="left" w:pos="957"/>
              </w:tabs>
              <w:spacing w:before="60" w:after="60"/>
              <w:ind w:right="72"/>
              <w:jc w:val="right"/>
              <w:rPr>
                <w:b/>
                <w:color w:val="000000"/>
                <w:sz w:val="23"/>
                <w:szCs w:val="23"/>
              </w:rPr>
            </w:pPr>
            <w:r w:rsidRPr="00D77539">
              <w:rPr>
                <w:b/>
                <w:i/>
                <w:color w:val="000000"/>
                <w:sz w:val="23"/>
                <w:szCs w:val="23"/>
              </w:rPr>
              <w:t>TOTAL REQUEST: $</w:t>
            </w:r>
            <w:r w:rsidRPr="00D77539" w:rsidR="000E30E4">
              <w:rPr>
                <w:b/>
                <w:i/>
                <w:color w:val="000000"/>
                <w:sz w:val="23"/>
                <w:szCs w:val="23"/>
              </w:rPr>
              <w:t>161,483.00</w:t>
            </w:r>
          </w:p>
        </w:tc>
        <w:tc>
          <w:tcPr>
            <w:tcW w:w="3875" w:type="dxa"/>
            <w:gridSpan w:val="3"/>
            <w:tcBorders>
              <w:left w:val="single" w:color="auto" w:sz="24" w:space="0"/>
            </w:tcBorders>
            <w:shd w:val="clear" w:color="auto" w:fill="E6E6E6"/>
            <w:vAlign w:val="bottom"/>
          </w:tcPr>
          <w:p w:rsidRPr="00D77539" w:rsidR="000B5BE8" w:rsidP="000B5BE8" w:rsidRDefault="000B5BE8" w14:paraId="3680D139" w14:textId="32CD2ADF">
            <w:pPr>
              <w:tabs>
                <w:tab w:val="left" w:pos="957"/>
              </w:tabs>
              <w:spacing w:before="60" w:after="60"/>
              <w:ind w:right="72"/>
              <w:jc w:val="right"/>
              <w:rPr>
                <w:b/>
                <w:color w:val="000000"/>
                <w:sz w:val="23"/>
                <w:szCs w:val="23"/>
              </w:rPr>
            </w:pPr>
            <w:r w:rsidRPr="00D77539">
              <w:rPr>
                <w:b/>
                <w:i/>
                <w:color w:val="000000"/>
                <w:sz w:val="23"/>
                <w:szCs w:val="23"/>
              </w:rPr>
              <w:t>TOTAL AWARD: $</w:t>
            </w:r>
            <w:r w:rsidRPr="00D77539" w:rsidR="00B17D4F">
              <w:rPr>
                <w:b/>
                <w:i/>
                <w:color w:val="000000"/>
                <w:sz w:val="23"/>
                <w:szCs w:val="23"/>
              </w:rPr>
              <w:t>70,096.64</w:t>
            </w:r>
          </w:p>
        </w:tc>
      </w:tr>
      <w:tr w:rsidRPr="007F620E" w:rsidR="000B5BE8" w:rsidTr="00CA07E3" w14:paraId="6A909BC1" w14:textId="77777777">
        <w:trPr>
          <w:cantSplit/>
          <w:jc w:val="center"/>
        </w:trPr>
        <w:tc>
          <w:tcPr>
            <w:tcW w:w="11160" w:type="dxa"/>
            <w:gridSpan w:val="12"/>
            <w:tcBorders>
              <w:top w:val="single" w:color="auto" w:sz="4" w:space="0"/>
              <w:bottom w:val="single" w:color="auto" w:sz="4" w:space="0"/>
            </w:tcBorders>
          </w:tcPr>
          <w:p w:rsidRPr="007F620E" w:rsidR="000B5BE8" w:rsidP="000B5BE8" w:rsidRDefault="000B5BE8" w14:paraId="6F39872E" w14:textId="77777777">
            <w:pPr>
              <w:spacing w:before="60" w:after="60"/>
              <w:rPr>
                <w:color w:val="000000"/>
              </w:rPr>
            </w:pPr>
            <w:r w:rsidRPr="007F620E">
              <w:rPr>
                <w:color w:val="000000"/>
              </w:rPr>
              <w:lastRenderedPageBreak/>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0B5BE8" w:rsidP="000B5BE8" w:rsidRDefault="000B5BE8"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0B5BE8" w:rsidTr="00CA07E3" w14:paraId="458B01A4" w14:textId="77777777">
        <w:trPr>
          <w:cantSplit/>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0B5BE8" w:rsidP="000B5BE8" w:rsidRDefault="000B5BE8" w14:paraId="48B43CBD" w14:textId="77777777">
            <w:pPr>
              <w:keepNext/>
              <w:spacing w:before="60" w:after="60"/>
              <w:jc w:val="center"/>
              <w:rPr>
                <w:b/>
                <w:smallCaps/>
                <w:color w:val="000000"/>
              </w:rPr>
            </w:pPr>
            <w:r w:rsidRPr="007F620E">
              <w:rPr>
                <w:b/>
                <w:smallCaps/>
                <w:color w:val="000000"/>
              </w:rPr>
              <w:t>ATTORNEY INFORMATION</w:t>
            </w:r>
          </w:p>
        </w:tc>
      </w:tr>
      <w:tr w:rsidRPr="00C16981" w:rsidR="000B5BE8" w:rsidTr="00CA07E3" w14:paraId="790C92C0" w14:textId="77777777">
        <w:trPr>
          <w:cantSplit/>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0B5BE8" w:rsidP="000B5BE8" w:rsidRDefault="000B5BE8"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0B5BE8" w:rsidP="000B5BE8" w:rsidRDefault="000B5BE8"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4"/>
            </w:r>
          </w:p>
        </w:tc>
        <w:tc>
          <w:tcPr>
            <w:tcW w:w="2291" w:type="dxa"/>
            <w:gridSpan w:val="2"/>
            <w:tcBorders>
              <w:top w:val="single" w:color="auto" w:sz="4" w:space="0"/>
              <w:bottom w:val="single" w:color="auto" w:sz="4" w:space="0"/>
            </w:tcBorders>
            <w:shd w:val="clear" w:color="auto" w:fill="FFFFFF"/>
            <w:vAlign w:val="bottom"/>
          </w:tcPr>
          <w:p w:rsidRPr="00C16981" w:rsidR="000B5BE8" w:rsidP="000B5BE8" w:rsidRDefault="000B5BE8"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0B5BE8" w:rsidP="000B5BE8" w:rsidRDefault="000B5BE8" w14:paraId="496B5DC1" w14:textId="77777777">
            <w:pPr>
              <w:keepNext/>
              <w:keepLines/>
              <w:spacing w:before="60" w:after="60"/>
              <w:jc w:val="center"/>
              <w:rPr>
                <w:b/>
                <w:sz w:val="22"/>
                <w:szCs w:val="22"/>
              </w:rPr>
            </w:pPr>
            <w:r w:rsidRPr="00C16981">
              <w:rPr>
                <w:b/>
                <w:sz w:val="22"/>
                <w:szCs w:val="22"/>
              </w:rPr>
              <w:t>Actions Affecting Eligibility (Yes/No?)</w:t>
            </w:r>
          </w:p>
          <w:p w:rsidRPr="00C16981" w:rsidR="000B5BE8" w:rsidP="000B5BE8" w:rsidRDefault="000B5BE8"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0B5BE8" w:rsidTr="00CA07E3" w14:paraId="4DC5EE9B" w14:textId="77777777">
        <w:trPr>
          <w:cantSplit/>
          <w:trHeight w:val="172"/>
          <w:jc w:val="center"/>
        </w:trPr>
        <w:tc>
          <w:tcPr>
            <w:tcW w:w="2692" w:type="dxa"/>
            <w:gridSpan w:val="3"/>
            <w:tcBorders>
              <w:top w:val="single" w:color="auto" w:sz="4" w:space="0"/>
              <w:bottom w:val="single" w:color="auto" w:sz="4" w:space="0"/>
            </w:tcBorders>
          </w:tcPr>
          <w:p w:rsidRPr="007F620E" w:rsidR="000B5BE8" w:rsidP="000B5BE8" w:rsidRDefault="000B5BE8" w14:paraId="7266B7BF" w14:textId="034CA116">
            <w:pPr>
              <w:keepLines/>
              <w:spacing w:before="60" w:after="60"/>
              <w:jc w:val="center"/>
              <w:rPr>
                <w:color w:val="000000"/>
              </w:rPr>
            </w:pPr>
            <w:r>
              <w:rPr>
                <w:color w:val="000000"/>
              </w:rPr>
              <w:t>Elizabeth Kelly</w:t>
            </w:r>
          </w:p>
        </w:tc>
        <w:tc>
          <w:tcPr>
            <w:tcW w:w="1909" w:type="dxa"/>
            <w:gridSpan w:val="3"/>
            <w:tcBorders>
              <w:top w:val="single" w:color="auto" w:sz="4" w:space="0"/>
              <w:bottom w:val="single" w:color="auto" w:sz="4" w:space="0"/>
            </w:tcBorders>
          </w:tcPr>
          <w:p w:rsidRPr="004B7F66" w:rsidR="000B5BE8" w:rsidP="000B5BE8" w:rsidRDefault="000B5BE8" w14:paraId="6E872E3B" w14:textId="6A99E8DD">
            <w:pPr>
              <w:keepLines/>
              <w:spacing w:before="60" w:after="60"/>
              <w:jc w:val="center"/>
              <w:rPr>
                <w:color w:val="000000"/>
              </w:rPr>
            </w:pPr>
            <w:r w:rsidRPr="004B7F66">
              <w:rPr>
                <w:color w:val="000000"/>
              </w:rPr>
              <w:t>12/28/2009</w:t>
            </w:r>
            <w:r>
              <w:rPr>
                <w:color w:val="000000"/>
              </w:rPr>
              <w:t xml:space="preserve"> (CA)</w:t>
            </w:r>
          </w:p>
          <w:p w:rsidRPr="004B7F66" w:rsidR="000B5BE8" w:rsidP="000B5BE8" w:rsidRDefault="000B5BE8" w14:paraId="69A41F15" w14:textId="713D6E96">
            <w:pPr>
              <w:keepLines/>
              <w:spacing w:before="60" w:after="60"/>
              <w:jc w:val="center"/>
              <w:rPr>
                <w:color w:val="000000"/>
              </w:rPr>
            </w:pPr>
            <w:r w:rsidRPr="004B7F66">
              <w:rPr>
                <w:color w:val="000000"/>
              </w:rPr>
              <w:t>3/5/2007</w:t>
            </w:r>
            <w:r>
              <w:rPr>
                <w:color w:val="000000"/>
              </w:rPr>
              <w:t xml:space="preserve"> (NY)</w:t>
            </w:r>
          </w:p>
        </w:tc>
        <w:tc>
          <w:tcPr>
            <w:tcW w:w="2291" w:type="dxa"/>
            <w:gridSpan w:val="2"/>
            <w:tcBorders>
              <w:top w:val="single" w:color="auto" w:sz="4" w:space="0"/>
              <w:bottom w:val="single" w:color="auto" w:sz="4" w:space="0"/>
            </w:tcBorders>
          </w:tcPr>
          <w:p w:rsidRPr="004B7F66" w:rsidR="000B5BE8" w:rsidP="000B5BE8" w:rsidRDefault="000B5BE8" w14:paraId="61F92075" w14:textId="44DCE407">
            <w:pPr>
              <w:keepLines/>
              <w:spacing w:before="60" w:after="60"/>
              <w:jc w:val="center"/>
              <w:rPr>
                <w:color w:val="000000"/>
              </w:rPr>
            </w:pPr>
            <w:r>
              <w:rPr>
                <w:color w:val="000000"/>
              </w:rPr>
              <w:t>268401 (CA)</w:t>
            </w:r>
          </w:p>
          <w:p w:rsidRPr="004B7F66" w:rsidR="000B5BE8" w:rsidP="000B5BE8" w:rsidRDefault="000B5BE8" w14:paraId="58495CD7" w14:textId="2B711AD6">
            <w:pPr>
              <w:keepLines/>
              <w:spacing w:before="60" w:after="60"/>
              <w:jc w:val="center"/>
              <w:rPr>
                <w:color w:val="000000"/>
              </w:rPr>
            </w:pPr>
            <w:r w:rsidRPr="004B7F66">
              <w:rPr>
                <w:color w:val="000000"/>
              </w:rPr>
              <w:t>4488938 (NY)</w:t>
            </w:r>
          </w:p>
        </w:tc>
        <w:tc>
          <w:tcPr>
            <w:tcW w:w="4268" w:type="dxa"/>
            <w:gridSpan w:val="4"/>
            <w:tcBorders>
              <w:top w:val="single" w:color="auto" w:sz="4" w:space="0"/>
              <w:bottom w:val="single" w:color="auto" w:sz="4" w:space="0"/>
            </w:tcBorders>
          </w:tcPr>
          <w:p w:rsidRPr="007F620E" w:rsidR="000B5BE8" w:rsidP="000B5BE8" w:rsidRDefault="000B5BE8" w14:paraId="117B99BF" w14:textId="60F56424">
            <w:pPr>
              <w:keepLines/>
              <w:spacing w:before="60" w:after="60"/>
              <w:jc w:val="center"/>
              <w:rPr>
                <w:color w:val="000000"/>
              </w:rPr>
            </w:pPr>
            <w:r>
              <w:rPr>
                <w:color w:val="000000"/>
              </w:rPr>
              <w:t>No</w:t>
            </w:r>
          </w:p>
        </w:tc>
      </w:tr>
    </w:tbl>
    <w:p w:rsidRPr="00640AE4" w:rsidR="00A92D0B" w:rsidP="00640AE4" w:rsidRDefault="00A92D0B" w14:paraId="04BC309E" w14:textId="0CDE3188">
      <w:pPr>
        <w:keepNext/>
        <w:numPr>
          <w:ilvl w:val="0"/>
          <w:numId w:val="9"/>
        </w:numPr>
        <w:spacing w:before="240" w:after="240"/>
        <w:rPr>
          <w:b/>
          <w:color w:val="000000"/>
        </w:rPr>
      </w:pPr>
      <w:r w:rsidRPr="005B5B44">
        <w:rPr>
          <w:b/>
          <w:color w:val="000000"/>
        </w:rPr>
        <w:t>Attachments</w:t>
      </w:r>
      <w:r w:rsidRPr="007F620E">
        <w:rPr>
          <w:b/>
        </w:rPr>
        <w:t xml:space="preserve"> Documenting Specific Claim and Comments on Part III</w:t>
      </w:r>
      <w:r w:rsidR="00273171">
        <w:rPr>
          <w:rStyle w:val="FootnoteReference"/>
          <w:b/>
        </w:rPr>
        <w:footnoteReference w:id="5"/>
      </w:r>
      <w:r w:rsidR="00C02649">
        <w:rPr>
          <w:b/>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Attachment or Comment  #</w:t>
            </w:r>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AF1457" w14:paraId="71F47148" w14:textId="77777777">
        <w:tc>
          <w:tcPr>
            <w:tcW w:w="1795" w:type="dxa"/>
            <w:tcBorders>
              <w:bottom w:val="single" w:color="auto" w:sz="4" w:space="0"/>
            </w:tcBorders>
          </w:tcPr>
          <w:p w:rsidRPr="007F620E" w:rsidR="00A92D0B" w:rsidP="000645C3" w:rsidRDefault="000645C3" w14:paraId="7A5C03D8" w14:textId="7953B3CD">
            <w:pPr>
              <w:tabs>
                <w:tab w:val="center" w:pos="789"/>
              </w:tabs>
              <w:rPr>
                <w:color w:val="000000"/>
              </w:rPr>
            </w:pPr>
            <w:r>
              <w:rPr>
                <w:color w:val="000000"/>
              </w:rPr>
              <w:t>Attachment 1</w:t>
            </w:r>
            <w:r>
              <w:rPr>
                <w:color w:val="000000"/>
              </w:rPr>
              <w:tab/>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A92D0B" w:rsidTr="00AF1457" w14:paraId="72C869B0" w14:textId="77777777">
        <w:tc>
          <w:tcPr>
            <w:tcW w:w="1795" w:type="dxa"/>
          </w:tcPr>
          <w:p w:rsidRPr="007F620E" w:rsidR="00544A2C" w:rsidP="001A3CF3" w:rsidRDefault="00544A2C" w14:paraId="49AADD21" w14:textId="1FE39174">
            <w:pPr>
              <w:tabs>
                <w:tab w:val="left" w:pos="1260"/>
              </w:tabs>
              <w:rPr>
                <w:color w:val="000000"/>
              </w:rPr>
            </w:pPr>
            <w:r>
              <w:rPr>
                <w:color w:val="000000"/>
              </w:rPr>
              <w:t>Attachment 2</w:t>
            </w:r>
          </w:p>
        </w:tc>
        <w:tc>
          <w:tcPr>
            <w:tcW w:w="7565" w:type="dxa"/>
          </w:tcPr>
          <w:p w:rsidRPr="00F11D68" w:rsidR="00A92D0B" w:rsidP="001A3CF3" w:rsidRDefault="00322213" w14:paraId="3AF20C23" w14:textId="0F0E801E">
            <w:pPr>
              <w:tabs>
                <w:tab w:val="left" w:pos="1260"/>
              </w:tabs>
              <w:rPr>
                <w:bCs/>
                <w:color w:val="000000"/>
              </w:rPr>
            </w:pPr>
            <w:r w:rsidRPr="00F11D68">
              <w:rPr>
                <w:bCs/>
                <w:color w:val="000000"/>
              </w:rPr>
              <w:t>Resume of Elizabeth Kelly</w:t>
            </w:r>
          </w:p>
        </w:tc>
      </w:tr>
      <w:tr w:rsidRPr="007F620E" w:rsidR="00322213" w:rsidTr="00AF1457" w14:paraId="1D6DC867" w14:textId="77777777">
        <w:tc>
          <w:tcPr>
            <w:tcW w:w="1795" w:type="dxa"/>
          </w:tcPr>
          <w:p w:rsidR="00322213" w:rsidP="001A3CF3" w:rsidRDefault="00544A2C" w14:paraId="1C3CCE01" w14:textId="070D8742">
            <w:pPr>
              <w:tabs>
                <w:tab w:val="left" w:pos="1260"/>
              </w:tabs>
              <w:rPr>
                <w:color w:val="000000"/>
              </w:rPr>
            </w:pPr>
            <w:r>
              <w:rPr>
                <w:color w:val="000000"/>
              </w:rPr>
              <w:t>Attachment 3</w:t>
            </w:r>
          </w:p>
        </w:tc>
        <w:tc>
          <w:tcPr>
            <w:tcW w:w="7565" w:type="dxa"/>
          </w:tcPr>
          <w:p w:rsidRPr="00F11D68" w:rsidR="00322213" w:rsidP="001A3CF3" w:rsidRDefault="00322213" w14:paraId="63B7CE2F" w14:textId="615CD38C">
            <w:pPr>
              <w:tabs>
                <w:tab w:val="left" w:pos="1260"/>
              </w:tabs>
              <w:rPr>
                <w:bCs/>
                <w:color w:val="000000"/>
              </w:rPr>
            </w:pPr>
            <w:r w:rsidRPr="00F11D68">
              <w:rPr>
                <w:bCs/>
                <w:color w:val="000000"/>
              </w:rPr>
              <w:t>Resume of Michael Colvin</w:t>
            </w:r>
          </w:p>
        </w:tc>
      </w:tr>
      <w:tr w:rsidRPr="007F620E" w:rsidR="00514402" w:rsidTr="00AF1457" w14:paraId="3022F3AC" w14:textId="77777777">
        <w:tc>
          <w:tcPr>
            <w:tcW w:w="1795" w:type="dxa"/>
          </w:tcPr>
          <w:p w:rsidR="00514402" w:rsidP="001A3CF3" w:rsidRDefault="00544A2C" w14:paraId="4235DE84" w14:textId="57D14717">
            <w:pPr>
              <w:tabs>
                <w:tab w:val="left" w:pos="1260"/>
              </w:tabs>
              <w:rPr>
                <w:color w:val="000000"/>
              </w:rPr>
            </w:pPr>
            <w:r>
              <w:rPr>
                <w:color w:val="000000"/>
              </w:rPr>
              <w:t>Attachment 4</w:t>
            </w:r>
          </w:p>
        </w:tc>
        <w:tc>
          <w:tcPr>
            <w:tcW w:w="7565" w:type="dxa"/>
          </w:tcPr>
          <w:p w:rsidRPr="00F11D68" w:rsidR="00514402" w:rsidP="001A3CF3" w:rsidRDefault="00514402" w14:paraId="27A64146" w14:textId="13AA75AC">
            <w:pPr>
              <w:tabs>
                <w:tab w:val="left" w:pos="1260"/>
              </w:tabs>
              <w:rPr>
                <w:bCs/>
                <w:color w:val="000000"/>
              </w:rPr>
            </w:pPr>
            <w:r w:rsidRPr="00F11D68">
              <w:rPr>
                <w:bCs/>
                <w:color w:val="000000"/>
              </w:rPr>
              <w:t>Resume of Dr. Richard McCann</w:t>
            </w:r>
          </w:p>
        </w:tc>
      </w:tr>
      <w:tr w:rsidRPr="007F620E" w:rsidR="00E0503E" w:rsidTr="00AF1457" w14:paraId="47AA01D3" w14:textId="77777777">
        <w:tc>
          <w:tcPr>
            <w:tcW w:w="1795" w:type="dxa"/>
          </w:tcPr>
          <w:p w:rsidR="00E0503E" w:rsidP="001A3CF3" w:rsidRDefault="00544A2C" w14:paraId="0F28465D" w14:textId="495F5314">
            <w:pPr>
              <w:tabs>
                <w:tab w:val="left" w:pos="1260"/>
              </w:tabs>
              <w:rPr>
                <w:color w:val="000000"/>
              </w:rPr>
            </w:pPr>
            <w:r>
              <w:rPr>
                <w:color w:val="000000"/>
              </w:rPr>
              <w:t>Attachment 5</w:t>
            </w:r>
          </w:p>
        </w:tc>
        <w:tc>
          <w:tcPr>
            <w:tcW w:w="7565" w:type="dxa"/>
          </w:tcPr>
          <w:p w:rsidRPr="00F11D68" w:rsidR="00E0503E" w:rsidP="001A3CF3" w:rsidRDefault="00E0503E" w14:paraId="172027F8" w14:textId="36765BB0">
            <w:pPr>
              <w:tabs>
                <w:tab w:val="left" w:pos="1260"/>
              </w:tabs>
              <w:rPr>
                <w:bCs/>
                <w:color w:val="000000"/>
              </w:rPr>
            </w:pPr>
            <w:r w:rsidRPr="00F11D68">
              <w:rPr>
                <w:bCs/>
                <w:color w:val="000000"/>
              </w:rPr>
              <w:t>Resume of Joon Hun Seong</w:t>
            </w:r>
          </w:p>
        </w:tc>
      </w:tr>
      <w:tr w:rsidRPr="007F620E" w:rsidR="00CA7A3E" w:rsidTr="00F11D68" w14:paraId="024F107E" w14:textId="77777777">
        <w:tc>
          <w:tcPr>
            <w:tcW w:w="1795" w:type="dxa"/>
          </w:tcPr>
          <w:p w:rsidR="00CA7A3E" w:rsidP="00CA7A3E" w:rsidRDefault="00CA7A3E" w14:paraId="1E91F5CE" w14:textId="1B87F794">
            <w:pPr>
              <w:tabs>
                <w:tab w:val="left" w:pos="1260"/>
              </w:tabs>
              <w:rPr>
                <w:color w:val="000000"/>
              </w:rPr>
            </w:pPr>
            <w:r>
              <w:rPr>
                <w:color w:val="000000"/>
              </w:rPr>
              <w:t>Comment 1</w:t>
            </w:r>
          </w:p>
        </w:tc>
        <w:tc>
          <w:tcPr>
            <w:tcW w:w="7565" w:type="dxa"/>
          </w:tcPr>
          <w:p w:rsidRPr="006258E0" w:rsidR="00CA7A3E" w:rsidP="00CA7A3E" w:rsidRDefault="00CA7A3E" w14:paraId="419E6FDB" w14:textId="77777777">
            <w:pPr>
              <w:tabs>
                <w:tab w:val="left" w:pos="1260"/>
              </w:tabs>
              <w:spacing w:after="240"/>
            </w:pPr>
            <w:r w:rsidRPr="006258E0">
              <w:t>Rate for Elizabeth Kelly, Attorney</w:t>
            </w:r>
          </w:p>
          <w:p w:rsidRPr="006258E0" w:rsidR="00CA7A3E" w:rsidP="00CA7A3E" w:rsidRDefault="00CA7A3E" w14:paraId="672E6CCB" w14:textId="541B654D">
            <w:pPr>
              <w:tabs>
                <w:tab w:val="left" w:pos="1260"/>
              </w:tabs>
              <w:spacing w:after="240"/>
            </w:pPr>
            <w:r w:rsidRPr="006258E0">
              <w:t xml:space="preserve">Ms. Kelly’s legal energy experience </w:t>
            </w:r>
            <w:r w:rsidR="00322213">
              <w:t xml:space="preserve">(15+ years) </w:t>
            </w:r>
            <w:r w:rsidRPr="006258E0">
              <w:t xml:space="preserve">and expert energy economics and rate design experience prior to becoming an attorney are set forth on her resume, Attachment </w:t>
            </w:r>
            <w:r w:rsidR="00C42C4A">
              <w:t>2</w:t>
            </w:r>
            <w:r w:rsidRPr="006258E0">
              <w:t>.</w:t>
            </w:r>
          </w:p>
          <w:p w:rsidRPr="006258E0" w:rsidR="00CA7A3E" w:rsidP="00CA7A3E" w:rsidRDefault="00322213" w14:paraId="7B109763" w14:textId="46B8DC37">
            <w:pPr>
              <w:tabs>
                <w:tab w:val="left" w:pos="1260"/>
              </w:tabs>
              <w:spacing w:after="240"/>
            </w:pPr>
            <w:r>
              <w:t>Above the midpoint of the range</w:t>
            </w:r>
            <w:r w:rsidRPr="006258E0" w:rsidR="00CA7A3E">
              <w:t xml:space="preserve"> is appropriate for Ms. Kelly due to her unique and extensive energy and regulatory experience, including:</w:t>
            </w:r>
          </w:p>
          <w:p w:rsidRPr="006258E0" w:rsidR="00CA7A3E" w:rsidP="00CA7A3E" w:rsidRDefault="00CA7A3E" w14:paraId="1C6A67E8" w14:textId="77777777">
            <w:pPr>
              <w:pStyle w:val="ListParagraph"/>
              <w:numPr>
                <w:ilvl w:val="0"/>
                <w:numId w:val="11"/>
              </w:numPr>
              <w:spacing w:after="240"/>
              <w:rPr>
                <w:rFonts w:ascii="Times New Roman" w:hAnsi="Times New Roman"/>
                <w:sz w:val="24"/>
                <w:szCs w:val="24"/>
              </w:rPr>
            </w:pPr>
            <w:r w:rsidRPr="006258E0">
              <w:rPr>
                <w:rFonts w:ascii="Times New Roman" w:hAnsi="Times New Roman"/>
                <w:sz w:val="24"/>
                <w:szCs w:val="24"/>
              </w:rPr>
              <w:lastRenderedPageBreak/>
              <w:t>Her economics degree which allows for a greater degree of understanding of financial and technical matters before the Commission;</w:t>
            </w:r>
          </w:p>
          <w:p w:rsidRPr="006258E0" w:rsidR="00CA7A3E" w:rsidP="00CA7A3E" w:rsidRDefault="00CA7A3E" w14:paraId="3920FE68" w14:textId="77777777">
            <w:pPr>
              <w:pStyle w:val="ListParagraph"/>
              <w:numPr>
                <w:ilvl w:val="0"/>
                <w:numId w:val="11"/>
              </w:numPr>
              <w:spacing w:after="240"/>
              <w:rPr>
                <w:rFonts w:ascii="Times New Roman" w:hAnsi="Times New Roman"/>
                <w:sz w:val="24"/>
                <w:szCs w:val="24"/>
              </w:rPr>
            </w:pPr>
            <w:r w:rsidRPr="006258E0">
              <w:rPr>
                <w:rFonts w:ascii="Times New Roman" w:hAnsi="Times New Roman"/>
                <w:sz w:val="24"/>
                <w:szCs w:val="24"/>
              </w:rPr>
              <w:t>Her experience in energy economic and rate design consulting which contributes to her substantive knowledge in energy;</w:t>
            </w:r>
          </w:p>
          <w:p w:rsidRPr="006258E0" w:rsidR="00CA7A3E" w:rsidP="00CA7A3E" w:rsidRDefault="00CA7A3E" w14:paraId="41CCAE6D" w14:textId="77777777">
            <w:pPr>
              <w:pStyle w:val="ListParagraph"/>
              <w:numPr>
                <w:ilvl w:val="0"/>
                <w:numId w:val="11"/>
              </w:numPr>
              <w:spacing w:after="240"/>
              <w:rPr>
                <w:rFonts w:ascii="Times New Roman" w:hAnsi="Times New Roman"/>
                <w:sz w:val="24"/>
                <w:szCs w:val="24"/>
              </w:rPr>
            </w:pPr>
            <w:r w:rsidRPr="006258E0">
              <w:rPr>
                <w:rFonts w:ascii="Times New Roman" w:hAnsi="Times New Roman"/>
                <w:sz w:val="24"/>
                <w:szCs w:val="24"/>
              </w:rPr>
              <w:t>The extent and depth of her experience in energy and project finance transactions;</w:t>
            </w:r>
          </w:p>
          <w:p w:rsidRPr="006258E0" w:rsidR="00CA7A3E" w:rsidP="00CA7A3E" w:rsidRDefault="00CA7A3E" w14:paraId="644C72D9" w14:textId="77777777">
            <w:pPr>
              <w:pStyle w:val="ListParagraph"/>
              <w:numPr>
                <w:ilvl w:val="0"/>
                <w:numId w:val="11"/>
              </w:numPr>
              <w:spacing w:after="240"/>
              <w:rPr>
                <w:rFonts w:ascii="Times New Roman" w:hAnsi="Times New Roman"/>
                <w:sz w:val="24"/>
                <w:szCs w:val="24"/>
              </w:rPr>
            </w:pPr>
            <w:r w:rsidRPr="006258E0">
              <w:rPr>
                <w:rFonts w:ascii="Times New Roman" w:hAnsi="Times New Roman"/>
                <w:sz w:val="24"/>
                <w:szCs w:val="24"/>
              </w:rPr>
              <w:t>Her experience in launching MCE, California’s first Community Choice Aggregator, which required extensive legal and regulatory advocacy, in many cases without specific precedent before the California Public Utilities Commission;</w:t>
            </w:r>
          </w:p>
          <w:p w:rsidRPr="006258E0" w:rsidR="00CA7A3E" w:rsidP="00CA7A3E" w:rsidRDefault="00CA7A3E" w14:paraId="63DED435" w14:textId="77777777">
            <w:pPr>
              <w:pStyle w:val="ListParagraph"/>
              <w:numPr>
                <w:ilvl w:val="0"/>
                <w:numId w:val="11"/>
              </w:numPr>
              <w:spacing w:after="240"/>
              <w:rPr>
                <w:rFonts w:ascii="Times New Roman" w:hAnsi="Times New Roman"/>
                <w:sz w:val="24"/>
                <w:szCs w:val="24"/>
              </w:rPr>
            </w:pPr>
            <w:r w:rsidRPr="006258E0">
              <w:rPr>
                <w:rFonts w:ascii="Times New Roman" w:hAnsi="Times New Roman"/>
                <w:sz w:val="24"/>
                <w:szCs w:val="24"/>
              </w:rPr>
              <w:t>Her experience serving clients specifically before the California Public Utilities Commission; and</w:t>
            </w:r>
          </w:p>
          <w:p w:rsidRPr="006258E0" w:rsidR="00CA7A3E" w:rsidP="00CA7A3E" w:rsidRDefault="00CA7A3E" w14:paraId="767FEC3D" w14:textId="77777777">
            <w:pPr>
              <w:pStyle w:val="ListParagraph"/>
              <w:numPr>
                <w:ilvl w:val="0"/>
                <w:numId w:val="11"/>
              </w:numPr>
              <w:spacing w:after="240"/>
              <w:rPr>
                <w:rFonts w:ascii="Times New Roman" w:hAnsi="Times New Roman"/>
                <w:sz w:val="24"/>
                <w:szCs w:val="24"/>
              </w:rPr>
            </w:pPr>
            <w:r w:rsidRPr="006258E0">
              <w:rPr>
                <w:rFonts w:ascii="Times New Roman" w:hAnsi="Times New Roman"/>
                <w:sz w:val="24"/>
                <w:szCs w:val="24"/>
              </w:rPr>
              <w:t xml:space="preserve">Her service within energy and legal groups that have advanced her knowledge and experience, including: </w:t>
            </w:r>
          </w:p>
          <w:p w:rsidR="002016A8" w:rsidP="00CA7A3E" w:rsidRDefault="002016A8" w14:paraId="342FCB2D" w14:textId="76C9770B">
            <w:pPr>
              <w:pStyle w:val="ListParagraph"/>
              <w:numPr>
                <w:ilvl w:val="1"/>
                <w:numId w:val="11"/>
              </w:numPr>
              <w:spacing w:after="240"/>
              <w:ind w:left="1080"/>
              <w:rPr>
                <w:rFonts w:ascii="Times New Roman" w:hAnsi="Times New Roman"/>
                <w:sz w:val="24"/>
                <w:szCs w:val="24"/>
              </w:rPr>
            </w:pPr>
            <w:r>
              <w:rPr>
                <w:rFonts w:ascii="Times New Roman" w:hAnsi="Times New Roman"/>
                <w:sz w:val="24"/>
                <w:szCs w:val="24"/>
              </w:rPr>
              <w:t>Founder of the San Francisco Women General Counsel Circle</w:t>
            </w:r>
          </w:p>
          <w:p w:rsidRPr="006258E0" w:rsidR="00CA7A3E" w:rsidP="00CA7A3E" w:rsidRDefault="00CA7A3E" w14:paraId="2496CB16" w14:textId="537B170A">
            <w:pPr>
              <w:pStyle w:val="ListParagraph"/>
              <w:numPr>
                <w:ilvl w:val="1"/>
                <w:numId w:val="11"/>
              </w:numPr>
              <w:spacing w:after="240"/>
              <w:ind w:left="1080"/>
              <w:rPr>
                <w:rFonts w:ascii="Times New Roman" w:hAnsi="Times New Roman"/>
                <w:sz w:val="24"/>
                <w:szCs w:val="24"/>
              </w:rPr>
            </w:pPr>
            <w:r w:rsidRPr="006258E0">
              <w:rPr>
                <w:rFonts w:ascii="Times New Roman" w:hAnsi="Times New Roman"/>
                <w:sz w:val="24"/>
                <w:szCs w:val="24"/>
              </w:rPr>
              <w:t xml:space="preserve">2018 National Association of Women Lawyers General Counsel Institute, Member of Planning Committee and Workshops Subcommittee </w:t>
            </w:r>
          </w:p>
          <w:p w:rsidRPr="006258E0" w:rsidR="00CA7A3E" w:rsidP="00CA7A3E" w:rsidRDefault="00CA7A3E" w14:paraId="47F9C643" w14:textId="77777777">
            <w:pPr>
              <w:pStyle w:val="ListParagraph"/>
              <w:numPr>
                <w:ilvl w:val="1"/>
                <w:numId w:val="11"/>
              </w:numPr>
              <w:spacing w:after="240"/>
              <w:ind w:left="1080"/>
              <w:rPr>
                <w:rFonts w:ascii="Times New Roman" w:hAnsi="Times New Roman"/>
                <w:sz w:val="24"/>
                <w:szCs w:val="24"/>
              </w:rPr>
            </w:pPr>
            <w:r w:rsidRPr="006258E0">
              <w:rPr>
                <w:rFonts w:ascii="Times New Roman" w:hAnsi="Times New Roman"/>
                <w:sz w:val="24"/>
                <w:szCs w:val="24"/>
              </w:rPr>
              <w:t xml:space="preserve">2017 National Association of Women Lawyers General Counsel Institute, Member of Planning Committee, Workshops Subcommittee, and Logistics Subcommittee. </w:t>
            </w:r>
          </w:p>
          <w:p w:rsidRPr="006258E0" w:rsidR="00CA7A3E" w:rsidP="00CA7A3E" w:rsidRDefault="00CA7A3E" w14:paraId="5437C5D1" w14:textId="77777777">
            <w:pPr>
              <w:pStyle w:val="ListParagraph"/>
              <w:numPr>
                <w:ilvl w:val="1"/>
                <w:numId w:val="11"/>
              </w:numPr>
              <w:spacing w:after="240"/>
              <w:ind w:left="1080"/>
              <w:rPr>
                <w:rFonts w:ascii="Times New Roman" w:hAnsi="Times New Roman"/>
                <w:sz w:val="24"/>
                <w:szCs w:val="24"/>
              </w:rPr>
            </w:pPr>
            <w:r w:rsidRPr="006258E0">
              <w:rPr>
                <w:rFonts w:ascii="Times New Roman" w:hAnsi="Times New Roman"/>
                <w:sz w:val="24"/>
                <w:szCs w:val="24"/>
              </w:rPr>
              <w:t xml:space="preserve">2016 CAISO Energy Imbalance Market Governing Body Nominating Committee, Public Interest and Consumer Advocate Committee Member </w:t>
            </w:r>
          </w:p>
          <w:p w:rsidRPr="007F620E" w:rsidR="00CA7A3E" w:rsidP="00322213" w:rsidRDefault="00CA7A3E" w14:paraId="608FA8E4" w14:textId="4C234E22">
            <w:pPr>
              <w:pStyle w:val="ListParagraph"/>
              <w:numPr>
                <w:ilvl w:val="1"/>
                <w:numId w:val="11"/>
              </w:numPr>
              <w:spacing w:after="240"/>
              <w:ind w:left="1080"/>
              <w:rPr>
                <w:b/>
                <w:color w:val="000000"/>
              </w:rPr>
            </w:pPr>
            <w:r w:rsidRPr="006258E0">
              <w:rPr>
                <w:rFonts w:ascii="Times New Roman" w:hAnsi="Times New Roman"/>
                <w:sz w:val="24"/>
                <w:szCs w:val="24"/>
              </w:rPr>
              <w:t xml:space="preserve">2015 CAISO Board of Governors Nominee Review Committee, End User and Retail Provider Committee Member </w:t>
            </w:r>
          </w:p>
        </w:tc>
      </w:tr>
      <w:tr w:rsidRPr="007F620E" w:rsidR="00322213" w:rsidTr="00F11D68" w14:paraId="18A84A57" w14:textId="77777777">
        <w:tc>
          <w:tcPr>
            <w:tcW w:w="1795" w:type="dxa"/>
          </w:tcPr>
          <w:p w:rsidR="00322213" w:rsidP="00DA7E4E" w:rsidRDefault="00322213" w14:paraId="550DE5EF" w14:textId="5E5F9067">
            <w:pPr>
              <w:keepNext/>
              <w:tabs>
                <w:tab w:val="left" w:pos="1260"/>
              </w:tabs>
              <w:rPr>
                <w:color w:val="000000"/>
              </w:rPr>
            </w:pPr>
            <w:r>
              <w:rPr>
                <w:color w:val="000000"/>
              </w:rPr>
              <w:lastRenderedPageBreak/>
              <w:t>Comment 2</w:t>
            </w:r>
          </w:p>
        </w:tc>
        <w:tc>
          <w:tcPr>
            <w:tcW w:w="7565" w:type="dxa"/>
          </w:tcPr>
          <w:p w:rsidR="00322213" w:rsidP="00CA7A3E" w:rsidRDefault="00322213" w14:paraId="40AA66B2" w14:textId="77777777">
            <w:pPr>
              <w:tabs>
                <w:tab w:val="left" w:pos="1260"/>
              </w:tabs>
              <w:spacing w:after="240"/>
            </w:pPr>
            <w:r>
              <w:t>Rate for Michael Colvin, Expert</w:t>
            </w:r>
          </w:p>
          <w:p w:rsidRPr="006258E0" w:rsidR="00322213" w:rsidP="00CA7A3E" w:rsidRDefault="00104733" w14:paraId="113AD273" w14:textId="29495D5E">
            <w:pPr>
              <w:tabs>
                <w:tab w:val="left" w:pos="1260"/>
              </w:tabs>
              <w:spacing w:after="240"/>
            </w:pPr>
            <w:r>
              <w:t xml:space="preserve">Michael Colvin spent over 10 years at the California Public Utilities Commission and another 4 at Environmental Defense Fund. Given his experience he is classified as public policy analyst IV </w:t>
            </w:r>
          </w:p>
        </w:tc>
      </w:tr>
      <w:tr w:rsidRPr="007F620E" w:rsidR="00540450" w:rsidTr="00F11D68" w14:paraId="7590D521" w14:textId="77777777">
        <w:tc>
          <w:tcPr>
            <w:tcW w:w="1795" w:type="dxa"/>
          </w:tcPr>
          <w:p w:rsidRPr="00255556" w:rsidR="00540450" w:rsidP="00CA7A3E" w:rsidRDefault="00540450" w14:paraId="62DCE2EC" w14:textId="03DEB9D4">
            <w:pPr>
              <w:tabs>
                <w:tab w:val="left" w:pos="1260"/>
              </w:tabs>
              <w:rPr>
                <w:color w:val="000000"/>
              </w:rPr>
            </w:pPr>
            <w:r w:rsidRPr="00255556">
              <w:rPr>
                <w:color w:val="000000"/>
              </w:rPr>
              <w:t>Comment 3</w:t>
            </w:r>
          </w:p>
        </w:tc>
        <w:tc>
          <w:tcPr>
            <w:tcW w:w="7565" w:type="dxa"/>
          </w:tcPr>
          <w:p w:rsidRPr="00255556" w:rsidR="00540450" w:rsidP="00CA7A3E" w:rsidRDefault="00540450" w14:paraId="5C85992F" w14:textId="77777777">
            <w:pPr>
              <w:tabs>
                <w:tab w:val="left" w:pos="1260"/>
              </w:tabs>
              <w:spacing w:after="240"/>
            </w:pPr>
            <w:r w:rsidRPr="00255556">
              <w:t>Rate of Richard McCann</w:t>
            </w:r>
            <w:r w:rsidRPr="00255556" w:rsidR="00050E9B">
              <w:t>, Expert</w:t>
            </w:r>
          </w:p>
          <w:p w:rsidRPr="00255556" w:rsidR="00E864B9" w:rsidP="00CA7A3E" w:rsidRDefault="00E864B9" w14:paraId="4EFA5B63" w14:textId="21569379">
            <w:pPr>
              <w:tabs>
                <w:tab w:val="left" w:pos="1260"/>
              </w:tabs>
              <w:spacing w:after="240"/>
            </w:pPr>
            <w:r w:rsidRPr="00255556">
              <w:t>Dr. McCann specializes in environmental and energy resource economics and policy. H</w:t>
            </w:r>
            <w:r w:rsidRPr="00255556" w:rsidR="00C42C4A">
              <w:t xml:space="preserve">is expertise and experience with testimonies and reports on behalf of numerous federal, state, and local regulatory agencies on energy, air quality, and water supply and quality issues are </w:t>
            </w:r>
            <w:r w:rsidRPr="00255556" w:rsidR="00F11858">
              <w:t xml:space="preserve">detailed in his resume, Attachment 4. </w:t>
            </w:r>
            <w:r w:rsidRPr="00255556">
              <w:t xml:space="preserve"> </w:t>
            </w:r>
          </w:p>
        </w:tc>
      </w:tr>
      <w:tr w:rsidRPr="007F620E" w:rsidR="00104733" w:rsidTr="00F11D68" w14:paraId="7370F30A" w14:textId="77777777">
        <w:tc>
          <w:tcPr>
            <w:tcW w:w="1795" w:type="dxa"/>
          </w:tcPr>
          <w:p w:rsidR="00104733" w:rsidP="00CA7A3E" w:rsidRDefault="00E0503E" w14:paraId="38B25839" w14:textId="140A06C2">
            <w:pPr>
              <w:tabs>
                <w:tab w:val="left" w:pos="1260"/>
              </w:tabs>
              <w:rPr>
                <w:color w:val="000000"/>
              </w:rPr>
            </w:pPr>
            <w:r>
              <w:rPr>
                <w:color w:val="000000"/>
              </w:rPr>
              <w:t xml:space="preserve">Comment </w:t>
            </w:r>
            <w:r w:rsidR="00540450">
              <w:rPr>
                <w:color w:val="000000"/>
              </w:rPr>
              <w:t>4</w:t>
            </w:r>
          </w:p>
        </w:tc>
        <w:tc>
          <w:tcPr>
            <w:tcW w:w="7565" w:type="dxa"/>
          </w:tcPr>
          <w:p w:rsidR="00E0503E" w:rsidP="00CA7A3E" w:rsidRDefault="00E0503E" w14:paraId="6B2893FC" w14:textId="77777777">
            <w:pPr>
              <w:tabs>
                <w:tab w:val="left" w:pos="1260"/>
              </w:tabs>
              <w:spacing w:after="240"/>
            </w:pPr>
            <w:r>
              <w:t>Rate for Joon Hun Seong, Expert</w:t>
            </w:r>
          </w:p>
          <w:p w:rsidR="00E0503E" w:rsidP="00CA7A3E" w:rsidRDefault="00E0503E" w14:paraId="2CEF4D30" w14:textId="5E352940">
            <w:pPr>
              <w:tabs>
                <w:tab w:val="left" w:pos="1260"/>
              </w:tabs>
              <w:spacing w:after="240"/>
            </w:pPr>
            <w:r>
              <w:t xml:space="preserve">Joon Hun Seong </w:t>
            </w:r>
            <w:r w:rsidR="00EB4F43">
              <w:t xml:space="preserve">has received a </w:t>
            </w:r>
            <w:proofErr w:type="gramStart"/>
            <w:r w:rsidR="00EB4F43">
              <w:t>Master’s in Public Policy</w:t>
            </w:r>
            <w:proofErr w:type="gramEnd"/>
            <w:r w:rsidR="00EB4F43">
              <w:t xml:space="preserve"> from UC Berkeley and has two years of previous policy analysis experience working for American Solar Partners, a solar developer based in Mt. Vernon, New York</w:t>
            </w:r>
            <w:r w:rsidR="00504C3E">
              <w:t>. Given his academic q</w:t>
            </w:r>
            <w:r w:rsidR="00CC2CA8">
              <w:t xml:space="preserve">ualifications and professional experience, he is classified as public policy analyst III. </w:t>
            </w:r>
          </w:p>
        </w:tc>
      </w:tr>
    </w:tbl>
    <w:p w:rsidRPr="007F620E" w:rsidR="00A92D0B" w:rsidP="005B5B44" w:rsidRDefault="00A92D0B" w14:paraId="0D8B7003" w14:textId="7E65C3AF">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16"/>
        <w:gridCol w:w="7744"/>
      </w:tblGrid>
      <w:tr w:rsidRPr="007F620E" w:rsidR="00A92D0B" w:rsidTr="00A4526F" w14:paraId="52CD0603" w14:textId="77777777">
        <w:trPr>
          <w:tblHeader/>
        </w:trPr>
        <w:tc>
          <w:tcPr>
            <w:tcW w:w="1616"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744"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6A5FC4" w:rsidTr="00A4526F" w14:paraId="69DEE01C" w14:textId="77777777">
        <w:tc>
          <w:tcPr>
            <w:tcW w:w="1616" w:type="dxa"/>
          </w:tcPr>
          <w:p w:rsidRPr="007F620E" w:rsidR="006A5FC4" w:rsidP="006A5FC4" w:rsidRDefault="006A5FC4" w14:paraId="1E6C8F3D" w14:textId="5A126271">
            <w:pPr>
              <w:tabs>
                <w:tab w:val="left" w:pos="1440"/>
              </w:tabs>
              <w:rPr>
                <w:color w:val="000000"/>
              </w:rPr>
            </w:pPr>
            <w:r>
              <w:rPr>
                <w:color w:val="000000"/>
              </w:rPr>
              <w:t>[1] Kelly 2021, 2022, &amp; 2023 Hourly Rates</w:t>
            </w:r>
          </w:p>
        </w:tc>
        <w:tc>
          <w:tcPr>
            <w:tcW w:w="7744" w:type="dxa"/>
          </w:tcPr>
          <w:p w:rsidRPr="00F76780" w:rsidR="00F76780" w:rsidP="00F76780" w:rsidRDefault="006A5FC4" w14:paraId="690999CE" w14:textId="0A90B443">
            <w:pPr>
              <w:tabs>
                <w:tab w:val="left" w:pos="1440"/>
              </w:tabs>
              <w:rPr>
                <w:color w:val="000000"/>
              </w:rPr>
            </w:pPr>
            <w:r>
              <w:rPr>
                <w:color w:val="000000"/>
              </w:rPr>
              <w:t xml:space="preserve">Upon further review, we note EDF’s failure to identify Kelly as a consultant, instead of a full-time staff member of EDF. The Commission requested supplemental documentation be submitted by EDF to verify Kelly’s 2021, 2022, and 2023 consultant rates. </w:t>
            </w:r>
            <w:r w:rsidRPr="00F76780" w:rsidR="00F76780">
              <w:rPr>
                <w:color w:val="000000"/>
              </w:rPr>
              <w:t>EDF confirmed that Kelly is a consultant by submitting supplemental documentation upon request by the Commission. EDF confirms that they have made preliminary payments to Kelly, while the remainder is to be paid upon award of intervenor compensation.  </w:t>
            </w:r>
          </w:p>
          <w:p w:rsidRPr="00F76780" w:rsidR="00F76780" w:rsidP="00F76780" w:rsidRDefault="00F76780" w14:paraId="305E6C2D" w14:textId="77777777">
            <w:pPr>
              <w:tabs>
                <w:tab w:val="left" w:pos="1440"/>
              </w:tabs>
              <w:rPr>
                <w:color w:val="000000"/>
              </w:rPr>
            </w:pPr>
            <w:r w:rsidRPr="00F76780">
              <w:rPr>
                <w:color w:val="000000"/>
              </w:rPr>
              <w:t> </w:t>
            </w:r>
          </w:p>
          <w:p w:rsidR="008C15C2" w:rsidP="00F76780" w:rsidRDefault="00F76780" w14:paraId="5B7E913E" w14:textId="09BBA228">
            <w:pPr>
              <w:tabs>
                <w:tab w:val="left" w:pos="1440"/>
              </w:tabs>
              <w:rPr>
                <w:color w:val="000000"/>
              </w:rPr>
            </w:pPr>
            <w:r w:rsidRPr="00F76780">
              <w:rPr>
                <w:color w:val="000000"/>
              </w:rPr>
              <w:t xml:space="preserve">Pursuant to Commission policy, the rate requested by an intervenor must not exceed the rate billed to that intervenor by any outside consultant it hires, even if the consultant’s billed rate is below the floor for a given experience level. Per the </w:t>
            </w:r>
            <w:proofErr w:type="spellStart"/>
            <w:r w:rsidRPr="00F76780">
              <w:rPr>
                <w:color w:val="000000"/>
              </w:rPr>
              <w:t>IComp</w:t>
            </w:r>
            <w:proofErr w:type="spellEnd"/>
            <w:r w:rsidRPr="00F76780">
              <w:rPr>
                <w:color w:val="000000"/>
              </w:rPr>
              <w:t xml:space="preserve"> Program Guide at 24, the Commission may audit the records and books of the intervenors to the extent necessary to verify the basis for the award (§ 1804(d)). EDF has confirmed that</w:t>
            </w:r>
            <w:r w:rsidR="00DA3FC3">
              <w:rPr>
                <w:color w:val="000000"/>
              </w:rPr>
              <w:t xml:space="preserve"> </w:t>
            </w:r>
            <w:r w:rsidRPr="00F76780">
              <w:rPr>
                <w:color w:val="000000"/>
              </w:rPr>
              <w:t>Kelly</w:t>
            </w:r>
            <w:r w:rsidR="00DA3FC3">
              <w:rPr>
                <w:color w:val="000000"/>
              </w:rPr>
              <w:t xml:space="preserve"> </w:t>
            </w:r>
            <w:r w:rsidRPr="00F76780">
              <w:rPr>
                <w:color w:val="000000"/>
              </w:rPr>
              <w:t>serves as a consultant for EDF under contract on a contingency basis, meaning</w:t>
            </w:r>
            <w:r w:rsidR="00DA3FC3">
              <w:rPr>
                <w:color w:val="000000"/>
              </w:rPr>
              <w:t xml:space="preserve"> </w:t>
            </w:r>
            <w:r w:rsidRPr="00F76780">
              <w:rPr>
                <w:color w:val="000000"/>
              </w:rPr>
              <w:t>Kell</w:t>
            </w:r>
            <w:r w:rsidR="00D36695">
              <w:rPr>
                <w:color w:val="000000"/>
              </w:rPr>
              <w:t xml:space="preserve">y </w:t>
            </w:r>
            <w:r w:rsidRPr="00F76780">
              <w:rPr>
                <w:color w:val="000000"/>
              </w:rPr>
              <w:t xml:space="preserve">has agreed to defer all, or part of her consulting fee contingent upon receipt of this </w:t>
            </w:r>
            <w:r w:rsidRPr="00F76780">
              <w:rPr>
                <w:color w:val="000000"/>
              </w:rPr>
              <w:lastRenderedPageBreak/>
              <w:t>Intervenor Compensation award.</w:t>
            </w:r>
            <w:r w:rsidR="008C15C2">
              <w:rPr>
                <w:color w:val="000000"/>
              </w:rPr>
              <w:t xml:space="preserve"> </w:t>
            </w:r>
            <w:r w:rsidRPr="00F76780">
              <w:rPr>
                <w:color w:val="000000"/>
              </w:rPr>
              <w:t xml:space="preserve">Given this contingency, we utilize the reasonable rates established by Resolution ALJ-393 </w:t>
            </w:r>
            <w:r w:rsidR="005853CE">
              <w:rPr>
                <w:color w:val="000000"/>
              </w:rPr>
              <w:t xml:space="preserve">to determine </w:t>
            </w:r>
            <w:r w:rsidR="0094325E">
              <w:rPr>
                <w:color w:val="000000"/>
              </w:rPr>
              <w:t>Kelly’s</w:t>
            </w:r>
            <w:r w:rsidR="005853CE">
              <w:rPr>
                <w:color w:val="000000"/>
              </w:rPr>
              <w:t xml:space="preserve"> hourly rate for </w:t>
            </w:r>
            <w:r w:rsidR="0094325E">
              <w:rPr>
                <w:color w:val="000000"/>
              </w:rPr>
              <w:t>their</w:t>
            </w:r>
            <w:r w:rsidRPr="00F76780">
              <w:rPr>
                <w:color w:val="000000"/>
              </w:rPr>
              <w:t xml:space="preserve"> work in this proceeding. </w:t>
            </w:r>
          </w:p>
          <w:p w:rsidR="00B85212" w:rsidP="00F76780" w:rsidRDefault="00B85212" w14:paraId="179BEC5F" w14:textId="19F0610E">
            <w:pPr>
              <w:tabs>
                <w:tab w:val="left" w:pos="1440"/>
              </w:tabs>
              <w:rPr>
                <w:color w:val="000000"/>
              </w:rPr>
            </w:pPr>
          </w:p>
          <w:p w:rsidR="00245A07" w:rsidP="00CE43F2" w:rsidRDefault="00531807" w14:paraId="7EA53C0E" w14:textId="70E4BDD1">
            <w:pPr>
              <w:pStyle w:val="ListBullet"/>
              <w:numPr>
                <w:ilvl w:val="0"/>
                <w:numId w:val="0"/>
              </w:numPr>
              <w:rPr>
                <w:color w:val="000000"/>
              </w:rPr>
            </w:pPr>
            <w:r>
              <w:rPr>
                <w:color w:val="000000"/>
              </w:rPr>
              <w:t xml:space="preserve">EDF requested a 2021 hourly </w:t>
            </w:r>
            <w:r w:rsidR="008C15C2">
              <w:rPr>
                <w:color w:val="000000"/>
              </w:rPr>
              <w:t xml:space="preserve">rate of </w:t>
            </w:r>
            <w:r w:rsidR="00544104">
              <w:rPr>
                <w:color w:val="000000"/>
              </w:rPr>
              <w:t xml:space="preserve">$550.00 for Kelly. </w:t>
            </w:r>
            <w:r w:rsidR="00CE43F2">
              <w:rPr>
                <w:color w:val="000000"/>
              </w:rPr>
              <w:t>We find that a</w:t>
            </w:r>
            <w:r w:rsidR="00544104">
              <w:rPr>
                <w:color w:val="000000"/>
              </w:rPr>
              <w:t xml:space="preserve">s of 2021 </w:t>
            </w:r>
            <w:r w:rsidR="00CE43F2">
              <w:rPr>
                <w:color w:val="000000"/>
              </w:rPr>
              <w:t xml:space="preserve">Kelly </w:t>
            </w:r>
            <w:r w:rsidR="00675CA9">
              <w:rPr>
                <w:color w:val="000000"/>
              </w:rPr>
              <w:t xml:space="preserve">qualified for the Legal – Attorney – Level IV classification with a rate range of </w:t>
            </w:r>
            <w:r w:rsidR="00B51243">
              <w:rPr>
                <w:color w:val="000000"/>
              </w:rPr>
              <w:t>$381.81 to $619.29</w:t>
            </w:r>
            <w:r w:rsidR="00466F86">
              <w:rPr>
                <w:color w:val="000000"/>
              </w:rPr>
              <w:t xml:space="preserve"> with a median of $497.15</w:t>
            </w:r>
            <w:r w:rsidR="00B51243">
              <w:rPr>
                <w:color w:val="000000"/>
              </w:rPr>
              <w:t xml:space="preserve">. We find </w:t>
            </w:r>
            <w:r w:rsidR="00AC2F39">
              <w:rPr>
                <w:color w:val="000000"/>
              </w:rPr>
              <w:t xml:space="preserve">a 2021 hourly </w:t>
            </w:r>
            <w:r w:rsidR="007E2FFF">
              <w:rPr>
                <w:color w:val="000000"/>
              </w:rPr>
              <w:t xml:space="preserve">rate </w:t>
            </w:r>
            <w:r w:rsidR="00AC2F39">
              <w:rPr>
                <w:color w:val="000000"/>
              </w:rPr>
              <w:t>of $550.00</w:t>
            </w:r>
            <w:r w:rsidR="00544104">
              <w:rPr>
                <w:color w:val="000000"/>
              </w:rPr>
              <w:t xml:space="preserve"> </w:t>
            </w:r>
            <w:r w:rsidR="00D9303D">
              <w:rPr>
                <w:color w:val="000000"/>
              </w:rPr>
              <w:t xml:space="preserve">to be reasonable for Kelly and apply it </w:t>
            </w:r>
            <w:r w:rsidR="009B491F">
              <w:rPr>
                <w:color w:val="000000"/>
              </w:rPr>
              <w:t>here</w:t>
            </w:r>
            <w:r w:rsidR="00245A07">
              <w:rPr>
                <w:color w:val="000000"/>
              </w:rPr>
              <w:t>.</w:t>
            </w:r>
          </w:p>
          <w:p w:rsidR="00245A07" w:rsidP="00CE43F2" w:rsidRDefault="00245A07" w14:paraId="58A18B36" w14:textId="77777777">
            <w:pPr>
              <w:pStyle w:val="ListBullet"/>
              <w:numPr>
                <w:ilvl w:val="0"/>
                <w:numId w:val="0"/>
              </w:numPr>
              <w:rPr>
                <w:color w:val="000000"/>
              </w:rPr>
            </w:pPr>
          </w:p>
          <w:p w:rsidR="004F1681" w:rsidP="00CE43F2" w:rsidRDefault="00245A07" w14:paraId="2B210E79" w14:textId="3BA767F1">
            <w:pPr>
              <w:pStyle w:val="ListBullet"/>
              <w:numPr>
                <w:ilvl w:val="0"/>
                <w:numId w:val="0"/>
              </w:numPr>
              <w:rPr>
                <w:color w:val="000000"/>
              </w:rPr>
            </w:pPr>
            <w:r>
              <w:rPr>
                <w:color w:val="000000"/>
              </w:rPr>
              <w:t>EDF requested a 2022 hourly rate of $625.00 for Kelly. We find that as of 2022 Kelly qualified for the L</w:t>
            </w:r>
            <w:r w:rsidR="0016713B">
              <w:rPr>
                <w:color w:val="000000"/>
              </w:rPr>
              <w:t xml:space="preserve">egal – Attorney – Level V classification with a rate range of </w:t>
            </w:r>
            <w:r w:rsidR="007E2FFF">
              <w:rPr>
                <w:color w:val="000000"/>
              </w:rPr>
              <w:t>$506.38 to $719.10</w:t>
            </w:r>
            <w:r w:rsidR="006F366B">
              <w:rPr>
                <w:color w:val="000000"/>
              </w:rPr>
              <w:t xml:space="preserve"> with a median of $626.38</w:t>
            </w:r>
            <w:r w:rsidR="007E2FFF">
              <w:rPr>
                <w:color w:val="000000"/>
              </w:rPr>
              <w:t xml:space="preserve">. We find a 2022 hourly rate of </w:t>
            </w:r>
            <w:r w:rsidR="00B4265F">
              <w:rPr>
                <w:color w:val="000000"/>
              </w:rPr>
              <w:t xml:space="preserve">$570.00 to be reasonable for Kelly and apply it </w:t>
            </w:r>
            <w:r w:rsidR="009B491F">
              <w:rPr>
                <w:color w:val="000000"/>
              </w:rPr>
              <w:t>here</w:t>
            </w:r>
            <w:r w:rsidR="00B4265F">
              <w:rPr>
                <w:color w:val="000000"/>
              </w:rPr>
              <w:t>.</w:t>
            </w:r>
            <w:r w:rsidR="00C7624C">
              <w:rPr>
                <w:color w:val="000000"/>
              </w:rPr>
              <w:t xml:space="preserve"> </w:t>
            </w:r>
          </w:p>
          <w:p w:rsidR="004F1681" w:rsidP="00CE43F2" w:rsidRDefault="004F1681" w14:paraId="1BC368A4" w14:textId="77777777">
            <w:pPr>
              <w:pStyle w:val="ListBullet"/>
              <w:numPr>
                <w:ilvl w:val="0"/>
                <w:numId w:val="0"/>
              </w:numPr>
              <w:rPr>
                <w:color w:val="000000"/>
              </w:rPr>
            </w:pPr>
          </w:p>
          <w:p w:rsidR="00245A07" w:rsidP="00CE43F2" w:rsidRDefault="00C7624C" w14:paraId="684E3EC3" w14:textId="0D1CDAF4">
            <w:pPr>
              <w:pStyle w:val="ListBullet"/>
              <w:numPr>
                <w:ilvl w:val="0"/>
                <w:numId w:val="0"/>
              </w:numPr>
              <w:rPr>
                <w:color w:val="000000"/>
              </w:rPr>
            </w:pPr>
            <w:r>
              <w:rPr>
                <w:color w:val="000000"/>
              </w:rPr>
              <w:t xml:space="preserve">We apply one-half </w:t>
            </w:r>
            <w:r w:rsidR="006A4D83">
              <w:rPr>
                <w:color w:val="000000"/>
              </w:rPr>
              <w:t>of Kelly’s 2022 hourly rate of $</w:t>
            </w:r>
            <w:r w:rsidR="005F0FFE">
              <w:rPr>
                <w:color w:val="000000"/>
              </w:rPr>
              <w:t xml:space="preserve">570.00 </w:t>
            </w:r>
            <w:r w:rsidR="006A4D83">
              <w:rPr>
                <w:color w:val="000000"/>
              </w:rPr>
              <w:t xml:space="preserve">adopted here for a </w:t>
            </w:r>
            <w:r w:rsidR="007B06DE">
              <w:rPr>
                <w:color w:val="000000"/>
              </w:rPr>
              <w:t>2022 rate of $285.00 for the preparation of this claim.</w:t>
            </w:r>
          </w:p>
          <w:p w:rsidR="00B4265F" w:rsidP="00CE43F2" w:rsidRDefault="00B4265F" w14:paraId="4EDE30CE" w14:textId="77777777">
            <w:pPr>
              <w:pStyle w:val="ListBullet"/>
              <w:numPr>
                <w:ilvl w:val="0"/>
                <w:numId w:val="0"/>
              </w:numPr>
              <w:rPr>
                <w:color w:val="000000"/>
              </w:rPr>
            </w:pPr>
          </w:p>
          <w:p w:rsidR="004F1681" w:rsidP="00CE43F2" w:rsidRDefault="00B4265F" w14:paraId="67296F08" w14:textId="6D3E1B93">
            <w:pPr>
              <w:pStyle w:val="ListBullet"/>
              <w:numPr>
                <w:ilvl w:val="0"/>
                <w:numId w:val="0"/>
              </w:numPr>
              <w:rPr>
                <w:color w:val="000000"/>
              </w:rPr>
            </w:pPr>
            <w:r>
              <w:rPr>
                <w:color w:val="000000"/>
              </w:rPr>
              <w:t xml:space="preserve">EDF requested a 2023 hourly rate of </w:t>
            </w:r>
            <w:r w:rsidR="00D90ADD">
              <w:rPr>
                <w:color w:val="000000"/>
              </w:rPr>
              <w:t xml:space="preserve">$710.00 for Kelly. Given the 2023 Legal – Attorney – Level V rate range is </w:t>
            </w:r>
            <w:r w:rsidRPr="00FB7152" w:rsidR="006F366B">
              <w:rPr>
                <w:color w:val="000000"/>
              </w:rPr>
              <w:t>$534.32 to $747.04 with a median of $654.32</w:t>
            </w:r>
            <w:r w:rsidR="006F366B">
              <w:rPr>
                <w:color w:val="000000"/>
              </w:rPr>
              <w:t>, we find a</w:t>
            </w:r>
            <w:r w:rsidR="00562CFE">
              <w:rPr>
                <w:color w:val="000000"/>
              </w:rPr>
              <w:t xml:space="preserve"> 2023 hourly rate of $625.00 to be reasonable for Kelly and apply </w:t>
            </w:r>
            <w:r w:rsidR="004777E9">
              <w:rPr>
                <w:color w:val="000000"/>
              </w:rPr>
              <w:t xml:space="preserve">it </w:t>
            </w:r>
            <w:r w:rsidR="009B491F">
              <w:rPr>
                <w:color w:val="000000"/>
              </w:rPr>
              <w:t>here</w:t>
            </w:r>
            <w:r w:rsidR="004777E9">
              <w:rPr>
                <w:color w:val="000000"/>
              </w:rPr>
              <w:t>.</w:t>
            </w:r>
            <w:r w:rsidR="00565089">
              <w:rPr>
                <w:color w:val="000000"/>
              </w:rPr>
              <w:t xml:space="preserve"> </w:t>
            </w:r>
          </w:p>
          <w:p w:rsidR="004F1681" w:rsidP="00CE43F2" w:rsidRDefault="004F1681" w14:paraId="70B7FE13" w14:textId="77777777">
            <w:pPr>
              <w:pStyle w:val="ListBullet"/>
              <w:numPr>
                <w:ilvl w:val="0"/>
                <w:numId w:val="0"/>
              </w:numPr>
              <w:rPr>
                <w:color w:val="000000"/>
              </w:rPr>
            </w:pPr>
          </w:p>
          <w:p w:rsidR="00B4265F" w:rsidRDefault="00565089" w14:paraId="609A0BF0" w14:textId="1C6884B6">
            <w:pPr>
              <w:pStyle w:val="ListBullet"/>
              <w:numPr>
                <w:ilvl w:val="0"/>
                <w:numId w:val="0"/>
              </w:numPr>
              <w:rPr>
                <w:color w:val="000000"/>
              </w:rPr>
            </w:pPr>
            <w:r>
              <w:rPr>
                <w:color w:val="000000"/>
              </w:rPr>
              <w:t xml:space="preserve">We apply one-half of Kelly’s 2023 hourly rate of $625.00 adopted here for a 2023 rate </w:t>
            </w:r>
            <w:r w:rsidR="00A7073F">
              <w:rPr>
                <w:color w:val="000000"/>
              </w:rPr>
              <w:t>of $312.50 for the preparation of this claim.</w:t>
            </w:r>
          </w:p>
          <w:p w:rsidR="008C15C2" w:rsidP="00A4526F" w:rsidRDefault="008C15C2" w14:paraId="5CE657C2" w14:textId="77777777">
            <w:pPr>
              <w:tabs>
                <w:tab w:val="left" w:pos="1440"/>
              </w:tabs>
              <w:rPr>
                <w:color w:val="000000"/>
              </w:rPr>
            </w:pPr>
          </w:p>
          <w:p w:rsidRPr="00F76780" w:rsidR="00F76780" w:rsidP="00A4526F" w:rsidRDefault="00F76780" w14:paraId="143C9CB4" w14:textId="0C35684D">
            <w:pPr>
              <w:pStyle w:val="ListBullet"/>
              <w:numPr>
                <w:ilvl w:val="0"/>
                <w:numId w:val="0"/>
              </w:numPr>
              <w:rPr>
                <w:color w:val="000000"/>
              </w:rPr>
            </w:pPr>
            <w:r w:rsidRPr="00F76780">
              <w:rPr>
                <w:color w:val="000000"/>
              </w:rPr>
              <w:t>The award determined herein for the consultant’s contribution in this proceeding shall be paid in full to the consultant, and no portion of this part of the award shall be kept by the intervenor. Additionally, the rates approved here are specific to work in this proceeding and the contract terms between the consultant and intervenor, as they are established in accordance with the Commission’s policy on consultant compensation, and the understanding that the consultant has not billed or collected full compensation for the work performed until</w:t>
            </w:r>
            <w:r w:rsidR="00BA62EB">
              <w:rPr>
                <w:color w:val="000000"/>
              </w:rPr>
              <w:t xml:space="preserve"> the</w:t>
            </w:r>
            <w:r w:rsidRPr="00F76780">
              <w:rPr>
                <w:color w:val="000000"/>
              </w:rPr>
              <w:t xml:space="preserve"> final award is given. </w:t>
            </w:r>
          </w:p>
          <w:p w:rsidRPr="00F76780" w:rsidR="00F76780" w:rsidP="00F76780" w:rsidRDefault="00F76780" w14:paraId="7454648D" w14:textId="77777777">
            <w:pPr>
              <w:tabs>
                <w:tab w:val="left" w:pos="1440"/>
              </w:tabs>
              <w:rPr>
                <w:color w:val="000000"/>
              </w:rPr>
            </w:pPr>
            <w:r w:rsidRPr="00F76780">
              <w:rPr>
                <w:color w:val="000000"/>
              </w:rPr>
              <w:t> </w:t>
            </w:r>
          </w:p>
          <w:p w:rsidRPr="007F620E" w:rsidR="006A5FC4" w:rsidP="006A5FC4" w:rsidRDefault="00F76780" w14:paraId="45BFCB16" w14:textId="3E7EBAB3">
            <w:pPr>
              <w:tabs>
                <w:tab w:val="left" w:pos="1440"/>
              </w:tabs>
              <w:rPr>
                <w:color w:val="000000"/>
              </w:rPr>
            </w:pPr>
            <w:r w:rsidRPr="00F76780">
              <w:rPr>
                <w:color w:val="000000"/>
              </w:rPr>
              <w:t xml:space="preserve">We reiterate that it is the responsibility of the intervenor to be forthcoming about engaging consultants </w:t>
            </w:r>
            <w:r w:rsidRPr="007555FA">
              <w:rPr>
                <w:color w:val="000000"/>
              </w:rPr>
              <w:t xml:space="preserve">and </w:t>
            </w:r>
            <w:r w:rsidRPr="00B34F2A">
              <w:rPr>
                <w:color w:val="000000"/>
              </w:rPr>
              <w:t>the terms of the contract</w:t>
            </w:r>
            <w:r w:rsidRPr="00F76780">
              <w:rPr>
                <w:color w:val="000000"/>
              </w:rPr>
              <w:t xml:space="preserve">, to adhere to the Commission’s policy on compensation for consultant fees, and to provide the appropriate documentation with the </w:t>
            </w:r>
            <w:r w:rsidRPr="00B34F2A">
              <w:rPr>
                <w:color w:val="000000"/>
              </w:rPr>
              <w:t>initial</w:t>
            </w:r>
            <w:r w:rsidRPr="00F76780">
              <w:rPr>
                <w:color w:val="000000"/>
              </w:rPr>
              <w:t xml:space="preserve"> claim to ensure efficient </w:t>
            </w:r>
            <w:r w:rsidRPr="00F76780" w:rsidR="005E2C03">
              <w:rPr>
                <w:color w:val="000000"/>
              </w:rPr>
              <w:t>processing and</w:t>
            </w:r>
            <w:r w:rsidRPr="00F76780">
              <w:rPr>
                <w:color w:val="000000"/>
              </w:rPr>
              <w:t xml:space="preserve"> thus avoid the need for the Commission to request supplemental documentation. In this instance, </w:t>
            </w:r>
            <w:r w:rsidR="00FB293B">
              <w:rPr>
                <w:color w:val="000000"/>
              </w:rPr>
              <w:t>the Commission needed to request supplemental</w:t>
            </w:r>
            <w:r w:rsidRPr="00F76780">
              <w:rPr>
                <w:color w:val="000000"/>
              </w:rPr>
              <w:t xml:space="preserve"> documentation pertaining to the contract terms between EDF and Kelly which delays the processing of the claim. </w:t>
            </w:r>
          </w:p>
        </w:tc>
      </w:tr>
      <w:tr w:rsidRPr="007F620E" w:rsidR="007943EA" w:rsidTr="00A4526F" w14:paraId="52155EFC" w14:textId="77777777">
        <w:tc>
          <w:tcPr>
            <w:tcW w:w="1616" w:type="dxa"/>
          </w:tcPr>
          <w:p w:rsidRPr="007F620E" w:rsidR="007943EA" w:rsidP="007943EA" w:rsidRDefault="007943EA" w14:paraId="26487933" w14:textId="1B73C5DF">
            <w:pPr>
              <w:tabs>
                <w:tab w:val="left" w:pos="1440"/>
              </w:tabs>
              <w:rPr>
                <w:color w:val="000000"/>
              </w:rPr>
            </w:pPr>
            <w:r>
              <w:rPr>
                <w:color w:val="000000"/>
              </w:rPr>
              <w:lastRenderedPageBreak/>
              <w:t>[2] Colvin 2021 &amp; 2022 Hourly Rates</w:t>
            </w:r>
          </w:p>
        </w:tc>
        <w:tc>
          <w:tcPr>
            <w:tcW w:w="7744" w:type="dxa"/>
          </w:tcPr>
          <w:p w:rsidR="003E76BF" w:rsidP="003E76BF" w:rsidRDefault="003E76BF" w14:paraId="512C7E20" w14:textId="60632C98">
            <w:pPr>
              <w:tabs>
                <w:tab w:val="left" w:pos="1440"/>
              </w:tabs>
              <w:rPr>
                <w:color w:val="000000"/>
              </w:rPr>
            </w:pPr>
            <w:r>
              <w:rPr>
                <w:color w:val="000000"/>
              </w:rPr>
              <w:t>D.22-11-037 approved a 2021 rate of $480</w:t>
            </w:r>
            <w:r w:rsidR="00AC2F39">
              <w:rPr>
                <w:color w:val="000000"/>
              </w:rPr>
              <w:t>.00</w:t>
            </w:r>
            <w:r>
              <w:rPr>
                <w:color w:val="000000"/>
              </w:rPr>
              <w:t xml:space="preserve"> for Colvin.</w:t>
            </w:r>
          </w:p>
          <w:p w:rsidRPr="007F620E" w:rsidR="007943EA" w:rsidP="003E76BF" w:rsidRDefault="003E76BF" w14:paraId="455E6A00" w14:textId="56CBB94B">
            <w:pPr>
              <w:tabs>
                <w:tab w:val="left" w:pos="1440"/>
              </w:tabs>
              <w:rPr>
                <w:color w:val="000000"/>
              </w:rPr>
            </w:pPr>
            <w:r>
              <w:rPr>
                <w:color w:val="000000"/>
              </w:rPr>
              <w:t>D.24-05-026 approved a 2022 rate of $505</w:t>
            </w:r>
            <w:r w:rsidR="00AC2F39">
              <w:rPr>
                <w:color w:val="000000"/>
              </w:rPr>
              <w:t>.00</w:t>
            </w:r>
            <w:r>
              <w:rPr>
                <w:color w:val="000000"/>
              </w:rPr>
              <w:t xml:space="preserve"> for Colvin.</w:t>
            </w:r>
          </w:p>
        </w:tc>
      </w:tr>
      <w:tr w:rsidRPr="007F620E" w:rsidR="00C56205" w:rsidTr="00A4526F" w14:paraId="112EF8B0" w14:textId="77777777">
        <w:tc>
          <w:tcPr>
            <w:tcW w:w="1616" w:type="dxa"/>
          </w:tcPr>
          <w:p w:rsidR="00C56205" w:rsidP="00C56205" w:rsidRDefault="00C56205" w14:paraId="2E6C465F" w14:textId="27607FE1">
            <w:pPr>
              <w:tabs>
                <w:tab w:val="left" w:pos="1440"/>
              </w:tabs>
              <w:rPr>
                <w:color w:val="000000"/>
              </w:rPr>
            </w:pPr>
            <w:r>
              <w:rPr>
                <w:color w:val="000000"/>
              </w:rPr>
              <w:t>[3] McCann 2021 &amp; 2022 Hourly Rates</w:t>
            </w:r>
          </w:p>
        </w:tc>
        <w:tc>
          <w:tcPr>
            <w:tcW w:w="7744" w:type="dxa"/>
          </w:tcPr>
          <w:p w:rsidR="00C56205" w:rsidP="00C56205" w:rsidRDefault="00C56205" w14:paraId="223DC6B3" w14:textId="45172F58">
            <w:pPr>
              <w:tabs>
                <w:tab w:val="left" w:pos="1440"/>
              </w:tabs>
              <w:rPr>
                <w:color w:val="000000"/>
              </w:rPr>
            </w:pPr>
            <w:r>
              <w:rPr>
                <w:color w:val="000000"/>
              </w:rPr>
              <w:t xml:space="preserve">Upon further review, we note </w:t>
            </w:r>
            <w:r w:rsidR="009B491F">
              <w:rPr>
                <w:color w:val="000000"/>
              </w:rPr>
              <w:t xml:space="preserve">that </w:t>
            </w:r>
            <w:r>
              <w:rPr>
                <w:color w:val="000000"/>
              </w:rPr>
              <w:t>EDF fail</w:t>
            </w:r>
            <w:r w:rsidR="009B491F">
              <w:rPr>
                <w:color w:val="000000"/>
              </w:rPr>
              <w:t>ed</w:t>
            </w:r>
            <w:r>
              <w:rPr>
                <w:color w:val="000000"/>
              </w:rPr>
              <w:t xml:space="preserve"> to identify McCann as a consultant, instead of a full-time staff member of EDF. The Commission requested supplemental documentation be submitted by EDF to verify McCann’s 2021 and 2022 consultant rates. The documentation provided by EDF verified a 2022 hourly rate of $269</w:t>
            </w:r>
            <w:r w:rsidR="00AC2F39">
              <w:rPr>
                <w:color w:val="000000"/>
              </w:rPr>
              <w:t>.00</w:t>
            </w:r>
            <w:r>
              <w:rPr>
                <w:color w:val="000000"/>
              </w:rPr>
              <w:t xml:space="preserve"> and a 2023 hourly rate of $282</w:t>
            </w:r>
            <w:r w:rsidR="00AC2F39">
              <w:rPr>
                <w:color w:val="000000"/>
              </w:rPr>
              <w:t>.00</w:t>
            </w:r>
            <w:r>
              <w:rPr>
                <w:color w:val="000000"/>
              </w:rPr>
              <w:t xml:space="preserve"> for McCann. We apply the</w:t>
            </w:r>
            <w:r w:rsidR="009B491F">
              <w:rPr>
                <w:color w:val="000000"/>
              </w:rPr>
              <w:t>se</w:t>
            </w:r>
            <w:r>
              <w:rPr>
                <w:color w:val="000000"/>
              </w:rPr>
              <w:t xml:space="preserve"> rates </w:t>
            </w:r>
            <w:r w:rsidR="009B491F">
              <w:rPr>
                <w:color w:val="000000"/>
              </w:rPr>
              <w:t xml:space="preserve">here </w:t>
            </w:r>
            <w:r>
              <w:rPr>
                <w:color w:val="000000"/>
              </w:rPr>
              <w:t xml:space="preserve">for McCann’s work performed in this </w:t>
            </w:r>
            <w:r w:rsidR="009B491F">
              <w:rPr>
                <w:color w:val="000000"/>
              </w:rPr>
              <w:t>proceeding</w:t>
            </w:r>
            <w:r>
              <w:rPr>
                <w:color w:val="000000"/>
              </w:rPr>
              <w:t xml:space="preserve">. </w:t>
            </w:r>
          </w:p>
          <w:p w:rsidR="00332645" w:rsidP="00C56205" w:rsidRDefault="00332645" w14:paraId="1263D89E" w14:textId="77777777">
            <w:pPr>
              <w:tabs>
                <w:tab w:val="left" w:pos="1440"/>
              </w:tabs>
              <w:rPr>
                <w:color w:val="000000"/>
              </w:rPr>
            </w:pPr>
          </w:p>
          <w:p w:rsidR="00332645" w:rsidP="00C56205" w:rsidRDefault="00332645" w14:paraId="0AD464E2" w14:textId="3C7369F2">
            <w:pPr>
              <w:tabs>
                <w:tab w:val="left" w:pos="1440"/>
              </w:tabs>
              <w:rPr>
                <w:color w:val="000000"/>
              </w:rPr>
            </w:pPr>
          </w:p>
        </w:tc>
      </w:tr>
      <w:tr w:rsidRPr="007F620E" w:rsidR="006C74E3" w:rsidTr="00A4526F" w14:paraId="7A0A5432" w14:textId="77777777">
        <w:tc>
          <w:tcPr>
            <w:tcW w:w="1616" w:type="dxa"/>
          </w:tcPr>
          <w:p w:rsidR="006C74E3" w:rsidP="006C74E3" w:rsidRDefault="006C74E3" w14:paraId="4B0B16E4" w14:textId="68811BF3">
            <w:pPr>
              <w:tabs>
                <w:tab w:val="left" w:pos="1440"/>
              </w:tabs>
              <w:rPr>
                <w:color w:val="000000"/>
              </w:rPr>
            </w:pPr>
            <w:r>
              <w:rPr>
                <w:color w:val="000000"/>
              </w:rPr>
              <w:t xml:space="preserve">[4] Seong 2022 &amp; 2023 </w:t>
            </w:r>
            <w:r w:rsidR="00A7720F">
              <w:rPr>
                <w:color w:val="000000"/>
              </w:rPr>
              <w:t xml:space="preserve">Hourly Rates and </w:t>
            </w:r>
            <w:r w:rsidR="00345B68">
              <w:rPr>
                <w:color w:val="000000"/>
              </w:rPr>
              <w:t xml:space="preserve">Preparation </w:t>
            </w:r>
            <w:r>
              <w:rPr>
                <w:color w:val="000000"/>
              </w:rPr>
              <w:t>Hourly Rates</w:t>
            </w:r>
          </w:p>
        </w:tc>
        <w:tc>
          <w:tcPr>
            <w:tcW w:w="7744" w:type="dxa"/>
          </w:tcPr>
          <w:p w:rsidR="00CB58A8" w:rsidP="00BB458A" w:rsidRDefault="00BB458A" w14:paraId="428BD11A" w14:textId="789A1212">
            <w:pPr>
              <w:tabs>
                <w:tab w:val="left" w:pos="1440"/>
              </w:tabs>
              <w:rPr>
                <w:lang w:eastAsia="zh-CN"/>
              </w:rPr>
            </w:pPr>
            <w:r>
              <w:rPr>
                <w:lang w:eastAsia="zh-CN"/>
              </w:rPr>
              <w:t xml:space="preserve">D.23-11-064 verified that Seong had </w:t>
            </w:r>
            <w:r w:rsidR="006C2B97">
              <w:rPr>
                <w:lang w:eastAsia="zh-CN"/>
              </w:rPr>
              <w:t xml:space="preserve">more than </w:t>
            </w:r>
            <w:r>
              <w:rPr>
                <w:lang w:eastAsia="zh-CN"/>
              </w:rPr>
              <w:t xml:space="preserve">2 years but less than five </w:t>
            </w:r>
            <w:r w:rsidRPr="00200275" w:rsidR="00200275">
              <w:rPr>
                <w:lang w:eastAsia="zh-CN"/>
              </w:rPr>
              <w:t>of policy analysis experience</w:t>
            </w:r>
            <w:r w:rsidR="00200275">
              <w:rPr>
                <w:lang w:eastAsia="zh-CN"/>
              </w:rPr>
              <w:t xml:space="preserve"> </w:t>
            </w:r>
            <w:r>
              <w:rPr>
                <w:lang w:eastAsia="zh-CN"/>
              </w:rPr>
              <w:t>in 2022, appropriately placing him within the</w:t>
            </w:r>
            <w:r w:rsidR="00E739FC">
              <w:rPr>
                <w:lang w:eastAsia="zh-CN"/>
              </w:rPr>
              <w:t xml:space="preserve"> Expert – </w:t>
            </w:r>
            <w:r>
              <w:rPr>
                <w:lang w:eastAsia="zh-CN"/>
              </w:rPr>
              <w:t xml:space="preserve">Public Policy Analyst – </w:t>
            </w:r>
            <w:r w:rsidR="00E739FC">
              <w:rPr>
                <w:lang w:eastAsia="zh-CN"/>
              </w:rPr>
              <w:t xml:space="preserve">Level </w:t>
            </w:r>
            <w:r>
              <w:rPr>
                <w:lang w:eastAsia="zh-CN"/>
              </w:rPr>
              <w:t xml:space="preserve">II </w:t>
            </w:r>
            <w:r w:rsidR="002D2A45">
              <w:rPr>
                <w:lang w:eastAsia="zh-CN"/>
              </w:rPr>
              <w:t>classification</w:t>
            </w:r>
            <w:r w:rsidR="00200275">
              <w:rPr>
                <w:lang w:eastAsia="zh-CN"/>
              </w:rPr>
              <w:t>,</w:t>
            </w:r>
            <w:r w:rsidR="002D2A45">
              <w:rPr>
                <w:lang w:eastAsia="zh-CN"/>
              </w:rPr>
              <w:t xml:space="preserve"> with</w:t>
            </w:r>
            <w:r>
              <w:rPr>
                <w:lang w:eastAsia="zh-CN"/>
              </w:rPr>
              <w:t xml:space="preserve"> a</w:t>
            </w:r>
            <w:r w:rsidR="00E739FC">
              <w:rPr>
                <w:lang w:eastAsia="zh-CN"/>
              </w:rPr>
              <w:t xml:space="preserve">n hourly </w:t>
            </w:r>
            <w:r>
              <w:rPr>
                <w:lang w:eastAsia="zh-CN"/>
              </w:rPr>
              <w:t>rate of $225</w:t>
            </w:r>
            <w:r w:rsidR="00E739FC">
              <w:rPr>
                <w:lang w:eastAsia="zh-CN"/>
              </w:rPr>
              <w:t xml:space="preserve"> for 2022</w:t>
            </w:r>
            <w:r>
              <w:rPr>
                <w:lang w:eastAsia="zh-CN"/>
              </w:rPr>
              <w:t xml:space="preserve"> and $24</w:t>
            </w:r>
            <w:r w:rsidR="00336D93">
              <w:rPr>
                <w:lang w:eastAsia="zh-CN"/>
              </w:rPr>
              <w:t>5 in 2023</w:t>
            </w:r>
            <w:r w:rsidR="002D2A45">
              <w:rPr>
                <w:lang w:eastAsia="zh-CN"/>
              </w:rPr>
              <w:t>.</w:t>
            </w:r>
            <w:r>
              <w:rPr>
                <w:lang w:eastAsia="zh-CN"/>
              </w:rPr>
              <w:t xml:space="preserve"> </w:t>
            </w:r>
            <w:r w:rsidRPr="008103E4" w:rsidR="002D2A45">
              <w:rPr>
                <w:lang w:eastAsia="zh-CN"/>
              </w:rPr>
              <w:t>Unlike in this claim, EDF did not request a</w:t>
            </w:r>
            <w:r w:rsidR="002D2A45">
              <w:rPr>
                <w:lang w:eastAsia="zh-CN"/>
              </w:rPr>
              <w:t xml:space="preserve"> 5%</w:t>
            </w:r>
            <w:r w:rsidRPr="008103E4" w:rsidR="002D2A45">
              <w:rPr>
                <w:lang w:eastAsia="zh-CN"/>
              </w:rPr>
              <w:t xml:space="preserve"> step increase for 2022 in D.23-11-064. If EDF </w:t>
            </w:r>
            <w:r w:rsidR="00CE266F">
              <w:rPr>
                <w:lang w:eastAsia="zh-CN"/>
              </w:rPr>
              <w:t>intended</w:t>
            </w:r>
            <w:r w:rsidRPr="008103E4" w:rsidR="00CE266F">
              <w:rPr>
                <w:lang w:eastAsia="zh-CN"/>
              </w:rPr>
              <w:t xml:space="preserve"> </w:t>
            </w:r>
            <w:r w:rsidRPr="008103E4" w:rsidR="002D2A45">
              <w:rPr>
                <w:lang w:eastAsia="zh-CN"/>
              </w:rPr>
              <w:t xml:space="preserve">to </w:t>
            </w:r>
            <w:r w:rsidR="00CE266F">
              <w:rPr>
                <w:lang w:eastAsia="zh-CN"/>
              </w:rPr>
              <w:t xml:space="preserve">seek </w:t>
            </w:r>
            <w:r w:rsidRPr="008103E4" w:rsidR="002D2A45">
              <w:rPr>
                <w:lang w:eastAsia="zh-CN"/>
              </w:rPr>
              <w:t xml:space="preserve">a step increase for </w:t>
            </w:r>
            <w:r w:rsidR="00E764B0">
              <w:rPr>
                <w:lang w:eastAsia="zh-CN"/>
              </w:rPr>
              <w:t xml:space="preserve">Seong’s work in </w:t>
            </w:r>
            <w:r w:rsidRPr="008103E4" w:rsidR="002D2A45">
              <w:rPr>
                <w:lang w:eastAsia="zh-CN"/>
              </w:rPr>
              <w:t xml:space="preserve">2022, </w:t>
            </w:r>
            <w:r w:rsidR="00E764B0">
              <w:rPr>
                <w:lang w:eastAsia="zh-CN"/>
              </w:rPr>
              <w:t>it</w:t>
            </w:r>
            <w:r w:rsidRPr="008103E4" w:rsidR="002D2A45">
              <w:rPr>
                <w:lang w:eastAsia="zh-CN"/>
              </w:rPr>
              <w:t xml:space="preserve"> should have </w:t>
            </w:r>
            <w:r w:rsidR="00E764B0">
              <w:rPr>
                <w:lang w:eastAsia="zh-CN"/>
              </w:rPr>
              <w:t xml:space="preserve">consistently </w:t>
            </w:r>
            <w:r w:rsidRPr="008103E4" w:rsidR="002D2A45">
              <w:rPr>
                <w:lang w:eastAsia="zh-CN"/>
              </w:rPr>
              <w:t>requested step increases in e</w:t>
            </w:r>
            <w:r w:rsidR="00E764B0">
              <w:rPr>
                <w:lang w:eastAsia="zh-CN"/>
              </w:rPr>
              <w:t>ach</w:t>
            </w:r>
            <w:r w:rsidRPr="008103E4" w:rsidR="002D2A45">
              <w:rPr>
                <w:lang w:eastAsia="zh-CN"/>
              </w:rPr>
              <w:t xml:space="preserve"> </w:t>
            </w:r>
            <w:r w:rsidR="00E764B0">
              <w:rPr>
                <w:lang w:eastAsia="zh-CN"/>
              </w:rPr>
              <w:t xml:space="preserve">compensation </w:t>
            </w:r>
            <w:r w:rsidRPr="008103E4" w:rsidR="002D2A45">
              <w:rPr>
                <w:lang w:eastAsia="zh-CN"/>
              </w:rPr>
              <w:t xml:space="preserve">request </w:t>
            </w:r>
            <w:r w:rsidR="00275BAD">
              <w:rPr>
                <w:lang w:eastAsia="zh-CN"/>
              </w:rPr>
              <w:t xml:space="preserve">involving </w:t>
            </w:r>
            <w:r w:rsidR="00E57D00">
              <w:rPr>
                <w:lang w:eastAsia="zh-CN"/>
              </w:rPr>
              <w:t>Seong</w:t>
            </w:r>
            <w:r w:rsidR="009B69FF">
              <w:rPr>
                <w:lang w:eastAsia="zh-CN"/>
              </w:rPr>
              <w:t>’s</w:t>
            </w:r>
            <w:r w:rsidR="00E57D00">
              <w:rPr>
                <w:lang w:eastAsia="zh-CN"/>
              </w:rPr>
              <w:t xml:space="preserve"> 2022</w:t>
            </w:r>
            <w:r w:rsidR="00275BAD">
              <w:rPr>
                <w:lang w:eastAsia="zh-CN"/>
              </w:rPr>
              <w:t xml:space="preserve"> hours</w:t>
            </w:r>
            <w:r w:rsidRPr="008103E4" w:rsidR="002D2A45">
              <w:rPr>
                <w:lang w:eastAsia="zh-CN"/>
              </w:rPr>
              <w:t xml:space="preserve">. </w:t>
            </w:r>
            <w:r w:rsidR="00275BAD">
              <w:rPr>
                <w:lang w:eastAsia="zh-CN"/>
              </w:rPr>
              <w:t xml:space="preserve">Because that did not occur, </w:t>
            </w:r>
            <w:r w:rsidRPr="008103E4" w:rsidR="002D2A45">
              <w:rPr>
                <w:lang w:eastAsia="zh-CN"/>
              </w:rPr>
              <w:t xml:space="preserve">we cannot retroactively </w:t>
            </w:r>
            <w:r w:rsidR="008E29B6">
              <w:rPr>
                <w:lang w:eastAsia="zh-CN"/>
              </w:rPr>
              <w:t xml:space="preserve">apply </w:t>
            </w:r>
            <w:r w:rsidRPr="008103E4" w:rsidR="002D2A45">
              <w:rPr>
                <w:lang w:eastAsia="zh-CN"/>
              </w:rPr>
              <w:t xml:space="preserve">a step increase </w:t>
            </w:r>
            <w:r w:rsidR="008E29B6">
              <w:rPr>
                <w:lang w:eastAsia="zh-CN"/>
              </w:rPr>
              <w:t>for</w:t>
            </w:r>
            <w:r w:rsidR="00CA07E3">
              <w:rPr>
                <w:lang w:eastAsia="zh-CN"/>
              </w:rPr>
              <w:t xml:space="preserve"> </w:t>
            </w:r>
            <w:r w:rsidRPr="008103E4" w:rsidR="002D2A45">
              <w:rPr>
                <w:lang w:eastAsia="zh-CN"/>
              </w:rPr>
              <w:t>2022</w:t>
            </w:r>
            <w:r w:rsidR="008E29B6">
              <w:rPr>
                <w:lang w:eastAsia="zh-CN"/>
              </w:rPr>
              <w:t xml:space="preserve"> in this proceeding</w:t>
            </w:r>
            <w:r w:rsidR="00336D93">
              <w:rPr>
                <w:lang w:eastAsia="zh-CN"/>
              </w:rPr>
              <w:t xml:space="preserve">. </w:t>
            </w:r>
          </w:p>
          <w:p w:rsidR="00CB58A8" w:rsidP="00BB458A" w:rsidRDefault="00CB58A8" w14:paraId="5464A0A6" w14:textId="77777777">
            <w:pPr>
              <w:tabs>
                <w:tab w:val="left" w:pos="1440"/>
              </w:tabs>
              <w:rPr>
                <w:lang w:eastAsia="zh-CN"/>
              </w:rPr>
            </w:pPr>
          </w:p>
          <w:p w:rsidR="00D25CAC" w:rsidP="00BB458A" w:rsidRDefault="00D25CAC" w14:paraId="5A17A564" w14:textId="63B06E14">
            <w:pPr>
              <w:tabs>
                <w:tab w:val="left" w:pos="1440"/>
              </w:tabs>
              <w:rPr>
                <w:lang w:eastAsia="zh-CN"/>
              </w:rPr>
            </w:pPr>
            <w:r>
              <w:rPr>
                <w:color w:val="000000"/>
              </w:rPr>
              <w:t xml:space="preserve">We note that </w:t>
            </w:r>
            <w:r w:rsidRPr="009E7725">
              <w:rPr>
                <w:color w:val="000000"/>
              </w:rPr>
              <w:t xml:space="preserve">D.23-11-115 </w:t>
            </w:r>
            <w:r>
              <w:rPr>
                <w:color w:val="000000"/>
              </w:rPr>
              <w:t xml:space="preserve">and D.24-03-028 </w:t>
            </w:r>
            <w:r w:rsidR="003951F9">
              <w:rPr>
                <w:color w:val="000000"/>
              </w:rPr>
              <w:t xml:space="preserve">incorrectly </w:t>
            </w:r>
            <w:r>
              <w:rPr>
                <w:color w:val="000000"/>
              </w:rPr>
              <w:t>authorized</w:t>
            </w:r>
            <w:r w:rsidRPr="009E7725">
              <w:rPr>
                <w:color w:val="000000"/>
              </w:rPr>
              <w:t xml:space="preserve"> a 202</w:t>
            </w:r>
            <w:r>
              <w:rPr>
                <w:color w:val="000000"/>
              </w:rPr>
              <w:t>2</w:t>
            </w:r>
            <w:r w:rsidRPr="009E7725">
              <w:rPr>
                <w:color w:val="000000"/>
              </w:rPr>
              <w:t xml:space="preserve"> hourly rate of $330</w:t>
            </w:r>
            <w:r>
              <w:rPr>
                <w:color w:val="000000"/>
              </w:rPr>
              <w:t xml:space="preserve"> and a 2023 rate of $345</w:t>
            </w:r>
            <w:r w:rsidR="003951F9">
              <w:rPr>
                <w:color w:val="000000"/>
              </w:rPr>
              <w:t xml:space="preserve"> </w:t>
            </w:r>
            <w:r>
              <w:rPr>
                <w:color w:val="000000"/>
              </w:rPr>
              <w:t>for Seong as a</w:t>
            </w:r>
            <w:r w:rsidR="003951F9">
              <w:rPr>
                <w:color w:val="000000"/>
              </w:rPr>
              <w:t xml:space="preserve">n Expert- </w:t>
            </w:r>
            <w:r>
              <w:rPr>
                <w:color w:val="000000"/>
              </w:rPr>
              <w:t>Public Policy A</w:t>
            </w:r>
            <w:r w:rsidR="003951F9">
              <w:rPr>
                <w:color w:val="000000"/>
              </w:rPr>
              <w:t>n</w:t>
            </w:r>
            <w:r>
              <w:rPr>
                <w:color w:val="000000"/>
              </w:rPr>
              <w:t>alyst</w:t>
            </w:r>
            <w:r w:rsidR="003951F9">
              <w:rPr>
                <w:color w:val="000000"/>
              </w:rPr>
              <w:t xml:space="preserve"> - Level</w:t>
            </w:r>
            <w:r>
              <w:rPr>
                <w:color w:val="000000"/>
              </w:rPr>
              <w:t xml:space="preserve"> III</w:t>
            </w:r>
            <w:r w:rsidR="003951F9">
              <w:rPr>
                <w:lang w:eastAsia="zh-CN"/>
              </w:rPr>
              <w:t xml:space="preserve"> (5-10 years of experience)</w:t>
            </w:r>
            <w:r>
              <w:rPr>
                <w:color w:val="000000"/>
              </w:rPr>
              <w:t>. These rates</w:t>
            </w:r>
            <w:r w:rsidRPr="009E7725">
              <w:rPr>
                <w:color w:val="000000"/>
              </w:rPr>
              <w:t xml:space="preserve"> do not align with the</w:t>
            </w:r>
            <w:r>
              <w:rPr>
                <w:color w:val="000000"/>
              </w:rPr>
              <w:t xml:space="preserve"> rates authorized in D.23-11-064 nor reflect the appropriate experience level for Seong as outlined in the Market Rate Study established by Resolution ALJ-393</w:t>
            </w:r>
            <w:r w:rsidRPr="009E7725">
              <w:rPr>
                <w:color w:val="000000"/>
              </w:rPr>
              <w:t xml:space="preserve">. </w:t>
            </w:r>
            <w:r>
              <w:rPr>
                <w:color w:val="000000"/>
              </w:rPr>
              <w:t>W</w:t>
            </w:r>
            <w:r w:rsidRPr="009E7725">
              <w:rPr>
                <w:color w:val="000000"/>
              </w:rPr>
              <w:t xml:space="preserve">e recognize this </w:t>
            </w:r>
            <w:r w:rsidR="003951F9">
              <w:rPr>
                <w:color w:val="000000"/>
              </w:rPr>
              <w:t>error</w:t>
            </w:r>
            <w:r w:rsidRPr="009E7725">
              <w:rPr>
                <w:color w:val="000000"/>
              </w:rPr>
              <w:t xml:space="preserve"> and apply</w:t>
            </w:r>
            <w:r w:rsidR="003951F9">
              <w:rPr>
                <w:color w:val="000000"/>
              </w:rPr>
              <w:t xml:space="preserve"> the </w:t>
            </w:r>
            <w:r>
              <w:rPr>
                <w:color w:val="000000"/>
              </w:rPr>
              <w:t xml:space="preserve">2022 </w:t>
            </w:r>
            <w:r w:rsidR="003951F9">
              <w:rPr>
                <w:color w:val="000000"/>
              </w:rPr>
              <w:t xml:space="preserve">rate </w:t>
            </w:r>
            <w:r>
              <w:rPr>
                <w:color w:val="000000"/>
              </w:rPr>
              <w:t xml:space="preserve">of $225.00 and 2023 </w:t>
            </w:r>
            <w:r w:rsidR="003951F9">
              <w:rPr>
                <w:color w:val="000000"/>
              </w:rPr>
              <w:t xml:space="preserve">rate </w:t>
            </w:r>
            <w:r>
              <w:rPr>
                <w:color w:val="000000"/>
              </w:rPr>
              <w:t xml:space="preserve">of $245 as an Expert-Public Policy Analyst II </w:t>
            </w:r>
            <w:r w:rsidRPr="009E7725">
              <w:rPr>
                <w:color w:val="000000"/>
              </w:rPr>
              <w:t xml:space="preserve">in </w:t>
            </w:r>
            <w:r w:rsidR="003951F9">
              <w:rPr>
                <w:color w:val="000000"/>
              </w:rPr>
              <w:t xml:space="preserve">alignment with </w:t>
            </w:r>
            <w:r w:rsidRPr="009E7725">
              <w:rPr>
                <w:color w:val="000000"/>
              </w:rPr>
              <w:t xml:space="preserve">D.23-11-064 to this claim and </w:t>
            </w:r>
            <w:r>
              <w:rPr>
                <w:color w:val="000000"/>
              </w:rPr>
              <w:t xml:space="preserve">all </w:t>
            </w:r>
            <w:r w:rsidRPr="009E7725">
              <w:rPr>
                <w:color w:val="000000"/>
              </w:rPr>
              <w:t>future claims.</w:t>
            </w:r>
          </w:p>
          <w:p w:rsidR="00D25CAC" w:rsidP="00BB458A" w:rsidRDefault="00D25CAC" w14:paraId="3CCF8B65" w14:textId="77777777">
            <w:pPr>
              <w:tabs>
                <w:tab w:val="left" w:pos="1440"/>
              </w:tabs>
              <w:rPr>
                <w:lang w:eastAsia="zh-CN"/>
              </w:rPr>
            </w:pPr>
          </w:p>
          <w:p w:rsidR="008242D4" w:rsidP="006C74E3" w:rsidRDefault="006C74E3" w14:paraId="0379FDCD" w14:textId="0EB73727">
            <w:pPr>
              <w:tabs>
                <w:tab w:val="left" w:pos="1440"/>
              </w:tabs>
              <w:rPr>
                <w:color w:val="000000"/>
              </w:rPr>
            </w:pPr>
            <w:r w:rsidRPr="003951F9">
              <w:rPr>
                <w:color w:val="000000"/>
              </w:rPr>
              <w:t xml:space="preserve">We apply </w:t>
            </w:r>
            <w:r w:rsidRPr="003951F9" w:rsidR="00C1295E">
              <w:rPr>
                <w:color w:val="000000"/>
              </w:rPr>
              <w:t>one-half</w:t>
            </w:r>
            <w:r w:rsidRPr="003951F9">
              <w:rPr>
                <w:color w:val="000000"/>
              </w:rPr>
              <w:t xml:space="preserve"> of Seong’s 202</w:t>
            </w:r>
            <w:r w:rsidRPr="003951F9" w:rsidR="00C1295E">
              <w:rPr>
                <w:color w:val="000000"/>
              </w:rPr>
              <w:t>2</w:t>
            </w:r>
            <w:r w:rsidRPr="003951F9">
              <w:rPr>
                <w:color w:val="000000"/>
              </w:rPr>
              <w:t xml:space="preserve"> rate of $</w:t>
            </w:r>
            <w:r w:rsidRPr="003951F9" w:rsidR="00C1295E">
              <w:rPr>
                <w:color w:val="000000"/>
              </w:rPr>
              <w:t>225.00</w:t>
            </w:r>
            <w:r w:rsidRPr="003951F9">
              <w:rPr>
                <w:color w:val="000000"/>
              </w:rPr>
              <w:t xml:space="preserve"> for an intervenor compensation preparation rate of $</w:t>
            </w:r>
            <w:r w:rsidRPr="003951F9" w:rsidR="00C1295E">
              <w:rPr>
                <w:color w:val="000000"/>
              </w:rPr>
              <w:t>112.50</w:t>
            </w:r>
            <w:r w:rsidRPr="003951F9">
              <w:rPr>
                <w:color w:val="000000"/>
              </w:rPr>
              <w:t>.</w:t>
            </w:r>
            <w:r w:rsidRPr="003951F9" w:rsidR="00761505">
              <w:rPr>
                <w:color w:val="000000"/>
              </w:rPr>
              <w:t xml:space="preserve"> We apply one-half of Seong’s 2023 rate of $245.00 for an intervenor compensation preparation rate of $12</w:t>
            </w:r>
            <w:r w:rsidRPr="003951F9" w:rsidR="00BC68D8">
              <w:rPr>
                <w:color w:val="000000"/>
              </w:rPr>
              <w:t>2</w:t>
            </w:r>
            <w:r w:rsidRPr="003951F9" w:rsidR="00761505">
              <w:rPr>
                <w:color w:val="000000"/>
              </w:rPr>
              <w:t>.</w:t>
            </w:r>
            <w:r w:rsidRPr="003951F9" w:rsidR="00BC68D8">
              <w:rPr>
                <w:color w:val="000000"/>
              </w:rPr>
              <w:t>5</w:t>
            </w:r>
            <w:r w:rsidRPr="003951F9" w:rsidR="00761505">
              <w:rPr>
                <w:color w:val="000000"/>
              </w:rPr>
              <w:t>0.</w:t>
            </w:r>
            <w:r w:rsidRPr="00CA07E3" w:rsidR="001D55BA">
              <w:rPr>
                <w:color w:val="000000"/>
                <w:highlight w:val="yellow"/>
              </w:rPr>
              <w:t xml:space="preserve"> </w:t>
            </w:r>
          </w:p>
        </w:tc>
      </w:tr>
      <w:tr w:rsidRPr="007F620E" w:rsidR="002C0764" w:rsidTr="002C0764" w14:paraId="65F90475" w14:textId="77777777">
        <w:tc>
          <w:tcPr>
            <w:tcW w:w="1616" w:type="dxa"/>
          </w:tcPr>
          <w:p w:rsidR="002C0764" w:rsidP="008127F2" w:rsidRDefault="002C0764" w14:paraId="45C2CF5E" w14:textId="5C78B1D7">
            <w:pPr>
              <w:tabs>
                <w:tab w:val="left" w:pos="1440"/>
              </w:tabs>
              <w:rPr>
                <w:color w:val="000000"/>
              </w:rPr>
            </w:pPr>
            <w:r>
              <w:rPr>
                <w:color w:val="000000"/>
              </w:rPr>
              <w:t>[</w:t>
            </w:r>
            <w:r w:rsidR="003C4E6D">
              <w:rPr>
                <w:color w:val="000000"/>
              </w:rPr>
              <w:t>5</w:t>
            </w:r>
            <w:r>
              <w:rPr>
                <w:color w:val="000000"/>
              </w:rPr>
              <w:t xml:space="preserve">] </w:t>
            </w:r>
            <w:r w:rsidR="00D74370">
              <w:rPr>
                <w:color w:val="000000"/>
              </w:rPr>
              <w:t xml:space="preserve">Reductions </w:t>
            </w:r>
            <w:r>
              <w:rPr>
                <w:color w:val="000000"/>
              </w:rPr>
              <w:t xml:space="preserve">for </w:t>
            </w:r>
            <w:r w:rsidR="00AE2383">
              <w:rPr>
                <w:color w:val="000000"/>
              </w:rPr>
              <w:t xml:space="preserve">Vagueness and </w:t>
            </w:r>
            <w:r w:rsidR="00D74370">
              <w:rPr>
                <w:color w:val="000000"/>
              </w:rPr>
              <w:t>Lack of</w:t>
            </w:r>
            <w:r>
              <w:rPr>
                <w:color w:val="000000"/>
              </w:rPr>
              <w:t xml:space="preserve"> Substantial Contribut</w:t>
            </w:r>
            <w:r w:rsidR="00363AFD">
              <w:rPr>
                <w:color w:val="000000"/>
              </w:rPr>
              <w:t>ion</w:t>
            </w:r>
            <w:r>
              <w:rPr>
                <w:color w:val="000000"/>
              </w:rPr>
              <w:t xml:space="preserve"> to the </w:t>
            </w:r>
            <w:r>
              <w:rPr>
                <w:color w:val="000000"/>
              </w:rPr>
              <w:lastRenderedPageBreak/>
              <w:t>Decision-Making Process</w:t>
            </w:r>
          </w:p>
        </w:tc>
        <w:tc>
          <w:tcPr>
            <w:tcW w:w="7744" w:type="dxa"/>
          </w:tcPr>
          <w:p w:rsidR="002C0764" w:rsidP="008127F2" w:rsidRDefault="002C0764" w14:paraId="5D9A199F" w14:textId="123D945B">
            <w:pPr>
              <w:tabs>
                <w:tab w:val="left" w:pos="1440"/>
              </w:tabs>
              <w:rPr>
                <w:lang w:eastAsia="zh-CN"/>
              </w:rPr>
            </w:pPr>
            <w:r>
              <w:rPr>
                <w:lang w:eastAsia="zh-CN"/>
              </w:rPr>
              <w:lastRenderedPageBreak/>
              <w:t xml:space="preserve">We </w:t>
            </w:r>
            <w:r w:rsidR="00D74370">
              <w:rPr>
                <w:lang w:eastAsia="zh-CN"/>
              </w:rPr>
              <w:t xml:space="preserve">reduce </w:t>
            </w:r>
            <w:r w:rsidR="0063472D">
              <w:rPr>
                <w:lang w:eastAsia="zh-CN"/>
              </w:rPr>
              <w:t>20.45</w:t>
            </w:r>
            <w:r>
              <w:rPr>
                <w:lang w:eastAsia="zh-CN"/>
              </w:rPr>
              <w:t xml:space="preserve"> hours for </w:t>
            </w:r>
            <w:r w:rsidR="009E543A">
              <w:rPr>
                <w:lang w:eastAsia="zh-CN"/>
              </w:rPr>
              <w:t>lack of</w:t>
            </w:r>
            <w:r>
              <w:rPr>
                <w:lang w:eastAsia="zh-CN"/>
              </w:rPr>
              <w:t xml:space="preserve"> contribut</w:t>
            </w:r>
            <w:r w:rsidR="009E543A">
              <w:rPr>
                <w:lang w:eastAsia="zh-CN"/>
              </w:rPr>
              <w:t>ion</w:t>
            </w:r>
            <w:r>
              <w:rPr>
                <w:lang w:eastAsia="zh-CN"/>
              </w:rPr>
              <w:t xml:space="preserve"> to the decision-making process for the following reasons.</w:t>
            </w:r>
          </w:p>
          <w:p w:rsidRPr="00A4526F" w:rsidR="00FB3CB9" w:rsidP="00DA7E4E" w:rsidRDefault="00FB3CB9" w14:paraId="7327D7D0" w14:textId="1E09BDE2">
            <w:pPr>
              <w:tabs>
                <w:tab w:val="left" w:pos="1440"/>
              </w:tabs>
              <w:spacing w:before="180"/>
              <w:rPr>
                <w:u w:val="single"/>
                <w:lang w:eastAsia="zh-CN"/>
              </w:rPr>
            </w:pPr>
            <w:r>
              <w:rPr>
                <w:u w:val="single"/>
                <w:lang w:eastAsia="zh-CN"/>
              </w:rPr>
              <w:t>Vague Timesheet Entries (</w:t>
            </w:r>
            <w:r w:rsidR="00840FCE">
              <w:rPr>
                <w:u w:val="single"/>
                <w:lang w:eastAsia="zh-CN"/>
              </w:rPr>
              <w:t>7.00</w:t>
            </w:r>
            <w:r>
              <w:rPr>
                <w:u w:val="single"/>
                <w:lang w:eastAsia="zh-CN"/>
              </w:rPr>
              <w:t xml:space="preserve"> hours disallowed)</w:t>
            </w:r>
          </w:p>
          <w:p w:rsidR="002C0764" w:rsidP="00DA7E4E" w:rsidRDefault="009F6924" w14:paraId="7BD5C5BF" w14:textId="32B43C9C">
            <w:pPr>
              <w:tabs>
                <w:tab w:val="left" w:pos="1440"/>
              </w:tabs>
              <w:spacing w:after="120"/>
              <w:rPr>
                <w:lang w:eastAsia="zh-CN"/>
              </w:rPr>
            </w:pPr>
            <w:r>
              <w:rPr>
                <w:lang w:eastAsia="zh-CN"/>
              </w:rPr>
              <w:t>EDF claimed</w:t>
            </w:r>
            <w:r w:rsidR="00C423BB">
              <w:rPr>
                <w:lang w:eastAsia="zh-CN"/>
              </w:rPr>
              <w:t xml:space="preserve"> </w:t>
            </w:r>
            <w:r w:rsidR="00F4080C">
              <w:rPr>
                <w:lang w:eastAsia="zh-CN"/>
              </w:rPr>
              <w:t xml:space="preserve">7.00 </w:t>
            </w:r>
            <w:r w:rsidR="00C423BB">
              <w:rPr>
                <w:lang w:eastAsia="zh-CN"/>
              </w:rPr>
              <w:t xml:space="preserve">hours </w:t>
            </w:r>
            <w:r w:rsidR="00A466CF">
              <w:rPr>
                <w:lang w:eastAsia="zh-CN"/>
              </w:rPr>
              <w:t xml:space="preserve">across </w:t>
            </w:r>
            <w:r w:rsidR="00840FCE">
              <w:rPr>
                <w:lang w:eastAsia="zh-CN"/>
              </w:rPr>
              <w:t>10</w:t>
            </w:r>
            <w:r>
              <w:rPr>
                <w:lang w:eastAsia="zh-CN"/>
              </w:rPr>
              <w:t xml:space="preserve"> timesheet entries for </w:t>
            </w:r>
            <w:r w:rsidR="00C423BB">
              <w:rPr>
                <w:lang w:eastAsia="zh-CN"/>
              </w:rPr>
              <w:t xml:space="preserve">McCann where </w:t>
            </w:r>
            <w:r w:rsidR="00D741C7">
              <w:rPr>
                <w:lang w:eastAsia="zh-CN"/>
              </w:rPr>
              <w:t xml:space="preserve">the description </w:t>
            </w:r>
            <w:r w:rsidR="00A466CF">
              <w:rPr>
                <w:lang w:eastAsia="zh-CN"/>
              </w:rPr>
              <w:t>lacked</w:t>
            </w:r>
            <w:r w:rsidR="00911C12">
              <w:rPr>
                <w:lang w:eastAsia="zh-CN"/>
              </w:rPr>
              <w:t xml:space="preserve"> </w:t>
            </w:r>
            <w:r w:rsidR="00F46B83">
              <w:rPr>
                <w:lang w:eastAsia="zh-CN"/>
              </w:rPr>
              <w:t>sufficient</w:t>
            </w:r>
            <w:r w:rsidR="00911C12">
              <w:rPr>
                <w:lang w:eastAsia="zh-CN"/>
              </w:rPr>
              <w:t xml:space="preserve"> detail for the Commission to </w:t>
            </w:r>
            <w:r w:rsidR="00A466CF">
              <w:rPr>
                <w:lang w:eastAsia="zh-CN"/>
              </w:rPr>
              <w:t xml:space="preserve">determine </w:t>
            </w:r>
            <w:r w:rsidR="00911C12">
              <w:rPr>
                <w:lang w:eastAsia="zh-CN"/>
              </w:rPr>
              <w:t>the purpose of the work</w:t>
            </w:r>
            <w:r w:rsidR="00ED5DAC">
              <w:rPr>
                <w:lang w:eastAsia="zh-CN"/>
              </w:rPr>
              <w:t xml:space="preserve"> </w:t>
            </w:r>
            <w:r w:rsidR="00A466CF">
              <w:rPr>
                <w:lang w:eastAsia="zh-CN"/>
              </w:rPr>
              <w:t xml:space="preserve">or </w:t>
            </w:r>
            <w:r w:rsidR="00ED5DAC">
              <w:rPr>
                <w:lang w:eastAsia="zh-CN"/>
              </w:rPr>
              <w:t xml:space="preserve">how it related to a substantial contribution to the </w:t>
            </w:r>
            <w:r w:rsidR="00ED5DAC">
              <w:rPr>
                <w:lang w:eastAsia="zh-CN"/>
              </w:rPr>
              <w:lastRenderedPageBreak/>
              <w:t>decision-making process</w:t>
            </w:r>
            <w:r w:rsidR="00911C12">
              <w:rPr>
                <w:lang w:eastAsia="zh-CN"/>
              </w:rPr>
              <w:t xml:space="preserve">. </w:t>
            </w:r>
            <w:r w:rsidRPr="00A57281" w:rsidR="00A57281">
              <w:rPr>
                <w:lang w:eastAsia="zh-CN"/>
              </w:rPr>
              <w:t xml:space="preserve">Rule 17.4 requires that each time entry clearly identify the specific task performed. The entries below lack the necessary detail to </w:t>
            </w:r>
            <w:r w:rsidR="003862DB">
              <w:rPr>
                <w:lang w:eastAsia="zh-CN"/>
              </w:rPr>
              <w:t>assess</w:t>
            </w:r>
            <w:r w:rsidRPr="00A57281" w:rsidR="00A57281">
              <w:rPr>
                <w:lang w:eastAsia="zh-CN"/>
              </w:rPr>
              <w:t xml:space="preserve"> their relevance or value to the proceeding, and do not comply with program requirements. </w:t>
            </w:r>
            <w:r w:rsidRPr="00A57281" w:rsidR="003862DB">
              <w:rPr>
                <w:lang w:eastAsia="zh-CN"/>
              </w:rPr>
              <w:t>Accordingly</w:t>
            </w:r>
            <w:r w:rsidR="003862DB">
              <w:rPr>
                <w:lang w:eastAsia="zh-CN"/>
              </w:rPr>
              <w:t>,</w:t>
            </w:r>
            <w:r w:rsidRPr="00A57281" w:rsidR="003862DB">
              <w:rPr>
                <w:lang w:eastAsia="zh-CN"/>
              </w:rPr>
              <w:t xml:space="preserve"> </w:t>
            </w:r>
            <w:r w:rsidR="003862DB">
              <w:rPr>
                <w:lang w:eastAsia="zh-CN"/>
              </w:rPr>
              <w:t>w</w:t>
            </w:r>
            <w:r w:rsidR="00F46B83">
              <w:rPr>
                <w:lang w:eastAsia="zh-CN"/>
              </w:rPr>
              <w:t xml:space="preserve">e </w:t>
            </w:r>
            <w:r w:rsidR="003862DB">
              <w:rPr>
                <w:lang w:eastAsia="zh-CN"/>
              </w:rPr>
              <w:t xml:space="preserve">reduce </w:t>
            </w:r>
            <w:r w:rsidR="00C04EC0">
              <w:rPr>
                <w:lang w:eastAsia="zh-CN"/>
              </w:rPr>
              <w:t>the following timesheet entries</w:t>
            </w:r>
            <w:r w:rsidR="003862DB">
              <w:rPr>
                <w:lang w:eastAsia="zh-CN"/>
              </w:rPr>
              <w:t>.</w:t>
            </w:r>
            <w:r w:rsidRPr="00A57281" w:rsidR="003862DB">
              <w:rPr>
                <w:lang w:eastAsia="zh-CN"/>
              </w:rPr>
              <w:t xml:space="preserve"> Intervenors bear the burden of proof to show that all claimed hours were spent efficiently and made a substantial contribution, as required under program guidelines.</w:t>
            </w:r>
          </w:p>
          <w:p w:rsidRPr="00A4526F" w:rsidR="000C276D" w:rsidP="005652D9" w:rsidRDefault="000C276D" w14:paraId="076693EC" w14:textId="3637EC92">
            <w:pPr>
              <w:pStyle w:val="ListBullet"/>
              <w:numPr>
                <w:ilvl w:val="0"/>
                <w:numId w:val="0"/>
              </w:numPr>
              <w:ind w:left="360" w:hanging="360"/>
              <w:rPr>
                <w:i/>
                <w:iCs/>
                <w:lang w:eastAsia="zh-CN"/>
              </w:rPr>
            </w:pPr>
            <w:r>
              <w:rPr>
                <w:i/>
                <w:iCs/>
                <w:lang w:eastAsia="zh-CN"/>
              </w:rPr>
              <w:t>2021 McCann (2.00 hours disallow</w:t>
            </w:r>
            <w:r w:rsidR="00D52560">
              <w:rPr>
                <w:i/>
                <w:iCs/>
                <w:lang w:eastAsia="zh-CN"/>
              </w:rPr>
              <w:t>ed)</w:t>
            </w:r>
          </w:p>
          <w:p w:rsidR="005652D9" w:rsidP="00DA7E4E" w:rsidRDefault="005652D9" w14:paraId="1DB85981" w14:textId="6B4410C1">
            <w:pPr>
              <w:pStyle w:val="ListBullet"/>
              <w:ind w:left="720"/>
              <w:contextualSpacing w:val="0"/>
              <w:rPr>
                <w:lang w:eastAsia="zh-CN"/>
              </w:rPr>
            </w:pPr>
            <w:r>
              <w:rPr>
                <w:lang w:eastAsia="zh-CN"/>
              </w:rPr>
              <w:t>October 19, 2021: “</w:t>
            </w:r>
            <w:r w:rsidRPr="00980C5E" w:rsidR="00980C5E">
              <w:rPr>
                <w:lang w:eastAsia="zh-CN"/>
              </w:rPr>
              <w:t>schedule call</w:t>
            </w:r>
            <w:r w:rsidR="00980C5E">
              <w:rPr>
                <w:lang w:eastAsia="zh-CN"/>
              </w:rPr>
              <w:t>” (0.25 hours)</w:t>
            </w:r>
          </w:p>
          <w:p w:rsidR="00980C5E" w:rsidP="00DA7E4E" w:rsidRDefault="00980C5E" w14:paraId="1743D466" w14:textId="1B8907FB">
            <w:pPr>
              <w:pStyle w:val="ListBullet"/>
              <w:ind w:left="720"/>
              <w:contextualSpacing w:val="0"/>
              <w:rPr>
                <w:lang w:eastAsia="zh-CN"/>
              </w:rPr>
            </w:pPr>
            <w:r>
              <w:rPr>
                <w:lang w:eastAsia="zh-CN"/>
              </w:rPr>
              <w:t>October 26, 2021: “</w:t>
            </w:r>
            <w:r w:rsidRPr="00980C5E">
              <w:rPr>
                <w:lang w:eastAsia="zh-CN"/>
              </w:rPr>
              <w:t>experts call</w:t>
            </w:r>
            <w:r>
              <w:rPr>
                <w:lang w:eastAsia="zh-CN"/>
              </w:rPr>
              <w:t>” (1.25 hours)</w:t>
            </w:r>
          </w:p>
          <w:p w:rsidR="00980C5E" w:rsidP="00DA7E4E" w:rsidRDefault="00980C5E" w14:paraId="7E105D8A" w14:textId="6253B96F">
            <w:pPr>
              <w:pStyle w:val="ListBullet"/>
              <w:ind w:left="720"/>
              <w:contextualSpacing w:val="0"/>
              <w:rPr>
                <w:lang w:eastAsia="zh-CN"/>
              </w:rPr>
            </w:pPr>
            <w:r>
              <w:rPr>
                <w:lang w:eastAsia="zh-CN"/>
              </w:rPr>
              <w:t>November 4, 2021: “</w:t>
            </w:r>
            <w:r w:rsidRPr="00F25F75" w:rsidR="00F25F75">
              <w:rPr>
                <w:lang w:eastAsia="zh-CN"/>
              </w:rPr>
              <w:t>emails</w:t>
            </w:r>
            <w:r w:rsidR="00F25F75">
              <w:rPr>
                <w:lang w:eastAsia="zh-CN"/>
              </w:rPr>
              <w:t>” (0.25 hours)</w:t>
            </w:r>
          </w:p>
          <w:p w:rsidR="00C26B99" w:rsidP="00DA7E4E" w:rsidRDefault="00C26B99" w14:paraId="66205E40" w14:textId="75F85FAF">
            <w:pPr>
              <w:pStyle w:val="ListBullet"/>
              <w:ind w:left="720"/>
              <w:contextualSpacing w:val="0"/>
              <w:rPr>
                <w:lang w:eastAsia="zh-CN"/>
              </w:rPr>
            </w:pPr>
            <w:r>
              <w:rPr>
                <w:lang w:eastAsia="zh-CN"/>
              </w:rPr>
              <w:t>November 19, 2021: “</w:t>
            </w:r>
            <w:r w:rsidRPr="00C26B99">
              <w:rPr>
                <w:lang w:eastAsia="zh-CN"/>
              </w:rPr>
              <w:t>Download DRs</w:t>
            </w:r>
            <w:r>
              <w:rPr>
                <w:lang w:eastAsia="zh-CN"/>
              </w:rPr>
              <w:t>” (0.25 hours)</w:t>
            </w:r>
          </w:p>
          <w:p w:rsidRPr="00A4526F" w:rsidR="00D52560" w:rsidP="00DA7E4E" w:rsidRDefault="00D52560" w14:paraId="192CBC2C" w14:textId="4691B1AE">
            <w:pPr>
              <w:pStyle w:val="ListBullet"/>
              <w:numPr>
                <w:ilvl w:val="0"/>
                <w:numId w:val="0"/>
              </w:numPr>
              <w:spacing w:before="120"/>
              <w:ind w:left="360" w:hanging="360"/>
              <w:contextualSpacing w:val="0"/>
              <w:rPr>
                <w:i/>
                <w:iCs/>
                <w:lang w:eastAsia="zh-CN"/>
              </w:rPr>
            </w:pPr>
            <w:r>
              <w:rPr>
                <w:i/>
                <w:iCs/>
                <w:lang w:eastAsia="zh-CN"/>
              </w:rPr>
              <w:t>2022 McCann (5.00 hours disallowed)</w:t>
            </w:r>
          </w:p>
          <w:p w:rsidR="00F25F75" w:rsidP="00DA7E4E" w:rsidRDefault="00F25F75" w14:paraId="5FEC6F92" w14:textId="0C24BF4C">
            <w:pPr>
              <w:pStyle w:val="ListBullet"/>
              <w:ind w:left="720"/>
              <w:contextualSpacing w:val="0"/>
              <w:rPr>
                <w:lang w:eastAsia="zh-CN"/>
              </w:rPr>
            </w:pPr>
            <w:r>
              <w:rPr>
                <w:lang w:eastAsia="zh-CN"/>
              </w:rPr>
              <w:t>January 14, 2022: “</w:t>
            </w:r>
            <w:r w:rsidRPr="00F25F75">
              <w:rPr>
                <w:lang w:eastAsia="zh-CN"/>
              </w:rPr>
              <w:t>BS-call</w:t>
            </w:r>
            <w:r>
              <w:rPr>
                <w:lang w:eastAsia="zh-CN"/>
              </w:rPr>
              <w:t>”</w:t>
            </w:r>
            <w:r w:rsidR="004C3B63">
              <w:rPr>
                <w:lang w:eastAsia="zh-CN"/>
              </w:rPr>
              <w:t xml:space="preserve"> (0.25 hours)</w:t>
            </w:r>
          </w:p>
          <w:p w:rsidR="00BC35A5" w:rsidP="00DA7E4E" w:rsidRDefault="00BC35A5" w14:paraId="6FEF7E97" w14:textId="7DE51BF3">
            <w:pPr>
              <w:pStyle w:val="ListBullet"/>
              <w:ind w:left="720"/>
              <w:contextualSpacing w:val="0"/>
              <w:rPr>
                <w:lang w:eastAsia="zh-CN"/>
              </w:rPr>
            </w:pPr>
            <w:r>
              <w:rPr>
                <w:lang w:eastAsia="zh-CN"/>
              </w:rPr>
              <w:t>February 7, 2022: “</w:t>
            </w:r>
            <w:r w:rsidRPr="00BC35A5">
              <w:rPr>
                <w:lang w:eastAsia="zh-CN"/>
              </w:rPr>
              <w:t>SDG&amp;E DR</w:t>
            </w:r>
            <w:r>
              <w:rPr>
                <w:lang w:eastAsia="zh-CN"/>
              </w:rPr>
              <w:t>” (1.00 hours)</w:t>
            </w:r>
          </w:p>
          <w:p w:rsidR="00F25F75" w:rsidP="00DA7E4E" w:rsidRDefault="004C3B63" w14:paraId="7CF64216" w14:textId="184E4953">
            <w:pPr>
              <w:pStyle w:val="ListBullet"/>
              <w:ind w:left="720"/>
              <w:contextualSpacing w:val="0"/>
              <w:rPr>
                <w:lang w:eastAsia="zh-CN"/>
              </w:rPr>
            </w:pPr>
            <w:r>
              <w:rPr>
                <w:lang w:eastAsia="zh-CN"/>
              </w:rPr>
              <w:t>February 18, 2022: “</w:t>
            </w:r>
            <w:r w:rsidRPr="004C3B63">
              <w:rPr>
                <w:lang w:eastAsia="zh-CN"/>
              </w:rPr>
              <w:t>emails; planning tasks</w:t>
            </w:r>
            <w:r>
              <w:rPr>
                <w:lang w:eastAsia="zh-CN"/>
              </w:rPr>
              <w:t>” (0.50 hours)</w:t>
            </w:r>
          </w:p>
          <w:p w:rsidR="004C3B63" w:rsidP="00DA7E4E" w:rsidRDefault="004C3B63" w14:paraId="1CC0E638" w14:textId="3E213125">
            <w:pPr>
              <w:pStyle w:val="ListBullet"/>
              <w:ind w:left="720"/>
              <w:contextualSpacing w:val="0"/>
              <w:rPr>
                <w:lang w:eastAsia="zh-CN"/>
              </w:rPr>
            </w:pPr>
            <w:r>
              <w:rPr>
                <w:lang w:eastAsia="zh-CN"/>
              </w:rPr>
              <w:t>May 12, 2022: “</w:t>
            </w:r>
            <w:r w:rsidRPr="009029B1" w:rsidR="009029B1">
              <w:rPr>
                <w:lang w:eastAsia="zh-CN"/>
              </w:rPr>
              <w:t>Innovations &amp; incentives webinar</w:t>
            </w:r>
            <w:r w:rsidR="009029B1">
              <w:rPr>
                <w:lang w:eastAsia="zh-CN"/>
              </w:rPr>
              <w:t>” (1.50 hours)</w:t>
            </w:r>
          </w:p>
          <w:p w:rsidR="009029B1" w:rsidP="00DA7E4E" w:rsidRDefault="009029B1" w14:paraId="4EC3061B" w14:textId="2788E53F">
            <w:pPr>
              <w:pStyle w:val="ListBullet"/>
              <w:ind w:left="720"/>
              <w:contextualSpacing w:val="0"/>
              <w:rPr>
                <w:lang w:eastAsia="zh-CN"/>
              </w:rPr>
            </w:pPr>
            <w:r>
              <w:rPr>
                <w:lang w:eastAsia="zh-CN"/>
              </w:rPr>
              <w:t>May 16, 2022: “</w:t>
            </w:r>
            <w:r w:rsidRPr="009029B1">
              <w:rPr>
                <w:lang w:eastAsia="zh-CN"/>
              </w:rPr>
              <w:t>edit report</w:t>
            </w:r>
            <w:r>
              <w:rPr>
                <w:lang w:eastAsia="zh-CN"/>
              </w:rPr>
              <w:t>” (1.25 hours)</w:t>
            </w:r>
          </w:p>
          <w:p w:rsidRPr="009F6924" w:rsidR="009029B1" w:rsidP="00DA7E4E" w:rsidRDefault="009029B1" w14:paraId="7A651D9C" w14:textId="64CB9C03">
            <w:pPr>
              <w:pStyle w:val="ListBullet"/>
              <w:ind w:left="720"/>
              <w:contextualSpacing w:val="0"/>
              <w:rPr>
                <w:lang w:eastAsia="zh-CN"/>
              </w:rPr>
            </w:pPr>
            <w:r>
              <w:rPr>
                <w:lang w:eastAsia="zh-CN"/>
              </w:rPr>
              <w:t>July 18, 2022: “</w:t>
            </w:r>
            <w:r w:rsidRPr="00694314" w:rsidR="00694314">
              <w:rPr>
                <w:lang w:eastAsia="zh-CN"/>
              </w:rPr>
              <w:t>research</w:t>
            </w:r>
            <w:r w:rsidR="00694314">
              <w:rPr>
                <w:lang w:eastAsia="zh-CN"/>
              </w:rPr>
              <w:t>” (0.50 hours)</w:t>
            </w:r>
          </w:p>
          <w:p w:rsidR="002C0764" w:rsidP="00DA7E4E" w:rsidRDefault="002C0764" w14:paraId="74E6888B" w14:textId="01507CDB">
            <w:pPr>
              <w:pStyle w:val="ListBullet"/>
              <w:numPr>
                <w:ilvl w:val="0"/>
                <w:numId w:val="0"/>
              </w:numPr>
              <w:spacing w:before="180"/>
              <w:contextualSpacing w:val="0"/>
              <w:rPr>
                <w:u w:val="single"/>
                <w:lang w:eastAsia="zh-CN"/>
              </w:rPr>
            </w:pPr>
            <w:r>
              <w:rPr>
                <w:u w:val="single"/>
                <w:lang w:eastAsia="zh-CN"/>
              </w:rPr>
              <w:t>Work After the Deadline for Reply Comments to the Proposed and Alternate Proposed Decisions (</w:t>
            </w:r>
            <w:r w:rsidR="00227616">
              <w:rPr>
                <w:u w:val="single"/>
                <w:lang w:eastAsia="zh-CN"/>
              </w:rPr>
              <w:t>13</w:t>
            </w:r>
            <w:r>
              <w:rPr>
                <w:u w:val="single"/>
                <w:lang w:eastAsia="zh-CN"/>
              </w:rPr>
              <w:t>.</w:t>
            </w:r>
            <w:r w:rsidR="00227616">
              <w:rPr>
                <w:u w:val="single"/>
                <w:lang w:eastAsia="zh-CN"/>
              </w:rPr>
              <w:t>4</w:t>
            </w:r>
            <w:r>
              <w:rPr>
                <w:u w:val="single"/>
                <w:lang w:eastAsia="zh-CN"/>
              </w:rPr>
              <w:t>5 hours disallowed)</w:t>
            </w:r>
          </w:p>
          <w:p w:rsidR="002C0764" w:rsidP="008127F2" w:rsidRDefault="002C0764" w14:paraId="4B1122C6" w14:textId="3F7A3956">
            <w:pPr>
              <w:pStyle w:val="ListBullet"/>
              <w:numPr>
                <w:ilvl w:val="0"/>
                <w:numId w:val="0"/>
              </w:numPr>
              <w:rPr>
                <w:lang w:eastAsia="zh-CN"/>
              </w:rPr>
            </w:pPr>
            <w:r>
              <w:rPr>
                <w:lang w:eastAsia="zh-CN"/>
              </w:rPr>
              <w:t>EDF claimed nine timesheet entries between October 31 and December 5, 2022</w:t>
            </w:r>
            <w:r w:rsidR="007E26B2">
              <w:rPr>
                <w:lang w:eastAsia="zh-CN"/>
              </w:rPr>
              <w:t>,</w:t>
            </w:r>
            <w:r>
              <w:rPr>
                <w:lang w:eastAsia="zh-CN"/>
              </w:rPr>
              <w:t xml:space="preserve"> with descriptions </w:t>
            </w:r>
            <w:r w:rsidR="007E26B2">
              <w:rPr>
                <w:lang w:eastAsia="zh-CN"/>
              </w:rPr>
              <w:t>referencing</w:t>
            </w:r>
            <w:r>
              <w:rPr>
                <w:lang w:eastAsia="zh-CN"/>
              </w:rPr>
              <w:t xml:space="preserve"> work on the proposed decision (PD), the alternate proposed decision (APD), “reply comments</w:t>
            </w:r>
            <w:r w:rsidR="007E26B2">
              <w:rPr>
                <w:lang w:eastAsia="zh-CN"/>
              </w:rPr>
              <w:t>,</w:t>
            </w:r>
            <w:r>
              <w:rPr>
                <w:lang w:eastAsia="zh-CN"/>
              </w:rPr>
              <w:t xml:space="preserve">” oral arguments, and a team call. </w:t>
            </w:r>
            <w:r w:rsidR="007E26B2">
              <w:rPr>
                <w:lang w:eastAsia="zh-CN"/>
              </w:rPr>
              <w:t>However, t</w:t>
            </w:r>
            <w:r>
              <w:rPr>
                <w:lang w:eastAsia="zh-CN"/>
              </w:rPr>
              <w:t xml:space="preserve">hese entries </w:t>
            </w:r>
            <w:r w:rsidR="00B53437">
              <w:rPr>
                <w:lang w:eastAsia="zh-CN"/>
              </w:rPr>
              <w:t xml:space="preserve">fall </w:t>
            </w:r>
            <w:r>
              <w:rPr>
                <w:lang w:eastAsia="zh-CN"/>
              </w:rPr>
              <w:t xml:space="preserve">after the deadline </w:t>
            </w:r>
            <w:r w:rsidR="00B53437">
              <w:rPr>
                <w:lang w:eastAsia="zh-CN"/>
              </w:rPr>
              <w:t xml:space="preserve">for </w:t>
            </w:r>
            <w:r>
              <w:rPr>
                <w:lang w:eastAsia="zh-CN"/>
              </w:rPr>
              <w:t xml:space="preserve">reply comments on the PD and APD </w:t>
            </w:r>
            <w:r w:rsidR="00B53437">
              <w:rPr>
                <w:lang w:eastAsia="zh-CN"/>
              </w:rPr>
              <w:t>(</w:t>
            </w:r>
            <w:r>
              <w:rPr>
                <w:lang w:eastAsia="zh-CN"/>
              </w:rPr>
              <w:t>October 25, 2022</w:t>
            </w:r>
            <w:r w:rsidR="00B53437">
              <w:rPr>
                <w:lang w:eastAsia="zh-CN"/>
              </w:rPr>
              <w:t>),</w:t>
            </w:r>
            <w:r>
              <w:rPr>
                <w:lang w:eastAsia="zh-CN"/>
              </w:rPr>
              <w:t xml:space="preserve"> and EDF’s last Ex Parte meeting </w:t>
            </w:r>
            <w:r w:rsidR="005E5865">
              <w:rPr>
                <w:lang w:eastAsia="zh-CN"/>
              </w:rPr>
              <w:t>(</w:t>
            </w:r>
            <w:r>
              <w:rPr>
                <w:lang w:eastAsia="zh-CN"/>
              </w:rPr>
              <w:t>October 27, 2022</w:t>
            </w:r>
            <w:r w:rsidR="005E5865">
              <w:rPr>
                <w:lang w:eastAsia="zh-CN"/>
              </w:rPr>
              <w:t>)</w:t>
            </w:r>
            <w:r>
              <w:rPr>
                <w:lang w:eastAsia="zh-CN"/>
              </w:rPr>
              <w:t xml:space="preserve">. </w:t>
            </w:r>
            <w:r w:rsidR="005E5865">
              <w:rPr>
                <w:lang w:eastAsia="zh-CN"/>
              </w:rPr>
              <w:t>Additionally,</w:t>
            </w:r>
            <w:r>
              <w:rPr>
                <w:lang w:eastAsia="zh-CN"/>
              </w:rPr>
              <w:t xml:space="preserve"> no oral arguments </w:t>
            </w:r>
            <w:r w:rsidR="005E5865">
              <w:rPr>
                <w:lang w:eastAsia="zh-CN"/>
              </w:rPr>
              <w:t xml:space="preserve">were </w:t>
            </w:r>
            <w:r>
              <w:rPr>
                <w:lang w:eastAsia="zh-CN"/>
              </w:rPr>
              <w:t xml:space="preserve">scheduled during this time. </w:t>
            </w:r>
            <w:r w:rsidR="00050E28">
              <w:rPr>
                <w:lang w:eastAsia="zh-CN"/>
              </w:rPr>
              <w:t xml:space="preserve">Because these </w:t>
            </w:r>
            <w:r w:rsidR="005E5865">
              <w:rPr>
                <w:lang w:eastAsia="zh-CN"/>
              </w:rPr>
              <w:t xml:space="preserve">activities </w:t>
            </w:r>
            <w:r w:rsidR="00050E28">
              <w:rPr>
                <w:lang w:eastAsia="zh-CN"/>
              </w:rPr>
              <w:t xml:space="preserve">occurred after </w:t>
            </w:r>
            <w:r w:rsidR="005E5865">
              <w:rPr>
                <w:lang w:eastAsia="zh-CN"/>
              </w:rPr>
              <w:t xml:space="preserve">EDF had any </w:t>
            </w:r>
            <w:r w:rsidR="00050E28">
              <w:rPr>
                <w:lang w:eastAsia="zh-CN"/>
              </w:rPr>
              <w:t xml:space="preserve">further </w:t>
            </w:r>
            <w:r w:rsidR="005E5865">
              <w:rPr>
                <w:lang w:eastAsia="zh-CN"/>
              </w:rPr>
              <w:t>opportunity</w:t>
            </w:r>
            <w:r w:rsidR="00050E28">
              <w:rPr>
                <w:lang w:eastAsia="zh-CN"/>
              </w:rPr>
              <w:t xml:space="preserve"> to contribute to the </w:t>
            </w:r>
            <w:r w:rsidR="00D3582E">
              <w:rPr>
                <w:lang w:eastAsia="zh-CN"/>
              </w:rPr>
              <w:t>decision-making</w:t>
            </w:r>
            <w:r w:rsidR="00050E28">
              <w:rPr>
                <w:lang w:eastAsia="zh-CN"/>
              </w:rPr>
              <w:t xml:space="preserve"> process, we</w:t>
            </w:r>
            <w:r>
              <w:rPr>
                <w:lang w:eastAsia="zh-CN"/>
              </w:rPr>
              <w:t xml:space="preserve"> find it reasonable to </w:t>
            </w:r>
            <w:r w:rsidR="005E5865">
              <w:rPr>
                <w:lang w:eastAsia="zh-CN"/>
              </w:rPr>
              <w:t>reduce</w:t>
            </w:r>
            <w:r>
              <w:rPr>
                <w:lang w:eastAsia="zh-CN"/>
              </w:rPr>
              <w:t xml:space="preserve"> </w:t>
            </w:r>
            <w:r w:rsidR="00925316">
              <w:rPr>
                <w:lang w:eastAsia="zh-CN"/>
              </w:rPr>
              <w:t>all 13.45 hours</w:t>
            </w:r>
            <w:r>
              <w:rPr>
                <w:lang w:eastAsia="zh-CN"/>
              </w:rPr>
              <w:t xml:space="preserve"> associated with these time entries, which breaks down as follows:</w:t>
            </w:r>
          </w:p>
          <w:p w:rsidR="002C0764" w:rsidP="00DA7E4E" w:rsidRDefault="002C0764" w14:paraId="3D921E1E" w14:textId="14EB06FF">
            <w:pPr>
              <w:pStyle w:val="ListBullet"/>
              <w:spacing w:before="120"/>
              <w:contextualSpacing w:val="0"/>
              <w:rPr>
                <w:lang w:eastAsia="zh-CN"/>
              </w:rPr>
            </w:pPr>
            <w:r>
              <w:rPr>
                <w:lang w:eastAsia="zh-CN"/>
              </w:rPr>
              <w:t>2022 Kelly: 0.</w:t>
            </w:r>
            <w:r w:rsidR="00BB03C2">
              <w:rPr>
                <w:lang w:eastAsia="zh-CN"/>
              </w:rPr>
              <w:t>10</w:t>
            </w:r>
            <w:r>
              <w:rPr>
                <w:lang w:eastAsia="zh-CN"/>
              </w:rPr>
              <w:t xml:space="preserve"> hour</w:t>
            </w:r>
            <w:r w:rsidR="00BB03C2">
              <w:rPr>
                <w:lang w:eastAsia="zh-CN"/>
              </w:rPr>
              <w:t>s</w:t>
            </w:r>
          </w:p>
          <w:p w:rsidR="002C0764" w:rsidP="008127F2" w:rsidRDefault="002C0764" w14:paraId="299A46D5" w14:textId="2ADF3071">
            <w:pPr>
              <w:pStyle w:val="ListBullet"/>
              <w:rPr>
                <w:lang w:eastAsia="zh-CN"/>
              </w:rPr>
            </w:pPr>
            <w:r>
              <w:rPr>
                <w:lang w:eastAsia="zh-CN"/>
              </w:rPr>
              <w:t>2022 Colvin: 0.</w:t>
            </w:r>
            <w:r w:rsidR="00BB03C2">
              <w:rPr>
                <w:lang w:eastAsia="zh-CN"/>
              </w:rPr>
              <w:t>10</w:t>
            </w:r>
            <w:r>
              <w:rPr>
                <w:lang w:eastAsia="zh-CN"/>
              </w:rPr>
              <w:t xml:space="preserve"> hour</w:t>
            </w:r>
            <w:r w:rsidR="006455FD">
              <w:rPr>
                <w:lang w:eastAsia="zh-CN"/>
              </w:rPr>
              <w:t>s</w:t>
            </w:r>
          </w:p>
          <w:p w:rsidRPr="005A2374" w:rsidR="002C0764" w:rsidP="008127F2" w:rsidRDefault="002C0764" w14:paraId="1E9C1C5E" w14:textId="213A7314">
            <w:pPr>
              <w:pStyle w:val="ListBullet"/>
              <w:rPr>
                <w:lang w:eastAsia="zh-CN"/>
              </w:rPr>
            </w:pPr>
            <w:r>
              <w:rPr>
                <w:lang w:eastAsia="zh-CN"/>
              </w:rPr>
              <w:t xml:space="preserve">2022 McCann: </w:t>
            </w:r>
            <w:r w:rsidR="006455FD">
              <w:rPr>
                <w:lang w:eastAsia="zh-CN"/>
              </w:rPr>
              <w:t xml:space="preserve">13.25 </w:t>
            </w:r>
            <w:r>
              <w:rPr>
                <w:lang w:eastAsia="zh-CN"/>
              </w:rPr>
              <w:t>hours</w:t>
            </w:r>
          </w:p>
        </w:tc>
      </w:tr>
      <w:tr w:rsidRPr="007F620E" w:rsidR="001F40EA" w:rsidTr="00A4526F" w14:paraId="12CB4110" w14:textId="77777777">
        <w:tc>
          <w:tcPr>
            <w:tcW w:w="1616" w:type="dxa"/>
          </w:tcPr>
          <w:p w:rsidR="001F40EA" w:rsidP="006C74E3" w:rsidRDefault="001F40EA" w14:paraId="02D1983E" w14:textId="53E5AC95">
            <w:pPr>
              <w:tabs>
                <w:tab w:val="left" w:pos="1440"/>
              </w:tabs>
              <w:rPr>
                <w:color w:val="000000"/>
              </w:rPr>
            </w:pPr>
            <w:r>
              <w:rPr>
                <w:color w:val="000000"/>
              </w:rPr>
              <w:lastRenderedPageBreak/>
              <w:t>[</w:t>
            </w:r>
            <w:r w:rsidR="003C4E6D">
              <w:rPr>
                <w:color w:val="000000"/>
              </w:rPr>
              <w:t>6</w:t>
            </w:r>
            <w:r>
              <w:rPr>
                <w:color w:val="000000"/>
              </w:rPr>
              <w:t xml:space="preserve">] </w:t>
            </w:r>
            <w:r w:rsidR="00925316">
              <w:rPr>
                <w:color w:val="000000"/>
              </w:rPr>
              <w:t xml:space="preserve">Reduction </w:t>
            </w:r>
            <w:r>
              <w:rPr>
                <w:color w:val="000000"/>
              </w:rPr>
              <w:t xml:space="preserve">for </w:t>
            </w:r>
            <w:r w:rsidR="00755024">
              <w:rPr>
                <w:color w:val="000000"/>
              </w:rPr>
              <w:t>Untimely Filing</w:t>
            </w:r>
          </w:p>
        </w:tc>
        <w:tc>
          <w:tcPr>
            <w:tcW w:w="7744" w:type="dxa"/>
          </w:tcPr>
          <w:p w:rsidR="00792C2C" w:rsidP="00090A6F" w:rsidRDefault="00792C2C" w14:paraId="429B83D0" w14:textId="01314700">
            <w:pPr>
              <w:tabs>
                <w:tab w:val="left" w:pos="1440"/>
              </w:tabs>
              <w:rPr>
                <w:bCs/>
                <w:color w:val="000000"/>
              </w:rPr>
            </w:pPr>
            <w:r>
              <w:rPr>
                <w:lang w:eastAsia="zh-CN"/>
              </w:rPr>
              <w:t>In</w:t>
            </w:r>
            <w:r w:rsidR="005B366E">
              <w:rPr>
                <w:lang w:eastAsia="zh-CN"/>
              </w:rPr>
              <w:t xml:space="preserve"> EDF</w:t>
            </w:r>
            <w:r w:rsidR="00BF4601">
              <w:rPr>
                <w:lang w:eastAsia="zh-CN"/>
              </w:rPr>
              <w:t xml:space="preserve">’s March </w:t>
            </w:r>
            <w:r w:rsidR="003E4F26">
              <w:rPr>
                <w:lang w:eastAsia="zh-CN"/>
              </w:rPr>
              <w:t xml:space="preserve">7, 2025 </w:t>
            </w:r>
            <w:r w:rsidR="00FD770D">
              <w:rPr>
                <w:lang w:eastAsia="zh-CN"/>
              </w:rPr>
              <w:t>Supplement</w:t>
            </w:r>
            <w:r w:rsidR="003E4F26">
              <w:rPr>
                <w:lang w:eastAsia="zh-CN"/>
              </w:rPr>
              <w:t>, they</w:t>
            </w:r>
            <w:r w:rsidR="005B366E">
              <w:rPr>
                <w:lang w:eastAsia="zh-CN"/>
              </w:rPr>
              <w:t xml:space="preserve"> </w:t>
            </w:r>
            <w:r w:rsidR="00925316">
              <w:rPr>
                <w:lang w:eastAsia="zh-CN"/>
              </w:rPr>
              <w:t>re</w:t>
            </w:r>
            <w:r w:rsidR="00EE251A">
              <w:rPr>
                <w:lang w:eastAsia="zh-CN"/>
              </w:rPr>
              <w:t>allocated</w:t>
            </w:r>
            <w:r w:rsidR="001932DB">
              <w:rPr>
                <w:lang w:eastAsia="zh-CN"/>
              </w:rPr>
              <w:t xml:space="preserve"> their work</w:t>
            </w:r>
            <w:r w:rsidR="00EE251A">
              <w:rPr>
                <w:lang w:eastAsia="zh-CN"/>
              </w:rPr>
              <w:t xml:space="preserve"> by issue </w:t>
            </w:r>
            <w:r w:rsidR="0016563D">
              <w:rPr>
                <w:bCs/>
                <w:color w:val="000000"/>
              </w:rPr>
              <w:t>as follows:</w:t>
            </w:r>
          </w:p>
          <w:p w:rsidR="0016563D" w:rsidP="00090A6F" w:rsidRDefault="0016563D" w14:paraId="6263E3DD" w14:textId="77777777">
            <w:pPr>
              <w:tabs>
                <w:tab w:val="left" w:pos="1440"/>
              </w:tabs>
              <w:rPr>
                <w:lang w:eastAsia="zh-CN"/>
              </w:rPr>
            </w:pPr>
          </w:p>
          <w:p w:rsidR="0016563D" w:rsidP="00FF77BD" w:rsidRDefault="00D27DCB" w14:paraId="0A874788" w14:textId="02B90147">
            <w:pPr>
              <w:pStyle w:val="ListBullet"/>
              <w:rPr>
                <w:lang w:eastAsia="zh-CN"/>
              </w:rPr>
            </w:pPr>
            <w:r>
              <w:rPr>
                <w:lang w:eastAsia="zh-CN"/>
              </w:rPr>
              <w:t>309.63</w:t>
            </w:r>
            <w:r w:rsidR="003E4F26">
              <w:rPr>
                <w:lang w:eastAsia="zh-CN"/>
              </w:rPr>
              <w:t xml:space="preserve"> </w:t>
            </w:r>
            <w:r w:rsidR="00F37B6A">
              <w:rPr>
                <w:lang w:eastAsia="zh-CN"/>
              </w:rPr>
              <w:t>hours for “</w:t>
            </w:r>
            <w:r w:rsidR="00FF77BD">
              <w:rPr>
                <w:lang w:eastAsia="zh-CN"/>
              </w:rPr>
              <w:t>Are there extraordinary circumstances that warrant a departure from the CCM for 2022?</w:t>
            </w:r>
            <w:r w:rsidR="00F37B6A">
              <w:rPr>
                <w:lang w:eastAsia="zh-CN"/>
              </w:rPr>
              <w:t>”</w:t>
            </w:r>
            <w:r w:rsidR="00FF77BD">
              <w:rPr>
                <w:lang w:eastAsia="zh-CN"/>
              </w:rPr>
              <w:t xml:space="preserve"> and</w:t>
            </w:r>
          </w:p>
          <w:p w:rsidR="00FF77BD" w:rsidP="00FF77BD" w:rsidRDefault="00FF77BD" w14:paraId="3C331CB7" w14:textId="058B45B5">
            <w:pPr>
              <w:pStyle w:val="ListBullet"/>
              <w:rPr>
                <w:lang w:eastAsia="zh-CN"/>
              </w:rPr>
            </w:pPr>
            <w:r>
              <w:rPr>
                <w:lang w:eastAsia="zh-CN"/>
              </w:rPr>
              <w:lastRenderedPageBreak/>
              <w:t>79</w:t>
            </w:r>
            <w:r w:rsidR="002921B4">
              <w:rPr>
                <w:lang w:eastAsia="zh-CN"/>
              </w:rPr>
              <w:t>.</w:t>
            </w:r>
            <w:r w:rsidR="00D27DCB">
              <w:rPr>
                <w:lang w:eastAsia="zh-CN"/>
              </w:rPr>
              <w:t>23</w:t>
            </w:r>
            <w:r>
              <w:rPr>
                <w:lang w:eastAsia="zh-CN"/>
              </w:rPr>
              <w:t xml:space="preserve"> </w:t>
            </w:r>
            <w:r w:rsidR="00F37B6A">
              <w:rPr>
                <w:lang w:eastAsia="zh-CN"/>
              </w:rPr>
              <w:t>hours for “</w:t>
            </w:r>
            <w:r>
              <w:rPr>
                <w:lang w:eastAsia="zh-CN"/>
              </w:rPr>
              <w:t>If so, should the Commission leave the cost of capital components at pre-2022 levels for the year 2022, or open a second phase to consider alternative cost of capital proposals for the year 2022?</w:t>
            </w:r>
            <w:r w:rsidR="004D7DE8">
              <w:rPr>
                <w:lang w:eastAsia="zh-CN"/>
              </w:rPr>
              <w:t>”</w:t>
            </w:r>
            <w:r w:rsidR="007D01CD">
              <w:rPr>
                <w:rStyle w:val="FootnoteReference"/>
                <w:lang w:eastAsia="zh-CN"/>
              </w:rPr>
              <w:footnoteReference w:id="6"/>
            </w:r>
          </w:p>
          <w:p w:rsidR="0016563D" w:rsidRDefault="0016563D" w14:paraId="4963F633" w14:textId="77777777">
            <w:pPr>
              <w:pStyle w:val="ListBullet"/>
              <w:numPr>
                <w:ilvl w:val="0"/>
                <w:numId w:val="0"/>
              </w:numPr>
              <w:rPr>
                <w:lang w:eastAsia="zh-CN"/>
              </w:rPr>
            </w:pPr>
          </w:p>
          <w:p w:rsidR="00FA79A8" w:rsidP="00F37B6A" w:rsidRDefault="00E23570" w14:paraId="3CAA27C8" w14:textId="70D0B364">
            <w:pPr>
              <w:tabs>
                <w:tab w:val="left" w:pos="1440"/>
              </w:tabs>
              <w:rPr>
                <w:lang w:eastAsia="zh-CN"/>
              </w:rPr>
            </w:pPr>
            <w:r>
              <w:rPr>
                <w:lang w:eastAsia="zh-CN"/>
              </w:rPr>
              <w:t xml:space="preserve">As discussed </w:t>
            </w:r>
            <w:r w:rsidR="0016563D">
              <w:rPr>
                <w:lang w:eastAsia="zh-CN"/>
              </w:rPr>
              <w:t>in Par</w:t>
            </w:r>
            <w:r w:rsidR="00C815AE">
              <w:rPr>
                <w:lang w:eastAsia="zh-CN"/>
              </w:rPr>
              <w:t>t I.</w:t>
            </w:r>
            <w:r w:rsidR="004C3D0C">
              <w:rPr>
                <w:lang w:eastAsia="zh-CN"/>
              </w:rPr>
              <w:t>C.A</w:t>
            </w:r>
            <w:r>
              <w:rPr>
                <w:lang w:eastAsia="zh-CN"/>
              </w:rPr>
              <w:t xml:space="preserve">, </w:t>
            </w:r>
            <w:r w:rsidR="006B0216">
              <w:rPr>
                <w:lang w:eastAsia="zh-CN"/>
              </w:rPr>
              <w:t xml:space="preserve">EDF </w:t>
            </w:r>
            <w:r w:rsidR="00810660">
              <w:rPr>
                <w:lang w:eastAsia="zh-CN"/>
              </w:rPr>
              <w:t xml:space="preserve">is not </w:t>
            </w:r>
            <w:r w:rsidR="00792C2C">
              <w:rPr>
                <w:lang w:eastAsia="zh-CN"/>
              </w:rPr>
              <w:t xml:space="preserve">eligible </w:t>
            </w:r>
            <w:r w:rsidR="00810660">
              <w:rPr>
                <w:lang w:eastAsia="zh-CN"/>
              </w:rPr>
              <w:t xml:space="preserve">for </w:t>
            </w:r>
            <w:r w:rsidR="00792C2C">
              <w:rPr>
                <w:lang w:eastAsia="zh-CN"/>
              </w:rPr>
              <w:t xml:space="preserve">compensation </w:t>
            </w:r>
            <w:r w:rsidR="00810660">
              <w:rPr>
                <w:lang w:eastAsia="zh-CN"/>
              </w:rPr>
              <w:t xml:space="preserve">for </w:t>
            </w:r>
            <w:r w:rsidR="0016563D">
              <w:rPr>
                <w:lang w:eastAsia="zh-CN"/>
              </w:rPr>
              <w:t xml:space="preserve">the </w:t>
            </w:r>
            <w:r w:rsidR="00FF77BD">
              <w:rPr>
                <w:lang w:eastAsia="zh-CN"/>
              </w:rPr>
              <w:t xml:space="preserve">first part of the first </w:t>
            </w:r>
            <w:r w:rsidR="00B11551">
              <w:rPr>
                <w:lang w:eastAsia="zh-CN"/>
              </w:rPr>
              <w:t xml:space="preserve">issue regarding </w:t>
            </w:r>
            <w:r w:rsidR="00FD770D">
              <w:rPr>
                <w:lang w:eastAsia="zh-CN"/>
              </w:rPr>
              <w:t>whether there were extraordinary circumstances</w:t>
            </w:r>
            <w:r w:rsidR="00B11551">
              <w:rPr>
                <w:lang w:eastAsia="zh-CN"/>
              </w:rPr>
              <w:t xml:space="preserve">. </w:t>
            </w:r>
            <w:r w:rsidR="00FC107E">
              <w:rPr>
                <w:lang w:eastAsia="zh-CN"/>
              </w:rPr>
              <w:t>Accordingly, we reduce</w:t>
            </w:r>
            <w:r w:rsidR="00FD770D">
              <w:rPr>
                <w:lang w:eastAsia="zh-CN"/>
              </w:rPr>
              <w:t xml:space="preserve"> half </w:t>
            </w:r>
            <w:r w:rsidR="00AD717C">
              <w:rPr>
                <w:lang w:eastAsia="zh-CN"/>
              </w:rPr>
              <w:t xml:space="preserve">of </w:t>
            </w:r>
            <w:r w:rsidR="00694397">
              <w:rPr>
                <w:lang w:eastAsia="zh-CN"/>
              </w:rPr>
              <w:t xml:space="preserve">the </w:t>
            </w:r>
            <w:r w:rsidR="00CF5A76">
              <w:rPr>
                <w:color w:val="000000"/>
              </w:rPr>
              <w:t>289</w:t>
            </w:r>
            <w:r w:rsidR="001A52E6">
              <w:rPr>
                <w:color w:val="000000"/>
              </w:rPr>
              <w:t>.</w:t>
            </w:r>
            <w:r w:rsidR="00BF36EF">
              <w:rPr>
                <w:color w:val="000000"/>
              </w:rPr>
              <w:t>175</w:t>
            </w:r>
            <w:r w:rsidR="00B80125">
              <w:rPr>
                <w:color w:val="000000"/>
              </w:rPr>
              <w:t xml:space="preserve"> hours </w:t>
            </w:r>
            <w:r w:rsidR="00FC107E">
              <w:rPr>
                <w:color w:val="000000"/>
              </w:rPr>
              <w:t xml:space="preserve">that </w:t>
            </w:r>
            <w:r w:rsidR="00E969D7">
              <w:rPr>
                <w:color w:val="000000"/>
              </w:rPr>
              <w:t>remain</w:t>
            </w:r>
            <w:r w:rsidR="00991881">
              <w:rPr>
                <w:color w:val="000000"/>
              </w:rPr>
              <w:t xml:space="preserve"> </w:t>
            </w:r>
            <w:r w:rsidR="00B80125">
              <w:rPr>
                <w:color w:val="000000"/>
              </w:rPr>
              <w:t xml:space="preserve">allocated </w:t>
            </w:r>
            <w:r w:rsidR="0096099E">
              <w:rPr>
                <w:color w:val="000000"/>
              </w:rPr>
              <w:t>to</w:t>
            </w:r>
            <w:r w:rsidR="00B80125">
              <w:rPr>
                <w:color w:val="000000"/>
              </w:rPr>
              <w:t xml:space="preserve"> </w:t>
            </w:r>
            <w:r w:rsidR="003E6D0F">
              <w:rPr>
                <w:color w:val="000000"/>
              </w:rPr>
              <w:t>the first issue</w:t>
            </w:r>
            <w:r w:rsidR="00B80125">
              <w:rPr>
                <w:color w:val="000000"/>
              </w:rPr>
              <w:t xml:space="preserve">, </w:t>
            </w:r>
            <w:r w:rsidR="0096099E">
              <w:rPr>
                <w:color w:val="000000"/>
              </w:rPr>
              <w:t xml:space="preserve">a total of </w:t>
            </w:r>
            <w:r w:rsidR="007B426B">
              <w:rPr>
                <w:color w:val="000000"/>
              </w:rPr>
              <w:t>144</w:t>
            </w:r>
            <w:r w:rsidR="00A94CD3">
              <w:rPr>
                <w:color w:val="000000"/>
              </w:rPr>
              <w:t>.</w:t>
            </w:r>
            <w:r w:rsidR="00BF36EF">
              <w:rPr>
                <w:color w:val="000000"/>
              </w:rPr>
              <w:t>5875</w:t>
            </w:r>
            <w:r w:rsidR="00412F81">
              <w:rPr>
                <w:color w:val="000000"/>
              </w:rPr>
              <w:t xml:space="preserve"> hours, which breaks down </w:t>
            </w:r>
            <w:r w:rsidR="00C805E4">
              <w:rPr>
                <w:color w:val="000000"/>
              </w:rPr>
              <w:t>as follows</w:t>
            </w:r>
            <w:r w:rsidR="00F37B6A">
              <w:rPr>
                <w:color w:val="000000"/>
              </w:rPr>
              <w:t>:</w:t>
            </w:r>
            <w:r w:rsidR="00297909">
              <w:rPr>
                <w:lang w:eastAsia="zh-CN"/>
              </w:rPr>
              <w:t xml:space="preserve"> </w:t>
            </w:r>
          </w:p>
          <w:p w:rsidR="0099139C" w:rsidP="0099139C" w:rsidRDefault="0099139C" w14:paraId="569C42D2" w14:textId="77777777">
            <w:pPr>
              <w:tabs>
                <w:tab w:val="left" w:pos="1440"/>
              </w:tabs>
              <w:rPr>
                <w:lang w:eastAsia="zh-CN"/>
              </w:rPr>
            </w:pPr>
          </w:p>
          <w:p w:rsidR="00E25493" w:rsidP="0099139C" w:rsidRDefault="00E25493" w14:paraId="584865D0" w14:textId="313FEE84">
            <w:pPr>
              <w:pStyle w:val="ListBullet"/>
              <w:rPr>
                <w:lang w:eastAsia="zh-CN"/>
              </w:rPr>
            </w:pPr>
            <w:r>
              <w:rPr>
                <w:lang w:eastAsia="zh-CN"/>
              </w:rPr>
              <w:t>2021 Kelly:</w:t>
            </w:r>
            <w:r w:rsidR="00890C10">
              <w:rPr>
                <w:lang w:eastAsia="zh-CN"/>
              </w:rPr>
              <w:t xml:space="preserve"> </w:t>
            </w:r>
            <w:r w:rsidR="0044013C">
              <w:rPr>
                <w:lang w:eastAsia="zh-CN"/>
              </w:rPr>
              <w:t>12.</w:t>
            </w:r>
            <w:r w:rsidR="00A94CD3">
              <w:rPr>
                <w:lang w:eastAsia="zh-CN"/>
              </w:rPr>
              <w:t>25</w:t>
            </w:r>
            <w:r w:rsidR="00872F08">
              <w:rPr>
                <w:lang w:eastAsia="zh-CN"/>
              </w:rPr>
              <w:t xml:space="preserve"> hours</w:t>
            </w:r>
          </w:p>
          <w:p w:rsidR="00E25493" w:rsidP="00E25493" w:rsidRDefault="00E25493" w14:paraId="3D9712B4" w14:textId="5DD29B7A">
            <w:pPr>
              <w:pStyle w:val="ListBullet"/>
              <w:rPr>
                <w:lang w:eastAsia="zh-CN"/>
              </w:rPr>
            </w:pPr>
            <w:r>
              <w:rPr>
                <w:lang w:eastAsia="zh-CN"/>
              </w:rPr>
              <w:t>2022 Kelly:</w:t>
            </w:r>
            <w:r w:rsidR="00890C10">
              <w:rPr>
                <w:lang w:eastAsia="zh-CN"/>
              </w:rPr>
              <w:t xml:space="preserve"> </w:t>
            </w:r>
            <w:r w:rsidR="00DE239F">
              <w:rPr>
                <w:lang w:eastAsia="zh-CN"/>
              </w:rPr>
              <w:t>31.</w:t>
            </w:r>
            <w:r w:rsidR="00266CF0">
              <w:rPr>
                <w:lang w:eastAsia="zh-CN"/>
              </w:rPr>
              <w:t>30</w:t>
            </w:r>
            <w:r w:rsidR="00872F08">
              <w:rPr>
                <w:lang w:eastAsia="zh-CN"/>
              </w:rPr>
              <w:t xml:space="preserve"> hours</w:t>
            </w:r>
          </w:p>
          <w:p w:rsidR="00872F08" w:rsidP="00872F08" w:rsidRDefault="00E25493" w14:paraId="08F186A9" w14:textId="46A28BA3">
            <w:pPr>
              <w:pStyle w:val="ListBullet"/>
              <w:rPr>
                <w:lang w:eastAsia="zh-CN"/>
              </w:rPr>
            </w:pPr>
            <w:r>
              <w:rPr>
                <w:lang w:eastAsia="zh-CN"/>
              </w:rPr>
              <w:t>2021 Colvin:</w:t>
            </w:r>
            <w:r w:rsidR="00950351">
              <w:rPr>
                <w:lang w:eastAsia="zh-CN"/>
              </w:rPr>
              <w:t xml:space="preserve"> </w:t>
            </w:r>
            <w:r w:rsidR="00640F53">
              <w:rPr>
                <w:lang w:eastAsia="zh-CN"/>
              </w:rPr>
              <w:t>7.</w:t>
            </w:r>
            <w:r w:rsidR="00D766D9">
              <w:rPr>
                <w:lang w:eastAsia="zh-CN"/>
              </w:rPr>
              <w:t>425</w:t>
            </w:r>
            <w:r w:rsidR="00872F08">
              <w:rPr>
                <w:lang w:eastAsia="zh-CN"/>
              </w:rPr>
              <w:t xml:space="preserve"> hours</w:t>
            </w:r>
          </w:p>
          <w:p w:rsidR="00E25493" w:rsidP="00E25493" w:rsidRDefault="00E25493" w14:paraId="2D3C7A47" w14:textId="2CB229A1">
            <w:pPr>
              <w:pStyle w:val="ListBullet"/>
              <w:rPr>
                <w:lang w:eastAsia="zh-CN"/>
              </w:rPr>
            </w:pPr>
            <w:r>
              <w:rPr>
                <w:lang w:eastAsia="zh-CN"/>
              </w:rPr>
              <w:t>2022 Colvin:</w:t>
            </w:r>
            <w:r w:rsidR="00950351">
              <w:rPr>
                <w:lang w:eastAsia="zh-CN"/>
              </w:rPr>
              <w:t xml:space="preserve"> </w:t>
            </w:r>
            <w:r w:rsidR="00EB6E75">
              <w:rPr>
                <w:lang w:eastAsia="zh-CN"/>
              </w:rPr>
              <w:t>11.</w:t>
            </w:r>
            <w:r w:rsidR="00CA6DB0">
              <w:rPr>
                <w:lang w:eastAsia="zh-CN"/>
              </w:rPr>
              <w:t>425</w:t>
            </w:r>
            <w:r w:rsidR="00872F08">
              <w:rPr>
                <w:lang w:eastAsia="zh-CN"/>
              </w:rPr>
              <w:t xml:space="preserve"> hours</w:t>
            </w:r>
          </w:p>
          <w:p w:rsidR="00E25493" w:rsidP="00E25493" w:rsidRDefault="00E25493" w14:paraId="715BB61D" w14:textId="462B104D">
            <w:pPr>
              <w:pStyle w:val="ListBullet"/>
              <w:rPr>
                <w:lang w:eastAsia="zh-CN"/>
              </w:rPr>
            </w:pPr>
            <w:r>
              <w:rPr>
                <w:lang w:eastAsia="zh-CN"/>
              </w:rPr>
              <w:t>2021 McCann:</w:t>
            </w:r>
            <w:r w:rsidR="00DA179A">
              <w:rPr>
                <w:lang w:eastAsia="zh-CN"/>
              </w:rPr>
              <w:t xml:space="preserve"> </w:t>
            </w:r>
            <w:r w:rsidR="005B4877">
              <w:rPr>
                <w:lang w:eastAsia="zh-CN"/>
              </w:rPr>
              <w:t>4.</w:t>
            </w:r>
            <w:r w:rsidR="009E70AD">
              <w:rPr>
                <w:lang w:eastAsia="zh-CN"/>
              </w:rPr>
              <w:t>00</w:t>
            </w:r>
            <w:r w:rsidR="005B4877">
              <w:rPr>
                <w:lang w:eastAsia="zh-CN"/>
              </w:rPr>
              <w:t xml:space="preserve"> </w:t>
            </w:r>
            <w:r w:rsidR="00872F08">
              <w:rPr>
                <w:lang w:eastAsia="zh-CN"/>
              </w:rPr>
              <w:t>hours</w:t>
            </w:r>
          </w:p>
          <w:p w:rsidRPr="00090A6F" w:rsidR="00E25493" w:rsidP="00E25493" w:rsidRDefault="00E25493" w14:paraId="3DCA3E77" w14:textId="7D1D2C04">
            <w:pPr>
              <w:pStyle w:val="ListBullet"/>
              <w:rPr>
                <w:lang w:eastAsia="zh-CN"/>
              </w:rPr>
            </w:pPr>
            <w:r>
              <w:rPr>
                <w:lang w:eastAsia="zh-CN"/>
              </w:rPr>
              <w:t>2022</w:t>
            </w:r>
            <w:r w:rsidR="00BC721D">
              <w:rPr>
                <w:lang w:eastAsia="zh-CN"/>
              </w:rPr>
              <w:t xml:space="preserve"> McCann:</w:t>
            </w:r>
            <w:r w:rsidR="00DA179A">
              <w:rPr>
                <w:lang w:eastAsia="zh-CN"/>
              </w:rPr>
              <w:t xml:space="preserve"> </w:t>
            </w:r>
            <w:r w:rsidR="00DC11AF">
              <w:rPr>
                <w:lang w:eastAsia="zh-CN"/>
              </w:rPr>
              <w:t>78.</w:t>
            </w:r>
            <w:r w:rsidR="00D662BC">
              <w:rPr>
                <w:lang w:eastAsia="zh-CN"/>
              </w:rPr>
              <w:t>1875</w:t>
            </w:r>
            <w:r w:rsidR="00872F08">
              <w:rPr>
                <w:lang w:eastAsia="zh-CN"/>
              </w:rPr>
              <w:t xml:space="preserve"> hours</w:t>
            </w:r>
          </w:p>
        </w:tc>
      </w:tr>
      <w:tr w:rsidRPr="007F620E" w:rsidR="00872F08" w:rsidTr="00A4526F" w14:paraId="53969523" w14:textId="77777777">
        <w:tc>
          <w:tcPr>
            <w:tcW w:w="1616" w:type="dxa"/>
          </w:tcPr>
          <w:p w:rsidR="00872F08" w:rsidP="00A4526F" w:rsidRDefault="00872F08" w14:paraId="48BDF525" w14:textId="098E0F99">
            <w:pPr>
              <w:widowControl w:val="0"/>
              <w:tabs>
                <w:tab w:val="left" w:pos="1440"/>
              </w:tabs>
              <w:rPr>
                <w:color w:val="000000"/>
              </w:rPr>
            </w:pPr>
            <w:r>
              <w:rPr>
                <w:color w:val="000000"/>
              </w:rPr>
              <w:lastRenderedPageBreak/>
              <w:t>[</w:t>
            </w:r>
            <w:r w:rsidR="003C4E6D">
              <w:rPr>
                <w:color w:val="000000"/>
              </w:rPr>
              <w:t>7</w:t>
            </w:r>
            <w:r w:rsidR="007D3618">
              <w:rPr>
                <w:color w:val="000000"/>
              </w:rPr>
              <w:t xml:space="preserve">] </w:t>
            </w:r>
            <w:r w:rsidR="0096099E">
              <w:rPr>
                <w:color w:val="000000"/>
              </w:rPr>
              <w:t xml:space="preserve">Reduction </w:t>
            </w:r>
            <w:r w:rsidR="007D3618">
              <w:rPr>
                <w:color w:val="000000"/>
              </w:rPr>
              <w:t>for Duplication of Effort</w:t>
            </w:r>
          </w:p>
        </w:tc>
        <w:tc>
          <w:tcPr>
            <w:tcW w:w="7744" w:type="dxa"/>
          </w:tcPr>
          <w:p w:rsidR="005D2381" w:rsidP="00A4526F" w:rsidRDefault="004F350D" w14:paraId="38505290" w14:textId="5C51A978">
            <w:pPr>
              <w:widowControl w:val="0"/>
              <w:tabs>
                <w:tab w:val="left" w:pos="360"/>
              </w:tabs>
              <w:rPr>
                <w:lang w:eastAsia="zh-CN"/>
              </w:rPr>
            </w:pPr>
            <w:r>
              <w:rPr>
                <w:lang w:eastAsia="zh-CN"/>
              </w:rPr>
              <w:t>Section 1</w:t>
            </w:r>
            <w:r w:rsidR="00E40D52">
              <w:rPr>
                <w:lang w:eastAsia="zh-CN"/>
              </w:rPr>
              <w:t xml:space="preserve">801.3(f) states that it is the Legislature’s intent </w:t>
            </w:r>
            <w:r w:rsidR="00026CEF">
              <w:rPr>
                <w:lang w:eastAsia="zh-CN"/>
              </w:rPr>
              <w:t xml:space="preserve">that the Intervenor Compensation program is </w:t>
            </w:r>
            <w:r w:rsidR="006E3C4E">
              <w:rPr>
                <w:lang w:eastAsia="zh-CN"/>
              </w:rPr>
              <w:t>“</w:t>
            </w:r>
            <w:r w:rsidRPr="006E3C4E" w:rsidR="006E3C4E">
              <w:rPr>
                <w:lang w:eastAsia="zh-CN"/>
              </w:rPr>
              <w:t>administered in a manner that avoids unproductive or unnecessary participation that duplicates the participation of similar interests otherwise adequately represented</w:t>
            </w:r>
            <w:r w:rsidR="003B4B25">
              <w:rPr>
                <w:lang w:eastAsia="zh-CN"/>
              </w:rPr>
              <w:t>.</w:t>
            </w:r>
            <w:r w:rsidR="006E3C4E">
              <w:rPr>
                <w:lang w:eastAsia="zh-CN"/>
              </w:rPr>
              <w:t>”</w:t>
            </w:r>
            <w:r w:rsidR="005337FB">
              <w:rPr>
                <w:lang w:eastAsia="zh-CN"/>
              </w:rPr>
              <w:t xml:space="preserve"> The Commission may reduce a</w:t>
            </w:r>
            <w:r w:rsidR="003C4302">
              <w:rPr>
                <w:lang w:eastAsia="zh-CN"/>
              </w:rPr>
              <w:t xml:space="preserve"> request for compensation </w:t>
            </w:r>
            <w:r w:rsidR="002455B1">
              <w:rPr>
                <w:lang w:eastAsia="zh-CN"/>
              </w:rPr>
              <w:t>for being duplicative</w:t>
            </w:r>
            <w:r w:rsidR="006C50D5">
              <w:rPr>
                <w:lang w:eastAsia="zh-CN"/>
              </w:rPr>
              <w:t xml:space="preserve"> </w:t>
            </w:r>
            <w:r w:rsidR="003C4302">
              <w:rPr>
                <w:lang w:eastAsia="zh-CN"/>
              </w:rPr>
              <w:t xml:space="preserve">if we find that </w:t>
            </w:r>
            <w:r w:rsidR="005C6399">
              <w:rPr>
                <w:lang w:eastAsia="zh-CN"/>
              </w:rPr>
              <w:t xml:space="preserve">an </w:t>
            </w:r>
            <w:r w:rsidR="003C4302">
              <w:rPr>
                <w:lang w:eastAsia="zh-CN"/>
              </w:rPr>
              <w:t xml:space="preserve">intervenor </w:t>
            </w:r>
            <w:r w:rsidR="005C6399">
              <w:rPr>
                <w:lang w:eastAsia="zh-CN"/>
              </w:rPr>
              <w:t>“</w:t>
            </w:r>
            <w:r w:rsidR="00DB6C2B">
              <w:rPr>
                <w:lang w:eastAsia="zh-CN"/>
              </w:rPr>
              <w:t>expressed similar concerns and</w:t>
            </w:r>
            <w:r w:rsidR="005C6399">
              <w:rPr>
                <w:lang w:eastAsia="zh-CN"/>
              </w:rPr>
              <w:t xml:space="preserve"> made similar</w:t>
            </w:r>
            <w:r w:rsidR="00DB6C2B">
              <w:rPr>
                <w:lang w:eastAsia="zh-CN"/>
              </w:rPr>
              <w:t xml:space="preserve"> arguments</w:t>
            </w:r>
            <w:r w:rsidR="005C6399">
              <w:rPr>
                <w:lang w:eastAsia="zh-CN"/>
              </w:rPr>
              <w:t>”</w:t>
            </w:r>
            <w:r w:rsidR="00DB6C2B">
              <w:rPr>
                <w:lang w:eastAsia="zh-CN"/>
              </w:rPr>
              <w:t xml:space="preserve"> </w:t>
            </w:r>
            <w:r w:rsidR="00BC0EBB">
              <w:rPr>
                <w:lang w:eastAsia="zh-CN"/>
              </w:rPr>
              <w:t xml:space="preserve">with another intervenor </w:t>
            </w:r>
            <w:r w:rsidR="006F09C0">
              <w:rPr>
                <w:lang w:eastAsia="zh-CN"/>
              </w:rPr>
              <w:t>even if they</w:t>
            </w:r>
            <w:r w:rsidR="00DB6C2B">
              <w:rPr>
                <w:lang w:eastAsia="zh-CN"/>
              </w:rPr>
              <w:t xml:space="preserve"> represent</w:t>
            </w:r>
            <w:r w:rsidR="00BC0EBB">
              <w:rPr>
                <w:lang w:eastAsia="zh-CN"/>
              </w:rPr>
              <w:t>ed</w:t>
            </w:r>
            <w:r w:rsidR="00DB6C2B">
              <w:rPr>
                <w:lang w:eastAsia="zh-CN"/>
              </w:rPr>
              <w:t xml:space="preserve"> different </w:t>
            </w:r>
            <w:r w:rsidR="00294312">
              <w:rPr>
                <w:lang w:eastAsia="zh-CN"/>
              </w:rPr>
              <w:t>ratepayers’</w:t>
            </w:r>
            <w:r w:rsidR="00BC0EBB">
              <w:rPr>
                <w:lang w:eastAsia="zh-CN"/>
              </w:rPr>
              <w:t xml:space="preserve"> interests. </w:t>
            </w:r>
            <w:r w:rsidR="00294312">
              <w:rPr>
                <w:lang w:eastAsia="zh-CN"/>
              </w:rPr>
              <w:t xml:space="preserve">D.25-02-028 at </w:t>
            </w:r>
            <w:r w:rsidR="00ED1FD4">
              <w:rPr>
                <w:lang w:eastAsia="zh-CN"/>
              </w:rPr>
              <w:t>7</w:t>
            </w:r>
            <w:r w:rsidR="00294312">
              <w:rPr>
                <w:lang w:eastAsia="zh-CN"/>
              </w:rPr>
              <w:t>-9.</w:t>
            </w:r>
          </w:p>
          <w:p w:rsidR="005D2381" w:rsidP="00A4526F" w:rsidRDefault="005D2381" w14:paraId="437D6D9C" w14:textId="77777777">
            <w:pPr>
              <w:widowControl w:val="0"/>
              <w:tabs>
                <w:tab w:val="left" w:pos="360"/>
              </w:tabs>
              <w:rPr>
                <w:lang w:eastAsia="zh-CN"/>
              </w:rPr>
            </w:pPr>
          </w:p>
          <w:p w:rsidRPr="000B3979" w:rsidR="005D2381" w:rsidP="00A4526F" w:rsidRDefault="006E3C4E" w14:paraId="79F7E560" w14:textId="164E431C">
            <w:pPr>
              <w:widowControl w:val="0"/>
              <w:tabs>
                <w:tab w:val="left" w:pos="360"/>
              </w:tabs>
            </w:pPr>
            <w:r>
              <w:rPr>
                <w:lang w:eastAsia="zh-CN"/>
              </w:rPr>
              <w:t xml:space="preserve">In Part </w:t>
            </w:r>
            <w:proofErr w:type="spellStart"/>
            <w:r>
              <w:rPr>
                <w:lang w:eastAsia="zh-CN"/>
              </w:rPr>
              <w:t>II.B.d</w:t>
            </w:r>
            <w:proofErr w:type="spellEnd"/>
            <w:r>
              <w:rPr>
                <w:lang w:eastAsia="zh-CN"/>
              </w:rPr>
              <w:t>, “</w:t>
            </w:r>
            <w:r w:rsidRPr="00F35415">
              <w:rPr>
                <w:bCs/>
                <w:color w:val="000000"/>
              </w:rPr>
              <w:t>Intervenor’s claim of non-duplication</w:t>
            </w:r>
            <w:r w:rsidR="003B4B25">
              <w:rPr>
                <w:bCs/>
                <w:color w:val="000000"/>
              </w:rPr>
              <w:t>,</w:t>
            </w:r>
            <w:r>
              <w:rPr>
                <w:bCs/>
                <w:color w:val="000000"/>
              </w:rPr>
              <w:t xml:space="preserve">” </w:t>
            </w:r>
            <w:r w:rsidR="00F35415">
              <w:rPr>
                <w:bCs/>
                <w:color w:val="000000"/>
              </w:rPr>
              <w:t xml:space="preserve">EDF claimed that </w:t>
            </w:r>
            <w:r w:rsidR="009A7318">
              <w:rPr>
                <w:bCs/>
                <w:color w:val="000000"/>
              </w:rPr>
              <w:t xml:space="preserve">other </w:t>
            </w:r>
            <w:r w:rsidR="00576A63">
              <w:rPr>
                <w:color w:val="000000"/>
              </w:rPr>
              <w:t>i</w:t>
            </w:r>
            <w:r w:rsidR="009A7318">
              <w:rPr>
                <w:color w:val="000000"/>
              </w:rPr>
              <w:t>ntervenors in this proceeding focused on the rates impact on customers</w:t>
            </w:r>
            <w:r w:rsidR="00576A63">
              <w:rPr>
                <w:color w:val="000000"/>
              </w:rPr>
              <w:t>, whereas</w:t>
            </w:r>
            <w:r w:rsidR="009A7318">
              <w:rPr>
                <w:color w:val="000000"/>
              </w:rPr>
              <w:t xml:space="preserve"> EDF focused on the consequences of </w:t>
            </w:r>
            <w:r w:rsidR="00576A63">
              <w:rPr>
                <w:color w:val="000000"/>
              </w:rPr>
              <w:t xml:space="preserve">those </w:t>
            </w:r>
            <w:r w:rsidR="009A7318">
              <w:rPr>
                <w:color w:val="000000"/>
              </w:rPr>
              <w:t>rate impacts, not only for customers, but for the environment</w:t>
            </w:r>
            <w:r w:rsidR="00F35415">
              <w:rPr>
                <w:color w:val="000000"/>
              </w:rPr>
              <w:t>.</w:t>
            </w:r>
            <w:r w:rsidR="00070638">
              <w:rPr>
                <w:color w:val="000000"/>
              </w:rPr>
              <w:t xml:space="preserve"> </w:t>
            </w:r>
            <w:r w:rsidR="00576A63">
              <w:rPr>
                <w:color w:val="000000"/>
              </w:rPr>
              <w:t>However, i</w:t>
            </w:r>
            <w:r w:rsidR="000D6E50">
              <w:rPr>
                <w:color w:val="000000"/>
              </w:rPr>
              <w:t xml:space="preserve">n Part II.A, </w:t>
            </w:r>
            <w:r w:rsidR="00210460">
              <w:rPr>
                <w:color w:val="000000"/>
              </w:rPr>
              <w:t xml:space="preserve">where </w:t>
            </w:r>
            <w:r w:rsidR="000D6E50">
              <w:rPr>
                <w:color w:val="000000"/>
              </w:rPr>
              <w:t xml:space="preserve">EDF </w:t>
            </w:r>
            <w:r w:rsidR="00210460">
              <w:rPr>
                <w:color w:val="000000"/>
              </w:rPr>
              <w:t>listed its</w:t>
            </w:r>
            <w:r w:rsidR="00265455">
              <w:rPr>
                <w:color w:val="000000"/>
              </w:rPr>
              <w:t xml:space="preserve"> claimed contributions to D.22-11-018</w:t>
            </w:r>
            <w:r w:rsidR="00210460">
              <w:rPr>
                <w:color w:val="000000"/>
              </w:rPr>
              <w:t xml:space="preserve">, </w:t>
            </w:r>
            <w:r w:rsidR="005069D1">
              <w:rPr>
                <w:color w:val="000000"/>
              </w:rPr>
              <w:t xml:space="preserve">the environment </w:t>
            </w:r>
            <w:r w:rsidR="00210460">
              <w:rPr>
                <w:color w:val="000000"/>
              </w:rPr>
              <w:t xml:space="preserve">is mentioned </w:t>
            </w:r>
            <w:r w:rsidR="00354A48">
              <w:rPr>
                <w:color w:val="000000"/>
              </w:rPr>
              <w:t xml:space="preserve">in only one </w:t>
            </w:r>
            <w:r w:rsidR="00F66D7E">
              <w:rPr>
                <w:color w:val="000000"/>
              </w:rPr>
              <w:t xml:space="preserve">of the seventeen </w:t>
            </w:r>
            <w:r w:rsidR="00354A48">
              <w:rPr>
                <w:color w:val="000000"/>
              </w:rPr>
              <w:t>identified</w:t>
            </w:r>
            <w:r w:rsidR="00F66D7E">
              <w:rPr>
                <w:color w:val="000000"/>
              </w:rPr>
              <w:t xml:space="preserve"> areas of contribution</w:t>
            </w:r>
            <w:r w:rsidR="005069D1">
              <w:rPr>
                <w:color w:val="000000"/>
              </w:rPr>
              <w:t>.</w:t>
            </w:r>
            <w:r w:rsidR="00CE2A65">
              <w:rPr>
                <w:color w:val="000000"/>
              </w:rPr>
              <w:t xml:space="preserve"> Thus, we find that the majority of EDF’s claimed contributions were focused on the</w:t>
            </w:r>
            <w:r w:rsidR="00F418B4">
              <w:rPr>
                <w:color w:val="000000"/>
              </w:rPr>
              <w:t xml:space="preserve"> customer related</w:t>
            </w:r>
            <w:r w:rsidR="00CE2A65">
              <w:rPr>
                <w:color w:val="000000"/>
              </w:rPr>
              <w:t xml:space="preserve"> rate impacts rather than the environment</w:t>
            </w:r>
            <w:r w:rsidR="00CA07E3">
              <w:rPr>
                <w:color w:val="000000"/>
              </w:rPr>
              <w:t>al</w:t>
            </w:r>
            <w:r w:rsidR="00856406">
              <w:rPr>
                <w:color w:val="000000"/>
              </w:rPr>
              <w:t xml:space="preserve"> concerns, contrary to EDF’s assertion</w:t>
            </w:r>
            <w:r w:rsidR="00CE2A65">
              <w:rPr>
                <w:color w:val="000000"/>
              </w:rPr>
              <w:t>.</w:t>
            </w:r>
          </w:p>
          <w:p w:rsidR="005D2381" w:rsidP="00A4526F" w:rsidRDefault="005D2381" w14:paraId="284E8AAB" w14:textId="77777777">
            <w:pPr>
              <w:widowControl w:val="0"/>
              <w:tabs>
                <w:tab w:val="left" w:pos="360"/>
              </w:tabs>
              <w:rPr>
                <w:color w:val="000000"/>
              </w:rPr>
            </w:pPr>
          </w:p>
          <w:p w:rsidR="00070638" w:rsidP="00A4526F" w:rsidRDefault="001D190C" w14:paraId="181AD29E" w14:textId="6A5EF34C">
            <w:pPr>
              <w:widowControl w:val="0"/>
              <w:tabs>
                <w:tab w:val="left" w:pos="360"/>
              </w:tabs>
              <w:rPr>
                <w:color w:val="000000"/>
              </w:rPr>
            </w:pPr>
            <w:r>
              <w:rPr>
                <w:color w:val="000000"/>
              </w:rPr>
              <w:t>W</w:t>
            </w:r>
            <w:r w:rsidR="00C805E4">
              <w:rPr>
                <w:color w:val="000000"/>
              </w:rPr>
              <w:t xml:space="preserve">e </w:t>
            </w:r>
            <w:r>
              <w:rPr>
                <w:color w:val="000000"/>
              </w:rPr>
              <w:t>also</w:t>
            </w:r>
            <w:r w:rsidR="006740C2">
              <w:rPr>
                <w:color w:val="000000"/>
              </w:rPr>
              <w:t xml:space="preserve"> </w:t>
            </w:r>
            <w:r w:rsidR="006170A7">
              <w:rPr>
                <w:color w:val="000000"/>
              </w:rPr>
              <w:t xml:space="preserve">find </w:t>
            </w:r>
            <w:r w:rsidR="00C805E4">
              <w:rPr>
                <w:color w:val="000000"/>
              </w:rPr>
              <w:t xml:space="preserve">that many of </w:t>
            </w:r>
            <w:r w:rsidR="00585F55">
              <w:rPr>
                <w:color w:val="000000"/>
              </w:rPr>
              <w:t xml:space="preserve">EDF’s </w:t>
            </w:r>
            <w:r w:rsidR="00CC67F0">
              <w:rPr>
                <w:color w:val="000000"/>
              </w:rPr>
              <w:t xml:space="preserve">claimed </w:t>
            </w:r>
            <w:r w:rsidR="00585F55">
              <w:rPr>
                <w:color w:val="000000"/>
              </w:rPr>
              <w:t xml:space="preserve">contributions overlapped </w:t>
            </w:r>
            <w:r w:rsidR="00864076">
              <w:rPr>
                <w:color w:val="000000"/>
              </w:rPr>
              <w:t xml:space="preserve">with </w:t>
            </w:r>
            <w:r w:rsidR="003E1C89">
              <w:rPr>
                <w:color w:val="000000"/>
              </w:rPr>
              <w:t>the work</w:t>
            </w:r>
            <w:r w:rsidR="00585F55">
              <w:rPr>
                <w:color w:val="000000"/>
              </w:rPr>
              <w:t xml:space="preserve"> of other intervenors. This is evident in D.22-</w:t>
            </w:r>
            <w:r w:rsidR="00F1207A">
              <w:rPr>
                <w:color w:val="000000"/>
              </w:rPr>
              <w:t xml:space="preserve">11-018, where every citation </w:t>
            </w:r>
            <w:r w:rsidR="001E702E">
              <w:rPr>
                <w:color w:val="000000"/>
              </w:rPr>
              <w:t>to</w:t>
            </w:r>
            <w:r w:rsidR="00F1207A">
              <w:rPr>
                <w:color w:val="000000"/>
              </w:rPr>
              <w:t xml:space="preserve"> EDF’s </w:t>
            </w:r>
            <w:r w:rsidR="00864076">
              <w:rPr>
                <w:color w:val="000000"/>
              </w:rPr>
              <w:t>work is made</w:t>
            </w:r>
            <w:r w:rsidR="006D0FE6">
              <w:rPr>
                <w:color w:val="000000"/>
              </w:rPr>
              <w:t xml:space="preserve"> along</w:t>
            </w:r>
            <w:r w:rsidR="00864076">
              <w:rPr>
                <w:color w:val="000000"/>
              </w:rPr>
              <w:t>side</w:t>
            </w:r>
            <w:r w:rsidR="00155578">
              <w:rPr>
                <w:color w:val="000000"/>
              </w:rPr>
              <w:t xml:space="preserve"> citations to</w:t>
            </w:r>
            <w:r w:rsidR="00CA07E3">
              <w:rPr>
                <w:color w:val="000000"/>
              </w:rPr>
              <w:t xml:space="preserve"> </w:t>
            </w:r>
            <w:r w:rsidR="00507F4A">
              <w:rPr>
                <w:color w:val="000000"/>
              </w:rPr>
              <w:t>other parties</w:t>
            </w:r>
            <w:r w:rsidR="00155578">
              <w:rPr>
                <w:color w:val="000000"/>
              </w:rPr>
              <w:t xml:space="preserve">’ </w:t>
            </w:r>
            <w:r w:rsidR="00155578">
              <w:rPr>
                <w:color w:val="000000"/>
              </w:rPr>
              <w:lastRenderedPageBreak/>
              <w:t>contributions</w:t>
            </w:r>
            <w:r w:rsidR="006D0FE6">
              <w:rPr>
                <w:color w:val="000000"/>
              </w:rPr>
              <w:t>.</w:t>
            </w:r>
            <w:r w:rsidR="006D0FE6">
              <w:rPr>
                <w:rStyle w:val="FootnoteReference"/>
                <w:color w:val="000000"/>
              </w:rPr>
              <w:footnoteReference w:id="7"/>
            </w:r>
            <w:r w:rsidR="006D0FE6">
              <w:rPr>
                <w:color w:val="000000"/>
              </w:rPr>
              <w:t xml:space="preserve"> </w:t>
            </w:r>
            <w:r w:rsidR="00DA4198">
              <w:rPr>
                <w:color w:val="000000"/>
              </w:rPr>
              <w:t>W</w:t>
            </w:r>
            <w:r w:rsidR="0089132F">
              <w:rPr>
                <w:color w:val="000000"/>
              </w:rPr>
              <w:t xml:space="preserve">hile </w:t>
            </w:r>
            <w:r w:rsidR="00155578">
              <w:rPr>
                <w:color w:val="000000"/>
              </w:rPr>
              <w:t xml:space="preserve">it is true that </w:t>
            </w:r>
            <w:r w:rsidR="0089132F">
              <w:rPr>
                <w:color w:val="000000"/>
              </w:rPr>
              <w:t>an intervenor does not have to be cited in a final</w:t>
            </w:r>
            <w:r w:rsidR="00731BA4">
              <w:rPr>
                <w:color w:val="000000"/>
              </w:rPr>
              <w:t xml:space="preserve"> </w:t>
            </w:r>
            <w:r w:rsidR="0089132F">
              <w:rPr>
                <w:color w:val="000000"/>
              </w:rPr>
              <w:t xml:space="preserve">decision to </w:t>
            </w:r>
            <w:r w:rsidR="000B7531">
              <w:rPr>
                <w:color w:val="000000"/>
              </w:rPr>
              <w:t xml:space="preserve">have made a </w:t>
            </w:r>
            <w:r w:rsidR="0089132F">
              <w:rPr>
                <w:color w:val="000000"/>
              </w:rPr>
              <w:t>substantial contribut</w:t>
            </w:r>
            <w:r w:rsidR="000B7531">
              <w:rPr>
                <w:color w:val="000000"/>
              </w:rPr>
              <w:t xml:space="preserve">ion, </w:t>
            </w:r>
            <w:r w:rsidR="003263EE">
              <w:rPr>
                <w:color w:val="000000"/>
              </w:rPr>
              <w:t>the overlap and repetition of</w:t>
            </w:r>
            <w:r w:rsidR="00093EC3">
              <w:rPr>
                <w:color w:val="000000"/>
              </w:rPr>
              <w:t xml:space="preserve"> EDF’s claimed contributions </w:t>
            </w:r>
            <w:r w:rsidR="00C43963">
              <w:rPr>
                <w:color w:val="000000"/>
              </w:rPr>
              <w:t xml:space="preserve">that </w:t>
            </w:r>
            <w:r w:rsidR="003263EE">
              <w:rPr>
                <w:color w:val="000000"/>
              </w:rPr>
              <w:t xml:space="preserve">were </w:t>
            </w:r>
            <w:r w:rsidR="000700C2">
              <w:rPr>
                <w:color w:val="000000"/>
              </w:rPr>
              <w:t xml:space="preserve">ultimately </w:t>
            </w:r>
            <w:r w:rsidR="003263EE">
              <w:rPr>
                <w:color w:val="000000"/>
              </w:rPr>
              <w:t xml:space="preserve">included </w:t>
            </w:r>
            <w:r w:rsidR="00C43963">
              <w:rPr>
                <w:color w:val="000000"/>
              </w:rPr>
              <w:t xml:space="preserve">in D.22-11-018 </w:t>
            </w:r>
            <w:r w:rsidR="001C1D40">
              <w:rPr>
                <w:color w:val="000000"/>
              </w:rPr>
              <w:t xml:space="preserve">did not </w:t>
            </w:r>
            <w:r w:rsidRPr="001C1D40" w:rsidR="001C1D40">
              <w:rPr>
                <w:color w:val="000000"/>
              </w:rPr>
              <w:t>consistently supplement, complement, or materially enhance</w:t>
            </w:r>
            <w:r w:rsidR="001C1D40">
              <w:rPr>
                <w:color w:val="000000"/>
              </w:rPr>
              <w:t xml:space="preserve"> </w:t>
            </w:r>
            <w:r w:rsidR="00A84957">
              <w:rPr>
                <w:color w:val="000000"/>
              </w:rPr>
              <w:t>the</w:t>
            </w:r>
            <w:r w:rsidR="00A40847">
              <w:rPr>
                <w:color w:val="000000"/>
              </w:rPr>
              <w:t xml:space="preserve"> </w:t>
            </w:r>
            <w:r w:rsidR="001C1D40">
              <w:rPr>
                <w:color w:val="000000"/>
              </w:rPr>
              <w:t>contributions made by</w:t>
            </w:r>
            <w:r w:rsidR="00A40847">
              <w:rPr>
                <w:color w:val="000000"/>
              </w:rPr>
              <w:t xml:space="preserve"> other parties</w:t>
            </w:r>
            <w:r w:rsidR="009202B1">
              <w:rPr>
                <w:color w:val="000000"/>
              </w:rPr>
              <w:t xml:space="preserve">. </w:t>
            </w:r>
          </w:p>
          <w:p w:rsidR="00070638" w:rsidP="00A4526F" w:rsidRDefault="00070638" w14:paraId="46B559ED" w14:textId="77777777">
            <w:pPr>
              <w:widowControl w:val="0"/>
              <w:tabs>
                <w:tab w:val="left" w:pos="360"/>
              </w:tabs>
              <w:rPr>
                <w:color w:val="000000"/>
              </w:rPr>
            </w:pPr>
          </w:p>
          <w:p w:rsidR="006068F1" w:rsidP="00A4526F" w:rsidRDefault="00F02186" w14:paraId="3A727245" w14:textId="018F141B">
            <w:pPr>
              <w:widowControl w:val="0"/>
              <w:tabs>
                <w:tab w:val="left" w:pos="360"/>
              </w:tabs>
              <w:rPr>
                <w:lang w:eastAsia="zh-CN"/>
              </w:rPr>
            </w:pPr>
            <w:r>
              <w:rPr>
                <w:color w:val="000000"/>
              </w:rPr>
              <w:t>Additionally, w</w:t>
            </w:r>
            <w:r w:rsidR="00C43963">
              <w:rPr>
                <w:color w:val="000000"/>
              </w:rPr>
              <w:t xml:space="preserve">e </w:t>
            </w:r>
            <w:r w:rsidR="00AB5A6C">
              <w:rPr>
                <w:color w:val="000000"/>
              </w:rPr>
              <w:t xml:space="preserve">find that </w:t>
            </w:r>
            <w:r>
              <w:rPr>
                <w:color w:val="000000"/>
              </w:rPr>
              <w:t xml:space="preserve">several </w:t>
            </w:r>
            <w:r w:rsidR="00AB5A6C">
              <w:rPr>
                <w:color w:val="000000"/>
              </w:rPr>
              <w:t xml:space="preserve">of EDF’s claimed contributions </w:t>
            </w:r>
            <w:r>
              <w:rPr>
                <w:color w:val="000000"/>
              </w:rPr>
              <w:t xml:space="preserve">were </w:t>
            </w:r>
            <w:r w:rsidR="00DB41CD">
              <w:rPr>
                <w:color w:val="000000"/>
              </w:rPr>
              <w:t xml:space="preserve">unproductive and unnecessary </w:t>
            </w:r>
            <w:r>
              <w:rPr>
                <w:color w:val="000000"/>
              </w:rPr>
              <w:t xml:space="preserve">due to the </w:t>
            </w:r>
            <w:r w:rsidR="00070638">
              <w:rPr>
                <w:color w:val="000000"/>
              </w:rPr>
              <w:t>duplicat</w:t>
            </w:r>
            <w:r>
              <w:rPr>
                <w:color w:val="000000"/>
              </w:rPr>
              <w:t>ion of</w:t>
            </w:r>
            <w:r w:rsidR="00070638">
              <w:rPr>
                <w:color w:val="000000"/>
              </w:rPr>
              <w:t xml:space="preserve"> efforts</w:t>
            </w:r>
            <w:r w:rsidR="00021298">
              <w:rPr>
                <w:color w:val="000000"/>
              </w:rPr>
              <w:t xml:space="preserve">. </w:t>
            </w:r>
            <w:r w:rsidRPr="00021298" w:rsidR="00021298">
              <w:rPr>
                <w:color w:val="000000"/>
              </w:rPr>
              <w:t xml:space="preserve">EDF’s participation did not consistently provide unique value to the Commission’s deliberative process. </w:t>
            </w:r>
            <w:r w:rsidR="00AB5A6C">
              <w:rPr>
                <w:color w:val="000000"/>
              </w:rPr>
              <w:t xml:space="preserve"> </w:t>
            </w:r>
            <w:r w:rsidRPr="00AF016B" w:rsidR="0067377C">
              <w:t>The Commission compensates efficient effort that contributes to the proceeding</w:t>
            </w:r>
            <w:r w:rsidR="0067377C">
              <w:t>’</w:t>
            </w:r>
            <w:r w:rsidRPr="00AF016B" w:rsidR="0067377C">
              <w:t>s outcomes</w:t>
            </w:r>
            <w:r w:rsidR="00483908">
              <w:t xml:space="preserve"> but </w:t>
            </w:r>
            <w:r w:rsidRPr="00AF016B" w:rsidR="0067377C">
              <w:t>disallows inefficient participation that is not contributory to the underlying issues.</w:t>
            </w:r>
            <w:r w:rsidR="0067377C">
              <w:t xml:space="preserve"> </w:t>
            </w:r>
            <w:r w:rsidR="00AB5A6C">
              <w:rPr>
                <w:color w:val="000000"/>
              </w:rPr>
              <w:t>We</w:t>
            </w:r>
            <w:r w:rsidR="00070638">
              <w:rPr>
                <w:color w:val="000000"/>
              </w:rPr>
              <w:t xml:space="preserve"> </w:t>
            </w:r>
            <w:r w:rsidR="00AB5A6C">
              <w:rPr>
                <w:color w:val="000000"/>
              </w:rPr>
              <w:t xml:space="preserve">therefore </w:t>
            </w:r>
            <w:r w:rsidR="00483908">
              <w:rPr>
                <w:color w:val="000000"/>
              </w:rPr>
              <w:t>reduce</w:t>
            </w:r>
            <w:r w:rsidR="00AB5A6C">
              <w:rPr>
                <w:color w:val="000000"/>
              </w:rPr>
              <w:t xml:space="preserve"> 25% of EDF’s</w:t>
            </w:r>
            <w:r w:rsidR="003618A1">
              <w:rPr>
                <w:color w:val="000000"/>
              </w:rPr>
              <w:t xml:space="preserve"> total</w:t>
            </w:r>
            <w:r w:rsidR="0087465B">
              <w:rPr>
                <w:color w:val="000000"/>
              </w:rPr>
              <w:t xml:space="preserve"> award</w:t>
            </w:r>
            <w:r w:rsidR="00AB5A6C">
              <w:rPr>
                <w:color w:val="000000"/>
              </w:rPr>
              <w:t xml:space="preserve"> </w:t>
            </w:r>
            <w:r w:rsidR="0087465B">
              <w:rPr>
                <w:color w:val="000000"/>
              </w:rPr>
              <w:t xml:space="preserve">remaining </w:t>
            </w:r>
            <w:r w:rsidR="003618A1">
              <w:rPr>
                <w:color w:val="000000"/>
              </w:rPr>
              <w:t xml:space="preserve">in Part III.B </w:t>
            </w:r>
            <w:r w:rsidR="00355265">
              <w:rPr>
                <w:color w:val="000000"/>
              </w:rPr>
              <w:t xml:space="preserve">after </w:t>
            </w:r>
            <w:r w:rsidR="00483908">
              <w:rPr>
                <w:color w:val="000000"/>
              </w:rPr>
              <w:t xml:space="preserve">accounting for </w:t>
            </w:r>
            <w:r w:rsidR="00355265">
              <w:rPr>
                <w:color w:val="000000"/>
              </w:rPr>
              <w:t>the above disallowances.</w:t>
            </w:r>
          </w:p>
        </w:tc>
      </w:tr>
      <w:tr w:rsidRPr="007F620E" w:rsidR="006C5DA3" w:rsidTr="00A4526F" w14:paraId="4A3C416B" w14:textId="77777777">
        <w:tc>
          <w:tcPr>
            <w:tcW w:w="1616" w:type="dxa"/>
          </w:tcPr>
          <w:p w:rsidR="006C5DA3" w:rsidP="00A4526F" w:rsidRDefault="00C805FF" w14:paraId="4D3C9260" w14:textId="32172307">
            <w:pPr>
              <w:widowControl w:val="0"/>
              <w:tabs>
                <w:tab w:val="left" w:pos="1440"/>
              </w:tabs>
              <w:rPr>
                <w:color w:val="000000"/>
              </w:rPr>
            </w:pPr>
            <w:r>
              <w:rPr>
                <w:color w:val="000000"/>
              </w:rPr>
              <w:lastRenderedPageBreak/>
              <w:t xml:space="preserve">[8] </w:t>
            </w:r>
            <w:r w:rsidR="001755E5">
              <w:rPr>
                <w:color w:val="000000"/>
              </w:rPr>
              <w:t>Intervenor Responsibility for Transparency and Accuracy in Compensation Requests</w:t>
            </w:r>
          </w:p>
        </w:tc>
        <w:tc>
          <w:tcPr>
            <w:tcW w:w="7744" w:type="dxa"/>
          </w:tcPr>
          <w:p w:rsidRPr="009B03C9" w:rsidR="001755E5" w:rsidP="001755E5" w:rsidRDefault="001755E5" w14:paraId="284A4D5A" w14:textId="77777777">
            <w:r w:rsidRPr="009B03C9">
              <w:t>The Commission takes this opportunity to remind all intervenors that they bear the burden of providing accurate, complete, and honest information in all compensation requests. The Commission relies on intervenors' good faith representations, particularly regarding consultant agreements and payments, as it does not have the resources to review every contract or non-standard arrangement in detail.</w:t>
            </w:r>
          </w:p>
          <w:p w:rsidRPr="009B03C9" w:rsidR="001755E5" w:rsidP="001755E5" w:rsidRDefault="001755E5" w14:paraId="4586360F" w14:textId="77777777"/>
          <w:p w:rsidRPr="009B03C9" w:rsidR="001755E5" w:rsidP="001755E5" w:rsidRDefault="001755E5" w14:paraId="48D4B869" w14:textId="77777777">
            <w:r w:rsidRPr="009B03C9">
              <w:t xml:space="preserve">Intervenor compensation is funded by ratepayers, and the Commission takes seriously any effort to mislead or obscure the financial basis for a claim. </w:t>
            </w:r>
            <w:r w:rsidRPr="003C78B4">
              <w:t xml:space="preserve">Although no violation of Rule 1.1 has been found in this instance, </w:t>
            </w:r>
            <w:r>
              <w:t>we remind intervenors that u</w:t>
            </w:r>
            <w:r w:rsidRPr="009B03C9">
              <w:t>nder Rule 1.1, intent to deceive is not required for a violation, misstatements may still be actionable. Dishonest or misleading claims not only risk denial of compensation but may also subject the intervenor to penalties.</w:t>
            </w:r>
          </w:p>
          <w:p w:rsidRPr="009B03C9" w:rsidR="001755E5" w:rsidP="001755E5" w:rsidRDefault="001755E5" w14:paraId="23B3819E" w14:textId="77777777"/>
          <w:p w:rsidRPr="00CA07E3" w:rsidR="006C5DA3" w:rsidP="001646E6" w:rsidRDefault="001755E5" w14:paraId="27C84CEF" w14:textId="759706F3">
            <w:pPr>
              <w:rPr>
                <w:color w:val="000000" w:themeColor="text1"/>
                <w:lang w:eastAsia="zh-CN"/>
              </w:rPr>
            </w:pPr>
            <w:r w:rsidRPr="009B03C9">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r>
              <w:t>.</w:t>
            </w:r>
            <w:r w:rsidRPr="009B03C9" w:rsidDel="009B03C9">
              <w:t xml:space="preserve"> </w:t>
            </w:r>
          </w:p>
        </w:tc>
      </w:tr>
    </w:tbl>
    <w:p w:rsidRPr="00D77539" w:rsidR="00A92D0B" w:rsidP="00D10E2F" w:rsidRDefault="00A92D0B" w14:paraId="18E9D359" w14:textId="7DD9C9C1">
      <w:pPr>
        <w:pStyle w:val="Dummy"/>
        <w:keepLines w:val="0"/>
        <w:spacing w:before="480" w:after="0"/>
        <w:jc w:val="center"/>
        <w:rPr>
          <w:rFonts w:ascii="Times New Roman" w:hAnsi="Times New Roman" w:cs="Times New Roman"/>
          <w:color w:val="000000"/>
          <w:sz w:val="24"/>
          <w:szCs w:val="24"/>
        </w:rPr>
      </w:pPr>
      <w:r w:rsidRPr="00D77539">
        <w:rPr>
          <w:rFonts w:ascii="Times New Roman" w:hAnsi="Times New Roman" w:cs="Times New Roman"/>
          <w:color w:val="000000"/>
          <w:sz w:val="24"/>
          <w:szCs w:val="24"/>
        </w:rPr>
        <w:lastRenderedPageBreak/>
        <w:t>PART IV:</w:t>
      </w:r>
      <w:r w:rsidRPr="00D77539" w:rsidR="00D1778A">
        <w:rPr>
          <w:rFonts w:ascii="Times New Roman" w:hAnsi="Times New Roman" w:cs="Times New Roman"/>
          <w:color w:val="000000"/>
          <w:sz w:val="24"/>
          <w:szCs w:val="24"/>
        </w:rPr>
        <w:t xml:space="preserve">  </w:t>
      </w:r>
      <w:r w:rsidRPr="00D77539">
        <w:rPr>
          <w:rFonts w:ascii="Times New Roman" w:hAnsi="Times New Roman" w:cs="Times New Roman"/>
          <w:color w:val="000000"/>
          <w:sz w:val="24"/>
          <w:szCs w:val="24"/>
        </w:rPr>
        <w:t>OPPOSITIONS AND COMMENTS</w:t>
      </w:r>
    </w:p>
    <w:p w:rsidR="00D1778A" w:rsidP="00D10E2F"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D10E2F"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EC7D59" w14:paraId="6E7CD931" w14:textId="7F227076">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2"/>
        <w:gridCol w:w="2028"/>
      </w:tblGrid>
      <w:tr w:rsidRPr="007F620E" w:rsidR="00A92D0B" w:rsidTr="005A3018" w14:paraId="7A0D8740" w14:textId="77777777">
        <w:tc>
          <w:tcPr>
            <w:tcW w:w="7488" w:type="dxa"/>
          </w:tcPr>
          <w:p w:rsidRPr="007F620E" w:rsidR="00A92D0B" w:rsidP="005A3018" w:rsidRDefault="00A92D0B" w14:paraId="37D28D8D" w14:textId="670F1F5C">
            <w:pPr>
              <w:ind w:left="360" w:hanging="360"/>
              <w:rPr>
                <w:color w:val="000000"/>
              </w:rPr>
            </w:pPr>
            <w:r w:rsidRPr="007F620E">
              <w:rPr>
                <w:b/>
                <w:color w:val="000000"/>
              </w:rPr>
              <w:t>B.</w:t>
            </w:r>
            <w:r w:rsidR="005A3018">
              <w:rPr>
                <w:b/>
                <w:color w:val="000000"/>
              </w:rPr>
              <w:tab/>
            </w:r>
            <w:r w:rsidRPr="007F620E">
              <w:rPr>
                <w:b/>
                <w:color w:val="000000"/>
              </w:rPr>
              <w:t>Comment Period:  Was the 30-day comment period waived (</w:t>
            </w:r>
            <w:r w:rsidRPr="007F620E">
              <w:rPr>
                <w:b/>
                <w:i/>
                <w:color w:val="000000"/>
              </w:rPr>
              <w:t>see</w:t>
            </w:r>
            <w:r w:rsidR="007B0993">
              <w:rPr>
                <w:b/>
                <w:i/>
                <w:color w:val="000000"/>
              </w:rPr>
              <w:t xml:space="preserve">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DE3A5D" w:rsidRDefault="00EC7D59" w14:paraId="238D2D3F" w14:textId="73C47976">
            <w:pPr>
              <w:keepNext/>
              <w:keepLines/>
              <w:spacing w:after="240"/>
              <w:rPr>
                <w:color w:val="000000"/>
              </w:rPr>
            </w:pPr>
            <w:r>
              <w:rPr>
                <w:color w:val="000000"/>
              </w:rPr>
              <w:t>No</w:t>
            </w:r>
          </w:p>
        </w:tc>
      </w:tr>
    </w:tbl>
    <w:p w:rsidRPr="007F620E" w:rsidR="00A92D0B" w:rsidP="00D10E2F" w:rsidRDefault="00A92D0B" w14:paraId="740A9962" w14:textId="77777777">
      <w:pPr>
        <w:keepNext/>
        <w:keepLines/>
        <w:spacing w:before="240" w:after="240"/>
        <w:ind w:firstLine="907"/>
        <w:rPr>
          <w:color w:val="000000"/>
        </w:rPr>
      </w:pPr>
      <w:r w:rsidRPr="007F620E">
        <w:rPr>
          <w:color w:val="000000"/>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221"/>
        <w:gridCol w:w="4534"/>
        <w:gridCol w:w="3605"/>
      </w:tblGrid>
      <w:tr w:rsidRPr="007F620E" w:rsidR="00A92D0B" w:rsidTr="00570B89" w14:paraId="5FB8DA0C" w14:textId="77777777">
        <w:tc>
          <w:tcPr>
            <w:tcW w:w="1221" w:type="dxa"/>
            <w:shd w:val="pct12" w:color="auto" w:fill="auto"/>
          </w:tcPr>
          <w:p w:rsidRPr="007F620E" w:rsidR="00A92D0B" w:rsidP="00DA7E4E" w:rsidRDefault="00A92D0B" w14:paraId="55AB3D9C" w14:textId="77777777">
            <w:pPr>
              <w:keepNext/>
              <w:keepLines/>
              <w:jc w:val="center"/>
              <w:rPr>
                <w:b/>
                <w:color w:val="000000"/>
              </w:rPr>
            </w:pPr>
            <w:r w:rsidRPr="007F620E">
              <w:rPr>
                <w:b/>
                <w:color w:val="000000"/>
              </w:rPr>
              <w:t>Party</w:t>
            </w:r>
          </w:p>
        </w:tc>
        <w:tc>
          <w:tcPr>
            <w:tcW w:w="4534" w:type="dxa"/>
            <w:shd w:val="pct12" w:color="auto" w:fill="auto"/>
          </w:tcPr>
          <w:p w:rsidRPr="007F620E" w:rsidR="00A92D0B" w:rsidP="00DA7E4E" w:rsidRDefault="00A92D0B" w14:paraId="25677100" w14:textId="77777777">
            <w:pPr>
              <w:keepNext/>
              <w:keepLines/>
              <w:jc w:val="center"/>
              <w:rPr>
                <w:color w:val="000000"/>
              </w:rPr>
            </w:pPr>
            <w:r w:rsidRPr="007F620E">
              <w:rPr>
                <w:b/>
                <w:color w:val="000000"/>
              </w:rPr>
              <w:t>Comment</w:t>
            </w:r>
          </w:p>
        </w:tc>
        <w:tc>
          <w:tcPr>
            <w:tcW w:w="3605" w:type="dxa"/>
            <w:shd w:val="pct12" w:color="auto" w:fill="auto"/>
          </w:tcPr>
          <w:p w:rsidRPr="007F620E" w:rsidR="00A92D0B" w:rsidP="00DA7E4E" w:rsidRDefault="00A92D0B" w14:paraId="0C66D2FD" w14:textId="77777777">
            <w:pPr>
              <w:keepNext/>
              <w:keepLines/>
              <w:jc w:val="center"/>
              <w:rPr>
                <w:color w:val="000000"/>
              </w:rPr>
            </w:pPr>
            <w:r w:rsidRPr="007F620E">
              <w:rPr>
                <w:b/>
                <w:color w:val="000000"/>
              </w:rPr>
              <w:t xml:space="preserve">CPUC </w:t>
            </w:r>
            <w:r w:rsidRPr="007F620E" w:rsidR="00963EEF">
              <w:rPr>
                <w:b/>
                <w:color w:val="000000"/>
              </w:rPr>
              <w:t>Discussion</w:t>
            </w:r>
          </w:p>
        </w:tc>
      </w:tr>
      <w:tr w:rsidRPr="007F620E" w:rsidR="00A92D0B" w:rsidTr="00570B89" w14:paraId="756C4BD6" w14:textId="77777777">
        <w:tc>
          <w:tcPr>
            <w:tcW w:w="1221" w:type="dxa"/>
          </w:tcPr>
          <w:p w:rsidRPr="007F620E" w:rsidR="00A92D0B" w:rsidP="00DA7E4E" w:rsidRDefault="006375B9" w14:paraId="5191E9A8" w14:textId="0E161C37">
            <w:pPr>
              <w:keepNext/>
              <w:keepLines/>
              <w:rPr>
                <w:color w:val="000000"/>
              </w:rPr>
            </w:pPr>
            <w:r>
              <w:rPr>
                <w:color w:val="000000"/>
              </w:rPr>
              <w:t>EDF</w:t>
            </w:r>
          </w:p>
        </w:tc>
        <w:tc>
          <w:tcPr>
            <w:tcW w:w="4534" w:type="dxa"/>
          </w:tcPr>
          <w:p w:rsidRPr="007F620E" w:rsidR="00A92D0B" w:rsidP="00DA7E4E" w:rsidRDefault="006375B9" w14:paraId="65BDB010" w14:textId="7784A045">
            <w:pPr>
              <w:keepNext/>
              <w:keepLines/>
              <w:rPr>
                <w:color w:val="000000"/>
              </w:rPr>
            </w:pPr>
            <w:r w:rsidRPr="005A792C">
              <w:rPr>
                <w:color w:val="000000"/>
              </w:rPr>
              <w:t>EDF request</w:t>
            </w:r>
            <w:r>
              <w:rPr>
                <w:color w:val="000000"/>
              </w:rPr>
              <w:t>ed</w:t>
            </w:r>
            <w:r w:rsidRPr="005A792C">
              <w:rPr>
                <w:color w:val="000000"/>
              </w:rPr>
              <w:t xml:space="preserve"> that the Commission deviate from Rule 17.3—but not Section 180</w:t>
            </w:r>
            <w:r>
              <w:rPr>
                <w:color w:val="000000"/>
              </w:rPr>
              <w:t>4</w:t>
            </w:r>
            <w:r w:rsidRPr="005A792C">
              <w:rPr>
                <w:color w:val="000000"/>
              </w:rPr>
              <w:t xml:space="preserve">(c)—as the Commission is not prohibited from doing so in this case by statute. EDF’s error was </w:t>
            </w:r>
            <w:r>
              <w:rPr>
                <w:color w:val="000000"/>
              </w:rPr>
              <w:t xml:space="preserve">filing </w:t>
            </w:r>
            <w:r w:rsidRPr="005A792C">
              <w:rPr>
                <w:color w:val="000000"/>
              </w:rPr>
              <w:t>one day</w:t>
            </w:r>
            <w:r>
              <w:rPr>
                <w:color w:val="000000"/>
              </w:rPr>
              <w:t xml:space="preserve"> late</w:t>
            </w:r>
            <w:r w:rsidRPr="005A792C">
              <w:rPr>
                <w:color w:val="000000"/>
              </w:rPr>
              <w:t>, yet the Proposed Decision would deny 144.5875 hours worked by EDF staff and consultants</w:t>
            </w:r>
            <w:r>
              <w:rPr>
                <w:color w:val="000000"/>
              </w:rPr>
              <w:t xml:space="preserve"> </w:t>
            </w:r>
            <w:r w:rsidRPr="007D05EB">
              <w:rPr>
                <w:color w:val="000000"/>
              </w:rPr>
              <w:t>related to issues not contained in the Applications for Rehearing in this case.</w:t>
            </w:r>
          </w:p>
        </w:tc>
        <w:tc>
          <w:tcPr>
            <w:tcW w:w="3605" w:type="dxa"/>
          </w:tcPr>
          <w:p w:rsidRPr="007F620E" w:rsidR="00A92D0B" w:rsidP="00DA7E4E" w:rsidRDefault="006375B9" w14:paraId="39185471" w14:textId="7E9A5FBA">
            <w:pPr>
              <w:keepNext/>
              <w:keepLines/>
              <w:rPr>
                <w:color w:val="000000"/>
              </w:rPr>
            </w:pPr>
            <w:r>
              <w:rPr>
                <w:color w:val="000000"/>
              </w:rPr>
              <w:t>We find that there is no reason to deviate from Rule 17.3 as EDF admitted that they filed late due to an “internal calculation error”. EDF also did not show good cause for the Commission to deviate from the rules as allowed in Rule 1.2.</w:t>
            </w:r>
          </w:p>
        </w:tc>
      </w:tr>
      <w:tr w:rsidRPr="007F620E" w:rsidR="00A92D0B" w:rsidTr="00570B89" w14:paraId="226309AD" w14:textId="77777777">
        <w:tc>
          <w:tcPr>
            <w:tcW w:w="1221" w:type="dxa"/>
          </w:tcPr>
          <w:p w:rsidRPr="007F620E" w:rsidR="00A92D0B" w:rsidP="00DA7E4E" w:rsidRDefault="006375B9" w14:paraId="56A65A4F" w14:textId="0D4D2303">
            <w:pPr>
              <w:rPr>
                <w:color w:val="000000"/>
              </w:rPr>
            </w:pPr>
            <w:r>
              <w:rPr>
                <w:color w:val="000000"/>
              </w:rPr>
              <w:t>EDF</w:t>
            </w:r>
          </w:p>
        </w:tc>
        <w:tc>
          <w:tcPr>
            <w:tcW w:w="4534" w:type="dxa"/>
          </w:tcPr>
          <w:p w:rsidRPr="007F620E" w:rsidR="00A92D0B" w:rsidP="00DA7E4E" w:rsidRDefault="006375B9" w14:paraId="46E3756C" w14:textId="097A5940">
            <w:pPr>
              <w:rPr>
                <w:color w:val="000000"/>
              </w:rPr>
            </w:pPr>
            <w:r w:rsidRPr="00EA17ED">
              <w:rPr>
                <w:color w:val="000000"/>
              </w:rPr>
              <w:t xml:space="preserve">The </w:t>
            </w:r>
            <w:r>
              <w:rPr>
                <w:color w:val="000000"/>
              </w:rPr>
              <w:t>C</w:t>
            </w:r>
            <w:r w:rsidRPr="00EA17ED">
              <w:rPr>
                <w:color w:val="000000"/>
              </w:rPr>
              <w:t xml:space="preserve">ommission’s proposal to reduce </w:t>
            </w:r>
            <w:r>
              <w:rPr>
                <w:color w:val="000000"/>
              </w:rPr>
              <w:t>EDF’s</w:t>
            </w:r>
            <w:r w:rsidRPr="00EA17ED">
              <w:rPr>
                <w:color w:val="000000"/>
              </w:rPr>
              <w:t xml:space="preserve"> substantial contributions by 25% is excessive and unwarranted</w:t>
            </w:r>
            <w:r>
              <w:rPr>
                <w:color w:val="000000"/>
              </w:rPr>
              <w:t xml:space="preserve"> as the </w:t>
            </w:r>
            <w:r w:rsidRPr="002F5B48">
              <w:rPr>
                <w:color w:val="000000"/>
              </w:rPr>
              <w:t>Proposed Decision provide</w:t>
            </w:r>
            <w:r>
              <w:rPr>
                <w:color w:val="000000"/>
              </w:rPr>
              <w:t>d</w:t>
            </w:r>
            <w:r w:rsidRPr="002F5B48">
              <w:rPr>
                <w:color w:val="000000"/>
              </w:rPr>
              <w:t xml:space="preserve"> no references to what specific efforts of EDF it deemed “unproductive and unnecessary” or otherwise “not consistently </w:t>
            </w:r>
            <w:proofErr w:type="spellStart"/>
            <w:r w:rsidRPr="002F5B48">
              <w:rPr>
                <w:color w:val="000000"/>
              </w:rPr>
              <w:t>provid</w:t>
            </w:r>
            <w:proofErr w:type="spellEnd"/>
            <w:r w:rsidRPr="002F5B48">
              <w:rPr>
                <w:color w:val="000000"/>
              </w:rPr>
              <w:t>[</w:t>
            </w:r>
            <w:proofErr w:type="spellStart"/>
            <w:r w:rsidRPr="002F5B48">
              <w:rPr>
                <w:color w:val="000000"/>
              </w:rPr>
              <w:t>ing</w:t>
            </w:r>
            <w:proofErr w:type="spellEnd"/>
            <w:r w:rsidRPr="002F5B48">
              <w:rPr>
                <w:color w:val="000000"/>
              </w:rPr>
              <w:t>] unique value to the Commission’s deliberative process.”</w:t>
            </w:r>
          </w:p>
        </w:tc>
        <w:tc>
          <w:tcPr>
            <w:tcW w:w="3605" w:type="dxa"/>
          </w:tcPr>
          <w:p w:rsidR="006375B9" w:rsidP="006375B9" w:rsidRDefault="006375B9" w14:paraId="0D0D70A7" w14:textId="77777777">
            <w:pPr>
              <w:rPr>
                <w:color w:val="000000"/>
              </w:rPr>
            </w:pPr>
            <w:r>
              <w:rPr>
                <w:color w:val="000000"/>
              </w:rPr>
              <w:t xml:space="preserve">The Commission finds that no changes to the Proposed Decision are necessary. EDF is awarded 75% of their request, which reflects their substantial contribution.  </w:t>
            </w:r>
          </w:p>
          <w:p w:rsidR="006375B9" w:rsidP="006375B9" w:rsidRDefault="006375B9" w14:paraId="57A76C3E" w14:textId="77777777">
            <w:pPr>
              <w:rPr>
                <w:color w:val="000000"/>
              </w:rPr>
            </w:pPr>
          </w:p>
          <w:p w:rsidRPr="007F620E" w:rsidR="00A92D0B" w:rsidP="006375B9" w:rsidRDefault="006375B9" w14:paraId="1F1C7938" w14:textId="4CF05B7E">
            <w:pPr>
              <w:rPr>
                <w:color w:val="000000"/>
              </w:rPr>
            </w:pPr>
            <w:r>
              <w:rPr>
                <w:color w:val="000000"/>
              </w:rPr>
              <w:t>We remind EDF that in Part III.D[7] we stated “</w:t>
            </w:r>
            <w:r w:rsidRPr="00B476C3">
              <w:rPr>
                <w:color w:val="000000"/>
              </w:rPr>
              <w:t>that many of EDF’s claimed contributions overlapped with the work of other intervenors. This is evident in D.22-11-018, where every citation to EDF’s work is made alongside citations to other parties’ contributions</w:t>
            </w:r>
            <w:r>
              <w:rPr>
                <w:color w:val="000000"/>
              </w:rPr>
              <w:t xml:space="preserve">.” We find this duplication by EDF warranted the 25% reduction.  </w:t>
            </w:r>
          </w:p>
        </w:tc>
      </w:tr>
    </w:tbl>
    <w:p w:rsidRPr="009E643E" w:rsidR="00A92D0B" w:rsidP="009E643E" w:rsidRDefault="00A92D0B" w14:paraId="186E115A" w14:textId="1FBE5879">
      <w:pPr>
        <w:pStyle w:val="Dummy"/>
        <w:keepNext w:val="0"/>
        <w:keepLines w:val="0"/>
        <w:spacing w:before="480" w:after="240"/>
        <w:jc w:val="center"/>
        <w:rPr>
          <w:rFonts w:asciiTheme="majorBidi" w:hAnsiTheme="majorBidi" w:cstheme="majorBidi"/>
          <w:color w:val="000000"/>
          <w:sz w:val="24"/>
          <w:szCs w:val="24"/>
          <w:u w:val="single"/>
        </w:rPr>
      </w:pPr>
      <w:r w:rsidRPr="009E643E">
        <w:rPr>
          <w:rFonts w:asciiTheme="majorBidi" w:hAnsiTheme="majorBidi" w:cstheme="majorBidi"/>
          <w:color w:val="000000"/>
          <w:sz w:val="24"/>
          <w:szCs w:val="24"/>
          <w:u w:val="single"/>
        </w:rPr>
        <w:t>FINDINGS OF FACT</w:t>
      </w:r>
    </w:p>
    <w:p w:rsidRPr="007F620E" w:rsidR="00A92D0B" w:rsidRDefault="00D67794" w14:paraId="7772A9DC" w14:textId="30D0F1D5">
      <w:pPr>
        <w:numPr>
          <w:ilvl w:val="0"/>
          <w:numId w:val="3"/>
        </w:numPr>
        <w:tabs>
          <w:tab w:val="num" w:pos="540"/>
        </w:tabs>
        <w:ind w:left="540" w:hanging="540"/>
      </w:pPr>
      <w:r w:rsidRPr="00D67794">
        <w:t>Environmental Defense Fund</w:t>
      </w:r>
      <w:r w:rsidRPr="007F620E">
        <w:t xml:space="preserve"> </w:t>
      </w:r>
      <w:r w:rsidRPr="007F620E" w:rsidR="00A92D0B">
        <w:t>has made a substantia</w:t>
      </w:r>
      <w:r w:rsidRPr="007F620E" w:rsidR="00DE3A5D">
        <w:t>l contribution to D.</w:t>
      </w:r>
      <w:r w:rsidRPr="00DD7BF0" w:rsidR="00CC7E74">
        <w:t>22-</w:t>
      </w:r>
      <w:r w:rsidRPr="00DD7BF0" w:rsidR="00050E9B">
        <w:t>11-018</w:t>
      </w:r>
      <w:r w:rsidR="005754F4">
        <w:t>.</w:t>
      </w:r>
    </w:p>
    <w:p w:rsidRPr="007F620E" w:rsidR="00A92D0B" w:rsidRDefault="00A92D0B" w14:paraId="04EB50FD" w14:textId="2CBEB49D">
      <w:pPr>
        <w:numPr>
          <w:ilvl w:val="0"/>
          <w:numId w:val="3"/>
        </w:numPr>
        <w:tabs>
          <w:tab w:val="num" w:pos="540"/>
        </w:tabs>
        <w:spacing w:before="240"/>
      </w:pPr>
      <w:r w:rsidRPr="007F620E">
        <w:lastRenderedPageBreak/>
        <w:t>The requested hourly rates for</w:t>
      </w:r>
      <w:r w:rsidR="003B6A1B">
        <w:t xml:space="preserve"> </w:t>
      </w:r>
      <w:r w:rsidRPr="00D67794" w:rsidR="00D67794">
        <w:t>Environmental Defense Fund’s</w:t>
      </w:r>
      <w:r w:rsidRPr="007F620E" w:rsidR="00D67794">
        <w:t xml:space="preserve"> </w:t>
      </w:r>
      <w:r w:rsidRPr="007F620E">
        <w:t>representatives,</w:t>
      </w:r>
      <w:r w:rsidR="003B5EAC">
        <w:t xml:space="preserve"> </w:t>
      </w:r>
      <w:r w:rsidRPr="007F620E">
        <w:t>as adjusted herein, are comparable to market rates paid to experts and advocates having comparable training and experience and offering similar services</w:t>
      </w:r>
      <w:r w:rsidR="0036516D">
        <w:t xml:space="preserve"> and/or reflect the actual rates billed to, and paid by the intervenor, for services rendered</w:t>
      </w:r>
      <w:r w:rsidR="00D108AB">
        <w:t>.</w:t>
      </w:r>
    </w:p>
    <w:p w:rsidRPr="007F620E" w:rsidR="00A92D0B" w:rsidRDefault="00A92D0B" w14:paraId="528EBB52" w14:textId="0000F01C">
      <w:pPr>
        <w:numPr>
          <w:ilvl w:val="0"/>
          <w:numId w:val="3"/>
        </w:numPr>
        <w:tabs>
          <w:tab w:val="num" w:pos="540"/>
        </w:tabs>
        <w:spacing w:before="240"/>
      </w:pPr>
      <w:r w:rsidRPr="007F620E">
        <w:t>The claimed costs and expenses,</w:t>
      </w:r>
      <w:r w:rsidR="003B5EAC">
        <w:t xml:space="preserve"> </w:t>
      </w:r>
      <w:r w:rsidRPr="007F620E">
        <w:t xml:space="preserve">as adjusted herein, are reasonable and commensurate with the work performed. </w:t>
      </w:r>
    </w:p>
    <w:p w:rsidRPr="007F620E" w:rsidR="00A92D0B" w:rsidRDefault="00A92D0B" w14:paraId="48B52895" w14:textId="358A5265">
      <w:pPr>
        <w:numPr>
          <w:ilvl w:val="0"/>
          <w:numId w:val="3"/>
        </w:numPr>
        <w:tabs>
          <w:tab w:val="num" w:pos="540"/>
        </w:tabs>
        <w:spacing w:before="240"/>
      </w:pPr>
      <w:r w:rsidRPr="007F620E">
        <w:t xml:space="preserve">The total of reasonable </w:t>
      </w:r>
      <w:r w:rsidRPr="007F620E" w:rsidR="003C608A">
        <w:t xml:space="preserve">compensation </w:t>
      </w:r>
      <w:r w:rsidRPr="007F620E">
        <w:t xml:space="preserve">is </w:t>
      </w:r>
      <w:r w:rsidR="00EB2642">
        <w:t>$</w:t>
      </w:r>
      <w:r w:rsidRPr="00F73ABD" w:rsidR="00F73ABD">
        <w:t>70,096.64</w:t>
      </w:r>
      <w:r w:rsidR="00EB2642">
        <w:rPr>
          <w:bCs/>
          <w:color w:val="000000"/>
        </w:rPr>
        <w:t>.</w:t>
      </w:r>
    </w:p>
    <w:p w:rsidRPr="009E643E" w:rsidR="00A92D0B" w:rsidP="00D77539" w:rsidRDefault="00A92D0B" w14:paraId="5C773C3F" w14:textId="77777777">
      <w:pPr>
        <w:pStyle w:val="Dummy"/>
        <w:keepLines w:val="0"/>
        <w:spacing w:before="480" w:after="240"/>
        <w:jc w:val="center"/>
        <w:rPr>
          <w:rFonts w:asciiTheme="majorBidi" w:hAnsiTheme="majorBidi" w:cstheme="majorBidi"/>
          <w:color w:val="000000"/>
          <w:sz w:val="24"/>
          <w:szCs w:val="24"/>
          <w:u w:val="single"/>
        </w:rPr>
      </w:pPr>
      <w:r w:rsidRPr="009E643E">
        <w:rPr>
          <w:rFonts w:asciiTheme="majorBidi" w:hAnsiTheme="majorBidi" w:cstheme="majorBidi"/>
          <w:color w:val="000000"/>
          <w:sz w:val="24"/>
          <w:szCs w:val="24"/>
          <w:u w:val="single"/>
        </w:rPr>
        <w:t>CONCLUSION OF LAW</w:t>
      </w:r>
    </w:p>
    <w:p w:rsidRPr="007F620E" w:rsidR="00A92D0B" w:rsidP="00575494" w:rsidRDefault="00A92D0B" w14:paraId="654F2C27" w14:textId="428E69A8">
      <w:pPr>
        <w:numPr>
          <w:ilvl w:val="0"/>
          <w:numId w:val="10"/>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9E643E" w:rsidR="00A92D0B" w:rsidP="00D77539" w:rsidRDefault="00A92D0B" w14:paraId="0E2503A5" w14:textId="77777777">
      <w:pPr>
        <w:pStyle w:val="Dummy"/>
        <w:keepLines w:val="0"/>
        <w:spacing w:before="480" w:after="240"/>
        <w:jc w:val="center"/>
        <w:rPr>
          <w:rFonts w:asciiTheme="majorBidi" w:hAnsiTheme="majorBidi" w:cstheme="majorBidi"/>
          <w:color w:val="000000"/>
          <w:sz w:val="24"/>
          <w:szCs w:val="24"/>
          <w:u w:val="single"/>
        </w:rPr>
      </w:pPr>
      <w:r w:rsidRPr="009E643E">
        <w:rPr>
          <w:rFonts w:asciiTheme="majorBidi" w:hAnsiTheme="majorBidi" w:cstheme="majorBidi"/>
          <w:color w:val="000000"/>
          <w:sz w:val="24"/>
          <w:szCs w:val="24"/>
          <w:u w:val="single"/>
        </w:rPr>
        <w:t>ORDER</w:t>
      </w:r>
    </w:p>
    <w:p w:rsidRPr="007F620E" w:rsidR="00A92D0B" w:rsidP="00CE057B" w:rsidRDefault="00D67794" w14:paraId="33FB4E15" w14:textId="349B88F8">
      <w:pPr>
        <w:keepNext/>
        <w:numPr>
          <w:ilvl w:val="0"/>
          <w:numId w:val="4"/>
        </w:numPr>
        <w:tabs>
          <w:tab w:val="clear" w:pos="900"/>
          <w:tab w:val="num" w:pos="540"/>
        </w:tabs>
        <w:ind w:left="547" w:hanging="547"/>
        <w:rPr>
          <w:color w:val="000000"/>
        </w:rPr>
      </w:pPr>
      <w:r w:rsidRPr="00D67794">
        <w:t>Environmental Defense Fund</w:t>
      </w:r>
      <w:r w:rsidRPr="00FE3BAE">
        <w:t xml:space="preserve"> </w:t>
      </w:r>
      <w:r w:rsidR="00D108AB">
        <w:t>is</w:t>
      </w:r>
      <w:r w:rsidRPr="00FE3BAE" w:rsidR="00A92D0B">
        <w:rPr>
          <w:color w:val="000000"/>
        </w:rPr>
        <w:t xml:space="preserve"> awarded </w:t>
      </w:r>
      <w:r w:rsidRPr="007F620E" w:rsidR="00A92D0B">
        <w:rPr>
          <w:color w:val="000000"/>
        </w:rPr>
        <w:t>$</w:t>
      </w:r>
      <w:r w:rsidRPr="00F73ABD" w:rsidR="00F73ABD">
        <w:rPr>
          <w:color w:val="000000"/>
        </w:rPr>
        <w:t>70,096.64</w:t>
      </w:r>
      <w:r w:rsidRPr="007F620E" w:rsidR="00A92D0B">
        <w:rPr>
          <w:color w:val="000000"/>
        </w:rPr>
        <w:t>.</w:t>
      </w:r>
    </w:p>
    <w:p w:rsidR="00A92D0B" w:rsidRDefault="0055228B" w14:paraId="4AEF5671" w14:textId="18EE80E8">
      <w:pPr>
        <w:numPr>
          <w:ilvl w:val="0"/>
          <w:numId w:val="4"/>
        </w:numPr>
        <w:tabs>
          <w:tab w:val="clear" w:pos="900"/>
          <w:tab w:val="num" w:pos="540"/>
        </w:tabs>
        <w:spacing w:before="240"/>
        <w:ind w:left="547" w:hanging="547"/>
      </w:pPr>
      <w:r>
        <w:t xml:space="preserve">Within 30 days of the effective date of this decision, </w:t>
      </w:r>
      <w:r w:rsidRPr="006D54E0" w:rsidR="006D54E0">
        <w:t>Southern California Edison Company, San Diego Gas &amp; Electric Company,</w:t>
      </w:r>
      <w:r w:rsidR="00BB4464">
        <w:t xml:space="preserve"> </w:t>
      </w:r>
      <w:r w:rsidR="006D54E0">
        <w:t>a</w:t>
      </w:r>
      <w:r w:rsidRPr="006D54E0" w:rsidR="006D54E0">
        <w:t xml:space="preserve">nd Pacific Gas </w:t>
      </w:r>
      <w:r w:rsidR="00D108AB">
        <w:t>and</w:t>
      </w:r>
      <w:r w:rsidRPr="006D54E0" w:rsidR="00D108AB">
        <w:t xml:space="preserve"> </w:t>
      </w:r>
      <w:r w:rsidRPr="006D54E0" w:rsidR="006D54E0">
        <w:t>Electric Company</w:t>
      </w:r>
      <w:r w:rsidR="006D54E0">
        <w:t xml:space="preserve"> </w:t>
      </w:r>
      <w:r>
        <w:t xml:space="preserve">shall pay </w:t>
      </w:r>
      <w:r w:rsidRPr="00D67794" w:rsidR="00D67794">
        <w:t>Environmental Defense Fund</w:t>
      </w:r>
      <w:r w:rsidRPr="0022302F" w:rsidR="00D67794">
        <w:t xml:space="preserve"> </w:t>
      </w:r>
      <w:r>
        <w:t xml:space="preserve">their respective shares of the award, based on their California-jurisdictional electric revenues for the </w:t>
      </w:r>
      <w:r w:rsidR="00E218ED">
        <w:t>2022</w:t>
      </w:r>
      <w:r>
        <w:t xml:space="preserve"> calendar year, </w:t>
      </w:r>
      <w:r w:rsidRPr="0055228B">
        <w:t>to reflect the year in which the proceeding was primarily litigated.  If such data is unavailable, the most recent electric revenue data shall be used.</w:t>
      </w:r>
      <w:r w:rsidRPr="007F620E" w:rsidR="00A92D0B">
        <w:t xml:space="preserve"> Payment of the award shall include</w:t>
      </w:r>
      <w:r w:rsidRPr="007F620E" w:rsidR="004E3939">
        <w:t xml:space="preserve"> compound </w:t>
      </w:r>
      <w:r w:rsidRPr="007F620E" w:rsidR="00A92D0B">
        <w:t xml:space="preserve">interest at the rate earned on prime, three-month </w:t>
      </w:r>
      <w:r w:rsidRPr="007F620E" w:rsidR="00214B22">
        <w:t xml:space="preserve">non-financial </w:t>
      </w:r>
      <w:r w:rsidRPr="007F620E" w:rsidR="00A92D0B">
        <w:t>commercial paper as reported in Federal Reserve Statistical Release H.15, beginning</w:t>
      </w:r>
      <w:r w:rsidRPr="007F620E" w:rsidR="00357F1A">
        <w:t xml:space="preserve"> </w:t>
      </w:r>
      <w:r w:rsidR="00904231">
        <w:t>March 20, 2023</w:t>
      </w:r>
      <w:r w:rsidRPr="007F620E" w:rsidR="00357F1A">
        <w:t xml:space="preserve">, </w:t>
      </w:r>
      <w:r w:rsidRPr="007F620E" w:rsidR="00A92D0B">
        <w:t>the 75</w:t>
      </w:r>
      <w:r w:rsidRPr="007F620E" w:rsidR="00A92D0B">
        <w:rPr>
          <w:vertAlign w:val="superscript"/>
        </w:rPr>
        <w:t>th</w:t>
      </w:r>
      <w:r w:rsidRPr="007F620E" w:rsidR="00A92D0B">
        <w:t xml:space="preserve"> day after the filing of </w:t>
      </w:r>
      <w:r w:rsidRPr="00D67794" w:rsidR="00EB2DAB">
        <w:t>Environmental</w:t>
      </w:r>
      <w:r w:rsidRPr="00D67794" w:rsidR="00D67794">
        <w:t xml:space="preserve"> Defense Fund’s</w:t>
      </w:r>
      <w:r w:rsidRPr="003B6A1B" w:rsidR="00D67794">
        <w:rPr>
          <w:b/>
        </w:rPr>
        <w:t xml:space="preserve"> </w:t>
      </w:r>
      <w:r w:rsidRPr="007F620E" w:rsidR="00A92D0B">
        <w:t>request, and continuing until full payment is made.</w:t>
      </w:r>
    </w:p>
    <w:p w:rsidR="00A92D0B" w:rsidP="00D77539" w:rsidRDefault="00A92D0B" w14:paraId="5AD40C95" w14:textId="5AAF2C62">
      <w:pPr>
        <w:numPr>
          <w:ilvl w:val="0"/>
          <w:numId w:val="4"/>
        </w:numPr>
        <w:tabs>
          <w:tab w:val="clear" w:pos="900"/>
          <w:tab w:val="num" w:pos="540"/>
        </w:tabs>
        <w:spacing w:before="240"/>
        <w:ind w:left="547" w:hanging="547"/>
      </w:pPr>
      <w:r w:rsidRPr="007F620E">
        <w:t>The comment period for today’s decision is not waived.</w:t>
      </w:r>
    </w:p>
    <w:p w:rsidRPr="007F620E" w:rsidR="006D257A" w:rsidP="00D77539" w:rsidRDefault="006D257A" w14:paraId="194FFACC" w14:textId="3F56AF30">
      <w:pPr>
        <w:keepNext/>
        <w:numPr>
          <w:ilvl w:val="0"/>
          <w:numId w:val="4"/>
        </w:numPr>
        <w:tabs>
          <w:tab w:val="clear" w:pos="900"/>
          <w:tab w:val="num" w:pos="540"/>
        </w:tabs>
        <w:spacing w:before="240"/>
        <w:ind w:left="547" w:hanging="547"/>
      </w:pPr>
      <w:r>
        <w:t>Application</w:t>
      </w:r>
      <w:r w:rsidR="009E643E">
        <w:t> </w:t>
      </w:r>
      <w:r w:rsidR="001646E6">
        <w:t>(A.) </w:t>
      </w:r>
      <w:r w:rsidR="003669EA">
        <w:t>21-08-013</w:t>
      </w:r>
      <w:r w:rsidR="0093789C">
        <w:t xml:space="preserve">; </w:t>
      </w:r>
      <w:r w:rsidRPr="001646E6" w:rsidR="001646E6">
        <w:t>A.21-08-014</w:t>
      </w:r>
      <w:r w:rsidR="0093789C">
        <w:t>;</w:t>
      </w:r>
      <w:r w:rsidRPr="001646E6" w:rsidR="001646E6">
        <w:t xml:space="preserve"> and A.21-08-015 </w:t>
      </w:r>
      <w:r w:rsidR="001646E6">
        <w:t>are</w:t>
      </w:r>
      <w:r w:rsidR="003669EA">
        <w:t xml:space="preserve"> closed.</w:t>
      </w:r>
    </w:p>
    <w:p w:rsidRPr="007F620E" w:rsidR="00A92D0B" w:rsidP="00D77539" w:rsidRDefault="00A92D0B" w14:paraId="13F3A0AD" w14:textId="77777777">
      <w:pPr>
        <w:keepNext/>
        <w:spacing w:before="240"/>
        <w:ind w:left="547"/>
        <w:rPr>
          <w:color w:val="000000"/>
        </w:rPr>
      </w:pPr>
      <w:r w:rsidRPr="007F620E">
        <w:rPr>
          <w:color w:val="000000"/>
        </w:rPr>
        <w:t>This decision is effective today.</w:t>
      </w:r>
    </w:p>
    <w:p w:rsidR="00FE3BAE" w:rsidP="00D77539" w:rsidRDefault="00A92D0B" w14:paraId="3C739AE2" w14:textId="7D0EAAFA">
      <w:pPr>
        <w:keepNext/>
        <w:spacing w:before="240"/>
        <w:ind w:left="547"/>
        <w:rPr>
          <w:color w:val="000000"/>
        </w:rPr>
      </w:pPr>
      <w:r w:rsidRPr="007F620E">
        <w:rPr>
          <w:color w:val="000000"/>
        </w:rPr>
        <w:t>Dated _____________</w:t>
      </w:r>
      <w:r w:rsidR="009E643E">
        <w:rPr>
          <w:color w:val="000000"/>
        </w:rPr>
        <w:t>_______</w:t>
      </w:r>
      <w:r w:rsidRPr="007F620E">
        <w:rPr>
          <w:color w:val="000000"/>
        </w:rPr>
        <w:t xml:space="preserve">, at </w:t>
      </w:r>
      <w:r w:rsidR="00666ACB">
        <w:rPr>
          <w:color w:val="000000"/>
        </w:rPr>
        <w:t>Sa</w:t>
      </w:r>
      <w:r w:rsidR="001D1876">
        <w:rPr>
          <w:color w:val="000000"/>
        </w:rPr>
        <w:t>cramento</w:t>
      </w:r>
      <w:r w:rsidR="00666ACB">
        <w:rPr>
          <w:color w:val="000000"/>
        </w:rPr>
        <w:t xml:space="preserve">, </w:t>
      </w:r>
      <w:r w:rsidRPr="007F620E">
        <w:rPr>
          <w:color w:val="000000"/>
        </w:rPr>
        <w:t>California</w:t>
      </w:r>
    </w:p>
    <w:p w:rsidR="00D06721" w:rsidP="00D77539" w:rsidRDefault="00D06721" w14:paraId="003A789E" w14:textId="77777777">
      <w:pPr>
        <w:keepNext/>
        <w:spacing w:before="240"/>
        <w:ind w:left="547"/>
        <w:rPr>
          <w:color w:val="000000"/>
        </w:rPr>
      </w:pPr>
    </w:p>
    <w:p w:rsidR="00D06721" w:rsidP="00D77539" w:rsidRDefault="00D06721" w14:paraId="3EF191DE" w14:textId="77777777">
      <w:pPr>
        <w:keepNext/>
        <w:spacing w:before="240"/>
        <w:ind w:left="547"/>
        <w:rPr>
          <w:color w:val="000000"/>
        </w:rPr>
      </w:pPr>
    </w:p>
    <w:p w:rsidR="00D06721" w:rsidP="00D77539" w:rsidRDefault="00D06721" w14:paraId="44883D8B" w14:textId="77777777">
      <w:pPr>
        <w:keepNext/>
        <w:spacing w:before="240"/>
        <w:ind w:left="547"/>
      </w:pPr>
    </w:p>
    <w:p w:rsidR="006B7228" w:rsidRDefault="006B7228" w14:paraId="37D74F32" w14:textId="77777777">
      <w:pPr>
        <w:sectPr w:rsidR="006B7228" w:rsidSect="00D06721">
          <w:headerReference w:type="default" r:id="rId8"/>
          <w:footerReference w:type="default" r:id="rId9"/>
          <w:footerReference w:type="first" r:id="rId10"/>
          <w:pgSz w:w="12240" w:h="15840"/>
          <w:pgMar w:top="1728" w:right="1440" w:bottom="1440" w:left="1440" w:header="720" w:footer="720" w:gutter="0"/>
          <w:pgNumType w:fmt="numberInDash" w:start="1"/>
          <w:cols w:space="720"/>
          <w:titlePg/>
          <w:docGrid w:linePitch="360"/>
        </w:sectPr>
      </w:pPr>
    </w:p>
    <w:p w:rsidRPr="009E643E" w:rsidR="00FE3BAE" w:rsidP="00231B98" w:rsidRDefault="00FE3BAE" w14:paraId="7A1C7043" w14:textId="77777777">
      <w:pPr>
        <w:pStyle w:val="Dummy"/>
        <w:keepLines w:val="0"/>
        <w:spacing w:before="120" w:after="0"/>
        <w:jc w:val="center"/>
        <w:rPr>
          <w:rFonts w:ascii="Times New Roman" w:hAnsi="Times New Roman" w:cs="Times New Roman"/>
          <w:color w:val="000000"/>
          <w:sz w:val="28"/>
          <w:szCs w:val="28"/>
        </w:rPr>
      </w:pPr>
      <w:r w:rsidRPr="009E643E">
        <w:rPr>
          <w:rFonts w:ascii="Times New Roman" w:hAnsi="Times New Roman" w:cs="Times New Roman"/>
          <w:color w:val="000000"/>
          <w:sz w:val="28"/>
          <w:szCs w:val="28"/>
        </w:rPr>
        <w:lastRenderedPageBreak/>
        <w:t>APPENDIX</w:t>
      </w:r>
    </w:p>
    <w:p w:rsidRPr="00231B98" w:rsidR="00FE3BAE" w:rsidP="00231B98" w:rsidRDefault="00FE3BAE" w14:paraId="300BB274" w14:textId="77777777">
      <w:pPr>
        <w:pStyle w:val="standard"/>
        <w:spacing w:before="240" w:after="180" w:line="240" w:lineRule="auto"/>
        <w:ind w:firstLine="0"/>
        <w:jc w:val="center"/>
        <w:rPr>
          <w:rFonts w:ascii="Times New Roman" w:hAnsi="Times New Roman"/>
          <w:b/>
          <w:bCs/>
          <w:szCs w:val="26"/>
        </w:rPr>
      </w:pPr>
      <w:r w:rsidRPr="00231B98">
        <w:rPr>
          <w:rFonts w:ascii="Times New Roman" w:hAnsi="Times New Roman"/>
          <w:b/>
          <w:bCs/>
          <w:szCs w:val="26"/>
        </w:rPr>
        <w:t>Compensation Decision Summary Information</w:t>
      </w:r>
    </w:p>
    <w:tbl>
      <w:tblPr>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005"/>
        <w:gridCol w:w="3897"/>
        <w:gridCol w:w="2583"/>
        <w:gridCol w:w="1315"/>
      </w:tblGrid>
      <w:tr w:rsidRPr="00231B98" w:rsidR="00FE3BAE" w:rsidTr="00231B98"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31B98" w:rsidR="00FE3BAE" w:rsidP="00A23C17" w:rsidRDefault="00FE3BAE" w14:paraId="4BC9C636" w14:textId="77777777">
            <w:pPr>
              <w:rPr>
                <w:b/>
                <w:bCs/>
              </w:rPr>
            </w:pPr>
            <w:r w:rsidRPr="00231B98">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231B98" w:rsidR="00FE3BAE" w:rsidP="00A23C17" w:rsidRDefault="00FE3BAE" w14:paraId="16C5D6B1" w14:textId="77777777"/>
        </w:tc>
        <w:tc>
          <w:tcPr>
            <w:tcW w:w="2475" w:type="dxa"/>
            <w:tcBorders>
              <w:top w:val="single" w:color="auto" w:sz="4" w:space="0"/>
              <w:left w:val="single" w:color="auto" w:sz="4" w:space="0"/>
              <w:bottom w:val="single" w:color="auto" w:sz="4" w:space="0"/>
              <w:right w:val="single" w:color="auto" w:sz="4" w:space="0"/>
            </w:tcBorders>
            <w:hideMark/>
          </w:tcPr>
          <w:p w:rsidRPr="00231B98" w:rsidR="00FE3BAE" w:rsidP="00A23C17" w:rsidRDefault="00FE3BAE" w14:paraId="3ECA0C4F" w14:textId="77777777">
            <w:pPr>
              <w:rPr>
                <w:b/>
                <w:bCs/>
              </w:rPr>
            </w:pPr>
            <w:r w:rsidRPr="00231B98">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231B98" w:rsidR="00FE3BAE" w:rsidP="00A23C17" w:rsidRDefault="00F44DA8" w14:paraId="6846FB87" w14:textId="6D432509">
            <w:pPr>
              <w:jc w:val="center"/>
            </w:pPr>
            <w:r w:rsidRPr="00231B98">
              <w:t>No</w:t>
            </w:r>
          </w:p>
        </w:tc>
      </w:tr>
      <w:tr w:rsidRPr="00231B98" w:rsidR="00FE3BAE" w:rsidTr="00231B98"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31B98" w:rsidR="00FE3BAE" w:rsidP="00A23C17" w:rsidRDefault="00FE3BAE" w14:paraId="6E65620B" w14:textId="77777777">
            <w:pPr>
              <w:rPr>
                <w:b/>
                <w:bCs/>
              </w:rPr>
            </w:pPr>
            <w:r w:rsidRPr="00231B98">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231B98" w:rsidR="00FE3BAE" w:rsidP="00A23C17" w:rsidRDefault="00CA5F78" w14:paraId="426F2C45" w14:textId="1974D8FC">
            <w:r w:rsidRPr="00231B98">
              <w:t>D22</w:t>
            </w:r>
            <w:r w:rsidRPr="00231B98" w:rsidR="00107103">
              <w:t>11018</w:t>
            </w:r>
          </w:p>
        </w:tc>
      </w:tr>
      <w:tr w:rsidRPr="00231B98" w:rsidR="00FE3BAE" w:rsidTr="00231B98"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31B98" w:rsidR="00FE3BAE" w:rsidP="00A23C17" w:rsidRDefault="00FE3BAE" w14:paraId="717974DE" w14:textId="77777777">
            <w:pPr>
              <w:rPr>
                <w:b/>
                <w:bCs/>
              </w:rPr>
            </w:pPr>
            <w:r w:rsidRPr="00231B98">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231B98" w:rsidR="00FE3BAE" w:rsidP="00A23C17" w:rsidRDefault="00107103" w14:paraId="5B85688D" w14:textId="126DDC91">
            <w:r w:rsidRPr="00231B98">
              <w:t>A2108013</w:t>
            </w:r>
            <w:r w:rsidR="001646E6">
              <w:t>; A2108014; and A2108015</w:t>
            </w:r>
          </w:p>
        </w:tc>
      </w:tr>
      <w:tr w:rsidRPr="00231B98" w:rsidR="00FE3BAE" w:rsidTr="00231B98"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31B98" w:rsidR="00FE3BAE" w:rsidP="00A23C17" w:rsidRDefault="00FE3BAE" w14:paraId="738C0A58" w14:textId="77777777">
            <w:pPr>
              <w:rPr>
                <w:b/>
                <w:bCs/>
              </w:rPr>
            </w:pPr>
            <w:r w:rsidRPr="00231B98">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231B98" w:rsidR="00FE3BAE" w:rsidP="00A23C17" w:rsidRDefault="00904231" w14:paraId="5E75C0F0" w14:textId="5A9C9D9E">
            <w:r w:rsidRPr="00231B98">
              <w:t xml:space="preserve">ALJ </w:t>
            </w:r>
            <w:r w:rsidRPr="00231B98" w:rsidR="00344A48">
              <w:t>Zhen Zhang</w:t>
            </w:r>
          </w:p>
        </w:tc>
      </w:tr>
      <w:tr w:rsidRPr="00231B98" w:rsidR="00FE3BAE" w:rsidTr="00231B98"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231B98" w:rsidR="00FE3BAE" w:rsidP="00A23C17" w:rsidRDefault="00FE3BAE" w14:paraId="1414CA71" w14:textId="77777777">
            <w:pPr>
              <w:rPr>
                <w:b/>
                <w:bCs/>
              </w:rPr>
            </w:pPr>
            <w:r w:rsidRPr="00231B98">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231B98" w:rsidR="00FE3BAE" w:rsidP="00A23C17" w:rsidRDefault="00BB4464" w14:paraId="7CA711B6" w14:textId="572FE968">
            <w:r w:rsidRPr="00231B98">
              <w:t xml:space="preserve">Southern California Edison Company, San Diego Gas &amp; Electric Company, and Pacific Gas </w:t>
            </w:r>
            <w:r w:rsidRPr="00231B98" w:rsidR="00D108AB">
              <w:t xml:space="preserve">and </w:t>
            </w:r>
            <w:r w:rsidRPr="00231B98">
              <w:t>Electric Company</w:t>
            </w:r>
          </w:p>
        </w:tc>
      </w:tr>
    </w:tbl>
    <w:p w:rsidRPr="00D10E2F" w:rsidR="00FE3BAE" w:rsidP="00231B98" w:rsidRDefault="00FE3BAE" w14:paraId="7F0236A2" w14:textId="77777777">
      <w:pPr>
        <w:pStyle w:val="standard"/>
        <w:spacing w:before="480" w:after="180" w:line="240" w:lineRule="auto"/>
        <w:ind w:firstLine="0"/>
        <w:jc w:val="center"/>
        <w:rPr>
          <w:rFonts w:ascii="Times New Roman" w:hAnsi="Times New Roman"/>
          <w:b/>
          <w:bCs/>
          <w:szCs w:val="26"/>
        </w:rPr>
      </w:pPr>
      <w:r w:rsidRPr="00D10E2F">
        <w:rPr>
          <w:rFonts w:ascii="Times New Roman" w:hAnsi="Times New Roman"/>
          <w:b/>
          <w:bCs/>
          <w:szCs w:val="26"/>
        </w:rPr>
        <w:t>Intervenor Information</w:t>
      </w:r>
    </w:p>
    <w:tbl>
      <w:tblPr>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134"/>
        <w:gridCol w:w="1509"/>
        <w:gridCol w:w="1479"/>
        <w:gridCol w:w="1641"/>
        <w:gridCol w:w="1452"/>
        <w:gridCol w:w="2585"/>
      </w:tblGrid>
      <w:tr w:rsidRPr="00231B98" w:rsidR="00FE3BAE" w:rsidTr="00231B98"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231B98" w:rsidR="00FE3BAE" w:rsidP="00CE057B" w:rsidRDefault="00FE3BAE" w14:paraId="2578F35B" w14:textId="77777777">
            <w:pPr>
              <w:jc w:val="center"/>
              <w:rPr>
                <w:b/>
                <w:bCs/>
              </w:rPr>
            </w:pPr>
            <w:r w:rsidRPr="00231B98">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Pr="00231B98" w:rsidR="00B803D5" w:rsidP="00CE057B" w:rsidRDefault="0081626F" w14:paraId="1A2BF295" w14:textId="77777777">
            <w:pPr>
              <w:jc w:val="center"/>
              <w:rPr>
                <w:b/>
                <w:bCs/>
              </w:rPr>
            </w:pPr>
            <w:r w:rsidRPr="00231B98">
              <w:rPr>
                <w:b/>
                <w:bCs/>
              </w:rPr>
              <w:t>Date</w:t>
            </w:r>
          </w:p>
          <w:p w:rsidRPr="00231B98" w:rsidR="00FE3BAE" w:rsidP="00CE057B" w:rsidRDefault="0081626F" w14:paraId="2C1C9DC3" w14:textId="2305FDF8">
            <w:pPr>
              <w:jc w:val="center"/>
              <w:rPr>
                <w:b/>
                <w:bCs/>
              </w:rPr>
            </w:pPr>
            <w:r w:rsidRPr="00231B98">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231B98" w:rsidR="00FE3BAE" w:rsidP="00CE057B" w:rsidRDefault="00FE3BAE" w14:paraId="60DD020D" w14:textId="77777777">
            <w:pPr>
              <w:jc w:val="center"/>
              <w:rPr>
                <w:b/>
                <w:bCs/>
              </w:rPr>
            </w:pPr>
            <w:r w:rsidRPr="00231B98">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231B98" w:rsidR="00FE3BAE" w:rsidP="00CE057B" w:rsidRDefault="00FE3BAE" w14:paraId="19A4A01D" w14:textId="77777777">
            <w:pPr>
              <w:jc w:val="center"/>
              <w:rPr>
                <w:b/>
                <w:bCs/>
              </w:rPr>
            </w:pPr>
            <w:r w:rsidRPr="00231B98">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231B98" w:rsidR="00FE3BAE" w:rsidP="00CE057B" w:rsidRDefault="00FE3BAE" w14:paraId="5B9F47E2" w14:textId="77777777">
            <w:pPr>
              <w:jc w:val="center"/>
              <w:rPr>
                <w:b/>
                <w:bCs/>
              </w:rPr>
            </w:pPr>
            <w:r w:rsidRPr="00231B98">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231B98" w:rsidR="00FE3BAE" w:rsidP="00CE057B" w:rsidRDefault="00FE3BAE" w14:paraId="089590A8" w14:textId="77777777">
            <w:pPr>
              <w:jc w:val="center"/>
              <w:rPr>
                <w:b/>
                <w:bCs/>
              </w:rPr>
            </w:pPr>
            <w:r w:rsidRPr="00231B98">
              <w:rPr>
                <w:b/>
                <w:bCs/>
              </w:rPr>
              <w:t>Reason Change/Disallowance</w:t>
            </w:r>
          </w:p>
        </w:tc>
      </w:tr>
      <w:tr w:rsidRPr="00231B98" w:rsidR="00FE3BAE" w:rsidTr="00231B98" w14:paraId="080524E3" w14:textId="77777777">
        <w:trPr>
          <w:trHeight w:val="258"/>
          <w:jc w:val="center"/>
        </w:trPr>
        <w:tc>
          <w:tcPr>
            <w:tcW w:w="2043" w:type="dxa"/>
            <w:tcBorders>
              <w:top w:val="single" w:color="auto" w:sz="4" w:space="0"/>
              <w:left w:val="single" w:color="auto" w:sz="4" w:space="0"/>
              <w:bottom w:val="single" w:color="auto" w:sz="4" w:space="0"/>
              <w:right w:val="single" w:color="auto" w:sz="4" w:space="0"/>
            </w:tcBorders>
            <w:hideMark/>
          </w:tcPr>
          <w:p w:rsidRPr="00231B98" w:rsidR="00FE3BAE" w:rsidP="00A23C17" w:rsidRDefault="00C1454C" w14:paraId="3008FB17" w14:textId="1CE89CF0">
            <w:pPr>
              <w:jc w:val="center"/>
            </w:pPr>
            <w:r w:rsidRPr="00231B98">
              <w:t>Environmental Defense Fund</w:t>
            </w:r>
          </w:p>
        </w:tc>
        <w:tc>
          <w:tcPr>
            <w:tcW w:w="1444" w:type="dxa"/>
            <w:tcBorders>
              <w:top w:val="single" w:color="auto" w:sz="4" w:space="0"/>
              <w:left w:val="single" w:color="auto" w:sz="4" w:space="0"/>
              <w:bottom w:val="single" w:color="auto" w:sz="4" w:space="0"/>
              <w:right w:val="single" w:color="auto" w:sz="4" w:space="0"/>
            </w:tcBorders>
            <w:hideMark/>
          </w:tcPr>
          <w:p w:rsidRPr="00231B98" w:rsidR="00FE3BAE" w:rsidP="00A23C17" w:rsidRDefault="006421CD" w14:paraId="63956769" w14:textId="71972EFE">
            <w:pPr>
              <w:jc w:val="center"/>
            </w:pPr>
            <w:r w:rsidRPr="00231B98">
              <w:t>01/04/2023</w:t>
            </w:r>
          </w:p>
        </w:tc>
        <w:tc>
          <w:tcPr>
            <w:tcW w:w="1405" w:type="dxa"/>
            <w:tcBorders>
              <w:top w:val="single" w:color="auto" w:sz="4" w:space="0"/>
              <w:left w:val="single" w:color="auto" w:sz="4" w:space="0"/>
              <w:bottom w:val="single" w:color="auto" w:sz="4" w:space="0"/>
              <w:right w:val="single" w:color="auto" w:sz="4" w:space="0"/>
            </w:tcBorders>
            <w:hideMark/>
          </w:tcPr>
          <w:p w:rsidRPr="00231B98" w:rsidR="00FE3BAE" w:rsidP="00A23C17" w:rsidRDefault="006421CD" w14:paraId="75AD20FA" w14:textId="5FD18054">
            <w:pPr>
              <w:jc w:val="center"/>
              <w:rPr>
                <w:highlight w:val="yellow"/>
              </w:rPr>
            </w:pPr>
            <w:r w:rsidRPr="00231B98">
              <w:t>$</w:t>
            </w:r>
            <w:r w:rsidRPr="00231B98" w:rsidR="00F54044">
              <w:t>161,483.00</w:t>
            </w:r>
          </w:p>
        </w:tc>
        <w:tc>
          <w:tcPr>
            <w:tcW w:w="1571" w:type="dxa"/>
            <w:tcBorders>
              <w:top w:val="single" w:color="auto" w:sz="4" w:space="0"/>
              <w:left w:val="single" w:color="auto" w:sz="4" w:space="0"/>
              <w:bottom w:val="single" w:color="auto" w:sz="4" w:space="0"/>
              <w:right w:val="single" w:color="auto" w:sz="4" w:space="0"/>
            </w:tcBorders>
            <w:hideMark/>
          </w:tcPr>
          <w:p w:rsidRPr="00231B98" w:rsidR="00B34E1A" w:rsidP="00A23C17" w:rsidRDefault="00EB2642" w14:paraId="64115828" w14:textId="2AA48AB3">
            <w:pPr>
              <w:jc w:val="center"/>
            </w:pPr>
            <w:r w:rsidRPr="00231B98">
              <w:t>$</w:t>
            </w:r>
            <w:r w:rsidRPr="00231B98" w:rsidR="00B34E1A">
              <w:t>70,096.64</w:t>
            </w:r>
          </w:p>
          <w:p w:rsidRPr="00231B98" w:rsidR="00FE3BAE" w:rsidP="00B34E1A" w:rsidRDefault="00FE3BAE" w14:paraId="0DD6FE00" w14:textId="73A97E45">
            <w:pPr>
              <w:jc w:val="center"/>
            </w:pPr>
          </w:p>
        </w:tc>
        <w:tc>
          <w:tcPr>
            <w:tcW w:w="1390" w:type="dxa"/>
            <w:tcBorders>
              <w:top w:val="single" w:color="auto" w:sz="4" w:space="0"/>
              <w:left w:val="single" w:color="auto" w:sz="4" w:space="0"/>
              <w:bottom w:val="single" w:color="auto" w:sz="4" w:space="0"/>
              <w:right w:val="single" w:color="auto" w:sz="4" w:space="0"/>
            </w:tcBorders>
            <w:hideMark/>
          </w:tcPr>
          <w:p w:rsidRPr="00231B98" w:rsidR="00FE3BAE" w:rsidP="00A23C17" w:rsidRDefault="00FE3BAE" w14:paraId="0BDAFE20" w14:textId="77777777">
            <w:pPr>
              <w:jc w:val="center"/>
            </w:pPr>
            <w:r w:rsidRPr="00231B98">
              <w:t>N/A</w:t>
            </w:r>
          </w:p>
        </w:tc>
        <w:tc>
          <w:tcPr>
            <w:tcW w:w="2474" w:type="dxa"/>
            <w:tcBorders>
              <w:top w:val="single" w:color="auto" w:sz="4" w:space="0"/>
              <w:left w:val="single" w:color="auto" w:sz="4" w:space="0"/>
              <w:bottom w:val="single" w:color="auto" w:sz="4" w:space="0"/>
              <w:right w:val="single" w:color="auto" w:sz="4" w:space="0"/>
            </w:tcBorders>
            <w:hideMark/>
          </w:tcPr>
          <w:p w:rsidRPr="00231B98" w:rsidR="00FE3BAE" w:rsidP="00A23C17" w:rsidRDefault="00E127FA" w14:paraId="6B53C6F9" w14:textId="1EEBDC5D">
            <w:pPr>
              <w:jc w:val="center"/>
            </w:pPr>
            <w:r w:rsidRPr="00231B98">
              <w:rPr>
                <w:i/>
                <w:iCs/>
              </w:rPr>
              <w:t>See</w:t>
            </w:r>
            <w:r w:rsidRPr="00231B98">
              <w:t xml:space="preserve"> Part III.D CPUC Comments, Disallowances and Adjust</w:t>
            </w:r>
            <w:r w:rsidRPr="00231B98" w:rsidR="000F2214">
              <w:t>ments</w:t>
            </w:r>
          </w:p>
        </w:tc>
      </w:tr>
    </w:tbl>
    <w:p w:rsidRPr="00D10E2F" w:rsidR="00FE3BAE" w:rsidP="00231B98" w:rsidRDefault="0022302F" w14:paraId="2841210B" w14:textId="77777777">
      <w:pPr>
        <w:pStyle w:val="standard"/>
        <w:spacing w:before="360" w:after="180" w:line="240" w:lineRule="auto"/>
        <w:ind w:firstLine="0"/>
        <w:jc w:val="center"/>
        <w:rPr>
          <w:rFonts w:ascii="Times New Roman" w:hAnsi="Times New Roman"/>
          <w:b/>
          <w:bCs/>
          <w:szCs w:val="26"/>
        </w:rPr>
      </w:pPr>
      <w:r w:rsidRPr="00D10E2F">
        <w:rPr>
          <w:rFonts w:ascii="Times New Roman" w:hAnsi="Times New Roman"/>
          <w:b/>
          <w:bCs/>
          <w:szCs w:val="26"/>
        </w:rPr>
        <w:t>Hourly Fee</w:t>
      </w:r>
      <w:r w:rsidRPr="00D10E2F" w:rsidR="00FE3BAE">
        <w:rPr>
          <w:rFonts w:ascii="Times New Roman" w:hAnsi="Times New Roman"/>
          <w:b/>
          <w:bCs/>
          <w:szCs w:val="26"/>
        </w:rPr>
        <w:t xml:space="preserve"> Information</w:t>
      </w:r>
    </w:p>
    <w:tbl>
      <w:tblPr>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73"/>
        <w:gridCol w:w="1785"/>
        <w:gridCol w:w="2160"/>
        <w:gridCol w:w="1808"/>
        <w:gridCol w:w="1784"/>
        <w:gridCol w:w="1690"/>
      </w:tblGrid>
      <w:tr w:rsidRPr="00231B98" w:rsidR="00C02649" w:rsidTr="00231B98" w14:paraId="7CF2F0CA" w14:textId="77777777">
        <w:trPr>
          <w:trHeight w:val="288"/>
          <w:tblHeader/>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231B98" w:rsidR="003B6A1B" w:rsidP="00CE057B" w:rsidRDefault="003B6A1B" w14:paraId="61500303" w14:textId="77777777">
            <w:pPr>
              <w:jc w:val="center"/>
              <w:rPr>
                <w:b/>
                <w:bCs/>
              </w:rPr>
            </w:pPr>
            <w:r w:rsidRPr="00231B98">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231B98" w:rsidR="003B6A1B" w:rsidP="00CE057B" w:rsidRDefault="003B6A1B" w14:paraId="55908486" w14:textId="77777777">
            <w:pPr>
              <w:jc w:val="center"/>
              <w:rPr>
                <w:b/>
                <w:bCs/>
              </w:rPr>
            </w:pPr>
            <w:r w:rsidRPr="00231B98">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231B98" w:rsidR="003B6A1B" w:rsidP="00CE057B" w:rsidRDefault="007B0993" w14:paraId="2438DAE1" w14:textId="75E29EBB">
            <w:pPr>
              <w:ind w:left="12" w:firstLine="12"/>
              <w:jc w:val="center"/>
              <w:rPr>
                <w:b/>
                <w:bCs/>
              </w:rPr>
            </w:pPr>
            <w:r w:rsidRPr="00231B98">
              <w:rPr>
                <w:b/>
                <w:bCs/>
              </w:rPr>
              <w:t>Labor Role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231B98" w:rsidR="00B803D5" w:rsidP="00CE057B" w:rsidRDefault="003B6A1B" w14:paraId="30FCBD16" w14:textId="77777777">
            <w:pPr>
              <w:jc w:val="center"/>
              <w:rPr>
                <w:b/>
                <w:bCs/>
              </w:rPr>
            </w:pPr>
            <w:r w:rsidRPr="00231B98">
              <w:rPr>
                <w:b/>
                <w:bCs/>
              </w:rPr>
              <w:t>Hourly</w:t>
            </w:r>
          </w:p>
          <w:p w:rsidRPr="00231B98" w:rsidR="003B6A1B" w:rsidP="00CE057B" w:rsidRDefault="003B6A1B" w14:paraId="3431A72E" w14:textId="15E5EE89">
            <w:pPr>
              <w:jc w:val="center"/>
              <w:rPr>
                <w:b/>
                <w:bCs/>
              </w:rPr>
            </w:pPr>
            <w:r w:rsidRPr="00231B98">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231B98" w:rsidR="00B803D5" w:rsidP="00CE057B" w:rsidRDefault="003B6A1B" w14:paraId="27A4F1D1" w14:textId="77777777">
            <w:pPr>
              <w:jc w:val="center"/>
              <w:rPr>
                <w:b/>
                <w:bCs/>
              </w:rPr>
            </w:pPr>
            <w:r w:rsidRPr="00231B98">
              <w:rPr>
                <w:b/>
                <w:bCs/>
              </w:rPr>
              <w:t>Year Hourly</w:t>
            </w:r>
          </w:p>
          <w:p w:rsidRPr="00231B98" w:rsidR="003B6A1B" w:rsidP="00CE057B" w:rsidRDefault="003B6A1B" w14:paraId="6FE76773" w14:textId="7DDDAF05">
            <w:pPr>
              <w:jc w:val="center"/>
              <w:rPr>
                <w:b/>
                <w:bCs/>
              </w:rPr>
            </w:pPr>
            <w:r w:rsidRPr="00231B98">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Pr="00231B98" w:rsidR="00B803D5" w:rsidP="00CE057B" w:rsidRDefault="003B6A1B" w14:paraId="08CD8CFB" w14:textId="50A63D11">
            <w:pPr>
              <w:jc w:val="center"/>
              <w:rPr>
                <w:b/>
                <w:bCs/>
              </w:rPr>
            </w:pPr>
            <w:r w:rsidRPr="00231B98">
              <w:rPr>
                <w:b/>
                <w:bCs/>
              </w:rPr>
              <w:t>Hourly</w:t>
            </w:r>
          </w:p>
          <w:p w:rsidRPr="00231B98" w:rsidR="003B6A1B" w:rsidP="00CE057B" w:rsidRDefault="003B6A1B" w14:paraId="1B789B85" w14:textId="3C9059B0">
            <w:pPr>
              <w:jc w:val="center"/>
              <w:rPr>
                <w:b/>
                <w:bCs/>
              </w:rPr>
            </w:pPr>
            <w:r w:rsidRPr="00231B98">
              <w:rPr>
                <w:b/>
                <w:bCs/>
              </w:rPr>
              <w:t>Fee Adopted</w:t>
            </w:r>
          </w:p>
        </w:tc>
      </w:tr>
      <w:tr w:rsidRPr="00231B98" w:rsidR="00E65753" w:rsidTr="00231B98" w14:paraId="698916B6"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67DF93A5" w14:textId="5C5AFABC">
            <w:pPr>
              <w:jc w:val="center"/>
            </w:pPr>
            <w:r w:rsidRPr="00231B98">
              <w:t>Elizabeth</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07300F2A" w14:textId="2951DD62">
            <w:pPr>
              <w:jc w:val="center"/>
            </w:pPr>
            <w:r w:rsidRPr="00231B98">
              <w:t>Kelly</w:t>
            </w:r>
          </w:p>
        </w:tc>
        <w:tc>
          <w:tcPr>
            <w:tcW w:w="2088" w:type="dxa"/>
            <w:tcBorders>
              <w:top w:val="single" w:color="auto" w:sz="4" w:space="0"/>
              <w:left w:val="single" w:color="auto" w:sz="4" w:space="0"/>
              <w:bottom w:val="single" w:color="auto" w:sz="4" w:space="0"/>
              <w:right w:val="single" w:color="auto" w:sz="4" w:space="0"/>
            </w:tcBorders>
          </w:tcPr>
          <w:p w:rsidRPr="00231B98" w:rsidR="00E65753" w:rsidP="00E65753" w:rsidRDefault="000F2214" w14:paraId="59C27926" w14:textId="2DF3917F">
            <w:pPr>
              <w:jc w:val="center"/>
            </w:pPr>
            <w:r w:rsidRPr="00231B98">
              <w:t xml:space="preserve">Consultant/ </w:t>
            </w:r>
            <w:r w:rsidRPr="00231B98" w:rsidR="00E65753">
              <w:t>Attorney</w:t>
            </w:r>
            <w:bookmarkStart w:name="_Ref189127911" w:id="1"/>
            <w:r w:rsidRPr="00231B98" w:rsidR="00C1454C">
              <w:rPr>
                <w:vertAlign w:val="superscript"/>
              </w:rPr>
              <w:footnoteReference w:id="8"/>
            </w:r>
            <w:bookmarkEnd w:id="1"/>
          </w:p>
        </w:tc>
        <w:tc>
          <w:tcPr>
            <w:tcW w:w="1748" w:type="dxa"/>
            <w:tcBorders>
              <w:top w:val="single" w:color="auto" w:sz="4" w:space="0"/>
              <w:left w:val="single" w:color="auto" w:sz="4" w:space="0"/>
              <w:bottom w:val="single" w:color="auto" w:sz="4" w:space="0"/>
              <w:right w:val="single" w:color="auto" w:sz="4" w:space="0"/>
            </w:tcBorders>
          </w:tcPr>
          <w:p w:rsidRPr="00231B98" w:rsidR="00E65753" w:rsidP="00E65753" w:rsidRDefault="00EF430F" w14:paraId="14AE9E2B" w14:textId="470E04E3">
            <w:pPr>
              <w:jc w:val="center"/>
            </w:pPr>
            <w:r w:rsidRPr="00231B98">
              <w:t>$550</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09F698AA" w14:textId="4C070BB3">
            <w:pPr>
              <w:jc w:val="center"/>
            </w:pPr>
            <w:r w:rsidRPr="00231B98">
              <w:t>2021</w:t>
            </w:r>
          </w:p>
        </w:tc>
        <w:tc>
          <w:tcPr>
            <w:tcW w:w="1634" w:type="dxa"/>
            <w:tcBorders>
              <w:top w:val="single" w:color="auto" w:sz="4" w:space="0"/>
              <w:left w:val="single" w:color="auto" w:sz="4" w:space="0"/>
              <w:bottom w:val="single" w:color="auto" w:sz="4" w:space="0"/>
              <w:right w:val="single" w:color="auto" w:sz="4" w:space="0"/>
            </w:tcBorders>
          </w:tcPr>
          <w:p w:rsidRPr="00231B98" w:rsidR="00E65753" w:rsidP="00E65753" w:rsidRDefault="00901BB3" w14:paraId="544B5858" w14:textId="43EA94EA">
            <w:pPr>
              <w:jc w:val="center"/>
            </w:pPr>
            <w:r w:rsidRPr="00231B98">
              <w:t>$550.00</w:t>
            </w:r>
          </w:p>
        </w:tc>
      </w:tr>
      <w:tr w:rsidRPr="00231B98" w:rsidR="00E65753" w:rsidTr="00231B98"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65C04662" w14:textId="4558BA7A">
            <w:pPr>
              <w:jc w:val="center"/>
            </w:pPr>
            <w:r w:rsidRPr="00231B98">
              <w:t>Elizabeth</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1C590887" w14:textId="77F6BC19">
            <w:pPr>
              <w:jc w:val="center"/>
            </w:pPr>
            <w:r w:rsidRPr="00231B98">
              <w:t>Kelly</w:t>
            </w:r>
          </w:p>
        </w:tc>
        <w:tc>
          <w:tcPr>
            <w:tcW w:w="2088" w:type="dxa"/>
            <w:tcBorders>
              <w:top w:val="single" w:color="auto" w:sz="4" w:space="0"/>
              <w:left w:val="single" w:color="auto" w:sz="4" w:space="0"/>
              <w:bottom w:val="single" w:color="auto" w:sz="4" w:space="0"/>
              <w:right w:val="single" w:color="auto" w:sz="4" w:space="0"/>
            </w:tcBorders>
          </w:tcPr>
          <w:p w:rsidRPr="00231B98" w:rsidR="00E65753" w:rsidP="00E65753" w:rsidRDefault="000F2214" w14:paraId="1EA8DE3D" w14:textId="7AF41C1E">
            <w:pPr>
              <w:jc w:val="center"/>
            </w:pPr>
            <w:r w:rsidRPr="00231B98">
              <w:t xml:space="preserve">Consultant/ </w:t>
            </w:r>
            <w:r w:rsidRPr="00231B98" w:rsidR="00E65753">
              <w:t>Attorney</w:t>
            </w:r>
            <w:r w:rsidRPr="00231B98" w:rsidR="00EE101C">
              <w:rPr>
                <w:vertAlign w:val="superscript"/>
              </w:rPr>
              <w:fldChar w:fldCharType="begin"/>
            </w:r>
            <w:r w:rsidRPr="00231B98" w:rsidR="00EE101C">
              <w:rPr>
                <w:vertAlign w:val="superscript"/>
              </w:rPr>
              <w:instrText xml:space="preserve"> NOTEREF _Ref189127911 \h  \* MERGEFORMAT </w:instrText>
            </w:r>
            <w:r w:rsidRPr="00231B98" w:rsidR="00EE101C">
              <w:rPr>
                <w:vertAlign w:val="superscript"/>
              </w:rPr>
            </w:r>
            <w:r w:rsidRPr="00231B98" w:rsidR="00EE101C">
              <w:rPr>
                <w:vertAlign w:val="superscript"/>
              </w:rPr>
              <w:fldChar w:fldCharType="separate"/>
            </w:r>
            <w:r w:rsidR="006375B9">
              <w:rPr>
                <w:vertAlign w:val="superscript"/>
              </w:rPr>
              <w:t>8</w:t>
            </w:r>
            <w:r w:rsidRPr="00231B98" w:rsidR="00EE101C">
              <w:rPr>
                <w:vertAlign w:val="superscript"/>
              </w:rPr>
              <w:fldChar w:fldCharType="end"/>
            </w:r>
          </w:p>
        </w:tc>
        <w:tc>
          <w:tcPr>
            <w:tcW w:w="1748"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4F6290AB" w14:textId="0A491E7B">
            <w:pPr>
              <w:jc w:val="center"/>
            </w:pPr>
            <w:r w:rsidRPr="00231B98">
              <w:t>$625</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1354C70A" w14:textId="3222FDE5">
            <w:pPr>
              <w:jc w:val="center"/>
            </w:pPr>
            <w:r w:rsidRPr="00231B98">
              <w:t>2022</w:t>
            </w:r>
          </w:p>
        </w:tc>
        <w:tc>
          <w:tcPr>
            <w:tcW w:w="1634" w:type="dxa"/>
            <w:tcBorders>
              <w:top w:val="single" w:color="auto" w:sz="4" w:space="0"/>
              <w:left w:val="single" w:color="auto" w:sz="4" w:space="0"/>
              <w:bottom w:val="single" w:color="auto" w:sz="4" w:space="0"/>
              <w:right w:val="single" w:color="auto" w:sz="4" w:space="0"/>
            </w:tcBorders>
          </w:tcPr>
          <w:p w:rsidRPr="00231B98" w:rsidR="00E65753" w:rsidP="00E65753" w:rsidRDefault="00901BB3" w14:paraId="36649915" w14:textId="52DBBF12">
            <w:pPr>
              <w:jc w:val="center"/>
            </w:pPr>
            <w:r w:rsidRPr="00231B98">
              <w:t>$570.00</w:t>
            </w:r>
          </w:p>
        </w:tc>
      </w:tr>
      <w:tr w:rsidRPr="00231B98" w:rsidR="001E5077" w:rsidTr="00231B98" w14:paraId="5CC78F5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31B98" w:rsidR="001E5077" w:rsidP="00E65753" w:rsidRDefault="001E5077" w14:paraId="57B3D22D" w14:textId="49B7F7F6">
            <w:pPr>
              <w:jc w:val="center"/>
            </w:pPr>
            <w:r w:rsidRPr="00231B98">
              <w:t>Elizabeth</w:t>
            </w:r>
          </w:p>
        </w:tc>
        <w:tc>
          <w:tcPr>
            <w:tcW w:w="1725" w:type="dxa"/>
            <w:tcBorders>
              <w:top w:val="single" w:color="auto" w:sz="4" w:space="0"/>
              <w:left w:val="single" w:color="auto" w:sz="4" w:space="0"/>
              <w:bottom w:val="single" w:color="auto" w:sz="4" w:space="0"/>
              <w:right w:val="single" w:color="auto" w:sz="4" w:space="0"/>
            </w:tcBorders>
          </w:tcPr>
          <w:p w:rsidRPr="00231B98" w:rsidR="001E5077" w:rsidP="00E65753" w:rsidRDefault="001E5077" w14:paraId="2892EF13" w14:textId="23FA390D">
            <w:pPr>
              <w:jc w:val="center"/>
            </w:pPr>
            <w:r w:rsidRPr="00231B98">
              <w:t>Kelly</w:t>
            </w:r>
          </w:p>
        </w:tc>
        <w:tc>
          <w:tcPr>
            <w:tcW w:w="2088" w:type="dxa"/>
            <w:tcBorders>
              <w:top w:val="single" w:color="auto" w:sz="4" w:space="0"/>
              <w:left w:val="single" w:color="auto" w:sz="4" w:space="0"/>
              <w:bottom w:val="single" w:color="auto" w:sz="4" w:space="0"/>
              <w:right w:val="single" w:color="auto" w:sz="4" w:space="0"/>
            </w:tcBorders>
          </w:tcPr>
          <w:p w:rsidRPr="00231B98" w:rsidR="001E5077" w:rsidP="00E65753" w:rsidRDefault="00704EB2" w14:paraId="27EA86DE" w14:textId="01E79F31">
            <w:pPr>
              <w:jc w:val="center"/>
            </w:pPr>
            <w:r w:rsidRPr="00231B98">
              <w:t xml:space="preserve">Consultant/ </w:t>
            </w:r>
            <w:r w:rsidRPr="00231B98" w:rsidR="001E5077">
              <w:t>Attorney</w:t>
            </w:r>
            <w:r w:rsidRPr="00231B98" w:rsidR="00EE101C">
              <w:rPr>
                <w:vertAlign w:val="superscript"/>
              </w:rPr>
              <w:fldChar w:fldCharType="begin"/>
            </w:r>
            <w:r w:rsidRPr="00231B98" w:rsidR="00EE101C">
              <w:rPr>
                <w:vertAlign w:val="superscript"/>
              </w:rPr>
              <w:instrText xml:space="preserve"> NOTEREF _Ref189127911 \h  \* MERGEFORMAT </w:instrText>
            </w:r>
            <w:r w:rsidRPr="00231B98" w:rsidR="00EE101C">
              <w:rPr>
                <w:vertAlign w:val="superscript"/>
              </w:rPr>
            </w:r>
            <w:r w:rsidRPr="00231B98" w:rsidR="00EE101C">
              <w:rPr>
                <w:vertAlign w:val="superscript"/>
              </w:rPr>
              <w:fldChar w:fldCharType="separate"/>
            </w:r>
            <w:r w:rsidR="006375B9">
              <w:rPr>
                <w:vertAlign w:val="superscript"/>
              </w:rPr>
              <w:t>8</w:t>
            </w:r>
            <w:r w:rsidRPr="00231B98" w:rsidR="00EE101C">
              <w:rPr>
                <w:vertAlign w:val="superscript"/>
              </w:rPr>
              <w:fldChar w:fldCharType="end"/>
            </w:r>
          </w:p>
        </w:tc>
        <w:tc>
          <w:tcPr>
            <w:tcW w:w="1748" w:type="dxa"/>
            <w:tcBorders>
              <w:top w:val="single" w:color="auto" w:sz="4" w:space="0"/>
              <w:left w:val="single" w:color="auto" w:sz="4" w:space="0"/>
              <w:bottom w:val="single" w:color="auto" w:sz="4" w:space="0"/>
              <w:right w:val="single" w:color="auto" w:sz="4" w:space="0"/>
            </w:tcBorders>
          </w:tcPr>
          <w:p w:rsidRPr="00231B98" w:rsidR="001E5077" w:rsidP="00E65753" w:rsidRDefault="001E5077" w14:paraId="6B44B9C1" w14:textId="1E9662B6">
            <w:pPr>
              <w:jc w:val="center"/>
            </w:pPr>
            <w:r w:rsidRPr="00231B98">
              <w:t>$</w:t>
            </w:r>
            <w:r w:rsidRPr="00231B98" w:rsidR="00C955D2">
              <w:t>7</w:t>
            </w:r>
            <w:r w:rsidRPr="00231B98" w:rsidR="006C18EB">
              <w:t>10</w:t>
            </w:r>
          </w:p>
        </w:tc>
        <w:tc>
          <w:tcPr>
            <w:tcW w:w="1725" w:type="dxa"/>
            <w:tcBorders>
              <w:top w:val="single" w:color="auto" w:sz="4" w:space="0"/>
              <w:left w:val="single" w:color="auto" w:sz="4" w:space="0"/>
              <w:bottom w:val="single" w:color="auto" w:sz="4" w:space="0"/>
              <w:right w:val="single" w:color="auto" w:sz="4" w:space="0"/>
            </w:tcBorders>
          </w:tcPr>
          <w:p w:rsidRPr="00231B98" w:rsidR="001E5077" w:rsidP="00E65753" w:rsidRDefault="001E5077" w14:paraId="4697096A" w14:textId="6FA53E7B">
            <w:pPr>
              <w:jc w:val="center"/>
            </w:pPr>
            <w:r w:rsidRPr="00231B98">
              <w:t>2023</w:t>
            </w:r>
          </w:p>
        </w:tc>
        <w:tc>
          <w:tcPr>
            <w:tcW w:w="1634" w:type="dxa"/>
            <w:tcBorders>
              <w:top w:val="single" w:color="auto" w:sz="4" w:space="0"/>
              <w:left w:val="single" w:color="auto" w:sz="4" w:space="0"/>
              <w:bottom w:val="single" w:color="auto" w:sz="4" w:space="0"/>
              <w:right w:val="single" w:color="auto" w:sz="4" w:space="0"/>
            </w:tcBorders>
          </w:tcPr>
          <w:p w:rsidRPr="00231B98" w:rsidR="001E5077" w:rsidP="00E65753" w:rsidRDefault="00962BA6" w14:paraId="2B50FB5B" w14:textId="4459ED16">
            <w:pPr>
              <w:jc w:val="center"/>
            </w:pPr>
            <w:r w:rsidRPr="00231B98">
              <w:t>$</w:t>
            </w:r>
            <w:r w:rsidRPr="00231B98" w:rsidR="00467A4E">
              <w:t>625.00</w:t>
            </w:r>
          </w:p>
        </w:tc>
      </w:tr>
      <w:tr w:rsidRPr="00231B98" w:rsidR="00E65753" w:rsidTr="00231B98"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71BF257F" w14:textId="0373104A">
            <w:pPr>
              <w:jc w:val="center"/>
            </w:pPr>
            <w:r w:rsidRPr="00231B98">
              <w:t>Michael</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4D0E5B24" w14:textId="70448F0B">
            <w:pPr>
              <w:jc w:val="center"/>
            </w:pPr>
            <w:r w:rsidRPr="00231B98">
              <w:t>Colvin</w:t>
            </w:r>
          </w:p>
        </w:tc>
        <w:tc>
          <w:tcPr>
            <w:tcW w:w="2088"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3ACB6465" w14:textId="69C6B042">
            <w:pPr>
              <w:jc w:val="center"/>
              <w:rPr>
                <w:shd w:val="clear" w:color="auto" w:fill="CCFFCC"/>
              </w:rPr>
            </w:pPr>
            <w:r w:rsidRPr="00231B98">
              <w:t>Expert</w:t>
            </w:r>
            <w:bookmarkStart w:name="_Ref189127925" w:id="2"/>
            <w:r w:rsidRPr="00231B98" w:rsidR="00C1454C">
              <w:rPr>
                <w:rStyle w:val="FootnoteReference"/>
              </w:rPr>
              <w:footnoteReference w:id="9"/>
            </w:r>
            <w:bookmarkEnd w:id="2"/>
          </w:p>
        </w:tc>
        <w:tc>
          <w:tcPr>
            <w:tcW w:w="1748"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27D75B3F" w14:textId="5D913916">
            <w:pPr>
              <w:jc w:val="center"/>
            </w:pPr>
            <w:r w:rsidRPr="00231B98">
              <w:t>$490</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0BD45097" w14:textId="0CC335B2">
            <w:pPr>
              <w:jc w:val="center"/>
            </w:pPr>
            <w:r w:rsidRPr="00231B98">
              <w:t>2021</w:t>
            </w:r>
          </w:p>
        </w:tc>
        <w:tc>
          <w:tcPr>
            <w:tcW w:w="1634" w:type="dxa"/>
            <w:tcBorders>
              <w:top w:val="single" w:color="auto" w:sz="4" w:space="0"/>
              <w:left w:val="single" w:color="auto" w:sz="4" w:space="0"/>
              <w:bottom w:val="single" w:color="auto" w:sz="4" w:space="0"/>
              <w:right w:val="single" w:color="auto" w:sz="4" w:space="0"/>
            </w:tcBorders>
          </w:tcPr>
          <w:p w:rsidRPr="00231B98" w:rsidR="00E65753" w:rsidP="00E65753" w:rsidRDefault="00467A4E" w14:paraId="6B245605" w14:textId="56138EB8">
            <w:pPr>
              <w:jc w:val="center"/>
            </w:pPr>
            <w:r w:rsidRPr="00231B98">
              <w:t>$480.00</w:t>
            </w:r>
          </w:p>
        </w:tc>
      </w:tr>
      <w:tr w:rsidRPr="00231B98" w:rsidR="00E65753" w:rsidTr="00231B98" w14:paraId="336AD92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575C2633" w14:textId="37EFB0A7">
            <w:pPr>
              <w:jc w:val="center"/>
            </w:pPr>
            <w:r w:rsidRPr="00231B98">
              <w:t>Michael</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053261CD" w14:textId="0158B8FC">
            <w:pPr>
              <w:jc w:val="center"/>
            </w:pPr>
            <w:r w:rsidRPr="00231B98">
              <w:t>Colvin</w:t>
            </w:r>
          </w:p>
        </w:tc>
        <w:tc>
          <w:tcPr>
            <w:tcW w:w="2088"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78DE9ED4" w14:textId="2DD2CAAE">
            <w:pPr>
              <w:jc w:val="center"/>
              <w:rPr>
                <w:shd w:val="clear" w:color="auto" w:fill="CCFFCC"/>
              </w:rPr>
            </w:pPr>
            <w:r w:rsidRPr="00231B98">
              <w:t>Expert</w:t>
            </w:r>
            <w:r w:rsidRPr="00231B98" w:rsidR="00EE101C">
              <w:rPr>
                <w:vertAlign w:val="superscript"/>
              </w:rPr>
              <w:fldChar w:fldCharType="begin"/>
            </w:r>
            <w:r w:rsidRPr="00231B98" w:rsidR="00EE101C">
              <w:rPr>
                <w:vertAlign w:val="superscript"/>
              </w:rPr>
              <w:instrText xml:space="preserve"> NOTEREF _Ref189127925 \h  \* MERGEFORMAT </w:instrText>
            </w:r>
            <w:r w:rsidRPr="00231B98" w:rsidR="00EE101C">
              <w:rPr>
                <w:vertAlign w:val="superscript"/>
              </w:rPr>
            </w:r>
            <w:r w:rsidRPr="00231B98" w:rsidR="00EE101C">
              <w:rPr>
                <w:vertAlign w:val="superscript"/>
              </w:rPr>
              <w:fldChar w:fldCharType="separate"/>
            </w:r>
            <w:r w:rsidR="006375B9">
              <w:rPr>
                <w:vertAlign w:val="superscript"/>
              </w:rPr>
              <w:t>9</w:t>
            </w:r>
            <w:r w:rsidRPr="00231B98" w:rsidR="00EE101C">
              <w:rPr>
                <w:vertAlign w:val="superscript"/>
              </w:rPr>
              <w:fldChar w:fldCharType="end"/>
            </w:r>
          </w:p>
        </w:tc>
        <w:tc>
          <w:tcPr>
            <w:tcW w:w="1748"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0F803569" w14:textId="4F205B47">
            <w:pPr>
              <w:jc w:val="center"/>
            </w:pPr>
            <w:r w:rsidRPr="00231B98">
              <w:t>$515</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448DC381" w14:textId="275A89F0">
            <w:pPr>
              <w:jc w:val="center"/>
            </w:pPr>
            <w:r w:rsidRPr="00231B98">
              <w:t>2022</w:t>
            </w:r>
          </w:p>
        </w:tc>
        <w:tc>
          <w:tcPr>
            <w:tcW w:w="1634" w:type="dxa"/>
            <w:tcBorders>
              <w:top w:val="single" w:color="auto" w:sz="4" w:space="0"/>
              <w:left w:val="single" w:color="auto" w:sz="4" w:space="0"/>
              <w:bottom w:val="single" w:color="auto" w:sz="4" w:space="0"/>
              <w:right w:val="single" w:color="auto" w:sz="4" w:space="0"/>
            </w:tcBorders>
          </w:tcPr>
          <w:p w:rsidRPr="00231B98" w:rsidR="00E65753" w:rsidP="00E65753" w:rsidRDefault="00467A4E" w14:paraId="0D91F4D9" w14:textId="46406CDF">
            <w:pPr>
              <w:jc w:val="center"/>
            </w:pPr>
            <w:r w:rsidRPr="00231B98">
              <w:t>$505.00</w:t>
            </w:r>
          </w:p>
        </w:tc>
      </w:tr>
      <w:tr w:rsidRPr="00231B98" w:rsidR="00E65753" w:rsidTr="00231B98" w14:paraId="29AE693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360AC496" w14:textId="576A792E">
            <w:pPr>
              <w:jc w:val="center"/>
              <w:rPr>
                <w:shd w:val="clear" w:color="auto" w:fill="CCFFCC"/>
              </w:rPr>
            </w:pPr>
            <w:r w:rsidRPr="00231B98">
              <w:t>Richard</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56248722" w14:textId="2AB7AE02">
            <w:pPr>
              <w:jc w:val="center"/>
              <w:rPr>
                <w:shd w:val="clear" w:color="auto" w:fill="CCFFCC"/>
              </w:rPr>
            </w:pPr>
            <w:r w:rsidRPr="00231B98">
              <w:t>McCann</w:t>
            </w:r>
          </w:p>
        </w:tc>
        <w:tc>
          <w:tcPr>
            <w:tcW w:w="2088" w:type="dxa"/>
            <w:tcBorders>
              <w:top w:val="single" w:color="auto" w:sz="4" w:space="0"/>
              <w:left w:val="single" w:color="auto" w:sz="4" w:space="0"/>
              <w:bottom w:val="single" w:color="auto" w:sz="4" w:space="0"/>
              <w:right w:val="single" w:color="auto" w:sz="4" w:space="0"/>
            </w:tcBorders>
          </w:tcPr>
          <w:p w:rsidRPr="00231B98" w:rsidR="00E65753" w:rsidP="00E65753" w:rsidRDefault="000F2214" w14:paraId="5260F89F" w14:textId="09659E79">
            <w:pPr>
              <w:jc w:val="center"/>
              <w:rPr>
                <w:shd w:val="clear" w:color="auto" w:fill="CCFFCC"/>
              </w:rPr>
            </w:pPr>
            <w:r w:rsidRPr="00231B98">
              <w:t>Consultant/</w:t>
            </w:r>
            <w:r w:rsidRPr="00231B98" w:rsidR="00812337">
              <w:t xml:space="preserve"> </w:t>
            </w:r>
            <w:r w:rsidRPr="00231B98" w:rsidR="00E65753">
              <w:t>Expert</w:t>
            </w:r>
            <w:bookmarkStart w:name="_Ref189127930" w:id="3"/>
            <w:r w:rsidRPr="00231B98" w:rsidR="00C1454C">
              <w:rPr>
                <w:rStyle w:val="FootnoteReference"/>
              </w:rPr>
              <w:footnoteReference w:id="10"/>
            </w:r>
            <w:bookmarkEnd w:id="3"/>
          </w:p>
        </w:tc>
        <w:tc>
          <w:tcPr>
            <w:tcW w:w="1748"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6D2EBA5C" w14:textId="1E104CEC">
            <w:pPr>
              <w:jc w:val="center"/>
            </w:pPr>
            <w:r w:rsidRPr="00231B98">
              <w:t>$269</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34B04A04" w14:textId="567803AC">
            <w:pPr>
              <w:jc w:val="center"/>
            </w:pPr>
            <w:r w:rsidRPr="00231B98">
              <w:t>2021</w:t>
            </w:r>
          </w:p>
        </w:tc>
        <w:tc>
          <w:tcPr>
            <w:tcW w:w="1634" w:type="dxa"/>
            <w:tcBorders>
              <w:top w:val="single" w:color="auto" w:sz="4" w:space="0"/>
              <w:left w:val="single" w:color="auto" w:sz="4" w:space="0"/>
              <w:bottom w:val="single" w:color="auto" w:sz="4" w:space="0"/>
              <w:right w:val="single" w:color="auto" w:sz="4" w:space="0"/>
            </w:tcBorders>
          </w:tcPr>
          <w:p w:rsidRPr="00231B98" w:rsidR="00E65753" w:rsidP="00E65753" w:rsidRDefault="00467A4E" w14:paraId="6A145930" w14:textId="139C7577">
            <w:pPr>
              <w:jc w:val="center"/>
            </w:pPr>
            <w:r w:rsidRPr="00231B98">
              <w:t>$269.00</w:t>
            </w:r>
          </w:p>
        </w:tc>
      </w:tr>
      <w:tr w:rsidRPr="00231B98" w:rsidR="00E65753" w:rsidTr="00231B98" w14:paraId="7BBD5E13"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23066614" w14:textId="5531B659">
            <w:pPr>
              <w:jc w:val="center"/>
            </w:pPr>
            <w:r w:rsidRPr="00231B98">
              <w:lastRenderedPageBreak/>
              <w:t>Richard</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4786C89C" w14:textId="6F2D5E81">
            <w:pPr>
              <w:jc w:val="center"/>
            </w:pPr>
            <w:r w:rsidRPr="00231B98">
              <w:t>McCann</w:t>
            </w:r>
          </w:p>
        </w:tc>
        <w:tc>
          <w:tcPr>
            <w:tcW w:w="2088" w:type="dxa"/>
            <w:tcBorders>
              <w:top w:val="single" w:color="auto" w:sz="4" w:space="0"/>
              <w:left w:val="single" w:color="auto" w:sz="4" w:space="0"/>
              <w:bottom w:val="single" w:color="auto" w:sz="4" w:space="0"/>
              <w:right w:val="single" w:color="auto" w:sz="4" w:space="0"/>
            </w:tcBorders>
          </w:tcPr>
          <w:p w:rsidRPr="00231B98" w:rsidR="00E65753" w:rsidP="00E65753" w:rsidRDefault="000F2214" w14:paraId="18CADD1E" w14:textId="0AB651AE">
            <w:pPr>
              <w:jc w:val="center"/>
            </w:pPr>
            <w:r w:rsidRPr="00231B98">
              <w:t>Consultant/</w:t>
            </w:r>
            <w:r w:rsidRPr="00231B98" w:rsidR="00812337">
              <w:t xml:space="preserve"> </w:t>
            </w:r>
            <w:r w:rsidRPr="00231B98" w:rsidR="00E65753">
              <w:t>Expert</w:t>
            </w:r>
            <w:r w:rsidRPr="00231B98" w:rsidR="00EE101C">
              <w:rPr>
                <w:vertAlign w:val="superscript"/>
              </w:rPr>
              <w:fldChar w:fldCharType="begin"/>
            </w:r>
            <w:r w:rsidRPr="00231B98" w:rsidR="00EE101C">
              <w:rPr>
                <w:vertAlign w:val="superscript"/>
              </w:rPr>
              <w:instrText xml:space="preserve"> NOTEREF _Ref189127930 \h  \* MERGEFORMAT </w:instrText>
            </w:r>
            <w:r w:rsidRPr="00231B98" w:rsidR="00EE101C">
              <w:rPr>
                <w:vertAlign w:val="superscript"/>
              </w:rPr>
            </w:r>
            <w:r w:rsidRPr="00231B98" w:rsidR="00EE101C">
              <w:rPr>
                <w:vertAlign w:val="superscript"/>
              </w:rPr>
              <w:fldChar w:fldCharType="separate"/>
            </w:r>
            <w:r w:rsidR="006375B9">
              <w:rPr>
                <w:vertAlign w:val="superscript"/>
              </w:rPr>
              <w:t>10</w:t>
            </w:r>
            <w:r w:rsidRPr="00231B98" w:rsidR="00EE101C">
              <w:rPr>
                <w:vertAlign w:val="superscript"/>
              </w:rPr>
              <w:fldChar w:fldCharType="end"/>
            </w:r>
          </w:p>
        </w:tc>
        <w:tc>
          <w:tcPr>
            <w:tcW w:w="1748"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39919693" w14:textId="52A1368A">
            <w:pPr>
              <w:jc w:val="center"/>
            </w:pPr>
            <w:r w:rsidRPr="00231B98">
              <w:t>$282</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214A549B" w14:textId="29E79596">
            <w:pPr>
              <w:jc w:val="center"/>
            </w:pPr>
            <w:r w:rsidRPr="00231B98">
              <w:t>2022</w:t>
            </w:r>
          </w:p>
        </w:tc>
        <w:tc>
          <w:tcPr>
            <w:tcW w:w="1634" w:type="dxa"/>
            <w:tcBorders>
              <w:top w:val="single" w:color="auto" w:sz="4" w:space="0"/>
              <w:left w:val="single" w:color="auto" w:sz="4" w:space="0"/>
              <w:bottom w:val="single" w:color="auto" w:sz="4" w:space="0"/>
              <w:right w:val="single" w:color="auto" w:sz="4" w:space="0"/>
            </w:tcBorders>
          </w:tcPr>
          <w:p w:rsidRPr="00231B98" w:rsidR="00E65753" w:rsidP="00E65753" w:rsidRDefault="00467A4E" w14:paraId="3B9C718F" w14:textId="30B39129">
            <w:pPr>
              <w:jc w:val="center"/>
            </w:pPr>
            <w:r w:rsidRPr="00231B98">
              <w:t>$282.00</w:t>
            </w:r>
          </w:p>
        </w:tc>
      </w:tr>
      <w:tr w:rsidRPr="00231B98" w:rsidR="00E65753" w:rsidTr="00231B98" w14:paraId="32E38F9C" w14:textId="77777777">
        <w:trPr>
          <w:trHeight w:val="41"/>
          <w:jc w:val="center"/>
        </w:trPr>
        <w:tc>
          <w:tcPr>
            <w:tcW w:w="1520"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369370EF" w14:textId="01206C42">
            <w:pPr>
              <w:jc w:val="center"/>
            </w:pPr>
            <w:r w:rsidRPr="00231B98">
              <w:t>Joon Hun</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51604994" w14:textId="53E5BE06">
            <w:pPr>
              <w:jc w:val="center"/>
            </w:pPr>
            <w:r w:rsidRPr="00231B98">
              <w:t>Seong</w:t>
            </w:r>
          </w:p>
        </w:tc>
        <w:tc>
          <w:tcPr>
            <w:tcW w:w="2088"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75F39AEA" w14:textId="410BC44F">
            <w:pPr>
              <w:jc w:val="center"/>
            </w:pPr>
            <w:r w:rsidRPr="00231B98">
              <w:t>Expert</w:t>
            </w:r>
            <w:bookmarkStart w:name="_Ref189127936" w:id="4"/>
            <w:r w:rsidRPr="00231B98" w:rsidR="00C1454C">
              <w:rPr>
                <w:rStyle w:val="FootnoteReference"/>
              </w:rPr>
              <w:footnoteReference w:id="11"/>
            </w:r>
            <w:bookmarkEnd w:id="4"/>
          </w:p>
        </w:tc>
        <w:tc>
          <w:tcPr>
            <w:tcW w:w="1748"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1D8AEF48" w14:textId="3745F5B0">
            <w:pPr>
              <w:jc w:val="center"/>
            </w:pPr>
            <w:r w:rsidRPr="00231B98">
              <w:t>$330</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E65753" w:rsidRDefault="00E65753" w14:paraId="760A62C3" w14:textId="11EF2F17">
            <w:pPr>
              <w:jc w:val="center"/>
            </w:pPr>
            <w:r w:rsidRPr="00231B98">
              <w:t>2022</w:t>
            </w:r>
          </w:p>
        </w:tc>
        <w:tc>
          <w:tcPr>
            <w:tcW w:w="1634" w:type="dxa"/>
            <w:tcBorders>
              <w:top w:val="single" w:color="auto" w:sz="4" w:space="0"/>
              <w:left w:val="single" w:color="auto" w:sz="4" w:space="0"/>
              <w:bottom w:val="single" w:color="auto" w:sz="4" w:space="0"/>
              <w:right w:val="single" w:color="auto" w:sz="4" w:space="0"/>
            </w:tcBorders>
          </w:tcPr>
          <w:p w:rsidRPr="00231B98" w:rsidR="00E65753" w:rsidP="00E65753" w:rsidRDefault="00DE23B5" w14:paraId="077BC93B" w14:textId="3F3A1362">
            <w:pPr>
              <w:jc w:val="center"/>
            </w:pPr>
            <w:r w:rsidRPr="00231B98">
              <w:t>$225.00</w:t>
            </w:r>
          </w:p>
        </w:tc>
      </w:tr>
      <w:tr w:rsidRPr="00231B98" w:rsidR="00E65753" w:rsidTr="00231B98" w14:paraId="14BB91CE" w14:textId="77777777">
        <w:trPr>
          <w:trHeight w:val="41"/>
          <w:jc w:val="center"/>
        </w:trPr>
        <w:tc>
          <w:tcPr>
            <w:tcW w:w="1520" w:type="dxa"/>
            <w:tcBorders>
              <w:top w:val="single" w:color="auto" w:sz="4" w:space="0"/>
              <w:left w:val="single" w:color="auto" w:sz="4" w:space="0"/>
              <w:bottom w:val="single" w:color="auto" w:sz="4" w:space="0"/>
              <w:right w:val="single" w:color="auto" w:sz="4" w:space="0"/>
            </w:tcBorders>
          </w:tcPr>
          <w:p w:rsidRPr="00231B98" w:rsidR="00E65753" w:rsidP="00C1454C" w:rsidRDefault="00E65753" w14:paraId="2BAD936E" w14:textId="37797DEB">
            <w:pPr>
              <w:keepNext/>
              <w:jc w:val="center"/>
            </w:pPr>
            <w:r w:rsidRPr="00231B98">
              <w:t>Joon Hun</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C1454C" w:rsidRDefault="00E65753" w14:paraId="3CFDBBE7" w14:textId="4AE07D48">
            <w:pPr>
              <w:keepNext/>
              <w:jc w:val="center"/>
            </w:pPr>
            <w:r w:rsidRPr="00231B98">
              <w:t>Seong</w:t>
            </w:r>
          </w:p>
        </w:tc>
        <w:tc>
          <w:tcPr>
            <w:tcW w:w="2088" w:type="dxa"/>
            <w:tcBorders>
              <w:top w:val="single" w:color="auto" w:sz="4" w:space="0"/>
              <w:left w:val="single" w:color="auto" w:sz="4" w:space="0"/>
              <w:bottom w:val="single" w:color="auto" w:sz="4" w:space="0"/>
              <w:right w:val="single" w:color="auto" w:sz="4" w:space="0"/>
            </w:tcBorders>
          </w:tcPr>
          <w:p w:rsidRPr="00231B98" w:rsidR="00E65753" w:rsidP="00C1454C" w:rsidRDefault="00E65753" w14:paraId="6D1E57B2" w14:textId="0F6829E0">
            <w:pPr>
              <w:keepNext/>
              <w:jc w:val="center"/>
            </w:pPr>
            <w:r w:rsidRPr="00231B98">
              <w:t>Expert</w:t>
            </w:r>
            <w:r w:rsidRPr="00231B98" w:rsidR="00EE101C">
              <w:rPr>
                <w:vertAlign w:val="superscript"/>
              </w:rPr>
              <w:fldChar w:fldCharType="begin"/>
            </w:r>
            <w:r w:rsidRPr="00231B98" w:rsidR="00EE101C">
              <w:rPr>
                <w:vertAlign w:val="superscript"/>
              </w:rPr>
              <w:instrText xml:space="preserve"> NOTEREF _Ref189127936 \h  \* MERGEFORMAT </w:instrText>
            </w:r>
            <w:r w:rsidRPr="00231B98" w:rsidR="00EE101C">
              <w:rPr>
                <w:vertAlign w:val="superscript"/>
              </w:rPr>
            </w:r>
            <w:r w:rsidRPr="00231B98" w:rsidR="00EE101C">
              <w:rPr>
                <w:vertAlign w:val="superscript"/>
              </w:rPr>
              <w:fldChar w:fldCharType="separate"/>
            </w:r>
            <w:r w:rsidR="006375B9">
              <w:rPr>
                <w:vertAlign w:val="superscript"/>
              </w:rPr>
              <w:t>11</w:t>
            </w:r>
            <w:r w:rsidRPr="00231B98" w:rsidR="00EE101C">
              <w:rPr>
                <w:vertAlign w:val="superscript"/>
              </w:rPr>
              <w:fldChar w:fldCharType="end"/>
            </w:r>
          </w:p>
        </w:tc>
        <w:tc>
          <w:tcPr>
            <w:tcW w:w="1748" w:type="dxa"/>
            <w:tcBorders>
              <w:top w:val="single" w:color="auto" w:sz="4" w:space="0"/>
              <w:left w:val="single" w:color="auto" w:sz="4" w:space="0"/>
              <w:bottom w:val="single" w:color="auto" w:sz="4" w:space="0"/>
              <w:right w:val="single" w:color="auto" w:sz="4" w:space="0"/>
            </w:tcBorders>
          </w:tcPr>
          <w:p w:rsidRPr="00231B98" w:rsidR="00E65753" w:rsidP="00C1454C" w:rsidRDefault="00E65753" w14:paraId="40172C25" w14:textId="5843BB19">
            <w:pPr>
              <w:keepNext/>
              <w:jc w:val="center"/>
            </w:pPr>
            <w:r w:rsidRPr="00231B98">
              <w:t>$3</w:t>
            </w:r>
            <w:r w:rsidRPr="00231B98" w:rsidR="00EF430F">
              <w:t>47</w:t>
            </w:r>
          </w:p>
        </w:tc>
        <w:tc>
          <w:tcPr>
            <w:tcW w:w="1725" w:type="dxa"/>
            <w:tcBorders>
              <w:top w:val="single" w:color="auto" w:sz="4" w:space="0"/>
              <w:left w:val="single" w:color="auto" w:sz="4" w:space="0"/>
              <w:bottom w:val="single" w:color="auto" w:sz="4" w:space="0"/>
              <w:right w:val="single" w:color="auto" w:sz="4" w:space="0"/>
            </w:tcBorders>
          </w:tcPr>
          <w:p w:rsidRPr="00231B98" w:rsidR="00E65753" w:rsidP="00C1454C" w:rsidRDefault="00E65753" w14:paraId="5405513F" w14:textId="629CFC74">
            <w:pPr>
              <w:keepNext/>
              <w:jc w:val="center"/>
            </w:pPr>
            <w:r w:rsidRPr="00231B98">
              <w:t>2023</w:t>
            </w:r>
          </w:p>
        </w:tc>
        <w:tc>
          <w:tcPr>
            <w:tcW w:w="1634" w:type="dxa"/>
            <w:tcBorders>
              <w:top w:val="single" w:color="auto" w:sz="4" w:space="0"/>
              <w:left w:val="single" w:color="auto" w:sz="4" w:space="0"/>
              <w:bottom w:val="single" w:color="auto" w:sz="4" w:space="0"/>
              <w:right w:val="single" w:color="auto" w:sz="4" w:space="0"/>
            </w:tcBorders>
          </w:tcPr>
          <w:p w:rsidRPr="00231B98" w:rsidR="00E65753" w:rsidP="00C1454C" w:rsidRDefault="00DE23B5" w14:paraId="6B0AB480" w14:textId="0DFFD848">
            <w:pPr>
              <w:keepNext/>
              <w:jc w:val="center"/>
            </w:pPr>
            <w:r w:rsidRPr="00231B98">
              <w:t>$245.00</w:t>
            </w:r>
          </w:p>
        </w:tc>
      </w:tr>
    </w:tbl>
    <w:p w:rsidR="00490788" w:rsidP="00FE3BAE" w:rsidRDefault="00490788" w14:paraId="110816EA" w14:textId="77777777">
      <w:pPr>
        <w:jc w:val="center"/>
        <w:rPr>
          <w:b/>
        </w:rPr>
      </w:pPr>
    </w:p>
    <w:p w:rsidR="00231B98" w:rsidP="00FE3BAE" w:rsidRDefault="00231B98" w14:paraId="6D5CA243" w14:textId="77777777">
      <w:pPr>
        <w:jc w:val="center"/>
        <w:rPr>
          <w:b/>
        </w:rPr>
      </w:pPr>
    </w:p>
    <w:p w:rsidR="00231B98" w:rsidP="00FE3BAE" w:rsidRDefault="00231B98" w14:paraId="170DC17F" w14:textId="77777777">
      <w:pPr>
        <w:jc w:val="center"/>
        <w:rPr>
          <w:b/>
        </w:rPr>
      </w:pPr>
    </w:p>
    <w:p w:rsidRPr="00D10E2F" w:rsidR="00FE3BAE" w:rsidP="00FE3BAE" w:rsidRDefault="00FE3BAE" w14:paraId="53F54635" w14:textId="0C247301">
      <w:pPr>
        <w:jc w:val="center"/>
      </w:pPr>
      <w:r w:rsidRPr="00D10E2F">
        <w:rPr>
          <w:b/>
        </w:rPr>
        <w:t>(END OF APPENDIX)</w:t>
      </w:r>
    </w:p>
    <w:sectPr w:rsidRPr="00D10E2F" w:rsidR="00FE3BAE" w:rsidSect="00231B98">
      <w:footerReference w:type="default" r:id="rId11"/>
      <w:pgSz w:w="12240" w:h="15840"/>
      <w:pgMar w:top="1440" w:right="1440" w:bottom="1440" w:left="1440" w:header="720" w:footer="720" w:gutter="0"/>
      <w:pgNumType w:start="1"/>
      <w:cols w:space="720"/>
      <w:docGrid w:linePitch="360"/>
    </w:sectPr>
    <w:p>
      <w:r>
        <w:t xml:space="preserve"/>
      </w:r>
    </w:p>
    <w:p>
      <w:r>
        <w:t xml:space="preserve">Attachment 1: </w:t>
      </w:r>
    </w:p>
    <w:p>
      <w:hyperlink w:history="true" r:id="R0ce82f9f2d5a4ee2">
        <w:r w:rsidRPr="00CB1292">
          <w:rPr>
            <w:rStyle w:val="Hyperlink"/>
            <w:color w:val="2E74B5" w:themeColor="accent1" w:themeShade="BF"/>
            <w:u w:val="single"/>
          </w:rPr>
          <w:t>A2108013 et al PD redlined version</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FB1D" w14:textId="77777777" w:rsidR="00133EBA" w:rsidRDefault="00133EBA" w:rsidP="00885956">
      <w:r>
        <w:separator/>
      </w:r>
    </w:p>
  </w:endnote>
  <w:endnote w:type="continuationSeparator" w:id="0">
    <w:p w14:paraId="078EE9FB" w14:textId="77777777" w:rsidR="00133EBA" w:rsidRDefault="00133EBA"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75413"/>
      <w:docPartObj>
        <w:docPartGallery w:val="Page Numbers (Bottom of Page)"/>
        <w:docPartUnique/>
      </w:docPartObj>
    </w:sdtPr>
    <w:sdtEndPr>
      <w:rPr>
        <w:noProof/>
      </w:rPr>
    </w:sdtEndPr>
    <w:sdtContent>
      <w:p w14:paraId="135F9609" w14:textId="3185D7EC" w:rsidR="00D06721" w:rsidRDefault="00D06721" w:rsidP="00D06721">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692763"/>
      <w:docPartObj>
        <w:docPartGallery w:val="Page Numbers (Bottom of Page)"/>
        <w:docPartUnique/>
      </w:docPartObj>
    </w:sdtPr>
    <w:sdtEndPr>
      <w:rPr>
        <w:noProof/>
      </w:rPr>
    </w:sdtEndPr>
    <w:sdtContent>
      <w:p w14:paraId="66595DB5" w14:textId="6C17B211" w:rsidR="00D06721" w:rsidRDefault="008432BE" w:rsidP="00D06721">
        <w:pPr>
          <w:pStyle w:val="Footer"/>
        </w:pPr>
        <w:r w:rsidRPr="00570B89">
          <w:rPr>
            <w:sz w:val="16"/>
            <w:szCs w:val="16"/>
          </w:rPr>
          <w:t>591240443</w:t>
        </w:r>
        <w:r w:rsidR="00D06721">
          <w:tab/>
        </w:r>
        <w:r w:rsidR="00D06721">
          <w:fldChar w:fldCharType="begin"/>
        </w:r>
        <w:r w:rsidR="00D06721">
          <w:instrText xml:space="preserve"> PAGE   \* MERGEFORMAT </w:instrText>
        </w:r>
        <w:r w:rsidR="00D06721">
          <w:fldChar w:fldCharType="separate"/>
        </w:r>
        <w:r w:rsidR="00D06721">
          <w:rPr>
            <w:noProof/>
          </w:rPr>
          <w:t>- 1 -</w:t>
        </w:r>
        <w:r w:rsidR="00D06721">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170A82F5" w:rsidR="00435C30" w:rsidRDefault="00231B98" w:rsidP="00880855">
    <w:pPr>
      <w:pStyle w:val="Footer"/>
      <w:jc w:val="center"/>
    </w:pPr>
    <w:r>
      <w:t>A-</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D3FB" w14:textId="77777777" w:rsidR="00133EBA" w:rsidRDefault="00133EBA" w:rsidP="00885956">
      <w:r>
        <w:separator/>
      </w:r>
    </w:p>
  </w:footnote>
  <w:footnote w:type="continuationSeparator" w:id="0">
    <w:p w14:paraId="25451F4B" w14:textId="77777777" w:rsidR="00133EBA" w:rsidRDefault="00133EBA" w:rsidP="00885956">
      <w:r>
        <w:continuationSeparator/>
      </w:r>
    </w:p>
  </w:footnote>
  <w:footnote w:id="1">
    <w:p w14:paraId="7CAF0DDD" w14:textId="77777777" w:rsidR="003B6A1B" w:rsidRPr="00D10E2F" w:rsidRDefault="003B6A1B" w:rsidP="00D10E2F">
      <w:pPr>
        <w:pStyle w:val="FootnoteText"/>
        <w:rPr>
          <w:szCs w:val="22"/>
        </w:rPr>
      </w:pPr>
      <w:r w:rsidRPr="00D10E2F">
        <w:rPr>
          <w:rStyle w:val="FootnoteReference"/>
          <w:szCs w:val="22"/>
        </w:rPr>
        <w:footnoteRef/>
      </w:r>
      <w:r w:rsidRPr="00D10E2F">
        <w:rPr>
          <w:szCs w:val="22"/>
        </w:rPr>
        <w:t xml:space="preserve"> All statutory references are to California Public Utilities Code unless indicated otherwise.</w:t>
      </w:r>
    </w:p>
  </w:footnote>
  <w:footnote w:id="2">
    <w:p w14:paraId="30CF1D31" w14:textId="77777777" w:rsidR="008524EA" w:rsidRPr="00D10E2F" w:rsidRDefault="008524EA" w:rsidP="00D10E2F">
      <w:pPr>
        <w:pStyle w:val="FootnoteText"/>
        <w:rPr>
          <w:szCs w:val="22"/>
        </w:rPr>
      </w:pPr>
      <w:r w:rsidRPr="00D10E2F">
        <w:rPr>
          <w:rStyle w:val="FootnoteReference"/>
          <w:szCs w:val="22"/>
        </w:rPr>
        <w:footnoteRef/>
      </w:r>
      <w:r w:rsidRPr="00D10E2F">
        <w:rPr>
          <w:szCs w:val="22"/>
        </w:rPr>
        <w:t xml:space="preserve"> All rule references are to California Code of Regulations Title 20, Division 1, Chapter 1 unless indicated otherwise.</w:t>
      </w:r>
    </w:p>
  </w:footnote>
  <w:footnote w:id="3">
    <w:p w14:paraId="462213BB" w14:textId="6D515695" w:rsidR="009239C8" w:rsidRPr="00D10E2F" w:rsidRDefault="009239C8" w:rsidP="00D10E2F">
      <w:pPr>
        <w:pStyle w:val="FootnoteText"/>
        <w:rPr>
          <w:szCs w:val="22"/>
        </w:rPr>
      </w:pPr>
      <w:r w:rsidRPr="00D10E2F">
        <w:rPr>
          <w:rStyle w:val="FootnoteReference"/>
          <w:szCs w:val="22"/>
        </w:rPr>
        <w:footnoteRef/>
      </w:r>
      <w:r w:rsidRPr="00D10E2F">
        <w:rPr>
          <w:szCs w:val="22"/>
        </w:rPr>
        <w:t xml:space="preserve"> </w:t>
      </w:r>
      <w:r w:rsidR="005D511C" w:rsidRPr="00D10E2F">
        <w:rPr>
          <w:szCs w:val="22"/>
        </w:rPr>
        <w:t xml:space="preserve">EDF’s March 7, 2025 </w:t>
      </w:r>
      <w:r w:rsidR="00CE011C">
        <w:rPr>
          <w:szCs w:val="22"/>
        </w:rPr>
        <w:t>s</w:t>
      </w:r>
      <w:r w:rsidR="005D511C" w:rsidRPr="00D10E2F">
        <w:rPr>
          <w:szCs w:val="22"/>
        </w:rPr>
        <w:t>upplement to this request for compensation contained five timesheet entries where the allocation of hours by issue did not match the total hours. This resulted in 309.63 hours instead of 310.00 hours allocated to Issue 1 and 79.23 hours instead of 79.00 hours allocated to Issue 2.</w:t>
      </w:r>
    </w:p>
  </w:footnote>
  <w:footnote w:id="4">
    <w:p w14:paraId="2A44723A" w14:textId="61DE3F2E" w:rsidR="000B5BE8" w:rsidRPr="00D10E2F" w:rsidRDefault="000B5BE8" w:rsidP="00D10E2F">
      <w:pPr>
        <w:pStyle w:val="FootnoteText"/>
        <w:rPr>
          <w:szCs w:val="22"/>
        </w:rPr>
      </w:pPr>
      <w:r w:rsidRPr="00D10E2F">
        <w:rPr>
          <w:rStyle w:val="FootnoteReference"/>
          <w:szCs w:val="22"/>
        </w:rPr>
        <w:footnoteRef/>
      </w:r>
      <w:r w:rsidRPr="00D10E2F">
        <w:rPr>
          <w:szCs w:val="22"/>
        </w:rPr>
        <w:t xml:space="preserve"> This information may be </w:t>
      </w:r>
      <w:r w:rsidRPr="00D10E2F">
        <w:rPr>
          <w:color w:val="000000"/>
          <w:szCs w:val="22"/>
        </w:rPr>
        <w:t xml:space="preserve">obtained through the State Bar of California’s website at </w:t>
      </w:r>
      <w:hyperlink r:id="rId1" w:history="1">
        <w:r w:rsidRPr="00D10E2F">
          <w:rPr>
            <w:rStyle w:val="Hyperlink"/>
            <w:szCs w:val="22"/>
          </w:rPr>
          <w:t>http://members.calbar.ca.gov/fal/MemberSearch/QuickSearch</w:t>
        </w:r>
      </w:hyperlink>
      <w:r w:rsidRPr="00D10E2F">
        <w:rPr>
          <w:color w:val="000000"/>
          <w:szCs w:val="22"/>
        </w:rPr>
        <w:t>.</w:t>
      </w:r>
    </w:p>
  </w:footnote>
  <w:footnote w:id="5">
    <w:p w14:paraId="431EF151" w14:textId="05C85E42" w:rsidR="00273171" w:rsidRPr="00D10E2F" w:rsidRDefault="00273171" w:rsidP="00D10E2F">
      <w:pPr>
        <w:pStyle w:val="FootnoteText"/>
        <w:rPr>
          <w:szCs w:val="22"/>
        </w:rPr>
      </w:pPr>
      <w:r w:rsidRPr="00D10E2F">
        <w:rPr>
          <w:rStyle w:val="FootnoteReference"/>
          <w:szCs w:val="22"/>
        </w:rPr>
        <w:footnoteRef/>
      </w:r>
      <w:r w:rsidRPr="00D10E2F">
        <w:rPr>
          <w:szCs w:val="22"/>
        </w:rPr>
        <w:t xml:space="preserve"> Attachments not included in final Decision.</w:t>
      </w:r>
    </w:p>
  </w:footnote>
  <w:footnote w:id="6">
    <w:p w14:paraId="31C0B6A8" w14:textId="7A9FB2BB" w:rsidR="007D01CD" w:rsidRPr="00D10E2F" w:rsidRDefault="007D01CD" w:rsidP="00D10E2F">
      <w:pPr>
        <w:pStyle w:val="FootnoteText"/>
        <w:rPr>
          <w:szCs w:val="22"/>
        </w:rPr>
      </w:pPr>
      <w:r w:rsidRPr="00D10E2F">
        <w:rPr>
          <w:rStyle w:val="FootnoteReference"/>
          <w:szCs w:val="22"/>
        </w:rPr>
        <w:footnoteRef/>
      </w:r>
      <w:r w:rsidRPr="00D10E2F">
        <w:rPr>
          <w:szCs w:val="22"/>
        </w:rPr>
        <w:t xml:space="preserve"> </w:t>
      </w:r>
      <w:r w:rsidRPr="00D10E2F">
        <w:rPr>
          <w:i/>
          <w:iCs/>
          <w:szCs w:val="22"/>
        </w:rPr>
        <w:t>Ante</w:t>
      </w:r>
      <w:r w:rsidRPr="00D10E2F">
        <w:rPr>
          <w:szCs w:val="22"/>
        </w:rPr>
        <w:t>, fn. 3.</w:t>
      </w:r>
    </w:p>
  </w:footnote>
  <w:footnote w:id="7">
    <w:p w14:paraId="3F7BE60A" w14:textId="26FADB11" w:rsidR="006D0FE6" w:rsidRPr="00D10E2F" w:rsidRDefault="006D0FE6" w:rsidP="00D10E2F">
      <w:pPr>
        <w:pStyle w:val="FootnoteText"/>
        <w:rPr>
          <w:szCs w:val="22"/>
        </w:rPr>
      </w:pPr>
      <w:r w:rsidRPr="00D10E2F">
        <w:rPr>
          <w:rStyle w:val="FootnoteReference"/>
          <w:szCs w:val="22"/>
        </w:rPr>
        <w:footnoteRef/>
      </w:r>
      <w:r w:rsidRPr="00D10E2F">
        <w:rPr>
          <w:szCs w:val="22"/>
        </w:rPr>
        <w:t xml:space="preserve"> </w:t>
      </w:r>
      <w:r w:rsidR="00357897" w:rsidRPr="00D10E2F">
        <w:rPr>
          <w:szCs w:val="22"/>
        </w:rPr>
        <w:t xml:space="preserve">D.22-11-018 </w:t>
      </w:r>
      <w:r w:rsidR="00C729E9" w:rsidRPr="00D10E2F">
        <w:rPr>
          <w:szCs w:val="22"/>
        </w:rPr>
        <w:t>a</w:t>
      </w:r>
      <w:r w:rsidR="00357897" w:rsidRPr="00D10E2F">
        <w:rPr>
          <w:szCs w:val="22"/>
        </w:rPr>
        <w:t xml:space="preserve">t 16, </w:t>
      </w:r>
      <w:proofErr w:type="spellStart"/>
      <w:r w:rsidR="00226CA8" w:rsidRPr="00D10E2F">
        <w:rPr>
          <w:szCs w:val="22"/>
        </w:rPr>
        <w:t>fn</w:t>
      </w:r>
      <w:proofErr w:type="spellEnd"/>
      <w:r w:rsidR="00357897" w:rsidRPr="00D10E2F">
        <w:rPr>
          <w:szCs w:val="22"/>
        </w:rPr>
        <w:t xml:space="preserve"> </w:t>
      </w:r>
      <w:r w:rsidR="006E49C1" w:rsidRPr="00D10E2F">
        <w:rPr>
          <w:szCs w:val="22"/>
        </w:rPr>
        <w:t>65 (</w:t>
      </w:r>
      <w:r w:rsidR="00E87622" w:rsidRPr="00D10E2F">
        <w:rPr>
          <w:szCs w:val="22"/>
        </w:rPr>
        <w:t xml:space="preserve">EDF Opening Brief cited along with work by Cal Advocates </w:t>
      </w:r>
      <w:r w:rsidR="00555D41" w:rsidRPr="00D10E2F">
        <w:rPr>
          <w:szCs w:val="22"/>
        </w:rPr>
        <w:t>(</w:t>
      </w:r>
      <w:r w:rsidR="00E87622" w:rsidRPr="00D10E2F">
        <w:rPr>
          <w:szCs w:val="22"/>
        </w:rPr>
        <w:t>CA</w:t>
      </w:r>
      <w:r w:rsidR="00555D41" w:rsidRPr="00D10E2F">
        <w:rPr>
          <w:szCs w:val="22"/>
        </w:rPr>
        <w:t>)</w:t>
      </w:r>
      <w:r w:rsidR="00E87622" w:rsidRPr="00D10E2F">
        <w:rPr>
          <w:szCs w:val="22"/>
        </w:rPr>
        <w:t xml:space="preserve">, Wild Tree Foundation </w:t>
      </w:r>
      <w:r w:rsidR="00555D41" w:rsidRPr="00D10E2F">
        <w:rPr>
          <w:szCs w:val="22"/>
        </w:rPr>
        <w:t>(</w:t>
      </w:r>
      <w:r w:rsidR="00E87622" w:rsidRPr="00D10E2F">
        <w:rPr>
          <w:szCs w:val="22"/>
        </w:rPr>
        <w:t>WT</w:t>
      </w:r>
      <w:r w:rsidR="00555D41" w:rsidRPr="00D10E2F">
        <w:rPr>
          <w:szCs w:val="22"/>
        </w:rPr>
        <w:t>)</w:t>
      </w:r>
      <w:r w:rsidR="00E91049" w:rsidRPr="00D10E2F">
        <w:rPr>
          <w:szCs w:val="22"/>
        </w:rPr>
        <w:t>. and</w:t>
      </w:r>
      <w:r w:rsidR="003358DD" w:rsidRPr="00D10E2F">
        <w:rPr>
          <w:szCs w:val="22"/>
        </w:rPr>
        <w:t xml:space="preserve"> Energy Producers and Users Coalition and the Indicated Shippers</w:t>
      </w:r>
      <w:r w:rsidR="00E91049" w:rsidRPr="00D10E2F">
        <w:rPr>
          <w:szCs w:val="22"/>
        </w:rPr>
        <w:t xml:space="preserve"> </w:t>
      </w:r>
      <w:r w:rsidR="00555D41" w:rsidRPr="00D10E2F">
        <w:rPr>
          <w:szCs w:val="22"/>
        </w:rPr>
        <w:t>(</w:t>
      </w:r>
      <w:r w:rsidR="00E91049" w:rsidRPr="00D10E2F">
        <w:rPr>
          <w:szCs w:val="22"/>
        </w:rPr>
        <w:t>EPUC/</w:t>
      </w:r>
      <w:r w:rsidR="003358DD" w:rsidRPr="00D10E2F">
        <w:rPr>
          <w:szCs w:val="22"/>
        </w:rPr>
        <w:t>IS</w:t>
      </w:r>
      <w:r w:rsidR="00555D41" w:rsidRPr="00D10E2F">
        <w:rPr>
          <w:szCs w:val="22"/>
        </w:rPr>
        <w:t>)</w:t>
      </w:r>
      <w:r w:rsidR="00E91049" w:rsidRPr="00D10E2F">
        <w:rPr>
          <w:szCs w:val="22"/>
        </w:rPr>
        <w:t>)</w:t>
      </w:r>
      <w:r w:rsidR="005E77DF" w:rsidRPr="00D10E2F">
        <w:rPr>
          <w:szCs w:val="22"/>
        </w:rPr>
        <w:t>;</w:t>
      </w:r>
      <w:r w:rsidR="003358DD" w:rsidRPr="00D10E2F">
        <w:rPr>
          <w:szCs w:val="22"/>
        </w:rPr>
        <w:t xml:space="preserve"> </w:t>
      </w:r>
      <w:r w:rsidR="003358DD" w:rsidRPr="00D10E2F">
        <w:rPr>
          <w:i/>
          <w:iCs/>
          <w:szCs w:val="22"/>
        </w:rPr>
        <w:t>Id.</w:t>
      </w:r>
      <w:r w:rsidR="003358DD" w:rsidRPr="00D10E2F">
        <w:rPr>
          <w:szCs w:val="22"/>
        </w:rPr>
        <w:t xml:space="preserve"> at 18, </w:t>
      </w:r>
      <w:proofErr w:type="spellStart"/>
      <w:r w:rsidR="00226CA8" w:rsidRPr="00D10E2F">
        <w:rPr>
          <w:szCs w:val="22"/>
        </w:rPr>
        <w:t>fn</w:t>
      </w:r>
      <w:proofErr w:type="spellEnd"/>
      <w:r w:rsidR="00C5572D" w:rsidRPr="00D10E2F">
        <w:rPr>
          <w:szCs w:val="22"/>
        </w:rPr>
        <w:t xml:space="preserve"> 78 (Exhibit EDF-01</w:t>
      </w:r>
      <w:r w:rsidR="00555D41" w:rsidRPr="00D10E2F">
        <w:rPr>
          <w:szCs w:val="22"/>
        </w:rPr>
        <w:t xml:space="preserve"> cited along with work from Utility Consumers’ Action Network (UCAN))</w:t>
      </w:r>
      <w:r w:rsidR="005E77DF" w:rsidRPr="00D10E2F">
        <w:rPr>
          <w:szCs w:val="22"/>
        </w:rPr>
        <w:t>;</w:t>
      </w:r>
      <w:r w:rsidR="00555D41" w:rsidRPr="00D10E2F">
        <w:rPr>
          <w:szCs w:val="22"/>
        </w:rPr>
        <w:t xml:space="preserve"> </w:t>
      </w:r>
      <w:r w:rsidR="005E77DF" w:rsidRPr="00D10E2F">
        <w:rPr>
          <w:i/>
          <w:iCs/>
          <w:szCs w:val="22"/>
        </w:rPr>
        <w:t>Id.</w:t>
      </w:r>
      <w:r w:rsidR="005E77DF" w:rsidRPr="00D10E2F">
        <w:rPr>
          <w:szCs w:val="22"/>
        </w:rPr>
        <w:t xml:space="preserve"> at 27</w:t>
      </w:r>
      <w:r w:rsidR="00F922FE" w:rsidRPr="00D10E2F">
        <w:rPr>
          <w:szCs w:val="22"/>
        </w:rPr>
        <w:t xml:space="preserve">, </w:t>
      </w:r>
      <w:proofErr w:type="spellStart"/>
      <w:r w:rsidR="00226CA8" w:rsidRPr="00D10E2F">
        <w:rPr>
          <w:szCs w:val="22"/>
        </w:rPr>
        <w:t>fn</w:t>
      </w:r>
      <w:proofErr w:type="spellEnd"/>
      <w:r w:rsidR="00F922FE" w:rsidRPr="00D10E2F">
        <w:rPr>
          <w:szCs w:val="22"/>
        </w:rPr>
        <w:t xml:space="preserve"> 109 (Exhibit EDF-01 cited along with work from </w:t>
      </w:r>
      <w:r w:rsidR="00846CE4" w:rsidRPr="00D10E2F">
        <w:rPr>
          <w:szCs w:val="22"/>
        </w:rPr>
        <w:t xml:space="preserve">The Utility Reform Network (TURN), </w:t>
      </w:r>
      <w:r w:rsidR="00532E50" w:rsidRPr="00D10E2F">
        <w:rPr>
          <w:szCs w:val="22"/>
        </w:rPr>
        <w:t>t</w:t>
      </w:r>
      <w:r w:rsidR="00846CE4" w:rsidRPr="00D10E2F">
        <w:rPr>
          <w:szCs w:val="22"/>
        </w:rPr>
        <w:t>he Protect Our Communities Foundation (PCF)</w:t>
      </w:r>
      <w:r w:rsidR="00532E50" w:rsidRPr="00D10E2F">
        <w:rPr>
          <w:szCs w:val="22"/>
        </w:rPr>
        <w:t>, and EPUC/IS);</w:t>
      </w:r>
      <w:r w:rsidR="00311B2D" w:rsidRPr="00D10E2F">
        <w:rPr>
          <w:szCs w:val="22"/>
        </w:rPr>
        <w:t xml:space="preserve"> </w:t>
      </w:r>
      <w:r w:rsidR="00311B2D" w:rsidRPr="00D10E2F">
        <w:rPr>
          <w:i/>
          <w:iCs/>
          <w:szCs w:val="22"/>
        </w:rPr>
        <w:t>Id.</w:t>
      </w:r>
      <w:r w:rsidR="00311B2D" w:rsidRPr="00D10E2F">
        <w:rPr>
          <w:szCs w:val="22"/>
        </w:rPr>
        <w:t xml:space="preserve"> at 28, </w:t>
      </w:r>
      <w:proofErr w:type="spellStart"/>
      <w:r w:rsidR="00311B2D" w:rsidRPr="00D10E2F">
        <w:rPr>
          <w:szCs w:val="22"/>
        </w:rPr>
        <w:t>fn</w:t>
      </w:r>
      <w:proofErr w:type="spellEnd"/>
      <w:r w:rsidR="00311B2D" w:rsidRPr="00D10E2F">
        <w:rPr>
          <w:szCs w:val="22"/>
        </w:rPr>
        <w:t xml:space="preserve"> </w:t>
      </w:r>
      <w:r w:rsidR="0011076D" w:rsidRPr="00D10E2F">
        <w:rPr>
          <w:szCs w:val="22"/>
        </w:rPr>
        <w:t xml:space="preserve">117 (EDF Opening Brief cited along with </w:t>
      </w:r>
      <w:r w:rsidR="00935681" w:rsidRPr="00D10E2F">
        <w:rPr>
          <w:szCs w:val="22"/>
        </w:rPr>
        <w:t xml:space="preserve">work by CA, WT, and EPUC/IS); </w:t>
      </w:r>
      <w:r w:rsidR="00935681" w:rsidRPr="00D10E2F">
        <w:rPr>
          <w:i/>
          <w:iCs/>
          <w:szCs w:val="22"/>
        </w:rPr>
        <w:t>Id.</w:t>
      </w:r>
      <w:r w:rsidR="00935681" w:rsidRPr="00D10E2F">
        <w:rPr>
          <w:szCs w:val="22"/>
        </w:rPr>
        <w:t xml:space="preserve"> at 29, </w:t>
      </w:r>
      <w:proofErr w:type="spellStart"/>
      <w:r w:rsidR="00935681" w:rsidRPr="00D10E2F">
        <w:rPr>
          <w:szCs w:val="22"/>
        </w:rPr>
        <w:t>fn</w:t>
      </w:r>
      <w:proofErr w:type="spellEnd"/>
      <w:r w:rsidR="00935681" w:rsidRPr="00D10E2F">
        <w:rPr>
          <w:szCs w:val="22"/>
        </w:rPr>
        <w:t xml:space="preserve"> 118 (</w:t>
      </w:r>
      <w:r w:rsidR="007B3412" w:rsidRPr="00D10E2F">
        <w:rPr>
          <w:szCs w:val="22"/>
        </w:rPr>
        <w:t xml:space="preserve">EDF Opening Brief cited along with work by TURN); </w:t>
      </w:r>
      <w:r w:rsidR="00A778AE" w:rsidRPr="00D10E2F">
        <w:rPr>
          <w:szCs w:val="22"/>
        </w:rPr>
        <w:t xml:space="preserve">and </w:t>
      </w:r>
      <w:r w:rsidR="007B3412" w:rsidRPr="00D10E2F">
        <w:rPr>
          <w:i/>
          <w:iCs/>
          <w:szCs w:val="22"/>
        </w:rPr>
        <w:t>Id.</w:t>
      </w:r>
      <w:r w:rsidR="007B3412" w:rsidRPr="00D10E2F">
        <w:rPr>
          <w:szCs w:val="22"/>
        </w:rPr>
        <w:t xml:space="preserve"> at 29, </w:t>
      </w:r>
      <w:proofErr w:type="spellStart"/>
      <w:r w:rsidR="007B3412" w:rsidRPr="00D10E2F">
        <w:rPr>
          <w:szCs w:val="22"/>
        </w:rPr>
        <w:t>fn</w:t>
      </w:r>
      <w:proofErr w:type="spellEnd"/>
      <w:r w:rsidR="007B3412" w:rsidRPr="00D10E2F">
        <w:rPr>
          <w:szCs w:val="22"/>
        </w:rPr>
        <w:t xml:space="preserve"> 120 (EDF Opening Brief </w:t>
      </w:r>
      <w:r w:rsidR="00905AEA" w:rsidRPr="00D10E2F">
        <w:rPr>
          <w:szCs w:val="22"/>
        </w:rPr>
        <w:t>cited along with work by TURN and WT).</w:t>
      </w:r>
    </w:p>
  </w:footnote>
  <w:footnote w:id="8">
    <w:p w14:paraId="0BBB316F" w14:textId="2FEA34A6" w:rsidR="00C1454C" w:rsidRPr="00D10E2F" w:rsidRDefault="00C1454C" w:rsidP="00D10E2F">
      <w:pPr>
        <w:pStyle w:val="FootnoteText"/>
        <w:rPr>
          <w:szCs w:val="22"/>
        </w:rPr>
      </w:pPr>
      <w:r w:rsidRPr="00D10E2F">
        <w:rPr>
          <w:rStyle w:val="FootnoteReference"/>
          <w:szCs w:val="22"/>
        </w:rPr>
        <w:footnoteRef/>
      </w:r>
      <w:r w:rsidRPr="00D10E2F">
        <w:rPr>
          <w:szCs w:val="22"/>
        </w:rPr>
        <w:t xml:space="preserve"> </w:t>
      </w:r>
      <w:r w:rsidR="000A64DB" w:rsidRPr="00D10E2F">
        <w:rPr>
          <w:szCs w:val="22"/>
        </w:rPr>
        <w:t xml:space="preserve">Kelly is a </w:t>
      </w:r>
      <w:r w:rsidR="006E56D7" w:rsidRPr="00D10E2F">
        <w:rPr>
          <w:szCs w:val="22"/>
        </w:rPr>
        <w:t>c</w:t>
      </w:r>
      <w:r w:rsidR="000A64DB" w:rsidRPr="00D10E2F">
        <w:rPr>
          <w:szCs w:val="22"/>
        </w:rPr>
        <w:t>onsultant as discussed in Part III.D, Item [1]</w:t>
      </w:r>
      <w:r w:rsidR="006E56D7" w:rsidRPr="00D10E2F">
        <w:rPr>
          <w:szCs w:val="22"/>
        </w:rPr>
        <w:t>.</w:t>
      </w:r>
    </w:p>
  </w:footnote>
  <w:footnote w:id="9">
    <w:p w14:paraId="0664D442" w14:textId="6F19ACA8" w:rsidR="00C1454C" w:rsidRPr="00D10E2F" w:rsidRDefault="00C1454C" w:rsidP="00D10E2F">
      <w:pPr>
        <w:pStyle w:val="FootnoteText"/>
        <w:rPr>
          <w:szCs w:val="22"/>
        </w:rPr>
      </w:pPr>
      <w:r w:rsidRPr="00D10E2F">
        <w:rPr>
          <w:rStyle w:val="FootnoteReference"/>
          <w:szCs w:val="22"/>
        </w:rPr>
        <w:footnoteRef/>
      </w:r>
      <w:r w:rsidRPr="00D10E2F">
        <w:rPr>
          <w:szCs w:val="22"/>
        </w:rPr>
        <w:t xml:space="preserve"> </w:t>
      </w:r>
      <w:r w:rsidR="000A64DB" w:rsidRPr="00D10E2F">
        <w:rPr>
          <w:szCs w:val="22"/>
        </w:rPr>
        <w:t>Colvin is classified as a</w:t>
      </w:r>
      <w:r w:rsidR="00D52305" w:rsidRPr="00D10E2F">
        <w:rPr>
          <w:szCs w:val="22"/>
        </w:rPr>
        <w:t>n Expert – Public Policy Analyst – Level IV for 2021 and 2022.</w:t>
      </w:r>
    </w:p>
  </w:footnote>
  <w:footnote w:id="10">
    <w:p w14:paraId="5D64E1B2" w14:textId="3D64124D" w:rsidR="00C1454C" w:rsidRPr="00D10E2F" w:rsidRDefault="00C1454C" w:rsidP="00D10E2F">
      <w:pPr>
        <w:pStyle w:val="FootnoteText"/>
        <w:rPr>
          <w:szCs w:val="22"/>
        </w:rPr>
      </w:pPr>
      <w:r w:rsidRPr="00D10E2F">
        <w:rPr>
          <w:rStyle w:val="FootnoteReference"/>
          <w:szCs w:val="22"/>
        </w:rPr>
        <w:footnoteRef/>
      </w:r>
      <w:r w:rsidRPr="00D10E2F">
        <w:rPr>
          <w:szCs w:val="22"/>
        </w:rPr>
        <w:t xml:space="preserve"> </w:t>
      </w:r>
      <w:r w:rsidR="006E56D7" w:rsidRPr="00D10E2F">
        <w:rPr>
          <w:szCs w:val="22"/>
        </w:rPr>
        <w:t>McCann is a consultant as discussed in Part III.D, Item [3].</w:t>
      </w:r>
    </w:p>
  </w:footnote>
  <w:footnote w:id="11">
    <w:p w14:paraId="7B76D983" w14:textId="3DB0B7D1" w:rsidR="00C1454C" w:rsidRPr="00D10E2F" w:rsidRDefault="00C1454C" w:rsidP="00D10E2F">
      <w:pPr>
        <w:pStyle w:val="FootnoteText"/>
        <w:rPr>
          <w:szCs w:val="22"/>
        </w:rPr>
      </w:pPr>
      <w:r w:rsidRPr="00D10E2F">
        <w:rPr>
          <w:rStyle w:val="FootnoteReference"/>
          <w:szCs w:val="22"/>
        </w:rPr>
        <w:footnoteRef/>
      </w:r>
      <w:r w:rsidRPr="00D10E2F">
        <w:rPr>
          <w:szCs w:val="22"/>
        </w:rPr>
        <w:t xml:space="preserve"> </w:t>
      </w:r>
      <w:r w:rsidR="006E56D7" w:rsidRPr="00D10E2F">
        <w:rPr>
          <w:szCs w:val="22"/>
        </w:rPr>
        <w:t xml:space="preserve">Seong is classified as an Expert </w:t>
      </w:r>
      <w:r w:rsidR="00686089" w:rsidRPr="00D10E2F">
        <w:rPr>
          <w:szCs w:val="22"/>
        </w:rPr>
        <w:t>– Public Policy Analyst – Level II for 2022 and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5513" w14:textId="4819D243" w:rsidR="00D06721" w:rsidRDefault="00D06721" w:rsidP="00D06721">
    <w:pPr>
      <w:pStyle w:val="Header"/>
      <w:tabs>
        <w:tab w:val="clear" w:pos="4680"/>
      </w:tabs>
      <w:rPr>
        <w:iCs/>
      </w:rPr>
    </w:pPr>
    <w:r>
      <w:rPr>
        <w:iCs/>
      </w:rPr>
      <w:t>A.21-08-013, et al.  ALJ/ZZ1/jnf</w:t>
    </w:r>
    <w:r>
      <w:rPr>
        <w:iCs/>
      </w:rPr>
      <w:tab/>
      <w:t>PROPOSED DECISION</w:t>
    </w:r>
    <w:r w:rsidR="008E0B83">
      <w:rPr>
        <w:iCs/>
      </w:rPr>
      <w:t xml:space="preserve"> (Rev.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3819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BB092B"/>
    <w:multiLevelType w:val="hybridMultilevel"/>
    <w:tmpl w:val="B770F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C2FF6"/>
    <w:multiLevelType w:val="hybridMultilevel"/>
    <w:tmpl w:val="9AAE8CF6"/>
    <w:lvl w:ilvl="0" w:tplc="143467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71E53"/>
    <w:multiLevelType w:val="hybridMultilevel"/>
    <w:tmpl w:val="BB7656C8"/>
    <w:lvl w:ilvl="0" w:tplc="BCCC60AC">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696538"/>
    <w:multiLevelType w:val="multilevel"/>
    <w:tmpl w:val="D9120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5A09EA"/>
    <w:multiLevelType w:val="hybridMultilevel"/>
    <w:tmpl w:val="6FC0A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1B4325"/>
    <w:multiLevelType w:val="multilevel"/>
    <w:tmpl w:val="36085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48521E"/>
    <w:multiLevelType w:val="hybridMultilevel"/>
    <w:tmpl w:val="3418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93D14"/>
    <w:multiLevelType w:val="hybridMultilevel"/>
    <w:tmpl w:val="BFCEB606"/>
    <w:lvl w:ilvl="0" w:tplc="88BC0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C7F3C"/>
    <w:multiLevelType w:val="hybridMultilevel"/>
    <w:tmpl w:val="2E4A56D4"/>
    <w:lvl w:ilvl="0" w:tplc="40520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F49B7"/>
    <w:multiLevelType w:val="hybridMultilevel"/>
    <w:tmpl w:val="8B7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472BC"/>
    <w:multiLevelType w:val="hybridMultilevel"/>
    <w:tmpl w:val="E8825F30"/>
    <w:lvl w:ilvl="0" w:tplc="08E0CC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955C6"/>
    <w:multiLevelType w:val="hybridMultilevel"/>
    <w:tmpl w:val="877AFC3A"/>
    <w:lvl w:ilvl="0" w:tplc="C82235C6">
      <w:start w:val="1"/>
      <w:numFmt w:val="bullet"/>
      <w:lvlText w:val=""/>
      <w:lvlJc w:val="left"/>
      <w:pPr>
        <w:ind w:left="1080" w:hanging="360"/>
      </w:pPr>
      <w:rPr>
        <w:rFonts w:ascii="Symbol" w:hAnsi="Symbol"/>
      </w:rPr>
    </w:lvl>
    <w:lvl w:ilvl="1" w:tplc="5BC60F48">
      <w:start w:val="1"/>
      <w:numFmt w:val="bullet"/>
      <w:lvlText w:val=""/>
      <w:lvlJc w:val="left"/>
      <w:pPr>
        <w:ind w:left="1080" w:hanging="360"/>
      </w:pPr>
      <w:rPr>
        <w:rFonts w:ascii="Symbol" w:hAnsi="Symbol"/>
      </w:rPr>
    </w:lvl>
    <w:lvl w:ilvl="2" w:tplc="B88EA268">
      <w:start w:val="1"/>
      <w:numFmt w:val="bullet"/>
      <w:lvlText w:val=""/>
      <w:lvlJc w:val="left"/>
      <w:pPr>
        <w:ind w:left="1080" w:hanging="360"/>
      </w:pPr>
      <w:rPr>
        <w:rFonts w:ascii="Symbol" w:hAnsi="Symbol"/>
      </w:rPr>
    </w:lvl>
    <w:lvl w:ilvl="3" w:tplc="ED7EA240">
      <w:start w:val="1"/>
      <w:numFmt w:val="bullet"/>
      <w:lvlText w:val=""/>
      <w:lvlJc w:val="left"/>
      <w:pPr>
        <w:ind w:left="1080" w:hanging="360"/>
      </w:pPr>
      <w:rPr>
        <w:rFonts w:ascii="Symbol" w:hAnsi="Symbol"/>
      </w:rPr>
    </w:lvl>
    <w:lvl w:ilvl="4" w:tplc="F152975E">
      <w:start w:val="1"/>
      <w:numFmt w:val="bullet"/>
      <w:lvlText w:val=""/>
      <w:lvlJc w:val="left"/>
      <w:pPr>
        <w:ind w:left="1080" w:hanging="360"/>
      </w:pPr>
      <w:rPr>
        <w:rFonts w:ascii="Symbol" w:hAnsi="Symbol"/>
      </w:rPr>
    </w:lvl>
    <w:lvl w:ilvl="5" w:tplc="62A247B6">
      <w:start w:val="1"/>
      <w:numFmt w:val="bullet"/>
      <w:lvlText w:val=""/>
      <w:lvlJc w:val="left"/>
      <w:pPr>
        <w:ind w:left="1080" w:hanging="360"/>
      </w:pPr>
      <w:rPr>
        <w:rFonts w:ascii="Symbol" w:hAnsi="Symbol"/>
      </w:rPr>
    </w:lvl>
    <w:lvl w:ilvl="6" w:tplc="7EE20450">
      <w:start w:val="1"/>
      <w:numFmt w:val="bullet"/>
      <w:lvlText w:val=""/>
      <w:lvlJc w:val="left"/>
      <w:pPr>
        <w:ind w:left="1080" w:hanging="360"/>
      </w:pPr>
      <w:rPr>
        <w:rFonts w:ascii="Symbol" w:hAnsi="Symbol"/>
      </w:rPr>
    </w:lvl>
    <w:lvl w:ilvl="7" w:tplc="B66CD256">
      <w:start w:val="1"/>
      <w:numFmt w:val="bullet"/>
      <w:lvlText w:val=""/>
      <w:lvlJc w:val="left"/>
      <w:pPr>
        <w:ind w:left="1080" w:hanging="360"/>
      </w:pPr>
      <w:rPr>
        <w:rFonts w:ascii="Symbol" w:hAnsi="Symbol"/>
      </w:rPr>
    </w:lvl>
    <w:lvl w:ilvl="8" w:tplc="AD82F550">
      <w:start w:val="1"/>
      <w:numFmt w:val="bullet"/>
      <w:lvlText w:val=""/>
      <w:lvlJc w:val="left"/>
      <w:pPr>
        <w:ind w:left="1080" w:hanging="360"/>
      </w:pPr>
      <w:rPr>
        <w:rFonts w:ascii="Symbol" w:hAnsi="Symbol"/>
      </w:rPr>
    </w:lvl>
  </w:abstractNum>
  <w:abstractNum w:abstractNumId="18"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128B7"/>
    <w:multiLevelType w:val="hybridMultilevel"/>
    <w:tmpl w:val="3AFA1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64E45879"/>
    <w:multiLevelType w:val="hybridMultilevel"/>
    <w:tmpl w:val="438EF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640A7"/>
    <w:multiLevelType w:val="hybridMultilevel"/>
    <w:tmpl w:val="4B242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8A5F53"/>
    <w:multiLevelType w:val="hybridMultilevel"/>
    <w:tmpl w:val="67162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DF1155"/>
    <w:multiLevelType w:val="hybridMultilevel"/>
    <w:tmpl w:val="6FC0A4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3256953">
    <w:abstractNumId w:val="26"/>
  </w:num>
  <w:num w:numId="2" w16cid:durableId="1593390782">
    <w:abstractNumId w:val="2"/>
  </w:num>
  <w:num w:numId="3" w16cid:durableId="1093744535">
    <w:abstractNumId w:val="27"/>
  </w:num>
  <w:num w:numId="4" w16cid:durableId="2093237163">
    <w:abstractNumId w:val="18"/>
  </w:num>
  <w:num w:numId="5" w16cid:durableId="416362130">
    <w:abstractNumId w:val="10"/>
  </w:num>
  <w:num w:numId="6" w16cid:durableId="927229133">
    <w:abstractNumId w:val="21"/>
  </w:num>
  <w:num w:numId="7" w16cid:durableId="1801027229">
    <w:abstractNumId w:val="11"/>
  </w:num>
  <w:num w:numId="8" w16cid:durableId="1022899839">
    <w:abstractNumId w:val="19"/>
  </w:num>
  <w:num w:numId="9" w16cid:durableId="645088810">
    <w:abstractNumId w:val="3"/>
  </w:num>
  <w:num w:numId="10" w16cid:durableId="539248468">
    <w:abstractNumId w:val="7"/>
  </w:num>
  <w:num w:numId="11" w16cid:durableId="1458522747">
    <w:abstractNumId w:val="1"/>
  </w:num>
  <w:num w:numId="12" w16cid:durableId="976446865">
    <w:abstractNumId w:val="14"/>
  </w:num>
  <w:num w:numId="13" w16cid:durableId="579410261">
    <w:abstractNumId w:val="13"/>
  </w:num>
  <w:num w:numId="14" w16cid:durableId="932666924">
    <w:abstractNumId w:val="4"/>
  </w:num>
  <w:num w:numId="15" w16cid:durableId="1837648256">
    <w:abstractNumId w:val="16"/>
  </w:num>
  <w:num w:numId="16" w16cid:durableId="1918056647">
    <w:abstractNumId w:val="20"/>
  </w:num>
  <w:num w:numId="17" w16cid:durableId="526716457">
    <w:abstractNumId w:val="24"/>
  </w:num>
  <w:num w:numId="18" w16cid:durableId="1291477299">
    <w:abstractNumId w:val="23"/>
  </w:num>
  <w:num w:numId="19" w16cid:durableId="229729003">
    <w:abstractNumId w:val="5"/>
  </w:num>
  <w:num w:numId="20" w16cid:durableId="1123692478">
    <w:abstractNumId w:val="12"/>
  </w:num>
  <w:num w:numId="21" w16cid:durableId="318195088">
    <w:abstractNumId w:val="6"/>
  </w:num>
  <w:num w:numId="22" w16cid:durableId="1211458197">
    <w:abstractNumId w:val="0"/>
  </w:num>
  <w:num w:numId="23" w16cid:durableId="1536429309">
    <w:abstractNumId w:val="17"/>
  </w:num>
  <w:num w:numId="24" w16cid:durableId="1651249324">
    <w:abstractNumId w:val="9"/>
  </w:num>
  <w:num w:numId="25" w16cid:durableId="1085152195">
    <w:abstractNumId w:val="15"/>
  </w:num>
  <w:num w:numId="26" w16cid:durableId="1629168356">
    <w:abstractNumId w:val="8"/>
  </w:num>
  <w:num w:numId="27" w16cid:durableId="708840912">
    <w:abstractNumId w:val="22"/>
  </w:num>
  <w:num w:numId="28" w16cid:durableId="316736519">
    <w:abstractNumId w:val="25"/>
  </w:num>
  <w:num w:numId="29" w16cid:durableId="507522519">
    <w:abstractNumId w:val="0"/>
  </w:num>
  <w:num w:numId="30" w16cid:durableId="152504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8F2"/>
    <w:rsid w:val="00000E23"/>
    <w:rsid w:val="000033AE"/>
    <w:rsid w:val="00003A49"/>
    <w:rsid w:val="0000415F"/>
    <w:rsid w:val="0000452E"/>
    <w:rsid w:val="000056F0"/>
    <w:rsid w:val="00006274"/>
    <w:rsid w:val="00007EDA"/>
    <w:rsid w:val="00011ED2"/>
    <w:rsid w:val="00013C7E"/>
    <w:rsid w:val="00013E6F"/>
    <w:rsid w:val="00016742"/>
    <w:rsid w:val="00016879"/>
    <w:rsid w:val="00016BE4"/>
    <w:rsid w:val="00020409"/>
    <w:rsid w:val="00021298"/>
    <w:rsid w:val="000212B3"/>
    <w:rsid w:val="000220B6"/>
    <w:rsid w:val="00022BAA"/>
    <w:rsid w:val="00024F86"/>
    <w:rsid w:val="00025E8E"/>
    <w:rsid w:val="00026A15"/>
    <w:rsid w:val="00026CEF"/>
    <w:rsid w:val="00030EFB"/>
    <w:rsid w:val="0003210E"/>
    <w:rsid w:val="00032138"/>
    <w:rsid w:val="00032903"/>
    <w:rsid w:val="00032B1E"/>
    <w:rsid w:val="00034492"/>
    <w:rsid w:val="00034DB4"/>
    <w:rsid w:val="00036F54"/>
    <w:rsid w:val="00040810"/>
    <w:rsid w:val="00040A71"/>
    <w:rsid w:val="00042382"/>
    <w:rsid w:val="00042663"/>
    <w:rsid w:val="00043854"/>
    <w:rsid w:val="00045A2F"/>
    <w:rsid w:val="00047BE8"/>
    <w:rsid w:val="00050A8F"/>
    <w:rsid w:val="00050E28"/>
    <w:rsid w:val="00050E9B"/>
    <w:rsid w:val="000513B2"/>
    <w:rsid w:val="00052E3F"/>
    <w:rsid w:val="00053335"/>
    <w:rsid w:val="0005538D"/>
    <w:rsid w:val="00055843"/>
    <w:rsid w:val="00056666"/>
    <w:rsid w:val="000607DA"/>
    <w:rsid w:val="00061254"/>
    <w:rsid w:val="000620EA"/>
    <w:rsid w:val="00063E03"/>
    <w:rsid w:val="00063EDE"/>
    <w:rsid w:val="000645C3"/>
    <w:rsid w:val="000668F1"/>
    <w:rsid w:val="000700C2"/>
    <w:rsid w:val="00070638"/>
    <w:rsid w:val="00071CD7"/>
    <w:rsid w:val="00072C81"/>
    <w:rsid w:val="00073262"/>
    <w:rsid w:val="00073BE4"/>
    <w:rsid w:val="00073D22"/>
    <w:rsid w:val="0007501B"/>
    <w:rsid w:val="00076132"/>
    <w:rsid w:val="000764FF"/>
    <w:rsid w:val="00076CE6"/>
    <w:rsid w:val="00076E10"/>
    <w:rsid w:val="000826B0"/>
    <w:rsid w:val="000846B4"/>
    <w:rsid w:val="00084D81"/>
    <w:rsid w:val="000852A7"/>
    <w:rsid w:val="00085403"/>
    <w:rsid w:val="00085B8C"/>
    <w:rsid w:val="000879BF"/>
    <w:rsid w:val="00087A01"/>
    <w:rsid w:val="0009081D"/>
    <w:rsid w:val="00090A6F"/>
    <w:rsid w:val="00090E65"/>
    <w:rsid w:val="00091918"/>
    <w:rsid w:val="00093EC3"/>
    <w:rsid w:val="0009575D"/>
    <w:rsid w:val="00095E5B"/>
    <w:rsid w:val="000A0116"/>
    <w:rsid w:val="000A0994"/>
    <w:rsid w:val="000A24EC"/>
    <w:rsid w:val="000A383C"/>
    <w:rsid w:val="000A5A5F"/>
    <w:rsid w:val="000A64DB"/>
    <w:rsid w:val="000A69B9"/>
    <w:rsid w:val="000A7047"/>
    <w:rsid w:val="000B14B0"/>
    <w:rsid w:val="000B25EB"/>
    <w:rsid w:val="000B3979"/>
    <w:rsid w:val="000B4471"/>
    <w:rsid w:val="000B4E80"/>
    <w:rsid w:val="000B5BE8"/>
    <w:rsid w:val="000B5DC8"/>
    <w:rsid w:val="000B5FA6"/>
    <w:rsid w:val="000B7531"/>
    <w:rsid w:val="000B7F5B"/>
    <w:rsid w:val="000C1697"/>
    <w:rsid w:val="000C276D"/>
    <w:rsid w:val="000C304D"/>
    <w:rsid w:val="000C4074"/>
    <w:rsid w:val="000C4136"/>
    <w:rsid w:val="000C4A03"/>
    <w:rsid w:val="000C50B5"/>
    <w:rsid w:val="000C6CCF"/>
    <w:rsid w:val="000C7B69"/>
    <w:rsid w:val="000D189A"/>
    <w:rsid w:val="000D2D9C"/>
    <w:rsid w:val="000D372A"/>
    <w:rsid w:val="000D3F8E"/>
    <w:rsid w:val="000D602E"/>
    <w:rsid w:val="000D6CA0"/>
    <w:rsid w:val="000D6DF8"/>
    <w:rsid w:val="000D6E50"/>
    <w:rsid w:val="000E055D"/>
    <w:rsid w:val="000E14F0"/>
    <w:rsid w:val="000E2313"/>
    <w:rsid w:val="000E2994"/>
    <w:rsid w:val="000E2B34"/>
    <w:rsid w:val="000E30E4"/>
    <w:rsid w:val="000E34A3"/>
    <w:rsid w:val="000E34BD"/>
    <w:rsid w:val="000E41D9"/>
    <w:rsid w:val="000E5434"/>
    <w:rsid w:val="000E5640"/>
    <w:rsid w:val="000E56D5"/>
    <w:rsid w:val="000E5B7E"/>
    <w:rsid w:val="000E6ABD"/>
    <w:rsid w:val="000E72B9"/>
    <w:rsid w:val="000E79A5"/>
    <w:rsid w:val="000F0073"/>
    <w:rsid w:val="000F2214"/>
    <w:rsid w:val="000F2ADE"/>
    <w:rsid w:val="000F3896"/>
    <w:rsid w:val="000F4C6B"/>
    <w:rsid w:val="000F4D41"/>
    <w:rsid w:val="000F595C"/>
    <w:rsid w:val="000F6265"/>
    <w:rsid w:val="000F7670"/>
    <w:rsid w:val="00103766"/>
    <w:rsid w:val="00103971"/>
    <w:rsid w:val="00104733"/>
    <w:rsid w:val="0010480F"/>
    <w:rsid w:val="0010663B"/>
    <w:rsid w:val="00107103"/>
    <w:rsid w:val="0011076D"/>
    <w:rsid w:val="00110D89"/>
    <w:rsid w:val="0011149D"/>
    <w:rsid w:val="00111653"/>
    <w:rsid w:val="0011219C"/>
    <w:rsid w:val="0011275C"/>
    <w:rsid w:val="001155D1"/>
    <w:rsid w:val="0011725E"/>
    <w:rsid w:val="001204CD"/>
    <w:rsid w:val="00120A89"/>
    <w:rsid w:val="001211A9"/>
    <w:rsid w:val="001218BA"/>
    <w:rsid w:val="00123103"/>
    <w:rsid w:val="00125492"/>
    <w:rsid w:val="00127188"/>
    <w:rsid w:val="0012788A"/>
    <w:rsid w:val="001302FF"/>
    <w:rsid w:val="00131542"/>
    <w:rsid w:val="00131EDF"/>
    <w:rsid w:val="00131FEC"/>
    <w:rsid w:val="001327DE"/>
    <w:rsid w:val="00132BFA"/>
    <w:rsid w:val="00133EBA"/>
    <w:rsid w:val="001346EB"/>
    <w:rsid w:val="00134D00"/>
    <w:rsid w:val="00134FF4"/>
    <w:rsid w:val="00136DA1"/>
    <w:rsid w:val="00141A4E"/>
    <w:rsid w:val="00141A88"/>
    <w:rsid w:val="001430CC"/>
    <w:rsid w:val="00144343"/>
    <w:rsid w:val="001456B6"/>
    <w:rsid w:val="0015045F"/>
    <w:rsid w:val="00151AA8"/>
    <w:rsid w:val="00151B04"/>
    <w:rsid w:val="00152F94"/>
    <w:rsid w:val="00153687"/>
    <w:rsid w:val="001546CF"/>
    <w:rsid w:val="00154965"/>
    <w:rsid w:val="00155578"/>
    <w:rsid w:val="00155BFF"/>
    <w:rsid w:val="001573F4"/>
    <w:rsid w:val="0016088E"/>
    <w:rsid w:val="001623D9"/>
    <w:rsid w:val="00162FF1"/>
    <w:rsid w:val="00163E08"/>
    <w:rsid w:val="00164560"/>
    <w:rsid w:val="001646E6"/>
    <w:rsid w:val="0016563D"/>
    <w:rsid w:val="00165ED6"/>
    <w:rsid w:val="00166D3B"/>
    <w:rsid w:val="0016713B"/>
    <w:rsid w:val="00167CED"/>
    <w:rsid w:val="00170D05"/>
    <w:rsid w:val="00171EBF"/>
    <w:rsid w:val="00174721"/>
    <w:rsid w:val="001755E5"/>
    <w:rsid w:val="00175865"/>
    <w:rsid w:val="00176314"/>
    <w:rsid w:val="00177035"/>
    <w:rsid w:val="001779B5"/>
    <w:rsid w:val="00180E8C"/>
    <w:rsid w:val="00182184"/>
    <w:rsid w:val="00182FFA"/>
    <w:rsid w:val="00183D64"/>
    <w:rsid w:val="00183F70"/>
    <w:rsid w:val="0018451E"/>
    <w:rsid w:val="001855FD"/>
    <w:rsid w:val="001857C4"/>
    <w:rsid w:val="00186AD1"/>
    <w:rsid w:val="00186EF6"/>
    <w:rsid w:val="00187109"/>
    <w:rsid w:val="001873A6"/>
    <w:rsid w:val="001874A0"/>
    <w:rsid w:val="0019014B"/>
    <w:rsid w:val="00191F4D"/>
    <w:rsid w:val="001920F9"/>
    <w:rsid w:val="00192C02"/>
    <w:rsid w:val="00193273"/>
    <w:rsid w:val="001932DB"/>
    <w:rsid w:val="00193E14"/>
    <w:rsid w:val="00194580"/>
    <w:rsid w:val="00195FF8"/>
    <w:rsid w:val="001962EB"/>
    <w:rsid w:val="001A044D"/>
    <w:rsid w:val="001A06BE"/>
    <w:rsid w:val="001A10E7"/>
    <w:rsid w:val="001A1178"/>
    <w:rsid w:val="001A11E9"/>
    <w:rsid w:val="001A19DD"/>
    <w:rsid w:val="001A259E"/>
    <w:rsid w:val="001A2B48"/>
    <w:rsid w:val="001A3CF3"/>
    <w:rsid w:val="001A4068"/>
    <w:rsid w:val="001A52E6"/>
    <w:rsid w:val="001A61AC"/>
    <w:rsid w:val="001A640D"/>
    <w:rsid w:val="001B02BE"/>
    <w:rsid w:val="001B0364"/>
    <w:rsid w:val="001B15A1"/>
    <w:rsid w:val="001B2488"/>
    <w:rsid w:val="001B2EB5"/>
    <w:rsid w:val="001B3E9F"/>
    <w:rsid w:val="001B4565"/>
    <w:rsid w:val="001B5CEF"/>
    <w:rsid w:val="001B6D3E"/>
    <w:rsid w:val="001B78E9"/>
    <w:rsid w:val="001B795B"/>
    <w:rsid w:val="001C0DD1"/>
    <w:rsid w:val="001C1A1C"/>
    <w:rsid w:val="001C1D40"/>
    <w:rsid w:val="001C21AE"/>
    <w:rsid w:val="001C4920"/>
    <w:rsid w:val="001C57D8"/>
    <w:rsid w:val="001C6381"/>
    <w:rsid w:val="001C6892"/>
    <w:rsid w:val="001C6E9F"/>
    <w:rsid w:val="001C7B9D"/>
    <w:rsid w:val="001D05C9"/>
    <w:rsid w:val="001D06E9"/>
    <w:rsid w:val="001D1876"/>
    <w:rsid w:val="001D190C"/>
    <w:rsid w:val="001D25EE"/>
    <w:rsid w:val="001D2BFE"/>
    <w:rsid w:val="001D3B42"/>
    <w:rsid w:val="001D3ED2"/>
    <w:rsid w:val="001D45B3"/>
    <w:rsid w:val="001D46E8"/>
    <w:rsid w:val="001D55BA"/>
    <w:rsid w:val="001D5AB8"/>
    <w:rsid w:val="001D5DAB"/>
    <w:rsid w:val="001D5F8B"/>
    <w:rsid w:val="001D6D7D"/>
    <w:rsid w:val="001D7C4F"/>
    <w:rsid w:val="001E18EE"/>
    <w:rsid w:val="001E3FA9"/>
    <w:rsid w:val="001E4476"/>
    <w:rsid w:val="001E5077"/>
    <w:rsid w:val="001E702E"/>
    <w:rsid w:val="001E77CF"/>
    <w:rsid w:val="001E7CFF"/>
    <w:rsid w:val="001E7EE2"/>
    <w:rsid w:val="001F110B"/>
    <w:rsid w:val="001F238E"/>
    <w:rsid w:val="001F3E1A"/>
    <w:rsid w:val="001F40EA"/>
    <w:rsid w:val="001F53DF"/>
    <w:rsid w:val="001F571F"/>
    <w:rsid w:val="001F749F"/>
    <w:rsid w:val="001F7E99"/>
    <w:rsid w:val="00200275"/>
    <w:rsid w:val="00200547"/>
    <w:rsid w:val="00200BBD"/>
    <w:rsid w:val="002016A8"/>
    <w:rsid w:val="00203D66"/>
    <w:rsid w:val="002045A1"/>
    <w:rsid w:val="00204E3A"/>
    <w:rsid w:val="002056E8"/>
    <w:rsid w:val="00206BAA"/>
    <w:rsid w:val="00206E65"/>
    <w:rsid w:val="00206E7A"/>
    <w:rsid w:val="00207E72"/>
    <w:rsid w:val="00210460"/>
    <w:rsid w:val="0021166E"/>
    <w:rsid w:val="00212E10"/>
    <w:rsid w:val="002147BC"/>
    <w:rsid w:val="00214B22"/>
    <w:rsid w:val="00216DAC"/>
    <w:rsid w:val="00217224"/>
    <w:rsid w:val="00217777"/>
    <w:rsid w:val="00221B11"/>
    <w:rsid w:val="00221D7D"/>
    <w:rsid w:val="00222D83"/>
    <w:rsid w:val="00222EF0"/>
    <w:rsid w:val="0022302F"/>
    <w:rsid w:val="002240C1"/>
    <w:rsid w:val="00224331"/>
    <w:rsid w:val="00224B6E"/>
    <w:rsid w:val="00225740"/>
    <w:rsid w:val="0022658D"/>
    <w:rsid w:val="00226CA8"/>
    <w:rsid w:val="00227616"/>
    <w:rsid w:val="00230392"/>
    <w:rsid w:val="0023109C"/>
    <w:rsid w:val="00231B98"/>
    <w:rsid w:val="00232681"/>
    <w:rsid w:val="00232E16"/>
    <w:rsid w:val="00236B68"/>
    <w:rsid w:val="002415DC"/>
    <w:rsid w:val="00241E73"/>
    <w:rsid w:val="00241F79"/>
    <w:rsid w:val="002432F9"/>
    <w:rsid w:val="002455B1"/>
    <w:rsid w:val="00245A07"/>
    <w:rsid w:val="0024631E"/>
    <w:rsid w:val="002466F8"/>
    <w:rsid w:val="00247D40"/>
    <w:rsid w:val="0025084E"/>
    <w:rsid w:val="00250AEC"/>
    <w:rsid w:val="0025519A"/>
    <w:rsid w:val="00255556"/>
    <w:rsid w:val="00255FF2"/>
    <w:rsid w:val="0025660F"/>
    <w:rsid w:val="00256F00"/>
    <w:rsid w:val="00257721"/>
    <w:rsid w:val="00260518"/>
    <w:rsid w:val="00260CD6"/>
    <w:rsid w:val="0026115D"/>
    <w:rsid w:val="00262320"/>
    <w:rsid w:val="002629FB"/>
    <w:rsid w:val="00262AF1"/>
    <w:rsid w:val="00263A0E"/>
    <w:rsid w:val="00264333"/>
    <w:rsid w:val="00265258"/>
    <w:rsid w:val="00265455"/>
    <w:rsid w:val="002655A5"/>
    <w:rsid w:val="00266CF0"/>
    <w:rsid w:val="00267765"/>
    <w:rsid w:val="00267994"/>
    <w:rsid w:val="00270E2E"/>
    <w:rsid w:val="00272930"/>
    <w:rsid w:val="00273171"/>
    <w:rsid w:val="00273208"/>
    <w:rsid w:val="0027571A"/>
    <w:rsid w:val="00275BAD"/>
    <w:rsid w:val="00276474"/>
    <w:rsid w:val="00276614"/>
    <w:rsid w:val="002768C3"/>
    <w:rsid w:val="00276A71"/>
    <w:rsid w:val="0028299A"/>
    <w:rsid w:val="00283C07"/>
    <w:rsid w:val="00284716"/>
    <w:rsid w:val="00284A86"/>
    <w:rsid w:val="00284D2C"/>
    <w:rsid w:val="00285037"/>
    <w:rsid w:val="002852B3"/>
    <w:rsid w:val="00287D42"/>
    <w:rsid w:val="00290380"/>
    <w:rsid w:val="00292164"/>
    <w:rsid w:val="00292174"/>
    <w:rsid w:val="002921B4"/>
    <w:rsid w:val="00292254"/>
    <w:rsid w:val="00294312"/>
    <w:rsid w:val="0029511D"/>
    <w:rsid w:val="002958BC"/>
    <w:rsid w:val="00297909"/>
    <w:rsid w:val="002A059D"/>
    <w:rsid w:val="002A2349"/>
    <w:rsid w:val="002A283A"/>
    <w:rsid w:val="002A3680"/>
    <w:rsid w:val="002A51E2"/>
    <w:rsid w:val="002A5796"/>
    <w:rsid w:val="002A6C07"/>
    <w:rsid w:val="002B1AA0"/>
    <w:rsid w:val="002B1DFB"/>
    <w:rsid w:val="002B2931"/>
    <w:rsid w:val="002B414D"/>
    <w:rsid w:val="002B4EA8"/>
    <w:rsid w:val="002B6FD3"/>
    <w:rsid w:val="002B7EF5"/>
    <w:rsid w:val="002C0764"/>
    <w:rsid w:val="002C4B6B"/>
    <w:rsid w:val="002C5807"/>
    <w:rsid w:val="002C5FF8"/>
    <w:rsid w:val="002C6704"/>
    <w:rsid w:val="002C6CC6"/>
    <w:rsid w:val="002C7C80"/>
    <w:rsid w:val="002D212D"/>
    <w:rsid w:val="002D21CA"/>
    <w:rsid w:val="002D2A45"/>
    <w:rsid w:val="002D37CD"/>
    <w:rsid w:val="002D5358"/>
    <w:rsid w:val="002D53AA"/>
    <w:rsid w:val="002D59EE"/>
    <w:rsid w:val="002D5E52"/>
    <w:rsid w:val="002E212E"/>
    <w:rsid w:val="002E3AFD"/>
    <w:rsid w:val="002E51D3"/>
    <w:rsid w:val="002E58AC"/>
    <w:rsid w:val="002E5F83"/>
    <w:rsid w:val="002E6F6F"/>
    <w:rsid w:val="002E77B8"/>
    <w:rsid w:val="002E77D8"/>
    <w:rsid w:val="002F0164"/>
    <w:rsid w:val="002F0643"/>
    <w:rsid w:val="002F1217"/>
    <w:rsid w:val="002F24E1"/>
    <w:rsid w:val="002F3CB0"/>
    <w:rsid w:val="002F58CE"/>
    <w:rsid w:val="00300AC6"/>
    <w:rsid w:val="00300BA3"/>
    <w:rsid w:val="00300CE2"/>
    <w:rsid w:val="003016D8"/>
    <w:rsid w:val="00303C2B"/>
    <w:rsid w:val="00305BED"/>
    <w:rsid w:val="00305F35"/>
    <w:rsid w:val="0030634F"/>
    <w:rsid w:val="00310D7A"/>
    <w:rsid w:val="00311B2D"/>
    <w:rsid w:val="00312298"/>
    <w:rsid w:val="00312BD4"/>
    <w:rsid w:val="00314761"/>
    <w:rsid w:val="00315A3E"/>
    <w:rsid w:val="00316698"/>
    <w:rsid w:val="00316760"/>
    <w:rsid w:val="00316A24"/>
    <w:rsid w:val="00316BC8"/>
    <w:rsid w:val="0032097E"/>
    <w:rsid w:val="003220AD"/>
    <w:rsid w:val="00322213"/>
    <w:rsid w:val="00322DA7"/>
    <w:rsid w:val="0032400B"/>
    <w:rsid w:val="00324238"/>
    <w:rsid w:val="003263EE"/>
    <w:rsid w:val="003278CF"/>
    <w:rsid w:val="00331AB1"/>
    <w:rsid w:val="00332616"/>
    <w:rsid w:val="00332645"/>
    <w:rsid w:val="00332E8B"/>
    <w:rsid w:val="00334A27"/>
    <w:rsid w:val="00334F7A"/>
    <w:rsid w:val="0033517C"/>
    <w:rsid w:val="003358DD"/>
    <w:rsid w:val="00336D93"/>
    <w:rsid w:val="00337839"/>
    <w:rsid w:val="003417EE"/>
    <w:rsid w:val="00343EB5"/>
    <w:rsid w:val="00343FF2"/>
    <w:rsid w:val="00344A05"/>
    <w:rsid w:val="00344A48"/>
    <w:rsid w:val="00345B68"/>
    <w:rsid w:val="00346DDA"/>
    <w:rsid w:val="003501DD"/>
    <w:rsid w:val="00350BA9"/>
    <w:rsid w:val="0035197F"/>
    <w:rsid w:val="00352626"/>
    <w:rsid w:val="003533C5"/>
    <w:rsid w:val="00353716"/>
    <w:rsid w:val="003548A4"/>
    <w:rsid w:val="00354A48"/>
    <w:rsid w:val="00354C52"/>
    <w:rsid w:val="00355265"/>
    <w:rsid w:val="003561EF"/>
    <w:rsid w:val="00357623"/>
    <w:rsid w:val="00357897"/>
    <w:rsid w:val="00357F1A"/>
    <w:rsid w:val="00357F5E"/>
    <w:rsid w:val="003600BA"/>
    <w:rsid w:val="0036128D"/>
    <w:rsid w:val="003618A1"/>
    <w:rsid w:val="00362268"/>
    <w:rsid w:val="00363AFD"/>
    <w:rsid w:val="00363D53"/>
    <w:rsid w:val="003640C4"/>
    <w:rsid w:val="003644D4"/>
    <w:rsid w:val="0036516D"/>
    <w:rsid w:val="00365587"/>
    <w:rsid w:val="0036572A"/>
    <w:rsid w:val="00365C03"/>
    <w:rsid w:val="00365D74"/>
    <w:rsid w:val="00365E0B"/>
    <w:rsid w:val="0036655B"/>
    <w:rsid w:val="003669EA"/>
    <w:rsid w:val="00366DCA"/>
    <w:rsid w:val="00372A5F"/>
    <w:rsid w:val="00373607"/>
    <w:rsid w:val="00374FD1"/>
    <w:rsid w:val="00375998"/>
    <w:rsid w:val="0037633B"/>
    <w:rsid w:val="00377884"/>
    <w:rsid w:val="00377E02"/>
    <w:rsid w:val="00380703"/>
    <w:rsid w:val="003815AF"/>
    <w:rsid w:val="00381D82"/>
    <w:rsid w:val="00381DF1"/>
    <w:rsid w:val="003828C5"/>
    <w:rsid w:val="00382F52"/>
    <w:rsid w:val="00383650"/>
    <w:rsid w:val="003836A2"/>
    <w:rsid w:val="00384079"/>
    <w:rsid w:val="00384209"/>
    <w:rsid w:val="00384728"/>
    <w:rsid w:val="0038486E"/>
    <w:rsid w:val="00384B76"/>
    <w:rsid w:val="00384F98"/>
    <w:rsid w:val="003862A5"/>
    <w:rsid w:val="003862DB"/>
    <w:rsid w:val="003911FB"/>
    <w:rsid w:val="00391312"/>
    <w:rsid w:val="00393C3D"/>
    <w:rsid w:val="003951F9"/>
    <w:rsid w:val="00395BBD"/>
    <w:rsid w:val="003963C0"/>
    <w:rsid w:val="003A0033"/>
    <w:rsid w:val="003A0C4E"/>
    <w:rsid w:val="003A26AF"/>
    <w:rsid w:val="003A413B"/>
    <w:rsid w:val="003A519A"/>
    <w:rsid w:val="003A70BC"/>
    <w:rsid w:val="003A77E8"/>
    <w:rsid w:val="003B061B"/>
    <w:rsid w:val="003B0E53"/>
    <w:rsid w:val="003B170D"/>
    <w:rsid w:val="003B1782"/>
    <w:rsid w:val="003B2C4A"/>
    <w:rsid w:val="003B4B25"/>
    <w:rsid w:val="003B4BC9"/>
    <w:rsid w:val="003B5EAC"/>
    <w:rsid w:val="003B6A1B"/>
    <w:rsid w:val="003C063F"/>
    <w:rsid w:val="003C0836"/>
    <w:rsid w:val="003C0A9D"/>
    <w:rsid w:val="003C1EA5"/>
    <w:rsid w:val="003C2215"/>
    <w:rsid w:val="003C4302"/>
    <w:rsid w:val="003C4E39"/>
    <w:rsid w:val="003C4E6D"/>
    <w:rsid w:val="003C608A"/>
    <w:rsid w:val="003C6321"/>
    <w:rsid w:val="003C70FC"/>
    <w:rsid w:val="003C7D6F"/>
    <w:rsid w:val="003D1964"/>
    <w:rsid w:val="003D217F"/>
    <w:rsid w:val="003D359B"/>
    <w:rsid w:val="003D4286"/>
    <w:rsid w:val="003D4455"/>
    <w:rsid w:val="003D44F4"/>
    <w:rsid w:val="003D5E63"/>
    <w:rsid w:val="003E104E"/>
    <w:rsid w:val="003E1C89"/>
    <w:rsid w:val="003E1FA3"/>
    <w:rsid w:val="003E34FD"/>
    <w:rsid w:val="003E4F26"/>
    <w:rsid w:val="003E4F33"/>
    <w:rsid w:val="003E6D0F"/>
    <w:rsid w:val="003E76BF"/>
    <w:rsid w:val="003F0168"/>
    <w:rsid w:val="003F22B2"/>
    <w:rsid w:val="003F335A"/>
    <w:rsid w:val="003F3D18"/>
    <w:rsid w:val="003F3EDB"/>
    <w:rsid w:val="003F443D"/>
    <w:rsid w:val="003F467D"/>
    <w:rsid w:val="003F5552"/>
    <w:rsid w:val="0040180A"/>
    <w:rsid w:val="004037AD"/>
    <w:rsid w:val="00403CE7"/>
    <w:rsid w:val="00404672"/>
    <w:rsid w:val="00404DF1"/>
    <w:rsid w:val="0040544D"/>
    <w:rsid w:val="00405539"/>
    <w:rsid w:val="00407800"/>
    <w:rsid w:val="00412007"/>
    <w:rsid w:val="00412A7D"/>
    <w:rsid w:val="00412F81"/>
    <w:rsid w:val="00413183"/>
    <w:rsid w:val="004144EB"/>
    <w:rsid w:val="00415730"/>
    <w:rsid w:val="00416543"/>
    <w:rsid w:val="00420F2D"/>
    <w:rsid w:val="00421F7E"/>
    <w:rsid w:val="00426324"/>
    <w:rsid w:val="00427B19"/>
    <w:rsid w:val="0043240C"/>
    <w:rsid w:val="00434547"/>
    <w:rsid w:val="00435C30"/>
    <w:rsid w:val="0043618F"/>
    <w:rsid w:val="004362E0"/>
    <w:rsid w:val="0044013C"/>
    <w:rsid w:val="00442054"/>
    <w:rsid w:val="00442DB7"/>
    <w:rsid w:val="00443DB8"/>
    <w:rsid w:val="0044475F"/>
    <w:rsid w:val="00445349"/>
    <w:rsid w:val="004453EF"/>
    <w:rsid w:val="0044614E"/>
    <w:rsid w:val="004463B9"/>
    <w:rsid w:val="00447559"/>
    <w:rsid w:val="0045305B"/>
    <w:rsid w:val="004534E7"/>
    <w:rsid w:val="00453FFC"/>
    <w:rsid w:val="00456466"/>
    <w:rsid w:val="004573B3"/>
    <w:rsid w:val="00457C83"/>
    <w:rsid w:val="004604FC"/>
    <w:rsid w:val="0046248A"/>
    <w:rsid w:val="00462A26"/>
    <w:rsid w:val="0046353A"/>
    <w:rsid w:val="004644E6"/>
    <w:rsid w:val="004666CB"/>
    <w:rsid w:val="00466F86"/>
    <w:rsid w:val="00467A4E"/>
    <w:rsid w:val="00467C14"/>
    <w:rsid w:val="00467E65"/>
    <w:rsid w:val="00472706"/>
    <w:rsid w:val="0047297F"/>
    <w:rsid w:val="004739CD"/>
    <w:rsid w:val="00473C82"/>
    <w:rsid w:val="0047521A"/>
    <w:rsid w:val="00476442"/>
    <w:rsid w:val="00476696"/>
    <w:rsid w:val="004777E9"/>
    <w:rsid w:val="00480BF6"/>
    <w:rsid w:val="0048213C"/>
    <w:rsid w:val="00483835"/>
    <w:rsid w:val="00483908"/>
    <w:rsid w:val="004840D2"/>
    <w:rsid w:val="004841D7"/>
    <w:rsid w:val="004842F1"/>
    <w:rsid w:val="00484B46"/>
    <w:rsid w:val="00484CFD"/>
    <w:rsid w:val="00485259"/>
    <w:rsid w:val="00485EE3"/>
    <w:rsid w:val="00487027"/>
    <w:rsid w:val="00487E17"/>
    <w:rsid w:val="00490033"/>
    <w:rsid w:val="004901C2"/>
    <w:rsid w:val="00490788"/>
    <w:rsid w:val="00490BDA"/>
    <w:rsid w:val="0049167C"/>
    <w:rsid w:val="00491F19"/>
    <w:rsid w:val="00493F58"/>
    <w:rsid w:val="00495C4B"/>
    <w:rsid w:val="004966B2"/>
    <w:rsid w:val="00497381"/>
    <w:rsid w:val="004973AB"/>
    <w:rsid w:val="00497AB7"/>
    <w:rsid w:val="004A2D38"/>
    <w:rsid w:val="004A403A"/>
    <w:rsid w:val="004A6514"/>
    <w:rsid w:val="004A6FD4"/>
    <w:rsid w:val="004A73AF"/>
    <w:rsid w:val="004A7B48"/>
    <w:rsid w:val="004B00DC"/>
    <w:rsid w:val="004B0A21"/>
    <w:rsid w:val="004B2B45"/>
    <w:rsid w:val="004B3675"/>
    <w:rsid w:val="004B4F41"/>
    <w:rsid w:val="004B5BD5"/>
    <w:rsid w:val="004B5C6C"/>
    <w:rsid w:val="004B6E4E"/>
    <w:rsid w:val="004B7F66"/>
    <w:rsid w:val="004C054B"/>
    <w:rsid w:val="004C06B8"/>
    <w:rsid w:val="004C0961"/>
    <w:rsid w:val="004C0B99"/>
    <w:rsid w:val="004C23DE"/>
    <w:rsid w:val="004C38C3"/>
    <w:rsid w:val="004C39A1"/>
    <w:rsid w:val="004C3B63"/>
    <w:rsid w:val="004C3D0C"/>
    <w:rsid w:val="004C77CF"/>
    <w:rsid w:val="004D112F"/>
    <w:rsid w:val="004D151A"/>
    <w:rsid w:val="004D471C"/>
    <w:rsid w:val="004D56CA"/>
    <w:rsid w:val="004D6B6D"/>
    <w:rsid w:val="004D779D"/>
    <w:rsid w:val="004D7DE8"/>
    <w:rsid w:val="004D7E04"/>
    <w:rsid w:val="004E00CB"/>
    <w:rsid w:val="004E0395"/>
    <w:rsid w:val="004E1804"/>
    <w:rsid w:val="004E19C7"/>
    <w:rsid w:val="004E33C3"/>
    <w:rsid w:val="004E3939"/>
    <w:rsid w:val="004E3D93"/>
    <w:rsid w:val="004E447D"/>
    <w:rsid w:val="004E4D91"/>
    <w:rsid w:val="004E6D40"/>
    <w:rsid w:val="004F1681"/>
    <w:rsid w:val="004F208C"/>
    <w:rsid w:val="004F350D"/>
    <w:rsid w:val="004F5158"/>
    <w:rsid w:val="004F69D5"/>
    <w:rsid w:val="004F6C53"/>
    <w:rsid w:val="00503125"/>
    <w:rsid w:val="00503471"/>
    <w:rsid w:val="00504AE6"/>
    <w:rsid w:val="00504C3E"/>
    <w:rsid w:val="0050530E"/>
    <w:rsid w:val="005060FB"/>
    <w:rsid w:val="0050631F"/>
    <w:rsid w:val="005069D1"/>
    <w:rsid w:val="00507F4A"/>
    <w:rsid w:val="0051188D"/>
    <w:rsid w:val="0051365D"/>
    <w:rsid w:val="00513D1B"/>
    <w:rsid w:val="00514212"/>
    <w:rsid w:val="00514402"/>
    <w:rsid w:val="00514C47"/>
    <w:rsid w:val="00515050"/>
    <w:rsid w:val="00515EB7"/>
    <w:rsid w:val="00516503"/>
    <w:rsid w:val="00516CE7"/>
    <w:rsid w:val="005212B7"/>
    <w:rsid w:val="005215EF"/>
    <w:rsid w:val="00521B86"/>
    <w:rsid w:val="00524220"/>
    <w:rsid w:val="00524A9F"/>
    <w:rsid w:val="00525A31"/>
    <w:rsid w:val="00526014"/>
    <w:rsid w:val="0052665C"/>
    <w:rsid w:val="005266C3"/>
    <w:rsid w:val="005269E6"/>
    <w:rsid w:val="00527FDB"/>
    <w:rsid w:val="00531807"/>
    <w:rsid w:val="00531DFD"/>
    <w:rsid w:val="005325F3"/>
    <w:rsid w:val="005327FB"/>
    <w:rsid w:val="00532E50"/>
    <w:rsid w:val="00532E78"/>
    <w:rsid w:val="0053302E"/>
    <w:rsid w:val="00533373"/>
    <w:rsid w:val="005337FB"/>
    <w:rsid w:val="005340D9"/>
    <w:rsid w:val="005366B9"/>
    <w:rsid w:val="005367B1"/>
    <w:rsid w:val="00536F8A"/>
    <w:rsid w:val="005372FA"/>
    <w:rsid w:val="00537AAD"/>
    <w:rsid w:val="00540450"/>
    <w:rsid w:val="00542615"/>
    <w:rsid w:val="00543831"/>
    <w:rsid w:val="00544104"/>
    <w:rsid w:val="0054436A"/>
    <w:rsid w:val="00544564"/>
    <w:rsid w:val="00544A2C"/>
    <w:rsid w:val="00545AF3"/>
    <w:rsid w:val="00546A58"/>
    <w:rsid w:val="00547145"/>
    <w:rsid w:val="0055171D"/>
    <w:rsid w:val="00551967"/>
    <w:rsid w:val="0055228B"/>
    <w:rsid w:val="005522CF"/>
    <w:rsid w:val="00552E37"/>
    <w:rsid w:val="005552BC"/>
    <w:rsid w:val="00555D41"/>
    <w:rsid w:val="00557789"/>
    <w:rsid w:val="00557D60"/>
    <w:rsid w:val="00562CFE"/>
    <w:rsid w:val="00564C10"/>
    <w:rsid w:val="00565089"/>
    <w:rsid w:val="005652D9"/>
    <w:rsid w:val="0056626C"/>
    <w:rsid w:val="0057088A"/>
    <w:rsid w:val="00570B89"/>
    <w:rsid w:val="00571DE7"/>
    <w:rsid w:val="00572860"/>
    <w:rsid w:val="0057444F"/>
    <w:rsid w:val="00575494"/>
    <w:rsid w:val="005754F4"/>
    <w:rsid w:val="00575F6A"/>
    <w:rsid w:val="00576A63"/>
    <w:rsid w:val="005771CE"/>
    <w:rsid w:val="0058102D"/>
    <w:rsid w:val="00582222"/>
    <w:rsid w:val="00583DF7"/>
    <w:rsid w:val="005841C2"/>
    <w:rsid w:val="005853CE"/>
    <w:rsid w:val="0058546D"/>
    <w:rsid w:val="00585802"/>
    <w:rsid w:val="00585F55"/>
    <w:rsid w:val="005867A1"/>
    <w:rsid w:val="00590298"/>
    <w:rsid w:val="00590A62"/>
    <w:rsid w:val="005912FA"/>
    <w:rsid w:val="0059289A"/>
    <w:rsid w:val="0059299A"/>
    <w:rsid w:val="00593ACE"/>
    <w:rsid w:val="005968AB"/>
    <w:rsid w:val="005A007B"/>
    <w:rsid w:val="005A095E"/>
    <w:rsid w:val="005A2374"/>
    <w:rsid w:val="005A24EF"/>
    <w:rsid w:val="005A2AD2"/>
    <w:rsid w:val="005A3018"/>
    <w:rsid w:val="005A53F1"/>
    <w:rsid w:val="005A54E4"/>
    <w:rsid w:val="005A63D4"/>
    <w:rsid w:val="005A65C2"/>
    <w:rsid w:val="005A6D52"/>
    <w:rsid w:val="005A762C"/>
    <w:rsid w:val="005B0BD6"/>
    <w:rsid w:val="005B1412"/>
    <w:rsid w:val="005B2826"/>
    <w:rsid w:val="005B366E"/>
    <w:rsid w:val="005B39E6"/>
    <w:rsid w:val="005B4850"/>
    <w:rsid w:val="005B4877"/>
    <w:rsid w:val="005B4C1C"/>
    <w:rsid w:val="005B5B44"/>
    <w:rsid w:val="005B65C6"/>
    <w:rsid w:val="005B76AF"/>
    <w:rsid w:val="005B7EC2"/>
    <w:rsid w:val="005B7FB5"/>
    <w:rsid w:val="005C05BA"/>
    <w:rsid w:val="005C0A80"/>
    <w:rsid w:val="005C1191"/>
    <w:rsid w:val="005C327F"/>
    <w:rsid w:val="005C48A7"/>
    <w:rsid w:val="005C5294"/>
    <w:rsid w:val="005C6399"/>
    <w:rsid w:val="005C6C7B"/>
    <w:rsid w:val="005C77F8"/>
    <w:rsid w:val="005C7B52"/>
    <w:rsid w:val="005D084B"/>
    <w:rsid w:val="005D157D"/>
    <w:rsid w:val="005D16D5"/>
    <w:rsid w:val="005D2381"/>
    <w:rsid w:val="005D34DC"/>
    <w:rsid w:val="005D3A8A"/>
    <w:rsid w:val="005D44E1"/>
    <w:rsid w:val="005D490D"/>
    <w:rsid w:val="005D4F39"/>
    <w:rsid w:val="005D511C"/>
    <w:rsid w:val="005D6D10"/>
    <w:rsid w:val="005E036E"/>
    <w:rsid w:val="005E1274"/>
    <w:rsid w:val="005E259C"/>
    <w:rsid w:val="005E2C03"/>
    <w:rsid w:val="005E31F7"/>
    <w:rsid w:val="005E5865"/>
    <w:rsid w:val="005E5DA7"/>
    <w:rsid w:val="005E690A"/>
    <w:rsid w:val="005E6D84"/>
    <w:rsid w:val="005E77DF"/>
    <w:rsid w:val="005E7DEC"/>
    <w:rsid w:val="005F069B"/>
    <w:rsid w:val="005F0FFE"/>
    <w:rsid w:val="005F16D1"/>
    <w:rsid w:val="005F35B1"/>
    <w:rsid w:val="005F40A4"/>
    <w:rsid w:val="005F4D82"/>
    <w:rsid w:val="005F5F2F"/>
    <w:rsid w:val="005F67DE"/>
    <w:rsid w:val="005F6EE2"/>
    <w:rsid w:val="006006DA"/>
    <w:rsid w:val="0060247A"/>
    <w:rsid w:val="00602FC3"/>
    <w:rsid w:val="00603543"/>
    <w:rsid w:val="00604788"/>
    <w:rsid w:val="00604D98"/>
    <w:rsid w:val="006058C5"/>
    <w:rsid w:val="00606420"/>
    <w:rsid w:val="006068F1"/>
    <w:rsid w:val="00606E35"/>
    <w:rsid w:val="00610C52"/>
    <w:rsid w:val="00611C75"/>
    <w:rsid w:val="00613085"/>
    <w:rsid w:val="00614323"/>
    <w:rsid w:val="00614960"/>
    <w:rsid w:val="006170A7"/>
    <w:rsid w:val="00617438"/>
    <w:rsid w:val="006174F1"/>
    <w:rsid w:val="00620966"/>
    <w:rsid w:val="00621362"/>
    <w:rsid w:val="00621599"/>
    <w:rsid w:val="00621A7C"/>
    <w:rsid w:val="00622964"/>
    <w:rsid w:val="00622FBE"/>
    <w:rsid w:val="0062435E"/>
    <w:rsid w:val="00626F5E"/>
    <w:rsid w:val="00630216"/>
    <w:rsid w:val="00630A97"/>
    <w:rsid w:val="00630FBD"/>
    <w:rsid w:val="0063472D"/>
    <w:rsid w:val="0063595D"/>
    <w:rsid w:val="006359EF"/>
    <w:rsid w:val="006375B9"/>
    <w:rsid w:val="00640AE4"/>
    <w:rsid w:val="00640F53"/>
    <w:rsid w:val="006421CD"/>
    <w:rsid w:val="006428F6"/>
    <w:rsid w:val="006439DA"/>
    <w:rsid w:val="00644224"/>
    <w:rsid w:val="00644A2C"/>
    <w:rsid w:val="0064525B"/>
    <w:rsid w:val="006455A6"/>
    <w:rsid w:val="006455FD"/>
    <w:rsid w:val="00645FA5"/>
    <w:rsid w:val="006463A0"/>
    <w:rsid w:val="006468B1"/>
    <w:rsid w:val="0065087E"/>
    <w:rsid w:val="00650A38"/>
    <w:rsid w:val="00652DEA"/>
    <w:rsid w:val="0065564B"/>
    <w:rsid w:val="006561AC"/>
    <w:rsid w:val="006563C2"/>
    <w:rsid w:val="00660BCD"/>
    <w:rsid w:val="00660D7E"/>
    <w:rsid w:val="00661303"/>
    <w:rsid w:val="006614BB"/>
    <w:rsid w:val="006618D6"/>
    <w:rsid w:val="006637D2"/>
    <w:rsid w:val="00665C21"/>
    <w:rsid w:val="00666ACB"/>
    <w:rsid w:val="00670476"/>
    <w:rsid w:val="006719A8"/>
    <w:rsid w:val="00672D21"/>
    <w:rsid w:val="00673595"/>
    <w:rsid w:val="0067377C"/>
    <w:rsid w:val="00673EB1"/>
    <w:rsid w:val="006740C2"/>
    <w:rsid w:val="00675CA9"/>
    <w:rsid w:val="00677803"/>
    <w:rsid w:val="006801D5"/>
    <w:rsid w:val="00683474"/>
    <w:rsid w:val="0068365C"/>
    <w:rsid w:val="006840AE"/>
    <w:rsid w:val="00685F64"/>
    <w:rsid w:val="00686089"/>
    <w:rsid w:val="00687CDB"/>
    <w:rsid w:val="00690A75"/>
    <w:rsid w:val="00691528"/>
    <w:rsid w:val="00692738"/>
    <w:rsid w:val="006930AC"/>
    <w:rsid w:val="00693648"/>
    <w:rsid w:val="00693F4E"/>
    <w:rsid w:val="00694314"/>
    <w:rsid w:val="00694397"/>
    <w:rsid w:val="00694C90"/>
    <w:rsid w:val="00695676"/>
    <w:rsid w:val="0069772B"/>
    <w:rsid w:val="00697FC5"/>
    <w:rsid w:val="006A1031"/>
    <w:rsid w:val="006A1EB3"/>
    <w:rsid w:val="006A2214"/>
    <w:rsid w:val="006A2F0D"/>
    <w:rsid w:val="006A31B2"/>
    <w:rsid w:val="006A4D83"/>
    <w:rsid w:val="006A4DC5"/>
    <w:rsid w:val="006A59E6"/>
    <w:rsid w:val="006A5B57"/>
    <w:rsid w:val="006A5DEF"/>
    <w:rsid w:val="006A5FC4"/>
    <w:rsid w:val="006A6DD0"/>
    <w:rsid w:val="006A7272"/>
    <w:rsid w:val="006A7F99"/>
    <w:rsid w:val="006B0216"/>
    <w:rsid w:val="006B035B"/>
    <w:rsid w:val="006B0BC7"/>
    <w:rsid w:val="006B268C"/>
    <w:rsid w:val="006B2FA8"/>
    <w:rsid w:val="006B43B5"/>
    <w:rsid w:val="006B56EA"/>
    <w:rsid w:val="006B7226"/>
    <w:rsid w:val="006B7228"/>
    <w:rsid w:val="006B7375"/>
    <w:rsid w:val="006C013A"/>
    <w:rsid w:val="006C18EB"/>
    <w:rsid w:val="006C2B97"/>
    <w:rsid w:val="006C3E3C"/>
    <w:rsid w:val="006C50D5"/>
    <w:rsid w:val="006C5BAB"/>
    <w:rsid w:val="006C5DA3"/>
    <w:rsid w:val="006C716A"/>
    <w:rsid w:val="006C74E3"/>
    <w:rsid w:val="006C7DE0"/>
    <w:rsid w:val="006D00B1"/>
    <w:rsid w:val="006D0FE6"/>
    <w:rsid w:val="006D1BE0"/>
    <w:rsid w:val="006D1C42"/>
    <w:rsid w:val="006D257A"/>
    <w:rsid w:val="006D2919"/>
    <w:rsid w:val="006D29CB"/>
    <w:rsid w:val="006D2D38"/>
    <w:rsid w:val="006D336A"/>
    <w:rsid w:val="006D4B0E"/>
    <w:rsid w:val="006D54E0"/>
    <w:rsid w:val="006D61A8"/>
    <w:rsid w:val="006D67C9"/>
    <w:rsid w:val="006E127E"/>
    <w:rsid w:val="006E261B"/>
    <w:rsid w:val="006E2A79"/>
    <w:rsid w:val="006E2E7C"/>
    <w:rsid w:val="006E372E"/>
    <w:rsid w:val="006E3C4E"/>
    <w:rsid w:val="006E49C1"/>
    <w:rsid w:val="006E4B65"/>
    <w:rsid w:val="006E56D7"/>
    <w:rsid w:val="006E6231"/>
    <w:rsid w:val="006E7C76"/>
    <w:rsid w:val="006F09C0"/>
    <w:rsid w:val="006F366B"/>
    <w:rsid w:val="006F36A6"/>
    <w:rsid w:val="006F4CF2"/>
    <w:rsid w:val="006F4D98"/>
    <w:rsid w:val="006F7B96"/>
    <w:rsid w:val="00702CE7"/>
    <w:rsid w:val="007030B1"/>
    <w:rsid w:val="0070391A"/>
    <w:rsid w:val="00703D5A"/>
    <w:rsid w:val="00704EB2"/>
    <w:rsid w:val="007056FC"/>
    <w:rsid w:val="0070688E"/>
    <w:rsid w:val="007076F4"/>
    <w:rsid w:val="007078EC"/>
    <w:rsid w:val="007100F8"/>
    <w:rsid w:val="007125FE"/>
    <w:rsid w:val="0071294F"/>
    <w:rsid w:val="00712A8B"/>
    <w:rsid w:val="0071737F"/>
    <w:rsid w:val="00717C2E"/>
    <w:rsid w:val="00720AFD"/>
    <w:rsid w:val="00720F2A"/>
    <w:rsid w:val="00723351"/>
    <w:rsid w:val="0072477A"/>
    <w:rsid w:val="007254A2"/>
    <w:rsid w:val="00725E4D"/>
    <w:rsid w:val="00731A22"/>
    <w:rsid w:val="00731BA4"/>
    <w:rsid w:val="00731D5E"/>
    <w:rsid w:val="00731D70"/>
    <w:rsid w:val="00731E78"/>
    <w:rsid w:val="00732045"/>
    <w:rsid w:val="00733324"/>
    <w:rsid w:val="00735355"/>
    <w:rsid w:val="00735A8F"/>
    <w:rsid w:val="0073696E"/>
    <w:rsid w:val="00737E4C"/>
    <w:rsid w:val="00740203"/>
    <w:rsid w:val="0074238F"/>
    <w:rsid w:val="00742C8C"/>
    <w:rsid w:val="0074348C"/>
    <w:rsid w:val="00743AE5"/>
    <w:rsid w:val="00744098"/>
    <w:rsid w:val="00745E44"/>
    <w:rsid w:val="0074620B"/>
    <w:rsid w:val="0074696F"/>
    <w:rsid w:val="00746E71"/>
    <w:rsid w:val="00747B85"/>
    <w:rsid w:val="00750653"/>
    <w:rsid w:val="00751B5E"/>
    <w:rsid w:val="00752070"/>
    <w:rsid w:val="00755024"/>
    <w:rsid w:val="007555FA"/>
    <w:rsid w:val="007573B7"/>
    <w:rsid w:val="00757B44"/>
    <w:rsid w:val="00760517"/>
    <w:rsid w:val="00761505"/>
    <w:rsid w:val="00761668"/>
    <w:rsid w:val="00763797"/>
    <w:rsid w:val="007639D5"/>
    <w:rsid w:val="00765653"/>
    <w:rsid w:val="00766961"/>
    <w:rsid w:val="00767072"/>
    <w:rsid w:val="00767A90"/>
    <w:rsid w:val="00767C1B"/>
    <w:rsid w:val="00770015"/>
    <w:rsid w:val="0077026E"/>
    <w:rsid w:val="0077092C"/>
    <w:rsid w:val="007716A5"/>
    <w:rsid w:val="0077422F"/>
    <w:rsid w:val="007763FC"/>
    <w:rsid w:val="00776653"/>
    <w:rsid w:val="00776677"/>
    <w:rsid w:val="0078076D"/>
    <w:rsid w:val="00780965"/>
    <w:rsid w:val="00780C7B"/>
    <w:rsid w:val="00781E89"/>
    <w:rsid w:val="00782535"/>
    <w:rsid w:val="0078361D"/>
    <w:rsid w:val="0078373E"/>
    <w:rsid w:val="00784768"/>
    <w:rsid w:val="0078481A"/>
    <w:rsid w:val="007856A6"/>
    <w:rsid w:val="00786CAD"/>
    <w:rsid w:val="00786FA3"/>
    <w:rsid w:val="007872F1"/>
    <w:rsid w:val="00790B12"/>
    <w:rsid w:val="00790ECB"/>
    <w:rsid w:val="00791B4B"/>
    <w:rsid w:val="00791C7D"/>
    <w:rsid w:val="00792438"/>
    <w:rsid w:val="00792871"/>
    <w:rsid w:val="00792A8C"/>
    <w:rsid w:val="00792C2C"/>
    <w:rsid w:val="007943EA"/>
    <w:rsid w:val="00794AE2"/>
    <w:rsid w:val="00795F76"/>
    <w:rsid w:val="00796266"/>
    <w:rsid w:val="00796ADF"/>
    <w:rsid w:val="007A01AB"/>
    <w:rsid w:val="007A1F6D"/>
    <w:rsid w:val="007A2027"/>
    <w:rsid w:val="007A25B7"/>
    <w:rsid w:val="007A3FCC"/>
    <w:rsid w:val="007A43A1"/>
    <w:rsid w:val="007A4B59"/>
    <w:rsid w:val="007A4DD7"/>
    <w:rsid w:val="007A6121"/>
    <w:rsid w:val="007A617F"/>
    <w:rsid w:val="007A741E"/>
    <w:rsid w:val="007B06DE"/>
    <w:rsid w:val="007B0993"/>
    <w:rsid w:val="007B2507"/>
    <w:rsid w:val="007B2BB2"/>
    <w:rsid w:val="007B315C"/>
    <w:rsid w:val="007B3412"/>
    <w:rsid w:val="007B3811"/>
    <w:rsid w:val="007B3AEE"/>
    <w:rsid w:val="007B420B"/>
    <w:rsid w:val="007B426B"/>
    <w:rsid w:val="007B4A16"/>
    <w:rsid w:val="007B54F5"/>
    <w:rsid w:val="007B5B88"/>
    <w:rsid w:val="007B7C14"/>
    <w:rsid w:val="007C1B69"/>
    <w:rsid w:val="007C302B"/>
    <w:rsid w:val="007C3534"/>
    <w:rsid w:val="007C3FF6"/>
    <w:rsid w:val="007C4F44"/>
    <w:rsid w:val="007C6331"/>
    <w:rsid w:val="007D0197"/>
    <w:rsid w:val="007D01CD"/>
    <w:rsid w:val="007D0245"/>
    <w:rsid w:val="007D02FB"/>
    <w:rsid w:val="007D0937"/>
    <w:rsid w:val="007D1EF7"/>
    <w:rsid w:val="007D309A"/>
    <w:rsid w:val="007D3618"/>
    <w:rsid w:val="007D44E4"/>
    <w:rsid w:val="007D52DD"/>
    <w:rsid w:val="007D7224"/>
    <w:rsid w:val="007D773B"/>
    <w:rsid w:val="007E08C3"/>
    <w:rsid w:val="007E26B2"/>
    <w:rsid w:val="007E2F30"/>
    <w:rsid w:val="007E2FFF"/>
    <w:rsid w:val="007E4C94"/>
    <w:rsid w:val="007E523B"/>
    <w:rsid w:val="007E5347"/>
    <w:rsid w:val="007E5D83"/>
    <w:rsid w:val="007E71C3"/>
    <w:rsid w:val="007F0F19"/>
    <w:rsid w:val="007F3168"/>
    <w:rsid w:val="007F3EE0"/>
    <w:rsid w:val="007F44AF"/>
    <w:rsid w:val="007F536C"/>
    <w:rsid w:val="007F6069"/>
    <w:rsid w:val="007F620E"/>
    <w:rsid w:val="007F6CF5"/>
    <w:rsid w:val="007F6E07"/>
    <w:rsid w:val="00801162"/>
    <w:rsid w:val="008011D1"/>
    <w:rsid w:val="00801CD9"/>
    <w:rsid w:val="00802101"/>
    <w:rsid w:val="0080218A"/>
    <w:rsid w:val="00802701"/>
    <w:rsid w:val="008033B0"/>
    <w:rsid w:val="0080365E"/>
    <w:rsid w:val="00804473"/>
    <w:rsid w:val="008056D1"/>
    <w:rsid w:val="00806B28"/>
    <w:rsid w:val="00806E6C"/>
    <w:rsid w:val="00807484"/>
    <w:rsid w:val="008075C8"/>
    <w:rsid w:val="00807BAF"/>
    <w:rsid w:val="008103E4"/>
    <w:rsid w:val="00810660"/>
    <w:rsid w:val="00811DB1"/>
    <w:rsid w:val="00811FD4"/>
    <w:rsid w:val="00812337"/>
    <w:rsid w:val="00815A17"/>
    <w:rsid w:val="00815B3C"/>
    <w:rsid w:val="00815F1F"/>
    <w:rsid w:val="0081626F"/>
    <w:rsid w:val="008165F8"/>
    <w:rsid w:val="0081681B"/>
    <w:rsid w:val="00817D37"/>
    <w:rsid w:val="00820472"/>
    <w:rsid w:val="00823542"/>
    <w:rsid w:val="008242D4"/>
    <w:rsid w:val="008265FE"/>
    <w:rsid w:val="0082695A"/>
    <w:rsid w:val="00826A74"/>
    <w:rsid w:val="00826CDB"/>
    <w:rsid w:val="00827963"/>
    <w:rsid w:val="00827E3C"/>
    <w:rsid w:val="0083350A"/>
    <w:rsid w:val="00835E33"/>
    <w:rsid w:val="00836B7D"/>
    <w:rsid w:val="00836E56"/>
    <w:rsid w:val="00840FCE"/>
    <w:rsid w:val="008422B9"/>
    <w:rsid w:val="00842C96"/>
    <w:rsid w:val="008432BE"/>
    <w:rsid w:val="00845041"/>
    <w:rsid w:val="008450FB"/>
    <w:rsid w:val="0084648B"/>
    <w:rsid w:val="00846841"/>
    <w:rsid w:val="008468DB"/>
    <w:rsid w:val="00846CE4"/>
    <w:rsid w:val="00850205"/>
    <w:rsid w:val="008523D7"/>
    <w:rsid w:val="008524EA"/>
    <w:rsid w:val="0085251F"/>
    <w:rsid w:val="00855FD7"/>
    <w:rsid w:val="00856406"/>
    <w:rsid w:val="00856421"/>
    <w:rsid w:val="008570E8"/>
    <w:rsid w:val="00857C05"/>
    <w:rsid w:val="00862D37"/>
    <w:rsid w:val="00862E3A"/>
    <w:rsid w:val="00862F95"/>
    <w:rsid w:val="0086383F"/>
    <w:rsid w:val="008638B7"/>
    <w:rsid w:val="00863E16"/>
    <w:rsid w:val="0086406F"/>
    <w:rsid w:val="00864076"/>
    <w:rsid w:val="00864877"/>
    <w:rsid w:val="008664CA"/>
    <w:rsid w:val="00866755"/>
    <w:rsid w:val="008724EA"/>
    <w:rsid w:val="00872F08"/>
    <w:rsid w:val="00873685"/>
    <w:rsid w:val="00873D9F"/>
    <w:rsid w:val="0087434E"/>
    <w:rsid w:val="0087465B"/>
    <w:rsid w:val="00874752"/>
    <w:rsid w:val="00874760"/>
    <w:rsid w:val="008757E7"/>
    <w:rsid w:val="00877B4C"/>
    <w:rsid w:val="008807D5"/>
    <w:rsid w:val="00880855"/>
    <w:rsid w:val="00881468"/>
    <w:rsid w:val="008844B6"/>
    <w:rsid w:val="00885956"/>
    <w:rsid w:val="008859EC"/>
    <w:rsid w:val="008860A0"/>
    <w:rsid w:val="00886844"/>
    <w:rsid w:val="00886869"/>
    <w:rsid w:val="00886FF3"/>
    <w:rsid w:val="00887E3A"/>
    <w:rsid w:val="00890523"/>
    <w:rsid w:val="00890530"/>
    <w:rsid w:val="008909E8"/>
    <w:rsid w:val="00890C10"/>
    <w:rsid w:val="0089132F"/>
    <w:rsid w:val="0089395F"/>
    <w:rsid w:val="00893B4A"/>
    <w:rsid w:val="00896041"/>
    <w:rsid w:val="008975CD"/>
    <w:rsid w:val="008978CC"/>
    <w:rsid w:val="008A0129"/>
    <w:rsid w:val="008A2D9C"/>
    <w:rsid w:val="008A38FD"/>
    <w:rsid w:val="008A590A"/>
    <w:rsid w:val="008A5CD0"/>
    <w:rsid w:val="008A5E94"/>
    <w:rsid w:val="008A62E0"/>
    <w:rsid w:val="008A774B"/>
    <w:rsid w:val="008B01C1"/>
    <w:rsid w:val="008B0871"/>
    <w:rsid w:val="008B0925"/>
    <w:rsid w:val="008B2423"/>
    <w:rsid w:val="008B2C57"/>
    <w:rsid w:val="008B3EBF"/>
    <w:rsid w:val="008B596C"/>
    <w:rsid w:val="008B67E2"/>
    <w:rsid w:val="008B6C8C"/>
    <w:rsid w:val="008B74F3"/>
    <w:rsid w:val="008B7809"/>
    <w:rsid w:val="008C014A"/>
    <w:rsid w:val="008C0297"/>
    <w:rsid w:val="008C08A2"/>
    <w:rsid w:val="008C09F7"/>
    <w:rsid w:val="008C15C2"/>
    <w:rsid w:val="008C1932"/>
    <w:rsid w:val="008C2208"/>
    <w:rsid w:val="008C2CCE"/>
    <w:rsid w:val="008C310A"/>
    <w:rsid w:val="008C3221"/>
    <w:rsid w:val="008C3940"/>
    <w:rsid w:val="008C4037"/>
    <w:rsid w:val="008C4229"/>
    <w:rsid w:val="008C4421"/>
    <w:rsid w:val="008C49EC"/>
    <w:rsid w:val="008C7EF8"/>
    <w:rsid w:val="008D23D4"/>
    <w:rsid w:val="008D2705"/>
    <w:rsid w:val="008D32E4"/>
    <w:rsid w:val="008D35C2"/>
    <w:rsid w:val="008D440C"/>
    <w:rsid w:val="008D4B42"/>
    <w:rsid w:val="008D5A9F"/>
    <w:rsid w:val="008D65BA"/>
    <w:rsid w:val="008D7291"/>
    <w:rsid w:val="008E05EE"/>
    <w:rsid w:val="008E09D9"/>
    <w:rsid w:val="008E0B05"/>
    <w:rsid w:val="008E0B83"/>
    <w:rsid w:val="008E182E"/>
    <w:rsid w:val="008E29B6"/>
    <w:rsid w:val="008E3450"/>
    <w:rsid w:val="008E40D7"/>
    <w:rsid w:val="008E4336"/>
    <w:rsid w:val="008E45D4"/>
    <w:rsid w:val="008E4BB6"/>
    <w:rsid w:val="008E4E4D"/>
    <w:rsid w:val="008E5FCE"/>
    <w:rsid w:val="008F11D9"/>
    <w:rsid w:val="008F280F"/>
    <w:rsid w:val="008F30C3"/>
    <w:rsid w:val="008F38B8"/>
    <w:rsid w:val="008F3D96"/>
    <w:rsid w:val="0090166C"/>
    <w:rsid w:val="00901BB3"/>
    <w:rsid w:val="009023C1"/>
    <w:rsid w:val="009029B1"/>
    <w:rsid w:val="0090347D"/>
    <w:rsid w:val="00903A99"/>
    <w:rsid w:val="00904231"/>
    <w:rsid w:val="009050CC"/>
    <w:rsid w:val="00905660"/>
    <w:rsid w:val="00905AEA"/>
    <w:rsid w:val="00906ABD"/>
    <w:rsid w:val="00907A0F"/>
    <w:rsid w:val="009102B9"/>
    <w:rsid w:val="00910A57"/>
    <w:rsid w:val="009119D5"/>
    <w:rsid w:val="00911C12"/>
    <w:rsid w:val="0091263E"/>
    <w:rsid w:val="0091390C"/>
    <w:rsid w:val="0091401C"/>
    <w:rsid w:val="00915118"/>
    <w:rsid w:val="0091528C"/>
    <w:rsid w:val="00915393"/>
    <w:rsid w:val="00916611"/>
    <w:rsid w:val="009202B1"/>
    <w:rsid w:val="00921022"/>
    <w:rsid w:val="00921B02"/>
    <w:rsid w:val="009223B2"/>
    <w:rsid w:val="009224D2"/>
    <w:rsid w:val="009239C8"/>
    <w:rsid w:val="00924290"/>
    <w:rsid w:val="00925316"/>
    <w:rsid w:val="00925646"/>
    <w:rsid w:val="00925FAB"/>
    <w:rsid w:val="009263F6"/>
    <w:rsid w:val="00926414"/>
    <w:rsid w:val="00926ABD"/>
    <w:rsid w:val="00926E66"/>
    <w:rsid w:val="00930407"/>
    <w:rsid w:val="009304D3"/>
    <w:rsid w:val="00932C7B"/>
    <w:rsid w:val="00932FC1"/>
    <w:rsid w:val="009353F3"/>
    <w:rsid w:val="00935681"/>
    <w:rsid w:val="00935777"/>
    <w:rsid w:val="0093789C"/>
    <w:rsid w:val="00937912"/>
    <w:rsid w:val="00937AA9"/>
    <w:rsid w:val="00940563"/>
    <w:rsid w:val="0094325E"/>
    <w:rsid w:val="00944174"/>
    <w:rsid w:val="00944BCC"/>
    <w:rsid w:val="00944CBD"/>
    <w:rsid w:val="00950351"/>
    <w:rsid w:val="00952321"/>
    <w:rsid w:val="00952D0E"/>
    <w:rsid w:val="00955FDE"/>
    <w:rsid w:val="0095647F"/>
    <w:rsid w:val="0096047A"/>
    <w:rsid w:val="00960579"/>
    <w:rsid w:val="0096099E"/>
    <w:rsid w:val="00960ECB"/>
    <w:rsid w:val="00961161"/>
    <w:rsid w:val="0096232F"/>
    <w:rsid w:val="00962835"/>
    <w:rsid w:val="00962BA6"/>
    <w:rsid w:val="00963EEF"/>
    <w:rsid w:val="0096600D"/>
    <w:rsid w:val="00967271"/>
    <w:rsid w:val="00972D8C"/>
    <w:rsid w:val="009733F5"/>
    <w:rsid w:val="00974E26"/>
    <w:rsid w:val="00975197"/>
    <w:rsid w:val="00975C71"/>
    <w:rsid w:val="009766AE"/>
    <w:rsid w:val="009769DD"/>
    <w:rsid w:val="00980A97"/>
    <w:rsid w:val="00980C5E"/>
    <w:rsid w:val="00982F4E"/>
    <w:rsid w:val="00983BCA"/>
    <w:rsid w:val="0098468A"/>
    <w:rsid w:val="009856D2"/>
    <w:rsid w:val="00986840"/>
    <w:rsid w:val="00987BC5"/>
    <w:rsid w:val="0099139C"/>
    <w:rsid w:val="00991881"/>
    <w:rsid w:val="009923B8"/>
    <w:rsid w:val="00992EF7"/>
    <w:rsid w:val="0099440F"/>
    <w:rsid w:val="00994C11"/>
    <w:rsid w:val="0099600C"/>
    <w:rsid w:val="009969B5"/>
    <w:rsid w:val="009977A6"/>
    <w:rsid w:val="009A0993"/>
    <w:rsid w:val="009A16D1"/>
    <w:rsid w:val="009A286A"/>
    <w:rsid w:val="009A2FCE"/>
    <w:rsid w:val="009A3CC3"/>
    <w:rsid w:val="009A62F6"/>
    <w:rsid w:val="009A685D"/>
    <w:rsid w:val="009A7318"/>
    <w:rsid w:val="009A76E0"/>
    <w:rsid w:val="009B1C7A"/>
    <w:rsid w:val="009B491F"/>
    <w:rsid w:val="009B511D"/>
    <w:rsid w:val="009B67D6"/>
    <w:rsid w:val="009B69FF"/>
    <w:rsid w:val="009B7196"/>
    <w:rsid w:val="009B7D41"/>
    <w:rsid w:val="009C0816"/>
    <w:rsid w:val="009C0FD3"/>
    <w:rsid w:val="009C0FD6"/>
    <w:rsid w:val="009C18FA"/>
    <w:rsid w:val="009C21B8"/>
    <w:rsid w:val="009C2EAD"/>
    <w:rsid w:val="009C5FFE"/>
    <w:rsid w:val="009C7393"/>
    <w:rsid w:val="009D00D7"/>
    <w:rsid w:val="009D07BF"/>
    <w:rsid w:val="009D1923"/>
    <w:rsid w:val="009D1C41"/>
    <w:rsid w:val="009D2AEE"/>
    <w:rsid w:val="009D3445"/>
    <w:rsid w:val="009D3DAF"/>
    <w:rsid w:val="009D4FAA"/>
    <w:rsid w:val="009D716C"/>
    <w:rsid w:val="009E04CD"/>
    <w:rsid w:val="009E07F2"/>
    <w:rsid w:val="009E0C84"/>
    <w:rsid w:val="009E131F"/>
    <w:rsid w:val="009E2EEC"/>
    <w:rsid w:val="009E36D1"/>
    <w:rsid w:val="009E3DBC"/>
    <w:rsid w:val="009E4640"/>
    <w:rsid w:val="009E48E4"/>
    <w:rsid w:val="009E543A"/>
    <w:rsid w:val="009E643E"/>
    <w:rsid w:val="009E70AD"/>
    <w:rsid w:val="009F14B9"/>
    <w:rsid w:val="009F6665"/>
    <w:rsid w:val="009F6892"/>
    <w:rsid w:val="009F6924"/>
    <w:rsid w:val="009F69B0"/>
    <w:rsid w:val="009F702C"/>
    <w:rsid w:val="009F78E3"/>
    <w:rsid w:val="00A0377B"/>
    <w:rsid w:val="00A06256"/>
    <w:rsid w:val="00A07955"/>
    <w:rsid w:val="00A07A96"/>
    <w:rsid w:val="00A07C15"/>
    <w:rsid w:val="00A10150"/>
    <w:rsid w:val="00A10629"/>
    <w:rsid w:val="00A10A5D"/>
    <w:rsid w:val="00A1179E"/>
    <w:rsid w:val="00A121B7"/>
    <w:rsid w:val="00A13A92"/>
    <w:rsid w:val="00A14389"/>
    <w:rsid w:val="00A15D5B"/>
    <w:rsid w:val="00A17418"/>
    <w:rsid w:val="00A2109E"/>
    <w:rsid w:val="00A22847"/>
    <w:rsid w:val="00A23AB2"/>
    <w:rsid w:val="00A245CC"/>
    <w:rsid w:val="00A246B3"/>
    <w:rsid w:val="00A24E91"/>
    <w:rsid w:val="00A2545C"/>
    <w:rsid w:val="00A26083"/>
    <w:rsid w:val="00A30E71"/>
    <w:rsid w:val="00A31983"/>
    <w:rsid w:val="00A319DE"/>
    <w:rsid w:val="00A322D6"/>
    <w:rsid w:val="00A34656"/>
    <w:rsid w:val="00A357AB"/>
    <w:rsid w:val="00A35FC7"/>
    <w:rsid w:val="00A36321"/>
    <w:rsid w:val="00A36C83"/>
    <w:rsid w:val="00A37900"/>
    <w:rsid w:val="00A4060E"/>
    <w:rsid w:val="00A40847"/>
    <w:rsid w:val="00A4115E"/>
    <w:rsid w:val="00A412D7"/>
    <w:rsid w:val="00A44D32"/>
    <w:rsid w:val="00A4526F"/>
    <w:rsid w:val="00A466CF"/>
    <w:rsid w:val="00A47F4B"/>
    <w:rsid w:val="00A50157"/>
    <w:rsid w:val="00A50A21"/>
    <w:rsid w:val="00A51D0A"/>
    <w:rsid w:val="00A51E48"/>
    <w:rsid w:val="00A5251A"/>
    <w:rsid w:val="00A533F4"/>
    <w:rsid w:val="00A534F6"/>
    <w:rsid w:val="00A53A8F"/>
    <w:rsid w:val="00A56E40"/>
    <w:rsid w:val="00A57281"/>
    <w:rsid w:val="00A576B4"/>
    <w:rsid w:val="00A60203"/>
    <w:rsid w:val="00A605C8"/>
    <w:rsid w:val="00A611A7"/>
    <w:rsid w:val="00A61A5D"/>
    <w:rsid w:val="00A62BEA"/>
    <w:rsid w:val="00A66C63"/>
    <w:rsid w:val="00A66DA8"/>
    <w:rsid w:val="00A67E89"/>
    <w:rsid w:val="00A7073F"/>
    <w:rsid w:val="00A70DA5"/>
    <w:rsid w:val="00A70E16"/>
    <w:rsid w:val="00A7395E"/>
    <w:rsid w:val="00A74A48"/>
    <w:rsid w:val="00A74DFE"/>
    <w:rsid w:val="00A75D2D"/>
    <w:rsid w:val="00A76027"/>
    <w:rsid w:val="00A77053"/>
    <w:rsid w:val="00A7720F"/>
    <w:rsid w:val="00A778AE"/>
    <w:rsid w:val="00A833D6"/>
    <w:rsid w:val="00A83C82"/>
    <w:rsid w:val="00A840D9"/>
    <w:rsid w:val="00A84957"/>
    <w:rsid w:val="00A86489"/>
    <w:rsid w:val="00A86988"/>
    <w:rsid w:val="00A90886"/>
    <w:rsid w:val="00A909E5"/>
    <w:rsid w:val="00A910F1"/>
    <w:rsid w:val="00A9113A"/>
    <w:rsid w:val="00A91191"/>
    <w:rsid w:val="00A92D0B"/>
    <w:rsid w:val="00A93F93"/>
    <w:rsid w:val="00A942AA"/>
    <w:rsid w:val="00A94B62"/>
    <w:rsid w:val="00A94CD3"/>
    <w:rsid w:val="00A94F2A"/>
    <w:rsid w:val="00A950AB"/>
    <w:rsid w:val="00A954F8"/>
    <w:rsid w:val="00A95F52"/>
    <w:rsid w:val="00A96207"/>
    <w:rsid w:val="00A96506"/>
    <w:rsid w:val="00A96761"/>
    <w:rsid w:val="00A97ED9"/>
    <w:rsid w:val="00AA1740"/>
    <w:rsid w:val="00AA39A7"/>
    <w:rsid w:val="00AA3A83"/>
    <w:rsid w:val="00AA3ACD"/>
    <w:rsid w:val="00AA42BC"/>
    <w:rsid w:val="00AA46A1"/>
    <w:rsid w:val="00AA48D4"/>
    <w:rsid w:val="00AA5AA4"/>
    <w:rsid w:val="00AA5EBE"/>
    <w:rsid w:val="00AA6369"/>
    <w:rsid w:val="00AA7026"/>
    <w:rsid w:val="00AA7CEE"/>
    <w:rsid w:val="00AA7DE0"/>
    <w:rsid w:val="00AB0781"/>
    <w:rsid w:val="00AB113A"/>
    <w:rsid w:val="00AB2250"/>
    <w:rsid w:val="00AB2399"/>
    <w:rsid w:val="00AB2960"/>
    <w:rsid w:val="00AB2F7F"/>
    <w:rsid w:val="00AB3510"/>
    <w:rsid w:val="00AB4E72"/>
    <w:rsid w:val="00AB5A1F"/>
    <w:rsid w:val="00AB5A6C"/>
    <w:rsid w:val="00AB74A7"/>
    <w:rsid w:val="00AC08BC"/>
    <w:rsid w:val="00AC0F7C"/>
    <w:rsid w:val="00AC239F"/>
    <w:rsid w:val="00AC2F39"/>
    <w:rsid w:val="00AC5A4B"/>
    <w:rsid w:val="00AC7ACC"/>
    <w:rsid w:val="00AD1FFE"/>
    <w:rsid w:val="00AD24B5"/>
    <w:rsid w:val="00AD3A76"/>
    <w:rsid w:val="00AD3F9A"/>
    <w:rsid w:val="00AD5797"/>
    <w:rsid w:val="00AD652C"/>
    <w:rsid w:val="00AD6B30"/>
    <w:rsid w:val="00AD6B44"/>
    <w:rsid w:val="00AD717C"/>
    <w:rsid w:val="00AD742A"/>
    <w:rsid w:val="00AE14C0"/>
    <w:rsid w:val="00AE2383"/>
    <w:rsid w:val="00AE429F"/>
    <w:rsid w:val="00AE6488"/>
    <w:rsid w:val="00AE79E7"/>
    <w:rsid w:val="00AF00F1"/>
    <w:rsid w:val="00AF1457"/>
    <w:rsid w:val="00AF1465"/>
    <w:rsid w:val="00AF3982"/>
    <w:rsid w:val="00AF45B7"/>
    <w:rsid w:val="00AF4837"/>
    <w:rsid w:val="00AF574F"/>
    <w:rsid w:val="00AF61A9"/>
    <w:rsid w:val="00AF621A"/>
    <w:rsid w:val="00AF6387"/>
    <w:rsid w:val="00B00BCD"/>
    <w:rsid w:val="00B01997"/>
    <w:rsid w:val="00B01A64"/>
    <w:rsid w:val="00B01ECE"/>
    <w:rsid w:val="00B03003"/>
    <w:rsid w:val="00B033B9"/>
    <w:rsid w:val="00B03787"/>
    <w:rsid w:val="00B0501A"/>
    <w:rsid w:val="00B05BE2"/>
    <w:rsid w:val="00B05F3F"/>
    <w:rsid w:val="00B06F1F"/>
    <w:rsid w:val="00B11551"/>
    <w:rsid w:val="00B13846"/>
    <w:rsid w:val="00B142C3"/>
    <w:rsid w:val="00B147F3"/>
    <w:rsid w:val="00B14A27"/>
    <w:rsid w:val="00B152C8"/>
    <w:rsid w:val="00B1593B"/>
    <w:rsid w:val="00B17005"/>
    <w:rsid w:val="00B179E3"/>
    <w:rsid w:val="00B17D4F"/>
    <w:rsid w:val="00B21796"/>
    <w:rsid w:val="00B23428"/>
    <w:rsid w:val="00B23435"/>
    <w:rsid w:val="00B237A7"/>
    <w:rsid w:val="00B239C9"/>
    <w:rsid w:val="00B23E27"/>
    <w:rsid w:val="00B24C51"/>
    <w:rsid w:val="00B24E04"/>
    <w:rsid w:val="00B2654C"/>
    <w:rsid w:val="00B2705C"/>
    <w:rsid w:val="00B312DA"/>
    <w:rsid w:val="00B31565"/>
    <w:rsid w:val="00B33D3B"/>
    <w:rsid w:val="00B34E1A"/>
    <w:rsid w:val="00B34F2A"/>
    <w:rsid w:val="00B35E8A"/>
    <w:rsid w:val="00B36BDE"/>
    <w:rsid w:val="00B37CF1"/>
    <w:rsid w:val="00B40AA8"/>
    <w:rsid w:val="00B41CA9"/>
    <w:rsid w:val="00B4265F"/>
    <w:rsid w:val="00B42CC8"/>
    <w:rsid w:val="00B42FCF"/>
    <w:rsid w:val="00B44DFE"/>
    <w:rsid w:val="00B45094"/>
    <w:rsid w:val="00B45266"/>
    <w:rsid w:val="00B4533C"/>
    <w:rsid w:val="00B46601"/>
    <w:rsid w:val="00B466BD"/>
    <w:rsid w:val="00B50661"/>
    <w:rsid w:val="00B51243"/>
    <w:rsid w:val="00B514CD"/>
    <w:rsid w:val="00B51C2B"/>
    <w:rsid w:val="00B51F03"/>
    <w:rsid w:val="00B53436"/>
    <w:rsid w:val="00B53437"/>
    <w:rsid w:val="00B534AF"/>
    <w:rsid w:val="00B53CE0"/>
    <w:rsid w:val="00B53E21"/>
    <w:rsid w:val="00B54991"/>
    <w:rsid w:val="00B549BF"/>
    <w:rsid w:val="00B55CCD"/>
    <w:rsid w:val="00B55D78"/>
    <w:rsid w:val="00B60398"/>
    <w:rsid w:val="00B622D7"/>
    <w:rsid w:val="00B624D2"/>
    <w:rsid w:val="00B62AC0"/>
    <w:rsid w:val="00B63604"/>
    <w:rsid w:val="00B6442A"/>
    <w:rsid w:val="00B64C47"/>
    <w:rsid w:val="00B66507"/>
    <w:rsid w:val="00B66CF5"/>
    <w:rsid w:val="00B67E8B"/>
    <w:rsid w:val="00B67FF1"/>
    <w:rsid w:val="00B702AF"/>
    <w:rsid w:val="00B705DC"/>
    <w:rsid w:val="00B71F4A"/>
    <w:rsid w:val="00B71FB2"/>
    <w:rsid w:val="00B7256C"/>
    <w:rsid w:val="00B74543"/>
    <w:rsid w:val="00B7458F"/>
    <w:rsid w:val="00B74E63"/>
    <w:rsid w:val="00B751D5"/>
    <w:rsid w:val="00B755CF"/>
    <w:rsid w:val="00B76E4A"/>
    <w:rsid w:val="00B80125"/>
    <w:rsid w:val="00B803D5"/>
    <w:rsid w:val="00B80C42"/>
    <w:rsid w:val="00B829EA"/>
    <w:rsid w:val="00B83658"/>
    <w:rsid w:val="00B846E2"/>
    <w:rsid w:val="00B847C9"/>
    <w:rsid w:val="00B84FBA"/>
    <w:rsid w:val="00B85212"/>
    <w:rsid w:val="00B861E9"/>
    <w:rsid w:val="00B86BB4"/>
    <w:rsid w:val="00B87A43"/>
    <w:rsid w:val="00B900D6"/>
    <w:rsid w:val="00B92E47"/>
    <w:rsid w:val="00B9511A"/>
    <w:rsid w:val="00B95ABD"/>
    <w:rsid w:val="00B9689E"/>
    <w:rsid w:val="00B97F3A"/>
    <w:rsid w:val="00B97F3F"/>
    <w:rsid w:val="00BA01AD"/>
    <w:rsid w:val="00BA100E"/>
    <w:rsid w:val="00BA3056"/>
    <w:rsid w:val="00BA372D"/>
    <w:rsid w:val="00BA548C"/>
    <w:rsid w:val="00BA54C3"/>
    <w:rsid w:val="00BA62EB"/>
    <w:rsid w:val="00BA6CA8"/>
    <w:rsid w:val="00BB01ED"/>
    <w:rsid w:val="00BB03C2"/>
    <w:rsid w:val="00BB10F0"/>
    <w:rsid w:val="00BB188F"/>
    <w:rsid w:val="00BB20AC"/>
    <w:rsid w:val="00BB28F2"/>
    <w:rsid w:val="00BB3367"/>
    <w:rsid w:val="00BB3F0E"/>
    <w:rsid w:val="00BB4464"/>
    <w:rsid w:val="00BB458A"/>
    <w:rsid w:val="00BB49BB"/>
    <w:rsid w:val="00BB5C5D"/>
    <w:rsid w:val="00BB619D"/>
    <w:rsid w:val="00BB702F"/>
    <w:rsid w:val="00BB7B4E"/>
    <w:rsid w:val="00BC0EBB"/>
    <w:rsid w:val="00BC1292"/>
    <w:rsid w:val="00BC1CFD"/>
    <w:rsid w:val="00BC23C2"/>
    <w:rsid w:val="00BC29EB"/>
    <w:rsid w:val="00BC35A5"/>
    <w:rsid w:val="00BC524D"/>
    <w:rsid w:val="00BC68D8"/>
    <w:rsid w:val="00BC721D"/>
    <w:rsid w:val="00BD02AE"/>
    <w:rsid w:val="00BD0C5B"/>
    <w:rsid w:val="00BD378B"/>
    <w:rsid w:val="00BD3A80"/>
    <w:rsid w:val="00BD3C76"/>
    <w:rsid w:val="00BD4206"/>
    <w:rsid w:val="00BD4CF6"/>
    <w:rsid w:val="00BD668F"/>
    <w:rsid w:val="00BD6A90"/>
    <w:rsid w:val="00BD6EAD"/>
    <w:rsid w:val="00BD747C"/>
    <w:rsid w:val="00BE0E2E"/>
    <w:rsid w:val="00BE3879"/>
    <w:rsid w:val="00BE45D0"/>
    <w:rsid w:val="00BE5135"/>
    <w:rsid w:val="00BE6038"/>
    <w:rsid w:val="00BE689A"/>
    <w:rsid w:val="00BF0C0E"/>
    <w:rsid w:val="00BF2F45"/>
    <w:rsid w:val="00BF36EF"/>
    <w:rsid w:val="00BF39C1"/>
    <w:rsid w:val="00BF4601"/>
    <w:rsid w:val="00BF4A1E"/>
    <w:rsid w:val="00BF4B1A"/>
    <w:rsid w:val="00BF5DF3"/>
    <w:rsid w:val="00C00287"/>
    <w:rsid w:val="00C017F0"/>
    <w:rsid w:val="00C01CD0"/>
    <w:rsid w:val="00C02649"/>
    <w:rsid w:val="00C03115"/>
    <w:rsid w:val="00C03268"/>
    <w:rsid w:val="00C0471D"/>
    <w:rsid w:val="00C04DA3"/>
    <w:rsid w:val="00C04EC0"/>
    <w:rsid w:val="00C053E9"/>
    <w:rsid w:val="00C074F5"/>
    <w:rsid w:val="00C11926"/>
    <w:rsid w:val="00C1295E"/>
    <w:rsid w:val="00C12C02"/>
    <w:rsid w:val="00C12CF8"/>
    <w:rsid w:val="00C13549"/>
    <w:rsid w:val="00C13B3F"/>
    <w:rsid w:val="00C1454C"/>
    <w:rsid w:val="00C15789"/>
    <w:rsid w:val="00C1617D"/>
    <w:rsid w:val="00C16981"/>
    <w:rsid w:val="00C22020"/>
    <w:rsid w:val="00C26B99"/>
    <w:rsid w:val="00C27B31"/>
    <w:rsid w:val="00C302F9"/>
    <w:rsid w:val="00C346F7"/>
    <w:rsid w:val="00C356BC"/>
    <w:rsid w:val="00C372E0"/>
    <w:rsid w:val="00C40BDF"/>
    <w:rsid w:val="00C40D1B"/>
    <w:rsid w:val="00C423BB"/>
    <w:rsid w:val="00C42571"/>
    <w:rsid w:val="00C42C4A"/>
    <w:rsid w:val="00C43963"/>
    <w:rsid w:val="00C44FF8"/>
    <w:rsid w:val="00C456C3"/>
    <w:rsid w:val="00C458AB"/>
    <w:rsid w:val="00C46B0B"/>
    <w:rsid w:val="00C46CB4"/>
    <w:rsid w:val="00C47A2B"/>
    <w:rsid w:val="00C553C7"/>
    <w:rsid w:val="00C5572D"/>
    <w:rsid w:val="00C56097"/>
    <w:rsid w:val="00C56205"/>
    <w:rsid w:val="00C56D6F"/>
    <w:rsid w:val="00C577EF"/>
    <w:rsid w:val="00C60190"/>
    <w:rsid w:val="00C610E4"/>
    <w:rsid w:val="00C62E01"/>
    <w:rsid w:val="00C6442E"/>
    <w:rsid w:val="00C65BE5"/>
    <w:rsid w:val="00C66C23"/>
    <w:rsid w:val="00C67B98"/>
    <w:rsid w:val="00C705CB"/>
    <w:rsid w:val="00C7158F"/>
    <w:rsid w:val="00C719B9"/>
    <w:rsid w:val="00C71AFD"/>
    <w:rsid w:val="00C71EF2"/>
    <w:rsid w:val="00C729E9"/>
    <w:rsid w:val="00C72A0A"/>
    <w:rsid w:val="00C732A4"/>
    <w:rsid w:val="00C732BA"/>
    <w:rsid w:val="00C742D7"/>
    <w:rsid w:val="00C744C2"/>
    <w:rsid w:val="00C74A16"/>
    <w:rsid w:val="00C7523B"/>
    <w:rsid w:val="00C759E8"/>
    <w:rsid w:val="00C75AD9"/>
    <w:rsid w:val="00C75FD9"/>
    <w:rsid w:val="00C7624C"/>
    <w:rsid w:val="00C765A2"/>
    <w:rsid w:val="00C77412"/>
    <w:rsid w:val="00C805E4"/>
    <w:rsid w:val="00C805FF"/>
    <w:rsid w:val="00C80771"/>
    <w:rsid w:val="00C8096F"/>
    <w:rsid w:val="00C815AE"/>
    <w:rsid w:val="00C84140"/>
    <w:rsid w:val="00C85025"/>
    <w:rsid w:val="00C870BC"/>
    <w:rsid w:val="00C87F96"/>
    <w:rsid w:val="00C90558"/>
    <w:rsid w:val="00C907D7"/>
    <w:rsid w:val="00C9111C"/>
    <w:rsid w:val="00C91C70"/>
    <w:rsid w:val="00C926FE"/>
    <w:rsid w:val="00C93798"/>
    <w:rsid w:val="00C9489C"/>
    <w:rsid w:val="00C955D2"/>
    <w:rsid w:val="00C97D82"/>
    <w:rsid w:val="00CA07E3"/>
    <w:rsid w:val="00CA216E"/>
    <w:rsid w:val="00CA2FB7"/>
    <w:rsid w:val="00CA35AC"/>
    <w:rsid w:val="00CA3A82"/>
    <w:rsid w:val="00CA3DA0"/>
    <w:rsid w:val="00CA43C5"/>
    <w:rsid w:val="00CA4995"/>
    <w:rsid w:val="00CA5F78"/>
    <w:rsid w:val="00CA6DB0"/>
    <w:rsid w:val="00CA7A3E"/>
    <w:rsid w:val="00CB0558"/>
    <w:rsid w:val="00CB1299"/>
    <w:rsid w:val="00CB3142"/>
    <w:rsid w:val="00CB3418"/>
    <w:rsid w:val="00CB4492"/>
    <w:rsid w:val="00CB4BA6"/>
    <w:rsid w:val="00CB573C"/>
    <w:rsid w:val="00CB58A8"/>
    <w:rsid w:val="00CB6936"/>
    <w:rsid w:val="00CB6C17"/>
    <w:rsid w:val="00CC0157"/>
    <w:rsid w:val="00CC0A3D"/>
    <w:rsid w:val="00CC0FD3"/>
    <w:rsid w:val="00CC10AF"/>
    <w:rsid w:val="00CC1638"/>
    <w:rsid w:val="00CC17D7"/>
    <w:rsid w:val="00CC1899"/>
    <w:rsid w:val="00CC2CA8"/>
    <w:rsid w:val="00CC47D5"/>
    <w:rsid w:val="00CC4B40"/>
    <w:rsid w:val="00CC4D6A"/>
    <w:rsid w:val="00CC4F45"/>
    <w:rsid w:val="00CC5451"/>
    <w:rsid w:val="00CC62BD"/>
    <w:rsid w:val="00CC67F0"/>
    <w:rsid w:val="00CC73DB"/>
    <w:rsid w:val="00CC7E74"/>
    <w:rsid w:val="00CD07A1"/>
    <w:rsid w:val="00CD0ABB"/>
    <w:rsid w:val="00CD3CF8"/>
    <w:rsid w:val="00CD4E1C"/>
    <w:rsid w:val="00CD568E"/>
    <w:rsid w:val="00CD64CD"/>
    <w:rsid w:val="00CD6886"/>
    <w:rsid w:val="00CD6A2B"/>
    <w:rsid w:val="00CD7D17"/>
    <w:rsid w:val="00CE011C"/>
    <w:rsid w:val="00CE057B"/>
    <w:rsid w:val="00CE05F1"/>
    <w:rsid w:val="00CE10D5"/>
    <w:rsid w:val="00CE17C9"/>
    <w:rsid w:val="00CE1A4E"/>
    <w:rsid w:val="00CE266F"/>
    <w:rsid w:val="00CE2A65"/>
    <w:rsid w:val="00CE34E9"/>
    <w:rsid w:val="00CE3AE0"/>
    <w:rsid w:val="00CE43F2"/>
    <w:rsid w:val="00CE43FD"/>
    <w:rsid w:val="00CE4812"/>
    <w:rsid w:val="00CF0470"/>
    <w:rsid w:val="00CF1129"/>
    <w:rsid w:val="00CF2541"/>
    <w:rsid w:val="00CF53D1"/>
    <w:rsid w:val="00CF5A76"/>
    <w:rsid w:val="00CF5BA9"/>
    <w:rsid w:val="00CF5D7A"/>
    <w:rsid w:val="00CF6112"/>
    <w:rsid w:val="00CF65C1"/>
    <w:rsid w:val="00CF6AA6"/>
    <w:rsid w:val="00CF756B"/>
    <w:rsid w:val="00CF75CC"/>
    <w:rsid w:val="00D0169F"/>
    <w:rsid w:val="00D02ABE"/>
    <w:rsid w:val="00D04BD8"/>
    <w:rsid w:val="00D05623"/>
    <w:rsid w:val="00D05F71"/>
    <w:rsid w:val="00D06323"/>
    <w:rsid w:val="00D06721"/>
    <w:rsid w:val="00D069E9"/>
    <w:rsid w:val="00D06B9B"/>
    <w:rsid w:val="00D075B1"/>
    <w:rsid w:val="00D076A5"/>
    <w:rsid w:val="00D07A88"/>
    <w:rsid w:val="00D07C9E"/>
    <w:rsid w:val="00D10372"/>
    <w:rsid w:val="00D108AB"/>
    <w:rsid w:val="00D10E2F"/>
    <w:rsid w:val="00D12BBA"/>
    <w:rsid w:val="00D13C5A"/>
    <w:rsid w:val="00D14C0F"/>
    <w:rsid w:val="00D16730"/>
    <w:rsid w:val="00D1778A"/>
    <w:rsid w:val="00D20D3C"/>
    <w:rsid w:val="00D215C0"/>
    <w:rsid w:val="00D225E8"/>
    <w:rsid w:val="00D23E5A"/>
    <w:rsid w:val="00D24910"/>
    <w:rsid w:val="00D24B87"/>
    <w:rsid w:val="00D25312"/>
    <w:rsid w:val="00D25CAC"/>
    <w:rsid w:val="00D262CA"/>
    <w:rsid w:val="00D27129"/>
    <w:rsid w:val="00D27280"/>
    <w:rsid w:val="00D27D5F"/>
    <w:rsid w:val="00D27DCB"/>
    <w:rsid w:val="00D30039"/>
    <w:rsid w:val="00D30C4F"/>
    <w:rsid w:val="00D32A88"/>
    <w:rsid w:val="00D33265"/>
    <w:rsid w:val="00D353C9"/>
    <w:rsid w:val="00D3582E"/>
    <w:rsid w:val="00D36695"/>
    <w:rsid w:val="00D36884"/>
    <w:rsid w:val="00D36927"/>
    <w:rsid w:val="00D36989"/>
    <w:rsid w:val="00D36B36"/>
    <w:rsid w:val="00D37C8D"/>
    <w:rsid w:val="00D401EE"/>
    <w:rsid w:val="00D407D3"/>
    <w:rsid w:val="00D428C6"/>
    <w:rsid w:val="00D42F6D"/>
    <w:rsid w:val="00D43370"/>
    <w:rsid w:val="00D43426"/>
    <w:rsid w:val="00D44530"/>
    <w:rsid w:val="00D44BFE"/>
    <w:rsid w:val="00D4523F"/>
    <w:rsid w:val="00D4757B"/>
    <w:rsid w:val="00D47CEF"/>
    <w:rsid w:val="00D516DC"/>
    <w:rsid w:val="00D51F09"/>
    <w:rsid w:val="00D52305"/>
    <w:rsid w:val="00D52560"/>
    <w:rsid w:val="00D53AA2"/>
    <w:rsid w:val="00D54302"/>
    <w:rsid w:val="00D563F7"/>
    <w:rsid w:val="00D56BCA"/>
    <w:rsid w:val="00D56BF0"/>
    <w:rsid w:val="00D56E2F"/>
    <w:rsid w:val="00D57BA2"/>
    <w:rsid w:val="00D57F8F"/>
    <w:rsid w:val="00D60024"/>
    <w:rsid w:val="00D62DAA"/>
    <w:rsid w:val="00D632D9"/>
    <w:rsid w:val="00D652DF"/>
    <w:rsid w:val="00D662BC"/>
    <w:rsid w:val="00D668E7"/>
    <w:rsid w:val="00D66C87"/>
    <w:rsid w:val="00D67794"/>
    <w:rsid w:val="00D677D8"/>
    <w:rsid w:val="00D67A9A"/>
    <w:rsid w:val="00D71BAF"/>
    <w:rsid w:val="00D741C7"/>
    <w:rsid w:val="00D74370"/>
    <w:rsid w:val="00D745E2"/>
    <w:rsid w:val="00D74F4E"/>
    <w:rsid w:val="00D75107"/>
    <w:rsid w:val="00D757E3"/>
    <w:rsid w:val="00D75F00"/>
    <w:rsid w:val="00D766D9"/>
    <w:rsid w:val="00D77403"/>
    <w:rsid w:val="00D77422"/>
    <w:rsid w:val="00D77539"/>
    <w:rsid w:val="00D77E7E"/>
    <w:rsid w:val="00D80470"/>
    <w:rsid w:val="00D80D26"/>
    <w:rsid w:val="00D8175B"/>
    <w:rsid w:val="00D81DFE"/>
    <w:rsid w:val="00D82159"/>
    <w:rsid w:val="00D82255"/>
    <w:rsid w:val="00D82ABC"/>
    <w:rsid w:val="00D8361C"/>
    <w:rsid w:val="00D8408B"/>
    <w:rsid w:val="00D84F94"/>
    <w:rsid w:val="00D84FF5"/>
    <w:rsid w:val="00D864A0"/>
    <w:rsid w:val="00D8769E"/>
    <w:rsid w:val="00D90ADD"/>
    <w:rsid w:val="00D9301E"/>
    <w:rsid w:val="00D9303D"/>
    <w:rsid w:val="00D978A2"/>
    <w:rsid w:val="00D979AE"/>
    <w:rsid w:val="00DA0BED"/>
    <w:rsid w:val="00DA179A"/>
    <w:rsid w:val="00DA201B"/>
    <w:rsid w:val="00DA27E0"/>
    <w:rsid w:val="00DA2BFB"/>
    <w:rsid w:val="00DA3AEE"/>
    <w:rsid w:val="00DA3FC3"/>
    <w:rsid w:val="00DA4198"/>
    <w:rsid w:val="00DA52B9"/>
    <w:rsid w:val="00DA7E4E"/>
    <w:rsid w:val="00DB02E2"/>
    <w:rsid w:val="00DB030C"/>
    <w:rsid w:val="00DB1304"/>
    <w:rsid w:val="00DB2A17"/>
    <w:rsid w:val="00DB41AE"/>
    <w:rsid w:val="00DB41CD"/>
    <w:rsid w:val="00DB4B64"/>
    <w:rsid w:val="00DB5FC1"/>
    <w:rsid w:val="00DB6C2B"/>
    <w:rsid w:val="00DB75F7"/>
    <w:rsid w:val="00DB7F5F"/>
    <w:rsid w:val="00DC06A1"/>
    <w:rsid w:val="00DC11AF"/>
    <w:rsid w:val="00DC14A2"/>
    <w:rsid w:val="00DC1FEE"/>
    <w:rsid w:val="00DC3145"/>
    <w:rsid w:val="00DC3748"/>
    <w:rsid w:val="00DC464A"/>
    <w:rsid w:val="00DC4F33"/>
    <w:rsid w:val="00DC64BB"/>
    <w:rsid w:val="00DC7FE5"/>
    <w:rsid w:val="00DD037B"/>
    <w:rsid w:val="00DD0480"/>
    <w:rsid w:val="00DD0EC4"/>
    <w:rsid w:val="00DD0F38"/>
    <w:rsid w:val="00DD1CC7"/>
    <w:rsid w:val="00DD3AF4"/>
    <w:rsid w:val="00DD40C5"/>
    <w:rsid w:val="00DD4E94"/>
    <w:rsid w:val="00DD52BB"/>
    <w:rsid w:val="00DD7BF0"/>
    <w:rsid w:val="00DE1B0B"/>
    <w:rsid w:val="00DE239F"/>
    <w:rsid w:val="00DE23B5"/>
    <w:rsid w:val="00DE2782"/>
    <w:rsid w:val="00DE29B0"/>
    <w:rsid w:val="00DE3A5D"/>
    <w:rsid w:val="00DE5A0A"/>
    <w:rsid w:val="00DE6C58"/>
    <w:rsid w:val="00DE7105"/>
    <w:rsid w:val="00DE753D"/>
    <w:rsid w:val="00DF0A6D"/>
    <w:rsid w:val="00DF1F1D"/>
    <w:rsid w:val="00DF2DF8"/>
    <w:rsid w:val="00DF35A5"/>
    <w:rsid w:val="00E00990"/>
    <w:rsid w:val="00E00FCE"/>
    <w:rsid w:val="00E044A0"/>
    <w:rsid w:val="00E04717"/>
    <w:rsid w:val="00E04EFA"/>
    <w:rsid w:val="00E04FCD"/>
    <w:rsid w:val="00E0503E"/>
    <w:rsid w:val="00E076D4"/>
    <w:rsid w:val="00E1008C"/>
    <w:rsid w:val="00E127CB"/>
    <w:rsid w:val="00E127FA"/>
    <w:rsid w:val="00E14DAD"/>
    <w:rsid w:val="00E15DC3"/>
    <w:rsid w:val="00E15FF7"/>
    <w:rsid w:val="00E161AD"/>
    <w:rsid w:val="00E17B34"/>
    <w:rsid w:val="00E210B6"/>
    <w:rsid w:val="00E21476"/>
    <w:rsid w:val="00E218ED"/>
    <w:rsid w:val="00E21EA5"/>
    <w:rsid w:val="00E221D0"/>
    <w:rsid w:val="00E23570"/>
    <w:rsid w:val="00E2409F"/>
    <w:rsid w:val="00E25078"/>
    <w:rsid w:val="00E2532E"/>
    <w:rsid w:val="00E2543B"/>
    <w:rsid w:val="00E25493"/>
    <w:rsid w:val="00E257A5"/>
    <w:rsid w:val="00E25A5E"/>
    <w:rsid w:val="00E263F3"/>
    <w:rsid w:val="00E348D2"/>
    <w:rsid w:val="00E3510C"/>
    <w:rsid w:val="00E3521E"/>
    <w:rsid w:val="00E353A1"/>
    <w:rsid w:val="00E3786F"/>
    <w:rsid w:val="00E379CA"/>
    <w:rsid w:val="00E400C7"/>
    <w:rsid w:val="00E40140"/>
    <w:rsid w:val="00E40D52"/>
    <w:rsid w:val="00E411E6"/>
    <w:rsid w:val="00E41396"/>
    <w:rsid w:val="00E4171C"/>
    <w:rsid w:val="00E423C0"/>
    <w:rsid w:val="00E47390"/>
    <w:rsid w:val="00E50CB5"/>
    <w:rsid w:val="00E52919"/>
    <w:rsid w:val="00E52992"/>
    <w:rsid w:val="00E54221"/>
    <w:rsid w:val="00E54EE6"/>
    <w:rsid w:val="00E55805"/>
    <w:rsid w:val="00E562C9"/>
    <w:rsid w:val="00E5661D"/>
    <w:rsid w:val="00E56D0B"/>
    <w:rsid w:val="00E57D00"/>
    <w:rsid w:val="00E60942"/>
    <w:rsid w:val="00E6174C"/>
    <w:rsid w:val="00E63124"/>
    <w:rsid w:val="00E65753"/>
    <w:rsid w:val="00E65A9E"/>
    <w:rsid w:val="00E66CBC"/>
    <w:rsid w:val="00E66FE7"/>
    <w:rsid w:val="00E703F2"/>
    <w:rsid w:val="00E7344D"/>
    <w:rsid w:val="00E739FC"/>
    <w:rsid w:val="00E7475C"/>
    <w:rsid w:val="00E75E09"/>
    <w:rsid w:val="00E764B0"/>
    <w:rsid w:val="00E775D0"/>
    <w:rsid w:val="00E806BC"/>
    <w:rsid w:val="00E81585"/>
    <w:rsid w:val="00E81B16"/>
    <w:rsid w:val="00E826BF"/>
    <w:rsid w:val="00E8275C"/>
    <w:rsid w:val="00E82F53"/>
    <w:rsid w:val="00E840C6"/>
    <w:rsid w:val="00E8433C"/>
    <w:rsid w:val="00E8449A"/>
    <w:rsid w:val="00E85779"/>
    <w:rsid w:val="00E85A93"/>
    <w:rsid w:val="00E86365"/>
    <w:rsid w:val="00E864B9"/>
    <w:rsid w:val="00E87263"/>
    <w:rsid w:val="00E874EF"/>
    <w:rsid w:val="00E87622"/>
    <w:rsid w:val="00E90524"/>
    <w:rsid w:val="00E91049"/>
    <w:rsid w:val="00E92A6F"/>
    <w:rsid w:val="00E9366A"/>
    <w:rsid w:val="00E9416C"/>
    <w:rsid w:val="00E948BC"/>
    <w:rsid w:val="00E94EAA"/>
    <w:rsid w:val="00E95098"/>
    <w:rsid w:val="00E959A0"/>
    <w:rsid w:val="00E96120"/>
    <w:rsid w:val="00E969D7"/>
    <w:rsid w:val="00EA125E"/>
    <w:rsid w:val="00EA144C"/>
    <w:rsid w:val="00EA1D11"/>
    <w:rsid w:val="00EA7B38"/>
    <w:rsid w:val="00EB0DBA"/>
    <w:rsid w:val="00EB1CF6"/>
    <w:rsid w:val="00EB2642"/>
    <w:rsid w:val="00EB2A8B"/>
    <w:rsid w:val="00EB2DAB"/>
    <w:rsid w:val="00EB3702"/>
    <w:rsid w:val="00EB4F43"/>
    <w:rsid w:val="00EB64CF"/>
    <w:rsid w:val="00EB6E75"/>
    <w:rsid w:val="00EC0465"/>
    <w:rsid w:val="00EC0AE6"/>
    <w:rsid w:val="00EC0B2D"/>
    <w:rsid w:val="00EC0C31"/>
    <w:rsid w:val="00EC3BAC"/>
    <w:rsid w:val="00EC3D99"/>
    <w:rsid w:val="00EC5C79"/>
    <w:rsid w:val="00EC6387"/>
    <w:rsid w:val="00EC7D59"/>
    <w:rsid w:val="00ED043B"/>
    <w:rsid w:val="00ED0CE3"/>
    <w:rsid w:val="00ED1644"/>
    <w:rsid w:val="00ED1FD4"/>
    <w:rsid w:val="00ED38F8"/>
    <w:rsid w:val="00ED45BC"/>
    <w:rsid w:val="00ED5DAC"/>
    <w:rsid w:val="00ED6B6B"/>
    <w:rsid w:val="00ED7750"/>
    <w:rsid w:val="00EE101C"/>
    <w:rsid w:val="00EE251A"/>
    <w:rsid w:val="00EE2FA5"/>
    <w:rsid w:val="00EE4DFF"/>
    <w:rsid w:val="00EE6232"/>
    <w:rsid w:val="00EF12D9"/>
    <w:rsid w:val="00EF430F"/>
    <w:rsid w:val="00EF5462"/>
    <w:rsid w:val="00F00762"/>
    <w:rsid w:val="00F00B77"/>
    <w:rsid w:val="00F02186"/>
    <w:rsid w:val="00F028C8"/>
    <w:rsid w:val="00F04460"/>
    <w:rsid w:val="00F04904"/>
    <w:rsid w:val="00F04ACF"/>
    <w:rsid w:val="00F050DA"/>
    <w:rsid w:val="00F06AD7"/>
    <w:rsid w:val="00F0701B"/>
    <w:rsid w:val="00F07A59"/>
    <w:rsid w:val="00F07FB6"/>
    <w:rsid w:val="00F11858"/>
    <w:rsid w:val="00F11D68"/>
    <w:rsid w:val="00F1207A"/>
    <w:rsid w:val="00F13F91"/>
    <w:rsid w:val="00F1420B"/>
    <w:rsid w:val="00F1421E"/>
    <w:rsid w:val="00F14B54"/>
    <w:rsid w:val="00F158CE"/>
    <w:rsid w:val="00F20061"/>
    <w:rsid w:val="00F20374"/>
    <w:rsid w:val="00F2116B"/>
    <w:rsid w:val="00F21C4E"/>
    <w:rsid w:val="00F21DC0"/>
    <w:rsid w:val="00F22FF2"/>
    <w:rsid w:val="00F23231"/>
    <w:rsid w:val="00F24307"/>
    <w:rsid w:val="00F2495B"/>
    <w:rsid w:val="00F25F75"/>
    <w:rsid w:val="00F260DC"/>
    <w:rsid w:val="00F26371"/>
    <w:rsid w:val="00F263E8"/>
    <w:rsid w:val="00F267A5"/>
    <w:rsid w:val="00F2682B"/>
    <w:rsid w:val="00F26B9E"/>
    <w:rsid w:val="00F27BED"/>
    <w:rsid w:val="00F30DA8"/>
    <w:rsid w:val="00F325AF"/>
    <w:rsid w:val="00F3331A"/>
    <w:rsid w:val="00F341ED"/>
    <w:rsid w:val="00F34C1F"/>
    <w:rsid w:val="00F35179"/>
    <w:rsid w:val="00F35415"/>
    <w:rsid w:val="00F37628"/>
    <w:rsid w:val="00F3772B"/>
    <w:rsid w:val="00F378D1"/>
    <w:rsid w:val="00F37B6A"/>
    <w:rsid w:val="00F37E80"/>
    <w:rsid w:val="00F406E6"/>
    <w:rsid w:val="00F4080C"/>
    <w:rsid w:val="00F418B4"/>
    <w:rsid w:val="00F4418C"/>
    <w:rsid w:val="00F4467A"/>
    <w:rsid w:val="00F447B0"/>
    <w:rsid w:val="00F44801"/>
    <w:rsid w:val="00F44CCB"/>
    <w:rsid w:val="00F44DA8"/>
    <w:rsid w:val="00F46B83"/>
    <w:rsid w:val="00F472CF"/>
    <w:rsid w:val="00F47E87"/>
    <w:rsid w:val="00F51087"/>
    <w:rsid w:val="00F510D7"/>
    <w:rsid w:val="00F51DE2"/>
    <w:rsid w:val="00F52480"/>
    <w:rsid w:val="00F530E8"/>
    <w:rsid w:val="00F536E2"/>
    <w:rsid w:val="00F54044"/>
    <w:rsid w:val="00F55AE8"/>
    <w:rsid w:val="00F601C5"/>
    <w:rsid w:val="00F60A2A"/>
    <w:rsid w:val="00F624F0"/>
    <w:rsid w:val="00F629E8"/>
    <w:rsid w:val="00F62F54"/>
    <w:rsid w:val="00F63564"/>
    <w:rsid w:val="00F63C29"/>
    <w:rsid w:val="00F6427C"/>
    <w:rsid w:val="00F646CB"/>
    <w:rsid w:val="00F650AE"/>
    <w:rsid w:val="00F65B3C"/>
    <w:rsid w:val="00F65F66"/>
    <w:rsid w:val="00F66D7E"/>
    <w:rsid w:val="00F679FD"/>
    <w:rsid w:val="00F70C91"/>
    <w:rsid w:val="00F71FB4"/>
    <w:rsid w:val="00F727F7"/>
    <w:rsid w:val="00F72DCF"/>
    <w:rsid w:val="00F73668"/>
    <w:rsid w:val="00F736E1"/>
    <w:rsid w:val="00F73A4C"/>
    <w:rsid w:val="00F73ABD"/>
    <w:rsid w:val="00F7579D"/>
    <w:rsid w:val="00F75F83"/>
    <w:rsid w:val="00F76780"/>
    <w:rsid w:val="00F769DA"/>
    <w:rsid w:val="00F76D37"/>
    <w:rsid w:val="00F76D3B"/>
    <w:rsid w:val="00F77A0F"/>
    <w:rsid w:val="00F77F99"/>
    <w:rsid w:val="00F81778"/>
    <w:rsid w:val="00F81A2E"/>
    <w:rsid w:val="00F82163"/>
    <w:rsid w:val="00F84983"/>
    <w:rsid w:val="00F849C0"/>
    <w:rsid w:val="00F849C4"/>
    <w:rsid w:val="00F85692"/>
    <w:rsid w:val="00F85960"/>
    <w:rsid w:val="00F85B62"/>
    <w:rsid w:val="00F862A9"/>
    <w:rsid w:val="00F877DC"/>
    <w:rsid w:val="00F90865"/>
    <w:rsid w:val="00F90C64"/>
    <w:rsid w:val="00F922FE"/>
    <w:rsid w:val="00F9237F"/>
    <w:rsid w:val="00F9323A"/>
    <w:rsid w:val="00F95C1E"/>
    <w:rsid w:val="00F95D55"/>
    <w:rsid w:val="00FA0CB2"/>
    <w:rsid w:val="00FA3031"/>
    <w:rsid w:val="00FA31F4"/>
    <w:rsid w:val="00FA374D"/>
    <w:rsid w:val="00FA4732"/>
    <w:rsid w:val="00FA49BA"/>
    <w:rsid w:val="00FA79A8"/>
    <w:rsid w:val="00FB070A"/>
    <w:rsid w:val="00FB0813"/>
    <w:rsid w:val="00FB1262"/>
    <w:rsid w:val="00FB1D48"/>
    <w:rsid w:val="00FB293B"/>
    <w:rsid w:val="00FB3682"/>
    <w:rsid w:val="00FB3CB9"/>
    <w:rsid w:val="00FB401A"/>
    <w:rsid w:val="00FB4704"/>
    <w:rsid w:val="00FB4FB1"/>
    <w:rsid w:val="00FC107E"/>
    <w:rsid w:val="00FC292C"/>
    <w:rsid w:val="00FC2B23"/>
    <w:rsid w:val="00FC3AF0"/>
    <w:rsid w:val="00FC448F"/>
    <w:rsid w:val="00FC47CF"/>
    <w:rsid w:val="00FC5711"/>
    <w:rsid w:val="00FC5F88"/>
    <w:rsid w:val="00FC621E"/>
    <w:rsid w:val="00FC6370"/>
    <w:rsid w:val="00FC64B2"/>
    <w:rsid w:val="00FC72B7"/>
    <w:rsid w:val="00FC7E98"/>
    <w:rsid w:val="00FD1A2C"/>
    <w:rsid w:val="00FD2553"/>
    <w:rsid w:val="00FD3488"/>
    <w:rsid w:val="00FD688E"/>
    <w:rsid w:val="00FD6E1B"/>
    <w:rsid w:val="00FD706B"/>
    <w:rsid w:val="00FD7438"/>
    <w:rsid w:val="00FD770D"/>
    <w:rsid w:val="00FE0ED7"/>
    <w:rsid w:val="00FE3BAE"/>
    <w:rsid w:val="00FE5071"/>
    <w:rsid w:val="00FE54ED"/>
    <w:rsid w:val="00FE60DD"/>
    <w:rsid w:val="00FE6227"/>
    <w:rsid w:val="00FE7665"/>
    <w:rsid w:val="00FE7865"/>
    <w:rsid w:val="00FE7EFD"/>
    <w:rsid w:val="00FF1900"/>
    <w:rsid w:val="00FF194D"/>
    <w:rsid w:val="00FF19CC"/>
    <w:rsid w:val="00FF1A7E"/>
    <w:rsid w:val="00FF2569"/>
    <w:rsid w:val="00FF32F5"/>
    <w:rsid w:val="00FF4744"/>
    <w:rsid w:val="00FF503B"/>
    <w:rsid w:val="00FF5FEF"/>
    <w:rsid w:val="00FF77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8522EA4F-86C4-49F1-804C-42D2A7A05F2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4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o + Times New Roman,Style 58"/>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styleId="UnresolvedMention">
    <w:name w:val="Unresolved Mention"/>
    <w:basedOn w:val="DefaultParagraphFont"/>
    <w:uiPriority w:val="99"/>
    <w:semiHidden/>
    <w:unhideWhenUsed/>
    <w:rsid w:val="00F536E2"/>
    <w:rPr>
      <w:color w:val="605E5C"/>
      <w:shd w:val="clear" w:color="auto" w:fill="E1DFDD"/>
    </w:rPr>
  </w:style>
  <w:style w:type="character" w:styleId="Strong">
    <w:name w:val="Strong"/>
    <w:basedOn w:val="DefaultParagraphFont"/>
    <w:uiPriority w:val="22"/>
    <w:qFormat/>
    <w:rsid w:val="004B7F66"/>
    <w:rPr>
      <w:b/>
      <w:bCs/>
    </w:rPr>
  </w:style>
  <w:style w:type="paragraph" w:customStyle="1" w:styleId="Default">
    <w:name w:val="Default"/>
    <w:rsid w:val="000764FF"/>
    <w:pPr>
      <w:autoSpaceDE w:val="0"/>
      <w:autoSpaceDN w:val="0"/>
      <w:adjustRightInd w:val="0"/>
    </w:pPr>
    <w:rPr>
      <w:rFonts w:ascii="Book Antiqua" w:hAnsi="Book Antiqua" w:cs="Book Antiqua"/>
      <w:color w:val="000000"/>
      <w:sz w:val="24"/>
      <w:szCs w:val="24"/>
    </w:rPr>
  </w:style>
  <w:style w:type="paragraph" w:styleId="ListBullet">
    <w:name w:val="List Bullet"/>
    <w:basedOn w:val="Normal"/>
    <w:unhideWhenUsed/>
    <w:rsid w:val="00E25493"/>
    <w:pPr>
      <w:numPr>
        <w:numId w:val="22"/>
      </w:numPr>
      <w:contextualSpacing/>
    </w:pPr>
  </w:style>
  <w:style w:type="paragraph" w:customStyle="1" w:styleId="Dummy">
    <w:name w:val="Dummy"/>
    <w:next w:val="Normal"/>
    <w:uiPriority w:val="19"/>
    <w:rsid w:val="00D77539"/>
    <w:pPr>
      <w:keepNext/>
      <w:keepLines/>
      <w:spacing w:after="120"/>
      <w:outlineLvl w:val="0"/>
    </w:pPr>
    <w:rPr>
      <w:rFonts w:ascii="Arial" w:eastAsiaTheme="minorHAnsi" w:hAnsi="Arial" w:cs="Arial"/>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832">
      <w:bodyDiv w:val="1"/>
      <w:marLeft w:val="0"/>
      <w:marRight w:val="0"/>
      <w:marTop w:val="0"/>
      <w:marBottom w:val="0"/>
      <w:divBdr>
        <w:top w:val="none" w:sz="0" w:space="0" w:color="auto"/>
        <w:left w:val="none" w:sz="0" w:space="0" w:color="auto"/>
        <w:bottom w:val="none" w:sz="0" w:space="0" w:color="auto"/>
        <w:right w:val="none" w:sz="0" w:space="0" w:color="auto"/>
      </w:divBdr>
    </w:div>
    <w:div w:id="53088090">
      <w:bodyDiv w:val="1"/>
      <w:marLeft w:val="0"/>
      <w:marRight w:val="0"/>
      <w:marTop w:val="0"/>
      <w:marBottom w:val="0"/>
      <w:divBdr>
        <w:top w:val="none" w:sz="0" w:space="0" w:color="auto"/>
        <w:left w:val="none" w:sz="0" w:space="0" w:color="auto"/>
        <w:bottom w:val="none" w:sz="0" w:space="0" w:color="auto"/>
        <w:right w:val="none" w:sz="0" w:space="0" w:color="auto"/>
      </w:divBdr>
      <w:divsChild>
        <w:div w:id="394745362">
          <w:marLeft w:val="0"/>
          <w:marRight w:val="0"/>
          <w:marTop w:val="0"/>
          <w:marBottom w:val="0"/>
          <w:divBdr>
            <w:top w:val="none" w:sz="0" w:space="0" w:color="auto"/>
            <w:left w:val="none" w:sz="0" w:space="0" w:color="auto"/>
            <w:bottom w:val="none" w:sz="0" w:space="0" w:color="auto"/>
            <w:right w:val="none" w:sz="0" w:space="0" w:color="auto"/>
          </w:divBdr>
          <w:divsChild>
            <w:div w:id="825702091">
              <w:marLeft w:val="0"/>
              <w:marRight w:val="0"/>
              <w:marTop w:val="0"/>
              <w:marBottom w:val="0"/>
              <w:divBdr>
                <w:top w:val="none" w:sz="0" w:space="0" w:color="auto"/>
                <w:left w:val="none" w:sz="0" w:space="0" w:color="auto"/>
                <w:bottom w:val="none" w:sz="0" w:space="0" w:color="auto"/>
                <w:right w:val="none" w:sz="0" w:space="0" w:color="auto"/>
              </w:divBdr>
              <w:divsChild>
                <w:div w:id="11853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5554">
      <w:bodyDiv w:val="1"/>
      <w:marLeft w:val="0"/>
      <w:marRight w:val="0"/>
      <w:marTop w:val="0"/>
      <w:marBottom w:val="0"/>
      <w:divBdr>
        <w:top w:val="none" w:sz="0" w:space="0" w:color="auto"/>
        <w:left w:val="none" w:sz="0" w:space="0" w:color="auto"/>
        <w:bottom w:val="none" w:sz="0" w:space="0" w:color="auto"/>
        <w:right w:val="none" w:sz="0" w:space="0" w:color="auto"/>
      </w:divBdr>
    </w:div>
    <w:div w:id="130174128">
      <w:bodyDiv w:val="1"/>
      <w:marLeft w:val="0"/>
      <w:marRight w:val="0"/>
      <w:marTop w:val="0"/>
      <w:marBottom w:val="0"/>
      <w:divBdr>
        <w:top w:val="none" w:sz="0" w:space="0" w:color="auto"/>
        <w:left w:val="none" w:sz="0" w:space="0" w:color="auto"/>
        <w:bottom w:val="none" w:sz="0" w:space="0" w:color="auto"/>
        <w:right w:val="none" w:sz="0" w:space="0" w:color="auto"/>
      </w:divBdr>
      <w:divsChild>
        <w:div w:id="642466654">
          <w:marLeft w:val="0"/>
          <w:marRight w:val="0"/>
          <w:marTop w:val="0"/>
          <w:marBottom w:val="0"/>
          <w:divBdr>
            <w:top w:val="none" w:sz="0" w:space="0" w:color="auto"/>
            <w:left w:val="none" w:sz="0" w:space="0" w:color="auto"/>
            <w:bottom w:val="none" w:sz="0" w:space="0" w:color="auto"/>
            <w:right w:val="none" w:sz="0" w:space="0" w:color="auto"/>
          </w:divBdr>
          <w:divsChild>
            <w:div w:id="612782540">
              <w:marLeft w:val="0"/>
              <w:marRight w:val="0"/>
              <w:marTop w:val="0"/>
              <w:marBottom w:val="0"/>
              <w:divBdr>
                <w:top w:val="none" w:sz="0" w:space="0" w:color="auto"/>
                <w:left w:val="none" w:sz="0" w:space="0" w:color="auto"/>
                <w:bottom w:val="none" w:sz="0" w:space="0" w:color="auto"/>
                <w:right w:val="none" w:sz="0" w:space="0" w:color="auto"/>
              </w:divBdr>
              <w:divsChild>
                <w:div w:id="8442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9145">
      <w:bodyDiv w:val="1"/>
      <w:marLeft w:val="0"/>
      <w:marRight w:val="0"/>
      <w:marTop w:val="0"/>
      <w:marBottom w:val="0"/>
      <w:divBdr>
        <w:top w:val="none" w:sz="0" w:space="0" w:color="auto"/>
        <w:left w:val="none" w:sz="0" w:space="0" w:color="auto"/>
        <w:bottom w:val="none" w:sz="0" w:space="0" w:color="auto"/>
        <w:right w:val="none" w:sz="0" w:space="0" w:color="auto"/>
      </w:divBdr>
      <w:divsChild>
        <w:div w:id="244807241">
          <w:marLeft w:val="0"/>
          <w:marRight w:val="0"/>
          <w:marTop w:val="0"/>
          <w:marBottom w:val="0"/>
          <w:divBdr>
            <w:top w:val="none" w:sz="0" w:space="0" w:color="auto"/>
            <w:left w:val="none" w:sz="0" w:space="0" w:color="auto"/>
            <w:bottom w:val="none" w:sz="0" w:space="0" w:color="auto"/>
            <w:right w:val="none" w:sz="0" w:space="0" w:color="auto"/>
          </w:divBdr>
          <w:divsChild>
            <w:div w:id="318264837">
              <w:marLeft w:val="0"/>
              <w:marRight w:val="0"/>
              <w:marTop w:val="0"/>
              <w:marBottom w:val="0"/>
              <w:divBdr>
                <w:top w:val="none" w:sz="0" w:space="0" w:color="auto"/>
                <w:left w:val="none" w:sz="0" w:space="0" w:color="auto"/>
                <w:bottom w:val="none" w:sz="0" w:space="0" w:color="auto"/>
                <w:right w:val="none" w:sz="0" w:space="0" w:color="auto"/>
              </w:divBdr>
              <w:divsChild>
                <w:div w:id="923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1959">
      <w:bodyDiv w:val="1"/>
      <w:marLeft w:val="0"/>
      <w:marRight w:val="0"/>
      <w:marTop w:val="0"/>
      <w:marBottom w:val="0"/>
      <w:divBdr>
        <w:top w:val="none" w:sz="0" w:space="0" w:color="auto"/>
        <w:left w:val="none" w:sz="0" w:space="0" w:color="auto"/>
        <w:bottom w:val="none" w:sz="0" w:space="0" w:color="auto"/>
        <w:right w:val="none" w:sz="0" w:space="0" w:color="auto"/>
      </w:divBdr>
    </w:div>
    <w:div w:id="157120153">
      <w:bodyDiv w:val="1"/>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sChild>
            <w:div w:id="1173253620">
              <w:marLeft w:val="0"/>
              <w:marRight w:val="0"/>
              <w:marTop w:val="0"/>
              <w:marBottom w:val="0"/>
              <w:divBdr>
                <w:top w:val="none" w:sz="0" w:space="0" w:color="auto"/>
                <w:left w:val="none" w:sz="0" w:space="0" w:color="auto"/>
                <w:bottom w:val="none" w:sz="0" w:space="0" w:color="auto"/>
                <w:right w:val="none" w:sz="0" w:space="0" w:color="auto"/>
              </w:divBdr>
              <w:divsChild>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9322">
      <w:bodyDiv w:val="1"/>
      <w:marLeft w:val="0"/>
      <w:marRight w:val="0"/>
      <w:marTop w:val="0"/>
      <w:marBottom w:val="0"/>
      <w:divBdr>
        <w:top w:val="none" w:sz="0" w:space="0" w:color="auto"/>
        <w:left w:val="none" w:sz="0" w:space="0" w:color="auto"/>
        <w:bottom w:val="none" w:sz="0" w:space="0" w:color="auto"/>
        <w:right w:val="none" w:sz="0" w:space="0" w:color="auto"/>
      </w:divBdr>
    </w:div>
    <w:div w:id="185365801">
      <w:bodyDiv w:val="1"/>
      <w:marLeft w:val="0"/>
      <w:marRight w:val="0"/>
      <w:marTop w:val="0"/>
      <w:marBottom w:val="0"/>
      <w:divBdr>
        <w:top w:val="none" w:sz="0" w:space="0" w:color="auto"/>
        <w:left w:val="none" w:sz="0" w:space="0" w:color="auto"/>
        <w:bottom w:val="none" w:sz="0" w:space="0" w:color="auto"/>
        <w:right w:val="none" w:sz="0" w:space="0" w:color="auto"/>
      </w:divBdr>
    </w:div>
    <w:div w:id="229275702">
      <w:bodyDiv w:val="1"/>
      <w:marLeft w:val="0"/>
      <w:marRight w:val="0"/>
      <w:marTop w:val="0"/>
      <w:marBottom w:val="0"/>
      <w:divBdr>
        <w:top w:val="none" w:sz="0" w:space="0" w:color="auto"/>
        <w:left w:val="none" w:sz="0" w:space="0" w:color="auto"/>
        <w:bottom w:val="none" w:sz="0" w:space="0" w:color="auto"/>
        <w:right w:val="none" w:sz="0" w:space="0" w:color="auto"/>
      </w:divBdr>
    </w:div>
    <w:div w:id="249239196">
      <w:bodyDiv w:val="1"/>
      <w:marLeft w:val="0"/>
      <w:marRight w:val="0"/>
      <w:marTop w:val="0"/>
      <w:marBottom w:val="0"/>
      <w:divBdr>
        <w:top w:val="none" w:sz="0" w:space="0" w:color="auto"/>
        <w:left w:val="none" w:sz="0" w:space="0" w:color="auto"/>
        <w:bottom w:val="none" w:sz="0" w:space="0" w:color="auto"/>
        <w:right w:val="none" w:sz="0" w:space="0" w:color="auto"/>
      </w:divBdr>
      <w:divsChild>
        <w:div w:id="1705591543">
          <w:marLeft w:val="0"/>
          <w:marRight w:val="0"/>
          <w:marTop w:val="0"/>
          <w:marBottom w:val="0"/>
          <w:divBdr>
            <w:top w:val="none" w:sz="0" w:space="0" w:color="auto"/>
            <w:left w:val="none" w:sz="0" w:space="0" w:color="auto"/>
            <w:bottom w:val="none" w:sz="0" w:space="0" w:color="auto"/>
            <w:right w:val="none" w:sz="0" w:space="0" w:color="auto"/>
          </w:divBdr>
          <w:divsChild>
            <w:div w:id="26415194">
              <w:marLeft w:val="0"/>
              <w:marRight w:val="0"/>
              <w:marTop w:val="0"/>
              <w:marBottom w:val="0"/>
              <w:divBdr>
                <w:top w:val="none" w:sz="0" w:space="0" w:color="auto"/>
                <w:left w:val="none" w:sz="0" w:space="0" w:color="auto"/>
                <w:bottom w:val="none" w:sz="0" w:space="0" w:color="auto"/>
                <w:right w:val="none" w:sz="0" w:space="0" w:color="auto"/>
              </w:divBdr>
              <w:divsChild>
                <w:div w:id="14058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9549">
      <w:bodyDiv w:val="1"/>
      <w:marLeft w:val="0"/>
      <w:marRight w:val="0"/>
      <w:marTop w:val="0"/>
      <w:marBottom w:val="0"/>
      <w:divBdr>
        <w:top w:val="none" w:sz="0" w:space="0" w:color="auto"/>
        <w:left w:val="none" w:sz="0" w:space="0" w:color="auto"/>
        <w:bottom w:val="none" w:sz="0" w:space="0" w:color="auto"/>
        <w:right w:val="none" w:sz="0" w:space="0" w:color="auto"/>
      </w:divBdr>
    </w:div>
    <w:div w:id="389887593">
      <w:bodyDiv w:val="1"/>
      <w:marLeft w:val="0"/>
      <w:marRight w:val="0"/>
      <w:marTop w:val="0"/>
      <w:marBottom w:val="0"/>
      <w:divBdr>
        <w:top w:val="none" w:sz="0" w:space="0" w:color="auto"/>
        <w:left w:val="none" w:sz="0" w:space="0" w:color="auto"/>
        <w:bottom w:val="none" w:sz="0" w:space="0" w:color="auto"/>
        <w:right w:val="none" w:sz="0" w:space="0" w:color="auto"/>
      </w:divBdr>
      <w:divsChild>
        <w:div w:id="1017073180">
          <w:marLeft w:val="0"/>
          <w:marRight w:val="0"/>
          <w:marTop w:val="0"/>
          <w:marBottom w:val="0"/>
          <w:divBdr>
            <w:top w:val="none" w:sz="0" w:space="0" w:color="auto"/>
            <w:left w:val="none" w:sz="0" w:space="0" w:color="auto"/>
            <w:bottom w:val="none" w:sz="0" w:space="0" w:color="auto"/>
            <w:right w:val="none" w:sz="0" w:space="0" w:color="auto"/>
          </w:divBdr>
          <w:divsChild>
            <w:div w:id="92751348">
              <w:marLeft w:val="0"/>
              <w:marRight w:val="0"/>
              <w:marTop w:val="0"/>
              <w:marBottom w:val="0"/>
              <w:divBdr>
                <w:top w:val="none" w:sz="0" w:space="0" w:color="auto"/>
                <w:left w:val="none" w:sz="0" w:space="0" w:color="auto"/>
                <w:bottom w:val="none" w:sz="0" w:space="0" w:color="auto"/>
                <w:right w:val="none" w:sz="0" w:space="0" w:color="auto"/>
              </w:divBdr>
              <w:divsChild>
                <w:div w:id="13534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9449">
      <w:bodyDiv w:val="1"/>
      <w:marLeft w:val="0"/>
      <w:marRight w:val="0"/>
      <w:marTop w:val="0"/>
      <w:marBottom w:val="0"/>
      <w:divBdr>
        <w:top w:val="none" w:sz="0" w:space="0" w:color="auto"/>
        <w:left w:val="none" w:sz="0" w:space="0" w:color="auto"/>
        <w:bottom w:val="none" w:sz="0" w:space="0" w:color="auto"/>
        <w:right w:val="none" w:sz="0" w:space="0" w:color="auto"/>
      </w:divBdr>
      <w:divsChild>
        <w:div w:id="1870146373">
          <w:marLeft w:val="0"/>
          <w:marRight w:val="0"/>
          <w:marTop w:val="0"/>
          <w:marBottom w:val="0"/>
          <w:divBdr>
            <w:top w:val="none" w:sz="0" w:space="0" w:color="auto"/>
            <w:left w:val="none" w:sz="0" w:space="0" w:color="auto"/>
            <w:bottom w:val="none" w:sz="0" w:space="0" w:color="auto"/>
            <w:right w:val="none" w:sz="0" w:space="0" w:color="auto"/>
          </w:divBdr>
          <w:divsChild>
            <w:div w:id="1681348297">
              <w:marLeft w:val="0"/>
              <w:marRight w:val="0"/>
              <w:marTop w:val="0"/>
              <w:marBottom w:val="0"/>
              <w:divBdr>
                <w:top w:val="none" w:sz="0" w:space="0" w:color="auto"/>
                <w:left w:val="none" w:sz="0" w:space="0" w:color="auto"/>
                <w:bottom w:val="none" w:sz="0" w:space="0" w:color="auto"/>
                <w:right w:val="none" w:sz="0" w:space="0" w:color="auto"/>
              </w:divBdr>
              <w:divsChild>
                <w:div w:id="7899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6225">
      <w:bodyDiv w:val="1"/>
      <w:marLeft w:val="0"/>
      <w:marRight w:val="0"/>
      <w:marTop w:val="0"/>
      <w:marBottom w:val="0"/>
      <w:divBdr>
        <w:top w:val="none" w:sz="0" w:space="0" w:color="auto"/>
        <w:left w:val="none" w:sz="0" w:space="0" w:color="auto"/>
        <w:bottom w:val="none" w:sz="0" w:space="0" w:color="auto"/>
        <w:right w:val="none" w:sz="0" w:space="0" w:color="auto"/>
      </w:divBdr>
      <w:divsChild>
        <w:div w:id="1581909270">
          <w:marLeft w:val="0"/>
          <w:marRight w:val="0"/>
          <w:marTop w:val="0"/>
          <w:marBottom w:val="0"/>
          <w:divBdr>
            <w:top w:val="none" w:sz="0" w:space="0" w:color="auto"/>
            <w:left w:val="none" w:sz="0" w:space="0" w:color="auto"/>
            <w:bottom w:val="none" w:sz="0" w:space="0" w:color="auto"/>
            <w:right w:val="none" w:sz="0" w:space="0" w:color="auto"/>
          </w:divBdr>
          <w:divsChild>
            <w:div w:id="1964538097">
              <w:marLeft w:val="0"/>
              <w:marRight w:val="0"/>
              <w:marTop w:val="0"/>
              <w:marBottom w:val="0"/>
              <w:divBdr>
                <w:top w:val="none" w:sz="0" w:space="0" w:color="auto"/>
                <w:left w:val="none" w:sz="0" w:space="0" w:color="auto"/>
                <w:bottom w:val="none" w:sz="0" w:space="0" w:color="auto"/>
                <w:right w:val="none" w:sz="0" w:space="0" w:color="auto"/>
              </w:divBdr>
              <w:divsChild>
                <w:div w:id="17037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5411">
      <w:bodyDiv w:val="1"/>
      <w:marLeft w:val="0"/>
      <w:marRight w:val="0"/>
      <w:marTop w:val="0"/>
      <w:marBottom w:val="0"/>
      <w:divBdr>
        <w:top w:val="none" w:sz="0" w:space="0" w:color="auto"/>
        <w:left w:val="none" w:sz="0" w:space="0" w:color="auto"/>
        <w:bottom w:val="none" w:sz="0" w:space="0" w:color="auto"/>
        <w:right w:val="none" w:sz="0" w:space="0" w:color="auto"/>
      </w:divBdr>
      <w:divsChild>
        <w:div w:id="1728794204">
          <w:marLeft w:val="0"/>
          <w:marRight w:val="0"/>
          <w:marTop w:val="0"/>
          <w:marBottom w:val="0"/>
          <w:divBdr>
            <w:top w:val="none" w:sz="0" w:space="0" w:color="auto"/>
            <w:left w:val="none" w:sz="0" w:space="0" w:color="auto"/>
            <w:bottom w:val="none" w:sz="0" w:space="0" w:color="auto"/>
            <w:right w:val="none" w:sz="0" w:space="0" w:color="auto"/>
          </w:divBdr>
          <w:divsChild>
            <w:div w:id="2038113595">
              <w:marLeft w:val="0"/>
              <w:marRight w:val="0"/>
              <w:marTop w:val="0"/>
              <w:marBottom w:val="0"/>
              <w:divBdr>
                <w:top w:val="none" w:sz="0" w:space="0" w:color="auto"/>
                <w:left w:val="none" w:sz="0" w:space="0" w:color="auto"/>
                <w:bottom w:val="none" w:sz="0" w:space="0" w:color="auto"/>
                <w:right w:val="none" w:sz="0" w:space="0" w:color="auto"/>
              </w:divBdr>
              <w:divsChild>
                <w:div w:id="7540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91191">
      <w:bodyDiv w:val="1"/>
      <w:marLeft w:val="0"/>
      <w:marRight w:val="0"/>
      <w:marTop w:val="0"/>
      <w:marBottom w:val="0"/>
      <w:divBdr>
        <w:top w:val="none" w:sz="0" w:space="0" w:color="auto"/>
        <w:left w:val="none" w:sz="0" w:space="0" w:color="auto"/>
        <w:bottom w:val="none" w:sz="0" w:space="0" w:color="auto"/>
        <w:right w:val="none" w:sz="0" w:space="0" w:color="auto"/>
      </w:divBdr>
      <w:divsChild>
        <w:div w:id="596211802">
          <w:marLeft w:val="0"/>
          <w:marRight w:val="0"/>
          <w:marTop w:val="0"/>
          <w:marBottom w:val="0"/>
          <w:divBdr>
            <w:top w:val="none" w:sz="0" w:space="0" w:color="auto"/>
            <w:left w:val="none" w:sz="0" w:space="0" w:color="auto"/>
            <w:bottom w:val="none" w:sz="0" w:space="0" w:color="auto"/>
            <w:right w:val="none" w:sz="0" w:space="0" w:color="auto"/>
          </w:divBdr>
          <w:divsChild>
            <w:div w:id="1767189131">
              <w:marLeft w:val="0"/>
              <w:marRight w:val="0"/>
              <w:marTop w:val="0"/>
              <w:marBottom w:val="0"/>
              <w:divBdr>
                <w:top w:val="none" w:sz="0" w:space="0" w:color="auto"/>
                <w:left w:val="none" w:sz="0" w:space="0" w:color="auto"/>
                <w:bottom w:val="none" w:sz="0" w:space="0" w:color="auto"/>
                <w:right w:val="none" w:sz="0" w:space="0" w:color="auto"/>
              </w:divBdr>
              <w:divsChild>
                <w:div w:id="6272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7038">
      <w:bodyDiv w:val="1"/>
      <w:marLeft w:val="0"/>
      <w:marRight w:val="0"/>
      <w:marTop w:val="0"/>
      <w:marBottom w:val="0"/>
      <w:divBdr>
        <w:top w:val="none" w:sz="0" w:space="0" w:color="auto"/>
        <w:left w:val="none" w:sz="0" w:space="0" w:color="auto"/>
        <w:bottom w:val="none" w:sz="0" w:space="0" w:color="auto"/>
        <w:right w:val="none" w:sz="0" w:space="0" w:color="auto"/>
      </w:divBdr>
      <w:divsChild>
        <w:div w:id="504590185">
          <w:marLeft w:val="0"/>
          <w:marRight w:val="0"/>
          <w:marTop w:val="0"/>
          <w:marBottom w:val="0"/>
          <w:divBdr>
            <w:top w:val="none" w:sz="0" w:space="0" w:color="auto"/>
            <w:left w:val="none" w:sz="0" w:space="0" w:color="auto"/>
            <w:bottom w:val="none" w:sz="0" w:space="0" w:color="auto"/>
            <w:right w:val="none" w:sz="0" w:space="0" w:color="auto"/>
          </w:divBdr>
          <w:divsChild>
            <w:div w:id="1075932348">
              <w:marLeft w:val="0"/>
              <w:marRight w:val="0"/>
              <w:marTop w:val="0"/>
              <w:marBottom w:val="0"/>
              <w:divBdr>
                <w:top w:val="none" w:sz="0" w:space="0" w:color="auto"/>
                <w:left w:val="none" w:sz="0" w:space="0" w:color="auto"/>
                <w:bottom w:val="none" w:sz="0" w:space="0" w:color="auto"/>
                <w:right w:val="none" w:sz="0" w:space="0" w:color="auto"/>
              </w:divBdr>
              <w:divsChild>
                <w:div w:id="6124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9080">
      <w:bodyDiv w:val="1"/>
      <w:marLeft w:val="0"/>
      <w:marRight w:val="0"/>
      <w:marTop w:val="0"/>
      <w:marBottom w:val="0"/>
      <w:divBdr>
        <w:top w:val="none" w:sz="0" w:space="0" w:color="auto"/>
        <w:left w:val="none" w:sz="0" w:space="0" w:color="auto"/>
        <w:bottom w:val="none" w:sz="0" w:space="0" w:color="auto"/>
        <w:right w:val="none" w:sz="0" w:space="0" w:color="auto"/>
      </w:divBdr>
      <w:divsChild>
        <w:div w:id="1675915860">
          <w:marLeft w:val="0"/>
          <w:marRight w:val="0"/>
          <w:marTop w:val="0"/>
          <w:marBottom w:val="0"/>
          <w:divBdr>
            <w:top w:val="none" w:sz="0" w:space="0" w:color="auto"/>
            <w:left w:val="none" w:sz="0" w:space="0" w:color="auto"/>
            <w:bottom w:val="none" w:sz="0" w:space="0" w:color="auto"/>
            <w:right w:val="none" w:sz="0" w:space="0" w:color="auto"/>
          </w:divBdr>
          <w:divsChild>
            <w:div w:id="115098865">
              <w:marLeft w:val="0"/>
              <w:marRight w:val="0"/>
              <w:marTop w:val="0"/>
              <w:marBottom w:val="0"/>
              <w:divBdr>
                <w:top w:val="none" w:sz="0" w:space="0" w:color="auto"/>
                <w:left w:val="none" w:sz="0" w:space="0" w:color="auto"/>
                <w:bottom w:val="none" w:sz="0" w:space="0" w:color="auto"/>
                <w:right w:val="none" w:sz="0" w:space="0" w:color="auto"/>
              </w:divBdr>
              <w:divsChild>
                <w:div w:id="310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61424">
      <w:bodyDiv w:val="1"/>
      <w:marLeft w:val="0"/>
      <w:marRight w:val="0"/>
      <w:marTop w:val="0"/>
      <w:marBottom w:val="0"/>
      <w:divBdr>
        <w:top w:val="none" w:sz="0" w:space="0" w:color="auto"/>
        <w:left w:val="none" w:sz="0" w:space="0" w:color="auto"/>
        <w:bottom w:val="none" w:sz="0" w:space="0" w:color="auto"/>
        <w:right w:val="none" w:sz="0" w:space="0" w:color="auto"/>
      </w:divBdr>
      <w:divsChild>
        <w:div w:id="2083210353">
          <w:marLeft w:val="0"/>
          <w:marRight w:val="0"/>
          <w:marTop w:val="0"/>
          <w:marBottom w:val="0"/>
          <w:divBdr>
            <w:top w:val="none" w:sz="0" w:space="0" w:color="auto"/>
            <w:left w:val="none" w:sz="0" w:space="0" w:color="auto"/>
            <w:bottom w:val="none" w:sz="0" w:space="0" w:color="auto"/>
            <w:right w:val="none" w:sz="0" w:space="0" w:color="auto"/>
          </w:divBdr>
          <w:divsChild>
            <w:div w:id="440031054">
              <w:marLeft w:val="0"/>
              <w:marRight w:val="0"/>
              <w:marTop w:val="0"/>
              <w:marBottom w:val="0"/>
              <w:divBdr>
                <w:top w:val="none" w:sz="0" w:space="0" w:color="auto"/>
                <w:left w:val="none" w:sz="0" w:space="0" w:color="auto"/>
                <w:bottom w:val="none" w:sz="0" w:space="0" w:color="auto"/>
                <w:right w:val="none" w:sz="0" w:space="0" w:color="auto"/>
              </w:divBdr>
              <w:divsChild>
                <w:div w:id="1867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13435">
      <w:bodyDiv w:val="1"/>
      <w:marLeft w:val="0"/>
      <w:marRight w:val="0"/>
      <w:marTop w:val="0"/>
      <w:marBottom w:val="0"/>
      <w:divBdr>
        <w:top w:val="none" w:sz="0" w:space="0" w:color="auto"/>
        <w:left w:val="none" w:sz="0" w:space="0" w:color="auto"/>
        <w:bottom w:val="none" w:sz="0" w:space="0" w:color="auto"/>
        <w:right w:val="none" w:sz="0" w:space="0" w:color="auto"/>
      </w:divBdr>
      <w:divsChild>
        <w:div w:id="150610431">
          <w:marLeft w:val="0"/>
          <w:marRight w:val="0"/>
          <w:marTop w:val="0"/>
          <w:marBottom w:val="0"/>
          <w:divBdr>
            <w:top w:val="none" w:sz="0" w:space="0" w:color="auto"/>
            <w:left w:val="none" w:sz="0" w:space="0" w:color="auto"/>
            <w:bottom w:val="none" w:sz="0" w:space="0" w:color="auto"/>
            <w:right w:val="none" w:sz="0" w:space="0" w:color="auto"/>
          </w:divBdr>
          <w:divsChild>
            <w:div w:id="1226795159">
              <w:marLeft w:val="0"/>
              <w:marRight w:val="0"/>
              <w:marTop w:val="0"/>
              <w:marBottom w:val="0"/>
              <w:divBdr>
                <w:top w:val="none" w:sz="0" w:space="0" w:color="auto"/>
                <w:left w:val="none" w:sz="0" w:space="0" w:color="auto"/>
                <w:bottom w:val="none" w:sz="0" w:space="0" w:color="auto"/>
                <w:right w:val="none" w:sz="0" w:space="0" w:color="auto"/>
              </w:divBdr>
              <w:divsChild>
                <w:div w:id="17430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54295">
      <w:bodyDiv w:val="1"/>
      <w:marLeft w:val="0"/>
      <w:marRight w:val="0"/>
      <w:marTop w:val="0"/>
      <w:marBottom w:val="0"/>
      <w:divBdr>
        <w:top w:val="none" w:sz="0" w:space="0" w:color="auto"/>
        <w:left w:val="none" w:sz="0" w:space="0" w:color="auto"/>
        <w:bottom w:val="none" w:sz="0" w:space="0" w:color="auto"/>
        <w:right w:val="none" w:sz="0" w:space="0" w:color="auto"/>
      </w:divBdr>
    </w:div>
    <w:div w:id="1204517134">
      <w:bodyDiv w:val="1"/>
      <w:marLeft w:val="0"/>
      <w:marRight w:val="0"/>
      <w:marTop w:val="0"/>
      <w:marBottom w:val="0"/>
      <w:divBdr>
        <w:top w:val="none" w:sz="0" w:space="0" w:color="auto"/>
        <w:left w:val="none" w:sz="0" w:space="0" w:color="auto"/>
        <w:bottom w:val="none" w:sz="0" w:space="0" w:color="auto"/>
        <w:right w:val="none" w:sz="0" w:space="0" w:color="auto"/>
      </w:divBdr>
      <w:divsChild>
        <w:div w:id="1051327">
          <w:marLeft w:val="0"/>
          <w:marRight w:val="0"/>
          <w:marTop w:val="0"/>
          <w:marBottom w:val="0"/>
          <w:divBdr>
            <w:top w:val="none" w:sz="0" w:space="0" w:color="auto"/>
            <w:left w:val="none" w:sz="0" w:space="0" w:color="auto"/>
            <w:bottom w:val="none" w:sz="0" w:space="0" w:color="auto"/>
            <w:right w:val="none" w:sz="0" w:space="0" w:color="auto"/>
          </w:divBdr>
          <w:divsChild>
            <w:div w:id="332417786">
              <w:marLeft w:val="0"/>
              <w:marRight w:val="0"/>
              <w:marTop w:val="0"/>
              <w:marBottom w:val="0"/>
              <w:divBdr>
                <w:top w:val="none" w:sz="0" w:space="0" w:color="auto"/>
                <w:left w:val="none" w:sz="0" w:space="0" w:color="auto"/>
                <w:bottom w:val="none" w:sz="0" w:space="0" w:color="auto"/>
                <w:right w:val="none" w:sz="0" w:space="0" w:color="auto"/>
              </w:divBdr>
              <w:divsChild>
                <w:div w:id="17738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4698">
      <w:bodyDiv w:val="1"/>
      <w:marLeft w:val="0"/>
      <w:marRight w:val="0"/>
      <w:marTop w:val="0"/>
      <w:marBottom w:val="0"/>
      <w:divBdr>
        <w:top w:val="none" w:sz="0" w:space="0" w:color="auto"/>
        <w:left w:val="none" w:sz="0" w:space="0" w:color="auto"/>
        <w:bottom w:val="none" w:sz="0" w:space="0" w:color="auto"/>
        <w:right w:val="none" w:sz="0" w:space="0" w:color="auto"/>
      </w:divBdr>
      <w:divsChild>
        <w:div w:id="2141804742">
          <w:marLeft w:val="0"/>
          <w:marRight w:val="0"/>
          <w:marTop w:val="0"/>
          <w:marBottom w:val="0"/>
          <w:divBdr>
            <w:top w:val="none" w:sz="0" w:space="0" w:color="auto"/>
            <w:left w:val="none" w:sz="0" w:space="0" w:color="auto"/>
            <w:bottom w:val="none" w:sz="0" w:space="0" w:color="auto"/>
            <w:right w:val="none" w:sz="0" w:space="0" w:color="auto"/>
          </w:divBdr>
          <w:divsChild>
            <w:div w:id="736318913">
              <w:marLeft w:val="0"/>
              <w:marRight w:val="0"/>
              <w:marTop w:val="0"/>
              <w:marBottom w:val="0"/>
              <w:divBdr>
                <w:top w:val="none" w:sz="0" w:space="0" w:color="auto"/>
                <w:left w:val="none" w:sz="0" w:space="0" w:color="auto"/>
                <w:bottom w:val="none" w:sz="0" w:space="0" w:color="auto"/>
                <w:right w:val="none" w:sz="0" w:space="0" w:color="auto"/>
              </w:divBdr>
              <w:divsChild>
                <w:div w:id="4971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4760">
      <w:bodyDiv w:val="1"/>
      <w:marLeft w:val="0"/>
      <w:marRight w:val="0"/>
      <w:marTop w:val="0"/>
      <w:marBottom w:val="0"/>
      <w:divBdr>
        <w:top w:val="none" w:sz="0" w:space="0" w:color="auto"/>
        <w:left w:val="none" w:sz="0" w:space="0" w:color="auto"/>
        <w:bottom w:val="none" w:sz="0" w:space="0" w:color="auto"/>
        <w:right w:val="none" w:sz="0" w:space="0" w:color="auto"/>
      </w:divBdr>
      <w:divsChild>
        <w:div w:id="196507572">
          <w:marLeft w:val="0"/>
          <w:marRight w:val="0"/>
          <w:marTop w:val="0"/>
          <w:marBottom w:val="0"/>
          <w:divBdr>
            <w:top w:val="none" w:sz="0" w:space="0" w:color="auto"/>
            <w:left w:val="none" w:sz="0" w:space="0" w:color="auto"/>
            <w:bottom w:val="none" w:sz="0" w:space="0" w:color="auto"/>
            <w:right w:val="none" w:sz="0" w:space="0" w:color="auto"/>
          </w:divBdr>
          <w:divsChild>
            <w:div w:id="2121141513">
              <w:marLeft w:val="0"/>
              <w:marRight w:val="0"/>
              <w:marTop w:val="0"/>
              <w:marBottom w:val="0"/>
              <w:divBdr>
                <w:top w:val="none" w:sz="0" w:space="0" w:color="auto"/>
                <w:left w:val="none" w:sz="0" w:space="0" w:color="auto"/>
                <w:bottom w:val="none" w:sz="0" w:space="0" w:color="auto"/>
                <w:right w:val="none" w:sz="0" w:space="0" w:color="auto"/>
              </w:divBdr>
              <w:divsChild>
                <w:div w:id="3567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50236">
      <w:bodyDiv w:val="1"/>
      <w:marLeft w:val="0"/>
      <w:marRight w:val="0"/>
      <w:marTop w:val="0"/>
      <w:marBottom w:val="0"/>
      <w:divBdr>
        <w:top w:val="none" w:sz="0" w:space="0" w:color="auto"/>
        <w:left w:val="none" w:sz="0" w:space="0" w:color="auto"/>
        <w:bottom w:val="none" w:sz="0" w:space="0" w:color="auto"/>
        <w:right w:val="none" w:sz="0" w:space="0" w:color="auto"/>
      </w:divBdr>
    </w:div>
    <w:div w:id="1485465552">
      <w:bodyDiv w:val="1"/>
      <w:marLeft w:val="0"/>
      <w:marRight w:val="0"/>
      <w:marTop w:val="0"/>
      <w:marBottom w:val="0"/>
      <w:divBdr>
        <w:top w:val="none" w:sz="0" w:space="0" w:color="auto"/>
        <w:left w:val="none" w:sz="0" w:space="0" w:color="auto"/>
        <w:bottom w:val="none" w:sz="0" w:space="0" w:color="auto"/>
        <w:right w:val="none" w:sz="0" w:space="0" w:color="auto"/>
      </w:divBdr>
      <w:divsChild>
        <w:div w:id="1611622186">
          <w:marLeft w:val="0"/>
          <w:marRight w:val="0"/>
          <w:marTop w:val="0"/>
          <w:marBottom w:val="0"/>
          <w:divBdr>
            <w:top w:val="none" w:sz="0" w:space="0" w:color="auto"/>
            <w:left w:val="none" w:sz="0" w:space="0" w:color="auto"/>
            <w:bottom w:val="none" w:sz="0" w:space="0" w:color="auto"/>
            <w:right w:val="none" w:sz="0" w:space="0" w:color="auto"/>
          </w:divBdr>
          <w:divsChild>
            <w:div w:id="1609118326">
              <w:marLeft w:val="0"/>
              <w:marRight w:val="0"/>
              <w:marTop w:val="0"/>
              <w:marBottom w:val="0"/>
              <w:divBdr>
                <w:top w:val="none" w:sz="0" w:space="0" w:color="auto"/>
                <w:left w:val="none" w:sz="0" w:space="0" w:color="auto"/>
                <w:bottom w:val="none" w:sz="0" w:space="0" w:color="auto"/>
                <w:right w:val="none" w:sz="0" w:space="0" w:color="auto"/>
              </w:divBdr>
              <w:divsChild>
                <w:div w:id="8417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55305">
      <w:bodyDiv w:val="1"/>
      <w:marLeft w:val="0"/>
      <w:marRight w:val="0"/>
      <w:marTop w:val="0"/>
      <w:marBottom w:val="0"/>
      <w:divBdr>
        <w:top w:val="none" w:sz="0" w:space="0" w:color="auto"/>
        <w:left w:val="none" w:sz="0" w:space="0" w:color="auto"/>
        <w:bottom w:val="none" w:sz="0" w:space="0" w:color="auto"/>
        <w:right w:val="none" w:sz="0" w:space="0" w:color="auto"/>
      </w:divBdr>
    </w:div>
    <w:div w:id="1555458726">
      <w:bodyDiv w:val="1"/>
      <w:marLeft w:val="0"/>
      <w:marRight w:val="0"/>
      <w:marTop w:val="0"/>
      <w:marBottom w:val="0"/>
      <w:divBdr>
        <w:top w:val="none" w:sz="0" w:space="0" w:color="auto"/>
        <w:left w:val="none" w:sz="0" w:space="0" w:color="auto"/>
        <w:bottom w:val="none" w:sz="0" w:space="0" w:color="auto"/>
        <w:right w:val="none" w:sz="0" w:space="0" w:color="auto"/>
      </w:divBdr>
      <w:divsChild>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sChild>
                <w:div w:id="15443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2558">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1905140248">
      <w:bodyDiv w:val="1"/>
      <w:marLeft w:val="0"/>
      <w:marRight w:val="0"/>
      <w:marTop w:val="0"/>
      <w:marBottom w:val="0"/>
      <w:divBdr>
        <w:top w:val="none" w:sz="0" w:space="0" w:color="auto"/>
        <w:left w:val="none" w:sz="0" w:space="0" w:color="auto"/>
        <w:bottom w:val="none" w:sz="0" w:space="0" w:color="auto"/>
        <w:right w:val="none" w:sz="0" w:space="0" w:color="auto"/>
      </w:divBdr>
      <w:divsChild>
        <w:div w:id="1484589216">
          <w:marLeft w:val="0"/>
          <w:marRight w:val="0"/>
          <w:marTop w:val="0"/>
          <w:marBottom w:val="0"/>
          <w:divBdr>
            <w:top w:val="none" w:sz="0" w:space="0" w:color="auto"/>
            <w:left w:val="none" w:sz="0" w:space="0" w:color="auto"/>
            <w:bottom w:val="none" w:sz="0" w:space="0" w:color="auto"/>
            <w:right w:val="none" w:sz="0" w:space="0" w:color="auto"/>
          </w:divBdr>
          <w:divsChild>
            <w:div w:id="1693260934">
              <w:marLeft w:val="0"/>
              <w:marRight w:val="0"/>
              <w:marTop w:val="0"/>
              <w:marBottom w:val="0"/>
              <w:divBdr>
                <w:top w:val="none" w:sz="0" w:space="0" w:color="auto"/>
                <w:left w:val="none" w:sz="0" w:space="0" w:color="auto"/>
                <w:bottom w:val="none" w:sz="0" w:space="0" w:color="auto"/>
                <w:right w:val="none" w:sz="0" w:space="0" w:color="auto"/>
              </w:divBdr>
              <w:divsChild>
                <w:div w:id="5500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8375">
      <w:bodyDiv w:val="1"/>
      <w:marLeft w:val="0"/>
      <w:marRight w:val="0"/>
      <w:marTop w:val="0"/>
      <w:marBottom w:val="0"/>
      <w:divBdr>
        <w:top w:val="none" w:sz="0" w:space="0" w:color="auto"/>
        <w:left w:val="none" w:sz="0" w:space="0" w:color="auto"/>
        <w:bottom w:val="none" w:sz="0" w:space="0" w:color="auto"/>
        <w:right w:val="none" w:sz="0" w:space="0" w:color="auto"/>
      </w:divBdr>
    </w:div>
    <w:div w:id="2044741742">
      <w:bodyDiv w:val="1"/>
      <w:marLeft w:val="0"/>
      <w:marRight w:val="0"/>
      <w:marTop w:val="0"/>
      <w:marBottom w:val="0"/>
      <w:divBdr>
        <w:top w:val="none" w:sz="0" w:space="0" w:color="auto"/>
        <w:left w:val="none" w:sz="0" w:space="0" w:color="auto"/>
        <w:bottom w:val="none" w:sz="0" w:space="0" w:color="auto"/>
        <w:right w:val="none" w:sz="0" w:space="0" w:color="auto"/>
      </w:divBdr>
    </w:div>
    <w:div w:id="2105876286">
      <w:bodyDiv w:val="1"/>
      <w:marLeft w:val="0"/>
      <w:marRight w:val="0"/>
      <w:marTop w:val="0"/>
      <w:marBottom w:val="0"/>
      <w:divBdr>
        <w:top w:val="none" w:sz="0" w:space="0" w:color="auto"/>
        <w:left w:val="none" w:sz="0" w:space="0" w:color="auto"/>
        <w:bottom w:val="none" w:sz="0" w:space="0" w:color="auto"/>
        <w:right w:val="none" w:sz="0" w:space="0" w:color="auto"/>
      </w:divBdr>
    </w:div>
    <w:div w:id="2112553374">
      <w:bodyDiv w:val="1"/>
      <w:marLeft w:val="0"/>
      <w:marRight w:val="0"/>
      <w:marTop w:val="0"/>
      <w:marBottom w:val="0"/>
      <w:divBdr>
        <w:top w:val="none" w:sz="0" w:space="0" w:color="auto"/>
        <w:left w:val="none" w:sz="0" w:space="0" w:color="auto"/>
        <w:bottom w:val="none" w:sz="0" w:space="0" w:color="auto"/>
        <w:right w:val="none" w:sz="0" w:space="0" w:color="auto"/>
      </w:divBdr>
      <w:divsChild>
        <w:div w:id="646082668">
          <w:marLeft w:val="0"/>
          <w:marRight w:val="0"/>
          <w:marTop w:val="0"/>
          <w:marBottom w:val="0"/>
          <w:divBdr>
            <w:top w:val="none" w:sz="0" w:space="0" w:color="auto"/>
            <w:left w:val="none" w:sz="0" w:space="0" w:color="auto"/>
            <w:bottom w:val="none" w:sz="0" w:space="0" w:color="auto"/>
            <w:right w:val="none" w:sz="0" w:space="0" w:color="auto"/>
          </w:divBdr>
          <w:divsChild>
            <w:div w:id="841622505">
              <w:marLeft w:val="0"/>
              <w:marRight w:val="0"/>
              <w:marTop w:val="0"/>
              <w:marBottom w:val="0"/>
              <w:divBdr>
                <w:top w:val="none" w:sz="0" w:space="0" w:color="auto"/>
                <w:left w:val="none" w:sz="0" w:space="0" w:color="auto"/>
                <w:bottom w:val="none" w:sz="0" w:space="0" w:color="auto"/>
                <w:right w:val="none" w:sz="0" w:space="0" w:color="auto"/>
              </w:divBdr>
              <w:divsChild>
                <w:div w:id="14863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docs.cpuc.ca.gov/PublishedDocs/Published/G000/M591/K230/591230438.pdf" TargetMode="External" Id="R0ce82f9f2d5a4ee2" /></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26</ap:Pages>
  <ap:Words>6039</ap:Words>
  <ap:Characters>36838</ap:Characters>
  <ap:Application>Microsoft Office Word</ap:Application>
  <ap:DocSecurity>0</ap:DocSecurity>
  <ap:Lines>3683</ap:Lines>
  <ap:Paragraphs>2256</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40621</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2025-03-26T14:25:00Z</cp:lastPrinted>
  <dcterms:created xsi:type="dcterms:W3CDTF">2025-12-15T16:02:17Z</dcterms:created>
  <dcterms:modified xsi:type="dcterms:W3CDTF">2025-12-15T16:02:17Z</dcterms:modified>
</cp:coreProperties>
</file>