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E2E5A" w:rsidR="00F53670" w:rsidP="00E46748" w:rsidRDefault="00F53670" w14:paraId="645D4A8F" w14:textId="0E608431">
      <w:pPr>
        <w:tabs>
          <w:tab w:val="center" w:pos="4140"/>
          <w:tab w:val="left" w:pos="4320"/>
          <w:tab w:val="right" w:pos="9360"/>
        </w:tabs>
        <w:rPr>
          <w:sz w:val="26"/>
          <w:szCs w:val="26"/>
        </w:rPr>
      </w:pPr>
      <w:r w:rsidRPr="4234341E">
        <w:rPr>
          <w:sz w:val="26"/>
          <w:szCs w:val="26"/>
        </w:rPr>
        <w:t>ALJ/</w:t>
      </w:r>
      <w:r w:rsidRPr="4234341E" w:rsidR="00DA0286">
        <w:rPr>
          <w:sz w:val="26"/>
          <w:szCs w:val="26"/>
        </w:rPr>
        <w:t>EFD</w:t>
      </w:r>
      <w:r w:rsidRPr="4234341E">
        <w:rPr>
          <w:sz w:val="26"/>
          <w:szCs w:val="26"/>
        </w:rPr>
        <w:t>/jds</w:t>
      </w:r>
      <w:r>
        <w:tab/>
      </w:r>
      <w:r w:rsidRPr="4234341E">
        <w:rPr>
          <w:rFonts w:ascii="Arial" w:hAnsi="Arial" w:cs="Arial"/>
          <w:b/>
          <w:bCs/>
          <w:sz w:val="28"/>
          <w:szCs w:val="28"/>
        </w:rPr>
        <w:t>PROPOSED DECISION</w:t>
      </w:r>
      <w:r>
        <w:tab/>
      </w:r>
      <w:r w:rsidR="00BB5F29">
        <w:t xml:space="preserve"> </w:t>
      </w:r>
      <w:r w:rsidRPr="4234341E">
        <w:rPr>
          <w:b/>
          <w:bCs/>
          <w:sz w:val="26"/>
          <w:szCs w:val="26"/>
        </w:rPr>
        <w:t>Agenda ID #</w:t>
      </w:r>
      <w:r w:rsidRPr="00B717B8" w:rsidR="00B717B8">
        <w:rPr>
          <w:b/>
          <w:bCs/>
          <w:sz w:val="26"/>
          <w:szCs w:val="26"/>
        </w:rPr>
        <w:t>23869</w:t>
      </w:r>
      <w:r w:rsidR="00E46748">
        <w:rPr>
          <w:b/>
          <w:bCs/>
          <w:sz w:val="26"/>
          <w:szCs w:val="26"/>
        </w:rPr>
        <w:t xml:space="preserve"> (Rev. 1)</w:t>
      </w:r>
    </w:p>
    <w:p w:rsidR="00F53670" w:rsidP="001E2E5A" w:rsidRDefault="00BB5F29" w14:paraId="6A024A15" w14:textId="2A3050D9">
      <w:pPr>
        <w:ind w:left="6480" w:firstLine="720"/>
        <w:jc w:val="center"/>
        <w:rPr>
          <w:b/>
          <w:sz w:val="26"/>
          <w:szCs w:val="26"/>
        </w:rPr>
      </w:pPr>
      <w:r>
        <w:rPr>
          <w:b/>
          <w:sz w:val="26"/>
          <w:szCs w:val="26"/>
        </w:rPr>
        <w:t xml:space="preserve">         </w:t>
      </w:r>
      <w:r w:rsidRPr="001E2E5A" w:rsidR="00F53670">
        <w:rPr>
          <w:b/>
          <w:sz w:val="26"/>
          <w:szCs w:val="26"/>
        </w:rPr>
        <w:t>Ratesetting</w:t>
      </w:r>
    </w:p>
    <w:p w:rsidRPr="001E2E5A" w:rsidR="00E46748" w:rsidP="00E46748" w:rsidRDefault="00E46748" w14:paraId="0411B0BB" w14:textId="2A04080F">
      <w:pPr>
        <w:ind w:left="6480"/>
        <w:jc w:val="center"/>
        <w:rPr>
          <w:b/>
          <w:sz w:val="26"/>
          <w:szCs w:val="26"/>
        </w:rPr>
      </w:pPr>
      <w:r>
        <w:rPr>
          <w:b/>
          <w:sz w:val="26"/>
          <w:szCs w:val="26"/>
        </w:rPr>
        <w:t xml:space="preserve">         12/18/2025 Item #13</w:t>
      </w:r>
    </w:p>
    <w:p w:rsidR="00F53670" w:rsidP="00F53670" w:rsidRDefault="00F53670" w14:paraId="745B9190" w14:textId="77777777">
      <w:pPr>
        <w:pStyle w:val="BodyText"/>
        <w:spacing w:before="18"/>
        <w:rPr>
          <w:b/>
        </w:rPr>
      </w:pPr>
    </w:p>
    <w:p w:rsidR="00BB5F29" w:rsidP="00F53670" w:rsidRDefault="00BB5F29" w14:paraId="2DDA3918" w14:textId="77777777">
      <w:pPr>
        <w:pStyle w:val="BodyText"/>
        <w:spacing w:before="18"/>
        <w:rPr>
          <w:b/>
        </w:rPr>
      </w:pPr>
    </w:p>
    <w:p w:rsidR="00F53670" w:rsidP="00F53670" w:rsidRDefault="00F53670" w14:paraId="77EC2D48" w14:textId="70EAA74E">
      <w:pPr>
        <w:ind w:left="220"/>
        <w:rPr>
          <w:b/>
          <w:sz w:val="26"/>
        </w:rPr>
      </w:pPr>
      <w:r>
        <w:rPr>
          <w:spacing w:val="-2"/>
          <w:sz w:val="26"/>
        </w:rPr>
        <w:t>Decision</w:t>
      </w:r>
      <w:r>
        <w:rPr>
          <w:spacing w:val="-5"/>
          <w:sz w:val="26"/>
        </w:rPr>
        <w:t xml:space="preserve"> </w:t>
      </w:r>
      <w:r>
        <w:rPr>
          <w:b/>
          <w:spacing w:val="-2"/>
          <w:sz w:val="26"/>
          <w:u w:val="single"/>
        </w:rPr>
        <w:t>PROPOSED</w:t>
      </w:r>
      <w:r>
        <w:rPr>
          <w:b/>
          <w:spacing w:val="-7"/>
          <w:sz w:val="26"/>
          <w:u w:val="single"/>
        </w:rPr>
        <w:t xml:space="preserve"> </w:t>
      </w:r>
      <w:r>
        <w:rPr>
          <w:b/>
          <w:spacing w:val="-2"/>
          <w:sz w:val="26"/>
          <w:u w:val="single"/>
        </w:rPr>
        <w:t>DECISION</w:t>
      </w:r>
      <w:r>
        <w:rPr>
          <w:b/>
          <w:spacing w:val="-3"/>
          <w:sz w:val="26"/>
          <w:u w:val="single"/>
        </w:rPr>
        <w:t xml:space="preserve"> </w:t>
      </w:r>
      <w:r>
        <w:rPr>
          <w:b/>
          <w:spacing w:val="-2"/>
          <w:sz w:val="26"/>
          <w:u w:val="single"/>
        </w:rPr>
        <w:t>OF</w:t>
      </w:r>
      <w:r>
        <w:rPr>
          <w:b/>
          <w:spacing w:val="-7"/>
          <w:sz w:val="26"/>
          <w:u w:val="single"/>
        </w:rPr>
        <w:t xml:space="preserve"> </w:t>
      </w:r>
      <w:r>
        <w:rPr>
          <w:b/>
          <w:spacing w:val="-2"/>
          <w:sz w:val="26"/>
          <w:u w:val="single"/>
        </w:rPr>
        <w:t>ALJ</w:t>
      </w:r>
      <w:r>
        <w:rPr>
          <w:b/>
          <w:spacing w:val="-6"/>
          <w:sz w:val="26"/>
          <w:u w:val="single"/>
        </w:rPr>
        <w:t xml:space="preserve"> </w:t>
      </w:r>
      <w:r>
        <w:rPr>
          <w:b/>
          <w:spacing w:val="-2"/>
          <w:sz w:val="26"/>
          <w:u w:val="single"/>
        </w:rPr>
        <w:t>FREDERICKS</w:t>
      </w:r>
      <w:r>
        <w:rPr>
          <w:b/>
          <w:spacing w:val="-7"/>
          <w:sz w:val="26"/>
          <w:u w:val="single"/>
        </w:rPr>
        <w:t xml:space="preserve"> </w:t>
      </w:r>
      <w:r>
        <w:rPr>
          <w:b/>
          <w:spacing w:val="-2"/>
          <w:sz w:val="26"/>
          <w:u w:val="single"/>
        </w:rPr>
        <w:t>(Mailed</w:t>
      </w:r>
      <w:r>
        <w:rPr>
          <w:b/>
          <w:spacing w:val="-6"/>
          <w:sz w:val="26"/>
          <w:u w:val="single"/>
        </w:rPr>
        <w:t xml:space="preserve"> </w:t>
      </w:r>
      <w:r w:rsidR="00B717B8">
        <w:rPr>
          <w:b/>
          <w:spacing w:val="-6"/>
          <w:sz w:val="26"/>
          <w:u w:val="single"/>
        </w:rPr>
        <w:t>11</w:t>
      </w:r>
      <w:r>
        <w:rPr>
          <w:b/>
          <w:spacing w:val="-2"/>
          <w:sz w:val="26"/>
          <w:u w:val="single"/>
        </w:rPr>
        <w:t>/</w:t>
      </w:r>
      <w:r w:rsidR="00B717B8">
        <w:rPr>
          <w:b/>
          <w:spacing w:val="-2"/>
          <w:sz w:val="26"/>
          <w:u w:val="single"/>
        </w:rPr>
        <w:t>14</w:t>
      </w:r>
      <w:r>
        <w:rPr>
          <w:b/>
          <w:spacing w:val="-2"/>
          <w:sz w:val="26"/>
          <w:u w:val="single"/>
        </w:rPr>
        <w:t>/</w:t>
      </w:r>
      <w:r w:rsidR="00B717B8">
        <w:rPr>
          <w:b/>
          <w:spacing w:val="-2"/>
          <w:sz w:val="26"/>
          <w:u w:val="single"/>
        </w:rPr>
        <w:t>2025</w:t>
      </w:r>
      <w:r>
        <w:rPr>
          <w:b/>
          <w:spacing w:val="-2"/>
          <w:sz w:val="26"/>
          <w:u w:val="single"/>
        </w:rPr>
        <w:t>)</w:t>
      </w:r>
    </w:p>
    <w:p w:rsidR="00F53670" w:rsidP="00F53670" w:rsidRDefault="00F53670" w14:paraId="3A92199E" w14:textId="77777777">
      <w:pPr>
        <w:pStyle w:val="BodyText"/>
        <w:spacing w:before="199"/>
        <w:rPr>
          <w:b/>
          <w:sz w:val="24"/>
        </w:rPr>
      </w:pPr>
    </w:p>
    <w:p w:rsidR="00F53670" w:rsidP="00F53670" w:rsidRDefault="00F53670" w14:paraId="11EDA2FC" w14:textId="77777777">
      <w:pPr>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F53670" w:rsidP="00F53670" w:rsidRDefault="00F53670" w14:paraId="64925631" w14:textId="77777777">
      <w:pPr>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4680"/>
        <w:gridCol w:w="4680"/>
      </w:tblGrid>
      <w:tr w:rsidRPr="00F53670" w:rsidR="00F53670" w14:paraId="0FD91EB6" w14:textId="77777777">
        <w:trPr>
          <w:jc w:val="center"/>
        </w:trPr>
        <w:tc>
          <w:tcPr>
            <w:tcW w:w="5040" w:type="dxa"/>
            <w:tcBorders>
              <w:top w:val="nil"/>
              <w:left w:val="nil"/>
              <w:bottom w:val="single" w:color="auto" w:sz="4" w:space="0"/>
              <w:right w:val="single" w:color="auto" w:sz="4" w:space="0"/>
            </w:tcBorders>
          </w:tcPr>
          <w:p w:rsidRPr="00F53670" w:rsidR="00F53670" w:rsidRDefault="00F53670" w14:paraId="5D017BED" w14:textId="77777777">
            <w:pPr>
              <w:rPr>
                <w:rFonts w:cs="Arial"/>
                <w:sz w:val="26"/>
                <w:szCs w:val="26"/>
              </w:rPr>
            </w:pPr>
            <w:r w:rsidRPr="00F53670">
              <w:rPr>
                <w:rFonts w:cs="Arial"/>
                <w:sz w:val="26"/>
                <w:szCs w:val="26"/>
              </w:rPr>
              <w:t>Application of Pacific Gas and Electric Company for Recovery of Recorded Expenditures in Transmission Revenue Requirement Reclassification Memorandum Account. (U-39M)</w:t>
            </w:r>
            <w:r w:rsidRPr="00F53670">
              <w:rPr>
                <w:rFonts w:cs="Arial"/>
                <w:sz w:val="26"/>
                <w:szCs w:val="26"/>
              </w:rPr>
              <w:br/>
            </w:r>
          </w:p>
        </w:tc>
        <w:tc>
          <w:tcPr>
            <w:tcW w:w="5040" w:type="dxa"/>
            <w:tcBorders>
              <w:top w:val="nil"/>
              <w:left w:val="single" w:color="auto" w:sz="4" w:space="0"/>
              <w:bottom w:val="nil"/>
              <w:right w:val="nil"/>
            </w:tcBorders>
            <w:vAlign w:val="center"/>
          </w:tcPr>
          <w:p w:rsidRPr="00F53670" w:rsidR="00F53670" w:rsidRDefault="00F53670" w14:paraId="1CFC230B" w14:textId="77777777">
            <w:pPr>
              <w:pStyle w:val="ListParagraph"/>
              <w:ind w:firstLine="0"/>
              <w:jc w:val="center"/>
              <w:rPr>
                <w:rFonts w:cs="Arial"/>
                <w:sz w:val="26"/>
                <w:szCs w:val="26"/>
              </w:rPr>
            </w:pPr>
            <w:r w:rsidRPr="00F53670">
              <w:rPr>
                <w:rFonts w:cs="Arial"/>
                <w:sz w:val="26"/>
                <w:szCs w:val="26"/>
              </w:rPr>
              <w:t>Application 24-09-015</w:t>
            </w:r>
          </w:p>
        </w:tc>
      </w:tr>
    </w:tbl>
    <w:p w:rsidR="00F53670" w:rsidP="00F53670" w:rsidRDefault="00F53670" w14:paraId="177BEB0F" w14:textId="77777777">
      <w:pPr>
        <w:rPr>
          <w:rFonts w:ascii="Arial" w:hAnsi="Arial" w:cs="Arial"/>
          <w:sz w:val="24"/>
          <w:szCs w:val="24"/>
        </w:rPr>
      </w:pPr>
    </w:p>
    <w:p w:rsidR="00F53670" w:rsidP="00F53670" w:rsidRDefault="00F53670" w14:paraId="07F5681C" w14:textId="77777777">
      <w:pPr>
        <w:rPr>
          <w:rFonts w:ascii="Arial" w:hAnsi="Arial" w:cs="Arial"/>
          <w:sz w:val="24"/>
          <w:szCs w:val="24"/>
        </w:rPr>
      </w:pPr>
    </w:p>
    <w:p w:rsidR="00DE31CA" w:rsidRDefault="00DE31CA" w14:paraId="50F81407" w14:textId="77777777">
      <w:pPr>
        <w:pStyle w:val="BodyText"/>
        <w:spacing w:before="261"/>
        <w:rPr>
          <w:rFonts w:ascii="Arial"/>
          <w:b/>
        </w:rPr>
      </w:pPr>
    </w:p>
    <w:p w:rsidR="00E22FF5" w:rsidP="00B1323F" w:rsidRDefault="003D5307" w14:paraId="169301F5" w14:textId="77777777">
      <w:pPr>
        <w:pStyle w:val="Heading1"/>
        <w:ind w:left="90" w:right="60" w:hanging="90"/>
        <w:jc w:val="center"/>
      </w:pPr>
      <w:bookmarkStart w:name="DECISION_AUTHORIZING_THE_CITY_OF_MODESTO" w:id="0"/>
      <w:bookmarkStart w:name="_Toc187748546" w:id="1"/>
      <w:bookmarkStart w:name="_Toc214020771" w:id="2"/>
      <w:bookmarkEnd w:id="0"/>
      <w:r>
        <w:t xml:space="preserve">DECISION </w:t>
      </w:r>
      <w:bookmarkStart w:name="_Hlk212565521" w:id="3"/>
      <w:r>
        <w:t xml:space="preserve">AUTHORIZING </w:t>
      </w:r>
      <w:r w:rsidR="00EC6B28">
        <w:t>PACIFIC GAS AND ELECTRIC COMPANY</w:t>
      </w:r>
      <w:r>
        <w:t xml:space="preserve"> TO </w:t>
      </w:r>
      <w:bookmarkEnd w:id="1"/>
      <w:r w:rsidR="00F44086">
        <w:t>RECOVER RECORDED EXPENDITURES IN THE TRANS</w:t>
      </w:r>
      <w:r w:rsidR="00046658">
        <w:t>MISSION REVENUE REQUIREMENT RECLASSIFICATION MEMORANDUM ACCOUNT</w:t>
      </w:r>
      <w:bookmarkEnd w:id="2"/>
      <w:bookmarkEnd w:id="3"/>
    </w:p>
    <w:p w:rsidRPr="003E7C06" w:rsidR="003E7C06" w:rsidP="003E7C06" w:rsidRDefault="003E7C06" w14:paraId="52566716" w14:textId="77777777"/>
    <w:p w:rsidRPr="003E7C06" w:rsidR="003E7C06" w:rsidP="003E7C06" w:rsidRDefault="003E7C06" w14:paraId="20F68FB2" w14:textId="77777777"/>
    <w:p w:rsidRPr="003E7C06" w:rsidR="003E7C06" w:rsidP="003E7C06" w:rsidRDefault="003E7C06" w14:paraId="6E4195C9" w14:textId="77777777"/>
    <w:p w:rsidRPr="003E7C06" w:rsidR="003E7C06" w:rsidP="003E7C06" w:rsidRDefault="003E7C06" w14:paraId="06AACA1D" w14:textId="77777777"/>
    <w:p w:rsidRPr="003E7C06" w:rsidR="003E7C06" w:rsidP="003E7C06" w:rsidRDefault="003E7C06" w14:paraId="7F21F333" w14:textId="77777777"/>
    <w:p w:rsidRPr="003E7C06" w:rsidR="003E7C06" w:rsidP="003E7C06" w:rsidRDefault="003E7C06" w14:paraId="32BB8356" w14:textId="77777777"/>
    <w:p w:rsidRPr="003E7C06" w:rsidR="003E7C06" w:rsidP="003E7C06" w:rsidRDefault="003E7C06" w14:paraId="474E9C77" w14:textId="77777777"/>
    <w:p w:rsidRPr="003E7C06" w:rsidR="003E7C06" w:rsidP="003E7C06" w:rsidRDefault="003E7C06" w14:paraId="6CD1762F" w14:textId="77777777"/>
    <w:p w:rsidRPr="003E7C06" w:rsidR="003E7C06" w:rsidP="003E7C06" w:rsidRDefault="003E7C06" w14:paraId="0678DE71" w14:textId="77777777"/>
    <w:p w:rsidRPr="003E7C06" w:rsidR="003E7C06" w:rsidP="003E7C06" w:rsidRDefault="003E7C06" w14:paraId="4E5B4D9A" w14:textId="77777777"/>
    <w:p w:rsidRPr="003E7C06" w:rsidR="003E7C06" w:rsidP="003E7C06" w:rsidRDefault="003E7C06" w14:paraId="2D645964" w14:textId="77777777"/>
    <w:p w:rsidRPr="003E7C06" w:rsidR="003E7C06" w:rsidP="003E7C06" w:rsidRDefault="003E7C06" w14:paraId="340E9DD7" w14:textId="77777777"/>
    <w:p w:rsidRPr="003E7C06" w:rsidR="003E7C06" w:rsidP="003E7C06" w:rsidRDefault="003E7C06" w14:paraId="76BAD01E" w14:textId="77777777"/>
    <w:p w:rsidR="003E7C06" w:rsidP="003E7C06" w:rsidRDefault="003E7C06" w14:paraId="0D4AB7FD" w14:textId="77777777">
      <w:pPr>
        <w:rPr>
          <w:rFonts w:ascii="Arial" w:hAnsi="Arial" w:eastAsia="Arial" w:cs="Arial"/>
          <w:b/>
          <w:bCs/>
          <w:sz w:val="26"/>
          <w:szCs w:val="26"/>
        </w:rPr>
      </w:pPr>
    </w:p>
    <w:p w:rsidRPr="003E7C06" w:rsidR="003E7C06" w:rsidP="003E7C06" w:rsidRDefault="003E7C06" w14:paraId="69EC7ED5" w14:textId="77777777">
      <w:pPr>
        <w:sectPr w:rsidRPr="003E7C06" w:rsidR="003E7C06" w:rsidSect="00B1323F">
          <w:headerReference w:type="default" r:id="rId11"/>
          <w:footerReference w:type="default" r:id="rId12"/>
          <w:footerReference w:type="first" r:id="rId13"/>
          <w:pgSz w:w="12240" w:h="15840"/>
          <w:pgMar w:top="1660" w:right="1350" w:bottom="1340" w:left="1530" w:header="900" w:footer="1158" w:gutter="0"/>
          <w:pgNumType w:start="1"/>
          <w:cols w:space="720"/>
          <w:titlePg/>
          <w:docGrid w:linePitch="299"/>
        </w:sectPr>
      </w:pPr>
    </w:p>
    <w:p w:rsidR="00DE31CA" w:rsidRDefault="00DE31CA" w14:paraId="58253864" w14:textId="77777777">
      <w:pPr>
        <w:pStyle w:val="Heading1"/>
        <w:ind w:left="608" w:right="1708" w:firstLine="3"/>
        <w:jc w:val="center"/>
      </w:pPr>
      <w:bookmarkStart w:name="_Hlk212565654" w:id="4"/>
      <w:bookmarkStart w:name="_Hlk212565592" w:id="5"/>
    </w:p>
    <w:p w:rsidR="00DE31CA" w:rsidRDefault="00DE31CA" w14:paraId="26F14B17" w14:textId="77777777">
      <w:pPr>
        <w:jc w:val="center"/>
        <w:sectPr w:rsidR="00DE31CA" w:rsidSect="00B1323F">
          <w:headerReference w:type="default" r:id="rId14"/>
          <w:footerReference w:type="default" r:id="rId15"/>
          <w:pgSz w:w="12240" w:h="15840"/>
          <w:pgMar w:top="1660" w:right="1200" w:bottom="1340" w:left="1220" w:header="720" w:footer="1158" w:gutter="0"/>
          <w:pgNumType w:fmt="lowerRoman" w:start="1"/>
          <w:cols w:space="720"/>
        </w:sectPr>
      </w:pPr>
    </w:p>
    <w:p w:rsidR="00E22FF5" w:rsidP="00E22FF5" w:rsidRDefault="00E22FF5" w14:paraId="43FDD0CD" w14:textId="77777777">
      <w:pPr>
        <w:spacing w:before="152"/>
        <w:ind w:right="20"/>
        <w:jc w:val="center"/>
        <w:rPr>
          <w:b/>
          <w:sz w:val="26"/>
        </w:rPr>
      </w:pPr>
      <w:r>
        <w:rPr>
          <w:b/>
          <w:sz w:val="26"/>
        </w:rPr>
        <w:t>TABLE</w:t>
      </w:r>
      <w:r>
        <w:rPr>
          <w:b/>
          <w:spacing w:val="-13"/>
          <w:sz w:val="26"/>
        </w:rPr>
        <w:t xml:space="preserve"> </w:t>
      </w:r>
      <w:r>
        <w:rPr>
          <w:b/>
          <w:sz w:val="26"/>
        </w:rPr>
        <w:t>OF</w:t>
      </w:r>
      <w:r>
        <w:rPr>
          <w:b/>
          <w:spacing w:val="-13"/>
          <w:sz w:val="26"/>
        </w:rPr>
        <w:t xml:space="preserve"> </w:t>
      </w:r>
      <w:r>
        <w:rPr>
          <w:b/>
          <w:spacing w:val="-2"/>
          <w:sz w:val="26"/>
        </w:rPr>
        <w:t>CONTENTS</w:t>
      </w:r>
    </w:p>
    <w:p w:rsidR="00E22FF5" w:rsidP="00E22FF5" w:rsidRDefault="00E22FF5" w14:paraId="7B402C33" w14:textId="77777777">
      <w:pPr>
        <w:tabs>
          <w:tab w:val="left" w:pos="9013"/>
        </w:tabs>
        <w:spacing w:before="1"/>
        <w:ind w:left="219"/>
        <w:rPr>
          <w:b/>
          <w:sz w:val="26"/>
        </w:rPr>
      </w:pPr>
      <w:r>
        <w:rPr>
          <w:b/>
          <w:spacing w:val="-2"/>
          <w:sz w:val="26"/>
        </w:rPr>
        <w:t>Title</w:t>
      </w:r>
      <w:r>
        <w:rPr>
          <w:b/>
          <w:sz w:val="26"/>
        </w:rPr>
        <w:tab/>
      </w:r>
      <w:r>
        <w:rPr>
          <w:b/>
          <w:spacing w:val="-4"/>
          <w:sz w:val="26"/>
        </w:rPr>
        <w:t>Page</w:t>
      </w:r>
    </w:p>
    <w:sdt>
      <w:sdtPr>
        <w:id w:val="1272783568"/>
        <w:docPartObj>
          <w:docPartGallery w:val="Table of Contents"/>
          <w:docPartUnique/>
        </w:docPartObj>
      </w:sdtPr>
      <w:sdtContent>
        <w:p w:rsidR="00B717B8" w:rsidRDefault="5FF596F9" w14:paraId="4159EFFB" w14:textId="37FC9F76">
          <w:pPr>
            <w:pStyle w:val="TOC1"/>
            <w:tabs>
              <w:tab w:val="right" w:leader="dot" w:pos="9810"/>
            </w:tabs>
            <w:rPr>
              <w:rFonts w:asciiTheme="minorHAnsi" w:hAnsiTheme="minorHAnsi" w:eastAsiaTheme="minorEastAsia" w:cstheme="minorBidi"/>
              <w:noProof/>
              <w:kern w:val="2"/>
              <w:sz w:val="24"/>
              <w:szCs w:val="24"/>
              <w14:ligatures w14:val="standardContextual"/>
            </w:rPr>
          </w:pPr>
          <w:r>
            <w:fldChar w:fldCharType="begin"/>
          </w:r>
          <w:r w:rsidR="0075165A">
            <w:instrText>TOC \o "1-3" \z \u \h</w:instrText>
          </w:r>
          <w:r>
            <w:fldChar w:fldCharType="separate"/>
          </w:r>
          <w:hyperlink w:history="1" w:anchor="_Toc214020771">
            <w:r w:rsidRPr="007E083F" w:rsidR="00B717B8">
              <w:rPr>
                <w:rStyle w:val="Hyperlink"/>
                <w:noProof/>
              </w:rPr>
              <w:t>DECISION AUTHORIZING PACIFIC GAS AND ELECTRIC COMPANY TO RECOVER RECORDED EXPENDITURES IN THE TRANSMISSION REVENUE REQUIREMENT RECLASSIFICATION MEMORANDUM ACCOUNT</w:t>
            </w:r>
            <w:r w:rsidR="00B717B8">
              <w:rPr>
                <w:noProof/>
                <w:webHidden/>
              </w:rPr>
              <w:tab/>
            </w:r>
            <w:r w:rsidR="00B717B8">
              <w:rPr>
                <w:noProof/>
                <w:webHidden/>
              </w:rPr>
              <w:fldChar w:fldCharType="begin"/>
            </w:r>
            <w:r w:rsidR="00B717B8">
              <w:rPr>
                <w:noProof/>
                <w:webHidden/>
              </w:rPr>
              <w:instrText xml:space="preserve"> PAGEREF _Toc214020771 \h </w:instrText>
            </w:r>
            <w:r w:rsidR="00B717B8">
              <w:rPr>
                <w:noProof/>
                <w:webHidden/>
              </w:rPr>
            </w:r>
            <w:r w:rsidR="00B717B8">
              <w:rPr>
                <w:noProof/>
                <w:webHidden/>
              </w:rPr>
              <w:fldChar w:fldCharType="separate"/>
            </w:r>
            <w:r w:rsidR="00F41AE7">
              <w:rPr>
                <w:noProof/>
                <w:webHidden/>
              </w:rPr>
              <w:t>1</w:t>
            </w:r>
            <w:r w:rsidR="00B717B8">
              <w:rPr>
                <w:noProof/>
                <w:webHidden/>
              </w:rPr>
              <w:fldChar w:fldCharType="end"/>
            </w:r>
          </w:hyperlink>
        </w:p>
        <w:p w:rsidR="00B717B8" w:rsidRDefault="00B717B8" w14:paraId="3258460D" w14:textId="6E3863C6">
          <w:pPr>
            <w:pStyle w:val="TOC1"/>
            <w:tabs>
              <w:tab w:val="right" w:leader="dot" w:pos="9810"/>
            </w:tabs>
            <w:rPr>
              <w:rFonts w:asciiTheme="minorHAnsi" w:hAnsiTheme="minorHAnsi" w:eastAsiaTheme="minorEastAsia" w:cstheme="minorBidi"/>
              <w:noProof/>
              <w:kern w:val="2"/>
              <w:sz w:val="24"/>
              <w:szCs w:val="24"/>
              <w14:ligatures w14:val="standardContextual"/>
            </w:rPr>
          </w:pPr>
          <w:hyperlink w:history="1" w:anchor="_Toc214020772">
            <w:r w:rsidRPr="007E083F">
              <w:rPr>
                <w:rStyle w:val="Hyperlink"/>
                <w:noProof/>
                <w:spacing w:val="-2"/>
              </w:rPr>
              <w:t>Summary</w:t>
            </w:r>
            <w:r>
              <w:rPr>
                <w:noProof/>
                <w:webHidden/>
              </w:rPr>
              <w:tab/>
            </w:r>
            <w:r>
              <w:rPr>
                <w:noProof/>
                <w:webHidden/>
              </w:rPr>
              <w:fldChar w:fldCharType="begin"/>
            </w:r>
            <w:r>
              <w:rPr>
                <w:noProof/>
                <w:webHidden/>
              </w:rPr>
              <w:instrText xml:space="preserve"> PAGEREF _Toc214020772 \h </w:instrText>
            </w:r>
            <w:r>
              <w:rPr>
                <w:noProof/>
                <w:webHidden/>
              </w:rPr>
            </w:r>
            <w:r>
              <w:rPr>
                <w:noProof/>
                <w:webHidden/>
              </w:rPr>
              <w:fldChar w:fldCharType="separate"/>
            </w:r>
            <w:r w:rsidR="00F41AE7">
              <w:rPr>
                <w:noProof/>
                <w:webHidden/>
              </w:rPr>
              <w:t>2</w:t>
            </w:r>
            <w:r>
              <w:rPr>
                <w:noProof/>
                <w:webHidden/>
              </w:rPr>
              <w:fldChar w:fldCharType="end"/>
            </w:r>
          </w:hyperlink>
        </w:p>
        <w:p w:rsidR="00B717B8" w:rsidRDefault="00B717B8" w14:paraId="7F8440B4" w14:textId="4A79D824">
          <w:pPr>
            <w:pStyle w:val="TOC1"/>
            <w:tabs>
              <w:tab w:val="left" w:pos="649"/>
              <w:tab w:val="right" w:leader="dot" w:pos="9810"/>
            </w:tabs>
            <w:rPr>
              <w:rFonts w:asciiTheme="minorHAnsi" w:hAnsiTheme="minorHAnsi" w:eastAsiaTheme="minorEastAsia" w:cstheme="minorBidi"/>
              <w:noProof/>
              <w:kern w:val="2"/>
              <w:sz w:val="24"/>
              <w:szCs w:val="24"/>
              <w14:ligatures w14:val="standardContextual"/>
            </w:rPr>
          </w:pPr>
          <w:hyperlink w:history="1" w:anchor="_Toc214020773">
            <w:r w:rsidRPr="007E083F">
              <w:rPr>
                <w:rStyle w:val="Hyperlink"/>
                <w:noProof/>
                <w:spacing w:val="-2"/>
                <w:w w:val="98"/>
              </w:rPr>
              <w:t>1.</w:t>
            </w:r>
            <w:r>
              <w:rPr>
                <w:rFonts w:asciiTheme="minorHAnsi" w:hAnsiTheme="minorHAnsi" w:eastAsiaTheme="minorEastAsia" w:cstheme="minorBidi"/>
                <w:noProof/>
                <w:kern w:val="2"/>
                <w:sz w:val="24"/>
                <w:szCs w:val="24"/>
                <w14:ligatures w14:val="standardContextual"/>
              </w:rPr>
              <w:tab/>
            </w:r>
            <w:r w:rsidRPr="007E083F">
              <w:rPr>
                <w:rStyle w:val="Hyperlink"/>
                <w:rFonts w:eastAsiaTheme="majorEastAsia" w:cstheme="majorBidi"/>
                <w:noProof/>
              </w:rPr>
              <w:t>Procedural Background</w:t>
            </w:r>
            <w:r>
              <w:rPr>
                <w:noProof/>
                <w:webHidden/>
              </w:rPr>
              <w:tab/>
            </w:r>
            <w:r>
              <w:rPr>
                <w:noProof/>
                <w:webHidden/>
              </w:rPr>
              <w:fldChar w:fldCharType="begin"/>
            </w:r>
            <w:r>
              <w:rPr>
                <w:noProof/>
                <w:webHidden/>
              </w:rPr>
              <w:instrText xml:space="preserve"> PAGEREF _Toc214020773 \h </w:instrText>
            </w:r>
            <w:r>
              <w:rPr>
                <w:noProof/>
                <w:webHidden/>
              </w:rPr>
            </w:r>
            <w:r>
              <w:rPr>
                <w:noProof/>
                <w:webHidden/>
              </w:rPr>
              <w:fldChar w:fldCharType="separate"/>
            </w:r>
            <w:r w:rsidR="00F41AE7">
              <w:rPr>
                <w:noProof/>
                <w:webHidden/>
              </w:rPr>
              <w:t>3</w:t>
            </w:r>
            <w:r>
              <w:rPr>
                <w:noProof/>
                <w:webHidden/>
              </w:rPr>
              <w:fldChar w:fldCharType="end"/>
            </w:r>
          </w:hyperlink>
        </w:p>
        <w:p w:rsidR="00B717B8" w:rsidRDefault="00B717B8" w14:paraId="0FB32D62" w14:textId="7956289F">
          <w:pPr>
            <w:pStyle w:val="TOC1"/>
            <w:tabs>
              <w:tab w:val="left" w:pos="649"/>
              <w:tab w:val="right" w:leader="dot" w:pos="9810"/>
            </w:tabs>
            <w:rPr>
              <w:rFonts w:asciiTheme="minorHAnsi" w:hAnsiTheme="minorHAnsi" w:eastAsiaTheme="minorEastAsia" w:cstheme="minorBidi"/>
              <w:noProof/>
              <w:kern w:val="2"/>
              <w:sz w:val="24"/>
              <w:szCs w:val="24"/>
              <w14:ligatures w14:val="standardContextual"/>
            </w:rPr>
          </w:pPr>
          <w:hyperlink w:history="1" w:anchor="_Toc214020774">
            <w:r w:rsidRPr="007E083F">
              <w:rPr>
                <w:rStyle w:val="Hyperlink"/>
                <w:noProof/>
                <w:spacing w:val="-2"/>
                <w:w w:val="98"/>
              </w:rPr>
              <w:t>2.</w:t>
            </w:r>
            <w:r>
              <w:rPr>
                <w:rFonts w:asciiTheme="minorHAnsi" w:hAnsiTheme="minorHAnsi" w:eastAsiaTheme="minorEastAsia" w:cstheme="minorBidi"/>
                <w:noProof/>
                <w:kern w:val="2"/>
                <w:sz w:val="24"/>
                <w:szCs w:val="24"/>
                <w14:ligatures w14:val="standardContextual"/>
              </w:rPr>
              <w:tab/>
            </w:r>
            <w:r w:rsidRPr="007E083F">
              <w:rPr>
                <w:rStyle w:val="Hyperlink"/>
                <w:rFonts w:eastAsiaTheme="majorEastAsia" w:cstheme="majorBidi"/>
                <w:noProof/>
              </w:rPr>
              <w:t>Submission Date</w:t>
            </w:r>
            <w:r>
              <w:rPr>
                <w:noProof/>
                <w:webHidden/>
              </w:rPr>
              <w:tab/>
            </w:r>
            <w:r>
              <w:rPr>
                <w:noProof/>
                <w:webHidden/>
              </w:rPr>
              <w:fldChar w:fldCharType="begin"/>
            </w:r>
            <w:r>
              <w:rPr>
                <w:noProof/>
                <w:webHidden/>
              </w:rPr>
              <w:instrText xml:space="preserve"> PAGEREF _Toc214020774 \h </w:instrText>
            </w:r>
            <w:r>
              <w:rPr>
                <w:noProof/>
                <w:webHidden/>
              </w:rPr>
            </w:r>
            <w:r>
              <w:rPr>
                <w:noProof/>
                <w:webHidden/>
              </w:rPr>
              <w:fldChar w:fldCharType="separate"/>
            </w:r>
            <w:r w:rsidR="00F41AE7">
              <w:rPr>
                <w:noProof/>
                <w:webHidden/>
              </w:rPr>
              <w:t>4</w:t>
            </w:r>
            <w:r>
              <w:rPr>
                <w:noProof/>
                <w:webHidden/>
              </w:rPr>
              <w:fldChar w:fldCharType="end"/>
            </w:r>
          </w:hyperlink>
        </w:p>
        <w:p w:rsidR="00B717B8" w:rsidRDefault="00B717B8" w14:paraId="67E0C2F8" w14:textId="7C401885">
          <w:pPr>
            <w:pStyle w:val="TOC1"/>
            <w:tabs>
              <w:tab w:val="left" w:pos="649"/>
              <w:tab w:val="right" w:leader="dot" w:pos="9810"/>
            </w:tabs>
            <w:rPr>
              <w:rFonts w:asciiTheme="minorHAnsi" w:hAnsiTheme="minorHAnsi" w:eastAsiaTheme="minorEastAsia" w:cstheme="minorBidi"/>
              <w:noProof/>
              <w:kern w:val="2"/>
              <w:sz w:val="24"/>
              <w:szCs w:val="24"/>
              <w14:ligatures w14:val="standardContextual"/>
            </w:rPr>
          </w:pPr>
          <w:hyperlink w:history="1" w:anchor="_Toc214020775">
            <w:r w:rsidRPr="007E083F">
              <w:rPr>
                <w:rStyle w:val="Hyperlink"/>
                <w:noProof/>
                <w:spacing w:val="-2"/>
                <w:w w:val="98"/>
              </w:rPr>
              <w:t>3.</w:t>
            </w:r>
            <w:r>
              <w:rPr>
                <w:rFonts w:asciiTheme="minorHAnsi" w:hAnsiTheme="minorHAnsi" w:eastAsiaTheme="minorEastAsia" w:cstheme="minorBidi"/>
                <w:noProof/>
                <w:kern w:val="2"/>
                <w:sz w:val="24"/>
                <w:szCs w:val="24"/>
                <w14:ligatures w14:val="standardContextual"/>
              </w:rPr>
              <w:tab/>
            </w:r>
            <w:r w:rsidRPr="007E083F">
              <w:rPr>
                <w:rStyle w:val="Hyperlink"/>
                <w:rFonts w:eastAsiaTheme="majorEastAsia" w:cstheme="majorBidi"/>
                <w:noProof/>
              </w:rPr>
              <w:t>Jurisdiction</w:t>
            </w:r>
            <w:r>
              <w:rPr>
                <w:noProof/>
                <w:webHidden/>
              </w:rPr>
              <w:tab/>
            </w:r>
            <w:r>
              <w:rPr>
                <w:noProof/>
                <w:webHidden/>
              </w:rPr>
              <w:fldChar w:fldCharType="begin"/>
            </w:r>
            <w:r>
              <w:rPr>
                <w:noProof/>
                <w:webHidden/>
              </w:rPr>
              <w:instrText xml:space="preserve"> PAGEREF _Toc214020775 \h </w:instrText>
            </w:r>
            <w:r>
              <w:rPr>
                <w:noProof/>
                <w:webHidden/>
              </w:rPr>
            </w:r>
            <w:r>
              <w:rPr>
                <w:noProof/>
                <w:webHidden/>
              </w:rPr>
              <w:fldChar w:fldCharType="separate"/>
            </w:r>
            <w:r w:rsidR="00F41AE7">
              <w:rPr>
                <w:noProof/>
                <w:webHidden/>
              </w:rPr>
              <w:t>4</w:t>
            </w:r>
            <w:r>
              <w:rPr>
                <w:noProof/>
                <w:webHidden/>
              </w:rPr>
              <w:fldChar w:fldCharType="end"/>
            </w:r>
          </w:hyperlink>
        </w:p>
        <w:p w:rsidR="00B717B8" w:rsidRDefault="00B717B8" w14:paraId="34A4910A" w14:textId="37DD4113">
          <w:pPr>
            <w:pStyle w:val="TOC1"/>
            <w:tabs>
              <w:tab w:val="left" w:pos="649"/>
              <w:tab w:val="right" w:leader="dot" w:pos="9810"/>
            </w:tabs>
            <w:rPr>
              <w:rFonts w:asciiTheme="minorHAnsi" w:hAnsiTheme="minorHAnsi" w:eastAsiaTheme="minorEastAsia" w:cstheme="minorBidi"/>
              <w:noProof/>
              <w:kern w:val="2"/>
              <w:sz w:val="24"/>
              <w:szCs w:val="24"/>
              <w14:ligatures w14:val="standardContextual"/>
            </w:rPr>
          </w:pPr>
          <w:hyperlink w:history="1" w:anchor="_Toc214020776">
            <w:r w:rsidRPr="007E083F">
              <w:rPr>
                <w:rStyle w:val="Hyperlink"/>
                <w:noProof/>
                <w:spacing w:val="-2"/>
                <w:w w:val="98"/>
              </w:rPr>
              <w:t>4.</w:t>
            </w:r>
            <w:r>
              <w:rPr>
                <w:rFonts w:asciiTheme="minorHAnsi" w:hAnsiTheme="minorHAnsi" w:eastAsiaTheme="minorEastAsia" w:cstheme="minorBidi"/>
                <w:noProof/>
                <w:kern w:val="2"/>
                <w:sz w:val="24"/>
                <w:szCs w:val="24"/>
                <w14:ligatures w14:val="standardContextual"/>
              </w:rPr>
              <w:tab/>
            </w:r>
            <w:r w:rsidRPr="007E083F">
              <w:rPr>
                <w:rStyle w:val="Hyperlink"/>
                <w:rFonts w:eastAsiaTheme="majorEastAsia" w:cstheme="majorBidi"/>
                <w:noProof/>
              </w:rPr>
              <w:t>Issues Before the Commission</w:t>
            </w:r>
            <w:r>
              <w:rPr>
                <w:noProof/>
                <w:webHidden/>
              </w:rPr>
              <w:tab/>
            </w:r>
            <w:r>
              <w:rPr>
                <w:noProof/>
                <w:webHidden/>
              </w:rPr>
              <w:fldChar w:fldCharType="begin"/>
            </w:r>
            <w:r>
              <w:rPr>
                <w:noProof/>
                <w:webHidden/>
              </w:rPr>
              <w:instrText xml:space="preserve"> PAGEREF _Toc214020776 \h </w:instrText>
            </w:r>
            <w:r>
              <w:rPr>
                <w:noProof/>
                <w:webHidden/>
              </w:rPr>
            </w:r>
            <w:r>
              <w:rPr>
                <w:noProof/>
                <w:webHidden/>
              </w:rPr>
              <w:fldChar w:fldCharType="separate"/>
            </w:r>
            <w:r w:rsidR="00F41AE7">
              <w:rPr>
                <w:noProof/>
                <w:webHidden/>
              </w:rPr>
              <w:t>5</w:t>
            </w:r>
            <w:r>
              <w:rPr>
                <w:noProof/>
                <w:webHidden/>
              </w:rPr>
              <w:fldChar w:fldCharType="end"/>
            </w:r>
          </w:hyperlink>
        </w:p>
        <w:p w:rsidR="00B717B8" w:rsidRDefault="00B717B8" w14:paraId="285D0A85" w14:textId="40CAAC8B">
          <w:pPr>
            <w:pStyle w:val="TOC1"/>
            <w:tabs>
              <w:tab w:val="left" w:pos="649"/>
              <w:tab w:val="right" w:leader="dot" w:pos="9810"/>
            </w:tabs>
            <w:rPr>
              <w:rFonts w:asciiTheme="minorHAnsi" w:hAnsiTheme="minorHAnsi" w:eastAsiaTheme="minorEastAsia" w:cstheme="minorBidi"/>
              <w:noProof/>
              <w:kern w:val="2"/>
              <w:sz w:val="24"/>
              <w:szCs w:val="24"/>
              <w14:ligatures w14:val="standardContextual"/>
            </w:rPr>
          </w:pPr>
          <w:hyperlink w:history="1" w:anchor="_Toc214020777">
            <w:r w:rsidRPr="007E083F">
              <w:rPr>
                <w:rStyle w:val="Hyperlink"/>
                <w:noProof/>
                <w:spacing w:val="-2"/>
                <w:w w:val="98"/>
              </w:rPr>
              <w:t>5.</w:t>
            </w:r>
            <w:r>
              <w:rPr>
                <w:rFonts w:asciiTheme="minorHAnsi" w:hAnsiTheme="minorHAnsi" w:eastAsiaTheme="minorEastAsia" w:cstheme="minorBidi"/>
                <w:noProof/>
                <w:kern w:val="2"/>
                <w:sz w:val="24"/>
                <w:szCs w:val="24"/>
                <w14:ligatures w14:val="standardContextual"/>
              </w:rPr>
              <w:tab/>
            </w:r>
            <w:r w:rsidRPr="007E083F">
              <w:rPr>
                <w:rStyle w:val="Hyperlink"/>
                <w:rFonts w:eastAsiaTheme="majorEastAsia" w:cstheme="majorBidi"/>
                <w:noProof/>
              </w:rPr>
              <w:t>Application Background</w:t>
            </w:r>
            <w:r>
              <w:rPr>
                <w:noProof/>
                <w:webHidden/>
              </w:rPr>
              <w:tab/>
            </w:r>
            <w:r>
              <w:rPr>
                <w:noProof/>
                <w:webHidden/>
              </w:rPr>
              <w:fldChar w:fldCharType="begin"/>
            </w:r>
            <w:r>
              <w:rPr>
                <w:noProof/>
                <w:webHidden/>
              </w:rPr>
              <w:instrText xml:space="preserve"> PAGEREF _Toc214020777 \h </w:instrText>
            </w:r>
            <w:r>
              <w:rPr>
                <w:noProof/>
                <w:webHidden/>
              </w:rPr>
            </w:r>
            <w:r>
              <w:rPr>
                <w:noProof/>
                <w:webHidden/>
              </w:rPr>
              <w:fldChar w:fldCharType="separate"/>
            </w:r>
            <w:r w:rsidR="00F41AE7">
              <w:rPr>
                <w:noProof/>
                <w:webHidden/>
              </w:rPr>
              <w:t>5</w:t>
            </w:r>
            <w:r>
              <w:rPr>
                <w:noProof/>
                <w:webHidden/>
              </w:rPr>
              <w:fldChar w:fldCharType="end"/>
            </w:r>
          </w:hyperlink>
        </w:p>
        <w:p w:rsidR="00B717B8" w:rsidRDefault="00B717B8" w14:paraId="14695AA6" w14:textId="0BEF4DEC">
          <w:pPr>
            <w:pStyle w:val="TOC1"/>
            <w:tabs>
              <w:tab w:val="left" w:pos="649"/>
              <w:tab w:val="right" w:leader="dot" w:pos="9810"/>
            </w:tabs>
            <w:rPr>
              <w:rFonts w:asciiTheme="minorHAnsi" w:hAnsiTheme="minorHAnsi" w:eastAsiaTheme="minorEastAsia" w:cstheme="minorBidi"/>
              <w:noProof/>
              <w:kern w:val="2"/>
              <w:sz w:val="24"/>
              <w:szCs w:val="24"/>
              <w14:ligatures w14:val="standardContextual"/>
            </w:rPr>
          </w:pPr>
          <w:hyperlink w:history="1" w:anchor="_Toc214020778">
            <w:r w:rsidRPr="007E083F">
              <w:rPr>
                <w:rStyle w:val="Hyperlink"/>
                <w:noProof/>
                <w:spacing w:val="-2"/>
                <w:w w:val="98"/>
              </w:rPr>
              <w:t>6.</w:t>
            </w:r>
            <w:r>
              <w:rPr>
                <w:rFonts w:asciiTheme="minorHAnsi" w:hAnsiTheme="minorHAnsi" w:eastAsiaTheme="minorEastAsia" w:cstheme="minorBidi"/>
                <w:noProof/>
                <w:kern w:val="2"/>
                <w:sz w:val="24"/>
                <w:szCs w:val="24"/>
                <w14:ligatures w14:val="standardContextual"/>
              </w:rPr>
              <w:tab/>
            </w:r>
            <w:r w:rsidRPr="007E083F">
              <w:rPr>
                <w:rStyle w:val="Hyperlink"/>
                <w:rFonts w:eastAsiaTheme="majorEastAsia" w:cstheme="majorBidi"/>
                <w:noProof/>
              </w:rPr>
              <w:t>Party Positions and Discussion of Scoping Issues</w:t>
            </w:r>
            <w:r>
              <w:rPr>
                <w:noProof/>
                <w:webHidden/>
              </w:rPr>
              <w:tab/>
            </w:r>
            <w:r>
              <w:rPr>
                <w:noProof/>
                <w:webHidden/>
              </w:rPr>
              <w:fldChar w:fldCharType="begin"/>
            </w:r>
            <w:r>
              <w:rPr>
                <w:noProof/>
                <w:webHidden/>
              </w:rPr>
              <w:instrText xml:space="preserve"> PAGEREF _Toc214020778 \h </w:instrText>
            </w:r>
            <w:r>
              <w:rPr>
                <w:noProof/>
                <w:webHidden/>
              </w:rPr>
            </w:r>
            <w:r>
              <w:rPr>
                <w:noProof/>
                <w:webHidden/>
              </w:rPr>
              <w:fldChar w:fldCharType="separate"/>
            </w:r>
            <w:r w:rsidR="00F41AE7">
              <w:rPr>
                <w:noProof/>
                <w:webHidden/>
              </w:rPr>
              <w:t>7</w:t>
            </w:r>
            <w:r>
              <w:rPr>
                <w:noProof/>
                <w:webHidden/>
              </w:rPr>
              <w:fldChar w:fldCharType="end"/>
            </w:r>
          </w:hyperlink>
        </w:p>
        <w:p w:rsidR="00B717B8" w:rsidRDefault="00B717B8" w14:paraId="28C74CFA" w14:textId="51496E9E">
          <w:pPr>
            <w:pStyle w:val="TOC1"/>
            <w:tabs>
              <w:tab w:val="left" w:pos="1084"/>
              <w:tab w:val="right" w:leader="dot" w:pos="9810"/>
            </w:tabs>
            <w:rPr>
              <w:rFonts w:asciiTheme="minorHAnsi" w:hAnsiTheme="minorHAnsi" w:eastAsiaTheme="minorEastAsia" w:cstheme="minorBidi"/>
              <w:noProof/>
              <w:kern w:val="2"/>
              <w:sz w:val="24"/>
              <w:szCs w:val="24"/>
              <w14:ligatures w14:val="standardContextual"/>
            </w:rPr>
          </w:pPr>
          <w:hyperlink w:history="1" w:anchor="_Toc214020779">
            <w:r w:rsidRPr="007E083F">
              <w:rPr>
                <w:rStyle w:val="Hyperlink"/>
                <w:noProof/>
                <w:spacing w:val="-2"/>
                <w:w w:val="98"/>
              </w:rPr>
              <w:t>6.1.</w:t>
            </w:r>
            <w:r>
              <w:rPr>
                <w:rFonts w:asciiTheme="minorHAnsi" w:hAnsiTheme="minorHAnsi" w:eastAsiaTheme="minorEastAsia" w:cstheme="minorBidi"/>
                <w:noProof/>
                <w:kern w:val="2"/>
                <w:sz w:val="24"/>
                <w:szCs w:val="24"/>
                <w14:ligatures w14:val="standardContextual"/>
              </w:rPr>
              <w:tab/>
            </w:r>
            <w:r w:rsidRPr="007E083F">
              <w:rPr>
                <w:rStyle w:val="Hyperlink"/>
                <w:noProof/>
              </w:rPr>
              <w:t>Scoping Issue 1: Does PG&amp;E’s Application Meet the Legal Standards for Recovery?</w:t>
            </w:r>
            <w:r>
              <w:rPr>
                <w:noProof/>
                <w:webHidden/>
              </w:rPr>
              <w:tab/>
            </w:r>
            <w:r>
              <w:rPr>
                <w:noProof/>
                <w:webHidden/>
              </w:rPr>
              <w:fldChar w:fldCharType="begin"/>
            </w:r>
            <w:r>
              <w:rPr>
                <w:noProof/>
                <w:webHidden/>
              </w:rPr>
              <w:instrText xml:space="preserve"> PAGEREF _Toc214020779 \h </w:instrText>
            </w:r>
            <w:r>
              <w:rPr>
                <w:noProof/>
                <w:webHidden/>
              </w:rPr>
            </w:r>
            <w:r>
              <w:rPr>
                <w:noProof/>
                <w:webHidden/>
              </w:rPr>
              <w:fldChar w:fldCharType="separate"/>
            </w:r>
            <w:r w:rsidR="00F41AE7">
              <w:rPr>
                <w:noProof/>
                <w:webHidden/>
              </w:rPr>
              <w:t>7</w:t>
            </w:r>
            <w:r>
              <w:rPr>
                <w:noProof/>
                <w:webHidden/>
              </w:rPr>
              <w:fldChar w:fldCharType="end"/>
            </w:r>
          </w:hyperlink>
        </w:p>
        <w:p w:rsidR="00B717B8" w:rsidRDefault="00B717B8" w14:paraId="00E0CEEB" w14:textId="605B3D92">
          <w:pPr>
            <w:pStyle w:val="TOC1"/>
            <w:tabs>
              <w:tab w:val="left" w:pos="1084"/>
              <w:tab w:val="right" w:leader="dot" w:pos="9810"/>
            </w:tabs>
            <w:rPr>
              <w:rFonts w:asciiTheme="minorHAnsi" w:hAnsiTheme="minorHAnsi" w:eastAsiaTheme="minorEastAsia" w:cstheme="minorBidi"/>
              <w:noProof/>
              <w:kern w:val="2"/>
              <w:sz w:val="24"/>
              <w:szCs w:val="24"/>
              <w14:ligatures w14:val="standardContextual"/>
            </w:rPr>
          </w:pPr>
          <w:hyperlink w:history="1" w:anchor="_Toc214020780">
            <w:r w:rsidRPr="007E083F">
              <w:rPr>
                <w:rStyle w:val="Hyperlink"/>
                <w:noProof/>
                <w:spacing w:val="-2"/>
                <w:w w:val="98"/>
              </w:rPr>
              <w:t>6.1.1.</w:t>
            </w:r>
            <w:r>
              <w:rPr>
                <w:rFonts w:asciiTheme="minorHAnsi" w:hAnsiTheme="minorHAnsi" w:eastAsiaTheme="minorEastAsia" w:cstheme="minorBidi"/>
                <w:noProof/>
                <w:kern w:val="2"/>
                <w:sz w:val="24"/>
                <w:szCs w:val="24"/>
                <w14:ligatures w14:val="standardContextual"/>
              </w:rPr>
              <w:tab/>
            </w:r>
            <w:r w:rsidRPr="007E083F">
              <w:rPr>
                <w:rStyle w:val="Hyperlink"/>
                <w:noProof/>
              </w:rPr>
              <w:t>Legal Standards for Recovery</w:t>
            </w:r>
            <w:r>
              <w:rPr>
                <w:noProof/>
                <w:webHidden/>
              </w:rPr>
              <w:tab/>
            </w:r>
            <w:r>
              <w:rPr>
                <w:noProof/>
                <w:webHidden/>
              </w:rPr>
              <w:fldChar w:fldCharType="begin"/>
            </w:r>
            <w:r>
              <w:rPr>
                <w:noProof/>
                <w:webHidden/>
              </w:rPr>
              <w:instrText xml:space="preserve"> PAGEREF _Toc214020780 \h </w:instrText>
            </w:r>
            <w:r>
              <w:rPr>
                <w:noProof/>
                <w:webHidden/>
              </w:rPr>
            </w:r>
            <w:r>
              <w:rPr>
                <w:noProof/>
                <w:webHidden/>
              </w:rPr>
              <w:fldChar w:fldCharType="separate"/>
            </w:r>
            <w:r w:rsidR="00F41AE7">
              <w:rPr>
                <w:noProof/>
                <w:webHidden/>
              </w:rPr>
              <w:t>7</w:t>
            </w:r>
            <w:r>
              <w:rPr>
                <w:noProof/>
                <w:webHidden/>
              </w:rPr>
              <w:fldChar w:fldCharType="end"/>
            </w:r>
          </w:hyperlink>
        </w:p>
        <w:p w:rsidR="00B717B8" w:rsidRDefault="00B717B8" w14:paraId="4B6EB469" w14:textId="3A1DC8DB">
          <w:pPr>
            <w:pStyle w:val="TOC1"/>
            <w:tabs>
              <w:tab w:val="left" w:pos="1084"/>
              <w:tab w:val="right" w:leader="dot" w:pos="9810"/>
            </w:tabs>
            <w:rPr>
              <w:rFonts w:asciiTheme="minorHAnsi" w:hAnsiTheme="minorHAnsi" w:eastAsiaTheme="minorEastAsia" w:cstheme="minorBidi"/>
              <w:noProof/>
              <w:kern w:val="2"/>
              <w:sz w:val="24"/>
              <w:szCs w:val="24"/>
              <w14:ligatures w14:val="standardContextual"/>
            </w:rPr>
          </w:pPr>
          <w:hyperlink w:history="1" w:anchor="_Toc214020781">
            <w:r w:rsidRPr="007E083F">
              <w:rPr>
                <w:rStyle w:val="Hyperlink"/>
                <w:noProof/>
                <w:spacing w:val="-2"/>
                <w:w w:val="98"/>
              </w:rPr>
              <w:t>6.2.</w:t>
            </w:r>
            <w:r>
              <w:rPr>
                <w:rFonts w:asciiTheme="minorHAnsi" w:hAnsiTheme="minorHAnsi" w:eastAsiaTheme="minorEastAsia" w:cstheme="minorBidi"/>
                <w:noProof/>
                <w:kern w:val="2"/>
                <w:sz w:val="24"/>
                <w:szCs w:val="24"/>
                <w14:ligatures w14:val="standardContextual"/>
              </w:rPr>
              <w:tab/>
            </w:r>
            <w:r w:rsidRPr="007E083F">
              <w:rPr>
                <w:rStyle w:val="Hyperlink"/>
                <w:noProof/>
              </w:rPr>
              <w:t>Scoping Issue 2: Has PG&amp;E Demonstrated that the CGI Plant Costs in PG&amp;E’s Request Were Actually Incurred?</w:t>
            </w:r>
            <w:r>
              <w:rPr>
                <w:noProof/>
                <w:webHidden/>
              </w:rPr>
              <w:tab/>
            </w:r>
            <w:r>
              <w:rPr>
                <w:noProof/>
                <w:webHidden/>
              </w:rPr>
              <w:fldChar w:fldCharType="begin"/>
            </w:r>
            <w:r>
              <w:rPr>
                <w:noProof/>
                <w:webHidden/>
              </w:rPr>
              <w:instrText xml:space="preserve"> PAGEREF _Toc214020781 \h </w:instrText>
            </w:r>
            <w:r>
              <w:rPr>
                <w:noProof/>
                <w:webHidden/>
              </w:rPr>
            </w:r>
            <w:r>
              <w:rPr>
                <w:noProof/>
                <w:webHidden/>
              </w:rPr>
              <w:fldChar w:fldCharType="separate"/>
            </w:r>
            <w:r w:rsidR="00F41AE7">
              <w:rPr>
                <w:noProof/>
                <w:webHidden/>
              </w:rPr>
              <w:t>10</w:t>
            </w:r>
            <w:r>
              <w:rPr>
                <w:noProof/>
                <w:webHidden/>
              </w:rPr>
              <w:fldChar w:fldCharType="end"/>
            </w:r>
          </w:hyperlink>
        </w:p>
        <w:p w:rsidR="00B717B8" w:rsidRDefault="00B717B8" w14:paraId="710BEBF8" w14:textId="09546C3A">
          <w:pPr>
            <w:pStyle w:val="TOC1"/>
            <w:tabs>
              <w:tab w:val="left" w:pos="1084"/>
              <w:tab w:val="right" w:leader="dot" w:pos="9810"/>
            </w:tabs>
            <w:rPr>
              <w:rFonts w:asciiTheme="minorHAnsi" w:hAnsiTheme="minorHAnsi" w:eastAsiaTheme="minorEastAsia" w:cstheme="minorBidi"/>
              <w:noProof/>
              <w:kern w:val="2"/>
              <w:sz w:val="24"/>
              <w:szCs w:val="24"/>
              <w14:ligatures w14:val="standardContextual"/>
            </w:rPr>
          </w:pPr>
          <w:hyperlink w:history="1" w:anchor="_Toc214020782">
            <w:r w:rsidRPr="007E083F">
              <w:rPr>
                <w:rStyle w:val="Hyperlink"/>
                <w:noProof/>
                <w:spacing w:val="-2"/>
                <w:w w:val="98"/>
              </w:rPr>
              <w:t>6.2.1.</w:t>
            </w:r>
            <w:r>
              <w:rPr>
                <w:rFonts w:asciiTheme="minorHAnsi" w:hAnsiTheme="minorHAnsi" w:eastAsiaTheme="minorEastAsia" w:cstheme="minorBidi"/>
                <w:noProof/>
                <w:kern w:val="2"/>
                <w:sz w:val="24"/>
                <w:szCs w:val="24"/>
                <w14:ligatures w14:val="standardContextual"/>
              </w:rPr>
              <w:tab/>
            </w:r>
            <w:r w:rsidRPr="007E083F">
              <w:rPr>
                <w:rStyle w:val="Hyperlink"/>
                <w:noProof/>
              </w:rPr>
              <w:t>Evidentiary Showing: Sampling, Invoices, and Ledger Support</w:t>
            </w:r>
            <w:r>
              <w:rPr>
                <w:noProof/>
                <w:webHidden/>
              </w:rPr>
              <w:tab/>
            </w:r>
            <w:r>
              <w:rPr>
                <w:noProof/>
                <w:webHidden/>
              </w:rPr>
              <w:fldChar w:fldCharType="begin"/>
            </w:r>
            <w:r>
              <w:rPr>
                <w:noProof/>
                <w:webHidden/>
              </w:rPr>
              <w:instrText xml:space="preserve"> PAGEREF _Toc214020782 \h </w:instrText>
            </w:r>
            <w:r>
              <w:rPr>
                <w:noProof/>
                <w:webHidden/>
              </w:rPr>
            </w:r>
            <w:r>
              <w:rPr>
                <w:noProof/>
                <w:webHidden/>
              </w:rPr>
              <w:fldChar w:fldCharType="separate"/>
            </w:r>
            <w:r w:rsidR="00F41AE7">
              <w:rPr>
                <w:noProof/>
                <w:webHidden/>
              </w:rPr>
              <w:t>10</w:t>
            </w:r>
            <w:r>
              <w:rPr>
                <w:noProof/>
                <w:webHidden/>
              </w:rPr>
              <w:fldChar w:fldCharType="end"/>
            </w:r>
          </w:hyperlink>
        </w:p>
        <w:p w:rsidR="00B717B8" w:rsidRDefault="00B717B8" w14:paraId="71688DDD" w14:textId="289BDEC7">
          <w:pPr>
            <w:pStyle w:val="TOC1"/>
            <w:tabs>
              <w:tab w:val="left" w:pos="1084"/>
              <w:tab w:val="right" w:leader="dot" w:pos="9810"/>
            </w:tabs>
            <w:rPr>
              <w:rFonts w:asciiTheme="minorHAnsi" w:hAnsiTheme="minorHAnsi" w:eastAsiaTheme="minorEastAsia" w:cstheme="minorBidi"/>
              <w:noProof/>
              <w:kern w:val="2"/>
              <w:sz w:val="24"/>
              <w:szCs w:val="24"/>
              <w14:ligatures w14:val="standardContextual"/>
            </w:rPr>
          </w:pPr>
          <w:hyperlink w:history="1" w:anchor="_Toc214020783">
            <w:r w:rsidRPr="007E083F">
              <w:rPr>
                <w:rStyle w:val="Hyperlink"/>
                <w:noProof/>
                <w:spacing w:val="-2"/>
                <w:w w:val="98"/>
              </w:rPr>
              <w:t>6.2.2.</w:t>
            </w:r>
            <w:r>
              <w:rPr>
                <w:rFonts w:asciiTheme="minorHAnsi" w:hAnsiTheme="minorHAnsi" w:eastAsiaTheme="minorEastAsia" w:cstheme="minorBidi"/>
                <w:noProof/>
                <w:kern w:val="2"/>
                <w:sz w:val="24"/>
                <w:szCs w:val="24"/>
                <w14:ligatures w14:val="standardContextual"/>
              </w:rPr>
              <w:tab/>
            </w:r>
            <w:r w:rsidRPr="007E083F">
              <w:rPr>
                <w:rStyle w:val="Hyperlink"/>
                <w:noProof/>
              </w:rPr>
              <w:t>Non-Invoice Categories</w:t>
            </w:r>
            <w:r>
              <w:rPr>
                <w:noProof/>
                <w:webHidden/>
              </w:rPr>
              <w:tab/>
            </w:r>
            <w:r>
              <w:rPr>
                <w:noProof/>
                <w:webHidden/>
              </w:rPr>
              <w:fldChar w:fldCharType="begin"/>
            </w:r>
            <w:r>
              <w:rPr>
                <w:noProof/>
                <w:webHidden/>
              </w:rPr>
              <w:instrText xml:space="preserve"> PAGEREF _Toc214020783 \h </w:instrText>
            </w:r>
            <w:r>
              <w:rPr>
                <w:noProof/>
                <w:webHidden/>
              </w:rPr>
            </w:r>
            <w:r>
              <w:rPr>
                <w:noProof/>
                <w:webHidden/>
              </w:rPr>
              <w:fldChar w:fldCharType="separate"/>
            </w:r>
            <w:r w:rsidR="00F41AE7">
              <w:rPr>
                <w:noProof/>
                <w:webHidden/>
              </w:rPr>
              <w:t>13</w:t>
            </w:r>
            <w:r>
              <w:rPr>
                <w:noProof/>
                <w:webHidden/>
              </w:rPr>
              <w:fldChar w:fldCharType="end"/>
            </w:r>
          </w:hyperlink>
        </w:p>
        <w:p w:rsidR="00B717B8" w:rsidRDefault="00B717B8" w14:paraId="53175264" w14:textId="6DC26053">
          <w:pPr>
            <w:pStyle w:val="TOC1"/>
            <w:tabs>
              <w:tab w:val="left" w:pos="1084"/>
              <w:tab w:val="right" w:leader="dot" w:pos="9810"/>
            </w:tabs>
            <w:rPr>
              <w:rFonts w:asciiTheme="minorHAnsi" w:hAnsiTheme="minorHAnsi" w:eastAsiaTheme="minorEastAsia" w:cstheme="minorBidi"/>
              <w:noProof/>
              <w:kern w:val="2"/>
              <w:sz w:val="24"/>
              <w:szCs w:val="24"/>
              <w14:ligatures w14:val="standardContextual"/>
            </w:rPr>
          </w:pPr>
          <w:hyperlink w:history="1" w:anchor="_Toc214020784">
            <w:r w:rsidRPr="007E083F">
              <w:rPr>
                <w:rStyle w:val="Hyperlink"/>
                <w:noProof/>
                <w:spacing w:val="-2"/>
                <w:w w:val="98"/>
              </w:rPr>
              <w:t>6.2.3.</w:t>
            </w:r>
            <w:r>
              <w:rPr>
                <w:rFonts w:asciiTheme="minorHAnsi" w:hAnsiTheme="minorHAnsi" w:eastAsiaTheme="minorEastAsia" w:cstheme="minorBidi"/>
                <w:noProof/>
                <w:kern w:val="2"/>
                <w:sz w:val="24"/>
                <w:szCs w:val="24"/>
                <w14:ligatures w14:val="standardContextual"/>
              </w:rPr>
              <w:tab/>
            </w:r>
            <w:r w:rsidRPr="007E083F">
              <w:rPr>
                <w:rStyle w:val="Hyperlink"/>
                <w:noProof/>
              </w:rPr>
              <w:t>Timing of Production and Due Process Considerations</w:t>
            </w:r>
            <w:r>
              <w:rPr>
                <w:noProof/>
                <w:webHidden/>
              </w:rPr>
              <w:tab/>
            </w:r>
            <w:r>
              <w:rPr>
                <w:noProof/>
                <w:webHidden/>
              </w:rPr>
              <w:fldChar w:fldCharType="begin"/>
            </w:r>
            <w:r>
              <w:rPr>
                <w:noProof/>
                <w:webHidden/>
              </w:rPr>
              <w:instrText xml:space="preserve"> PAGEREF _Toc214020784 \h </w:instrText>
            </w:r>
            <w:r>
              <w:rPr>
                <w:noProof/>
                <w:webHidden/>
              </w:rPr>
            </w:r>
            <w:r>
              <w:rPr>
                <w:noProof/>
                <w:webHidden/>
              </w:rPr>
              <w:fldChar w:fldCharType="separate"/>
            </w:r>
            <w:r w:rsidR="00F41AE7">
              <w:rPr>
                <w:noProof/>
                <w:webHidden/>
              </w:rPr>
              <w:t>15</w:t>
            </w:r>
            <w:r>
              <w:rPr>
                <w:noProof/>
                <w:webHidden/>
              </w:rPr>
              <w:fldChar w:fldCharType="end"/>
            </w:r>
          </w:hyperlink>
        </w:p>
        <w:p w:rsidR="00B717B8" w:rsidRDefault="00B717B8" w14:paraId="40C0B0F4" w14:textId="47416E0D">
          <w:pPr>
            <w:pStyle w:val="TOC1"/>
            <w:tabs>
              <w:tab w:val="left" w:pos="1084"/>
              <w:tab w:val="right" w:leader="dot" w:pos="9810"/>
            </w:tabs>
            <w:rPr>
              <w:rFonts w:asciiTheme="minorHAnsi" w:hAnsiTheme="minorHAnsi" w:eastAsiaTheme="minorEastAsia" w:cstheme="minorBidi"/>
              <w:noProof/>
              <w:kern w:val="2"/>
              <w:sz w:val="24"/>
              <w:szCs w:val="24"/>
              <w14:ligatures w14:val="standardContextual"/>
            </w:rPr>
          </w:pPr>
          <w:hyperlink w:history="1" w:anchor="_Toc214020785">
            <w:r w:rsidRPr="007E083F">
              <w:rPr>
                <w:rStyle w:val="Hyperlink"/>
                <w:noProof/>
                <w:spacing w:val="-2"/>
                <w:w w:val="98"/>
              </w:rPr>
              <w:t>6.2.4.</w:t>
            </w:r>
            <w:r>
              <w:rPr>
                <w:rFonts w:asciiTheme="minorHAnsi" w:hAnsiTheme="minorHAnsi" w:eastAsiaTheme="minorEastAsia" w:cstheme="minorBidi"/>
                <w:noProof/>
                <w:kern w:val="2"/>
                <w:sz w:val="24"/>
                <w:szCs w:val="24"/>
                <w14:ligatures w14:val="standardContextual"/>
              </w:rPr>
              <w:tab/>
            </w:r>
            <w:r w:rsidRPr="007E083F">
              <w:rPr>
                <w:rStyle w:val="Hyperlink"/>
                <w:noProof/>
              </w:rPr>
              <w:t>Treatment of Administrative and General Expenses</w:t>
            </w:r>
            <w:r>
              <w:rPr>
                <w:noProof/>
                <w:webHidden/>
              </w:rPr>
              <w:tab/>
            </w:r>
            <w:r>
              <w:rPr>
                <w:noProof/>
                <w:webHidden/>
              </w:rPr>
              <w:fldChar w:fldCharType="begin"/>
            </w:r>
            <w:r>
              <w:rPr>
                <w:noProof/>
                <w:webHidden/>
              </w:rPr>
              <w:instrText xml:space="preserve"> PAGEREF _Toc214020785 \h </w:instrText>
            </w:r>
            <w:r>
              <w:rPr>
                <w:noProof/>
                <w:webHidden/>
              </w:rPr>
            </w:r>
            <w:r>
              <w:rPr>
                <w:noProof/>
                <w:webHidden/>
              </w:rPr>
              <w:fldChar w:fldCharType="separate"/>
            </w:r>
            <w:r w:rsidR="00F41AE7">
              <w:rPr>
                <w:noProof/>
                <w:webHidden/>
              </w:rPr>
              <w:t>17</w:t>
            </w:r>
            <w:r>
              <w:rPr>
                <w:noProof/>
                <w:webHidden/>
              </w:rPr>
              <w:fldChar w:fldCharType="end"/>
            </w:r>
          </w:hyperlink>
        </w:p>
        <w:p w:rsidR="00B717B8" w:rsidRDefault="00B717B8" w14:paraId="3B514653" w14:textId="258CA4B0">
          <w:pPr>
            <w:pStyle w:val="TOC1"/>
            <w:tabs>
              <w:tab w:val="left" w:pos="1084"/>
              <w:tab w:val="right" w:leader="dot" w:pos="9810"/>
            </w:tabs>
            <w:rPr>
              <w:rFonts w:asciiTheme="minorHAnsi" w:hAnsiTheme="minorHAnsi" w:eastAsiaTheme="minorEastAsia" w:cstheme="minorBidi"/>
              <w:noProof/>
              <w:kern w:val="2"/>
              <w:sz w:val="24"/>
              <w:szCs w:val="24"/>
              <w14:ligatures w14:val="standardContextual"/>
            </w:rPr>
          </w:pPr>
          <w:hyperlink w:history="1" w:anchor="_Toc214020786">
            <w:r w:rsidRPr="007E083F">
              <w:rPr>
                <w:rStyle w:val="Hyperlink"/>
                <w:noProof/>
                <w:spacing w:val="-2"/>
                <w:w w:val="98"/>
              </w:rPr>
              <w:t>6.3.</w:t>
            </w:r>
            <w:r>
              <w:rPr>
                <w:rFonts w:asciiTheme="minorHAnsi" w:hAnsiTheme="minorHAnsi" w:eastAsiaTheme="minorEastAsia" w:cstheme="minorBidi"/>
                <w:noProof/>
                <w:kern w:val="2"/>
                <w:sz w:val="24"/>
                <w:szCs w:val="24"/>
                <w14:ligatures w14:val="standardContextual"/>
              </w:rPr>
              <w:tab/>
            </w:r>
            <w:r w:rsidRPr="007E083F">
              <w:rPr>
                <w:rStyle w:val="Hyperlink"/>
                <w:noProof/>
              </w:rPr>
              <w:t>Scoping Issue 3: Are PG&amp;E’s Calculations Regarding the Revenue Requirement Requested in Its Application Accurate and Should Costs Be Recovered from Commission Ratepayers?</w:t>
            </w:r>
            <w:r>
              <w:rPr>
                <w:noProof/>
                <w:webHidden/>
              </w:rPr>
              <w:tab/>
            </w:r>
            <w:r>
              <w:rPr>
                <w:noProof/>
                <w:webHidden/>
              </w:rPr>
              <w:fldChar w:fldCharType="begin"/>
            </w:r>
            <w:r>
              <w:rPr>
                <w:noProof/>
                <w:webHidden/>
              </w:rPr>
              <w:instrText xml:space="preserve"> PAGEREF _Toc214020786 \h </w:instrText>
            </w:r>
            <w:r>
              <w:rPr>
                <w:noProof/>
                <w:webHidden/>
              </w:rPr>
            </w:r>
            <w:r>
              <w:rPr>
                <w:noProof/>
                <w:webHidden/>
              </w:rPr>
              <w:fldChar w:fldCharType="separate"/>
            </w:r>
            <w:r w:rsidR="00F41AE7">
              <w:rPr>
                <w:noProof/>
                <w:webHidden/>
              </w:rPr>
              <w:t>19</w:t>
            </w:r>
            <w:r>
              <w:rPr>
                <w:noProof/>
                <w:webHidden/>
              </w:rPr>
              <w:fldChar w:fldCharType="end"/>
            </w:r>
          </w:hyperlink>
        </w:p>
        <w:p w:rsidR="00B717B8" w:rsidRDefault="00B717B8" w14:paraId="3803B525" w14:textId="1F96B0B5">
          <w:pPr>
            <w:pStyle w:val="TOC1"/>
            <w:tabs>
              <w:tab w:val="left" w:pos="1084"/>
              <w:tab w:val="right" w:leader="dot" w:pos="9810"/>
            </w:tabs>
            <w:rPr>
              <w:rFonts w:asciiTheme="minorHAnsi" w:hAnsiTheme="minorHAnsi" w:eastAsiaTheme="minorEastAsia" w:cstheme="minorBidi"/>
              <w:noProof/>
              <w:kern w:val="2"/>
              <w:sz w:val="24"/>
              <w:szCs w:val="24"/>
              <w14:ligatures w14:val="standardContextual"/>
            </w:rPr>
          </w:pPr>
          <w:hyperlink w:history="1" w:anchor="_Toc214020787">
            <w:r w:rsidRPr="007E083F">
              <w:rPr>
                <w:rStyle w:val="Hyperlink"/>
                <w:noProof/>
                <w:spacing w:val="-2"/>
                <w:w w:val="98"/>
              </w:rPr>
              <w:t>6.3.1.</w:t>
            </w:r>
            <w:r>
              <w:rPr>
                <w:rFonts w:asciiTheme="minorHAnsi" w:hAnsiTheme="minorHAnsi" w:eastAsiaTheme="minorEastAsia" w:cstheme="minorBidi"/>
                <w:noProof/>
                <w:kern w:val="2"/>
                <w:sz w:val="24"/>
                <w:szCs w:val="24"/>
                <w14:ligatures w14:val="standardContextual"/>
              </w:rPr>
              <w:tab/>
            </w:r>
            <w:r w:rsidRPr="007E083F">
              <w:rPr>
                <w:rStyle w:val="Hyperlink"/>
                <w:noProof/>
              </w:rPr>
              <w:t>Arithmetic and Allocators</w:t>
            </w:r>
            <w:r>
              <w:rPr>
                <w:noProof/>
                <w:webHidden/>
              </w:rPr>
              <w:tab/>
            </w:r>
            <w:r>
              <w:rPr>
                <w:noProof/>
                <w:webHidden/>
              </w:rPr>
              <w:fldChar w:fldCharType="begin"/>
            </w:r>
            <w:r>
              <w:rPr>
                <w:noProof/>
                <w:webHidden/>
              </w:rPr>
              <w:instrText xml:space="preserve"> PAGEREF _Toc214020787 \h </w:instrText>
            </w:r>
            <w:r>
              <w:rPr>
                <w:noProof/>
                <w:webHidden/>
              </w:rPr>
            </w:r>
            <w:r>
              <w:rPr>
                <w:noProof/>
                <w:webHidden/>
              </w:rPr>
              <w:fldChar w:fldCharType="separate"/>
            </w:r>
            <w:r w:rsidR="00F41AE7">
              <w:rPr>
                <w:noProof/>
                <w:webHidden/>
              </w:rPr>
              <w:t>19</w:t>
            </w:r>
            <w:r>
              <w:rPr>
                <w:noProof/>
                <w:webHidden/>
              </w:rPr>
              <w:fldChar w:fldCharType="end"/>
            </w:r>
          </w:hyperlink>
        </w:p>
        <w:p w:rsidR="00B717B8" w:rsidRDefault="00B717B8" w14:paraId="014921DD" w14:textId="7740C7EC">
          <w:pPr>
            <w:pStyle w:val="TOC1"/>
            <w:tabs>
              <w:tab w:val="left" w:pos="1084"/>
              <w:tab w:val="right" w:leader="dot" w:pos="9810"/>
            </w:tabs>
            <w:rPr>
              <w:rFonts w:asciiTheme="minorHAnsi" w:hAnsiTheme="minorHAnsi" w:eastAsiaTheme="minorEastAsia" w:cstheme="minorBidi"/>
              <w:noProof/>
              <w:kern w:val="2"/>
              <w:sz w:val="24"/>
              <w:szCs w:val="24"/>
              <w14:ligatures w14:val="standardContextual"/>
            </w:rPr>
          </w:pPr>
          <w:hyperlink w:history="1" w:anchor="_Toc214020788">
            <w:r w:rsidRPr="007E083F">
              <w:rPr>
                <w:rStyle w:val="Hyperlink"/>
                <w:noProof/>
                <w:spacing w:val="-2"/>
                <w:w w:val="98"/>
              </w:rPr>
              <w:t>6.3.2.</w:t>
            </w:r>
            <w:r>
              <w:rPr>
                <w:rFonts w:asciiTheme="minorHAnsi" w:hAnsiTheme="minorHAnsi" w:eastAsiaTheme="minorEastAsia" w:cstheme="minorBidi"/>
                <w:noProof/>
                <w:kern w:val="2"/>
                <w:sz w:val="24"/>
                <w:szCs w:val="24"/>
                <w14:ligatures w14:val="standardContextual"/>
              </w:rPr>
              <w:tab/>
            </w:r>
            <w:r w:rsidRPr="007E083F">
              <w:rPr>
                <w:rStyle w:val="Hyperlink"/>
                <w:noProof/>
              </w:rPr>
              <w:t>Distribution to Transmission Accounting Adjustment Refund</w:t>
            </w:r>
            <w:r>
              <w:rPr>
                <w:noProof/>
                <w:webHidden/>
              </w:rPr>
              <w:tab/>
            </w:r>
            <w:r>
              <w:rPr>
                <w:noProof/>
                <w:webHidden/>
              </w:rPr>
              <w:fldChar w:fldCharType="begin"/>
            </w:r>
            <w:r>
              <w:rPr>
                <w:noProof/>
                <w:webHidden/>
              </w:rPr>
              <w:instrText xml:space="preserve"> PAGEREF _Toc214020788 \h </w:instrText>
            </w:r>
            <w:r>
              <w:rPr>
                <w:noProof/>
                <w:webHidden/>
              </w:rPr>
            </w:r>
            <w:r>
              <w:rPr>
                <w:noProof/>
                <w:webHidden/>
              </w:rPr>
              <w:fldChar w:fldCharType="separate"/>
            </w:r>
            <w:r w:rsidR="00F41AE7">
              <w:rPr>
                <w:noProof/>
                <w:webHidden/>
              </w:rPr>
              <w:t>22</w:t>
            </w:r>
            <w:r>
              <w:rPr>
                <w:noProof/>
                <w:webHidden/>
              </w:rPr>
              <w:fldChar w:fldCharType="end"/>
            </w:r>
          </w:hyperlink>
        </w:p>
        <w:p w:rsidR="00B717B8" w:rsidRDefault="00B717B8" w14:paraId="6DA4D175" w14:textId="12A432F5">
          <w:pPr>
            <w:pStyle w:val="TOC1"/>
            <w:tabs>
              <w:tab w:val="left" w:pos="1084"/>
              <w:tab w:val="right" w:leader="dot" w:pos="9810"/>
            </w:tabs>
            <w:rPr>
              <w:rFonts w:asciiTheme="minorHAnsi" w:hAnsiTheme="minorHAnsi" w:eastAsiaTheme="minorEastAsia" w:cstheme="minorBidi"/>
              <w:noProof/>
              <w:kern w:val="2"/>
              <w:sz w:val="24"/>
              <w:szCs w:val="24"/>
              <w14:ligatures w14:val="standardContextual"/>
            </w:rPr>
          </w:pPr>
          <w:hyperlink w:history="1" w:anchor="_Toc214020789">
            <w:r w:rsidRPr="007E083F">
              <w:rPr>
                <w:rStyle w:val="Hyperlink"/>
                <w:noProof/>
                <w:spacing w:val="-2"/>
                <w:w w:val="98"/>
              </w:rPr>
              <w:t>6.3.3.</w:t>
            </w:r>
            <w:r>
              <w:rPr>
                <w:rFonts w:asciiTheme="minorHAnsi" w:hAnsiTheme="minorHAnsi" w:eastAsiaTheme="minorEastAsia" w:cstheme="minorBidi"/>
                <w:noProof/>
                <w:kern w:val="2"/>
                <w:sz w:val="24"/>
                <w:szCs w:val="24"/>
                <w14:ligatures w14:val="standardContextual"/>
              </w:rPr>
              <w:tab/>
            </w:r>
            <w:r w:rsidRPr="007E083F">
              <w:rPr>
                <w:rStyle w:val="Hyperlink"/>
                <w:noProof/>
              </w:rPr>
              <w:t>CAISO-to-Non-CAISO Transfer Amount</w:t>
            </w:r>
            <w:r>
              <w:rPr>
                <w:noProof/>
                <w:webHidden/>
              </w:rPr>
              <w:tab/>
            </w:r>
            <w:r>
              <w:rPr>
                <w:noProof/>
                <w:webHidden/>
              </w:rPr>
              <w:fldChar w:fldCharType="begin"/>
            </w:r>
            <w:r>
              <w:rPr>
                <w:noProof/>
                <w:webHidden/>
              </w:rPr>
              <w:instrText xml:space="preserve"> PAGEREF _Toc214020789 \h </w:instrText>
            </w:r>
            <w:r>
              <w:rPr>
                <w:noProof/>
                <w:webHidden/>
              </w:rPr>
            </w:r>
            <w:r>
              <w:rPr>
                <w:noProof/>
                <w:webHidden/>
              </w:rPr>
              <w:fldChar w:fldCharType="separate"/>
            </w:r>
            <w:r w:rsidR="00F41AE7">
              <w:rPr>
                <w:noProof/>
                <w:webHidden/>
              </w:rPr>
              <w:t>24</w:t>
            </w:r>
            <w:r>
              <w:rPr>
                <w:noProof/>
                <w:webHidden/>
              </w:rPr>
              <w:fldChar w:fldCharType="end"/>
            </w:r>
          </w:hyperlink>
        </w:p>
        <w:p w:rsidR="00B717B8" w:rsidRDefault="00B717B8" w14:paraId="67045BDB" w14:textId="1430D318">
          <w:pPr>
            <w:pStyle w:val="TOC1"/>
            <w:tabs>
              <w:tab w:val="left" w:pos="1084"/>
              <w:tab w:val="right" w:leader="dot" w:pos="9810"/>
            </w:tabs>
            <w:rPr>
              <w:rFonts w:asciiTheme="minorHAnsi" w:hAnsiTheme="minorHAnsi" w:eastAsiaTheme="minorEastAsia" w:cstheme="minorBidi"/>
              <w:noProof/>
              <w:kern w:val="2"/>
              <w:sz w:val="24"/>
              <w:szCs w:val="24"/>
              <w14:ligatures w14:val="standardContextual"/>
            </w:rPr>
          </w:pPr>
          <w:hyperlink w:history="1" w:anchor="_Toc214020790">
            <w:r w:rsidRPr="007E083F">
              <w:rPr>
                <w:rStyle w:val="Hyperlink"/>
                <w:noProof/>
                <w:spacing w:val="-2"/>
                <w:w w:val="98"/>
              </w:rPr>
              <w:t>6.3.4.</w:t>
            </w:r>
            <w:r>
              <w:rPr>
                <w:rFonts w:asciiTheme="minorHAnsi" w:hAnsiTheme="minorHAnsi" w:eastAsiaTheme="minorEastAsia" w:cstheme="minorBidi"/>
                <w:noProof/>
                <w:kern w:val="2"/>
                <w:sz w:val="24"/>
                <w:szCs w:val="24"/>
                <w14:ligatures w14:val="standardContextual"/>
              </w:rPr>
              <w:tab/>
            </w:r>
            <w:r w:rsidRPr="007E083F">
              <w:rPr>
                <w:rStyle w:val="Hyperlink"/>
                <w:noProof/>
              </w:rPr>
              <w:t>Implementation Schedule</w:t>
            </w:r>
            <w:r>
              <w:rPr>
                <w:noProof/>
                <w:webHidden/>
              </w:rPr>
              <w:tab/>
            </w:r>
            <w:r>
              <w:rPr>
                <w:noProof/>
                <w:webHidden/>
              </w:rPr>
              <w:fldChar w:fldCharType="begin"/>
            </w:r>
            <w:r>
              <w:rPr>
                <w:noProof/>
                <w:webHidden/>
              </w:rPr>
              <w:instrText xml:space="preserve"> PAGEREF _Toc214020790 \h </w:instrText>
            </w:r>
            <w:r>
              <w:rPr>
                <w:noProof/>
                <w:webHidden/>
              </w:rPr>
            </w:r>
            <w:r>
              <w:rPr>
                <w:noProof/>
                <w:webHidden/>
              </w:rPr>
              <w:fldChar w:fldCharType="separate"/>
            </w:r>
            <w:r w:rsidR="00F41AE7">
              <w:rPr>
                <w:noProof/>
                <w:webHidden/>
              </w:rPr>
              <w:t>24</w:t>
            </w:r>
            <w:r>
              <w:rPr>
                <w:noProof/>
                <w:webHidden/>
              </w:rPr>
              <w:fldChar w:fldCharType="end"/>
            </w:r>
          </w:hyperlink>
        </w:p>
        <w:p w:rsidR="00B717B8" w:rsidRDefault="00B717B8" w14:paraId="2D44CA95" w14:textId="48E1FC2F">
          <w:pPr>
            <w:pStyle w:val="TOC1"/>
            <w:tabs>
              <w:tab w:val="left" w:pos="1084"/>
              <w:tab w:val="right" w:leader="dot" w:pos="9810"/>
            </w:tabs>
            <w:rPr>
              <w:rFonts w:asciiTheme="minorHAnsi" w:hAnsiTheme="minorHAnsi" w:eastAsiaTheme="minorEastAsia" w:cstheme="minorBidi"/>
              <w:noProof/>
              <w:kern w:val="2"/>
              <w:sz w:val="24"/>
              <w:szCs w:val="24"/>
              <w14:ligatures w14:val="standardContextual"/>
            </w:rPr>
          </w:pPr>
          <w:hyperlink w:history="1" w:anchor="_Toc214020791">
            <w:r w:rsidRPr="007E083F">
              <w:rPr>
                <w:rStyle w:val="Hyperlink"/>
                <w:noProof/>
                <w:spacing w:val="-2"/>
                <w:w w:val="98"/>
              </w:rPr>
              <w:t>6.4.</w:t>
            </w:r>
            <w:r>
              <w:rPr>
                <w:rFonts w:asciiTheme="minorHAnsi" w:hAnsiTheme="minorHAnsi" w:eastAsiaTheme="minorEastAsia" w:cstheme="minorBidi"/>
                <w:noProof/>
                <w:kern w:val="2"/>
                <w:sz w:val="24"/>
                <w:szCs w:val="24"/>
                <w14:ligatures w14:val="standardContextual"/>
              </w:rPr>
              <w:tab/>
            </w:r>
            <w:r w:rsidRPr="007E083F">
              <w:rPr>
                <w:rStyle w:val="Hyperlink"/>
                <w:noProof/>
              </w:rPr>
              <w:t>Scoping Issue 4: Is the Interest Associated with the CGI Plant Costs Correctly Calculated?</w:t>
            </w:r>
            <w:r>
              <w:rPr>
                <w:noProof/>
                <w:webHidden/>
              </w:rPr>
              <w:tab/>
            </w:r>
            <w:r>
              <w:rPr>
                <w:noProof/>
                <w:webHidden/>
              </w:rPr>
              <w:fldChar w:fldCharType="begin"/>
            </w:r>
            <w:r>
              <w:rPr>
                <w:noProof/>
                <w:webHidden/>
              </w:rPr>
              <w:instrText xml:space="preserve"> PAGEREF _Toc214020791 \h </w:instrText>
            </w:r>
            <w:r>
              <w:rPr>
                <w:noProof/>
                <w:webHidden/>
              </w:rPr>
            </w:r>
            <w:r>
              <w:rPr>
                <w:noProof/>
                <w:webHidden/>
              </w:rPr>
              <w:fldChar w:fldCharType="separate"/>
            </w:r>
            <w:r w:rsidR="00F41AE7">
              <w:rPr>
                <w:noProof/>
                <w:webHidden/>
              </w:rPr>
              <w:t>25</w:t>
            </w:r>
            <w:r>
              <w:rPr>
                <w:noProof/>
                <w:webHidden/>
              </w:rPr>
              <w:fldChar w:fldCharType="end"/>
            </w:r>
          </w:hyperlink>
        </w:p>
        <w:p w:rsidR="00B717B8" w:rsidRDefault="00B717B8" w14:paraId="431C90CB" w14:textId="55B59547">
          <w:pPr>
            <w:pStyle w:val="TOC1"/>
            <w:tabs>
              <w:tab w:val="left" w:pos="1084"/>
              <w:tab w:val="right" w:leader="dot" w:pos="9810"/>
            </w:tabs>
            <w:rPr>
              <w:rFonts w:asciiTheme="minorHAnsi" w:hAnsiTheme="minorHAnsi" w:eastAsiaTheme="minorEastAsia" w:cstheme="minorBidi"/>
              <w:noProof/>
              <w:kern w:val="2"/>
              <w:sz w:val="24"/>
              <w:szCs w:val="24"/>
              <w14:ligatures w14:val="standardContextual"/>
            </w:rPr>
          </w:pPr>
          <w:hyperlink w:history="1" w:anchor="_Toc214020792">
            <w:r w:rsidRPr="007E083F">
              <w:rPr>
                <w:rStyle w:val="Hyperlink"/>
                <w:noProof/>
                <w:spacing w:val="-2"/>
                <w:w w:val="98"/>
              </w:rPr>
              <w:t>6.4.1.</w:t>
            </w:r>
            <w:r>
              <w:rPr>
                <w:rFonts w:asciiTheme="minorHAnsi" w:hAnsiTheme="minorHAnsi" w:eastAsiaTheme="minorEastAsia" w:cstheme="minorBidi"/>
                <w:noProof/>
                <w:kern w:val="2"/>
                <w:sz w:val="24"/>
                <w:szCs w:val="24"/>
                <w14:ligatures w14:val="standardContextual"/>
              </w:rPr>
              <w:tab/>
            </w:r>
            <w:r w:rsidRPr="007E083F">
              <w:rPr>
                <w:rStyle w:val="Hyperlink"/>
                <w:noProof/>
              </w:rPr>
              <w:t>Treatment of FERC-Determined Interest and Retail Offset</w:t>
            </w:r>
            <w:r>
              <w:rPr>
                <w:noProof/>
                <w:webHidden/>
              </w:rPr>
              <w:tab/>
            </w:r>
            <w:r>
              <w:rPr>
                <w:noProof/>
                <w:webHidden/>
              </w:rPr>
              <w:fldChar w:fldCharType="begin"/>
            </w:r>
            <w:r>
              <w:rPr>
                <w:noProof/>
                <w:webHidden/>
              </w:rPr>
              <w:instrText xml:space="preserve"> PAGEREF _Toc214020792 \h </w:instrText>
            </w:r>
            <w:r>
              <w:rPr>
                <w:noProof/>
                <w:webHidden/>
              </w:rPr>
            </w:r>
            <w:r>
              <w:rPr>
                <w:noProof/>
                <w:webHidden/>
              </w:rPr>
              <w:fldChar w:fldCharType="separate"/>
            </w:r>
            <w:r w:rsidR="00F41AE7">
              <w:rPr>
                <w:noProof/>
                <w:webHidden/>
              </w:rPr>
              <w:t>25</w:t>
            </w:r>
            <w:r>
              <w:rPr>
                <w:noProof/>
                <w:webHidden/>
              </w:rPr>
              <w:fldChar w:fldCharType="end"/>
            </w:r>
          </w:hyperlink>
        </w:p>
        <w:p w:rsidR="00B717B8" w:rsidRDefault="00B717B8" w14:paraId="39EB8D58" w14:textId="6C2A4387">
          <w:pPr>
            <w:pStyle w:val="TOC1"/>
            <w:tabs>
              <w:tab w:val="left" w:pos="649"/>
              <w:tab w:val="right" w:leader="dot" w:pos="9810"/>
            </w:tabs>
            <w:rPr>
              <w:rFonts w:asciiTheme="minorHAnsi" w:hAnsiTheme="minorHAnsi" w:eastAsiaTheme="minorEastAsia" w:cstheme="minorBidi"/>
              <w:noProof/>
              <w:kern w:val="2"/>
              <w:sz w:val="24"/>
              <w:szCs w:val="24"/>
              <w14:ligatures w14:val="standardContextual"/>
            </w:rPr>
          </w:pPr>
          <w:hyperlink w:history="1" w:anchor="_Toc214020793">
            <w:r w:rsidRPr="007E083F">
              <w:rPr>
                <w:rStyle w:val="Hyperlink"/>
                <w:noProof/>
                <w:spacing w:val="-2"/>
                <w:w w:val="98"/>
              </w:rPr>
              <w:t>7.</w:t>
            </w:r>
            <w:r>
              <w:rPr>
                <w:rFonts w:asciiTheme="minorHAnsi" w:hAnsiTheme="minorHAnsi" w:eastAsiaTheme="minorEastAsia" w:cstheme="minorBidi"/>
                <w:noProof/>
                <w:kern w:val="2"/>
                <w:sz w:val="24"/>
                <w:szCs w:val="24"/>
                <w14:ligatures w14:val="standardContextual"/>
              </w:rPr>
              <w:tab/>
            </w:r>
            <w:r w:rsidRPr="007E083F">
              <w:rPr>
                <w:rStyle w:val="Hyperlink"/>
                <w:rFonts w:eastAsiaTheme="majorEastAsia" w:cstheme="majorBidi"/>
                <w:noProof/>
              </w:rPr>
              <w:t>Determination of Scoping Issues</w:t>
            </w:r>
            <w:r>
              <w:rPr>
                <w:noProof/>
                <w:webHidden/>
              </w:rPr>
              <w:tab/>
            </w:r>
            <w:r>
              <w:rPr>
                <w:noProof/>
                <w:webHidden/>
              </w:rPr>
              <w:fldChar w:fldCharType="begin"/>
            </w:r>
            <w:r>
              <w:rPr>
                <w:noProof/>
                <w:webHidden/>
              </w:rPr>
              <w:instrText xml:space="preserve"> PAGEREF _Toc214020793 \h </w:instrText>
            </w:r>
            <w:r>
              <w:rPr>
                <w:noProof/>
                <w:webHidden/>
              </w:rPr>
            </w:r>
            <w:r>
              <w:rPr>
                <w:noProof/>
                <w:webHidden/>
              </w:rPr>
              <w:fldChar w:fldCharType="separate"/>
            </w:r>
            <w:r w:rsidR="00F41AE7">
              <w:rPr>
                <w:noProof/>
                <w:webHidden/>
              </w:rPr>
              <w:t>26</w:t>
            </w:r>
            <w:r>
              <w:rPr>
                <w:noProof/>
                <w:webHidden/>
              </w:rPr>
              <w:fldChar w:fldCharType="end"/>
            </w:r>
          </w:hyperlink>
        </w:p>
        <w:p w:rsidR="00B717B8" w:rsidRDefault="00B717B8" w14:paraId="1C9A3B64" w14:textId="6FE59829">
          <w:pPr>
            <w:pStyle w:val="TOC1"/>
            <w:tabs>
              <w:tab w:val="left" w:pos="649"/>
              <w:tab w:val="right" w:leader="dot" w:pos="9810"/>
            </w:tabs>
            <w:rPr>
              <w:rFonts w:asciiTheme="minorHAnsi" w:hAnsiTheme="minorHAnsi" w:eastAsiaTheme="minorEastAsia" w:cstheme="minorBidi"/>
              <w:noProof/>
              <w:kern w:val="2"/>
              <w:sz w:val="24"/>
              <w:szCs w:val="24"/>
              <w14:ligatures w14:val="standardContextual"/>
            </w:rPr>
          </w:pPr>
          <w:hyperlink w:history="1" w:anchor="_Toc214020794">
            <w:r w:rsidRPr="007E083F">
              <w:rPr>
                <w:rStyle w:val="Hyperlink"/>
                <w:noProof/>
                <w:spacing w:val="-2"/>
                <w:w w:val="98"/>
              </w:rPr>
              <w:t>8.</w:t>
            </w:r>
            <w:r>
              <w:rPr>
                <w:rFonts w:asciiTheme="minorHAnsi" w:hAnsiTheme="minorHAnsi" w:eastAsiaTheme="minorEastAsia" w:cstheme="minorBidi"/>
                <w:noProof/>
                <w:kern w:val="2"/>
                <w:sz w:val="24"/>
                <w:szCs w:val="24"/>
                <w14:ligatures w14:val="standardContextual"/>
              </w:rPr>
              <w:tab/>
            </w:r>
            <w:r w:rsidRPr="007E083F">
              <w:rPr>
                <w:rStyle w:val="Hyperlink"/>
                <w:rFonts w:eastAsiaTheme="majorEastAsia" w:cstheme="majorBidi"/>
                <w:noProof/>
              </w:rPr>
              <w:t>Summary of Public Comments</w:t>
            </w:r>
            <w:r>
              <w:rPr>
                <w:noProof/>
                <w:webHidden/>
              </w:rPr>
              <w:tab/>
            </w:r>
            <w:r>
              <w:rPr>
                <w:noProof/>
                <w:webHidden/>
              </w:rPr>
              <w:fldChar w:fldCharType="begin"/>
            </w:r>
            <w:r>
              <w:rPr>
                <w:noProof/>
                <w:webHidden/>
              </w:rPr>
              <w:instrText xml:space="preserve"> PAGEREF _Toc214020794 \h </w:instrText>
            </w:r>
            <w:r>
              <w:rPr>
                <w:noProof/>
                <w:webHidden/>
              </w:rPr>
            </w:r>
            <w:r>
              <w:rPr>
                <w:noProof/>
                <w:webHidden/>
              </w:rPr>
              <w:fldChar w:fldCharType="separate"/>
            </w:r>
            <w:r w:rsidR="00F41AE7">
              <w:rPr>
                <w:noProof/>
                <w:webHidden/>
              </w:rPr>
              <w:t>26</w:t>
            </w:r>
            <w:r>
              <w:rPr>
                <w:noProof/>
                <w:webHidden/>
              </w:rPr>
              <w:fldChar w:fldCharType="end"/>
            </w:r>
          </w:hyperlink>
        </w:p>
        <w:p w:rsidR="00B717B8" w:rsidRDefault="00B717B8" w14:paraId="63E53DAC" w14:textId="3DDA4FF0">
          <w:pPr>
            <w:pStyle w:val="TOC1"/>
            <w:tabs>
              <w:tab w:val="left" w:pos="649"/>
              <w:tab w:val="right" w:leader="dot" w:pos="9810"/>
            </w:tabs>
            <w:rPr>
              <w:rFonts w:asciiTheme="minorHAnsi" w:hAnsiTheme="minorHAnsi" w:eastAsiaTheme="minorEastAsia" w:cstheme="minorBidi"/>
              <w:noProof/>
              <w:kern w:val="2"/>
              <w:sz w:val="24"/>
              <w:szCs w:val="24"/>
              <w14:ligatures w14:val="standardContextual"/>
            </w:rPr>
          </w:pPr>
          <w:hyperlink w:history="1" w:anchor="_Toc214020795">
            <w:r w:rsidRPr="007E083F">
              <w:rPr>
                <w:rStyle w:val="Hyperlink"/>
                <w:noProof/>
                <w:spacing w:val="-2"/>
                <w:w w:val="98"/>
              </w:rPr>
              <w:t>9.</w:t>
            </w:r>
            <w:r>
              <w:rPr>
                <w:rFonts w:asciiTheme="minorHAnsi" w:hAnsiTheme="minorHAnsi" w:eastAsiaTheme="minorEastAsia" w:cstheme="minorBidi"/>
                <w:noProof/>
                <w:kern w:val="2"/>
                <w:sz w:val="24"/>
                <w:szCs w:val="24"/>
                <w14:ligatures w14:val="standardContextual"/>
              </w:rPr>
              <w:tab/>
            </w:r>
            <w:r w:rsidRPr="007E083F">
              <w:rPr>
                <w:rStyle w:val="Hyperlink"/>
                <w:rFonts w:eastAsiaTheme="majorEastAsia" w:cstheme="majorBidi"/>
                <w:noProof/>
              </w:rPr>
              <w:t>Procedural Matters</w:t>
            </w:r>
            <w:r>
              <w:rPr>
                <w:noProof/>
                <w:webHidden/>
              </w:rPr>
              <w:tab/>
            </w:r>
            <w:r>
              <w:rPr>
                <w:noProof/>
                <w:webHidden/>
              </w:rPr>
              <w:fldChar w:fldCharType="begin"/>
            </w:r>
            <w:r>
              <w:rPr>
                <w:noProof/>
                <w:webHidden/>
              </w:rPr>
              <w:instrText xml:space="preserve"> PAGEREF _Toc214020795 \h </w:instrText>
            </w:r>
            <w:r>
              <w:rPr>
                <w:noProof/>
                <w:webHidden/>
              </w:rPr>
            </w:r>
            <w:r>
              <w:rPr>
                <w:noProof/>
                <w:webHidden/>
              </w:rPr>
              <w:fldChar w:fldCharType="separate"/>
            </w:r>
            <w:r w:rsidR="00F41AE7">
              <w:rPr>
                <w:noProof/>
                <w:webHidden/>
              </w:rPr>
              <w:t>27</w:t>
            </w:r>
            <w:r>
              <w:rPr>
                <w:noProof/>
                <w:webHidden/>
              </w:rPr>
              <w:fldChar w:fldCharType="end"/>
            </w:r>
          </w:hyperlink>
        </w:p>
        <w:p w:rsidR="00B717B8" w:rsidRDefault="00B717B8" w14:paraId="6C7BE139" w14:textId="6CFC7152">
          <w:pPr>
            <w:pStyle w:val="TOC1"/>
            <w:tabs>
              <w:tab w:val="left" w:pos="1084"/>
              <w:tab w:val="right" w:leader="dot" w:pos="9810"/>
            </w:tabs>
            <w:rPr>
              <w:rFonts w:asciiTheme="minorHAnsi" w:hAnsiTheme="minorHAnsi" w:eastAsiaTheme="minorEastAsia" w:cstheme="minorBidi"/>
              <w:noProof/>
              <w:kern w:val="2"/>
              <w:sz w:val="24"/>
              <w:szCs w:val="24"/>
              <w14:ligatures w14:val="standardContextual"/>
            </w:rPr>
          </w:pPr>
          <w:hyperlink w:history="1" w:anchor="_Toc214020796">
            <w:r w:rsidRPr="007E083F">
              <w:rPr>
                <w:rStyle w:val="Hyperlink"/>
                <w:noProof/>
                <w:spacing w:val="-2"/>
                <w:w w:val="98"/>
              </w:rPr>
              <w:t>10.</w:t>
            </w:r>
            <w:r>
              <w:rPr>
                <w:rFonts w:asciiTheme="minorHAnsi" w:hAnsiTheme="minorHAnsi" w:eastAsiaTheme="minorEastAsia" w:cstheme="minorBidi"/>
                <w:noProof/>
                <w:kern w:val="2"/>
                <w:sz w:val="24"/>
                <w:szCs w:val="24"/>
                <w14:ligatures w14:val="standardContextual"/>
              </w:rPr>
              <w:tab/>
            </w:r>
            <w:r w:rsidRPr="007E083F">
              <w:rPr>
                <w:rStyle w:val="Hyperlink"/>
                <w:rFonts w:eastAsiaTheme="majorEastAsia" w:cstheme="majorBidi"/>
                <w:noProof/>
              </w:rPr>
              <w:t>Comments on Proposed Decision</w:t>
            </w:r>
            <w:r>
              <w:rPr>
                <w:noProof/>
                <w:webHidden/>
              </w:rPr>
              <w:tab/>
            </w:r>
            <w:r>
              <w:rPr>
                <w:noProof/>
                <w:webHidden/>
              </w:rPr>
              <w:fldChar w:fldCharType="begin"/>
            </w:r>
            <w:r>
              <w:rPr>
                <w:noProof/>
                <w:webHidden/>
              </w:rPr>
              <w:instrText xml:space="preserve"> PAGEREF _Toc214020796 \h </w:instrText>
            </w:r>
            <w:r>
              <w:rPr>
                <w:noProof/>
                <w:webHidden/>
              </w:rPr>
            </w:r>
            <w:r>
              <w:rPr>
                <w:noProof/>
                <w:webHidden/>
              </w:rPr>
              <w:fldChar w:fldCharType="separate"/>
            </w:r>
            <w:r w:rsidR="00F41AE7">
              <w:rPr>
                <w:noProof/>
                <w:webHidden/>
              </w:rPr>
              <w:t>28</w:t>
            </w:r>
            <w:r>
              <w:rPr>
                <w:noProof/>
                <w:webHidden/>
              </w:rPr>
              <w:fldChar w:fldCharType="end"/>
            </w:r>
          </w:hyperlink>
        </w:p>
        <w:p w:rsidR="00B717B8" w:rsidRDefault="00B717B8" w14:paraId="677C3D91" w14:textId="7305CF24">
          <w:pPr>
            <w:pStyle w:val="TOC1"/>
            <w:tabs>
              <w:tab w:val="left" w:pos="1084"/>
              <w:tab w:val="right" w:leader="dot" w:pos="9810"/>
            </w:tabs>
            <w:rPr>
              <w:rFonts w:asciiTheme="minorHAnsi" w:hAnsiTheme="minorHAnsi" w:eastAsiaTheme="minorEastAsia" w:cstheme="minorBidi"/>
              <w:noProof/>
              <w:kern w:val="2"/>
              <w:sz w:val="24"/>
              <w:szCs w:val="24"/>
              <w14:ligatures w14:val="standardContextual"/>
            </w:rPr>
          </w:pPr>
          <w:hyperlink w:history="1" w:anchor="_Toc214020797">
            <w:r w:rsidRPr="007E083F">
              <w:rPr>
                <w:rStyle w:val="Hyperlink"/>
                <w:noProof/>
                <w:spacing w:val="-2"/>
                <w:w w:val="98"/>
              </w:rPr>
              <w:t>11.</w:t>
            </w:r>
            <w:r>
              <w:rPr>
                <w:rFonts w:asciiTheme="minorHAnsi" w:hAnsiTheme="minorHAnsi" w:eastAsiaTheme="minorEastAsia" w:cstheme="minorBidi"/>
                <w:noProof/>
                <w:kern w:val="2"/>
                <w:sz w:val="24"/>
                <w:szCs w:val="24"/>
                <w14:ligatures w14:val="standardContextual"/>
              </w:rPr>
              <w:tab/>
            </w:r>
            <w:r w:rsidRPr="007E083F">
              <w:rPr>
                <w:rStyle w:val="Hyperlink"/>
                <w:rFonts w:eastAsiaTheme="majorEastAsia" w:cstheme="majorBidi"/>
                <w:noProof/>
              </w:rPr>
              <w:t>Assignment of Proceeding</w:t>
            </w:r>
            <w:r>
              <w:rPr>
                <w:noProof/>
                <w:webHidden/>
              </w:rPr>
              <w:tab/>
            </w:r>
            <w:r>
              <w:rPr>
                <w:noProof/>
                <w:webHidden/>
              </w:rPr>
              <w:fldChar w:fldCharType="begin"/>
            </w:r>
            <w:r>
              <w:rPr>
                <w:noProof/>
                <w:webHidden/>
              </w:rPr>
              <w:instrText xml:space="preserve"> PAGEREF _Toc214020797 \h </w:instrText>
            </w:r>
            <w:r>
              <w:rPr>
                <w:noProof/>
                <w:webHidden/>
              </w:rPr>
            </w:r>
            <w:r>
              <w:rPr>
                <w:noProof/>
                <w:webHidden/>
              </w:rPr>
              <w:fldChar w:fldCharType="separate"/>
            </w:r>
            <w:r w:rsidR="00F41AE7">
              <w:rPr>
                <w:noProof/>
                <w:webHidden/>
              </w:rPr>
              <w:t>33</w:t>
            </w:r>
            <w:r>
              <w:rPr>
                <w:noProof/>
                <w:webHidden/>
              </w:rPr>
              <w:fldChar w:fldCharType="end"/>
            </w:r>
          </w:hyperlink>
        </w:p>
        <w:p w:rsidR="00B717B8" w:rsidRDefault="00B717B8" w14:paraId="2452D93E" w14:textId="40E88B8B">
          <w:pPr>
            <w:pStyle w:val="TOC1"/>
            <w:tabs>
              <w:tab w:val="right" w:leader="dot" w:pos="9810"/>
            </w:tabs>
            <w:rPr>
              <w:rFonts w:asciiTheme="minorHAnsi" w:hAnsiTheme="minorHAnsi" w:eastAsiaTheme="minorEastAsia" w:cstheme="minorBidi"/>
              <w:noProof/>
              <w:kern w:val="2"/>
              <w:sz w:val="24"/>
              <w:szCs w:val="24"/>
              <w14:ligatures w14:val="standardContextual"/>
            </w:rPr>
          </w:pPr>
          <w:hyperlink w:history="1" w:anchor="_Toc214020798">
            <w:r w:rsidRPr="007E083F">
              <w:rPr>
                <w:rStyle w:val="Hyperlink"/>
                <w:noProof/>
                <w:spacing w:val="-2"/>
              </w:rPr>
              <w:t>Findings of Fact</w:t>
            </w:r>
            <w:r>
              <w:rPr>
                <w:noProof/>
                <w:webHidden/>
              </w:rPr>
              <w:tab/>
            </w:r>
            <w:r>
              <w:rPr>
                <w:noProof/>
                <w:webHidden/>
              </w:rPr>
              <w:fldChar w:fldCharType="begin"/>
            </w:r>
            <w:r>
              <w:rPr>
                <w:noProof/>
                <w:webHidden/>
              </w:rPr>
              <w:instrText xml:space="preserve"> PAGEREF _Toc214020798 \h </w:instrText>
            </w:r>
            <w:r>
              <w:rPr>
                <w:noProof/>
                <w:webHidden/>
              </w:rPr>
            </w:r>
            <w:r>
              <w:rPr>
                <w:noProof/>
                <w:webHidden/>
              </w:rPr>
              <w:fldChar w:fldCharType="separate"/>
            </w:r>
            <w:r w:rsidR="00F41AE7">
              <w:rPr>
                <w:noProof/>
                <w:webHidden/>
              </w:rPr>
              <w:t>33</w:t>
            </w:r>
            <w:r>
              <w:rPr>
                <w:noProof/>
                <w:webHidden/>
              </w:rPr>
              <w:fldChar w:fldCharType="end"/>
            </w:r>
          </w:hyperlink>
        </w:p>
        <w:p w:rsidR="00B717B8" w:rsidRDefault="00B717B8" w14:paraId="1964D2C7" w14:textId="343E29E4">
          <w:pPr>
            <w:pStyle w:val="TOC1"/>
            <w:tabs>
              <w:tab w:val="right" w:leader="dot" w:pos="9810"/>
            </w:tabs>
            <w:rPr>
              <w:rFonts w:asciiTheme="minorHAnsi" w:hAnsiTheme="minorHAnsi" w:eastAsiaTheme="minorEastAsia" w:cstheme="minorBidi"/>
              <w:noProof/>
              <w:kern w:val="2"/>
              <w:sz w:val="24"/>
              <w:szCs w:val="24"/>
              <w14:ligatures w14:val="standardContextual"/>
            </w:rPr>
          </w:pPr>
          <w:hyperlink w:history="1" w:anchor="_Toc214020799">
            <w:r w:rsidRPr="007E083F">
              <w:rPr>
                <w:rStyle w:val="Hyperlink"/>
                <w:noProof/>
                <w:spacing w:val="-2"/>
              </w:rPr>
              <w:t>Conclusions of Law</w:t>
            </w:r>
            <w:r>
              <w:rPr>
                <w:noProof/>
                <w:webHidden/>
              </w:rPr>
              <w:tab/>
            </w:r>
            <w:r>
              <w:rPr>
                <w:noProof/>
                <w:webHidden/>
              </w:rPr>
              <w:fldChar w:fldCharType="begin"/>
            </w:r>
            <w:r>
              <w:rPr>
                <w:noProof/>
                <w:webHidden/>
              </w:rPr>
              <w:instrText xml:space="preserve"> PAGEREF _Toc214020799 \h </w:instrText>
            </w:r>
            <w:r>
              <w:rPr>
                <w:noProof/>
                <w:webHidden/>
              </w:rPr>
            </w:r>
            <w:r>
              <w:rPr>
                <w:noProof/>
                <w:webHidden/>
              </w:rPr>
              <w:fldChar w:fldCharType="separate"/>
            </w:r>
            <w:r w:rsidR="00F41AE7">
              <w:rPr>
                <w:noProof/>
                <w:webHidden/>
              </w:rPr>
              <w:t>35</w:t>
            </w:r>
            <w:r>
              <w:rPr>
                <w:noProof/>
                <w:webHidden/>
              </w:rPr>
              <w:fldChar w:fldCharType="end"/>
            </w:r>
          </w:hyperlink>
        </w:p>
        <w:p w:rsidR="00B717B8" w:rsidRDefault="00B717B8" w14:paraId="4BF6D90F" w14:textId="4FD9D3DD">
          <w:pPr>
            <w:pStyle w:val="TOC1"/>
            <w:tabs>
              <w:tab w:val="right" w:leader="dot" w:pos="9810"/>
            </w:tabs>
            <w:rPr>
              <w:rFonts w:asciiTheme="minorHAnsi" w:hAnsiTheme="minorHAnsi" w:eastAsiaTheme="minorEastAsia" w:cstheme="minorBidi"/>
              <w:noProof/>
              <w:kern w:val="2"/>
              <w:sz w:val="24"/>
              <w:szCs w:val="24"/>
              <w14:ligatures w14:val="standardContextual"/>
            </w:rPr>
          </w:pPr>
          <w:hyperlink w:history="1" w:anchor="_Toc214020800">
            <w:r w:rsidRPr="007E083F">
              <w:rPr>
                <w:rStyle w:val="Hyperlink"/>
                <w:noProof/>
              </w:rPr>
              <w:t>O</w:t>
            </w:r>
            <w:r w:rsidRPr="007E083F">
              <w:rPr>
                <w:rStyle w:val="Hyperlink"/>
                <w:noProof/>
                <w:spacing w:val="42"/>
              </w:rPr>
              <w:t xml:space="preserve"> </w:t>
            </w:r>
            <w:r w:rsidRPr="007E083F">
              <w:rPr>
                <w:rStyle w:val="Hyperlink"/>
                <w:noProof/>
              </w:rPr>
              <w:t>R</w:t>
            </w:r>
            <w:r w:rsidRPr="007E083F">
              <w:rPr>
                <w:rStyle w:val="Hyperlink"/>
                <w:noProof/>
                <w:spacing w:val="43"/>
              </w:rPr>
              <w:t xml:space="preserve"> </w:t>
            </w:r>
            <w:r w:rsidRPr="007E083F">
              <w:rPr>
                <w:rStyle w:val="Hyperlink"/>
                <w:noProof/>
              </w:rPr>
              <w:t>D</w:t>
            </w:r>
            <w:r w:rsidRPr="007E083F">
              <w:rPr>
                <w:rStyle w:val="Hyperlink"/>
                <w:noProof/>
                <w:spacing w:val="43"/>
              </w:rPr>
              <w:t xml:space="preserve"> </w:t>
            </w:r>
            <w:r w:rsidRPr="007E083F">
              <w:rPr>
                <w:rStyle w:val="Hyperlink"/>
                <w:noProof/>
              </w:rPr>
              <w:t>E</w:t>
            </w:r>
            <w:r w:rsidRPr="007E083F">
              <w:rPr>
                <w:rStyle w:val="Hyperlink"/>
                <w:noProof/>
                <w:spacing w:val="42"/>
              </w:rPr>
              <w:t xml:space="preserve"> </w:t>
            </w:r>
            <w:r w:rsidRPr="007E083F">
              <w:rPr>
                <w:rStyle w:val="Hyperlink"/>
                <w:noProof/>
                <w:spacing w:val="-10"/>
              </w:rPr>
              <w:t>R</w:t>
            </w:r>
            <w:r>
              <w:rPr>
                <w:noProof/>
                <w:webHidden/>
              </w:rPr>
              <w:tab/>
            </w:r>
            <w:r>
              <w:rPr>
                <w:noProof/>
                <w:webHidden/>
              </w:rPr>
              <w:fldChar w:fldCharType="begin"/>
            </w:r>
            <w:r>
              <w:rPr>
                <w:noProof/>
                <w:webHidden/>
              </w:rPr>
              <w:instrText xml:space="preserve"> PAGEREF _Toc214020800 \h </w:instrText>
            </w:r>
            <w:r>
              <w:rPr>
                <w:noProof/>
                <w:webHidden/>
              </w:rPr>
            </w:r>
            <w:r>
              <w:rPr>
                <w:noProof/>
                <w:webHidden/>
              </w:rPr>
              <w:fldChar w:fldCharType="separate"/>
            </w:r>
            <w:r w:rsidR="00F41AE7">
              <w:rPr>
                <w:noProof/>
                <w:webHidden/>
              </w:rPr>
              <w:t>35</w:t>
            </w:r>
            <w:r>
              <w:rPr>
                <w:noProof/>
                <w:webHidden/>
              </w:rPr>
              <w:fldChar w:fldCharType="end"/>
            </w:r>
          </w:hyperlink>
        </w:p>
        <w:p w:rsidRPr="003E7C06" w:rsidR="00E22FF5" w:rsidP="003E7C06" w:rsidRDefault="5FF596F9" w14:paraId="24493F2E" w14:textId="57F1FA33">
          <w:pPr>
            <w:pStyle w:val="TOC1"/>
            <w:tabs>
              <w:tab w:val="right" w:leader="dot" w:pos="9810"/>
            </w:tabs>
            <w:rPr>
              <w:noProof/>
              <w:color w:val="0000FF" w:themeColor="hyperlink"/>
              <w:kern w:val="2"/>
              <w:u w:val="single"/>
              <w14:ligatures w14:val="standardContextual"/>
            </w:rPr>
            <w:sectPr w:rsidRPr="003E7C06" w:rsidR="00E22FF5" w:rsidSect="00E22FF5">
              <w:headerReference w:type="default" r:id="rId16"/>
              <w:footerReference w:type="default" r:id="rId17"/>
              <w:type w:val="continuous"/>
              <w:pgSz w:w="12240" w:h="15840"/>
              <w:pgMar w:top="1572" w:right="1200" w:bottom="1687" w:left="1220" w:header="730" w:footer="1158" w:gutter="0"/>
              <w:pgNumType w:fmt="lowerRoman" w:start="1"/>
              <w:cols w:space="720"/>
            </w:sectPr>
          </w:pPr>
          <w:r>
            <w:fldChar w:fldCharType="end"/>
          </w:r>
        </w:p>
      </w:sdtContent>
    </w:sdt>
    <w:bookmarkEnd w:displacedByCustomXml="prev" w:id="5"/>
    <w:bookmarkEnd w:displacedByCustomXml="prev" w:id="4"/>
    <w:p w:rsidRPr="004030E1" w:rsidR="00D75D60" w:rsidP="004030E1" w:rsidRDefault="00D75D60" w14:paraId="648439E0" w14:textId="01E60914">
      <w:pPr>
        <w:pStyle w:val="BodyText"/>
        <w:spacing w:before="280" w:after="240"/>
        <w:jc w:val="center"/>
        <w:rPr>
          <w:rFonts w:ascii="Arial"/>
          <w:b/>
          <w:szCs w:val="22"/>
        </w:rPr>
      </w:pPr>
      <w:bookmarkStart w:name="_Hlk212566154" w:id="6"/>
      <w:r w:rsidRPr="00D75D60">
        <w:rPr>
          <w:rFonts w:ascii="Arial"/>
          <w:b/>
          <w:szCs w:val="22"/>
        </w:rPr>
        <w:lastRenderedPageBreak/>
        <w:t>DECISION AUTHORIZING PACIFIC GAS AND ELECTRIC COMPANY TO RECOVER RECORDED EXPENDITURES IN THE TRANSMISSION REVENUE REQUIREMENT RECLASSIFICATION MEMORANDUM ACCOUNT</w:t>
      </w:r>
    </w:p>
    <w:p w:rsidR="00925C5A" w:rsidP="00643C47" w:rsidRDefault="003D5307" w14:paraId="5F32EA33" w14:textId="78D9AB38">
      <w:pPr>
        <w:pStyle w:val="Heading1"/>
        <w:spacing w:after="120"/>
        <w:ind w:left="0" w:firstLine="0"/>
      </w:pPr>
      <w:bookmarkStart w:name="Summary" w:id="7"/>
      <w:bookmarkStart w:name="_Toc187748547" w:id="8"/>
      <w:bookmarkStart w:name="_Toc214020772" w:id="9"/>
      <w:bookmarkEnd w:id="7"/>
      <w:r>
        <w:rPr>
          <w:spacing w:val="-2"/>
        </w:rPr>
        <w:t>Summary</w:t>
      </w:r>
      <w:bookmarkEnd w:id="8"/>
      <w:bookmarkEnd w:id="9"/>
    </w:p>
    <w:p w:rsidR="00DE31CA" w:rsidP="4234341E" w:rsidRDefault="00925C5A" w14:paraId="66C4E200" w14:textId="76032AAF">
      <w:pPr>
        <w:pStyle w:val="BodyText"/>
        <w:spacing w:line="360" w:lineRule="auto"/>
        <w:ind w:firstLine="720"/>
      </w:pPr>
      <w:r>
        <w:t>This decision authorizes Pacific Gas and Electric Company (PG&amp;E) to re</w:t>
      </w:r>
      <w:r w:rsidR="007E6662">
        <w:t>cover in rates a revenue requirement of $</w:t>
      </w:r>
      <w:r w:rsidR="0077362C">
        <w:t>33</w:t>
      </w:r>
      <w:r w:rsidR="00606044">
        <w:t>7.9</w:t>
      </w:r>
      <w:r w:rsidR="007E6662">
        <w:t xml:space="preserve"> million for balances recorded in </w:t>
      </w:r>
      <w:r>
        <w:t xml:space="preserve">PG&amp;E’s </w:t>
      </w:r>
      <w:r w:rsidR="007E6662">
        <w:t xml:space="preserve">Transmission Revenue Requirement Reclassification Memorandum Account (TRRRMA) that reflect jurisdictional reclassification of </w:t>
      </w:r>
      <w:r w:rsidR="4289B365">
        <w:t>certain</w:t>
      </w:r>
      <w:r w:rsidR="007E6662">
        <w:t xml:space="preserve"> costs from Federal Energy Regulatory Commission (FERC) transmission jurisdiction to California Public Utilities Commission distribution jurisdiction.</w:t>
      </w:r>
      <w:r w:rsidR="6CFDD7E5">
        <w:t xml:space="preserve"> This amount includes $372.8 million for recovery of</w:t>
      </w:r>
      <w:r w:rsidR="4A884ADE">
        <w:t xml:space="preserve"> Common, General, and Intangible</w:t>
      </w:r>
      <w:r w:rsidR="00EA51D6">
        <w:t xml:space="preserve"> </w:t>
      </w:r>
      <w:r w:rsidR="6CFDD7E5">
        <w:t>plant costs and related expense revenue requirements, $7.</w:t>
      </w:r>
      <w:r w:rsidR="0095146F">
        <w:t xml:space="preserve">7 </w:t>
      </w:r>
      <w:r w:rsidR="6CFDD7E5">
        <w:t xml:space="preserve">million for </w:t>
      </w:r>
      <w:r w:rsidR="0095146F">
        <w:t>one facility</w:t>
      </w:r>
      <w:r w:rsidR="6CFDD7E5">
        <w:t xml:space="preserve"> that changed from California Independent System Operator (CAISO) operational control to non-CAISO operational control in 2023 and associated operations and maintenance expense, and a retail offset of $42.6 million associated with facilities </w:t>
      </w:r>
      <w:r w:rsidR="00DC1F60">
        <w:t xml:space="preserve">reclassified </w:t>
      </w:r>
      <w:r w:rsidR="00695CDA">
        <w:t xml:space="preserve">from </w:t>
      </w:r>
      <w:r w:rsidR="6CFDD7E5">
        <w:t xml:space="preserve">distribution </w:t>
      </w:r>
      <w:r w:rsidR="00DC1F60">
        <w:t xml:space="preserve">to </w:t>
      </w:r>
      <w:r w:rsidR="6CFDD7E5">
        <w:t>transmission</w:t>
      </w:r>
      <w:r w:rsidR="00DC1F60">
        <w:t xml:space="preserve"> in 2023</w:t>
      </w:r>
      <w:r w:rsidR="6CFDD7E5">
        <w:t>.</w:t>
      </w:r>
      <w:r w:rsidR="00571D51">
        <w:t xml:space="preserve"> The authorized revenue requirement will be recovered in rates beginning January 1, 2026, or the first practicable billing cycle thereafter. </w:t>
      </w:r>
    </w:p>
    <w:p w:rsidR="00DE31CA" w:rsidP="00571D51" w:rsidRDefault="2176D93F" w14:paraId="3D2BC311" w14:textId="473BB49D">
      <w:pPr>
        <w:pStyle w:val="BodyText"/>
        <w:spacing w:line="360" w:lineRule="auto"/>
        <w:ind w:right="250" w:firstLine="720"/>
      </w:pPr>
      <w:r>
        <w:t xml:space="preserve">We find that the identified costs were incurred and properly recorded, and that the revenue-requirement calculations are accurate on a net basis. </w:t>
      </w:r>
    </w:p>
    <w:p w:rsidR="00440A2E" w:rsidP="00EA51D6" w:rsidRDefault="2176D93F" w14:paraId="66941575" w14:textId="3334D0A5">
      <w:pPr>
        <w:pStyle w:val="CoL"/>
        <w:numPr>
          <w:ilvl w:val="0"/>
          <w:numId w:val="0"/>
        </w:numPr>
        <w:ind w:firstLine="547"/>
        <w:jc w:val="left"/>
      </w:pPr>
      <w:r w:rsidRPr="00EA51D6">
        <w:t>To</w:t>
      </w:r>
      <w:r>
        <w:t xml:space="preserve"> provide visibility without delaying implementation, PG&amp;E must serve,</w:t>
      </w:r>
      <w:r w:rsidR="00EA51D6">
        <w:t xml:space="preserve"> </w:t>
      </w:r>
      <w:r>
        <w:t>within 45 days of this decision, an information-only report that (1) states the effective billing date and the implemented net TRRRMA revenue requirement with a short workpaper</w:t>
      </w:r>
      <w:r w:rsidR="003437B6">
        <w:t xml:space="preserve"> and</w:t>
      </w:r>
      <w:r w:rsidR="00EA51D6">
        <w:t>,</w:t>
      </w:r>
      <w:r w:rsidR="003437B6">
        <w:t xml:space="preserve"> (2)</w:t>
      </w:r>
      <w:r>
        <w:t xml:space="preserve"> identifies PG&amp;E’s most recent </w:t>
      </w:r>
      <w:r w:rsidR="00571D51">
        <w:t>End Use Customer Refund Balancing Account Adjustment</w:t>
      </w:r>
      <w:r>
        <w:t xml:space="preserve"> filing and whether settlement-</w:t>
      </w:r>
      <w:r>
        <w:lastRenderedPageBreak/>
        <w:t xml:space="preserve">interest refunds are reflected in current FERC-jurisdictional rates. </w:t>
      </w:r>
      <w:r w:rsidR="003437B6">
        <w:t xml:space="preserve">PG&amp;E </w:t>
      </w:r>
      <w:r w:rsidR="006A4FA7">
        <w:t>must also</w:t>
      </w:r>
      <w:r w:rsidR="003437B6">
        <w:t xml:space="preserve"> file a Tier 2 Advice Letter </w:t>
      </w:r>
      <w:r w:rsidR="002F6E8E">
        <w:t xml:space="preserve">within </w:t>
      </w:r>
      <w:r w:rsidR="00D179A8">
        <w:t>120</w:t>
      </w:r>
      <w:r w:rsidR="002F6E8E">
        <w:t xml:space="preserve"> days of this decision to</w:t>
      </w:r>
      <w:r w:rsidR="0095202C">
        <w:t xml:space="preserve"> </w:t>
      </w:r>
      <w:r w:rsidR="00440A2E">
        <w:t xml:space="preserve">(1) show whether PG&amp;E improperly classified transmission assets from 2006 through 2022, (2) </w:t>
      </w:r>
      <w:r w:rsidR="002A0911">
        <w:t>calculate</w:t>
      </w:r>
      <w:r w:rsidR="00440A2E">
        <w:t xml:space="preserve"> the dollar amount of associated revenue requirement that PG&amp;E collected from distribution customers, and (3) recommend appropriate regulatory channels to address any financial impacts for those customers. </w:t>
      </w:r>
    </w:p>
    <w:p w:rsidR="00DE31CA" w:rsidP="00B1323F" w:rsidRDefault="003D5307" w14:paraId="19EDCC3C" w14:textId="2840BD5A">
      <w:pPr>
        <w:pStyle w:val="BodyText"/>
        <w:spacing w:line="360" w:lineRule="auto"/>
        <w:ind w:left="720"/>
      </w:pPr>
      <w:r w:rsidRPr="00B13A37">
        <w:rPr>
          <w:spacing w:val="-2"/>
        </w:rPr>
        <w:t>This</w:t>
      </w:r>
      <w:r w:rsidRPr="00B13A37">
        <w:rPr>
          <w:spacing w:val="-5"/>
        </w:rPr>
        <w:t xml:space="preserve"> </w:t>
      </w:r>
      <w:r w:rsidR="007B4AFA">
        <w:rPr>
          <w:spacing w:val="-2"/>
        </w:rPr>
        <w:t>proceeding</w:t>
      </w:r>
      <w:r w:rsidRPr="00B13A37">
        <w:rPr>
          <w:spacing w:val="-5"/>
        </w:rPr>
        <w:t xml:space="preserve"> </w:t>
      </w:r>
      <w:r w:rsidRPr="00B13A37">
        <w:rPr>
          <w:spacing w:val="-2"/>
        </w:rPr>
        <w:t>is</w:t>
      </w:r>
      <w:r w:rsidRPr="00B13A37">
        <w:rPr>
          <w:spacing w:val="-3"/>
        </w:rPr>
        <w:t xml:space="preserve"> </w:t>
      </w:r>
      <w:r w:rsidRPr="00B13A37">
        <w:rPr>
          <w:spacing w:val="-2"/>
        </w:rPr>
        <w:t>closed.</w:t>
      </w:r>
    </w:p>
    <w:p w:rsidRPr="0020446A" w:rsidR="00DE31CA" w:rsidP="0020446A" w:rsidRDefault="003D5307" w14:paraId="52C0D703" w14:textId="350F074F">
      <w:pPr>
        <w:pStyle w:val="Heading1"/>
        <w:keepNext/>
        <w:keepLines/>
        <w:widowControl/>
        <w:numPr>
          <w:ilvl w:val="0"/>
          <w:numId w:val="9"/>
        </w:numPr>
        <w:autoSpaceDE/>
        <w:autoSpaceDN/>
        <w:spacing w:after="120"/>
        <w:ind w:left="720" w:right="2160"/>
        <w:rPr>
          <w:rFonts w:eastAsiaTheme="majorEastAsia" w:cstheme="majorBidi"/>
          <w:bCs w:val="0"/>
          <w:szCs w:val="32"/>
        </w:rPr>
      </w:pPr>
      <w:bookmarkStart w:name="1._Factual_and_Procedural_Background" w:id="10"/>
      <w:bookmarkStart w:name="_Toc187748548" w:id="11"/>
      <w:bookmarkStart w:name="_Toc214020773" w:id="12"/>
      <w:bookmarkEnd w:id="10"/>
      <w:r w:rsidRPr="0020446A">
        <w:rPr>
          <w:rFonts w:eastAsiaTheme="majorEastAsia" w:cstheme="majorBidi"/>
          <w:bCs w:val="0"/>
          <w:szCs w:val="32"/>
        </w:rPr>
        <w:t>Procedural Background</w:t>
      </w:r>
      <w:bookmarkEnd w:id="11"/>
      <w:bookmarkEnd w:id="12"/>
    </w:p>
    <w:p w:rsidR="657C706B" w:rsidP="004030E1" w:rsidRDefault="657C706B" w14:paraId="411C6FB1" w14:textId="728968E4">
      <w:pPr>
        <w:pStyle w:val="BodyText"/>
        <w:spacing w:line="360" w:lineRule="auto"/>
        <w:ind w:firstLine="720"/>
      </w:pPr>
      <w:r>
        <w:t xml:space="preserve">On September 30, 2024, Pacific Gas and Electric Company (PG&amp;E) filed Application (A.) 24-09-015 </w:t>
      </w:r>
      <w:r w:rsidR="00B20CF2">
        <w:t xml:space="preserve">(Application) </w:t>
      </w:r>
      <w:r>
        <w:t>requesting authority to recover recorded expenditures in its Transmission Revenue Requirement Reclassification Memorandum Account (TRRRMA). The application seeks recovery of costs that were reclassified from the jurisdiction of the Federal Energy Regulatory Commission (FERC) to the jurisdiction of the California Public Utilities Commission (Commission) following FERC Opinion No. 572 and the related Transmission Owner</w:t>
      </w:r>
      <w:r w:rsidR="00BF57BD">
        <w:t xml:space="preserve"> 18</w:t>
      </w:r>
      <w:r>
        <w:t xml:space="preserve"> </w:t>
      </w:r>
      <w:r w:rsidR="006A5035">
        <w:t>(TO</w:t>
      </w:r>
      <w:r w:rsidR="00BF57BD">
        <w:t>18</w:t>
      </w:r>
      <w:r w:rsidR="006A5035">
        <w:t>)</w:t>
      </w:r>
      <w:r>
        <w:t xml:space="preserve"> settlement, which reduced PG&amp;E’s authorized transmission revenue requirement. PG&amp;E</w:t>
      </w:r>
      <w:r w:rsidR="00B20CF2">
        <w:t>’s Application</w:t>
      </w:r>
      <w:r w:rsidR="00A00FE4">
        <w:t>, later revised in errata testimony</w:t>
      </w:r>
      <w:r>
        <w:t xml:space="preserve"> requests recovery of a total revenue requirement of approximately $33</w:t>
      </w:r>
      <w:r w:rsidR="00D2505D">
        <w:t>7.9</w:t>
      </w:r>
      <w:r>
        <w:t xml:space="preserve"> million, excluding interest, revenue fees and uncollectibles, and refunds.</w:t>
      </w:r>
    </w:p>
    <w:p w:rsidR="3E21FACF" w:rsidP="00721F2C" w:rsidRDefault="3E21FACF" w14:paraId="03B25791" w14:textId="64F28D19">
      <w:pPr>
        <w:pStyle w:val="BodyText"/>
        <w:spacing w:line="360" w:lineRule="auto"/>
        <w:ind w:firstLine="720"/>
      </w:pPr>
      <w:r>
        <w:t>On November 4, 2024, the Public Advocates Office</w:t>
      </w:r>
      <w:r w:rsidR="7C530B92">
        <w:t xml:space="preserve"> at the California Public Utilities Commission</w:t>
      </w:r>
      <w:r>
        <w:t xml:space="preserve"> (Cal Advocates) filed a protest to PG&amp;E’s </w:t>
      </w:r>
      <w:r w:rsidR="00B20CF2">
        <w:t>A</w:t>
      </w:r>
      <w:r>
        <w:t>pplication.</w:t>
      </w:r>
    </w:p>
    <w:p w:rsidR="4B211F80" w:rsidP="00721F2C" w:rsidRDefault="4B211F80" w14:paraId="59FB6DEA" w14:textId="2569FC12">
      <w:pPr>
        <w:pStyle w:val="BodyText"/>
        <w:spacing w:line="360" w:lineRule="auto"/>
        <w:ind w:firstLine="720"/>
      </w:pPr>
      <w:r>
        <w:t>On November 14, 2024, PG&amp;E filed a reply to the Cal Advocates protest.</w:t>
      </w:r>
    </w:p>
    <w:p w:rsidR="63D2B0F1" w:rsidP="00721F2C" w:rsidRDefault="63D2B0F1" w14:paraId="01DF9D97" w14:textId="5659E1E3">
      <w:pPr>
        <w:pStyle w:val="BodyText"/>
        <w:spacing w:line="360" w:lineRule="auto"/>
        <w:ind w:firstLine="720"/>
      </w:pPr>
      <w:r>
        <w:t>On December 3, 2024, the assigned Administrative Law Judge (ALJ) issued a ruling setting a Prehearing Conference (PHC) and directing the parties to file a joint PHC statement by December 13, 2024.</w:t>
      </w:r>
    </w:p>
    <w:p w:rsidR="63D2B0F1" w:rsidP="00721F2C" w:rsidRDefault="63D2B0F1" w14:paraId="471AF116" w14:textId="1CA96DC1">
      <w:pPr>
        <w:pStyle w:val="BodyText"/>
        <w:spacing w:line="360" w:lineRule="auto"/>
        <w:ind w:firstLine="720"/>
      </w:pPr>
      <w:r>
        <w:lastRenderedPageBreak/>
        <w:t>On December 13, 2024, PG&amp;E and Cal Advocates jointly filed their PHC statement.</w:t>
      </w:r>
    </w:p>
    <w:p w:rsidR="3D4025EC" w:rsidP="00721F2C" w:rsidRDefault="3D4025EC" w14:paraId="774CC10D" w14:textId="540B5AAB">
      <w:pPr>
        <w:pStyle w:val="BodyText"/>
        <w:spacing w:line="360" w:lineRule="auto"/>
        <w:ind w:firstLine="720"/>
      </w:pPr>
      <w:r>
        <w:t xml:space="preserve">On December 17, 2024, the </w:t>
      </w:r>
      <w:r w:rsidR="00B20CF2">
        <w:t>assigned ALJ</w:t>
      </w:r>
      <w:r>
        <w:t xml:space="preserve"> held a virtual PHC.</w:t>
      </w:r>
    </w:p>
    <w:p w:rsidR="2AB75D17" w:rsidP="00721F2C" w:rsidRDefault="2AB75D17" w14:paraId="209E0C82" w14:textId="6048398B">
      <w:pPr>
        <w:pStyle w:val="BodyText"/>
        <w:spacing w:line="360" w:lineRule="auto"/>
        <w:ind w:firstLine="720"/>
      </w:pPr>
      <w:r>
        <w:t xml:space="preserve">On January 9, 2025, the Assigned Commissioner issued a Scoping Memo and Ruling </w:t>
      </w:r>
      <w:r w:rsidR="00B20CF2">
        <w:t xml:space="preserve">(Scoping Memo) </w:t>
      </w:r>
      <w:r>
        <w:t>categorizing the proceeding as ratesetting and confirming that evidentiary hearings were required.</w:t>
      </w:r>
    </w:p>
    <w:p w:rsidR="42C2C13F" w:rsidP="00721F2C" w:rsidRDefault="42C2C13F" w14:paraId="750E8FA6" w14:textId="11CFBBFD">
      <w:pPr>
        <w:pStyle w:val="BodyText"/>
        <w:spacing w:line="360" w:lineRule="auto"/>
        <w:ind w:firstLine="720"/>
      </w:pPr>
      <w:r>
        <w:t>Evidentiary hearings were held remotely on June 30 and July 1, 2025.</w:t>
      </w:r>
    </w:p>
    <w:p w:rsidR="42C2C13F" w:rsidP="00643C47" w:rsidRDefault="42C2C13F" w14:paraId="5C12A942" w14:textId="518A82DF">
      <w:pPr>
        <w:pStyle w:val="BodyText"/>
        <w:spacing w:line="360" w:lineRule="auto"/>
        <w:ind w:firstLine="720"/>
      </w:pPr>
      <w:r>
        <w:t>PG&amp;E and Cal Advocates each filed Opening Briefs</w:t>
      </w:r>
      <w:r w:rsidR="00C75C56">
        <w:t xml:space="preserve"> on July 30, 2025, and Reply Briefs on August 14, 2025</w:t>
      </w:r>
      <w:r>
        <w:t>.</w:t>
      </w:r>
    </w:p>
    <w:p w:rsidRPr="00104873" w:rsidR="00DE31CA" w:rsidP="0020446A" w:rsidRDefault="003D5307" w14:paraId="037F1FFA" w14:textId="77777777">
      <w:pPr>
        <w:pStyle w:val="Heading1"/>
        <w:keepNext/>
        <w:keepLines/>
        <w:widowControl/>
        <w:numPr>
          <w:ilvl w:val="0"/>
          <w:numId w:val="9"/>
        </w:numPr>
        <w:autoSpaceDE/>
        <w:autoSpaceDN/>
        <w:spacing w:after="120"/>
        <w:ind w:left="720" w:right="2160"/>
      </w:pPr>
      <w:bookmarkStart w:name="2._Submission_Date" w:id="13"/>
      <w:bookmarkStart w:name="_Toc187748549" w:id="14"/>
      <w:bookmarkStart w:name="_Toc214020774" w:id="15"/>
      <w:bookmarkEnd w:id="13"/>
      <w:r w:rsidRPr="0020446A">
        <w:rPr>
          <w:rFonts w:eastAsiaTheme="majorEastAsia" w:cstheme="majorBidi"/>
          <w:bCs w:val="0"/>
          <w:szCs w:val="32"/>
        </w:rPr>
        <w:t>Submission Date</w:t>
      </w:r>
      <w:bookmarkEnd w:id="14"/>
      <w:bookmarkEnd w:id="15"/>
    </w:p>
    <w:p w:rsidR="00B1323F" w:rsidP="4234341E" w:rsidRDefault="003D5307" w14:paraId="322FA0A3" w14:textId="2BD0F07D">
      <w:pPr>
        <w:pStyle w:val="BodyText"/>
        <w:spacing w:line="360" w:lineRule="auto"/>
        <w:ind w:right="250" w:firstLine="720"/>
      </w:pPr>
      <w:r>
        <w:t xml:space="preserve">This matter was deemed submitted upon the filing of reply briefs on </w:t>
      </w:r>
      <w:r w:rsidR="50599CC3">
        <w:t>August 14, 2025</w:t>
      </w:r>
      <w:r>
        <w:t>.</w:t>
      </w:r>
      <w:bookmarkStart w:name="3._Jurisdiction" w:id="16"/>
      <w:bookmarkStart w:name="_Toc187748550" w:id="17"/>
      <w:bookmarkEnd w:id="16"/>
    </w:p>
    <w:p w:rsidRPr="0020446A" w:rsidR="00DE31CA" w:rsidP="0020446A" w:rsidRDefault="003D5307" w14:paraId="410381BE" w14:textId="4330D538">
      <w:pPr>
        <w:pStyle w:val="Heading1"/>
        <w:keepNext/>
        <w:keepLines/>
        <w:widowControl/>
        <w:numPr>
          <w:ilvl w:val="0"/>
          <w:numId w:val="9"/>
        </w:numPr>
        <w:autoSpaceDE/>
        <w:autoSpaceDN/>
        <w:spacing w:after="120"/>
        <w:ind w:left="720" w:right="2160"/>
        <w:rPr>
          <w:rFonts w:eastAsiaTheme="majorEastAsia" w:cstheme="majorBidi"/>
          <w:bCs w:val="0"/>
          <w:szCs w:val="32"/>
        </w:rPr>
      </w:pPr>
      <w:bookmarkStart w:name="_Toc214020775" w:id="18"/>
      <w:r w:rsidRPr="0020446A">
        <w:rPr>
          <w:rFonts w:eastAsiaTheme="majorEastAsia" w:cstheme="majorBidi"/>
          <w:bCs w:val="0"/>
          <w:szCs w:val="32"/>
        </w:rPr>
        <w:t>Jurisdiction</w:t>
      </w:r>
      <w:bookmarkEnd w:id="17"/>
      <w:bookmarkEnd w:id="18"/>
    </w:p>
    <w:p w:rsidR="00DE31CA" w:rsidP="00721F2C" w:rsidRDefault="06FB0FE9" w14:paraId="0389E7B0" w14:textId="3DEAA81E">
      <w:pPr>
        <w:pStyle w:val="Standard"/>
      </w:pPr>
      <w:r>
        <w:t xml:space="preserve">PG&amp;E operates as an investor-owned public utility under the Commission’s jurisdiction pursuant to Article XII of the California Constitution and Public Utilities Code </w:t>
      </w:r>
      <w:r w:rsidR="00C75C56">
        <w:t xml:space="preserve">(Pub. Util. Code) </w:t>
      </w:r>
      <w:r w:rsidR="7FB9F679">
        <w:t xml:space="preserve">Sections </w:t>
      </w:r>
      <w:r>
        <w:t>(§</w:t>
      </w:r>
      <w:r w:rsidR="07763153">
        <w:t xml:space="preserve">) </w:t>
      </w:r>
      <w:r>
        <w:t xml:space="preserve">451, 454, 701, </w:t>
      </w:r>
      <w:r w:rsidR="1D6A301B">
        <w:t xml:space="preserve">and </w:t>
      </w:r>
      <w:r>
        <w:t>728.</w:t>
      </w:r>
    </w:p>
    <w:p w:rsidR="0A58BD57" w:rsidP="00721F2C" w:rsidRDefault="3038FC80" w14:paraId="66228056" w14:textId="63F448EB">
      <w:pPr>
        <w:pStyle w:val="Standard"/>
      </w:pPr>
      <w:r>
        <w:t>Pub. Util. Code §</w:t>
      </w:r>
      <w:r w:rsidR="0A58BD57">
        <w:t xml:space="preserve"> 451 gives the Commission authority to regulate public utility rates, charges, and services to ensure that every rate and charge collected by a utility is just and reasonable. Section 454 grants the Commission authority to approve or deny any proposed change in rates </w:t>
      </w:r>
      <w:r w:rsidR="00FE4FEE">
        <w:t>upon a finding that the new rate is justified</w:t>
      </w:r>
      <w:r w:rsidR="0A58BD57">
        <w:t>. Section 701 provides the Commission with broad supervisory and regulatory powers over all public utilities and authorizes the Commission to take any action necessary to carry out its duties under law. Section 728 authorizes the Commission to fix rates and determine whether those rates are just and reasonable.</w:t>
      </w:r>
    </w:p>
    <w:p w:rsidR="00DE31CA" w:rsidP="00721F2C" w:rsidRDefault="06FB0FE9" w14:paraId="154DE6C3" w14:textId="1951F611">
      <w:pPr>
        <w:pStyle w:val="Standard"/>
      </w:pPr>
      <w:r>
        <w:lastRenderedPageBreak/>
        <w:t xml:space="preserve">The Commission holds full authority to decide this </w:t>
      </w:r>
      <w:r w:rsidR="0070052B">
        <w:t>a</w:t>
      </w:r>
      <w:r>
        <w:t>pplication and to grant or deny PG&amp;E’s request consistent with the Pub</w:t>
      </w:r>
      <w:r w:rsidR="4D8A5416">
        <w:t>.</w:t>
      </w:r>
      <w:r>
        <w:t xml:space="preserve"> Util</w:t>
      </w:r>
      <w:r w:rsidR="155A5C47">
        <w:t>.</w:t>
      </w:r>
      <w:r>
        <w:t xml:space="preserve"> Code and Commission precedent. </w:t>
      </w:r>
    </w:p>
    <w:p w:rsidRPr="0020446A" w:rsidR="00DE31CA" w:rsidP="0020446A" w:rsidRDefault="003D5307" w14:paraId="7AB655D6" w14:textId="77777777">
      <w:pPr>
        <w:pStyle w:val="Heading1"/>
        <w:keepNext/>
        <w:keepLines/>
        <w:widowControl/>
        <w:numPr>
          <w:ilvl w:val="0"/>
          <w:numId w:val="9"/>
        </w:numPr>
        <w:autoSpaceDE/>
        <w:autoSpaceDN/>
        <w:spacing w:after="120"/>
        <w:ind w:left="720" w:right="2160"/>
        <w:rPr>
          <w:rFonts w:eastAsiaTheme="majorEastAsia" w:cstheme="majorBidi"/>
          <w:bCs w:val="0"/>
          <w:szCs w:val="32"/>
        </w:rPr>
      </w:pPr>
      <w:bookmarkStart w:name="4._Issues_Before_the_Commission" w:id="19"/>
      <w:bookmarkStart w:name="_Toc187748551" w:id="20"/>
      <w:bookmarkStart w:name="_Toc214020776" w:id="21"/>
      <w:bookmarkEnd w:id="19"/>
      <w:r w:rsidRPr="0020446A">
        <w:rPr>
          <w:rFonts w:eastAsiaTheme="majorEastAsia" w:cstheme="majorBidi"/>
          <w:bCs w:val="0"/>
          <w:szCs w:val="32"/>
        </w:rPr>
        <w:t>Issues Before the Commission</w:t>
      </w:r>
      <w:bookmarkEnd w:id="20"/>
      <w:bookmarkEnd w:id="21"/>
    </w:p>
    <w:p w:rsidRPr="00AE1430" w:rsidR="00DE31CA" w:rsidP="00643C47" w:rsidRDefault="003D5307" w14:paraId="4007E65B" w14:textId="46020EC0">
      <w:pPr>
        <w:pStyle w:val="BodyText"/>
        <w:spacing w:line="360" w:lineRule="auto"/>
        <w:ind w:left="937" w:hanging="217"/>
        <w:jc w:val="both"/>
      </w:pPr>
      <w:r w:rsidRPr="00AE1430">
        <w:t>The</w:t>
      </w:r>
      <w:r w:rsidRPr="00AE1430">
        <w:rPr>
          <w:spacing w:val="-15"/>
        </w:rPr>
        <w:t xml:space="preserve"> </w:t>
      </w:r>
      <w:r w:rsidRPr="00AE1430">
        <w:t>Scoping</w:t>
      </w:r>
      <w:r w:rsidRPr="00AE1430">
        <w:rPr>
          <w:spacing w:val="-14"/>
        </w:rPr>
        <w:t xml:space="preserve"> </w:t>
      </w:r>
      <w:r w:rsidRPr="00AE1430" w:rsidR="00FE4FEE">
        <w:t>Memo</w:t>
      </w:r>
      <w:r w:rsidRPr="00AE1430">
        <w:rPr>
          <w:spacing w:val="-15"/>
        </w:rPr>
        <w:t xml:space="preserve"> </w:t>
      </w:r>
      <w:r w:rsidRPr="00AE1430">
        <w:t>identified</w:t>
      </w:r>
      <w:r w:rsidRPr="00AE1430">
        <w:rPr>
          <w:spacing w:val="-15"/>
        </w:rPr>
        <w:t xml:space="preserve"> </w:t>
      </w:r>
      <w:r w:rsidRPr="00AE1430">
        <w:t>the</w:t>
      </w:r>
      <w:r w:rsidRPr="00AE1430">
        <w:rPr>
          <w:spacing w:val="-15"/>
        </w:rPr>
        <w:t xml:space="preserve"> </w:t>
      </w:r>
      <w:r w:rsidRPr="00AE1430">
        <w:t>following</w:t>
      </w:r>
      <w:r w:rsidRPr="00AE1430">
        <w:rPr>
          <w:spacing w:val="-15"/>
        </w:rPr>
        <w:t xml:space="preserve"> </w:t>
      </w:r>
      <w:r w:rsidRPr="00AE1430">
        <w:t>issues</w:t>
      </w:r>
      <w:r w:rsidRPr="00AE1430">
        <w:rPr>
          <w:spacing w:val="-15"/>
        </w:rPr>
        <w:t xml:space="preserve"> </w:t>
      </w:r>
      <w:r w:rsidRPr="00AE1430">
        <w:t>to</w:t>
      </w:r>
      <w:r w:rsidRPr="00AE1430">
        <w:rPr>
          <w:spacing w:val="-15"/>
        </w:rPr>
        <w:t xml:space="preserve"> </w:t>
      </w:r>
      <w:r w:rsidRPr="00AE1430">
        <w:t>be</w:t>
      </w:r>
      <w:r w:rsidRPr="00AE1430">
        <w:rPr>
          <w:spacing w:val="-15"/>
        </w:rPr>
        <w:t xml:space="preserve"> </w:t>
      </w:r>
      <w:r w:rsidRPr="00AE1430">
        <w:rPr>
          <w:spacing w:val="-2"/>
        </w:rPr>
        <w:t>determined:</w:t>
      </w:r>
    </w:p>
    <w:p w:rsidRPr="00AE1430" w:rsidR="00DE31CA" w:rsidP="00643C47" w:rsidRDefault="3462B04D" w14:paraId="0A1D1564" w14:textId="0E28357E">
      <w:pPr>
        <w:pStyle w:val="ListParagraph"/>
        <w:numPr>
          <w:ilvl w:val="0"/>
          <w:numId w:val="8"/>
        </w:numPr>
        <w:tabs>
          <w:tab w:val="left" w:pos="1080"/>
        </w:tabs>
        <w:spacing w:after="120"/>
        <w:ind w:left="1080" w:right="1900" w:hanging="360"/>
        <w:rPr>
          <w:sz w:val="26"/>
          <w:szCs w:val="26"/>
        </w:rPr>
      </w:pPr>
      <w:r w:rsidRPr="00AE1430">
        <w:rPr>
          <w:sz w:val="26"/>
          <w:szCs w:val="26"/>
        </w:rPr>
        <w:t>Does PG&amp;E’s Application meet the legal standards for recovery?</w:t>
      </w:r>
    </w:p>
    <w:p w:rsidRPr="00AE1430" w:rsidR="00DE31CA" w:rsidP="00643C47" w:rsidRDefault="29BC1D15" w14:paraId="18CA5920" w14:textId="326F30D1">
      <w:pPr>
        <w:pStyle w:val="ListParagraph"/>
        <w:numPr>
          <w:ilvl w:val="0"/>
          <w:numId w:val="8"/>
        </w:numPr>
        <w:tabs>
          <w:tab w:val="left" w:pos="1080"/>
        </w:tabs>
        <w:spacing w:after="120" w:line="259" w:lineRule="auto"/>
        <w:ind w:left="1080" w:right="1900" w:hanging="360"/>
        <w:rPr>
          <w:sz w:val="26"/>
          <w:szCs w:val="26"/>
        </w:rPr>
      </w:pPr>
      <w:r w:rsidRPr="00AE1430">
        <w:rPr>
          <w:sz w:val="26"/>
          <w:szCs w:val="26"/>
        </w:rPr>
        <w:t xml:space="preserve">Has PG&amp;E demonstrated that the </w:t>
      </w:r>
      <w:r w:rsidRPr="00AE1430" w:rsidR="00BF57BD">
        <w:rPr>
          <w:sz w:val="26"/>
          <w:szCs w:val="26"/>
        </w:rPr>
        <w:t>Common, General, and Intangible (</w:t>
      </w:r>
      <w:r w:rsidRPr="00AE1430">
        <w:rPr>
          <w:sz w:val="26"/>
          <w:szCs w:val="26"/>
        </w:rPr>
        <w:t>CGI</w:t>
      </w:r>
      <w:r w:rsidRPr="00AE1430" w:rsidR="00BF57BD">
        <w:rPr>
          <w:sz w:val="26"/>
          <w:szCs w:val="26"/>
        </w:rPr>
        <w:t>)</w:t>
      </w:r>
      <w:r w:rsidRPr="00AE1430">
        <w:rPr>
          <w:sz w:val="26"/>
          <w:szCs w:val="26"/>
        </w:rPr>
        <w:t xml:space="preserve"> Plant costs in PG&amp;E’s request were actually incurred</w:t>
      </w:r>
      <w:r w:rsidRPr="00AE1430" w:rsidR="003D5307">
        <w:rPr>
          <w:sz w:val="26"/>
          <w:szCs w:val="26"/>
        </w:rPr>
        <w:t>?</w:t>
      </w:r>
    </w:p>
    <w:p w:rsidRPr="00AE1430" w:rsidR="00DE31CA" w:rsidP="00643C47" w:rsidRDefault="79E903A7" w14:paraId="25C9D228" w14:textId="7EEB9B5A">
      <w:pPr>
        <w:pStyle w:val="ListParagraph"/>
        <w:numPr>
          <w:ilvl w:val="0"/>
          <w:numId w:val="8"/>
        </w:numPr>
        <w:tabs>
          <w:tab w:val="left" w:pos="1080"/>
        </w:tabs>
        <w:spacing w:after="120" w:line="259" w:lineRule="auto"/>
        <w:ind w:left="1080" w:right="1900" w:hanging="360"/>
        <w:rPr>
          <w:sz w:val="26"/>
          <w:szCs w:val="26"/>
        </w:rPr>
      </w:pPr>
      <w:r w:rsidRPr="00AE1430">
        <w:rPr>
          <w:sz w:val="26"/>
          <w:szCs w:val="26"/>
        </w:rPr>
        <w:t>Are PG&amp;E’s calculations regarding the revenue requirement requested in its Application accurate and should costs be recovered from Commission ratepayers</w:t>
      </w:r>
      <w:r w:rsidRPr="00AE1430" w:rsidR="003D5307">
        <w:rPr>
          <w:sz w:val="26"/>
          <w:szCs w:val="26"/>
        </w:rPr>
        <w:t>?</w:t>
      </w:r>
    </w:p>
    <w:p w:rsidRPr="00AE1430" w:rsidR="003E7C06" w:rsidP="00643C47" w:rsidRDefault="570C3026" w14:paraId="1223ECF0" w14:textId="61C691C1">
      <w:pPr>
        <w:pStyle w:val="ListParagraph"/>
        <w:numPr>
          <w:ilvl w:val="0"/>
          <w:numId w:val="8"/>
        </w:numPr>
        <w:tabs>
          <w:tab w:val="left" w:pos="1080"/>
        </w:tabs>
        <w:spacing w:after="120" w:line="259" w:lineRule="auto"/>
        <w:ind w:left="1080" w:right="1900" w:hanging="360"/>
        <w:rPr>
          <w:sz w:val="26"/>
          <w:szCs w:val="26"/>
        </w:rPr>
      </w:pPr>
      <w:r w:rsidRPr="00AE1430">
        <w:rPr>
          <w:sz w:val="26"/>
          <w:szCs w:val="26"/>
        </w:rPr>
        <w:t>Is the interest associated with the CGI Plant costs correctly calculated</w:t>
      </w:r>
      <w:r w:rsidRPr="00AE1430" w:rsidR="003D5307">
        <w:rPr>
          <w:sz w:val="26"/>
          <w:szCs w:val="26"/>
        </w:rPr>
        <w:t>?</w:t>
      </w:r>
    </w:p>
    <w:p w:rsidRPr="0020446A" w:rsidR="02783C9C" w:rsidP="0020446A" w:rsidRDefault="4186489B" w14:paraId="21DF3824" w14:textId="3B9C7B9B">
      <w:pPr>
        <w:pStyle w:val="Heading1"/>
        <w:keepNext/>
        <w:keepLines/>
        <w:widowControl/>
        <w:numPr>
          <w:ilvl w:val="0"/>
          <w:numId w:val="9"/>
        </w:numPr>
        <w:autoSpaceDE/>
        <w:autoSpaceDN/>
        <w:spacing w:after="120"/>
        <w:ind w:left="720" w:right="2160"/>
        <w:rPr>
          <w:rFonts w:eastAsiaTheme="majorEastAsia" w:cstheme="majorBidi"/>
          <w:bCs w:val="0"/>
          <w:szCs w:val="32"/>
        </w:rPr>
      </w:pPr>
      <w:bookmarkStart w:name="_Toc214020777" w:id="22"/>
      <w:r w:rsidRPr="0020446A">
        <w:rPr>
          <w:rFonts w:eastAsiaTheme="majorEastAsia" w:cstheme="majorBidi"/>
          <w:bCs w:val="0"/>
          <w:szCs w:val="32"/>
        </w:rPr>
        <w:t>Application Background</w:t>
      </w:r>
      <w:bookmarkEnd w:id="22"/>
    </w:p>
    <w:p w:rsidRPr="005C430D" w:rsidR="4186489B" w:rsidP="00721F2C" w:rsidRDefault="4186489B" w14:paraId="5D9301F5" w14:textId="6733BBB6">
      <w:pPr>
        <w:pStyle w:val="Standard"/>
      </w:pPr>
      <w:r w:rsidRPr="005C430D">
        <w:t xml:space="preserve">PG&amp;E filed </w:t>
      </w:r>
      <w:r w:rsidRPr="005C430D" w:rsidR="6DEFE810">
        <w:t xml:space="preserve">this instant </w:t>
      </w:r>
      <w:r w:rsidR="00B74208">
        <w:t>a</w:t>
      </w:r>
      <w:r w:rsidRPr="005C430D">
        <w:t xml:space="preserve">pplication seeking authority to recover recorded expenditures in its TRRRMA. PG&amp;E created the TRRRMA to record revenue requirement impacts associated with the reclassification of certain costs from federal to state jurisdiction as directed by </w:t>
      </w:r>
      <w:r w:rsidRPr="005C430D" w:rsidR="1892FF01">
        <w:t>FERC</w:t>
      </w:r>
      <w:r w:rsidRPr="005C430D">
        <w:t>.</w:t>
      </w:r>
      <w:r w:rsidRPr="00423B8A" w:rsidR="00E1727F">
        <w:rPr>
          <w:vertAlign w:val="superscript"/>
        </w:rPr>
        <w:footnoteReference w:id="1"/>
      </w:r>
    </w:p>
    <w:p w:rsidR="4186489B" w:rsidP="00721F2C" w:rsidRDefault="4186489B" w14:paraId="25BC08EA" w14:textId="678ECD4A">
      <w:pPr>
        <w:pStyle w:val="Standard"/>
      </w:pPr>
      <w:r>
        <w:t>The costs in this Application originate from PG&amp;E’s TO18 proceeding before FERC. In that proceeding, FERC</w:t>
      </w:r>
      <w:r w:rsidR="71CE9BBD">
        <w:t>’s Initial Decision</w:t>
      </w:r>
      <w:r>
        <w:t xml:space="preserve"> disallowed PG&amp;E’s request to recover certain CGI Plant costs after finding that PG&amp;E’s documentation did not establish that the costs were actually incurred.</w:t>
      </w:r>
      <w:r w:rsidRPr="00D30383" w:rsidR="00DF517D">
        <w:rPr>
          <w:vertAlign w:val="superscript"/>
        </w:rPr>
        <w:footnoteReference w:id="2"/>
      </w:r>
      <w:r>
        <w:t xml:space="preserve"> Following </w:t>
      </w:r>
      <w:r>
        <w:lastRenderedPageBreak/>
        <w:t>that determination, PG&amp;E and the active parties, including the Commission, entered into a settlement that resolved the remaining TO18 issues.</w:t>
      </w:r>
      <w:r w:rsidRPr="00D30383" w:rsidR="00A86699">
        <w:rPr>
          <w:vertAlign w:val="superscript"/>
        </w:rPr>
        <w:footnoteReference w:id="3"/>
      </w:r>
    </w:p>
    <w:p w:rsidR="4186489B" w:rsidP="00721F2C" w:rsidRDefault="4186489B" w14:paraId="1F9B9BCE" w14:textId="1D2A91C6">
      <w:pPr>
        <w:pStyle w:val="Standard"/>
      </w:pPr>
      <w:r>
        <w:t>The TO18 settlement authorized PG&amp;E to seek recovery of up to $472.8 million in CGI Plant costs in a subsequent proceeding before this Commission.</w:t>
      </w:r>
      <w:r w:rsidRPr="00D30383" w:rsidR="008C5969">
        <w:rPr>
          <w:vertAlign w:val="superscript"/>
        </w:rPr>
        <w:footnoteReference w:id="4"/>
      </w:r>
      <w:r>
        <w:t xml:space="preserve"> The settlement specifies that the Commission retains full authority to determine whether PG&amp;E may recover any portion of those costs from CPUC-jurisdictional ratepayers. </w:t>
      </w:r>
      <w:r w:rsidR="703A6D1D">
        <w:t>The settlement</w:t>
      </w:r>
      <w:r>
        <w:t xml:space="preserve"> also clarifies that “by entering into this Settlement, the CPUC is not expressing an opinion as to the recoverability of CGI amounts in a subsequent CPUC proceeding.</w:t>
      </w:r>
      <w:r w:rsidR="0BD22012">
        <w:t>”</w:t>
      </w:r>
      <w:r w:rsidRPr="00D30383" w:rsidR="00053F55">
        <w:rPr>
          <w:vertAlign w:val="superscript"/>
        </w:rPr>
        <w:footnoteReference w:id="5"/>
      </w:r>
    </w:p>
    <w:p w:rsidR="4186489B" w:rsidP="00721F2C" w:rsidRDefault="4186489B" w14:paraId="3810F47C" w14:textId="73544A9E">
      <w:pPr>
        <w:pStyle w:val="Standard"/>
      </w:pPr>
      <w:r>
        <w:t>PG&amp;E’s Application requests recovery of $372.8 million in CGI Plant costs that it originally sought in TO18</w:t>
      </w:r>
      <w:r w:rsidR="23AEF9B2">
        <w:t xml:space="preserve"> as well as related administrative and general costs</w:t>
      </w:r>
      <w:r w:rsidR="00181F6B">
        <w:t xml:space="preserve"> and</w:t>
      </w:r>
      <w:r>
        <w:t xml:space="preserve"> </w:t>
      </w:r>
      <w:r w:rsidR="37A08EEA">
        <w:t>$7.</w:t>
      </w:r>
      <w:r w:rsidR="0091462B">
        <w:t>7</w:t>
      </w:r>
      <w:r w:rsidR="37A08EEA">
        <w:t xml:space="preserve"> million for </w:t>
      </w:r>
      <w:r w:rsidR="0091462B">
        <w:t>one facility</w:t>
      </w:r>
      <w:r w:rsidR="37A08EEA">
        <w:t xml:space="preserve"> that changed from California Independent System Operator (CAISO) operational control to non-CAISO operational control in 2023 and associated operations and maintenance expense</w:t>
      </w:r>
      <w:r w:rsidR="00C548D2">
        <w:t>.</w:t>
      </w:r>
      <w:r w:rsidRPr="00D30383" w:rsidR="00953B70">
        <w:rPr>
          <w:vertAlign w:val="superscript"/>
        </w:rPr>
        <w:footnoteReference w:id="6"/>
      </w:r>
      <w:r w:rsidR="00150E3E">
        <w:t xml:space="preserve"> </w:t>
      </w:r>
      <w:r w:rsidR="00C548D2">
        <w:t xml:space="preserve"> PG&amp;E</w:t>
      </w:r>
      <w:r w:rsidR="00181F6B">
        <w:t xml:space="preserve"> also proposes a $42.6 million </w:t>
      </w:r>
      <w:r w:rsidR="08107C38">
        <w:t xml:space="preserve">credit adjustment </w:t>
      </w:r>
      <w:r w:rsidR="00181F6B">
        <w:t>for electric distribution customers</w:t>
      </w:r>
      <w:r w:rsidR="0083791F">
        <w:t xml:space="preserve">. This credit </w:t>
      </w:r>
      <w:r w:rsidR="08107C38">
        <w:t xml:space="preserve">stems from electric transmission facilities PG&amp;E incorrectly recorded to Electric Distribution FERC Plant Accounts and included in </w:t>
      </w:r>
      <w:r w:rsidR="36E3A775">
        <w:t xml:space="preserve">PG&amp;E’s 2023 General Rate Case (GRC) </w:t>
      </w:r>
      <w:r w:rsidR="08107C38">
        <w:t xml:space="preserve">revenue requirement calculation. </w:t>
      </w:r>
      <w:r w:rsidR="536EEDF5">
        <w:t>PG&amp;E notes that b</w:t>
      </w:r>
      <w:r w:rsidR="08107C38">
        <w:t xml:space="preserve">ecause these transmission facilities </w:t>
      </w:r>
      <w:r w:rsidR="4F623916">
        <w:t>were</w:t>
      </w:r>
      <w:r w:rsidR="08107C38">
        <w:t xml:space="preserve"> included in PG&amp;E’s FERC-jurisdictional rates, C</w:t>
      </w:r>
      <w:r w:rsidR="7B458A6C">
        <w:t>ommission-</w:t>
      </w:r>
      <w:r w:rsidR="08107C38">
        <w:t>jurisdictional customers are entitled to a refund of $42.</w:t>
      </w:r>
      <w:r w:rsidR="00E90BA2">
        <w:t>6</w:t>
      </w:r>
      <w:r w:rsidR="08107C38">
        <w:t xml:space="preserve"> million which is being netted against the other revenue requirement </w:t>
      </w:r>
      <w:r w:rsidR="08107C38">
        <w:lastRenderedPageBreak/>
        <w:t>entries in TRRRMA</w:t>
      </w:r>
      <w:r w:rsidR="4EBA4726">
        <w:t>.</w:t>
      </w:r>
      <w:r w:rsidR="08107C38">
        <w:t xml:space="preserve"> </w:t>
      </w:r>
      <w:r w:rsidR="4EBA4726">
        <w:t>This reduces</w:t>
      </w:r>
      <w:r w:rsidR="08107C38">
        <w:t xml:space="preserve"> the overall revenue requirement</w:t>
      </w:r>
      <w:r w:rsidR="4637B02B">
        <w:t xml:space="preserve"> PG&amp;E</w:t>
      </w:r>
      <w:r w:rsidR="08107C38">
        <w:t xml:space="preserve"> requested in this Application.</w:t>
      </w:r>
      <w:r w:rsidRPr="4234341E">
        <w:rPr>
          <w:vertAlign w:val="superscript"/>
        </w:rPr>
        <w:footnoteReference w:id="7"/>
      </w:r>
      <w:r w:rsidR="08107C38">
        <w:t xml:space="preserve"> P</w:t>
      </w:r>
      <w:r w:rsidR="266926DB">
        <w:t>G&amp;E</w:t>
      </w:r>
      <w:r>
        <w:t xml:space="preserve"> proposes to recover these amounts from Commission-jurisdictional ratepayers </w:t>
      </w:r>
      <w:r w:rsidR="003745F1">
        <w:t xml:space="preserve">over a 12-month period </w:t>
      </w:r>
      <w:r>
        <w:t>beginning in January 2026</w:t>
      </w:r>
      <w:r w:rsidRPr="00D30383" w:rsidR="003745F1">
        <w:rPr>
          <w:vertAlign w:val="superscript"/>
        </w:rPr>
        <w:footnoteReference w:id="8"/>
      </w:r>
      <w:r w:rsidRPr="4234341E">
        <w:rPr>
          <w:vertAlign w:val="superscript"/>
        </w:rPr>
        <w:footnoteReference w:id="9"/>
      </w:r>
    </w:p>
    <w:p w:rsidRPr="0020446A" w:rsidR="00DE31CA" w:rsidP="0020446A" w:rsidRDefault="5EBF2105" w14:paraId="7A419D94" w14:textId="19D28430">
      <w:pPr>
        <w:pStyle w:val="Heading1"/>
        <w:keepNext/>
        <w:keepLines/>
        <w:widowControl/>
        <w:numPr>
          <w:ilvl w:val="0"/>
          <w:numId w:val="9"/>
        </w:numPr>
        <w:autoSpaceDE/>
        <w:autoSpaceDN/>
        <w:spacing w:after="120"/>
        <w:ind w:left="720" w:right="2160"/>
        <w:rPr>
          <w:rFonts w:eastAsiaTheme="majorEastAsia" w:cstheme="majorBidi"/>
          <w:bCs w:val="0"/>
          <w:szCs w:val="32"/>
        </w:rPr>
      </w:pPr>
      <w:bookmarkStart w:name="5._Discussion_and_Determination_of_Scopi" w:id="23"/>
      <w:bookmarkStart w:name="_Toc187748553" w:id="24"/>
      <w:bookmarkStart w:name="_Toc187748552" w:id="25"/>
      <w:bookmarkStart w:name="_Toc214020778" w:id="26"/>
      <w:bookmarkEnd w:id="23"/>
      <w:r w:rsidRPr="0020446A">
        <w:rPr>
          <w:rFonts w:eastAsiaTheme="majorEastAsia" w:cstheme="majorBidi"/>
          <w:bCs w:val="0"/>
          <w:szCs w:val="32"/>
        </w:rPr>
        <w:t xml:space="preserve">Party Positions and </w:t>
      </w:r>
      <w:r w:rsidRPr="0020446A" w:rsidR="3415B0B1">
        <w:rPr>
          <w:rFonts w:eastAsiaTheme="majorEastAsia" w:cstheme="majorBidi"/>
          <w:bCs w:val="0"/>
          <w:szCs w:val="32"/>
        </w:rPr>
        <w:t>Discussio</w:t>
      </w:r>
      <w:r w:rsidRPr="0020446A" w:rsidR="36D6C9ED">
        <w:rPr>
          <w:rFonts w:eastAsiaTheme="majorEastAsia" w:cstheme="majorBidi"/>
          <w:bCs w:val="0"/>
          <w:szCs w:val="32"/>
        </w:rPr>
        <w:t xml:space="preserve">n of </w:t>
      </w:r>
      <w:r w:rsidRPr="0020446A" w:rsidR="3415B0B1">
        <w:rPr>
          <w:rFonts w:eastAsiaTheme="majorEastAsia" w:cstheme="majorBidi"/>
          <w:bCs w:val="0"/>
          <w:szCs w:val="32"/>
        </w:rPr>
        <w:t>Scoping Issue</w:t>
      </w:r>
      <w:r w:rsidRPr="0020446A" w:rsidR="708C92D7">
        <w:rPr>
          <w:rFonts w:eastAsiaTheme="majorEastAsia" w:cstheme="majorBidi"/>
          <w:bCs w:val="0"/>
          <w:szCs w:val="32"/>
        </w:rPr>
        <w:t>s</w:t>
      </w:r>
      <w:bookmarkEnd w:id="24"/>
      <w:bookmarkEnd w:id="25"/>
      <w:bookmarkEnd w:id="26"/>
    </w:p>
    <w:p w:rsidR="00DE31CA" w:rsidP="0020446A" w:rsidRDefault="6AA1117A" w14:paraId="42473AA4" w14:textId="3C25EE91">
      <w:pPr>
        <w:pStyle w:val="Heading1"/>
        <w:numPr>
          <w:ilvl w:val="1"/>
          <w:numId w:val="9"/>
        </w:numPr>
        <w:tabs>
          <w:tab w:val="left" w:pos="630"/>
          <w:tab w:val="left" w:pos="1873"/>
        </w:tabs>
        <w:spacing w:before="120" w:after="120"/>
        <w:ind w:left="990" w:hanging="630"/>
      </w:pPr>
      <w:bookmarkStart w:name="_Toc214020779" w:id="27"/>
      <w:r>
        <w:t>Scoping Issue 1: Does PG&amp;E’s Application Meet the Legal Standards for Recovery?</w:t>
      </w:r>
      <w:bookmarkEnd w:id="27"/>
    </w:p>
    <w:p w:rsidR="3EDD7C9C" w:rsidP="00643C47" w:rsidRDefault="3EDD7C9C" w14:paraId="3663182D" w14:textId="1F84E76D">
      <w:pPr>
        <w:pStyle w:val="Heading1"/>
        <w:numPr>
          <w:ilvl w:val="2"/>
          <w:numId w:val="9"/>
        </w:numPr>
        <w:tabs>
          <w:tab w:val="left" w:pos="630"/>
          <w:tab w:val="left" w:pos="1710"/>
        </w:tabs>
        <w:spacing w:before="120" w:after="120" w:line="259" w:lineRule="auto"/>
        <w:ind w:left="1350" w:hanging="810"/>
      </w:pPr>
      <w:bookmarkStart w:name="_Toc214020780" w:id="28"/>
      <w:r>
        <w:t>Legal Standards for Recovery</w:t>
      </w:r>
      <w:bookmarkEnd w:id="28"/>
    </w:p>
    <w:p w:rsidR="5DC64CC9" w:rsidP="00721F2C" w:rsidRDefault="084D7F2C" w14:paraId="07F4BB11" w14:textId="2A7685AF">
      <w:pPr>
        <w:pStyle w:val="Standard"/>
      </w:pPr>
      <w:r w:rsidRPr="1EB42CCA">
        <w:t xml:space="preserve">PG&amp;E states that its </w:t>
      </w:r>
      <w:r w:rsidR="002E2BAB">
        <w:t>a</w:t>
      </w:r>
      <w:r w:rsidRPr="1EB42CCA">
        <w:t>pplication meets the legal standards for recovery because the TRRRMA was created to record and track revenue requirement impacts associated with jurisdictional cost transfers between FERC and the Commission</w:t>
      </w:r>
      <w:r w:rsidR="00CA53BB">
        <w:t xml:space="preserve">. </w:t>
      </w:r>
      <w:r w:rsidRPr="1EB42CCA">
        <w:t>PG&amp;E explains that the TRRRMA operates as a balancing account authorized by prior Commission decisions to capture changes in cost responsibility arising from regulatory reclassification, including those resulting from FERC Opinion No. 572 and the related TO18 settlement.</w:t>
      </w:r>
      <w:r w:rsidRPr="00D30383" w:rsidR="00A85AAA">
        <w:rPr>
          <w:vertAlign w:val="superscript"/>
        </w:rPr>
        <w:footnoteReference w:id="10"/>
      </w:r>
      <w:r w:rsidRPr="1EB42CCA">
        <w:t xml:space="preserve"> PG&amp;E maintains that its request is consistent with the TRRRMA’s purpose because it seeks recovery of costs reclassified to Commission jurisdiction, not new or incremental spending.</w:t>
      </w:r>
      <w:r w:rsidRPr="00D30383" w:rsidR="007C6676">
        <w:rPr>
          <w:vertAlign w:val="superscript"/>
        </w:rPr>
        <w:footnoteReference w:id="11"/>
      </w:r>
      <w:r w:rsidRPr="1EB42CCA">
        <w:t xml:space="preserve"> PG&amp;E also notes that the Commission has approved similar recoveries in Southern California </w:t>
      </w:r>
      <w:r w:rsidRPr="272419FC">
        <w:t>Edison</w:t>
      </w:r>
      <w:r w:rsidR="005246E0">
        <w:t xml:space="preserve"> Company</w:t>
      </w:r>
      <w:r w:rsidRPr="272419FC">
        <w:t>’s</w:t>
      </w:r>
      <w:r w:rsidRPr="1EB42CCA">
        <w:t xml:space="preserve"> </w:t>
      </w:r>
      <w:r w:rsidRPr="5791D673" w:rsidR="04A077B4">
        <w:t xml:space="preserve">(SCE) </w:t>
      </w:r>
      <w:r w:rsidRPr="5791D673">
        <w:t>TRRRMA proceeding</w:t>
      </w:r>
      <w:r w:rsidRPr="1EB42CCA">
        <w:t xml:space="preserve">, </w:t>
      </w:r>
      <w:r w:rsidR="007A77A4">
        <w:t>and claims</w:t>
      </w:r>
      <w:r w:rsidR="00527FFE">
        <w:t xml:space="preserve"> the d</w:t>
      </w:r>
      <w:r w:rsidR="00CA791C">
        <w:t>ecision in that proceeding was instructive</w:t>
      </w:r>
      <w:r w:rsidR="002D1601">
        <w:t xml:space="preserve"> towards a standard of recover</w:t>
      </w:r>
      <w:r w:rsidR="005B21FF">
        <w:t>y</w:t>
      </w:r>
      <w:r w:rsidR="005573EF">
        <w:t xml:space="preserve"> where costs were reasonable and distribution related.</w:t>
      </w:r>
      <w:r w:rsidR="00F638D5">
        <w:t xml:space="preserve"> </w:t>
      </w:r>
      <w:r w:rsidR="00F638D5">
        <w:lastRenderedPageBreak/>
        <w:t>PG</w:t>
      </w:r>
      <w:r w:rsidR="00606015">
        <w:t>&amp;</w:t>
      </w:r>
      <w:r w:rsidR="00F638D5">
        <w:t>E claims</w:t>
      </w:r>
      <w:r w:rsidR="00B64C65">
        <w:t xml:space="preserve"> the Commission did </w:t>
      </w:r>
      <w:r w:rsidR="00B422BE">
        <w:t xml:space="preserve">not require </w:t>
      </w:r>
      <w:r w:rsidR="005246E0">
        <w:t xml:space="preserve">SCE </w:t>
      </w:r>
      <w:r w:rsidR="00B422BE">
        <w:t>to demonstrate that SCE’s costs were actually incurred</w:t>
      </w:r>
      <w:r w:rsidRPr="1EB42CCA">
        <w:t>.</w:t>
      </w:r>
      <w:r w:rsidRPr="00D30383" w:rsidR="007C39D2">
        <w:rPr>
          <w:vertAlign w:val="superscript"/>
        </w:rPr>
        <w:footnoteReference w:id="12"/>
      </w:r>
    </w:p>
    <w:p w:rsidR="682AF029" w:rsidP="00721F2C" w:rsidRDefault="682AF029" w14:paraId="01627867" w14:textId="566689AE">
      <w:pPr>
        <w:pStyle w:val="Standard"/>
      </w:pPr>
      <w:r w:rsidRPr="5A5C20F4">
        <w:t xml:space="preserve">Cal Advocates contends that PG&amp;E’s Application does not meet the legal standards for recovery because the TRRRMA framework does not supersede the requirements of </w:t>
      </w:r>
      <w:r w:rsidR="3A8B764E">
        <w:t>Pub. Util.</w:t>
      </w:r>
      <w:r w:rsidRPr="5A5C20F4">
        <w:t xml:space="preserve"> Code </w:t>
      </w:r>
      <w:r w:rsidR="3A8B764E">
        <w:t>§</w:t>
      </w:r>
      <w:r w:rsidRPr="5A5C20F4">
        <w:t xml:space="preserve"> 451, which mandate</w:t>
      </w:r>
      <w:r w:rsidRPr="5A5C20F4" w:rsidR="78915BE8">
        <w:t>s</w:t>
      </w:r>
      <w:r w:rsidRPr="5A5C20F4">
        <w:t xml:space="preserve"> that all utilities demonstrate that their requested recoveries are just and reasonable</w:t>
      </w:r>
      <w:r w:rsidR="00A61D89">
        <w:t xml:space="preserve">. </w:t>
      </w:r>
      <w:r w:rsidRPr="5A5C20F4">
        <w:t>Cal Advocates argues that the TO18 settlement expressly preserved the Commission’s discretion to determine whether any of the CGI Plant costs should be recovered from state-jurisdictional ratepayers, and that PG&amp;E has not provided sufficient evidence to show that those costs were actually incurred.</w:t>
      </w:r>
      <w:r w:rsidRPr="00D30383" w:rsidR="00453C51">
        <w:rPr>
          <w:vertAlign w:val="superscript"/>
        </w:rPr>
        <w:footnoteReference w:id="13"/>
      </w:r>
      <w:r w:rsidRPr="00D30383">
        <w:rPr>
          <w:vertAlign w:val="superscript"/>
        </w:rPr>
        <w:t xml:space="preserve"> </w:t>
      </w:r>
      <w:r w:rsidRPr="5A5C20F4">
        <w:t xml:space="preserve">Cal Advocates further distinguishes PG&amp;E’s request from SCE’s prior TRRRMA </w:t>
      </w:r>
      <w:r w:rsidRPr="423C8EA1">
        <w:t>proceeding</w:t>
      </w:r>
      <w:r w:rsidRPr="5A5C20F4">
        <w:t>, asserting that those cases involved uncontested, well-documented balances, whereas FERC Opinion No. 572 specifically found that PG&amp;E’s documentation failed to establish that certain CGI Plant costs represented actual expenditures.</w:t>
      </w:r>
      <w:r w:rsidRPr="00D30383" w:rsidR="000E2393">
        <w:rPr>
          <w:vertAlign w:val="superscript"/>
        </w:rPr>
        <w:footnoteReference w:id="14"/>
      </w:r>
      <w:r w:rsidRPr="5A5C20F4">
        <w:t xml:space="preserve"> Cal Advocates also emphasizes that the Commission’s responsibility extends beyond confirming accounting accuracy to independently evaluating the reasonableness and prudence of the recorded costs, supported by transaction-level documentation such as invoices and receipts.</w:t>
      </w:r>
      <w:r w:rsidRPr="00D30383" w:rsidR="006807E8">
        <w:rPr>
          <w:vertAlign w:val="superscript"/>
        </w:rPr>
        <w:footnoteReference w:id="15"/>
      </w:r>
    </w:p>
    <w:p w:rsidR="682AF029" w:rsidP="00721F2C" w:rsidRDefault="68A8CEAE" w14:paraId="08AA5FFE" w14:textId="6D5D9A63">
      <w:pPr>
        <w:pStyle w:val="Standard"/>
      </w:pPr>
      <w:r>
        <w:t xml:space="preserve">In prior TRRRMA precedent involving SCE, the Commission recognized that </w:t>
      </w:r>
      <w:r w:rsidR="005246E0">
        <w:t>C</w:t>
      </w:r>
      <w:r>
        <w:t xml:space="preserve">GI costs are, by their nature, not tied to a single function and therefore need not be proven ‘distribution-specific’; instead, the reasonableness showing </w:t>
      </w:r>
      <w:r>
        <w:lastRenderedPageBreak/>
        <w:t xml:space="preserve">was anchored in the prior GRC review and the absence of disallowance </w:t>
      </w:r>
      <w:r w:rsidR="6E31F2D3">
        <w:t>by FERC or the Commission</w:t>
      </w:r>
      <w:r w:rsidR="00ED753E">
        <w:t>.</w:t>
      </w:r>
      <w:r w:rsidR="00DC0554">
        <w:rPr>
          <w:rStyle w:val="FootnoteReference"/>
        </w:rPr>
        <w:footnoteReference w:id="16"/>
      </w:r>
      <w:r>
        <w:t xml:space="preserve"> We </w:t>
      </w:r>
      <w:r w:rsidR="779CE212">
        <w:t>consider the SCE TRRRMA decision instructive on how TRRRMA functions procedurally, but our determination here turns on PG&amp;E’s evidentiary showing under Pub. Util. Code §§ 451 and 454 for these specific costs.</w:t>
      </w:r>
    </w:p>
    <w:p w:rsidR="682AF029" w:rsidP="00721F2C" w:rsidRDefault="682AF029" w14:paraId="2ADFB885" w14:textId="246F978B">
      <w:pPr>
        <w:pStyle w:val="Standard"/>
      </w:pPr>
      <w:r w:rsidRPr="5A5C20F4">
        <w:t xml:space="preserve">The Commission finds that the TRRRMA provides an appropriate procedural mechanism for PG&amp;E to record jurisdictional cost transfers but does not itself authorize recovery. </w:t>
      </w:r>
      <w:r>
        <w:t xml:space="preserve">Under </w:t>
      </w:r>
      <w:r w:rsidR="49631E11">
        <w:t>Pub. Util.</w:t>
      </w:r>
      <w:r w:rsidR="00816B1F">
        <w:t xml:space="preserve"> Code </w:t>
      </w:r>
      <w:r w:rsidR="49631E11">
        <w:t>§§</w:t>
      </w:r>
      <w:r w:rsidRPr="5A5C20F4">
        <w:t xml:space="preserve"> 451 and 454, PG&amp;E bears the burden of proving by a preponderance of the evidence that the recorded costs are just and reasonable</w:t>
      </w:r>
      <w:r w:rsidR="003617A8">
        <w:t xml:space="preserve">. </w:t>
      </w:r>
      <w:r w:rsidRPr="5A5C20F4">
        <w:t>The preponderance standard requires credible and persuasive evidence demonstrating that the disputed costs were more likely than not incurred and properly recorded. This framework ensures that the Commission’s review is both procedural—confirming that the TRRRMA is the proper vehicle—and substantive, requiring an independent assessment of whether the underlying costs meet statutory just and reasonable standards.</w:t>
      </w:r>
    </w:p>
    <w:p w:rsidR="682AF029" w:rsidP="00721F2C" w:rsidRDefault="682AF029" w14:paraId="2C80E126" w14:textId="5958C914">
      <w:pPr>
        <w:pStyle w:val="Standard"/>
      </w:pPr>
      <w:r w:rsidRPr="5A5C20F4">
        <w:t>The Commission also finds that the scope of this proceeding, as defined in the January 9, 2025</w:t>
      </w:r>
      <w:r w:rsidR="00063D7A">
        <w:t>,</w:t>
      </w:r>
      <w:r w:rsidRPr="5A5C20F4">
        <w:t xml:space="preserve"> Scoping Memo and Ruling, includes both verification of the TRRRMA balances and a substantive reasonableness review of the underlying costs</w:t>
      </w:r>
      <w:r w:rsidR="00794FCA">
        <w:t xml:space="preserve">. </w:t>
      </w:r>
      <w:r w:rsidRPr="5A5C20F4">
        <w:t>While the Commission will not revisit FERC’s allocation decisions, it retains full authority to determine whether recovery of the reclassified costs from CPUC-jurisdictional ratepayers meets the statutory standards for just and reasonable rates.</w:t>
      </w:r>
    </w:p>
    <w:p w:rsidR="682AF029" w:rsidP="00721F2C" w:rsidRDefault="682AF029" w14:paraId="625E5BE9" w14:textId="5DD77470">
      <w:pPr>
        <w:pStyle w:val="Standard"/>
      </w:pPr>
      <w:r w:rsidRPr="5A5C20F4">
        <w:t xml:space="preserve">Accordingly, the Commission concludes that PG&amp;E’s Application satisfies the procedural requirements for consideration of recovery under the TRRRMA </w:t>
      </w:r>
      <w:r w:rsidRPr="5A5C20F4">
        <w:lastRenderedPageBreak/>
        <w:t>but that recovery of the recorded costs depends on PG&amp;E’s evidentiary showing of actual incurrence and reasonableness</w:t>
      </w:r>
      <w:r w:rsidR="00A74FDA">
        <w:t>.</w:t>
      </w:r>
    </w:p>
    <w:p w:rsidR="002C11B2" w:rsidP="00643C47" w:rsidRDefault="3D020C8A" w14:paraId="472EA64B" w14:textId="50E40329">
      <w:pPr>
        <w:pStyle w:val="Heading1"/>
        <w:numPr>
          <w:ilvl w:val="1"/>
          <w:numId w:val="9"/>
        </w:numPr>
        <w:tabs>
          <w:tab w:val="left" w:pos="630"/>
          <w:tab w:val="left" w:pos="1873"/>
        </w:tabs>
        <w:spacing w:after="120"/>
        <w:ind w:left="990" w:hanging="630"/>
      </w:pPr>
      <w:bookmarkStart w:name="_Toc214020781" w:id="29"/>
      <w:r w:rsidRPr="78F5E3B6">
        <w:t xml:space="preserve">Scoping </w:t>
      </w:r>
      <w:r w:rsidRPr="33AABE2C">
        <w:t xml:space="preserve">Issue </w:t>
      </w:r>
      <w:r w:rsidRPr="1406113B">
        <w:t>2: Has</w:t>
      </w:r>
      <w:r w:rsidRPr="40863B28">
        <w:t xml:space="preserve"> PG&amp;E </w:t>
      </w:r>
      <w:r w:rsidRPr="0F018886" w:rsidR="5DC0042C">
        <w:t>D</w:t>
      </w:r>
      <w:r w:rsidRPr="0F018886">
        <w:t>emonstrated</w:t>
      </w:r>
      <w:r w:rsidRPr="40863B28">
        <w:t xml:space="preserve"> that the CGI Plant </w:t>
      </w:r>
      <w:r w:rsidRPr="32EB762C" w:rsidR="470CF127">
        <w:t>C</w:t>
      </w:r>
      <w:r w:rsidRPr="32EB762C">
        <w:t>osts</w:t>
      </w:r>
      <w:r w:rsidRPr="40863B28">
        <w:t xml:space="preserve"> in PG&amp;E’s </w:t>
      </w:r>
      <w:r w:rsidRPr="24FB6B4B" w:rsidR="1F49F0C8">
        <w:t>R</w:t>
      </w:r>
      <w:r w:rsidRPr="24FB6B4B">
        <w:t>equest</w:t>
      </w:r>
      <w:r w:rsidRPr="40863B28">
        <w:t xml:space="preserve"> </w:t>
      </w:r>
      <w:r w:rsidRPr="352C2E17" w:rsidR="416378EE">
        <w:t>W</w:t>
      </w:r>
      <w:r w:rsidRPr="352C2E17">
        <w:t>ere</w:t>
      </w:r>
      <w:r w:rsidRPr="40863B28">
        <w:t xml:space="preserve"> </w:t>
      </w:r>
      <w:r w:rsidRPr="24FB6B4B" w:rsidR="0E2FC0CF">
        <w:t>A</w:t>
      </w:r>
      <w:r w:rsidRPr="24FB6B4B">
        <w:t>ctually</w:t>
      </w:r>
      <w:r w:rsidRPr="40863B28">
        <w:t xml:space="preserve"> </w:t>
      </w:r>
      <w:r w:rsidRPr="56B48E90" w:rsidR="2BA17C77">
        <w:t>I</w:t>
      </w:r>
      <w:r w:rsidRPr="56B48E90">
        <w:t>ncurred</w:t>
      </w:r>
      <w:r w:rsidRPr="40863B28">
        <w:t>?</w:t>
      </w:r>
      <w:bookmarkEnd w:id="29"/>
    </w:p>
    <w:p w:rsidR="2288C00F" w:rsidP="00FD0489" w:rsidRDefault="2F4BCAEC" w14:paraId="5345AD0A" w14:textId="490376CB">
      <w:pPr>
        <w:pStyle w:val="Heading1"/>
        <w:numPr>
          <w:ilvl w:val="2"/>
          <w:numId w:val="9"/>
        </w:numPr>
        <w:tabs>
          <w:tab w:val="left" w:pos="630"/>
          <w:tab w:val="left" w:pos="1873"/>
        </w:tabs>
        <w:spacing w:before="120" w:after="120"/>
      </w:pPr>
      <w:bookmarkStart w:name="_Toc214020782" w:id="30"/>
      <w:r w:rsidRPr="4BA48A7F">
        <w:t>Evidentiary Showing: Sampling, Invoices, and Ledger Support</w:t>
      </w:r>
      <w:bookmarkEnd w:id="30"/>
    </w:p>
    <w:p w:rsidR="02F42A66" w:rsidP="4C5596CC" w:rsidRDefault="02F42A66" w14:paraId="3289D208" w14:textId="6889C654">
      <w:pPr>
        <w:pStyle w:val="Standard"/>
        <w:tabs>
          <w:tab w:val="left" w:pos="7560"/>
        </w:tabs>
      </w:pPr>
      <w:r w:rsidRPr="09631D66">
        <w:t>PG&amp;E states that its evidentiary showing demonstrates that the CGI Plant costs recorded in the TRRRMA were actually incurred and properly classified under Commission jurisdiction.</w:t>
      </w:r>
      <w:r w:rsidRPr="00D30383" w:rsidR="002E41FF">
        <w:rPr>
          <w:vertAlign w:val="superscript"/>
        </w:rPr>
        <w:footnoteReference w:id="17"/>
      </w:r>
      <w:r w:rsidRPr="09631D66">
        <w:t xml:space="preserve"> PG&amp;E explains that it supported its request with general ledger data containing 28,875 line items, account-level summaries, and representative invoices verifying the underlying transactions</w:t>
      </w:r>
      <w:r w:rsidR="00AE0DBF">
        <w:t>.</w:t>
      </w:r>
      <w:r w:rsidRPr="00D30383" w:rsidR="00AE0DBF">
        <w:rPr>
          <w:vertAlign w:val="superscript"/>
        </w:rPr>
        <w:footnoteReference w:id="18"/>
      </w:r>
      <w:r w:rsidRPr="09631D66">
        <w:t xml:space="preserve"> PG&amp;E contends that this combination of documentation and sworn testimony from accounting and plant witnesses demonstrates that the costs were incurred in the ordinary course of business and are consistent with Commission standards for verifying recorded account costs.</w:t>
      </w:r>
      <w:r w:rsidRPr="00D30383" w:rsidR="003B0EE4">
        <w:rPr>
          <w:vertAlign w:val="superscript"/>
        </w:rPr>
        <w:footnoteReference w:id="19"/>
      </w:r>
      <w:r w:rsidRPr="09631D66">
        <w:t xml:space="preserve"> PG&amp;E further asserts that requiring production of every invoice for the $372.8 million request would be burdensome and inconsistent with Commission practice, which allows representative documentation and verified accounting records to demonstrate incurrence.</w:t>
      </w:r>
      <w:r w:rsidRPr="00D30383" w:rsidR="00FD0943">
        <w:rPr>
          <w:vertAlign w:val="superscript"/>
        </w:rPr>
        <w:footnoteReference w:id="20"/>
      </w:r>
    </w:p>
    <w:p w:rsidR="02F42A66" w:rsidP="00721F2C" w:rsidRDefault="02F42A66" w14:paraId="5E233096" w14:textId="6228B118">
      <w:pPr>
        <w:pStyle w:val="Standard"/>
      </w:pPr>
      <w:r w:rsidRPr="09631D66">
        <w:t xml:space="preserve">PG&amp;E argues that its sampling approach is consistent with Commission precedent and accepted accounting practice, where complete invoice-level substantiation is not required if ledger records, audit controls, and sworn </w:t>
      </w:r>
      <w:r w:rsidRPr="09631D66">
        <w:lastRenderedPageBreak/>
        <w:t>testimony provide reasonable assurance of accuracy.</w:t>
      </w:r>
      <w:r w:rsidRPr="00D30383" w:rsidR="00BE0284">
        <w:rPr>
          <w:vertAlign w:val="superscript"/>
        </w:rPr>
        <w:footnoteReference w:id="21"/>
      </w:r>
      <w:r w:rsidRPr="00D30383">
        <w:rPr>
          <w:vertAlign w:val="superscript"/>
        </w:rPr>
        <w:t xml:space="preserve"> </w:t>
      </w:r>
      <w:r w:rsidRPr="09631D66">
        <w:t>PG&amp;E maintains that its evidence meets the preponderance standard because it shows that the costs were more likely than not incurred, properly booked, and within jurisdictional authority.</w:t>
      </w:r>
      <w:r w:rsidRPr="00D30383" w:rsidR="00A75A6A">
        <w:rPr>
          <w:vertAlign w:val="superscript"/>
        </w:rPr>
        <w:footnoteReference w:id="22"/>
      </w:r>
      <w:r w:rsidRPr="09631D66">
        <w:t xml:space="preserve"> PG&amp;E also notes that most of the TRRRMA-related costs were already reviewed as part of the </w:t>
      </w:r>
      <w:r w:rsidR="4B2EE6BF">
        <w:t>2023</w:t>
      </w:r>
      <w:r w:rsidR="29A1CBEC">
        <w:t xml:space="preserve"> </w:t>
      </w:r>
      <w:r w:rsidR="5391997B">
        <w:t>GRC</w:t>
      </w:r>
      <w:r w:rsidR="63065E87">
        <w:t xml:space="preserve"> </w:t>
      </w:r>
      <w:r w:rsidRPr="09631D66">
        <w:t>audit conducted by Cal Advocates, which tests recorded expenditures that form the basis for the test year forecast. PG&amp;E argues that because Cal Advocates reviewed many of the same cost categories for audit purposes, its claim that the TRRRMA record lacks sufficient documentation is inconsistent with its own prior audit findings. PG&amp;E adds that its internal and external audits confirmed the reliability of its ledger and that no party identified any specific transaction as erroneous or improperly classified.</w:t>
      </w:r>
      <w:r w:rsidRPr="00D30383" w:rsidR="000C4F3C">
        <w:rPr>
          <w:vertAlign w:val="superscript"/>
        </w:rPr>
        <w:footnoteReference w:id="23"/>
      </w:r>
    </w:p>
    <w:p w:rsidR="02F42A66" w:rsidP="00721F2C" w:rsidRDefault="02F42A66" w14:paraId="2385427C" w14:textId="755B95CF">
      <w:pPr>
        <w:pStyle w:val="Standard"/>
      </w:pPr>
      <w:r w:rsidRPr="09631D66">
        <w:t xml:space="preserve">Cal Advocates argues that PG&amp;E has not met its burden because the evidence covers only a small fraction of the requested recovery and does not provide transaction-level documentation for most of the </w:t>
      </w:r>
      <w:r w:rsidRPr="00F91334">
        <w:t>costs</w:t>
      </w:r>
      <w:r w:rsidRPr="09631D66">
        <w:t>. Cal Advocates notes that PG&amp;E’s invoices represent less than one percent of the total claimed balance and that the remainder relies on internal spreadsheets and summaries. Cal Advocates asserts that PG&amp;E’s sample was non-random and statistically unsupported, and that the supporting materials are secondary evidence—summaries and reconciliations—rather than primary proof of payment.</w:t>
      </w:r>
      <w:r w:rsidR="00241B0F">
        <w:rPr>
          <w:rStyle w:val="FootnoteReference"/>
        </w:rPr>
        <w:footnoteReference w:id="24"/>
      </w:r>
      <w:r w:rsidRPr="09631D66">
        <w:t xml:space="preserve"> Cal Advocates further contends that FERC Opinion No. 572 previously found PG&amp;E’s supporting documentation inadequate to demonstrate actual incurrence </w:t>
      </w:r>
      <w:r w:rsidRPr="09631D66">
        <w:lastRenderedPageBreak/>
        <w:t>and that PG&amp;E has not provided materially stronger evidence here.</w:t>
      </w:r>
      <w:r w:rsidR="00F13B0E">
        <w:rPr>
          <w:rStyle w:val="FootnoteReference"/>
        </w:rPr>
        <w:footnoteReference w:id="25"/>
      </w:r>
      <w:r w:rsidRPr="09631D66">
        <w:t xml:space="preserve"> Cal Advocates does not dispute that it conduct</w:t>
      </w:r>
      <w:r w:rsidR="00551482">
        <w:t>ed</w:t>
      </w:r>
      <w:r w:rsidRPr="09631D66">
        <w:t xml:space="preserve">  </w:t>
      </w:r>
      <w:r w:rsidR="008749AA">
        <w:t xml:space="preserve">a review of these costs in the </w:t>
      </w:r>
      <w:r w:rsidRPr="09631D66">
        <w:t xml:space="preserve">GRC but </w:t>
      </w:r>
      <w:r w:rsidR="008749AA">
        <w:t>clarifies</w:t>
      </w:r>
      <w:r w:rsidRPr="09631D66" w:rsidR="008749AA">
        <w:t xml:space="preserve"> </w:t>
      </w:r>
      <w:r w:rsidRPr="09631D66">
        <w:t xml:space="preserve">that the purpose of that </w:t>
      </w:r>
      <w:r w:rsidR="00505D22">
        <w:t>review</w:t>
      </w:r>
      <w:r w:rsidRPr="09631D66" w:rsidR="00505D22">
        <w:t xml:space="preserve"> </w:t>
      </w:r>
      <w:r w:rsidRPr="09631D66">
        <w:t>is to test recorded expenditures for forecasting accuracy, not to determine whether those costs are recoverable in a separate jurisdictional proceeding.</w:t>
      </w:r>
      <w:r w:rsidR="00C64110">
        <w:rPr>
          <w:rStyle w:val="FootnoteReference"/>
        </w:rPr>
        <w:footnoteReference w:id="26"/>
      </w:r>
    </w:p>
    <w:p w:rsidR="0FA4556C" w:rsidP="4234341E" w:rsidRDefault="25E5FABD" w14:paraId="6D3DE2FC" w14:textId="6370C6E5">
      <w:pPr>
        <w:pStyle w:val="Standard"/>
      </w:pPr>
      <w:r>
        <w:t>On October 1, 2018, FERC Administrative Law Judge Coffman issued an Initial Decision that addressed disputed issues</w:t>
      </w:r>
      <w:r w:rsidR="09952711">
        <w:t xml:space="preserve"> raised by parties</w:t>
      </w:r>
      <w:r>
        <w:t xml:space="preserve"> in the TO18 rate case, including the </w:t>
      </w:r>
      <w:r w:rsidR="1817BC0B">
        <w:t xml:space="preserve">CGI plant cost </w:t>
      </w:r>
      <w:r>
        <w:t>allocation methodology. Judge Coffman first determined that</w:t>
      </w:r>
      <w:r w:rsidR="5158C394">
        <w:t xml:space="preserve"> FERC’s decision in Kern River Gas Transmission Company (Kern River)</w:t>
      </w:r>
      <w:r>
        <w:t xml:space="preserve"> </w:t>
      </w:r>
      <w:r w:rsidR="352234B5">
        <w:t xml:space="preserve">is </w:t>
      </w:r>
      <w:r>
        <w:t>the appropriate standard to evaluate PG&amp;E’s two-step allocation methodology. U</w:t>
      </w:r>
      <w:r w:rsidR="17C0657F">
        <w:t xml:space="preserve">sing </w:t>
      </w:r>
      <w:r>
        <w:t>the Kern River test</w:t>
      </w:r>
      <w:r w:rsidR="0D5E98A5">
        <w:t xml:space="preserve"> from the decision</w:t>
      </w:r>
      <w:r>
        <w:t>, costs can be directly assigned (i.e., Step 1 of PG&amp;E’s proposed methodology) if “the method of assignment is consistent and the cost’s relationship to a specific line of business [i.e., functional area] is obvious and reviewable.”</w:t>
      </w:r>
      <w:r w:rsidRPr="4234341E" w:rsidR="7BFB557F">
        <w:rPr>
          <w:rStyle w:val="FootnoteReference"/>
        </w:rPr>
        <w:footnoteReference w:id="27"/>
      </w:r>
      <w:r>
        <w:t xml:space="preserve"> </w:t>
      </w:r>
      <w:r w:rsidR="7BFB557F">
        <w:t xml:space="preserve">The Commission notes that </w:t>
      </w:r>
      <w:r w:rsidR="0C9DD6AE">
        <w:t>FERC’s</w:t>
      </w:r>
      <w:r w:rsidR="005E3CAB">
        <w:t xml:space="preserve"> </w:t>
      </w:r>
      <w:r w:rsidR="7BFB557F">
        <w:t>TO18 Initial Decision and Opinion No. 572</w:t>
      </w:r>
      <w:r w:rsidRPr="4234341E" w:rsidR="7BFB557F">
        <w:rPr>
          <w:rStyle w:val="FootnoteReference"/>
        </w:rPr>
        <w:footnoteReference w:id="28"/>
      </w:r>
      <w:r w:rsidR="7BFB557F">
        <w:t xml:space="preserve"> rejected direct assignment under the Kern River test and required use of an </w:t>
      </w:r>
      <w:r w:rsidR="00B81DC4">
        <w:t>Operations and Maintenance</w:t>
      </w:r>
      <w:r w:rsidR="7BFB557F">
        <w:t xml:space="preserve"> labor allocator. Neither decision found the CGI costs themselves imprudent or unrecoverable, and both allowed an allocated portion in FERC-jurisdictional rates.</w:t>
      </w:r>
      <w:r w:rsidRPr="4234341E" w:rsidR="00305006">
        <w:rPr>
          <w:vertAlign w:val="superscript"/>
        </w:rPr>
        <w:t xml:space="preserve"> </w:t>
      </w:r>
      <w:r w:rsidRPr="00650803" w:rsidR="00305006">
        <w:rPr>
          <w:vertAlign w:val="superscript"/>
        </w:rPr>
        <w:footnoteReference w:id="29"/>
      </w:r>
    </w:p>
    <w:p w:rsidR="45F6329B" w:rsidP="00721F2C" w:rsidRDefault="02F42A66" w14:paraId="14EB3DA7" w14:textId="5187167A">
      <w:pPr>
        <w:pStyle w:val="Standard"/>
      </w:pPr>
      <w:r>
        <w:lastRenderedPageBreak/>
        <w:t xml:space="preserve">The Commission finds that PG&amp;E bears the burden of proving by a preponderance of the evidence that the recorded TRRRMA costs were actually incurred and reasonable. This standard does not require exhaustive documentation of every transaction but credible and persuasive evidence showing that the costs were more likely than not incurred. </w:t>
      </w:r>
      <w:r w:rsidR="0D61AB95">
        <w:t>PG&amp;E’s documentation included line-item charges for the largest work order from each of the top ten CGI planning orders, paired with invoices where feasible, plus more than 20,000 general</w:t>
      </w:r>
      <w:r w:rsidR="002E49D0">
        <w:t xml:space="preserve"> </w:t>
      </w:r>
      <w:r w:rsidR="0D61AB95">
        <w:t xml:space="preserve">ledger line entries. While not a random sample, the selection focuses on the highest-dollar orders. </w:t>
      </w:r>
      <w:r>
        <w:t>Commission precedent recognizes that representative sampling, general ledger data, and sworn testimony may suffice when supported by verifiable controls. The record shows that PG&amp;E’s documentation</w:t>
      </w:r>
      <w:r w:rsidR="00623A73">
        <w:t xml:space="preserve"> </w:t>
      </w:r>
      <w:r>
        <w:t>provides additional corroboration that the TRRRMA balances represent costs actually incurred and properly recorded. Although Cal Advocates correctly notes that the sample size is limited and not statistically derived, those concerns go to the weight of the evidence rather than its sufficiency.</w:t>
      </w:r>
      <w:r w:rsidR="48092663">
        <w:t xml:space="preserve"> </w:t>
      </w:r>
      <w:r>
        <w:t>The Commission concludes that PG&amp;E’s evidentiary showing meets the applicable standard and reasonably demonstrates that the CGI Plant costs recorded in the TRRRMA were incurred and properly classified.</w:t>
      </w:r>
    </w:p>
    <w:p w:rsidR="7D8FC620" w:rsidP="00643C47" w:rsidRDefault="2F4BCAEC" w14:paraId="0F459B6B" w14:textId="4E6738FE">
      <w:pPr>
        <w:pStyle w:val="Heading1"/>
        <w:numPr>
          <w:ilvl w:val="2"/>
          <w:numId w:val="9"/>
        </w:numPr>
        <w:tabs>
          <w:tab w:val="left" w:pos="1873"/>
        </w:tabs>
        <w:spacing w:after="120"/>
      </w:pPr>
      <w:bookmarkStart w:name="_Toc214020783" w:id="31"/>
      <w:r w:rsidRPr="37D0777F">
        <w:t>Non-Invoice Categories</w:t>
      </w:r>
      <w:bookmarkEnd w:id="31"/>
    </w:p>
    <w:p w:rsidR="6E1BC78F" w:rsidP="00721F2C" w:rsidRDefault="6E1BC78F" w14:paraId="15E219A8" w14:textId="0BCF52F2">
      <w:pPr>
        <w:pStyle w:val="Standard"/>
      </w:pPr>
      <w:r w:rsidRPr="1B2D7B12">
        <w:t xml:space="preserve">PG&amp;E states that certain portions of the TRRRMA balance are supported by accounting and cost-allocation records rather than invoices because some costs—such as payroll, shared services, and internal labor allocations—do not generate vendor billing. PG&amp;E explains that these costs are documented through journal entries, work orders, and labor distribution schedules that reconcile to its general ledger. PG&amp;E argues that these records are equally probative of actual </w:t>
      </w:r>
      <w:r w:rsidRPr="1B2D7B12">
        <w:lastRenderedPageBreak/>
        <w:t>incurrence because they reflect costs that were accrued and booked consistent with the Uniform System of Accounts. PG&amp;E maintains that the Commission has long accepted internal accounting records, audit reports, and other corroborative business documents as sufficient evidence of incurrence when invoices are unavailable or not typically produced for the type of transaction at issue</w:t>
      </w:r>
      <w:r w:rsidR="00D7426A">
        <w:t>.</w:t>
      </w:r>
    </w:p>
    <w:p w:rsidR="6E1BC78F" w:rsidP="00721F2C" w:rsidRDefault="6E1BC78F" w14:paraId="09DB11C7" w14:textId="451A2D9D">
      <w:pPr>
        <w:pStyle w:val="Standard"/>
      </w:pPr>
      <w:r w:rsidRPr="1B2D7B12">
        <w:t>PG&amp;E also asserts that the internal cost categories recorded in the TRRRMA are regularly subject to internal and external audits verifying their accuracy. PG&amp;E states that Cal Advocates’ insistence on invoice-level documentation for all costs disregards accepted accounting practice and prior balancing account decisions allowing the use of internal labor and overhead records. PG&amp;E contends that these categories—primarily payroll, overhead allocations, and joint facility costs—are routine operational expenses already reviewed and approved by the Commission in other proceedings.</w:t>
      </w:r>
      <w:r w:rsidR="00566061">
        <w:rPr>
          <w:rStyle w:val="FootnoteReference"/>
        </w:rPr>
        <w:footnoteReference w:id="30"/>
      </w:r>
    </w:p>
    <w:p w:rsidR="6E1BC78F" w:rsidP="00721F2C" w:rsidRDefault="6E1BC78F" w14:paraId="4CD2439A" w14:textId="4A616A25">
      <w:pPr>
        <w:pStyle w:val="Standard"/>
      </w:pPr>
      <w:r w:rsidRPr="1B2D7B12">
        <w:t>Cal Advocates argues that PG&amp;E’s reliance on internal accounting records does not meet its evidentiary burden because journal entries and internal spreadsheets lack independent verification</w:t>
      </w:r>
      <w:r w:rsidR="00351740">
        <w:t>.</w:t>
      </w:r>
      <w:r w:rsidR="00567C80">
        <w:rPr>
          <w:rStyle w:val="FootnoteReference"/>
        </w:rPr>
        <w:footnoteReference w:id="31"/>
      </w:r>
      <w:r w:rsidR="00EA3DF5">
        <w:t xml:space="preserve"> </w:t>
      </w:r>
      <w:r w:rsidRPr="1B2D7B12">
        <w:t>Cal Advocates maintains that PG&amp;E failed to demonstrate that these allocations were correctly applied or that they do not duplicate recovery elsewhere. Cal Advocates further notes that PG&amp;E provided no statistical validation or audit analysis showing what portion of labor or overhead costs relate</w:t>
      </w:r>
      <w:r w:rsidR="00650DDB">
        <w:t>s</w:t>
      </w:r>
      <w:r w:rsidRPr="1B2D7B12">
        <w:t xml:space="preserve"> to the reclassified transmission assets.</w:t>
      </w:r>
      <w:r w:rsidR="009213EA">
        <w:rPr>
          <w:rStyle w:val="FootnoteReference"/>
        </w:rPr>
        <w:footnoteReference w:id="32"/>
      </w:r>
    </w:p>
    <w:p w:rsidR="6E1BC78F" w:rsidP="00721F2C" w:rsidRDefault="6E1BC78F" w14:paraId="675113D7" w14:textId="3E356A93">
      <w:pPr>
        <w:pStyle w:val="Standard"/>
      </w:pPr>
      <w:r>
        <w:t xml:space="preserve">The Commission finds that PG&amp;E bears the burden of proving that all recorded costs, including non-invoice categories, were actually incurred and </w:t>
      </w:r>
      <w:r>
        <w:lastRenderedPageBreak/>
        <w:t>reasonable</w:t>
      </w:r>
      <w:r w:rsidR="00351740">
        <w:t xml:space="preserve">. </w:t>
      </w:r>
      <w:r>
        <w:t>The Commission recognizes that not all legitimate utility costs produce invoices and that internal accounting records, reconciliations, and work orders can serve as credible evidence of incurrence when they are consistent with standard accounting practices</w:t>
      </w:r>
      <w:r w:rsidR="00351740">
        <w:t xml:space="preserve">. </w:t>
      </w:r>
      <w:r>
        <w:t>After reviewing the record, the Commission finds that PG&amp;E’s documentation—consisting of journal entries, reconciliation schedules, and cross-referenced ledger data—provides sufficient support under the preponderance of the evidence standard to demonstrate that these costs were incurred. Although internal documentation carries less independent verification than third-party invoices, the consistency of PG&amp;E’s accounting controls and the absence of evidence suggesting error or duplication lend credibility to the showing</w:t>
      </w:r>
      <w:r w:rsidR="004C1A12">
        <w:t xml:space="preserve">. </w:t>
      </w:r>
      <w:r>
        <w:t>The Commission therefore concludes that PG&amp;E’s evidentiary support for non-invoice categories reasonably establishes that these costs were incurred and properly recorded in the TRRRMA.</w:t>
      </w:r>
    </w:p>
    <w:p w:rsidR="0E4A4BE9" w:rsidP="00643C47" w:rsidRDefault="2F4BCAEC" w14:paraId="6DBFB9C4" w14:textId="1B54F446">
      <w:pPr>
        <w:pStyle w:val="Heading1"/>
        <w:numPr>
          <w:ilvl w:val="2"/>
          <w:numId w:val="9"/>
        </w:numPr>
        <w:tabs>
          <w:tab w:val="left" w:pos="1873"/>
        </w:tabs>
        <w:spacing w:after="120"/>
      </w:pPr>
      <w:bookmarkStart w:name="_Toc214020784" w:id="32"/>
      <w:r w:rsidRPr="3C57055A">
        <w:t>Timing of Production and Due Process Considerations</w:t>
      </w:r>
      <w:bookmarkEnd w:id="32"/>
    </w:p>
    <w:p w:rsidR="5CEA5EF0" w:rsidP="00721F2C" w:rsidRDefault="5CEA5EF0" w14:paraId="5A01E0D3" w14:textId="57FC8C6C">
      <w:pPr>
        <w:pStyle w:val="Standard"/>
      </w:pPr>
      <w:r w:rsidRPr="5849A07E">
        <w:t>PG&amp;E states that it provided all responsive data and supporting materials for its TRRRMA showing in accordance with the procedural schedule and Commission rules. PG&amp;E explains that the January 9, 2025</w:t>
      </w:r>
      <w:r w:rsidR="006C50DF">
        <w:t>,</w:t>
      </w:r>
      <w:r w:rsidRPr="5849A07E">
        <w:t xml:space="preserve"> Scoping Memo was the first procedural document to expressly identify the “actually incurred” issue as a distinct question, and it promptly supplemented the record with invoice samples and accounting evidence once that issue was clarified</w:t>
      </w:r>
      <w:r w:rsidR="006D71D1">
        <w:t xml:space="preserve">. </w:t>
      </w:r>
      <w:r w:rsidRPr="5849A07E">
        <w:t>PG&amp;E maintains that its April 4, 2025</w:t>
      </w:r>
      <w:r w:rsidR="006D71D1">
        <w:t>,</w:t>
      </w:r>
      <w:r w:rsidRPr="5849A07E">
        <w:t xml:space="preserve"> data responses and May 30, 2025</w:t>
      </w:r>
      <w:r w:rsidR="006D71D1">
        <w:t>,</w:t>
      </w:r>
      <w:r w:rsidRPr="5849A07E">
        <w:t xml:space="preserve"> rebuttal testimony were timely and submitted within the schedule adopted by the assigned ALJ. PG&amp;E further notes that all parties received the materials before evidentiary hearings, had an opportunity to cross-examine witnesses on them, and that no motion to strike or request for additional discovery was filed.</w:t>
      </w:r>
    </w:p>
    <w:p w:rsidR="5CEA5EF0" w:rsidP="00721F2C" w:rsidRDefault="5CEA5EF0" w14:paraId="1C6058F3" w14:textId="4C3D77FC">
      <w:pPr>
        <w:pStyle w:val="Standard"/>
      </w:pPr>
      <w:r w:rsidRPr="5849A07E">
        <w:lastRenderedPageBreak/>
        <w:t>PG&amp;E also contends that the Commission has consistently permitted the introduction of clarifying or supplemental documentation in rebuttal testimony when it responds to intervenor issues and does not introduce new proposals. PG&amp;E emphasizes that the rebuttal documents did not expand its request but provided additional evidentiary support for the same TRRRMA balances presented in its Application. PG&amp;E adds that, after the close of evidentiary hearings, both PG&amp;E and the assigned ALJ offered Cal Advocates additional time to review the rebuttal materials before post-hearing briefs were due, but Cal Advocates declined the offer, indicating it was ready to proceed under the existing briefing schedule. PG&amp;E argues that this sequence demonstrates full procedural fairness and that no party was denied the opportunity to review, test, or respond to the evidence.</w:t>
      </w:r>
      <w:r w:rsidR="00BA44B0">
        <w:rPr>
          <w:rStyle w:val="FootnoteReference"/>
        </w:rPr>
        <w:footnoteReference w:id="33"/>
      </w:r>
    </w:p>
    <w:p w:rsidR="5CEA5EF0" w:rsidP="00721F2C" w:rsidRDefault="5CEA5EF0" w14:paraId="3068B770" w14:textId="74173F7B">
      <w:pPr>
        <w:pStyle w:val="Standard"/>
      </w:pPr>
      <w:r w:rsidRPr="5849A07E">
        <w:t>Cal Advocates argues that PG&amp;E’s late production of key supporting evidence deprived parties of a fair opportunity to review, analyze, and test the data before hearings. Cal Advocates maintains that PG&amp;E should have included complete evidentiary support with its opening testimony rather than withholding thousands of pages of invoices and reconciliation data until rebuttal. Cal Advocates asserts that the compressed timeline between rebuttal and hearings limited its ability to meaningfully evaluate the new information and undermined due process.</w:t>
      </w:r>
      <w:r w:rsidR="00FB2F04">
        <w:rPr>
          <w:rStyle w:val="FootnoteReference"/>
        </w:rPr>
        <w:footnoteReference w:id="34"/>
      </w:r>
    </w:p>
    <w:p w:rsidR="1B64E5B6" w:rsidP="00721F2C" w:rsidRDefault="5CEA5EF0" w14:paraId="413423BB" w14:textId="7384DE8B">
      <w:pPr>
        <w:pStyle w:val="Standard"/>
      </w:pPr>
      <w:r>
        <w:t xml:space="preserve">The Commission finds that PG&amp;E’s production of additional evidence in rebuttal did not violate due process or prevent meaningful participation by other parties. The Scoping Memo first identified the “actually incurred” issue on </w:t>
      </w:r>
      <w:r>
        <w:lastRenderedPageBreak/>
        <w:t>January 9, 2025, and PG&amp;E supplemented the record within the established procedural timeline</w:t>
      </w:r>
      <w:r w:rsidR="00917C96">
        <w:t xml:space="preserve">. </w:t>
      </w:r>
      <w:r>
        <w:t xml:space="preserve">The Commission notes that all supplemental materials were filed before the evidentiary hearings, made available for review and cross-examination, and that after hearings concluded, both PG&amp;E and the assigned ALJ offered Cal Advocates additional time to review and address the rebuttal evidence before briefs were due—an offer Cal Advocates declined. </w:t>
      </w:r>
      <w:r w:rsidR="39B68252">
        <w:t>Offering additional time to review mitigates, but does not automatically cure, concerns about late production. On balance, we find the combination of pre-hearing availability</w:t>
      </w:r>
      <w:r w:rsidR="002E49D0">
        <w:t xml:space="preserve"> of evidence</w:t>
      </w:r>
      <w:r w:rsidR="39B68252">
        <w:t>,</w:t>
      </w:r>
      <w:r w:rsidR="002E49D0">
        <w:t xml:space="preserve"> the opportunity for</w:t>
      </w:r>
      <w:r w:rsidR="39B68252">
        <w:t xml:space="preserve"> cross-examination, and </w:t>
      </w:r>
      <w:r w:rsidR="002E49D0">
        <w:t xml:space="preserve">Cal Advocates’ declination of </w:t>
      </w:r>
      <w:r w:rsidR="39B68252">
        <w:t xml:space="preserve">additional time preserved due process. </w:t>
      </w:r>
      <w:r>
        <w:t>This sequence demonstrates that the procedural record afforded full opportunity for review and response. Accordingly, the Commission concludes that PG&amp;E’s production of evidence complied with procedural fairness and due process requirements.</w:t>
      </w:r>
    </w:p>
    <w:p w:rsidR="3C57055A" w:rsidP="00643C47" w:rsidRDefault="2F4BCAEC" w14:paraId="631B0887" w14:textId="0905E847">
      <w:pPr>
        <w:pStyle w:val="Heading1"/>
        <w:numPr>
          <w:ilvl w:val="2"/>
          <w:numId w:val="9"/>
        </w:numPr>
        <w:tabs>
          <w:tab w:val="left" w:pos="1873"/>
        </w:tabs>
        <w:spacing w:after="120"/>
      </w:pPr>
      <w:bookmarkStart w:name="_Toc214020785" w:id="34"/>
      <w:r w:rsidRPr="7995C1C1">
        <w:t xml:space="preserve">Treatment of </w:t>
      </w:r>
      <w:r w:rsidRPr="19513511">
        <w:t>Administrative</w:t>
      </w:r>
      <w:r w:rsidRPr="131F3969">
        <w:t xml:space="preserve"> </w:t>
      </w:r>
      <w:r w:rsidR="42DEA1AD">
        <w:t>and</w:t>
      </w:r>
      <w:r w:rsidRPr="3ACEFB56" w:rsidR="3494B14F">
        <w:t xml:space="preserve"> General</w:t>
      </w:r>
      <w:r w:rsidRPr="6061B12A" w:rsidR="3494B14F">
        <w:t xml:space="preserve"> </w:t>
      </w:r>
      <w:r w:rsidRPr="70CC4864" w:rsidR="3494B14F">
        <w:t>Expenses</w:t>
      </w:r>
      <w:bookmarkEnd w:id="34"/>
    </w:p>
    <w:p w:rsidR="682EDAA3" w:rsidP="00721F2C" w:rsidRDefault="682EDAA3" w14:paraId="2072032D" w14:textId="7250C771">
      <w:pPr>
        <w:pStyle w:val="Standard"/>
      </w:pPr>
      <w:r>
        <w:t>PG&amp;E states that the TRRRMA includes certain Administrative and General (A&amp;G) expenses that were transferred from FERC to Commission jurisdiction as part of the reclassification resulting from Opinion No. 572 and the TO18 settlement.</w:t>
      </w:r>
      <w:r w:rsidR="00D028F4">
        <w:rPr>
          <w:rStyle w:val="FootnoteReference"/>
        </w:rPr>
        <w:footnoteReference w:id="35"/>
      </w:r>
      <w:r>
        <w:t xml:space="preserve"> PG&amp;E explains that these A&amp;G costs reflect the company’s standard allocation of corporate support functions—such as accounting, information technology, human resources, and facilities management—that are proportionally assigned to utility operations under long-established accounting methodologies.</w:t>
      </w:r>
      <w:r w:rsidR="00DB5C75">
        <w:rPr>
          <w:rStyle w:val="FootnoteReference"/>
        </w:rPr>
        <w:footnoteReference w:id="36"/>
      </w:r>
      <w:r>
        <w:t xml:space="preserve"> PG&amp;E argues that these allocations are consistent with both the </w:t>
      </w:r>
      <w:r>
        <w:lastRenderedPageBreak/>
        <w:t>Uniform System of Accounts and prior Commission decisions, which have routinely recognized A&amp;G as a recoverable component of plant-related costs.</w:t>
      </w:r>
      <w:r w:rsidR="00342EFE">
        <w:rPr>
          <w:rStyle w:val="FootnoteReference"/>
        </w:rPr>
        <w:footnoteReference w:id="37"/>
      </w:r>
    </w:p>
    <w:p w:rsidR="682EDAA3" w:rsidP="00721F2C" w:rsidRDefault="682EDAA3" w14:paraId="7BE73CF1" w14:textId="2FB25E2B">
      <w:pPr>
        <w:pStyle w:val="Standard"/>
      </w:pPr>
      <w:r>
        <w:t>PG&amp;E further asserts that the A&amp;G expenses included in the TRRRMA are not duplicative of any amounts recovered through other mechanisms, such as the GRC, because the affected balances were removed from FERC jurisdiction and have not been included elsewhere for cost recovery</w:t>
      </w:r>
      <w:r w:rsidR="005F258B">
        <w:t>.</w:t>
      </w:r>
      <w:r w:rsidR="00E071B2">
        <w:rPr>
          <w:rStyle w:val="FootnoteReference"/>
        </w:rPr>
        <w:footnoteReference w:id="38"/>
      </w:r>
      <w:r w:rsidR="005F258B">
        <w:t xml:space="preserve"> </w:t>
      </w:r>
      <w:r>
        <w:t>PG&amp;E contends that its internal accounting controls prevent double counting by ensuring that A&amp;G allocations are recorded only once in the applicable jurisdiction. PG&amp;E also notes that its testimony and workpapers include documentation demonstrating that the reclassified A&amp;G costs were allocated using the same ratios and labor distribution methods that have been reviewed and accepted in prior proceedings</w:t>
      </w:r>
      <w:r w:rsidR="005F258B">
        <w:t>.</w:t>
      </w:r>
      <w:r w:rsidR="00BC4D1E">
        <w:rPr>
          <w:rStyle w:val="FootnoteReference"/>
        </w:rPr>
        <w:footnoteReference w:id="39"/>
      </w:r>
    </w:p>
    <w:p w:rsidR="682EDAA3" w:rsidP="00721F2C" w:rsidRDefault="682EDAA3" w14:paraId="6F7617F9" w14:textId="67EF1FEF">
      <w:pPr>
        <w:pStyle w:val="Standard"/>
      </w:pPr>
      <w:r>
        <w:t xml:space="preserve">Cal Advocates argues that PG&amp;E has not demonstrated that the A&amp;G costs included in the TRRRMA are incremental or jurisdictionally distinct from those already recovered through the GRC. </w:t>
      </w:r>
      <w:r w:rsidR="2580118A">
        <w:t>Cal Advocates contends that PG&amp;E’s request to recover A&amp;G costs is derivative of the disputed CGI Plant capital expenditures and if the Commission finds PG&amp;E has not shown that the underlying CGI Plant costs were actually incurred, the associated A&amp;G amounts should also be disallowed.</w:t>
      </w:r>
      <w:r w:rsidR="259C9BBC">
        <w:t xml:space="preserve"> </w:t>
      </w:r>
      <w:r>
        <w:t>Cal Advocates further maintains</w:t>
      </w:r>
      <w:r w:rsidR="25BD6A66">
        <w:t xml:space="preserve"> </w:t>
      </w:r>
      <w:r w:rsidR="6466541A">
        <w:t>that PG&amp;E</w:t>
      </w:r>
      <w:r w:rsidR="00F302DD">
        <w:t xml:space="preserve"> has not satisfied its evidentiary burden to establish</w:t>
      </w:r>
      <w:r w:rsidR="6466541A">
        <w:t xml:space="preserve"> claims that the CGI Plant is in service, used and useful. </w:t>
      </w:r>
      <w:r w:rsidR="00356FA9">
        <w:t xml:space="preserve">Cal Advocates states that </w:t>
      </w:r>
      <w:r w:rsidR="00C262CB">
        <w:t>PG&amp;E</w:t>
      </w:r>
      <w:r w:rsidR="6466541A">
        <w:t xml:space="preserve"> has not substantiated the base </w:t>
      </w:r>
      <w:r w:rsidR="6466541A">
        <w:lastRenderedPageBreak/>
        <w:t>costs from which A&amp;G is calculated, so recovery of those overheads should be denied</w:t>
      </w:r>
      <w:r>
        <w:t>.</w:t>
      </w:r>
      <w:r w:rsidRPr="4C5596CC" w:rsidR="009238C3">
        <w:rPr>
          <w:rStyle w:val="FootnoteReference"/>
        </w:rPr>
        <w:t xml:space="preserve"> </w:t>
      </w:r>
      <w:r w:rsidR="009238C3">
        <w:rPr>
          <w:rStyle w:val="FootnoteReference"/>
        </w:rPr>
        <w:footnoteReference w:id="40"/>
      </w:r>
    </w:p>
    <w:p w:rsidR="682EDAA3" w:rsidP="00721F2C" w:rsidRDefault="682EDAA3" w14:paraId="32BEB251" w14:textId="08376D97">
      <w:pPr>
        <w:pStyle w:val="Standard"/>
      </w:pPr>
      <w:r>
        <w:t>The Commission finds that A&amp;G expenses are a standard component of utility cost recovery and may be recovered when properly supported by evidence showing that they were actually incurred, appropriately allocated, and not subject to double recovery</w:t>
      </w:r>
      <w:r w:rsidR="005F258B">
        <w:t xml:space="preserve">. </w:t>
      </w:r>
      <w:r>
        <w:t>The Commission notes that PG&amp;E provided allocation tables, accounting records, and testimony explaining that these A&amp;G amounts were transferred from FERC jurisdiction and excluded from its GRC recovery request. The record shows that PG&amp;E applied its established cost allocation methodologies, which the Commission has previously found reasonable, and that those allocations are consistent with the Uniform System of Accounts.</w:t>
      </w:r>
    </w:p>
    <w:p w:rsidR="007651A7" w:rsidP="008516F1" w:rsidRDefault="15752DDE" w14:paraId="5A7BF083" w14:textId="1056EB47">
      <w:pPr>
        <w:pStyle w:val="Standard"/>
      </w:pPr>
      <w:r w:rsidRPr="57A96ABD">
        <w:t>While Cal Advocates correctly observes that PG&amp;E’s documentation could more clearly identify the specific source accounts for each A&amp;G transfer, the record as a whole demonstrates that these costs were properly recorded, jurisdictionally distinct, and not duplicative of other recoveries</w:t>
      </w:r>
      <w:r w:rsidR="00F3695A">
        <w:t xml:space="preserve">. </w:t>
      </w:r>
      <w:r w:rsidRPr="57A96ABD">
        <w:t>The Commission therefore finds that PG&amp;E has met its burden under the preponderance of the evidence standard and that the A&amp;G costs included in the TRRRMA were appropriately transferred and are recoverable as part of the overall TRRRMA balance approved in this decision</w:t>
      </w:r>
      <w:r w:rsidR="00F3695A">
        <w:t>.</w:t>
      </w:r>
    </w:p>
    <w:p w:rsidR="70CC4864" w:rsidP="0020446A" w:rsidRDefault="20893FAA" w14:paraId="39BDF45E" w14:textId="182DEA66">
      <w:pPr>
        <w:pStyle w:val="Heading1"/>
        <w:numPr>
          <w:ilvl w:val="1"/>
          <w:numId w:val="9"/>
        </w:numPr>
        <w:tabs>
          <w:tab w:val="left" w:pos="1873"/>
        </w:tabs>
        <w:spacing w:after="120"/>
      </w:pPr>
      <w:bookmarkStart w:name="_Toc214020786" w:id="35"/>
      <w:r w:rsidRPr="1B9038BA">
        <w:t xml:space="preserve">Scoping Issue 3: Are PG&amp;E’s </w:t>
      </w:r>
      <w:r w:rsidRPr="55736958">
        <w:t>Calculations Regarding</w:t>
      </w:r>
      <w:r w:rsidRPr="1B9038BA">
        <w:t xml:space="preserve"> the </w:t>
      </w:r>
      <w:r w:rsidRPr="10A6CA7C">
        <w:t>Revenue</w:t>
      </w:r>
      <w:r w:rsidRPr="1B9038BA">
        <w:t xml:space="preserve"> </w:t>
      </w:r>
      <w:r w:rsidRPr="5A77F234">
        <w:t xml:space="preserve">Requirement </w:t>
      </w:r>
      <w:r w:rsidRPr="790276BC">
        <w:t>Requested</w:t>
      </w:r>
      <w:r w:rsidRPr="1B9038BA">
        <w:t xml:space="preserve"> in </w:t>
      </w:r>
      <w:r w:rsidRPr="130B3A80">
        <w:t>Its</w:t>
      </w:r>
      <w:r w:rsidRPr="1B9038BA">
        <w:t xml:space="preserve"> Application </w:t>
      </w:r>
      <w:r w:rsidRPr="494D9F98">
        <w:t>Accurate</w:t>
      </w:r>
      <w:r w:rsidRPr="1B9038BA">
        <w:t xml:space="preserve"> and </w:t>
      </w:r>
      <w:r w:rsidRPr="494D9F98">
        <w:t xml:space="preserve">Should </w:t>
      </w:r>
      <w:r w:rsidRPr="2B816A49">
        <w:t>Costs</w:t>
      </w:r>
      <w:r w:rsidRPr="1B9038BA">
        <w:t xml:space="preserve"> </w:t>
      </w:r>
      <w:r w:rsidRPr="682D2D48">
        <w:t>Be</w:t>
      </w:r>
      <w:r w:rsidRPr="1B9038BA">
        <w:t xml:space="preserve"> </w:t>
      </w:r>
      <w:r w:rsidRPr="7254E09F" w:rsidR="6E30B4E3">
        <w:t>R</w:t>
      </w:r>
      <w:r w:rsidRPr="7254E09F">
        <w:t>ecovered</w:t>
      </w:r>
      <w:r w:rsidRPr="1B9038BA">
        <w:t xml:space="preserve"> from Commission </w:t>
      </w:r>
      <w:r w:rsidRPr="0BCBC018" w:rsidR="0355B67E">
        <w:t>R</w:t>
      </w:r>
      <w:r w:rsidRPr="0BCBC018">
        <w:t>atepayers</w:t>
      </w:r>
      <w:r w:rsidRPr="1B9038BA">
        <w:t>?</w:t>
      </w:r>
      <w:bookmarkEnd w:id="35"/>
    </w:p>
    <w:p w:rsidR="2F8FA7B2" w:rsidP="0020446A" w:rsidRDefault="7DCB180C" w14:paraId="1029E71A" w14:textId="7BA268B0">
      <w:pPr>
        <w:pStyle w:val="Heading1"/>
        <w:numPr>
          <w:ilvl w:val="2"/>
          <w:numId w:val="9"/>
        </w:numPr>
        <w:tabs>
          <w:tab w:val="left" w:pos="1873"/>
        </w:tabs>
        <w:spacing w:before="120" w:after="120"/>
      </w:pPr>
      <w:bookmarkStart w:name="_Toc214020787" w:id="36"/>
      <w:r>
        <w:t>Ar</w:t>
      </w:r>
      <w:r w:rsidR="5F40E99F">
        <w:t>ith</w:t>
      </w:r>
      <w:r>
        <w:t>metic</w:t>
      </w:r>
      <w:r w:rsidRPr="4EAB54B3" w:rsidR="2511B841">
        <w:t xml:space="preserve"> and Allocators</w:t>
      </w:r>
      <w:bookmarkEnd w:id="36"/>
    </w:p>
    <w:p w:rsidR="6994AB7C" w:rsidP="007651A7" w:rsidRDefault="6994AB7C" w14:paraId="466B7141" w14:textId="2A455A34">
      <w:pPr>
        <w:pStyle w:val="Standard"/>
        <w:spacing w:after="120"/>
      </w:pPr>
      <w:r>
        <w:lastRenderedPageBreak/>
        <w:t xml:space="preserve">PG&amp;E states that its calculation of the TRRRMA revenue requirement correctly applies the allocator methodology required under FERC Opinion No. 572 and the TO18 settlement. PG&amp;E explains that the allocator shifts </w:t>
      </w:r>
      <w:r w:rsidR="00B4672A">
        <w:t>CGI</w:t>
      </w:r>
      <w:r>
        <w:t xml:space="preserve"> costs between FERC and CPUC jurisdictions using the labor ratio adopted in the settlement, which replaced the prior direct-assignment method. PG&amp;E maintains that this methodology ensures accurate jurisdictional apportionment and prevents double recovery because the same allocator is applied consistently across all cost components. PG&amp;E also notes that its calculations were reviewed and verified through internal audit controls and that the resulting revenue requirement ties directly to the underlying general ledger data supporting the TRRRMA.</w:t>
      </w:r>
    </w:p>
    <w:p w:rsidR="6994AB7C" w:rsidP="00721F2C" w:rsidRDefault="6994AB7C" w14:paraId="35A5015A" w14:textId="0881EB77">
      <w:pPr>
        <w:pStyle w:val="Standard"/>
      </w:pPr>
      <w:r>
        <w:t>PG&amp;E asserts that its arithmetic calculations were performed in accordance with the TO18 settlement formula and that all parties to that settlement, including Cal Advocates, agreed to the allocator structure. PG&amp;E argues that Cal Advocates’ challenges in this proceeding do not allege computational errors but instead seek to relitigate policy determinations resolved at FERC. PG&amp;E emphasizes that its revenue requirement model was provided in both native and PDF formats during discovery and that Cal Advocates did not identify any mathematical or formulaic discrepancies.</w:t>
      </w:r>
      <w:r w:rsidR="00417EDB">
        <w:rPr>
          <w:rStyle w:val="FootnoteReference"/>
        </w:rPr>
        <w:footnoteReference w:id="41"/>
      </w:r>
    </w:p>
    <w:p w:rsidR="6994AB7C" w:rsidP="00721F2C" w:rsidRDefault="6994AB7C" w14:paraId="6D480900" w14:textId="57B7D80D">
      <w:pPr>
        <w:pStyle w:val="Standard"/>
      </w:pPr>
      <w:r>
        <w:t xml:space="preserve">Cal Advocates does not dispute the arithmetic accuracy of PG&amp;E’s calculations but argues that the allocator inputs are not fully transparent and that PG&amp;E has not demonstrated that the labor allocator ratios reflect current </w:t>
      </w:r>
      <w:r>
        <w:lastRenderedPageBreak/>
        <w:t>operational data</w:t>
      </w:r>
      <w:r w:rsidR="00C50166">
        <w:t>.</w:t>
      </w:r>
      <w:r w:rsidR="002E431D">
        <w:rPr>
          <w:rStyle w:val="FootnoteReference"/>
        </w:rPr>
        <w:footnoteReference w:id="42"/>
      </w:r>
      <w:r w:rsidR="00C50166">
        <w:t xml:space="preserve"> </w:t>
      </w:r>
      <w:r>
        <w:t>Cal Advocates contends that because the allocator was established as part of a prior FERC settlement, PG&amp;E should have updated its labor ratios to ensure they remain representative of current staffing levels and cost drivers</w:t>
      </w:r>
      <w:r w:rsidR="00C50166">
        <w:t>.</w:t>
      </w:r>
      <w:r w:rsidR="00971839">
        <w:rPr>
          <w:rStyle w:val="FootnoteReference"/>
        </w:rPr>
        <w:footnoteReference w:id="43"/>
      </w:r>
      <w:r w:rsidR="00C50166">
        <w:t xml:space="preserve"> </w:t>
      </w:r>
      <w:r>
        <w:t>Cal Advocates further maintains that the record lacks sufficient explanation of how indirect costs were distributed among business units, limiting the ability to confirm that the allocator was applied uniformly across all accounts.</w:t>
      </w:r>
      <w:r w:rsidR="00AF1AA8">
        <w:rPr>
          <w:rStyle w:val="FootnoteReference"/>
        </w:rPr>
        <w:footnoteReference w:id="44"/>
      </w:r>
    </w:p>
    <w:p w:rsidR="6994AB7C" w:rsidP="00721F2C" w:rsidRDefault="6994AB7C" w14:paraId="3B2A70E7" w14:textId="363D7DF2">
      <w:pPr>
        <w:pStyle w:val="Standard"/>
      </w:pPr>
      <w:r>
        <w:t>The Commission finds that PG&amp;E has demonstrated that the TRRRMA revenue requirement was calculated in accordance with the methodology adopted in the TO18 settlement and that the resulting arithmetic is accurate. The record shows that PG&amp;E used the labor allocator established under the settlement and applied it consistently to all relevant cost categories. The Commission notes that Cal Advocates does not identify any computational errors or inconsistencies in the model itself.</w:t>
      </w:r>
    </w:p>
    <w:p w:rsidR="008404E1" w:rsidP="008404E1" w:rsidRDefault="6994AB7C" w14:paraId="2CE531BD" w14:textId="2AABF773">
      <w:pPr>
        <w:pStyle w:val="Standard"/>
      </w:pPr>
      <w:r>
        <w:t>While Cal Advocates correctly observes that the allocator ratios are based on historical labor data, the settlement expressly provides that these ratios remain in effect unless modified by FERC, and no party has sought such modification. The Commission therefore finds that PG&amp;E’s use of the established allocator is appropriate for this proceeding and that its arithmetic calculations accurately reflect the required jurisdictional shift.</w:t>
      </w:r>
      <w:r w:rsidR="461CBE8C">
        <w:t xml:space="preserve"> The resulting revenue-requirement is presented on a net basis that includes the $42.6 million distribution-to-transmission offset</w:t>
      </w:r>
      <w:r w:rsidR="008404E1">
        <w:t>.</w:t>
      </w:r>
    </w:p>
    <w:p w:rsidR="00AF43B5" w:rsidP="0020446A" w:rsidRDefault="007F15FA" w14:paraId="3086A729" w14:textId="242CDDDC">
      <w:pPr>
        <w:pStyle w:val="Heading1"/>
        <w:numPr>
          <w:ilvl w:val="2"/>
          <w:numId w:val="9"/>
        </w:numPr>
        <w:tabs>
          <w:tab w:val="left" w:pos="1873"/>
        </w:tabs>
        <w:spacing w:before="120" w:after="240"/>
      </w:pPr>
      <w:bookmarkStart w:name="_Toc214020788" w:id="37"/>
      <w:r w:rsidRPr="007F15FA">
        <w:lastRenderedPageBreak/>
        <w:t>Distribution to Transmission Accounting Adjustment</w:t>
      </w:r>
      <w:r>
        <w:t xml:space="preserve"> Refund</w:t>
      </w:r>
      <w:bookmarkEnd w:id="37"/>
    </w:p>
    <w:p w:rsidR="000E56C9" w:rsidP="000E56C9" w:rsidRDefault="000E56C9" w14:paraId="7145AAFA" w14:textId="5B15048C">
      <w:pPr>
        <w:pStyle w:val="Standard"/>
      </w:pPr>
      <w:r>
        <w:t>PG&amp;E proposes to refund $42.6 million to electric distribution customers for costs associated with certain transmission assets that PG&amp;E incorrectly classified as distribution facilities.  PG&amp;E identified and remedied the misclassification of these assets in 2023 and began recovering costs for these assets in FERC-jurisdictional rates during the same year. In this application, PG&amp;E seeks to refund revenue that it will collect from electric distribution customers for these assets over the current GRC cycle (from January 1, 2023 through December 31, 2026), to avoid double recovery between FERC and CPUC-jurisdictional rates.</w:t>
      </w:r>
      <w:r>
        <w:rPr>
          <w:rStyle w:val="FootnoteReference"/>
        </w:rPr>
        <w:footnoteReference w:id="45"/>
      </w:r>
      <w:r>
        <w:rPr>
          <w:rStyle w:val="FootnoteReference"/>
        </w:rPr>
        <w:footnoteReference w:id="46"/>
      </w:r>
      <w:r>
        <w:t xml:space="preserve"> Cal Advocates asks the Commission to order PG&amp;E to file a Tier 2 Advice Letter to compensate </w:t>
      </w:r>
      <w:r w:rsidRPr="00945A84">
        <w:t>electric distribution customers for all costs from 2006 to 2022 erroneously recovered in distribution rates as a result of PG&amp;E’s misclassification</w:t>
      </w:r>
      <w:r>
        <w:t>.</w:t>
      </w:r>
      <w:r w:rsidRPr="00AB6337">
        <w:rPr>
          <w:rStyle w:val="FootnoteReference"/>
        </w:rPr>
        <w:t xml:space="preserve"> </w:t>
      </w:r>
      <w:r>
        <w:rPr>
          <w:rStyle w:val="FootnoteReference"/>
        </w:rPr>
        <w:footnoteReference w:id="47"/>
      </w:r>
      <w:r>
        <w:t xml:space="preserve"> </w:t>
      </w:r>
    </w:p>
    <w:p w:rsidR="000E56C9" w:rsidP="000E56C9" w:rsidRDefault="000E56C9" w14:paraId="1B587BAA" w14:textId="77777777">
      <w:pPr>
        <w:pStyle w:val="Standard"/>
      </w:pPr>
      <w:r w:rsidRPr="004C56D6">
        <w:t>PG&amp;E argues the TRRRMA credit should only apply from January 1, 2023, onward because that is when the costs were first included in FERC-jurisdictional rates.</w:t>
      </w:r>
      <w:r>
        <w:rPr>
          <w:rStyle w:val="FootnoteReference"/>
        </w:rPr>
        <w:footnoteReference w:id="48"/>
      </w:r>
      <w:r>
        <w:t xml:space="preserve"> PG&amp;E argues that Cal Advocates’ request would result in “trapped costs” because PG&amp;E</w:t>
      </w:r>
      <w:r w:rsidRPr="00685E52">
        <w:t xml:space="preserve"> would be required to refund amounts to CPUC-jurisdictional customers for earlier periods but may not be able to recover these costs at FERC</w:t>
      </w:r>
      <w:r>
        <w:t xml:space="preserve"> and </w:t>
      </w:r>
      <w:r w:rsidRPr="00B92E32">
        <w:t xml:space="preserve">cannot adjust </w:t>
      </w:r>
      <w:r>
        <w:t>prior</w:t>
      </w:r>
      <w:r w:rsidRPr="00B92E32">
        <w:t xml:space="preserve"> period stated </w:t>
      </w:r>
      <w:r>
        <w:t xml:space="preserve">FERC </w:t>
      </w:r>
      <w:r w:rsidRPr="00B92E32">
        <w:t>rates.</w:t>
      </w:r>
      <w:r>
        <w:rPr>
          <w:rStyle w:val="FootnoteReference"/>
        </w:rPr>
        <w:footnoteReference w:id="49"/>
      </w:r>
    </w:p>
    <w:p w:rsidR="000E56C9" w:rsidP="004B6469" w:rsidRDefault="000E56C9" w14:paraId="045B04E1" w14:textId="4D0A3322">
      <w:pPr>
        <w:pStyle w:val="Standard"/>
      </w:pPr>
      <w:r>
        <w:lastRenderedPageBreak/>
        <w:t xml:space="preserve">We find merit in reviewing the actual error that may have occurred before finding whether there are trapped costs. </w:t>
      </w:r>
      <w:r w:rsidRPr="008C1287">
        <w:t>The TRRRMA is an accounting mechanism designed to align revenues </w:t>
      </w:r>
      <w:r w:rsidRPr="00C548D2">
        <w:t>going forward</w:t>
      </w:r>
      <w:r w:rsidRPr="008C1287">
        <w:t xml:space="preserve">. The existence of an established forward-looking account does not </w:t>
      </w:r>
      <w:r>
        <w:t>eliminate the responsibility of reviewing charges that may have been incorrectly booked for years before 2023</w:t>
      </w:r>
      <w:r w:rsidRPr="008C1287">
        <w:t>.</w:t>
      </w:r>
      <w:r>
        <w:t xml:space="preserve"> An appropriate regulatory pathway to address any trapped costs, pattern of misclassification and refinement to the TRRRMA that can avert future misclassification, can only take place when PG&amp;E submits relevant data on past errors. </w:t>
      </w:r>
    </w:p>
    <w:p w:rsidR="000E56C9" w:rsidP="000E56C9" w:rsidRDefault="000E56C9" w14:paraId="54457EC4" w14:textId="467619F1">
      <w:pPr>
        <w:pStyle w:val="Standard"/>
      </w:pPr>
      <w:r>
        <w:t>Therefore, it is reasonable for PG&amp;E to submit, within</w:t>
      </w:r>
      <w:r w:rsidRPr="00C15FD0">
        <w:t xml:space="preserve"> 120 days of the effective date of this decision, a Tier 2 Advice Letter to show</w:t>
      </w:r>
      <w:r>
        <w:t xml:space="preserve"> </w:t>
      </w:r>
      <w:r w:rsidRPr="00C15FD0">
        <w:t xml:space="preserve">whether PG&amp;E </w:t>
      </w:r>
      <w:r>
        <w:t xml:space="preserve">incorrectly </w:t>
      </w:r>
      <w:r w:rsidRPr="00C15FD0">
        <w:t xml:space="preserve">recovered revenue requirements associated with </w:t>
      </w:r>
      <w:r>
        <w:t>misclassified transmission assets from</w:t>
      </w:r>
      <w:r w:rsidRPr="00C15FD0">
        <w:t xml:space="preserve"> distribution customers from 2006 through 2022. </w:t>
      </w:r>
      <w:r w:rsidR="005C0E50">
        <w:t xml:space="preserve">In this Advice Letter, </w:t>
      </w:r>
      <w:r w:rsidR="00812283">
        <w:t xml:space="preserve">PG&amp;E shall identify all affected assets and the years </w:t>
      </w:r>
      <w:r w:rsidR="005602C9">
        <w:t>during</w:t>
      </w:r>
      <w:r w:rsidR="00812283">
        <w:t xml:space="preserve"> which misclassification occurred</w:t>
      </w:r>
      <w:r w:rsidR="008A35F5">
        <w:t>.</w:t>
      </w:r>
      <w:r w:rsidR="002A71B5">
        <w:t xml:space="preserve"> </w:t>
      </w:r>
      <w:r w:rsidRPr="00C15FD0">
        <w:t xml:space="preserve">PG&amp;E shall </w:t>
      </w:r>
      <w:r>
        <w:t>quantify</w:t>
      </w:r>
      <w:r w:rsidRPr="00C15FD0">
        <w:t xml:space="preserve"> the revenue requirement </w:t>
      </w:r>
      <w:r w:rsidRPr="00926E97">
        <w:t xml:space="preserve">amount resulting </w:t>
      </w:r>
      <w:r w:rsidRPr="00C15FD0">
        <w:t xml:space="preserve">from any </w:t>
      </w:r>
      <w:r w:rsidRPr="00926E97">
        <w:t xml:space="preserve">identified </w:t>
      </w:r>
      <w:r>
        <w:t xml:space="preserve">misclassification of assets and provide </w:t>
      </w:r>
      <w:r w:rsidR="00CE2767">
        <w:t xml:space="preserve">transparent, reviewable </w:t>
      </w:r>
      <w:r>
        <w:t>calculations to support that quantification</w:t>
      </w:r>
      <w:r w:rsidRPr="00C15FD0">
        <w:t xml:space="preserve">. </w:t>
      </w:r>
      <w:r w:rsidR="002B3CD6">
        <w:t>Because a portion of FERC rates are passed through to retail customers, PG&amp;E’s calculations</w:t>
      </w:r>
      <w:r w:rsidR="008D04C1">
        <w:t xml:space="preserve"> should also reflect the revenue requirement that distribution customers would have paid if the revenue requirement for these assets was correctly recovered via FERC rates. </w:t>
      </w:r>
      <w:r w:rsidRPr="00C15FD0">
        <w:t xml:space="preserve">PG&amp;E shall also provide recommendations for an appropriate regulatory path to address the </w:t>
      </w:r>
      <w:r>
        <w:t>financial impact of its misclassification on distribution customers and avert future asset misclassification, including reporting requirements.</w:t>
      </w:r>
    </w:p>
    <w:p w:rsidR="000E56C9" w:rsidP="006069A1" w:rsidRDefault="000E56C9" w14:paraId="7AF2D37B" w14:textId="5A0A32A3">
      <w:pPr>
        <w:pStyle w:val="Standard"/>
      </w:pPr>
      <w:r>
        <w:lastRenderedPageBreak/>
        <w:t xml:space="preserve">Based on the information that PG&amp;E submits in its Advice Letter, Energy Division staff may determine the appropriate path for remedying past and future asset misclassifications. </w:t>
      </w:r>
    </w:p>
    <w:p w:rsidR="00A50B9C" w:rsidP="0020446A" w:rsidRDefault="000E56C9" w14:paraId="1FC0B79E" w14:textId="0FEAC3A9">
      <w:pPr>
        <w:pStyle w:val="Heading1"/>
        <w:numPr>
          <w:ilvl w:val="2"/>
          <w:numId w:val="9"/>
        </w:numPr>
        <w:tabs>
          <w:tab w:val="left" w:pos="1873"/>
        </w:tabs>
        <w:spacing w:before="120" w:after="240"/>
      </w:pPr>
      <w:bookmarkStart w:name="_Toc214020789" w:id="38"/>
      <w:r>
        <w:t>CAISO-to-Non-CAISO Transfer Amount</w:t>
      </w:r>
      <w:bookmarkEnd w:id="38"/>
    </w:p>
    <w:p w:rsidR="6C78E680" w:rsidP="00721F2C" w:rsidRDefault="6C78E680" w14:paraId="6E2C1F52" w14:textId="4E035338">
      <w:pPr>
        <w:pStyle w:val="Standard"/>
      </w:pPr>
      <w:r>
        <w:t>PG&amp;E seeks recovery of $7.7 million associated with a facility moved from C</w:t>
      </w:r>
      <w:r w:rsidR="1F7A3A5B">
        <w:t>AISO</w:t>
      </w:r>
      <w:r>
        <w:t xml:space="preserve"> control to non-C</w:t>
      </w:r>
      <w:r w:rsidR="5FF23712">
        <w:t>AISO</w:t>
      </w:r>
      <w:r>
        <w:t xml:space="preserve"> control in 2023, stating the amount is recorded in the T</w:t>
      </w:r>
      <w:r w:rsidR="3E0ACBEB">
        <w:t>RRRMA</w:t>
      </w:r>
      <w:r>
        <w:t xml:space="preserve"> and within the scope of this </w:t>
      </w:r>
      <w:r w:rsidR="00F302DD">
        <w:t>A</w:t>
      </w:r>
      <w:r>
        <w:t>pplication.</w:t>
      </w:r>
      <w:r w:rsidR="003C09EA">
        <w:rPr>
          <w:rStyle w:val="FootnoteReference"/>
        </w:rPr>
        <w:footnoteReference w:id="50"/>
      </w:r>
      <w:r>
        <w:t xml:space="preserve"> </w:t>
      </w:r>
    </w:p>
    <w:p w:rsidR="6C78E680" w:rsidP="00721F2C" w:rsidRDefault="6C78E680" w14:paraId="75778576" w14:textId="70EE3DAD">
      <w:pPr>
        <w:pStyle w:val="Standard"/>
      </w:pPr>
      <w:r>
        <w:t>Cal Advocates does not oppose recovery of this $7.7 million CAISO-to-non-CAISO transfer amount and recommends that, if authorized, it be included in the adopted revenue requirement on a net basis consistent with the implementation section of this decision.</w:t>
      </w:r>
      <w:r w:rsidR="00F131CE">
        <w:rPr>
          <w:rStyle w:val="FootnoteReference"/>
        </w:rPr>
        <w:footnoteReference w:id="51"/>
      </w:r>
      <w:r>
        <w:t xml:space="preserve"> </w:t>
      </w:r>
    </w:p>
    <w:p w:rsidR="6C78E680" w:rsidP="00721F2C" w:rsidRDefault="6C78E680" w14:paraId="76AC6060" w14:textId="55CE2EE1">
      <w:pPr>
        <w:pStyle w:val="Standard"/>
      </w:pPr>
      <w:r>
        <w:t>We approve recovery of the $7.7 million CAISO-to-non-CAISO transfer amount. The record supports the amount, it is uncontested on the merits, and it falls within the TRRRMA showing.</w:t>
      </w:r>
    </w:p>
    <w:p w:rsidR="619D27EB" w:rsidP="00643C47" w:rsidRDefault="5DB6BA3A" w14:paraId="1BC4E7C1" w14:textId="37DCFFB6">
      <w:pPr>
        <w:pStyle w:val="Heading1"/>
        <w:numPr>
          <w:ilvl w:val="2"/>
          <w:numId w:val="9"/>
        </w:numPr>
        <w:tabs>
          <w:tab w:val="left" w:pos="1873"/>
        </w:tabs>
        <w:spacing w:after="120"/>
      </w:pPr>
      <w:bookmarkStart w:name="_Toc214020790" w:id="39"/>
      <w:r>
        <w:t>Impl</w:t>
      </w:r>
      <w:r w:rsidR="7F3D13C6">
        <w:t>ementation Sche</w:t>
      </w:r>
      <w:r w:rsidR="15152E79">
        <w:t>dule</w:t>
      </w:r>
      <w:bookmarkEnd w:id="39"/>
    </w:p>
    <w:p w:rsidR="4A0A0617" w:rsidP="00721F2C" w:rsidRDefault="4A0A0617" w14:paraId="12F525BF" w14:textId="5D710659">
      <w:pPr>
        <w:pStyle w:val="Standard"/>
      </w:pPr>
      <w:r>
        <w:t>PG&amp;E proposes prospective implementation beginning January 1, 2026, or the first practicable billing cycle after the final decision, characterizing this request as recovery of balances recorded in TRRRMA rather than retroactive ratemaking.</w:t>
      </w:r>
      <w:r w:rsidR="00E43336">
        <w:rPr>
          <w:rStyle w:val="FootnoteReference"/>
        </w:rPr>
        <w:footnoteReference w:id="52"/>
      </w:r>
    </w:p>
    <w:p w:rsidR="36CF5F2B" w:rsidP="00721F2C" w:rsidRDefault="36CF5F2B" w14:paraId="1D8FC618" w14:textId="1F9C30E4">
      <w:pPr>
        <w:pStyle w:val="Standard"/>
      </w:pPr>
      <w:r>
        <w:lastRenderedPageBreak/>
        <w:t>Cal Advocates does not oppose prospective implementation if the authorized amount is expressly net of the retail offset associated with facilities moved between distribution and transmission</w:t>
      </w:r>
      <w:r w:rsidRPr="00721F2C">
        <w:t>.</w:t>
      </w:r>
      <w:r w:rsidR="003425AA">
        <w:rPr>
          <w:rStyle w:val="FootnoteReference"/>
        </w:rPr>
        <w:footnoteReference w:id="53"/>
      </w:r>
    </w:p>
    <w:p w:rsidR="6E9C2EE4" w:rsidP="00721F2C" w:rsidRDefault="006D3399" w14:paraId="15F9E8C1" w14:textId="0C5446BC">
      <w:pPr>
        <w:pStyle w:val="Standard"/>
      </w:pPr>
      <w:r>
        <w:t xml:space="preserve">The Commission notes that </w:t>
      </w:r>
      <w:r w:rsidR="00C34331">
        <w:t>the implementation schedule proposed by PG&amp;E does not appear to re</w:t>
      </w:r>
      <w:r w:rsidR="007E6B95">
        <w:t>sult in rate shock (an increase of more than ten percent)</w:t>
      </w:r>
      <w:r w:rsidR="005876AB">
        <w:t xml:space="preserve"> and Cal Advocates did not propose an alternative to PG</w:t>
      </w:r>
      <w:r w:rsidR="00357AAA">
        <w:t>&amp;</w:t>
      </w:r>
      <w:r w:rsidR="005876AB">
        <w:t>E’s</w:t>
      </w:r>
      <w:r w:rsidR="00EC5F0A">
        <w:t xml:space="preserve"> proposal</w:t>
      </w:r>
      <w:r w:rsidR="00795345">
        <w:t xml:space="preserve">. </w:t>
      </w:r>
      <w:r w:rsidR="00B44B65">
        <w:t xml:space="preserve">We </w:t>
      </w:r>
      <w:r w:rsidR="00795345">
        <w:t xml:space="preserve">therefore </w:t>
      </w:r>
      <w:r w:rsidR="6E9C2EE4">
        <w:t>adopt this implementation plan, effective January 1, 2026 (or the first practicable billing cycle thereafter). The amount authorized is on a net basis, meaning we subtract the $42.6 million retail offset tied to facilities moved between distribution and transmission before it appears in rates.</w:t>
      </w:r>
      <w:r w:rsidR="00B44B65">
        <w:t xml:space="preserve"> </w:t>
      </w:r>
      <w:r w:rsidR="6E9C2EE4">
        <w:t>Within 45 days of this decision, PG&amp;E shall serve an information-only compliance report that (1) states the effective billing date and the implemented net TRRRMA revenue requirement with a short workpaper, and (2) shows where the retail offset appears in rates</w:t>
      </w:r>
      <w:r w:rsidR="161B9137">
        <w:t xml:space="preserve">. </w:t>
      </w:r>
      <w:r w:rsidR="6E9C2EE4">
        <w:t xml:space="preserve">PG&amp;E shall serve the report on the service list and send a copy to </w:t>
      </w:r>
      <w:r w:rsidR="00751122">
        <w:t>the Commission</w:t>
      </w:r>
      <w:r w:rsidR="00FB1DCF">
        <w:t xml:space="preserve">’s </w:t>
      </w:r>
      <w:r w:rsidR="6E9C2EE4">
        <w:t>Energy Division.</w:t>
      </w:r>
    </w:p>
    <w:p w:rsidR="002C11B2" w:rsidP="0020446A" w:rsidRDefault="77C0B03E" w14:paraId="25C092E0" w14:textId="11463C10">
      <w:pPr>
        <w:pStyle w:val="Heading1"/>
        <w:numPr>
          <w:ilvl w:val="1"/>
          <w:numId w:val="9"/>
        </w:numPr>
        <w:tabs>
          <w:tab w:val="left" w:pos="1873"/>
        </w:tabs>
        <w:spacing w:after="120"/>
      </w:pPr>
      <w:bookmarkStart w:name="_Toc214020791" w:id="40"/>
      <w:r w:rsidRPr="433527E1">
        <w:t xml:space="preserve">Scoping Issue 4: Is the </w:t>
      </w:r>
      <w:r w:rsidRPr="268B26A2">
        <w:t>Interest Associated</w:t>
      </w:r>
      <w:r w:rsidRPr="433527E1">
        <w:t xml:space="preserve"> with the CGI Plant </w:t>
      </w:r>
      <w:r w:rsidRPr="7CD7BD19">
        <w:t>Costs</w:t>
      </w:r>
      <w:r w:rsidRPr="433527E1">
        <w:t xml:space="preserve"> </w:t>
      </w:r>
      <w:r w:rsidRPr="7FE02393">
        <w:t>Correctly Calculated</w:t>
      </w:r>
      <w:r w:rsidRPr="433527E1">
        <w:t>?</w:t>
      </w:r>
      <w:bookmarkEnd w:id="40"/>
    </w:p>
    <w:p w:rsidR="0DD0AE9B" w:rsidP="0020446A" w:rsidRDefault="0DD0AE9B" w14:paraId="6CCB20A8" w14:textId="0EC9094B">
      <w:pPr>
        <w:pStyle w:val="Heading1"/>
        <w:numPr>
          <w:ilvl w:val="2"/>
          <w:numId w:val="9"/>
        </w:numPr>
        <w:tabs>
          <w:tab w:val="left" w:pos="1873"/>
        </w:tabs>
        <w:spacing w:before="120" w:after="240"/>
      </w:pPr>
      <w:bookmarkStart w:name="_Toc214020792" w:id="41"/>
      <w:r w:rsidRPr="3340295D">
        <w:t>Treatment of FERC-Determined Interest and Retail Offset</w:t>
      </w:r>
      <w:bookmarkEnd w:id="41"/>
    </w:p>
    <w:p w:rsidR="34D04A79" w:rsidP="00721F2C" w:rsidRDefault="34D04A79" w14:paraId="340BE841" w14:textId="3414F4FB">
      <w:pPr>
        <w:pStyle w:val="Standard"/>
      </w:pPr>
      <w:r w:rsidRPr="184B7E77">
        <w:t>PG&amp;E states that settlement-related refunds and interest are administered at FERC through ECRBAA and should not be duplicated in CPUC rates. PG&amp;E also indicates it expects to make its next ECRBAA filing in September 2025 for rates effective January 1, 2026.</w:t>
      </w:r>
      <w:r w:rsidR="00B965F1">
        <w:rPr>
          <w:rStyle w:val="FootnoteReference"/>
        </w:rPr>
        <w:footnoteReference w:id="54"/>
      </w:r>
      <w:r w:rsidRPr="184B7E77">
        <w:t xml:space="preserve"> </w:t>
      </w:r>
    </w:p>
    <w:p w:rsidR="34D04A79" w:rsidP="00721F2C" w:rsidRDefault="34D04A79" w14:paraId="24AD5B3F" w14:textId="34E81814">
      <w:pPr>
        <w:pStyle w:val="Standard"/>
      </w:pPr>
      <w:r w:rsidRPr="184B7E77">
        <w:lastRenderedPageBreak/>
        <w:t xml:space="preserve">Cal Advocates seeks safeguards to prevent duplication for CPUC-jurisdictional customers. </w:t>
      </w:r>
      <w:r w:rsidR="00E175D9">
        <w:t>Cal Advocates</w:t>
      </w:r>
      <w:r w:rsidRPr="184B7E77">
        <w:t xml:space="preserve"> contend</w:t>
      </w:r>
      <w:r w:rsidR="00E175D9">
        <w:t>s</w:t>
      </w:r>
      <w:r w:rsidRPr="184B7E77">
        <w:t xml:space="preserve"> PG&amp;E has only sought partial interest refunds to date, estimating about $34.3 million remains outstanding, and </w:t>
      </w:r>
      <w:r w:rsidR="00E175D9">
        <w:t>Cal Advocates</w:t>
      </w:r>
      <w:r w:rsidRPr="184B7E77">
        <w:t xml:space="preserve"> ask</w:t>
      </w:r>
      <w:r w:rsidR="00E175D9">
        <w:t>s</w:t>
      </w:r>
      <w:r w:rsidRPr="184B7E77">
        <w:t xml:space="preserve"> for a</w:t>
      </w:r>
      <w:r w:rsidR="00A256B4">
        <w:t xml:space="preserve">n </w:t>
      </w:r>
      <w:r w:rsidR="00ED6834">
        <w:t>Advice Letter</w:t>
      </w:r>
      <w:r w:rsidRPr="184B7E77">
        <w:t xml:space="preserve"> so parties can confirm that the upcoming ECRBAA filing fully reflects the required refunds.</w:t>
      </w:r>
      <w:r w:rsidR="005C7540">
        <w:rPr>
          <w:rStyle w:val="FootnoteReference"/>
        </w:rPr>
        <w:footnoteReference w:id="55"/>
      </w:r>
      <w:r w:rsidRPr="184B7E77">
        <w:t xml:space="preserve"> </w:t>
      </w:r>
    </w:p>
    <w:p w:rsidR="6BE187F3" w:rsidP="00721F2C" w:rsidRDefault="6BE187F3" w14:paraId="06670137" w14:textId="36439383">
      <w:pPr>
        <w:pStyle w:val="Standard"/>
      </w:pPr>
      <w:r>
        <w:t xml:space="preserve">The Commission notes the </w:t>
      </w:r>
      <w:r w:rsidR="34D04A79">
        <w:t xml:space="preserve">interest </w:t>
      </w:r>
      <w:r>
        <w:t xml:space="preserve">at issue </w:t>
      </w:r>
      <w:r w:rsidR="34D04A79">
        <w:t xml:space="preserve">is administered at FERC through ECRBAA. </w:t>
      </w:r>
      <w:r>
        <w:t xml:space="preserve">No party asks the Commission to compute an interest amount in this proceeding. Our task is to ensure that </w:t>
      </w:r>
      <w:r w:rsidR="34D04A79">
        <w:t xml:space="preserve">recovery authorized </w:t>
      </w:r>
      <w:r>
        <w:t>here does</w:t>
      </w:r>
      <w:r w:rsidR="34D04A79">
        <w:t xml:space="preserve"> not </w:t>
      </w:r>
      <w:r>
        <w:t>duplicate FERC-administered refunds.</w:t>
      </w:r>
      <w:r w:rsidR="4E224F7F">
        <w:t xml:space="preserve"> </w:t>
      </w:r>
      <w:r w:rsidRPr="00CF5E1D" w:rsidR="4E224F7F">
        <w:t xml:space="preserve">To provide transparency without delaying implementation, the information-only report required </w:t>
      </w:r>
      <w:r w:rsidRPr="00CF5E1D" w:rsidR="00C77139">
        <w:t>by this decision</w:t>
      </w:r>
      <w:r w:rsidRPr="00CF5E1D" w:rsidR="4E224F7F">
        <w:t xml:space="preserve"> shall also include a brief ECRBAA status</w:t>
      </w:r>
      <w:r w:rsidRPr="00CF5E1D">
        <w:t xml:space="preserve"> that identifies</w:t>
      </w:r>
      <w:r w:rsidRPr="00CF5E1D" w:rsidR="18656D36">
        <w:t xml:space="preserve"> PG&amp;E’s most recent filing </w:t>
      </w:r>
      <w:r w:rsidRPr="00CF5E1D">
        <w:t>(</w:t>
      </w:r>
      <w:r w:rsidRPr="00CF5E1D" w:rsidR="18656D36">
        <w:t>caption and filing date</w:t>
      </w:r>
      <w:r w:rsidRPr="00CF5E1D">
        <w:t>)</w:t>
      </w:r>
      <w:r w:rsidRPr="00CF5E1D" w:rsidR="18656D36">
        <w:t xml:space="preserve"> and </w:t>
      </w:r>
      <w:r w:rsidRPr="00CF5E1D">
        <w:t>states</w:t>
      </w:r>
      <w:r w:rsidRPr="00CF5E1D" w:rsidR="18656D36">
        <w:t xml:space="preserve"> whether TO18 settlement-interest refunds are </w:t>
      </w:r>
      <w:r w:rsidRPr="00CF5E1D">
        <w:t>reflected</w:t>
      </w:r>
      <w:r w:rsidRPr="00CF5E1D" w:rsidR="18656D36">
        <w:t xml:space="preserve"> in current FERC-jurisdictional rates.</w:t>
      </w:r>
    </w:p>
    <w:p w:rsidRPr="00FD0489" w:rsidR="6A47ECFF" w:rsidP="00FD0489" w:rsidRDefault="5BBEAE7E" w14:paraId="11B5888A" w14:textId="068FEBEA">
      <w:pPr>
        <w:pStyle w:val="Heading1"/>
        <w:keepNext/>
        <w:keepLines/>
        <w:widowControl/>
        <w:numPr>
          <w:ilvl w:val="0"/>
          <w:numId w:val="9"/>
        </w:numPr>
        <w:autoSpaceDE/>
        <w:autoSpaceDN/>
        <w:spacing w:after="120"/>
        <w:ind w:left="720" w:right="2160"/>
        <w:rPr>
          <w:rFonts w:eastAsiaTheme="majorEastAsia" w:cstheme="majorBidi"/>
          <w:bCs w:val="0"/>
          <w:szCs w:val="32"/>
        </w:rPr>
      </w:pPr>
      <w:bookmarkStart w:name="_Toc214020793" w:id="42"/>
      <w:r w:rsidRPr="00FD0489">
        <w:rPr>
          <w:rFonts w:eastAsiaTheme="majorEastAsia" w:cstheme="majorBidi"/>
          <w:bCs w:val="0"/>
          <w:szCs w:val="32"/>
        </w:rPr>
        <w:t>Determination of Scoping Issues</w:t>
      </w:r>
      <w:bookmarkEnd w:id="42"/>
    </w:p>
    <w:p w:rsidR="0C124223" w:rsidP="00721F2C" w:rsidRDefault="51050160" w14:paraId="481AB954" w14:textId="3CD3F998">
      <w:pPr>
        <w:pStyle w:val="Standard"/>
      </w:pPr>
      <w:r>
        <w:t>Based on the discussion above and in consideration of party and public comments, we find that PG&amp;E’s application meets the legal standards for recovery. PG&amp;E has demonstrated that the CGI Plant costs recorded to TRRRMA were actually incurred</w:t>
      </w:r>
      <w:r w:rsidR="27595ABC">
        <w:t xml:space="preserve"> and its</w:t>
      </w:r>
      <w:r>
        <w:t xml:space="preserve"> revenue-requirement calculations are accurate. These costs should be recovered from CPUC-jurisdictional ratepayers on a prospective basis. We find no remaining issues regarding interest associated with the CGI Plant amounts.</w:t>
      </w:r>
    </w:p>
    <w:p w:rsidRPr="00FD0489" w:rsidR="00DE31CA" w:rsidP="00FD0489" w:rsidRDefault="003D5307" w14:paraId="67187BCA" w14:textId="77777777">
      <w:pPr>
        <w:pStyle w:val="Heading1"/>
        <w:keepNext/>
        <w:keepLines/>
        <w:widowControl/>
        <w:numPr>
          <w:ilvl w:val="0"/>
          <w:numId w:val="9"/>
        </w:numPr>
        <w:autoSpaceDE/>
        <w:autoSpaceDN/>
        <w:spacing w:after="120"/>
        <w:ind w:left="720" w:right="2160"/>
        <w:rPr>
          <w:rFonts w:eastAsiaTheme="majorEastAsia" w:cstheme="majorBidi"/>
          <w:bCs w:val="0"/>
          <w:szCs w:val="32"/>
        </w:rPr>
      </w:pPr>
      <w:bookmarkStart w:name="6._Summary_of_Public_Comments" w:id="43"/>
      <w:bookmarkStart w:name="_Toc187748577" w:id="44"/>
      <w:bookmarkStart w:name="_Toc214020794" w:id="45"/>
      <w:bookmarkEnd w:id="43"/>
      <w:r w:rsidRPr="00FD0489">
        <w:rPr>
          <w:rFonts w:eastAsiaTheme="majorEastAsia" w:cstheme="majorBidi"/>
          <w:bCs w:val="0"/>
          <w:szCs w:val="32"/>
        </w:rPr>
        <w:t>Summary of Public Comments</w:t>
      </w:r>
      <w:bookmarkEnd w:id="44"/>
      <w:bookmarkEnd w:id="45"/>
    </w:p>
    <w:p w:rsidR="00DE31CA" w:rsidP="00721F2C" w:rsidRDefault="003D5307" w14:paraId="34EA46BA" w14:textId="136810FA">
      <w:pPr>
        <w:pStyle w:val="Standard"/>
      </w:pPr>
      <w:r>
        <w:t>Rule</w:t>
      </w:r>
      <w:r w:rsidRPr="00721F2C">
        <w:t xml:space="preserve"> </w:t>
      </w:r>
      <w:r>
        <w:t>1.18</w:t>
      </w:r>
      <w:r w:rsidRPr="00721F2C">
        <w:t xml:space="preserve"> </w:t>
      </w:r>
      <w:r>
        <w:t>allows</w:t>
      </w:r>
      <w:r w:rsidRPr="00721F2C">
        <w:t xml:space="preserve"> </w:t>
      </w:r>
      <w:r>
        <w:t>any member</w:t>
      </w:r>
      <w:r w:rsidRPr="00721F2C">
        <w:t xml:space="preserve"> </w:t>
      </w:r>
      <w:r>
        <w:t>of</w:t>
      </w:r>
      <w:r w:rsidRPr="00721F2C">
        <w:t xml:space="preserve"> </w:t>
      </w:r>
      <w:r>
        <w:t>the</w:t>
      </w:r>
      <w:r w:rsidRPr="00721F2C">
        <w:t xml:space="preserve"> </w:t>
      </w:r>
      <w:r>
        <w:t>public</w:t>
      </w:r>
      <w:r w:rsidRPr="00721F2C">
        <w:t xml:space="preserve"> </w:t>
      </w:r>
      <w:r>
        <w:t>to</w:t>
      </w:r>
      <w:r w:rsidRPr="00721F2C">
        <w:t xml:space="preserve"> </w:t>
      </w:r>
      <w:r>
        <w:t>submit</w:t>
      </w:r>
      <w:r w:rsidRPr="00721F2C">
        <w:t xml:space="preserve"> </w:t>
      </w:r>
      <w:r>
        <w:t>written</w:t>
      </w:r>
      <w:r w:rsidRPr="00721F2C">
        <w:t xml:space="preserve"> </w:t>
      </w:r>
      <w:r>
        <w:t>comment</w:t>
      </w:r>
      <w:r w:rsidRPr="00721F2C">
        <w:t xml:space="preserve"> </w:t>
      </w:r>
      <w:r>
        <w:t xml:space="preserve">in any Commission proceeding using the “Public Comment” tab of the online </w:t>
      </w:r>
      <w:r>
        <w:lastRenderedPageBreak/>
        <w:t>Docket Card for that proceeding on the Commission’s website. Rule 1.18(b) requires that relevant written comment submitted in a proceeding be summarized</w:t>
      </w:r>
      <w:r w:rsidRPr="00721F2C">
        <w:t xml:space="preserve"> </w:t>
      </w:r>
      <w:r>
        <w:t>in</w:t>
      </w:r>
      <w:r w:rsidRPr="00721F2C">
        <w:t xml:space="preserve"> </w:t>
      </w:r>
      <w:r>
        <w:t>the</w:t>
      </w:r>
      <w:r w:rsidRPr="00721F2C">
        <w:t xml:space="preserve"> </w:t>
      </w:r>
      <w:r>
        <w:t>final</w:t>
      </w:r>
      <w:r w:rsidRPr="00721F2C">
        <w:t xml:space="preserve"> </w:t>
      </w:r>
      <w:r>
        <w:t>decision</w:t>
      </w:r>
      <w:r w:rsidRPr="00721F2C">
        <w:t xml:space="preserve"> </w:t>
      </w:r>
      <w:r>
        <w:t>issued</w:t>
      </w:r>
      <w:r w:rsidRPr="00721F2C">
        <w:t xml:space="preserve"> </w:t>
      </w:r>
      <w:r>
        <w:t>in</w:t>
      </w:r>
      <w:r w:rsidRPr="00721F2C">
        <w:t xml:space="preserve"> </w:t>
      </w:r>
      <w:r>
        <w:t>that</w:t>
      </w:r>
      <w:r w:rsidRPr="00721F2C">
        <w:t xml:space="preserve"> </w:t>
      </w:r>
      <w:r>
        <w:t>proceeding.</w:t>
      </w:r>
      <w:r w:rsidRPr="00721F2C">
        <w:t xml:space="preserve"> </w:t>
      </w:r>
    </w:p>
    <w:p w:rsidR="00DE31CA" w:rsidP="00721F2C" w:rsidRDefault="5395B93D" w14:paraId="5F5AE14C" w14:textId="5A85494F">
      <w:pPr>
        <w:pStyle w:val="Standard"/>
      </w:pPr>
      <w:r>
        <w:t xml:space="preserve">At the time of issuance of this decision, 34 written public comments had been submitted in this proceeding. </w:t>
      </w:r>
    </w:p>
    <w:p w:rsidR="00DE31CA" w:rsidP="00721F2C" w:rsidRDefault="5395B93D" w14:paraId="78DB753F" w14:textId="2E0C8B40">
      <w:pPr>
        <w:pStyle w:val="Standard"/>
      </w:pPr>
      <w:r>
        <w:t xml:space="preserve">Most comments opposed the Application. Commenters primarily cited affordability concerns and </w:t>
      </w:r>
      <w:r w:rsidR="002743FD">
        <w:t>hardships</w:t>
      </w:r>
      <w:r>
        <w:t xml:space="preserve"> from rising bills, with many urging the Commission to reject additional increases or cost shifts. Several also expressed </w:t>
      </w:r>
      <w:r w:rsidR="00E85B77">
        <w:t>frustrations</w:t>
      </w:r>
      <w:r>
        <w:t xml:space="preserve"> with the number and pace of utility requests before the Commission. </w:t>
      </w:r>
    </w:p>
    <w:p w:rsidR="00DE31CA" w:rsidP="00721F2C" w:rsidRDefault="5395B93D" w14:paraId="6712A847" w14:textId="0244B5B5">
      <w:pPr>
        <w:pStyle w:val="Standard"/>
      </w:pPr>
      <w:r>
        <w:t xml:space="preserve">Many comments linked affordability to broader concerns about PG&amp;E’s profitability and executive compensation, wildfire and safety history, and a perceived lack of visible service improvements or maintenance. Commenters questioned whether prior increases had produced commensurate improvements in reliability or vegetation management. </w:t>
      </w:r>
    </w:p>
    <w:p w:rsidR="00DE31CA" w:rsidP="00721F2C" w:rsidRDefault="5395B93D" w14:paraId="7C828D46" w14:textId="4B5DE266">
      <w:pPr>
        <w:pStyle w:val="Standard"/>
      </w:pPr>
      <w:r>
        <w:t xml:space="preserve">Several commenters described concrete household impacts such as difficulty keeping up with utility bills and making tradeoffs in other essential expenses. Others criticized aspects of the ratemaking process, including the clarity of notices and perceived complexity, and expressed skepticism that customers had meaningful opportunity to influence outcomes. </w:t>
      </w:r>
    </w:p>
    <w:p w:rsidR="00DE31CA" w:rsidP="00721F2C" w:rsidRDefault="5395B93D" w14:paraId="0534939C" w14:textId="3CAF0C6E">
      <w:pPr>
        <w:pStyle w:val="Standard"/>
      </w:pPr>
      <w:r>
        <w:t>No comments in the record expressly supported approval of the Application. The remaining comments did not take a clear position.</w:t>
      </w:r>
    </w:p>
    <w:p w:rsidRPr="00FD0489" w:rsidR="00DE31CA" w:rsidP="00FD0489" w:rsidRDefault="003D5307" w14:paraId="64F17E1D" w14:textId="77777777">
      <w:pPr>
        <w:pStyle w:val="Heading1"/>
        <w:keepNext/>
        <w:keepLines/>
        <w:widowControl/>
        <w:numPr>
          <w:ilvl w:val="0"/>
          <w:numId w:val="9"/>
        </w:numPr>
        <w:autoSpaceDE/>
        <w:autoSpaceDN/>
        <w:spacing w:after="120"/>
        <w:ind w:left="720" w:right="2160"/>
        <w:rPr>
          <w:rFonts w:eastAsiaTheme="majorEastAsia" w:cstheme="majorBidi"/>
          <w:bCs w:val="0"/>
          <w:szCs w:val="32"/>
        </w:rPr>
      </w:pPr>
      <w:bookmarkStart w:name="8._Procedural_Matters" w:id="46"/>
      <w:bookmarkStart w:name="_Toc187748588" w:id="47"/>
      <w:bookmarkStart w:name="_Toc214020795" w:id="48"/>
      <w:bookmarkEnd w:id="46"/>
      <w:r w:rsidRPr="00FD0489">
        <w:rPr>
          <w:rFonts w:eastAsiaTheme="majorEastAsia" w:cstheme="majorBidi"/>
          <w:bCs w:val="0"/>
          <w:szCs w:val="32"/>
        </w:rPr>
        <w:t>Procedural Matters</w:t>
      </w:r>
      <w:bookmarkEnd w:id="47"/>
      <w:bookmarkEnd w:id="48"/>
    </w:p>
    <w:p w:rsidR="00DE31CA" w:rsidP="00721F2C" w:rsidRDefault="2B9E84B1" w14:paraId="6C4AB46B" w14:textId="79965755">
      <w:pPr>
        <w:pStyle w:val="Standard"/>
      </w:pPr>
      <w:r>
        <w:t xml:space="preserve">We grant </w:t>
      </w:r>
      <w:r w:rsidRPr="53CFD516">
        <w:t>PG&amp;E’s July 17, 2025, motion for transcript corrections. The corrections are adopted and deemed part of the record.</w:t>
      </w:r>
    </w:p>
    <w:p w:rsidR="00DE31CA" w:rsidP="00721F2C" w:rsidRDefault="003D5307" w14:paraId="1F80118D" w14:textId="4ADC003B">
      <w:pPr>
        <w:pStyle w:val="Standard"/>
      </w:pPr>
      <w:r>
        <w:lastRenderedPageBreak/>
        <w:t xml:space="preserve">This decision affirms all rulings made by the ALJ and assigned Commissioner </w:t>
      </w:r>
      <w:r w:rsidRPr="00721F2C">
        <w:t>in</w:t>
      </w:r>
      <w:r>
        <w:t xml:space="preserve"> </w:t>
      </w:r>
      <w:r w:rsidRPr="00721F2C">
        <w:t>this</w:t>
      </w:r>
      <w:r>
        <w:t xml:space="preserve"> </w:t>
      </w:r>
      <w:r w:rsidRPr="00721F2C">
        <w:t>proceeding.</w:t>
      </w:r>
      <w:r>
        <w:t xml:space="preserve"> </w:t>
      </w:r>
      <w:r w:rsidRPr="00721F2C">
        <w:t>All</w:t>
      </w:r>
      <w:r>
        <w:t xml:space="preserve"> </w:t>
      </w:r>
      <w:r w:rsidR="4116D1CB">
        <w:t>other</w:t>
      </w:r>
      <w:r>
        <w:t xml:space="preserve"> </w:t>
      </w:r>
      <w:r w:rsidRPr="00721F2C">
        <w:t>motions</w:t>
      </w:r>
      <w:r>
        <w:t xml:space="preserve"> </w:t>
      </w:r>
      <w:r w:rsidRPr="00721F2C">
        <w:t>not</w:t>
      </w:r>
      <w:r>
        <w:t xml:space="preserve"> </w:t>
      </w:r>
      <w:r w:rsidRPr="00721F2C">
        <w:t>ruled</w:t>
      </w:r>
      <w:r>
        <w:t xml:space="preserve"> </w:t>
      </w:r>
      <w:r w:rsidRPr="00721F2C">
        <w:t>on</w:t>
      </w:r>
      <w:r>
        <w:t xml:space="preserve"> </w:t>
      </w:r>
      <w:r w:rsidRPr="00721F2C">
        <w:t>are</w:t>
      </w:r>
      <w:r>
        <w:t xml:space="preserve"> </w:t>
      </w:r>
      <w:r w:rsidRPr="00721F2C">
        <w:t>deemed</w:t>
      </w:r>
      <w:r>
        <w:t xml:space="preserve"> denied.</w:t>
      </w:r>
    </w:p>
    <w:p w:rsidRPr="00FD0489" w:rsidR="00DE31CA" w:rsidP="00FD0489" w:rsidRDefault="003D5307" w14:paraId="0F2E2119" w14:textId="77777777">
      <w:pPr>
        <w:pStyle w:val="Heading1"/>
        <w:keepNext/>
        <w:keepLines/>
        <w:widowControl/>
        <w:numPr>
          <w:ilvl w:val="0"/>
          <w:numId w:val="9"/>
        </w:numPr>
        <w:autoSpaceDE/>
        <w:autoSpaceDN/>
        <w:spacing w:after="120"/>
        <w:ind w:left="720" w:right="2160"/>
        <w:rPr>
          <w:rFonts w:eastAsiaTheme="majorEastAsia" w:cstheme="majorBidi"/>
          <w:bCs w:val="0"/>
          <w:szCs w:val="32"/>
        </w:rPr>
      </w:pPr>
      <w:bookmarkStart w:name="9._Comments_on_Proposed_Decision" w:id="49"/>
      <w:bookmarkStart w:name="_Toc187748589" w:id="50"/>
      <w:bookmarkStart w:name="_Toc214020796" w:id="51"/>
      <w:bookmarkEnd w:id="49"/>
      <w:r w:rsidRPr="00FD0489">
        <w:rPr>
          <w:rFonts w:eastAsiaTheme="majorEastAsia" w:cstheme="majorBidi"/>
          <w:bCs w:val="0"/>
          <w:szCs w:val="32"/>
        </w:rPr>
        <w:t>Comments on Proposed Decision</w:t>
      </w:r>
      <w:bookmarkEnd w:id="50"/>
      <w:bookmarkEnd w:id="51"/>
    </w:p>
    <w:p w:rsidR="00E81D84" w:rsidP="00721F2C" w:rsidRDefault="003D5307" w14:paraId="3329E594" w14:textId="2C9A0404">
      <w:pPr>
        <w:pStyle w:val="Standard"/>
      </w:pPr>
      <w:r>
        <w:t>The</w:t>
      </w:r>
      <w:r w:rsidRPr="00721F2C">
        <w:t xml:space="preserve"> </w:t>
      </w:r>
      <w:r>
        <w:t>proposed</w:t>
      </w:r>
      <w:r w:rsidRPr="00721F2C">
        <w:t xml:space="preserve"> </w:t>
      </w:r>
      <w:r>
        <w:t>decision</w:t>
      </w:r>
      <w:r w:rsidR="00812E93">
        <w:t xml:space="preserve"> (PD)</w:t>
      </w:r>
      <w:r w:rsidRPr="00721F2C">
        <w:t xml:space="preserve"> </w:t>
      </w:r>
      <w:r>
        <w:t>of</w:t>
      </w:r>
      <w:r w:rsidRPr="00721F2C">
        <w:t xml:space="preserve"> </w:t>
      </w:r>
      <w:r>
        <w:t>ALJ</w:t>
      </w:r>
      <w:r w:rsidRPr="00721F2C">
        <w:t xml:space="preserve"> </w:t>
      </w:r>
      <w:r>
        <w:t>Eric</w:t>
      </w:r>
      <w:r w:rsidRPr="00721F2C">
        <w:t xml:space="preserve"> </w:t>
      </w:r>
      <w:r>
        <w:t>Fredericks</w:t>
      </w:r>
      <w:r w:rsidRPr="00721F2C">
        <w:t xml:space="preserve"> </w:t>
      </w:r>
      <w:r>
        <w:t>in</w:t>
      </w:r>
      <w:r w:rsidRPr="00721F2C">
        <w:t xml:space="preserve"> </w:t>
      </w:r>
      <w:r>
        <w:t>this</w:t>
      </w:r>
      <w:r w:rsidRPr="00721F2C">
        <w:t xml:space="preserve"> </w:t>
      </w:r>
      <w:r>
        <w:t>matter</w:t>
      </w:r>
      <w:r w:rsidRPr="00721F2C">
        <w:t xml:space="preserve"> </w:t>
      </w:r>
      <w:r>
        <w:t>was</w:t>
      </w:r>
      <w:r w:rsidRPr="00721F2C">
        <w:t xml:space="preserve"> </w:t>
      </w:r>
      <w:r>
        <w:t>mailed</w:t>
      </w:r>
      <w:r w:rsidRPr="00721F2C">
        <w:t xml:space="preserve"> </w:t>
      </w:r>
      <w:r>
        <w:t>to the parties in accordance with Section 311 of the Pub</w:t>
      </w:r>
      <w:r w:rsidR="28932202">
        <w:t>.</w:t>
      </w:r>
      <w:r>
        <w:t xml:space="preserve"> Util</w:t>
      </w:r>
      <w:r w:rsidR="76109E4F">
        <w:t>.</w:t>
      </w:r>
      <w:r>
        <w:t xml:space="preserve"> Code and comments were allowed under Rule 14.3 of the Commission’s Rules of Practice and Procedure.</w:t>
      </w:r>
      <w:r w:rsidR="006736AA">
        <w:t xml:space="preserve"> Comments </w:t>
      </w:r>
      <w:r w:rsidR="00094C71">
        <w:t xml:space="preserve">were filed by Cal Advocates and PG&amp;E on </w:t>
      </w:r>
      <w:r w:rsidR="004935F0">
        <w:t>December 4, 2025,</w:t>
      </w:r>
      <w:r w:rsidR="00084639">
        <w:t xml:space="preserve"> and reply comments were filed by PG&amp;E on </w:t>
      </w:r>
      <w:r w:rsidR="0046229B">
        <w:t>December 9, 2025.</w:t>
      </w:r>
    </w:p>
    <w:p w:rsidR="0046229B" w:rsidP="00721F2C" w:rsidRDefault="00244BFB" w14:paraId="6E2258C1" w14:textId="2B21835E">
      <w:pPr>
        <w:pStyle w:val="Standard"/>
      </w:pPr>
      <w:r w:rsidRPr="00244BFB">
        <w:t>Cal Advocates argues that the PD departs from the Scoping Memo by evaluating whether PG&amp;E’s CGI Plant costs were “more likely than not incurred,” rather than determining whether the costs were “actually incurred.” Cal Advocates contends that substituting this phrasing constitutes a violation of Commission rules and results in prejudicial error.</w:t>
      </w:r>
    </w:p>
    <w:p w:rsidR="00EB06C5" w:rsidP="00721F2C" w:rsidRDefault="00EB64FF" w14:paraId="0CA8BFFA" w14:textId="38FD1F56">
      <w:pPr>
        <w:pStyle w:val="Standard"/>
      </w:pPr>
      <w:r w:rsidRPr="00EB64FF">
        <w:t xml:space="preserve">Cal Advocates asserts that PG&amp;E’s showing is insufficient because it relies on internal ledger entries and selected invoices rather than comprehensive or statistically valid documentation. Cal Advocates further argues </w:t>
      </w:r>
      <w:r w:rsidR="00DD6762">
        <w:t xml:space="preserve">that </w:t>
      </w:r>
      <w:r w:rsidRPr="00EB64FF">
        <w:t>PG&amp;E did not provide verifiable controls demonstrating the CGI Plant costs were incurred.</w:t>
      </w:r>
    </w:p>
    <w:p w:rsidR="006220DB" w:rsidP="00721F2C" w:rsidRDefault="00B244DA" w14:paraId="359F2571" w14:textId="7FC5B1AB">
      <w:pPr>
        <w:pStyle w:val="Standard"/>
      </w:pPr>
      <w:r>
        <w:t xml:space="preserve">Cal Advocates contends </w:t>
      </w:r>
      <w:r w:rsidRPr="00B244DA">
        <w:t>that PG&amp;E’s selected invoices and documentation cannot be extrapolated to the full recorded balance and that the PD errs in accepting a non-statistical sample as proof that the remaining costs were incurred.</w:t>
      </w:r>
    </w:p>
    <w:p w:rsidR="00665EA3" w:rsidP="00721F2C" w:rsidRDefault="00665EA3" w14:paraId="71756A28" w14:textId="4F71A68A">
      <w:pPr>
        <w:pStyle w:val="Standard"/>
      </w:pPr>
      <w:r w:rsidRPr="00665EA3">
        <w:t xml:space="preserve">Cal Advocates contends that the PD incorrectly states that it conducted an “independent audit review” of CGI Plant costs in PG&amp;E’s 2023 GRC. Cal Advocates argues that its GRC work focuses on reviewing PG&amp;E’s recorded </w:t>
      </w:r>
      <w:r w:rsidRPr="00665EA3">
        <w:lastRenderedPageBreak/>
        <w:t>expenditures for forecasting purposes and does not constitute an audit of the CGI Plant costs at issue in this proceeding.</w:t>
      </w:r>
    </w:p>
    <w:p w:rsidR="005D4987" w:rsidP="00721F2C" w:rsidRDefault="005D4987" w14:paraId="3D1DD5DE" w14:textId="4DF455DF">
      <w:pPr>
        <w:pStyle w:val="Standard"/>
      </w:pPr>
      <w:r w:rsidRPr="005D4987">
        <w:t>Cal Advocates argues that the PD errs by not giving proper weight to FERC’s findings in Opinion No. 572 and the Initial Decision, which concluded that PG&amp;E had not shown certain CGI Plant costs were incurred. Cal Advocates contends that these findings directly undermine PG&amp;E’s showing in this proceeding.</w:t>
      </w:r>
    </w:p>
    <w:p w:rsidR="00A77A7B" w:rsidP="00721F2C" w:rsidRDefault="00A77A7B" w14:paraId="6F1E1CEA" w14:textId="6287DDC0">
      <w:pPr>
        <w:pStyle w:val="Standard"/>
      </w:pPr>
      <w:r w:rsidRPr="00A77A7B">
        <w:t>Cal Advocates argues that the PD improperly shifts the burden of proof by accepting PG&amp;E’s rebuttal documentation and by emphasizing Cal Advocates’ opportunity to review that material. Cal Advocates asserts that PG&amp;E was required to provide “affirmative proof” in its opening showing and that PG&amp;E’s later-produced evidence does not satisfy the utility’s burden under Pub. Util. Code §§ 451 and 454. Cal Advocates contends that the PD’s conclusion effectively requires Cal Advocates to disprove PG&amp;E’s showing, contrary to Commission precedent.</w:t>
      </w:r>
    </w:p>
    <w:p w:rsidR="00CD2C55" w:rsidP="00721F2C" w:rsidRDefault="00CD2C55" w14:paraId="55F40373" w14:textId="58FCE6D6">
      <w:pPr>
        <w:pStyle w:val="Standard"/>
      </w:pPr>
      <w:r w:rsidRPr="00CD2C55">
        <w:t xml:space="preserve">Cal Advocates </w:t>
      </w:r>
      <w:r>
        <w:t>asserts</w:t>
      </w:r>
      <w:r w:rsidRPr="00CD2C55">
        <w:t xml:space="preserve"> that the PD fails to consider the full evidentiary record and is therefore arbitrary and capricious. Cal Advocates </w:t>
      </w:r>
      <w:r>
        <w:t>contends</w:t>
      </w:r>
      <w:r w:rsidRPr="00CD2C55">
        <w:t xml:space="preserve"> that PG&amp;E withheld key documentation until rebuttal, that the record contains contrary indicators regarding cost incurrence, and that the PD improperly accepts PG&amp;E’s showing without adequate scrutiny. Cal Advocates further argues that its ability to evaluate the late-served evidence was constrained by the schedule.</w:t>
      </w:r>
    </w:p>
    <w:p w:rsidR="00457A29" w:rsidP="00721F2C" w:rsidRDefault="00457A29" w14:paraId="4E793609" w14:textId="051E59A4">
      <w:pPr>
        <w:pStyle w:val="Standard"/>
      </w:pPr>
      <w:r w:rsidRPr="00457A29">
        <w:t xml:space="preserve">Cal Advocates argues that the PD grants PG&amp;E too much discretion in calculating refunds associated with misclassified transmission assets and should require independent verification, clearer methodological requirements, and </w:t>
      </w:r>
      <w:r w:rsidRPr="00457A29">
        <w:lastRenderedPageBreak/>
        <w:t>additional safeguards to ensure accurate refund amounts. Cal Advocates requests that the PD be revised to mandate a more prescriptive and independently reviewable approach to determining refunds for the 2006–2022 period.</w:t>
      </w:r>
    </w:p>
    <w:p w:rsidR="00C44474" w:rsidP="00721F2C" w:rsidRDefault="00C44474" w14:paraId="5E9FAA75" w14:textId="6863ABF5">
      <w:pPr>
        <w:pStyle w:val="Standard"/>
      </w:pPr>
      <w:r>
        <w:t>After reviewing</w:t>
      </w:r>
      <w:r w:rsidR="00E73788">
        <w:t xml:space="preserve"> Cal Advocates’ comments, </w:t>
      </w:r>
      <w:r w:rsidR="001C51CF">
        <w:t>the Commission makes two revisions to the PD</w:t>
      </w:r>
      <w:r w:rsidR="00E73788">
        <w:t>.</w:t>
      </w:r>
    </w:p>
    <w:p w:rsidR="00B431DC" w:rsidP="00721F2C" w:rsidRDefault="00B431DC" w14:paraId="22B16FA4" w14:textId="110159BE">
      <w:pPr>
        <w:pStyle w:val="Standard"/>
      </w:pPr>
      <w:r>
        <w:t>First, we add additional requirements to the Tier 2 Advice Letter filing addressing the misclassified</w:t>
      </w:r>
      <w:r w:rsidR="00860058">
        <w:t xml:space="preserve"> transmission assets.</w:t>
      </w:r>
    </w:p>
    <w:p w:rsidR="00860058" w:rsidP="00721F2C" w:rsidRDefault="00860058" w14:paraId="3B8454C6" w14:textId="7D1B2614">
      <w:pPr>
        <w:pStyle w:val="Standard"/>
      </w:pPr>
      <w:r>
        <w:t>Second, we amend the reference in the PD to Cal Advocates “independent audit review.”</w:t>
      </w:r>
      <w:r w:rsidR="00681A08">
        <w:t xml:space="preserve"> As stated in the PD, this language was intended to describe Cal Advocates’ standard review of PG&amp;E’s recorded expenditures in the</w:t>
      </w:r>
      <w:r w:rsidR="00227455">
        <w:t xml:space="preserve"> GRC for the purpose of forecasting test-year revenue requirements. We remove it to avoid implying that Cal Advocates conducted a separate financial audit of the CGI Plan</w:t>
      </w:r>
      <w:r w:rsidR="000269C0">
        <w:t>t costs at issue here. Clarifying this meaning does not affect the PD’s substantive findings or conclusions.</w:t>
      </w:r>
    </w:p>
    <w:p w:rsidR="00210E85" w:rsidP="00721F2C" w:rsidRDefault="00210E85" w14:paraId="296258F4" w14:textId="7BED4121">
      <w:pPr>
        <w:pStyle w:val="Standard"/>
      </w:pPr>
      <w:r>
        <w:t>We otherwise decline to adopt changes based on Cal Advocates’ comments due to the reasoning described below.</w:t>
      </w:r>
    </w:p>
    <w:p w:rsidR="00E73788" w:rsidP="00721F2C" w:rsidRDefault="00CC19EB" w14:paraId="34AD0057" w14:textId="15A11F50">
      <w:pPr>
        <w:pStyle w:val="Standard"/>
      </w:pPr>
      <w:r w:rsidRPr="00CC19EB">
        <w:t>The Scoping Memo identifies the issue</w:t>
      </w:r>
      <w:r w:rsidR="00506F0E">
        <w:t>s</w:t>
      </w:r>
      <w:r w:rsidRPr="00CC19EB">
        <w:t xml:space="preserve"> to be resolved but does not establish or modify the evidentiary standard that applies to that determination. The PD applies the Commission’s preponderance of the evidence standard, and the phrase “more likely than not” reflects that standard—not a lesser burden and not a departure from the Scoping Memo. As reaffirmed in PG&amp;E’s 2023 GRC, preponderance is met when the evidence “has more convincing force and the greater probability of truth” than the evidence opposed to it.</w:t>
      </w:r>
      <w:r w:rsidR="004E04CB">
        <w:rPr>
          <w:rStyle w:val="FootnoteReference"/>
        </w:rPr>
        <w:footnoteReference w:id="56"/>
      </w:r>
      <w:r w:rsidRPr="00CC19EB">
        <w:t xml:space="preserve"> The PD correctly </w:t>
      </w:r>
      <w:r w:rsidRPr="00CC19EB">
        <w:lastRenderedPageBreak/>
        <w:t>applies the Commission’s preponderance of the evidence standard when evaluating whether PG&amp;E demonstrated that the CGI Plant costs were actually incurred. The PD finds that PG&amp;E’s ledger records, representative invoices, and sworn testimony constitute sufficient evidence of cost incurrence for CGI Plant accounts, which are commonly recorded through pooled accounting rather than discrete project-level transactions. Cal Advocates’ disagreement with the weight the PD assigns to PG&amp;E’s showing does not warrant modification.</w:t>
      </w:r>
    </w:p>
    <w:p w:rsidR="00180AA6" w:rsidP="00721F2C" w:rsidRDefault="00280BB9" w14:paraId="7933DD6C" w14:textId="77777777">
      <w:pPr>
        <w:pStyle w:val="Standard"/>
      </w:pPr>
      <w:r w:rsidRPr="00280BB9">
        <w:t>The PD acknowledges FERC’s findings that, in the record before FERC, PG&amp;E had not sufficiently demonstrated that certain CGI Plant costs were incurred for purposes of direct assignment. The Commission evaluates PG&amp;E’s showing under its own evidentiary standard and on the complete record developed here, which includes documentation and testimony not available in the FERC proceeding. The PD therefore does not treat FERC’s determinations as binding but considers them as part of the overall context.</w:t>
      </w:r>
    </w:p>
    <w:p w:rsidR="00457A16" w:rsidP="00721F2C" w:rsidRDefault="00180AA6" w14:paraId="2B461ED0" w14:textId="65062C40">
      <w:pPr>
        <w:pStyle w:val="Standard"/>
      </w:pPr>
      <w:r w:rsidRPr="00180AA6">
        <w:t>The PD applies the correct burden of proof</w:t>
      </w:r>
      <w:r>
        <w:t>.</w:t>
      </w:r>
      <w:r w:rsidRPr="00180AA6">
        <w:t xml:space="preserve"> PG&amp;E bears the burden to demonstrate, by a preponderance of the evidence, that the recorded CGI Plant costs were actually incurred and properly recorded. Supplemental evidence presented in rebuttal may be considered when it responds to issues raised in intervenor testimony and is introduced before hearings, consistent with Commission practice. The rebuttal materials were served sufficiently before hearings to allow cross-examination and were accompanied by an offer of additional review time, which Cal Advocates declined. The PD does not shift the burden to Cal Advocates, and Cal Advocates identifies no portion of the PD that places a requirement on intervenors to disprove PG&amp;E’s showing.</w:t>
      </w:r>
      <w:r w:rsidR="00C504A2">
        <w:t xml:space="preserve"> </w:t>
      </w:r>
      <w:r w:rsidRPr="00C504A2" w:rsidR="00C504A2">
        <w:t xml:space="preserve">This sequence </w:t>
      </w:r>
      <w:r w:rsidR="00C504A2">
        <w:t xml:space="preserve">also </w:t>
      </w:r>
      <w:r w:rsidRPr="00C504A2" w:rsidR="00C504A2">
        <w:t xml:space="preserve">demonstrates that the record allowed meaningful participation and does not </w:t>
      </w:r>
      <w:r w:rsidRPr="00C504A2" w:rsidR="00C504A2">
        <w:lastRenderedPageBreak/>
        <w:t>support a finding that the PD ignored relevant evidence or failed to proceed in the manner required by law.</w:t>
      </w:r>
    </w:p>
    <w:p w:rsidR="00E02C2B" w:rsidP="00C26BC9" w:rsidRDefault="00082D34" w14:paraId="4242B3BC" w14:textId="19DD0820">
      <w:pPr>
        <w:pStyle w:val="Standard"/>
      </w:pPr>
      <w:r>
        <w:t>PG&amp;E</w:t>
      </w:r>
      <w:r w:rsidR="00994156">
        <w:t xml:space="preserve"> states that </w:t>
      </w:r>
      <w:r w:rsidR="00FC428C">
        <w:t xml:space="preserve">the Application originally requested </w:t>
      </w:r>
      <w:r w:rsidR="00A507FF">
        <w:t>$7.9 million for changes</w:t>
      </w:r>
      <w:r w:rsidR="007915D9">
        <w:t xml:space="preserve"> </w:t>
      </w:r>
      <w:r w:rsidR="00745DC0">
        <w:t xml:space="preserve">in CAISO </w:t>
      </w:r>
      <w:r w:rsidR="007915D9">
        <w:t xml:space="preserve">operational control but subsequently reduced the $7.9 million request to $7.7 million in its errata testimony. This </w:t>
      </w:r>
      <w:r w:rsidR="00C26BC9">
        <w:t>change</w:t>
      </w:r>
      <w:r w:rsidR="007915D9">
        <w:t xml:space="preserve"> reflect</w:t>
      </w:r>
      <w:r w:rsidR="00C26BC9">
        <w:t>s</w:t>
      </w:r>
      <w:r w:rsidR="007915D9">
        <w:t xml:space="preserve"> that only one facility was involved in the operational control change </w:t>
      </w:r>
      <w:r w:rsidR="00C26BC9">
        <w:t>as opposed to</w:t>
      </w:r>
      <w:r w:rsidR="007915D9">
        <w:t xml:space="preserve"> two facilities.</w:t>
      </w:r>
      <w:r w:rsidR="00AB58E5">
        <w:t xml:space="preserve"> The change</w:t>
      </w:r>
      <w:r w:rsidR="00745DC0">
        <w:t xml:space="preserve"> reduces the tota</w:t>
      </w:r>
      <w:r w:rsidR="00F13D85">
        <w:t>l requested revenue requirement from $338.2 million to $337.9 million.</w:t>
      </w:r>
      <w:r w:rsidR="00D80F3D">
        <w:t xml:space="preserve"> PG&amp;E recommends certain sections of the PD be revised to reflect </w:t>
      </w:r>
      <w:r w:rsidR="0067006B">
        <w:t>these amounts.</w:t>
      </w:r>
    </w:p>
    <w:p w:rsidR="0067006B" w:rsidP="00C26BC9" w:rsidRDefault="0067006B" w14:paraId="1D5D36AF" w14:textId="6138CBB2">
      <w:pPr>
        <w:pStyle w:val="Standard"/>
      </w:pPr>
      <w:r>
        <w:t>PG&amp;E also requested</w:t>
      </w:r>
      <w:r w:rsidR="006D7DA8">
        <w:t xml:space="preserve"> that Ordering Paragraph </w:t>
      </w:r>
      <w:r w:rsidR="008C655D">
        <w:t xml:space="preserve">(OP) </w:t>
      </w:r>
      <w:r w:rsidR="006D7DA8">
        <w:t xml:space="preserve">1 be revised to </w:t>
      </w:r>
      <w:r w:rsidR="001B4F69">
        <w:t xml:space="preserve">give flexibility to amortize costs over </w:t>
      </w:r>
      <w:r w:rsidR="003C2F3E">
        <w:t>a longer than 12</w:t>
      </w:r>
      <w:r w:rsidR="008E5289">
        <w:t>-</w:t>
      </w:r>
      <w:r w:rsidR="003C2F3E">
        <w:t>month period to coordinate with other scheduled rate changes and note these changes in the information-only compliance report.</w:t>
      </w:r>
    </w:p>
    <w:p w:rsidR="003C2F3E" w:rsidP="00C26BC9" w:rsidRDefault="00B40B7E" w14:paraId="0BF63F50" w14:textId="55613683">
      <w:pPr>
        <w:pStyle w:val="Standard"/>
      </w:pPr>
      <w:r w:rsidRPr="00B40B7E">
        <w:t>PG&amp;E asserts that the PD misstates the findings in FERC Opinion No. 572 and the Initial Decision. PG&amp;E argues that FERC was focused only on allocation methodology, not on whether the CGI Plant costs were shown to be incurred, and that the PD should be revised to narrow what FERC determined.</w:t>
      </w:r>
    </w:p>
    <w:p w:rsidR="008C655D" w:rsidP="00C26BC9" w:rsidRDefault="008C655D" w14:paraId="119B65CD" w14:textId="318A7A11">
      <w:pPr>
        <w:pStyle w:val="Standard"/>
      </w:pPr>
      <w:r>
        <w:t>PG&amp;E re</w:t>
      </w:r>
      <w:r w:rsidR="00571659">
        <w:t>commend</w:t>
      </w:r>
      <w:r>
        <w:t>s that</w:t>
      </w:r>
      <w:r w:rsidR="00571659">
        <w:t xml:space="preserve"> OP 1 be revised to include a reference to interest</w:t>
      </w:r>
      <w:r w:rsidR="00A90BF6">
        <w:t xml:space="preserve"> to be consistent with the TRRRMA Preliminary Statement.</w:t>
      </w:r>
    </w:p>
    <w:p w:rsidR="00A90BF6" w:rsidP="00C26BC9" w:rsidRDefault="00A90BF6" w14:paraId="0FEA4916" w14:textId="37584979">
      <w:pPr>
        <w:pStyle w:val="Standard"/>
      </w:pPr>
      <w:r>
        <w:t xml:space="preserve">After reviewing PGE’s comments, </w:t>
      </w:r>
      <w:r w:rsidR="0002213F">
        <w:t>the Commission makes the following revisions to the PD</w:t>
      </w:r>
      <w:r w:rsidR="007F719C">
        <w:t>.</w:t>
      </w:r>
    </w:p>
    <w:p w:rsidR="007E1C9C" w:rsidP="00C26BC9" w:rsidRDefault="00F1477C" w14:paraId="3F16724C" w14:textId="37027AD3">
      <w:pPr>
        <w:pStyle w:val="Standard"/>
      </w:pPr>
      <w:r>
        <w:t xml:space="preserve">The summary, background, and OP 1 are modified to reflect the </w:t>
      </w:r>
      <w:r w:rsidR="00986A50">
        <w:t xml:space="preserve">modified </w:t>
      </w:r>
      <w:r w:rsidR="0098426E">
        <w:t>CAISO operational control facility</w:t>
      </w:r>
      <w:r w:rsidR="00A9776D">
        <w:t xml:space="preserve"> </w:t>
      </w:r>
      <w:r w:rsidR="00986A50">
        <w:t>request from the original Application.</w:t>
      </w:r>
    </w:p>
    <w:p w:rsidR="00EC0B69" w:rsidP="00C26BC9" w:rsidRDefault="00EC0B69" w14:paraId="2FD13372" w14:textId="162AE60D">
      <w:pPr>
        <w:pStyle w:val="Standard"/>
      </w:pPr>
      <w:r>
        <w:t xml:space="preserve">OP 1 is modified to allow PG&amp;E </w:t>
      </w:r>
      <w:r w:rsidR="00BE6484">
        <w:t xml:space="preserve">to amortize the revenue requirement period over 12 to 14 months in a way that aligns with other future, scheduled </w:t>
      </w:r>
      <w:r w:rsidR="00BE6484">
        <w:lastRenderedPageBreak/>
        <w:t xml:space="preserve">rate changes, </w:t>
      </w:r>
      <w:r w:rsidR="00966619">
        <w:t xml:space="preserve">with the beginning of the amortization period </w:t>
      </w:r>
      <w:r w:rsidR="00BE6484">
        <w:t xml:space="preserve">not to </w:t>
      </w:r>
      <w:r w:rsidR="00966619">
        <w:t>be later than</w:t>
      </w:r>
      <w:r w:rsidR="00BE6484">
        <w:t xml:space="preserve"> six months from</w:t>
      </w:r>
      <w:r w:rsidR="00966619">
        <w:t xml:space="preserve"> the</w:t>
      </w:r>
      <w:r w:rsidR="00BE6484">
        <w:t xml:space="preserve"> effective date of this decision. </w:t>
      </w:r>
      <w:r w:rsidR="00F03362">
        <w:t>OP</w:t>
      </w:r>
      <w:r w:rsidR="00982109">
        <w:t xml:space="preserve"> </w:t>
      </w:r>
      <w:r w:rsidR="00F03362">
        <w:t>1 is also modified</w:t>
      </w:r>
      <w:r w:rsidR="00CF6921">
        <w:t xml:space="preserve"> to state </w:t>
      </w:r>
      <w:r w:rsidRPr="002646B1" w:rsidR="00BE6484">
        <w:t xml:space="preserve">PG&amp;E shall include the proposed amortization period in the information-only compliance report described in </w:t>
      </w:r>
      <w:r w:rsidR="00F03362">
        <w:t>OP</w:t>
      </w:r>
      <w:r w:rsidRPr="002646B1" w:rsidR="00BE6484">
        <w:t xml:space="preserve"> 3.</w:t>
      </w:r>
    </w:p>
    <w:p w:rsidR="00CF6921" w:rsidP="00C26BC9" w:rsidRDefault="00CF6921" w14:paraId="3F70F30D" w14:textId="65DC8EE9">
      <w:pPr>
        <w:pStyle w:val="Standard"/>
      </w:pPr>
      <w:r>
        <w:t xml:space="preserve">OP 1 is further modified to </w:t>
      </w:r>
      <w:r w:rsidR="000F652F">
        <w:t>include a reference to interest, consistent with the TRRRMA Preliminary Statement.</w:t>
      </w:r>
    </w:p>
    <w:p w:rsidR="0095146F" w:rsidP="00C26BC9" w:rsidRDefault="00E373FD" w14:paraId="47E32C0E" w14:textId="7A1DC063">
      <w:pPr>
        <w:pStyle w:val="Standard"/>
      </w:pPr>
      <w:r w:rsidRPr="00E373FD">
        <w:t xml:space="preserve">The </w:t>
      </w:r>
      <w:r>
        <w:t xml:space="preserve">Commission rejects PG&amp;E’s request to modify </w:t>
      </w:r>
      <w:r w:rsidR="004A46E1">
        <w:t xml:space="preserve">page 5 of the </w:t>
      </w:r>
      <w:r w:rsidRPr="00E373FD">
        <w:t>PD</w:t>
      </w:r>
      <w:r w:rsidR="004A46E1">
        <w:t>. The PD</w:t>
      </w:r>
      <w:r w:rsidRPr="00E373FD">
        <w:t xml:space="preserve"> accurately summarizes the FERC decisions. In TO18, both the Presiding Judge and FERC concluded that, based on the record in that proceeding, PG&amp;E had not sufficiently demonstrated that certain CGI Plant costs were incurred for purposes of direct assignment. At the same time, FERC allowed recovery of these categories of costs under the broader labor-allocator method. That context is correctly reflected in the PD.</w:t>
      </w:r>
    </w:p>
    <w:p w:rsidRPr="00FD0489" w:rsidR="00DE31CA" w:rsidP="00FD0489" w:rsidRDefault="003D5307" w14:paraId="71855ACE" w14:textId="77777777">
      <w:pPr>
        <w:pStyle w:val="Heading1"/>
        <w:keepNext/>
        <w:keepLines/>
        <w:widowControl/>
        <w:numPr>
          <w:ilvl w:val="0"/>
          <w:numId w:val="9"/>
        </w:numPr>
        <w:autoSpaceDE/>
        <w:autoSpaceDN/>
        <w:spacing w:after="120"/>
        <w:ind w:left="720" w:right="2160"/>
        <w:rPr>
          <w:rFonts w:eastAsiaTheme="majorEastAsia" w:cstheme="majorBidi"/>
          <w:bCs w:val="0"/>
          <w:szCs w:val="32"/>
        </w:rPr>
      </w:pPr>
      <w:bookmarkStart w:name="10._Assignment_of_Proceeding" w:id="52"/>
      <w:bookmarkStart w:name="_Toc187748590" w:id="53"/>
      <w:bookmarkStart w:name="_Toc214020797" w:id="54"/>
      <w:bookmarkEnd w:id="52"/>
      <w:r w:rsidRPr="00FD0489">
        <w:rPr>
          <w:rFonts w:eastAsiaTheme="majorEastAsia" w:cstheme="majorBidi"/>
          <w:bCs w:val="0"/>
          <w:szCs w:val="32"/>
        </w:rPr>
        <w:t>Assignment of Proceeding</w:t>
      </w:r>
      <w:bookmarkEnd w:id="53"/>
      <w:bookmarkEnd w:id="54"/>
    </w:p>
    <w:p w:rsidR="00DE31CA" w:rsidP="00721F2C" w:rsidRDefault="00995FDE" w14:paraId="23F98414" w14:textId="1C7D5251">
      <w:pPr>
        <w:pStyle w:val="Standard"/>
      </w:pPr>
      <w:r>
        <w:t>Matthew Baker</w:t>
      </w:r>
      <w:r w:rsidRPr="00721F2C" w:rsidR="003D5307">
        <w:t xml:space="preserve"> </w:t>
      </w:r>
      <w:r w:rsidR="003D5307">
        <w:t>is</w:t>
      </w:r>
      <w:r w:rsidRPr="00721F2C" w:rsidR="003D5307">
        <w:t xml:space="preserve"> </w:t>
      </w:r>
      <w:r w:rsidR="003D5307">
        <w:t>the</w:t>
      </w:r>
      <w:r w:rsidRPr="00721F2C" w:rsidR="003D5307">
        <w:t xml:space="preserve"> </w:t>
      </w:r>
      <w:r w:rsidR="003D5307">
        <w:t>assigned</w:t>
      </w:r>
      <w:r w:rsidRPr="00721F2C" w:rsidR="003D5307">
        <w:t xml:space="preserve"> </w:t>
      </w:r>
      <w:r w:rsidR="003D5307">
        <w:t>Commissioner</w:t>
      </w:r>
      <w:r w:rsidRPr="00721F2C" w:rsidR="003D5307">
        <w:t xml:space="preserve"> </w:t>
      </w:r>
      <w:r w:rsidR="003D5307">
        <w:t>and</w:t>
      </w:r>
      <w:r w:rsidRPr="00721F2C" w:rsidR="003D5307">
        <w:t xml:space="preserve"> </w:t>
      </w:r>
      <w:r w:rsidR="003D5307">
        <w:t>Eric</w:t>
      </w:r>
      <w:r w:rsidRPr="00721F2C" w:rsidR="003D5307">
        <w:t xml:space="preserve"> </w:t>
      </w:r>
      <w:r w:rsidR="003D5307">
        <w:t>Fredericks</w:t>
      </w:r>
      <w:r w:rsidRPr="00721F2C" w:rsidR="003D5307">
        <w:t xml:space="preserve"> </w:t>
      </w:r>
      <w:r w:rsidR="003D5307">
        <w:t>is</w:t>
      </w:r>
      <w:r w:rsidRPr="00721F2C" w:rsidR="003D5307">
        <w:t xml:space="preserve"> </w:t>
      </w:r>
      <w:r w:rsidR="003D5307">
        <w:t>the assigned Administrative Law Judge in this proceeding.</w:t>
      </w:r>
    </w:p>
    <w:p w:rsidRPr="00035B00" w:rsidR="00DE31CA" w:rsidP="00035B00" w:rsidRDefault="003D5307" w14:paraId="364CB4D4" w14:textId="77777777">
      <w:pPr>
        <w:pStyle w:val="Heading1"/>
        <w:tabs>
          <w:tab w:val="left" w:pos="720"/>
        </w:tabs>
        <w:spacing w:line="360" w:lineRule="auto"/>
        <w:ind w:left="0" w:firstLine="0"/>
        <w:rPr>
          <w:spacing w:val="-2"/>
        </w:rPr>
      </w:pPr>
      <w:bookmarkStart w:name="Findings_of_Fact" w:id="55"/>
      <w:bookmarkStart w:name="_Toc187748591" w:id="56"/>
      <w:bookmarkStart w:name="_Toc214020798" w:id="57"/>
      <w:bookmarkEnd w:id="55"/>
      <w:r w:rsidRPr="00035B00">
        <w:rPr>
          <w:spacing w:val="-2"/>
        </w:rPr>
        <w:t>Findings of Fact</w:t>
      </w:r>
      <w:bookmarkEnd w:id="56"/>
      <w:bookmarkEnd w:id="57"/>
    </w:p>
    <w:p w:rsidR="7B901AB1" w:rsidP="00B1323F" w:rsidRDefault="0BD9F7C4" w14:paraId="6EEDB14D" w14:textId="58935E44">
      <w:pPr>
        <w:pStyle w:val="FoF"/>
        <w:numPr>
          <w:ilvl w:val="0"/>
          <w:numId w:val="19"/>
        </w:numPr>
        <w:ind w:left="0" w:firstLine="360"/>
        <w:jc w:val="left"/>
      </w:pPr>
      <w:r>
        <w:t xml:space="preserve">PG&amp;E recorded balances in </w:t>
      </w:r>
      <w:r w:rsidR="2C6A45A4">
        <w:t xml:space="preserve">the </w:t>
      </w:r>
      <w:r>
        <w:t>TRRRMA and seeks recovery of those recorded amounts as described in the evidentiary record.</w:t>
      </w:r>
    </w:p>
    <w:p w:rsidR="7B901AB1" w:rsidP="00FD0489" w:rsidRDefault="0BD9F7C4" w14:paraId="2A9C9B79" w14:textId="41C0D7D3">
      <w:pPr>
        <w:pStyle w:val="FoF"/>
        <w:numPr>
          <w:ilvl w:val="0"/>
          <w:numId w:val="19"/>
        </w:numPr>
        <w:ind w:left="0" w:firstLine="360"/>
        <w:jc w:val="left"/>
      </w:pPr>
      <w:r>
        <w:t xml:space="preserve">PG&amp;E has demonstrated that the CGI Plant costs recorded to TRRRMA were actually incurred and properly recorded for purposes of this </w:t>
      </w:r>
      <w:r w:rsidR="009058CB">
        <w:t>A</w:t>
      </w:r>
      <w:r>
        <w:t>pplication.</w:t>
      </w:r>
    </w:p>
    <w:p w:rsidR="42E12E78" w:rsidP="00FD0489" w:rsidRDefault="5AA22475" w14:paraId="4036F034" w14:textId="61C01BB9">
      <w:pPr>
        <w:pStyle w:val="FoF"/>
        <w:numPr>
          <w:ilvl w:val="0"/>
          <w:numId w:val="19"/>
        </w:numPr>
        <w:ind w:left="0" w:firstLine="360"/>
        <w:jc w:val="left"/>
      </w:pPr>
      <w:r>
        <w:t>PG&amp;E’s request of $372.8 million in CGI Plant costs is within the $472.8 million ceiling authorized by the TO18 settlement.</w:t>
      </w:r>
    </w:p>
    <w:p w:rsidR="7F1B0351" w:rsidP="00FD0489" w:rsidRDefault="7F1B0351" w14:paraId="3CE82CC6" w14:textId="458E8DEB">
      <w:pPr>
        <w:pStyle w:val="FoF"/>
        <w:numPr>
          <w:ilvl w:val="0"/>
          <w:numId w:val="19"/>
        </w:numPr>
        <w:ind w:left="0" w:firstLine="360"/>
        <w:jc w:val="left"/>
      </w:pPr>
      <w:r w:rsidRPr="4A19E5A4">
        <w:lastRenderedPageBreak/>
        <w:t>The A&amp;G amounts included in this decision reflect a jurisdictional reclassification from FERC to Commission accounting and are not duplicative of amounts authorized in the most recent GRC.</w:t>
      </w:r>
    </w:p>
    <w:p w:rsidR="3565A776" w:rsidP="00FD0489" w:rsidRDefault="3565A776" w14:paraId="2315C1C8" w14:textId="5FA27A09">
      <w:pPr>
        <w:pStyle w:val="FoF"/>
        <w:numPr>
          <w:ilvl w:val="0"/>
          <w:numId w:val="19"/>
        </w:numPr>
        <w:ind w:left="0" w:firstLine="360"/>
        <w:jc w:val="left"/>
      </w:pPr>
      <w:r>
        <w:t>The $7.7 million CAISO-to-non-CAISO transfer amount is supported by the record, was not opposed on the merits, and is properly included in the adopted net revenue requirement.</w:t>
      </w:r>
    </w:p>
    <w:p w:rsidR="7B901AB1" w:rsidP="00FD0489" w:rsidRDefault="0BD9F7C4" w14:paraId="314329F6" w14:textId="4DB53C84">
      <w:pPr>
        <w:pStyle w:val="FoF"/>
        <w:numPr>
          <w:ilvl w:val="0"/>
          <w:numId w:val="19"/>
        </w:numPr>
        <w:ind w:left="0" w:firstLine="360"/>
        <w:jc w:val="left"/>
      </w:pPr>
      <w:r>
        <w:t>The revenue-requirement calculations presented for recovery are accurate on a net basis and include the $42.6 million retail offset associated with facilities moved between distribution and transmission.</w:t>
      </w:r>
    </w:p>
    <w:p w:rsidR="7B901AB1" w:rsidP="00FD0489" w:rsidRDefault="0BD9F7C4" w14:paraId="03FD43D7" w14:textId="2B8865AF">
      <w:pPr>
        <w:pStyle w:val="FoF"/>
        <w:numPr>
          <w:ilvl w:val="0"/>
          <w:numId w:val="19"/>
        </w:numPr>
        <w:ind w:left="0" w:firstLine="360"/>
        <w:jc w:val="left"/>
      </w:pPr>
      <w:r>
        <w:t>Prospective implementation is reasonable and will begin January 1, 2026, or the first practicable billing cycle thereafter.</w:t>
      </w:r>
    </w:p>
    <w:p w:rsidR="005867E3" w:rsidP="005867E3" w:rsidRDefault="005867E3" w14:paraId="5CA59930" w14:textId="77777777">
      <w:pPr>
        <w:pStyle w:val="FoF"/>
        <w:numPr>
          <w:ilvl w:val="0"/>
          <w:numId w:val="19"/>
        </w:numPr>
        <w:ind w:left="0" w:firstLine="360"/>
        <w:jc w:val="left"/>
      </w:pPr>
      <w:r>
        <w:t xml:space="preserve">PG&amp;E had </w:t>
      </w:r>
      <w:r w:rsidRPr="00791EA0">
        <w:t xml:space="preserve">improperly classified </w:t>
      </w:r>
      <w:r>
        <w:t>some transmission assets as</w:t>
      </w:r>
      <w:r w:rsidRPr="00791EA0">
        <w:t xml:space="preserve"> distribution facilities </w:t>
      </w:r>
      <w:r>
        <w:t xml:space="preserve">between </w:t>
      </w:r>
      <w:r w:rsidRPr="00791EA0">
        <w:t>2006</w:t>
      </w:r>
      <w:r>
        <w:t xml:space="preserve"> and 2023.</w:t>
      </w:r>
    </w:p>
    <w:p w:rsidR="005867E3" w:rsidP="005867E3" w:rsidRDefault="005867E3" w14:paraId="57F2BE3F" w14:textId="4990EF5A">
      <w:pPr>
        <w:pStyle w:val="FoF"/>
        <w:numPr>
          <w:ilvl w:val="0"/>
          <w:numId w:val="19"/>
        </w:numPr>
        <w:ind w:left="0" w:firstLine="360"/>
        <w:jc w:val="left"/>
      </w:pPr>
      <w:r>
        <w:t>PG&amp;E reclassified</w:t>
      </w:r>
      <w:r w:rsidRPr="00C62D6B">
        <w:t xml:space="preserve"> </w:t>
      </w:r>
      <w:r>
        <w:t xml:space="preserve">the improperly classified </w:t>
      </w:r>
      <w:r w:rsidRPr="00C62D6B">
        <w:t>facilities from distribution to network transmission facilities in 2023</w:t>
      </w:r>
      <w:r>
        <w:t xml:space="preserve">, and in the same year, began collecting </w:t>
      </w:r>
      <w:r w:rsidRPr="00C62D6B">
        <w:t>the</w:t>
      </w:r>
      <w:r>
        <w:t xml:space="preserve"> related</w:t>
      </w:r>
      <w:r w:rsidRPr="00C62D6B">
        <w:t xml:space="preserve"> costs for these facilities in FERC-jurisdictional rates</w:t>
      </w:r>
      <w:r>
        <w:t>.</w:t>
      </w:r>
    </w:p>
    <w:p w:rsidR="009F7A4B" w:rsidP="009F7A4B" w:rsidRDefault="009F7A4B" w14:paraId="74324F42" w14:textId="06735699">
      <w:pPr>
        <w:pStyle w:val="FoF"/>
        <w:numPr>
          <w:ilvl w:val="0"/>
          <w:numId w:val="19"/>
        </w:numPr>
        <w:ind w:left="0" w:firstLine="360"/>
        <w:jc w:val="left"/>
      </w:pPr>
      <w:r>
        <w:t>Though TRRRMA is a</w:t>
      </w:r>
      <w:r w:rsidRPr="0066212B">
        <w:t xml:space="preserve"> forward-looking account</w:t>
      </w:r>
      <w:r>
        <w:t>,</w:t>
      </w:r>
      <w:r w:rsidRPr="0066212B">
        <w:t xml:space="preserve"> it</w:t>
      </w:r>
      <w:r>
        <w:t xml:space="preserve"> </w:t>
      </w:r>
      <w:r w:rsidRPr="0066212B">
        <w:t xml:space="preserve">does not absolve the responsibility of reviewing charges that may have been incorrectly recorded in years </w:t>
      </w:r>
      <w:r>
        <w:t>2006 through 2023</w:t>
      </w:r>
      <w:r w:rsidRPr="0066212B">
        <w:t xml:space="preserve">. </w:t>
      </w:r>
    </w:p>
    <w:p w:rsidR="7B901AB1" w:rsidP="005867E3" w:rsidRDefault="0BD9F7C4" w14:paraId="64BFF45C" w14:textId="74B07DF5">
      <w:pPr>
        <w:pStyle w:val="FoF"/>
        <w:numPr>
          <w:ilvl w:val="0"/>
          <w:numId w:val="19"/>
        </w:numPr>
        <w:ind w:left="0" w:firstLine="360"/>
        <w:jc w:val="left"/>
      </w:pPr>
      <w:r>
        <w:t>An information-only compliance report will provide needed transparency by identifying the effective billing date, the implemented net TRRRMA revenue requirement with a short workpaper, and where the retail offset appears in rates.</w:t>
      </w:r>
    </w:p>
    <w:p w:rsidR="7B901AB1" w:rsidP="00FD0489" w:rsidRDefault="0BD9F7C4" w14:paraId="4ECBF42B" w14:textId="64744630">
      <w:pPr>
        <w:pStyle w:val="FoF"/>
        <w:numPr>
          <w:ilvl w:val="0"/>
          <w:numId w:val="19"/>
        </w:numPr>
        <w:ind w:left="0" w:firstLine="360"/>
        <w:jc w:val="left"/>
      </w:pPr>
      <w:r>
        <w:t>Settlement-related interest associated with TO18</w:t>
      </w:r>
      <w:r w:rsidR="06B358CD">
        <w:t xml:space="preserve"> </w:t>
      </w:r>
      <w:r>
        <w:t>is administered at FERC through ECRBAA, and no party requests that the Commission calculate interest in this proceeding.</w:t>
      </w:r>
    </w:p>
    <w:p w:rsidR="7B901AB1" w:rsidP="00FD0489" w:rsidRDefault="00FD0489" w14:paraId="134EB6D9" w14:textId="75DFDC28">
      <w:pPr>
        <w:pStyle w:val="FoF"/>
        <w:numPr>
          <w:ilvl w:val="0"/>
          <w:numId w:val="19"/>
        </w:numPr>
        <w:ind w:left="0" w:firstLine="360"/>
        <w:jc w:val="left"/>
      </w:pPr>
      <w:r>
        <w:lastRenderedPageBreak/>
        <w:t xml:space="preserve"> </w:t>
      </w:r>
      <w:r w:rsidR="0BD9F7C4">
        <w:t>Adding a brief ECRBAA status in the information-only compliance report will provide coordination without delaying implementation or creating a parallel interest review.</w:t>
      </w:r>
    </w:p>
    <w:p w:rsidR="7B901AB1" w:rsidP="00FD0489" w:rsidRDefault="00FD0489" w14:paraId="1314256A" w14:textId="51F32C0C">
      <w:pPr>
        <w:pStyle w:val="FoF"/>
        <w:numPr>
          <w:ilvl w:val="0"/>
          <w:numId w:val="19"/>
        </w:numPr>
        <w:ind w:left="0" w:firstLine="360"/>
        <w:jc w:val="left"/>
      </w:pPr>
      <w:r>
        <w:t xml:space="preserve"> </w:t>
      </w:r>
      <w:r w:rsidR="0BD9F7C4">
        <w:t>The adopted transparency steps do not require the proceeding to be held open and do not alter the implementation schedule.</w:t>
      </w:r>
      <w:r w:rsidR="002F12AA">
        <w:br/>
      </w:r>
    </w:p>
    <w:p w:rsidRPr="00721F2C" w:rsidR="00DE31CA" w:rsidP="00721F2C" w:rsidRDefault="003D5307" w14:paraId="266B0C34" w14:textId="77777777">
      <w:pPr>
        <w:pStyle w:val="Heading1"/>
        <w:tabs>
          <w:tab w:val="left" w:pos="720"/>
        </w:tabs>
        <w:spacing w:line="360" w:lineRule="auto"/>
        <w:ind w:left="0" w:firstLine="0"/>
      </w:pPr>
      <w:bookmarkStart w:name="Conclusions_of_Law" w:id="58"/>
      <w:bookmarkStart w:name="_Toc187748592" w:id="59"/>
      <w:bookmarkStart w:name="_Toc214020799" w:id="60"/>
      <w:bookmarkEnd w:id="58"/>
      <w:r>
        <w:rPr>
          <w:spacing w:val="-2"/>
        </w:rPr>
        <w:t>Conclusions</w:t>
      </w:r>
      <w:r w:rsidRPr="00721F2C">
        <w:rPr>
          <w:spacing w:val="-2"/>
        </w:rPr>
        <w:t xml:space="preserve"> </w:t>
      </w:r>
      <w:r>
        <w:rPr>
          <w:spacing w:val="-2"/>
        </w:rPr>
        <w:t>of</w:t>
      </w:r>
      <w:r w:rsidRPr="00721F2C">
        <w:rPr>
          <w:spacing w:val="-2"/>
        </w:rPr>
        <w:t xml:space="preserve"> Law</w:t>
      </w:r>
      <w:bookmarkEnd w:id="59"/>
      <w:bookmarkEnd w:id="60"/>
    </w:p>
    <w:p w:rsidR="00DE31CA" w:rsidP="4234341E" w:rsidRDefault="4790CC4D" w14:paraId="29435AF5" w14:textId="33F188E3">
      <w:pPr>
        <w:pStyle w:val="CoL"/>
        <w:ind w:firstLine="360"/>
      </w:pPr>
      <w:r>
        <w:t>Authorizing recovery here on a prospective basis is lawful and consistent</w:t>
      </w:r>
      <w:r w:rsidR="76087279">
        <w:t xml:space="preserve"> </w:t>
      </w:r>
      <w:r>
        <w:t>with Commission practice and the record in this proceeding.</w:t>
      </w:r>
    </w:p>
    <w:p w:rsidR="00DE31CA" w:rsidP="4234341E" w:rsidRDefault="4790CC4D" w14:paraId="6E48464B" w14:textId="1DCC2326">
      <w:pPr>
        <w:pStyle w:val="CoL"/>
        <w:ind w:firstLine="360"/>
      </w:pPr>
      <w:r>
        <w:t>Recovery must be limited to CPUC-jurisdictional amounts and structured to avoid duplication with FERC-administered refunds.</w:t>
      </w:r>
    </w:p>
    <w:p w:rsidR="00DE31CA" w:rsidP="4234341E" w:rsidRDefault="4790CC4D" w14:paraId="2116F110" w14:textId="608C3D3C">
      <w:pPr>
        <w:pStyle w:val="CoL"/>
        <w:ind w:firstLine="360"/>
      </w:pPr>
      <w:r>
        <w:t>Settlement-related interest associated with TO18 is administered at FERC through ECRBAA; the Commission does not calculate interest in this proceeding.</w:t>
      </w:r>
    </w:p>
    <w:p w:rsidR="00404D14" w:rsidP="00404D14" w:rsidRDefault="00404D14" w14:paraId="51E85349" w14:textId="746DC6E6">
      <w:pPr>
        <w:pStyle w:val="CoL"/>
        <w:ind w:firstLine="360"/>
      </w:pPr>
      <w:r>
        <w:t>R</w:t>
      </w:r>
      <w:r w:rsidRPr="00404D14">
        <w:t>equiring PG&amp;E to submit a Tier 2 A</w:t>
      </w:r>
      <w:r w:rsidR="00655263">
        <w:t>dvice Letter</w:t>
      </w:r>
      <w:r w:rsidRPr="00404D14">
        <w:t xml:space="preserve"> showing any improperly classified transmission assets, calculating the revenue requirement collected from distribution customers, and recommending regulatory channels to address financial impacts and prevent future misclassifications is reasonable. </w:t>
      </w:r>
    </w:p>
    <w:p w:rsidR="00DE31CA" w:rsidRDefault="003D5307" w14:paraId="074317E0" w14:textId="77777777">
      <w:pPr>
        <w:pStyle w:val="Heading1"/>
        <w:spacing w:before="6"/>
        <w:ind w:left="0" w:right="134" w:firstLine="0"/>
        <w:jc w:val="center"/>
      </w:pPr>
      <w:bookmarkStart w:name="O_R_D_E_R" w:id="61"/>
      <w:bookmarkStart w:name="_Toc187748593" w:id="62"/>
      <w:bookmarkStart w:name="_Toc214020800" w:id="63"/>
      <w:bookmarkEnd w:id="61"/>
      <w:r>
        <w:t>O</w:t>
      </w:r>
      <w:r>
        <w:rPr>
          <w:spacing w:val="42"/>
        </w:rPr>
        <w:t xml:space="preserve"> </w:t>
      </w:r>
      <w:r>
        <w:t>R</w:t>
      </w:r>
      <w:r>
        <w:rPr>
          <w:spacing w:val="43"/>
        </w:rPr>
        <w:t xml:space="preserve"> </w:t>
      </w:r>
      <w:r>
        <w:t>D</w:t>
      </w:r>
      <w:r>
        <w:rPr>
          <w:spacing w:val="43"/>
        </w:rPr>
        <w:t xml:space="preserve"> </w:t>
      </w:r>
      <w:r>
        <w:t>E</w:t>
      </w:r>
      <w:r>
        <w:rPr>
          <w:spacing w:val="42"/>
        </w:rPr>
        <w:t xml:space="preserve"> </w:t>
      </w:r>
      <w:r>
        <w:rPr>
          <w:spacing w:val="-10"/>
        </w:rPr>
        <w:t>R</w:t>
      </w:r>
      <w:bookmarkEnd w:id="62"/>
      <w:bookmarkEnd w:id="63"/>
    </w:p>
    <w:p w:rsidRPr="00587E19" w:rsidR="00DE31CA" w:rsidP="00587E19" w:rsidRDefault="003D5307" w14:paraId="33F7A1A6" w14:textId="77777777">
      <w:pPr>
        <w:keepNext/>
        <w:widowControl/>
        <w:autoSpaceDE/>
        <w:autoSpaceDN/>
        <w:spacing w:line="360" w:lineRule="auto"/>
        <w:ind w:firstLine="720"/>
        <w:rPr>
          <w:rFonts w:eastAsiaTheme="minorHAnsi" w:cstheme="minorBidi"/>
          <w:b/>
          <w:sz w:val="26"/>
        </w:rPr>
      </w:pPr>
      <w:r w:rsidRPr="00587E19">
        <w:rPr>
          <w:rFonts w:eastAsiaTheme="minorHAnsi" w:cstheme="minorBidi"/>
          <w:b/>
          <w:sz w:val="26"/>
        </w:rPr>
        <w:t>IT IS ORDERED that:</w:t>
      </w:r>
    </w:p>
    <w:p w:rsidRPr="008400A6" w:rsidR="00DE31CA" w:rsidP="00FD0489" w:rsidRDefault="48ED2DAF" w14:paraId="38DAB732" w14:textId="5BA8E392">
      <w:pPr>
        <w:pStyle w:val="OP"/>
        <w:numPr>
          <w:ilvl w:val="0"/>
          <w:numId w:val="2"/>
        </w:numPr>
        <w:ind w:left="0" w:firstLine="360"/>
        <w:jc w:val="left"/>
      </w:pPr>
      <w:bookmarkStart w:name="_Hlk212647572" w:id="64"/>
      <w:r>
        <w:t xml:space="preserve">The </w:t>
      </w:r>
      <w:r w:rsidR="007F2E91">
        <w:t>A</w:t>
      </w:r>
      <w:r>
        <w:t>pplication of Pacific Gas and</w:t>
      </w:r>
      <w:r w:rsidR="6708FDC9">
        <w:t xml:space="preserve"> Electric Company</w:t>
      </w:r>
      <w:r w:rsidR="00AF27D9">
        <w:t xml:space="preserve"> (PG&amp;E)</w:t>
      </w:r>
      <w:r w:rsidR="6708FDC9">
        <w:t xml:space="preserve"> in this proceeding is approved</w:t>
      </w:r>
      <w:bookmarkEnd w:id="64"/>
      <w:r w:rsidR="00691F4E">
        <w:t>, and PG&amp;E is authorized to recover in rates a revenue requirement of $3</w:t>
      </w:r>
      <w:r w:rsidR="0077362C">
        <w:t>3</w:t>
      </w:r>
      <w:r w:rsidR="003C4FB4">
        <w:t>7.9</w:t>
      </w:r>
      <w:r w:rsidR="00691F4E">
        <w:t xml:space="preserve"> million</w:t>
      </w:r>
      <w:r w:rsidR="26AEC736">
        <w:t>. This amount includes</w:t>
      </w:r>
      <w:r w:rsidR="00691F4E">
        <w:t xml:space="preserve"> </w:t>
      </w:r>
      <w:r w:rsidR="0916DC67">
        <w:t>$372.8 million for</w:t>
      </w:r>
      <w:r w:rsidR="7BB32669">
        <w:t xml:space="preserve"> recovery of common, general, and intangible plant costs and related expense revenue requirements</w:t>
      </w:r>
      <w:r w:rsidR="525ED91D">
        <w:t>, $7.</w:t>
      </w:r>
      <w:r w:rsidR="003C4FB4">
        <w:t>7</w:t>
      </w:r>
      <w:r w:rsidR="525ED91D">
        <w:t xml:space="preserve"> million </w:t>
      </w:r>
      <w:r w:rsidR="6A589E4B">
        <w:t xml:space="preserve">for </w:t>
      </w:r>
      <w:r w:rsidR="00E571EC">
        <w:t xml:space="preserve">one facility </w:t>
      </w:r>
      <w:r w:rsidR="6A589E4B">
        <w:t>that changed from California Independent System Operator (CAISO) operational control to non-CAISO</w:t>
      </w:r>
      <w:r w:rsidR="04E9CDA7">
        <w:t xml:space="preserve"> </w:t>
      </w:r>
      <w:r w:rsidR="6A589E4B">
        <w:t>operational control in 2023 and associated operations and maintenance expense</w:t>
      </w:r>
      <w:r w:rsidR="502D209E">
        <w:t xml:space="preserve">, </w:t>
      </w:r>
      <w:r w:rsidR="4D07530C">
        <w:lastRenderedPageBreak/>
        <w:t xml:space="preserve">and </w:t>
      </w:r>
      <w:r w:rsidR="00691F4E">
        <w:t>a retail offset of $42.6 million associated with facilities moved between distribution and transmission</w:t>
      </w:r>
      <w:r w:rsidR="605894B3">
        <w:t>. Recovery</w:t>
      </w:r>
      <w:r w:rsidR="00E571EC">
        <w:t>, including interest as provided in Preliminary Statement</w:t>
      </w:r>
      <w:r w:rsidR="00260D52">
        <w:t xml:space="preserve"> Part BK,</w:t>
      </w:r>
      <w:r w:rsidR="605894B3">
        <w:t xml:space="preserve"> shall</w:t>
      </w:r>
      <w:r w:rsidR="00691F4E">
        <w:t xml:space="preserve"> </w:t>
      </w:r>
      <w:r w:rsidR="5A5394A5">
        <w:t xml:space="preserve">be authorized beginning </w:t>
      </w:r>
      <w:r w:rsidR="00691F4E">
        <w:t>January 1, 2026, or the first practicable billing cycle thereafter</w:t>
      </w:r>
      <w:r w:rsidR="6708FDC9">
        <w:t>.</w:t>
      </w:r>
      <w:r w:rsidR="00DF1F8C">
        <w:t xml:space="preserve"> PG&amp;E </w:t>
      </w:r>
      <w:r w:rsidR="00277AB6">
        <w:t>shall</w:t>
      </w:r>
      <w:r w:rsidR="00DF1F8C">
        <w:t xml:space="preserve"> </w:t>
      </w:r>
      <w:r w:rsidR="00CC671E">
        <w:t xml:space="preserve">amortize the revenue requirement period </w:t>
      </w:r>
      <w:r w:rsidR="002A764E">
        <w:t>over 12</w:t>
      </w:r>
      <w:r w:rsidR="000B048A">
        <w:t xml:space="preserve"> to 14</w:t>
      </w:r>
      <w:r w:rsidR="002A764E">
        <w:t xml:space="preserve"> months in a way that aligns with other future, scheduled rate changes</w:t>
      </w:r>
      <w:r w:rsidR="00A27163">
        <w:t xml:space="preserve">, </w:t>
      </w:r>
      <w:r w:rsidR="00D95D56">
        <w:t>with the beginning of the amortization period</w:t>
      </w:r>
      <w:r w:rsidR="000D02BD">
        <w:t xml:space="preserve"> </w:t>
      </w:r>
      <w:r w:rsidR="00A27163">
        <w:t>not</w:t>
      </w:r>
      <w:r w:rsidR="00BF7B46">
        <w:t xml:space="preserve"> to </w:t>
      </w:r>
      <w:r w:rsidR="000D02BD">
        <w:t>be later than</w:t>
      </w:r>
      <w:r w:rsidR="00BF7B46">
        <w:t xml:space="preserve"> six months from </w:t>
      </w:r>
      <w:r w:rsidR="000D02BD">
        <w:t xml:space="preserve">the </w:t>
      </w:r>
      <w:r w:rsidR="00353226">
        <w:t xml:space="preserve">effective date of </w:t>
      </w:r>
      <w:r w:rsidR="00BF7B46">
        <w:t>this decision</w:t>
      </w:r>
      <w:r w:rsidR="002A764E">
        <w:t>.</w:t>
      </w:r>
      <w:r w:rsidR="002646B1">
        <w:t xml:space="preserve"> </w:t>
      </w:r>
      <w:r w:rsidRPr="002646B1" w:rsidR="002646B1">
        <w:t>PG&amp;E shall include the proposed amortization period in the information-only compliance report described in Ordering Paragraph 3.</w:t>
      </w:r>
    </w:p>
    <w:p w:rsidR="008E1C9B" w:rsidP="008E1C9B" w:rsidRDefault="008E1C9B" w14:paraId="50A7690B" w14:textId="2A8FF8F8">
      <w:pPr>
        <w:pStyle w:val="OP"/>
        <w:numPr>
          <w:ilvl w:val="0"/>
          <w:numId w:val="2"/>
        </w:numPr>
        <w:ind w:left="0" w:firstLine="360"/>
        <w:jc w:val="left"/>
      </w:pPr>
      <w:bookmarkStart w:name="_Hlk212647614" w:id="65"/>
      <w:r>
        <w:t xml:space="preserve">Within 120 days of the effective date of this decision, </w:t>
      </w:r>
      <w:r w:rsidR="00827067">
        <w:t>Pacific Gas &amp; Electric Company (</w:t>
      </w:r>
      <w:r>
        <w:t>PG&amp;E</w:t>
      </w:r>
      <w:r w:rsidR="00827067">
        <w:t>)</w:t>
      </w:r>
      <w:r>
        <w:t xml:space="preserve"> shall file a Tier 2 Advice Letter to </w:t>
      </w:r>
      <w:r w:rsidR="003636F0">
        <w:t>show</w:t>
      </w:r>
      <w:r>
        <w:t xml:space="preserve"> whether PG&amp;E </w:t>
      </w:r>
      <w:r w:rsidR="00827067">
        <w:t>misclassified</w:t>
      </w:r>
      <w:r w:rsidR="00B7159F">
        <w:t xml:space="preserve"> transmission </w:t>
      </w:r>
      <w:r w:rsidR="00827067">
        <w:t>and distribution assets</w:t>
      </w:r>
      <w:r>
        <w:t xml:space="preserve"> from 2006 through 2022. </w:t>
      </w:r>
      <w:r w:rsidR="00441DF2">
        <w:t>In this Advice Letter, PG&amp;E shall identify all affected assets and the years in which misclassification occurred.</w:t>
      </w:r>
      <w:r>
        <w:t xml:space="preserve"> PG&amp;E shall quantify </w:t>
      </w:r>
      <w:r w:rsidR="00183FD9">
        <w:t>the total</w:t>
      </w:r>
      <w:r>
        <w:t xml:space="preserve"> </w:t>
      </w:r>
      <w:r w:rsidR="00D91F93">
        <w:t>revenue</w:t>
      </w:r>
      <w:r>
        <w:t xml:space="preserve"> </w:t>
      </w:r>
      <w:r w:rsidR="00827067">
        <w:t>requirement impact</w:t>
      </w:r>
      <w:r w:rsidR="00183FD9">
        <w:t xml:space="preserve"> </w:t>
      </w:r>
      <w:r w:rsidR="00827067">
        <w:t xml:space="preserve">as a result of these </w:t>
      </w:r>
      <w:r w:rsidR="008F6C5C">
        <w:t xml:space="preserve">accounting </w:t>
      </w:r>
      <w:r w:rsidR="00B9204F">
        <w:t>misclassifications and</w:t>
      </w:r>
      <w:r>
        <w:t xml:space="preserve"> provide </w:t>
      </w:r>
      <w:r w:rsidR="008F6C5C">
        <w:t>transparent</w:t>
      </w:r>
      <w:r w:rsidR="006334F0">
        <w:t xml:space="preserve"> work papers with clear methodology that show the </w:t>
      </w:r>
      <w:r w:rsidR="00D91F93">
        <w:t xml:space="preserve">calculations to support that quantification. </w:t>
      </w:r>
      <w:r w:rsidR="00D204E0">
        <w:t>Because a portion of Federal</w:t>
      </w:r>
      <w:r w:rsidR="00920B8B">
        <w:t xml:space="preserve"> Energy Regulatory Commission (FERC) authorized transmission rates</w:t>
      </w:r>
      <w:r w:rsidR="000365FB">
        <w:t xml:space="preserve"> may have been passed through to retail customers, PG&amp;E’s </w:t>
      </w:r>
      <w:r w:rsidRPr="00776B91" w:rsidR="000365FB">
        <w:t>calculations should</w:t>
      </w:r>
      <w:r w:rsidR="000365FB">
        <w:t xml:space="preserve"> also reflect the revenue requirement that distribution customers would have paid if the revenue requirement for these assets was correctly accounted under transmission and distribution rates.</w:t>
      </w:r>
      <w:r w:rsidR="00920B8B">
        <w:t xml:space="preserve"> </w:t>
      </w:r>
      <w:r w:rsidR="00D91F93">
        <w:t xml:space="preserve">PG&amp;E shall also provide </w:t>
      </w:r>
      <w:r>
        <w:t xml:space="preserve">recommendations for an appropriate regulatory path to address the </w:t>
      </w:r>
      <w:r w:rsidR="00183FD9">
        <w:t>financial impact on customers</w:t>
      </w:r>
      <w:r w:rsidR="00ED5260">
        <w:t xml:space="preserve">, and to </w:t>
      </w:r>
      <w:r w:rsidRPr="00ED5260" w:rsidR="00ED5260">
        <w:t xml:space="preserve">avert future asset misclassification, including </w:t>
      </w:r>
      <w:r w:rsidR="00AB49BC">
        <w:t xml:space="preserve">any </w:t>
      </w:r>
      <w:r w:rsidRPr="00ED5260" w:rsidR="00ED5260">
        <w:t>reporting requirements.</w:t>
      </w:r>
      <w:r w:rsidR="004B6469">
        <w:t xml:space="preserve"> </w:t>
      </w:r>
    </w:p>
    <w:p w:rsidRPr="00FD0489" w:rsidR="00DE31CA" w:rsidP="00FD0489" w:rsidRDefault="0BA50859" w14:paraId="26B47F89" w14:textId="095F1717">
      <w:pPr>
        <w:pStyle w:val="OP"/>
        <w:numPr>
          <w:ilvl w:val="0"/>
          <w:numId w:val="2"/>
        </w:numPr>
        <w:ind w:left="0" w:firstLine="360"/>
        <w:jc w:val="left"/>
      </w:pPr>
      <w:r w:rsidRPr="00FD0489">
        <w:lastRenderedPageBreak/>
        <w:t xml:space="preserve">Within 45 days of the effective date of this decision, Pacific Gas and Electric Company </w:t>
      </w:r>
      <w:r w:rsidR="00923887">
        <w:t xml:space="preserve">(PG&amp;E) </w:t>
      </w:r>
      <w:r w:rsidRPr="00FD0489">
        <w:t xml:space="preserve">shall </w:t>
      </w:r>
      <w:r w:rsidRPr="00CF5E1D">
        <w:t>serve</w:t>
      </w:r>
      <w:r w:rsidRPr="00FD0489">
        <w:t xml:space="preserve"> an information-only compliance report that: (a) states the effective billing date and the implemented net revenue requirement adopted in this decision with a short workpaper</w:t>
      </w:r>
      <w:r w:rsidR="00867EBB">
        <w:t xml:space="preserve"> and (b)</w:t>
      </w:r>
      <w:r w:rsidRPr="00FD0489">
        <w:t xml:space="preserve"> provides the status of the most recent End-Use Customer Refund Balancing Account Adjustment filing at the Federal Energy Regulatory Commission, including the filing caption and filing date, and states whether Transmission Owner 18 settlement-interest refunds are reflected in current Federal Energy Regulatory Commission-jurisdictional rates. </w:t>
      </w:r>
      <w:r w:rsidR="00923887">
        <w:t xml:space="preserve">PG&amp;E </w:t>
      </w:r>
      <w:r w:rsidRPr="00FD0489">
        <w:t>shall serve the report on the service list for this proceeding and send a copy to the California Public Utilities Commission Energy Division</w:t>
      </w:r>
      <w:bookmarkEnd w:id="65"/>
      <w:r w:rsidRPr="00FD0489">
        <w:t>.</w:t>
      </w:r>
    </w:p>
    <w:p w:rsidRPr="008400A6" w:rsidR="00DE31CA" w:rsidP="00FD0489" w:rsidRDefault="003D5307" w14:paraId="110D0C60" w14:textId="13DA1AAB">
      <w:pPr>
        <w:pStyle w:val="OP"/>
        <w:numPr>
          <w:ilvl w:val="0"/>
          <w:numId w:val="2"/>
        </w:numPr>
        <w:ind w:left="0" w:firstLine="360"/>
        <w:jc w:val="left"/>
        <w:rPr>
          <w:rFonts w:asciiTheme="minorHAnsi" w:hAnsiTheme="minorHAnsi" w:eastAsiaTheme="minorEastAsia"/>
          <w:szCs w:val="26"/>
        </w:rPr>
      </w:pPr>
      <w:bookmarkStart w:name="_Hlk212647629" w:id="66"/>
      <w:r>
        <w:t>Application 2</w:t>
      </w:r>
      <w:r w:rsidR="005717A1">
        <w:t>4</w:t>
      </w:r>
      <w:r>
        <w:t>-</w:t>
      </w:r>
      <w:r w:rsidR="005717A1">
        <w:t>09</w:t>
      </w:r>
      <w:r>
        <w:t>-01</w:t>
      </w:r>
      <w:r w:rsidR="005717A1">
        <w:t>5</w:t>
      </w:r>
      <w:r>
        <w:t xml:space="preserve"> is closed</w:t>
      </w:r>
      <w:bookmarkEnd w:id="66"/>
      <w:r>
        <w:t>.</w:t>
      </w:r>
    </w:p>
    <w:p w:rsidRPr="008400A6" w:rsidR="00DE31CA" w:rsidP="4C5596CC" w:rsidRDefault="00721F2C" w14:paraId="49C07F43" w14:textId="2DEB1410">
      <w:pPr>
        <w:pStyle w:val="OP"/>
        <w:ind w:firstLine="720"/>
      </w:pPr>
      <w:r>
        <w:t>This order is effective today.</w:t>
      </w:r>
    </w:p>
    <w:p w:rsidRPr="00587E19" w:rsidR="00DE31CA" w:rsidP="4C5596CC" w:rsidRDefault="003D5307" w14:paraId="78DF0FA5" w14:textId="7E1CA8CE">
      <w:pPr>
        <w:widowControl/>
        <w:autoSpaceDE/>
        <w:autoSpaceDN/>
        <w:spacing w:line="360" w:lineRule="auto"/>
        <w:ind w:firstLine="720"/>
        <w:rPr>
          <w:rFonts w:eastAsiaTheme="minorEastAsia" w:cstheme="minorBidi"/>
          <w:sz w:val="26"/>
          <w:szCs w:val="26"/>
        </w:rPr>
      </w:pPr>
      <w:r w:rsidRPr="4C5596CC">
        <w:rPr>
          <w:rFonts w:eastAsiaTheme="minorEastAsia" w:cstheme="minorBidi"/>
          <w:sz w:val="26"/>
          <w:szCs w:val="26"/>
        </w:rPr>
        <w:t>Dated</w:t>
      </w:r>
      <w:r w:rsidRPr="4C5596CC" w:rsidR="00507788">
        <w:rPr>
          <w:rFonts w:eastAsiaTheme="minorEastAsia" w:cstheme="minorBidi"/>
          <w:sz w:val="26"/>
          <w:szCs w:val="26"/>
        </w:rPr>
        <w:t xml:space="preserve"> December __, 2025</w:t>
      </w:r>
      <w:r w:rsidRPr="4C5596CC">
        <w:rPr>
          <w:rFonts w:eastAsiaTheme="minorEastAsia" w:cstheme="minorBidi"/>
          <w:sz w:val="26"/>
          <w:szCs w:val="26"/>
        </w:rPr>
        <w:t xml:space="preserve">, at </w:t>
      </w:r>
      <w:r w:rsidR="002F6349">
        <w:rPr>
          <w:rFonts w:eastAsiaTheme="minorEastAsia" w:cstheme="minorBidi"/>
          <w:sz w:val="26"/>
          <w:szCs w:val="26"/>
        </w:rPr>
        <w:t>Sacramento</w:t>
      </w:r>
      <w:r w:rsidRPr="4C5596CC">
        <w:rPr>
          <w:rFonts w:eastAsiaTheme="minorEastAsia" w:cstheme="minorBidi"/>
          <w:sz w:val="26"/>
          <w:szCs w:val="26"/>
        </w:rPr>
        <w:t>, California</w:t>
      </w:r>
      <w:bookmarkEnd w:id="6"/>
      <w:r w:rsidRPr="4C5596CC" w:rsidR="00587E19">
        <w:rPr>
          <w:rFonts w:eastAsiaTheme="minorEastAsia" w:cstheme="minorBidi"/>
          <w:sz w:val="26"/>
          <w:szCs w:val="26"/>
        </w:rPr>
        <w:t>.</w:t>
      </w:r>
    </w:p>
    <w:sectPr w:rsidRPr="00587E19" w:rsidR="00DE31CA" w:rsidSect="002F12AA">
      <w:headerReference w:type="default" r:id="rId18"/>
      <w:footerReference w:type="default" r:id="rId19"/>
      <w:pgSz w:w="12240" w:h="15840"/>
      <w:pgMar w:top="1560" w:right="1440" w:bottom="1500" w:left="1440" w:header="730" w:footer="1244" w:gutter="0"/>
      <w:pgNumType w:start="2"/>
      <w:cols w:space="720"/>
    </w:sectPr>
    <w:p>
      <w:r>
        <w:t xml:space="preserve"/>
      </w:r>
    </w:p>
    <w:p>
      <w:r>
        <w:t xml:space="preserve">Attachment 1: </w:t>
      </w:r>
    </w:p>
    <w:p>
      <w:hyperlink w:history="true" r:id="Raa386dd98c8f4b9b">
        <w:r w:rsidRPr="00CB1292">
          <w:rPr>
            <w:rStyle w:val="Hyperlink"/>
            <w:color w:val="2E74B5" w:themeColor="accent1" w:themeShade="BF"/>
            <w:u w:val="single"/>
          </w:rPr>
          <w:t>REDLINE (Rev. 1) A.24-09-015 DECISION AUTHORIZING PACIFIC GAS AND ELECTRIC COMPANY TO RECOVER.pdf</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C3AFA" w14:textId="77777777" w:rsidR="002F5807" w:rsidRDefault="002F5807">
      <w:r>
        <w:separator/>
      </w:r>
    </w:p>
  </w:endnote>
  <w:endnote w:type="continuationSeparator" w:id="0">
    <w:p w14:paraId="1A2568F9" w14:textId="77777777" w:rsidR="002F5807" w:rsidRDefault="002F5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A6FE1" w14:textId="763E403B" w:rsidR="00DE31CA" w:rsidRPr="00B1323F" w:rsidRDefault="00B1323F" w:rsidP="00B1323F">
    <w:pPr>
      <w:pStyle w:val="Footer"/>
      <w:rPr>
        <w:sz w:val="26"/>
        <w:szCs w:val="26"/>
      </w:rPr>
    </w:pPr>
    <w:r w:rsidRPr="003E7C06">
      <w:rPr>
        <w:sz w:val="16"/>
        <w:szCs w:val="16"/>
      </w:rPr>
      <w:t>5855125</w:t>
    </w:r>
    <w:r>
      <w:rPr>
        <w:sz w:val="16"/>
        <w:szCs w:val="16"/>
      </w:rPr>
      <w:tab/>
    </w:r>
    <w:sdt>
      <w:sdtPr>
        <w:id w:val="1171904152"/>
        <w:docPartObj>
          <w:docPartGallery w:val="Page Numbers (Bottom of Page)"/>
          <w:docPartUnique/>
        </w:docPartObj>
      </w:sdtPr>
      <w:sdtEndPr>
        <w:rPr>
          <w:noProof/>
          <w:sz w:val="26"/>
          <w:szCs w:val="26"/>
        </w:rPr>
      </w:sdtEndPr>
      <w:sdtContent>
        <w:r>
          <w:t xml:space="preserve">- </w:t>
        </w:r>
        <w:r w:rsidRPr="003E7C06">
          <w:rPr>
            <w:sz w:val="26"/>
            <w:szCs w:val="26"/>
          </w:rPr>
          <w:fldChar w:fldCharType="begin"/>
        </w:r>
        <w:r w:rsidRPr="003E7C06">
          <w:rPr>
            <w:sz w:val="26"/>
            <w:szCs w:val="26"/>
          </w:rPr>
          <w:instrText xml:space="preserve"> PAGE   \* MERGEFORMAT </w:instrText>
        </w:r>
        <w:r w:rsidRPr="003E7C06">
          <w:rPr>
            <w:sz w:val="26"/>
            <w:szCs w:val="26"/>
          </w:rPr>
          <w:fldChar w:fldCharType="separate"/>
        </w:r>
        <w:r>
          <w:rPr>
            <w:sz w:val="26"/>
            <w:szCs w:val="26"/>
          </w:rPr>
          <w:t>1</w:t>
        </w:r>
        <w:r w:rsidRPr="003E7C06">
          <w:rPr>
            <w:noProof/>
            <w:sz w:val="26"/>
            <w:szCs w:val="26"/>
          </w:rPr>
          <w:fldChar w:fldCharType="end"/>
        </w:r>
      </w:sdtContent>
    </w:sdt>
    <w:r>
      <w:rPr>
        <w:noProof/>
        <w:sz w:val="26"/>
        <w:szCs w:val="2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5E1E2" w14:textId="77777777" w:rsidR="003E7C06" w:rsidRDefault="003E7C06">
    <w:pPr>
      <w:pStyle w:val="Footer"/>
      <w:rPr>
        <w:sz w:val="16"/>
        <w:szCs w:val="16"/>
      </w:rPr>
    </w:pPr>
  </w:p>
  <w:p w14:paraId="2021A238" w14:textId="792F3B8A" w:rsidR="00F84947" w:rsidRPr="003E7C06" w:rsidRDefault="00E46748">
    <w:pPr>
      <w:pStyle w:val="Footer"/>
      <w:rPr>
        <w:sz w:val="26"/>
        <w:szCs w:val="26"/>
      </w:rPr>
    </w:pPr>
    <w:r w:rsidRPr="00E46748">
      <w:rPr>
        <w:sz w:val="16"/>
        <w:szCs w:val="16"/>
      </w:rPr>
      <w:t>591257307</w:t>
    </w:r>
    <w:r w:rsidR="00F84947">
      <w:rPr>
        <w:sz w:val="16"/>
        <w:szCs w:val="16"/>
      </w:rPr>
      <w:tab/>
    </w:r>
    <w:sdt>
      <w:sdtPr>
        <w:id w:val="1371259866"/>
        <w:docPartObj>
          <w:docPartGallery w:val="Page Numbers (Bottom of Page)"/>
          <w:docPartUnique/>
        </w:docPartObj>
      </w:sdtPr>
      <w:sdtEndPr>
        <w:rPr>
          <w:noProof/>
          <w:sz w:val="26"/>
          <w:szCs w:val="26"/>
        </w:rPr>
      </w:sdtEndPr>
      <w:sdtContent>
        <w:r w:rsidR="00BB5F29">
          <w:t xml:space="preserve">- </w:t>
        </w:r>
        <w:r w:rsidR="00F84947" w:rsidRPr="003E7C06">
          <w:rPr>
            <w:sz w:val="26"/>
            <w:szCs w:val="26"/>
          </w:rPr>
          <w:fldChar w:fldCharType="begin"/>
        </w:r>
        <w:r w:rsidR="00F84947" w:rsidRPr="003E7C06">
          <w:rPr>
            <w:sz w:val="26"/>
            <w:szCs w:val="26"/>
          </w:rPr>
          <w:instrText xml:space="preserve"> PAGE   \* MERGEFORMAT </w:instrText>
        </w:r>
        <w:r w:rsidR="00F84947" w:rsidRPr="003E7C06">
          <w:rPr>
            <w:sz w:val="26"/>
            <w:szCs w:val="26"/>
          </w:rPr>
          <w:fldChar w:fldCharType="separate"/>
        </w:r>
        <w:r w:rsidR="00F84947" w:rsidRPr="003E7C06">
          <w:rPr>
            <w:noProof/>
            <w:sz w:val="26"/>
            <w:szCs w:val="26"/>
          </w:rPr>
          <w:t>2</w:t>
        </w:r>
        <w:r w:rsidR="00F84947" w:rsidRPr="003E7C06">
          <w:rPr>
            <w:noProof/>
            <w:sz w:val="26"/>
            <w:szCs w:val="26"/>
          </w:rPr>
          <w:fldChar w:fldCharType="end"/>
        </w:r>
      </w:sdtContent>
    </w:sdt>
    <w:r w:rsidR="00BB5F29">
      <w:rPr>
        <w:noProof/>
        <w:sz w:val="26"/>
        <w:szCs w:val="2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7C9E6" w14:textId="7ACC585D" w:rsidR="00B1323F" w:rsidRPr="00B1323F" w:rsidRDefault="00B1323F" w:rsidP="00B1323F">
    <w:pPr>
      <w:pStyle w:val="Footer"/>
      <w:rPr>
        <w:sz w:val="26"/>
        <w:szCs w:val="26"/>
      </w:rPr>
    </w:pPr>
    <w:r>
      <w:rPr>
        <w:sz w:val="16"/>
        <w:szCs w:val="16"/>
      </w:rPr>
      <w:tab/>
    </w:r>
    <w:sdt>
      <w:sdtPr>
        <w:id w:val="-2084826585"/>
        <w:docPartObj>
          <w:docPartGallery w:val="Page Numbers (Bottom of Page)"/>
          <w:docPartUnique/>
        </w:docPartObj>
      </w:sdtPr>
      <w:sdtEndPr>
        <w:rPr>
          <w:noProof/>
          <w:sz w:val="26"/>
          <w:szCs w:val="26"/>
        </w:rPr>
      </w:sdtEndPr>
      <w:sdtContent>
        <w:r>
          <w:t xml:space="preserve">- </w:t>
        </w:r>
        <w:r w:rsidRPr="003E7C06">
          <w:rPr>
            <w:sz w:val="26"/>
            <w:szCs w:val="26"/>
          </w:rPr>
          <w:fldChar w:fldCharType="begin"/>
        </w:r>
        <w:r w:rsidRPr="003E7C06">
          <w:rPr>
            <w:sz w:val="26"/>
            <w:szCs w:val="26"/>
          </w:rPr>
          <w:instrText xml:space="preserve"> PAGE   \* MERGEFORMAT </w:instrText>
        </w:r>
        <w:r w:rsidRPr="003E7C06">
          <w:rPr>
            <w:sz w:val="26"/>
            <w:szCs w:val="26"/>
          </w:rPr>
          <w:fldChar w:fldCharType="separate"/>
        </w:r>
        <w:r>
          <w:rPr>
            <w:sz w:val="26"/>
            <w:szCs w:val="26"/>
          </w:rPr>
          <w:t>1</w:t>
        </w:r>
        <w:r w:rsidRPr="003E7C06">
          <w:rPr>
            <w:noProof/>
            <w:sz w:val="26"/>
            <w:szCs w:val="26"/>
          </w:rPr>
          <w:fldChar w:fldCharType="end"/>
        </w:r>
      </w:sdtContent>
    </w:sdt>
    <w:r>
      <w:rPr>
        <w:noProof/>
        <w:sz w:val="26"/>
        <w:szCs w:val="2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454E0" w14:textId="77777777" w:rsidR="00B1323F" w:rsidRPr="00B1323F" w:rsidRDefault="00B1323F" w:rsidP="00B1323F">
    <w:pPr>
      <w:pStyle w:val="Footer"/>
      <w:tabs>
        <w:tab w:val="clear" w:pos="4680"/>
        <w:tab w:val="center" w:pos="4320"/>
      </w:tabs>
      <w:rPr>
        <w:sz w:val="26"/>
        <w:szCs w:val="26"/>
      </w:rPr>
    </w:pPr>
    <w:r>
      <w:rPr>
        <w:sz w:val="16"/>
        <w:szCs w:val="16"/>
      </w:rPr>
      <w:tab/>
    </w:r>
    <w:sdt>
      <w:sdtPr>
        <w:id w:val="-681280327"/>
        <w:docPartObj>
          <w:docPartGallery w:val="Page Numbers (Bottom of Page)"/>
          <w:docPartUnique/>
        </w:docPartObj>
      </w:sdtPr>
      <w:sdtEndPr>
        <w:rPr>
          <w:noProof/>
          <w:sz w:val="26"/>
          <w:szCs w:val="26"/>
        </w:rPr>
      </w:sdtEndPr>
      <w:sdtContent>
        <w:r>
          <w:t xml:space="preserve">- </w:t>
        </w:r>
        <w:r w:rsidRPr="003E7C06">
          <w:rPr>
            <w:sz w:val="26"/>
            <w:szCs w:val="26"/>
          </w:rPr>
          <w:fldChar w:fldCharType="begin"/>
        </w:r>
        <w:r w:rsidRPr="003E7C06">
          <w:rPr>
            <w:sz w:val="26"/>
            <w:szCs w:val="26"/>
          </w:rPr>
          <w:instrText xml:space="preserve"> PAGE   \* MERGEFORMAT </w:instrText>
        </w:r>
        <w:r w:rsidRPr="003E7C06">
          <w:rPr>
            <w:sz w:val="26"/>
            <w:szCs w:val="26"/>
          </w:rPr>
          <w:fldChar w:fldCharType="separate"/>
        </w:r>
        <w:r>
          <w:rPr>
            <w:sz w:val="26"/>
            <w:szCs w:val="26"/>
          </w:rPr>
          <w:t>i</w:t>
        </w:r>
        <w:r w:rsidRPr="003E7C06">
          <w:rPr>
            <w:noProof/>
            <w:sz w:val="26"/>
            <w:szCs w:val="26"/>
          </w:rPr>
          <w:fldChar w:fldCharType="end"/>
        </w:r>
      </w:sdtContent>
    </w:sdt>
    <w:r>
      <w:rPr>
        <w:noProof/>
        <w:sz w:val="26"/>
        <w:szCs w:val="26"/>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A1BC6" w14:textId="77777777" w:rsidR="00BB5F29" w:rsidRDefault="00BB5F29" w:rsidP="00BB5F29">
    <w:pPr>
      <w:pStyle w:val="Footer"/>
      <w:rPr>
        <w:sz w:val="16"/>
        <w:szCs w:val="16"/>
      </w:rPr>
    </w:pPr>
  </w:p>
  <w:p w14:paraId="42C847BB" w14:textId="3A30C6EC" w:rsidR="00BB5F29" w:rsidRPr="003E7C06" w:rsidRDefault="00BB5F29" w:rsidP="00BB5F29">
    <w:pPr>
      <w:pStyle w:val="Footer"/>
      <w:tabs>
        <w:tab w:val="clear" w:pos="4680"/>
        <w:tab w:val="center" w:pos="4590"/>
      </w:tabs>
      <w:ind w:left="4944" w:hanging="624"/>
      <w:rPr>
        <w:sz w:val="26"/>
        <w:szCs w:val="26"/>
      </w:rPr>
    </w:pPr>
    <w:r w:rsidRPr="00BB5F29">
      <w:rPr>
        <w:sz w:val="26"/>
        <w:szCs w:val="26"/>
      </w:rPr>
      <w:t>-</w:t>
    </w:r>
    <w:sdt>
      <w:sdtPr>
        <w:rPr>
          <w:sz w:val="26"/>
          <w:szCs w:val="26"/>
        </w:rPr>
        <w:id w:val="-1335292344"/>
        <w:docPartObj>
          <w:docPartGallery w:val="Page Numbers (Bottom of Page)"/>
          <w:docPartUnique/>
        </w:docPartObj>
      </w:sdtPr>
      <w:sdtEndPr>
        <w:rPr>
          <w:noProof/>
        </w:rPr>
      </w:sdtEndPr>
      <w:sdtContent>
        <w:r>
          <w:rPr>
            <w:sz w:val="26"/>
            <w:szCs w:val="26"/>
          </w:rPr>
          <w:t xml:space="preserve"> </w:t>
        </w:r>
        <w:r w:rsidRPr="003E7C06">
          <w:rPr>
            <w:sz w:val="26"/>
            <w:szCs w:val="26"/>
          </w:rPr>
          <w:fldChar w:fldCharType="begin"/>
        </w:r>
        <w:r w:rsidRPr="003E7C06">
          <w:rPr>
            <w:sz w:val="26"/>
            <w:szCs w:val="26"/>
          </w:rPr>
          <w:instrText xml:space="preserve"> PAGE   \* MERGEFORMAT </w:instrText>
        </w:r>
        <w:r w:rsidRPr="003E7C06">
          <w:rPr>
            <w:sz w:val="26"/>
            <w:szCs w:val="26"/>
          </w:rPr>
          <w:fldChar w:fldCharType="separate"/>
        </w:r>
        <w:r>
          <w:rPr>
            <w:sz w:val="26"/>
            <w:szCs w:val="26"/>
          </w:rPr>
          <w:t>- 1 -</w:t>
        </w:r>
        <w:r w:rsidRPr="003E7C06">
          <w:rPr>
            <w:noProof/>
            <w:sz w:val="26"/>
            <w:szCs w:val="26"/>
          </w:rPr>
          <w:fldChar w:fldCharType="end"/>
        </w:r>
        <w:r>
          <w:rPr>
            <w:noProof/>
            <w:sz w:val="26"/>
            <w:szCs w:val="26"/>
          </w:rPr>
          <w:t xml:space="preserve"> -</w:t>
        </w:r>
      </w:sdtContent>
    </w:sdt>
  </w:p>
  <w:p w14:paraId="0587BA22" w14:textId="4B67A562" w:rsidR="00DE31CA" w:rsidRPr="00BB5F29" w:rsidRDefault="00DE31CA" w:rsidP="00BB5F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4C863" w14:textId="77777777" w:rsidR="002F5807" w:rsidRDefault="002F5807">
      <w:r>
        <w:separator/>
      </w:r>
    </w:p>
  </w:footnote>
  <w:footnote w:type="continuationSeparator" w:id="0">
    <w:p w14:paraId="716951C5" w14:textId="77777777" w:rsidR="002F5807" w:rsidRDefault="002F5807">
      <w:r>
        <w:continuationSeparator/>
      </w:r>
    </w:p>
  </w:footnote>
  <w:footnote w:id="1">
    <w:p w14:paraId="2252C5A4" w14:textId="7E3471ED" w:rsidR="00E1727F" w:rsidRPr="008400A6" w:rsidRDefault="00E1727F" w:rsidP="4C5596CC">
      <w:pPr>
        <w:pStyle w:val="FootnoteText"/>
        <w:spacing w:after="120"/>
        <w:rPr>
          <w:rFonts w:ascii="Book Antiqua" w:hAnsi="Book Antiqua" w:cs="Times New Roman"/>
        </w:rPr>
      </w:pPr>
      <w:r w:rsidRPr="4C5596CC">
        <w:rPr>
          <w:rStyle w:val="FootnoteReference"/>
          <w:rFonts w:ascii="Book Antiqua" w:hAnsi="Book Antiqua" w:cs="Times New Roman"/>
        </w:rPr>
        <w:footnoteRef/>
      </w:r>
      <w:r w:rsidR="4C5596CC" w:rsidRPr="4C5596CC">
        <w:rPr>
          <w:rFonts w:ascii="Book Antiqua" w:hAnsi="Book Antiqua" w:cs="Times New Roman"/>
        </w:rPr>
        <w:t xml:space="preserve"> Application at 1-2.</w:t>
      </w:r>
    </w:p>
  </w:footnote>
  <w:footnote w:id="2">
    <w:p w14:paraId="6FDEB30E" w14:textId="6546EA3F" w:rsidR="00DF517D" w:rsidRPr="008400A6" w:rsidRDefault="00DF517D" w:rsidP="00B1323F">
      <w:pPr>
        <w:pStyle w:val="FootnoteText"/>
        <w:spacing w:after="120"/>
        <w:rPr>
          <w:rFonts w:ascii="Book Antiqua" w:hAnsi="Book Antiqua"/>
        </w:rPr>
      </w:pPr>
      <w:r w:rsidRPr="008400A6">
        <w:rPr>
          <w:rStyle w:val="FootnoteReference"/>
          <w:rFonts w:ascii="Book Antiqua" w:hAnsi="Book Antiqua"/>
        </w:rPr>
        <w:footnoteRef/>
      </w:r>
      <w:r w:rsidR="4C5596CC" w:rsidRPr="008400A6">
        <w:rPr>
          <w:rFonts w:ascii="Book Antiqua" w:hAnsi="Book Antiqua"/>
        </w:rPr>
        <w:t xml:space="preserve"> </w:t>
      </w:r>
      <w:r w:rsidR="4C5596CC">
        <w:rPr>
          <w:rFonts w:ascii="Book Antiqua" w:hAnsi="Book Antiqua"/>
        </w:rPr>
        <w:t>Cal Advocates</w:t>
      </w:r>
      <w:r w:rsidR="4C5596CC" w:rsidRPr="008400A6">
        <w:rPr>
          <w:rFonts w:ascii="Book Antiqua" w:hAnsi="Book Antiqua"/>
        </w:rPr>
        <w:t xml:space="preserve"> Opening Brief at 4; P</w:t>
      </w:r>
      <w:r w:rsidR="4C5596CC">
        <w:rPr>
          <w:rFonts w:ascii="Book Antiqua" w:hAnsi="Book Antiqua"/>
        </w:rPr>
        <w:t>G&amp;E</w:t>
      </w:r>
      <w:r w:rsidR="4C5596CC" w:rsidRPr="008400A6">
        <w:rPr>
          <w:rFonts w:ascii="Book Antiqua" w:hAnsi="Book Antiqua"/>
        </w:rPr>
        <w:t xml:space="preserve"> Post-Hearing Opening Brief at 13. </w:t>
      </w:r>
    </w:p>
  </w:footnote>
  <w:footnote w:id="3">
    <w:p w14:paraId="6353C720" w14:textId="128BA903" w:rsidR="00A86699" w:rsidRPr="008400A6" w:rsidRDefault="00A86699" w:rsidP="00B1323F">
      <w:pPr>
        <w:pStyle w:val="FootnoteText"/>
        <w:spacing w:after="120"/>
        <w:rPr>
          <w:rFonts w:ascii="Book Antiqua" w:hAnsi="Book Antiqua"/>
        </w:rPr>
      </w:pPr>
      <w:r w:rsidRPr="008400A6">
        <w:rPr>
          <w:rStyle w:val="FootnoteReference"/>
          <w:rFonts w:ascii="Book Antiqua" w:hAnsi="Book Antiqua"/>
        </w:rPr>
        <w:footnoteRef/>
      </w:r>
      <w:r w:rsidR="4C5596CC" w:rsidRPr="008400A6">
        <w:rPr>
          <w:rFonts w:ascii="Book Antiqua" w:hAnsi="Book Antiqua"/>
        </w:rPr>
        <w:t xml:space="preserve"> </w:t>
      </w:r>
      <w:r w:rsidR="4C5596CC" w:rsidRPr="4C5596CC">
        <w:rPr>
          <w:rFonts w:ascii="Book Antiqua" w:hAnsi="Book Antiqua" w:cs="Times New Roman"/>
        </w:rPr>
        <w:t>Application at 3-4.</w:t>
      </w:r>
    </w:p>
  </w:footnote>
  <w:footnote w:id="4">
    <w:p w14:paraId="5F17E068" w14:textId="25C45E70" w:rsidR="008C5969" w:rsidRPr="00B1323F" w:rsidRDefault="008C5969" w:rsidP="00B1323F">
      <w:pPr>
        <w:pStyle w:val="FootnoteText"/>
        <w:spacing w:after="120"/>
        <w:rPr>
          <w:rFonts w:ascii="Book Antiqua" w:hAnsi="Book Antiqua"/>
        </w:rPr>
      </w:pPr>
      <w:r w:rsidRPr="008400A6">
        <w:rPr>
          <w:rStyle w:val="FootnoteReference"/>
          <w:rFonts w:ascii="Book Antiqua" w:hAnsi="Book Antiqua"/>
        </w:rPr>
        <w:footnoteRef/>
      </w:r>
      <w:r w:rsidR="4C5596CC" w:rsidRPr="008400A6">
        <w:rPr>
          <w:rFonts w:ascii="Book Antiqua" w:hAnsi="Book Antiqua"/>
        </w:rPr>
        <w:t xml:space="preserve"> </w:t>
      </w:r>
      <w:r w:rsidR="4C5596CC" w:rsidRPr="4C5596CC">
        <w:rPr>
          <w:rFonts w:ascii="Book Antiqua" w:hAnsi="Book Antiqua"/>
          <w:i/>
          <w:iCs/>
        </w:rPr>
        <w:t>Id.</w:t>
      </w:r>
      <w:r w:rsidR="4C5596CC" w:rsidRPr="008400A6">
        <w:rPr>
          <w:rFonts w:ascii="Book Antiqua" w:hAnsi="Book Antiqua"/>
        </w:rPr>
        <w:t xml:space="preserve"> at 4.</w:t>
      </w:r>
    </w:p>
  </w:footnote>
  <w:footnote w:id="5">
    <w:p w14:paraId="79E98E5B" w14:textId="47B911E3" w:rsidR="00053F55" w:rsidRPr="008400A6" w:rsidRDefault="00053F55" w:rsidP="008516F1">
      <w:pPr>
        <w:pStyle w:val="FootnoteText"/>
        <w:spacing w:after="120"/>
        <w:rPr>
          <w:rFonts w:ascii="Book Antiqua" w:hAnsi="Book Antiqua"/>
        </w:rPr>
      </w:pPr>
      <w:r w:rsidRPr="008400A6">
        <w:rPr>
          <w:rStyle w:val="FootnoteReference"/>
          <w:rFonts w:ascii="Book Antiqua" w:hAnsi="Book Antiqua"/>
        </w:rPr>
        <w:footnoteRef/>
      </w:r>
      <w:r w:rsidRPr="008400A6">
        <w:rPr>
          <w:rFonts w:ascii="Book Antiqua" w:hAnsi="Book Antiqua"/>
        </w:rPr>
        <w:t xml:space="preserve"> PGE-1 at Chapter 1, Attachment 1, TO 18 Settlement, Section 5.4.</w:t>
      </w:r>
    </w:p>
  </w:footnote>
  <w:footnote w:id="6">
    <w:p w14:paraId="7A8DCC95" w14:textId="690E863C" w:rsidR="00953B70" w:rsidRPr="008400A6" w:rsidRDefault="00953B70" w:rsidP="008516F1">
      <w:pPr>
        <w:pStyle w:val="FootnoteText"/>
        <w:spacing w:after="120"/>
        <w:rPr>
          <w:rFonts w:ascii="Book Antiqua" w:hAnsi="Book Antiqua"/>
        </w:rPr>
      </w:pPr>
      <w:r w:rsidRPr="008400A6">
        <w:rPr>
          <w:rStyle w:val="FootnoteReference"/>
          <w:rFonts w:ascii="Book Antiqua" w:hAnsi="Book Antiqua"/>
        </w:rPr>
        <w:footnoteRef/>
      </w:r>
      <w:r w:rsidR="4C5596CC" w:rsidRPr="008400A6">
        <w:rPr>
          <w:rFonts w:ascii="Book Antiqua" w:hAnsi="Book Antiqua"/>
        </w:rPr>
        <w:t xml:space="preserve"> </w:t>
      </w:r>
      <w:r w:rsidR="4C5596CC" w:rsidRPr="4C5596CC">
        <w:rPr>
          <w:rFonts w:ascii="Book Antiqua" w:hAnsi="Book Antiqua" w:cs="Times New Roman"/>
        </w:rPr>
        <w:t>Application at 1-6.</w:t>
      </w:r>
    </w:p>
  </w:footnote>
  <w:footnote w:id="7">
    <w:p w14:paraId="66A24351" w14:textId="2A764698" w:rsidR="4234341E" w:rsidRDefault="4234341E" w:rsidP="4234341E">
      <w:pPr>
        <w:pStyle w:val="FootnoteText"/>
        <w:rPr>
          <w:rFonts w:ascii="Book Antiqua" w:hAnsi="Book Antiqua"/>
        </w:rPr>
      </w:pPr>
      <w:r w:rsidRPr="4234341E">
        <w:rPr>
          <w:rStyle w:val="FootnoteReference"/>
          <w:rFonts w:ascii="Book Antiqua" w:hAnsi="Book Antiqua"/>
        </w:rPr>
        <w:footnoteRef/>
      </w:r>
      <w:r w:rsidRPr="4234341E">
        <w:rPr>
          <w:rFonts w:ascii="Book Antiqua" w:hAnsi="Book Antiqua"/>
        </w:rPr>
        <w:t xml:space="preserve"> </w:t>
      </w:r>
      <w:r w:rsidRPr="4234341E">
        <w:rPr>
          <w:rFonts w:ascii="Book Antiqua" w:hAnsi="Book Antiqua" w:cs="Times New Roman"/>
        </w:rPr>
        <w:t>Application at 1-6.</w:t>
      </w:r>
    </w:p>
  </w:footnote>
  <w:footnote w:id="8">
    <w:p w14:paraId="5B94B4B6" w14:textId="6A2F7216" w:rsidR="007D4806" w:rsidRDefault="007D4806"/>
  </w:footnote>
  <w:footnote w:id="9">
    <w:p w14:paraId="4CD2B2EA" w14:textId="27E457DF" w:rsidR="003745F1" w:rsidRPr="008400A6" w:rsidRDefault="003745F1" w:rsidP="008516F1">
      <w:pPr>
        <w:pStyle w:val="FootnoteText"/>
        <w:spacing w:after="120"/>
        <w:rPr>
          <w:rFonts w:ascii="Book Antiqua" w:hAnsi="Book Antiqua"/>
        </w:rPr>
      </w:pPr>
      <w:r w:rsidRPr="008400A6">
        <w:rPr>
          <w:rStyle w:val="FootnoteReference"/>
          <w:rFonts w:ascii="Book Antiqua" w:hAnsi="Book Antiqua"/>
        </w:rPr>
        <w:footnoteRef/>
      </w:r>
      <w:r w:rsidR="4C5596CC" w:rsidRPr="008400A6">
        <w:rPr>
          <w:rFonts w:ascii="Book Antiqua" w:hAnsi="Book Antiqua"/>
        </w:rPr>
        <w:t xml:space="preserve"> </w:t>
      </w:r>
      <w:r w:rsidR="4C5596CC" w:rsidRPr="4C5596CC">
        <w:rPr>
          <w:rFonts w:ascii="Book Antiqua" w:hAnsi="Book Antiqua"/>
          <w:i/>
          <w:iCs/>
        </w:rPr>
        <w:t>Id.</w:t>
      </w:r>
      <w:r w:rsidR="4C5596CC" w:rsidRPr="008400A6">
        <w:rPr>
          <w:rFonts w:ascii="Book Antiqua" w:hAnsi="Book Antiqua"/>
        </w:rPr>
        <w:t xml:space="preserve"> at 2.</w:t>
      </w:r>
    </w:p>
  </w:footnote>
  <w:footnote w:id="10">
    <w:p w14:paraId="280DB2CB" w14:textId="2502F672" w:rsidR="00A85AAA" w:rsidRPr="00104873" w:rsidRDefault="00A85AAA" w:rsidP="008516F1">
      <w:pPr>
        <w:pStyle w:val="FootnoteText"/>
        <w:spacing w:after="120"/>
        <w:rPr>
          <w:rFonts w:ascii="Book Antiqua" w:hAnsi="Book Antiqua"/>
        </w:rPr>
      </w:pPr>
      <w:r w:rsidRPr="008400A6">
        <w:rPr>
          <w:rStyle w:val="FootnoteReference"/>
          <w:rFonts w:ascii="Book Antiqua" w:hAnsi="Book Antiqua"/>
        </w:rPr>
        <w:footnoteRef/>
      </w:r>
      <w:r w:rsidR="4C5596CC" w:rsidRPr="008400A6">
        <w:rPr>
          <w:rFonts w:ascii="Book Antiqua" w:hAnsi="Book Antiqua"/>
        </w:rPr>
        <w:t xml:space="preserve"> P</w:t>
      </w:r>
      <w:r w:rsidR="4C5596CC">
        <w:rPr>
          <w:rFonts w:ascii="Book Antiqua" w:hAnsi="Book Antiqua"/>
        </w:rPr>
        <w:t>G&amp;E</w:t>
      </w:r>
      <w:r w:rsidR="4C5596CC" w:rsidRPr="008400A6">
        <w:rPr>
          <w:rFonts w:ascii="Book Antiqua" w:hAnsi="Book Antiqua"/>
        </w:rPr>
        <w:t xml:space="preserve"> Post-Hearing Opening Brief at 5-18.</w:t>
      </w:r>
    </w:p>
  </w:footnote>
  <w:footnote w:id="11">
    <w:p w14:paraId="56F6620E" w14:textId="031A0FCB" w:rsidR="007C6676" w:rsidRPr="008516F1" w:rsidRDefault="007C6676" w:rsidP="007651A7">
      <w:pPr>
        <w:pStyle w:val="FootnoteText"/>
        <w:spacing w:after="120"/>
        <w:rPr>
          <w:rFonts w:ascii="Book Antiqua" w:hAnsi="Book Antiqua"/>
        </w:rPr>
      </w:pPr>
      <w:r w:rsidRPr="008516F1">
        <w:rPr>
          <w:rStyle w:val="FootnoteReference"/>
          <w:rFonts w:ascii="Book Antiqua" w:hAnsi="Book Antiqua"/>
        </w:rPr>
        <w:footnoteRef/>
      </w:r>
      <w:r w:rsidR="4C5596CC" w:rsidRPr="008516F1">
        <w:rPr>
          <w:rFonts w:ascii="Book Antiqua" w:hAnsi="Book Antiqua"/>
        </w:rPr>
        <w:t xml:space="preserve"> </w:t>
      </w:r>
      <w:r w:rsidR="4C5596CC" w:rsidRPr="4C5596CC">
        <w:rPr>
          <w:rFonts w:ascii="Book Antiqua" w:hAnsi="Book Antiqua"/>
          <w:i/>
          <w:iCs/>
        </w:rPr>
        <w:t>Id.</w:t>
      </w:r>
      <w:r w:rsidR="4C5596CC" w:rsidRPr="008516F1">
        <w:rPr>
          <w:rFonts w:ascii="Book Antiqua" w:hAnsi="Book Antiqua"/>
        </w:rPr>
        <w:t xml:space="preserve"> at 7.</w:t>
      </w:r>
    </w:p>
  </w:footnote>
  <w:footnote w:id="12">
    <w:p w14:paraId="4DC36E1A" w14:textId="12307FE2" w:rsidR="007C39D2" w:rsidRPr="008516F1" w:rsidRDefault="007C39D2" w:rsidP="007651A7">
      <w:pPr>
        <w:pStyle w:val="FootnoteText"/>
        <w:spacing w:after="120"/>
        <w:rPr>
          <w:rFonts w:ascii="Book Antiqua" w:hAnsi="Book Antiqua"/>
        </w:rPr>
      </w:pPr>
      <w:r w:rsidRPr="008516F1">
        <w:rPr>
          <w:rStyle w:val="FootnoteReference"/>
          <w:rFonts w:ascii="Book Antiqua" w:hAnsi="Book Antiqua"/>
        </w:rPr>
        <w:footnoteRef/>
      </w:r>
      <w:r w:rsidR="4C5596CC" w:rsidRPr="008516F1">
        <w:rPr>
          <w:rFonts w:ascii="Book Antiqua" w:hAnsi="Book Antiqua"/>
        </w:rPr>
        <w:t xml:space="preserve"> </w:t>
      </w:r>
      <w:r w:rsidR="4C5596CC" w:rsidRPr="4C5596CC">
        <w:rPr>
          <w:rFonts w:ascii="Book Antiqua" w:hAnsi="Book Antiqua"/>
          <w:i/>
          <w:iCs/>
        </w:rPr>
        <w:t>Id.</w:t>
      </w:r>
      <w:r w:rsidR="4C5596CC" w:rsidRPr="008516F1">
        <w:rPr>
          <w:rFonts w:ascii="Book Antiqua" w:hAnsi="Book Antiqua"/>
        </w:rPr>
        <w:t xml:space="preserve"> at 32-35.</w:t>
      </w:r>
    </w:p>
  </w:footnote>
  <w:footnote w:id="13">
    <w:p w14:paraId="67BCA817" w14:textId="092F8646" w:rsidR="00453C51" w:rsidRPr="00D91CA7" w:rsidRDefault="00453C51" w:rsidP="007651A7">
      <w:pPr>
        <w:pStyle w:val="FootnoteText"/>
        <w:spacing w:after="120"/>
        <w:rPr>
          <w:rFonts w:ascii="Book Antiqua" w:hAnsi="Book Antiqua"/>
        </w:rPr>
      </w:pPr>
      <w:r w:rsidRPr="008516F1">
        <w:rPr>
          <w:rStyle w:val="FootnoteReference"/>
          <w:rFonts w:ascii="Book Antiqua" w:hAnsi="Book Antiqua"/>
        </w:rPr>
        <w:footnoteRef/>
      </w:r>
      <w:r w:rsidR="4234341E" w:rsidRPr="008516F1">
        <w:rPr>
          <w:rFonts w:ascii="Book Antiqua" w:hAnsi="Book Antiqua"/>
        </w:rPr>
        <w:t xml:space="preserve"> </w:t>
      </w:r>
      <w:r w:rsidR="4234341E">
        <w:rPr>
          <w:rFonts w:ascii="Book Antiqua" w:hAnsi="Book Antiqua"/>
        </w:rPr>
        <w:t>Cal Advocates</w:t>
      </w:r>
      <w:r w:rsidR="4234341E" w:rsidRPr="008516F1">
        <w:rPr>
          <w:rFonts w:ascii="Book Antiqua" w:hAnsi="Book Antiqua"/>
        </w:rPr>
        <w:t xml:space="preserve"> Opening Brief at 3-4.</w:t>
      </w:r>
    </w:p>
  </w:footnote>
  <w:footnote w:id="14">
    <w:p w14:paraId="0F4D8B7E" w14:textId="2A1B52FC" w:rsidR="000E2393" w:rsidRPr="008516F1" w:rsidRDefault="000E2393" w:rsidP="007651A7">
      <w:pPr>
        <w:pStyle w:val="FootnoteText"/>
        <w:spacing w:after="120"/>
        <w:rPr>
          <w:rFonts w:ascii="Book Antiqua" w:hAnsi="Book Antiqua"/>
        </w:rPr>
      </w:pPr>
      <w:r w:rsidRPr="008516F1">
        <w:rPr>
          <w:rStyle w:val="FootnoteReference"/>
          <w:rFonts w:ascii="Book Antiqua" w:hAnsi="Book Antiqua"/>
        </w:rPr>
        <w:footnoteRef/>
      </w:r>
      <w:r w:rsidR="4234341E" w:rsidRPr="008516F1">
        <w:rPr>
          <w:rFonts w:ascii="Book Antiqua" w:hAnsi="Book Antiqua"/>
        </w:rPr>
        <w:t xml:space="preserve"> </w:t>
      </w:r>
      <w:r w:rsidR="4234341E">
        <w:rPr>
          <w:rFonts w:ascii="Book Antiqua" w:hAnsi="Book Antiqua"/>
        </w:rPr>
        <w:t>Cal Advocates</w:t>
      </w:r>
      <w:r w:rsidR="4234341E" w:rsidRPr="008516F1">
        <w:rPr>
          <w:rFonts w:ascii="Book Antiqua" w:hAnsi="Book Antiqua"/>
        </w:rPr>
        <w:t xml:space="preserve"> Reply Brief at 7-8.</w:t>
      </w:r>
    </w:p>
  </w:footnote>
  <w:footnote w:id="15">
    <w:p w14:paraId="00A0CD95" w14:textId="720EBC26" w:rsidR="006807E8" w:rsidRPr="008516F1" w:rsidRDefault="006807E8" w:rsidP="007651A7">
      <w:pPr>
        <w:pStyle w:val="FootnoteText"/>
        <w:spacing w:after="120"/>
        <w:rPr>
          <w:rFonts w:ascii="Book Antiqua" w:hAnsi="Book Antiqua"/>
        </w:rPr>
      </w:pPr>
      <w:r w:rsidRPr="008516F1">
        <w:rPr>
          <w:rStyle w:val="FootnoteReference"/>
          <w:rFonts w:ascii="Book Antiqua" w:hAnsi="Book Antiqua"/>
        </w:rPr>
        <w:footnoteRef/>
      </w:r>
      <w:r w:rsidR="4234341E" w:rsidRPr="008516F1">
        <w:rPr>
          <w:rFonts w:ascii="Book Antiqua" w:hAnsi="Book Antiqua"/>
        </w:rPr>
        <w:t xml:space="preserve"> </w:t>
      </w:r>
      <w:r w:rsidR="4234341E">
        <w:rPr>
          <w:rFonts w:ascii="Book Antiqua" w:hAnsi="Book Antiqua"/>
        </w:rPr>
        <w:t>Cal Advocates</w:t>
      </w:r>
      <w:r w:rsidR="4234341E" w:rsidRPr="008516F1">
        <w:rPr>
          <w:rFonts w:ascii="Book Antiqua" w:hAnsi="Book Antiqua"/>
        </w:rPr>
        <w:t xml:space="preserve"> Opening Brief at 2-19.</w:t>
      </w:r>
    </w:p>
  </w:footnote>
  <w:footnote w:id="16">
    <w:p w14:paraId="0C541E3C" w14:textId="48B87603" w:rsidR="00DC0554" w:rsidRDefault="00DC0554">
      <w:pPr>
        <w:pStyle w:val="FootnoteText"/>
      </w:pPr>
      <w:r>
        <w:rPr>
          <w:rStyle w:val="FootnoteReference"/>
        </w:rPr>
        <w:footnoteRef/>
      </w:r>
      <w:r>
        <w:t xml:space="preserve"> </w:t>
      </w:r>
      <w:r w:rsidRPr="002F12AA">
        <w:rPr>
          <w:rFonts w:ascii="Book Antiqua" w:hAnsi="Book Antiqua"/>
          <w:i/>
          <w:iCs/>
        </w:rPr>
        <w:t xml:space="preserve">See </w:t>
      </w:r>
      <w:r w:rsidRPr="002F12AA">
        <w:rPr>
          <w:rFonts w:ascii="Book Antiqua" w:hAnsi="Book Antiqua"/>
        </w:rPr>
        <w:t>D.03-08-062.</w:t>
      </w:r>
    </w:p>
  </w:footnote>
  <w:footnote w:id="17">
    <w:p w14:paraId="1B5586B4" w14:textId="174C6026" w:rsidR="002E41FF" w:rsidRPr="008516F1" w:rsidRDefault="002E41FF" w:rsidP="008516F1">
      <w:pPr>
        <w:pStyle w:val="FootnoteText"/>
        <w:spacing w:after="120"/>
        <w:rPr>
          <w:rFonts w:ascii="Book Antiqua" w:hAnsi="Book Antiqua"/>
        </w:rPr>
      </w:pPr>
      <w:r w:rsidRPr="008516F1">
        <w:rPr>
          <w:rStyle w:val="FootnoteReference"/>
          <w:rFonts w:ascii="Book Antiqua" w:hAnsi="Book Antiqua"/>
        </w:rPr>
        <w:footnoteRef/>
      </w:r>
      <w:r w:rsidR="4234341E" w:rsidRPr="008516F1">
        <w:rPr>
          <w:rFonts w:ascii="Book Antiqua" w:hAnsi="Book Antiqua"/>
        </w:rPr>
        <w:t xml:space="preserve"> P</w:t>
      </w:r>
      <w:r w:rsidR="4234341E">
        <w:rPr>
          <w:rFonts w:ascii="Book Antiqua" w:hAnsi="Book Antiqua"/>
        </w:rPr>
        <w:t>G&amp;E</w:t>
      </w:r>
      <w:r w:rsidR="4234341E" w:rsidRPr="008516F1">
        <w:rPr>
          <w:rFonts w:ascii="Book Antiqua" w:hAnsi="Book Antiqua"/>
        </w:rPr>
        <w:t xml:space="preserve"> Post-Hearing Opening Brief at 36-56.</w:t>
      </w:r>
    </w:p>
  </w:footnote>
  <w:footnote w:id="18">
    <w:p w14:paraId="5EEE6C82" w14:textId="6271A7AB" w:rsidR="00AE0DBF" w:rsidRDefault="00AE0DBF" w:rsidP="008516F1">
      <w:pPr>
        <w:pStyle w:val="FootnoteText"/>
        <w:spacing w:after="120"/>
      </w:pPr>
      <w:r w:rsidRPr="008516F1">
        <w:rPr>
          <w:rStyle w:val="FootnoteReference"/>
          <w:rFonts w:ascii="Book Antiqua" w:hAnsi="Book Antiqua"/>
        </w:rPr>
        <w:footnoteRef/>
      </w:r>
      <w:r w:rsidRPr="008516F1">
        <w:rPr>
          <w:rFonts w:ascii="Book Antiqua" w:hAnsi="Book Antiqua"/>
        </w:rPr>
        <w:t xml:space="preserve"> </w:t>
      </w:r>
      <w:r w:rsidR="00706278" w:rsidRPr="008516F1">
        <w:rPr>
          <w:rFonts w:ascii="Book Antiqua" w:hAnsi="Book Antiqua"/>
          <w:i/>
          <w:iCs/>
        </w:rPr>
        <w:t>Id.</w:t>
      </w:r>
      <w:r w:rsidR="00706278" w:rsidRPr="008516F1">
        <w:rPr>
          <w:rFonts w:ascii="Book Antiqua" w:hAnsi="Book Antiqua"/>
        </w:rPr>
        <w:t xml:space="preserve"> at 30.</w:t>
      </w:r>
    </w:p>
  </w:footnote>
  <w:footnote w:id="19">
    <w:p w14:paraId="6A1A31AA" w14:textId="512FC80F" w:rsidR="003B0EE4" w:rsidRPr="008516F1" w:rsidRDefault="003B0EE4" w:rsidP="008516F1">
      <w:pPr>
        <w:pStyle w:val="FootnoteText"/>
        <w:spacing w:after="120"/>
        <w:rPr>
          <w:rFonts w:ascii="Book Antiqua" w:hAnsi="Book Antiqua"/>
        </w:rPr>
      </w:pPr>
      <w:r w:rsidRPr="008516F1">
        <w:rPr>
          <w:rStyle w:val="FootnoteReference"/>
          <w:rFonts w:ascii="Book Antiqua" w:hAnsi="Book Antiqua"/>
        </w:rPr>
        <w:footnoteRef/>
      </w:r>
      <w:r w:rsidRPr="008516F1">
        <w:rPr>
          <w:rFonts w:ascii="Book Antiqua" w:hAnsi="Book Antiqua"/>
        </w:rPr>
        <w:t xml:space="preserve"> </w:t>
      </w:r>
      <w:r w:rsidR="0068449B" w:rsidRPr="008516F1">
        <w:rPr>
          <w:rFonts w:ascii="Book Antiqua" w:hAnsi="Book Antiqua"/>
          <w:i/>
          <w:iCs/>
        </w:rPr>
        <w:t xml:space="preserve">Id. </w:t>
      </w:r>
      <w:r w:rsidR="0068449B" w:rsidRPr="008516F1">
        <w:rPr>
          <w:rFonts w:ascii="Book Antiqua" w:hAnsi="Book Antiqua"/>
        </w:rPr>
        <w:t>at 43-56.</w:t>
      </w:r>
    </w:p>
  </w:footnote>
  <w:footnote w:id="20">
    <w:p w14:paraId="260EFA85" w14:textId="01DF8C82" w:rsidR="00FD0943" w:rsidRPr="008516F1" w:rsidRDefault="00FD0943" w:rsidP="008516F1">
      <w:pPr>
        <w:pStyle w:val="FootnoteText"/>
        <w:spacing w:after="120"/>
        <w:rPr>
          <w:rFonts w:ascii="Book Antiqua" w:hAnsi="Book Antiqua"/>
        </w:rPr>
      </w:pPr>
      <w:r w:rsidRPr="008516F1">
        <w:rPr>
          <w:rStyle w:val="FootnoteReference"/>
          <w:rFonts w:ascii="Book Antiqua" w:hAnsi="Book Antiqua"/>
        </w:rPr>
        <w:footnoteRef/>
      </w:r>
      <w:r w:rsidR="4234341E" w:rsidRPr="008516F1">
        <w:rPr>
          <w:rFonts w:ascii="Book Antiqua" w:hAnsi="Book Antiqua"/>
        </w:rPr>
        <w:t xml:space="preserve"> P</w:t>
      </w:r>
      <w:r w:rsidR="4234341E">
        <w:rPr>
          <w:rFonts w:ascii="Book Antiqua" w:hAnsi="Book Antiqua"/>
        </w:rPr>
        <w:t>G&amp;E</w:t>
      </w:r>
      <w:r w:rsidR="4234341E" w:rsidRPr="008516F1">
        <w:rPr>
          <w:rFonts w:ascii="Book Antiqua" w:hAnsi="Book Antiqua"/>
        </w:rPr>
        <w:t xml:space="preserve"> Post-Hearing Reply Brief at 3-4.</w:t>
      </w:r>
    </w:p>
  </w:footnote>
  <w:footnote w:id="21">
    <w:p w14:paraId="3869B3BA" w14:textId="416179FE" w:rsidR="00BE0284" w:rsidRPr="00DE40AF" w:rsidRDefault="00BE0284" w:rsidP="008516F1">
      <w:pPr>
        <w:pStyle w:val="FootnoteText"/>
        <w:spacing w:after="120"/>
        <w:rPr>
          <w:rFonts w:ascii="Book Antiqua" w:hAnsi="Book Antiqua"/>
        </w:rPr>
      </w:pPr>
      <w:r w:rsidRPr="00DE40AF">
        <w:rPr>
          <w:rStyle w:val="FootnoteReference"/>
          <w:rFonts w:ascii="Book Antiqua" w:hAnsi="Book Antiqua"/>
        </w:rPr>
        <w:footnoteRef/>
      </w:r>
      <w:r w:rsidR="4234341E" w:rsidRPr="00DE40AF">
        <w:rPr>
          <w:rFonts w:ascii="Book Antiqua" w:hAnsi="Book Antiqua"/>
        </w:rPr>
        <w:t xml:space="preserve"> PG&amp;E Post-Hearing Opening Brief at 43-47.</w:t>
      </w:r>
    </w:p>
  </w:footnote>
  <w:footnote w:id="22">
    <w:p w14:paraId="155AA2BB" w14:textId="713272B2" w:rsidR="00A75A6A" w:rsidRPr="00DE40AF" w:rsidRDefault="00A75A6A" w:rsidP="008516F1">
      <w:pPr>
        <w:pStyle w:val="FootnoteText"/>
        <w:spacing w:after="120"/>
        <w:rPr>
          <w:rFonts w:ascii="Book Antiqua" w:hAnsi="Book Antiqua"/>
        </w:rPr>
      </w:pPr>
      <w:r w:rsidRPr="00DE40AF">
        <w:rPr>
          <w:rStyle w:val="FootnoteReference"/>
          <w:rFonts w:ascii="Book Antiqua" w:hAnsi="Book Antiqua"/>
        </w:rPr>
        <w:footnoteRef/>
      </w:r>
      <w:r w:rsidRPr="00DE40AF">
        <w:rPr>
          <w:rFonts w:ascii="Book Antiqua" w:hAnsi="Book Antiqua"/>
        </w:rPr>
        <w:t xml:space="preserve"> </w:t>
      </w:r>
      <w:r w:rsidRPr="00DE40AF">
        <w:rPr>
          <w:rFonts w:ascii="Book Antiqua" w:hAnsi="Book Antiqua"/>
          <w:i/>
          <w:iCs/>
        </w:rPr>
        <w:t xml:space="preserve">Id. </w:t>
      </w:r>
      <w:r w:rsidRPr="00DE40AF">
        <w:rPr>
          <w:rFonts w:ascii="Book Antiqua" w:hAnsi="Book Antiqua"/>
        </w:rPr>
        <w:t>at 41.</w:t>
      </w:r>
    </w:p>
  </w:footnote>
  <w:footnote w:id="23">
    <w:p w14:paraId="7DBC8014" w14:textId="575D79C6" w:rsidR="000C4F3C" w:rsidRPr="00DE40AF" w:rsidRDefault="000C4F3C" w:rsidP="008516F1">
      <w:pPr>
        <w:pStyle w:val="FootnoteText"/>
        <w:spacing w:after="120"/>
        <w:rPr>
          <w:rFonts w:ascii="Book Antiqua" w:hAnsi="Book Antiqua"/>
        </w:rPr>
      </w:pPr>
      <w:r w:rsidRPr="00DE40AF">
        <w:rPr>
          <w:rStyle w:val="FootnoteReference"/>
          <w:rFonts w:ascii="Book Antiqua" w:hAnsi="Book Antiqua"/>
        </w:rPr>
        <w:footnoteRef/>
      </w:r>
      <w:r w:rsidR="4234341E" w:rsidRPr="00DE40AF">
        <w:rPr>
          <w:rFonts w:ascii="Book Antiqua" w:hAnsi="Book Antiqua"/>
        </w:rPr>
        <w:t xml:space="preserve"> PG&amp;E Post-Hearing Reply Brief at 22-25.</w:t>
      </w:r>
    </w:p>
  </w:footnote>
  <w:footnote w:id="24">
    <w:p w14:paraId="5EB64710" w14:textId="69CD0BD5" w:rsidR="00241B0F" w:rsidRDefault="00241B0F" w:rsidP="00D423EB">
      <w:pPr>
        <w:pStyle w:val="FootnoteText"/>
        <w:spacing w:line="360" w:lineRule="auto"/>
      </w:pPr>
      <w:r w:rsidRPr="00DE40AF">
        <w:rPr>
          <w:rStyle w:val="FootnoteReference"/>
          <w:rFonts w:ascii="Book Antiqua" w:hAnsi="Book Antiqua"/>
        </w:rPr>
        <w:footnoteRef/>
      </w:r>
      <w:r w:rsidR="4C5596CC" w:rsidRPr="00DE40AF">
        <w:rPr>
          <w:rFonts w:ascii="Book Antiqua" w:hAnsi="Book Antiqua"/>
        </w:rPr>
        <w:t xml:space="preserve"> Cal Advocates Opening Brief at 14-15.</w:t>
      </w:r>
    </w:p>
  </w:footnote>
  <w:footnote w:id="25">
    <w:p w14:paraId="0EB5F409" w14:textId="78ABC795" w:rsidR="00F13B0E" w:rsidRPr="00DE40AF" w:rsidRDefault="00F13B0E" w:rsidP="00D423EB">
      <w:pPr>
        <w:pStyle w:val="FootnoteText"/>
        <w:spacing w:line="360" w:lineRule="auto"/>
        <w:rPr>
          <w:rFonts w:ascii="Book Antiqua" w:hAnsi="Book Antiqua"/>
        </w:rPr>
      </w:pPr>
      <w:r w:rsidRPr="00DE40AF">
        <w:rPr>
          <w:rStyle w:val="FootnoteReference"/>
          <w:rFonts w:ascii="Book Antiqua" w:hAnsi="Book Antiqua"/>
        </w:rPr>
        <w:footnoteRef/>
      </w:r>
      <w:r w:rsidR="4C5596CC" w:rsidRPr="00DE40AF">
        <w:rPr>
          <w:rFonts w:ascii="Book Antiqua" w:hAnsi="Book Antiqua"/>
        </w:rPr>
        <w:t xml:space="preserve"> </w:t>
      </w:r>
      <w:r w:rsidR="4C5596CC" w:rsidRPr="00DE40AF">
        <w:rPr>
          <w:rFonts w:ascii="Book Antiqua" w:hAnsi="Book Antiqua" w:cs="Times New Roman"/>
          <w:i/>
          <w:iCs/>
          <w:color w:val="000000" w:themeColor="text1"/>
        </w:rPr>
        <w:t xml:space="preserve">Id. </w:t>
      </w:r>
      <w:r w:rsidR="4C5596CC" w:rsidRPr="00DE40AF">
        <w:rPr>
          <w:rFonts w:ascii="Book Antiqua" w:hAnsi="Book Antiqua" w:cs="Times New Roman"/>
          <w:color w:val="000000" w:themeColor="text1"/>
        </w:rPr>
        <w:t>at 3-8.</w:t>
      </w:r>
    </w:p>
  </w:footnote>
  <w:footnote w:id="26">
    <w:p w14:paraId="4EFBE30F" w14:textId="4A10B6BA" w:rsidR="00C64110" w:rsidRPr="00DE40AF" w:rsidRDefault="00C64110" w:rsidP="00D423EB">
      <w:pPr>
        <w:pStyle w:val="FootnoteText"/>
        <w:spacing w:line="360" w:lineRule="auto"/>
        <w:rPr>
          <w:rFonts w:ascii="Book Antiqua" w:hAnsi="Book Antiqua"/>
        </w:rPr>
      </w:pPr>
      <w:r w:rsidRPr="00DE40AF">
        <w:rPr>
          <w:rStyle w:val="FootnoteReference"/>
          <w:rFonts w:ascii="Book Antiqua" w:hAnsi="Book Antiqua"/>
        </w:rPr>
        <w:footnoteRef/>
      </w:r>
      <w:r w:rsidR="4C5596CC" w:rsidRPr="00DE40AF">
        <w:rPr>
          <w:rFonts w:ascii="Book Antiqua" w:hAnsi="Book Antiqua"/>
        </w:rPr>
        <w:t xml:space="preserve"> Cal Advocates Reply Brief at 8-10.</w:t>
      </w:r>
    </w:p>
  </w:footnote>
  <w:footnote w:id="27">
    <w:p w14:paraId="18E55277" w14:textId="325C920F" w:rsidR="4234341E" w:rsidRPr="00DE40AF" w:rsidRDefault="4234341E" w:rsidP="00643C47">
      <w:pPr>
        <w:pStyle w:val="FootnoteText"/>
        <w:spacing w:after="120"/>
        <w:rPr>
          <w:rFonts w:ascii="Book Antiqua" w:hAnsi="Book Antiqua"/>
        </w:rPr>
      </w:pPr>
      <w:r w:rsidRPr="00DE40AF">
        <w:rPr>
          <w:rStyle w:val="FootnoteReference"/>
          <w:rFonts w:ascii="Book Antiqua" w:hAnsi="Book Antiqua"/>
        </w:rPr>
        <w:footnoteRef/>
      </w:r>
      <w:r w:rsidRPr="00DE40AF">
        <w:rPr>
          <w:rFonts w:ascii="Book Antiqua" w:hAnsi="Book Antiqua"/>
        </w:rPr>
        <w:t xml:space="preserve"> PGE Post Hearing Opening Brief at 11-15.</w:t>
      </w:r>
    </w:p>
  </w:footnote>
  <w:footnote w:id="28">
    <w:p w14:paraId="4F4A0C98" w14:textId="04E8D060" w:rsidR="4234341E" w:rsidRPr="00DE40AF" w:rsidRDefault="4234341E" w:rsidP="00643C47">
      <w:pPr>
        <w:pStyle w:val="FootnoteText"/>
        <w:spacing w:after="120"/>
        <w:rPr>
          <w:rFonts w:ascii="Book Antiqua" w:hAnsi="Book Antiqua"/>
        </w:rPr>
      </w:pPr>
      <w:r w:rsidRPr="00DE40AF">
        <w:rPr>
          <w:rStyle w:val="FootnoteReference"/>
          <w:rFonts w:ascii="Book Antiqua" w:hAnsi="Book Antiqua"/>
        </w:rPr>
        <w:footnoteRef/>
      </w:r>
      <w:r w:rsidRPr="00DE40AF">
        <w:rPr>
          <w:rFonts w:ascii="Book Antiqua" w:hAnsi="Book Antiqua"/>
        </w:rPr>
        <w:t xml:space="preserve"> </w:t>
      </w:r>
      <w:r w:rsidRPr="00DE40AF">
        <w:rPr>
          <w:rFonts w:ascii="Book Antiqua" w:hAnsi="Book Antiqua"/>
          <w:i/>
          <w:iCs/>
        </w:rPr>
        <w:t xml:space="preserve">See </w:t>
      </w:r>
      <w:r w:rsidRPr="00DE40AF">
        <w:rPr>
          <w:rFonts w:ascii="Book Antiqua" w:hAnsi="Book Antiqua"/>
        </w:rPr>
        <w:t>PGE-1 at page 1-5 through page 1-12.</w:t>
      </w:r>
    </w:p>
  </w:footnote>
  <w:footnote w:id="29">
    <w:p w14:paraId="7A237D29" w14:textId="753CBA64" w:rsidR="00305006" w:rsidRPr="00DE40AF" w:rsidRDefault="00305006" w:rsidP="00643C47">
      <w:pPr>
        <w:pStyle w:val="FootnoteText"/>
        <w:spacing w:after="120"/>
        <w:rPr>
          <w:rFonts w:ascii="Book Antiqua" w:hAnsi="Book Antiqua"/>
        </w:rPr>
      </w:pPr>
      <w:r w:rsidRPr="00DE40AF">
        <w:rPr>
          <w:rStyle w:val="FootnoteReference"/>
          <w:rFonts w:ascii="Book Antiqua" w:hAnsi="Book Antiqua"/>
        </w:rPr>
        <w:footnoteRef/>
      </w:r>
      <w:r w:rsidR="4C5596CC" w:rsidRPr="00DE40AF">
        <w:rPr>
          <w:rFonts w:ascii="Book Antiqua" w:hAnsi="Book Antiqua"/>
        </w:rPr>
        <w:t xml:space="preserve"> </w:t>
      </w:r>
      <w:r w:rsidR="4C5596CC" w:rsidRPr="00DE40AF">
        <w:rPr>
          <w:rFonts w:ascii="Book Antiqua" w:hAnsi="Book Antiqua"/>
          <w:i/>
          <w:iCs/>
        </w:rPr>
        <w:t>Id.</w:t>
      </w:r>
      <w:r w:rsidR="4C5596CC" w:rsidRPr="00DE40AF">
        <w:rPr>
          <w:rFonts w:ascii="Book Antiqua" w:hAnsi="Book Antiqua"/>
        </w:rPr>
        <w:t xml:space="preserve"> at 50-54.</w:t>
      </w:r>
    </w:p>
  </w:footnote>
  <w:footnote w:id="30">
    <w:p w14:paraId="1854B754" w14:textId="1980CB8D" w:rsidR="00566061" w:rsidRPr="00643C47" w:rsidRDefault="00566061" w:rsidP="00BB5D63">
      <w:pPr>
        <w:pStyle w:val="FootnoteText"/>
        <w:spacing w:line="360" w:lineRule="auto"/>
        <w:rPr>
          <w:rFonts w:ascii="Book Antiqua" w:hAnsi="Book Antiqua"/>
        </w:rPr>
      </w:pPr>
      <w:r>
        <w:rPr>
          <w:rStyle w:val="FootnoteReference"/>
        </w:rPr>
        <w:footnoteRef/>
      </w:r>
      <w:r w:rsidR="4C5596CC">
        <w:t xml:space="preserve"> </w:t>
      </w:r>
      <w:r w:rsidR="4C5596CC" w:rsidRPr="00643C47">
        <w:rPr>
          <w:rFonts w:ascii="Book Antiqua" w:hAnsi="Book Antiqua"/>
        </w:rPr>
        <w:t>PG&amp;E Post-Hearing Opening Brief at 47-50.</w:t>
      </w:r>
    </w:p>
  </w:footnote>
  <w:footnote w:id="31">
    <w:p w14:paraId="3DCC1632" w14:textId="02F2E48D" w:rsidR="00567C80" w:rsidRPr="00643C47" w:rsidRDefault="00567C80" w:rsidP="00BB5D63">
      <w:pPr>
        <w:pStyle w:val="FootnoteText"/>
        <w:spacing w:line="360" w:lineRule="auto"/>
        <w:rPr>
          <w:rFonts w:ascii="Book Antiqua" w:hAnsi="Book Antiqua"/>
        </w:rPr>
      </w:pPr>
      <w:r w:rsidRPr="00643C47">
        <w:rPr>
          <w:rStyle w:val="FootnoteReference"/>
          <w:rFonts w:ascii="Book Antiqua" w:hAnsi="Book Antiqua"/>
        </w:rPr>
        <w:footnoteRef/>
      </w:r>
      <w:r w:rsidR="4C5596CC" w:rsidRPr="00643C47">
        <w:rPr>
          <w:rFonts w:ascii="Book Antiqua" w:hAnsi="Book Antiqua"/>
        </w:rPr>
        <w:t xml:space="preserve"> Cal Advocates Reply Brief at 8-10.</w:t>
      </w:r>
    </w:p>
  </w:footnote>
  <w:footnote w:id="32">
    <w:p w14:paraId="4E57163F" w14:textId="18760574" w:rsidR="009213EA" w:rsidRDefault="009213EA" w:rsidP="00BB5D63">
      <w:pPr>
        <w:pStyle w:val="FootnoteText"/>
        <w:spacing w:line="360" w:lineRule="auto"/>
      </w:pPr>
      <w:r w:rsidRPr="00643C47">
        <w:rPr>
          <w:rStyle w:val="FootnoteReference"/>
          <w:rFonts w:ascii="Book Antiqua" w:hAnsi="Book Antiqua"/>
        </w:rPr>
        <w:footnoteRef/>
      </w:r>
      <w:r w:rsidR="4C5596CC" w:rsidRPr="00643C47">
        <w:rPr>
          <w:rFonts w:ascii="Book Antiqua" w:hAnsi="Book Antiqua"/>
        </w:rPr>
        <w:t xml:space="preserve"> </w:t>
      </w:r>
      <w:r w:rsidR="4C5596CC" w:rsidRPr="00643C47">
        <w:rPr>
          <w:rFonts w:ascii="Book Antiqua" w:hAnsi="Book Antiqua"/>
          <w:i/>
          <w:iCs/>
        </w:rPr>
        <w:t>Id.</w:t>
      </w:r>
      <w:r w:rsidR="4C5596CC" w:rsidRPr="00643C47">
        <w:rPr>
          <w:rFonts w:ascii="Book Antiqua" w:hAnsi="Book Antiqua"/>
        </w:rPr>
        <w:t xml:space="preserve"> at 5-7.</w:t>
      </w:r>
    </w:p>
  </w:footnote>
  <w:footnote w:id="33">
    <w:p w14:paraId="6D30CD12" w14:textId="12A6C8D8" w:rsidR="00BA44B0" w:rsidRPr="00643C47" w:rsidRDefault="00BA44B0" w:rsidP="00AB5D70">
      <w:pPr>
        <w:pStyle w:val="FootnoteText"/>
        <w:spacing w:line="360" w:lineRule="auto"/>
        <w:rPr>
          <w:rFonts w:ascii="Book Antiqua" w:hAnsi="Book Antiqua"/>
        </w:rPr>
      </w:pPr>
      <w:r w:rsidRPr="00643C47">
        <w:rPr>
          <w:rStyle w:val="FootnoteReference"/>
          <w:rFonts w:ascii="Book Antiqua" w:hAnsi="Book Antiqua"/>
        </w:rPr>
        <w:footnoteRef/>
      </w:r>
      <w:r w:rsidR="4C5596CC" w:rsidRPr="00643C47">
        <w:rPr>
          <w:rFonts w:ascii="Book Antiqua" w:hAnsi="Book Antiqua"/>
        </w:rPr>
        <w:t xml:space="preserve"> P</w:t>
      </w:r>
      <w:bookmarkStart w:id="33" w:name="_Hlk213014462"/>
      <w:r w:rsidR="4C5596CC" w:rsidRPr="00643C47">
        <w:rPr>
          <w:rFonts w:ascii="Book Antiqua" w:hAnsi="Book Antiqua"/>
        </w:rPr>
        <w:t>G&amp;E Post-Hearing Opening Brief at 56-57.</w:t>
      </w:r>
      <w:bookmarkEnd w:id="33"/>
    </w:p>
  </w:footnote>
  <w:footnote w:id="34">
    <w:p w14:paraId="44F6847A" w14:textId="555439C9" w:rsidR="00FB2F04" w:rsidRPr="00643C47" w:rsidRDefault="00FB2F04" w:rsidP="00AB5D70">
      <w:pPr>
        <w:pStyle w:val="FootnoteText"/>
        <w:spacing w:line="360" w:lineRule="auto"/>
        <w:rPr>
          <w:rFonts w:ascii="Book Antiqua" w:hAnsi="Book Antiqua"/>
        </w:rPr>
      </w:pPr>
      <w:r w:rsidRPr="00643C47">
        <w:rPr>
          <w:rStyle w:val="FootnoteReference"/>
          <w:rFonts w:ascii="Book Antiqua" w:hAnsi="Book Antiqua"/>
        </w:rPr>
        <w:footnoteRef/>
      </w:r>
      <w:r w:rsidR="4C5596CC" w:rsidRPr="00643C47">
        <w:rPr>
          <w:rFonts w:ascii="Book Antiqua" w:hAnsi="Book Antiqua"/>
        </w:rPr>
        <w:t xml:space="preserve"> Cal Advocates Opening Brief at 8-15.</w:t>
      </w:r>
    </w:p>
  </w:footnote>
  <w:footnote w:id="35">
    <w:p w14:paraId="0DAEB4B7" w14:textId="61959F7C" w:rsidR="00D028F4" w:rsidRPr="00643C47" w:rsidRDefault="00D028F4" w:rsidP="008773A5">
      <w:pPr>
        <w:pStyle w:val="FootnoteText"/>
        <w:spacing w:line="360" w:lineRule="auto"/>
        <w:rPr>
          <w:rFonts w:ascii="Book Antiqua" w:hAnsi="Book Antiqua"/>
        </w:rPr>
      </w:pPr>
      <w:r w:rsidRPr="00643C47">
        <w:rPr>
          <w:rStyle w:val="FootnoteReference"/>
          <w:rFonts w:ascii="Book Antiqua" w:hAnsi="Book Antiqua"/>
        </w:rPr>
        <w:footnoteRef/>
      </w:r>
      <w:r w:rsidR="4C5596CC" w:rsidRPr="00643C47">
        <w:rPr>
          <w:rFonts w:ascii="Book Antiqua" w:hAnsi="Book Antiqua"/>
        </w:rPr>
        <w:t xml:space="preserve"> Application at 1, 3-4.</w:t>
      </w:r>
    </w:p>
  </w:footnote>
  <w:footnote w:id="36">
    <w:p w14:paraId="44945358" w14:textId="3D6F4BB7" w:rsidR="00DB5C75" w:rsidRPr="00643C47" w:rsidRDefault="00DB5C75" w:rsidP="008773A5">
      <w:pPr>
        <w:pStyle w:val="FootnoteText"/>
        <w:spacing w:line="360" w:lineRule="auto"/>
        <w:rPr>
          <w:rFonts w:ascii="Book Antiqua" w:hAnsi="Book Antiqua"/>
        </w:rPr>
      </w:pPr>
      <w:r w:rsidRPr="00643C47">
        <w:rPr>
          <w:rStyle w:val="FootnoteReference"/>
          <w:rFonts w:ascii="Book Antiqua" w:hAnsi="Book Antiqua"/>
        </w:rPr>
        <w:footnoteRef/>
      </w:r>
      <w:r w:rsidR="4C5596CC" w:rsidRPr="00643C47">
        <w:rPr>
          <w:rFonts w:ascii="Book Antiqua" w:hAnsi="Book Antiqua"/>
        </w:rPr>
        <w:t xml:space="preserve"> PGE-4, 14-15; Attachment B at 10-14. </w:t>
      </w:r>
    </w:p>
  </w:footnote>
  <w:footnote w:id="37">
    <w:p w14:paraId="20002A25" w14:textId="25B8EBDB" w:rsidR="00342EFE" w:rsidRPr="00643C47" w:rsidRDefault="00342EFE" w:rsidP="00465A26">
      <w:pPr>
        <w:pStyle w:val="FootnoteText"/>
        <w:spacing w:line="360" w:lineRule="auto"/>
        <w:rPr>
          <w:rFonts w:ascii="Book Antiqua" w:hAnsi="Book Antiqua"/>
        </w:rPr>
      </w:pPr>
      <w:r w:rsidRPr="00643C47">
        <w:rPr>
          <w:rStyle w:val="FootnoteReference"/>
          <w:rFonts w:ascii="Book Antiqua" w:hAnsi="Book Antiqua"/>
        </w:rPr>
        <w:footnoteRef/>
      </w:r>
      <w:r w:rsidR="4C5596CC" w:rsidRPr="00643C47">
        <w:rPr>
          <w:rFonts w:ascii="Book Antiqua" w:hAnsi="Book Antiqua"/>
        </w:rPr>
        <w:t xml:space="preserve"> PG&amp;E Post-Hearing Opening Brief at 8-11.</w:t>
      </w:r>
    </w:p>
  </w:footnote>
  <w:footnote w:id="38">
    <w:p w14:paraId="40B6FDA8" w14:textId="450FD5DA" w:rsidR="00E071B2" w:rsidRPr="00643C47" w:rsidRDefault="00E071B2" w:rsidP="00465A26">
      <w:pPr>
        <w:pStyle w:val="FootnoteText"/>
        <w:spacing w:line="360" w:lineRule="auto"/>
        <w:rPr>
          <w:rFonts w:ascii="Book Antiqua" w:hAnsi="Book Antiqua"/>
        </w:rPr>
      </w:pPr>
      <w:r w:rsidRPr="00643C47">
        <w:rPr>
          <w:rStyle w:val="FootnoteReference"/>
          <w:rFonts w:ascii="Book Antiqua" w:hAnsi="Book Antiqua"/>
        </w:rPr>
        <w:footnoteRef/>
      </w:r>
      <w:r w:rsidR="4C5596CC" w:rsidRPr="00643C47">
        <w:rPr>
          <w:rFonts w:ascii="Book Antiqua" w:hAnsi="Book Antiqua"/>
        </w:rPr>
        <w:t xml:space="preserve"> </w:t>
      </w:r>
      <w:r w:rsidR="4C5596CC" w:rsidRPr="00643C47">
        <w:rPr>
          <w:rFonts w:ascii="Book Antiqua" w:hAnsi="Book Antiqua"/>
          <w:i/>
          <w:iCs/>
        </w:rPr>
        <w:t>Id.</w:t>
      </w:r>
      <w:r w:rsidR="4C5596CC" w:rsidRPr="00643C47">
        <w:rPr>
          <w:rFonts w:ascii="Book Antiqua" w:hAnsi="Book Antiqua"/>
        </w:rPr>
        <w:t xml:space="preserve"> at 20-21.</w:t>
      </w:r>
    </w:p>
  </w:footnote>
  <w:footnote w:id="39">
    <w:p w14:paraId="68D360E6" w14:textId="196014D2" w:rsidR="00BC4D1E" w:rsidRDefault="00BC4D1E" w:rsidP="00465A26">
      <w:pPr>
        <w:pStyle w:val="FootnoteText"/>
        <w:spacing w:line="360" w:lineRule="auto"/>
      </w:pPr>
      <w:r w:rsidRPr="00643C47">
        <w:rPr>
          <w:rStyle w:val="FootnoteReference"/>
          <w:rFonts w:ascii="Book Antiqua" w:hAnsi="Book Antiqua"/>
        </w:rPr>
        <w:footnoteRef/>
      </w:r>
      <w:r w:rsidR="4C5596CC" w:rsidRPr="00643C47">
        <w:rPr>
          <w:rFonts w:ascii="Book Antiqua" w:hAnsi="Book Antiqua"/>
        </w:rPr>
        <w:t xml:space="preserve"> </w:t>
      </w:r>
      <w:r w:rsidR="4C5596CC" w:rsidRPr="00643C47">
        <w:rPr>
          <w:rFonts w:ascii="Book Antiqua" w:hAnsi="Book Antiqua"/>
          <w:i/>
          <w:iCs/>
        </w:rPr>
        <w:t>Id.</w:t>
      </w:r>
      <w:r w:rsidR="4C5596CC" w:rsidRPr="00643C47">
        <w:rPr>
          <w:rFonts w:ascii="Book Antiqua" w:hAnsi="Book Antiqua"/>
        </w:rPr>
        <w:t xml:space="preserve"> at 16-18.</w:t>
      </w:r>
    </w:p>
  </w:footnote>
  <w:footnote w:id="40">
    <w:p w14:paraId="535AB2CB" w14:textId="27181700" w:rsidR="009238C3" w:rsidRPr="00643C47" w:rsidRDefault="009238C3" w:rsidP="009238C3">
      <w:pPr>
        <w:pStyle w:val="FootnoteText"/>
        <w:spacing w:line="360" w:lineRule="auto"/>
        <w:rPr>
          <w:rFonts w:ascii="Book Antiqua" w:hAnsi="Book Antiqua"/>
        </w:rPr>
      </w:pPr>
      <w:r w:rsidRPr="00643C47">
        <w:rPr>
          <w:rStyle w:val="FootnoteReference"/>
          <w:rFonts w:ascii="Book Antiqua" w:hAnsi="Book Antiqua"/>
        </w:rPr>
        <w:footnoteRef/>
      </w:r>
      <w:r w:rsidR="4C5596CC" w:rsidRPr="00643C47">
        <w:rPr>
          <w:rFonts w:ascii="Book Antiqua" w:hAnsi="Book Antiqua"/>
        </w:rPr>
        <w:t xml:space="preserve"> Cal Advocates Opening Brief at 23-24.</w:t>
      </w:r>
    </w:p>
  </w:footnote>
  <w:footnote w:id="41">
    <w:p w14:paraId="7B32F68A" w14:textId="5C48BBEC" w:rsidR="00417EDB" w:rsidRPr="00643C47" w:rsidRDefault="00417EDB" w:rsidP="00A71E87">
      <w:pPr>
        <w:pStyle w:val="FootnoteText"/>
        <w:spacing w:line="360" w:lineRule="auto"/>
        <w:rPr>
          <w:rFonts w:ascii="Book Antiqua" w:hAnsi="Book Antiqua"/>
        </w:rPr>
      </w:pPr>
      <w:r w:rsidRPr="00643C47">
        <w:rPr>
          <w:rStyle w:val="FootnoteReference"/>
          <w:rFonts w:ascii="Book Antiqua" w:hAnsi="Book Antiqua"/>
        </w:rPr>
        <w:footnoteRef/>
      </w:r>
      <w:r w:rsidR="4C5596CC" w:rsidRPr="00643C47">
        <w:rPr>
          <w:rFonts w:ascii="Book Antiqua" w:hAnsi="Book Antiqua"/>
        </w:rPr>
        <w:t xml:space="preserve"> PG&amp;E Post-Hearing Opening Brief at 1-4, 57-64.</w:t>
      </w:r>
    </w:p>
  </w:footnote>
  <w:footnote w:id="42">
    <w:p w14:paraId="1FD679B1" w14:textId="0291C2F8" w:rsidR="002E431D" w:rsidRPr="00643C47" w:rsidRDefault="002E431D" w:rsidP="00A71E87">
      <w:pPr>
        <w:pStyle w:val="FootnoteText"/>
        <w:spacing w:line="360" w:lineRule="auto"/>
        <w:rPr>
          <w:rFonts w:ascii="Book Antiqua" w:hAnsi="Book Antiqua"/>
        </w:rPr>
      </w:pPr>
      <w:r w:rsidRPr="00643C47">
        <w:rPr>
          <w:rStyle w:val="FootnoteReference"/>
          <w:rFonts w:ascii="Book Antiqua" w:hAnsi="Book Antiqua"/>
        </w:rPr>
        <w:footnoteRef/>
      </w:r>
      <w:r w:rsidR="4C5596CC" w:rsidRPr="00643C47">
        <w:rPr>
          <w:rFonts w:ascii="Book Antiqua" w:hAnsi="Book Antiqua"/>
        </w:rPr>
        <w:t xml:space="preserve"> Cal Advocates Opening Brief at 16-19; Cal Advocates Reply Brief at 10.</w:t>
      </w:r>
    </w:p>
  </w:footnote>
  <w:footnote w:id="43">
    <w:p w14:paraId="42F0D0B0" w14:textId="7C26F35A" w:rsidR="00971839" w:rsidRPr="00643C47" w:rsidRDefault="00971839" w:rsidP="00A71E87">
      <w:pPr>
        <w:pStyle w:val="FootnoteText"/>
        <w:spacing w:line="360" w:lineRule="auto"/>
        <w:rPr>
          <w:rFonts w:ascii="Book Antiqua" w:hAnsi="Book Antiqua"/>
        </w:rPr>
      </w:pPr>
      <w:r w:rsidRPr="00643C47">
        <w:rPr>
          <w:rStyle w:val="FootnoteReference"/>
          <w:rFonts w:ascii="Book Antiqua" w:hAnsi="Book Antiqua"/>
        </w:rPr>
        <w:footnoteRef/>
      </w:r>
      <w:r w:rsidR="4C5596CC" w:rsidRPr="00643C47">
        <w:rPr>
          <w:rFonts w:ascii="Book Antiqua" w:hAnsi="Book Antiqua"/>
        </w:rPr>
        <w:t xml:space="preserve"> Cal Advocates Opening Brief at 3-7; CA-01-E2, Attachment 15.</w:t>
      </w:r>
    </w:p>
  </w:footnote>
  <w:footnote w:id="44">
    <w:p w14:paraId="42E8617C" w14:textId="25F1746F" w:rsidR="00AF1AA8" w:rsidRDefault="00AF1AA8" w:rsidP="00A71E87">
      <w:pPr>
        <w:pStyle w:val="FootnoteText"/>
        <w:spacing w:line="360" w:lineRule="auto"/>
      </w:pPr>
      <w:r w:rsidRPr="00643C47">
        <w:rPr>
          <w:rStyle w:val="FootnoteReference"/>
          <w:rFonts w:ascii="Book Antiqua" w:hAnsi="Book Antiqua"/>
        </w:rPr>
        <w:footnoteRef/>
      </w:r>
      <w:r w:rsidR="4C5596CC" w:rsidRPr="00643C47">
        <w:rPr>
          <w:rFonts w:ascii="Book Antiqua" w:hAnsi="Book Antiqua"/>
        </w:rPr>
        <w:t xml:space="preserve"> Cal Advocates Reply Brief at 10.</w:t>
      </w:r>
    </w:p>
  </w:footnote>
  <w:footnote w:id="45">
    <w:p w14:paraId="50A819B5" w14:textId="77777777" w:rsidR="000E56C9" w:rsidRPr="002F12AA" w:rsidRDefault="000E56C9" w:rsidP="00EA51D6">
      <w:pPr>
        <w:pStyle w:val="FootnoteText"/>
        <w:spacing w:line="360" w:lineRule="auto"/>
        <w:rPr>
          <w:rFonts w:ascii="Book Antiqua" w:hAnsi="Book Antiqua"/>
        </w:rPr>
      </w:pPr>
      <w:r w:rsidRPr="002F12AA">
        <w:rPr>
          <w:rStyle w:val="FootnoteReference"/>
          <w:rFonts w:ascii="Book Antiqua" w:hAnsi="Book Antiqua"/>
        </w:rPr>
        <w:footnoteRef/>
      </w:r>
      <w:r w:rsidRPr="002F12AA">
        <w:rPr>
          <w:rFonts w:ascii="Book Antiqua" w:hAnsi="Book Antiqua"/>
        </w:rPr>
        <w:t xml:space="preserve"> PG&amp;E Post-Hearing Opening Brief at 2-3.</w:t>
      </w:r>
    </w:p>
  </w:footnote>
  <w:footnote w:id="46">
    <w:p w14:paraId="5BEF10B1" w14:textId="77777777" w:rsidR="000E56C9" w:rsidRPr="002F12AA" w:rsidRDefault="000E56C9" w:rsidP="00EA51D6">
      <w:pPr>
        <w:pStyle w:val="FootnoteText"/>
        <w:spacing w:line="360" w:lineRule="auto"/>
        <w:rPr>
          <w:rFonts w:ascii="Book Antiqua" w:hAnsi="Book Antiqua"/>
        </w:rPr>
      </w:pPr>
      <w:r w:rsidRPr="002F12AA">
        <w:rPr>
          <w:rStyle w:val="FootnoteReference"/>
          <w:rFonts w:ascii="Book Antiqua" w:hAnsi="Book Antiqua"/>
        </w:rPr>
        <w:footnoteRef/>
      </w:r>
      <w:r w:rsidRPr="002F12AA">
        <w:rPr>
          <w:rFonts w:ascii="Book Antiqua" w:hAnsi="Book Antiqua"/>
        </w:rPr>
        <w:t xml:space="preserve"> Cal Advocates Opening Brief at 22; Ex. PGE-4 – PG&amp;E Rebuttal, p. AtchJ-3.</w:t>
      </w:r>
    </w:p>
  </w:footnote>
  <w:footnote w:id="47">
    <w:p w14:paraId="7D602B44" w14:textId="77777777" w:rsidR="000E56C9" w:rsidRDefault="000E56C9" w:rsidP="00CF5E1D">
      <w:pPr>
        <w:pStyle w:val="FootnoteText"/>
        <w:spacing w:line="360" w:lineRule="auto"/>
      </w:pPr>
      <w:r w:rsidRPr="002F12AA">
        <w:rPr>
          <w:rStyle w:val="FootnoteReference"/>
          <w:rFonts w:ascii="Book Antiqua" w:hAnsi="Book Antiqua"/>
        </w:rPr>
        <w:footnoteRef/>
      </w:r>
      <w:r w:rsidRPr="002F12AA">
        <w:rPr>
          <w:rFonts w:ascii="Book Antiqua" w:hAnsi="Book Antiqua"/>
        </w:rPr>
        <w:t xml:space="preserve"> Cal Advocates Opening Brief at 22-23.</w:t>
      </w:r>
    </w:p>
  </w:footnote>
  <w:footnote w:id="48">
    <w:p w14:paraId="6D68CF27" w14:textId="77777777" w:rsidR="000E56C9" w:rsidRPr="002F12AA" w:rsidRDefault="000E56C9" w:rsidP="00CF5E1D">
      <w:pPr>
        <w:pStyle w:val="FootnoteText"/>
        <w:spacing w:line="360" w:lineRule="auto"/>
        <w:rPr>
          <w:rFonts w:ascii="Book Antiqua" w:hAnsi="Book Antiqua"/>
        </w:rPr>
      </w:pPr>
      <w:r w:rsidRPr="002F12AA">
        <w:rPr>
          <w:rStyle w:val="FootnoteReference"/>
          <w:rFonts w:ascii="Book Antiqua" w:hAnsi="Book Antiqua"/>
        </w:rPr>
        <w:footnoteRef/>
      </w:r>
      <w:r w:rsidRPr="002F12AA">
        <w:rPr>
          <w:rFonts w:ascii="Book Antiqua" w:hAnsi="Book Antiqua"/>
        </w:rPr>
        <w:t xml:space="preserve"> PG&amp;E Post-Hearing Opening Brief at 59.</w:t>
      </w:r>
    </w:p>
  </w:footnote>
  <w:footnote w:id="49">
    <w:p w14:paraId="68E00A52" w14:textId="77777777" w:rsidR="000E56C9" w:rsidRDefault="000E56C9" w:rsidP="00CF5E1D">
      <w:pPr>
        <w:pStyle w:val="FootnoteText"/>
        <w:spacing w:line="360" w:lineRule="auto"/>
      </w:pPr>
      <w:r w:rsidRPr="002F12AA">
        <w:rPr>
          <w:rStyle w:val="FootnoteReference"/>
          <w:rFonts w:ascii="Book Antiqua" w:hAnsi="Book Antiqua"/>
        </w:rPr>
        <w:footnoteRef/>
      </w:r>
      <w:r w:rsidRPr="002F12AA">
        <w:rPr>
          <w:rFonts w:ascii="Book Antiqua" w:hAnsi="Book Antiqua"/>
        </w:rPr>
        <w:t xml:space="preserve"> PG&amp;E Post-Hearing Opening Brief at 59-60.</w:t>
      </w:r>
    </w:p>
  </w:footnote>
  <w:footnote w:id="50">
    <w:p w14:paraId="55A054FB" w14:textId="0E447AED" w:rsidR="003C09EA" w:rsidRPr="00643C47" w:rsidRDefault="003C09EA" w:rsidP="00CF5E1D">
      <w:pPr>
        <w:pStyle w:val="FootnoteText"/>
        <w:spacing w:line="360" w:lineRule="auto"/>
        <w:rPr>
          <w:rFonts w:ascii="Book Antiqua" w:hAnsi="Book Antiqua"/>
        </w:rPr>
      </w:pPr>
      <w:r w:rsidRPr="00643C47">
        <w:rPr>
          <w:rStyle w:val="FootnoteReference"/>
          <w:rFonts w:ascii="Book Antiqua" w:hAnsi="Book Antiqua"/>
        </w:rPr>
        <w:footnoteRef/>
      </w:r>
      <w:r w:rsidR="4C5596CC" w:rsidRPr="00643C47">
        <w:rPr>
          <w:rFonts w:ascii="Book Antiqua" w:hAnsi="Book Antiqua"/>
        </w:rPr>
        <w:t xml:space="preserve"> PG&amp;E Post-Hearing Opening Brief at 21-22.</w:t>
      </w:r>
    </w:p>
  </w:footnote>
  <w:footnote w:id="51">
    <w:p w14:paraId="7EC10F3A" w14:textId="4D5F41F6" w:rsidR="00F131CE" w:rsidRPr="00643C47" w:rsidRDefault="00F131CE" w:rsidP="00CF5E1D">
      <w:pPr>
        <w:pStyle w:val="FootnoteText"/>
        <w:spacing w:after="120" w:line="360" w:lineRule="auto"/>
        <w:rPr>
          <w:rFonts w:ascii="Book Antiqua" w:hAnsi="Book Antiqua"/>
        </w:rPr>
      </w:pPr>
      <w:r w:rsidRPr="00643C47">
        <w:rPr>
          <w:rStyle w:val="FootnoteReference"/>
          <w:rFonts w:ascii="Book Antiqua" w:hAnsi="Book Antiqua"/>
        </w:rPr>
        <w:footnoteRef/>
      </w:r>
      <w:r w:rsidR="4C5596CC" w:rsidRPr="00643C47">
        <w:rPr>
          <w:rFonts w:ascii="Book Antiqua" w:hAnsi="Book Antiqua"/>
        </w:rPr>
        <w:t xml:space="preserve"> Cal Advocates Opening Brief at 1.</w:t>
      </w:r>
    </w:p>
  </w:footnote>
  <w:footnote w:id="52">
    <w:p w14:paraId="540D67B0" w14:textId="296F917C" w:rsidR="00E43336" w:rsidRPr="00643C47" w:rsidRDefault="00E43336" w:rsidP="00643C47">
      <w:pPr>
        <w:pStyle w:val="FootnoteText"/>
        <w:spacing w:after="120" w:line="360" w:lineRule="auto"/>
        <w:rPr>
          <w:rFonts w:ascii="Book Antiqua" w:hAnsi="Book Antiqua"/>
        </w:rPr>
      </w:pPr>
      <w:r w:rsidRPr="00643C47">
        <w:rPr>
          <w:rStyle w:val="FootnoteReference"/>
          <w:rFonts w:ascii="Book Antiqua" w:hAnsi="Book Antiqua"/>
        </w:rPr>
        <w:footnoteRef/>
      </w:r>
      <w:r w:rsidR="4C5596CC" w:rsidRPr="00643C47">
        <w:rPr>
          <w:rFonts w:ascii="Book Antiqua" w:hAnsi="Book Antiqua"/>
        </w:rPr>
        <w:t xml:space="preserve"> PG&amp;E Post-Hearing Opening Brief at 23.</w:t>
      </w:r>
    </w:p>
  </w:footnote>
  <w:footnote w:id="53">
    <w:p w14:paraId="4A84DDF4" w14:textId="2737484B" w:rsidR="003425AA" w:rsidRDefault="003425AA" w:rsidP="00643C47">
      <w:pPr>
        <w:pStyle w:val="FootnoteText"/>
        <w:spacing w:after="120" w:line="360" w:lineRule="auto"/>
      </w:pPr>
      <w:r w:rsidRPr="00643C47">
        <w:rPr>
          <w:rStyle w:val="FootnoteReference"/>
          <w:rFonts w:ascii="Book Antiqua" w:hAnsi="Book Antiqua"/>
        </w:rPr>
        <w:footnoteRef/>
      </w:r>
      <w:r w:rsidR="4C5596CC" w:rsidRPr="00643C47">
        <w:rPr>
          <w:rFonts w:ascii="Book Antiqua" w:hAnsi="Book Antiqua"/>
        </w:rPr>
        <w:t xml:space="preserve"> Cal Advocates Opening Brief at 22-23.</w:t>
      </w:r>
    </w:p>
  </w:footnote>
  <w:footnote w:id="54">
    <w:p w14:paraId="23071C27" w14:textId="28C896F9" w:rsidR="00B965F1" w:rsidRPr="00643C47" w:rsidRDefault="00B965F1">
      <w:pPr>
        <w:pStyle w:val="FootnoteText"/>
        <w:rPr>
          <w:rFonts w:ascii="Book Antiqua" w:hAnsi="Book Antiqua"/>
        </w:rPr>
      </w:pPr>
      <w:r w:rsidRPr="00643C47">
        <w:rPr>
          <w:rStyle w:val="FootnoteReference"/>
          <w:rFonts w:ascii="Book Antiqua" w:hAnsi="Book Antiqua"/>
        </w:rPr>
        <w:footnoteRef/>
      </w:r>
      <w:r w:rsidR="4C5596CC" w:rsidRPr="00643C47">
        <w:rPr>
          <w:rFonts w:ascii="Book Antiqua" w:hAnsi="Book Antiqua"/>
        </w:rPr>
        <w:t xml:space="preserve"> PG&amp;E Post-Hearing Reply Brief at 27; Cal Advocates Reply Brief at 25.</w:t>
      </w:r>
    </w:p>
    <w:p w14:paraId="01761757" w14:textId="77777777" w:rsidR="005C7540" w:rsidRPr="00643C47" w:rsidRDefault="005C7540">
      <w:pPr>
        <w:pStyle w:val="FootnoteText"/>
        <w:rPr>
          <w:rFonts w:ascii="Book Antiqua" w:hAnsi="Book Antiqua"/>
        </w:rPr>
      </w:pPr>
    </w:p>
  </w:footnote>
  <w:footnote w:id="55">
    <w:p w14:paraId="16C3516D" w14:textId="1E0BCEF1" w:rsidR="005C7540" w:rsidRDefault="005C7540">
      <w:pPr>
        <w:pStyle w:val="FootnoteText"/>
      </w:pPr>
      <w:r w:rsidRPr="00643C47">
        <w:rPr>
          <w:rStyle w:val="FootnoteReference"/>
          <w:rFonts w:ascii="Book Antiqua" w:hAnsi="Book Antiqua"/>
        </w:rPr>
        <w:footnoteRef/>
      </w:r>
      <w:r w:rsidR="4C5596CC" w:rsidRPr="00643C47">
        <w:rPr>
          <w:rFonts w:ascii="Book Antiqua" w:hAnsi="Book Antiqua"/>
        </w:rPr>
        <w:t xml:space="preserve"> </w:t>
      </w:r>
      <w:r w:rsidR="4C5596CC" w:rsidRPr="00643C47">
        <w:rPr>
          <w:rFonts w:ascii="Book Antiqua" w:hAnsi="Book Antiqua"/>
          <w:i/>
          <w:iCs/>
        </w:rPr>
        <w:t>Id.</w:t>
      </w:r>
      <w:r w:rsidR="4C5596CC" w:rsidRPr="00643C47">
        <w:rPr>
          <w:rFonts w:ascii="Book Antiqua" w:hAnsi="Book Antiqua"/>
        </w:rPr>
        <w:t xml:space="preserve"> at 24-25.</w:t>
      </w:r>
    </w:p>
  </w:footnote>
  <w:footnote w:id="56">
    <w:p w14:paraId="3A7A3F6D" w14:textId="465381F7" w:rsidR="004E04CB" w:rsidRDefault="004E04CB">
      <w:pPr>
        <w:pStyle w:val="FootnoteText"/>
      </w:pPr>
      <w:r>
        <w:rPr>
          <w:rStyle w:val="FootnoteReference"/>
        </w:rPr>
        <w:footnoteRef/>
      </w:r>
      <w:r>
        <w:t xml:space="preserve"> See D.</w:t>
      </w:r>
      <w:r w:rsidR="000846F2">
        <w:t xml:space="preserve"> 23-02-017 at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70"/>
      <w:gridCol w:w="3270"/>
      <w:gridCol w:w="3270"/>
    </w:tblGrid>
    <w:tr w:rsidR="4A19E5A4" w14:paraId="5D5F421A" w14:textId="77777777" w:rsidTr="4A19E5A4">
      <w:trPr>
        <w:trHeight w:val="300"/>
      </w:trPr>
      <w:tc>
        <w:tcPr>
          <w:tcW w:w="3270" w:type="dxa"/>
        </w:tcPr>
        <w:p w14:paraId="30469DA7" w14:textId="2973C989" w:rsidR="4A19E5A4" w:rsidRDefault="4A19E5A4" w:rsidP="4A19E5A4">
          <w:pPr>
            <w:pStyle w:val="Header"/>
            <w:ind w:left="-115"/>
          </w:pPr>
        </w:p>
      </w:tc>
      <w:tc>
        <w:tcPr>
          <w:tcW w:w="3270" w:type="dxa"/>
        </w:tcPr>
        <w:p w14:paraId="7ECA25C7" w14:textId="36CECFF9" w:rsidR="4A19E5A4" w:rsidRDefault="4A19E5A4" w:rsidP="4A19E5A4">
          <w:pPr>
            <w:pStyle w:val="Header"/>
            <w:jc w:val="center"/>
          </w:pPr>
        </w:p>
      </w:tc>
      <w:tc>
        <w:tcPr>
          <w:tcW w:w="3270" w:type="dxa"/>
        </w:tcPr>
        <w:p w14:paraId="177AD78A" w14:textId="6AC94531" w:rsidR="4A19E5A4" w:rsidRDefault="4A19E5A4" w:rsidP="4A19E5A4">
          <w:pPr>
            <w:pStyle w:val="Header"/>
            <w:ind w:right="-115"/>
            <w:jc w:val="right"/>
          </w:pPr>
        </w:p>
      </w:tc>
    </w:tr>
  </w:tbl>
  <w:p w14:paraId="5C2C349E" w14:textId="263AA808" w:rsidR="00CA3321" w:rsidRDefault="00CA33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1DAD7" w14:textId="4BF7161A" w:rsidR="005F090C" w:rsidRPr="00B717B8" w:rsidRDefault="00F53670" w:rsidP="00B717B8">
    <w:pPr>
      <w:pStyle w:val="Header"/>
      <w:tabs>
        <w:tab w:val="clear" w:pos="4680"/>
      </w:tabs>
      <w:rPr>
        <w:b/>
        <w:sz w:val="26"/>
        <w:szCs w:val="26"/>
      </w:rPr>
    </w:pPr>
    <w:r w:rsidRPr="001E2E5A">
      <w:rPr>
        <w:sz w:val="26"/>
        <w:szCs w:val="26"/>
      </w:rPr>
      <w:t>A.24-09-015  ALJ/EFD/jds</w:t>
    </w:r>
    <w:r w:rsidRPr="001E2E5A">
      <w:rPr>
        <w:sz w:val="26"/>
        <w:szCs w:val="26"/>
      </w:rPr>
      <w:tab/>
    </w:r>
    <w:r w:rsidRPr="001E2E5A">
      <w:rPr>
        <w:b/>
        <w:sz w:val="26"/>
        <w:szCs w:val="26"/>
      </w:rPr>
      <w:t>PROPOSED DECISION</w:t>
    </w:r>
    <w:r w:rsidR="00E46748">
      <w:rPr>
        <w:b/>
        <w:sz w:val="26"/>
        <w:szCs w:val="26"/>
      </w:rPr>
      <w:t xml:space="preserve"> (Rev. 1)</w:t>
    </w:r>
  </w:p>
  <w:p w14:paraId="53E00940" w14:textId="77777777" w:rsidR="00BB5F29" w:rsidRPr="001E2E5A" w:rsidRDefault="00BB5F29" w:rsidP="00F53670">
    <w:pPr>
      <w:pStyle w:val="Header"/>
      <w:rPr>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4B753" w14:textId="14B89CFE" w:rsidR="00BB5F29" w:rsidRPr="001E2E5A" w:rsidRDefault="00BB5F29" w:rsidP="00BB5F29">
    <w:pPr>
      <w:pStyle w:val="Header"/>
      <w:tabs>
        <w:tab w:val="clear" w:pos="4680"/>
      </w:tabs>
      <w:rPr>
        <w:b/>
        <w:sz w:val="26"/>
        <w:szCs w:val="26"/>
      </w:rPr>
    </w:pPr>
    <w:r w:rsidRPr="001E2E5A">
      <w:rPr>
        <w:sz w:val="26"/>
        <w:szCs w:val="26"/>
      </w:rPr>
      <w:t>A.24-09-015  ALJ/EFD/jds</w:t>
    </w:r>
    <w:r w:rsidRPr="001E2E5A">
      <w:rPr>
        <w:sz w:val="26"/>
        <w:szCs w:val="26"/>
      </w:rPr>
      <w:tab/>
    </w:r>
    <w:r w:rsidRPr="001E2E5A">
      <w:rPr>
        <w:b/>
        <w:sz w:val="26"/>
        <w:szCs w:val="26"/>
      </w:rPr>
      <w:t>PROPOSED DECISION</w:t>
    </w:r>
    <w:r w:rsidR="00E46748">
      <w:rPr>
        <w:b/>
        <w:sz w:val="26"/>
        <w:szCs w:val="26"/>
      </w:rPr>
      <w:t xml:space="preserve"> (Rev. 1)</w:t>
    </w:r>
  </w:p>
  <w:p w14:paraId="1CC8C2F6" w14:textId="77777777" w:rsidR="00BB5F29" w:rsidRDefault="00BB5F29" w:rsidP="00BB5F29">
    <w:pPr>
      <w:pStyle w:val="Header"/>
      <w:tabs>
        <w:tab w:val="clear" w:pos="4680"/>
      </w:tabs>
      <w:rPr>
        <w:i/>
        <w:color w:val="FF0000"/>
        <w:sz w:val="26"/>
        <w:szCs w:val="26"/>
      </w:rPr>
    </w:pPr>
  </w:p>
  <w:p w14:paraId="23CD0C20" w14:textId="77777777" w:rsidR="002F12AA" w:rsidRPr="001E2E5A" w:rsidRDefault="002F12AA" w:rsidP="00BB5F29">
    <w:pPr>
      <w:pStyle w:val="Header"/>
      <w:tabs>
        <w:tab w:val="clear" w:pos="4680"/>
      </w:tabs>
      <w:rPr>
        <w:i/>
        <w:color w:val="FF0000"/>
        <w:sz w:val="26"/>
        <w:szCs w:val="26"/>
      </w:rPr>
    </w:pPr>
  </w:p>
  <w:p w14:paraId="6BEBD671" w14:textId="77777777" w:rsidR="00BB5F29" w:rsidRDefault="00BB5F29">
    <w:pPr>
      <w:pStyle w:val="BodyText"/>
      <w:spacing w:line="14" w:lineRule="auto"/>
      <w:rPr>
        <w:sz w:val="20"/>
      </w:rPr>
    </w:pPr>
  </w:p>
  <w:p w14:paraId="7174B793" w14:textId="721A4684" w:rsidR="00DE31CA" w:rsidRDefault="00DE31CA">
    <w:pPr>
      <w:pStyle w:val="BodyText"/>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00032" w14:textId="00FC5039" w:rsidR="00BB5F29" w:rsidRDefault="4234341E" w:rsidP="4234341E">
    <w:pPr>
      <w:pStyle w:val="Header"/>
      <w:tabs>
        <w:tab w:val="clear" w:pos="4680"/>
      </w:tabs>
      <w:rPr>
        <w:b/>
        <w:bCs/>
        <w:sz w:val="26"/>
        <w:szCs w:val="26"/>
      </w:rPr>
    </w:pPr>
    <w:r w:rsidRPr="4234341E">
      <w:rPr>
        <w:sz w:val="26"/>
        <w:szCs w:val="26"/>
      </w:rPr>
      <w:t xml:space="preserve">A.24-09-015  ALJ/EFD/jds </w:t>
    </w:r>
    <w:r w:rsidR="00BB5F29">
      <w:tab/>
    </w:r>
    <w:r w:rsidRPr="4234341E">
      <w:rPr>
        <w:b/>
        <w:bCs/>
        <w:sz w:val="26"/>
        <w:szCs w:val="26"/>
      </w:rPr>
      <w:t>PROPOSED DECISION</w:t>
    </w:r>
    <w:r w:rsidR="00E46748">
      <w:rPr>
        <w:b/>
        <w:bCs/>
        <w:sz w:val="26"/>
        <w:szCs w:val="26"/>
      </w:rPr>
      <w:t xml:space="preserve"> (Rev. 1)</w:t>
    </w:r>
  </w:p>
  <w:p w14:paraId="1E49A15A" w14:textId="77777777" w:rsidR="00B717B8" w:rsidRPr="001E2E5A" w:rsidRDefault="00B717B8" w:rsidP="4234341E">
    <w:pPr>
      <w:pStyle w:val="Header"/>
      <w:tabs>
        <w:tab w:val="clear" w:pos="4680"/>
      </w:tabs>
      <w:rPr>
        <w:b/>
        <w:bCs/>
        <w:sz w:val="26"/>
        <w:szCs w:val="26"/>
      </w:rPr>
    </w:pPr>
  </w:p>
  <w:p w14:paraId="7ED86C79" w14:textId="1224CC58" w:rsidR="00DE31CA" w:rsidRDefault="00DE31CA">
    <w:pPr>
      <w:pStyle w:val="BodyText"/>
      <w:spacing w:line="14" w:lineRule="auto"/>
      <w:rPr>
        <w:sz w:val="20"/>
      </w:rPr>
    </w:pPr>
  </w:p>
  <w:p w14:paraId="54C24CF3" w14:textId="77777777" w:rsidR="00B717B8" w:rsidRDefault="00B717B8">
    <w:pPr>
      <w:pStyle w:val="BodyText"/>
      <w:spacing w:line="14" w:lineRule="auto"/>
      <w:rPr>
        <w:sz w:val="20"/>
      </w:rPr>
    </w:pPr>
  </w:p>
  <w:p w14:paraId="7FE3A31E" w14:textId="77777777" w:rsidR="00B717B8" w:rsidRDefault="00B717B8">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978E0"/>
    <w:multiLevelType w:val="hybridMultilevel"/>
    <w:tmpl w:val="02F4BBAA"/>
    <w:lvl w:ilvl="0" w:tplc="BB704502">
      <w:start w:val="2"/>
      <w:numFmt w:val="decimal"/>
      <w:pStyle w:val="FoF"/>
      <w:lvlText w:val="%1."/>
      <w:lvlJc w:val="left"/>
      <w:pPr>
        <w:ind w:left="217" w:hanging="368"/>
        <w:jc w:val="right"/>
      </w:pPr>
      <w:rPr>
        <w:rFonts w:ascii="Book Antiqua" w:eastAsia="Book Antiqua" w:hAnsi="Book Antiqua" w:cs="Book Antiqua" w:hint="default"/>
        <w:b w:val="0"/>
        <w:bCs w:val="0"/>
        <w:i w:val="0"/>
        <w:iCs w:val="0"/>
        <w:spacing w:val="-2"/>
        <w:w w:val="98"/>
        <w:sz w:val="26"/>
        <w:szCs w:val="26"/>
        <w:lang w:val="en-US" w:eastAsia="en-US" w:bidi="ar-SA"/>
      </w:rPr>
    </w:lvl>
    <w:lvl w:ilvl="1" w:tplc="5F3AB24E">
      <w:numFmt w:val="bullet"/>
      <w:lvlText w:val="•"/>
      <w:lvlJc w:val="left"/>
      <w:pPr>
        <w:ind w:left="1180" w:hanging="368"/>
      </w:pPr>
      <w:rPr>
        <w:rFonts w:hint="default"/>
        <w:lang w:val="en-US" w:eastAsia="en-US" w:bidi="ar-SA"/>
      </w:rPr>
    </w:lvl>
    <w:lvl w:ilvl="2" w:tplc="F98ACCF8">
      <w:numFmt w:val="bullet"/>
      <w:lvlText w:val="•"/>
      <w:lvlJc w:val="left"/>
      <w:pPr>
        <w:ind w:left="2140" w:hanging="368"/>
      </w:pPr>
      <w:rPr>
        <w:rFonts w:hint="default"/>
        <w:lang w:val="en-US" w:eastAsia="en-US" w:bidi="ar-SA"/>
      </w:rPr>
    </w:lvl>
    <w:lvl w:ilvl="3" w:tplc="FE2A5AA8">
      <w:numFmt w:val="bullet"/>
      <w:lvlText w:val="•"/>
      <w:lvlJc w:val="left"/>
      <w:pPr>
        <w:ind w:left="3100" w:hanging="368"/>
      </w:pPr>
      <w:rPr>
        <w:rFonts w:hint="default"/>
        <w:lang w:val="en-US" w:eastAsia="en-US" w:bidi="ar-SA"/>
      </w:rPr>
    </w:lvl>
    <w:lvl w:ilvl="4" w:tplc="46524B30">
      <w:numFmt w:val="bullet"/>
      <w:lvlText w:val="•"/>
      <w:lvlJc w:val="left"/>
      <w:pPr>
        <w:ind w:left="4060" w:hanging="368"/>
      </w:pPr>
      <w:rPr>
        <w:rFonts w:hint="default"/>
        <w:lang w:val="en-US" w:eastAsia="en-US" w:bidi="ar-SA"/>
      </w:rPr>
    </w:lvl>
    <w:lvl w:ilvl="5" w:tplc="FE90A3D4">
      <w:numFmt w:val="bullet"/>
      <w:lvlText w:val="•"/>
      <w:lvlJc w:val="left"/>
      <w:pPr>
        <w:ind w:left="5020" w:hanging="368"/>
      </w:pPr>
      <w:rPr>
        <w:rFonts w:hint="default"/>
        <w:lang w:val="en-US" w:eastAsia="en-US" w:bidi="ar-SA"/>
      </w:rPr>
    </w:lvl>
    <w:lvl w:ilvl="6" w:tplc="6C383FF0">
      <w:numFmt w:val="bullet"/>
      <w:lvlText w:val="•"/>
      <w:lvlJc w:val="left"/>
      <w:pPr>
        <w:ind w:left="5980" w:hanging="368"/>
      </w:pPr>
      <w:rPr>
        <w:rFonts w:hint="default"/>
        <w:lang w:val="en-US" w:eastAsia="en-US" w:bidi="ar-SA"/>
      </w:rPr>
    </w:lvl>
    <w:lvl w:ilvl="7" w:tplc="5DF84602">
      <w:numFmt w:val="bullet"/>
      <w:lvlText w:val="•"/>
      <w:lvlJc w:val="left"/>
      <w:pPr>
        <w:ind w:left="6940" w:hanging="368"/>
      </w:pPr>
      <w:rPr>
        <w:rFonts w:hint="default"/>
        <w:lang w:val="en-US" w:eastAsia="en-US" w:bidi="ar-SA"/>
      </w:rPr>
    </w:lvl>
    <w:lvl w:ilvl="8" w:tplc="4888E940">
      <w:numFmt w:val="bullet"/>
      <w:lvlText w:val="•"/>
      <w:lvlJc w:val="left"/>
      <w:pPr>
        <w:ind w:left="7900" w:hanging="368"/>
      </w:pPr>
      <w:rPr>
        <w:rFonts w:hint="default"/>
        <w:lang w:val="en-US" w:eastAsia="en-US" w:bidi="ar-SA"/>
      </w:rPr>
    </w:lvl>
  </w:abstractNum>
  <w:abstractNum w:abstractNumId="1" w15:restartNumberingAfterBreak="0">
    <w:nsid w:val="11B17549"/>
    <w:multiLevelType w:val="hybridMultilevel"/>
    <w:tmpl w:val="9AEE36B4"/>
    <w:lvl w:ilvl="0" w:tplc="0ECABC62">
      <w:numFmt w:val="bullet"/>
      <w:lvlText w:val="-"/>
      <w:lvlJc w:val="left"/>
      <w:pPr>
        <w:ind w:left="4944" w:hanging="360"/>
      </w:pPr>
      <w:rPr>
        <w:rFonts w:ascii="Book Antiqua" w:eastAsia="Book Antiqua" w:hAnsi="Book Antiqua" w:cs="Book Antiqua" w:hint="default"/>
        <w:sz w:val="22"/>
      </w:rPr>
    </w:lvl>
    <w:lvl w:ilvl="1" w:tplc="04090003" w:tentative="1">
      <w:start w:val="1"/>
      <w:numFmt w:val="bullet"/>
      <w:lvlText w:val="o"/>
      <w:lvlJc w:val="left"/>
      <w:pPr>
        <w:ind w:left="5664" w:hanging="360"/>
      </w:pPr>
      <w:rPr>
        <w:rFonts w:ascii="Courier New" w:hAnsi="Courier New" w:cs="Courier New" w:hint="default"/>
      </w:rPr>
    </w:lvl>
    <w:lvl w:ilvl="2" w:tplc="04090005" w:tentative="1">
      <w:start w:val="1"/>
      <w:numFmt w:val="bullet"/>
      <w:lvlText w:val=""/>
      <w:lvlJc w:val="left"/>
      <w:pPr>
        <w:ind w:left="6384" w:hanging="360"/>
      </w:pPr>
      <w:rPr>
        <w:rFonts w:ascii="Wingdings" w:hAnsi="Wingdings" w:hint="default"/>
      </w:rPr>
    </w:lvl>
    <w:lvl w:ilvl="3" w:tplc="04090001" w:tentative="1">
      <w:start w:val="1"/>
      <w:numFmt w:val="bullet"/>
      <w:lvlText w:val=""/>
      <w:lvlJc w:val="left"/>
      <w:pPr>
        <w:ind w:left="7104" w:hanging="360"/>
      </w:pPr>
      <w:rPr>
        <w:rFonts w:ascii="Symbol" w:hAnsi="Symbol" w:hint="default"/>
      </w:rPr>
    </w:lvl>
    <w:lvl w:ilvl="4" w:tplc="04090003" w:tentative="1">
      <w:start w:val="1"/>
      <w:numFmt w:val="bullet"/>
      <w:lvlText w:val="o"/>
      <w:lvlJc w:val="left"/>
      <w:pPr>
        <w:ind w:left="7824" w:hanging="360"/>
      </w:pPr>
      <w:rPr>
        <w:rFonts w:ascii="Courier New" w:hAnsi="Courier New" w:cs="Courier New" w:hint="default"/>
      </w:rPr>
    </w:lvl>
    <w:lvl w:ilvl="5" w:tplc="04090005" w:tentative="1">
      <w:start w:val="1"/>
      <w:numFmt w:val="bullet"/>
      <w:lvlText w:val=""/>
      <w:lvlJc w:val="left"/>
      <w:pPr>
        <w:ind w:left="8544" w:hanging="360"/>
      </w:pPr>
      <w:rPr>
        <w:rFonts w:ascii="Wingdings" w:hAnsi="Wingdings" w:hint="default"/>
      </w:rPr>
    </w:lvl>
    <w:lvl w:ilvl="6" w:tplc="04090001" w:tentative="1">
      <w:start w:val="1"/>
      <w:numFmt w:val="bullet"/>
      <w:lvlText w:val=""/>
      <w:lvlJc w:val="left"/>
      <w:pPr>
        <w:ind w:left="9264" w:hanging="360"/>
      </w:pPr>
      <w:rPr>
        <w:rFonts w:ascii="Symbol" w:hAnsi="Symbol" w:hint="default"/>
      </w:rPr>
    </w:lvl>
    <w:lvl w:ilvl="7" w:tplc="04090003" w:tentative="1">
      <w:start w:val="1"/>
      <w:numFmt w:val="bullet"/>
      <w:lvlText w:val="o"/>
      <w:lvlJc w:val="left"/>
      <w:pPr>
        <w:ind w:left="9984" w:hanging="360"/>
      </w:pPr>
      <w:rPr>
        <w:rFonts w:ascii="Courier New" w:hAnsi="Courier New" w:cs="Courier New" w:hint="default"/>
      </w:rPr>
    </w:lvl>
    <w:lvl w:ilvl="8" w:tplc="04090005" w:tentative="1">
      <w:start w:val="1"/>
      <w:numFmt w:val="bullet"/>
      <w:lvlText w:val=""/>
      <w:lvlJc w:val="left"/>
      <w:pPr>
        <w:ind w:left="10704" w:hanging="360"/>
      </w:pPr>
      <w:rPr>
        <w:rFonts w:ascii="Wingdings" w:hAnsi="Wingdings" w:hint="default"/>
      </w:rPr>
    </w:lvl>
  </w:abstractNum>
  <w:abstractNum w:abstractNumId="2" w15:restartNumberingAfterBreak="0">
    <w:nsid w:val="12B316C6"/>
    <w:multiLevelType w:val="multilevel"/>
    <w:tmpl w:val="CE564BAA"/>
    <w:lvl w:ilvl="0">
      <w:start w:val="1"/>
      <w:numFmt w:val="decimal"/>
      <w:lvlText w:val="%1."/>
      <w:lvlJc w:val="left"/>
      <w:pPr>
        <w:ind w:left="649" w:hanging="430"/>
      </w:pPr>
      <w:rPr>
        <w:rFonts w:ascii="Book Antiqua" w:eastAsia="Book Antiqua" w:hAnsi="Book Antiqua" w:cs="Book Antiqua" w:hint="default"/>
        <w:b w:val="0"/>
        <w:bCs w:val="0"/>
        <w:i w:val="0"/>
        <w:iCs w:val="0"/>
        <w:spacing w:val="-2"/>
        <w:w w:val="98"/>
        <w:sz w:val="26"/>
        <w:szCs w:val="26"/>
        <w:lang w:val="en-US" w:eastAsia="en-US" w:bidi="ar-SA"/>
      </w:rPr>
    </w:lvl>
    <w:lvl w:ilvl="1">
      <w:start w:val="1"/>
      <w:numFmt w:val="decimal"/>
      <w:lvlText w:val="%1.%2."/>
      <w:lvlJc w:val="left"/>
      <w:pPr>
        <w:ind w:left="1084" w:hanging="648"/>
      </w:pPr>
      <w:rPr>
        <w:rFonts w:ascii="Book Antiqua" w:eastAsia="Book Antiqua" w:hAnsi="Book Antiqua" w:cs="Book Antiqua" w:hint="default"/>
        <w:b w:val="0"/>
        <w:bCs w:val="0"/>
        <w:i w:val="0"/>
        <w:iCs w:val="0"/>
        <w:spacing w:val="-2"/>
        <w:w w:val="98"/>
        <w:sz w:val="26"/>
        <w:szCs w:val="26"/>
        <w:lang w:val="en-US" w:eastAsia="en-US" w:bidi="ar-SA"/>
      </w:rPr>
    </w:lvl>
    <w:lvl w:ilvl="2">
      <w:start w:val="1"/>
      <w:numFmt w:val="decimal"/>
      <w:lvlText w:val="%1.%2.%3."/>
      <w:lvlJc w:val="left"/>
      <w:pPr>
        <w:ind w:left="1513" w:hanging="864"/>
      </w:pPr>
      <w:rPr>
        <w:rFonts w:ascii="Book Antiqua" w:eastAsia="Book Antiqua" w:hAnsi="Book Antiqua" w:cs="Book Antiqua" w:hint="default"/>
        <w:b w:val="0"/>
        <w:bCs w:val="0"/>
        <w:i w:val="0"/>
        <w:iCs w:val="0"/>
        <w:spacing w:val="-2"/>
        <w:w w:val="98"/>
        <w:sz w:val="26"/>
        <w:szCs w:val="26"/>
        <w:lang w:val="en-US" w:eastAsia="en-US" w:bidi="ar-SA"/>
      </w:rPr>
    </w:lvl>
    <w:lvl w:ilvl="3">
      <w:numFmt w:val="bullet"/>
      <w:lvlText w:val="•"/>
      <w:lvlJc w:val="left"/>
      <w:pPr>
        <w:ind w:left="2557" w:hanging="864"/>
      </w:pPr>
      <w:rPr>
        <w:rFonts w:hint="default"/>
        <w:lang w:val="en-US" w:eastAsia="en-US" w:bidi="ar-SA"/>
      </w:rPr>
    </w:lvl>
    <w:lvl w:ilvl="4">
      <w:numFmt w:val="bullet"/>
      <w:lvlText w:val="•"/>
      <w:lvlJc w:val="left"/>
      <w:pPr>
        <w:ind w:left="3595" w:hanging="864"/>
      </w:pPr>
      <w:rPr>
        <w:rFonts w:hint="default"/>
        <w:lang w:val="en-US" w:eastAsia="en-US" w:bidi="ar-SA"/>
      </w:rPr>
    </w:lvl>
    <w:lvl w:ilvl="5">
      <w:numFmt w:val="bullet"/>
      <w:lvlText w:val="•"/>
      <w:lvlJc w:val="left"/>
      <w:pPr>
        <w:ind w:left="4632" w:hanging="864"/>
      </w:pPr>
      <w:rPr>
        <w:rFonts w:hint="default"/>
        <w:lang w:val="en-US" w:eastAsia="en-US" w:bidi="ar-SA"/>
      </w:rPr>
    </w:lvl>
    <w:lvl w:ilvl="6">
      <w:numFmt w:val="bullet"/>
      <w:lvlText w:val="•"/>
      <w:lvlJc w:val="left"/>
      <w:pPr>
        <w:ind w:left="5670" w:hanging="864"/>
      </w:pPr>
      <w:rPr>
        <w:rFonts w:hint="default"/>
        <w:lang w:val="en-US" w:eastAsia="en-US" w:bidi="ar-SA"/>
      </w:rPr>
    </w:lvl>
    <w:lvl w:ilvl="7">
      <w:numFmt w:val="bullet"/>
      <w:lvlText w:val="•"/>
      <w:lvlJc w:val="left"/>
      <w:pPr>
        <w:ind w:left="6707" w:hanging="864"/>
      </w:pPr>
      <w:rPr>
        <w:rFonts w:hint="default"/>
        <w:lang w:val="en-US" w:eastAsia="en-US" w:bidi="ar-SA"/>
      </w:rPr>
    </w:lvl>
    <w:lvl w:ilvl="8">
      <w:numFmt w:val="bullet"/>
      <w:lvlText w:val="•"/>
      <w:lvlJc w:val="left"/>
      <w:pPr>
        <w:ind w:left="7745" w:hanging="864"/>
      </w:pPr>
      <w:rPr>
        <w:rFonts w:hint="default"/>
        <w:lang w:val="en-US" w:eastAsia="en-US" w:bidi="ar-SA"/>
      </w:rPr>
    </w:lvl>
  </w:abstractNum>
  <w:abstractNum w:abstractNumId="3" w15:restartNumberingAfterBreak="0">
    <w:nsid w:val="150A8A60"/>
    <w:multiLevelType w:val="hybridMultilevel"/>
    <w:tmpl w:val="FFFFFFFF"/>
    <w:lvl w:ilvl="0" w:tplc="15A6DCAA">
      <w:numFmt w:val="none"/>
      <w:lvlText w:val=""/>
      <w:lvlJc w:val="left"/>
      <w:pPr>
        <w:tabs>
          <w:tab w:val="num" w:pos="360"/>
        </w:tabs>
      </w:pPr>
    </w:lvl>
    <w:lvl w:ilvl="1" w:tplc="EEDC31DE">
      <w:start w:val="1"/>
      <w:numFmt w:val="lowerLetter"/>
      <w:lvlText w:val="%2."/>
      <w:lvlJc w:val="left"/>
      <w:pPr>
        <w:ind w:left="1440" w:hanging="360"/>
      </w:pPr>
    </w:lvl>
    <w:lvl w:ilvl="2" w:tplc="907A0C44">
      <w:start w:val="1"/>
      <w:numFmt w:val="lowerRoman"/>
      <w:lvlText w:val="%3."/>
      <w:lvlJc w:val="right"/>
      <w:pPr>
        <w:ind w:left="2160" w:hanging="180"/>
      </w:pPr>
    </w:lvl>
    <w:lvl w:ilvl="3" w:tplc="E3E2D90C">
      <w:start w:val="1"/>
      <w:numFmt w:val="decimal"/>
      <w:lvlText w:val="%4."/>
      <w:lvlJc w:val="left"/>
      <w:pPr>
        <w:ind w:left="2880" w:hanging="360"/>
      </w:pPr>
    </w:lvl>
    <w:lvl w:ilvl="4" w:tplc="372AA410">
      <w:start w:val="1"/>
      <w:numFmt w:val="lowerLetter"/>
      <w:lvlText w:val="%5."/>
      <w:lvlJc w:val="left"/>
      <w:pPr>
        <w:ind w:left="3600" w:hanging="360"/>
      </w:pPr>
    </w:lvl>
    <w:lvl w:ilvl="5" w:tplc="91E6C616">
      <w:start w:val="1"/>
      <w:numFmt w:val="lowerRoman"/>
      <w:lvlText w:val="%6."/>
      <w:lvlJc w:val="right"/>
      <w:pPr>
        <w:ind w:left="4320" w:hanging="180"/>
      </w:pPr>
    </w:lvl>
    <w:lvl w:ilvl="6" w:tplc="B434BEAC">
      <w:start w:val="1"/>
      <w:numFmt w:val="decimal"/>
      <w:lvlText w:val="%7."/>
      <w:lvlJc w:val="left"/>
      <w:pPr>
        <w:ind w:left="5040" w:hanging="360"/>
      </w:pPr>
    </w:lvl>
    <w:lvl w:ilvl="7" w:tplc="61F68B50">
      <w:start w:val="1"/>
      <w:numFmt w:val="lowerLetter"/>
      <w:lvlText w:val="%8."/>
      <w:lvlJc w:val="left"/>
      <w:pPr>
        <w:ind w:left="5760" w:hanging="360"/>
      </w:pPr>
    </w:lvl>
    <w:lvl w:ilvl="8" w:tplc="FC0E4E8E">
      <w:start w:val="1"/>
      <w:numFmt w:val="lowerRoman"/>
      <w:lvlText w:val="%9."/>
      <w:lvlJc w:val="right"/>
      <w:pPr>
        <w:ind w:left="6480" w:hanging="180"/>
      </w:pPr>
    </w:lvl>
  </w:abstractNum>
  <w:abstractNum w:abstractNumId="4" w15:restartNumberingAfterBreak="0">
    <w:nsid w:val="19438BEC"/>
    <w:multiLevelType w:val="hybridMultilevel"/>
    <w:tmpl w:val="FFFFFFFF"/>
    <w:lvl w:ilvl="0" w:tplc="CBE474F2">
      <w:start w:val="1"/>
      <w:numFmt w:val="decimal"/>
      <w:lvlText w:val="%1."/>
      <w:lvlJc w:val="left"/>
      <w:pPr>
        <w:ind w:left="720" w:hanging="360"/>
      </w:pPr>
    </w:lvl>
    <w:lvl w:ilvl="1" w:tplc="FBB0362A">
      <w:start w:val="1"/>
      <w:numFmt w:val="lowerLetter"/>
      <w:lvlText w:val="%2."/>
      <w:lvlJc w:val="left"/>
      <w:pPr>
        <w:ind w:left="1440" w:hanging="360"/>
      </w:pPr>
    </w:lvl>
    <w:lvl w:ilvl="2" w:tplc="333E4170">
      <w:start w:val="1"/>
      <w:numFmt w:val="lowerRoman"/>
      <w:lvlText w:val="%3."/>
      <w:lvlJc w:val="right"/>
      <w:pPr>
        <w:ind w:left="2160" w:hanging="180"/>
      </w:pPr>
    </w:lvl>
    <w:lvl w:ilvl="3" w:tplc="F454DA88">
      <w:start w:val="1"/>
      <w:numFmt w:val="decimal"/>
      <w:lvlText w:val="%4."/>
      <w:lvlJc w:val="left"/>
      <w:pPr>
        <w:ind w:left="2880" w:hanging="360"/>
      </w:pPr>
    </w:lvl>
    <w:lvl w:ilvl="4" w:tplc="51B2A496">
      <w:start w:val="1"/>
      <w:numFmt w:val="lowerLetter"/>
      <w:lvlText w:val="%5."/>
      <w:lvlJc w:val="left"/>
      <w:pPr>
        <w:ind w:left="3600" w:hanging="360"/>
      </w:pPr>
    </w:lvl>
    <w:lvl w:ilvl="5" w:tplc="9D2C22F6">
      <w:start w:val="1"/>
      <w:numFmt w:val="lowerRoman"/>
      <w:lvlText w:val="%6."/>
      <w:lvlJc w:val="right"/>
      <w:pPr>
        <w:ind w:left="4320" w:hanging="180"/>
      </w:pPr>
    </w:lvl>
    <w:lvl w:ilvl="6" w:tplc="A2DE91BE">
      <w:start w:val="1"/>
      <w:numFmt w:val="decimal"/>
      <w:lvlText w:val="%7."/>
      <w:lvlJc w:val="left"/>
      <w:pPr>
        <w:ind w:left="5040" w:hanging="360"/>
      </w:pPr>
    </w:lvl>
    <w:lvl w:ilvl="7" w:tplc="A4108810">
      <w:start w:val="1"/>
      <w:numFmt w:val="lowerLetter"/>
      <w:lvlText w:val="%8."/>
      <w:lvlJc w:val="left"/>
      <w:pPr>
        <w:ind w:left="5760" w:hanging="360"/>
      </w:pPr>
    </w:lvl>
    <w:lvl w:ilvl="8" w:tplc="66E00D98">
      <w:start w:val="1"/>
      <w:numFmt w:val="lowerRoman"/>
      <w:lvlText w:val="%9."/>
      <w:lvlJc w:val="right"/>
      <w:pPr>
        <w:ind w:left="6480" w:hanging="180"/>
      </w:pPr>
    </w:lvl>
  </w:abstractNum>
  <w:abstractNum w:abstractNumId="5" w15:restartNumberingAfterBreak="0">
    <w:nsid w:val="2225248C"/>
    <w:multiLevelType w:val="hybridMultilevel"/>
    <w:tmpl w:val="B4801568"/>
    <w:lvl w:ilvl="0" w:tplc="ABA2F756">
      <w:start w:val="1"/>
      <w:numFmt w:val="decimal"/>
      <w:pStyle w:val="CoL"/>
      <w:lvlText w:val="%1."/>
      <w:lvlJc w:val="left"/>
      <w:pPr>
        <w:ind w:left="219" w:hanging="368"/>
        <w:jc w:val="right"/>
      </w:pPr>
      <w:rPr>
        <w:rFonts w:ascii="Book Antiqua" w:eastAsia="Book Antiqua" w:hAnsi="Book Antiqua" w:cs="Book Antiqua" w:hint="default"/>
        <w:b w:val="0"/>
        <w:bCs w:val="0"/>
        <w:i w:val="0"/>
        <w:iCs w:val="0"/>
        <w:spacing w:val="-2"/>
        <w:w w:val="98"/>
        <w:sz w:val="26"/>
        <w:szCs w:val="26"/>
        <w:lang w:val="en-US" w:eastAsia="en-US" w:bidi="ar-SA"/>
      </w:rPr>
    </w:lvl>
    <w:lvl w:ilvl="1" w:tplc="334C47CE">
      <w:numFmt w:val="bullet"/>
      <w:lvlText w:val="•"/>
      <w:lvlJc w:val="left"/>
      <w:pPr>
        <w:ind w:left="1180" w:hanging="368"/>
      </w:pPr>
      <w:rPr>
        <w:rFonts w:hint="default"/>
        <w:lang w:val="en-US" w:eastAsia="en-US" w:bidi="ar-SA"/>
      </w:rPr>
    </w:lvl>
    <w:lvl w:ilvl="2" w:tplc="0EE237B8">
      <w:numFmt w:val="bullet"/>
      <w:lvlText w:val="•"/>
      <w:lvlJc w:val="left"/>
      <w:pPr>
        <w:ind w:left="2140" w:hanging="368"/>
      </w:pPr>
      <w:rPr>
        <w:rFonts w:hint="default"/>
        <w:lang w:val="en-US" w:eastAsia="en-US" w:bidi="ar-SA"/>
      </w:rPr>
    </w:lvl>
    <w:lvl w:ilvl="3" w:tplc="0B2263AA">
      <w:numFmt w:val="bullet"/>
      <w:lvlText w:val="•"/>
      <w:lvlJc w:val="left"/>
      <w:pPr>
        <w:ind w:left="3100" w:hanging="368"/>
      </w:pPr>
      <w:rPr>
        <w:rFonts w:hint="default"/>
        <w:lang w:val="en-US" w:eastAsia="en-US" w:bidi="ar-SA"/>
      </w:rPr>
    </w:lvl>
    <w:lvl w:ilvl="4" w:tplc="DE004506">
      <w:numFmt w:val="bullet"/>
      <w:lvlText w:val="•"/>
      <w:lvlJc w:val="left"/>
      <w:pPr>
        <w:ind w:left="4060" w:hanging="368"/>
      </w:pPr>
      <w:rPr>
        <w:rFonts w:hint="default"/>
        <w:lang w:val="en-US" w:eastAsia="en-US" w:bidi="ar-SA"/>
      </w:rPr>
    </w:lvl>
    <w:lvl w:ilvl="5" w:tplc="6ADAA558">
      <w:numFmt w:val="bullet"/>
      <w:lvlText w:val="•"/>
      <w:lvlJc w:val="left"/>
      <w:pPr>
        <w:ind w:left="5020" w:hanging="368"/>
      </w:pPr>
      <w:rPr>
        <w:rFonts w:hint="default"/>
        <w:lang w:val="en-US" w:eastAsia="en-US" w:bidi="ar-SA"/>
      </w:rPr>
    </w:lvl>
    <w:lvl w:ilvl="6" w:tplc="950C98C6">
      <w:numFmt w:val="bullet"/>
      <w:lvlText w:val="•"/>
      <w:lvlJc w:val="left"/>
      <w:pPr>
        <w:ind w:left="5980" w:hanging="368"/>
      </w:pPr>
      <w:rPr>
        <w:rFonts w:hint="default"/>
        <w:lang w:val="en-US" w:eastAsia="en-US" w:bidi="ar-SA"/>
      </w:rPr>
    </w:lvl>
    <w:lvl w:ilvl="7" w:tplc="4C20C916">
      <w:numFmt w:val="bullet"/>
      <w:lvlText w:val="•"/>
      <w:lvlJc w:val="left"/>
      <w:pPr>
        <w:ind w:left="6940" w:hanging="368"/>
      </w:pPr>
      <w:rPr>
        <w:rFonts w:hint="default"/>
        <w:lang w:val="en-US" w:eastAsia="en-US" w:bidi="ar-SA"/>
      </w:rPr>
    </w:lvl>
    <w:lvl w:ilvl="8" w:tplc="EB3C02FC">
      <w:numFmt w:val="bullet"/>
      <w:lvlText w:val="•"/>
      <w:lvlJc w:val="left"/>
      <w:pPr>
        <w:ind w:left="7900" w:hanging="368"/>
      </w:pPr>
      <w:rPr>
        <w:rFonts w:hint="default"/>
        <w:lang w:val="en-US" w:eastAsia="en-US" w:bidi="ar-SA"/>
      </w:rPr>
    </w:lvl>
  </w:abstractNum>
  <w:abstractNum w:abstractNumId="6" w15:restartNumberingAfterBreak="0">
    <w:nsid w:val="285F30F9"/>
    <w:multiLevelType w:val="hybridMultilevel"/>
    <w:tmpl w:val="95D22CEA"/>
    <w:lvl w:ilvl="0" w:tplc="65587CEE">
      <w:start w:val="1"/>
      <w:numFmt w:val="decimal"/>
      <w:lvlText w:val="%1."/>
      <w:lvlJc w:val="left"/>
      <w:pPr>
        <w:ind w:left="720" w:hanging="360"/>
      </w:pPr>
    </w:lvl>
    <w:lvl w:ilvl="1" w:tplc="13B09668">
      <w:start w:val="1"/>
      <w:numFmt w:val="lowerLetter"/>
      <w:lvlText w:val="%2."/>
      <w:lvlJc w:val="left"/>
      <w:pPr>
        <w:ind w:left="1440" w:hanging="360"/>
      </w:pPr>
    </w:lvl>
    <w:lvl w:ilvl="2" w:tplc="BD88B9AC">
      <w:start w:val="1"/>
      <w:numFmt w:val="lowerRoman"/>
      <w:lvlText w:val="%3."/>
      <w:lvlJc w:val="right"/>
      <w:pPr>
        <w:ind w:left="2160" w:hanging="180"/>
      </w:pPr>
    </w:lvl>
    <w:lvl w:ilvl="3" w:tplc="7CA675DC">
      <w:start w:val="1"/>
      <w:numFmt w:val="decimal"/>
      <w:lvlText w:val="%4."/>
      <w:lvlJc w:val="left"/>
      <w:pPr>
        <w:ind w:left="2880" w:hanging="360"/>
      </w:pPr>
    </w:lvl>
    <w:lvl w:ilvl="4" w:tplc="052269C6">
      <w:start w:val="1"/>
      <w:numFmt w:val="lowerLetter"/>
      <w:lvlText w:val="%5."/>
      <w:lvlJc w:val="left"/>
      <w:pPr>
        <w:ind w:left="3600" w:hanging="360"/>
      </w:pPr>
    </w:lvl>
    <w:lvl w:ilvl="5" w:tplc="2EF83868">
      <w:start w:val="1"/>
      <w:numFmt w:val="lowerRoman"/>
      <w:lvlText w:val="%6."/>
      <w:lvlJc w:val="right"/>
      <w:pPr>
        <w:ind w:left="4320" w:hanging="180"/>
      </w:pPr>
    </w:lvl>
    <w:lvl w:ilvl="6" w:tplc="688C1A50">
      <w:start w:val="1"/>
      <w:numFmt w:val="decimal"/>
      <w:lvlText w:val="%7."/>
      <w:lvlJc w:val="left"/>
      <w:pPr>
        <w:ind w:left="5040" w:hanging="360"/>
      </w:pPr>
    </w:lvl>
    <w:lvl w:ilvl="7" w:tplc="B5A29B6A">
      <w:start w:val="1"/>
      <w:numFmt w:val="lowerLetter"/>
      <w:lvlText w:val="%8."/>
      <w:lvlJc w:val="left"/>
      <w:pPr>
        <w:ind w:left="5760" w:hanging="360"/>
      </w:pPr>
    </w:lvl>
    <w:lvl w:ilvl="8" w:tplc="B358AC86">
      <w:start w:val="1"/>
      <w:numFmt w:val="lowerRoman"/>
      <w:lvlText w:val="%9."/>
      <w:lvlJc w:val="right"/>
      <w:pPr>
        <w:ind w:left="6480" w:hanging="180"/>
      </w:pPr>
    </w:lvl>
  </w:abstractNum>
  <w:abstractNum w:abstractNumId="7" w15:restartNumberingAfterBreak="0">
    <w:nsid w:val="2885FA93"/>
    <w:multiLevelType w:val="hybridMultilevel"/>
    <w:tmpl w:val="FFFFFFFF"/>
    <w:lvl w:ilvl="0" w:tplc="0D68D44C">
      <w:numFmt w:val="none"/>
      <w:lvlText w:val=""/>
      <w:lvlJc w:val="left"/>
      <w:pPr>
        <w:tabs>
          <w:tab w:val="num" w:pos="360"/>
        </w:tabs>
      </w:pPr>
    </w:lvl>
    <w:lvl w:ilvl="1" w:tplc="EF5068B8">
      <w:start w:val="1"/>
      <w:numFmt w:val="lowerLetter"/>
      <w:lvlText w:val="%2."/>
      <w:lvlJc w:val="left"/>
      <w:pPr>
        <w:ind w:left="1440" w:hanging="360"/>
      </w:pPr>
    </w:lvl>
    <w:lvl w:ilvl="2" w:tplc="F0D0E056">
      <w:start w:val="1"/>
      <w:numFmt w:val="lowerRoman"/>
      <w:lvlText w:val="%3."/>
      <w:lvlJc w:val="right"/>
      <w:pPr>
        <w:ind w:left="2160" w:hanging="180"/>
      </w:pPr>
    </w:lvl>
    <w:lvl w:ilvl="3" w:tplc="F844D3FC">
      <w:start w:val="1"/>
      <w:numFmt w:val="decimal"/>
      <w:lvlText w:val="%4."/>
      <w:lvlJc w:val="left"/>
      <w:pPr>
        <w:ind w:left="2880" w:hanging="360"/>
      </w:pPr>
    </w:lvl>
    <w:lvl w:ilvl="4" w:tplc="FAF07696">
      <w:start w:val="1"/>
      <w:numFmt w:val="lowerLetter"/>
      <w:lvlText w:val="%5."/>
      <w:lvlJc w:val="left"/>
      <w:pPr>
        <w:ind w:left="3600" w:hanging="360"/>
      </w:pPr>
    </w:lvl>
    <w:lvl w:ilvl="5" w:tplc="BCB87504">
      <w:start w:val="1"/>
      <w:numFmt w:val="lowerRoman"/>
      <w:lvlText w:val="%6."/>
      <w:lvlJc w:val="right"/>
      <w:pPr>
        <w:ind w:left="4320" w:hanging="180"/>
      </w:pPr>
    </w:lvl>
    <w:lvl w:ilvl="6" w:tplc="845C40DA">
      <w:start w:val="1"/>
      <w:numFmt w:val="decimal"/>
      <w:lvlText w:val="%7."/>
      <w:lvlJc w:val="left"/>
      <w:pPr>
        <w:ind w:left="5040" w:hanging="360"/>
      </w:pPr>
    </w:lvl>
    <w:lvl w:ilvl="7" w:tplc="71B8118E">
      <w:start w:val="1"/>
      <w:numFmt w:val="lowerLetter"/>
      <w:lvlText w:val="%8."/>
      <w:lvlJc w:val="left"/>
      <w:pPr>
        <w:ind w:left="5760" w:hanging="360"/>
      </w:pPr>
    </w:lvl>
    <w:lvl w:ilvl="8" w:tplc="EDE4E3EE">
      <w:start w:val="1"/>
      <w:numFmt w:val="lowerRoman"/>
      <w:lvlText w:val="%9."/>
      <w:lvlJc w:val="right"/>
      <w:pPr>
        <w:ind w:left="6480" w:hanging="180"/>
      </w:pPr>
    </w:lvl>
  </w:abstractNum>
  <w:abstractNum w:abstractNumId="8" w15:restartNumberingAfterBreak="0">
    <w:nsid w:val="291E28C0"/>
    <w:multiLevelType w:val="hybridMultilevel"/>
    <w:tmpl w:val="0018DD7A"/>
    <w:lvl w:ilvl="0" w:tplc="14E84A16">
      <w:start w:val="1"/>
      <w:numFmt w:val="decimal"/>
      <w:lvlText w:val="%1."/>
      <w:lvlJc w:val="left"/>
      <w:pPr>
        <w:ind w:left="1297" w:hanging="358"/>
      </w:pPr>
      <w:rPr>
        <w:rFonts w:ascii="Book Antiqua" w:eastAsia="Book Antiqua" w:hAnsi="Book Antiqua" w:cs="Book Antiqua" w:hint="default"/>
        <w:b w:val="0"/>
        <w:bCs w:val="0"/>
        <w:i w:val="0"/>
        <w:iCs w:val="0"/>
        <w:spacing w:val="-2"/>
        <w:w w:val="98"/>
        <w:sz w:val="26"/>
        <w:szCs w:val="26"/>
        <w:lang w:val="en-US" w:eastAsia="en-US" w:bidi="ar-SA"/>
      </w:rPr>
    </w:lvl>
    <w:lvl w:ilvl="1" w:tplc="A5D2199E">
      <w:numFmt w:val="bullet"/>
      <w:lvlText w:val="•"/>
      <w:lvlJc w:val="left"/>
      <w:pPr>
        <w:ind w:left="2152" w:hanging="358"/>
      </w:pPr>
      <w:rPr>
        <w:rFonts w:hint="default"/>
        <w:lang w:val="en-US" w:eastAsia="en-US" w:bidi="ar-SA"/>
      </w:rPr>
    </w:lvl>
    <w:lvl w:ilvl="2" w:tplc="2D686FC0">
      <w:numFmt w:val="bullet"/>
      <w:lvlText w:val="•"/>
      <w:lvlJc w:val="left"/>
      <w:pPr>
        <w:ind w:left="3004" w:hanging="358"/>
      </w:pPr>
      <w:rPr>
        <w:rFonts w:hint="default"/>
        <w:lang w:val="en-US" w:eastAsia="en-US" w:bidi="ar-SA"/>
      </w:rPr>
    </w:lvl>
    <w:lvl w:ilvl="3" w:tplc="91144E86">
      <w:numFmt w:val="bullet"/>
      <w:lvlText w:val="•"/>
      <w:lvlJc w:val="left"/>
      <w:pPr>
        <w:ind w:left="3856" w:hanging="358"/>
      </w:pPr>
      <w:rPr>
        <w:rFonts w:hint="default"/>
        <w:lang w:val="en-US" w:eastAsia="en-US" w:bidi="ar-SA"/>
      </w:rPr>
    </w:lvl>
    <w:lvl w:ilvl="4" w:tplc="F0C09614">
      <w:numFmt w:val="bullet"/>
      <w:lvlText w:val="•"/>
      <w:lvlJc w:val="left"/>
      <w:pPr>
        <w:ind w:left="4708" w:hanging="358"/>
      </w:pPr>
      <w:rPr>
        <w:rFonts w:hint="default"/>
        <w:lang w:val="en-US" w:eastAsia="en-US" w:bidi="ar-SA"/>
      </w:rPr>
    </w:lvl>
    <w:lvl w:ilvl="5" w:tplc="F182CCC6">
      <w:numFmt w:val="bullet"/>
      <w:lvlText w:val="•"/>
      <w:lvlJc w:val="left"/>
      <w:pPr>
        <w:ind w:left="5560" w:hanging="358"/>
      </w:pPr>
      <w:rPr>
        <w:rFonts w:hint="default"/>
        <w:lang w:val="en-US" w:eastAsia="en-US" w:bidi="ar-SA"/>
      </w:rPr>
    </w:lvl>
    <w:lvl w:ilvl="6" w:tplc="64F48258">
      <w:numFmt w:val="bullet"/>
      <w:lvlText w:val="•"/>
      <w:lvlJc w:val="left"/>
      <w:pPr>
        <w:ind w:left="6412" w:hanging="358"/>
      </w:pPr>
      <w:rPr>
        <w:rFonts w:hint="default"/>
        <w:lang w:val="en-US" w:eastAsia="en-US" w:bidi="ar-SA"/>
      </w:rPr>
    </w:lvl>
    <w:lvl w:ilvl="7" w:tplc="EE50FA00">
      <w:numFmt w:val="bullet"/>
      <w:lvlText w:val="•"/>
      <w:lvlJc w:val="left"/>
      <w:pPr>
        <w:ind w:left="7264" w:hanging="358"/>
      </w:pPr>
      <w:rPr>
        <w:rFonts w:hint="default"/>
        <w:lang w:val="en-US" w:eastAsia="en-US" w:bidi="ar-SA"/>
      </w:rPr>
    </w:lvl>
    <w:lvl w:ilvl="8" w:tplc="8A9C132E">
      <w:numFmt w:val="bullet"/>
      <w:lvlText w:val="•"/>
      <w:lvlJc w:val="left"/>
      <w:pPr>
        <w:ind w:left="8116" w:hanging="358"/>
      </w:pPr>
      <w:rPr>
        <w:rFonts w:hint="default"/>
        <w:lang w:val="en-US" w:eastAsia="en-US" w:bidi="ar-SA"/>
      </w:rPr>
    </w:lvl>
  </w:abstractNum>
  <w:abstractNum w:abstractNumId="9" w15:restartNumberingAfterBreak="0">
    <w:nsid w:val="2A93C708"/>
    <w:multiLevelType w:val="hybridMultilevel"/>
    <w:tmpl w:val="FFFFFFFF"/>
    <w:lvl w:ilvl="0" w:tplc="74461146">
      <w:start w:val="9"/>
      <w:numFmt w:val="decimal"/>
      <w:lvlText w:val="%1."/>
      <w:lvlJc w:val="left"/>
      <w:pPr>
        <w:ind w:left="720" w:hanging="360"/>
      </w:pPr>
    </w:lvl>
    <w:lvl w:ilvl="1" w:tplc="171CE428">
      <w:start w:val="1"/>
      <w:numFmt w:val="lowerLetter"/>
      <w:lvlText w:val="%2."/>
      <w:lvlJc w:val="left"/>
      <w:pPr>
        <w:ind w:left="1440" w:hanging="360"/>
      </w:pPr>
    </w:lvl>
    <w:lvl w:ilvl="2" w:tplc="5AB41574">
      <w:start w:val="1"/>
      <w:numFmt w:val="lowerRoman"/>
      <w:lvlText w:val="%3."/>
      <w:lvlJc w:val="right"/>
      <w:pPr>
        <w:ind w:left="2160" w:hanging="180"/>
      </w:pPr>
    </w:lvl>
    <w:lvl w:ilvl="3" w:tplc="684CBE7C">
      <w:start w:val="1"/>
      <w:numFmt w:val="decimal"/>
      <w:lvlText w:val="%4."/>
      <w:lvlJc w:val="left"/>
      <w:pPr>
        <w:ind w:left="2880" w:hanging="360"/>
      </w:pPr>
    </w:lvl>
    <w:lvl w:ilvl="4" w:tplc="55F27C16">
      <w:start w:val="1"/>
      <w:numFmt w:val="lowerLetter"/>
      <w:lvlText w:val="%5."/>
      <w:lvlJc w:val="left"/>
      <w:pPr>
        <w:ind w:left="3600" w:hanging="360"/>
      </w:pPr>
    </w:lvl>
    <w:lvl w:ilvl="5" w:tplc="DCC2A432">
      <w:start w:val="1"/>
      <w:numFmt w:val="lowerRoman"/>
      <w:lvlText w:val="%6."/>
      <w:lvlJc w:val="right"/>
      <w:pPr>
        <w:ind w:left="4320" w:hanging="180"/>
      </w:pPr>
    </w:lvl>
    <w:lvl w:ilvl="6" w:tplc="B5F888C6">
      <w:start w:val="1"/>
      <w:numFmt w:val="decimal"/>
      <w:lvlText w:val="%7."/>
      <w:lvlJc w:val="left"/>
      <w:pPr>
        <w:ind w:left="5040" w:hanging="360"/>
      </w:pPr>
    </w:lvl>
    <w:lvl w:ilvl="7" w:tplc="8BBC5588">
      <w:start w:val="1"/>
      <w:numFmt w:val="lowerLetter"/>
      <w:lvlText w:val="%8."/>
      <w:lvlJc w:val="left"/>
      <w:pPr>
        <w:ind w:left="5760" w:hanging="360"/>
      </w:pPr>
    </w:lvl>
    <w:lvl w:ilvl="8" w:tplc="CF2C56D8">
      <w:start w:val="1"/>
      <w:numFmt w:val="lowerRoman"/>
      <w:lvlText w:val="%9."/>
      <w:lvlJc w:val="right"/>
      <w:pPr>
        <w:ind w:left="6480" w:hanging="180"/>
      </w:pPr>
    </w:lvl>
  </w:abstractNum>
  <w:abstractNum w:abstractNumId="10" w15:restartNumberingAfterBreak="0">
    <w:nsid w:val="32220B55"/>
    <w:multiLevelType w:val="multilevel"/>
    <w:tmpl w:val="E31C5EC6"/>
    <w:lvl w:ilvl="0">
      <w:start w:val="1"/>
      <w:numFmt w:val="decimal"/>
      <w:lvlText w:val="%1."/>
      <w:lvlJc w:val="left"/>
      <w:pPr>
        <w:ind w:left="940" w:hanging="720"/>
      </w:pPr>
      <w:rPr>
        <w:rFonts w:ascii="Arial" w:eastAsia="Arial" w:hAnsi="Arial" w:cs="Arial" w:hint="default"/>
        <w:b/>
        <w:bCs/>
        <w:i w:val="0"/>
        <w:iCs w:val="0"/>
        <w:spacing w:val="-2"/>
        <w:w w:val="98"/>
        <w:sz w:val="26"/>
        <w:szCs w:val="26"/>
        <w:lang w:val="en-US" w:eastAsia="en-US" w:bidi="ar-SA"/>
      </w:rPr>
    </w:lvl>
    <w:lvl w:ilvl="1">
      <w:start w:val="1"/>
      <w:numFmt w:val="decimal"/>
      <w:lvlText w:val="%1.%2."/>
      <w:lvlJc w:val="left"/>
      <w:pPr>
        <w:ind w:left="1297" w:hanging="720"/>
      </w:pPr>
      <w:rPr>
        <w:rFonts w:ascii="Arial" w:eastAsia="Arial" w:hAnsi="Arial" w:cs="Arial" w:hint="default"/>
        <w:b/>
        <w:bCs/>
        <w:i w:val="0"/>
        <w:iCs w:val="0"/>
        <w:spacing w:val="-2"/>
        <w:w w:val="98"/>
        <w:sz w:val="26"/>
        <w:szCs w:val="26"/>
        <w:lang w:val="en-US" w:eastAsia="en-US" w:bidi="ar-SA"/>
      </w:rPr>
    </w:lvl>
    <w:lvl w:ilvl="2">
      <w:start w:val="1"/>
      <w:numFmt w:val="decimal"/>
      <w:lvlText w:val="%1.%2.%3."/>
      <w:lvlJc w:val="left"/>
      <w:pPr>
        <w:ind w:left="1873" w:hanging="936"/>
      </w:pPr>
      <w:rPr>
        <w:rFonts w:ascii="Arial" w:eastAsia="Arial" w:hAnsi="Arial" w:cs="Arial" w:hint="default"/>
        <w:b/>
        <w:bCs/>
        <w:i w:val="0"/>
        <w:iCs w:val="0"/>
        <w:spacing w:val="-2"/>
        <w:w w:val="98"/>
        <w:sz w:val="26"/>
        <w:szCs w:val="26"/>
        <w:lang w:val="en-US" w:eastAsia="en-US" w:bidi="ar-SA"/>
      </w:rPr>
    </w:lvl>
    <w:lvl w:ilvl="3">
      <w:numFmt w:val="bullet"/>
      <w:lvlText w:val="•"/>
      <w:lvlJc w:val="left"/>
      <w:pPr>
        <w:ind w:left="2872" w:hanging="936"/>
      </w:pPr>
      <w:rPr>
        <w:rFonts w:hint="default"/>
        <w:lang w:val="en-US" w:eastAsia="en-US" w:bidi="ar-SA"/>
      </w:rPr>
    </w:lvl>
    <w:lvl w:ilvl="4">
      <w:numFmt w:val="bullet"/>
      <w:lvlText w:val="•"/>
      <w:lvlJc w:val="left"/>
      <w:pPr>
        <w:ind w:left="3865" w:hanging="936"/>
      </w:pPr>
      <w:rPr>
        <w:rFonts w:hint="default"/>
        <w:lang w:val="en-US" w:eastAsia="en-US" w:bidi="ar-SA"/>
      </w:rPr>
    </w:lvl>
    <w:lvl w:ilvl="5">
      <w:numFmt w:val="bullet"/>
      <w:lvlText w:val="•"/>
      <w:lvlJc w:val="left"/>
      <w:pPr>
        <w:ind w:left="4857" w:hanging="936"/>
      </w:pPr>
      <w:rPr>
        <w:rFonts w:hint="default"/>
        <w:lang w:val="en-US" w:eastAsia="en-US" w:bidi="ar-SA"/>
      </w:rPr>
    </w:lvl>
    <w:lvl w:ilvl="6">
      <w:numFmt w:val="bullet"/>
      <w:lvlText w:val="•"/>
      <w:lvlJc w:val="left"/>
      <w:pPr>
        <w:ind w:left="5850" w:hanging="936"/>
      </w:pPr>
      <w:rPr>
        <w:rFonts w:hint="default"/>
        <w:lang w:val="en-US" w:eastAsia="en-US" w:bidi="ar-SA"/>
      </w:rPr>
    </w:lvl>
    <w:lvl w:ilvl="7">
      <w:numFmt w:val="bullet"/>
      <w:lvlText w:val="•"/>
      <w:lvlJc w:val="left"/>
      <w:pPr>
        <w:ind w:left="6842" w:hanging="936"/>
      </w:pPr>
      <w:rPr>
        <w:rFonts w:hint="default"/>
        <w:lang w:val="en-US" w:eastAsia="en-US" w:bidi="ar-SA"/>
      </w:rPr>
    </w:lvl>
    <w:lvl w:ilvl="8">
      <w:numFmt w:val="bullet"/>
      <w:lvlText w:val="•"/>
      <w:lvlJc w:val="left"/>
      <w:pPr>
        <w:ind w:left="7835" w:hanging="936"/>
      </w:pPr>
      <w:rPr>
        <w:rFonts w:hint="default"/>
        <w:lang w:val="en-US" w:eastAsia="en-US" w:bidi="ar-SA"/>
      </w:rPr>
    </w:lvl>
  </w:abstractNum>
  <w:abstractNum w:abstractNumId="11" w15:restartNumberingAfterBreak="0">
    <w:nsid w:val="3382318E"/>
    <w:multiLevelType w:val="hybridMultilevel"/>
    <w:tmpl w:val="9D069EA4"/>
    <w:lvl w:ilvl="0" w:tplc="8EDE3F92">
      <w:numFmt w:val="bullet"/>
      <w:lvlText w:val="-"/>
      <w:lvlJc w:val="left"/>
      <w:pPr>
        <w:ind w:left="219" w:hanging="149"/>
      </w:pPr>
      <w:rPr>
        <w:rFonts w:ascii="Book Antiqua" w:eastAsia="Book Antiqua" w:hAnsi="Book Antiqua" w:cs="Book Antiqua" w:hint="default"/>
        <w:b w:val="0"/>
        <w:bCs w:val="0"/>
        <w:i w:val="0"/>
        <w:iCs w:val="0"/>
        <w:spacing w:val="0"/>
        <w:w w:val="98"/>
        <w:sz w:val="26"/>
        <w:szCs w:val="26"/>
        <w:lang w:val="en-US" w:eastAsia="en-US" w:bidi="ar-SA"/>
      </w:rPr>
    </w:lvl>
    <w:lvl w:ilvl="1" w:tplc="196A5574">
      <w:numFmt w:val="bullet"/>
      <w:lvlText w:val="•"/>
      <w:lvlJc w:val="left"/>
      <w:pPr>
        <w:ind w:left="1180" w:hanging="149"/>
      </w:pPr>
      <w:rPr>
        <w:rFonts w:hint="default"/>
        <w:lang w:val="en-US" w:eastAsia="en-US" w:bidi="ar-SA"/>
      </w:rPr>
    </w:lvl>
    <w:lvl w:ilvl="2" w:tplc="AD9491F8">
      <w:numFmt w:val="bullet"/>
      <w:lvlText w:val="•"/>
      <w:lvlJc w:val="left"/>
      <w:pPr>
        <w:ind w:left="2140" w:hanging="149"/>
      </w:pPr>
      <w:rPr>
        <w:rFonts w:hint="default"/>
        <w:lang w:val="en-US" w:eastAsia="en-US" w:bidi="ar-SA"/>
      </w:rPr>
    </w:lvl>
    <w:lvl w:ilvl="3" w:tplc="63F28F44">
      <w:numFmt w:val="bullet"/>
      <w:lvlText w:val="•"/>
      <w:lvlJc w:val="left"/>
      <w:pPr>
        <w:ind w:left="3100" w:hanging="149"/>
      </w:pPr>
      <w:rPr>
        <w:rFonts w:hint="default"/>
        <w:lang w:val="en-US" w:eastAsia="en-US" w:bidi="ar-SA"/>
      </w:rPr>
    </w:lvl>
    <w:lvl w:ilvl="4" w:tplc="AE989ED6">
      <w:numFmt w:val="bullet"/>
      <w:lvlText w:val="•"/>
      <w:lvlJc w:val="left"/>
      <w:pPr>
        <w:ind w:left="4060" w:hanging="149"/>
      </w:pPr>
      <w:rPr>
        <w:rFonts w:hint="default"/>
        <w:lang w:val="en-US" w:eastAsia="en-US" w:bidi="ar-SA"/>
      </w:rPr>
    </w:lvl>
    <w:lvl w:ilvl="5" w:tplc="14CC3E06">
      <w:numFmt w:val="bullet"/>
      <w:lvlText w:val="•"/>
      <w:lvlJc w:val="left"/>
      <w:pPr>
        <w:ind w:left="5020" w:hanging="149"/>
      </w:pPr>
      <w:rPr>
        <w:rFonts w:hint="default"/>
        <w:lang w:val="en-US" w:eastAsia="en-US" w:bidi="ar-SA"/>
      </w:rPr>
    </w:lvl>
    <w:lvl w:ilvl="6" w:tplc="C4E052D0">
      <w:numFmt w:val="bullet"/>
      <w:lvlText w:val="•"/>
      <w:lvlJc w:val="left"/>
      <w:pPr>
        <w:ind w:left="5980" w:hanging="149"/>
      </w:pPr>
      <w:rPr>
        <w:rFonts w:hint="default"/>
        <w:lang w:val="en-US" w:eastAsia="en-US" w:bidi="ar-SA"/>
      </w:rPr>
    </w:lvl>
    <w:lvl w:ilvl="7" w:tplc="6A40B354">
      <w:numFmt w:val="bullet"/>
      <w:lvlText w:val="•"/>
      <w:lvlJc w:val="left"/>
      <w:pPr>
        <w:ind w:left="6940" w:hanging="149"/>
      </w:pPr>
      <w:rPr>
        <w:rFonts w:hint="default"/>
        <w:lang w:val="en-US" w:eastAsia="en-US" w:bidi="ar-SA"/>
      </w:rPr>
    </w:lvl>
    <w:lvl w:ilvl="8" w:tplc="236C6978">
      <w:numFmt w:val="bullet"/>
      <w:lvlText w:val="•"/>
      <w:lvlJc w:val="left"/>
      <w:pPr>
        <w:ind w:left="7900" w:hanging="149"/>
      </w:pPr>
      <w:rPr>
        <w:rFonts w:hint="default"/>
        <w:lang w:val="en-US" w:eastAsia="en-US" w:bidi="ar-SA"/>
      </w:rPr>
    </w:lvl>
  </w:abstractNum>
  <w:abstractNum w:abstractNumId="12" w15:restartNumberingAfterBreak="0">
    <w:nsid w:val="37993842"/>
    <w:multiLevelType w:val="hybridMultilevel"/>
    <w:tmpl w:val="F59C02BC"/>
    <w:lvl w:ilvl="0" w:tplc="3E32870C">
      <w:start w:val="1"/>
      <w:numFmt w:val="decimal"/>
      <w:lvlText w:val="%1."/>
      <w:lvlJc w:val="left"/>
      <w:pPr>
        <w:ind w:left="218" w:hanging="375"/>
      </w:pPr>
      <w:rPr>
        <w:rFonts w:ascii="Book Antiqua" w:eastAsia="Book Antiqua" w:hAnsi="Book Antiqua" w:cs="Book Antiqua" w:hint="default"/>
        <w:b w:val="0"/>
        <w:bCs w:val="0"/>
        <w:i w:val="0"/>
        <w:iCs w:val="0"/>
        <w:spacing w:val="-2"/>
        <w:w w:val="98"/>
        <w:sz w:val="26"/>
        <w:szCs w:val="26"/>
        <w:lang w:val="en-US" w:eastAsia="en-US" w:bidi="ar-SA"/>
      </w:rPr>
    </w:lvl>
    <w:lvl w:ilvl="1" w:tplc="7EFC0476">
      <w:numFmt w:val="bullet"/>
      <w:lvlText w:val="•"/>
      <w:lvlJc w:val="left"/>
      <w:pPr>
        <w:ind w:left="1180" w:hanging="375"/>
      </w:pPr>
      <w:rPr>
        <w:rFonts w:hint="default"/>
        <w:lang w:val="en-US" w:eastAsia="en-US" w:bidi="ar-SA"/>
      </w:rPr>
    </w:lvl>
    <w:lvl w:ilvl="2" w:tplc="A10AA9A0">
      <w:numFmt w:val="bullet"/>
      <w:lvlText w:val="•"/>
      <w:lvlJc w:val="left"/>
      <w:pPr>
        <w:ind w:left="2140" w:hanging="375"/>
      </w:pPr>
      <w:rPr>
        <w:rFonts w:hint="default"/>
        <w:lang w:val="en-US" w:eastAsia="en-US" w:bidi="ar-SA"/>
      </w:rPr>
    </w:lvl>
    <w:lvl w:ilvl="3" w:tplc="D8DA9B3E">
      <w:numFmt w:val="bullet"/>
      <w:lvlText w:val="•"/>
      <w:lvlJc w:val="left"/>
      <w:pPr>
        <w:ind w:left="3100" w:hanging="375"/>
      </w:pPr>
      <w:rPr>
        <w:rFonts w:hint="default"/>
        <w:lang w:val="en-US" w:eastAsia="en-US" w:bidi="ar-SA"/>
      </w:rPr>
    </w:lvl>
    <w:lvl w:ilvl="4" w:tplc="45AE86E0">
      <w:numFmt w:val="bullet"/>
      <w:lvlText w:val="•"/>
      <w:lvlJc w:val="left"/>
      <w:pPr>
        <w:ind w:left="4060" w:hanging="375"/>
      </w:pPr>
      <w:rPr>
        <w:rFonts w:hint="default"/>
        <w:lang w:val="en-US" w:eastAsia="en-US" w:bidi="ar-SA"/>
      </w:rPr>
    </w:lvl>
    <w:lvl w:ilvl="5" w:tplc="DCAAEF6A">
      <w:numFmt w:val="bullet"/>
      <w:lvlText w:val="•"/>
      <w:lvlJc w:val="left"/>
      <w:pPr>
        <w:ind w:left="5020" w:hanging="375"/>
      </w:pPr>
      <w:rPr>
        <w:rFonts w:hint="default"/>
        <w:lang w:val="en-US" w:eastAsia="en-US" w:bidi="ar-SA"/>
      </w:rPr>
    </w:lvl>
    <w:lvl w:ilvl="6" w:tplc="74B4842A">
      <w:numFmt w:val="bullet"/>
      <w:lvlText w:val="•"/>
      <w:lvlJc w:val="left"/>
      <w:pPr>
        <w:ind w:left="5980" w:hanging="375"/>
      </w:pPr>
      <w:rPr>
        <w:rFonts w:hint="default"/>
        <w:lang w:val="en-US" w:eastAsia="en-US" w:bidi="ar-SA"/>
      </w:rPr>
    </w:lvl>
    <w:lvl w:ilvl="7" w:tplc="D56E8632">
      <w:numFmt w:val="bullet"/>
      <w:lvlText w:val="•"/>
      <w:lvlJc w:val="left"/>
      <w:pPr>
        <w:ind w:left="6940" w:hanging="375"/>
      </w:pPr>
      <w:rPr>
        <w:rFonts w:hint="default"/>
        <w:lang w:val="en-US" w:eastAsia="en-US" w:bidi="ar-SA"/>
      </w:rPr>
    </w:lvl>
    <w:lvl w:ilvl="8" w:tplc="B560CD10">
      <w:numFmt w:val="bullet"/>
      <w:lvlText w:val="•"/>
      <w:lvlJc w:val="left"/>
      <w:pPr>
        <w:ind w:left="7900" w:hanging="375"/>
      </w:pPr>
      <w:rPr>
        <w:rFonts w:hint="default"/>
        <w:lang w:val="en-US" w:eastAsia="en-US" w:bidi="ar-SA"/>
      </w:rPr>
    </w:lvl>
  </w:abstractNum>
  <w:abstractNum w:abstractNumId="13" w15:restartNumberingAfterBreak="0">
    <w:nsid w:val="4A9B5648"/>
    <w:multiLevelType w:val="hybridMultilevel"/>
    <w:tmpl w:val="B4F46FB6"/>
    <w:lvl w:ilvl="0" w:tplc="A820560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043FDF"/>
    <w:multiLevelType w:val="hybridMultilevel"/>
    <w:tmpl w:val="05666842"/>
    <w:lvl w:ilvl="0" w:tplc="2DE6506E">
      <w:numFmt w:val="bullet"/>
      <w:lvlText w:val="-"/>
      <w:lvlJc w:val="left"/>
      <w:pPr>
        <w:ind w:left="216" w:hanging="152"/>
      </w:pPr>
      <w:rPr>
        <w:rFonts w:ascii="Book Antiqua" w:eastAsia="Book Antiqua" w:hAnsi="Book Antiqua" w:cs="Book Antiqua" w:hint="default"/>
        <w:b w:val="0"/>
        <w:bCs w:val="0"/>
        <w:i w:val="0"/>
        <w:iCs w:val="0"/>
        <w:spacing w:val="0"/>
        <w:w w:val="98"/>
        <w:sz w:val="26"/>
        <w:szCs w:val="26"/>
        <w:lang w:val="en-US" w:eastAsia="en-US" w:bidi="ar-SA"/>
      </w:rPr>
    </w:lvl>
    <w:lvl w:ilvl="1" w:tplc="F2AAEBFE">
      <w:numFmt w:val="bullet"/>
      <w:lvlText w:val="•"/>
      <w:lvlJc w:val="left"/>
      <w:pPr>
        <w:ind w:left="1180" w:hanging="152"/>
      </w:pPr>
      <w:rPr>
        <w:rFonts w:hint="default"/>
        <w:lang w:val="en-US" w:eastAsia="en-US" w:bidi="ar-SA"/>
      </w:rPr>
    </w:lvl>
    <w:lvl w:ilvl="2" w:tplc="1FFEA382">
      <w:numFmt w:val="bullet"/>
      <w:lvlText w:val="•"/>
      <w:lvlJc w:val="left"/>
      <w:pPr>
        <w:ind w:left="2140" w:hanging="152"/>
      </w:pPr>
      <w:rPr>
        <w:rFonts w:hint="default"/>
        <w:lang w:val="en-US" w:eastAsia="en-US" w:bidi="ar-SA"/>
      </w:rPr>
    </w:lvl>
    <w:lvl w:ilvl="3" w:tplc="5D9A6152">
      <w:numFmt w:val="bullet"/>
      <w:lvlText w:val="•"/>
      <w:lvlJc w:val="left"/>
      <w:pPr>
        <w:ind w:left="3100" w:hanging="152"/>
      </w:pPr>
      <w:rPr>
        <w:rFonts w:hint="default"/>
        <w:lang w:val="en-US" w:eastAsia="en-US" w:bidi="ar-SA"/>
      </w:rPr>
    </w:lvl>
    <w:lvl w:ilvl="4" w:tplc="0E505EF6">
      <w:numFmt w:val="bullet"/>
      <w:lvlText w:val="•"/>
      <w:lvlJc w:val="left"/>
      <w:pPr>
        <w:ind w:left="4060" w:hanging="152"/>
      </w:pPr>
      <w:rPr>
        <w:rFonts w:hint="default"/>
        <w:lang w:val="en-US" w:eastAsia="en-US" w:bidi="ar-SA"/>
      </w:rPr>
    </w:lvl>
    <w:lvl w:ilvl="5" w:tplc="6D329404">
      <w:numFmt w:val="bullet"/>
      <w:lvlText w:val="•"/>
      <w:lvlJc w:val="left"/>
      <w:pPr>
        <w:ind w:left="5020" w:hanging="152"/>
      </w:pPr>
      <w:rPr>
        <w:rFonts w:hint="default"/>
        <w:lang w:val="en-US" w:eastAsia="en-US" w:bidi="ar-SA"/>
      </w:rPr>
    </w:lvl>
    <w:lvl w:ilvl="6" w:tplc="D3528BC0">
      <w:numFmt w:val="bullet"/>
      <w:lvlText w:val="•"/>
      <w:lvlJc w:val="left"/>
      <w:pPr>
        <w:ind w:left="5980" w:hanging="152"/>
      </w:pPr>
      <w:rPr>
        <w:rFonts w:hint="default"/>
        <w:lang w:val="en-US" w:eastAsia="en-US" w:bidi="ar-SA"/>
      </w:rPr>
    </w:lvl>
    <w:lvl w:ilvl="7" w:tplc="D2B2A2B0">
      <w:numFmt w:val="bullet"/>
      <w:lvlText w:val="•"/>
      <w:lvlJc w:val="left"/>
      <w:pPr>
        <w:ind w:left="6940" w:hanging="152"/>
      </w:pPr>
      <w:rPr>
        <w:rFonts w:hint="default"/>
        <w:lang w:val="en-US" w:eastAsia="en-US" w:bidi="ar-SA"/>
      </w:rPr>
    </w:lvl>
    <w:lvl w:ilvl="8" w:tplc="BC464A4C">
      <w:numFmt w:val="bullet"/>
      <w:lvlText w:val="•"/>
      <w:lvlJc w:val="left"/>
      <w:pPr>
        <w:ind w:left="7900" w:hanging="152"/>
      </w:pPr>
      <w:rPr>
        <w:rFonts w:hint="default"/>
        <w:lang w:val="en-US" w:eastAsia="en-US" w:bidi="ar-SA"/>
      </w:rPr>
    </w:lvl>
  </w:abstractNum>
  <w:abstractNum w:abstractNumId="15" w15:restartNumberingAfterBreak="0">
    <w:nsid w:val="55154148"/>
    <w:multiLevelType w:val="multilevel"/>
    <w:tmpl w:val="FFFFFFFF"/>
    <w:lvl w:ilvl="0">
      <w:numFmt w:val="none"/>
      <w:lvlText w:val=""/>
      <w:lvlJc w:val="left"/>
      <w:pPr>
        <w:tabs>
          <w:tab w:val="num" w:pos="360"/>
        </w:tabs>
      </w:pPr>
    </w:lvl>
    <w:lvl w:ilvl="1">
      <w:start w:val="1"/>
      <w:numFmt w:val="lowerLetter"/>
      <w:lvlText w:val="%2."/>
      <w:lvlJc w:val="left"/>
      <w:pPr>
        <w:ind w:left="2017" w:hanging="360"/>
      </w:pPr>
    </w:lvl>
    <w:lvl w:ilvl="2">
      <w:start w:val="1"/>
      <w:numFmt w:val="lowerRoman"/>
      <w:lvlText w:val="%3."/>
      <w:lvlJc w:val="right"/>
      <w:pPr>
        <w:ind w:left="2737" w:hanging="180"/>
      </w:pPr>
    </w:lvl>
    <w:lvl w:ilvl="3">
      <w:start w:val="1"/>
      <w:numFmt w:val="decimal"/>
      <w:lvlText w:val="%4."/>
      <w:lvlJc w:val="left"/>
      <w:pPr>
        <w:ind w:left="3457" w:hanging="360"/>
      </w:pPr>
    </w:lvl>
    <w:lvl w:ilvl="4">
      <w:start w:val="1"/>
      <w:numFmt w:val="lowerLetter"/>
      <w:lvlText w:val="%5."/>
      <w:lvlJc w:val="left"/>
      <w:pPr>
        <w:ind w:left="4177" w:hanging="360"/>
      </w:pPr>
    </w:lvl>
    <w:lvl w:ilvl="5">
      <w:start w:val="1"/>
      <w:numFmt w:val="lowerRoman"/>
      <w:lvlText w:val="%6."/>
      <w:lvlJc w:val="right"/>
      <w:pPr>
        <w:ind w:left="4897" w:hanging="180"/>
      </w:pPr>
    </w:lvl>
    <w:lvl w:ilvl="6">
      <w:start w:val="1"/>
      <w:numFmt w:val="decimal"/>
      <w:lvlText w:val="%7."/>
      <w:lvlJc w:val="left"/>
      <w:pPr>
        <w:ind w:left="5617" w:hanging="360"/>
      </w:pPr>
    </w:lvl>
    <w:lvl w:ilvl="7">
      <w:start w:val="1"/>
      <w:numFmt w:val="lowerLetter"/>
      <w:lvlText w:val="%8."/>
      <w:lvlJc w:val="left"/>
      <w:pPr>
        <w:ind w:left="6337" w:hanging="360"/>
      </w:pPr>
    </w:lvl>
    <w:lvl w:ilvl="8">
      <w:start w:val="1"/>
      <w:numFmt w:val="lowerRoman"/>
      <w:lvlText w:val="%9."/>
      <w:lvlJc w:val="right"/>
      <w:pPr>
        <w:ind w:left="7057" w:hanging="180"/>
      </w:pPr>
    </w:lvl>
  </w:abstractNum>
  <w:abstractNum w:abstractNumId="16" w15:restartNumberingAfterBreak="0">
    <w:nsid w:val="5AE54BE3"/>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5DFD4D49"/>
    <w:multiLevelType w:val="hybridMultilevel"/>
    <w:tmpl w:val="FFFFFFFF"/>
    <w:lvl w:ilvl="0" w:tplc="D7CA1802">
      <w:numFmt w:val="none"/>
      <w:lvlText w:val=""/>
      <w:lvlJc w:val="left"/>
      <w:pPr>
        <w:tabs>
          <w:tab w:val="num" w:pos="360"/>
        </w:tabs>
      </w:pPr>
    </w:lvl>
    <w:lvl w:ilvl="1" w:tplc="43FEFDB6">
      <w:start w:val="1"/>
      <w:numFmt w:val="lowerLetter"/>
      <w:lvlText w:val="%2."/>
      <w:lvlJc w:val="left"/>
      <w:pPr>
        <w:ind w:left="1440" w:hanging="360"/>
      </w:pPr>
    </w:lvl>
    <w:lvl w:ilvl="2" w:tplc="F360696C">
      <w:start w:val="1"/>
      <w:numFmt w:val="lowerRoman"/>
      <w:lvlText w:val="%3."/>
      <w:lvlJc w:val="right"/>
      <w:pPr>
        <w:ind w:left="2160" w:hanging="180"/>
      </w:pPr>
    </w:lvl>
    <w:lvl w:ilvl="3" w:tplc="DBAE52E0">
      <w:start w:val="1"/>
      <w:numFmt w:val="decimal"/>
      <w:lvlText w:val="%4."/>
      <w:lvlJc w:val="left"/>
      <w:pPr>
        <w:ind w:left="2880" w:hanging="360"/>
      </w:pPr>
    </w:lvl>
    <w:lvl w:ilvl="4" w:tplc="BB16EEB0">
      <w:start w:val="1"/>
      <w:numFmt w:val="lowerLetter"/>
      <w:lvlText w:val="%5."/>
      <w:lvlJc w:val="left"/>
      <w:pPr>
        <w:ind w:left="3600" w:hanging="360"/>
      </w:pPr>
    </w:lvl>
    <w:lvl w:ilvl="5" w:tplc="8994673E">
      <w:start w:val="1"/>
      <w:numFmt w:val="lowerRoman"/>
      <w:lvlText w:val="%6."/>
      <w:lvlJc w:val="right"/>
      <w:pPr>
        <w:ind w:left="4320" w:hanging="180"/>
      </w:pPr>
    </w:lvl>
    <w:lvl w:ilvl="6" w:tplc="0D7A4AF6">
      <w:start w:val="1"/>
      <w:numFmt w:val="decimal"/>
      <w:lvlText w:val="%7."/>
      <w:lvlJc w:val="left"/>
      <w:pPr>
        <w:ind w:left="5040" w:hanging="360"/>
      </w:pPr>
    </w:lvl>
    <w:lvl w:ilvl="7" w:tplc="33A6EA18">
      <w:start w:val="1"/>
      <w:numFmt w:val="lowerLetter"/>
      <w:lvlText w:val="%8."/>
      <w:lvlJc w:val="left"/>
      <w:pPr>
        <w:ind w:left="5760" w:hanging="360"/>
      </w:pPr>
    </w:lvl>
    <w:lvl w:ilvl="8" w:tplc="5C20D5FC">
      <w:start w:val="1"/>
      <w:numFmt w:val="lowerRoman"/>
      <w:lvlText w:val="%9."/>
      <w:lvlJc w:val="right"/>
      <w:pPr>
        <w:ind w:left="6480" w:hanging="180"/>
      </w:pPr>
    </w:lvl>
  </w:abstractNum>
  <w:abstractNum w:abstractNumId="18" w15:restartNumberingAfterBreak="0">
    <w:nsid w:val="5E1466D5"/>
    <w:multiLevelType w:val="hybridMultilevel"/>
    <w:tmpl w:val="1CC4D826"/>
    <w:lvl w:ilvl="0" w:tplc="A49EF4AE">
      <w:start w:val="1"/>
      <w:numFmt w:val="decimal"/>
      <w:lvlText w:val="%1."/>
      <w:lvlJc w:val="left"/>
      <w:pPr>
        <w:ind w:left="219" w:hanging="375"/>
        <w:jc w:val="right"/>
      </w:pPr>
      <w:rPr>
        <w:rFonts w:ascii="Book Antiqua" w:eastAsiaTheme="minorHAnsi" w:hAnsi="Book Antiqua" w:cstheme="minorBidi"/>
        <w:b w:val="0"/>
        <w:bCs w:val="0"/>
        <w:i w:val="0"/>
        <w:iCs w:val="0"/>
        <w:spacing w:val="-2"/>
        <w:w w:val="98"/>
        <w:sz w:val="26"/>
        <w:szCs w:val="26"/>
        <w:lang w:val="en-US" w:eastAsia="en-US" w:bidi="ar-SA"/>
      </w:rPr>
    </w:lvl>
    <w:lvl w:ilvl="1" w:tplc="F8B85680">
      <w:numFmt w:val="bullet"/>
      <w:lvlText w:val="•"/>
      <w:lvlJc w:val="left"/>
      <w:pPr>
        <w:ind w:left="1180" w:hanging="375"/>
      </w:pPr>
      <w:rPr>
        <w:rFonts w:hint="default"/>
        <w:lang w:val="en-US" w:eastAsia="en-US" w:bidi="ar-SA"/>
      </w:rPr>
    </w:lvl>
    <w:lvl w:ilvl="2" w:tplc="FF807882">
      <w:numFmt w:val="bullet"/>
      <w:lvlText w:val="•"/>
      <w:lvlJc w:val="left"/>
      <w:pPr>
        <w:ind w:left="2140" w:hanging="375"/>
      </w:pPr>
      <w:rPr>
        <w:rFonts w:hint="default"/>
        <w:lang w:val="en-US" w:eastAsia="en-US" w:bidi="ar-SA"/>
      </w:rPr>
    </w:lvl>
    <w:lvl w:ilvl="3" w:tplc="83D4F8C4">
      <w:numFmt w:val="bullet"/>
      <w:lvlText w:val="•"/>
      <w:lvlJc w:val="left"/>
      <w:pPr>
        <w:ind w:left="3100" w:hanging="375"/>
      </w:pPr>
      <w:rPr>
        <w:rFonts w:hint="default"/>
        <w:lang w:val="en-US" w:eastAsia="en-US" w:bidi="ar-SA"/>
      </w:rPr>
    </w:lvl>
    <w:lvl w:ilvl="4" w:tplc="FDE85BFE">
      <w:numFmt w:val="bullet"/>
      <w:lvlText w:val="•"/>
      <w:lvlJc w:val="left"/>
      <w:pPr>
        <w:ind w:left="4060" w:hanging="375"/>
      </w:pPr>
      <w:rPr>
        <w:rFonts w:hint="default"/>
        <w:lang w:val="en-US" w:eastAsia="en-US" w:bidi="ar-SA"/>
      </w:rPr>
    </w:lvl>
    <w:lvl w:ilvl="5" w:tplc="800CCE36">
      <w:numFmt w:val="bullet"/>
      <w:lvlText w:val="•"/>
      <w:lvlJc w:val="left"/>
      <w:pPr>
        <w:ind w:left="5020" w:hanging="375"/>
      </w:pPr>
      <w:rPr>
        <w:rFonts w:hint="default"/>
        <w:lang w:val="en-US" w:eastAsia="en-US" w:bidi="ar-SA"/>
      </w:rPr>
    </w:lvl>
    <w:lvl w:ilvl="6" w:tplc="85544728">
      <w:numFmt w:val="bullet"/>
      <w:lvlText w:val="•"/>
      <w:lvlJc w:val="left"/>
      <w:pPr>
        <w:ind w:left="5980" w:hanging="375"/>
      </w:pPr>
      <w:rPr>
        <w:rFonts w:hint="default"/>
        <w:lang w:val="en-US" w:eastAsia="en-US" w:bidi="ar-SA"/>
      </w:rPr>
    </w:lvl>
    <w:lvl w:ilvl="7" w:tplc="2D1E3BD6">
      <w:numFmt w:val="bullet"/>
      <w:lvlText w:val="•"/>
      <w:lvlJc w:val="left"/>
      <w:pPr>
        <w:ind w:left="6940" w:hanging="375"/>
      </w:pPr>
      <w:rPr>
        <w:rFonts w:hint="default"/>
        <w:lang w:val="en-US" w:eastAsia="en-US" w:bidi="ar-SA"/>
      </w:rPr>
    </w:lvl>
    <w:lvl w:ilvl="8" w:tplc="0A3CE50A">
      <w:numFmt w:val="bullet"/>
      <w:lvlText w:val="•"/>
      <w:lvlJc w:val="left"/>
      <w:pPr>
        <w:ind w:left="7900" w:hanging="375"/>
      </w:pPr>
      <w:rPr>
        <w:rFonts w:hint="default"/>
        <w:lang w:val="en-US" w:eastAsia="en-US" w:bidi="ar-SA"/>
      </w:rPr>
    </w:lvl>
  </w:abstractNum>
  <w:abstractNum w:abstractNumId="19" w15:restartNumberingAfterBreak="0">
    <w:nsid w:val="609716E7"/>
    <w:multiLevelType w:val="hybridMultilevel"/>
    <w:tmpl w:val="FFFFFFFF"/>
    <w:lvl w:ilvl="0" w:tplc="3FFE47E8">
      <w:start w:val="1"/>
      <w:numFmt w:val="decimal"/>
      <w:lvlText w:val="%1."/>
      <w:lvlJc w:val="left"/>
      <w:pPr>
        <w:ind w:left="579" w:hanging="360"/>
      </w:pPr>
    </w:lvl>
    <w:lvl w:ilvl="1" w:tplc="1414AB72">
      <w:start w:val="1"/>
      <w:numFmt w:val="lowerLetter"/>
      <w:lvlText w:val="%2."/>
      <w:lvlJc w:val="left"/>
      <w:pPr>
        <w:ind w:left="1299" w:hanging="360"/>
      </w:pPr>
    </w:lvl>
    <w:lvl w:ilvl="2" w:tplc="C388F340">
      <w:start w:val="1"/>
      <w:numFmt w:val="lowerRoman"/>
      <w:lvlText w:val="%3."/>
      <w:lvlJc w:val="right"/>
      <w:pPr>
        <w:ind w:left="2019" w:hanging="180"/>
      </w:pPr>
    </w:lvl>
    <w:lvl w:ilvl="3" w:tplc="61EACF68">
      <w:start w:val="1"/>
      <w:numFmt w:val="decimal"/>
      <w:lvlText w:val="%4."/>
      <w:lvlJc w:val="left"/>
      <w:pPr>
        <w:ind w:left="2739" w:hanging="360"/>
      </w:pPr>
    </w:lvl>
    <w:lvl w:ilvl="4" w:tplc="67720C44">
      <w:start w:val="1"/>
      <w:numFmt w:val="lowerLetter"/>
      <w:lvlText w:val="%5."/>
      <w:lvlJc w:val="left"/>
      <w:pPr>
        <w:ind w:left="3459" w:hanging="360"/>
      </w:pPr>
    </w:lvl>
    <w:lvl w:ilvl="5" w:tplc="EFDED9B6">
      <w:start w:val="1"/>
      <w:numFmt w:val="lowerRoman"/>
      <w:lvlText w:val="%6."/>
      <w:lvlJc w:val="right"/>
      <w:pPr>
        <w:ind w:left="4179" w:hanging="180"/>
      </w:pPr>
    </w:lvl>
    <w:lvl w:ilvl="6" w:tplc="B4D04584">
      <w:start w:val="1"/>
      <w:numFmt w:val="decimal"/>
      <w:lvlText w:val="%7."/>
      <w:lvlJc w:val="left"/>
      <w:pPr>
        <w:ind w:left="4899" w:hanging="360"/>
      </w:pPr>
    </w:lvl>
    <w:lvl w:ilvl="7" w:tplc="487E857C">
      <w:start w:val="1"/>
      <w:numFmt w:val="lowerLetter"/>
      <w:lvlText w:val="%8."/>
      <w:lvlJc w:val="left"/>
      <w:pPr>
        <w:ind w:left="5619" w:hanging="360"/>
      </w:pPr>
    </w:lvl>
    <w:lvl w:ilvl="8" w:tplc="4E5811A2">
      <w:start w:val="1"/>
      <w:numFmt w:val="lowerRoman"/>
      <w:lvlText w:val="%9."/>
      <w:lvlJc w:val="right"/>
      <w:pPr>
        <w:ind w:left="6339" w:hanging="180"/>
      </w:pPr>
    </w:lvl>
  </w:abstractNum>
  <w:abstractNum w:abstractNumId="20" w15:restartNumberingAfterBreak="0">
    <w:nsid w:val="649F6DB8"/>
    <w:multiLevelType w:val="hybridMultilevel"/>
    <w:tmpl w:val="1E7CC47C"/>
    <w:lvl w:ilvl="0" w:tplc="F5EAD8F8">
      <w:numFmt w:val="bullet"/>
      <w:lvlText w:val="-"/>
      <w:lvlJc w:val="left"/>
      <w:pPr>
        <w:ind w:left="5304" w:hanging="360"/>
      </w:pPr>
      <w:rPr>
        <w:rFonts w:ascii="Book Antiqua" w:eastAsia="Book Antiqua" w:hAnsi="Book Antiqua" w:cs="Book Antiqua" w:hint="default"/>
      </w:rPr>
    </w:lvl>
    <w:lvl w:ilvl="1" w:tplc="04090003" w:tentative="1">
      <w:start w:val="1"/>
      <w:numFmt w:val="bullet"/>
      <w:lvlText w:val="o"/>
      <w:lvlJc w:val="left"/>
      <w:pPr>
        <w:ind w:left="6024" w:hanging="360"/>
      </w:pPr>
      <w:rPr>
        <w:rFonts w:ascii="Courier New" w:hAnsi="Courier New" w:cs="Courier New" w:hint="default"/>
      </w:rPr>
    </w:lvl>
    <w:lvl w:ilvl="2" w:tplc="04090005" w:tentative="1">
      <w:start w:val="1"/>
      <w:numFmt w:val="bullet"/>
      <w:lvlText w:val=""/>
      <w:lvlJc w:val="left"/>
      <w:pPr>
        <w:ind w:left="6744" w:hanging="360"/>
      </w:pPr>
      <w:rPr>
        <w:rFonts w:ascii="Wingdings" w:hAnsi="Wingdings" w:hint="default"/>
      </w:rPr>
    </w:lvl>
    <w:lvl w:ilvl="3" w:tplc="04090001" w:tentative="1">
      <w:start w:val="1"/>
      <w:numFmt w:val="bullet"/>
      <w:lvlText w:val=""/>
      <w:lvlJc w:val="left"/>
      <w:pPr>
        <w:ind w:left="7464" w:hanging="360"/>
      </w:pPr>
      <w:rPr>
        <w:rFonts w:ascii="Symbol" w:hAnsi="Symbol" w:hint="default"/>
      </w:rPr>
    </w:lvl>
    <w:lvl w:ilvl="4" w:tplc="04090003" w:tentative="1">
      <w:start w:val="1"/>
      <w:numFmt w:val="bullet"/>
      <w:lvlText w:val="o"/>
      <w:lvlJc w:val="left"/>
      <w:pPr>
        <w:ind w:left="8184" w:hanging="360"/>
      </w:pPr>
      <w:rPr>
        <w:rFonts w:ascii="Courier New" w:hAnsi="Courier New" w:cs="Courier New" w:hint="default"/>
      </w:rPr>
    </w:lvl>
    <w:lvl w:ilvl="5" w:tplc="04090005" w:tentative="1">
      <w:start w:val="1"/>
      <w:numFmt w:val="bullet"/>
      <w:lvlText w:val=""/>
      <w:lvlJc w:val="left"/>
      <w:pPr>
        <w:ind w:left="8904" w:hanging="360"/>
      </w:pPr>
      <w:rPr>
        <w:rFonts w:ascii="Wingdings" w:hAnsi="Wingdings" w:hint="default"/>
      </w:rPr>
    </w:lvl>
    <w:lvl w:ilvl="6" w:tplc="04090001" w:tentative="1">
      <w:start w:val="1"/>
      <w:numFmt w:val="bullet"/>
      <w:lvlText w:val=""/>
      <w:lvlJc w:val="left"/>
      <w:pPr>
        <w:ind w:left="9624" w:hanging="360"/>
      </w:pPr>
      <w:rPr>
        <w:rFonts w:ascii="Symbol" w:hAnsi="Symbol" w:hint="default"/>
      </w:rPr>
    </w:lvl>
    <w:lvl w:ilvl="7" w:tplc="04090003" w:tentative="1">
      <w:start w:val="1"/>
      <w:numFmt w:val="bullet"/>
      <w:lvlText w:val="o"/>
      <w:lvlJc w:val="left"/>
      <w:pPr>
        <w:ind w:left="10344" w:hanging="360"/>
      </w:pPr>
      <w:rPr>
        <w:rFonts w:ascii="Courier New" w:hAnsi="Courier New" w:cs="Courier New" w:hint="default"/>
      </w:rPr>
    </w:lvl>
    <w:lvl w:ilvl="8" w:tplc="04090005" w:tentative="1">
      <w:start w:val="1"/>
      <w:numFmt w:val="bullet"/>
      <w:lvlText w:val=""/>
      <w:lvlJc w:val="left"/>
      <w:pPr>
        <w:ind w:left="11064" w:hanging="360"/>
      </w:pPr>
      <w:rPr>
        <w:rFonts w:ascii="Wingdings" w:hAnsi="Wingdings" w:hint="default"/>
      </w:rPr>
    </w:lvl>
  </w:abstractNum>
  <w:abstractNum w:abstractNumId="21" w15:restartNumberingAfterBreak="0">
    <w:nsid w:val="6FD04492"/>
    <w:multiLevelType w:val="multilevel"/>
    <w:tmpl w:val="A1220F14"/>
    <w:lvl w:ilvl="0">
      <w:start w:val="1"/>
      <w:numFmt w:val="decimal"/>
      <w:lvlText w:val="%1."/>
      <w:lvlJc w:val="left"/>
      <w:pPr>
        <w:ind w:left="649" w:hanging="430"/>
      </w:pPr>
      <w:rPr>
        <w:rFonts w:ascii="Book Antiqua" w:eastAsia="Book Antiqua" w:hAnsi="Book Antiqua" w:cs="Book Antiqua" w:hint="default"/>
        <w:b w:val="0"/>
        <w:bCs w:val="0"/>
        <w:i w:val="0"/>
        <w:iCs w:val="0"/>
        <w:spacing w:val="-2"/>
        <w:w w:val="98"/>
        <w:sz w:val="26"/>
        <w:szCs w:val="26"/>
        <w:lang w:val="en-US" w:eastAsia="en-US" w:bidi="ar-SA"/>
      </w:rPr>
    </w:lvl>
    <w:lvl w:ilvl="1">
      <w:start w:val="1"/>
      <w:numFmt w:val="decimal"/>
      <w:lvlText w:val="%1.%2."/>
      <w:lvlJc w:val="left"/>
      <w:pPr>
        <w:ind w:left="1084" w:hanging="648"/>
      </w:pPr>
      <w:rPr>
        <w:rFonts w:ascii="Book Antiqua" w:eastAsia="Book Antiqua" w:hAnsi="Book Antiqua" w:cs="Book Antiqua" w:hint="default"/>
        <w:b w:val="0"/>
        <w:bCs w:val="0"/>
        <w:i w:val="0"/>
        <w:iCs w:val="0"/>
        <w:spacing w:val="-2"/>
        <w:w w:val="98"/>
        <w:sz w:val="26"/>
        <w:szCs w:val="26"/>
        <w:lang w:val="en-US" w:eastAsia="en-US" w:bidi="ar-SA"/>
      </w:rPr>
    </w:lvl>
    <w:lvl w:ilvl="2">
      <w:start w:val="1"/>
      <w:numFmt w:val="decimal"/>
      <w:lvlText w:val="%1.%2.%3."/>
      <w:lvlJc w:val="left"/>
      <w:pPr>
        <w:ind w:left="1513" w:hanging="864"/>
      </w:pPr>
      <w:rPr>
        <w:rFonts w:ascii="Book Antiqua" w:eastAsia="Book Antiqua" w:hAnsi="Book Antiqua" w:cs="Book Antiqua" w:hint="default"/>
        <w:b w:val="0"/>
        <w:bCs w:val="0"/>
        <w:i w:val="0"/>
        <w:iCs w:val="0"/>
        <w:spacing w:val="-2"/>
        <w:w w:val="98"/>
        <w:sz w:val="26"/>
        <w:szCs w:val="26"/>
        <w:lang w:val="en-US" w:eastAsia="en-US" w:bidi="ar-SA"/>
      </w:rPr>
    </w:lvl>
    <w:lvl w:ilvl="3">
      <w:numFmt w:val="bullet"/>
      <w:lvlText w:val="•"/>
      <w:lvlJc w:val="left"/>
      <w:pPr>
        <w:ind w:left="2557" w:hanging="864"/>
      </w:pPr>
      <w:rPr>
        <w:rFonts w:hint="default"/>
        <w:lang w:val="en-US" w:eastAsia="en-US" w:bidi="ar-SA"/>
      </w:rPr>
    </w:lvl>
    <w:lvl w:ilvl="4">
      <w:numFmt w:val="bullet"/>
      <w:lvlText w:val="•"/>
      <w:lvlJc w:val="left"/>
      <w:pPr>
        <w:ind w:left="3595" w:hanging="864"/>
      </w:pPr>
      <w:rPr>
        <w:rFonts w:hint="default"/>
        <w:lang w:val="en-US" w:eastAsia="en-US" w:bidi="ar-SA"/>
      </w:rPr>
    </w:lvl>
    <w:lvl w:ilvl="5">
      <w:numFmt w:val="bullet"/>
      <w:lvlText w:val="•"/>
      <w:lvlJc w:val="left"/>
      <w:pPr>
        <w:ind w:left="4632" w:hanging="864"/>
      </w:pPr>
      <w:rPr>
        <w:rFonts w:hint="default"/>
        <w:lang w:val="en-US" w:eastAsia="en-US" w:bidi="ar-SA"/>
      </w:rPr>
    </w:lvl>
    <w:lvl w:ilvl="6">
      <w:numFmt w:val="bullet"/>
      <w:lvlText w:val="•"/>
      <w:lvlJc w:val="left"/>
      <w:pPr>
        <w:ind w:left="5670" w:hanging="864"/>
      </w:pPr>
      <w:rPr>
        <w:rFonts w:hint="default"/>
        <w:lang w:val="en-US" w:eastAsia="en-US" w:bidi="ar-SA"/>
      </w:rPr>
    </w:lvl>
    <w:lvl w:ilvl="7">
      <w:numFmt w:val="bullet"/>
      <w:lvlText w:val="•"/>
      <w:lvlJc w:val="left"/>
      <w:pPr>
        <w:ind w:left="6707" w:hanging="864"/>
      </w:pPr>
      <w:rPr>
        <w:rFonts w:hint="default"/>
        <w:lang w:val="en-US" w:eastAsia="en-US" w:bidi="ar-SA"/>
      </w:rPr>
    </w:lvl>
    <w:lvl w:ilvl="8">
      <w:numFmt w:val="bullet"/>
      <w:lvlText w:val="•"/>
      <w:lvlJc w:val="left"/>
      <w:pPr>
        <w:ind w:left="7745" w:hanging="864"/>
      </w:pPr>
      <w:rPr>
        <w:rFonts w:hint="default"/>
        <w:lang w:val="en-US" w:eastAsia="en-US" w:bidi="ar-SA"/>
      </w:rPr>
    </w:lvl>
  </w:abstractNum>
  <w:abstractNum w:abstractNumId="22" w15:restartNumberingAfterBreak="0">
    <w:nsid w:val="72A27310"/>
    <w:multiLevelType w:val="hybridMultilevel"/>
    <w:tmpl w:val="FFFFFFFF"/>
    <w:lvl w:ilvl="0" w:tplc="0D12C9A8">
      <w:start w:val="9"/>
      <w:numFmt w:val="decimal"/>
      <w:lvlText w:val="%1."/>
      <w:lvlJc w:val="left"/>
      <w:pPr>
        <w:ind w:left="720" w:hanging="360"/>
      </w:pPr>
    </w:lvl>
    <w:lvl w:ilvl="1" w:tplc="C270DB3C">
      <w:start w:val="1"/>
      <w:numFmt w:val="lowerLetter"/>
      <w:lvlText w:val="%2."/>
      <w:lvlJc w:val="left"/>
      <w:pPr>
        <w:ind w:left="1440" w:hanging="360"/>
      </w:pPr>
    </w:lvl>
    <w:lvl w:ilvl="2" w:tplc="357660F0">
      <w:start w:val="1"/>
      <w:numFmt w:val="lowerRoman"/>
      <w:lvlText w:val="%3."/>
      <w:lvlJc w:val="right"/>
      <w:pPr>
        <w:ind w:left="2160" w:hanging="180"/>
      </w:pPr>
    </w:lvl>
    <w:lvl w:ilvl="3" w:tplc="539AA828">
      <w:start w:val="1"/>
      <w:numFmt w:val="decimal"/>
      <w:lvlText w:val="%4."/>
      <w:lvlJc w:val="left"/>
      <w:pPr>
        <w:ind w:left="2880" w:hanging="360"/>
      </w:pPr>
    </w:lvl>
    <w:lvl w:ilvl="4" w:tplc="B2CA74CC">
      <w:start w:val="1"/>
      <w:numFmt w:val="lowerLetter"/>
      <w:lvlText w:val="%5."/>
      <w:lvlJc w:val="left"/>
      <w:pPr>
        <w:ind w:left="3600" w:hanging="360"/>
      </w:pPr>
    </w:lvl>
    <w:lvl w:ilvl="5" w:tplc="25C8ED7C">
      <w:start w:val="1"/>
      <w:numFmt w:val="lowerRoman"/>
      <w:lvlText w:val="%6."/>
      <w:lvlJc w:val="right"/>
      <w:pPr>
        <w:ind w:left="4320" w:hanging="180"/>
      </w:pPr>
    </w:lvl>
    <w:lvl w:ilvl="6" w:tplc="612E8796">
      <w:start w:val="1"/>
      <w:numFmt w:val="decimal"/>
      <w:lvlText w:val="%7."/>
      <w:lvlJc w:val="left"/>
      <w:pPr>
        <w:ind w:left="5040" w:hanging="360"/>
      </w:pPr>
    </w:lvl>
    <w:lvl w:ilvl="7" w:tplc="0EC29A76">
      <w:start w:val="1"/>
      <w:numFmt w:val="lowerLetter"/>
      <w:lvlText w:val="%8."/>
      <w:lvlJc w:val="left"/>
      <w:pPr>
        <w:ind w:left="5760" w:hanging="360"/>
      </w:pPr>
    </w:lvl>
    <w:lvl w:ilvl="8" w:tplc="30C458D2">
      <w:start w:val="1"/>
      <w:numFmt w:val="lowerRoman"/>
      <w:lvlText w:val="%9."/>
      <w:lvlJc w:val="right"/>
      <w:pPr>
        <w:ind w:left="6480" w:hanging="180"/>
      </w:pPr>
    </w:lvl>
  </w:abstractNum>
  <w:abstractNum w:abstractNumId="23" w15:restartNumberingAfterBreak="0">
    <w:nsid w:val="7DC5EA4A"/>
    <w:multiLevelType w:val="hybridMultilevel"/>
    <w:tmpl w:val="FFFFFFFF"/>
    <w:lvl w:ilvl="0" w:tplc="A112BA64">
      <w:numFmt w:val="none"/>
      <w:lvlText w:val=""/>
      <w:lvlJc w:val="left"/>
      <w:pPr>
        <w:tabs>
          <w:tab w:val="num" w:pos="360"/>
        </w:tabs>
      </w:pPr>
    </w:lvl>
    <w:lvl w:ilvl="1" w:tplc="3BE06C74">
      <w:start w:val="1"/>
      <w:numFmt w:val="lowerLetter"/>
      <w:lvlText w:val="%2."/>
      <w:lvlJc w:val="left"/>
      <w:pPr>
        <w:ind w:left="1440" w:hanging="360"/>
      </w:pPr>
    </w:lvl>
    <w:lvl w:ilvl="2" w:tplc="2CF069CC">
      <w:start w:val="1"/>
      <w:numFmt w:val="lowerRoman"/>
      <w:lvlText w:val="%3."/>
      <w:lvlJc w:val="right"/>
      <w:pPr>
        <w:ind w:left="2160" w:hanging="180"/>
      </w:pPr>
    </w:lvl>
    <w:lvl w:ilvl="3" w:tplc="484286D6">
      <w:start w:val="1"/>
      <w:numFmt w:val="decimal"/>
      <w:lvlText w:val="%4."/>
      <w:lvlJc w:val="left"/>
      <w:pPr>
        <w:ind w:left="2880" w:hanging="360"/>
      </w:pPr>
    </w:lvl>
    <w:lvl w:ilvl="4" w:tplc="5ADAB82E">
      <w:start w:val="1"/>
      <w:numFmt w:val="lowerLetter"/>
      <w:lvlText w:val="%5."/>
      <w:lvlJc w:val="left"/>
      <w:pPr>
        <w:ind w:left="3600" w:hanging="360"/>
      </w:pPr>
    </w:lvl>
    <w:lvl w:ilvl="5" w:tplc="4A3E906E">
      <w:start w:val="1"/>
      <w:numFmt w:val="lowerRoman"/>
      <w:lvlText w:val="%6."/>
      <w:lvlJc w:val="right"/>
      <w:pPr>
        <w:ind w:left="4320" w:hanging="180"/>
      </w:pPr>
    </w:lvl>
    <w:lvl w:ilvl="6" w:tplc="72BE4E40">
      <w:start w:val="1"/>
      <w:numFmt w:val="decimal"/>
      <w:lvlText w:val="%7."/>
      <w:lvlJc w:val="left"/>
      <w:pPr>
        <w:ind w:left="5040" w:hanging="360"/>
      </w:pPr>
    </w:lvl>
    <w:lvl w:ilvl="7" w:tplc="543E342E">
      <w:start w:val="1"/>
      <w:numFmt w:val="lowerLetter"/>
      <w:lvlText w:val="%8."/>
      <w:lvlJc w:val="left"/>
      <w:pPr>
        <w:ind w:left="5760" w:hanging="360"/>
      </w:pPr>
    </w:lvl>
    <w:lvl w:ilvl="8" w:tplc="1318E788">
      <w:start w:val="1"/>
      <w:numFmt w:val="lowerRoman"/>
      <w:lvlText w:val="%9."/>
      <w:lvlJc w:val="right"/>
      <w:pPr>
        <w:ind w:left="6480" w:hanging="180"/>
      </w:pPr>
    </w:lvl>
  </w:abstractNum>
  <w:abstractNum w:abstractNumId="24" w15:restartNumberingAfterBreak="0">
    <w:nsid w:val="7DCD6E21"/>
    <w:multiLevelType w:val="hybridMultilevel"/>
    <w:tmpl w:val="930EE83E"/>
    <w:lvl w:ilvl="0" w:tplc="141497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3005042">
    <w:abstractNumId w:val="6"/>
  </w:num>
  <w:num w:numId="2" w16cid:durableId="1966540712">
    <w:abstractNumId w:val="18"/>
  </w:num>
  <w:num w:numId="3" w16cid:durableId="215316556">
    <w:abstractNumId w:val="12"/>
  </w:num>
  <w:num w:numId="4" w16cid:durableId="202209718">
    <w:abstractNumId w:val="0"/>
  </w:num>
  <w:num w:numId="5" w16cid:durableId="1230193036">
    <w:abstractNumId w:val="5"/>
  </w:num>
  <w:num w:numId="6" w16cid:durableId="121656933">
    <w:abstractNumId w:val="11"/>
  </w:num>
  <w:num w:numId="7" w16cid:durableId="1313026993">
    <w:abstractNumId w:val="14"/>
  </w:num>
  <w:num w:numId="8" w16cid:durableId="183834304">
    <w:abstractNumId w:val="8"/>
  </w:num>
  <w:num w:numId="9" w16cid:durableId="1904099428">
    <w:abstractNumId w:val="10"/>
  </w:num>
  <w:num w:numId="10" w16cid:durableId="1981298692">
    <w:abstractNumId w:val="21"/>
  </w:num>
  <w:num w:numId="11" w16cid:durableId="161162192">
    <w:abstractNumId w:val="2"/>
  </w:num>
  <w:num w:numId="12" w16cid:durableId="1945502604">
    <w:abstractNumId w:val="3"/>
  </w:num>
  <w:num w:numId="13" w16cid:durableId="1002395658">
    <w:abstractNumId w:val="23"/>
  </w:num>
  <w:num w:numId="14" w16cid:durableId="820198857">
    <w:abstractNumId w:val="17"/>
  </w:num>
  <w:num w:numId="15" w16cid:durableId="749274910">
    <w:abstractNumId w:val="7"/>
  </w:num>
  <w:num w:numId="16" w16cid:durableId="1215699437">
    <w:abstractNumId w:val="15"/>
  </w:num>
  <w:num w:numId="17" w16cid:durableId="910892757">
    <w:abstractNumId w:val="22"/>
  </w:num>
  <w:num w:numId="18" w16cid:durableId="200942914">
    <w:abstractNumId w:val="9"/>
  </w:num>
  <w:num w:numId="19" w16cid:durableId="1601184477">
    <w:abstractNumId w:val="4"/>
  </w:num>
  <w:num w:numId="20" w16cid:durableId="2044284354">
    <w:abstractNumId w:val="19"/>
  </w:num>
  <w:num w:numId="21" w16cid:durableId="1908101548">
    <w:abstractNumId w:val="24"/>
  </w:num>
  <w:num w:numId="22" w16cid:durableId="1095857720">
    <w:abstractNumId w:val="1"/>
  </w:num>
  <w:num w:numId="23" w16cid:durableId="1981500310">
    <w:abstractNumId w:val="20"/>
  </w:num>
  <w:num w:numId="24" w16cid:durableId="1023745434">
    <w:abstractNumId w:val="0"/>
  </w:num>
  <w:num w:numId="25" w16cid:durableId="1861310601">
    <w:abstractNumId w:val="0"/>
  </w:num>
  <w:num w:numId="26" w16cid:durableId="123084103">
    <w:abstractNumId w:val="16"/>
  </w:num>
  <w:num w:numId="27" w16cid:durableId="490949398">
    <w:abstractNumId w:val="13"/>
  </w:num>
  <w:num w:numId="28" w16cid:durableId="809706601">
    <w:abstractNumId w:val="0"/>
  </w:num>
  <w:num w:numId="29" w16cid:durableId="1524052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1CA"/>
    <w:rsid w:val="00001021"/>
    <w:rsid w:val="0000141A"/>
    <w:rsid w:val="000025E0"/>
    <w:rsid w:val="00002835"/>
    <w:rsid w:val="00003E4E"/>
    <w:rsid w:val="0000451E"/>
    <w:rsid w:val="0000631B"/>
    <w:rsid w:val="00006AD4"/>
    <w:rsid w:val="00010643"/>
    <w:rsid w:val="00010817"/>
    <w:rsid w:val="000108E2"/>
    <w:rsid w:val="00010B8B"/>
    <w:rsid w:val="00010E8B"/>
    <w:rsid w:val="00012B8F"/>
    <w:rsid w:val="00013854"/>
    <w:rsid w:val="000138AE"/>
    <w:rsid w:val="00013AEF"/>
    <w:rsid w:val="00013E27"/>
    <w:rsid w:val="00016554"/>
    <w:rsid w:val="00016EC8"/>
    <w:rsid w:val="00017014"/>
    <w:rsid w:val="0001735E"/>
    <w:rsid w:val="00017F55"/>
    <w:rsid w:val="00020040"/>
    <w:rsid w:val="000210F1"/>
    <w:rsid w:val="00021DED"/>
    <w:rsid w:val="0002213F"/>
    <w:rsid w:val="00022375"/>
    <w:rsid w:val="00022A3E"/>
    <w:rsid w:val="00023124"/>
    <w:rsid w:val="000237AB"/>
    <w:rsid w:val="00023B92"/>
    <w:rsid w:val="000250D8"/>
    <w:rsid w:val="000261C5"/>
    <w:rsid w:val="00026564"/>
    <w:rsid w:val="00026867"/>
    <w:rsid w:val="000269C0"/>
    <w:rsid w:val="00027C59"/>
    <w:rsid w:val="00027EE1"/>
    <w:rsid w:val="000306F4"/>
    <w:rsid w:val="000325B8"/>
    <w:rsid w:val="000334A8"/>
    <w:rsid w:val="00033691"/>
    <w:rsid w:val="0003433D"/>
    <w:rsid w:val="00034A63"/>
    <w:rsid w:val="00035B00"/>
    <w:rsid w:val="0003648F"/>
    <w:rsid w:val="000365FB"/>
    <w:rsid w:val="00036C79"/>
    <w:rsid w:val="000374C6"/>
    <w:rsid w:val="00042524"/>
    <w:rsid w:val="0004457C"/>
    <w:rsid w:val="000446EA"/>
    <w:rsid w:val="00045CAC"/>
    <w:rsid w:val="000462A9"/>
    <w:rsid w:val="00046312"/>
    <w:rsid w:val="00046658"/>
    <w:rsid w:val="00047A55"/>
    <w:rsid w:val="0005066D"/>
    <w:rsid w:val="00051920"/>
    <w:rsid w:val="000528BF"/>
    <w:rsid w:val="00052F7F"/>
    <w:rsid w:val="00053F55"/>
    <w:rsid w:val="00055218"/>
    <w:rsid w:val="00055389"/>
    <w:rsid w:val="0005601B"/>
    <w:rsid w:val="00056CDA"/>
    <w:rsid w:val="00056ECA"/>
    <w:rsid w:val="00060029"/>
    <w:rsid w:val="00060519"/>
    <w:rsid w:val="00061F3B"/>
    <w:rsid w:val="00062B3F"/>
    <w:rsid w:val="000635FD"/>
    <w:rsid w:val="00063D7A"/>
    <w:rsid w:val="000643CF"/>
    <w:rsid w:val="00064422"/>
    <w:rsid w:val="0006466E"/>
    <w:rsid w:val="00065B7D"/>
    <w:rsid w:val="00065D3F"/>
    <w:rsid w:val="00065E26"/>
    <w:rsid w:val="000661E1"/>
    <w:rsid w:val="00066EB7"/>
    <w:rsid w:val="000675FC"/>
    <w:rsid w:val="00067FAE"/>
    <w:rsid w:val="00072292"/>
    <w:rsid w:val="0007294D"/>
    <w:rsid w:val="00072ACE"/>
    <w:rsid w:val="000731DB"/>
    <w:rsid w:val="0007336C"/>
    <w:rsid w:val="000767E5"/>
    <w:rsid w:val="000770C1"/>
    <w:rsid w:val="000771FD"/>
    <w:rsid w:val="000805D5"/>
    <w:rsid w:val="00080EB4"/>
    <w:rsid w:val="000813B8"/>
    <w:rsid w:val="00081528"/>
    <w:rsid w:val="0008198D"/>
    <w:rsid w:val="00082D34"/>
    <w:rsid w:val="0008347B"/>
    <w:rsid w:val="00083EAC"/>
    <w:rsid w:val="00083FD9"/>
    <w:rsid w:val="00084639"/>
    <w:rsid w:val="000846F2"/>
    <w:rsid w:val="00084C9C"/>
    <w:rsid w:val="00085228"/>
    <w:rsid w:val="00085302"/>
    <w:rsid w:val="000854CD"/>
    <w:rsid w:val="00085C48"/>
    <w:rsid w:val="00087562"/>
    <w:rsid w:val="0008777B"/>
    <w:rsid w:val="00091403"/>
    <w:rsid w:val="00091498"/>
    <w:rsid w:val="000915A2"/>
    <w:rsid w:val="000926B7"/>
    <w:rsid w:val="000939F5"/>
    <w:rsid w:val="00094C71"/>
    <w:rsid w:val="000956C3"/>
    <w:rsid w:val="0009592C"/>
    <w:rsid w:val="00096083"/>
    <w:rsid w:val="00097A31"/>
    <w:rsid w:val="00097FBD"/>
    <w:rsid w:val="000A1F48"/>
    <w:rsid w:val="000A2137"/>
    <w:rsid w:val="000A2840"/>
    <w:rsid w:val="000A2A69"/>
    <w:rsid w:val="000A2F1F"/>
    <w:rsid w:val="000A30D6"/>
    <w:rsid w:val="000A3102"/>
    <w:rsid w:val="000A330E"/>
    <w:rsid w:val="000A38D4"/>
    <w:rsid w:val="000A4E9E"/>
    <w:rsid w:val="000A5606"/>
    <w:rsid w:val="000A6465"/>
    <w:rsid w:val="000A7978"/>
    <w:rsid w:val="000B01D3"/>
    <w:rsid w:val="000B048A"/>
    <w:rsid w:val="000B1144"/>
    <w:rsid w:val="000B152A"/>
    <w:rsid w:val="000B2397"/>
    <w:rsid w:val="000B27C9"/>
    <w:rsid w:val="000B30A6"/>
    <w:rsid w:val="000B3356"/>
    <w:rsid w:val="000B3D2F"/>
    <w:rsid w:val="000C0E45"/>
    <w:rsid w:val="000C138C"/>
    <w:rsid w:val="000C18DA"/>
    <w:rsid w:val="000C3945"/>
    <w:rsid w:val="000C3BC1"/>
    <w:rsid w:val="000C3E92"/>
    <w:rsid w:val="000C3F4F"/>
    <w:rsid w:val="000C4F3C"/>
    <w:rsid w:val="000C550E"/>
    <w:rsid w:val="000C5B06"/>
    <w:rsid w:val="000C66EB"/>
    <w:rsid w:val="000C6872"/>
    <w:rsid w:val="000C6DD4"/>
    <w:rsid w:val="000D02BD"/>
    <w:rsid w:val="000D056C"/>
    <w:rsid w:val="000D1146"/>
    <w:rsid w:val="000D1C10"/>
    <w:rsid w:val="000D3395"/>
    <w:rsid w:val="000D509E"/>
    <w:rsid w:val="000D7BDF"/>
    <w:rsid w:val="000E0818"/>
    <w:rsid w:val="000E1075"/>
    <w:rsid w:val="000E1171"/>
    <w:rsid w:val="000E121A"/>
    <w:rsid w:val="000E1579"/>
    <w:rsid w:val="000E15F3"/>
    <w:rsid w:val="000E2393"/>
    <w:rsid w:val="000E4A2A"/>
    <w:rsid w:val="000E548D"/>
    <w:rsid w:val="000E56C9"/>
    <w:rsid w:val="000E658C"/>
    <w:rsid w:val="000E682C"/>
    <w:rsid w:val="000E6FA0"/>
    <w:rsid w:val="000E757C"/>
    <w:rsid w:val="000E799A"/>
    <w:rsid w:val="000E7DC5"/>
    <w:rsid w:val="000F22E9"/>
    <w:rsid w:val="000F2C89"/>
    <w:rsid w:val="000F2E38"/>
    <w:rsid w:val="000F2F55"/>
    <w:rsid w:val="000F3EC9"/>
    <w:rsid w:val="000F465E"/>
    <w:rsid w:val="000F5D43"/>
    <w:rsid w:val="000F614D"/>
    <w:rsid w:val="000F652F"/>
    <w:rsid w:val="000F7200"/>
    <w:rsid w:val="00100010"/>
    <w:rsid w:val="00100B4F"/>
    <w:rsid w:val="00100D50"/>
    <w:rsid w:val="00100E0F"/>
    <w:rsid w:val="00101F33"/>
    <w:rsid w:val="0010309B"/>
    <w:rsid w:val="001039A5"/>
    <w:rsid w:val="00103DE0"/>
    <w:rsid w:val="001040BA"/>
    <w:rsid w:val="00104873"/>
    <w:rsid w:val="00105478"/>
    <w:rsid w:val="00110D78"/>
    <w:rsid w:val="0011110E"/>
    <w:rsid w:val="00111F56"/>
    <w:rsid w:val="00113F88"/>
    <w:rsid w:val="00114612"/>
    <w:rsid w:val="0011462C"/>
    <w:rsid w:val="00114C22"/>
    <w:rsid w:val="00115A4B"/>
    <w:rsid w:val="00117C22"/>
    <w:rsid w:val="00117E54"/>
    <w:rsid w:val="00120140"/>
    <w:rsid w:val="001209EF"/>
    <w:rsid w:val="00120CCB"/>
    <w:rsid w:val="0012157B"/>
    <w:rsid w:val="00123F6B"/>
    <w:rsid w:val="00124E1F"/>
    <w:rsid w:val="001256E3"/>
    <w:rsid w:val="0012650F"/>
    <w:rsid w:val="00126603"/>
    <w:rsid w:val="00126679"/>
    <w:rsid w:val="0012677B"/>
    <w:rsid w:val="00130E26"/>
    <w:rsid w:val="00130E47"/>
    <w:rsid w:val="00131C96"/>
    <w:rsid w:val="00131CB6"/>
    <w:rsid w:val="0013245F"/>
    <w:rsid w:val="00133C52"/>
    <w:rsid w:val="001347AC"/>
    <w:rsid w:val="001354C7"/>
    <w:rsid w:val="00135585"/>
    <w:rsid w:val="00136F02"/>
    <w:rsid w:val="00137928"/>
    <w:rsid w:val="00137F0C"/>
    <w:rsid w:val="0014025E"/>
    <w:rsid w:val="00140BCE"/>
    <w:rsid w:val="00140D93"/>
    <w:rsid w:val="001412AA"/>
    <w:rsid w:val="00141C8D"/>
    <w:rsid w:val="0014297B"/>
    <w:rsid w:val="001449ED"/>
    <w:rsid w:val="00145FA4"/>
    <w:rsid w:val="00146A1E"/>
    <w:rsid w:val="001505A0"/>
    <w:rsid w:val="00150C56"/>
    <w:rsid w:val="00150E3E"/>
    <w:rsid w:val="0015224E"/>
    <w:rsid w:val="00153DBB"/>
    <w:rsid w:val="00154C57"/>
    <w:rsid w:val="00154CC8"/>
    <w:rsid w:val="00154F1F"/>
    <w:rsid w:val="00155346"/>
    <w:rsid w:val="00155D64"/>
    <w:rsid w:val="0015603D"/>
    <w:rsid w:val="00156E23"/>
    <w:rsid w:val="00157230"/>
    <w:rsid w:val="00157CB6"/>
    <w:rsid w:val="0016068E"/>
    <w:rsid w:val="00160D8C"/>
    <w:rsid w:val="0016144B"/>
    <w:rsid w:val="00161885"/>
    <w:rsid w:val="00162ED5"/>
    <w:rsid w:val="00163303"/>
    <w:rsid w:val="001639A1"/>
    <w:rsid w:val="001645CA"/>
    <w:rsid w:val="0016623C"/>
    <w:rsid w:val="00166D68"/>
    <w:rsid w:val="001701A4"/>
    <w:rsid w:val="00170289"/>
    <w:rsid w:val="001705F2"/>
    <w:rsid w:val="001711DA"/>
    <w:rsid w:val="00171E6B"/>
    <w:rsid w:val="001726D4"/>
    <w:rsid w:val="001728BB"/>
    <w:rsid w:val="0017299C"/>
    <w:rsid w:val="00172CD3"/>
    <w:rsid w:val="00174BB2"/>
    <w:rsid w:val="0017512D"/>
    <w:rsid w:val="0017722D"/>
    <w:rsid w:val="001776F4"/>
    <w:rsid w:val="00177775"/>
    <w:rsid w:val="00177EE4"/>
    <w:rsid w:val="00180AA6"/>
    <w:rsid w:val="00181C94"/>
    <w:rsid w:val="00181F6B"/>
    <w:rsid w:val="00182786"/>
    <w:rsid w:val="001828B6"/>
    <w:rsid w:val="0018399E"/>
    <w:rsid w:val="00183FD9"/>
    <w:rsid w:val="0018509D"/>
    <w:rsid w:val="00185842"/>
    <w:rsid w:val="00186CA0"/>
    <w:rsid w:val="001872B6"/>
    <w:rsid w:val="00187A34"/>
    <w:rsid w:val="00191F6B"/>
    <w:rsid w:val="001934DB"/>
    <w:rsid w:val="00195166"/>
    <w:rsid w:val="0019551F"/>
    <w:rsid w:val="001964FF"/>
    <w:rsid w:val="001976BC"/>
    <w:rsid w:val="00197CC4"/>
    <w:rsid w:val="00197DCC"/>
    <w:rsid w:val="001A0D6A"/>
    <w:rsid w:val="001A16F7"/>
    <w:rsid w:val="001A2C86"/>
    <w:rsid w:val="001A3DCB"/>
    <w:rsid w:val="001A4861"/>
    <w:rsid w:val="001A50E9"/>
    <w:rsid w:val="001A6A44"/>
    <w:rsid w:val="001B0044"/>
    <w:rsid w:val="001B084A"/>
    <w:rsid w:val="001B128B"/>
    <w:rsid w:val="001B1CDF"/>
    <w:rsid w:val="001B2668"/>
    <w:rsid w:val="001B2930"/>
    <w:rsid w:val="001B2CA2"/>
    <w:rsid w:val="001B2EA1"/>
    <w:rsid w:val="001B3044"/>
    <w:rsid w:val="001B3680"/>
    <w:rsid w:val="001B4DB7"/>
    <w:rsid w:val="001B4F69"/>
    <w:rsid w:val="001B70FF"/>
    <w:rsid w:val="001C066C"/>
    <w:rsid w:val="001C0D62"/>
    <w:rsid w:val="001C51CF"/>
    <w:rsid w:val="001C552A"/>
    <w:rsid w:val="001C5C28"/>
    <w:rsid w:val="001D060A"/>
    <w:rsid w:val="001D0E2C"/>
    <w:rsid w:val="001D0F9C"/>
    <w:rsid w:val="001D1819"/>
    <w:rsid w:val="001D1C8A"/>
    <w:rsid w:val="001D2948"/>
    <w:rsid w:val="001D3119"/>
    <w:rsid w:val="001D3E96"/>
    <w:rsid w:val="001D488F"/>
    <w:rsid w:val="001D4F4D"/>
    <w:rsid w:val="001D50AC"/>
    <w:rsid w:val="001D548F"/>
    <w:rsid w:val="001D5D28"/>
    <w:rsid w:val="001D77FD"/>
    <w:rsid w:val="001E2E5A"/>
    <w:rsid w:val="001E2F80"/>
    <w:rsid w:val="001E31B0"/>
    <w:rsid w:val="001E3368"/>
    <w:rsid w:val="001E37F1"/>
    <w:rsid w:val="001E4FB1"/>
    <w:rsid w:val="001E69F0"/>
    <w:rsid w:val="001F1009"/>
    <w:rsid w:val="001F1545"/>
    <w:rsid w:val="001F2B2F"/>
    <w:rsid w:val="001F349D"/>
    <w:rsid w:val="001F37F6"/>
    <w:rsid w:val="001F3F98"/>
    <w:rsid w:val="001F49AF"/>
    <w:rsid w:val="001F62F1"/>
    <w:rsid w:val="001F72B7"/>
    <w:rsid w:val="001F7DE0"/>
    <w:rsid w:val="00202FF2"/>
    <w:rsid w:val="002031A0"/>
    <w:rsid w:val="0020446A"/>
    <w:rsid w:val="0020531F"/>
    <w:rsid w:val="002067AB"/>
    <w:rsid w:val="00207BF4"/>
    <w:rsid w:val="0021001C"/>
    <w:rsid w:val="00210E85"/>
    <w:rsid w:val="00211159"/>
    <w:rsid w:val="00212E4E"/>
    <w:rsid w:val="00212F0D"/>
    <w:rsid w:val="00213B08"/>
    <w:rsid w:val="00213CEE"/>
    <w:rsid w:val="0021406E"/>
    <w:rsid w:val="00215257"/>
    <w:rsid w:val="002157F5"/>
    <w:rsid w:val="00216261"/>
    <w:rsid w:val="0021649F"/>
    <w:rsid w:val="00217358"/>
    <w:rsid w:val="0022337D"/>
    <w:rsid w:val="002240DA"/>
    <w:rsid w:val="0022435E"/>
    <w:rsid w:val="00224982"/>
    <w:rsid w:val="0022542B"/>
    <w:rsid w:val="00225A12"/>
    <w:rsid w:val="00227455"/>
    <w:rsid w:val="00230A56"/>
    <w:rsid w:val="0023411A"/>
    <w:rsid w:val="00235725"/>
    <w:rsid w:val="00235E86"/>
    <w:rsid w:val="00235ECA"/>
    <w:rsid w:val="002373AB"/>
    <w:rsid w:val="002401BE"/>
    <w:rsid w:val="00240848"/>
    <w:rsid w:val="00241B0F"/>
    <w:rsid w:val="00241EBD"/>
    <w:rsid w:val="002427C4"/>
    <w:rsid w:val="002429AA"/>
    <w:rsid w:val="002434F0"/>
    <w:rsid w:val="00243D44"/>
    <w:rsid w:val="00244A7F"/>
    <w:rsid w:val="00244BFB"/>
    <w:rsid w:val="00244C79"/>
    <w:rsid w:val="00244E56"/>
    <w:rsid w:val="00245BC4"/>
    <w:rsid w:val="00246AD5"/>
    <w:rsid w:val="00246EA8"/>
    <w:rsid w:val="00247B5A"/>
    <w:rsid w:val="002512EB"/>
    <w:rsid w:val="0025223D"/>
    <w:rsid w:val="00252558"/>
    <w:rsid w:val="00254193"/>
    <w:rsid w:val="002546D5"/>
    <w:rsid w:val="00256473"/>
    <w:rsid w:val="00257287"/>
    <w:rsid w:val="00260098"/>
    <w:rsid w:val="00260D52"/>
    <w:rsid w:val="00260F9E"/>
    <w:rsid w:val="0026111F"/>
    <w:rsid w:val="0026264E"/>
    <w:rsid w:val="00262D9F"/>
    <w:rsid w:val="00263938"/>
    <w:rsid w:val="002646B1"/>
    <w:rsid w:val="00264F68"/>
    <w:rsid w:val="00265BA0"/>
    <w:rsid w:val="00266898"/>
    <w:rsid w:val="00266B2D"/>
    <w:rsid w:val="00266C35"/>
    <w:rsid w:val="00267557"/>
    <w:rsid w:val="0027027E"/>
    <w:rsid w:val="00270B70"/>
    <w:rsid w:val="00272958"/>
    <w:rsid w:val="002743FD"/>
    <w:rsid w:val="00274AD0"/>
    <w:rsid w:val="00274D59"/>
    <w:rsid w:val="00275824"/>
    <w:rsid w:val="002758A6"/>
    <w:rsid w:val="00275F29"/>
    <w:rsid w:val="00277AB6"/>
    <w:rsid w:val="00280215"/>
    <w:rsid w:val="00280AEA"/>
    <w:rsid w:val="00280AF0"/>
    <w:rsid w:val="00280BB9"/>
    <w:rsid w:val="00280FBA"/>
    <w:rsid w:val="00281CF1"/>
    <w:rsid w:val="002824F3"/>
    <w:rsid w:val="00282BC6"/>
    <w:rsid w:val="00283659"/>
    <w:rsid w:val="0028368F"/>
    <w:rsid w:val="00283955"/>
    <w:rsid w:val="00283A57"/>
    <w:rsid w:val="00285A92"/>
    <w:rsid w:val="0028662D"/>
    <w:rsid w:val="002872F0"/>
    <w:rsid w:val="002875FA"/>
    <w:rsid w:val="002877A4"/>
    <w:rsid w:val="002906BC"/>
    <w:rsid w:val="002908BA"/>
    <w:rsid w:val="00290B84"/>
    <w:rsid w:val="00290D7F"/>
    <w:rsid w:val="002914F1"/>
    <w:rsid w:val="00292461"/>
    <w:rsid w:val="0029495F"/>
    <w:rsid w:val="002950D1"/>
    <w:rsid w:val="00295F91"/>
    <w:rsid w:val="00296006"/>
    <w:rsid w:val="0029626B"/>
    <w:rsid w:val="00297A2E"/>
    <w:rsid w:val="00297E3B"/>
    <w:rsid w:val="002A0911"/>
    <w:rsid w:val="002A1B15"/>
    <w:rsid w:val="002A1E8E"/>
    <w:rsid w:val="002A2928"/>
    <w:rsid w:val="002A2A11"/>
    <w:rsid w:val="002A55F8"/>
    <w:rsid w:val="002A6F05"/>
    <w:rsid w:val="002A71B5"/>
    <w:rsid w:val="002A764E"/>
    <w:rsid w:val="002B041F"/>
    <w:rsid w:val="002B09B5"/>
    <w:rsid w:val="002B1502"/>
    <w:rsid w:val="002B260C"/>
    <w:rsid w:val="002B2768"/>
    <w:rsid w:val="002B2A6C"/>
    <w:rsid w:val="002B3173"/>
    <w:rsid w:val="002B3B88"/>
    <w:rsid w:val="002B3CD6"/>
    <w:rsid w:val="002B467C"/>
    <w:rsid w:val="002B49EE"/>
    <w:rsid w:val="002B4C1C"/>
    <w:rsid w:val="002B4F18"/>
    <w:rsid w:val="002B5298"/>
    <w:rsid w:val="002B5370"/>
    <w:rsid w:val="002B6B51"/>
    <w:rsid w:val="002B75CE"/>
    <w:rsid w:val="002B7AD7"/>
    <w:rsid w:val="002C0665"/>
    <w:rsid w:val="002C0B2F"/>
    <w:rsid w:val="002C11B2"/>
    <w:rsid w:val="002C1BDF"/>
    <w:rsid w:val="002C2450"/>
    <w:rsid w:val="002C265E"/>
    <w:rsid w:val="002C2F70"/>
    <w:rsid w:val="002C37E2"/>
    <w:rsid w:val="002C3AE7"/>
    <w:rsid w:val="002C3BAF"/>
    <w:rsid w:val="002C6311"/>
    <w:rsid w:val="002C6E33"/>
    <w:rsid w:val="002C7AE3"/>
    <w:rsid w:val="002D0F3F"/>
    <w:rsid w:val="002D1601"/>
    <w:rsid w:val="002D25D6"/>
    <w:rsid w:val="002D2F45"/>
    <w:rsid w:val="002E091A"/>
    <w:rsid w:val="002E0E49"/>
    <w:rsid w:val="002E1080"/>
    <w:rsid w:val="002E1D9A"/>
    <w:rsid w:val="002E2257"/>
    <w:rsid w:val="002E2350"/>
    <w:rsid w:val="002E2BAB"/>
    <w:rsid w:val="002E4176"/>
    <w:rsid w:val="002E41FF"/>
    <w:rsid w:val="002E431D"/>
    <w:rsid w:val="002E466D"/>
    <w:rsid w:val="002E49D0"/>
    <w:rsid w:val="002E60C2"/>
    <w:rsid w:val="002E6104"/>
    <w:rsid w:val="002E6CD5"/>
    <w:rsid w:val="002E7D5A"/>
    <w:rsid w:val="002F003B"/>
    <w:rsid w:val="002F0D88"/>
    <w:rsid w:val="002F12AA"/>
    <w:rsid w:val="002F1657"/>
    <w:rsid w:val="002F16D3"/>
    <w:rsid w:val="002F196A"/>
    <w:rsid w:val="002F1F95"/>
    <w:rsid w:val="002F2EF3"/>
    <w:rsid w:val="002F50DA"/>
    <w:rsid w:val="002F5171"/>
    <w:rsid w:val="002F57FD"/>
    <w:rsid w:val="002F5807"/>
    <w:rsid w:val="002F5EFE"/>
    <w:rsid w:val="002F61DD"/>
    <w:rsid w:val="002F6349"/>
    <w:rsid w:val="002F6541"/>
    <w:rsid w:val="002F6739"/>
    <w:rsid w:val="002F681A"/>
    <w:rsid w:val="002F688E"/>
    <w:rsid w:val="002F6B4D"/>
    <w:rsid w:val="002F6E8E"/>
    <w:rsid w:val="002F770D"/>
    <w:rsid w:val="0030039D"/>
    <w:rsid w:val="003017A8"/>
    <w:rsid w:val="00301F14"/>
    <w:rsid w:val="0030210A"/>
    <w:rsid w:val="00302F34"/>
    <w:rsid w:val="0030356B"/>
    <w:rsid w:val="00304082"/>
    <w:rsid w:val="003048FA"/>
    <w:rsid w:val="00304EC8"/>
    <w:rsid w:val="00305006"/>
    <w:rsid w:val="003051C7"/>
    <w:rsid w:val="00305696"/>
    <w:rsid w:val="00306850"/>
    <w:rsid w:val="003068D1"/>
    <w:rsid w:val="00306B93"/>
    <w:rsid w:val="00307340"/>
    <w:rsid w:val="00307902"/>
    <w:rsid w:val="00307AF6"/>
    <w:rsid w:val="00310473"/>
    <w:rsid w:val="00312374"/>
    <w:rsid w:val="003124E1"/>
    <w:rsid w:val="003131E2"/>
    <w:rsid w:val="00313A41"/>
    <w:rsid w:val="003162C8"/>
    <w:rsid w:val="0031675B"/>
    <w:rsid w:val="00317977"/>
    <w:rsid w:val="00317BF0"/>
    <w:rsid w:val="00317F8B"/>
    <w:rsid w:val="003206D9"/>
    <w:rsid w:val="0032376C"/>
    <w:rsid w:val="003247C4"/>
    <w:rsid w:val="00326084"/>
    <w:rsid w:val="00333242"/>
    <w:rsid w:val="00333D78"/>
    <w:rsid w:val="003340A4"/>
    <w:rsid w:val="003348F4"/>
    <w:rsid w:val="00334FC0"/>
    <w:rsid w:val="003350E9"/>
    <w:rsid w:val="0033550E"/>
    <w:rsid w:val="00335BD5"/>
    <w:rsid w:val="0033601B"/>
    <w:rsid w:val="003365C5"/>
    <w:rsid w:val="003372E2"/>
    <w:rsid w:val="00337397"/>
    <w:rsid w:val="00340523"/>
    <w:rsid w:val="003407CC"/>
    <w:rsid w:val="003421AC"/>
    <w:rsid w:val="003425AA"/>
    <w:rsid w:val="00342633"/>
    <w:rsid w:val="00342AD1"/>
    <w:rsid w:val="00342CEF"/>
    <w:rsid w:val="00342EFE"/>
    <w:rsid w:val="003437B6"/>
    <w:rsid w:val="00343939"/>
    <w:rsid w:val="00343BD4"/>
    <w:rsid w:val="00344CA9"/>
    <w:rsid w:val="0034671E"/>
    <w:rsid w:val="00346CFA"/>
    <w:rsid w:val="0034747F"/>
    <w:rsid w:val="00351740"/>
    <w:rsid w:val="003517AF"/>
    <w:rsid w:val="00352656"/>
    <w:rsid w:val="00352D85"/>
    <w:rsid w:val="00353226"/>
    <w:rsid w:val="00353868"/>
    <w:rsid w:val="00355191"/>
    <w:rsid w:val="00356FA9"/>
    <w:rsid w:val="00357276"/>
    <w:rsid w:val="00357738"/>
    <w:rsid w:val="00357AAA"/>
    <w:rsid w:val="00357B30"/>
    <w:rsid w:val="00360B49"/>
    <w:rsid w:val="003617A8"/>
    <w:rsid w:val="003618A0"/>
    <w:rsid w:val="00362CB1"/>
    <w:rsid w:val="00363170"/>
    <w:rsid w:val="003632F5"/>
    <w:rsid w:val="003636F0"/>
    <w:rsid w:val="00365982"/>
    <w:rsid w:val="00365C65"/>
    <w:rsid w:val="00365D85"/>
    <w:rsid w:val="00366D2B"/>
    <w:rsid w:val="0036780D"/>
    <w:rsid w:val="00367D38"/>
    <w:rsid w:val="0037009E"/>
    <w:rsid w:val="00370897"/>
    <w:rsid w:val="003708B9"/>
    <w:rsid w:val="00371B68"/>
    <w:rsid w:val="0037290E"/>
    <w:rsid w:val="00373C01"/>
    <w:rsid w:val="00373E60"/>
    <w:rsid w:val="003745F1"/>
    <w:rsid w:val="0037545C"/>
    <w:rsid w:val="00375E98"/>
    <w:rsid w:val="003763DF"/>
    <w:rsid w:val="003767F3"/>
    <w:rsid w:val="003775BC"/>
    <w:rsid w:val="00377A2C"/>
    <w:rsid w:val="00377E65"/>
    <w:rsid w:val="00380DBB"/>
    <w:rsid w:val="00381010"/>
    <w:rsid w:val="003816FF"/>
    <w:rsid w:val="003821C0"/>
    <w:rsid w:val="0038236A"/>
    <w:rsid w:val="00382F65"/>
    <w:rsid w:val="0038364A"/>
    <w:rsid w:val="0038369D"/>
    <w:rsid w:val="003845FB"/>
    <w:rsid w:val="00384BAF"/>
    <w:rsid w:val="0038512C"/>
    <w:rsid w:val="00385367"/>
    <w:rsid w:val="003857D1"/>
    <w:rsid w:val="0038668A"/>
    <w:rsid w:val="00386BBE"/>
    <w:rsid w:val="00387730"/>
    <w:rsid w:val="00391334"/>
    <w:rsid w:val="003916AD"/>
    <w:rsid w:val="003927F2"/>
    <w:rsid w:val="00392A44"/>
    <w:rsid w:val="00394377"/>
    <w:rsid w:val="00394DB3"/>
    <w:rsid w:val="00395A9F"/>
    <w:rsid w:val="0039628C"/>
    <w:rsid w:val="0039686F"/>
    <w:rsid w:val="00396B54"/>
    <w:rsid w:val="003A08A7"/>
    <w:rsid w:val="003A2FB9"/>
    <w:rsid w:val="003A34F5"/>
    <w:rsid w:val="003A452D"/>
    <w:rsid w:val="003A4C39"/>
    <w:rsid w:val="003A521A"/>
    <w:rsid w:val="003A5D2C"/>
    <w:rsid w:val="003A63B0"/>
    <w:rsid w:val="003A6DEC"/>
    <w:rsid w:val="003B0E26"/>
    <w:rsid w:val="003B0EE4"/>
    <w:rsid w:val="003B184A"/>
    <w:rsid w:val="003B2607"/>
    <w:rsid w:val="003B4E35"/>
    <w:rsid w:val="003B57BE"/>
    <w:rsid w:val="003B6657"/>
    <w:rsid w:val="003B68F4"/>
    <w:rsid w:val="003B6BB0"/>
    <w:rsid w:val="003B6DBC"/>
    <w:rsid w:val="003B7FC0"/>
    <w:rsid w:val="003C09EA"/>
    <w:rsid w:val="003C0B56"/>
    <w:rsid w:val="003C1AF1"/>
    <w:rsid w:val="003C1F11"/>
    <w:rsid w:val="003C2446"/>
    <w:rsid w:val="003C25CC"/>
    <w:rsid w:val="003C2EBD"/>
    <w:rsid w:val="003C2F3E"/>
    <w:rsid w:val="003C3019"/>
    <w:rsid w:val="003C46A2"/>
    <w:rsid w:val="003C4FB4"/>
    <w:rsid w:val="003C5136"/>
    <w:rsid w:val="003C566F"/>
    <w:rsid w:val="003C567C"/>
    <w:rsid w:val="003D08DE"/>
    <w:rsid w:val="003D0CB6"/>
    <w:rsid w:val="003D1C02"/>
    <w:rsid w:val="003D2456"/>
    <w:rsid w:val="003D3300"/>
    <w:rsid w:val="003D33EC"/>
    <w:rsid w:val="003D3CB0"/>
    <w:rsid w:val="003D5307"/>
    <w:rsid w:val="003D5BA5"/>
    <w:rsid w:val="003D7B3D"/>
    <w:rsid w:val="003E1953"/>
    <w:rsid w:val="003E1BC4"/>
    <w:rsid w:val="003E2F4E"/>
    <w:rsid w:val="003E3769"/>
    <w:rsid w:val="003E50AB"/>
    <w:rsid w:val="003E62A7"/>
    <w:rsid w:val="003E70D4"/>
    <w:rsid w:val="003E726E"/>
    <w:rsid w:val="003E7C06"/>
    <w:rsid w:val="003F05EF"/>
    <w:rsid w:val="003F070B"/>
    <w:rsid w:val="003F18F8"/>
    <w:rsid w:val="003F1992"/>
    <w:rsid w:val="003F1BD0"/>
    <w:rsid w:val="003F31CA"/>
    <w:rsid w:val="003F3860"/>
    <w:rsid w:val="003F47F5"/>
    <w:rsid w:val="003F622F"/>
    <w:rsid w:val="003F69B6"/>
    <w:rsid w:val="003F753E"/>
    <w:rsid w:val="004008DB"/>
    <w:rsid w:val="0040234D"/>
    <w:rsid w:val="004030E1"/>
    <w:rsid w:val="00403BB1"/>
    <w:rsid w:val="00403DAB"/>
    <w:rsid w:val="00403F12"/>
    <w:rsid w:val="00404744"/>
    <w:rsid w:val="00404AD5"/>
    <w:rsid w:val="00404D14"/>
    <w:rsid w:val="00406594"/>
    <w:rsid w:val="0040690F"/>
    <w:rsid w:val="00406F45"/>
    <w:rsid w:val="004101F3"/>
    <w:rsid w:val="00410860"/>
    <w:rsid w:val="0041292E"/>
    <w:rsid w:val="00412BC7"/>
    <w:rsid w:val="00413A42"/>
    <w:rsid w:val="00414008"/>
    <w:rsid w:val="00414EB2"/>
    <w:rsid w:val="00415337"/>
    <w:rsid w:val="00415555"/>
    <w:rsid w:val="00415636"/>
    <w:rsid w:val="00415739"/>
    <w:rsid w:val="00415E99"/>
    <w:rsid w:val="00416E28"/>
    <w:rsid w:val="00417AF7"/>
    <w:rsid w:val="00417B7D"/>
    <w:rsid w:val="00417EDB"/>
    <w:rsid w:val="00420A6C"/>
    <w:rsid w:val="00420C92"/>
    <w:rsid w:val="00420F06"/>
    <w:rsid w:val="00421055"/>
    <w:rsid w:val="00421675"/>
    <w:rsid w:val="004237FF"/>
    <w:rsid w:val="00423B8A"/>
    <w:rsid w:val="004249B4"/>
    <w:rsid w:val="00425733"/>
    <w:rsid w:val="004259D1"/>
    <w:rsid w:val="00426598"/>
    <w:rsid w:val="00426782"/>
    <w:rsid w:val="00426ED0"/>
    <w:rsid w:val="00427465"/>
    <w:rsid w:val="00427A36"/>
    <w:rsid w:val="0043143B"/>
    <w:rsid w:val="00432154"/>
    <w:rsid w:val="0043271C"/>
    <w:rsid w:val="004327EF"/>
    <w:rsid w:val="00432EF4"/>
    <w:rsid w:val="004330C5"/>
    <w:rsid w:val="004338AA"/>
    <w:rsid w:val="00434556"/>
    <w:rsid w:val="004348A3"/>
    <w:rsid w:val="00434AF1"/>
    <w:rsid w:val="00434FD2"/>
    <w:rsid w:val="004351CD"/>
    <w:rsid w:val="00435F27"/>
    <w:rsid w:val="00437973"/>
    <w:rsid w:val="0044080D"/>
    <w:rsid w:val="00440A2E"/>
    <w:rsid w:val="0044152E"/>
    <w:rsid w:val="004417B6"/>
    <w:rsid w:val="00441DF2"/>
    <w:rsid w:val="00441E46"/>
    <w:rsid w:val="00442649"/>
    <w:rsid w:val="0044548A"/>
    <w:rsid w:val="00445928"/>
    <w:rsid w:val="00445A2F"/>
    <w:rsid w:val="00446E2A"/>
    <w:rsid w:val="0044732D"/>
    <w:rsid w:val="004473CE"/>
    <w:rsid w:val="00450918"/>
    <w:rsid w:val="00450E5B"/>
    <w:rsid w:val="004529D7"/>
    <w:rsid w:val="00452A87"/>
    <w:rsid w:val="00452CE4"/>
    <w:rsid w:val="00453C51"/>
    <w:rsid w:val="00454010"/>
    <w:rsid w:val="00454B0D"/>
    <w:rsid w:val="00454EC0"/>
    <w:rsid w:val="00455248"/>
    <w:rsid w:val="00455790"/>
    <w:rsid w:val="00455D14"/>
    <w:rsid w:val="00456DDC"/>
    <w:rsid w:val="00457A16"/>
    <w:rsid w:val="00457A29"/>
    <w:rsid w:val="00457CEB"/>
    <w:rsid w:val="004606E0"/>
    <w:rsid w:val="004616D5"/>
    <w:rsid w:val="00461996"/>
    <w:rsid w:val="00461C42"/>
    <w:rsid w:val="0046229B"/>
    <w:rsid w:val="00462AFD"/>
    <w:rsid w:val="004630AF"/>
    <w:rsid w:val="00463478"/>
    <w:rsid w:val="00463892"/>
    <w:rsid w:val="00464004"/>
    <w:rsid w:val="00465A26"/>
    <w:rsid w:val="00465DD6"/>
    <w:rsid w:val="0046683B"/>
    <w:rsid w:val="0046722E"/>
    <w:rsid w:val="004676BC"/>
    <w:rsid w:val="004706A7"/>
    <w:rsid w:val="00473002"/>
    <w:rsid w:val="004747FC"/>
    <w:rsid w:val="0047509B"/>
    <w:rsid w:val="00475810"/>
    <w:rsid w:val="0047598C"/>
    <w:rsid w:val="004769A9"/>
    <w:rsid w:val="004769CB"/>
    <w:rsid w:val="0047700D"/>
    <w:rsid w:val="00480716"/>
    <w:rsid w:val="0048417A"/>
    <w:rsid w:val="004849B2"/>
    <w:rsid w:val="00485131"/>
    <w:rsid w:val="00485A06"/>
    <w:rsid w:val="0048610E"/>
    <w:rsid w:val="004864A8"/>
    <w:rsid w:val="004878CD"/>
    <w:rsid w:val="00491982"/>
    <w:rsid w:val="00491EC6"/>
    <w:rsid w:val="004922B1"/>
    <w:rsid w:val="00492A9A"/>
    <w:rsid w:val="0049356F"/>
    <w:rsid w:val="004935F0"/>
    <w:rsid w:val="004939C8"/>
    <w:rsid w:val="00494117"/>
    <w:rsid w:val="0049546E"/>
    <w:rsid w:val="004955F2"/>
    <w:rsid w:val="00495D8C"/>
    <w:rsid w:val="00495E33"/>
    <w:rsid w:val="0049604D"/>
    <w:rsid w:val="004961B8"/>
    <w:rsid w:val="004963DB"/>
    <w:rsid w:val="004964C2"/>
    <w:rsid w:val="00497FD6"/>
    <w:rsid w:val="004A344A"/>
    <w:rsid w:val="004A37F1"/>
    <w:rsid w:val="004A4034"/>
    <w:rsid w:val="004A46E1"/>
    <w:rsid w:val="004A5AC6"/>
    <w:rsid w:val="004A5CDA"/>
    <w:rsid w:val="004A5EBC"/>
    <w:rsid w:val="004A605B"/>
    <w:rsid w:val="004A61B9"/>
    <w:rsid w:val="004A695A"/>
    <w:rsid w:val="004A6DE2"/>
    <w:rsid w:val="004A72DF"/>
    <w:rsid w:val="004A7846"/>
    <w:rsid w:val="004B0130"/>
    <w:rsid w:val="004B19C3"/>
    <w:rsid w:val="004B2996"/>
    <w:rsid w:val="004B3073"/>
    <w:rsid w:val="004B3949"/>
    <w:rsid w:val="004B47FF"/>
    <w:rsid w:val="004B52F6"/>
    <w:rsid w:val="004B5B7A"/>
    <w:rsid w:val="004B60EE"/>
    <w:rsid w:val="004B6469"/>
    <w:rsid w:val="004B6838"/>
    <w:rsid w:val="004C0C4D"/>
    <w:rsid w:val="004C156D"/>
    <w:rsid w:val="004C1A12"/>
    <w:rsid w:val="004C1C19"/>
    <w:rsid w:val="004C1EB9"/>
    <w:rsid w:val="004C219B"/>
    <w:rsid w:val="004C23D0"/>
    <w:rsid w:val="004C2594"/>
    <w:rsid w:val="004C306D"/>
    <w:rsid w:val="004C5380"/>
    <w:rsid w:val="004C53B4"/>
    <w:rsid w:val="004C53C1"/>
    <w:rsid w:val="004C56D6"/>
    <w:rsid w:val="004C60E6"/>
    <w:rsid w:val="004C6936"/>
    <w:rsid w:val="004C701F"/>
    <w:rsid w:val="004C7589"/>
    <w:rsid w:val="004C772E"/>
    <w:rsid w:val="004C7AC2"/>
    <w:rsid w:val="004D1511"/>
    <w:rsid w:val="004D1978"/>
    <w:rsid w:val="004D2876"/>
    <w:rsid w:val="004D2B37"/>
    <w:rsid w:val="004D2BB2"/>
    <w:rsid w:val="004D38C6"/>
    <w:rsid w:val="004D57EF"/>
    <w:rsid w:val="004D5972"/>
    <w:rsid w:val="004D6C92"/>
    <w:rsid w:val="004E04CB"/>
    <w:rsid w:val="004E1996"/>
    <w:rsid w:val="004E22BC"/>
    <w:rsid w:val="004E24E0"/>
    <w:rsid w:val="004E3EBC"/>
    <w:rsid w:val="004E4332"/>
    <w:rsid w:val="004E45DE"/>
    <w:rsid w:val="004E5EEB"/>
    <w:rsid w:val="004E6099"/>
    <w:rsid w:val="004E786D"/>
    <w:rsid w:val="004F0D6C"/>
    <w:rsid w:val="004F3383"/>
    <w:rsid w:val="004F3B6B"/>
    <w:rsid w:val="004F3D53"/>
    <w:rsid w:val="004F4A6E"/>
    <w:rsid w:val="004F4FF6"/>
    <w:rsid w:val="004F5160"/>
    <w:rsid w:val="004F57A8"/>
    <w:rsid w:val="004F6240"/>
    <w:rsid w:val="004F6FDD"/>
    <w:rsid w:val="005000E7"/>
    <w:rsid w:val="00503017"/>
    <w:rsid w:val="005038CB"/>
    <w:rsid w:val="005057C9"/>
    <w:rsid w:val="00505D22"/>
    <w:rsid w:val="00506820"/>
    <w:rsid w:val="00506F0E"/>
    <w:rsid w:val="00506FA6"/>
    <w:rsid w:val="00507788"/>
    <w:rsid w:val="00507ED8"/>
    <w:rsid w:val="005112B9"/>
    <w:rsid w:val="00511B7A"/>
    <w:rsid w:val="005136D9"/>
    <w:rsid w:val="00513CDB"/>
    <w:rsid w:val="00513CFB"/>
    <w:rsid w:val="00514DE3"/>
    <w:rsid w:val="00514F34"/>
    <w:rsid w:val="0051616E"/>
    <w:rsid w:val="005163F2"/>
    <w:rsid w:val="00516987"/>
    <w:rsid w:val="00516F5A"/>
    <w:rsid w:val="005178B1"/>
    <w:rsid w:val="005204FA"/>
    <w:rsid w:val="005208E8"/>
    <w:rsid w:val="00520C14"/>
    <w:rsid w:val="00520DBE"/>
    <w:rsid w:val="00520F9B"/>
    <w:rsid w:val="00521BFC"/>
    <w:rsid w:val="005223BC"/>
    <w:rsid w:val="00523631"/>
    <w:rsid w:val="005236BF"/>
    <w:rsid w:val="005246E0"/>
    <w:rsid w:val="00524F33"/>
    <w:rsid w:val="005252F9"/>
    <w:rsid w:val="00525358"/>
    <w:rsid w:val="00527FFE"/>
    <w:rsid w:val="00530D8F"/>
    <w:rsid w:val="005311E5"/>
    <w:rsid w:val="005325A0"/>
    <w:rsid w:val="005328B8"/>
    <w:rsid w:val="0053395D"/>
    <w:rsid w:val="00534B24"/>
    <w:rsid w:val="00536951"/>
    <w:rsid w:val="00537129"/>
    <w:rsid w:val="005406EF"/>
    <w:rsid w:val="00540B5B"/>
    <w:rsid w:val="00541AB9"/>
    <w:rsid w:val="005432AE"/>
    <w:rsid w:val="00544293"/>
    <w:rsid w:val="005442B4"/>
    <w:rsid w:val="0054435F"/>
    <w:rsid w:val="00546718"/>
    <w:rsid w:val="005473D4"/>
    <w:rsid w:val="005475CC"/>
    <w:rsid w:val="00547821"/>
    <w:rsid w:val="00547BCF"/>
    <w:rsid w:val="00547E21"/>
    <w:rsid w:val="0055096C"/>
    <w:rsid w:val="00551090"/>
    <w:rsid w:val="005512F2"/>
    <w:rsid w:val="005513EF"/>
    <w:rsid w:val="00551482"/>
    <w:rsid w:val="005515E2"/>
    <w:rsid w:val="005531CB"/>
    <w:rsid w:val="005533D2"/>
    <w:rsid w:val="0055370E"/>
    <w:rsid w:val="00553D64"/>
    <w:rsid w:val="005573EF"/>
    <w:rsid w:val="00557C5F"/>
    <w:rsid w:val="005600C6"/>
    <w:rsid w:val="005602C9"/>
    <w:rsid w:val="00560322"/>
    <w:rsid w:val="00560DC7"/>
    <w:rsid w:val="00561446"/>
    <w:rsid w:val="00561C84"/>
    <w:rsid w:val="005624EA"/>
    <w:rsid w:val="0056385A"/>
    <w:rsid w:val="0056426D"/>
    <w:rsid w:val="00564C1A"/>
    <w:rsid w:val="00566061"/>
    <w:rsid w:val="00566ED5"/>
    <w:rsid w:val="00567C80"/>
    <w:rsid w:val="00567CC4"/>
    <w:rsid w:val="005714C6"/>
    <w:rsid w:val="00571659"/>
    <w:rsid w:val="005717A1"/>
    <w:rsid w:val="00571D51"/>
    <w:rsid w:val="005722EC"/>
    <w:rsid w:val="00572964"/>
    <w:rsid w:val="00573A8E"/>
    <w:rsid w:val="00573B3D"/>
    <w:rsid w:val="00574561"/>
    <w:rsid w:val="00574DA5"/>
    <w:rsid w:val="00575575"/>
    <w:rsid w:val="005755DC"/>
    <w:rsid w:val="00575A61"/>
    <w:rsid w:val="00582088"/>
    <w:rsid w:val="0058214F"/>
    <w:rsid w:val="00583262"/>
    <w:rsid w:val="0058356D"/>
    <w:rsid w:val="00584921"/>
    <w:rsid w:val="00584967"/>
    <w:rsid w:val="00584A7E"/>
    <w:rsid w:val="00584D3C"/>
    <w:rsid w:val="005861A9"/>
    <w:rsid w:val="005867E3"/>
    <w:rsid w:val="005876AB"/>
    <w:rsid w:val="00587E19"/>
    <w:rsid w:val="00590DCC"/>
    <w:rsid w:val="0059104D"/>
    <w:rsid w:val="00591F0F"/>
    <w:rsid w:val="005932E7"/>
    <w:rsid w:val="00593EFB"/>
    <w:rsid w:val="00593FC0"/>
    <w:rsid w:val="00594206"/>
    <w:rsid w:val="005950A8"/>
    <w:rsid w:val="00595A4E"/>
    <w:rsid w:val="00595E94"/>
    <w:rsid w:val="00597795"/>
    <w:rsid w:val="005A0823"/>
    <w:rsid w:val="005A207D"/>
    <w:rsid w:val="005A20DF"/>
    <w:rsid w:val="005A3F54"/>
    <w:rsid w:val="005A40CF"/>
    <w:rsid w:val="005A4178"/>
    <w:rsid w:val="005A5A74"/>
    <w:rsid w:val="005A64F8"/>
    <w:rsid w:val="005A6FAE"/>
    <w:rsid w:val="005A7217"/>
    <w:rsid w:val="005A731F"/>
    <w:rsid w:val="005A7A36"/>
    <w:rsid w:val="005A7B39"/>
    <w:rsid w:val="005B21FF"/>
    <w:rsid w:val="005B320D"/>
    <w:rsid w:val="005B3A6B"/>
    <w:rsid w:val="005B3EAC"/>
    <w:rsid w:val="005B4715"/>
    <w:rsid w:val="005B4E8F"/>
    <w:rsid w:val="005B72AD"/>
    <w:rsid w:val="005C0B57"/>
    <w:rsid w:val="005C0C2B"/>
    <w:rsid w:val="005C0E50"/>
    <w:rsid w:val="005C1078"/>
    <w:rsid w:val="005C1973"/>
    <w:rsid w:val="005C1BE4"/>
    <w:rsid w:val="005C417F"/>
    <w:rsid w:val="005C430D"/>
    <w:rsid w:val="005C48D6"/>
    <w:rsid w:val="005C4B72"/>
    <w:rsid w:val="005C68F0"/>
    <w:rsid w:val="005C74BA"/>
    <w:rsid w:val="005C7540"/>
    <w:rsid w:val="005C7912"/>
    <w:rsid w:val="005C7B23"/>
    <w:rsid w:val="005C7DEE"/>
    <w:rsid w:val="005C7F87"/>
    <w:rsid w:val="005D01CF"/>
    <w:rsid w:val="005D0370"/>
    <w:rsid w:val="005D23F7"/>
    <w:rsid w:val="005D4987"/>
    <w:rsid w:val="005D4E06"/>
    <w:rsid w:val="005D5401"/>
    <w:rsid w:val="005D5412"/>
    <w:rsid w:val="005D5A4B"/>
    <w:rsid w:val="005D64D4"/>
    <w:rsid w:val="005D68A4"/>
    <w:rsid w:val="005E000A"/>
    <w:rsid w:val="005E0675"/>
    <w:rsid w:val="005E3822"/>
    <w:rsid w:val="005E3CAB"/>
    <w:rsid w:val="005E72AC"/>
    <w:rsid w:val="005F090C"/>
    <w:rsid w:val="005F258B"/>
    <w:rsid w:val="005F2DBD"/>
    <w:rsid w:val="005F3902"/>
    <w:rsid w:val="005F4454"/>
    <w:rsid w:val="005F44ED"/>
    <w:rsid w:val="005F485E"/>
    <w:rsid w:val="005F5B6A"/>
    <w:rsid w:val="005F5E57"/>
    <w:rsid w:val="005F6979"/>
    <w:rsid w:val="005F7282"/>
    <w:rsid w:val="005F7479"/>
    <w:rsid w:val="005F7FA7"/>
    <w:rsid w:val="00600D0D"/>
    <w:rsid w:val="00600FB7"/>
    <w:rsid w:val="006018D9"/>
    <w:rsid w:val="00601C64"/>
    <w:rsid w:val="0060217D"/>
    <w:rsid w:val="0060332E"/>
    <w:rsid w:val="00603586"/>
    <w:rsid w:val="00605863"/>
    <w:rsid w:val="00606015"/>
    <w:rsid w:val="00606044"/>
    <w:rsid w:val="00606438"/>
    <w:rsid w:val="006069A1"/>
    <w:rsid w:val="00610252"/>
    <w:rsid w:val="00610711"/>
    <w:rsid w:val="006107CC"/>
    <w:rsid w:val="00610B64"/>
    <w:rsid w:val="00611AC5"/>
    <w:rsid w:val="006125B7"/>
    <w:rsid w:val="00612816"/>
    <w:rsid w:val="00612859"/>
    <w:rsid w:val="00612946"/>
    <w:rsid w:val="00612D3B"/>
    <w:rsid w:val="006130DA"/>
    <w:rsid w:val="00613346"/>
    <w:rsid w:val="00614FC3"/>
    <w:rsid w:val="006162D2"/>
    <w:rsid w:val="00617500"/>
    <w:rsid w:val="00617CEA"/>
    <w:rsid w:val="00620469"/>
    <w:rsid w:val="0062088C"/>
    <w:rsid w:val="00620E4B"/>
    <w:rsid w:val="006220DB"/>
    <w:rsid w:val="00622361"/>
    <w:rsid w:val="00623A25"/>
    <w:rsid w:val="00623A73"/>
    <w:rsid w:val="00623E86"/>
    <w:rsid w:val="00624C48"/>
    <w:rsid w:val="006251B8"/>
    <w:rsid w:val="0062562D"/>
    <w:rsid w:val="00625C8D"/>
    <w:rsid w:val="00627100"/>
    <w:rsid w:val="00627814"/>
    <w:rsid w:val="0063002C"/>
    <w:rsid w:val="0063015E"/>
    <w:rsid w:val="00630378"/>
    <w:rsid w:val="00630A28"/>
    <w:rsid w:val="00630E2C"/>
    <w:rsid w:val="006317C2"/>
    <w:rsid w:val="006317D8"/>
    <w:rsid w:val="00631DB8"/>
    <w:rsid w:val="00632B08"/>
    <w:rsid w:val="00632DD0"/>
    <w:rsid w:val="006332C8"/>
    <w:rsid w:val="006334F0"/>
    <w:rsid w:val="00634930"/>
    <w:rsid w:val="00637C10"/>
    <w:rsid w:val="00640A97"/>
    <w:rsid w:val="00641566"/>
    <w:rsid w:val="006417B3"/>
    <w:rsid w:val="00641948"/>
    <w:rsid w:val="00641D23"/>
    <w:rsid w:val="00643C47"/>
    <w:rsid w:val="0064450B"/>
    <w:rsid w:val="00644BE4"/>
    <w:rsid w:val="006456E8"/>
    <w:rsid w:val="006465C5"/>
    <w:rsid w:val="0064692C"/>
    <w:rsid w:val="00646AE7"/>
    <w:rsid w:val="0064794F"/>
    <w:rsid w:val="0064AC10"/>
    <w:rsid w:val="006505D7"/>
    <w:rsid w:val="00650DDB"/>
    <w:rsid w:val="0065207B"/>
    <w:rsid w:val="00652BAA"/>
    <w:rsid w:val="00653146"/>
    <w:rsid w:val="00653EE4"/>
    <w:rsid w:val="00655263"/>
    <w:rsid w:val="006552D3"/>
    <w:rsid w:val="006553CE"/>
    <w:rsid w:val="006607FC"/>
    <w:rsid w:val="00661737"/>
    <w:rsid w:val="0066212B"/>
    <w:rsid w:val="0066297C"/>
    <w:rsid w:val="00664F5A"/>
    <w:rsid w:val="00665205"/>
    <w:rsid w:val="006658A6"/>
    <w:rsid w:val="00665D48"/>
    <w:rsid w:val="00665EA3"/>
    <w:rsid w:val="0066698E"/>
    <w:rsid w:val="0067006B"/>
    <w:rsid w:val="006701D0"/>
    <w:rsid w:val="0067103F"/>
    <w:rsid w:val="00671E28"/>
    <w:rsid w:val="006720F3"/>
    <w:rsid w:val="00672560"/>
    <w:rsid w:val="006728A4"/>
    <w:rsid w:val="00672BC6"/>
    <w:rsid w:val="006736AA"/>
    <w:rsid w:val="006737CE"/>
    <w:rsid w:val="006744EE"/>
    <w:rsid w:val="00675DEB"/>
    <w:rsid w:val="00675FB2"/>
    <w:rsid w:val="00676E00"/>
    <w:rsid w:val="006777B5"/>
    <w:rsid w:val="006805F7"/>
    <w:rsid w:val="006807E8"/>
    <w:rsid w:val="00680A4E"/>
    <w:rsid w:val="00680CE3"/>
    <w:rsid w:val="00681828"/>
    <w:rsid w:val="006818B8"/>
    <w:rsid w:val="006819AD"/>
    <w:rsid w:val="00681A08"/>
    <w:rsid w:val="00684145"/>
    <w:rsid w:val="0068449B"/>
    <w:rsid w:val="00685E52"/>
    <w:rsid w:val="006864FE"/>
    <w:rsid w:val="00686B58"/>
    <w:rsid w:val="006905E3"/>
    <w:rsid w:val="00690A20"/>
    <w:rsid w:val="0069153E"/>
    <w:rsid w:val="00691F4E"/>
    <w:rsid w:val="0069216C"/>
    <w:rsid w:val="006922C7"/>
    <w:rsid w:val="00692858"/>
    <w:rsid w:val="00692E84"/>
    <w:rsid w:val="00693B94"/>
    <w:rsid w:val="006946C7"/>
    <w:rsid w:val="00695CDA"/>
    <w:rsid w:val="00696FDE"/>
    <w:rsid w:val="006A05A8"/>
    <w:rsid w:val="006A071E"/>
    <w:rsid w:val="006A126A"/>
    <w:rsid w:val="006A15F4"/>
    <w:rsid w:val="006A1B61"/>
    <w:rsid w:val="006A236A"/>
    <w:rsid w:val="006A295C"/>
    <w:rsid w:val="006A29C5"/>
    <w:rsid w:val="006A3524"/>
    <w:rsid w:val="006A4C2C"/>
    <w:rsid w:val="006A4FA7"/>
    <w:rsid w:val="006A5035"/>
    <w:rsid w:val="006A511C"/>
    <w:rsid w:val="006A5833"/>
    <w:rsid w:val="006A58AA"/>
    <w:rsid w:val="006A6025"/>
    <w:rsid w:val="006A62C6"/>
    <w:rsid w:val="006A631B"/>
    <w:rsid w:val="006A66C8"/>
    <w:rsid w:val="006A6831"/>
    <w:rsid w:val="006A74AF"/>
    <w:rsid w:val="006B1351"/>
    <w:rsid w:val="006B34F4"/>
    <w:rsid w:val="006B41F9"/>
    <w:rsid w:val="006B4DB0"/>
    <w:rsid w:val="006B5C9F"/>
    <w:rsid w:val="006B709D"/>
    <w:rsid w:val="006C04E6"/>
    <w:rsid w:val="006C308F"/>
    <w:rsid w:val="006C339E"/>
    <w:rsid w:val="006C3646"/>
    <w:rsid w:val="006C41DC"/>
    <w:rsid w:val="006C4643"/>
    <w:rsid w:val="006C4B08"/>
    <w:rsid w:val="006C4FB1"/>
    <w:rsid w:val="006C50DF"/>
    <w:rsid w:val="006C591A"/>
    <w:rsid w:val="006C6110"/>
    <w:rsid w:val="006C6C79"/>
    <w:rsid w:val="006C722F"/>
    <w:rsid w:val="006C7344"/>
    <w:rsid w:val="006D035A"/>
    <w:rsid w:val="006D04CA"/>
    <w:rsid w:val="006D17C9"/>
    <w:rsid w:val="006D3399"/>
    <w:rsid w:val="006D479A"/>
    <w:rsid w:val="006D5387"/>
    <w:rsid w:val="006D56AA"/>
    <w:rsid w:val="006D592D"/>
    <w:rsid w:val="006D697D"/>
    <w:rsid w:val="006D71D1"/>
    <w:rsid w:val="006D7B1B"/>
    <w:rsid w:val="006D7DA8"/>
    <w:rsid w:val="006E05C5"/>
    <w:rsid w:val="006E2D33"/>
    <w:rsid w:val="006E2F8E"/>
    <w:rsid w:val="006E3807"/>
    <w:rsid w:val="006E38C8"/>
    <w:rsid w:val="006E3CC3"/>
    <w:rsid w:val="006E3F98"/>
    <w:rsid w:val="006E51BE"/>
    <w:rsid w:val="006E5F76"/>
    <w:rsid w:val="006E6070"/>
    <w:rsid w:val="006E6C4A"/>
    <w:rsid w:val="006E71AC"/>
    <w:rsid w:val="006E730D"/>
    <w:rsid w:val="006E7E82"/>
    <w:rsid w:val="006F0571"/>
    <w:rsid w:val="006F0932"/>
    <w:rsid w:val="006F16F0"/>
    <w:rsid w:val="006F1A0D"/>
    <w:rsid w:val="006F221F"/>
    <w:rsid w:val="006F38C2"/>
    <w:rsid w:val="006F3C32"/>
    <w:rsid w:val="006F45D9"/>
    <w:rsid w:val="006F54E5"/>
    <w:rsid w:val="006F6C00"/>
    <w:rsid w:val="006F6FAE"/>
    <w:rsid w:val="006F70FA"/>
    <w:rsid w:val="006F77B7"/>
    <w:rsid w:val="0070052B"/>
    <w:rsid w:val="00700F5D"/>
    <w:rsid w:val="00701710"/>
    <w:rsid w:val="00701A90"/>
    <w:rsid w:val="00703206"/>
    <w:rsid w:val="007033C3"/>
    <w:rsid w:val="00703622"/>
    <w:rsid w:val="00704764"/>
    <w:rsid w:val="00705BBA"/>
    <w:rsid w:val="00705F71"/>
    <w:rsid w:val="00706278"/>
    <w:rsid w:val="007076BE"/>
    <w:rsid w:val="00710478"/>
    <w:rsid w:val="00710B76"/>
    <w:rsid w:val="00711F38"/>
    <w:rsid w:val="00712162"/>
    <w:rsid w:val="00712216"/>
    <w:rsid w:val="007133E2"/>
    <w:rsid w:val="00713F26"/>
    <w:rsid w:val="00714E01"/>
    <w:rsid w:val="0071628E"/>
    <w:rsid w:val="00717E02"/>
    <w:rsid w:val="00717F32"/>
    <w:rsid w:val="0072059D"/>
    <w:rsid w:val="00721F2C"/>
    <w:rsid w:val="00723C41"/>
    <w:rsid w:val="00723ED6"/>
    <w:rsid w:val="00725491"/>
    <w:rsid w:val="00725577"/>
    <w:rsid w:val="007261B3"/>
    <w:rsid w:val="007314CC"/>
    <w:rsid w:val="007316FA"/>
    <w:rsid w:val="0073224B"/>
    <w:rsid w:val="007323B3"/>
    <w:rsid w:val="00732ADF"/>
    <w:rsid w:val="00733677"/>
    <w:rsid w:val="00733ED4"/>
    <w:rsid w:val="0073487B"/>
    <w:rsid w:val="007355FF"/>
    <w:rsid w:val="00737064"/>
    <w:rsid w:val="00737830"/>
    <w:rsid w:val="007378DB"/>
    <w:rsid w:val="00737ADA"/>
    <w:rsid w:val="0074101F"/>
    <w:rsid w:val="00742634"/>
    <w:rsid w:val="00742BCA"/>
    <w:rsid w:val="00743B81"/>
    <w:rsid w:val="00744DAD"/>
    <w:rsid w:val="0074527A"/>
    <w:rsid w:val="0074535C"/>
    <w:rsid w:val="007459F5"/>
    <w:rsid w:val="00745A85"/>
    <w:rsid w:val="00745AE7"/>
    <w:rsid w:val="00745C6C"/>
    <w:rsid w:val="00745DC0"/>
    <w:rsid w:val="0074613D"/>
    <w:rsid w:val="00747949"/>
    <w:rsid w:val="00747EE2"/>
    <w:rsid w:val="007503A9"/>
    <w:rsid w:val="007510B0"/>
    <w:rsid w:val="00751122"/>
    <w:rsid w:val="0075165A"/>
    <w:rsid w:val="007517A1"/>
    <w:rsid w:val="0075207E"/>
    <w:rsid w:val="007522C0"/>
    <w:rsid w:val="00753948"/>
    <w:rsid w:val="00754BE3"/>
    <w:rsid w:val="0075500A"/>
    <w:rsid w:val="00755048"/>
    <w:rsid w:val="00755899"/>
    <w:rsid w:val="00755E75"/>
    <w:rsid w:val="00757C05"/>
    <w:rsid w:val="007610CB"/>
    <w:rsid w:val="0076297C"/>
    <w:rsid w:val="007630B1"/>
    <w:rsid w:val="00763BAB"/>
    <w:rsid w:val="00764270"/>
    <w:rsid w:val="00764BF1"/>
    <w:rsid w:val="007651A7"/>
    <w:rsid w:val="00766B34"/>
    <w:rsid w:val="007678BA"/>
    <w:rsid w:val="00770E7A"/>
    <w:rsid w:val="007722EB"/>
    <w:rsid w:val="00772FBE"/>
    <w:rsid w:val="0077362C"/>
    <w:rsid w:val="0077370F"/>
    <w:rsid w:val="00774746"/>
    <w:rsid w:val="00774F83"/>
    <w:rsid w:val="0077622C"/>
    <w:rsid w:val="00776E2D"/>
    <w:rsid w:val="00780AEC"/>
    <w:rsid w:val="0078191C"/>
    <w:rsid w:val="007830A3"/>
    <w:rsid w:val="007847E9"/>
    <w:rsid w:val="007852B4"/>
    <w:rsid w:val="0078545A"/>
    <w:rsid w:val="0078561B"/>
    <w:rsid w:val="007859E7"/>
    <w:rsid w:val="007872B6"/>
    <w:rsid w:val="00787F87"/>
    <w:rsid w:val="00790916"/>
    <w:rsid w:val="00790A38"/>
    <w:rsid w:val="007911C0"/>
    <w:rsid w:val="007915D9"/>
    <w:rsid w:val="00791EA0"/>
    <w:rsid w:val="00792758"/>
    <w:rsid w:val="00792A08"/>
    <w:rsid w:val="00792AB5"/>
    <w:rsid w:val="007932A4"/>
    <w:rsid w:val="007939AE"/>
    <w:rsid w:val="00793C68"/>
    <w:rsid w:val="00794331"/>
    <w:rsid w:val="00794FCA"/>
    <w:rsid w:val="00795345"/>
    <w:rsid w:val="00795BF7"/>
    <w:rsid w:val="00795F19"/>
    <w:rsid w:val="00796288"/>
    <w:rsid w:val="00796970"/>
    <w:rsid w:val="007979FA"/>
    <w:rsid w:val="00797AEE"/>
    <w:rsid w:val="00797B52"/>
    <w:rsid w:val="007A01EF"/>
    <w:rsid w:val="007A0D7C"/>
    <w:rsid w:val="007A1D2E"/>
    <w:rsid w:val="007A225D"/>
    <w:rsid w:val="007A23A8"/>
    <w:rsid w:val="007A2DB7"/>
    <w:rsid w:val="007A2F71"/>
    <w:rsid w:val="007A3C84"/>
    <w:rsid w:val="007A3F5B"/>
    <w:rsid w:val="007A46DF"/>
    <w:rsid w:val="007A4D76"/>
    <w:rsid w:val="007A578B"/>
    <w:rsid w:val="007A6816"/>
    <w:rsid w:val="007A7213"/>
    <w:rsid w:val="007A77A4"/>
    <w:rsid w:val="007B022E"/>
    <w:rsid w:val="007B07B0"/>
    <w:rsid w:val="007B1382"/>
    <w:rsid w:val="007B4591"/>
    <w:rsid w:val="007B4AFA"/>
    <w:rsid w:val="007B5786"/>
    <w:rsid w:val="007B5FAE"/>
    <w:rsid w:val="007B6436"/>
    <w:rsid w:val="007B6B30"/>
    <w:rsid w:val="007B7492"/>
    <w:rsid w:val="007B7A10"/>
    <w:rsid w:val="007B7A52"/>
    <w:rsid w:val="007B7A7C"/>
    <w:rsid w:val="007C174E"/>
    <w:rsid w:val="007C2339"/>
    <w:rsid w:val="007C2B89"/>
    <w:rsid w:val="007C2DCA"/>
    <w:rsid w:val="007C2E51"/>
    <w:rsid w:val="007C30E9"/>
    <w:rsid w:val="007C39D2"/>
    <w:rsid w:val="007C3BCC"/>
    <w:rsid w:val="007C3E70"/>
    <w:rsid w:val="007C42CF"/>
    <w:rsid w:val="007C5C2E"/>
    <w:rsid w:val="007C6057"/>
    <w:rsid w:val="007C6452"/>
    <w:rsid w:val="007C6676"/>
    <w:rsid w:val="007C6D0C"/>
    <w:rsid w:val="007D0088"/>
    <w:rsid w:val="007D2192"/>
    <w:rsid w:val="007D24B8"/>
    <w:rsid w:val="007D27FC"/>
    <w:rsid w:val="007D29AF"/>
    <w:rsid w:val="007D4806"/>
    <w:rsid w:val="007D5055"/>
    <w:rsid w:val="007D5823"/>
    <w:rsid w:val="007D7F3D"/>
    <w:rsid w:val="007E17DA"/>
    <w:rsid w:val="007E18EC"/>
    <w:rsid w:val="007E1C9C"/>
    <w:rsid w:val="007E3264"/>
    <w:rsid w:val="007E3B62"/>
    <w:rsid w:val="007E41A9"/>
    <w:rsid w:val="007E5381"/>
    <w:rsid w:val="007E5DC7"/>
    <w:rsid w:val="007E6662"/>
    <w:rsid w:val="007E6B95"/>
    <w:rsid w:val="007E6BB8"/>
    <w:rsid w:val="007E6CAA"/>
    <w:rsid w:val="007E7D82"/>
    <w:rsid w:val="007F05D9"/>
    <w:rsid w:val="007F09EE"/>
    <w:rsid w:val="007F0E92"/>
    <w:rsid w:val="007F15FA"/>
    <w:rsid w:val="007F1CFE"/>
    <w:rsid w:val="007F2205"/>
    <w:rsid w:val="007F286E"/>
    <w:rsid w:val="007F2BCB"/>
    <w:rsid w:val="007F2E91"/>
    <w:rsid w:val="007F36EB"/>
    <w:rsid w:val="007F3E88"/>
    <w:rsid w:val="007F3EDE"/>
    <w:rsid w:val="007F40D5"/>
    <w:rsid w:val="007F478B"/>
    <w:rsid w:val="007F526A"/>
    <w:rsid w:val="007F5288"/>
    <w:rsid w:val="007F55F6"/>
    <w:rsid w:val="007F7013"/>
    <w:rsid w:val="007F719C"/>
    <w:rsid w:val="007F7216"/>
    <w:rsid w:val="007F73F6"/>
    <w:rsid w:val="007F7442"/>
    <w:rsid w:val="007F7A59"/>
    <w:rsid w:val="007F7AC1"/>
    <w:rsid w:val="007F7B63"/>
    <w:rsid w:val="0080036C"/>
    <w:rsid w:val="0080166C"/>
    <w:rsid w:val="008018C3"/>
    <w:rsid w:val="008018DB"/>
    <w:rsid w:val="00803336"/>
    <w:rsid w:val="00803D06"/>
    <w:rsid w:val="0080450E"/>
    <w:rsid w:val="00804ECC"/>
    <w:rsid w:val="0080533B"/>
    <w:rsid w:val="0080632A"/>
    <w:rsid w:val="0080681A"/>
    <w:rsid w:val="008076D7"/>
    <w:rsid w:val="00807CA3"/>
    <w:rsid w:val="00812283"/>
    <w:rsid w:val="008126E6"/>
    <w:rsid w:val="00812E93"/>
    <w:rsid w:val="0081492E"/>
    <w:rsid w:val="00816B1F"/>
    <w:rsid w:val="00817480"/>
    <w:rsid w:val="00820113"/>
    <w:rsid w:val="00821D63"/>
    <w:rsid w:val="00822D5D"/>
    <w:rsid w:val="008232D5"/>
    <w:rsid w:val="00824291"/>
    <w:rsid w:val="00824C02"/>
    <w:rsid w:val="00824E14"/>
    <w:rsid w:val="0082526A"/>
    <w:rsid w:val="008261B2"/>
    <w:rsid w:val="0082638E"/>
    <w:rsid w:val="0082674F"/>
    <w:rsid w:val="008269FC"/>
    <w:rsid w:val="00827067"/>
    <w:rsid w:val="008278B1"/>
    <w:rsid w:val="0083029F"/>
    <w:rsid w:val="00833950"/>
    <w:rsid w:val="008339C8"/>
    <w:rsid w:val="008344DF"/>
    <w:rsid w:val="0083486B"/>
    <w:rsid w:val="008371EF"/>
    <w:rsid w:val="008371F4"/>
    <w:rsid w:val="00837368"/>
    <w:rsid w:val="00837895"/>
    <w:rsid w:val="0083791F"/>
    <w:rsid w:val="008400A6"/>
    <w:rsid w:val="008404E1"/>
    <w:rsid w:val="00840D2D"/>
    <w:rsid w:val="00841ADA"/>
    <w:rsid w:val="00842843"/>
    <w:rsid w:val="0084395F"/>
    <w:rsid w:val="0084445F"/>
    <w:rsid w:val="00844F80"/>
    <w:rsid w:val="008451F7"/>
    <w:rsid w:val="0084758E"/>
    <w:rsid w:val="00847710"/>
    <w:rsid w:val="00847728"/>
    <w:rsid w:val="00847B79"/>
    <w:rsid w:val="00850C07"/>
    <w:rsid w:val="00851000"/>
    <w:rsid w:val="008516F1"/>
    <w:rsid w:val="00851936"/>
    <w:rsid w:val="00851DF1"/>
    <w:rsid w:val="00853B0D"/>
    <w:rsid w:val="00853E78"/>
    <w:rsid w:val="0085497A"/>
    <w:rsid w:val="00855A14"/>
    <w:rsid w:val="0085702F"/>
    <w:rsid w:val="00860058"/>
    <w:rsid w:val="00860092"/>
    <w:rsid w:val="00860986"/>
    <w:rsid w:val="008621D9"/>
    <w:rsid w:val="0086224F"/>
    <w:rsid w:val="00862300"/>
    <w:rsid w:val="00862B71"/>
    <w:rsid w:val="0086388B"/>
    <w:rsid w:val="00863D5A"/>
    <w:rsid w:val="00863FA3"/>
    <w:rsid w:val="00864285"/>
    <w:rsid w:val="00864814"/>
    <w:rsid w:val="00864905"/>
    <w:rsid w:val="00864FDD"/>
    <w:rsid w:val="00867301"/>
    <w:rsid w:val="00867EBB"/>
    <w:rsid w:val="00870550"/>
    <w:rsid w:val="00871C44"/>
    <w:rsid w:val="00872408"/>
    <w:rsid w:val="008749AA"/>
    <w:rsid w:val="00876359"/>
    <w:rsid w:val="008773A5"/>
    <w:rsid w:val="008775B0"/>
    <w:rsid w:val="008776EA"/>
    <w:rsid w:val="00877C4B"/>
    <w:rsid w:val="008805E2"/>
    <w:rsid w:val="008808B2"/>
    <w:rsid w:val="00880A9B"/>
    <w:rsid w:val="0088230D"/>
    <w:rsid w:val="00883029"/>
    <w:rsid w:val="00885827"/>
    <w:rsid w:val="00885DDA"/>
    <w:rsid w:val="00885F53"/>
    <w:rsid w:val="00886947"/>
    <w:rsid w:val="008872D7"/>
    <w:rsid w:val="008905D8"/>
    <w:rsid w:val="00890ACD"/>
    <w:rsid w:val="00891082"/>
    <w:rsid w:val="008913F3"/>
    <w:rsid w:val="008923FC"/>
    <w:rsid w:val="008929A8"/>
    <w:rsid w:val="0089310B"/>
    <w:rsid w:val="008932E7"/>
    <w:rsid w:val="00894219"/>
    <w:rsid w:val="008951E5"/>
    <w:rsid w:val="0089729B"/>
    <w:rsid w:val="00897375"/>
    <w:rsid w:val="008973C1"/>
    <w:rsid w:val="0089770B"/>
    <w:rsid w:val="008A0017"/>
    <w:rsid w:val="008A0022"/>
    <w:rsid w:val="008A01A8"/>
    <w:rsid w:val="008A0611"/>
    <w:rsid w:val="008A0D31"/>
    <w:rsid w:val="008A1A37"/>
    <w:rsid w:val="008A20E4"/>
    <w:rsid w:val="008A2418"/>
    <w:rsid w:val="008A26E5"/>
    <w:rsid w:val="008A35F5"/>
    <w:rsid w:val="008A3665"/>
    <w:rsid w:val="008A52FD"/>
    <w:rsid w:val="008A6272"/>
    <w:rsid w:val="008A6B63"/>
    <w:rsid w:val="008B141A"/>
    <w:rsid w:val="008B1722"/>
    <w:rsid w:val="008B23C2"/>
    <w:rsid w:val="008B2661"/>
    <w:rsid w:val="008B2D3E"/>
    <w:rsid w:val="008B52F2"/>
    <w:rsid w:val="008B5A88"/>
    <w:rsid w:val="008B5E24"/>
    <w:rsid w:val="008B68E0"/>
    <w:rsid w:val="008B7EF5"/>
    <w:rsid w:val="008B7F23"/>
    <w:rsid w:val="008C044B"/>
    <w:rsid w:val="008C1287"/>
    <w:rsid w:val="008C1334"/>
    <w:rsid w:val="008C1459"/>
    <w:rsid w:val="008C3452"/>
    <w:rsid w:val="008C3BD3"/>
    <w:rsid w:val="008C46D2"/>
    <w:rsid w:val="008C5969"/>
    <w:rsid w:val="008C655D"/>
    <w:rsid w:val="008C7876"/>
    <w:rsid w:val="008D04C1"/>
    <w:rsid w:val="008D0FEE"/>
    <w:rsid w:val="008D2535"/>
    <w:rsid w:val="008D2991"/>
    <w:rsid w:val="008D35FC"/>
    <w:rsid w:val="008D361F"/>
    <w:rsid w:val="008D3BE4"/>
    <w:rsid w:val="008D562C"/>
    <w:rsid w:val="008D6F26"/>
    <w:rsid w:val="008D70DC"/>
    <w:rsid w:val="008D7309"/>
    <w:rsid w:val="008E0EA7"/>
    <w:rsid w:val="008E10D1"/>
    <w:rsid w:val="008E1C9B"/>
    <w:rsid w:val="008E29EA"/>
    <w:rsid w:val="008E34AE"/>
    <w:rsid w:val="008E3F6F"/>
    <w:rsid w:val="008E4DD6"/>
    <w:rsid w:val="008E5289"/>
    <w:rsid w:val="008E5D62"/>
    <w:rsid w:val="008E5FF0"/>
    <w:rsid w:val="008F0710"/>
    <w:rsid w:val="008F1227"/>
    <w:rsid w:val="008F137D"/>
    <w:rsid w:val="008F1831"/>
    <w:rsid w:val="008F298D"/>
    <w:rsid w:val="008F2C8A"/>
    <w:rsid w:val="008F2EC3"/>
    <w:rsid w:val="008F3DED"/>
    <w:rsid w:val="008F427C"/>
    <w:rsid w:val="008F428E"/>
    <w:rsid w:val="008F4880"/>
    <w:rsid w:val="008F50A2"/>
    <w:rsid w:val="008F54E9"/>
    <w:rsid w:val="008F5E4F"/>
    <w:rsid w:val="008F6C5C"/>
    <w:rsid w:val="008F7B93"/>
    <w:rsid w:val="009019AA"/>
    <w:rsid w:val="00901C86"/>
    <w:rsid w:val="00903ECA"/>
    <w:rsid w:val="00904EC7"/>
    <w:rsid w:val="009058CB"/>
    <w:rsid w:val="009063AD"/>
    <w:rsid w:val="0090676E"/>
    <w:rsid w:val="00907B03"/>
    <w:rsid w:val="00907C48"/>
    <w:rsid w:val="009109D2"/>
    <w:rsid w:val="00910B96"/>
    <w:rsid w:val="00910C71"/>
    <w:rsid w:val="00910C7D"/>
    <w:rsid w:val="00912CD4"/>
    <w:rsid w:val="0091365D"/>
    <w:rsid w:val="00913FCB"/>
    <w:rsid w:val="0091462B"/>
    <w:rsid w:val="009170D1"/>
    <w:rsid w:val="00917371"/>
    <w:rsid w:val="00917620"/>
    <w:rsid w:val="00917C96"/>
    <w:rsid w:val="0092008D"/>
    <w:rsid w:val="00920699"/>
    <w:rsid w:val="009208CE"/>
    <w:rsid w:val="00920B8B"/>
    <w:rsid w:val="00921378"/>
    <w:rsid w:val="009213EA"/>
    <w:rsid w:val="009217BA"/>
    <w:rsid w:val="009218D9"/>
    <w:rsid w:val="00921BA2"/>
    <w:rsid w:val="00922889"/>
    <w:rsid w:val="00923887"/>
    <w:rsid w:val="009238C3"/>
    <w:rsid w:val="009245BF"/>
    <w:rsid w:val="009256F4"/>
    <w:rsid w:val="00925C5A"/>
    <w:rsid w:val="009262A6"/>
    <w:rsid w:val="00926E97"/>
    <w:rsid w:val="00926F63"/>
    <w:rsid w:val="009273F9"/>
    <w:rsid w:val="00930801"/>
    <w:rsid w:val="00931025"/>
    <w:rsid w:val="00931352"/>
    <w:rsid w:val="00931568"/>
    <w:rsid w:val="00931B5F"/>
    <w:rsid w:val="0093209C"/>
    <w:rsid w:val="00932720"/>
    <w:rsid w:val="00933088"/>
    <w:rsid w:val="0093312C"/>
    <w:rsid w:val="0093369D"/>
    <w:rsid w:val="00933C7E"/>
    <w:rsid w:val="00935570"/>
    <w:rsid w:val="00936488"/>
    <w:rsid w:val="00936ED6"/>
    <w:rsid w:val="00936FAC"/>
    <w:rsid w:val="009407F5"/>
    <w:rsid w:val="00940A7C"/>
    <w:rsid w:val="00940D9C"/>
    <w:rsid w:val="00941717"/>
    <w:rsid w:val="00943198"/>
    <w:rsid w:val="009441A2"/>
    <w:rsid w:val="0094445B"/>
    <w:rsid w:val="009444D6"/>
    <w:rsid w:val="00944C76"/>
    <w:rsid w:val="00945A84"/>
    <w:rsid w:val="00945E97"/>
    <w:rsid w:val="00946607"/>
    <w:rsid w:val="009467D0"/>
    <w:rsid w:val="00946FD1"/>
    <w:rsid w:val="00947F65"/>
    <w:rsid w:val="00950575"/>
    <w:rsid w:val="0095146F"/>
    <w:rsid w:val="0095202C"/>
    <w:rsid w:val="009520BF"/>
    <w:rsid w:val="009524B2"/>
    <w:rsid w:val="009525D4"/>
    <w:rsid w:val="00952EEB"/>
    <w:rsid w:val="00953B70"/>
    <w:rsid w:val="00953D16"/>
    <w:rsid w:val="00953E3D"/>
    <w:rsid w:val="00953F13"/>
    <w:rsid w:val="00954130"/>
    <w:rsid w:val="00955D5A"/>
    <w:rsid w:val="009563D8"/>
    <w:rsid w:val="009567DF"/>
    <w:rsid w:val="00957293"/>
    <w:rsid w:val="0096036F"/>
    <w:rsid w:val="00960573"/>
    <w:rsid w:val="00960C63"/>
    <w:rsid w:val="00961BF3"/>
    <w:rsid w:val="00962AA6"/>
    <w:rsid w:val="009631B8"/>
    <w:rsid w:val="00964D9A"/>
    <w:rsid w:val="00966619"/>
    <w:rsid w:val="0096689B"/>
    <w:rsid w:val="00967F37"/>
    <w:rsid w:val="0097148A"/>
    <w:rsid w:val="0097166C"/>
    <w:rsid w:val="00971839"/>
    <w:rsid w:val="00972DA4"/>
    <w:rsid w:val="0097392A"/>
    <w:rsid w:val="00973CD2"/>
    <w:rsid w:val="009751FF"/>
    <w:rsid w:val="00975A62"/>
    <w:rsid w:val="00976CB6"/>
    <w:rsid w:val="00976D6D"/>
    <w:rsid w:val="009777DD"/>
    <w:rsid w:val="009806ED"/>
    <w:rsid w:val="009808FE"/>
    <w:rsid w:val="00980B3D"/>
    <w:rsid w:val="00981210"/>
    <w:rsid w:val="0098174E"/>
    <w:rsid w:val="00981CAA"/>
    <w:rsid w:val="00981D16"/>
    <w:rsid w:val="00982109"/>
    <w:rsid w:val="00982122"/>
    <w:rsid w:val="0098426E"/>
    <w:rsid w:val="00984858"/>
    <w:rsid w:val="00985721"/>
    <w:rsid w:val="00985913"/>
    <w:rsid w:val="00985FE9"/>
    <w:rsid w:val="009866B7"/>
    <w:rsid w:val="00986A50"/>
    <w:rsid w:val="00986F76"/>
    <w:rsid w:val="009908CA"/>
    <w:rsid w:val="009931FB"/>
    <w:rsid w:val="00993456"/>
    <w:rsid w:val="0099378C"/>
    <w:rsid w:val="00994156"/>
    <w:rsid w:val="0099585C"/>
    <w:rsid w:val="00995FDE"/>
    <w:rsid w:val="00996162"/>
    <w:rsid w:val="00996C81"/>
    <w:rsid w:val="00997935"/>
    <w:rsid w:val="009A07CE"/>
    <w:rsid w:val="009A1754"/>
    <w:rsid w:val="009A3474"/>
    <w:rsid w:val="009A3DA5"/>
    <w:rsid w:val="009A5362"/>
    <w:rsid w:val="009A5EC2"/>
    <w:rsid w:val="009A7826"/>
    <w:rsid w:val="009A7828"/>
    <w:rsid w:val="009B018B"/>
    <w:rsid w:val="009B18E4"/>
    <w:rsid w:val="009B1983"/>
    <w:rsid w:val="009B44F1"/>
    <w:rsid w:val="009B466F"/>
    <w:rsid w:val="009B61E6"/>
    <w:rsid w:val="009B791E"/>
    <w:rsid w:val="009B7E52"/>
    <w:rsid w:val="009C017B"/>
    <w:rsid w:val="009C0651"/>
    <w:rsid w:val="009C1991"/>
    <w:rsid w:val="009C2216"/>
    <w:rsid w:val="009C22E3"/>
    <w:rsid w:val="009C311B"/>
    <w:rsid w:val="009C48BD"/>
    <w:rsid w:val="009C5108"/>
    <w:rsid w:val="009C5C0C"/>
    <w:rsid w:val="009C7106"/>
    <w:rsid w:val="009C7680"/>
    <w:rsid w:val="009D063F"/>
    <w:rsid w:val="009D0799"/>
    <w:rsid w:val="009D0A73"/>
    <w:rsid w:val="009D168E"/>
    <w:rsid w:val="009D1DE4"/>
    <w:rsid w:val="009D1F0F"/>
    <w:rsid w:val="009D3F7A"/>
    <w:rsid w:val="009D5426"/>
    <w:rsid w:val="009D5AED"/>
    <w:rsid w:val="009D6BC0"/>
    <w:rsid w:val="009E0B37"/>
    <w:rsid w:val="009E0CB0"/>
    <w:rsid w:val="009E1682"/>
    <w:rsid w:val="009E204B"/>
    <w:rsid w:val="009E2736"/>
    <w:rsid w:val="009E2A8B"/>
    <w:rsid w:val="009E39EF"/>
    <w:rsid w:val="009E4444"/>
    <w:rsid w:val="009E4C01"/>
    <w:rsid w:val="009E4E68"/>
    <w:rsid w:val="009E5FD9"/>
    <w:rsid w:val="009E67B9"/>
    <w:rsid w:val="009E7249"/>
    <w:rsid w:val="009E73C4"/>
    <w:rsid w:val="009EBF6D"/>
    <w:rsid w:val="009F05D1"/>
    <w:rsid w:val="009F0644"/>
    <w:rsid w:val="009F1464"/>
    <w:rsid w:val="009F262E"/>
    <w:rsid w:val="009F28F0"/>
    <w:rsid w:val="009F31BE"/>
    <w:rsid w:val="009F35DE"/>
    <w:rsid w:val="009F3BED"/>
    <w:rsid w:val="009F3CF3"/>
    <w:rsid w:val="009F4A7C"/>
    <w:rsid w:val="009F4BD4"/>
    <w:rsid w:val="009F668A"/>
    <w:rsid w:val="009F6AE1"/>
    <w:rsid w:val="009F7A4B"/>
    <w:rsid w:val="00A0006C"/>
    <w:rsid w:val="00A008F0"/>
    <w:rsid w:val="00A009D8"/>
    <w:rsid w:val="00A00FE4"/>
    <w:rsid w:val="00A020FE"/>
    <w:rsid w:val="00A03A85"/>
    <w:rsid w:val="00A0442C"/>
    <w:rsid w:val="00A04799"/>
    <w:rsid w:val="00A06B32"/>
    <w:rsid w:val="00A0707B"/>
    <w:rsid w:val="00A0756A"/>
    <w:rsid w:val="00A07968"/>
    <w:rsid w:val="00A10591"/>
    <w:rsid w:val="00A10A4F"/>
    <w:rsid w:val="00A1129A"/>
    <w:rsid w:val="00A112E3"/>
    <w:rsid w:val="00A11A49"/>
    <w:rsid w:val="00A137C3"/>
    <w:rsid w:val="00A13B30"/>
    <w:rsid w:val="00A143C7"/>
    <w:rsid w:val="00A15A9C"/>
    <w:rsid w:val="00A15B05"/>
    <w:rsid w:val="00A160D8"/>
    <w:rsid w:val="00A16115"/>
    <w:rsid w:val="00A16B13"/>
    <w:rsid w:val="00A16F48"/>
    <w:rsid w:val="00A20089"/>
    <w:rsid w:val="00A206B0"/>
    <w:rsid w:val="00A213F1"/>
    <w:rsid w:val="00A21CB8"/>
    <w:rsid w:val="00A22D54"/>
    <w:rsid w:val="00A243CE"/>
    <w:rsid w:val="00A24663"/>
    <w:rsid w:val="00A24D15"/>
    <w:rsid w:val="00A253E1"/>
    <w:rsid w:val="00A254D5"/>
    <w:rsid w:val="00A256B4"/>
    <w:rsid w:val="00A2587A"/>
    <w:rsid w:val="00A258FF"/>
    <w:rsid w:val="00A25E42"/>
    <w:rsid w:val="00A260EC"/>
    <w:rsid w:val="00A26107"/>
    <w:rsid w:val="00A261AF"/>
    <w:rsid w:val="00A26DE5"/>
    <w:rsid w:val="00A27163"/>
    <w:rsid w:val="00A27812"/>
    <w:rsid w:val="00A30728"/>
    <w:rsid w:val="00A312AC"/>
    <w:rsid w:val="00A32230"/>
    <w:rsid w:val="00A3268F"/>
    <w:rsid w:val="00A32731"/>
    <w:rsid w:val="00A3355A"/>
    <w:rsid w:val="00A3361F"/>
    <w:rsid w:val="00A336F7"/>
    <w:rsid w:val="00A34361"/>
    <w:rsid w:val="00A344B1"/>
    <w:rsid w:val="00A356CC"/>
    <w:rsid w:val="00A36A8E"/>
    <w:rsid w:val="00A36BBD"/>
    <w:rsid w:val="00A36DCF"/>
    <w:rsid w:val="00A41909"/>
    <w:rsid w:val="00A41E8E"/>
    <w:rsid w:val="00A42003"/>
    <w:rsid w:val="00A42662"/>
    <w:rsid w:val="00A4388F"/>
    <w:rsid w:val="00A4502B"/>
    <w:rsid w:val="00A45264"/>
    <w:rsid w:val="00A4595A"/>
    <w:rsid w:val="00A474FB"/>
    <w:rsid w:val="00A506C6"/>
    <w:rsid w:val="00A507FF"/>
    <w:rsid w:val="00A508BD"/>
    <w:rsid w:val="00A5099F"/>
    <w:rsid w:val="00A50B9C"/>
    <w:rsid w:val="00A510EF"/>
    <w:rsid w:val="00A519B8"/>
    <w:rsid w:val="00A52287"/>
    <w:rsid w:val="00A522FD"/>
    <w:rsid w:val="00A52968"/>
    <w:rsid w:val="00A52FF5"/>
    <w:rsid w:val="00A53550"/>
    <w:rsid w:val="00A53FAD"/>
    <w:rsid w:val="00A551BD"/>
    <w:rsid w:val="00A55508"/>
    <w:rsid w:val="00A55A52"/>
    <w:rsid w:val="00A56FAB"/>
    <w:rsid w:val="00A60638"/>
    <w:rsid w:val="00A6144A"/>
    <w:rsid w:val="00A61D89"/>
    <w:rsid w:val="00A61E7A"/>
    <w:rsid w:val="00A62F7A"/>
    <w:rsid w:val="00A637A2"/>
    <w:rsid w:val="00A63FC2"/>
    <w:rsid w:val="00A64A83"/>
    <w:rsid w:val="00A65043"/>
    <w:rsid w:val="00A65D99"/>
    <w:rsid w:val="00A70200"/>
    <w:rsid w:val="00A70F7A"/>
    <w:rsid w:val="00A714B2"/>
    <w:rsid w:val="00A71E87"/>
    <w:rsid w:val="00A7201F"/>
    <w:rsid w:val="00A736AB"/>
    <w:rsid w:val="00A741B0"/>
    <w:rsid w:val="00A74989"/>
    <w:rsid w:val="00A74DE7"/>
    <w:rsid w:val="00A74FDA"/>
    <w:rsid w:val="00A75069"/>
    <w:rsid w:val="00A75A6A"/>
    <w:rsid w:val="00A77136"/>
    <w:rsid w:val="00A77A7B"/>
    <w:rsid w:val="00A803B8"/>
    <w:rsid w:val="00A8063F"/>
    <w:rsid w:val="00A80E09"/>
    <w:rsid w:val="00A8136A"/>
    <w:rsid w:val="00A815CD"/>
    <w:rsid w:val="00A81665"/>
    <w:rsid w:val="00A822B9"/>
    <w:rsid w:val="00A826D7"/>
    <w:rsid w:val="00A8283A"/>
    <w:rsid w:val="00A82E53"/>
    <w:rsid w:val="00A837C7"/>
    <w:rsid w:val="00A83C21"/>
    <w:rsid w:val="00A84734"/>
    <w:rsid w:val="00A85AAA"/>
    <w:rsid w:val="00A85C49"/>
    <w:rsid w:val="00A862E1"/>
    <w:rsid w:val="00A86699"/>
    <w:rsid w:val="00A86CD4"/>
    <w:rsid w:val="00A87FA5"/>
    <w:rsid w:val="00A9047D"/>
    <w:rsid w:val="00A909F9"/>
    <w:rsid w:val="00A90BF6"/>
    <w:rsid w:val="00A91686"/>
    <w:rsid w:val="00A9197D"/>
    <w:rsid w:val="00A91B83"/>
    <w:rsid w:val="00A91F79"/>
    <w:rsid w:val="00A92106"/>
    <w:rsid w:val="00A9246E"/>
    <w:rsid w:val="00A92B00"/>
    <w:rsid w:val="00A92D95"/>
    <w:rsid w:val="00A92E00"/>
    <w:rsid w:val="00A9356E"/>
    <w:rsid w:val="00A94436"/>
    <w:rsid w:val="00A947B0"/>
    <w:rsid w:val="00A951AA"/>
    <w:rsid w:val="00A9538B"/>
    <w:rsid w:val="00A9581F"/>
    <w:rsid w:val="00A958C5"/>
    <w:rsid w:val="00A95D38"/>
    <w:rsid w:val="00A95D91"/>
    <w:rsid w:val="00A96561"/>
    <w:rsid w:val="00A96B7F"/>
    <w:rsid w:val="00A9776D"/>
    <w:rsid w:val="00AA0093"/>
    <w:rsid w:val="00AA260C"/>
    <w:rsid w:val="00AA3106"/>
    <w:rsid w:val="00AA48B9"/>
    <w:rsid w:val="00AA4A4B"/>
    <w:rsid w:val="00AA50B3"/>
    <w:rsid w:val="00AA5471"/>
    <w:rsid w:val="00AA58FC"/>
    <w:rsid w:val="00AA5CB0"/>
    <w:rsid w:val="00AA6A49"/>
    <w:rsid w:val="00AA7EFA"/>
    <w:rsid w:val="00AB13DF"/>
    <w:rsid w:val="00AB14EE"/>
    <w:rsid w:val="00AB1BD1"/>
    <w:rsid w:val="00AB30F6"/>
    <w:rsid w:val="00AB3C41"/>
    <w:rsid w:val="00AB49BC"/>
    <w:rsid w:val="00AB5073"/>
    <w:rsid w:val="00AB50D7"/>
    <w:rsid w:val="00AB5573"/>
    <w:rsid w:val="00AB58E5"/>
    <w:rsid w:val="00AB5D70"/>
    <w:rsid w:val="00AB6337"/>
    <w:rsid w:val="00AB663E"/>
    <w:rsid w:val="00AB6E3B"/>
    <w:rsid w:val="00AB71C8"/>
    <w:rsid w:val="00AB7FD2"/>
    <w:rsid w:val="00AC0039"/>
    <w:rsid w:val="00AC17E2"/>
    <w:rsid w:val="00AC1A01"/>
    <w:rsid w:val="00AC1A9A"/>
    <w:rsid w:val="00AC30DE"/>
    <w:rsid w:val="00AC3172"/>
    <w:rsid w:val="00AC3DBA"/>
    <w:rsid w:val="00AC5FB6"/>
    <w:rsid w:val="00AC60BB"/>
    <w:rsid w:val="00AC6A43"/>
    <w:rsid w:val="00AD3897"/>
    <w:rsid w:val="00AD46FD"/>
    <w:rsid w:val="00AD4FA8"/>
    <w:rsid w:val="00AD554F"/>
    <w:rsid w:val="00AD5DC2"/>
    <w:rsid w:val="00AD6005"/>
    <w:rsid w:val="00AD6D33"/>
    <w:rsid w:val="00AD76F4"/>
    <w:rsid w:val="00AE0DBF"/>
    <w:rsid w:val="00AE1430"/>
    <w:rsid w:val="00AE1984"/>
    <w:rsid w:val="00AE2C5A"/>
    <w:rsid w:val="00AE4DBE"/>
    <w:rsid w:val="00AE53C5"/>
    <w:rsid w:val="00AE5CC4"/>
    <w:rsid w:val="00AF0408"/>
    <w:rsid w:val="00AF05FE"/>
    <w:rsid w:val="00AF09F6"/>
    <w:rsid w:val="00AF0F3E"/>
    <w:rsid w:val="00AF1AA8"/>
    <w:rsid w:val="00AF1F54"/>
    <w:rsid w:val="00AF27D9"/>
    <w:rsid w:val="00AF3654"/>
    <w:rsid w:val="00AF36C0"/>
    <w:rsid w:val="00AF3EE2"/>
    <w:rsid w:val="00AF43B5"/>
    <w:rsid w:val="00AF4537"/>
    <w:rsid w:val="00AF4614"/>
    <w:rsid w:val="00AF47C9"/>
    <w:rsid w:val="00AF48F1"/>
    <w:rsid w:val="00AF580E"/>
    <w:rsid w:val="00AF6163"/>
    <w:rsid w:val="00AF6501"/>
    <w:rsid w:val="00AF6BAA"/>
    <w:rsid w:val="00AF7BD3"/>
    <w:rsid w:val="00B0049D"/>
    <w:rsid w:val="00B01A6D"/>
    <w:rsid w:val="00B02320"/>
    <w:rsid w:val="00B03741"/>
    <w:rsid w:val="00B03D14"/>
    <w:rsid w:val="00B048F9"/>
    <w:rsid w:val="00B049EA"/>
    <w:rsid w:val="00B054BA"/>
    <w:rsid w:val="00B0578E"/>
    <w:rsid w:val="00B05D80"/>
    <w:rsid w:val="00B05EE6"/>
    <w:rsid w:val="00B06423"/>
    <w:rsid w:val="00B06C08"/>
    <w:rsid w:val="00B07B18"/>
    <w:rsid w:val="00B103D0"/>
    <w:rsid w:val="00B10686"/>
    <w:rsid w:val="00B10882"/>
    <w:rsid w:val="00B10E42"/>
    <w:rsid w:val="00B10EC2"/>
    <w:rsid w:val="00B12725"/>
    <w:rsid w:val="00B1323F"/>
    <w:rsid w:val="00B1342E"/>
    <w:rsid w:val="00B13710"/>
    <w:rsid w:val="00B13A37"/>
    <w:rsid w:val="00B13B40"/>
    <w:rsid w:val="00B14792"/>
    <w:rsid w:val="00B14E5C"/>
    <w:rsid w:val="00B15BA4"/>
    <w:rsid w:val="00B17A6C"/>
    <w:rsid w:val="00B2012A"/>
    <w:rsid w:val="00B20CF2"/>
    <w:rsid w:val="00B20FD6"/>
    <w:rsid w:val="00B21194"/>
    <w:rsid w:val="00B21204"/>
    <w:rsid w:val="00B215B5"/>
    <w:rsid w:val="00B21C1F"/>
    <w:rsid w:val="00B21D60"/>
    <w:rsid w:val="00B21F13"/>
    <w:rsid w:val="00B22D44"/>
    <w:rsid w:val="00B22E0A"/>
    <w:rsid w:val="00B23A9D"/>
    <w:rsid w:val="00B244DA"/>
    <w:rsid w:val="00B259B5"/>
    <w:rsid w:val="00B2737F"/>
    <w:rsid w:val="00B3047D"/>
    <w:rsid w:val="00B30FA9"/>
    <w:rsid w:val="00B3483A"/>
    <w:rsid w:val="00B34A35"/>
    <w:rsid w:val="00B358A7"/>
    <w:rsid w:val="00B36007"/>
    <w:rsid w:val="00B3730D"/>
    <w:rsid w:val="00B37A64"/>
    <w:rsid w:val="00B405E5"/>
    <w:rsid w:val="00B40B7E"/>
    <w:rsid w:val="00B41C30"/>
    <w:rsid w:val="00B422BE"/>
    <w:rsid w:val="00B42F4E"/>
    <w:rsid w:val="00B431DC"/>
    <w:rsid w:val="00B43287"/>
    <w:rsid w:val="00B43722"/>
    <w:rsid w:val="00B43A0F"/>
    <w:rsid w:val="00B43BCE"/>
    <w:rsid w:val="00B43FBB"/>
    <w:rsid w:val="00B444D6"/>
    <w:rsid w:val="00B44B65"/>
    <w:rsid w:val="00B44E13"/>
    <w:rsid w:val="00B4546D"/>
    <w:rsid w:val="00B45D89"/>
    <w:rsid w:val="00B45E14"/>
    <w:rsid w:val="00B4672A"/>
    <w:rsid w:val="00B47646"/>
    <w:rsid w:val="00B47B28"/>
    <w:rsid w:val="00B500CA"/>
    <w:rsid w:val="00B50BC9"/>
    <w:rsid w:val="00B511BF"/>
    <w:rsid w:val="00B5145F"/>
    <w:rsid w:val="00B517BF"/>
    <w:rsid w:val="00B51D3E"/>
    <w:rsid w:val="00B521EB"/>
    <w:rsid w:val="00B52588"/>
    <w:rsid w:val="00B53A2E"/>
    <w:rsid w:val="00B5447D"/>
    <w:rsid w:val="00B55522"/>
    <w:rsid w:val="00B562FD"/>
    <w:rsid w:val="00B569A9"/>
    <w:rsid w:val="00B5724D"/>
    <w:rsid w:val="00B57FE8"/>
    <w:rsid w:val="00B607F4"/>
    <w:rsid w:val="00B61248"/>
    <w:rsid w:val="00B614CE"/>
    <w:rsid w:val="00B62442"/>
    <w:rsid w:val="00B62BBA"/>
    <w:rsid w:val="00B635BF"/>
    <w:rsid w:val="00B64270"/>
    <w:rsid w:val="00B64C65"/>
    <w:rsid w:val="00B6504A"/>
    <w:rsid w:val="00B67448"/>
    <w:rsid w:val="00B7159F"/>
    <w:rsid w:val="00B717B8"/>
    <w:rsid w:val="00B72147"/>
    <w:rsid w:val="00B724C7"/>
    <w:rsid w:val="00B73473"/>
    <w:rsid w:val="00B73A98"/>
    <w:rsid w:val="00B74208"/>
    <w:rsid w:val="00B75524"/>
    <w:rsid w:val="00B76471"/>
    <w:rsid w:val="00B7681D"/>
    <w:rsid w:val="00B768E2"/>
    <w:rsid w:val="00B76E60"/>
    <w:rsid w:val="00B7762B"/>
    <w:rsid w:val="00B77656"/>
    <w:rsid w:val="00B77945"/>
    <w:rsid w:val="00B80ABC"/>
    <w:rsid w:val="00B80C0E"/>
    <w:rsid w:val="00B813F5"/>
    <w:rsid w:val="00B81A20"/>
    <w:rsid w:val="00B81DC4"/>
    <w:rsid w:val="00B82377"/>
    <w:rsid w:val="00B83834"/>
    <w:rsid w:val="00B838F7"/>
    <w:rsid w:val="00B851DE"/>
    <w:rsid w:val="00B858C2"/>
    <w:rsid w:val="00B85BC0"/>
    <w:rsid w:val="00B85CC2"/>
    <w:rsid w:val="00B86087"/>
    <w:rsid w:val="00B8690D"/>
    <w:rsid w:val="00B86D72"/>
    <w:rsid w:val="00B86F77"/>
    <w:rsid w:val="00B901C8"/>
    <w:rsid w:val="00B91FC2"/>
    <w:rsid w:val="00B9204F"/>
    <w:rsid w:val="00B92E32"/>
    <w:rsid w:val="00B9331D"/>
    <w:rsid w:val="00B935B8"/>
    <w:rsid w:val="00B942AC"/>
    <w:rsid w:val="00B94CCD"/>
    <w:rsid w:val="00B952F6"/>
    <w:rsid w:val="00B95894"/>
    <w:rsid w:val="00B95E4E"/>
    <w:rsid w:val="00B95F42"/>
    <w:rsid w:val="00B965F1"/>
    <w:rsid w:val="00B966FE"/>
    <w:rsid w:val="00BA001F"/>
    <w:rsid w:val="00BA28AE"/>
    <w:rsid w:val="00BA44B0"/>
    <w:rsid w:val="00BA5056"/>
    <w:rsid w:val="00BA5698"/>
    <w:rsid w:val="00BA6C7C"/>
    <w:rsid w:val="00BA79DA"/>
    <w:rsid w:val="00BB0071"/>
    <w:rsid w:val="00BB1660"/>
    <w:rsid w:val="00BB26B3"/>
    <w:rsid w:val="00BB3E42"/>
    <w:rsid w:val="00BB3EE6"/>
    <w:rsid w:val="00BB426E"/>
    <w:rsid w:val="00BB497B"/>
    <w:rsid w:val="00BB4DB1"/>
    <w:rsid w:val="00BB53E6"/>
    <w:rsid w:val="00BB5D63"/>
    <w:rsid w:val="00BB5F29"/>
    <w:rsid w:val="00BB77A3"/>
    <w:rsid w:val="00BC0E4F"/>
    <w:rsid w:val="00BC1C86"/>
    <w:rsid w:val="00BC1FBC"/>
    <w:rsid w:val="00BC2322"/>
    <w:rsid w:val="00BC26ED"/>
    <w:rsid w:val="00BC48C1"/>
    <w:rsid w:val="00BC4D1E"/>
    <w:rsid w:val="00BC6113"/>
    <w:rsid w:val="00BC63A1"/>
    <w:rsid w:val="00BC7175"/>
    <w:rsid w:val="00BC72B1"/>
    <w:rsid w:val="00BC78AD"/>
    <w:rsid w:val="00BD1228"/>
    <w:rsid w:val="00BD42E5"/>
    <w:rsid w:val="00BD47F5"/>
    <w:rsid w:val="00BD4D33"/>
    <w:rsid w:val="00BD5DFE"/>
    <w:rsid w:val="00BD6132"/>
    <w:rsid w:val="00BD7443"/>
    <w:rsid w:val="00BE0284"/>
    <w:rsid w:val="00BE070B"/>
    <w:rsid w:val="00BE0966"/>
    <w:rsid w:val="00BE0FC4"/>
    <w:rsid w:val="00BE1056"/>
    <w:rsid w:val="00BE1B4B"/>
    <w:rsid w:val="00BE48D1"/>
    <w:rsid w:val="00BE5CE5"/>
    <w:rsid w:val="00BE6484"/>
    <w:rsid w:val="00BE64D5"/>
    <w:rsid w:val="00BE7C6D"/>
    <w:rsid w:val="00BF2912"/>
    <w:rsid w:val="00BF442F"/>
    <w:rsid w:val="00BF4D92"/>
    <w:rsid w:val="00BF54FA"/>
    <w:rsid w:val="00BF57BD"/>
    <w:rsid w:val="00BF70F8"/>
    <w:rsid w:val="00BF72EE"/>
    <w:rsid w:val="00BF7785"/>
    <w:rsid w:val="00BF7A7E"/>
    <w:rsid w:val="00BF7B46"/>
    <w:rsid w:val="00C0010D"/>
    <w:rsid w:val="00C008CC"/>
    <w:rsid w:val="00C01639"/>
    <w:rsid w:val="00C01FB1"/>
    <w:rsid w:val="00C02834"/>
    <w:rsid w:val="00C028A4"/>
    <w:rsid w:val="00C02E79"/>
    <w:rsid w:val="00C0311D"/>
    <w:rsid w:val="00C038DB"/>
    <w:rsid w:val="00C07A98"/>
    <w:rsid w:val="00C07E28"/>
    <w:rsid w:val="00C10BAA"/>
    <w:rsid w:val="00C10CC9"/>
    <w:rsid w:val="00C12690"/>
    <w:rsid w:val="00C13193"/>
    <w:rsid w:val="00C1371F"/>
    <w:rsid w:val="00C15A61"/>
    <w:rsid w:val="00C15BA8"/>
    <w:rsid w:val="00C15C17"/>
    <w:rsid w:val="00C15FD0"/>
    <w:rsid w:val="00C176B4"/>
    <w:rsid w:val="00C209F5"/>
    <w:rsid w:val="00C21D24"/>
    <w:rsid w:val="00C21FDD"/>
    <w:rsid w:val="00C22930"/>
    <w:rsid w:val="00C23FF0"/>
    <w:rsid w:val="00C25C1B"/>
    <w:rsid w:val="00C262CB"/>
    <w:rsid w:val="00C26BC9"/>
    <w:rsid w:val="00C27419"/>
    <w:rsid w:val="00C2766E"/>
    <w:rsid w:val="00C27F49"/>
    <w:rsid w:val="00C30E9D"/>
    <w:rsid w:val="00C31FCC"/>
    <w:rsid w:val="00C32ED3"/>
    <w:rsid w:val="00C34331"/>
    <w:rsid w:val="00C34BFA"/>
    <w:rsid w:val="00C34C70"/>
    <w:rsid w:val="00C3547E"/>
    <w:rsid w:val="00C35A3F"/>
    <w:rsid w:val="00C361E2"/>
    <w:rsid w:val="00C3625A"/>
    <w:rsid w:val="00C362F8"/>
    <w:rsid w:val="00C36360"/>
    <w:rsid w:val="00C365CD"/>
    <w:rsid w:val="00C3662A"/>
    <w:rsid w:val="00C36ECB"/>
    <w:rsid w:val="00C37229"/>
    <w:rsid w:val="00C37506"/>
    <w:rsid w:val="00C37BCD"/>
    <w:rsid w:val="00C41EDD"/>
    <w:rsid w:val="00C41F1E"/>
    <w:rsid w:val="00C43351"/>
    <w:rsid w:val="00C441B7"/>
    <w:rsid w:val="00C44474"/>
    <w:rsid w:val="00C44635"/>
    <w:rsid w:val="00C45019"/>
    <w:rsid w:val="00C451EC"/>
    <w:rsid w:val="00C46FFB"/>
    <w:rsid w:val="00C50166"/>
    <w:rsid w:val="00C504A2"/>
    <w:rsid w:val="00C50E69"/>
    <w:rsid w:val="00C52260"/>
    <w:rsid w:val="00C524EA"/>
    <w:rsid w:val="00C53011"/>
    <w:rsid w:val="00C5352C"/>
    <w:rsid w:val="00C541F9"/>
    <w:rsid w:val="00C548D2"/>
    <w:rsid w:val="00C54A2B"/>
    <w:rsid w:val="00C556A2"/>
    <w:rsid w:val="00C56892"/>
    <w:rsid w:val="00C571CE"/>
    <w:rsid w:val="00C57E37"/>
    <w:rsid w:val="00C609B1"/>
    <w:rsid w:val="00C60F5D"/>
    <w:rsid w:val="00C619AE"/>
    <w:rsid w:val="00C61B63"/>
    <w:rsid w:val="00C61DCC"/>
    <w:rsid w:val="00C620C7"/>
    <w:rsid w:val="00C624CD"/>
    <w:rsid w:val="00C62BA9"/>
    <w:rsid w:val="00C62D6B"/>
    <w:rsid w:val="00C62E80"/>
    <w:rsid w:val="00C64110"/>
    <w:rsid w:val="00C65291"/>
    <w:rsid w:val="00C669CD"/>
    <w:rsid w:val="00C66F1B"/>
    <w:rsid w:val="00C710B8"/>
    <w:rsid w:val="00C71ABB"/>
    <w:rsid w:val="00C71E1F"/>
    <w:rsid w:val="00C725FE"/>
    <w:rsid w:val="00C732C8"/>
    <w:rsid w:val="00C73590"/>
    <w:rsid w:val="00C74830"/>
    <w:rsid w:val="00C74DA4"/>
    <w:rsid w:val="00C75C56"/>
    <w:rsid w:val="00C75DD9"/>
    <w:rsid w:val="00C75F14"/>
    <w:rsid w:val="00C762B8"/>
    <w:rsid w:val="00C77139"/>
    <w:rsid w:val="00C773D7"/>
    <w:rsid w:val="00C7761B"/>
    <w:rsid w:val="00C80FE2"/>
    <w:rsid w:val="00C822F7"/>
    <w:rsid w:val="00C82852"/>
    <w:rsid w:val="00C82B06"/>
    <w:rsid w:val="00C83D69"/>
    <w:rsid w:val="00C847D0"/>
    <w:rsid w:val="00C86027"/>
    <w:rsid w:val="00C86417"/>
    <w:rsid w:val="00C86619"/>
    <w:rsid w:val="00C866AC"/>
    <w:rsid w:val="00C87385"/>
    <w:rsid w:val="00C909BC"/>
    <w:rsid w:val="00C9144F"/>
    <w:rsid w:val="00C91EFC"/>
    <w:rsid w:val="00C92A9C"/>
    <w:rsid w:val="00C9372B"/>
    <w:rsid w:val="00C93E36"/>
    <w:rsid w:val="00C93FC5"/>
    <w:rsid w:val="00C93FF6"/>
    <w:rsid w:val="00C97CEE"/>
    <w:rsid w:val="00C97DED"/>
    <w:rsid w:val="00CA0727"/>
    <w:rsid w:val="00CA07C4"/>
    <w:rsid w:val="00CA080B"/>
    <w:rsid w:val="00CA083A"/>
    <w:rsid w:val="00CA0F11"/>
    <w:rsid w:val="00CA18B2"/>
    <w:rsid w:val="00CA1E14"/>
    <w:rsid w:val="00CA2ACC"/>
    <w:rsid w:val="00CA3321"/>
    <w:rsid w:val="00CA396C"/>
    <w:rsid w:val="00CA4236"/>
    <w:rsid w:val="00CA43DE"/>
    <w:rsid w:val="00CA53BB"/>
    <w:rsid w:val="00CA584D"/>
    <w:rsid w:val="00CA700E"/>
    <w:rsid w:val="00CA7051"/>
    <w:rsid w:val="00CA791C"/>
    <w:rsid w:val="00CA797A"/>
    <w:rsid w:val="00CB0A5F"/>
    <w:rsid w:val="00CB1028"/>
    <w:rsid w:val="00CB16C3"/>
    <w:rsid w:val="00CB1DB4"/>
    <w:rsid w:val="00CB3AAB"/>
    <w:rsid w:val="00CB4096"/>
    <w:rsid w:val="00CB5273"/>
    <w:rsid w:val="00CB6233"/>
    <w:rsid w:val="00CB7954"/>
    <w:rsid w:val="00CB7CE6"/>
    <w:rsid w:val="00CC032F"/>
    <w:rsid w:val="00CC05E3"/>
    <w:rsid w:val="00CC0BFC"/>
    <w:rsid w:val="00CC12BE"/>
    <w:rsid w:val="00CC19EB"/>
    <w:rsid w:val="00CC2204"/>
    <w:rsid w:val="00CC372D"/>
    <w:rsid w:val="00CC671E"/>
    <w:rsid w:val="00CD0053"/>
    <w:rsid w:val="00CD2118"/>
    <w:rsid w:val="00CD2A51"/>
    <w:rsid w:val="00CD2C55"/>
    <w:rsid w:val="00CD3392"/>
    <w:rsid w:val="00CD425A"/>
    <w:rsid w:val="00CD5C98"/>
    <w:rsid w:val="00CD639B"/>
    <w:rsid w:val="00CD756F"/>
    <w:rsid w:val="00CD76EE"/>
    <w:rsid w:val="00CD7A36"/>
    <w:rsid w:val="00CD7D3E"/>
    <w:rsid w:val="00CE16F3"/>
    <w:rsid w:val="00CE2767"/>
    <w:rsid w:val="00CE2D10"/>
    <w:rsid w:val="00CE3793"/>
    <w:rsid w:val="00CE3BA5"/>
    <w:rsid w:val="00CE44C4"/>
    <w:rsid w:val="00CE6374"/>
    <w:rsid w:val="00CE6B15"/>
    <w:rsid w:val="00CE6BA4"/>
    <w:rsid w:val="00CE7141"/>
    <w:rsid w:val="00CE72FF"/>
    <w:rsid w:val="00CE7EB9"/>
    <w:rsid w:val="00CF1176"/>
    <w:rsid w:val="00CF159B"/>
    <w:rsid w:val="00CF243C"/>
    <w:rsid w:val="00CF5105"/>
    <w:rsid w:val="00CF547C"/>
    <w:rsid w:val="00CF5E1D"/>
    <w:rsid w:val="00CF6921"/>
    <w:rsid w:val="00CF7241"/>
    <w:rsid w:val="00CF7B9B"/>
    <w:rsid w:val="00D0053D"/>
    <w:rsid w:val="00D0062E"/>
    <w:rsid w:val="00D008CE"/>
    <w:rsid w:val="00D00EE0"/>
    <w:rsid w:val="00D01051"/>
    <w:rsid w:val="00D012D6"/>
    <w:rsid w:val="00D013C7"/>
    <w:rsid w:val="00D028F4"/>
    <w:rsid w:val="00D02A77"/>
    <w:rsid w:val="00D03683"/>
    <w:rsid w:val="00D04E6B"/>
    <w:rsid w:val="00D0599A"/>
    <w:rsid w:val="00D07555"/>
    <w:rsid w:val="00D10063"/>
    <w:rsid w:val="00D114A0"/>
    <w:rsid w:val="00D12188"/>
    <w:rsid w:val="00D12E66"/>
    <w:rsid w:val="00D14D7A"/>
    <w:rsid w:val="00D153FA"/>
    <w:rsid w:val="00D15CA6"/>
    <w:rsid w:val="00D15CBE"/>
    <w:rsid w:val="00D179A8"/>
    <w:rsid w:val="00D204E0"/>
    <w:rsid w:val="00D21713"/>
    <w:rsid w:val="00D21A23"/>
    <w:rsid w:val="00D21C8E"/>
    <w:rsid w:val="00D2249B"/>
    <w:rsid w:val="00D22688"/>
    <w:rsid w:val="00D229E1"/>
    <w:rsid w:val="00D24954"/>
    <w:rsid w:val="00D2505D"/>
    <w:rsid w:val="00D25C67"/>
    <w:rsid w:val="00D269D6"/>
    <w:rsid w:val="00D26B76"/>
    <w:rsid w:val="00D27E49"/>
    <w:rsid w:val="00D30383"/>
    <w:rsid w:val="00D318AC"/>
    <w:rsid w:val="00D31C28"/>
    <w:rsid w:val="00D33095"/>
    <w:rsid w:val="00D332FA"/>
    <w:rsid w:val="00D33CDB"/>
    <w:rsid w:val="00D34010"/>
    <w:rsid w:val="00D34924"/>
    <w:rsid w:val="00D37F51"/>
    <w:rsid w:val="00D413D8"/>
    <w:rsid w:val="00D423EB"/>
    <w:rsid w:val="00D430DB"/>
    <w:rsid w:val="00D43114"/>
    <w:rsid w:val="00D4399A"/>
    <w:rsid w:val="00D441F7"/>
    <w:rsid w:val="00D449AA"/>
    <w:rsid w:val="00D449FB"/>
    <w:rsid w:val="00D46392"/>
    <w:rsid w:val="00D4752A"/>
    <w:rsid w:val="00D47C31"/>
    <w:rsid w:val="00D47E6B"/>
    <w:rsid w:val="00D509C5"/>
    <w:rsid w:val="00D51FC6"/>
    <w:rsid w:val="00D52CA0"/>
    <w:rsid w:val="00D5329D"/>
    <w:rsid w:val="00D53407"/>
    <w:rsid w:val="00D53541"/>
    <w:rsid w:val="00D53E6C"/>
    <w:rsid w:val="00D54188"/>
    <w:rsid w:val="00D54A0E"/>
    <w:rsid w:val="00D54A73"/>
    <w:rsid w:val="00D551E1"/>
    <w:rsid w:val="00D56481"/>
    <w:rsid w:val="00D574B0"/>
    <w:rsid w:val="00D579F4"/>
    <w:rsid w:val="00D60495"/>
    <w:rsid w:val="00D610B6"/>
    <w:rsid w:val="00D632D2"/>
    <w:rsid w:val="00D63E7A"/>
    <w:rsid w:val="00D64412"/>
    <w:rsid w:val="00D6706F"/>
    <w:rsid w:val="00D67CCE"/>
    <w:rsid w:val="00D67E7A"/>
    <w:rsid w:val="00D7057B"/>
    <w:rsid w:val="00D70A85"/>
    <w:rsid w:val="00D7121F"/>
    <w:rsid w:val="00D726DE"/>
    <w:rsid w:val="00D73B7E"/>
    <w:rsid w:val="00D73CEF"/>
    <w:rsid w:val="00D7426A"/>
    <w:rsid w:val="00D742E8"/>
    <w:rsid w:val="00D74D2E"/>
    <w:rsid w:val="00D74E41"/>
    <w:rsid w:val="00D75D60"/>
    <w:rsid w:val="00D76185"/>
    <w:rsid w:val="00D76A50"/>
    <w:rsid w:val="00D77259"/>
    <w:rsid w:val="00D77723"/>
    <w:rsid w:val="00D80209"/>
    <w:rsid w:val="00D804ED"/>
    <w:rsid w:val="00D804FF"/>
    <w:rsid w:val="00D80F3D"/>
    <w:rsid w:val="00D8128C"/>
    <w:rsid w:val="00D81EC1"/>
    <w:rsid w:val="00D823C3"/>
    <w:rsid w:val="00D83BB9"/>
    <w:rsid w:val="00D83F25"/>
    <w:rsid w:val="00D84ECC"/>
    <w:rsid w:val="00D85045"/>
    <w:rsid w:val="00D856FC"/>
    <w:rsid w:val="00D85916"/>
    <w:rsid w:val="00D85EBA"/>
    <w:rsid w:val="00D85FE0"/>
    <w:rsid w:val="00D90892"/>
    <w:rsid w:val="00D9092E"/>
    <w:rsid w:val="00D91CA7"/>
    <w:rsid w:val="00D91F93"/>
    <w:rsid w:val="00D92260"/>
    <w:rsid w:val="00D92835"/>
    <w:rsid w:val="00D92B28"/>
    <w:rsid w:val="00D95D56"/>
    <w:rsid w:val="00DA0286"/>
    <w:rsid w:val="00DA0C99"/>
    <w:rsid w:val="00DA14D9"/>
    <w:rsid w:val="00DA253B"/>
    <w:rsid w:val="00DA30C1"/>
    <w:rsid w:val="00DA32DB"/>
    <w:rsid w:val="00DA36D7"/>
    <w:rsid w:val="00DA3E6C"/>
    <w:rsid w:val="00DA60D3"/>
    <w:rsid w:val="00DA6260"/>
    <w:rsid w:val="00DA79C7"/>
    <w:rsid w:val="00DA7C96"/>
    <w:rsid w:val="00DB06E1"/>
    <w:rsid w:val="00DB0BF9"/>
    <w:rsid w:val="00DB1544"/>
    <w:rsid w:val="00DB27BF"/>
    <w:rsid w:val="00DB28F0"/>
    <w:rsid w:val="00DB2B1C"/>
    <w:rsid w:val="00DB3724"/>
    <w:rsid w:val="00DB523C"/>
    <w:rsid w:val="00DB5C75"/>
    <w:rsid w:val="00DB5F1D"/>
    <w:rsid w:val="00DB64CD"/>
    <w:rsid w:val="00DB6939"/>
    <w:rsid w:val="00DB6F66"/>
    <w:rsid w:val="00DB79BC"/>
    <w:rsid w:val="00DC0554"/>
    <w:rsid w:val="00DC0947"/>
    <w:rsid w:val="00DC1F60"/>
    <w:rsid w:val="00DC30E4"/>
    <w:rsid w:val="00DC3BB1"/>
    <w:rsid w:val="00DC4C9D"/>
    <w:rsid w:val="00DC68C0"/>
    <w:rsid w:val="00DC7B1C"/>
    <w:rsid w:val="00DD11A4"/>
    <w:rsid w:val="00DD123F"/>
    <w:rsid w:val="00DD125A"/>
    <w:rsid w:val="00DD13CC"/>
    <w:rsid w:val="00DD14A0"/>
    <w:rsid w:val="00DD25B6"/>
    <w:rsid w:val="00DD27F0"/>
    <w:rsid w:val="00DD4B09"/>
    <w:rsid w:val="00DD5C8B"/>
    <w:rsid w:val="00DD5E3C"/>
    <w:rsid w:val="00DD6762"/>
    <w:rsid w:val="00DD6D77"/>
    <w:rsid w:val="00DD6E5E"/>
    <w:rsid w:val="00DD7DF0"/>
    <w:rsid w:val="00DE11A3"/>
    <w:rsid w:val="00DE31CA"/>
    <w:rsid w:val="00DE3A90"/>
    <w:rsid w:val="00DE3B08"/>
    <w:rsid w:val="00DE40AF"/>
    <w:rsid w:val="00DE7BA8"/>
    <w:rsid w:val="00DF1F8C"/>
    <w:rsid w:val="00DF24AF"/>
    <w:rsid w:val="00DF24DB"/>
    <w:rsid w:val="00DF2794"/>
    <w:rsid w:val="00DF345F"/>
    <w:rsid w:val="00DF389F"/>
    <w:rsid w:val="00DF41A6"/>
    <w:rsid w:val="00DF44A1"/>
    <w:rsid w:val="00DF50F2"/>
    <w:rsid w:val="00DF517D"/>
    <w:rsid w:val="00DF51D3"/>
    <w:rsid w:val="00DF533E"/>
    <w:rsid w:val="00DF62A8"/>
    <w:rsid w:val="00DF6A0C"/>
    <w:rsid w:val="00DF6A49"/>
    <w:rsid w:val="00E005A9"/>
    <w:rsid w:val="00E007E8"/>
    <w:rsid w:val="00E017FB"/>
    <w:rsid w:val="00E01E2E"/>
    <w:rsid w:val="00E01F3F"/>
    <w:rsid w:val="00E028B9"/>
    <w:rsid w:val="00E02C2B"/>
    <w:rsid w:val="00E0371B"/>
    <w:rsid w:val="00E03E3C"/>
    <w:rsid w:val="00E04E1A"/>
    <w:rsid w:val="00E05472"/>
    <w:rsid w:val="00E05E32"/>
    <w:rsid w:val="00E071B2"/>
    <w:rsid w:val="00E10B5E"/>
    <w:rsid w:val="00E129EA"/>
    <w:rsid w:val="00E12E55"/>
    <w:rsid w:val="00E133BA"/>
    <w:rsid w:val="00E13821"/>
    <w:rsid w:val="00E15107"/>
    <w:rsid w:val="00E16E13"/>
    <w:rsid w:val="00E1727F"/>
    <w:rsid w:val="00E175D9"/>
    <w:rsid w:val="00E22F74"/>
    <w:rsid w:val="00E22FF5"/>
    <w:rsid w:val="00E2334B"/>
    <w:rsid w:val="00E23728"/>
    <w:rsid w:val="00E23DE8"/>
    <w:rsid w:val="00E23FFA"/>
    <w:rsid w:val="00E258D1"/>
    <w:rsid w:val="00E25A31"/>
    <w:rsid w:val="00E26080"/>
    <w:rsid w:val="00E26991"/>
    <w:rsid w:val="00E27114"/>
    <w:rsid w:val="00E2717A"/>
    <w:rsid w:val="00E2789C"/>
    <w:rsid w:val="00E27A8D"/>
    <w:rsid w:val="00E30783"/>
    <w:rsid w:val="00E3179E"/>
    <w:rsid w:val="00E31CE4"/>
    <w:rsid w:val="00E32538"/>
    <w:rsid w:val="00E32F7A"/>
    <w:rsid w:val="00E32FAA"/>
    <w:rsid w:val="00E339AD"/>
    <w:rsid w:val="00E33C73"/>
    <w:rsid w:val="00E371A0"/>
    <w:rsid w:val="00E373FD"/>
    <w:rsid w:val="00E402EB"/>
    <w:rsid w:val="00E41B1D"/>
    <w:rsid w:val="00E42277"/>
    <w:rsid w:val="00E42623"/>
    <w:rsid w:val="00E426AF"/>
    <w:rsid w:val="00E42D61"/>
    <w:rsid w:val="00E43336"/>
    <w:rsid w:val="00E43C14"/>
    <w:rsid w:val="00E46748"/>
    <w:rsid w:val="00E51649"/>
    <w:rsid w:val="00E528A7"/>
    <w:rsid w:val="00E530F2"/>
    <w:rsid w:val="00E53B5D"/>
    <w:rsid w:val="00E56173"/>
    <w:rsid w:val="00E565AD"/>
    <w:rsid w:val="00E569AE"/>
    <w:rsid w:val="00E571EC"/>
    <w:rsid w:val="00E61370"/>
    <w:rsid w:val="00E6609F"/>
    <w:rsid w:val="00E667F1"/>
    <w:rsid w:val="00E66E46"/>
    <w:rsid w:val="00E66FB3"/>
    <w:rsid w:val="00E67D8C"/>
    <w:rsid w:val="00E7054C"/>
    <w:rsid w:val="00E70A40"/>
    <w:rsid w:val="00E70AFB"/>
    <w:rsid w:val="00E71267"/>
    <w:rsid w:val="00E71EA0"/>
    <w:rsid w:val="00E72199"/>
    <w:rsid w:val="00E722A3"/>
    <w:rsid w:val="00E7299E"/>
    <w:rsid w:val="00E73788"/>
    <w:rsid w:val="00E739E1"/>
    <w:rsid w:val="00E74013"/>
    <w:rsid w:val="00E74687"/>
    <w:rsid w:val="00E74C88"/>
    <w:rsid w:val="00E7554D"/>
    <w:rsid w:val="00E75B8E"/>
    <w:rsid w:val="00E75C50"/>
    <w:rsid w:val="00E75C8E"/>
    <w:rsid w:val="00E7730E"/>
    <w:rsid w:val="00E8061D"/>
    <w:rsid w:val="00E80B6F"/>
    <w:rsid w:val="00E811A0"/>
    <w:rsid w:val="00E81D84"/>
    <w:rsid w:val="00E820F9"/>
    <w:rsid w:val="00E82350"/>
    <w:rsid w:val="00E83E54"/>
    <w:rsid w:val="00E85010"/>
    <w:rsid w:val="00E85B77"/>
    <w:rsid w:val="00E86F7D"/>
    <w:rsid w:val="00E8763F"/>
    <w:rsid w:val="00E87697"/>
    <w:rsid w:val="00E905B1"/>
    <w:rsid w:val="00E90B3D"/>
    <w:rsid w:val="00E90BA2"/>
    <w:rsid w:val="00E90D0E"/>
    <w:rsid w:val="00E91109"/>
    <w:rsid w:val="00E93E3A"/>
    <w:rsid w:val="00E94F5E"/>
    <w:rsid w:val="00E955E2"/>
    <w:rsid w:val="00E95C0F"/>
    <w:rsid w:val="00E95D3E"/>
    <w:rsid w:val="00E96CF4"/>
    <w:rsid w:val="00EA0E51"/>
    <w:rsid w:val="00EA183C"/>
    <w:rsid w:val="00EA286F"/>
    <w:rsid w:val="00EA2F04"/>
    <w:rsid w:val="00EA3DF5"/>
    <w:rsid w:val="00EA51D6"/>
    <w:rsid w:val="00EA5DD2"/>
    <w:rsid w:val="00EA61B5"/>
    <w:rsid w:val="00EA6ADE"/>
    <w:rsid w:val="00EA6ED2"/>
    <w:rsid w:val="00EA6FE8"/>
    <w:rsid w:val="00EA788C"/>
    <w:rsid w:val="00EB0240"/>
    <w:rsid w:val="00EB06C5"/>
    <w:rsid w:val="00EB1EBA"/>
    <w:rsid w:val="00EB2152"/>
    <w:rsid w:val="00EB3469"/>
    <w:rsid w:val="00EB3D12"/>
    <w:rsid w:val="00EB40B9"/>
    <w:rsid w:val="00EB44E3"/>
    <w:rsid w:val="00EB59EA"/>
    <w:rsid w:val="00EB5C2B"/>
    <w:rsid w:val="00EB64FF"/>
    <w:rsid w:val="00EB6FAF"/>
    <w:rsid w:val="00EC0286"/>
    <w:rsid w:val="00EC07F2"/>
    <w:rsid w:val="00EC098C"/>
    <w:rsid w:val="00EC0B69"/>
    <w:rsid w:val="00EC28E6"/>
    <w:rsid w:val="00EC5F0A"/>
    <w:rsid w:val="00EC6B28"/>
    <w:rsid w:val="00EC707B"/>
    <w:rsid w:val="00EC7A55"/>
    <w:rsid w:val="00ED01C3"/>
    <w:rsid w:val="00ED0653"/>
    <w:rsid w:val="00ED2725"/>
    <w:rsid w:val="00ED3AFB"/>
    <w:rsid w:val="00ED3D8C"/>
    <w:rsid w:val="00ED43F0"/>
    <w:rsid w:val="00ED485D"/>
    <w:rsid w:val="00ED4B47"/>
    <w:rsid w:val="00ED5260"/>
    <w:rsid w:val="00ED5DC9"/>
    <w:rsid w:val="00ED6133"/>
    <w:rsid w:val="00ED64E8"/>
    <w:rsid w:val="00ED6834"/>
    <w:rsid w:val="00ED6839"/>
    <w:rsid w:val="00ED6D6E"/>
    <w:rsid w:val="00ED753E"/>
    <w:rsid w:val="00ED789D"/>
    <w:rsid w:val="00ED79B5"/>
    <w:rsid w:val="00ED7C5D"/>
    <w:rsid w:val="00EE0427"/>
    <w:rsid w:val="00EE0500"/>
    <w:rsid w:val="00EE11C8"/>
    <w:rsid w:val="00EE1B08"/>
    <w:rsid w:val="00EE1D6C"/>
    <w:rsid w:val="00EE27E6"/>
    <w:rsid w:val="00EE29C7"/>
    <w:rsid w:val="00EE2A0A"/>
    <w:rsid w:val="00EE2C07"/>
    <w:rsid w:val="00EE305C"/>
    <w:rsid w:val="00EE3587"/>
    <w:rsid w:val="00EE4F71"/>
    <w:rsid w:val="00EE505B"/>
    <w:rsid w:val="00EE7A26"/>
    <w:rsid w:val="00EE7A45"/>
    <w:rsid w:val="00EF04B5"/>
    <w:rsid w:val="00EF1E83"/>
    <w:rsid w:val="00EF2D99"/>
    <w:rsid w:val="00EF38D4"/>
    <w:rsid w:val="00EF4899"/>
    <w:rsid w:val="00EF6532"/>
    <w:rsid w:val="00EF6F85"/>
    <w:rsid w:val="00EF7D93"/>
    <w:rsid w:val="00F00AD5"/>
    <w:rsid w:val="00F00D6A"/>
    <w:rsid w:val="00F01BFB"/>
    <w:rsid w:val="00F03362"/>
    <w:rsid w:val="00F0359F"/>
    <w:rsid w:val="00F03AD7"/>
    <w:rsid w:val="00F045F1"/>
    <w:rsid w:val="00F04880"/>
    <w:rsid w:val="00F04C60"/>
    <w:rsid w:val="00F06228"/>
    <w:rsid w:val="00F069A4"/>
    <w:rsid w:val="00F10CED"/>
    <w:rsid w:val="00F10F2A"/>
    <w:rsid w:val="00F12A7D"/>
    <w:rsid w:val="00F12CB3"/>
    <w:rsid w:val="00F131CE"/>
    <w:rsid w:val="00F137C2"/>
    <w:rsid w:val="00F13B0E"/>
    <w:rsid w:val="00F13D85"/>
    <w:rsid w:val="00F13EF0"/>
    <w:rsid w:val="00F144CB"/>
    <w:rsid w:val="00F1477C"/>
    <w:rsid w:val="00F16D23"/>
    <w:rsid w:val="00F17201"/>
    <w:rsid w:val="00F173A5"/>
    <w:rsid w:val="00F17766"/>
    <w:rsid w:val="00F20660"/>
    <w:rsid w:val="00F20903"/>
    <w:rsid w:val="00F20A00"/>
    <w:rsid w:val="00F20A36"/>
    <w:rsid w:val="00F21C85"/>
    <w:rsid w:val="00F230A1"/>
    <w:rsid w:val="00F257DA"/>
    <w:rsid w:val="00F26061"/>
    <w:rsid w:val="00F26AE7"/>
    <w:rsid w:val="00F26D23"/>
    <w:rsid w:val="00F26F37"/>
    <w:rsid w:val="00F27367"/>
    <w:rsid w:val="00F27652"/>
    <w:rsid w:val="00F30086"/>
    <w:rsid w:val="00F302DD"/>
    <w:rsid w:val="00F30ED9"/>
    <w:rsid w:val="00F313B5"/>
    <w:rsid w:val="00F322F8"/>
    <w:rsid w:val="00F33298"/>
    <w:rsid w:val="00F34131"/>
    <w:rsid w:val="00F3425E"/>
    <w:rsid w:val="00F34C65"/>
    <w:rsid w:val="00F3649B"/>
    <w:rsid w:val="00F3695A"/>
    <w:rsid w:val="00F36ACB"/>
    <w:rsid w:val="00F37DF2"/>
    <w:rsid w:val="00F40D47"/>
    <w:rsid w:val="00F415E3"/>
    <w:rsid w:val="00F41780"/>
    <w:rsid w:val="00F41AE7"/>
    <w:rsid w:val="00F43E45"/>
    <w:rsid w:val="00F44086"/>
    <w:rsid w:val="00F44BCD"/>
    <w:rsid w:val="00F4536E"/>
    <w:rsid w:val="00F45B29"/>
    <w:rsid w:val="00F4624C"/>
    <w:rsid w:val="00F4636D"/>
    <w:rsid w:val="00F46F7D"/>
    <w:rsid w:val="00F478D8"/>
    <w:rsid w:val="00F507E4"/>
    <w:rsid w:val="00F513F9"/>
    <w:rsid w:val="00F51741"/>
    <w:rsid w:val="00F528C0"/>
    <w:rsid w:val="00F53670"/>
    <w:rsid w:val="00F5384B"/>
    <w:rsid w:val="00F53A0D"/>
    <w:rsid w:val="00F54375"/>
    <w:rsid w:val="00F5449B"/>
    <w:rsid w:val="00F54863"/>
    <w:rsid w:val="00F5649B"/>
    <w:rsid w:val="00F56D48"/>
    <w:rsid w:val="00F576ED"/>
    <w:rsid w:val="00F57A5D"/>
    <w:rsid w:val="00F6162E"/>
    <w:rsid w:val="00F61643"/>
    <w:rsid w:val="00F61ECC"/>
    <w:rsid w:val="00F638D5"/>
    <w:rsid w:val="00F63F6D"/>
    <w:rsid w:val="00F64D34"/>
    <w:rsid w:val="00F65094"/>
    <w:rsid w:val="00F67949"/>
    <w:rsid w:val="00F67C9D"/>
    <w:rsid w:val="00F70E24"/>
    <w:rsid w:val="00F71125"/>
    <w:rsid w:val="00F72157"/>
    <w:rsid w:val="00F7286D"/>
    <w:rsid w:val="00F7352B"/>
    <w:rsid w:val="00F7372C"/>
    <w:rsid w:val="00F73CE2"/>
    <w:rsid w:val="00F73D62"/>
    <w:rsid w:val="00F749E8"/>
    <w:rsid w:val="00F761D6"/>
    <w:rsid w:val="00F7718D"/>
    <w:rsid w:val="00F77A7B"/>
    <w:rsid w:val="00F80FA8"/>
    <w:rsid w:val="00F81D10"/>
    <w:rsid w:val="00F820F2"/>
    <w:rsid w:val="00F82BEA"/>
    <w:rsid w:val="00F82F7A"/>
    <w:rsid w:val="00F83F6C"/>
    <w:rsid w:val="00F84947"/>
    <w:rsid w:val="00F862C2"/>
    <w:rsid w:val="00F86722"/>
    <w:rsid w:val="00F8698A"/>
    <w:rsid w:val="00F87846"/>
    <w:rsid w:val="00F91334"/>
    <w:rsid w:val="00F92C18"/>
    <w:rsid w:val="00F93978"/>
    <w:rsid w:val="00F94A6B"/>
    <w:rsid w:val="00F954D9"/>
    <w:rsid w:val="00F95911"/>
    <w:rsid w:val="00F95D9D"/>
    <w:rsid w:val="00F977C2"/>
    <w:rsid w:val="00FA045D"/>
    <w:rsid w:val="00FA0F44"/>
    <w:rsid w:val="00FA24A4"/>
    <w:rsid w:val="00FA260D"/>
    <w:rsid w:val="00FA2B1C"/>
    <w:rsid w:val="00FA3319"/>
    <w:rsid w:val="00FA42D5"/>
    <w:rsid w:val="00FA4D19"/>
    <w:rsid w:val="00FA560E"/>
    <w:rsid w:val="00FA5FD7"/>
    <w:rsid w:val="00FA6458"/>
    <w:rsid w:val="00FA697B"/>
    <w:rsid w:val="00FA712A"/>
    <w:rsid w:val="00FB0213"/>
    <w:rsid w:val="00FB1B0C"/>
    <w:rsid w:val="00FB1DCF"/>
    <w:rsid w:val="00FB21D0"/>
    <w:rsid w:val="00FB2F04"/>
    <w:rsid w:val="00FB6322"/>
    <w:rsid w:val="00FB635C"/>
    <w:rsid w:val="00FB639D"/>
    <w:rsid w:val="00FB6EA9"/>
    <w:rsid w:val="00FB7978"/>
    <w:rsid w:val="00FC008B"/>
    <w:rsid w:val="00FC072B"/>
    <w:rsid w:val="00FC119C"/>
    <w:rsid w:val="00FC1E3C"/>
    <w:rsid w:val="00FC1E56"/>
    <w:rsid w:val="00FC1EAD"/>
    <w:rsid w:val="00FC23B6"/>
    <w:rsid w:val="00FC3911"/>
    <w:rsid w:val="00FC428C"/>
    <w:rsid w:val="00FC4C75"/>
    <w:rsid w:val="00FC61FE"/>
    <w:rsid w:val="00FC789B"/>
    <w:rsid w:val="00FD0489"/>
    <w:rsid w:val="00FD0888"/>
    <w:rsid w:val="00FD0943"/>
    <w:rsid w:val="00FD0F3D"/>
    <w:rsid w:val="00FD118B"/>
    <w:rsid w:val="00FD17C4"/>
    <w:rsid w:val="00FD19F6"/>
    <w:rsid w:val="00FD271E"/>
    <w:rsid w:val="00FD28EE"/>
    <w:rsid w:val="00FD317F"/>
    <w:rsid w:val="00FD3A5C"/>
    <w:rsid w:val="00FD61C6"/>
    <w:rsid w:val="00FD6BFD"/>
    <w:rsid w:val="00FD6CDD"/>
    <w:rsid w:val="00FE1F93"/>
    <w:rsid w:val="00FE20B4"/>
    <w:rsid w:val="00FE2358"/>
    <w:rsid w:val="00FE2C88"/>
    <w:rsid w:val="00FE3040"/>
    <w:rsid w:val="00FE33D7"/>
    <w:rsid w:val="00FE357B"/>
    <w:rsid w:val="00FE486F"/>
    <w:rsid w:val="00FE49C0"/>
    <w:rsid w:val="00FE4FEE"/>
    <w:rsid w:val="00FE522B"/>
    <w:rsid w:val="00FE59B3"/>
    <w:rsid w:val="00FE5C92"/>
    <w:rsid w:val="00FE5FE4"/>
    <w:rsid w:val="00FE6944"/>
    <w:rsid w:val="00FE6EFE"/>
    <w:rsid w:val="00FE7236"/>
    <w:rsid w:val="00FE74C2"/>
    <w:rsid w:val="00FE7BB8"/>
    <w:rsid w:val="00FF0419"/>
    <w:rsid w:val="00FF103F"/>
    <w:rsid w:val="00FF28B2"/>
    <w:rsid w:val="00FF28E2"/>
    <w:rsid w:val="00FF2CC9"/>
    <w:rsid w:val="00FF2FE0"/>
    <w:rsid w:val="00FF3248"/>
    <w:rsid w:val="00FF3F40"/>
    <w:rsid w:val="00FF59BE"/>
    <w:rsid w:val="00FF639E"/>
    <w:rsid w:val="00FF6975"/>
    <w:rsid w:val="00FF705F"/>
    <w:rsid w:val="00FF7E59"/>
    <w:rsid w:val="0160C4F4"/>
    <w:rsid w:val="017F76DD"/>
    <w:rsid w:val="01C2CA17"/>
    <w:rsid w:val="01C3C925"/>
    <w:rsid w:val="02783C9C"/>
    <w:rsid w:val="02B57BFD"/>
    <w:rsid w:val="02F42A66"/>
    <w:rsid w:val="032B326D"/>
    <w:rsid w:val="03513D15"/>
    <w:rsid w:val="0355B67E"/>
    <w:rsid w:val="03BAC550"/>
    <w:rsid w:val="03CF7796"/>
    <w:rsid w:val="03D0A271"/>
    <w:rsid w:val="04200401"/>
    <w:rsid w:val="0423A186"/>
    <w:rsid w:val="042A46FE"/>
    <w:rsid w:val="045BB385"/>
    <w:rsid w:val="046E0C5B"/>
    <w:rsid w:val="048DBD5D"/>
    <w:rsid w:val="04A077B4"/>
    <w:rsid w:val="04A6BB5E"/>
    <w:rsid w:val="04CF76CF"/>
    <w:rsid w:val="04E9CDA7"/>
    <w:rsid w:val="050CC88C"/>
    <w:rsid w:val="05295E27"/>
    <w:rsid w:val="05628A80"/>
    <w:rsid w:val="0577F275"/>
    <w:rsid w:val="057B4897"/>
    <w:rsid w:val="057BA3E9"/>
    <w:rsid w:val="059AD607"/>
    <w:rsid w:val="059D4EE7"/>
    <w:rsid w:val="05FF6D66"/>
    <w:rsid w:val="06182452"/>
    <w:rsid w:val="06402778"/>
    <w:rsid w:val="064E6A90"/>
    <w:rsid w:val="065BA53B"/>
    <w:rsid w:val="06863F53"/>
    <w:rsid w:val="069EC4CB"/>
    <w:rsid w:val="06AE2E58"/>
    <w:rsid w:val="06B358CD"/>
    <w:rsid w:val="06FB0FE9"/>
    <w:rsid w:val="07111CA9"/>
    <w:rsid w:val="0716E858"/>
    <w:rsid w:val="07496F32"/>
    <w:rsid w:val="076DF5A8"/>
    <w:rsid w:val="07763153"/>
    <w:rsid w:val="07C901FC"/>
    <w:rsid w:val="07E0184B"/>
    <w:rsid w:val="081079AC"/>
    <w:rsid w:val="08107C38"/>
    <w:rsid w:val="08160BFE"/>
    <w:rsid w:val="081C7807"/>
    <w:rsid w:val="083DA8A1"/>
    <w:rsid w:val="084D7F2C"/>
    <w:rsid w:val="0860565C"/>
    <w:rsid w:val="087F4A5D"/>
    <w:rsid w:val="08886578"/>
    <w:rsid w:val="0897EB1F"/>
    <w:rsid w:val="08B4ACF1"/>
    <w:rsid w:val="090E1578"/>
    <w:rsid w:val="0916DC67"/>
    <w:rsid w:val="093A4C52"/>
    <w:rsid w:val="094BA59C"/>
    <w:rsid w:val="09631D66"/>
    <w:rsid w:val="09952711"/>
    <w:rsid w:val="09A96AD6"/>
    <w:rsid w:val="09FC1EF7"/>
    <w:rsid w:val="0A469EA9"/>
    <w:rsid w:val="0A58BD57"/>
    <w:rsid w:val="0A5C6103"/>
    <w:rsid w:val="0AA86626"/>
    <w:rsid w:val="0AAB7D4F"/>
    <w:rsid w:val="0AAFA433"/>
    <w:rsid w:val="0AB51AA1"/>
    <w:rsid w:val="0AD80F23"/>
    <w:rsid w:val="0B451CC7"/>
    <w:rsid w:val="0B81F3EE"/>
    <w:rsid w:val="0B8B9927"/>
    <w:rsid w:val="0BA50859"/>
    <w:rsid w:val="0BBFD772"/>
    <w:rsid w:val="0BCBC018"/>
    <w:rsid w:val="0BD0827E"/>
    <w:rsid w:val="0BD22012"/>
    <w:rsid w:val="0BD9F7C4"/>
    <w:rsid w:val="0C124223"/>
    <w:rsid w:val="0C30ADB4"/>
    <w:rsid w:val="0C36E74A"/>
    <w:rsid w:val="0C5AB5C1"/>
    <w:rsid w:val="0C63ED8E"/>
    <w:rsid w:val="0C88CC96"/>
    <w:rsid w:val="0C9DD6AE"/>
    <w:rsid w:val="0CAFF031"/>
    <w:rsid w:val="0CCAA700"/>
    <w:rsid w:val="0D17D80F"/>
    <w:rsid w:val="0D1A89B1"/>
    <w:rsid w:val="0D5E98A5"/>
    <w:rsid w:val="0D61AB95"/>
    <w:rsid w:val="0D656A98"/>
    <w:rsid w:val="0DB4914E"/>
    <w:rsid w:val="0DC098D0"/>
    <w:rsid w:val="0DD0AE9B"/>
    <w:rsid w:val="0DDFFC7F"/>
    <w:rsid w:val="0DEE1D29"/>
    <w:rsid w:val="0DF60032"/>
    <w:rsid w:val="0E115BDA"/>
    <w:rsid w:val="0E15D14A"/>
    <w:rsid w:val="0E2FC0CF"/>
    <w:rsid w:val="0E4A4BE9"/>
    <w:rsid w:val="0E9C51F8"/>
    <w:rsid w:val="0EA77F2D"/>
    <w:rsid w:val="0EA79E26"/>
    <w:rsid w:val="0F018886"/>
    <w:rsid w:val="0F19B435"/>
    <w:rsid w:val="0FA4556C"/>
    <w:rsid w:val="0FD3C287"/>
    <w:rsid w:val="0FEF6C1F"/>
    <w:rsid w:val="10015B87"/>
    <w:rsid w:val="100FCBF8"/>
    <w:rsid w:val="102372B7"/>
    <w:rsid w:val="10A6CA7C"/>
    <w:rsid w:val="10E2FA21"/>
    <w:rsid w:val="10E9318C"/>
    <w:rsid w:val="10FD3830"/>
    <w:rsid w:val="117294B5"/>
    <w:rsid w:val="11A005C4"/>
    <w:rsid w:val="11C398A1"/>
    <w:rsid w:val="12932D7C"/>
    <w:rsid w:val="129AE931"/>
    <w:rsid w:val="12C6E32D"/>
    <w:rsid w:val="12D001A6"/>
    <w:rsid w:val="12D1CBD9"/>
    <w:rsid w:val="130B3A80"/>
    <w:rsid w:val="131F3969"/>
    <w:rsid w:val="131FE6A7"/>
    <w:rsid w:val="13515CF9"/>
    <w:rsid w:val="1367795E"/>
    <w:rsid w:val="13733A5B"/>
    <w:rsid w:val="1382878F"/>
    <w:rsid w:val="13B1A0D5"/>
    <w:rsid w:val="13C79311"/>
    <w:rsid w:val="13D1BEFD"/>
    <w:rsid w:val="13D59D4D"/>
    <w:rsid w:val="13DA913C"/>
    <w:rsid w:val="13F0B66F"/>
    <w:rsid w:val="140576CE"/>
    <w:rsid w:val="1406113B"/>
    <w:rsid w:val="141BA579"/>
    <w:rsid w:val="14615C4F"/>
    <w:rsid w:val="15152E79"/>
    <w:rsid w:val="151570CE"/>
    <w:rsid w:val="155955FF"/>
    <w:rsid w:val="155A5C47"/>
    <w:rsid w:val="15752DDE"/>
    <w:rsid w:val="1582B806"/>
    <w:rsid w:val="1582F5C7"/>
    <w:rsid w:val="15B8BCEA"/>
    <w:rsid w:val="15F0D030"/>
    <w:rsid w:val="15F51D4D"/>
    <w:rsid w:val="1603E504"/>
    <w:rsid w:val="161B9137"/>
    <w:rsid w:val="1669280F"/>
    <w:rsid w:val="167B5BA7"/>
    <w:rsid w:val="16A72949"/>
    <w:rsid w:val="16FA3461"/>
    <w:rsid w:val="1729913B"/>
    <w:rsid w:val="17C0657F"/>
    <w:rsid w:val="1817BC0B"/>
    <w:rsid w:val="181B377A"/>
    <w:rsid w:val="184B7E77"/>
    <w:rsid w:val="18656D36"/>
    <w:rsid w:val="1892FF01"/>
    <w:rsid w:val="18F85419"/>
    <w:rsid w:val="1928FC0D"/>
    <w:rsid w:val="19513511"/>
    <w:rsid w:val="1955872A"/>
    <w:rsid w:val="195F018D"/>
    <w:rsid w:val="19A23E11"/>
    <w:rsid w:val="19A6AEFD"/>
    <w:rsid w:val="19CFF9F5"/>
    <w:rsid w:val="19F9525F"/>
    <w:rsid w:val="1A45FB18"/>
    <w:rsid w:val="1A568BAF"/>
    <w:rsid w:val="1A7C97C9"/>
    <w:rsid w:val="1ABC9C83"/>
    <w:rsid w:val="1AC6A26B"/>
    <w:rsid w:val="1ADB8B28"/>
    <w:rsid w:val="1AEBA405"/>
    <w:rsid w:val="1B28E550"/>
    <w:rsid w:val="1B2D7B12"/>
    <w:rsid w:val="1B3511A3"/>
    <w:rsid w:val="1B3C1F49"/>
    <w:rsid w:val="1B435267"/>
    <w:rsid w:val="1B4A041A"/>
    <w:rsid w:val="1B64E5B6"/>
    <w:rsid w:val="1B8A1518"/>
    <w:rsid w:val="1B9038BA"/>
    <w:rsid w:val="1BCCC56F"/>
    <w:rsid w:val="1BFE757E"/>
    <w:rsid w:val="1C38814B"/>
    <w:rsid w:val="1C44882C"/>
    <w:rsid w:val="1C73AB5E"/>
    <w:rsid w:val="1D2B674B"/>
    <w:rsid w:val="1D382160"/>
    <w:rsid w:val="1D4CEDA8"/>
    <w:rsid w:val="1D6A301B"/>
    <w:rsid w:val="1D780DA9"/>
    <w:rsid w:val="1DB1093D"/>
    <w:rsid w:val="1DB2AF08"/>
    <w:rsid w:val="1DCC5A75"/>
    <w:rsid w:val="1DF84E52"/>
    <w:rsid w:val="1DFEF4E6"/>
    <w:rsid w:val="1E31FEAA"/>
    <w:rsid w:val="1E74BA5F"/>
    <w:rsid w:val="1EB42CCA"/>
    <w:rsid w:val="1F49F0C8"/>
    <w:rsid w:val="1F7A3A5B"/>
    <w:rsid w:val="1FAB2A38"/>
    <w:rsid w:val="1FB01016"/>
    <w:rsid w:val="1FC6B95A"/>
    <w:rsid w:val="2021A9AE"/>
    <w:rsid w:val="206F5FEC"/>
    <w:rsid w:val="20893FAA"/>
    <w:rsid w:val="20AD31B8"/>
    <w:rsid w:val="20BB0594"/>
    <w:rsid w:val="212CA006"/>
    <w:rsid w:val="2144AFBD"/>
    <w:rsid w:val="2176D93F"/>
    <w:rsid w:val="21C2B1F0"/>
    <w:rsid w:val="21D35BE9"/>
    <w:rsid w:val="222A0115"/>
    <w:rsid w:val="224F69CC"/>
    <w:rsid w:val="2288C00F"/>
    <w:rsid w:val="228B9530"/>
    <w:rsid w:val="22BECFE7"/>
    <w:rsid w:val="22C64DDD"/>
    <w:rsid w:val="22D4BE92"/>
    <w:rsid w:val="22E4E250"/>
    <w:rsid w:val="22EEE482"/>
    <w:rsid w:val="232D9B64"/>
    <w:rsid w:val="23AEF9B2"/>
    <w:rsid w:val="23D119BD"/>
    <w:rsid w:val="23D295B0"/>
    <w:rsid w:val="23D831E3"/>
    <w:rsid w:val="23F4D6C2"/>
    <w:rsid w:val="2451B0B2"/>
    <w:rsid w:val="2480CE6B"/>
    <w:rsid w:val="2482A7E0"/>
    <w:rsid w:val="2485D055"/>
    <w:rsid w:val="2494B7A3"/>
    <w:rsid w:val="24D103F9"/>
    <w:rsid w:val="24FB6B4B"/>
    <w:rsid w:val="2507DE9F"/>
    <w:rsid w:val="2511B841"/>
    <w:rsid w:val="253DE63B"/>
    <w:rsid w:val="255143D2"/>
    <w:rsid w:val="255C07D6"/>
    <w:rsid w:val="2580118A"/>
    <w:rsid w:val="259C9BBC"/>
    <w:rsid w:val="25BD6A66"/>
    <w:rsid w:val="25DE0833"/>
    <w:rsid w:val="25E5FABD"/>
    <w:rsid w:val="2628B0CC"/>
    <w:rsid w:val="2663F52B"/>
    <w:rsid w:val="266926DB"/>
    <w:rsid w:val="267C78F3"/>
    <w:rsid w:val="268B26A2"/>
    <w:rsid w:val="26AEC736"/>
    <w:rsid w:val="26C1B819"/>
    <w:rsid w:val="26C72AB0"/>
    <w:rsid w:val="2711C7CE"/>
    <w:rsid w:val="272419FC"/>
    <w:rsid w:val="2744F0C5"/>
    <w:rsid w:val="27585813"/>
    <w:rsid w:val="27595ABC"/>
    <w:rsid w:val="278F878E"/>
    <w:rsid w:val="27AEC326"/>
    <w:rsid w:val="27CBCE5B"/>
    <w:rsid w:val="283617A2"/>
    <w:rsid w:val="2836EC3E"/>
    <w:rsid w:val="28932202"/>
    <w:rsid w:val="28F3738C"/>
    <w:rsid w:val="293789C5"/>
    <w:rsid w:val="29A1CBEC"/>
    <w:rsid w:val="29BC1D15"/>
    <w:rsid w:val="29C59512"/>
    <w:rsid w:val="29DB49F2"/>
    <w:rsid w:val="2A1DE7EA"/>
    <w:rsid w:val="2AB75D17"/>
    <w:rsid w:val="2AECEF36"/>
    <w:rsid w:val="2B0C38C3"/>
    <w:rsid w:val="2B3FCED3"/>
    <w:rsid w:val="2B47CBAB"/>
    <w:rsid w:val="2B4F9C79"/>
    <w:rsid w:val="2B608B6E"/>
    <w:rsid w:val="2B71CFD4"/>
    <w:rsid w:val="2B816A49"/>
    <w:rsid w:val="2B9E84B1"/>
    <w:rsid w:val="2BA17C77"/>
    <w:rsid w:val="2BC442E6"/>
    <w:rsid w:val="2BC918BD"/>
    <w:rsid w:val="2BED7FEE"/>
    <w:rsid w:val="2C526BF5"/>
    <w:rsid w:val="2C6A45A4"/>
    <w:rsid w:val="2C87D83E"/>
    <w:rsid w:val="2CBA86F3"/>
    <w:rsid w:val="2CDC1EDE"/>
    <w:rsid w:val="2D364984"/>
    <w:rsid w:val="2D3E52F2"/>
    <w:rsid w:val="2D75E43E"/>
    <w:rsid w:val="2DA78DD3"/>
    <w:rsid w:val="2E26097D"/>
    <w:rsid w:val="2E373147"/>
    <w:rsid w:val="2E943F83"/>
    <w:rsid w:val="2F1701E8"/>
    <w:rsid w:val="2F4BCAEC"/>
    <w:rsid w:val="2F79496C"/>
    <w:rsid w:val="2F8FA7B2"/>
    <w:rsid w:val="2FA8B8E4"/>
    <w:rsid w:val="2FE773B2"/>
    <w:rsid w:val="2FF1FDAF"/>
    <w:rsid w:val="3038C78C"/>
    <w:rsid w:val="3038FC80"/>
    <w:rsid w:val="30653878"/>
    <w:rsid w:val="309CD389"/>
    <w:rsid w:val="30C06DF2"/>
    <w:rsid w:val="30EE0B05"/>
    <w:rsid w:val="3154A23D"/>
    <w:rsid w:val="31677C36"/>
    <w:rsid w:val="31E36870"/>
    <w:rsid w:val="3207E340"/>
    <w:rsid w:val="329156AF"/>
    <w:rsid w:val="32BCCDDC"/>
    <w:rsid w:val="32CE932B"/>
    <w:rsid w:val="32E107BE"/>
    <w:rsid w:val="32E748FC"/>
    <w:rsid w:val="32E78510"/>
    <w:rsid w:val="32EB762C"/>
    <w:rsid w:val="330BA558"/>
    <w:rsid w:val="330DD16C"/>
    <w:rsid w:val="3340295D"/>
    <w:rsid w:val="336D05A3"/>
    <w:rsid w:val="33816884"/>
    <w:rsid w:val="33AABE2C"/>
    <w:rsid w:val="34152A4E"/>
    <w:rsid w:val="3415B0B1"/>
    <w:rsid w:val="3462B04D"/>
    <w:rsid w:val="3494B14F"/>
    <w:rsid w:val="34D04A79"/>
    <w:rsid w:val="350B3A5E"/>
    <w:rsid w:val="352234B5"/>
    <w:rsid w:val="352C2E17"/>
    <w:rsid w:val="3555930F"/>
    <w:rsid w:val="3565A776"/>
    <w:rsid w:val="357DF328"/>
    <w:rsid w:val="35A68F80"/>
    <w:rsid w:val="35BC7371"/>
    <w:rsid w:val="35C7213D"/>
    <w:rsid w:val="35D06244"/>
    <w:rsid w:val="35D85982"/>
    <w:rsid w:val="360A6C03"/>
    <w:rsid w:val="3630E663"/>
    <w:rsid w:val="369E701A"/>
    <w:rsid w:val="36A234A3"/>
    <w:rsid w:val="36CD1DBD"/>
    <w:rsid w:val="36CF5F2B"/>
    <w:rsid w:val="36D6C9ED"/>
    <w:rsid w:val="36E3A775"/>
    <w:rsid w:val="378DDA25"/>
    <w:rsid w:val="37A08EEA"/>
    <w:rsid w:val="37D0777F"/>
    <w:rsid w:val="37EF035B"/>
    <w:rsid w:val="37F83240"/>
    <w:rsid w:val="37F8A054"/>
    <w:rsid w:val="381D1F3C"/>
    <w:rsid w:val="38478B36"/>
    <w:rsid w:val="384D8C40"/>
    <w:rsid w:val="386285DB"/>
    <w:rsid w:val="38A8F5C4"/>
    <w:rsid w:val="38CA7E13"/>
    <w:rsid w:val="3900A0FF"/>
    <w:rsid w:val="3991A149"/>
    <w:rsid w:val="39B68252"/>
    <w:rsid w:val="3A3E0258"/>
    <w:rsid w:val="3A8B764E"/>
    <w:rsid w:val="3ACEFB56"/>
    <w:rsid w:val="3B02822E"/>
    <w:rsid w:val="3B1D57E5"/>
    <w:rsid w:val="3B5B2B87"/>
    <w:rsid w:val="3B635B4A"/>
    <w:rsid w:val="3B63D3B2"/>
    <w:rsid w:val="3B8F8517"/>
    <w:rsid w:val="3BB43C53"/>
    <w:rsid w:val="3C011E52"/>
    <w:rsid w:val="3C57055A"/>
    <w:rsid w:val="3C6373F1"/>
    <w:rsid w:val="3C696001"/>
    <w:rsid w:val="3C6D007D"/>
    <w:rsid w:val="3C6DA687"/>
    <w:rsid w:val="3CAD612A"/>
    <w:rsid w:val="3CCD4D95"/>
    <w:rsid w:val="3D020C8A"/>
    <w:rsid w:val="3D2C4488"/>
    <w:rsid w:val="3D4025EC"/>
    <w:rsid w:val="3D5CC652"/>
    <w:rsid w:val="3D9F3E35"/>
    <w:rsid w:val="3DD8C91C"/>
    <w:rsid w:val="3E0ACBEB"/>
    <w:rsid w:val="3E21FACF"/>
    <w:rsid w:val="3E36B50F"/>
    <w:rsid w:val="3EADC923"/>
    <w:rsid w:val="3EDD7C9C"/>
    <w:rsid w:val="3EDF6868"/>
    <w:rsid w:val="3F48BC9D"/>
    <w:rsid w:val="3F64D657"/>
    <w:rsid w:val="3FF57F49"/>
    <w:rsid w:val="4015452C"/>
    <w:rsid w:val="40395173"/>
    <w:rsid w:val="40396B1F"/>
    <w:rsid w:val="4052E63B"/>
    <w:rsid w:val="4069EAC7"/>
    <w:rsid w:val="40863B28"/>
    <w:rsid w:val="40928296"/>
    <w:rsid w:val="40B4ED6D"/>
    <w:rsid w:val="40C3DF84"/>
    <w:rsid w:val="40FC2780"/>
    <w:rsid w:val="4116D1CB"/>
    <w:rsid w:val="414248B9"/>
    <w:rsid w:val="4146B590"/>
    <w:rsid w:val="416378EE"/>
    <w:rsid w:val="4186489B"/>
    <w:rsid w:val="418652E0"/>
    <w:rsid w:val="41976984"/>
    <w:rsid w:val="41F4A3CB"/>
    <w:rsid w:val="4231FE9C"/>
    <w:rsid w:val="4234341E"/>
    <w:rsid w:val="423C8EA1"/>
    <w:rsid w:val="4289B365"/>
    <w:rsid w:val="42B387A6"/>
    <w:rsid w:val="42C2C13F"/>
    <w:rsid w:val="42DA86D9"/>
    <w:rsid w:val="42DEA1AD"/>
    <w:rsid w:val="42E12E78"/>
    <w:rsid w:val="4309AEA4"/>
    <w:rsid w:val="430E0998"/>
    <w:rsid w:val="433527E1"/>
    <w:rsid w:val="43CCFEA0"/>
    <w:rsid w:val="43DC2AF7"/>
    <w:rsid w:val="43DECC54"/>
    <w:rsid w:val="440968A7"/>
    <w:rsid w:val="443D74B9"/>
    <w:rsid w:val="44DCF291"/>
    <w:rsid w:val="44E8FED8"/>
    <w:rsid w:val="44F278A1"/>
    <w:rsid w:val="44FF8D11"/>
    <w:rsid w:val="4545673E"/>
    <w:rsid w:val="45964A24"/>
    <w:rsid w:val="45CB6AFB"/>
    <w:rsid w:val="45F6329B"/>
    <w:rsid w:val="461CBE8C"/>
    <w:rsid w:val="4637B02B"/>
    <w:rsid w:val="464A7885"/>
    <w:rsid w:val="464E0B2C"/>
    <w:rsid w:val="4675A57A"/>
    <w:rsid w:val="467FE7FF"/>
    <w:rsid w:val="470CF127"/>
    <w:rsid w:val="47100460"/>
    <w:rsid w:val="47523EDC"/>
    <w:rsid w:val="4790CC4D"/>
    <w:rsid w:val="48092663"/>
    <w:rsid w:val="481C5F8B"/>
    <w:rsid w:val="488E443F"/>
    <w:rsid w:val="4897B6F2"/>
    <w:rsid w:val="48BA05BB"/>
    <w:rsid w:val="48ED2DAF"/>
    <w:rsid w:val="491A8046"/>
    <w:rsid w:val="494D9F98"/>
    <w:rsid w:val="4950521D"/>
    <w:rsid w:val="49631E11"/>
    <w:rsid w:val="497CBE14"/>
    <w:rsid w:val="4A0A0617"/>
    <w:rsid w:val="4A19E5A4"/>
    <w:rsid w:val="4A1F76C6"/>
    <w:rsid w:val="4A498091"/>
    <w:rsid w:val="4A5EE840"/>
    <w:rsid w:val="4A7635C6"/>
    <w:rsid w:val="4A7DB525"/>
    <w:rsid w:val="4A884ADE"/>
    <w:rsid w:val="4AC9B713"/>
    <w:rsid w:val="4AD429ED"/>
    <w:rsid w:val="4B211F80"/>
    <w:rsid w:val="4B2EE6BF"/>
    <w:rsid w:val="4B4ED486"/>
    <w:rsid w:val="4B67107D"/>
    <w:rsid w:val="4B9F20A5"/>
    <w:rsid w:val="4BA48A7F"/>
    <w:rsid w:val="4BDD6C28"/>
    <w:rsid w:val="4BF7280E"/>
    <w:rsid w:val="4C12FEC6"/>
    <w:rsid w:val="4C5596CC"/>
    <w:rsid w:val="4C590C19"/>
    <w:rsid w:val="4C5A9EA7"/>
    <w:rsid w:val="4C887385"/>
    <w:rsid w:val="4CD067D5"/>
    <w:rsid w:val="4D07530C"/>
    <w:rsid w:val="4D8A5416"/>
    <w:rsid w:val="4D8AC641"/>
    <w:rsid w:val="4D94C549"/>
    <w:rsid w:val="4DDBDC75"/>
    <w:rsid w:val="4E224F7F"/>
    <w:rsid w:val="4E2A4FC7"/>
    <w:rsid w:val="4E4C8EAC"/>
    <w:rsid w:val="4E5E3D22"/>
    <w:rsid w:val="4E60AB48"/>
    <w:rsid w:val="4E6EEB37"/>
    <w:rsid w:val="4EA55DDF"/>
    <w:rsid w:val="4EAB54B3"/>
    <w:rsid w:val="4EBA4726"/>
    <w:rsid w:val="4EECC031"/>
    <w:rsid w:val="4EFAA444"/>
    <w:rsid w:val="4F0E7C8D"/>
    <w:rsid w:val="4F623916"/>
    <w:rsid w:val="4F74B8C6"/>
    <w:rsid w:val="4FFD28D1"/>
    <w:rsid w:val="502A0904"/>
    <w:rsid w:val="502D209E"/>
    <w:rsid w:val="50599CC3"/>
    <w:rsid w:val="50BF306D"/>
    <w:rsid w:val="51050160"/>
    <w:rsid w:val="513800C8"/>
    <w:rsid w:val="5158C394"/>
    <w:rsid w:val="515C6D77"/>
    <w:rsid w:val="519C6C97"/>
    <w:rsid w:val="51A2798A"/>
    <w:rsid w:val="52234775"/>
    <w:rsid w:val="5248D825"/>
    <w:rsid w:val="525ED91D"/>
    <w:rsid w:val="5293B0CE"/>
    <w:rsid w:val="5295FE39"/>
    <w:rsid w:val="52E8EE7F"/>
    <w:rsid w:val="536EEDF5"/>
    <w:rsid w:val="5391997B"/>
    <w:rsid w:val="5395B93D"/>
    <w:rsid w:val="53CFD516"/>
    <w:rsid w:val="53D39F9B"/>
    <w:rsid w:val="542E9E52"/>
    <w:rsid w:val="5491F957"/>
    <w:rsid w:val="54C0DCD1"/>
    <w:rsid w:val="54EE25F0"/>
    <w:rsid w:val="550EB672"/>
    <w:rsid w:val="553399D2"/>
    <w:rsid w:val="555AADD2"/>
    <w:rsid w:val="556EA06B"/>
    <w:rsid w:val="55736958"/>
    <w:rsid w:val="55821CBE"/>
    <w:rsid w:val="55889999"/>
    <w:rsid w:val="55946AA6"/>
    <w:rsid w:val="55B79A2A"/>
    <w:rsid w:val="55D36715"/>
    <w:rsid w:val="55E03689"/>
    <w:rsid w:val="55F36805"/>
    <w:rsid w:val="56625182"/>
    <w:rsid w:val="5670E51D"/>
    <w:rsid w:val="56B48E90"/>
    <w:rsid w:val="570171AE"/>
    <w:rsid w:val="570C3026"/>
    <w:rsid w:val="5712AFEE"/>
    <w:rsid w:val="57212ED8"/>
    <w:rsid w:val="5788836E"/>
    <w:rsid w:val="5791D673"/>
    <w:rsid w:val="57929A30"/>
    <w:rsid w:val="57A945E2"/>
    <w:rsid w:val="57A96ABD"/>
    <w:rsid w:val="57BE6D5D"/>
    <w:rsid w:val="57CCA284"/>
    <w:rsid w:val="580BCB59"/>
    <w:rsid w:val="5811F80D"/>
    <w:rsid w:val="5849A07E"/>
    <w:rsid w:val="586503A8"/>
    <w:rsid w:val="5899778C"/>
    <w:rsid w:val="58A5F541"/>
    <w:rsid w:val="590C6060"/>
    <w:rsid w:val="59215073"/>
    <w:rsid w:val="596CB375"/>
    <w:rsid w:val="597E8DE9"/>
    <w:rsid w:val="59C27EED"/>
    <w:rsid w:val="59EB73CC"/>
    <w:rsid w:val="5A33A67D"/>
    <w:rsid w:val="5A5394A5"/>
    <w:rsid w:val="5A56B3AE"/>
    <w:rsid w:val="5A5A9880"/>
    <w:rsid w:val="5A5C20F4"/>
    <w:rsid w:val="5A77F234"/>
    <w:rsid w:val="5A8BAE4B"/>
    <w:rsid w:val="5A8E266D"/>
    <w:rsid w:val="5AA22475"/>
    <w:rsid w:val="5AB2AD8E"/>
    <w:rsid w:val="5AC60BCB"/>
    <w:rsid w:val="5B014F07"/>
    <w:rsid w:val="5B31E619"/>
    <w:rsid w:val="5B56BB0F"/>
    <w:rsid w:val="5BB50174"/>
    <w:rsid w:val="5BBEAE7E"/>
    <w:rsid w:val="5BCBFDBD"/>
    <w:rsid w:val="5BDD8E5A"/>
    <w:rsid w:val="5BEFAC11"/>
    <w:rsid w:val="5C20D32B"/>
    <w:rsid w:val="5CBDF442"/>
    <w:rsid w:val="5CEA3312"/>
    <w:rsid w:val="5CEA5EF0"/>
    <w:rsid w:val="5D29D3EF"/>
    <w:rsid w:val="5D4FA68A"/>
    <w:rsid w:val="5D85B6B3"/>
    <w:rsid w:val="5D911DA7"/>
    <w:rsid w:val="5D9A79F8"/>
    <w:rsid w:val="5DB6BA3A"/>
    <w:rsid w:val="5DC0042C"/>
    <w:rsid w:val="5DC64CC9"/>
    <w:rsid w:val="5DDA0D48"/>
    <w:rsid w:val="5DEE3589"/>
    <w:rsid w:val="5DF1259C"/>
    <w:rsid w:val="5E1E834F"/>
    <w:rsid w:val="5E23D043"/>
    <w:rsid w:val="5E392E9A"/>
    <w:rsid w:val="5EBF2105"/>
    <w:rsid w:val="5F29A541"/>
    <w:rsid w:val="5F40E99F"/>
    <w:rsid w:val="5FF23712"/>
    <w:rsid w:val="5FF596F9"/>
    <w:rsid w:val="601766C9"/>
    <w:rsid w:val="605894B3"/>
    <w:rsid w:val="606192DC"/>
    <w:rsid w:val="6061B12A"/>
    <w:rsid w:val="608D15F3"/>
    <w:rsid w:val="60A2802E"/>
    <w:rsid w:val="60BD94CB"/>
    <w:rsid w:val="60EB20CE"/>
    <w:rsid w:val="613FC8FF"/>
    <w:rsid w:val="6162C40B"/>
    <w:rsid w:val="6180F28D"/>
    <w:rsid w:val="618C9130"/>
    <w:rsid w:val="618D32FA"/>
    <w:rsid w:val="619D27EB"/>
    <w:rsid w:val="61CFB32F"/>
    <w:rsid w:val="61D78C4F"/>
    <w:rsid w:val="622B61E5"/>
    <w:rsid w:val="62306507"/>
    <w:rsid w:val="63065E87"/>
    <w:rsid w:val="6377DB7B"/>
    <w:rsid w:val="63A2733E"/>
    <w:rsid w:val="63D2B0F1"/>
    <w:rsid w:val="63DF74F9"/>
    <w:rsid w:val="6439A1EF"/>
    <w:rsid w:val="6448EF3E"/>
    <w:rsid w:val="6457CC87"/>
    <w:rsid w:val="6466541A"/>
    <w:rsid w:val="647D8276"/>
    <w:rsid w:val="649CB1F9"/>
    <w:rsid w:val="654CF5AB"/>
    <w:rsid w:val="657C706B"/>
    <w:rsid w:val="6585273E"/>
    <w:rsid w:val="65C10D59"/>
    <w:rsid w:val="65C98B77"/>
    <w:rsid w:val="6637465A"/>
    <w:rsid w:val="663AE1F8"/>
    <w:rsid w:val="6656E219"/>
    <w:rsid w:val="665959DE"/>
    <w:rsid w:val="665D2D0F"/>
    <w:rsid w:val="667D5303"/>
    <w:rsid w:val="668E89AB"/>
    <w:rsid w:val="66B91037"/>
    <w:rsid w:val="66D10516"/>
    <w:rsid w:val="6708FDC9"/>
    <w:rsid w:val="67223032"/>
    <w:rsid w:val="672B81ED"/>
    <w:rsid w:val="676B1477"/>
    <w:rsid w:val="6772B42C"/>
    <w:rsid w:val="67C89B16"/>
    <w:rsid w:val="67E25847"/>
    <w:rsid w:val="682AF029"/>
    <w:rsid w:val="682D2D48"/>
    <w:rsid w:val="682EDAA3"/>
    <w:rsid w:val="683480D9"/>
    <w:rsid w:val="68A8CEAE"/>
    <w:rsid w:val="68AED9DA"/>
    <w:rsid w:val="68E7F2C9"/>
    <w:rsid w:val="692E52CE"/>
    <w:rsid w:val="69782C03"/>
    <w:rsid w:val="698022C1"/>
    <w:rsid w:val="698F6F4C"/>
    <w:rsid w:val="6994AB7C"/>
    <w:rsid w:val="69A4C02B"/>
    <w:rsid w:val="69AB3873"/>
    <w:rsid w:val="6A04741E"/>
    <w:rsid w:val="6A2FC618"/>
    <w:rsid w:val="6A47ECFF"/>
    <w:rsid w:val="6A589E4B"/>
    <w:rsid w:val="6AA1117A"/>
    <w:rsid w:val="6AAA567D"/>
    <w:rsid w:val="6AD31EE2"/>
    <w:rsid w:val="6B03236E"/>
    <w:rsid w:val="6B1C5DFA"/>
    <w:rsid w:val="6B3DF064"/>
    <w:rsid w:val="6B590E1E"/>
    <w:rsid w:val="6B9AAC48"/>
    <w:rsid w:val="6BE187F3"/>
    <w:rsid w:val="6BEE146C"/>
    <w:rsid w:val="6C2B39EF"/>
    <w:rsid w:val="6C7476FD"/>
    <w:rsid w:val="6C78E680"/>
    <w:rsid w:val="6CFDD7E5"/>
    <w:rsid w:val="6D034336"/>
    <w:rsid w:val="6D0CA17D"/>
    <w:rsid w:val="6D4548DA"/>
    <w:rsid w:val="6D72C352"/>
    <w:rsid w:val="6DC2D09C"/>
    <w:rsid w:val="6DEFE810"/>
    <w:rsid w:val="6E1BC78F"/>
    <w:rsid w:val="6E2039A9"/>
    <w:rsid w:val="6E30B4E3"/>
    <w:rsid w:val="6E31F2D3"/>
    <w:rsid w:val="6E3F6B49"/>
    <w:rsid w:val="6E6291DF"/>
    <w:rsid w:val="6E9C2EE4"/>
    <w:rsid w:val="6EA01831"/>
    <w:rsid w:val="6FD21E89"/>
    <w:rsid w:val="6FD861E9"/>
    <w:rsid w:val="7032C050"/>
    <w:rsid w:val="703A6D1D"/>
    <w:rsid w:val="70611B89"/>
    <w:rsid w:val="70635CC9"/>
    <w:rsid w:val="7084DC2A"/>
    <w:rsid w:val="708C92D7"/>
    <w:rsid w:val="70BF3D5F"/>
    <w:rsid w:val="70C853EE"/>
    <w:rsid w:val="70CAB0CF"/>
    <w:rsid w:val="70CC4864"/>
    <w:rsid w:val="70EBC111"/>
    <w:rsid w:val="7131C1CB"/>
    <w:rsid w:val="714BF0DD"/>
    <w:rsid w:val="71CE9BBD"/>
    <w:rsid w:val="72432120"/>
    <w:rsid w:val="7254E09F"/>
    <w:rsid w:val="7258ABDB"/>
    <w:rsid w:val="7267BC1E"/>
    <w:rsid w:val="726D39C0"/>
    <w:rsid w:val="732FD615"/>
    <w:rsid w:val="734EFA73"/>
    <w:rsid w:val="7372FBDE"/>
    <w:rsid w:val="7378C90F"/>
    <w:rsid w:val="7392379A"/>
    <w:rsid w:val="73A9E759"/>
    <w:rsid w:val="73ACAFB1"/>
    <w:rsid w:val="73C6D6D1"/>
    <w:rsid w:val="741F36F9"/>
    <w:rsid w:val="7421D3C0"/>
    <w:rsid w:val="742A4A2F"/>
    <w:rsid w:val="74535FA9"/>
    <w:rsid w:val="74FF6B20"/>
    <w:rsid w:val="755EF1B6"/>
    <w:rsid w:val="755F43D4"/>
    <w:rsid w:val="75636E7B"/>
    <w:rsid w:val="756F65AB"/>
    <w:rsid w:val="75DAE92C"/>
    <w:rsid w:val="75E1904F"/>
    <w:rsid w:val="76087279"/>
    <w:rsid w:val="76109E4F"/>
    <w:rsid w:val="763345E6"/>
    <w:rsid w:val="769985A8"/>
    <w:rsid w:val="76A34CD2"/>
    <w:rsid w:val="76C9F865"/>
    <w:rsid w:val="76F07980"/>
    <w:rsid w:val="7702787A"/>
    <w:rsid w:val="77368022"/>
    <w:rsid w:val="7766FF79"/>
    <w:rsid w:val="779CE212"/>
    <w:rsid w:val="77AA46CF"/>
    <w:rsid w:val="77C0B03E"/>
    <w:rsid w:val="77D94374"/>
    <w:rsid w:val="77E4AEF0"/>
    <w:rsid w:val="7844D139"/>
    <w:rsid w:val="785E52C0"/>
    <w:rsid w:val="7872B39D"/>
    <w:rsid w:val="7881DCF6"/>
    <w:rsid w:val="78915BE8"/>
    <w:rsid w:val="78A4DE02"/>
    <w:rsid w:val="78A96C22"/>
    <w:rsid w:val="78BB4AB8"/>
    <w:rsid w:val="78BCAA6C"/>
    <w:rsid w:val="78F5E3B6"/>
    <w:rsid w:val="790276BC"/>
    <w:rsid w:val="7926233C"/>
    <w:rsid w:val="79319780"/>
    <w:rsid w:val="795102A6"/>
    <w:rsid w:val="7989BFDE"/>
    <w:rsid w:val="7995C1C1"/>
    <w:rsid w:val="79C19EEC"/>
    <w:rsid w:val="79D60589"/>
    <w:rsid w:val="79E903A7"/>
    <w:rsid w:val="7A7FC3C1"/>
    <w:rsid w:val="7AC5FF0C"/>
    <w:rsid w:val="7B12EBFE"/>
    <w:rsid w:val="7B458A6C"/>
    <w:rsid w:val="7B901AB1"/>
    <w:rsid w:val="7BB32669"/>
    <w:rsid w:val="7BBA10B1"/>
    <w:rsid w:val="7BFB557F"/>
    <w:rsid w:val="7C0F6FAA"/>
    <w:rsid w:val="7C1F8465"/>
    <w:rsid w:val="7C2F4B15"/>
    <w:rsid w:val="7C530B92"/>
    <w:rsid w:val="7C836066"/>
    <w:rsid w:val="7CD7BD19"/>
    <w:rsid w:val="7D0AB194"/>
    <w:rsid w:val="7D0BBD6D"/>
    <w:rsid w:val="7D20CC3C"/>
    <w:rsid w:val="7D260F21"/>
    <w:rsid w:val="7D78FC44"/>
    <w:rsid w:val="7D8FC620"/>
    <w:rsid w:val="7DC94B7F"/>
    <w:rsid w:val="7DCB180C"/>
    <w:rsid w:val="7DF7DE82"/>
    <w:rsid w:val="7E028DDA"/>
    <w:rsid w:val="7E03A7C4"/>
    <w:rsid w:val="7E1A5386"/>
    <w:rsid w:val="7E3EB0C9"/>
    <w:rsid w:val="7E42BB0B"/>
    <w:rsid w:val="7E642994"/>
    <w:rsid w:val="7E80D852"/>
    <w:rsid w:val="7ED496AD"/>
    <w:rsid w:val="7EE44F9D"/>
    <w:rsid w:val="7EEA04DC"/>
    <w:rsid w:val="7F0AFF35"/>
    <w:rsid w:val="7F111925"/>
    <w:rsid w:val="7F1B0351"/>
    <w:rsid w:val="7F1D34ED"/>
    <w:rsid w:val="7F3D13C6"/>
    <w:rsid w:val="7F70F20F"/>
    <w:rsid w:val="7F7408F6"/>
    <w:rsid w:val="7FB9F679"/>
    <w:rsid w:val="7FD6B609"/>
    <w:rsid w:val="7FE02393"/>
    <w:rsid w:val="7FE7F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EBEE21"/>
  <w15:docId w15:val="{48B258D3-AAEE-4B58-ADA1-1F430A3F688E}"/>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lsdException w:name="toc 3" w:semiHidden="1" w:uiPriority="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 Antiqua" w:eastAsia="Book Antiqua" w:hAnsi="Book Antiqua" w:cs="Book Antiqua"/>
    </w:rPr>
  </w:style>
  <w:style w:type="paragraph" w:styleId="Heading1">
    <w:name w:val="heading 1"/>
    <w:basedOn w:val="Normal"/>
    <w:link w:val="Heading1Char"/>
    <w:uiPriority w:val="4"/>
    <w:qFormat/>
    <w:pPr>
      <w:ind w:left="1873" w:hanging="720"/>
      <w:outlineLvl w:val="0"/>
    </w:pPr>
    <w:rPr>
      <w:rFonts w:ascii="Arial" w:eastAsia="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ind w:left="219"/>
    </w:pPr>
    <w:rPr>
      <w:sz w:val="26"/>
      <w:szCs w:val="26"/>
    </w:rPr>
  </w:style>
  <w:style w:type="paragraph" w:styleId="TOC2">
    <w:name w:val="toc 2"/>
    <w:basedOn w:val="Normal"/>
    <w:uiPriority w:val="1"/>
    <w:qFormat/>
    <w:pPr>
      <w:spacing w:line="322" w:lineRule="exact"/>
      <w:ind w:left="649" w:hanging="429"/>
    </w:pPr>
    <w:rPr>
      <w:sz w:val="26"/>
      <w:szCs w:val="26"/>
    </w:rPr>
  </w:style>
  <w:style w:type="paragraph" w:styleId="TOC3">
    <w:name w:val="toc 3"/>
    <w:basedOn w:val="Normal"/>
    <w:uiPriority w:val="1"/>
    <w:qFormat/>
    <w:pPr>
      <w:spacing w:before="1"/>
      <w:ind w:left="1084" w:right="252" w:hanging="648"/>
    </w:pPr>
    <w:rPr>
      <w:sz w:val="26"/>
      <w:szCs w:val="26"/>
    </w:rPr>
  </w:style>
  <w:style w:type="paragraph" w:styleId="TOC4">
    <w:name w:val="toc 4"/>
    <w:basedOn w:val="Normal"/>
    <w:uiPriority w:val="1"/>
    <w:qFormat/>
    <w:pPr>
      <w:spacing w:line="322" w:lineRule="exact"/>
      <w:ind w:left="1513" w:hanging="864"/>
    </w:pPr>
    <w:rPr>
      <w:sz w:val="26"/>
      <w:szCs w:val="26"/>
    </w:rPr>
  </w:style>
  <w:style w:type="paragraph" w:styleId="TOC5">
    <w:name w:val="toc 5"/>
    <w:basedOn w:val="Normal"/>
    <w:uiPriority w:val="1"/>
    <w:qFormat/>
    <w:pPr>
      <w:spacing w:line="322" w:lineRule="exact"/>
      <w:ind w:left="1566"/>
    </w:pPr>
    <w:rPr>
      <w:sz w:val="26"/>
      <w:szCs w:val="26"/>
    </w:rPr>
  </w:style>
  <w:style w:type="paragraph" w:styleId="BodyText">
    <w:name w:val="Body Text"/>
    <w:basedOn w:val="Normal"/>
    <w:link w:val="BodyTextChar"/>
    <w:uiPriority w:val="1"/>
    <w:qFormat/>
    <w:rPr>
      <w:sz w:val="26"/>
      <w:szCs w:val="26"/>
    </w:rPr>
  </w:style>
  <w:style w:type="paragraph" w:styleId="Title">
    <w:name w:val="Title"/>
    <w:basedOn w:val="Normal"/>
    <w:uiPriority w:val="10"/>
    <w:qFormat/>
    <w:pPr>
      <w:ind w:left="217" w:right="321"/>
    </w:pPr>
    <w:rPr>
      <w:sz w:val="28"/>
      <w:szCs w:val="28"/>
    </w:rPr>
  </w:style>
  <w:style w:type="paragraph" w:styleId="ListParagraph">
    <w:name w:val="List Paragraph"/>
    <w:basedOn w:val="Normal"/>
    <w:uiPriority w:val="34"/>
    <w:qFormat/>
    <w:pPr>
      <w:ind w:left="219" w:hanging="864"/>
    </w:pPr>
  </w:style>
  <w:style w:type="paragraph" w:customStyle="1" w:styleId="TableParagraph">
    <w:name w:val="Table Paragraph"/>
    <w:basedOn w:val="Normal"/>
    <w:uiPriority w:val="1"/>
    <w:qFormat/>
    <w:pPr>
      <w:ind w:left="50"/>
    </w:pPr>
  </w:style>
  <w:style w:type="paragraph" w:styleId="Revision">
    <w:name w:val="Revision"/>
    <w:hidden/>
    <w:uiPriority w:val="99"/>
    <w:semiHidden/>
    <w:rsid w:val="00703622"/>
    <w:pPr>
      <w:widowControl/>
      <w:autoSpaceDE/>
      <w:autoSpaceDN/>
    </w:pPr>
    <w:rPr>
      <w:rFonts w:ascii="Book Antiqua" w:eastAsia="Book Antiqua" w:hAnsi="Book Antiqua" w:cs="Book Antiqua"/>
    </w:rPr>
  </w:style>
  <w:style w:type="paragraph" w:styleId="Header">
    <w:name w:val="header"/>
    <w:basedOn w:val="Normal"/>
    <w:link w:val="HeaderChar"/>
    <w:uiPriority w:val="99"/>
    <w:unhideWhenUsed/>
    <w:rsid w:val="00C176B4"/>
    <w:pPr>
      <w:tabs>
        <w:tab w:val="center" w:pos="4680"/>
        <w:tab w:val="right" w:pos="9360"/>
      </w:tabs>
    </w:pPr>
  </w:style>
  <w:style w:type="character" w:customStyle="1" w:styleId="HeaderChar">
    <w:name w:val="Header Char"/>
    <w:basedOn w:val="DefaultParagraphFont"/>
    <w:link w:val="Header"/>
    <w:uiPriority w:val="99"/>
    <w:rsid w:val="00C176B4"/>
    <w:rPr>
      <w:rFonts w:ascii="Book Antiqua" w:eastAsia="Book Antiqua" w:hAnsi="Book Antiqua" w:cs="Book Antiqua"/>
    </w:rPr>
  </w:style>
  <w:style w:type="paragraph" w:styleId="Footer">
    <w:name w:val="footer"/>
    <w:basedOn w:val="Normal"/>
    <w:link w:val="FooterChar"/>
    <w:uiPriority w:val="99"/>
    <w:unhideWhenUsed/>
    <w:rsid w:val="00C176B4"/>
    <w:pPr>
      <w:tabs>
        <w:tab w:val="center" w:pos="4680"/>
        <w:tab w:val="right" w:pos="9360"/>
      </w:tabs>
    </w:pPr>
  </w:style>
  <w:style w:type="character" w:customStyle="1" w:styleId="FooterChar">
    <w:name w:val="Footer Char"/>
    <w:basedOn w:val="DefaultParagraphFont"/>
    <w:link w:val="Footer"/>
    <w:uiPriority w:val="99"/>
    <w:rsid w:val="00C176B4"/>
    <w:rPr>
      <w:rFonts w:ascii="Book Antiqua" w:eastAsia="Book Antiqua" w:hAnsi="Book Antiqua" w:cs="Book Antiqua"/>
    </w:rPr>
  </w:style>
  <w:style w:type="character" w:customStyle="1" w:styleId="BodyTextChar">
    <w:name w:val="Body Text Char"/>
    <w:basedOn w:val="DefaultParagraphFont"/>
    <w:link w:val="BodyText"/>
    <w:uiPriority w:val="1"/>
    <w:rsid w:val="00491EC6"/>
    <w:rPr>
      <w:rFonts w:ascii="Book Antiqua" w:eastAsia="Book Antiqua" w:hAnsi="Book Antiqua" w:cs="Book Antiqua"/>
      <w:sz w:val="26"/>
      <w:szCs w:val="26"/>
    </w:rPr>
  </w:style>
  <w:style w:type="paragraph" w:styleId="TOCHeading">
    <w:name w:val="TOC Heading"/>
    <w:basedOn w:val="Heading1"/>
    <w:next w:val="Normal"/>
    <w:uiPriority w:val="39"/>
    <w:unhideWhenUsed/>
    <w:qFormat/>
    <w:rsid w:val="00672560"/>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character" w:styleId="Hyperlink">
    <w:name w:val="Hyperlink"/>
    <w:basedOn w:val="DefaultParagraphFont"/>
    <w:uiPriority w:val="99"/>
    <w:unhideWhenUsed/>
    <w:rsid w:val="00672560"/>
    <w:rPr>
      <w:color w:val="0000FF" w:themeColor="hyperlink"/>
      <w:u w:val="single"/>
    </w:rPr>
  </w:style>
  <w:style w:type="paragraph" w:styleId="NormalWeb">
    <w:name w:val="Normal (Web)"/>
    <w:basedOn w:val="Normal"/>
    <w:uiPriority w:val="99"/>
    <w:semiHidden/>
    <w:unhideWhenUsed/>
    <w:rsid w:val="00115A4B"/>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115A4B"/>
    <w:rPr>
      <w:color w:val="605E5C"/>
      <w:shd w:val="clear" w:color="auto" w:fill="E1DFDD"/>
    </w:rPr>
  </w:style>
  <w:style w:type="table" w:styleId="TableGrid">
    <w:name w:val="Table Grid"/>
    <w:basedOn w:val="TableNormal"/>
    <w:uiPriority w:val="39"/>
    <w:rsid w:val="00CA3321"/>
    <w:tblPr/>
  </w:style>
  <w:style w:type="paragraph" w:styleId="FootnoteText">
    <w:name w:val="footnote text"/>
    <w:basedOn w:val="Normal"/>
    <w:link w:val="FootnoteTextChar"/>
    <w:uiPriority w:val="99"/>
    <w:unhideWhenUsed/>
    <w:rsid w:val="00A3355A"/>
    <w:rPr>
      <w:rFonts w:ascii="Times New Roman" w:hAnsi="Times New Roman"/>
      <w:szCs w:val="20"/>
    </w:rPr>
  </w:style>
  <w:style w:type="character" w:customStyle="1" w:styleId="FootnoteTextChar">
    <w:name w:val="Footnote Text Char"/>
    <w:basedOn w:val="DefaultParagraphFont"/>
    <w:link w:val="FootnoteText"/>
    <w:uiPriority w:val="99"/>
    <w:rsid w:val="00A3355A"/>
    <w:rPr>
      <w:rFonts w:ascii="Times New Roman" w:eastAsia="Book Antiqua" w:hAnsi="Times New Roman" w:cs="Book Antiqua"/>
      <w:szCs w:val="20"/>
    </w:rPr>
  </w:style>
  <w:style w:type="character" w:styleId="FootnoteReference">
    <w:name w:val="footnote reference"/>
    <w:basedOn w:val="DefaultParagraphFont"/>
    <w:uiPriority w:val="99"/>
    <w:semiHidden/>
    <w:unhideWhenUsed/>
    <w:rsid w:val="009D168E"/>
    <w:rPr>
      <w:vertAlign w:val="superscript"/>
    </w:rPr>
  </w:style>
  <w:style w:type="character" w:styleId="PageNumber">
    <w:name w:val="page number"/>
    <w:basedOn w:val="DefaultParagraphFont"/>
    <w:rsid w:val="001E2E5A"/>
  </w:style>
  <w:style w:type="paragraph" w:customStyle="1" w:styleId="FoF">
    <w:name w:val="FoF"/>
    <w:basedOn w:val="Normal"/>
    <w:uiPriority w:val="6"/>
    <w:qFormat/>
    <w:rsid w:val="00507788"/>
    <w:pPr>
      <w:widowControl/>
      <w:numPr>
        <w:numId w:val="4"/>
      </w:numPr>
      <w:autoSpaceDE/>
      <w:autoSpaceDN/>
      <w:spacing w:line="360" w:lineRule="auto"/>
    </w:pPr>
    <w:rPr>
      <w:rFonts w:eastAsiaTheme="minorHAnsi" w:cstheme="minorBidi"/>
      <w:sz w:val="26"/>
    </w:rPr>
  </w:style>
  <w:style w:type="paragraph" w:customStyle="1" w:styleId="CoL">
    <w:name w:val="CoL"/>
    <w:basedOn w:val="Normal"/>
    <w:uiPriority w:val="7"/>
    <w:qFormat/>
    <w:rsid w:val="00507788"/>
    <w:pPr>
      <w:widowControl/>
      <w:numPr>
        <w:numId w:val="5"/>
      </w:numPr>
      <w:autoSpaceDE/>
      <w:autoSpaceDN/>
      <w:spacing w:line="360" w:lineRule="auto"/>
      <w:ind w:left="0" w:firstLine="547"/>
      <w:jc w:val="left"/>
    </w:pPr>
    <w:rPr>
      <w:rFonts w:eastAsiaTheme="minorHAnsi" w:cstheme="minorBidi"/>
      <w:sz w:val="26"/>
    </w:rPr>
  </w:style>
  <w:style w:type="paragraph" w:customStyle="1" w:styleId="OP">
    <w:name w:val="OP"/>
    <w:basedOn w:val="Normal"/>
    <w:uiPriority w:val="8"/>
    <w:qFormat/>
    <w:rsid w:val="00721F2C"/>
    <w:pPr>
      <w:widowControl/>
      <w:autoSpaceDE/>
      <w:autoSpaceDN/>
      <w:spacing w:line="360" w:lineRule="auto"/>
      <w:ind w:firstLine="540"/>
    </w:pPr>
    <w:rPr>
      <w:rFonts w:eastAsiaTheme="minorHAnsi" w:cstheme="minorBidi"/>
      <w:sz w:val="26"/>
    </w:rPr>
  </w:style>
  <w:style w:type="paragraph" w:customStyle="1" w:styleId="Standard">
    <w:name w:val="Standard"/>
    <w:basedOn w:val="Normal"/>
    <w:qFormat/>
    <w:rsid w:val="00721F2C"/>
    <w:pPr>
      <w:widowControl/>
      <w:autoSpaceDE/>
      <w:autoSpaceDN/>
      <w:spacing w:line="360" w:lineRule="auto"/>
      <w:ind w:firstLine="720"/>
    </w:pPr>
    <w:rPr>
      <w:rFonts w:eastAsiaTheme="minorHAnsi" w:cstheme="minorBidi"/>
      <w:sz w:val="26"/>
    </w:rPr>
  </w:style>
  <w:style w:type="character" w:styleId="CommentReference">
    <w:name w:val="annotation reference"/>
    <w:basedOn w:val="DefaultParagraphFont"/>
    <w:uiPriority w:val="99"/>
    <w:semiHidden/>
    <w:unhideWhenUsed/>
    <w:rsid w:val="00F37DF2"/>
    <w:rPr>
      <w:sz w:val="16"/>
      <w:szCs w:val="16"/>
    </w:rPr>
  </w:style>
  <w:style w:type="paragraph" w:styleId="CommentText">
    <w:name w:val="annotation text"/>
    <w:basedOn w:val="Normal"/>
    <w:link w:val="CommentTextChar"/>
    <w:uiPriority w:val="99"/>
    <w:unhideWhenUsed/>
    <w:rsid w:val="00F37DF2"/>
    <w:rPr>
      <w:sz w:val="20"/>
      <w:szCs w:val="20"/>
    </w:rPr>
  </w:style>
  <w:style w:type="character" w:customStyle="1" w:styleId="CommentTextChar">
    <w:name w:val="Comment Text Char"/>
    <w:basedOn w:val="DefaultParagraphFont"/>
    <w:link w:val="CommentText"/>
    <w:uiPriority w:val="99"/>
    <w:rsid w:val="00F37DF2"/>
    <w:rPr>
      <w:rFonts w:ascii="Book Antiqua" w:eastAsia="Book Antiqua" w:hAnsi="Book Antiqua" w:cs="Book Antiqua"/>
      <w:sz w:val="20"/>
      <w:szCs w:val="20"/>
    </w:rPr>
  </w:style>
  <w:style w:type="paragraph" w:styleId="CommentSubject">
    <w:name w:val="annotation subject"/>
    <w:basedOn w:val="CommentText"/>
    <w:next w:val="CommentText"/>
    <w:link w:val="CommentSubjectChar"/>
    <w:uiPriority w:val="99"/>
    <w:semiHidden/>
    <w:unhideWhenUsed/>
    <w:rsid w:val="00F37DF2"/>
    <w:rPr>
      <w:b/>
      <w:bCs/>
    </w:rPr>
  </w:style>
  <w:style w:type="character" w:customStyle="1" w:styleId="CommentSubjectChar">
    <w:name w:val="Comment Subject Char"/>
    <w:basedOn w:val="CommentTextChar"/>
    <w:link w:val="CommentSubject"/>
    <w:uiPriority w:val="99"/>
    <w:semiHidden/>
    <w:rsid w:val="00F37DF2"/>
    <w:rPr>
      <w:rFonts w:ascii="Book Antiqua" w:eastAsia="Book Antiqua" w:hAnsi="Book Antiqua" w:cs="Book Antiqua"/>
      <w:b/>
      <w:bCs/>
      <w:sz w:val="20"/>
      <w:szCs w:val="20"/>
    </w:rPr>
  </w:style>
  <w:style w:type="character" w:customStyle="1" w:styleId="Heading1Char">
    <w:name w:val="Heading 1 Char"/>
    <w:basedOn w:val="DefaultParagraphFont"/>
    <w:link w:val="Heading1"/>
    <w:uiPriority w:val="4"/>
    <w:rsid w:val="0020446A"/>
    <w:rPr>
      <w:rFonts w:ascii="Arial" w:eastAsia="Arial" w:hAnsi="Arial" w:cs="Arial"/>
      <w:b/>
      <w:bCs/>
      <w:sz w:val="26"/>
      <w:szCs w:val="26"/>
    </w:rPr>
  </w:style>
  <w:style w:type="character" w:styleId="Mention">
    <w:name w:val="Mention"/>
    <w:basedOn w:val="DefaultParagraphFont"/>
    <w:uiPriority w:val="99"/>
    <w:unhideWhenUsed/>
    <w:rsid w:val="00FA331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3869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header" Target="head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footer" Target="footer5.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hyperlink" Target="https://docs.cpuc.ca.gov/PublishedDocs/Published/G000/M591/K266/591266530.pdf" TargetMode="External" Id="Raa386dd98c8f4b9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24cfdaa-3f84-4543-8006-7aafcb05bc28">
      <Terms xmlns="http://schemas.microsoft.com/office/infopath/2007/PartnerControls"/>
    </lcf76f155ced4ddcb4097134ff3c332f>
    <TaxCatchAll xmlns="3c51fd4b-b0a8-4cee-8b97-77eacc5af0f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7D49496411704C98823D97BD8A3AEF" ma:contentTypeVersion="16" ma:contentTypeDescription="Create a new document." ma:contentTypeScope="" ma:versionID="5134808ddd27515df808d7af9528947c">
  <xsd:schema xmlns:xsd="http://www.w3.org/2001/XMLSchema" xmlns:xs="http://www.w3.org/2001/XMLSchema" xmlns:p="http://schemas.microsoft.com/office/2006/metadata/properties" xmlns:ns2="a24cfdaa-3f84-4543-8006-7aafcb05bc28" xmlns:ns3="3c51fd4b-b0a8-4cee-8b97-77eacc5af0f7" targetNamespace="http://schemas.microsoft.com/office/2006/metadata/properties" ma:root="true" ma:fieldsID="03d2ad45a570580df49615fc5aa9d55f" ns2:_="" ns3:_="">
    <xsd:import namespace="a24cfdaa-3f84-4543-8006-7aafcb05bc28"/>
    <xsd:import namespace="3c51fd4b-b0a8-4cee-8b97-77eacc5af0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4cfdaa-3f84-4543-8006-7aafcb05b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51fd4b-b0a8-4cee-8b97-77eacc5af0f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d313bba-19fc-4463-aea9-079b48bf6d0f}" ma:internalName="TaxCatchAll" ma:showField="CatchAllData" ma:web="3c51fd4b-b0a8-4cee-8b97-77eacc5af0f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B160E2-5E3A-46B0-93E5-DFE9EA4E736D}">
  <ds:schemaRefs>
    <ds:schemaRef ds:uri="http://schemas.openxmlformats.org/officeDocument/2006/bibliography"/>
  </ds:schemaRefs>
</ds:datastoreItem>
</file>

<file path=customXml/itemProps2.xml><?xml version="1.0" encoding="utf-8"?>
<ds:datastoreItem xmlns:ds="http://schemas.openxmlformats.org/officeDocument/2006/customXml" ds:itemID="{CBFACCF5-2CE0-480A-8599-178907478EF2}">
  <ds:schemaRefs>
    <ds:schemaRef ds:uri="http://schemas.microsoft.com/office/2006/metadata/properties"/>
    <ds:schemaRef ds:uri="http://schemas.microsoft.com/office/infopath/2007/PartnerControls"/>
    <ds:schemaRef ds:uri="a24cfdaa-3f84-4543-8006-7aafcb05bc28"/>
    <ds:schemaRef ds:uri="3c51fd4b-b0a8-4cee-8b97-77eacc5af0f7"/>
  </ds:schemaRefs>
</ds:datastoreItem>
</file>

<file path=customXml/itemProps3.xml><?xml version="1.0" encoding="utf-8"?>
<ds:datastoreItem xmlns:ds="http://schemas.openxmlformats.org/officeDocument/2006/customXml" ds:itemID="{9CEB4D60-28B3-41FE-9BF4-4EBAFBAF9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4cfdaa-3f84-4543-8006-7aafcb05bc28"/>
    <ds:schemaRef ds:uri="3c51fd4b-b0a8-4cee-8b97-77eacc5af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9474C5-2918-48EF-B3DE-79E6F069CEEB}">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39</ap:Pages>
  <ap:Words>8972</ap:Words>
  <ap:Characters>51142</ap:Characters>
  <ap:Application>Microsoft Office Word</ap:Application>
  <ap:DocSecurity>0</ap:DocSecurity>
  <ap:Lines>426</ap:Lines>
  <ap:Paragraphs>119</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59995</ap:CharactersWithSpaces>
  <ap:SharedDoc>false</ap:SharedDoc>
  <ap:HLinks>
    <vt:vector baseType="variant" size="186">
      <vt:variant>
        <vt:i4>1310771</vt:i4>
      </vt:variant>
      <vt:variant>
        <vt:i4>170</vt:i4>
      </vt:variant>
      <vt:variant>
        <vt:i4>0</vt:i4>
      </vt:variant>
      <vt:variant>
        <vt:i4>5</vt:i4>
      </vt:variant>
      <vt:variant>
        <vt:lpwstr/>
      </vt:variant>
      <vt:variant>
        <vt:lpwstr>_Toc213839135</vt:lpwstr>
      </vt:variant>
      <vt:variant>
        <vt:i4>1310771</vt:i4>
      </vt:variant>
      <vt:variant>
        <vt:i4>164</vt:i4>
      </vt:variant>
      <vt:variant>
        <vt:i4>0</vt:i4>
      </vt:variant>
      <vt:variant>
        <vt:i4>5</vt:i4>
      </vt:variant>
      <vt:variant>
        <vt:lpwstr/>
      </vt:variant>
      <vt:variant>
        <vt:lpwstr>_Toc213839134</vt:lpwstr>
      </vt:variant>
      <vt:variant>
        <vt:i4>1310771</vt:i4>
      </vt:variant>
      <vt:variant>
        <vt:i4>158</vt:i4>
      </vt:variant>
      <vt:variant>
        <vt:i4>0</vt:i4>
      </vt:variant>
      <vt:variant>
        <vt:i4>5</vt:i4>
      </vt:variant>
      <vt:variant>
        <vt:lpwstr/>
      </vt:variant>
      <vt:variant>
        <vt:lpwstr>_Toc213839133</vt:lpwstr>
      </vt:variant>
      <vt:variant>
        <vt:i4>1310771</vt:i4>
      </vt:variant>
      <vt:variant>
        <vt:i4>152</vt:i4>
      </vt:variant>
      <vt:variant>
        <vt:i4>0</vt:i4>
      </vt:variant>
      <vt:variant>
        <vt:i4>5</vt:i4>
      </vt:variant>
      <vt:variant>
        <vt:lpwstr/>
      </vt:variant>
      <vt:variant>
        <vt:lpwstr>_Toc213839132</vt:lpwstr>
      </vt:variant>
      <vt:variant>
        <vt:i4>1310771</vt:i4>
      </vt:variant>
      <vt:variant>
        <vt:i4>146</vt:i4>
      </vt:variant>
      <vt:variant>
        <vt:i4>0</vt:i4>
      </vt:variant>
      <vt:variant>
        <vt:i4>5</vt:i4>
      </vt:variant>
      <vt:variant>
        <vt:lpwstr/>
      </vt:variant>
      <vt:variant>
        <vt:lpwstr>_Toc213839131</vt:lpwstr>
      </vt:variant>
      <vt:variant>
        <vt:i4>1310771</vt:i4>
      </vt:variant>
      <vt:variant>
        <vt:i4>140</vt:i4>
      </vt:variant>
      <vt:variant>
        <vt:i4>0</vt:i4>
      </vt:variant>
      <vt:variant>
        <vt:i4>5</vt:i4>
      </vt:variant>
      <vt:variant>
        <vt:lpwstr/>
      </vt:variant>
      <vt:variant>
        <vt:lpwstr>_Toc213839130</vt:lpwstr>
      </vt:variant>
      <vt:variant>
        <vt:i4>1376307</vt:i4>
      </vt:variant>
      <vt:variant>
        <vt:i4>134</vt:i4>
      </vt:variant>
      <vt:variant>
        <vt:i4>0</vt:i4>
      </vt:variant>
      <vt:variant>
        <vt:i4>5</vt:i4>
      </vt:variant>
      <vt:variant>
        <vt:lpwstr/>
      </vt:variant>
      <vt:variant>
        <vt:lpwstr>_Toc213839129</vt:lpwstr>
      </vt:variant>
      <vt:variant>
        <vt:i4>1376307</vt:i4>
      </vt:variant>
      <vt:variant>
        <vt:i4>128</vt:i4>
      </vt:variant>
      <vt:variant>
        <vt:i4>0</vt:i4>
      </vt:variant>
      <vt:variant>
        <vt:i4>5</vt:i4>
      </vt:variant>
      <vt:variant>
        <vt:lpwstr/>
      </vt:variant>
      <vt:variant>
        <vt:lpwstr>_Toc213839128</vt:lpwstr>
      </vt:variant>
      <vt:variant>
        <vt:i4>1376307</vt:i4>
      </vt:variant>
      <vt:variant>
        <vt:i4>122</vt:i4>
      </vt:variant>
      <vt:variant>
        <vt:i4>0</vt:i4>
      </vt:variant>
      <vt:variant>
        <vt:i4>5</vt:i4>
      </vt:variant>
      <vt:variant>
        <vt:lpwstr/>
      </vt:variant>
      <vt:variant>
        <vt:lpwstr>_Toc213839127</vt:lpwstr>
      </vt:variant>
      <vt:variant>
        <vt:i4>1376307</vt:i4>
      </vt:variant>
      <vt:variant>
        <vt:i4>116</vt:i4>
      </vt:variant>
      <vt:variant>
        <vt:i4>0</vt:i4>
      </vt:variant>
      <vt:variant>
        <vt:i4>5</vt:i4>
      </vt:variant>
      <vt:variant>
        <vt:lpwstr/>
      </vt:variant>
      <vt:variant>
        <vt:lpwstr>_Toc213839126</vt:lpwstr>
      </vt:variant>
      <vt:variant>
        <vt:i4>1376307</vt:i4>
      </vt:variant>
      <vt:variant>
        <vt:i4>110</vt:i4>
      </vt:variant>
      <vt:variant>
        <vt:i4>0</vt:i4>
      </vt:variant>
      <vt:variant>
        <vt:i4>5</vt:i4>
      </vt:variant>
      <vt:variant>
        <vt:lpwstr/>
      </vt:variant>
      <vt:variant>
        <vt:lpwstr>_Toc213839125</vt:lpwstr>
      </vt:variant>
      <vt:variant>
        <vt:i4>1376307</vt:i4>
      </vt:variant>
      <vt:variant>
        <vt:i4>104</vt:i4>
      </vt:variant>
      <vt:variant>
        <vt:i4>0</vt:i4>
      </vt:variant>
      <vt:variant>
        <vt:i4>5</vt:i4>
      </vt:variant>
      <vt:variant>
        <vt:lpwstr/>
      </vt:variant>
      <vt:variant>
        <vt:lpwstr>_Toc213839124</vt:lpwstr>
      </vt:variant>
      <vt:variant>
        <vt:i4>1376307</vt:i4>
      </vt:variant>
      <vt:variant>
        <vt:i4>98</vt:i4>
      </vt:variant>
      <vt:variant>
        <vt:i4>0</vt:i4>
      </vt:variant>
      <vt:variant>
        <vt:i4>5</vt:i4>
      </vt:variant>
      <vt:variant>
        <vt:lpwstr/>
      </vt:variant>
      <vt:variant>
        <vt:lpwstr>_Toc213839123</vt:lpwstr>
      </vt:variant>
      <vt:variant>
        <vt:i4>1376307</vt:i4>
      </vt:variant>
      <vt:variant>
        <vt:i4>92</vt:i4>
      </vt:variant>
      <vt:variant>
        <vt:i4>0</vt:i4>
      </vt:variant>
      <vt:variant>
        <vt:i4>5</vt:i4>
      </vt:variant>
      <vt:variant>
        <vt:lpwstr/>
      </vt:variant>
      <vt:variant>
        <vt:lpwstr>_Toc213839122</vt:lpwstr>
      </vt:variant>
      <vt:variant>
        <vt:i4>1376307</vt:i4>
      </vt:variant>
      <vt:variant>
        <vt:i4>86</vt:i4>
      </vt:variant>
      <vt:variant>
        <vt:i4>0</vt:i4>
      </vt:variant>
      <vt:variant>
        <vt:i4>5</vt:i4>
      </vt:variant>
      <vt:variant>
        <vt:lpwstr/>
      </vt:variant>
      <vt:variant>
        <vt:lpwstr>_Toc213839121</vt:lpwstr>
      </vt:variant>
      <vt:variant>
        <vt:i4>1376307</vt:i4>
      </vt:variant>
      <vt:variant>
        <vt:i4>80</vt:i4>
      </vt:variant>
      <vt:variant>
        <vt:i4>0</vt:i4>
      </vt:variant>
      <vt:variant>
        <vt:i4>5</vt:i4>
      </vt:variant>
      <vt:variant>
        <vt:lpwstr/>
      </vt:variant>
      <vt:variant>
        <vt:lpwstr>_Toc213839120</vt:lpwstr>
      </vt:variant>
      <vt:variant>
        <vt:i4>1441843</vt:i4>
      </vt:variant>
      <vt:variant>
        <vt:i4>74</vt:i4>
      </vt:variant>
      <vt:variant>
        <vt:i4>0</vt:i4>
      </vt:variant>
      <vt:variant>
        <vt:i4>5</vt:i4>
      </vt:variant>
      <vt:variant>
        <vt:lpwstr/>
      </vt:variant>
      <vt:variant>
        <vt:lpwstr>_Toc213839119</vt:lpwstr>
      </vt:variant>
      <vt:variant>
        <vt:i4>1441843</vt:i4>
      </vt:variant>
      <vt:variant>
        <vt:i4>68</vt:i4>
      </vt:variant>
      <vt:variant>
        <vt:i4>0</vt:i4>
      </vt:variant>
      <vt:variant>
        <vt:i4>5</vt:i4>
      </vt:variant>
      <vt:variant>
        <vt:lpwstr/>
      </vt:variant>
      <vt:variant>
        <vt:lpwstr>_Toc213839118</vt:lpwstr>
      </vt:variant>
      <vt:variant>
        <vt:i4>1441843</vt:i4>
      </vt:variant>
      <vt:variant>
        <vt:i4>62</vt:i4>
      </vt:variant>
      <vt:variant>
        <vt:i4>0</vt:i4>
      </vt:variant>
      <vt:variant>
        <vt:i4>5</vt:i4>
      </vt:variant>
      <vt:variant>
        <vt:lpwstr/>
      </vt:variant>
      <vt:variant>
        <vt:lpwstr>_Toc213839117</vt:lpwstr>
      </vt:variant>
      <vt:variant>
        <vt:i4>1441843</vt:i4>
      </vt:variant>
      <vt:variant>
        <vt:i4>56</vt:i4>
      </vt:variant>
      <vt:variant>
        <vt:i4>0</vt:i4>
      </vt:variant>
      <vt:variant>
        <vt:i4>5</vt:i4>
      </vt:variant>
      <vt:variant>
        <vt:lpwstr/>
      </vt:variant>
      <vt:variant>
        <vt:lpwstr>_Toc213839116</vt:lpwstr>
      </vt:variant>
      <vt:variant>
        <vt:i4>1441843</vt:i4>
      </vt:variant>
      <vt:variant>
        <vt:i4>50</vt:i4>
      </vt:variant>
      <vt:variant>
        <vt:i4>0</vt:i4>
      </vt:variant>
      <vt:variant>
        <vt:i4>5</vt:i4>
      </vt:variant>
      <vt:variant>
        <vt:lpwstr/>
      </vt:variant>
      <vt:variant>
        <vt:lpwstr>_Toc213839115</vt:lpwstr>
      </vt:variant>
      <vt:variant>
        <vt:i4>1441843</vt:i4>
      </vt:variant>
      <vt:variant>
        <vt:i4>44</vt:i4>
      </vt:variant>
      <vt:variant>
        <vt:i4>0</vt:i4>
      </vt:variant>
      <vt:variant>
        <vt:i4>5</vt:i4>
      </vt:variant>
      <vt:variant>
        <vt:lpwstr/>
      </vt:variant>
      <vt:variant>
        <vt:lpwstr>_Toc213839114</vt:lpwstr>
      </vt:variant>
      <vt:variant>
        <vt:i4>1441843</vt:i4>
      </vt:variant>
      <vt:variant>
        <vt:i4>38</vt:i4>
      </vt:variant>
      <vt:variant>
        <vt:i4>0</vt:i4>
      </vt:variant>
      <vt:variant>
        <vt:i4>5</vt:i4>
      </vt:variant>
      <vt:variant>
        <vt:lpwstr/>
      </vt:variant>
      <vt:variant>
        <vt:lpwstr>_Toc213839113</vt:lpwstr>
      </vt:variant>
      <vt:variant>
        <vt:i4>1441843</vt:i4>
      </vt:variant>
      <vt:variant>
        <vt:i4>32</vt:i4>
      </vt:variant>
      <vt:variant>
        <vt:i4>0</vt:i4>
      </vt:variant>
      <vt:variant>
        <vt:i4>5</vt:i4>
      </vt:variant>
      <vt:variant>
        <vt:lpwstr/>
      </vt:variant>
      <vt:variant>
        <vt:lpwstr>_Toc213839112</vt:lpwstr>
      </vt:variant>
      <vt:variant>
        <vt:i4>1441843</vt:i4>
      </vt:variant>
      <vt:variant>
        <vt:i4>26</vt:i4>
      </vt:variant>
      <vt:variant>
        <vt:i4>0</vt:i4>
      </vt:variant>
      <vt:variant>
        <vt:i4>5</vt:i4>
      </vt:variant>
      <vt:variant>
        <vt:lpwstr/>
      </vt:variant>
      <vt:variant>
        <vt:lpwstr>_Toc213839111</vt:lpwstr>
      </vt:variant>
      <vt:variant>
        <vt:i4>1441843</vt:i4>
      </vt:variant>
      <vt:variant>
        <vt:i4>20</vt:i4>
      </vt:variant>
      <vt:variant>
        <vt:i4>0</vt:i4>
      </vt:variant>
      <vt:variant>
        <vt:i4>5</vt:i4>
      </vt:variant>
      <vt:variant>
        <vt:lpwstr/>
      </vt:variant>
      <vt:variant>
        <vt:lpwstr>_Toc213839110</vt:lpwstr>
      </vt:variant>
      <vt:variant>
        <vt:i4>1507379</vt:i4>
      </vt:variant>
      <vt:variant>
        <vt:i4>14</vt:i4>
      </vt:variant>
      <vt:variant>
        <vt:i4>0</vt:i4>
      </vt:variant>
      <vt:variant>
        <vt:i4>5</vt:i4>
      </vt:variant>
      <vt:variant>
        <vt:lpwstr/>
      </vt:variant>
      <vt:variant>
        <vt:lpwstr>_Toc213839109</vt:lpwstr>
      </vt:variant>
      <vt:variant>
        <vt:i4>1507379</vt:i4>
      </vt:variant>
      <vt:variant>
        <vt:i4>8</vt:i4>
      </vt:variant>
      <vt:variant>
        <vt:i4>0</vt:i4>
      </vt:variant>
      <vt:variant>
        <vt:i4>5</vt:i4>
      </vt:variant>
      <vt:variant>
        <vt:lpwstr/>
      </vt:variant>
      <vt:variant>
        <vt:lpwstr>_Toc213839108</vt:lpwstr>
      </vt:variant>
      <vt:variant>
        <vt:i4>1507379</vt:i4>
      </vt:variant>
      <vt:variant>
        <vt:i4>2</vt:i4>
      </vt:variant>
      <vt:variant>
        <vt:i4>0</vt:i4>
      </vt:variant>
      <vt:variant>
        <vt:i4>5</vt:i4>
      </vt:variant>
      <vt:variant>
        <vt:lpwstr/>
      </vt:variant>
      <vt:variant>
        <vt:lpwstr>_Toc213839107</vt:lpwstr>
      </vt:variant>
      <vt:variant>
        <vt:i4>2883611</vt:i4>
      </vt:variant>
      <vt:variant>
        <vt:i4>3</vt:i4>
      </vt:variant>
      <vt:variant>
        <vt:i4>0</vt:i4>
      </vt:variant>
      <vt:variant>
        <vt:i4>5</vt:i4>
      </vt:variant>
      <vt:variant>
        <vt:lpwstr>mailto:Sarah.Meyerhoff@cpuc.ca.gov</vt:lpwstr>
      </vt:variant>
      <vt:variant>
        <vt:lpwstr/>
      </vt:variant>
      <vt:variant>
        <vt:i4>2883611</vt:i4>
      </vt:variant>
      <vt:variant>
        <vt:i4>0</vt:i4>
      </vt:variant>
      <vt:variant>
        <vt:i4>0</vt:i4>
      </vt:variant>
      <vt:variant>
        <vt:i4>5</vt:i4>
      </vt:variant>
      <vt:variant>
        <vt:lpwstr>mailto:Sarah.Meyerhoff@cpuc.ca.gov</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2025-11-14T22:28:00Z</cp:lastPrinted>
  <dcterms:created xsi:type="dcterms:W3CDTF">2025-12-16T09:37:10Z</dcterms:created>
  <dcterms:modified xsi:type="dcterms:W3CDTF">2025-12-16T09:37:10Z</dcterms:modified>
</cp:coreProperties>
</file>