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09B08F1D">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874B72">
        <w:rPr>
          <w:szCs w:val="24"/>
        </w:rPr>
        <w:tab/>
      </w:r>
      <w:r w:rsidR="006F721A">
        <w:rPr>
          <w:b/>
          <w:bCs/>
          <w:szCs w:val="24"/>
        </w:rPr>
        <w:tab/>
      </w:r>
      <w:r>
        <w:rPr>
          <w:szCs w:val="24"/>
        </w:rPr>
        <w:tab/>
        <w:t xml:space="preserve">         </w:t>
      </w:r>
      <w:r w:rsidR="00B807CA">
        <w:rPr>
          <w:szCs w:val="24"/>
        </w:rPr>
        <w:tab/>
      </w:r>
      <w:r w:rsidR="005227D9">
        <w:rPr>
          <w:szCs w:val="24"/>
        </w:rPr>
        <w:t xml:space="preserve">         </w:t>
      </w:r>
      <w:r>
        <w:rPr>
          <w:b/>
          <w:szCs w:val="24"/>
        </w:rPr>
        <w:t>PRESS RELEASE</w:t>
      </w:r>
    </w:p>
    <w:p w:rsidRPr="000372AB" w:rsidR="000964E3" w:rsidP="00963D52" w:rsidRDefault="000964E3" w14:paraId="728853A2" w14:textId="761E5CAF">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5227D9">
        <w:rPr>
          <w:color w:val="FF0000"/>
          <w:szCs w:val="24"/>
        </w:rPr>
        <w:t xml:space="preserve">     </w:t>
      </w:r>
      <w:r w:rsidRPr="00C33199" w:rsidR="00C644FC">
        <w:rPr>
          <w:szCs w:val="24"/>
        </w:rPr>
        <w:t>Docket #:</w:t>
      </w:r>
      <w:bookmarkEnd w:id="1"/>
      <w:r w:rsidRPr="00C33199" w:rsidR="00C33199">
        <w:rPr>
          <w:szCs w:val="24"/>
        </w:rPr>
        <w:t xml:space="preserve"> </w:t>
      </w:r>
      <w:r w:rsidRPr="00CC5C66" w:rsidR="00CC5C66">
        <w:rPr>
          <w:szCs w:val="24"/>
        </w:rPr>
        <w:t>A.25-03-010</w:t>
      </w:r>
    </w:p>
    <w:p w:rsidR="006C550C" w:rsidP="00445AEE" w:rsidRDefault="006C550C" w14:paraId="16E17F51" w14:textId="77777777">
      <w:pPr>
        <w:pStyle w:val="ReleaseHead"/>
        <w:jc w:val="left"/>
        <w:rPr>
          <w:b/>
          <w:bCs/>
          <w:i w:val="0"/>
          <w:iCs w:val="0"/>
          <w:sz w:val="28"/>
          <w:szCs w:val="28"/>
        </w:rPr>
      </w:pPr>
    </w:p>
    <w:p w:rsidRPr="009C47C3" w:rsidR="009C47C3" w:rsidP="00963D52" w:rsidRDefault="005D4516" w14:paraId="7A9F8522" w14:textId="0F9D0BFC">
      <w:pPr>
        <w:pStyle w:val="ReleaseHead"/>
        <w:rPr>
          <w:b/>
          <w:bCs/>
          <w:i w:val="0"/>
          <w:iCs w:val="0"/>
          <w:sz w:val="28"/>
          <w:szCs w:val="28"/>
        </w:rPr>
      </w:pPr>
      <w:r w:rsidRPr="7DB9E468">
        <w:rPr>
          <w:b/>
          <w:bCs/>
          <w:i w:val="0"/>
          <w:iCs w:val="0"/>
          <w:sz w:val="28"/>
          <w:szCs w:val="28"/>
        </w:rPr>
        <w:t xml:space="preserve">CPUC </w:t>
      </w:r>
      <w:r w:rsidR="00963D52">
        <w:rPr>
          <w:b/>
          <w:bCs/>
          <w:i w:val="0"/>
          <w:iCs w:val="0"/>
          <w:sz w:val="28"/>
          <w:szCs w:val="28"/>
        </w:rPr>
        <w:t>Sets</w:t>
      </w:r>
      <w:r w:rsidRPr="00963D52" w:rsidR="00963D52">
        <w:rPr>
          <w:b/>
          <w:bCs/>
          <w:i w:val="0"/>
          <w:iCs w:val="0"/>
          <w:sz w:val="28"/>
          <w:szCs w:val="28"/>
        </w:rPr>
        <w:t xml:space="preserve"> Cost of Capital for </w:t>
      </w:r>
      <w:r w:rsidR="00E1096A">
        <w:rPr>
          <w:b/>
          <w:bCs/>
          <w:i w:val="0"/>
          <w:iCs w:val="0"/>
          <w:sz w:val="28"/>
          <w:szCs w:val="28"/>
        </w:rPr>
        <w:t xml:space="preserve">State’s Largest </w:t>
      </w:r>
      <w:r w:rsidRPr="00963D52" w:rsidR="00963D52">
        <w:rPr>
          <w:b/>
          <w:bCs/>
          <w:i w:val="0"/>
          <w:iCs w:val="0"/>
          <w:sz w:val="28"/>
          <w:szCs w:val="28"/>
        </w:rPr>
        <w:t>Energy Utilities</w:t>
      </w:r>
      <w:r>
        <w:br/>
      </w:r>
    </w:p>
    <w:p w:rsidR="00963D52" w:rsidP="533BB5FA" w:rsidRDefault="348D47A1" w14:paraId="0E1C7FC7" w14:textId="62402445">
      <w:pPr>
        <w:pStyle w:val="NormalWeb"/>
        <w:spacing w:before="0" w:beforeAutospacing="0" w:after="0" w:afterAutospacing="0"/>
      </w:pPr>
      <w:r>
        <w:t xml:space="preserve">SAN FRANCISCO, </w:t>
      </w:r>
      <w:r w:rsidR="00CC5C66">
        <w:t>Dec. 18</w:t>
      </w:r>
      <w:r>
        <w:t xml:space="preserve">, 2025 – </w:t>
      </w:r>
      <w:r w:rsidR="005D4516">
        <w:t>The California Public Utilities Commission (CPUC)</w:t>
      </w:r>
      <w:r w:rsidR="00963D52">
        <w:t xml:space="preserve"> today</w:t>
      </w:r>
      <w:r w:rsidR="00D4541A">
        <w:t xml:space="preserve"> </w:t>
      </w:r>
      <w:r w:rsidR="00963D52">
        <w:t>establish</w:t>
      </w:r>
      <w:r w:rsidR="00D4541A">
        <w:t>e</w:t>
      </w:r>
      <w:r w:rsidR="006C550C">
        <w:t>d</w:t>
      </w:r>
      <w:r w:rsidR="00963D52">
        <w:t xml:space="preserve"> the 2026</w:t>
      </w:r>
      <w:r w:rsidR="002E21B2">
        <w:t>-2028</w:t>
      </w:r>
      <w:r w:rsidR="00963D52">
        <w:t xml:space="preserve"> Cost of Capital for </w:t>
      </w:r>
      <w:r w:rsidR="00D4541A">
        <w:t>the state</w:t>
      </w:r>
      <w:r w:rsidR="198997F1">
        <w:t>’</w:t>
      </w:r>
      <w:r w:rsidR="00D4541A">
        <w:t xml:space="preserve">s </w:t>
      </w:r>
      <w:r w:rsidR="0BD6CB22">
        <w:t xml:space="preserve">four largest </w:t>
      </w:r>
      <w:r w:rsidR="00D4541A">
        <w:t xml:space="preserve">energy investor-owned utilities, setting </w:t>
      </w:r>
      <w:r w:rsidR="00963D52">
        <w:t>the financial parameters that guide how utilities secure funding to maintain and modernize California’s electric and natural gas systems.</w:t>
      </w:r>
    </w:p>
    <w:p w:rsidRPr="00963D52" w:rsidR="006C550C" w:rsidP="533BB5FA" w:rsidRDefault="006C550C" w14:paraId="141A84ED" w14:textId="77777777">
      <w:pPr>
        <w:pStyle w:val="NormalWeb"/>
        <w:spacing w:before="0" w:beforeAutospacing="0" w:after="0" w:afterAutospacing="0"/>
      </w:pPr>
    </w:p>
    <w:p w:rsidRPr="00963D52" w:rsidR="00963D52" w:rsidP="006C550C" w:rsidRDefault="004721C0" w14:paraId="2B51BEA6" w14:textId="6215200C">
      <w:pPr>
        <w:pStyle w:val="NormalWeb"/>
        <w:spacing w:before="0" w:beforeAutospacing="0" w:after="0" w:afterAutospacing="0"/>
        <w:rPr>
          <w:b/>
          <w:bCs/>
        </w:rPr>
      </w:pPr>
      <w:r>
        <w:rPr>
          <w:b/>
          <w:bCs/>
        </w:rPr>
        <w:t>Supporting</w:t>
      </w:r>
      <w:r w:rsidRPr="00963D52">
        <w:rPr>
          <w:b/>
          <w:bCs/>
        </w:rPr>
        <w:t xml:space="preserve"> </w:t>
      </w:r>
      <w:r w:rsidRPr="00963D52" w:rsidR="00963D52">
        <w:rPr>
          <w:b/>
          <w:bCs/>
        </w:rPr>
        <w:t>Reliable Investment While Protecting Customers</w:t>
      </w:r>
    </w:p>
    <w:p w:rsidR="00963D52" w:rsidP="006C550C" w:rsidRDefault="00963D52" w14:paraId="7A0BBD25" w14:textId="5F7B6A16">
      <w:pPr>
        <w:pStyle w:val="NormalWeb"/>
        <w:spacing w:before="0" w:beforeAutospacing="0" w:after="0" w:afterAutospacing="0"/>
      </w:pPr>
      <w:r>
        <w:t xml:space="preserve">Utilities rely on a mix of long-term borrowing, preferred equity, and shareholder investment to fund infrastructure such as poles, wires, substations, and wildfire safety upgrades. The CPUC’s Cost of Capital framework determines how utilities balance these funding sources to maintain healthy credit ratings </w:t>
      </w:r>
      <w:r w:rsidR="00F524ED">
        <w:t xml:space="preserve">in order to </w:t>
      </w:r>
      <w:r>
        <w:t>access capital at reasonable cost</w:t>
      </w:r>
      <w:r w:rsidR="00F524ED">
        <w:t xml:space="preserve"> to ratepayers</w:t>
      </w:r>
      <w:r>
        <w:t xml:space="preserve">. </w:t>
      </w:r>
    </w:p>
    <w:p w:rsidRPr="00963D52" w:rsidR="006C550C" w:rsidP="006C550C" w:rsidRDefault="006C550C" w14:paraId="7D6C88AE" w14:textId="77777777">
      <w:pPr>
        <w:pStyle w:val="NormalWeb"/>
        <w:spacing w:before="0" w:beforeAutospacing="0" w:after="0" w:afterAutospacing="0"/>
      </w:pPr>
    </w:p>
    <w:p w:rsidRPr="00963D52" w:rsidR="00963D52" w:rsidP="006C550C" w:rsidRDefault="00963D52" w14:paraId="61127885" w14:textId="77777777">
      <w:pPr>
        <w:pStyle w:val="NormalWeb"/>
        <w:spacing w:before="0" w:beforeAutospacing="0" w:after="0" w:afterAutospacing="0"/>
        <w:rPr>
          <w:b/>
          <w:bCs/>
        </w:rPr>
      </w:pPr>
      <w:r w:rsidRPr="00963D52">
        <w:rPr>
          <w:b/>
          <w:bCs/>
        </w:rPr>
        <w:t>Return on Equity: Lower Than Current Levels</w:t>
      </w:r>
    </w:p>
    <w:p w:rsidR="00963D52" w:rsidP="006C550C" w:rsidRDefault="765F66A9" w14:paraId="1CA665A1" w14:textId="60DFEFC8">
      <w:pPr>
        <w:pStyle w:val="NormalWeb"/>
        <w:spacing w:before="0" w:beforeAutospacing="0" w:after="0" w:afterAutospacing="0"/>
      </w:pPr>
      <w:r>
        <w:t xml:space="preserve">The </w:t>
      </w:r>
      <w:r w:rsidR="6E9F3221">
        <w:t>CPUC</w:t>
      </w:r>
      <w:r>
        <w:t xml:space="preserve"> authorize</w:t>
      </w:r>
      <w:r w:rsidR="6E9F3221">
        <w:t>d</w:t>
      </w:r>
      <w:r>
        <w:t xml:space="preserve"> Returns on Equity (ROEs) just under 10 percent for </w:t>
      </w:r>
      <w:r w:rsidR="5B31AF93">
        <w:t>Pacific Gas and Electric Company, Southern California Gas Company, and San Diego Gas &amp; Electric</w:t>
      </w:r>
      <w:r w:rsidR="007810E1">
        <w:t>,</w:t>
      </w:r>
      <w:r w:rsidR="00AF142D">
        <w:t xml:space="preserve"> and slightly over 10</w:t>
      </w:r>
      <w:r w:rsidR="00EC46AD">
        <w:t xml:space="preserve"> percent</w:t>
      </w:r>
      <w:r w:rsidR="00AF142D">
        <w:t xml:space="preserve"> for Southern California Edison</w:t>
      </w:r>
      <w:r w:rsidR="000600B4">
        <w:t>. These authorized ROE</w:t>
      </w:r>
      <w:r w:rsidR="00072BDA">
        <w:t>s are below</w:t>
      </w:r>
      <w:r>
        <w:t xml:space="preserve"> current levels and consistent with national trends. ROE represents the percentage of profit utilities may earn on shareholder-funded investments. </w:t>
      </w:r>
      <w:r w:rsidR="64736BEE">
        <w:t>Returns are not guaranteed; u</w:t>
      </w:r>
      <w:r>
        <w:t>tilities earn the full authorized ROE only when they</w:t>
      </w:r>
      <w:r w:rsidR="00EC46AD">
        <w:t xml:space="preserve"> </w:t>
      </w:r>
      <w:r>
        <w:t>effectively manage costs, maintain safe operations, and deliver projects on time and on budget.</w:t>
      </w:r>
      <w:r w:rsidR="66EB2668">
        <w:t xml:space="preserve"> The C</w:t>
      </w:r>
      <w:r w:rsidR="2CDC6718">
        <w:t>PUC</w:t>
      </w:r>
      <w:r w:rsidR="66EB2668">
        <w:t xml:space="preserve">’s decision also maintains the existing Cost of Capital Mechanism, which allows for automatic ROE adjustments </w:t>
      </w:r>
      <w:r w:rsidR="36296640">
        <w:t xml:space="preserve">between </w:t>
      </w:r>
      <w:r w:rsidR="73A76D70">
        <w:t>C</w:t>
      </w:r>
      <w:r w:rsidR="36296640">
        <w:t xml:space="preserve">ost of </w:t>
      </w:r>
      <w:r w:rsidR="50A5A553">
        <w:t>C</w:t>
      </w:r>
      <w:r w:rsidR="36296640">
        <w:t xml:space="preserve">apital proceedings, </w:t>
      </w:r>
      <w:r w:rsidR="66EB2668">
        <w:t>if bond</w:t>
      </w:r>
      <w:r w:rsidR="48853575">
        <w:t xml:space="preserve"> markets change substantially in either direction.</w:t>
      </w:r>
    </w:p>
    <w:p w:rsidRPr="00963D52" w:rsidR="006C550C" w:rsidP="006C550C" w:rsidRDefault="006C550C" w14:paraId="5791F007" w14:textId="77777777">
      <w:pPr>
        <w:pStyle w:val="NormalWeb"/>
        <w:spacing w:before="0" w:beforeAutospacing="0" w:after="0" w:afterAutospacing="0"/>
      </w:pPr>
    </w:p>
    <w:p w:rsidRPr="00963D52" w:rsidR="00963D52" w:rsidP="006C550C" w:rsidRDefault="00963D52" w14:paraId="369586C3" w14:textId="77777777">
      <w:pPr>
        <w:pStyle w:val="NormalWeb"/>
        <w:spacing w:before="0" w:beforeAutospacing="0" w:after="0" w:afterAutospacing="0"/>
        <w:rPr>
          <w:b/>
          <w:bCs/>
        </w:rPr>
      </w:pPr>
      <w:r w:rsidRPr="00963D52">
        <w:rPr>
          <w:b/>
          <w:bCs/>
        </w:rPr>
        <w:t>Potential Impacts on Customer Costs</w:t>
      </w:r>
    </w:p>
    <w:p w:rsidR="006C550C" w:rsidP="00995429" w:rsidRDefault="765F66A9" w14:paraId="481959F6" w14:textId="7E88CE09">
      <w:pPr>
        <w:pStyle w:val="NormalWeb"/>
      </w:pPr>
      <w:r>
        <w:lastRenderedPageBreak/>
        <w:t xml:space="preserve">Changes to ROE </w:t>
      </w:r>
      <w:r w:rsidR="003731F3">
        <w:t>(</w:t>
      </w:r>
      <w:r w:rsidRPr="003731F3" w:rsidR="003731F3">
        <w:t>and to the overall rate of return (ROR), of which ROE is one component</w:t>
      </w:r>
      <w:r w:rsidR="003731F3">
        <w:t>)</w:t>
      </w:r>
      <w:r w:rsidRPr="003731F3" w:rsidR="003731F3">
        <w:t xml:space="preserve"> </w:t>
      </w:r>
      <w:r>
        <w:t>can influence customer costs over time because RO</w:t>
      </w:r>
      <w:r w:rsidR="003731F3">
        <w:t>R</w:t>
      </w:r>
      <w:r>
        <w:t xml:space="preserve"> is applied to the rate base</w:t>
      </w:r>
      <w:r w:rsidR="5B31AF93">
        <w:t xml:space="preserve">, which is </w:t>
      </w:r>
      <w:r>
        <w:t xml:space="preserve">the value of long-term utility infrastructure approved by the CPUC. A lower ROE reduces the profit utilities may earn on these investments, potentially easing upward pressure on future rates. </w:t>
      </w:r>
      <w:r w:rsidR="004F1CEB">
        <w:t>S</w:t>
      </w:r>
      <w:r w:rsidR="55636999">
        <w:t>etting ROEs too low</w:t>
      </w:r>
      <w:r w:rsidR="31C7CEC0">
        <w:t xml:space="preserve"> </w:t>
      </w:r>
      <w:r w:rsidR="7541A563">
        <w:t xml:space="preserve">may </w:t>
      </w:r>
      <w:r w:rsidR="37A7610F">
        <w:t>result in the market expecting</w:t>
      </w:r>
      <w:r w:rsidR="4BEB7485">
        <w:t xml:space="preserve"> higher interest rates </w:t>
      </w:r>
      <w:r w:rsidR="2592A304">
        <w:t xml:space="preserve">from </w:t>
      </w:r>
      <w:r w:rsidR="4BEB7485">
        <w:t xml:space="preserve">utilities, which </w:t>
      </w:r>
      <w:r w:rsidR="75294809">
        <w:t xml:space="preserve">can translate into higher borrowing costs </w:t>
      </w:r>
      <w:r w:rsidR="178A4DCC">
        <w:t>that remain in</w:t>
      </w:r>
      <w:r w:rsidR="75294809">
        <w:t xml:space="preserve"> </w:t>
      </w:r>
      <w:r w:rsidR="163879DB">
        <w:t xml:space="preserve">utility </w:t>
      </w:r>
      <w:r w:rsidR="75294809">
        <w:t>rates for many years.</w:t>
      </w:r>
      <w:r w:rsidR="1400A6F4">
        <w:t xml:space="preserve"> </w:t>
      </w:r>
    </w:p>
    <w:p w:rsidR="000372AB" w:rsidP="00872530" w:rsidRDefault="000372AB" w14:paraId="3E2A3BC9" w14:textId="097A3B91">
      <w:pPr>
        <w:pStyle w:val="NormalWeb"/>
        <w:spacing w:before="0" w:beforeAutospacing="0" w:after="0" w:afterAutospacing="0"/>
        <w:rPr>
          <w:b/>
          <w:bCs/>
        </w:rPr>
      </w:pPr>
      <w:r w:rsidRPr="002A1FEF">
        <w:rPr>
          <w:b/>
          <w:bCs/>
        </w:rPr>
        <w:t>More Information</w:t>
      </w:r>
    </w:p>
    <w:p w:rsidRPr="00714B22" w:rsidR="00803159" w:rsidP="008B1830" w:rsidRDefault="00714B22" w14:paraId="77575651" w14:textId="6E64E182">
      <w:pPr>
        <w:pStyle w:val="NormalWeb"/>
        <w:numPr>
          <w:ilvl w:val="0"/>
          <w:numId w:val="3"/>
        </w:numPr>
        <w:spacing w:before="0" w:beforeAutospacing="0" w:after="0" w:afterAutospacing="0"/>
      </w:pPr>
      <w:hyperlink w:history="1" r:id="rId13">
        <w:r w:rsidRPr="00714B22" w:rsidR="00803159">
          <w:rPr>
            <w:rStyle w:val="Hyperlink"/>
          </w:rPr>
          <w:t>Fact Sheet</w:t>
        </w:r>
      </w:hyperlink>
    </w:p>
    <w:p w:rsidR="008B1830" w:rsidP="008B1830" w:rsidRDefault="00F12690" w14:paraId="5B89FAF2" w14:textId="6B0A968D">
      <w:pPr>
        <w:pStyle w:val="NormalWeb"/>
        <w:numPr>
          <w:ilvl w:val="0"/>
          <w:numId w:val="3"/>
        </w:numPr>
        <w:spacing w:before="0" w:beforeAutospacing="0" w:after="0" w:afterAutospacing="0"/>
      </w:pPr>
      <w:hyperlink w:history="1" r:id="rId14">
        <w:r w:rsidRPr="00CC5C66">
          <w:rPr>
            <w:rStyle w:val="Hyperlink"/>
          </w:rPr>
          <w:t>Proposal Approved</w:t>
        </w:r>
      </w:hyperlink>
    </w:p>
    <w:p w:rsidR="00D50B06" w:rsidP="008B1830" w:rsidRDefault="00CC5C66" w14:paraId="1A34238F" w14:textId="1E76E1CE">
      <w:pPr>
        <w:pStyle w:val="NormalWeb"/>
        <w:numPr>
          <w:ilvl w:val="0"/>
          <w:numId w:val="3"/>
        </w:numPr>
        <w:spacing w:before="0" w:beforeAutospacing="0" w:after="0" w:afterAutospacing="0"/>
      </w:pPr>
      <w:hyperlink w:history="1" r:id="rId15">
        <w:r w:rsidRPr="00CC5C66">
          <w:rPr>
            <w:rStyle w:val="Hyperlink"/>
          </w:rPr>
          <w:t>Docket Card</w:t>
        </w:r>
      </w:hyperlink>
    </w:p>
    <w:p w:rsidR="00CC5C66" w:rsidP="008B1830" w:rsidRDefault="00CC5C66" w14:paraId="043411E3" w14:textId="00E1CCD4">
      <w:pPr>
        <w:pStyle w:val="NormalWeb"/>
        <w:numPr>
          <w:ilvl w:val="0"/>
          <w:numId w:val="3"/>
        </w:numPr>
        <w:spacing w:before="0" w:beforeAutospacing="0" w:after="0" w:afterAutospacing="0"/>
      </w:pPr>
      <w:hyperlink w:history="1" r:id="rId16">
        <w:r w:rsidRPr="00CC5C66">
          <w:rPr>
            <w:rStyle w:val="Hyperlink"/>
          </w:rPr>
          <w:t>Cost of Capital Webpage</w:t>
        </w:r>
      </w:hyperlink>
    </w:p>
    <w:p w:rsidR="00BE0F70" w:rsidP="009422DC" w:rsidRDefault="000964E3" w14:paraId="71D346CC" w14:textId="782579D9">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17">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default" r:id="rId18"/>
      <w:footerReference w:type="default" r:id="rId19"/>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E278" w14:textId="77777777" w:rsidR="005E05F2" w:rsidRDefault="005E05F2">
      <w:pPr>
        <w:spacing w:line="240" w:lineRule="auto"/>
      </w:pPr>
      <w:r>
        <w:separator/>
      </w:r>
    </w:p>
    <w:p w14:paraId="5CB30D7A" w14:textId="77777777" w:rsidR="005E05F2" w:rsidRDefault="005E05F2"/>
  </w:endnote>
  <w:endnote w:type="continuationSeparator" w:id="0">
    <w:p w14:paraId="44345C2F" w14:textId="77777777" w:rsidR="005E05F2" w:rsidRDefault="005E05F2">
      <w:pPr>
        <w:spacing w:line="240" w:lineRule="auto"/>
      </w:pPr>
      <w:r>
        <w:continuationSeparator/>
      </w:r>
    </w:p>
    <w:p w14:paraId="27C14214" w14:textId="77777777" w:rsidR="005E05F2" w:rsidRDefault="005E0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47DA236">
            <v:rect id="Rectangle 8" style="position:absolute;margin-left:288.65pt;margin-top:13.6pt;width:12.6pt;height:12.95pt;z-index:251658245;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3F678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655552B7">
            <v:rect id="Rectangle 7" style="position:absolute;margin-left:273.65pt;margin-top:13.65pt;width:12.6pt;height:13pt;z-index:251658244;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1CAC9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6B8934B">
            <v:rect id="Rectangle 6" style="position:absolute;margin-left:258.65pt;margin-top:13.65pt;width:12.6pt;height:13pt;z-index:251658243;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21C9B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4D6532ED">
            <v:rect id="Rectangle 5" style="position:absolute;margin-left:243.7pt;margin-top:13.65pt;width:12.6pt;height:13pt;z-index:25165824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6AE74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BF0A30B">
            <v:rect id="Rectangle 4" style="position:absolute;margin-left:228.65pt;margin-top:13.75pt;width:12.6pt;height:1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048CC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D057" w14:textId="77777777" w:rsidR="005E05F2" w:rsidRDefault="005E05F2">
      <w:pPr>
        <w:spacing w:line="240" w:lineRule="auto"/>
      </w:pPr>
      <w:r>
        <w:separator/>
      </w:r>
    </w:p>
    <w:p w14:paraId="2BE2637C" w14:textId="77777777" w:rsidR="005E05F2" w:rsidRDefault="005E05F2"/>
  </w:footnote>
  <w:footnote w:type="continuationSeparator" w:id="0">
    <w:p w14:paraId="155440AC" w14:textId="77777777" w:rsidR="005E05F2" w:rsidRDefault="005E05F2">
      <w:pPr>
        <w:spacing w:line="240" w:lineRule="auto"/>
      </w:pPr>
      <w:r>
        <w:continuationSeparator/>
      </w:r>
    </w:p>
    <w:p w14:paraId="5C41D1A3" w14:textId="77777777" w:rsidR="005E05F2" w:rsidRDefault="005E0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8AB"/>
    <w:multiLevelType w:val="multilevel"/>
    <w:tmpl w:val="82BA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2"/>
  </w:num>
  <w:num w:numId="2" w16cid:durableId="1083062485">
    <w:abstractNumId w:val="1"/>
  </w:num>
  <w:num w:numId="3" w16cid:durableId="130027463">
    <w:abstractNumId w:val="6"/>
  </w:num>
  <w:num w:numId="4" w16cid:durableId="1324746911">
    <w:abstractNumId w:val="5"/>
  </w:num>
  <w:num w:numId="5" w16cid:durableId="1740515815">
    <w:abstractNumId w:val="4"/>
  </w:num>
  <w:num w:numId="6" w16cid:durableId="1261837000">
    <w:abstractNumId w:val="3"/>
  </w:num>
  <w:num w:numId="7" w16cid:durableId="121793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22371"/>
    <w:rsid w:val="00027F62"/>
    <w:rsid w:val="00032DF2"/>
    <w:rsid w:val="00034C07"/>
    <w:rsid w:val="000372AB"/>
    <w:rsid w:val="00042E8A"/>
    <w:rsid w:val="000511DF"/>
    <w:rsid w:val="0005167C"/>
    <w:rsid w:val="000527AF"/>
    <w:rsid w:val="000600B4"/>
    <w:rsid w:val="00064C9B"/>
    <w:rsid w:val="00065488"/>
    <w:rsid w:val="000671F7"/>
    <w:rsid w:val="00067BC8"/>
    <w:rsid w:val="00071696"/>
    <w:rsid w:val="00072BDA"/>
    <w:rsid w:val="00072F2A"/>
    <w:rsid w:val="00077A02"/>
    <w:rsid w:val="000964E3"/>
    <w:rsid w:val="000A0591"/>
    <w:rsid w:val="000A17C9"/>
    <w:rsid w:val="000A6282"/>
    <w:rsid w:val="000B035D"/>
    <w:rsid w:val="000B3734"/>
    <w:rsid w:val="000B3D43"/>
    <w:rsid w:val="000B4FE3"/>
    <w:rsid w:val="000B5979"/>
    <w:rsid w:val="000B7BD1"/>
    <w:rsid w:val="000C62B9"/>
    <w:rsid w:val="000D695E"/>
    <w:rsid w:val="000D784A"/>
    <w:rsid w:val="000E0857"/>
    <w:rsid w:val="000F27E9"/>
    <w:rsid w:val="00104B5E"/>
    <w:rsid w:val="001103D7"/>
    <w:rsid w:val="001121D2"/>
    <w:rsid w:val="00121472"/>
    <w:rsid w:val="00137DD6"/>
    <w:rsid w:val="00140CFB"/>
    <w:rsid w:val="00157DAF"/>
    <w:rsid w:val="00166728"/>
    <w:rsid w:val="00181B22"/>
    <w:rsid w:val="00191726"/>
    <w:rsid w:val="00197768"/>
    <w:rsid w:val="001B0315"/>
    <w:rsid w:val="001D1CA9"/>
    <w:rsid w:val="001D2C18"/>
    <w:rsid w:val="001D355F"/>
    <w:rsid w:val="001D3BCA"/>
    <w:rsid w:val="001E05D4"/>
    <w:rsid w:val="001E434A"/>
    <w:rsid w:val="001E44E0"/>
    <w:rsid w:val="001F03A5"/>
    <w:rsid w:val="001F4FFB"/>
    <w:rsid w:val="00200A7A"/>
    <w:rsid w:val="00200D54"/>
    <w:rsid w:val="00203B93"/>
    <w:rsid w:val="002045B7"/>
    <w:rsid w:val="00211BF7"/>
    <w:rsid w:val="002171EF"/>
    <w:rsid w:val="0022442F"/>
    <w:rsid w:val="00231CAB"/>
    <w:rsid w:val="002557D4"/>
    <w:rsid w:val="00260757"/>
    <w:rsid w:val="00260E9E"/>
    <w:rsid w:val="00265714"/>
    <w:rsid w:val="00273DEF"/>
    <w:rsid w:val="002814B0"/>
    <w:rsid w:val="00282CBF"/>
    <w:rsid w:val="002931FB"/>
    <w:rsid w:val="002A1FEF"/>
    <w:rsid w:val="002A209F"/>
    <w:rsid w:val="002A688B"/>
    <w:rsid w:val="002B6A2F"/>
    <w:rsid w:val="002C649D"/>
    <w:rsid w:val="002C7075"/>
    <w:rsid w:val="002C7D43"/>
    <w:rsid w:val="002D1ADF"/>
    <w:rsid w:val="002D1E41"/>
    <w:rsid w:val="002D1EAC"/>
    <w:rsid w:val="002D588F"/>
    <w:rsid w:val="002D6509"/>
    <w:rsid w:val="002E08B7"/>
    <w:rsid w:val="002E21B2"/>
    <w:rsid w:val="002E3C91"/>
    <w:rsid w:val="002E4431"/>
    <w:rsid w:val="002E69F1"/>
    <w:rsid w:val="002F5BE7"/>
    <w:rsid w:val="002F7D6C"/>
    <w:rsid w:val="003055DE"/>
    <w:rsid w:val="00305629"/>
    <w:rsid w:val="003056F6"/>
    <w:rsid w:val="00310B9B"/>
    <w:rsid w:val="003124BB"/>
    <w:rsid w:val="00313D21"/>
    <w:rsid w:val="00314343"/>
    <w:rsid w:val="003164C9"/>
    <w:rsid w:val="003164F0"/>
    <w:rsid w:val="003402D8"/>
    <w:rsid w:val="003546B1"/>
    <w:rsid w:val="0035700B"/>
    <w:rsid w:val="00357A08"/>
    <w:rsid w:val="00362D44"/>
    <w:rsid w:val="00363A50"/>
    <w:rsid w:val="003666E8"/>
    <w:rsid w:val="003731F3"/>
    <w:rsid w:val="00381748"/>
    <w:rsid w:val="00390A4B"/>
    <w:rsid w:val="00391764"/>
    <w:rsid w:val="0039353B"/>
    <w:rsid w:val="003A10E0"/>
    <w:rsid w:val="003A1F6B"/>
    <w:rsid w:val="003A5C6D"/>
    <w:rsid w:val="003A7882"/>
    <w:rsid w:val="003B1208"/>
    <w:rsid w:val="003B32A6"/>
    <w:rsid w:val="003C6FCB"/>
    <w:rsid w:val="003D5ECD"/>
    <w:rsid w:val="003E2832"/>
    <w:rsid w:val="003E2DF6"/>
    <w:rsid w:val="003E6BAB"/>
    <w:rsid w:val="003F07C4"/>
    <w:rsid w:val="004109A9"/>
    <w:rsid w:val="00412D3E"/>
    <w:rsid w:val="004204AD"/>
    <w:rsid w:val="00427583"/>
    <w:rsid w:val="004327DC"/>
    <w:rsid w:val="004359FD"/>
    <w:rsid w:val="00441DD8"/>
    <w:rsid w:val="00445AEE"/>
    <w:rsid w:val="00465E73"/>
    <w:rsid w:val="004718FF"/>
    <w:rsid w:val="004721C0"/>
    <w:rsid w:val="00474182"/>
    <w:rsid w:val="0048184C"/>
    <w:rsid w:val="004869F1"/>
    <w:rsid w:val="00490A3A"/>
    <w:rsid w:val="004A63BF"/>
    <w:rsid w:val="004A6C2D"/>
    <w:rsid w:val="004A77EE"/>
    <w:rsid w:val="004C7F3B"/>
    <w:rsid w:val="004D465C"/>
    <w:rsid w:val="004E3A83"/>
    <w:rsid w:val="004F1CEB"/>
    <w:rsid w:val="00503C35"/>
    <w:rsid w:val="00506179"/>
    <w:rsid w:val="00510C78"/>
    <w:rsid w:val="00510E1D"/>
    <w:rsid w:val="005119F2"/>
    <w:rsid w:val="00516C98"/>
    <w:rsid w:val="00517157"/>
    <w:rsid w:val="00517638"/>
    <w:rsid w:val="00520CC7"/>
    <w:rsid w:val="005227D9"/>
    <w:rsid w:val="00527A09"/>
    <w:rsid w:val="005302EF"/>
    <w:rsid w:val="005362A5"/>
    <w:rsid w:val="00546BD0"/>
    <w:rsid w:val="00557FF5"/>
    <w:rsid w:val="00565E23"/>
    <w:rsid w:val="00585FF3"/>
    <w:rsid w:val="005910E6"/>
    <w:rsid w:val="00592B97"/>
    <w:rsid w:val="005A12F2"/>
    <w:rsid w:val="005A4882"/>
    <w:rsid w:val="005B53C9"/>
    <w:rsid w:val="005C025C"/>
    <w:rsid w:val="005C4F9F"/>
    <w:rsid w:val="005D4516"/>
    <w:rsid w:val="005D7B82"/>
    <w:rsid w:val="005E05F2"/>
    <w:rsid w:val="005E3ECB"/>
    <w:rsid w:val="005E5942"/>
    <w:rsid w:val="005E657A"/>
    <w:rsid w:val="005F4563"/>
    <w:rsid w:val="005F64F3"/>
    <w:rsid w:val="00605487"/>
    <w:rsid w:val="00610E27"/>
    <w:rsid w:val="00627548"/>
    <w:rsid w:val="00635690"/>
    <w:rsid w:val="00636239"/>
    <w:rsid w:val="00637220"/>
    <w:rsid w:val="00654243"/>
    <w:rsid w:val="006624D7"/>
    <w:rsid w:val="00662A7E"/>
    <w:rsid w:val="00663FC5"/>
    <w:rsid w:val="00676676"/>
    <w:rsid w:val="006809B6"/>
    <w:rsid w:val="00681F83"/>
    <w:rsid w:val="0068305E"/>
    <w:rsid w:val="00684FF5"/>
    <w:rsid w:val="00687D4B"/>
    <w:rsid w:val="006905CA"/>
    <w:rsid w:val="00693F98"/>
    <w:rsid w:val="00696B93"/>
    <w:rsid w:val="006972CA"/>
    <w:rsid w:val="006A0494"/>
    <w:rsid w:val="006B4BF5"/>
    <w:rsid w:val="006B7737"/>
    <w:rsid w:val="006C0400"/>
    <w:rsid w:val="006C256F"/>
    <w:rsid w:val="006C29FE"/>
    <w:rsid w:val="006C550C"/>
    <w:rsid w:val="006E484B"/>
    <w:rsid w:val="006E525A"/>
    <w:rsid w:val="006E65E3"/>
    <w:rsid w:val="006F1DA5"/>
    <w:rsid w:val="006F62EB"/>
    <w:rsid w:val="006F65C6"/>
    <w:rsid w:val="006F721A"/>
    <w:rsid w:val="007028A0"/>
    <w:rsid w:val="00714B22"/>
    <w:rsid w:val="007216A7"/>
    <w:rsid w:val="00723457"/>
    <w:rsid w:val="00726E07"/>
    <w:rsid w:val="00727998"/>
    <w:rsid w:val="00740534"/>
    <w:rsid w:val="00754FE0"/>
    <w:rsid w:val="00765E4B"/>
    <w:rsid w:val="00773D0D"/>
    <w:rsid w:val="007748F0"/>
    <w:rsid w:val="0077609B"/>
    <w:rsid w:val="007810E1"/>
    <w:rsid w:val="007A3960"/>
    <w:rsid w:val="007B3941"/>
    <w:rsid w:val="007B3B9B"/>
    <w:rsid w:val="007B7FB7"/>
    <w:rsid w:val="007C3CB9"/>
    <w:rsid w:val="007C3F77"/>
    <w:rsid w:val="007D4981"/>
    <w:rsid w:val="007D4CE5"/>
    <w:rsid w:val="007E1B99"/>
    <w:rsid w:val="007F5797"/>
    <w:rsid w:val="0080268D"/>
    <w:rsid w:val="00803159"/>
    <w:rsid w:val="008042A4"/>
    <w:rsid w:val="008079F6"/>
    <w:rsid w:val="00825427"/>
    <w:rsid w:val="00825BF6"/>
    <w:rsid w:val="00826015"/>
    <w:rsid w:val="008264E5"/>
    <w:rsid w:val="00856E1A"/>
    <w:rsid w:val="008613C1"/>
    <w:rsid w:val="008632C3"/>
    <w:rsid w:val="008678B1"/>
    <w:rsid w:val="00872103"/>
    <w:rsid w:val="00872405"/>
    <w:rsid w:val="00872530"/>
    <w:rsid w:val="00874B72"/>
    <w:rsid w:val="008771C3"/>
    <w:rsid w:val="00877625"/>
    <w:rsid w:val="00881D75"/>
    <w:rsid w:val="00882D9F"/>
    <w:rsid w:val="00883672"/>
    <w:rsid w:val="00886647"/>
    <w:rsid w:val="008A0FA8"/>
    <w:rsid w:val="008A4690"/>
    <w:rsid w:val="008B14D2"/>
    <w:rsid w:val="008B1830"/>
    <w:rsid w:val="008B3D3C"/>
    <w:rsid w:val="008B4C5E"/>
    <w:rsid w:val="008B796C"/>
    <w:rsid w:val="008C36D0"/>
    <w:rsid w:val="008C38F6"/>
    <w:rsid w:val="008D247E"/>
    <w:rsid w:val="008D4E49"/>
    <w:rsid w:val="008D5FAC"/>
    <w:rsid w:val="008E25C0"/>
    <w:rsid w:val="008F1159"/>
    <w:rsid w:val="008F553B"/>
    <w:rsid w:val="00900D0D"/>
    <w:rsid w:val="00916768"/>
    <w:rsid w:val="00917A18"/>
    <w:rsid w:val="00933F59"/>
    <w:rsid w:val="009422DC"/>
    <w:rsid w:val="009456D3"/>
    <w:rsid w:val="00952356"/>
    <w:rsid w:val="0095374D"/>
    <w:rsid w:val="00963365"/>
    <w:rsid w:val="00963D52"/>
    <w:rsid w:val="009641DC"/>
    <w:rsid w:val="00966E41"/>
    <w:rsid w:val="00973CB7"/>
    <w:rsid w:val="00982B42"/>
    <w:rsid w:val="00982BF8"/>
    <w:rsid w:val="00984B56"/>
    <w:rsid w:val="009915DC"/>
    <w:rsid w:val="00995429"/>
    <w:rsid w:val="009A094A"/>
    <w:rsid w:val="009A2082"/>
    <w:rsid w:val="009A4CAC"/>
    <w:rsid w:val="009B0686"/>
    <w:rsid w:val="009C47C3"/>
    <w:rsid w:val="009C5EBF"/>
    <w:rsid w:val="009C6C1D"/>
    <w:rsid w:val="009D12E3"/>
    <w:rsid w:val="009E4971"/>
    <w:rsid w:val="009E4EBA"/>
    <w:rsid w:val="009F285B"/>
    <w:rsid w:val="009F341C"/>
    <w:rsid w:val="00A01C4E"/>
    <w:rsid w:val="00A020EB"/>
    <w:rsid w:val="00A06570"/>
    <w:rsid w:val="00A21E9A"/>
    <w:rsid w:val="00A3512C"/>
    <w:rsid w:val="00A36204"/>
    <w:rsid w:val="00A4490A"/>
    <w:rsid w:val="00A47A71"/>
    <w:rsid w:val="00A5297C"/>
    <w:rsid w:val="00A560FB"/>
    <w:rsid w:val="00A6115F"/>
    <w:rsid w:val="00A626C0"/>
    <w:rsid w:val="00A77DC3"/>
    <w:rsid w:val="00A811AF"/>
    <w:rsid w:val="00A87FF5"/>
    <w:rsid w:val="00A9005F"/>
    <w:rsid w:val="00AA186B"/>
    <w:rsid w:val="00AA2945"/>
    <w:rsid w:val="00AA4064"/>
    <w:rsid w:val="00AB48E3"/>
    <w:rsid w:val="00AB5C38"/>
    <w:rsid w:val="00AC609A"/>
    <w:rsid w:val="00AE2C34"/>
    <w:rsid w:val="00AE3665"/>
    <w:rsid w:val="00AF142D"/>
    <w:rsid w:val="00AF2CD6"/>
    <w:rsid w:val="00AF3075"/>
    <w:rsid w:val="00AF6424"/>
    <w:rsid w:val="00B0491A"/>
    <w:rsid w:val="00B072CF"/>
    <w:rsid w:val="00B12683"/>
    <w:rsid w:val="00B2336C"/>
    <w:rsid w:val="00B424B8"/>
    <w:rsid w:val="00B468ED"/>
    <w:rsid w:val="00B46AF6"/>
    <w:rsid w:val="00B47565"/>
    <w:rsid w:val="00B543FC"/>
    <w:rsid w:val="00B61D69"/>
    <w:rsid w:val="00B774FA"/>
    <w:rsid w:val="00B80603"/>
    <w:rsid w:val="00B807CA"/>
    <w:rsid w:val="00B8167A"/>
    <w:rsid w:val="00B82F89"/>
    <w:rsid w:val="00B93346"/>
    <w:rsid w:val="00B948C7"/>
    <w:rsid w:val="00B960ED"/>
    <w:rsid w:val="00B97CD7"/>
    <w:rsid w:val="00BA21F1"/>
    <w:rsid w:val="00BA24CF"/>
    <w:rsid w:val="00BA2810"/>
    <w:rsid w:val="00BA3F99"/>
    <w:rsid w:val="00BA412D"/>
    <w:rsid w:val="00BA4839"/>
    <w:rsid w:val="00BA63D7"/>
    <w:rsid w:val="00BA7935"/>
    <w:rsid w:val="00BA7C1C"/>
    <w:rsid w:val="00BB30D3"/>
    <w:rsid w:val="00BB3A3D"/>
    <w:rsid w:val="00BB444C"/>
    <w:rsid w:val="00BC0541"/>
    <w:rsid w:val="00BC54BE"/>
    <w:rsid w:val="00BD1F1B"/>
    <w:rsid w:val="00BD5C31"/>
    <w:rsid w:val="00BE0F70"/>
    <w:rsid w:val="00BE10C4"/>
    <w:rsid w:val="00BE4750"/>
    <w:rsid w:val="00C145F8"/>
    <w:rsid w:val="00C22E9C"/>
    <w:rsid w:val="00C33199"/>
    <w:rsid w:val="00C34E65"/>
    <w:rsid w:val="00C56E3F"/>
    <w:rsid w:val="00C644FC"/>
    <w:rsid w:val="00C76250"/>
    <w:rsid w:val="00C877C9"/>
    <w:rsid w:val="00C9150A"/>
    <w:rsid w:val="00CB5B2B"/>
    <w:rsid w:val="00CB63B2"/>
    <w:rsid w:val="00CC5C66"/>
    <w:rsid w:val="00CD3AA8"/>
    <w:rsid w:val="00CE4FFC"/>
    <w:rsid w:val="00CE618E"/>
    <w:rsid w:val="00CE71A1"/>
    <w:rsid w:val="00CF0E3F"/>
    <w:rsid w:val="00CF1152"/>
    <w:rsid w:val="00CF2404"/>
    <w:rsid w:val="00D00FD1"/>
    <w:rsid w:val="00D0654B"/>
    <w:rsid w:val="00D07078"/>
    <w:rsid w:val="00D13D16"/>
    <w:rsid w:val="00D13DF3"/>
    <w:rsid w:val="00D17D60"/>
    <w:rsid w:val="00D17E14"/>
    <w:rsid w:val="00D427B0"/>
    <w:rsid w:val="00D42CD4"/>
    <w:rsid w:val="00D4541A"/>
    <w:rsid w:val="00D45AD5"/>
    <w:rsid w:val="00D4703D"/>
    <w:rsid w:val="00D50B06"/>
    <w:rsid w:val="00D57000"/>
    <w:rsid w:val="00D61A8B"/>
    <w:rsid w:val="00D64DB4"/>
    <w:rsid w:val="00D81466"/>
    <w:rsid w:val="00D81B4C"/>
    <w:rsid w:val="00D820A1"/>
    <w:rsid w:val="00D829EC"/>
    <w:rsid w:val="00D861FF"/>
    <w:rsid w:val="00D86D85"/>
    <w:rsid w:val="00D879A8"/>
    <w:rsid w:val="00D92AD2"/>
    <w:rsid w:val="00D939FF"/>
    <w:rsid w:val="00D95DF7"/>
    <w:rsid w:val="00D96B56"/>
    <w:rsid w:val="00DA1186"/>
    <w:rsid w:val="00DA1B3D"/>
    <w:rsid w:val="00DB6396"/>
    <w:rsid w:val="00DD1DBE"/>
    <w:rsid w:val="00DD3D90"/>
    <w:rsid w:val="00DE7181"/>
    <w:rsid w:val="00DF53B1"/>
    <w:rsid w:val="00E07B5E"/>
    <w:rsid w:val="00E1096A"/>
    <w:rsid w:val="00E10C42"/>
    <w:rsid w:val="00E10F4A"/>
    <w:rsid w:val="00E22F92"/>
    <w:rsid w:val="00E26C03"/>
    <w:rsid w:val="00E3779C"/>
    <w:rsid w:val="00E46C3D"/>
    <w:rsid w:val="00E53723"/>
    <w:rsid w:val="00E62797"/>
    <w:rsid w:val="00E7173E"/>
    <w:rsid w:val="00E96318"/>
    <w:rsid w:val="00EB592F"/>
    <w:rsid w:val="00EC2569"/>
    <w:rsid w:val="00EC46AD"/>
    <w:rsid w:val="00EC6158"/>
    <w:rsid w:val="00ED2585"/>
    <w:rsid w:val="00ED4643"/>
    <w:rsid w:val="00ED487D"/>
    <w:rsid w:val="00ED4CAE"/>
    <w:rsid w:val="00ED70EB"/>
    <w:rsid w:val="00EE06DC"/>
    <w:rsid w:val="00EE4295"/>
    <w:rsid w:val="00EE4809"/>
    <w:rsid w:val="00EF0B62"/>
    <w:rsid w:val="00EF0B74"/>
    <w:rsid w:val="00F0113C"/>
    <w:rsid w:val="00F02A8E"/>
    <w:rsid w:val="00F0446F"/>
    <w:rsid w:val="00F06BDE"/>
    <w:rsid w:val="00F06E27"/>
    <w:rsid w:val="00F1241F"/>
    <w:rsid w:val="00F12690"/>
    <w:rsid w:val="00F132D9"/>
    <w:rsid w:val="00F3244B"/>
    <w:rsid w:val="00F4181C"/>
    <w:rsid w:val="00F50CA0"/>
    <w:rsid w:val="00F51D8E"/>
    <w:rsid w:val="00F52395"/>
    <w:rsid w:val="00F524ED"/>
    <w:rsid w:val="00F5295D"/>
    <w:rsid w:val="00F663E3"/>
    <w:rsid w:val="00F703B4"/>
    <w:rsid w:val="00F713B1"/>
    <w:rsid w:val="00F7295D"/>
    <w:rsid w:val="00F74B97"/>
    <w:rsid w:val="00F81AFE"/>
    <w:rsid w:val="00F90ED9"/>
    <w:rsid w:val="00FA79E2"/>
    <w:rsid w:val="00FB05AC"/>
    <w:rsid w:val="00FC7526"/>
    <w:rsid w:val="00FD0A4E"/>
    <w:rsid w:val="00FD3A07"/>
    <w:rsid w:val="00FD7B53"/>
    <w:rsid w:val="00FE272C"/>
    <w:rsid w:val="00FE2F35"/>
    <w:rsid w:val="00FF2477"/>
    <w:rsid w:val="00FF2710"/>
    <w:rsid w:val="00FF76B4"/>
    <w:rsid w:val="010D9642"/>
    <w:rsid w:val="025B17E2"/>
    <w:rsid w:val="0372A4E7"/>
    <w:rsid w:val="0383495F"/>
    <w:rsid w:val="04D738EF"/>
    <w:rsid w:val="050E7CDB"/>
    <w:rsid w:val="051B4B57"/>
    <w:rsid w:val="051DA533"/>
    <w:rsid w:val="07F48876"/>
    <w:rsid w:val="085443F1"/>
    <w:rsid w:val="095C7583"/>
    <w:rsid w:val="096207D9"/>
    <w:rsid w:val="09E8720E"/>
    <w:rsid w:val="0BD6CB22"/>
    <w:rsid w:val="0EDE8105"/>
    <w:rsid w:val="0FF71447"/>
    <w:rsid w:val="119D59B3"/>
    <w:rsid w:val="11EB409F"/>
    <w:rsid w:val="123F5468"/>
    <w:rsid w:val="12D5529E"/>
    <w:rsid w:val="1400A6F4"/>
    <w:rsid w:val="14ACB7CF"/>
    <w:rsid w:val="163879DB"/>
    <w:rsid w:val="16760F4A"/>
    <w:rsid w:val="178A4DCC"/>
    <w:rsid w:val="17FB29DA"/>
    <w:rsid w:val="18139999"/>
    <w:rsid w:val="198997F1"/>
    <w:rsid w:val="19D3C5BB"/>
    <w:rsid w:val="1A3523C0"/>
    <w:rsid w:val="1A72E5F4"/>
    <w:rsid w:val="1A8DEC7F"/>
    <w:rsid w:val="1AC9A86D"/>
    <w:rsid w:val="1CAC9FA4"/>
    <w:rsid w:val="1D6F04EF"/>
    <w:rsid w:val="1E099C65"/>
    <w:rsid w:val="1F599C54"/>
    <w:rsid w:val="1F8A18CC"/>
    <w:rsid w:val="1FFFC79F"/>
    <w:rsid w:val="20051AB8"/>
    <w:rsid w:val="208B1999"/>
    <w:rsid w:val="22170729"/>
    <w:rsid w:val="2246EFE8"/>
    <w:rsid w:val="22832D8E"/>
    <w:rsid w:val="23992478"/>
    <w:rsid w:val="24096050"/>
    <w:rsid w:val="245DC427"/>
    <w:rsid w:val="2510728A"/>
    <w:rsid w:val="25468C57"/>
    <w:rsid w:val="2592A304"/>
    <w:rsid w:val="25CA7246"/>
    <w:rsid w:val="26DB818B"/>
    <w:rsid w:val="27970DA7"/>
    <w:rsid w:val="2B1D2CB4"/>
    <w:rsid w:val="2B9CCE2D"/>
    <w:rsid w:val="2CDC6718"/>
    <w:rsid w:val="31C7CEC0"/>
    <w:rsid w:val="32AC8362"/>
    <w:rsid w:val="32C1DCB0"/>
    <w:rsid w:val="3320EC88"/>
    <w:rsid w:val="348D47A1"/>
    <w:rsid w:val="36296640"/>
    <w:rsid w:val="37A7610F"/>
    <w:rsid w:val="384A1677"/>
    <w:rsid w:val="3908BADE"/>
    <w:rsid w:val="39A18749"/>
    <w:rsid w:val="3BC6C681"/>
    <w:rsid w:val="3CE2FB45"/>
    <w:rsid w:val="3DAFAF20"/>
    <w:rsid w:val="3E1BFE40"/>
    <w:rsid w:val="3EA6495C"/>
    <w:rsid w:val="3F63F188"/>
    <w:rsid w:val="3FE3DBF7"/>
    <w:rsid w:val="407FF29F"/>
    <w:rsid w:val="40CD2FA9"/>
    <w:rsid w:val="40E2DD64"/>
    <w:rsid w:val="44C90BF0"/>
    <w:rsid w:val="45FC9E8D"/>
    <w:rsid w:val="460C9D36"/>
    <w:rsid w:val="474270EF"/>
    <w:rsid w:val="47C6B083"/>
    <w:rsid w:val="48853575"/>
    <w:rsid w:val="49054D45"/>
    <w:rsid w:val="4A1A4A7B"/>
    <w:rsid w:val="4B9D697E"/>
    <w:rsid w:val="4BEB7485"/>
    <w:rsid w:val="4C547966"/>
    <w:rsid w:val="4C7F21FE"/>
    <w:rsid w:val="4D1C5CAE"/>
    <w:rsid w:val="4D28AFB2"/>
    <w:rsid w:val="4E3E7663"/>
    <w:rsid w:val="4F5C04B7"/>
    <w:rsid w:val="4F7D1176"/>
    <w:rsid w:val="50A5A553"/>
    <w:rsid w:val="50ED4ACE"/>
    <w:rsid w:val="50FEC27F"/>
    <w:rsid w:val="533BB5FA"/>
    <w:rsid w:val="548C7144"/>
    <w:rsid w:val="55636999"/>
    <w:rsid w:val="557CD28D"/>
    <w:rsid w:val="55EABD13"/>
    <w:rsid w:val="56646B47"/>
    <w:rsid w:val="584BDAAB"/>
    <w:rsid w:val="5A6F81E2"/>
    <w:rsid w:val="5B31AF93"/>
    <w:rsid w:val="5BA6300E"/>
    <w:rsid w:val="5BB427EA"/>
    <w:rsid w:val="5CE3FA09"/>
    <w:rsid w:val="5DB793EF"/>
    <w:rsid w:val="5E4B291B"/>
    <w:rsid w:val="5F9DAC06"/>
    <w:rsid w:val="60AF665A"/>
    <w:rsid w:val="63234312"/>
    <w:rsid w:val="64736BEE"/>
    <w:rsid w:val="6648F241"/>
    <w:rsid w:val="664C75C7"/>
    <w:rsid w:val="66E35F5B"/>
    <w:rsid w:val="66EB2668"/>
    <w:rsid w:val="67F7558F"/>
    <w:rsid w:val="68410CB5"/>
    <w:rsid w:val="693E2695"/>
    <w:rsid w:val="6953BBFE"/>
    <w:rsid w:val="6AFEFB1D"/>
    <w:rsid w:val="6B6A5261"/>
    <w:rsid w:val="6CF17B7E"/>
    <w:rsid w:val="6E9F3221"/>
    <w:rsid w:val="73A76D70"/>
    <w:rsid w:val="7425A41F"/>
    <w:rsid w:val="7462EF68"/>
    <w:rsid w:val="74810C86"/>
    <w:rsid w:val="75294809"/>
    <w:rsid w:val="7541A563"/>
    <w:rsid w:val="75AACB35"/>
    <w:rsid w:val="75C4741D"/>
    <w:rsid w:val="765F66A9"/>
    <w:rsid w:val="76F2BFC8"/>
    <w:rsid w:val="77810676"/>
    <w:rsid w:val="785B2C5E"/>
    <w:rsid w:val="7A0132C1"/>
    <w:rsid w:val="7C22DAB6"/>
    <w:rsid w:val="7D79D116"/>
    <w:rsid w:val="7DB9E468"/>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924F1"/>
  <w15:chartTrackingRefBased/>
  <w15:docId w15:val="{F2EE0181-C2C4-4B01-89F9-44A8154CEDC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 w:type="table" w:styleId="TableGrid">
    <w:name w:val="Table Grid"/>
    <w:basedOn w:val="TableNormal"/>
    <w:uiPriority w:val="39"/>
    <w:rsid w:val="005D4516"/>
    <w:pPr>
      <w:spacing w:after="0" w:line="240" w:lineRule="auto"/>
    </w:pPr>
    <w:tblPr/>
  </w:style>
  <w:style w:type="character" w:styleId="Mention">
    <w:name w:val="Mention"/>
    <w:basedOn w:val="DefaultParagraphFont"/>
    <w:uiPriority w:val="99"/>
    <w:unhideWhenUsed/>
    <w:rsid w:val="00441D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c.ca.gov/-/media/cpuc-website/industries-and-topics/documents/energy/electric-energy/electric-costs/cost-of-capital-fact-shee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www.cpuc.ca.gov" TargetMode="External"/><Relationship Id="rId2" Type="http://schemas.openxmlformats.org/officeDocument/2006/relationships/customXml" Target="../customXml/item2.xml"/><Relationship Id="rId16" Type="http://schemas.openxmlformats.org/officeDocument/2006/relationships/hyperlink" Target="https://www.cpuc.ca.gov/industries-and-topics/electrical-energy/electric-costs/cost-of-capi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pps.cpuc.ca.gov/apex/f?p=401:56::::RP,57,RIR:P5_PROCEEDING_SELECT:A250301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cpuc.ca.gov/PublishedDocs/Published/G000/M591/K257/591257304.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15" ma:contentTypeDescription="Create a new document." ma:contentTypeScope="" ma:versionID="f4f648e883b6d21466b46ee0ba635df0">
  <xsd:schema xmlns:xsd="http://www.w3.org/2001/XMLSchema" xmlns:xs="http://www.w3.org/2001/XMLSchema" xmlns:p="http://schemas.microsoft.com/office/2006/metadata/properties" xmlns:ns2="f0814199-e58b-430f-802a-20d1b32aa8ff" xmlns:ns3="c753608a-699b-49e1-97e5-e4339c54d723" targetNamespace="http://schemas.microsoft.com/office/2006/metadata/properties" ma:root="true" ma:fieldsID="c806e3057c594abd35110cc12fb112d3" ns2:_="" ns3:_="">
    <xsd:import namespace="f0814199-e58b-430f-802a-20d1b32aa8ff"/>
    <xsd:import namespace="c753608a-699b-49e1-97e5-e4339c54d7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3608a-699b-49e1-97e5-e4339c54d7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515992-da4a-452b-bc5f-dab90540f5d9}" ma:internalName="TaxCatchAll" ma:showField="CatchAllData" ma:web="c753608a-699b-49e1-97e5-e4339c54d7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814199-e58b-430f-802a-20d1b32aa8ff">
      <Terms xmlns="http://schemas.microsoft.com/office/infopath/2007/PartnerControls"/>
    </lcf76f155ced4ddcb4097134ff3c332f>
    <TaxCatchAll xmlns="c753608a-699b-49e1-97e5-e4339c54d7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customXml/itemProps2.xml><?xml version="1.0" encoding="utf-8"?>
<ds:datastoreItem xmlns:ds="http://schemas.openxmlformats.org/officeDocument/2006/customXml" ds:itemID="{B44386CF-BDD3-4002-9ED8-2B193B13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c753608a-699b-49e1-97e5-e4339c54d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f0814199-e58b-430f-802a-20d1b32aa8ff"/>
    <ds:schemaRef ds:uri="c753608a-699b-49e1-97e5-e4339c54d723"/>
  </ds:schemaRefs>
</ds:datastoreItem>
</file>

<file path=customXml/itemProps4.xml><?xml version="1.0" encoding="utf-8"?>
<ds:datastoreItem xmlns:ds="http://schemas.openxmlformats.org/officeDocument/2006/customXml" ds:itemID="{F30B9889-950A-44BD-919A-F24A0B8DF52D}">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519</ap:Words>
  <ap:Characters>2959</ap:Characters>
  <ap:Application>Microsoft Office Word</ap:Application>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3472</ap:CharactersWithSpaces>
  <ap:SharedDoc>false</ap:SharedDoc>
  <ap:HLinks>
    <vt:vector baseType="variant" size="36">
      <vt:variant>
        <vt:i4>6488161</vt:i4>
      </vt:variant>
      <vt:variant>
        <vt:i4>12</vt:i4>
      </vt:variant>
      <vt:variant>
        <vt:i4>0</vt:i4>
      </vt:variant>
      <vt:variant>
        <vt:i4>5</vt:i4>
      </vt:variant>
      <vt:variant>
        <vt:lpwstr>http://www.cpuc.ca.gov/</vt:lpwstr>
      </vt:variant>
      <vt:variant>
        <vt:lpwstr/>
      </vt:variant>
      <vt:variant>
        <vt:i4>7929978</vt:i4>
      </vt:variant>
      <vt:variant>
        <vt:i4>9</vt:i4>
      </vt:variant>
      <vt:variant>
        <vt:i4>0</vt:i4>
      </vt:variant>
      <vt:variant>
        <vt:i4>5</vt:i4>
      </vt:variant>
      <vt:variant>
        <vt:lpwstr>https://www.cpuc.ca.gov/industries-and-topics/electrical-energy/electric-costs/cost-of-capital</vt:lpwstr>
      </vt:variant>
      <vt:variant>
        <vt:lpwstr/>
      </vt:variant>
      <vt:variant>
        <vt:i4>5046279</vt:i4>
      </vt:variant>
      <vt:variant>
        <vt:i4>6</vt:i4>
      </vt:variant>
      <vt:variant>
        <vt:i4>0</vt:i4>
      </vt:variant>
      <vt:variant>
        <vt:i4>5</vt:i4>
      </vt:variant>
      <vt:variant>
        <vt:lpwstr>https://apps.cpuc.ca.gov/apex/f?p=401:56::::RP,57,RIR:P5_PROCEEDING_SELECT:A2503010</vt:lpwstr>
      </vt:variant>
      <vt:variant>
        <vt:lpwstr/>
      </vt:variant>
      <vt:variant>
        <vt:i4>1179720</vt:i4>
      </vt:variant>
      <vt:variant>
        <vt:i4>3</vt:i4>
      </vt:variant>
      <vt:variant>
        <vt:i4>0</vt:i4>
      </vt:variant>
      <vt:variant>
        <vt:i4>5</vt:i4>
      </vt:variant>
      <vt:variant>
        <vt:lpwstr>https://docs.cpuc.ca.gov/PublishedDocs/Published/G000/M591/K257/591257304.PDF</vt:lpwstr>
      </vt:variant>
      <vt:variant>
        <vt:lpwstr/>
      </vt:variant>
      <vt:variant>
        <vt:i4>655458</vt:i4>
      </vt:variant>
      <vt:variant>
        <vt:i4>0</vt:i4>
      </vt:variant>
      <vt:variant>
        <vt:i4>0</vt:i4>
      </vt:variant>
      <vt:variant>
        <vt:i4>5</vt:i4>
      </vt:variant>
      <vt:variant>
        <vt:lpwstr>mailto:news@cpuc.ca.gov</vt:lpwstr>
      </vt:variant>
      <vt:variant>
        <vt:lpwstr/>
      </vt:variant>
      <vt:variant>
        <vt:i4>2293766</vt:i4>
      </vt:variant>
      <vt:variant>
        <vt:i4>0</vt:i4>
      </vt:variant>
      <vt:variant>
        <vt:i4>0</vt:i4>
      </vt:variant>
      <vt:variant>
        <vt:i4>5</vt:i4>
      </vt:variant>
      <vt:variant>
        <vt:lpwstr>mailto:Sang.Soble@cpuc.ca.gov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2025-12-18T14:47:25Z</dcterms:created>
  <dcterms:modified xsi:type="dcterms:W3CDTF">2025-12-18T14:47:25Z</dcterms:modified>
</cp:coreProperties>
</file>