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EE0B25" w:rsidP="00953AB0" w:rsidRDefault="00E20F67" w14:paraId="347B1B86" w14:textId="67B2447D">
      <w:pPr>
        <w:tabs>
          <w:tab w:val="center" w:pos="4140"/>
          <w:tab w:val="right" w:pos="9360"/>
        </w:tabs>
        <w:spacing w:line="240" w:lineRule="auto"/>
        <w:ind w:firstLine="0"/>
        <w:rPr>
          <w:b/>
        </w:rPr>
      </w:pPr>
      <w:r>
        <w:t xml:space="preserve">ALJ/JLQ/asf            </w:t>
      </w:r>
      <w:r w:rsidR="00953AB0">
        <w:rPr>
          <w:rFonts w:ascii="Arial" w:hAnsi="Arial" w:cs="Arial"/>
          <w:b/>
          <w:sz w:val="32"/>
          <w:szCs w:val="32"/>
        </w:rPr>
        <w:tab/>
      </w:r>
      <w:r w:rsidR="00DA7B5D">
        <w:tab/>
      </w:r>
      <w:r w:rsidR="00953AB0">
        <w:rPr>
          <w:b/>
        </w:rPr>
        <w:t>Date of Issuance 12/22/2025</w:t>
      </w:r>
    </w:p>
    <w:p w:rsidR="00DA7B5D" w:rsidP="008F0116" w:rsidRDefault="00DA7B5D" w14:paraId="126BFC8B" w14:textId="77777777">
      <w:pPr>
        <w:ind w:firstLine="0"/>
      </w:pPr>
    </w:p>
    <w:p w:rsidRPr="00953AB0" w:rsidR="00DA7B5D" w:rsidP="0098655A" w:rsidRDefault="00DA7B5D" w14:paraId="53C422CF" w14:textId="1292F1E6">
      <w:pPr>
        <w:ind w:left="1080" w:hanging="1080"/>
      </w:pPr>
      <w:r>
        <w:t xml:space="preserve">Decision </w:t>
      </w:r>
      <w:r w:rsidR="00953AB0">
        <w:t>25-12-043</w:t>
      </w:r>
      <w:r w:rsidR="00D6477A">
        <w:t xml:space="preserve">  December 18, 2025</w:t>
      </w:r>
    </w:p>
    <w:p w:rsidR="00DA7B5D" w:rsidP="00BB0243" w:rsidRDefault="00DA7B5D" w14:paraId="26782F86" w14:textId="77777777">
      <w:pPr>
        <w:spacing w:line="240" w:lineRule="auto"/>
        <w:jc w:val="center"/>
        <w:rPr>
          <w:u w:val="single"/>
        </w:rPr>
      </w:pPr>
    </w:p>
    <w:p w:rsidR="00DA7B5D" w:rsidP="00BB0243" w:rsidRDefault="00DA7B5D" w14:paraId="6BC3F6B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7DD2F9C" w14:textId="77777777">
      <w:pPr>
        <w:spacing w:line="240" w:lineRule="auto"/>
        <w:ind w:firstLine="0"/>
        <w:rPr>
          <w:rFonts w:ascii="Arial" w:hAnsi="Arial" w:cs="Arial"/>
          <w:sz w:val="24"/>
          <w:szCs w:val="24"/>
        </w:rPr>
      </w:pPr>
    </w:p>
    <w:tbl>
      <w:tblPr>
        <w:tblStyle w:val="TableGrid"/>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4680"/>
      </w:tblGrid>
      <w:tr w:rsidR="00DA7B5D" w:rsidTr="006F1C2D" w14:paraId="0529BDEE" w14:textId="77777777">
        <w:trPr>
          <w:jc w:val="center"/>
        </w:trPr>
        <w:tc>
          <w:tcPr>
            <w:tcW w:w="4680" w:type="dxa"/>
            <w:tcBorders>
              <w:bottom w:val="single" w:color="auto" w:sz="4" w:space="0"/>
              <w:right w:val="single" w:color="auto" w:sz="4" w:space="0"/>
            </w:tcBorders>
          </w:tcPr>
          <w:p w:rsidRPr="00DA7B5D" w:rsidR="00DA7B5D" w:rsidP="00C10B5F" w:rsidRDefault="00F94218" w14:paraId="5B785F31" w14:textId="0B489EFB">
            <w:pPr>
              <w:spacing w:line="240" w:lineRule="auto"/>
              <w:ind w:firstLine="0"/>
              <w:rPr>
                <w:rFonts w:cs="Arial"/>
                <w:szCs w:val="26"/>
              </w:rPr>
            </w:pPr>
            <w:r w:rsidRPr="00F94218">
              <w:rPr>
                <w:rFonts w:cs="Arial"/>
                <w:szCs w:val="26"/>
              </w:rPr>
              <w:t>Application of Pacific Gas and Electric Company for Authority to Establish Its Authorized Cost of Capital for Utility Operations for 2026. (U 39 M)</w:t>
            </w:r>
            <w:r w:rsidRPr="00F94218">
              <w:rPr>
                <w:rFonts w:cs="Arial"/>
                <w:szCs w:val="26"/>
              </w:rPr>
              <w:tab/>
            </w:r>
            <w:r w:rsidRPr="00DA7B5D" w:rsidR="00DA7B5D">
              <w:rPr>
                <w:rFonts w:cs="Arial"/>
                <w:szCs w:val="26"/>
              </w:rPr>
              <w:br/>
            </w:r>
          </w:p>
        </w:tc>
        <w:tc>
          <w:tcPr>
            <w:tcW w:w="4680" w:type="dxa"/>
            <w:tcBorders>
              <w:left w:val="single" w:color="auto" w:sz="4" w:space="0"/>
            </w:tcBorders>
            <w:vAlign w:val="center"/>
          </w:tcPr>
          <w:p w:rsidRPr="00DA7B5D" w:rsidR="00DA7B5D" w:rsidP="00412C83" w:rsidRDefault="001378A6" w14:paraId="33E8CDBE" w14:textId="46417B29">
            <w:pPr>
              <w:spacing w:line="240" w:lineRule="auto"/>
              <w:ind w:firstLine="0"/>
              <w:jc w:val="center"/>
              <w:rPr>
                <w:rFonts w:cs="Arial"/>
                <w:szCs w:val="26"/>
              </w:rPr>
            </w:pPr>
            <w:r>
              <w:rPr>
                <w:rFonts w:cs="Arial"/>
                <w:szCs w:val="26"/>
              </w:rPr>
              <w:t>Application 25-03-010</w:t>
            </w:r>
          </w:p>
        </w:tc>
      </w:tr>
      <w:tr w:rsidR="00F94218" w:rsidTr="006F1C2D" w14:paraId="3894C445" w14:textId="77777777">
        <w:tblPrEx>
          <w:jc w:val="left"/>
        </w:tblPrEx>
        <w:tc>
          <w:tcPr>
            <w:tcW w:w="4680" w:type="dxa"/>
            <w:tcBorders>
              <w:bottom w:val="single" w:color="auto" w:sz="4" w:space="0"/>
              <w:right w:val="single" w:color="auto" w:sz="4" w:space="0"/>
            </w:tcBorders>
          </w:tcPr>
          <w:p w:rsidR="004A4691" w:rsidRDefault="004A4691" w14:paraId="2A044A91" w14:textId="77777777">
            <w:pPr>
              <w:spacing w:line="240" w:lineRule="auto"/>
              <w:ind w:firstLine="0"/>
              <w:rPr>
                <w:rFonts w:cs="Arial"/>
                <w:szCs w:val="26"/>
              </w:rPr>
            </w:pPr>
          </w:p>
          <w:p w:rsidR="006F451C" w:rsidRDefault="006F451C" w14:paraId="596C5074" w14:textId="77777777">
            <w:pPr>
              <w:spacing w:line="240" w:lineRule="auto"/>
              <w:ind w:firstLine="0"/>
              <w:rPr>
                <w:rFonts w:cs="Arial"/>
                <w:szCs w:val="26"/>
              </w:rPr>
            </w:pPr>
          </w:p>
          <w:p w:rsidR="00F94218" w:rsidRDefault="008B34CC" w14:paraId="0FB111CD" w14:textId="77777777">
            <w:pPr>
              <w:spacing w:line="240" w:lineRule="auto"/>
              <w:ind w:firstLine="0"/>
              <w:rPr>
                <w:rFonts w:cs="Arial"/>
                <w:szCs w:val="26"/>
              </w:rPr>
            </w:pPr>
            <w:r>
              <w:rPr>
                <w:rFonts w:cs="Arial"/>
                <w:szCs w:val="26"/>
              </w:rPr>
              <w:t>And Related Matters.</w:t>
            </w:r>
            <w:r w:rsidRPr="00DA7B5D" w:rsidR="00F94218">
              <w:rPr>
                <w:rFonts w:cs="Arial"/>
                <w:szCs w:val="26"/>
              </w:rPr>
              <w:br/>
            </w:r>
          </w:p>
          <w:p w:rsidRPr="00DA7B5D" w:rsidR="004A4691" w:rsidRDefault="004A4691" w14:paraId="5D586E4D" w14:textId="3DCC0F4D">
            <w:pPr>
              <w:spacing w:line="240" w:lineRule="auto"/>
              <w:ind w:firstLine="0"/>
              <w:rPr>
                <w:rFonts w:cs="Arial"/>
                <w:szCs w:val="26"/>
              </w:rPr>
            </w:pPr>
          </w:p>
        </w:tc>
        <w:tc>
          <w:tcPr>
            <w:tcW w:w="4680" w:type="dxa"/>
            <w:tcBorders>
              <w:left w:val="single" w:color="auto" w:sz="4" w:space="0"/>
            </w:tcBorders>
          </w:tcPr>
          <w:p w:rsidR="004A4691" w:rsidP="008B34CC" w:rsidRDefault="008B34CC" w14:paraId="746F513B" w14:textId="77777777">
            <w:pPr>
              <w:spacing w:line="240" w:lineRule="auto"/>
              <w:ind w:firstLine="0"/>
              <w:rPr>
                <w:rFonts w:cs="Arial"/>
                <w:szCs w:val="26"/>
              </w:rPr>
            </w:pPr>
            <w:r>
              <w:rPr>
                <w:rFonts w:cs="Arial"/>
                <w:szCs w:val="26"/>
              </w:rPr>
              <w:t xml:space="preserve">             </w:t>
            </w:r>
          </w:p>
          <w:p w:rsidR="00F94218" w:rsidP="008B34CC" w:rsidRDefault="00963D37" w14:paraId="1C728A77" w14:textId="4EFD7D9E">
            <w:pPr>
              <w:spacing w:line="240" w:lineRule="auto"/>
              <w:ind w:firstLine="0"/>
              <w:rPr>
                <w:rFonts w:cs="Arial"/>
                <w:szCs w:val="26"/>
              </w:rPr>
            </w:pPr>
            <w:r>
              <w:rPr>
                <w:rFonts w:cs="Arial"/>
                <w:szCs w:val="26"/>
              </w:rPr>
              <w:t xml:space="preserve">             </w:t>
            </w:r>
            <w:r w:rsidR="008B34CC">
              <w:rPr>
                <w:rFonts w:cs="Arial"/>
                <w:szCs w:val="26"/>
              </w:rPr>
              <w:t xml:space="preserve">  </w:t>
            </w:r>
            <w:r w:rsidR="00F94218">
              <w:rPr>
                <w:rFonts w:cs="Arial"/>
                <w:szCs w:val="26"/>
              </w:rPr>
              <w:t>Application 25-03-01</w:t>
            </w:r>
            <w:r w:rsidR="00DC092A">
              <w:rPr>
                <w:rFonts w:cs="Arial"/>
                <w:szCs w:val="26"/>
              </w:rPr>
              <w:t>1</w:t>
            </w:r>
          </w:p>
          <w:p w:rsidR="008B34CC" w:rsidP="008B34CC" w:rsidRDefault="008B34CC" w14:paraId="5E1C5B6D" w14:textId="0ACE34D2">
            <w:pPr>
              <w:spacing w:line="240" w:lineRule="auto"/>
              <w:ind w:firstLine="0"/>
              <w:rPr>
                <w:rFonts w:cs="Arial"/>
                <w:szCs w:val="26"/>
              </w:rPr>
            </w:pPr>
            <w:r>
              <w:rPr>
                <w:rFonts w:cs="Arial"/>
                <w:szCs w:val="26"/>
              </w:rPr>
              <w:t xml:space="preserve">               Application </w:t>
            </w:r>
            <w:r w:rsidR="00C80CCE">
              <w:rPr>
                <w:rFonts w:cs="Arial"/>
                <w:szCs w:val="26"/>
              </w:rPr>
              <w:t>25-03-012</w:t>
            </w:r>
          </w:p>
          <w:p w:rsidR="00C80CCE" w:rsidP="008B34CC" w:rsidRDefault="00C80CCE" w14:paraId="0B58D599" w14:textId="6BFBD6C5">
            <w:pPr>
              <w:spacing w:line="240" w:lineRule="auto"/>
              <w:ind w:firstLine="0"/>
              <w:rPr>
                <w:rFonts w:cs="Arial"/>
                <w:szCs w:val="26"/>
              </w:rPr>
            </w:pPr>
            <w:r>
              <w:rPr>
                <w:rFonts w:cs="Arial"/>
                <w:szCs w:val="26"/>
              </w:rPr>
              <w:t xml:space="preserve">               Application 25-03-013</w:t>
            </w:r>
          </w:p>
          <w:p w:rsidRPr="00DA7B5D" w:rsidR="008B34CC" w:rsidP="008B34CC" w:rsidRDefault="008B34CC" w14:paraId="248C61E8" w14:textId="66580F78">
            <w:pPr>
              <w:spacing w:line="240" w:lineRule="auto"/>
              <w:ind w:firstLine="0"/>
              <w:rPr>
                <w:rFonts w:cs="Arial"/>
                <w:szCs w:val="26"/>
              </w:rPr>
            </w:pPr>
          </w:p>
        </w:tc>
      </w:tr>
      <w:tr w:rsidR="00DC092A" w:rsidTr="006F1C2D" w14:paraId="5F69D3C7" w14:textId="77777777">
        <w:tblPrEx>
          <w:jc w:val="left"/>
        </w:tblPrEx>
        <w:tc>
          <w:tcPr>
            <w:tcW w:w="4680" w:type="dxa"/>
            <w:tcBorders>
              <w:top w:val="single" w:color="auto" w:sz="4" w:space="0"/>
            </w:tcBorders>
          </w:tcPr>
          <w:p w:rsidRPr="00DC092A" w:rsidR="00DC092A" w:rsidRDefault="00DC092A" w14:paraId="67272092" w14:textId="77777777">
            <w:pPr>
              <w:spacing w:line="240" w:lineRule="auto"/>
              <w:ind w:firstLine="0"/>
              <w:rPr>
                <w:rFonts w:cs="Arial"/>
                <w:szCs w:val="26"/>
              </w:rPr>
            </w:pPr>
          </w:p>
        </w:tc>
        <w:tc>
          <w:tcPr>
            <w:tcW w:w="4680" w:type="dxa"/>
          </w:tcPr>
          <w:p w:rsidR="00DC092A" w:rsidRDefault="00DC092A" w14:paraId="63195F4C" w14:textId="77777777">
            <w:pPr>
              <w:spacing w:line="240" w:lineRule="auto"/>
              <w:ind w:firstLine="0"/>
              <w:jc w:val="center"/>
              <w:rPr>
                <w:rFonts w:cs="Arial"/>
                <w:szCs w:val="26"/>
              </w:rPr>
            </w:pPr>
          </w:p>
        </w:tc>
      </w:tr>
    </w:tbl>
    <w:p w:rsidR="00DA7B5D" w:rsidP="008F0116" w:rsidRDefault="00DA7B5D" w14:paraId="2D680703" w14:textId="77777777">
      <w:pPr>
        <w:spacing w:line="240" w:lineRule="auto"/>
        <w:ind w:firstLine="0"/>
        <w:rPr>
          <w:rFonts w:ascii="Arial" w:hAnsi="Arial" w:cs="Arial"/>
          <w:sz w:val="24"/>
          <w:szCs w:val="24"/>
        </w:rPr>
      </w:pPr>
    </w:p>
    <w:p w:rsidR="00DA7B5D" w:rsidP="008F0116" w:rsidRDefault="00DA7B5D" w14:paraId="0AE1D6BC" w14:textId="77777777">
      <w:pPr>
        <w:spacing w:line="240" w:lineRule="auto"/>
        <w:ind w:firstLine="0"/>
        <w:rPr>
          <w:rFonts w:ascii="Arial" w:hAnsi="Arial" w:cs="Arial"/>
          <w:sz w:val="24"/>
          <w:szCs w:val="24"/>
        </w:rPr>
      </w:pPr>
    </w:p>
    <w:p w:rsidRPr="00F92385" w:rsidR="00F92385" w:rsidP="00B3087D" w:rsidRDefault="007E3420" w14:paraId="14F79934" w14:textId="2C9B4CB9">
      <w:pPr>
        <w:pStyle w:val="Dummy"/>
        <w:jc w:val="center"/>
        <w:sectPr w:rsidRPr="00F92385" w:rsidR="00F92385" w:rsidSect="00E20F67">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pPr>
      <w:bookmarkStart w:name="_Toc214017353" w:id="0"/>
      <w:r>
        <w:t xml:space="preserve">DECISION ADDRESSING TEST YEAR 2026 COST OF CAPITAL FOR PACIFIC GAS AND ELECTRIC COMPANY, </w:t>
      </w:r>
      <w:r w:rsidR="003B074F">
        <w:t>SOUTHERN CALIFORNIA GAS COMPANY, SOUTHERN CALIFORNIA EDISON COMPANY, AND SAN DIEGO GAS &amp; ELECTRIC COMPANY</w:t>
      </w:r>
      <w:bookmarkEnd w:id="0"/>
    </w:p>
    <w:p w:rsidRPr="001E2A62" w:rsidR="00D50119" w:rsidP="00F76650" w:rsidRDefault="00D50119" w14:paraId="79BD2E7D"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69AD6001"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61090A" w:rsidP="003A3B90" w:rsidRDefault="008C7413" w14:paraId="0C30C6B3" w14:textId="7C62EB85">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4017353">
            <w:r w:rsidRPr="007E63FA" w:rsidR="0061090A">
              <w:rPr>
                <w:rStyle w:val="Hyperlink"/>
                <w:noProof/>
              </w:rPr>
              <w:t>DECISION ADDRESSING TEST YEAR 2026 COST OF CAPITAL FOR PACIFIC GAS AND ELECTRIC COMPANY, SOUTHERN CALIFORNIA GAS COMPANY, SOUTHERN CALIFORNIA EDISON COMPANY, AND SAN DIEGO GAS &amp; ELECTRIC COMPANY</w:t>
            </w:r>
            <w:r w:rsidR="0061090A">
              <w:rPr>
                <w:noProof/>
                <w:webHidden/>
              </w:rPr>
              <w:tab/>
            </w:r>
            <w:r w:rsidR="0061090A">
              <w:rPr>
                <w:noProof/>
                <w:webHidden/>
              </w:rPr>
              <w:fldChar w:fldCharType="begin"/>
            </w:r>
            <w:r w:rsidR="0061090A">
              <w:rPr>
                <w:noProof/>
                <w:webHidden/>
              </w:rPr>
              <w:instrText xml:space="preserve"> PAGEREF _Toc214017353 \h </w:instrText>
            </w:r>
            <w:r w:rsidR="0061090A">
              <w:rPr>
                <w:noProof/>
                <w:webHidden/>
              </w:rPr>
            </w:r>
            <w:r w:rsidR="0061090A">
              <w:rPr>
                <w:noProof/>
                <w:webHidden/>
              </w:rPr>
              <w:fldChar w:fldCharType="separate"/>
            </w:r>
            <w:r w:rsidR="00C634B9">
              <w:rPr>
                <w:noProof/>
                <w:webHidden/>
              </w:rPr>
              <w:t>1</w:t>
            </w:r>
            <w:r w:rsidR="0061090A">
              <w:rPr>
                <w:noProof/>
                <w:webHidden/>
              </w:rPr>
              <w:fldChar w:fldCharType="end"/>
            </w:r>
          </w:hyperlink>
        </w:p>
        <w:p w:rsidR="0061090A" w:rsidRDefault="0061090A" w14:paraId="23359D6B" w14:textId="00D77F90">
          <w:pPr>
            <w:pStyle w:val="TOC1"/>
            <w:tabs>
              <w:tab w:val="right" w:leader="dot" w:pos="9350"/>
            </w:tabs>
            <w:rPr>
              <w:rFonts w:asciiTheme="minorHAnsi" w:hAnsiTheme="minorHAnsi" w:cstheme="minorBidi"/>
              <w:noProof/>
              <w:kern w:val="2"/>
              <w:sz w:val="24"/>
              <w:szCs w:val="24"/>
              <w14:ligatures w14:val="standardContextual"/>
            </w:rPr>
          </w:pPr>
          <w:hyperlink w:history="1" w:anchor="_Toc214017355">
            <w:r w:rsidRPr="007E63FA">
              <w:rPr>
                <w:rStyle w:val="Hyperlink"/>
                <w:noProof/>
              </w:rPr>
              <w:t>1.</w:t>
            </w:r>
            <w:r>
              <w:rPr>
                <w:rFonts w:asciiTheme="minorHAnsi" w:hAnsiTheme="minorHAnsi" w:cstheme="minorBidi"/>
                <w:noProof/>
                <w:kern w:val="2"/>
                <w:sz w:val="24"/>
                <w:szCs w:val="24"/>
                <w14:ligatures w14:val="standardContextual"/>
              </w:rPr>
              <w:tab/>
            </w:r>
            <w:r w:rsidRPr="007E63FA">
              <w:rPr>
                <w:rStyle w:val="Hyperlink"/>
                <w:noProof/>
              </w:rPr>
              <w:t>Factual Background</w:t>
            </w:r>
            <w:r>
              <w:rPr>
                <w:noProof/>
                <w:webHidden/>
              </w:rPr>
              <w:tab/>
            </w:r>
            <w:r>
              <w:rPr>
                <w:noProof/>
                <w:webHidden/>
              </w:rPr>
              <w:fldChar w:fldCharType="begin"/>
            </w:r>
            <w:r>
              <w:rPr>
                <w:noProof/>
                <w:webHidden/>
              </w:rPr>
              <w:instrText xml:space="preserve"> PAGEREF _Toc214017355 \h </w:instrText>
            </w:r>
            <w:r>
              <w:rPr>
                <w:noProof/>
                <w:webHidden/>
              </w:rPr>
            </w:r>
            <w:r>
              <w:rPr>
                <w:noProof/>
                <w:webHidden/>
              </w:rPr>
              <w:fldChar w:fldCharType="separate"/>
            </w:r>
            <w:r w:rsidR="00C634B9">
              <w:rPr>
                <w:noProof/>
                <w:webHidden/>
              </w:rPr>
              <w:t>2</w:t>
            </w:r>
            <w:r>
              <w:rPr>
                <w:noProof/>
                <w:webHidden/>
              </w:rPr>
              <w:fldChar w:fldCharType="end"/>
            </w:r>
          </w:hyperlink>
        </w:p>
        <w:p w:rsidR="0061090A" w:rsidRDefault="0061090A" w14:paraId="5AE4DF1F" w14:textId="1870A676">
          <w:pPr>
            <w:pStyle w:val="TOC2"/>
            <w:tabs>
              <w:tab w:val="right" w:leader="dot" w:pos="9350"/>
            </w:tabs>
            <w:rPr>
              <w:rFonts w:asciiTheme="minorHAnsi" w:hAnsiTheme="minorHAnsi" w:cstheme="minorBidi"/>
              <w:noProof/>
              <w:kern w:val="2"/>
              <w:sz w:val="24"/>
              <w:szCs w:val="24"/>
              <w14:ligatures w14:val="standardContextual"/>
            </w:rPr>
          </w:pPr>
          <w:hyperlink w:history="1" w:anchor="_Toc214017356">
            <w:r w:rsidRPr="007E63FA">
              <w:rPr>
                <w:rStyle w:val="Hyperlink"/>
                <w:noProof/>
              </w:rPr>
              <w:t>1.1.</w:t>
            </w:r>
            <w:r>
              <w:rPr>
                <w:rFonts w:asciiTheme="minorHAnsi" w:hAnsiTheme="minorHAnsi" w:cstheme="minorBidi"/>
                <w:noProof/>
                <w:kern w:val="2"/>
                <w:sz w:val="24"/>
                <w:szCs w:val="24"/>
                <w14:ligatures w14:val="standardContextual"/>
              </w:rPr>
              <w:tab/>
            </w:r>
            <w:r w:rsidRPr="007E63FA">
              <w:rPr>
                <w:rStyle w:val="Hyperlink"/>
                <w:noProof/>
              </w:rPr>
              <w:t>Submission Date</w:t>
            </w:r>
            <w:r>
              <w:rPr>
                <w:noProof/>
                <w:webHidden/>
              </w:rPr>
              <w:tab/>
            </w:r>
            <w:r>
              <w:rPr>
                <w:noProof/>
                <w:webHidden/>
              </w:rPr>
              <w:fldChar w:fldCharType="begin"/>
            </w:r>
            <w:r>
              <w:rPr>
                <w:noProof/>
                <w:webHidden/>
              </w:rPr>
              <w:instrText xml:space="preserve"> PAGEREF _Toc214017356 \h </w:instrText>
            </w:r>
            <w:r>
              <w:rPr>
                <w:noProof/>
                <w:webHidden/>
              </w:rPr>
            </w:r>
            <w:r>
              <w:rPr>
                <w:noProof/>
                <w:webHidden/>
              </w:rPr>
              <w:fldChar w:fldCharType="separate"/>
            </w:r>
            <w:r w:rsidR="00C634B9">
              <w:rPr>
                <w:noProof/>
                <w:webHidden/>
              </w:rPr>
              <w:t>4</w:t>
            </w:r>
            <w:r>
              <w:rPr>
                <w:noProof/>
                <w:webHidden/>
              </w:rPr>
              <w:fldChar w:fldCharType="end"/>
            </w:r>
          </w:hyperlink>
        </w:p>
        <w:p w:rsidR="0061090A" w:rsidRDefault="0061090A" w14:paraId="19508C85" w14:textId="22CC41A2">
          <w:pPr>
            <w:pStyle w:val="TOC1"/>
            <w:tabs>
              <w:tab w:val="right" w:leader="dot" w:pos="9350"/>
            </w:tabs>
            <w:rPr>
              <w:rFonts w:asciiTheme="minorHAnsi" w:hAnsiTheme="minorHAnsi" w:cstheme="minorBidi"/>
              <w:noProof/>
              <w:kern w:val="2"/>
              <w:sz w:val="24"/>
              <w:szCs w:val="24"/>
              <w14:ligatures w14:val="standardContextual"/>
            </w:rPr>
          </w:pPr>
          <w:hyperlink w:history="1" w:anchor="_Toc214017357">
            <w:r w:rsidRPr="007E63FA">
              <w:rPr>
                <w:rStyle w:val="Hyperlink"/>
                <w:noProof/>
              </w:rPr>
              <w:t>2.</w:t>
            </w:r>
            <w:r>
              <w:rPr>
                <w:rFonts w:asciiTheme="minorHAnsi" w:hAnsiTheme="minorHAnsi" w:cstheme="minorBidi"/>
                <w:noProof/>
                <w:kern w:val="2"/>
                <w:sz w:val="24"/>
                <w:szCs w:val="24"/>
                <w14:ligatures w14:val="standardContextual"/>
              </w:rPr>
              <w:tab/>
            </w:r>
            <w:r w:rsidRPr="007E63FA">
              <w:rPr>
                <w:rStyle w:val="Hyperlink"/>
                <w:noProof/>
              </w:rPr>
              <w:t>Issues Before the Commission</w:t>
            </w:r>
            <w:r>
              <w:rPr>
                <w:noProof/>
                <w:webHidden/>
              </w:rPr>
              <w:tab/>
            </w:r>
            <w:r>
              <w:rPr>
                <w:noProof/>
                <w:webHidden/>
              </w:rPr>
              <w:fldChar w:fldCharType="begin"/>
            </w:r>
            <w:r>
              <w:rPr>
                <w:noProof/>
                <w:webHidden/>
              </w:rPr>
              <w:instrText xml:space="preserve"> PAGEREF _Toc214017357 \h </w:instrText>
            </w:r>
            <w:r>
              <w:rPr>
                <w:noProof/>
                <w:webHidden/>
              </w:rPr>
            </w:r>
            <w:r>
              <w:rPr>
                <w:noProof/>
                <w:webHidden/>
              </w:rPr>
              <w:fldChar w:fldCharType="separate"/>
            </w:r>
            <w:r w:rsidR="00C634B9">
              <w:rPr>
                <w:noProof/>
                <w:webHidden/>
              </w:rPr>
              <w:t>4</w:t>
            </w:r>
            <w:r>
              <w:rPr>
                <w:noProof/>
                <w:webHidden/>
              </w:rPr>
              <w:fldChar w:fldCharType="end"/>
            </w:r>
          </w:hyperlink>
        </w:p>
        <w:p w:rsidR="0061090A" w:rsidRDefault="0061090A" w14:paraId="422B7F24" w14:textId="7E7C12C8">
          <w:pPr>
            <w:pStyle w:val="TOC1"/>
            <w:tabs>
              <w:tab w:val="right" w:leader="dot" w:pos="9350"/>
            </w:tabs>
            <w:rPr>
              <w:rFonts w:asciiTheme="minorHAnsi" w:hAnsiTheme="minorHAnsi" w:cstheme="minorBidi"/>
              <w:noProof/>
              <w:kern w:val="2"/>
              <w:sz w:val="24"/>
              <w:szCs w:val="24"/>
              <w14:ligatures w14:val="standardContextual"/>
            </w:rPr>
          </w:pPr>
          <w:hyperlink w:history="1" w:anchor="_Toc214017358">
            <w:r w:rsidRPr="007E63FA">
              <w:rPr>
                <w:rStyle w:val="Hyperlink"/>
                <w:noProof/>
              </w:rPr>
              <w:t>3.</w:t>
            </w:r>
            <w:r>
              <w:rPr>
                <w:rFonts w:asciiTheme="minorHAnsi" w:hAnsiTheme="minorHAnsi" w:cstheme="minorBidi"/>
                <w:noProof/>
                <w:kern w:val="2"/>
                <w:sz w:val="24"/>
                <w:szCs w:val="24"/>
                <w14:ligatures w14:val="standardContextual"/>
              </w:rPr>
              <w:tab/>
            </w:r>
            <w:r w:rsidRPr="007E63FA">
              <w:rPr>
                <w:rStyle w:val="Hyperlink"/>
                <w:noProof/>
              </w:rPr>
              <w:t>Capital Structure</w:t>
            </w:r>
            <w:r>
              <w:rPr>
                <w:noProof/>
                <w:webHidden/>
              </w:rPr>
              <w:tab/>
            </w:r>
            <w:r>
              <w:rPr>
                <w:noProof/>
                <w:webHidden/>
              </w:rPr>
              <w:fldChar w:fldCharType="begin"/>
            </w:r>
            <w:r>
              <w:rPr>
                <w:noProof/>
                <w:webHidden/>
              </w:rPr>
              <w:instrText xml:space="preserve"> PAGEREF _Toc214017358 \h </w:instrText>
            </w:r>
            <w:r>
              <w:rPr>
                <w:noProof/>
                <w:webHidden/>
              </w:rPr>
            </w:r>
            <w:r>
              <w:rPr>
                <w:noProof/>
                <w:webHidden/>
              </w:rPr>
              <w:fldChar w:fldCharType="separate"/>
            </w:r>
            <w:r w:rsidR="00C634B9">
              <w:rPr>
                <w:noProof/>
                <w:webHidden/>
              </w:rPr>
              <w:t>5</w:t>
            </w:r>
            <w:r>
              <w:rPr>
                <w:noProof/>
                <w:webHidden/>
              </w:rPr>
              <w:fldChar w:fldCharType="end"/>
            </w:r>
          </w:hyperlink>
        </w:p>
        <w:p w:rsidR="0061090A" w:rsidRDefault="0061090A" w14:paraId="19B96418" w14:textId="5B9115AF">
          <w:pPr>
            <w:pStyle w:val="TOC2"/>
            <w:tabs>
              <w:tab w:val="right" w:leader="dot" w:pos="9350"/>
            </w:tabs>
            <w:rPr>
              <w:rFonts w:asciiTheme="minorHAnsi" w:hAnsiTheme="minorHAnsi" w:cstheme="minorBidi"/>
              <w:noProof/>
              <w:kern w:val="2"/>
              <w:sz w:val="24"/>
              <w:szCs w:val="24"/>
              <w14:ligatures w14:val="standardContextual"/>
            </w:rPr>
          </w:pPr>
          <w:hyperlink w:history="1" w:anchor="_Toc214017359">
            <w:r w:rsidRPr="007E63FA">
              <w:rPr>
                <w:rStyle w:val="Hyperlink"/>
                <w:noProof/>
              </w:rPr>
              <w:t>3.1.</w:t>
            </w:r>
            <w:r>
              <w:rPr>
                <w:rFonts w:asciiTheme="minorHAnsi" w:hAnsiTheme="minorHAnsi" w:cstheme="minorBidi"/>
                <w:noProof/>
                <w:kern w:val="2"/>
                <w:sz w:val="24"/>
                <w:szCs w:val="24"/>
                <w14:ligatures w14:val="standardContextual"/>
              </w:rPr>
              <w:tab/>
            </w:r>
            <w:r w:rsidRPr="007E63FA">
              <w:rPr>
                <w:rStyle w:val="Hyperlink"/>
                <w:noProof/>
              </w:rPr>
              <w:t>PG&amp;E</w:t>
            </w:r>
            <w:r>
              <w:rPr>
                <w:noProof/>
                <w:webHidden/>
              </w:rPr>
              <w:tab/>
            </w:r>
            <w:r>
              <w:rPr>
                <w:noProof/>
                <w:webHidden/>
              </w:rPr>
              <w:fldChar w:fldCharType="begin"/>
            </w:r>
            <w:r>
              <w:rPr>
                <w:noProof/>
                <w:webHidden/>
              </w:rPr>
              <w:instrText xml:space="preserve"> PAGEREF _Toc214017359 \h </w:instrText>
            </w:r>
            <w:r>
              <w:rPr>
                <w:noProof/>
                <w:webHidden/>
              </w:rPr>
            </w:r>
            <w:r>
              <w:rPr>
                <w:noProof/>
                <w:webHidden/>
              </w:rPr>
              <w:fldChar w:fldCharType="separate"/>
            </w:r>
            <w:r w:rsidR="00C634B9">
              <w:rPr>
                <w:noProof/>
                <w:webHidden/>
              </w:rPr>
              <w:t>5</w:t>
            </w:r>
            <w:r>
              <w:rPr>
                <w:noProof/>
                <w:webHidden/>
              </w:rPr>
              <w:fldChar w:fldCharType="end"/>
            </w:r>
          </w:hyperlink>
        </w:p>
        <w:p w:rsidR="0061090A" w:rsidRDefault="0061090A" w14:paraId="7841A24A" w14:textId="309191D2">
          <w:pPr>
            <w:pStyle w:val="TOC2"/>
            <w:tabs>
              <w:tab w:val="right" w:leader="dot" w:pos="9350"/>
            </w:tabs>
            <w:rPr>
              <w:rFonts w:asciiTheme="minorHAnsi" w:hAnsiTheme="minorHAnsi" w:cstheme="minorBidi"/>
              <w:noProof/>
              <w:kern w:val="2"/>
              <w:sz w:val="24"/>
              <w:szCs w:val="24"/>
              <w14:ligatures w14:val="standardContextual"/>
            </w:rPr>
          </w:pPr>
          <w:hyperlink w:history="1" w:anchor="_Toc214017360">
            <w:r w:rsidRPr="007E63FA">
              <w:rPr>
                <w:rStyle w:val="Hyperlink"/>
                <w:noProof/>
              </w:rPr>
              <w:t>3.2.</w:t>
            </w:r>
            <w:r>
              <w:rPr>
                <w:rFonts w:asciiTheme="minorHAnsi" w:hAnsiTheme="minorHAnsi" w:cstheme="minorBidi"/>
                <w:noProof/>
                <w:kern w:val="2"/>
                <w:sz w:val="24"/>
                <w:szCs w:val="24"/>
                <w14:ligatures w14:val="standardContextual"/>
              </w:rPr>
              <w:tab/>
            </w:r>
            <w:r w:rsidRPr="007E63FA">
              <w:rPr>
                <w:rStyle w:val="Hyperlink"/>
                <w:noProof/>
              </w:rPr>
              <w:t>SoCalGas</w:t>
            </w:r>
            <w:r>
              <w:rPr>
                <w:noProof/>
                <w:webHidden/>
              </w:rPr>
              <w:tab/>
            </w:r>
            <w:r>
              <w:rPr>
                <w:noProof/>
                <w:webHidden/>
              </w:rPr>
              <w:fldChar w:fldCharType="begin"/>
            </w:r>
            <w:r>
              <w:rPr>
                <w:noProof/>
                <w:webHidden/>
              </w:rPr>
              <w:instrText xml:space="preserve"> PAGEREF _Toc214017360 \h </w:instrText>
            </w:r>
            <w:r>
              <w:rPr>
                <w:noProof/>
                <w:webHidden/>
              </w:rPr>
            </w:r>
            <w:r>
              <w:rPr>
                <w:noProof/>
                <w:webHidden/>
              </w:rPr>
              <w:fldChar w:fldCharType="separate"/>
            </w:r>
            <w:r w:rsidR="00C634B9">
              <w:rPr>
                <w:noProof/>
                <w:webHidden/>
              </w:rPr>
              <w:t>9</w:t>
            </w:r>
            <w:r>
              <w:rPr>
                <w:noProof/>
                <w:webHidden/>
              </w:rPr>
              <w:fldChar w:fldCharType="end"/>
            </w:r>
          </w:hyperlink>
        </w:p>
        <w:p w:rsidR="0061090A" w:rsidRDefault="0061090A" w14:paraId="08FBEC38" w14:textId="4D12FB2C">
          <w:pPr>
            <w:pStyle w:val="TOC2"/>
            <w:tabs>
              <w:tab w:val="right" w:leader="dot" w:pos="9350"/>
            </w:tabs>
            <w:rPr>
              <w:rFonts w:asciiTheme="minorHAnsi" w:hAnsiTheme="minorHAnsi" w:cstheme="minorBidi"/>
              <w:noProof/>
              <w:kern w:val="2"/>
              <w:sz w:val="24"/>
              <w:szCs w:val="24"/>
              <w14:ligatures w14:val="standardContextual"/>
            </w:rPr>
          </w:pPr>
          <w:hyperlink w:history="1" w:anchor="_Toc214017361">
            <w:r w:rsidRPr="007E63FA">
              <w:rPr>
                <w:rStyle w:val="Hyperlink"/>
                <w:noProof/>
              </w:rPr>
              <w:t>3.3.</w:t>
            </w:r>
            <w:r>
              <w:rPr>
                <w:rFonts w:asciiTheme="minorHAnsi" w:hAnsiTheme="minorHAnsi" w:cstheme="minorBidi"/>
                <w:noProof/>
                <w:kern w:val="2"/>
                <w:sz w:val="24"/>
                <w:szCs w:val="24"/>
                <w14:ligatures w14:val="standardContextual"/>
              </w:rPr>
              <w:tab/>
            </w:r>
            <w:r w:rsidRPr="007E63FA">
              <w:rPr>
                <w:rStyle w:val="Hyperlink"/>
                <w:noProof/>
              </w:rPr>
              <w:t>SCE</w:t>
            </w:r>
            <w:r>
              <w:rPr>
                <w:noProof/>
                <w:webHidden/>
              </w:rPr>
              <w:tab/>
            </w:r>
            <w:r>
              <w:rPr>
                <w:noProof/>
                <w:webHidden/>
              </w:rPr>
              <w:fldChar w:fldCharType="begin"/>
            </w:r>
            <w:r>
              <w:rPr>
                <w:noProof/>
                <w:webHidden/>
              </w:rPr>
              <w:instrText xml:space="preserve"> PAGEREF _Toc214017361 \h </w:instrText>
            </w:r>
            <w:r>
              <w:rPr>
                <w:noProof/>
                <w:webHidden/>
              </w:rPr>
            </w:r>
            <w:r>
              <w:rPr>
                <w:noProof/>
                <w:webHidden/>
              </w:rPr>
              <w:fldChar w:fldCharType="separate"/>
            </w:r>
            <w:r w:rsidR="00C634B9">
              <w:rPr>
                <w:noProof/>
                <w:webHidden/>
              </w:rPr>
              <w:t>11</w:t>
            </w:r>
            <w:r>
              <w:rPr>
                <w:noProof/>
                <w:webHidden/>
              </w:rPr>
              <w:fldChar w:fldCharType="end"/>
            </w:r>
          </w:hyperlink>
        </w:p>
        <w:p w:rsidR="0061090A" w:rsidRDefault="0061090A" w14:paraId="43A1D338" w14:textId="5B424A98">
          <w:pPr>
            <w:pStyle w:val="TOC2"/>
            <w:tabs>
              <w:tab w:val="right" w:leader="dot" w:pos="9350"/>
            </w:tabs>
            <w:rPr>
              <w:rFonts w:asciiTheme="minorHAnsi" w:hAnsiTheme="minorHAnsi" w:cstheme="minorBidi"/>
              <w:noProof/>
              <w:kern w:val="2"/>
              <w:sz w:val="24"/>
              <w:szCs w:val="24"/>
              <w14:ligatures w14:val="standardContextual"/>
            </w:rPr>
          </w:pPr>
          <w:hyperlink w:history="1" w:anchor="_Toc214017362">
            <w:r w:rsidRPr="007E63FA">
              <w:rPr>
                <w:rStyle w:val="Hyperlink"/>
                <w:noProof/>
              </w:rPr>
              <w:t>3.4.</w:t>
            </w:r>
            <w:r>
              <w:rPr>
                <w:rFonts w:asciiTheme="minorHAnsi" w:hAnsiTheme="minorHAnsi" w:cstheme="minorBidi"/>
                <w:noProof/>
                <w:kern w:val="2"/>
                <w:sz w:val="24"/>
                <w:szCs w:val="24"/>
                <w14:ligatures w14:val="standardContextual"/>
              </w:rPr>
              <w:tab/>
            </w:r>
            <w:r w:rsidRPr="007E63FA">
              <w:rPr>
                <w:rStyle w:val="Hyperlink"/>
                <w:noProof/>
              </w:rPr>
              <w:t>SDG&amp;E</w:t>
            </w:r>
            <w:r>
              <w:rPr>
                <w:noProof/>
                <w:webHidden/>
              </w:rPr>
              <w:tab/>
            </w:r>
            <w:r>
              <w:rPr>
                <w:noProof/>
                <w:webHidden/>
              </w:rPr>
              <w:fldChar w:fldCharType="begin"/>
            </w:r>
            <w:r>
              <w:rPr>
                <w:noProof/>
                <w:webHidden/>
              </w:rPr>
              <w:instrText xml:space="preserve"> PAGEREF _Toc214017362 \h </w:instrText>
            </w:r>
            <w:r>
              <w:rPr>
                <w:noProof/>
                <w:webHidden/>
              </w:rPr>
            </w:r>
            <w:r>
              <w:rPr>
                <w:noProof/>
                <w:webHidden/>
              </w:rPr>
              <w:fldChar w:fldCharType="separate"/>
            </w:r>
            <w:r w:rsidR="00C634B9">
              <w:rPr>
                <w:noProof/>
                <w:webHidden/>
              </w:rPr>
              <w:t>14</w:t>
            </w:r>
            <w:r>
              <w:rPr>
                <w:noProof/>
                <w:webHidden/>
              </w:rPr>
              <w:fldChar w:fldCharType="end"/>
            </w:r>
          </w:hyperlink>
        </w:p>
        <w:p w:rsidR="0061090A" w:rsidRDefault="0061090A" w14:paraId="3230F1FF" w14:textId="6185269E">
          <w:pPr>
            <w:pStyle w:val="TOC1"/>
            <w:tabs>
              <w:tab w:val="right" w:leader="dot" w:pos="9350"/>
            </w:tabs>
            <w:rPr>
              <w:rFonts w:asciiTheme="minorHAnsi" w:hAnsiTheme="minorHAnsi" w:cstheme="minorBidi"/>
              <w:noProof/>
              <w:kern w:val="2"/>
              <w:sz w:val="24"/>
              <w:szCs w:val="24"/>
              <w14:ligatures w14:val="standardContextual"/>
            </w:rPr>
          </w:pPr>
          <w:hyperlink w:history="1" w:anchor="_Toc214017363">
            <w:r w:rsidRPr="007E63FA">
              <w:rPr>
                <w:rStyle w:val="Hyperlink"/>
                <w:noProof/>
              </w:rPr>
              <w:t>4.</w:t>
            </w:r>
            <w:r>
              <w:rPr>
                <w:rFonts w:asciiTheme="minorHAnsi" w:hAnsiTheme="minorHAnsi" w:cstheme="minorBidi"/>
                <w:noProof/>
                <w:kern w:val="2"/>
                <w:sz w:val="24"/>
                <w:szCs w:val="24"/>
                <w14:ligatures w14:val="standardContextual"/>
              </w:rPr>
              <w:tab/>
            </w:r>
            <w:r w:rsidRPr="007E63FA">
              <w:rPr>
                <w:rStyle w:val="Hyperlink"/>
                <w:noProof/>
              </w:rPr>
              <w:t>Long-Term Debt and Preferred Equity Costs</w:t>
            </w:r>
            <w:r>
              <w:rPr>
                <w:noProof/>
                <w:webHidden/>
              </w:rPr>
              <w:tab/>
            </w:r>
            <w:r>
              <w:rPr>
                <w:noProof/>
                <w:webHidden/>
              </w:rPr>
              <w:fldChar w:fldCharType="begin"/>
            </w:r>
            <w:r>
              <w:rPr>
                <w:noProof/>
                <w:webHidden/>
              </w:rPr>
              <w:instrText xml:space="preserve"> PAGEREF _Toc214017363 \h </w:instrText>
            </w:r>
            <w:r>
              <w:rPr>
                <w:noProof/>
                <w:webHidden/>
              </w:rPr>
            </w:r>
            <w:r>
              <w:rPr>
                <w:noProof/>
                <w:webHidden/>
              </w:rPr>
              <w:fldChar w:fldCharType="separate"/>
            </w:r>
            <w:r w:rsidR="00C634B9">
              <w:rPr>
                <w:noProof/>
                <w:webHidden/>
              </w:rPr>
              <w:t>18</w:t>
            </w:r>
            <w:r>
              <w:rPr>
                <w:noProof/>
                <w:webHidden/>
              </w:rPr>
              <w:fldChar w:fldCharType="end"/>
            </w:r>
          </w:hyperlink>
        </w:p>
        <w:p w:rsidR="0061090A" w:rsidRDefault="0061090A" w14:paraId="1AC097A2" w14:textId="7CA42AF3">
          <w:pPr>
            <w:pStyle w:val="TOC2"/>
            <w:tabs>
              <w:tab w:val="right" w:leader="dot" w:pos="9350"/>
            </w:tabs>
            <w:rPr>
              <w:rFonts w:asciiTheme="minorHAnsi" w:hAnsiTheme="minorHAnsi" w:cstheme="minorBidi"/>
              <w:noProof/>
              <w:kern w:val="2"/>
              <w:sz w:val="24"/>
              <w:szCs w:val="24"/>
              <w14:ligatures w14:val="standardContextual"/>
            </w:rPr>
          </w:pPr>
          <w:hyperlink w:history="1" w:anchor="_Toc214017364">
            <w:r w:rsidRPr="007E63FA">
              <w:rPr>
                <w:rStyle w:val="Hyperlink"/>
                <w:noProof/>
              </w:rPr>
              <w:t>4.1.</w:t>
            </w:r>
            <w:r>
              <w:rPr>
                <w:rFonts w:asciiTheme="minorHAnsi" w:hAnsiTheme="minorHAnsi" w:cstheme="minorBidi"/>
                <w:noProof/>
                <w:kern w:val="2"/>
                <w:sz w:val="24"/>
                <w:szCs w:val="24"/>
                <w14:ligatures w14:val="standardContextual"/>
              </w:rPr>
              <w:tab/>
            </w:r>
            <w:r w:rsidRPr="007E63FA">
              <w:rPr>
                <w:rStyle w:val="Hyperlink"/>
                <w:noProof/>
              </w:rPr>
              <w:t>PG&amp;E</w:t>
            </w:r>
            <w:r>
              <w:rPr>
                <w:noProof/>
                <w:webHidden/>
              </w:rPr>
              <w:tab/>
            </w:r>
            <w:r>
              <w:rPr>
                <w:noProof/>
                <w:webHidden/>
              </w:rPr>
              <w:fldChar w:fldCharType="begin"/>
            </w:r>
            <w:r>
              <w:rPr>
                <w:noProof/>
                <w:webHidden/>
              </w:rPr>
              <w:instrText xml:space="preserve"> PAGEREF _Toc214017364 \h </w:instrText>
            </w:r>
            <w:r>
              <w:rPr>
                <w:noProof/>
                <w:webHidden/>
              </w:rPr>
            </w:r>
            <w:r>
              <w:rPr>
                <w:noProof/>
                <w:webHidden/>
              </w:rPr>
              <w:fldChar w:fldCharType="separate"/>
            </w:r>
            <w:r w:rsidR="00C634B9">
              <w:rPr>
                <w:noProof/>
                <w:webHidden/>
              </w:rPr>
              <w:t>18</w:t>
            </w:r>
            <w:r>
              <w:rPr>
                <w:noProof/>
                <w:webHidden/>
              </w:rPr>
              <w:fldChar w:fldCharType="end"/>
            </w:r>
          </w:hyperlink>
        </w:p>
        <w:p w:rsidR="0061090A" w:rsidRDefault="0061090A" w14:paraId="6985ED14" w14:textId="79FB93C7">
          <w:pPr>
            <w:pStyle w:val="TOC2"/>
            <w:tabs>
              <w:tab w:val="right" w:leader="dot" w:pos="9350"/>
            </w:tabs>
            <w:rPr>
              <w:rFonts w:asciiTheme="minorHAnsi" w:hAnsiTheme="minorHAnsi" w:cstheme="minorBidi"/>
              <w:noProof/>
              <w:kern w:val="2"/>
              <w:sz w:val="24"/>
              <w:szCs w:val="24"/>
              <w14:ligatures w14:val="standardContextual"/>
            </w:rPr>
          </w:pPr>
          <w:hyperlink w:history="1" w:anchor="_Toc214017365">
            <w:r w:rsidRPr="007E63FA">
              <w:rPr>
                <w:rStyle w:val="Hyperlink"/>
                <w:noProof/>
              </w:rPr>
              <w:t>4.2.</w:t>
            </w:r>
            <w:r>
              <w:rPr>
                <w:rFonts w:asciiTheme="minorHAnsi" w:hAnsiTheme="minorHAnsi" w:cstheme="minorBidi"/>
                <w:noProof/>
                <w:kern w:val="2"/>
                <w:sz w:val="24"/>
                <w:szCs w:val="24"/>
                <w14:ligatures w14:val="standardContextual"/>
              </w:rPr>
              <w:tab/>
            </w:r>
            <w:r w:rsidRPr="007E63FA">
              <w:rPr>
                <w:rStyle w:val="Hyperlink"/>
                <w:noProof/>
              </w:rPr>
              <w:t>SoCalGas</w:t>
            </w:r>
            <w:r>
              <w:rPr>
                <w:noProof/>
                <w:webHidden/>
              </w:rPr>
              <w:tab/>
            </w:r>
            <w:r>
              <w:rPr>
                <w:noProof/>
                <w:webHidden/>
              </w:rPr>
              <w:fldChar w:fldCharType="begin"/>
            </w:r>
            <w:r>
              <w:rPr>
                <w:noProof/>
                <w:webHidden/>
              </w:rPr>
              <w:instrText xml:space="preserve"> PAGEREF _Toc214017365 \h </w:instrText>
            </w:r>
            <w:r>
              <w:rPr>
                <w:noProof/>
                <w:webHidden/>
              </w:rPr>
            </w:r>
            <w:r>
              <w:rPr>
                <w:noProof/>
                <w:webHidden/>
              </w:rPr>
              <w:fldChar w:fldCharType="separate"/>
            </w:r>
            <w:r w:rsidR="00C634B9">
              <w:rPr>
                <w:noProof/>
                <w:webHidden/>
              </w:rPr>
              <w:t>19</w:t>
            </w:r>
            <w:r>
              <w:rPr>
                <w:noProof/>
                <w:webHidden/>
              </w:rPr>
              <w:fldChar w:fldCharType="end"/>
            </w:r>
          </w:hyperlink>
        </w:p>
        <w:p w:rsidR="0061090A" w:rsidRDefault="0061090A" w14:paraId="51E50031" w14:textId="06AA03BB">
          <w:pPr>
            <w:pStyle w:val="TOC2"/>
            <w:tabs>
              <w:tab w:val="right" w:leader="dot" w:pos="9350"/>
            </w:tabs>
            <w:rPr>
              <w:rFonts w:asciiTheme="minorHAnsi" w:hAnsiTheme="minorHAnsi" w:cstheme="minorBidi"/>
              <w:noProof/>
              <w:kern w:val="2"/>
              <w:sz w:val="24"/>
              <w:szCs w:val="24"/>
              <w14:ligatures w14:val="standardContextual"/>
            </w:rPr>
          </w:pPr>
          <w:hyperlink w:history="1" w:anchor="_Toc214017366">
            <w:r w:rsidRPr="007E63FA">
              <w:rPr>
                <w:rStyle w:val="Hyperlink"/>
                <w:noProof/>
              </w:rPr>
              <w:t>4.3.</w:t>
            </w:r>
            <w:r>
              <w:rPr>
                <w:rFonts w:asciiTheme="minorHAnsi" w:hAnsiTheme="minorHAnsi" w:cstheme="minorBidi"/>
                <w:noProof/>
                <w:kern w:val="2"/>
                <w:sz w:val="24"/>
                <w:szCs w:val="24"/>
                <w14:ligatures w14:val="standardContextual"/>
              </w:rPr>
              <w:tab/>
            </w:r>
            <w:r w:rsidRPr="007E63FA">
              <w:rPr>
                <w:rStyle w:val="Hyperlink"/>
                <w:noProof/>
              </w:rPr>
              <w:t>SCE</w:t>
            </w:r>
            <w:r>
              <w:rPr>
                <w:noProof/>
                <w:webHidden/>
              </w:rPr>
              <w:tab/>
            </w:r>
            <w:r>
              <w:rPr>
                <w:noProof/>
                <w:webHidden/>
              </w:rPr>
              <w:fldChar w:fldCharType="begin"/>
            </w:r>
            <w:r>
              <w:rPr>
                <w:noProof/>
                <w:webHidden/>
              </w:rPr>
              <w:instrText xml:space="preserve"> PAGEREF _Toc214017366 \h </w:instrText>
            </w:r>
            <w:r>
              <w:rPr>
                <w:noProof/>
                <w:webHidden/>
              </w:rPr>
            </w:r>
            <w:r>
              <w:rPr>
                <w:noProof/>
                <w:webHidden/>
              </w:rPr>
              <w:fldChar w:fldCharType="separate"/>
            </w:r>
            <w:r w:rsidR="00C634B9">
              <w:rPr>
                <w:noProof/>
                <w:webHidden/>
              </w:rPr>
              <w:t>20</w:t>
            </w:r>
            <w:r>
              <w:rPr>
                <w:noProof/>
                <w:webHidden/>
              </w:rPr>
              <w:fldChar w:fldCharType="end"/>
            </w:r>
          </w:hyperlink>
        </w:p>
        <w:p w:rsidR="0061090A" w:rsidRDefault="0061090A" w14:paraId="59452F2A" w14:textId="2D03D672">
          <w:pPr>
            <w:pStyle w:val="TOC2"/>
            <w:tabs>
              <w:tab w:val="right" w:leader="dot" w:pos="9350"/>
            </w:tabs>
            <w:rPr>
              <w:rFonts w:asciiTheme="minorHAnsi" w:hAnsiTheme="minorHAnsi" w:cstheme="minorBidi"/>
              <w:noProof/>
              <w:kern w:val="2"/>
              <w:sz w:val="24"/>
              <w:szCs w:val="24"/>
              <w14:ligatures w14:val="standardContextual"/>
            </w:rPr>
          </w:pPr>
          <w:hyperlink w:history="1" w:anchor="_Toc214017367">
            <w:r w:rsidRPr="007E63FA">
              <w:rPr>
                <w:rStyle w:val="Hyperlink"/>
                <w:noProof/>
              </w:rPr>
              <w:t>4.4.</w:t>
            </w:r>
            <w:r>
              <w:rPr>
                <w:rFonts w:asciiTheme="minorHAnsi" w:hAnsiTheme="minorHAnsi" w:cstheme="minorBidi"/>
                <w:noProof/>
                <w:kern w:val="2"/>
                <w:sz w:val="24"/>
                <w:szCs w:val="24"/>
                <w14:ligatures w14:val="standardContextual"/>
              </w:rPr>
              <w:tab/>
            </w:r>
            <w:r w:rsidRPr="007E63FA">
              <w:rPr>
                <w:rStyle w:val="Hyperlink"/>
                <w:noProof/>
              </w:rPr>
              <w:t>SDG&amp;E</w:t>
            </w:r>
            <w:r>
              <w:rPr>
                <w:noProof/>
                <w:webHidden/>
              </w:rPr>
              <w:tab/>
            </w:r>
            <w:r>
              <w:rPr>
                <w:noProof/>
                <w:webHidden/>
              </w:rPr>
              <w:fldChar w:fldCharType="begin"/>
            </w:r>
            <w:r>
              <w:rPr>
                <w:noProof/>
                <w:webHidden/>
              </w:rPr>
              <w:instrText xml:space="preserve"> PAGEREF _Toc214017367 \h </w:instrText>
            </w:r>
            <w:r>
              <w:rPr>
                <w:noProof/>
                <w:webHidden/>
              </w:rPr>
            </w:r>
            <w:r>
              <w:rPr>
                <w:noProof/>
                <w:webHidden/>
              </w:rPr>
              <w:fldChar w:fldCharType="separate"/>
            </w:r>
            <w:r w:rsidR="00C634B9">
              <w:rPr>
                <w:noProof/>
                <w:webHidden/>
              </w:rPr>
              <w:t>20</w:t>
            </w:r>
            <w:r>
              <w:rPr>
                <w:noProof/>
                <w:webHidden/>
              </w:rPr>
              <w:fldChar w:fldCharType="end"/>
            </w:r>
          </w:hyperlink>
        </w:p>
        <w:p w:rsidR="0061090A" w:rsidRDefault="0061090A" w14:paraId="4E2F5684" w14:textId="55172AB7">
          <w:pPr>
            <w:pStyle w:val="TOC1"/>
            <w:tabs>
              <w:tab w:val="right" w:leader="dot" w:pos="9350"/>
            </w:tabs>
            <w:rPr>
              <w:rFonts w:asciiTheme="minorHAnsi" w:hAnsiTheme="minorHAnsi" w:cstheme="minorBidi"/>
              <w:noProof/>
              <w:kern w:val="2"/>
              <w:sz w:val="24"/>
              <w:szCs w:val="24"/>
              <w14:ligatures w14:val="standardContextual"/>
            </w:rPr>
          </w:pPr>
          <w:hyperlink w:history="1" w:anchor="_Toc214017368">
            <w:r w:rsidRPr="007E63FA">
              <w:rPr>
                <w:rStyle w:val="Hyperlink"/>
                <w:noProof/>
              </w:rPr>
              <w:t>5.</w:t>
            </w:r>
            <w:r>
              <w:rPr>
                <w:rFonts w:asciiTheme="minorHAnsi" w:hAnsiTheme="minorHAnsi" w:cstheme="minorBidi"/>
                <w:noProof/>
                <w:kern w:val="2"/>
                <w:sz w:val="24"/>
                <w:szCs w:val="24"/>
                <w14:ligatures w14:val="standardContextual"/>
              </w:rPr>
              <w:tab/>
            </w:r>
            <w:r w:rsidRPr="007E63FA">
              <w:rPr>
                <w:rStyle w:val="Hyperlink"/>
                <w:noProof/>
              </w:rPr>
              <w:t>Return on Common Equity</w:t>
            </w:r>
            <w:r>
              <w:rPr>
                <w:noProof/>
                <w:webHidden/>
              </w:rPr>
              <w:tab/>
            </w:r>
            <w:r>
              <w:rPr>
                <w:noProof/>
                <w:webHidden/>
              </w:rPr>
              <w:fldChar w:fldCharType="begin"/>
            </w:r>
            <w:r>
              <w:rPr>
                <w:noProof/>
                <w:webHidden/>
              </w:rPr>
              <w:instrText xml:space="preserve"> PAGEREF _Toc214017368 \h </w:instrText>
            </w:r>
            <w:r>
              <w:rPr>
                <w:noProof/>
                <w:webHidden/>
              </w:rPr>
            </w:r>
            <w:r>
              <w:rPr>
                <w:noProof/>
                <w:webHidden/>
              </w:rPr>
              <w:fldChar w:fldCharType="separate"/>
            </w:r>
            <w:r w:rsidR="00C634B9">
              <w:rPr>
                <w:noProof/>
                <w:webHidden/>
              </w:rPr>
              <w:t>20</w:t>
            </w:r>
            <w:r>
              <w:rPr>
                <w:noProof/>
                <w:webHidden/>
              </w:rPr>
              <w:fldChar w:fldCharType="end"/>
            </w:r>
          </w:hyperlink>
        </w:p>
        <w:p w:rsidR="0061090A" w:rsidRDefault="0061090A" w14:paraId="0916F440" w14:textId="2B582BD7">
          <w:pPr>
            <w:pStyle w:val="TOC2"/>
            <w:tabs>
              <w:tab w:val="right" w:leader="dot" w:pos="9350"/>
            </w:tabs>
            <w:rPr>
              <w:rFonts w:asciiTheme="minorHAnsi" w:hAnsiTheme="minorHAnsi" w:cstheme="minorBidi"/>
              <w:noProof/>
              <w:kern w:val="2"/>
              <w:sz w:val="24"/>
              <w:szCs w:val="24"/>
              <w14:ligatures w14:val="standardContextual"/>
            </w:rPr>
          </w:pPr>
          <w:hyperlink w:history="1" w:anchor="_Toc214017369">
            <w:r w:rsidRPr="007E63FA">
              <w:rPr>
                <w:rStyle w:val="Hyperlink"/>
                <w:noProof/>
              </w:rPr>
              <w:t>5.1.</w:t>
            </w:r>
            <w:r>
              <w:rPr>
                <w:rFonts w:asciiTheme="minorHAnsi" w:hAnsiTheme="minorHAnsi" w:cstheme="minorBidi"/>
                <w:noProof/>
                <w:kern w:val="2"/>
                <w:sz w:val="24"/>
                <w:szCs w:val="24"/>
                <w14:ligatures w14:val="standardContextual"/>
              </w:rPr>
              <w:tab/>
            </w:r>
            <w:r w:rsidRPr="007E63FA">
              <w:rPr>
                <w:rStyle w:val="Hyperlink"/>
                <w:noProof/>
              </w:rPr>
              <w:t>Proxy Groups</w:t>
            </w:r>
            <w:r>
              <w:rPr>
                <w:noProof/>
                <w:webHidden/>
              </w:rPr>
              <w:tab/>
            </w:r>
            <w:r>
              <w:rPr>
                <w:noProof/>
                <w:webHidden/>
              </w:rPr>
              <w:fldChar w:fldCharType="begin"/>
            </w:r>
            <w:r>
              <w:rPr>
                <w:noProof/>
                <w:webHidden/>
              </w:rPr>
              <w:instrText xml:space="preserve"> PAGEREF _Toc214017369 \h </w:instrText>
            </w:r>
            <w:r>
              <w:rPr>
                <w:noProof/>
                <w:webHidden/>
              </w:rPr>
            </w:r>
            <w:r>
              <w:rPr>
                <w:noProof/>
                <w:webHidden/>
              </w:rPr>
              <w:fldChar w:fldCharType="separate"/>
            </w:r>
            <w:r w:rsidR="00C634B9">
              <w:rPr>
                <w:noProof/>
                <w:webHidden/>
              </w:rPr>
              <w:t>22</w:t>
            </w:r>
            <w:r>
              <w:rPr>
                <w:noProof/>
                <w:webHidden/>
              </w:rPr>
              <w:fldChar w:fldCharType="end"/>
            </w:r>
          </w:hyperlink>
        </w:p>
        <w:p w:rsidR="0061090A" w:rsidRDefault="0061090A" w14:paraId="50A4FD1C" w14:textId="12B7AB34">
          <w:pPr>
            <w:pStyle w:val="TOC2"/>
            <w:tabs>
              <w:tab w:val="right" w:leader="dot" w:pos="9350"/>
            </w:tabs>
            <w:rPr>
              <w:rFonts w:asciiTheme="minorHAnsi" w:hAnsiTheme="minorHAnsi" w:cstheme="minorBidi"/>
              <w:noProof/>
              <w:kern w:val="2"/>
              <w:sz w:val="24"/>
              <w:szCs w:val="24"/>
              <w14:ligatures w14:val="standardContextual"/>
            </w:rPr>
          </w:pPr>
          <w:hyperlink w:history="1" w:anchor="_Toc214017370">
            <w:r w:rsidRPr="007E63FA">
              <w:rPr>
                <w:rStyle w:val="Hyperlink"/>
                <w:noProof/>
              </w:rPr>
              <w:t>5.2.</w:t>
            </w:r>
            <w:r>
              <w:rPr>
                <w:rFonts w:asciiTheme="minorHAnsi" w:hAnsiTheme="minorHAnsi" w:cstheme="minorBidi"/>
                <w:noProof/>
                <w:kern w:val="2"/>
                <w:sz w:val="24"/>
                <w:szCs w:val="24"/>
                <w14:ligatures w14:val="standardContextual"/>
              </w:rPr>
              <w:tab/>
            </w:r>
            <w:r w:rsidRPr="007E63FA">
              <w:rPr>
                <w:rStyle w:val="Hyperlink"/>
                <w:noProof/>
              </w:rPr>
              <w:t>Financial Models</w:t>
            </w:r>
            <w:r>
              <w:rPr>
                <w:noProof/>
                <w:webHidden/>
              </w:rPr>
              <w:tab/>
            </w:r>
            <w:r>
              <w:rPr>
                <w:noProof/>
                <w:webHidden/>
              </w:rPr>
              <w:fldChar w:fldCharType="begin"/>
            </w:r>
            <w:r>
              <w:rPr>
                <w:noProof/>
                <w:webHidden/>
              </w:rPr>
              <w:instrText xml:space="preserve"> PAGEREF _Toc214017370 \h </w:instrText>
            </w:r>
            <w:r>
              <w:rPr>
                <w:noProof/>
                <w:webHidden/>
              </w:rPr>
            </w:r>
            <w:r>
              <w:rPr>
                <w:noProof/>
                <w:webHidden/>
              </w:rPr>
              <w:fldChar w:fldCharType="separate"/>
            </w:r>
            <w:r w:rsidR="00C634B9">
              <w:rPr>
                <w:noProof/>
                <w:webHidden/>
              </w:rPr>
              <w:t>24</w:t>
            </w:r>
            <w:r>
              <w:rPr>
                <w:noProof/>
                <w:webHidden/>
              </w:rPr>
              <w:fldChar w:fldCharType="end"/>
            </w:r>
          </w:hyperlink>
        </w:p>
        <w:p w:rsidR="0061090A" w:rsidRDefault="0061090A" w14:paraId="648F0E69" w14:textId="7FDC656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1">
            <w:r w:rsidRPr="007E63FA">
              <w:rPr>
                <w:rStyle w:val="Hyperlink"/>
                <w:noProof/>
              </w:rPr>
              <w:t>5.2.1.</w:t>
            </w:r>
            <w:r>
              <w:rPr>
                <w:rFonts w:asciiTheme="minorHAnsi" w:hAnsiTheme="minorHAnsi" w:cstheme="minorBidi"/>
                <w:noProof/>
                <w:kern w:val="2"/>
                <w:sz w:val="24"/>
                <w:szCs w:val="24"/>
                <w14:ligatures w14:val="standardContextual"/>
              </w:rPr>
              <w:tab/>
            </w:r>
            <w:r w:rsidRPr="007E63FA">
              <w:rPr>
                <w:rStyle w:val="Hyperlink"/>
                <w:noProof/>
              </w:rPr>
              <w:t>Capital Asset Pricing Model</w:t>
            </w:r>
            <w:r>
              <w:rPr>
                <w:noProof/>
                <w:webHidden/>
              </w:rPr>
              <w:tab/>
            </w:r>
            <w:r>
              <w:rPr>
                <w:noProof/>
                <w:webHidden/>
              </w:rPr>
              <w:fldChar w:fldCharType="begin"/>
            </w:r>
            <w:r>
              <w:rPr>
                <w:noProof/>
                <w:webHidden/>
              </w:rPr>
              <w:instrText xml:space="preserve"> PAGEREF _Toc214017371 \h </w:instrText>
            </w:r>
            <w:r>
              <w:rPr>
                <w:noProof/>
                <w:webHidden/>
              </w:rPr>
            </w:r>
            <w:r>
              <w:rPr>
                <w:noProof/>
                <w:webHidden/>
              </w:rPr>
              <w:fldChar w:fldCharType="separate"/>
            </w:r>
            <w:r w:rsidR="00C634B9">
              <w:rPr>
                <w:noProof/>
                <w:webHidden/>
              </w:rPr>
              <w:t>25</w:t>
            </w:r>
            <w:r>
              <w:rPr>
                <w:noProof/>
                <w:webHidden/>
              </w:rPr>
              <w:fldChar w:fldCharType="end"/>
            </w:r>
          </w:hyperlink>
        </w:p>
        <w:p w:rsidR="0061090A" w:rsidRDefault="0061090A" w14:paraId="5F28B9EB" w14:textId="611CED1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2">
            <w:r w:rsidRPr="007E63FA">
              <w:rPr>
                <w:rStyle w:val="Hyperlink"/>
                <w:noProof/>
              </w:rPr>
              <w:t>5.2.2.</w:t>
            </w:r>
            <w:r>
              <w:rPr>
                <w:rFonts w:asciiTheme="minorHAnsi" w:hAnsiTheme="minorHAnsi" w:cstheme="minorBidi"/>
                <w:noProof/>
                <w:kern w:val="2"/>
                <w:sz w:val="24"/>
                <w:szCs w:val="24"/>
                <w14:ligatures w14:val="standardContextual"/>
              </w:rPr>
              <w:tab/>
            </w:r>
            <w:r w:rsidRPr="007E63FA">
              <w:rPr>
                <w:rStyle w:val="Hyperlink"/>
                <w:noProof/>
              </w:rPr>
              <w:t>Risk Premium Model</w:t>
            </w:r>
            <w:r>
              <w:rPr>
                <w:noProof/>
                <w:webHidden/>
              </w:rPr>
              <w:tab/>
            </w:r>
            <w:r>
              <w:rPr>
                <w:noProof/>
                <w:webHidden/>
              </w:rPr>
              <w:fldChar w:fldCharType="begin"/>
            </w:r>
            <w:r>
              <w:rPr>
                <w:noProof/>
                <w:webHidden/>
              </w:rPr>
              <w:instrText xml:space="preserve"> PAGEREF _Toc214017372 \h </w:instrText>
            </w:r>
            <w:r>
              <w:rPr>
                <w:noProof/>
                <w:webHidden/>
              </w:rPr>
            </w:r>
            <w:r>
              <w:rPr>
                <w:noProof/>
                <w:webHidden/>
              </w:rPr>
              <w:fldChar w:fldCharType="separate"/>
            </w:r>
            <w:r w:rsidR="00C634B9">
              <w:rPr>
                <w:noProof/>
                <w:webHidden/>
              </w:rPr>
              <w:t>27</w:t>
            </w:r>
            <w:r>
              <w:rPr>
                <w:noProof/>
                <w:webHidden/>
              </w:rPr>
              <w:fldChar w:fldCharType="end"/>
            </w:r>
          </w:hyperlink>
        </w:p>
        <w:p w:rsidR="0061090A" w:rsidRDefault="0061090A" w14:paraId="38715C2A" w14:textId="1D92192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3">
            <w:r w:rsidRPr="007E63FA">
              <w:rPr>
                <w:rStyle w:val="Hyperlink"/>
                <w:noProof/>
              </w:rPr>
              <w:t>5.2.3.</w:t>
            </w:r>
            <w:r>
              <w:rPr>
                <w:rFonts w:asciiTheme="minorHAnsi" w:hAnsiTheme="minorHAnsi" w:cstheme="minorBidi"/>
                <w:noProof/>
                <w:kern w:val="2"/>
                <w:sz w:val="24"/>
                <w:szCs w:val="24"/>
                <w14:ligatures w14:val="standardContextual"/>
              </w:rPr>
              <w:tab/>
            </w:r>
            <w:r w:rsidRPr="007E63FA">
              <w:rPr>
                <w:rStyle w:val="Hyperlink"/>
                <w:noProof/>
              </w:rPr>
              <w:t>Discounted Cash Flow</w:t>
            </w:r>
            <w:r>
              <w:rPr>
                <w:noProof/>
                <w:webHidden/>
              </w:rPr>
              <w:tab/>
            </w:r>
            <w:r>
              <w:rPr>
                <w:noProof/>
                <w:webHidden/>
              </w:rPr>
              <w:fldChar w:fldCharType="begin"/>
            </w:r>
            <w:r>
              <w:rPr>
                <w:noProof/>
                <w:webHidden/>
              </w:rPr>
              <w:instrText xml:space="preserve"> PAGEREF _Toc214017373 \h </w:instrText>
            </w:r>
            <w:r>
              <w:rPr>
                <w:noProof/>
                <w:webHidden/>
              </w:rPr>
            </w:r>
            <w:r>
              <w:rPr>
                <w:noProof/>
                <w:webHidden/>
              </w:rPr>
              <w:fldChar w:fldCharType="separate"/>
            </w:r>
            <w:r w:rsidR="00C634B9">
              <w:rPr>
                <w:noProof/>
                <w:webHidden/>
              </w:rPr>
              <w:t>28</w:t>
            </w:r>
            <w:r>
              <w:rPr>
                <w:noProof/>
                <w:webHidden/>
              </w:rPr>
              <w:fldChar w:fldCharType="end"/>
            </w:r>
          </w:hyperlink>
        </w:p>
        <w:p w:rsidR="0061090A" w:rsidRDefault="0061090A" w14:paraId="6FE99165" w14:textId="0C0391C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4">
            <w:r w:rsidRPr="007E63FA">
              <w:rPr>
                <w:rStyle w:val="Hyperlink"/>
                <w:noProof/>
              </w:rPr>
              <w:t>5.2.4.</w:t>
            </w:r>
            <w:r>
              <w:rPr>
                <w:rFonts w:asciiTheme="minorHAnsi" w:hAnsiTheme="minorHAnsi" w:cstheme="minorBidi"/>
                <w:noProof/>
                <w:kern w:val="2"/>
                <w:sz w:val="24"/>
                <w:szCs w:val="24"/>
                <w14:ligatures w14:val="standardContextual"/>
              </w:rPr>
              <w:tab/>
            </w:r>
            <w:r w:rsidRPr="007E63FA">
              <w:rPr>
                <w:rStyle w:val="Hyperlink"/>
                <w:noProof/>
              </w:rPr>
              <w:t>Summary</w:t>
            </w:r>
            <w:r>
              <w:rPr>
                <w:noProof/>
                <w:webHidden/>
              </w:rPr>
              <w:tab/>
            </w:r>
            <w:r>
              <w:rPr>
                <w:noProof/>
                <w:webHidden/>
              </w:rPr>
              <w:fldChar w:fldCharType="begin"/>
            </w:r>
            <w:r>
              <w:rPr>
                <w:noProof/>
                <w:webHidden/>
              </w:rPr>
              <w:instrText xml:space="preserve"> PAGEREF _Toc214017374 \h </w:instrText>
            </w:r>
            <w:r>
              <w:rPr>
                <w:noProof/>
                <w:webHidden/>
              </w:rPr>
            </w:r>
            <w:r>
              <w:rPr>
                <w:noProof/>
                <w:webHidden/>
              </w:rPr>
              <w:fldChar w:fldCharType="separate"/>
            </w:r>
            <w:r w:rsidR="00C634B9">
              <w:rPr>
                <w:noProof/>
                <w:webHidden/>
              </w:rPr>
              <w:t>29</w:t>
            </w:r>
            <w:r>
              <w:rPr>
                <w:noProof/>
                <w:webHidden/>
              </w:rPr>
              <w:fldChar w:fldCharType="end"/>
            </w:r>
          </w:hyperlink>
        </w:p>
        <w:p w:rsidR="0061090A" w:rsidRDefault="0061090A" w14:paraId="6E7BBD3C" w14:textId="4684D04D">
          <w:pPr>
            <w:pStyle w:val="TOC2"/>
            <w:tabs>
              <w:tab w:val="right" w:leader="dot" w:pos="9350"/>
            </w:tabs>
            <w:rPr>
              <w:rFonts w:asciiTheme="minorHAnsi" w:hAnsiTheme="minorHAnsi" w:cstheme="minorBidi"/>
              <w:noProof/>
              <w:kern w:val="2"/>
              <w:sz w:val="24"/>
              <w:szCs w:val="24"/>
              <w14:ligatures w14:val="standardContextual"/>
            </w:rPr>
          </w:pPr>
          <w:hyperlink w:history="1" w:anchor="_Toc214017375">
            <w:r w:rsidRPr="007E63FA">
              <w:rPr>
                <w:rStyle w:val="Hyperlink"/>
                <w:noProof/>
              </w:rPr>
              <w:t>5.3.</w:t>
            </w:r>
            <w:r>
              <w:rPr>
                <w:rFonts w:asciiTheme="minorHAnsi" w:hAnsiTheme="minorHAnsi" w:cstheme="minorBidi"/>
                <w:noProof/>
                <w:kern w:val="2"/>
                <w:sz w:val="24"/>
                <w:szCs w:val="24"/>
                <w14:ligatures w14:val="standardContextual"/>
              </w:rPr>
              <w:tab/>
            </w:r>
            <w:r w:rsidRPr="007E63FA">
              <w:rPr>
                <w:rStyle w:val="Hyperlink"/>
                <w:noProof/>
              </w:rPr>
              <w:t>Additional Risk Factors</w:t>
            </w:r>
            <w:r>
              <w:rPr>
                <w:noProof/>
                <w:webHidden/>
              </w:rPr>
              <w:tab/>
            </w:r>
            <w:r>
              <w:rPr>
                <w:noProof/>
                <w:webHidden/>
              </w:rPr>
              <w:fldChar w:fldCharType="begin"/>
            </w:r>
            <w:r>
              <w:rPr>
                <w:noProof/>
                <w:webHidden/>
              </w:rPr>
              <w:instrText xml:space="preserve"> PAGEREF _Toc214017375 \h </w:instrText>
            </w:r>
            <w:r>
              <w:rPr>
                <w:noProof/>
                <w:webHidden/>
              </w:rPr>
            </w:r>
            <w:r>
              <w:rPr>
                <w:noProof/>
                <w:webHidden/>
              </w:rPr>
              <w:fldChar w:fldCharType="separate"/>
            </w:r>
            <w:r w:rsidR="00C634B9">
              <w:rPr>
                <w:noProof/>
                <w:webHidden/>
              </w:rPr>
              <w:t>32</w:t>
            </w:r>
            <w:r>
              <w:rPr>
                <w:noProof/>
                <w:webHidden/>
              </w:rPr>
              <w:fldChar w:fldCharType="end"/>
            </w:r>
          </w:hyperlink>
        </w:p>
        <w:p w:rsidR="0061090A" w:rsidRDefault="0061090A" w14:paraId="1C179638" w14:textId="568C8D3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6">
            <w:r w:rsidRPr="007E63FA">
              <w:rPr>
                <w:rStyle w:val="Hyperlink"/>
                <w:noProof/>
              </w:rPr>
              <w:t>5.3.1.</w:t>
            </w:r>
            <w:r>
              <w:rPr>
                <w:rFonts w:asciiTheme="minorHAnsi" w:hAnsiTheme="minorHAnsi" w:cstheme="minorBidi"/>
                <w:noProof/>
                <w:kern w:val="2"/>
                <w:sz w:val="24"/>
                <w:szCs w:val="24"/>
                <w14:ligatures w14:val="standardContextual"/>
              </w:rPr>
              <w:tab/>
            </w:r>
            <w:r w:rsidRPr="007E63FA">
              <w:rPr>
                <w:rStyle w:val="Hyperlink"/>
                <w:noProof/>
              </w:rPr>
              <w:t>Financial Risk</w:t>
            </w:r>
            <w:r>
              <w:rPr>
                <w:noProof/>
                <w:webHidden/>
              </w:rPr>
              <w:tab/>
            </w:r>
            <w:r>
              <w:rPr>
                <w:noProof/>
                <w:webHidden/>
              </w:rPr>
              <w:fldChar w:fldCharType="begin"/>
            </w:r>
            <w:r>
              <w:rPr>
                <w:noProof/>
                <w:webHidden/>
              </w:rPr>
              <w:instrText xml:space="preserve"> PAGEREF _Toc214017376 \h </w:instrText>
            </w:r>
            <w:r>
              <w:rPr>
                <w:noProof/>
                <w:webHidden/>
              </w:rPr>
            </w:r>
            <w:r>
              <w:rPr>
                <w:noProof/>
                <w:webHidden/>
              </w:rPr>
              <w:fldChar w:fldCharType="separate"/>
            </w:r>
            <w:r w:rsidR="00C634B9">
              <w:rPr>
                <w:noProof/>
                <w:webHidden/>
              </w:rPr>
              <w:t>33</w:t>
            </w:r>
            <w:r>
              <w:rPr>
                <w:noProof/>
                <w:webHidden/>
              </w:rPr>
              <w:fldChar w:fldCharType="end"/>
            </w:r>
          </w:hyperlink>
        </w:p>
        <w:p w:rsidR="0061090A" w:rsidRDefault="0061090A" w14:paraId="4FEA99B7" w14:textId="5380461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7">
            <w:r w:rsidRPr="007E63FA">
              <w:rPr>
                <w:rStyle w:val="Hyperlink"/>
                <w:noProof/>
              </w:rPr>
              <w:t>5.3.2.</w:t>
            </w:r>
            <w:r>
              <w:rPr>
                <w:rFonts w:asciiTheme="minorHAnsi" w:hAnsiTheme="minorHAnsi" w:cstheme="minorBidi"/>
                <w:noProof/>
                <w:kern w:val="2"/>
                <w:sz w:val="24"/>
                <w:szCs w:val="24"/>
                <w14:ligatures w14:val="standardContextual"/>
              </w:rPr>
              <w:tab/>
            </w:r>
            <w:r w:rsidRPr="007E63FA">
              <w:rPr>
                <w:rStyle w:val="Hyperlink"/>
                <w:noProof/>
              </w:rPr>
              <w:t>Business Risk</w:t>
            </w:r>
            <w:r>
              <w:rPr>
                <w:noProof/>
                <w:webHidden/>
              </w:rPr>
              <w:tab/>
            </w:r>
            <w:r>
              <w:rPr>
                <w:noProof/>
                <w:webHidden/>
              </w:rPr>
              <w:fldChar w:fldCharType="begin"/>
            </w:r>
            <w:r>
              <w:rPr>
                <w:noProof/>
                <w:webHidden/>
              </w:rPr>
              <w:instrText xml:space="preserve"> PAGEREF _Toc214017377 \h </w:instrText>
            </w:r>
            <w:r>
              <w:rPr>
                <w:noProof/>
                <w:webHidden/>
              </w:rPr>
            </w:r>
            <w:r>
              <w:rPr>
                <w:noProof/>
                <w:webHidden/>
              </w:rPr>
              <w:fldChar w:fldCharType="separate"/>
            </w:r>
            <w:r w:rsidR="00C634B9">
              <w:rPr>
                <w:noProof/>
                <w:webHidden/>
              </w:rPr>
              <w:t>33</w:t>
            </w:r>
            <w:r>
              <w:rPr>
                <w:noProof/>
                <w:webHidden/>
              </w:rPr>
              <w:fldChar w:fldCharType="end"/>
            </w:r>
          </w:hyperlink>
        </w:p>
        <w:p w:rsidR="0061090A" w:rsidRDefault="0061090A" w14:paraId="7617E43C" w14:textId="139DAF2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8">
            <w:r w:rsidRPr="007E63FA">
              <w:rPr>
                <w:rStyle w:val="Hyperlink"/>
                <w:noProof/>
              </w:rPr>
              <w:t>5.3.3.</w:t>
            </w:r>
            <w:r>
              <w:rPr>
                <w:rFonts w:asciiTheme="minorHAnsi" w:hAnsiTheme="minorHAnsi" w:cstheme="minorBidi"/>
                <w:noProof/>
                <w:kern w:val="2"/>
                <w:sz w:val="24"/>
                <w:szCs w:val="24"/>
                <w14:ligatures w14:val="standardContextual"/>
              </w:rPr>
              <w:tab/>
            </w:r>
            <w:r w:rsidRPr="007E63FA">
              <w:rPr>
                <w:rStyle w:val="Hyperlink"/>
                <w:noProof/>
              </w:rPr>
              <w:t>Transformation of the Electric Grid and Gas System /Clean Energy Goals</w:t>
            </w:r>
            <w:r>
              <w:rPr>
                <w:noProof/>
                <w:webHidden/>
              </w:rPr>
              <w:tab/>
            </w:r>
            <w:r>
              <w:rPr>
                <w:noProof/>
                <w:webHidden/>
              </w:rPr>
              <w:fldChar w:fldCharType="begin"/>
            </w:r>
            <w:r>
              <w:rPr>
                <w:noProof/>
                <w:webHidden/>
              </w:rPr>
              <w:instrText xml:space="preserve"> PAGEREF _Toc214017378 \h </w:instrText>
            </w:r>
            <w:r>
              <w:rPr>
                <w:noProof/>
                <w:webHidden/>
              </w:rPr>
            </w:r>
            <w:r>
              <w:rPr>
                <w:noProof/>
                <w:webHidden/>
              </w:rPr>
              <w:fldChar w:fldCharType="separate"/>
            </w:r>
            <w:r w:rsidR="00C634B9">
              <w:rPr>
                <w:noProof/>
                <w:webHidden/>
              </w:rPr>
              <w:t>33</w:t>
            </w:r>
            <w:r>
              <w:rPr>
                <w:noProof/>
                <w:webHidden/>
              </w:rPr>
              <w:fldChar w:fldCharType="end"/>
            </w:r>
          </w:hyperlink>
        </w:p>
        <w:p w:rsidR="0061090A" w:rsidRDefault="0061090A" w14:paraId="0D9BBB13" w14:textId="2C0B805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9">
            <w:r w:rsidRPr="007E63FA">
              <w:rPr>
                <w:rStyle w:val="Hyperlink"/>
                <w:noProof/>
              </w:rPr>
              <w:t>5.3.4.</w:t>
            </w:r>
            <w:r>
              <w:rPr>
                <w:rFonts w:asciiTheme="minorHAnsi" w:hAnsiTheme="minorHAnsi" w:cstheme="minorBidi"/>
                <w:noProof/>
                <w:kern w:val="2"/>
                <w:sz w:val="24"/>
                <w:szCs w:val="24"/>
                <w14:ligatures w14:val="standardContextual"/>
              </w:rPr>
              <w:tab/>
            </w:r>
            <w:r w:rsidRPr="007E63FA">
              <w:rPr>
                <w:rStyle w:val="Hyperlink"/>
                <w:noProof/>
              </w:rPr>
              <w:t>Wildfire and Severe Weather Risk</w:t>
            </w:r>
            <w:r>
              <w:rPr>
                <w:noProof/>
                <w:webHidden/>
              </w:rPr>
              <w:tab/>
            </w:r>
            <w:r>
              <w:rPr>
                <w:noProof/>
                <w:webHidden/>
              </w:rPr>
              <w:fldChar w:fldCharType="begin"/>
            </w:r>
            <w:r>
              <w:rPr>
                <w:noProof/>
                <w:webHidden/>
              </w:rPr>
              <w:instrText xml:space="preserve"> PAGEREF _Toc214017379 \h </w:instrText>
            </w:r>
            <w:r>
              <w:rPr>
                <w:noProof/>
                <w:webHidden/>
              </w:rPr>
            </w:r>
            <w:r>
              <w:rPr>
                <w:noProof/>
                <w:webHidden/>
              </w:rPr>
              <w:fldChar w:fldCharType="separate"/>
            </w:r>
            <w:r w:rsidR="00C634B9">
              <w:rPr>
                <w:noProof/>
                <w:webHidden/>
              </w:rPr>
              <w:t>34</w:t>
            </w:r>
            <w:r>
              <w:rPr>
                <w:noProof/>
                <w:webHidden/>
              </w:rPr>
              <w:fldChar w:fldCharType="end"/>
            </w:r>
          </w:hyperlink>
        </w:p>
        <w:p w:rsidR="0061090A" w:rsidRDefault="0061090A" w14:paraId="2A648352" w14:textId="19429E5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0">
            <w:r w:rsidRPr="007E63FA">
              <w:rPr>
                <w:rStyle w:val="Hyperlink"/>
                <w:noProof/>
              </w:rPr>
              <w:t>5.3.5.</w:t>
            </w:r>
            <w:r>
              <w:rPr>
                <w:rFonts w:asciiTheme="minorHAnsi" w:hAnsiTheme="minorHAnsi" w:cstheme="minorBidi"/>
                <w:noProof/>
                <w:kern w:val="2"/>
                <w:sz w:val="24"/>
                <w:szCs w:val="24"/>
                <w14:ligatures w14:val="standardContextual"/>
              </w:rPr>
              <w:tab/>
            </w:r>
            <w:r w:rsidRPr="007E63FA">
              <w:rPr>
                <w:rStyle w:val="Hyperlink"/>
                <w:noProof/>
              </w:rPr>
              <w:t>Cashflow</w:t>
            </w:r>
            <w:r w:rsidRPr="007E63FA">
              <w:rPr>
                <w:rStyle w:val="Hyperlink"/>
                <w:bCs/>
                <w:noProof/>
              </w:rPr>
              <w:t xml:space="preserve"> risk</w:t>
            </w:r>
            <w:r>
              <w:rPr>
                <w:noProof/>
                <w:webHidden/>
              </w:rPr>
              <w:tab/>
            </w:r>
            <w:r>
              <w:rPr>
                <w:noProof/>
                <w:webHidden/>
              </w:rPr>
              <w:fldChar w:fldCharType="begin"/>
            </w:r>
            <w:r>
              <w:rPr>
                <w:noProof/>
                <w:webHidden/>
              </w:rPr>
              <w:instrText xml:space="preserve"> PAGEREF _Toc214017380 \h </w:instrText>
            </w:r>
            <w:r>
              <w:rPr>
                <w:noProof/>
                <w:webHidden/>
              </w:rPr>
            </w:r>
            <w:r>
              <w:rPr>
                <w:noProof/>
                <w:webHidden/>
              </w:rPr>
              <w:fldChar w:fldCharType="separate"/>
            </w:r>
            <w:r w:rsidR="00C634B9">
              <w:rPr>
                <w:noProof/>
                <w:webHidden/>
              </w:rPr>
              <w:t>37</w:t>
            </w:r>
            <w:r>
              <w:rPr>
                <w:noProof/>
                <w:webHidden/>
              </w:rPr>
              <w:fldChar w:fldCharType="end"/>
            </w:r>
          </w:hyperlink>
        </w:p>
        <w:p w:rsidR="0061090A" w:rsidRDefault="0061090A" w14:paraId="6D0EBC33" w14:textId="271C0E5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1">
            <w:r w:rsidRPr="007E63FA">
              <w:rPr>
                <w:rStyle w:val="Hyperlink"/>
                <w:noProof/>
              </w:rPr>
              <w:t>5.3.6.</w:t>
            </w:r>
            <w:r>
              <w:rPr>
                <w:rFonts w:asciiTheme="minorHAnsi" w:hAnsiTheme="minorHAnsi" w:cstheme="minorBidi"/>
                <w:noProof/>
                <w:kern w:val="2"/>
                <w:sz w:val="24"/>
                <w:szCs w:val="24"/>
                <w14:ligatures w14:val="standardContextual"/>
              </w:rPr>
              <w:tab/>
            </w:r>
            <w:r w:rsidRPr="007E63FA">
              <w:rPr>
                <w:rStyle w:val="Hyperlink"/>
                <w:noProof/>
              </w:rPr>
              <w:t>Macroeconomic Environment</w:t>
            </w:r>
            <w:r>
              <w:rPr>
                <w:noProof/>
                <w:webHidden/>
              </w:rPr>
              <w:tab/>
            </w:r>
            <w:r>
              <w:rPr>
                <w:noProof/>
                <w:webHidden/>
              </w:rPr>
              <w:fldChar w:fldCharType="begin"/>
            </w:r>
            <w:r>
              <w:rPr>
                <w:noProof/>
                <w:webHidden/>
              </w:rPr>
              <w:instrText xml:space="preserve"> PAGEREF _Toc214017381 \h </w:instrText>
            </w:r>
            <w:r>
              <w:rPr>
                <w:noProof/>
                <w:webHidden/>
              </w:rPr>
            </w:r>
            <w:r>
              <w:rPr>
                <w:noProof/>
                <w:webHidden/>
              </w:rPr>
              <w:fldChar w:fldCharType="separate"/>
            </w:r>
            <w:r w:rsidR="00C634B9">
              <w:rPr>
                <w:noProof/>
                <w:webHidden/>
              </w:rPr>
              <w:t>37</w:t>
            </w:r>
            <w:r>
              <w:rPr>
                <w:noProof/>
                <w:webHidden/>
              </w:rPr>
              <w:fldChar w:fldCharType="end"/>
            </w:r>
          </w:hyperlink>
        </w:p>
        <w:p w:rsidR="0061090A" w:rsidRDefault="0061090A" w14:paraId="6956E171" w14:textId="5A1C28C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2">
            <w:r w:rsidRPr="007E63FA">
              <w:rPr>
                <w:rStyle w:val="Hyperlink"/>
                <w:noProof/>
              </w:rPr>
              <w:t>5.3.7.</w:t>
            </w:r>
            <w:r>
              <w:rPr>
                <w:rFonts w:asciiTheme="minorHAnsi" w:hAnsiTheme="minorHAnsi" w:cstheme="minorBidi"/>
                <w:noProof/>
                <w:kern w:val="2"/>
                <w:sz w:val="24"/>
                <w:szCs w:val="24"/>
                <w14:ligatures w14:val="standardContextual"/>
              </w:rPr>
              <w:tab/>
            </w:r>
            <w:r w:rsidRPr="007E63FA">
              <w:rPr>
                <w:rStyle w:val="Hyperlink"/>
                <w:noProof/>
              </w:rPr>
              <w:t>Regulatory Risk</w:t>
            </w:r>
            <w:r>
              <w:rPr>
                <w:noProof/>
                <w:webHidden/>
              </w:rPr>
              <w:tab/>
            </w:r>
            <w:r>
              <w:rPr>
                <w:noProof/>
                <w:webHidden/>
              </w:rPr>
              <w:fldChar w:fldCharType="begin"/>
            </w:r>
            <w:r>
              <w:rPr>
                <w:noProof/>
                <w:webHidden/>
              </w:rPr>
              <w:instrText xml:space="preserve"> PAGEREF _Toc214017382 \h </w:instrText>
            </w:r>
            <w:r>
              <w:rPr>
                <w:noProof/>
                <w:webHidden/>
              </w:rPr>
            </w:r>
            <w:r>
              <w:rPr>
                <w:noProof/>
                <w:webHidden/>
              </w:rPr>
              <w:fldChar w:fldCharType="separate"/>
            </w:r>
            <w:r w:rsidR="00C634B9">
              <w:rPr>
                <w:noProof/>
                <w:webHidden/>
              </w:rPr>
              <w:t>38</w:t>
            </w:r>
            <w:r>
              <w:rPr>
                <w:noProof/>
                <w:webHidden/>
              </w:rPr>
              <w:fldChar w:fldCharType="end"/>
            </w:r>
          </w:hyperlink>
        </w:p>
        <w:p w:rsidR="0061090A" w:rsidRDefault="0061090A" w14:paraId="4513A210" w14:textId="1BEA4DCD">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3">
            <w:r w:rsidRPr="007E63FA">
              <w:rPr>
                <w:rStyle w:val="Hyperlink"/>
                <w:noProof/>
              </w:rPr>
              <w:t>5.3.8.</w:t>
            </w:r>
            <w:r>
              <w:rPr>
                <w:rFonts w:asciiTheme="minorHAnsi" w:hAnsiTheme="minorHAnsi" w:cstheme="minorBidi"/>
                <w:noProof/>
                <w:kern w:val="2"/>
                <w:sz w:val="24"/>
                <w:szCs w:val="24"/>
                <w14:ligatures w14:val="standardContextual"/>
              </w:rPr>
              <w:tab/>
            </w:r>
            <w:r w:rsidRPr="007E63FA">
              <w:rPr>
                <w:rStyle w:val="Hyperlink"/>
                <w:noProof/>
              </w:rPr>
              <w:t>Authorized ROE Risk</w:t>
            </w:r>
            <w:r>
              <w:rPr>
                <w:noProof/>
                <w:webHidden/>
              </w:rPr>
              <w:tab/>
            </w:r>
            <w:r>
              <w:rPr>
                <w:noProof/>
                <w:webHidden/>
              </w:rPr>
              <w:fldChar w:fldCharType="begin"/>
            </w:r>
            <w:r>
              <w:rPr>
                <w:noProof/>
                <w:webHidden/>
              </w:rPr>
              <w:instrText xml:space="preserve"> PAGEREF _Toc214017383 \h </w:instrText>
            </w:r>
            <w:r>
              <w:rPr>
                <w:noProof/>
                <w:webHidden/>
              </w:rPr>
            </w:r>
            <w:r>
              <w:rPr>
                <w:noProof/>
                <w:webHidden/>
              </w:rPr>
              <w:fldChar w:fldCharType="separate"/>
            </w:r>
            <w:r w:rsidR="00C634B9">
              <w:rPr>
                <w:noProof/>
                <w:webHidden/>
              </w:rPr>
              <w:t>38</w:t>
            </w:r>
            <w:r>
              <w:rPr>
                <w:noProof/>
                <w:webHidden/>
              </w:rPr>
              <w:fldChar w:fldCharType="end"/>
            </w:r>
          </w:hyperlink>
        </w:p>
        <w:p w:rsidR="0061090A" w:rsidRDefault="0061090A" w14:paraId="1D3D1CE0" w14:textId="4434624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4">
            <w:r w:rsidRPr="007E63FA">
              <w:rPr>
                <w:rStyle w:val="Hyperlink"/>
                <w:noProof/>
              </w:rPr>
              <w:t>5.3.9.</w:t>
            </w:r>
            <w:r>
              <w:rPr>
                <w:rFonts w:asciiTheme="minorHAnsi" w:hAnsiTheme="minorHAnsi" w:cstheme="minorBidi"/>
                <w:noProof/>
                <w:kern w:val="2"/>
                <w:sz w:val="24"/>
                <w:szCs w:val="24"/>
                <w14:ligatures w14:val="standardContextual"/>
              </w:rPr>
              <w:tab/>
            </w:r>
            <w:r w:rsidRPr="007E63FA">
              <w:rPr>
                <w:rStyle w:val="Hyperlink"/>
                <w:noProof/>
              </w:rPr>
              <w:t>Cost Recovery Risk</w:t>
            </w:r>
            <w:r>
              <w:rPr>
                <w:noProof/>
                <w:webHidden/>
              </w:rPr>
              <w:tab/>
            </w:r>
            <w:r>
              <w:rPr>
                <w:noProof/>
                <w:webHidden/>
              </w:rPr>
              <w:fldChar w:fldCharType="begin"/>
            </w:r>
            <w:r>
              <w:rPr>
                <w:noProof/>
                <w:webHidden/>
              </w:rPr>
              <w:instrText xml:space="preserve"> PAGEREF _Toc214017384 \h </w:instrText>
            </w:r>
            <w:r>
              <w:rPr>
                <w:noProof/>
                <w:webHidden/>
              </w:rPr>
            </w:r>
            <w:r>
              <w:rPr>
                <w:noProof/>
                <w:webHidden/>
              </w:rPr>
              <w:fldChar w:fldCharType="separate"/>
            </w:r>
            <w:r w:rsidR="00C634B9">
              <w:rPr>
                <w:noProof/>
                <w:webHidden/>
              </w:rPr>
              <w:t>39</w:t>
            </w:r>
            <w:r>
              <w:rPr>
                <w:noProof/>
                <w:webHidden/>
              </w:rPr>
              <w:fldChar w:fldCharType="end"/>
            </w:r>
          </w:hyperlink>
        </w:p>
        <w:p w:rsidR="0061090A" w:rsidRDefault="0061090A" w14:paraId="4C8987C7" w14:textId="61EC1FE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017385">
            <w:r w:rsidRPr="007E63FA">
              <w:rPr>
                <w:rStyle w:val="Hyperlink"/>
                <w:noProof/>
              </w:rPr>
              <w:t>5.3.10.</w:t>
            </w:r>
            <w:r>
              <w:rPr>
                <w:rFonts w:asciiTheme="minorHAnsi" w:hAnsiTheme="minorHAnsi" w:cstheme="minorBidi"/>
                <w:noProof/>
                <w:kern w:val="2"/>
                <w:sz w:val="24"/>
                <w:szCs w:val="24"/>
                <w14:ligatures w14:val="standardContextual"/>
              </w:rPr>
              <w:tab/>
            </w:r>
            <w:r w:rsidRPr="007E63FA">
              <w:rPr>
                <w:rStyle w:val="Hyperlink"/>
                <w:noProof/>
              </w:rPr>
              <w:t>Regulatory Lag</w:t>
            </w:r>
            <w:r>
              <w:rPr>
                <w:noProof/>
                <w:webHidden/>
              </w:rPr>
              <w:tab/>
            </w:r>
            <w:r>
              <w:rPr>
                <w:noProof/>
                <w:webHidden/>
              </w:rPr>
              <w:fldChar w:fldCharType="begin"/>
            </w:r>
            <w:r>
              <w:rPr>
                <w:noProof/>
                <w:webHidden/>
              </w:rPr>
              <w:instrText xml:space="preserve"> PAGEREF _Toc214017385 \h </w:instrText>
            </w:r>
            <w:r>
              <w:rPr>
                <w:noProof/>
                <w:webHidden/>
              </w:rPr>
            </w:r>
            <w:r>
              <w:rPr>
                <w:noProof/>
                <w:webHidden/>
              </w:rPr>
              <w:fldChar w:fldCharType="separate"/>
            </w:r>
            <w:r w:rsidR="00C634B9">
              <w:rPr>
                <w:noProof/>
                <w:webHidden/>
              </w:rPr>
              <w:t>40</w:t>
            </w:r>
            <w:r>
              <w:rPr>
                <w:noProof/>
                <w:webHidden/>
              </w:rPr>
              <w:fldChar w:fldCharType="end"/>
            </w:r>
          </w:hyperlink>
        </w:p>
        <w:p w:rsidR="0061090A" w:rsidRDefault="0061090A" w14:paraId="532AC54B" w14:textId="1F5A41D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017386">
            <w:r w:rsidRPr="007E63FA">
              <w:rPr>
                <w:rStyle w:val="Hyperlink"/>
                <w:noProof/>
              </w:rPr>
              <w:t>5.3.11.</w:t>
            </w:r>
            <w:r>
              <w:rPr>
                <w:rFonts w:asciiTheme="minorHAnsi" w:hAnsiTheme="minorHAnsi" w:cstheme="minorBidi"/>
                <w:noProof/>
                <w:kern w:val="2"/>
                <w:sz w:val="24"/>
                <w:szCs w:val="24"/>
                <w14:ligatures w14:val="standardContextual"/>
              </w:rPr>
              <w:tab/>
            </w:r>
            <w:r w:rsidRPr="007E63FA">
              <w:rPr>
                <w:rStyle w:val="Hyperlink"/>
                <w:noProof/>
              </w:rPr>
              <w:t>Summary</w:t>
            </w:r>
            <w:r>
              <w:rPr>
                <w:noProof/>
                <w:webHidden/>
              </w:rPr>
              <w:tab/>
            </w:r>
            <w:r>
              <w:rPr>
                <w:noProof/>
                <w:webHidden/>
              </w:rPr>
              <w:fldChar w:fldCharType="begin"/>
            </w:r>
            <w:r>
              <w:rPr>
                <w:noProof/>
                <w:webHidden/>
              </w:rPr>
              <w:instrText xml:space="preserve"> PAGEREF _Toc214017386 \h </w:instrText>
            </w:r>
            <w:r>
              <w:rPr>
                <w:noProof/>
                <w:webHidden/>
              </w:rPr>
            </w:r>
            <w:r>
              <w:rPr>
                <w:noProof/>
                <w:webHidden/>
              </w:rPr>
              <w:fldChar w:fldCharType="separate"/>
            </w:r>
            <w:r w:rsidR="00C634B9">
              <w:rPr>
                <w:noProof/>
                <w:webHidden/>
              </w:rPr>
              <w:t>41</w:t>
            </w:r>
            <w:r>
              <w:rPr>
                <w:noProof/>
                <w:webHidden/>
              </w:rPr>
              <w:fldChar w:fldCharType="end"/>
            </w:r>
          </w:hyperlink>
        </w:p>
        <w:p w:rsidR="0061090A" w:rsidRDefault="0061090A" w14:paraId="2ADFAC95" w14:textId="7E77371A">
          <w:pPr>
            <w:pStyle w:val="TOC2"/>
            <w:tabs>
              <w:tab w:val="right" w:leader="dot" w:pos="9350"/>
            </w:tabs>
            <w:rPr>
              <w:rFonts w:asciiTheme="minorHAnsi" w:hAnsiTheme="minorHAnsi" w:cstheme="minorBidi"/>
              <w:noProof/>
              <w:kern w:val="2"/>
              <w:sz w:val="24"/>
              <w:szCs w:val="24"/>
              <w14:ligatures w14:val="standardContextual"/>
            </w:rPr>
          </w:pPr>
          <w:hyperlink w:history="1" w:anchor="_Toc214017387">
            <w:r w:rsidRPr="007E63FA">
              <w:rPr>
                <w:rStyle w:val="Hyperlink"/>
                <w:noProof/>
              </w:rPr>
              <w:t>5.4.</w:t>
            </w:r>
            <w:r>
              <w:rPr>
                <w:rFonts w:asciiTheme="minorHAnsi" w:hAnsiTheme="minorHAnsi" w:cstheme="minorBidi"/>
                <w:noProof/>
                <w:kern w:val="2"/>
                <w:sz w:val="24"/>
                <w:szCs w:val="24"/>
                <w14:ligatures w14:val="standardContextual"/>
              </w:rPr>
              <w:tab/>
            </w:r>
            <w:r w:rsidRPr="007E63FA">
              <w:rPr>
                <w:rStyle w:val="Hyperlink"/>
                <w:noProof/>
              </w:rPr>
              <w:t>Authorized Return on Equity National Trends</w:t>
            </w:r>
            <w:r>
              <w:rPr>
                <w:noProof/>
                <w:webHidden/>
              </w:rPr>
              <w:tab/>
            </w:r>
            <w:r>
              <w:rPr>
                <w:noProof/>
                <w:webHidden/>
              </w:rPr>
              <w:fldChar w:fldCharType="begin"/>
            </w:r>
            <w:r>
              <w:rPr>
                <w:noProof/>
                <w:webHidden/>
              </w:rPr>
              <w:instrText xml:space="preserve"> PAGEREF _Toc214017387 \h </w:instrText>
            </w:r>
            <w:r>
              <w:rPr>
                <w:noProof/>
                <w:webHidden/>
              </w:rPr>
            </w:r>
            <w:r>
              <w:rPr>
                <w:noProof/>
                <w:webHidden/>
              </w:rPr>
              <w:fldChar w:fldCharType="separate"/>
            </w:r>
            <w:r w:rsidR="00C634B9">
              <w:rPr>
                <w:noProof/>
                <w:webHidden/>
              </w:rPr>
              <w:t>41</w:t>
            </w:r>
            <w:r>
              <w:rPr>
                <w:noProof/>
                <w:webHidden/>
              </w:rPr>
              <w:fldChar w:fldCharType="end"/>
            </w:r>
          </w:hyperlink>
        </w:p>
        <w:p w:rsidR="0061090A" w:rsidRDefault="0061090A" w14:paraId="61EC9DE7" w14:textId="7B38DE00">
          <w:pPr>
            <w:pStyle w:val="TOC2"/>
            <w:tabs>
              <w:tab w:val="right" w:leader="dot" w:pos="9350"/>
            </w:tabs>
            <w:rPr>
              <w:rFonts w:asciiTheme="minorHAnsi" w:hAnsiTheme="minorHAnsi" w:cstheme="minorBidi"/>
              <w:noProof/>
              <w:kern w:val="2"/>
              <w:sz w:val="24"/>
              <w:szCs w:val="24"/>
              <w14:ligatures w14:val="standardContextual"/>
            </w:rPr>
          </w:pPr>
          <w:hyperlink w:history="1" w:anchor="_Toc214017388">
            <w:r w:rsidRPr="007E63FA">
              <w:rPr>
                <w:rStyle w:val="Hyperlink"/>
                <w:noProof/>
              </w:rPr>
              <w:t>5.5.</w:t>
            </w:r>
            <w:r>
              <w:rPr>
                <w:rFonts w:asciiTheme="minorHAnsi" w:hAnsiTheme="minorHAnsi" w:cstheme="minorBidi"/>
                <w:noProof/>
                <w:kern w:val="2"/>
                <w:sz w:val="24"/>
                <w:szCs w:val="24"/>
                <w14:ligatures w14:val="standardContextual"/>
              </w:rPr>
              <w:tab/>
            </w:r>
            <w:r w:rsidRPr="007E63FA">
              <w:rPr>
                <w:rStyle w:val="Hyperlink"/>
                <w:noProof/>
              </w:rPr>
              <w:t>PG&amp;E’s Return on Equity</w:t>
            </w:r>
            <w:r>
              <w:rPr>
                <w:noProof/>
                <w:webHidden/>
              </w:rPr>
              <w:tab/>
            </w:r>
            <w:r>
              <w:rPr>
                <w:noProof/>
                <w:webHidden/>
              </w:rPr>
              <w:fldChar w:fldCharType="begin"/>
            </w:r>
            <w:r>
              <w:rPr>
                <w:noProof/>
                <w:webHidden/>
              </w:rPr>
              <w:instrText xml:space="preserve"> PAGEREF _Toc214017388 \h </w:instrText>
            </w:r>
            <w:r>
              <w:rPr>
                <w:noProof/>
                <w:webHidden/>
              </w:rPr>
            </w:r>
            <w:r>
              <w:rPr>
                <w:noProof/>
                <w:webHidden/>
              </w:rPr>
              <w:fldChar w:fldCharType="separate"/>
            </w:r>
            <w:r w:rsidR="00C634B9">
              <w:rPr>
                <w:noProof/>
                <w:webHidden/>
              </w:rPr>
              <w:t>44</w:t>
            </w:r>
            <w:r>
              <w:rPr>
                <w:noProof/>
                <w:webHidden/>
              </w:rPr>
              <w:fldChar w:fldCharType="end"/>
            </w:r>
          </w:hyperlink>
        </w:p>
        <w:p w:rsidR="0061090A" w:rsidRDefault="0061090A" w14:paraId="4D729596" w14:textId="67CBF8F5">
          <w:pPr>
            <w:pStyle w:val="TOC2"/>
            <w:tabs>
              <w:tab w:val="right" w:leader="dot" w:pos="9350"/>
            </w:tabs>
            <w:rPr>
              <w:rFonts w:asciiTheme="minorHAnsi" w:hAnsiTheme="minorHAnsi" w:cstheme="minorBidi"/>
              <w:noProof/>
              <w:kern w:val="2"/>
              <w:sz w:val="24"/>
              <w:szCs w:val="24"/>
              <w14:ligatures w14:val="standardContextual"/>
            </w:rPr>
          </w:pPr>
          <w:hyperlink w:history="1" w:anchor="_Toc214017389">
            <w:r w:rsidRPr="007E63FA">
              <w:rPr>
                <w:rStyle w:val="Hyperlink"/>
                <w:noProof/>
              </w:rPr>
              <w:t>5.6.</w:t>
            </w:r>
            <w:r>
              <w:rPr>
                <w:rFonts w:asciiTheme="minorHAnsi" w:hAnsiTheme="minorHAnsi" w:cstheme="minorBidi"/>
                <w:noProof/>
                <w:kern w:val="2"/>
                <w:sz w:val="24"/>
                <w:szCs w:val="24"/>
                <w14:ligatures w14:val="standardContextual"/>
              </w:rPr>
              <w:tab/>
            </w:r>
            <w:r w:rsidRPr="007E63FA">
              <w:rPr>
                <w:rStyle w:val="Hyperlink"/>
                <w:noProof/>
              </w:rPr>
              <w:t>SoCalGas’ Return on Equity</w:t>
            </w:r>
            <w:r>
              <w:rPr>
                <w:noProof/>
                <w:webHidden/>
              </w:rPr>
              <w:tab/>
            </w:r>
            <w:r>
              <w:rPr>
                <w:noProof/>
                <w:webHidden/>
              </w:rPr>
              <w:fldChar w:fldCharType="begin"/>
            </w:r>
            <w:r>
              <w:rPr>
                <w:noProof/>
                <w:webHidden/>
              </w:rPr>
              <w:instrText xml:space="preserve"> PAGEREF _Toc214017389 \h </w:instrText>
            </w:r>
            <w:r>
              <w:rPr>
                <w:noProof/>
                <w:webHidden/>
              </w:rPr>
            </w:r>
            <w:r>
              <w:rPr>
                <w:noProof/>
                <w:webHidden/>
              </w:rPr>
              <w:fldChar w:fldCharType="separate"/>
            </w:r>
            <w:r w:rsidR="00C634B9">
              <w:rPr>
                <w:noProof/>
                <w:webHidden/>
              </w:rPr>
              <w:t>45</w:t>
            </w:r>
            <w:r>
              <w:rPr>
                <w:noProof/>
                <w:webHidden/>
              </w:rPr>
              <w:fldChar w:fldCharType="end"/>
            </w:r>
          </w:hyperlink>
        </w:p>
        <w:p w:rsidR="0061090A" w:rsidRDefault="0061090A" w14:paraId="3FE18032" w14:textId="0A53D90F">
          <w:pPr>
            <w:pStyle w:val="TOC2"/>
            <w:tabs>
              <w:tab w:val="right" w:leader="dot" w:pos="9350"/>
            </w:tabs>
            <w:rPr>
              <w:rFonts w:asciiTheme="minorHAnsi" w:hAnsiTheme="minorHAnsi" w:cstheme="minorBidi"/>
              <w:noProof/>
              <w:kern w:val="2"/>
              <w:sz w:val="24"/>
              <w:szCs w:val="24"/>
              <w14:ligatures w14:val="standardContextual"/>
            </w:rPr>
          </w:pPr>
          <w:hyperlink w:history="1" w:anchor="_Toc214017390">
            <w:r w:rsidRPr="007E63FA">
              <w:rPr>
                <w:rStyle w:val="Hyperlink"/>
                <w:noProof/>
              </w:rPr>
              <w:t>5.7.</w:t>
            </w:r>
            <w:r>
              <w:rPr>
                <w:rFonts w:asciiTheme="minorHAnsi" w:hAnsiTheme="minorHAnsi" w:cstheme="minorBidi"/>
                <w:noProof/>
                <w:kern w:val="2"/>
                <w:sz w:val="24"/>
                <w:szCs w:val="24"/>
                <w14:ligatures w14:val="standardContextual"/>
              </w:rPr>
              <w:tab/>
            </w:r>
            <w:r w:rsidRPr="007E63FA">
              <w:rPr>
                <w:rStyle w:val="Hyperlink"/>
                <w:noProof/>
              </w:rPr>
              <w:t>SCE’s Return on Equity</w:t>
            </w:r>
            <w:r>
              <w:rPr>
                <w:noProof/>
                <w:webHidden/>
              </w:rPr>
              <w:tab/>
            </w:r>
            <w:r>
              <w:rPr>
                <w:noProof/>
                <w:webHidden/>
              </w:rPr>
              <w:fldChar w:fldCharType="begin"/>
            </w:r>
            <w:r>
              <w:rPr>
                <w:noProof/>
                <w:webHidden/>
              </w:rPr>
              <w:instrText xml:space="preserve"> PAGEREF _Toc214017390 \h </w:instrText>
            </w:r>
            <w:r>
              <w:rPr>
                <w:noProof/>
                <w:webHidden/>
              </w:rPr>
            </w:r>
            <w:r>
              <w:rPr>
                <w:noProof/>
                <w:webHidden/>
              </w:rPr>
              <w:fldChar w:fldCharType="separate"/>
            </w:r>
            <w:r w:rsidR="00C634B9">
              <w:rPr>
                <w:noProof/>
                <w:webHidden/>
              </w:rPr>
              <w:t>46</w:t>
            </w:r>
            <w:r>
              <w:rPr>
                <w:noProof/>
                <w:webHidden/>
              </w:rPr>
              <w:fldChar w:fldCharType="end"/>
            </w:r>
          </w:hyperlink>
        </w:p>
        <w:p w:rsidR="0061090A" w:rsidRDefault="0061090A" w14:paraId="48FFDCCC" w14:textId="2924322E">
          <w:pPr>
            <w:pStyle w:val="TOC2"/>
            <w:tabs>
              <w:tab w:val="right" w:leader="dot" w:pos="9350"/>
            </w:tabs>
            <w:rPr>
              <w:rFonts w:asciiTheme="minorHAnsi" w:hAnsiTheme="minorHAnsi" w:cstheme="minorBidi"/>
              <w:noProof/>
              <w:kern w:val="2"/>
              <w:sz w:val="24"/>
              <w:szCs w:val="24"/>
              <w14:ligatures w14:val="standardContextual"/>
            </w:rPr>
          </w:pPr>
          <w:hyperlink w:history="1" w:anchor="_Toc214017391">
            <w:r w:rsidRPr="007E63FA">
              <w:rPr>
                <w:rStyle w:val="Hyperlink"/>
                <w:noProof/>
              </w:rPr>
              <w:t>5.8.</w:t>
            </w:r>
            <w:r>
              <w:rPr>
                <w:rFonts w:asciiTheme="minorHAnsi" w:hAnsiTheme="minorHAnsi" w:cstheme="minorBidi"/>
                <w:noProof/>
                <w:kern w:val="2"/>
                <w:sz w:val="24"/>
                <w:szCs w:val="24"/>
                <w14:ligatures w14:val="standardContextual"/>
              </w:rPr>
              <w:tab/>
            </w:r>
            <w:r w:rsidRPr="007E63FA">
              <w:rPr>
                <w:rStyle w:val="Hyperlink"/>
                <w:noProof/>
              </w:rPr>
              <w:t>SDG&amp;E’s Return on Equity</w:t>
            </w:r>
            <w:r>
              <w:rPr>
                <w:noProof/>
                <w:webHidden/>
              </w:rPr>
              <w:tab/>
            </w:r>
            <w:r>
              <w:rPr>
                <w:noProof/>
                <w:webHidden/>
              </w:rPr>
              <w:fldChar w:fldCharType="begin"/>
            </w:r>
            <w:r>
              <w:rPr>
                <w:noProof/>
                <w:webHidden/>
              </w:rPr>
              <w:instrText xml:space="preserve"> PAGEREF _Toc214017391 \h </w:instrText>
            </w:r>
            <w:r>
              <w:rPr>
                <w:noProof/>
                <w:webHidden/>
              </w:rPr>
            </w:r>
            <w:r>
              <w:rPr>
                <w:noProof/>
                <w:webHidden/>
              </w:rPr>
              <w:fldChar w:fldCharType="separate"/>
            </w:r>
            <w:r w:rsidR="00C634B9">
              <w:rPr>
                <w:noProof/>
                <w:webHidden/>
              </w:rPr>
              <w:t>47</w:t>
            </w:r>
            <w:r>
              <w:rPr>
                <w:noProof/>
                <w:webHidden/>
              </w:rPr>
              <w:fldChar w:fldCharType="end"/>
            </w:r>
          </w:hyperlink>
        </w:p>
        <w:p w:rsidR="0061090A" w:rsidRDefault="0061090A" w14:paraId="1AC667C3" w14:textId="3F0FA4E1">
          <w:pPr>
            <w:pStyle w:val="TOC1"/>
            <w:tabs>
              <w:tab w:val="right" w:leader="dot" w:pos="9350"/>
            </w:tabs>
            <w:rPr>
              <w:rFonts w:asciiTheme="minorHAnsi" w:hAnsiTheme="minorHAnsi" w:cstheme="minorBidi"/>
              <w:noProof/>
              <w:kern w:val="2"/>
              <w:sz w:val="24"/>
              <w:szCs w:val="24"/>
              <w14:ligatures w14:val="standardContextual"/>
            </w:rPr>
          </w:pPr>
          <w:hyperlink w:history="1" w:anchor="_Toc214017392">
            <w:r w:rsidRPr="007E63FA">
              <w:rPr>
                <w:rStyle w:val="Hyperlink"/>
                <w:noProof/>
              </w:rPr>
              <w:t>6.</w:t>
            </w:r>
            <w:r>
              <w:rPr>
                <w:rFonts w:asciiTheme="minorHAnsi" w:hAnsiTheme="minorHAnsi" w:cstheme="minorBidi"/>
                <w:noProof/>
                <w:kern w:val="2"/>
                <w:sz w:val="24"/>
                <w:szCs w:val="24"/>
                <w14:ligatures w14:val="standardContextual"/>
              </w:rPr>
              <w:tab/>
            </w:r>
            <w:r w:rsidRPr="007E63FA">
              <w:rPr>
                <w:rStyle w:val="Hyperlink"/>
                <w:noProof/>
              </w:rPr>
              <w:t>Implementation</w:t>
            </w:r>
            <w:r>
              <w:rPr>
                <w:noProof/>
                <w:webHidden/>
              </w:rPr>
              <w:tab/>
            </w:r>
            <w:r>
              <w:rPr>
                <w:noProof/>
                <w:webHidden/>
              </w:rPr>
              <w:fldChar w:fldCharType="begin"/>
            </w:r>
            <w:r>
              <w:rPr>
                <w:noProof/>
                <w:webHidden/>
              </w:rPr>
              <w:instrText xml:space="preserve"> PAGEREF _Toc214017392 \h </w:instrText>
            </w:r>
            <w:r>
              <w:rPr>
                <w:noProof/>
                <w:webHidden/>
              </w:rPr>
            </w:r>
            <w:r>
              <w:rPr>
                <w:noProof/>
                <w:webHidden/>
              </w:rPr>
              <w:fldChar w:fldCharType="separate"/>
            </w:r>
            <w:r w:rsidR="00C634B9">
              <w:rPr>
                <w:noProof/>
                <w:webHidden/>
              </w:rPr>
              <w:t>48</w:t>
            </w:r>
            <w:r>
              <w:rPr>
                <w:noProof/>
                <w:webHidden/>
              </w:rPr>
              <w:fldChar w:fldCharType="end"/>
            </w:r>
          </w:hyperlink>
        </w:p>
        <w:p w:rsidR="0061090A" w:rsidRDefault="0061090A" w14:paraId="48875BA9" w14:textId="738E977D">
          <w:pPr>
            <w:pStyle w:val="TOC1"/>
            <w:tabs>
              <w:tab w:val="right" w:leader="dot" w:pos="9350"/>
            </w:tabs>
            <w:rPr>
              <w:rFonts w:asciiTheme="minorHAnsi" w:hAnsiTheme="minorHAnsi" w:cstheme="minorBidi"/>
              <w:noProof/>
              <w:kern w:val="2"/>
              <w:sz w:val="24"/>
              <w:szCs w:val="24"/>
              <w14:ligatures w14:val="standardContextual"/>
            </w:rPr>
          </w:pPr>
          <w:hyperlink w:history="1" w:anchor="_Toc214017393">
            <w:r w:rsidRPr="007E63FA">
              <w:rPr>
                <w:rStyle w:val="Hyperlink"/>
                <w:noProof/>
              </w:rPr>
              <w:t>7.</w:t>
            </w:r>
            <w:r>
              <w:rPr>
                <w:rFonts w:asciiTheme="minorHAnsi" w:hAnsiTheme="minorHAnsi" w:cstheme="minorBidi"/>
                <w:noProof/>
                <w:kern w:val="2"/>
                <w:sz w:val="24"/>
                <w:szCs w:val="24"/>
                <w14:ligatures w14:val="standardContextual"/>
              </w:rPr>
              <w:tab/>
            </w:r>
            <w:r w:rsidRPr="007E63FA">
              <w:rPr>
                <w:rStyle w:val="Hyperlink"/>
                <w:noProof/>
              </w:rPr>
              <w:t>PG&amp;E’s Yield Spread Adjustment Proposal</w:t>
            </w:r>
            <w:r>
              <w:rPr>
                <w:noProof/>
                <w:webHidden/>
              </w:rPr>
              <w:tab/>
            </w:r>
            <w:r>
              <w:rPr>
                <w:noProof/>
                <w:webHidden/>
              </w:rPr>
              <w:fldChar w:fldCharType="begin"/>
            </w:r>
            <w:r>
              <w:rPr>
                <w:noProof/>
                <w:webHidden/>
              </w:rPr>
              <w:instrText xml:space="preserve"> PAGEREF _Toc214017393 \h </w:instrText>
            </w:r>
            <w:r>
              <w:rPr>
                <w:noProof/>
                <w:webHidden/>
              </w:rPr>
            </w:r>
            <w:r>
              <w:rPr>
                <w:noProof/>
                <w:webHidden/>
              </w:rPr>
              <w:fldChar w:fldCharType="separate"/>
            </w:r>
            <w:r w:rsidR="00C634B9">
              <w:rPr>
                <w:noProof/>
                <w:webHidden/>
              </w:rPr>
              <w:t>49</w:t>
            </w:r>
            <w:r>
              <w:rPr>
                <w:noProof/>
                <w:webHidden/>
              </w:rPr>
              <w:fldChar w:fldCharType="end"/>
            </w:r>
          </w:hyperlink>
        </w:p>
        <w:p w:rsidR="0061090A" w:rsidRDefault="0061090A" w14:paraId="0BD4489A" w14:textId="3F2B5870">
          <w:pPr>
            <w:pStyle w:val="TOC1"/>
            <w:tabs>
              <w:tab w:val="right" w:leader="dot" w:pos="9350"/>
            </w:tabs>
            <w:rPr>
              <w:rFonts w:asciiTheme="minorHAnsi" w:hAnsiTheme="minorHAnsi" w:cstheme="minorBidi"/>
              <w:noProof/>
              <w:kern w:val="2"/>
              <w:sz w:val="24"/>
              <w:szCs w:val="24"/>
              <w14:ligatures w14:val="standardContextual"/>
            </w:rPr>
          </w:pPr>
          <w:hyperlink w:history="1" w:anchor="_Toc214017394">
            <w:r w:rsidRPr="007E63FA">
              <w:rPr>
                <w:rStyle w:val="Hyperlink"/>
                <w:noProof/>
              </w:rPr>
              <w:t>8.</w:t>
            </w:r>
            <w:r>
              <w:rPr>
                <w:rFonts w:asciiTheme="minorHAnsi" w:hAnsiTheme="minorHAnsi" w:cstheme="minorBidi"/>
                <w:noProof/>
                <w:kern w:val="2"/>
                <w:sz w:val="24"/>
                <w:szCs w:val="24"/>
                <w14:ligatures w14:val="standardContextual"/>
              </w:rPr>
              <w:tab/>
            </w:r>
            <w:r w:rsidRPr="007E63FA">
              <w:rPr>
                <w:rStyle w:val="Hyperlink"/>
                <w:noProof/>
              </w:rPr>
              <w:t>PG&amp;E’s Request for Revenue Credit Associated with the Department of Energy Loan</w:t>
            </w:r>
            <w:r>
              <w:rPr>
                <w:noProof/>
                <w:webHidden/>
              </w:rPr>
              <w:tab/>
            </w:r>
            <w:r>
              <w:rPr>
                <w:noProof/>
                <w:webHidden/>
              </w:rPr>
              <w:fldChar w:fldCharType="begin"/>
            </w:r>
            <w:r>
              <w:rPr>
                <w:noProof/>
                <w:webHidden/>
              </w:rPr>
              <w:instrText xml:space="preserve"> PAGEREF _Toc214017394 \h </w:instrText>
            </w:r>
            <w:r>
              <w:rPr>
                <w:noProof/>
                <w:webHidden/>
              </w:rPr>
            </w:r>
            <w:r>
              <w:rPr>
                <w:noProof/>
                <w:webHidden/>
              </w:rPr>
              <w:fldChar w:fldCharType="separate"/>
            </w:r>
            <w:r w:rsidR="00C634B9">
              <w:rPr>
                <w:noProof/>
                <w:webHidden/>
              </w:rPr>
              <w:t>51</w:t>
            </w:r>
            <w:r>
              <w:rPr>
                <w:noProof/>
                <w:webHidden/>
              </w:rPr>
              <w:fldChar w:fldCharType="end"/>
            </w:r>
          </w:hyperlink>
        </w:p>
        <w:p w:rsidR="0061090A" w:rsidRDefault="0061090A" w14:paraId="69F1E621" w14:textId="28999DC5">
          <w:pPr>
            <w:pStyle w:val="TOC1"/>
            <w:tabs>
              <w:tab w:val="right" w:leader="dot" w:pos="9350"/>
            </w:tabs>
            <w:rPr>
              <w:rFonts w:asciiTheme="minorHAnsi" w:hAnsiTheme="minorHAnsi" w:cstheme="minorBidi"/>
              <w:noProof/>
              <w:kern w:val="2"/>
              <w:sz w:val="24"/>
              <w:szCs w:val="24"/>
              <w14:ligatures w14:val="standardContextual"/>
            </w:rPr>
          </w:pPr>
          <w:hyperlink w:history="1" w:anchor="_Toc214017395">
            <w:r w:rsidRPr="007E63FA">
              <w:rPr>
                <w:rStyle w:val="Hyperlink"/>
                <w:noProof/>
              </w:rPr>
              <w:t>9.</w:t>
            </w:r>
            <w:r>
              <w:rPr>
                <w:rFonts w:asciiTheme="minorHAnsi" w:hAnsiTheme="minorHAnsi" w:cstheme="minorBidi"/>
                <w:noProof/>
                <w:kern w:val="2"/>
                <w:sz w:val="24"/>
                <w:szCs w:val="24"/>
                <w14:ligatures w14:val="standardContextual"/>
              </w:rPr>
              <w:tab/>
            </w:r>
            <w:r w:rsidRPr="007E63FA">
              <w:rPr>
                <w:rStyle w:val="Hyperlink"/>
                <w:noProof/>
              </w:rPr>
              <w:t>SCE’s Accrued Carrying Cost Proposal</w:t>
            </w:r>
            <w:r>
              <w:rPr>
                <w:noProof/>
                <w:webHidden/>
              </w:rPr>
              <w:tab/>
            </w:r>
            <w:r>
              <w:rPr>
                <w:noProof/>
                <w:webHidden/>
              </w:rPr>
              <w:fldChar w:fldCharType="begin"/>
            </w:r>
            <w:r>
              <w:rPr>
                <w:noProof/>
                <w:webHidden/>
              </w:rPr>
              <w:instrText xml:space="preserve"> PAGEREF _Toc214017395 \h </w:instrText>
            </w:r>
            <w:r>
              <w:rPr>
                <w:noProof/>
                <w:webHidden/>
              </w:rPr>
            </w:r>
            <w:r>
              <w:rPr>
                <w:noProof/>
                <w:webHidden/>
              </w:rPr>
              <w:fldChar w:fldCharType="separate"/>
            </w:r>
            <w:r w:rsidR="00C634B9">
              <w:rPr>
                <w:noProof/>
                <w:webHidden/>
              </w:rPr>
              <w:t>52</w:t>
            </w:r>
            <w:r>
              <w:rPr>
                <w:noProof/>
                <w:webHidden/>
              </w:rPr>
              <w:fldChar w:fldCharType="end"/>
            </w:r>
          </w:hyperlink>
        </w:p>
        <w:p w:rsidR="0061090A" w:rsidRDefault="0061090A" w14:paraId="001663F2" w14:textId="53CF534F">
          <w:pPr>
            <w:pStyle w:val="TOC1"/>
            <w:tabs>
              <w:tab w:val="right" w:leader="dot" w:pos="9350"/>
            </w:tabs>
            <w:rPr>
              <w:rFonts w:asciiTheme="minorHAnsi" w:hAnsiTheme="minorHAnsi" w:cstheme="minorBidi"/>
              <w:noProof/>
              <w:kern w:val="2"/>
              <w:sz w:val="24"/>
              <w:szCs w:val="24"/>
              <w14:ligatures w14:val="standardContextual"/>
            </w:rPr>
          </w:pPr>
          <w:hyperlink w:history="1" w:anchor="_Toc214017396">
            <w:r w:rsidRPr="007E63FA">
              <w:rPr>
                <w:rStyle w:val="Hyperlink"/>
                <w:noProof/>
              </w:rPr>
              <w:t>10.</w:t>
            </w:r>
            <w:r>
              <w:rPr>
                <w:rFonts w:asciiTheme="minorHAnsi" w:hAnsiTheme="minorHAnsi" w:cstheme="minorBidi"/>
                <w:noProof/>
                <w:kern w:val="2"/>
                <w:sz w:val="24"/>
                <w:szCs w:val="24"/>
                <w14:ligatures w14:val="standardContextual"/>
              </w:rPr>
              <w:tab/>
            </w:r>
            <w:r w:rsidRPr="007E63FA">
              <w:rPr>
                <w:rStyle w:val="Hyperlink"/>
                <w:noProof/>
              </w:rPr>
              <w:t>Cost of Capital Mechanism</w:t>
            </w:r>
            <w:r>
              <w:rPr>
                <w:noProof/>
                <w:webHidden/>
              </w:rPr>
              <w:tab/>
            </w:r>
            <w:r>
              <w:rPr>
                <w:noProof/>
                <w:webHidden/>
              </w:rPr>
              <w:fldChar w:fldCharType="begin"/>
            </w:r>
            <w:r>
              <w:rPr>
                <w:noProof/>
                <w:webHidden/>
              </w:rPr>
              <w:instrText xml:space="preserve"> PAGEREF _Toc214017396 \h </w:instrText>
            </w:r>
            <w:r>
              <w:rPr>
                <w:noProof/>
                <w:webHidden/>
              </w:rPr>
            </w:r>
            <w:r>
              <w:rPr>
                <w:noProof/>
                <w:webHidden/>
              </w:rPr>
              <w:fldChar w:fldCharType="separate"/>
            </w:r>
            <w:r w:rsidR="00C634B9">
              <w:rPr>
                <w:noProof/>
                <w:webHidden/>
              </w:rPr>
              <w:t>54</w:t>
            </w:r>
            <w:r>
              <w:rPr>
                <w:noProof/>
                <w:webHidden/>
              </w:rPr>
              <w:fldChar w:fldCharType="end"/>
            </w:r>
          </w:hyperlink>
        </w:p>
        <w:p w:rsidR="0061090A" w:rsidRDefault="0061090A" w14:paraId="7604FA3A" w14:textId="39AB3790">
          <w:pPr>
            <w:pStyle w:val="TOC1"/>
            <w:tabs>
              <w:tab w:val="right" w:leader="dot" w:pos="9350"/>
            </w:tabs>
            <w:rPr>
              <w:rFonts w:asciiTheme="minorHAnsi" w:hAnsiTheme="minorHAnsi" w:cstheme="minorBidi"/>
              <w:noProof/>
              <w:kern w:val="2"/>
              <w:sz w:val="24"/>
              <w:szCs w:val="24"/>
              <w14:ligatures w14:val="standardContextual"/>
            </w:rPr>
          </w:pPr>
          <w:hyperlink w:history="1" w:anchor="_Toc214017397">
            <w:r w:rsidRPr="007E63FA">
              <w:rPr>
                <w:rStyle w:val="Hyperlink"/>
                <w:noProof/>
              </w:rPr>
              <w:t>11.</w:t>
            </w:r>
            <w:r>
              <w:rPr>
                <w:rFonts w:asciiTheme="minorHAnsi" w:hAnsiTheme="minorHAnsi" w:cstheme="minorBidi"/>
                <w:noProof/>
                <w:kern w:val="2"/>
                <w:sz w:val="24"/>
                <w:szCs w:val="24"/>
                <w14:ligatures w14:val="standardContextual"/>
              </w:rPr>
              <w:tab/>
            </w:r>
            <w:r w:rsidRPr="007E63FA">
              <w:rPr>
                <w:rStyle w:val="Hyperlink"/>
                <w:noProof/>
              </w:rPr>
              <w:t>Summary of Public Comment</w:t>
            </w:r>
            <w:r>
              <w:rPr>
                <w:noProof/>
                <w:webHidden/>
              </w:rPr>
              <w:tab/>
            </w:r>
            <w:r>
              <w:rPr>
                <w:noProof/>
                <w:webHidden/>
              </w:rPr>
              <w:fldChar w:fldCharType="begin"/>
            </w:r>
            <w:r>
              <w:rPr>
                <w:noProof/>
                <w:webHidden/>
              </w:rPr>
              <w:instrText xml:space="preserve"> PAGEREF _Toc214017397 \h </w:instrText>
            </w:r>
            <w:r>
              <w:rPr>
                <w:noProof/>
                <w:webHidden/>
              </w:rPr>
            </w:r>
            <w:r>
              <w:rPr>
                <w:noProof/>
                <w:webHidden/>
              </w:rPr>
              <w:fldChar w:fldCharType="separate"/>
            </w:r>
            <w:r w:rsidR="00C634B9">
              <w:rPr>
                <w:noProof/>
                <w:webHidden/>
              </w:rPr>
              <w:t>55</w:t>
            </w:r>
            <w:r>
              <w:rPr>
                <w:noProof/>
                <w:webHidden/>
              </w:rPr>
              <w:fldChar w:fldCharType="end"/>
            </w:r>
          </w:hyperlink>
        </w:p>
        <w:p w:rsidR="0061090A" w:rsidRDefault="0061090A" w14:paraId="38006F92" w14:textId="7BF1C528">
          <w:pPr>
            <w:pStyle w:val="TOC1"/>
            <w:tabs>
              <w:tab w:val="right" w:leader="dot" w:pos="9350"/>
            </w:tabs>
            <w:rPr>
              <w:rFonts w:asciiTheme="minorHAnsi" w:hAnsiTheme="minorHAnsi" w:cstheme="minorBidi"/>
              <w:noProof/>
              <w:kern w:val="2"/>
              <w:sz w:val="24"/>
              <w:szCs w:val="24"/>
              <w14:ligatures w14:val="standardContextual"/>
            </w:rPr>
          </w:pPr>
          <w:hyperlink w:history="1" w:anchor="_Toc214017398">
            <w:r w:rsidRPr="007E63FA">
              <w:rPr>
                <w:rStyle w:val="Hyperlink"/>
                <w:noProof/>
              </w:rPr>
              <w:t>12.</w:t>
            </w:r>
            <w:r>
              <w:rPr>
                <w:rFonts w:asciiTheme="minorHAnsi" w:hAnsiTheme="minorHAnsi" w:cstheme="minorBidi"/>
                <w:noProof/>
                <w:kern w:val="2"/>
                <w:sz w:val="24"/>
                <w:szCs w:val="24"/>
                <w14:ligatures w14:val="standardContextual"/>
              </w:rPr>
              <w:tab/>
            </w:r>
            <w:r w:rsidRPr="007E63FA">
              <w:rPr>
                <w:rStyle w:val="Hyperlink"/>
                <w:noProof/>
              </w:rPr>
              <w:t>Procedural Matters</w:t>
            </w:r>
            <w:r>
              <w:rPr>
                <w:noProof/>
                <w:webHidden/>
              </w:rPr>
              <w:tab/>
            </w:r>
            <w:r>
              <w:rPr>
                <w:noProof/>
                <w:webHidden/>
              </w:rPr>
              <w:fldChar w:fldCharType="begin"/>
            </w:r>
            <w:r>
              <w:rPr>
                <w:noProof/>
                <w:webHidden/>
              </w:rPr>
              <w:instrText xml:space="preserve"> PAGEREF _Toc214017398 \h </w:instrText>
            </w:r>
            <w:r>
              <w:rPr>
                <w:noProof/>
                <w:webHidden/>
              </w:rPr>
            </w:r>
            <w:r>
              <w:rPr>
                <w:noProof/>
                <w:webHidden/>
              </w:rPr>
              <w:fldChar w:fldCharType="separate"/>
            </w:r>
            <w:r w:rsidR="00C634B9">
              <w:rPr>
                <w:noProof/>
                <w:webHidden/>
              </w:rPr>
              <w:t>56</w:t>
            </w:r>
            <w:r>
              <w:rPr>
                <w:noProof/>
                <w:webHidden/>
              </w:rPr>
              <w:fldChar w:fldCharType="end"/>
            </w:r>
          </w:hyperlink>
        </w:p>
        <w:p w:rsidR="0061090A" w:rsidRDefault="0061090A" w14:paraId="03C4F5E8" w14:textId="3CA348C5">
          <w:pPr>
            <w:pStyle w:val="TOC1"/>
            <w:tabs>
              <w:tab w:val="right" w:leader="dot" w:pos="9350"/>
            </w:tabs>
            <w:rPr>
              <w:rFonts w:asciiTheme="minorHAnsi" w:hAnsiTheme="minorHAnsi" w:cstheme="minorBidi"/>
              <w:noProof/>
              <w:kern w:val="2"/>
              <w:sz w:val="24"/>
              <w:szCs w:val="24"/>
              <w14:ligatures w14:val="standardContextual"/>
            </w:rPr>
          </w:pPr>
          <w:hyperlink w:history="1" w:anchor="_Toc214017399">
            <w:r w:rsidRPr="007E63FA">
              <w:rPr>
                <w:rStyle w:val="Hyperlink"/>
                <w:noProof/>
              </w:rPr>
              <w:t>13.</w:t>
            </w:r>
            <w:r>
              <w:rPr>
                <w:rFonts w:asciiTheme="minorHAnsi" w:hAnsiTheme="minorHAnsi" w:cstheme="minorBidi"/>
                <w:noProof/>
                <w:kern w:val="2"/>
                <w:sz w:val="24"/>
                <w:szCs w:val="24"/>
                <w14:ligatures w14:val="standardContextual"/>
              </w:rPr>
              <w:tab/>
            </w:r>
            <w:r w:rsidRPr="007E63FA">
              <w:rPr>
                <w:rStyle w:val="Hyperlink"/>
                <w:noProof/>
              </w:rPr>
              <w:t>Comments on Proposed Decision</w:t>
            </w:r>
            <w:r>
              <w:rPr>
                <w:noProof/>
                <w:webHidden/>
              </w:rPr>
              <w:tab/>
            </w:r>
            <w:r>
              <w:rPr>
                <w:noProof/>
                <w:webHidden/>
              </w:rPr>
              <w:fldChar w:fldCharType="begin"/>
            </w:r>
            <w:r>
              <w:rPr>
                <w:noProof/>
                <w:webHidden/>
              </w:rPr>
              <w:instrText xml:space="preserve"> PAGEREF _Toc214017399 \h </w:instrText>
            </w:r>
            <w:r>
              <w:rPr>
                <w:noProof/>
                <w:webHidden/>
              </w:rPr>
            </w:r>
            <w:r>
              <w:rPr>
                <w:noProof/>
                <w:webHidden/>
              </w:rPr>
              <w:fldChar w:fldCharType="separate"/>
            </w:r>
            <w:r w:rsidR="00C634B9">
              <w:rPr>
                <w:noProof/>
                <w:webHidden/>
              </w:rPr>
              <w:t>56</w:t>
            </w:r>
            <w:r>
              <w:rPr>
                <w:noProof/>
                <w:webHidden/>
              </w:rPr>
              <w:fldChar w:fldCharType="end"/>
            </w:r>
          </w:hyperlink>
        </w:p>
        <w:p w:rsidR="0061090A" w:rsidRDefault="0061090A" w14:paraId="361A6BCC" w14:textId="135A2E71">
          <w:pPr>
            <w:pStyle w:val="TOC1"/>
            <w:tabs>
              <w:tab w:val="right" w:leader="dot" w:pos="9350"/>
            </w:tabs>
            <w:rPr>
              <w:rFonts w:asciiTheme="minorHAnsi" w:hAnsiTheme="minorHAnsi" w:cstheme="minorBidi"/>
              <w:noProof/>
              <w:kern w:val="2"/>
              <w:sz w:val="24"/>
              <w:szCs w:val="24"/>
              <w14:ligatures w14:val="standardContextual"/>
            </w:rPr>
          </w:pPr>
          <w:hyperlink w:history="1" w:anchor="_Toc214017400">
            <w:r w:rsidRPr="007E63FA">
              <w:rPr>
                <w:rStyle w:val="Hyperlink"/>
                <w:noProof/>
              </w:rPr>
              <w:t>14.</w:t>
            </w:r>
            <w:r>
              <w:rPr>
                <w:rFonts w:asciiTheme="minorHAnsi" w:hAnsiTheme="minorHAnsi" w:cstheme="minorBidi"/>
                <w:noProof/>
                <w:kern w:val="2"/>
                <w:sz w:val="24"/>
                <w:szCs w:val="24"/>
                <w14:ligatures w14:val="standardContextual"/>
              </w:rPr>
              <w:tab/>
            </w:r>
            <w:r w:rsidRPr="007E63FA">
              <w:rPr>
                <w:rStyle w:val="Hyperlink"/>
                <w:noProof/>
              </w:rPr>
              <w:t>Assignment of Proceeding</w:t>
            </w:r>
            <w:r>
              <w:rPr>
                <w:noProof/>
                <w:webHidden/>
              </w:rPr>
              <w:tab/>
            </w:r>
            <w:r>
              <w:rPr>
                <w:noProof/>
                <w:webHidden/>
              </w:rPr>
              <w:fldChar w:fldCharType="begin"/>
            </w:r>
            <w:r>
              <w:rPr>
                <w:noProof/>
                <w:webHidden/>
              </w:rPr>
              <w:instrText xml:space="preserve"> PAGEREF _Toc214017400 \h </w:instrText>
            </w:r>
            <w:r>
              <w:rPr>
                <w:noProof/>
                <w:webHidden/>
              </w:rPr>
            </w:r>
            <w:r>
              <w:rPr>
                <w:noProof/>
                <w:webHidden/>
              </w:rPr>
              <w:fldChar w:fldCharType="separate"/>
            </w:r>
            <w:r w:rsidR="00C634B9">
              <w:rPr>
                <w:noProof/>
                <w:webHidden/>
              </w:rPr>
              <w:t>57</w:t>
            </w:r>
            <w:r>
              <w:rPr>
                <w:noProof/>
                <w:webHidden/>
              </w:rPr>
              <w:fldChar w:fldCharType="end"/>
            </w:r>
          </w:hyperlink>
        </w:p>
        <w:p w:rsidR="0061090A" w:rsidRDefault="0061090A" w14:paraId="2EA63286" w14:textId="0D4BACA3">
          <w:pPr>
            <w:pStyle w:val="TOC1"/>
            <w:tabs>
              <w:tab w:val="right" w:leader="dot" w:pos="9350"/>
            </w:tabs>
            <w:rPr>
              <w:rFonts w:asciiTheme="minorHAnsi" w:hAnsiTheme="minorHAnsi" w:cstheme="minorBidi"/>
              <w:noProof/>
              <w:kern w:val="2"/>
              <w:sz w:val="24"/>
              <w:szCs w:val="24"/>
              <w14:ligatures w14:val="standardContextual"/>
            </w:rPr>
          </w:pPr>
          <w:hyperlink w:history="1" w:anchor="_Toc214017401">
            <w:r w:rsidRPr="007E63FA">
              <w:rPr>
                <w:rStyle w:val="Hyperlink"/>
                <w:noProof/>
              </w:rPr>
              <w:t>Findings of Fact</w:t>
            </w:r>
            <w:r>
              <w:rPr>
                <w:noProof/>
                <w:webHidden/>
              </w:rPr>
              <w:tab/>
            </w:r>
            <w:r>
              <w:rPr>
                <w:noProof/>
                <w:webHidden/>
              </w:rPr>
              <w:fldChar w:fldCharType="begin"/>
            </w:r>
            <w:r>
              <w:rPr>
                <w:noProof/>
                <w:webHidden/>
              </w:rPr>
              <w:instrText xml:space="preserve"> PAGEREF _Toc214017401 \h </w:instrText>
            </w:r>
            <w:r>
              <w:rPr>
                <w:noProof/>
                <w:webHidden/>
              </w:rPr>
            </w:r>
            <w:r>
              <w:rPr>
                <w:noProof/>
                <w:webHidden/>
              </w:rPr>
              <w:fldChar w:fldCharType="separate"/>
            </w:r>
            <w:r w:rsidR="00C634B9">
              <w:rPr>
                <w:noProof/>
                <w:webHidden/>
              </w:rPr>
              <w:t>57</w:t>
            </w:r>
            <w:r>
              <w:rPr>
                <w:noProof/>
                <w:webHidden/>
              </w:rPr>
              <w:fldChar w:fldCharType="end"/>
            </w:r>
          </w:hyperlink>
        </w:p>
        <w:p w:rsidR="0061090A" w:rsidRDefault="0061090A" w14:paraId="38ED081C" w14:textId="2CE60F06">
          <w:pPr>
            <w:pStyle w:val="TOC1"/>
            <w:tabs>
              <w:tab w:val="right" w:leader="dot" w:pos="9350"/>
            </w:tabs>
            <w:rPr>
              <w:rFonts w:asciiTheme="minorHAnsi" w:hAnsiTheme="minorHAnsi" w:cstheme="minorBidi"/>
              <w:noProof/>
              <w:kern w:val="2"/>
              <w:sz w:val="24"/>
              <w:szCs w:val="24"/>
              <w14:ligatures w14:val="standardContextual"/>
            </w:rPr>
          </w:pPr>
          <w:hyperlink w:history="1" w:anchor="_Toc214017402">
            <w:r w:rsidRPr="007E63FA">
              <w:rPr>
                <w:rStyle w:val="Hyperlink"/>
                <w:noProof/>
              </w:rPr>
              <w:t>Conclusions of Law</w:t>
            </w:r>
            <w:r>
              <w:rPr>
                <w:noProof/>
                <w:webHidden/>
              </w:rPr>
              <w:tab/>
            </w:r>
            <w:r>
              <w:rPr>
                <w:noProof/>
                <w:webHidden/>
              </w:rPr>
              <w:fldChar w:fldCharType="begin"/>
            </w:r>
            <w:r>
              <w:rPr>
                <w:noProof/>
                <w:webHidden/>
              </w:rPr>
              <w:instrText xml:space="preserve"> PAGEREF _Toc214017402 \h </w:instrText>
            </w:r>
            <w:r>
              <w:rPr>
                <w:noProof/>
                <w:webHidden/>
              </w:rPr>
            </w:r>
            <w:r>
              <w:rPr>
                <w:noProof/>
                <w:webHidden/>
              </w:rPr>
              <w:fldChar w:fldCharType="separate"/>
            </w:r>
            <w:r w:rsidR="00C634B9">
              <w:rPr>
                <w:noProof/>
                <w:webHidden/>
              </w:rPr>
              <w:t>62</w:t>
            </w:r>
            <w:r>
              <w:rPr>
                <w:noProof/>
                <w:webHidden/>
              </w:rPr>
              <w:fldChar w:fldCharType="end"/>
            </w:r>
          </w:hyperlink>
        </w:p>
        <w:p w:rsidR="0061090A" w:rsidRDefault="0061090A" w14:paraId="785CF44F" w14:textId="0C32D198">
          <w:pPr>
            <w:pStyle w:val="TOC1"/>
            <w:tabs>
              <w:tab w:val="right" w:leader="dot" w:pos="9350"/>
            </w:tabs>
            <w:rPr>
              <w:rFonts w:asciiTheme="minorHAnsi" w:hAnsiTheme="minorHAnsi" w:cstheme="minorBidi"/>
              <w:noProof/>
              <w:kern w:val="2"/>
              <w:sz w:val="24"/>
              <w:szCs w:val="24"/>
              <w14:ligatures w14:val="standardContextual"/>
            </w:rPr>
          </w:pPr>
          <w:hyperlink w:history="1" w:anchor="_Toc214017403">
            <w:r w:rsidRPr="007E63FA">
              <w:rPr>
                <w:rStyle w:val="Hyperlink"/>
                <w:noProof/>
              </w:rPr>
              <w:t>ORDER</w:t>
            </w:r>
            <w:r>
              <w:rPr>
                <w:noProof/>
                <w:webHidden/>
              </w:rPr>
              <w:tab/>
            </w:r>
            <w:r>
              <w:rPr>
                <w:noProof/>
                <w:webHidden/>
              </w:rPr>
              <w:fldChar w:fldCharType="begin"/>
            </w:r>
            <w:r>
              <w:rPr>
                <w:noProof/>
                <w:webHidden/>
              </w:rPr>
              <w:instrText xml:space="preserve"> PAGEREF _Toc214017403 \h </w:instrText>
            </w:r>
            <w:r>
              <w:rPr>
                <w:noProof/>
                <w:webHidden/>
              </w:rPr>
            </w:r>
            <w:r>
              <w:rPr>
                <w:noProof/>
                <w:webHidden/>
              </w:rPr>
              <w:fldChar w:fldCharType="separate"/>
            </w:r>
            <w:r w:rsidR="00C634B9">
              <w:rPr>
                <w:noProof/>
                <w:webHidden/>
              </w:rPr>
              <w:t>64</w:t>
            </w:r>
            <w:r>
              <w:rPr>
                <w:noProof/>
                <w:webHidden/>
              </w:rPr>
              <w:fldChar w:fldCharType="end"/>
            </w:r>
          </w:hyperlink>
        </w:p>
        <w:p w:rsidR="00D82A43" w:rsidP="008C7413" w:rsidRDefault="008C7413" w14:paraId="0E2AC77A" w14:textId="2115683F">
          <w:pPr>
            <w:pStyle w:val="TOC1"/>
            <w:tabs>
              <w:tab w:val="right" w:leader="dot" w:pos="9350"/>
            </w:tabs>
          </w:pPr>
          <w:r>
            <w:rPr>
              <w:rFonts w:asciiTheme="minorHAnsi" w:hAnsiTheme="minorHAnsi"/>
              <w:sz w:val="22"/>
            </w:rPr>
            <w:fldChar w:fldCharType="end"/>
          </w:r>
        </w:p>
      </w:sdtContent>
    </w:sdt>
    <w:p w:rsidR="00D44DB6" w:rsidP="00D44DB6" w:rsidRDefault="00D44DB6" w14:paraId="7B003096" w14:textId="77777777">
      <w:pPr>
        <w:spacing w:line="240" w:lineRule="auto"/>
        <w:ind w:firstLine="0"/>
        <w:rPr>
          <w:rFonts w:cs="Arial"/>
          <w:szCs w:val="26"/>
        </w:rPr>
      </w:pPr>
    </w:p>
    <w:p w:rsidRPr="00D44DB6" w:rsidR="00D44DB6" w:rsidP="00D44DB6" w:rsidRDefault="00D44DB6" w14:paraId="5154E18D" w14:textId="4D2D6132">
      <w:pPr>
        <w:spacing w:line="240" w:lineRule="auto"/>
        <w:ind w:firstLine="0"/>
        <w:rPr>
          <w:rFonts w:cs="Arial"/>
          <w:i/>
          <w:szCs w:val="26"/>
        </w:rPr>
        <w:sectPr w:rsidRPr="00D44DB6"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5A148C" w:rsidP="006D0D56" w:rsidRDefault="006D0D56" w14:paraId="6A08A5D7" w14:textId="7BACE4A7">
      <w:pPr>
        <w:pStyle w:val="Dummy"/>
        <w:jc w:val="center"/>
      </w:pPr>
      <w:bookmarkStart w:name="_Toc8123714" w:id="1"/>
      <w:bookmarkStart w:name="_Toc214017354" w:id="2"/>
      <w:r>
        <w:lastRenderedPageBreak/>
        <w:t>DECISION ADDRESSING TEST YEAR 2026 COST OF CAPITAL FOR PACIFIC GAS AND ELECTRIC COMPANY, SOUTHERN CALIFORNIA GAS COMPANY, SOUTHERN CALIFORNIA EDISON COMPANY, AND SAN DIEGO GAS &amp; ELECTRIC COMPANY</w:t>
      </w:r>
      <w:bookmarkEnd w:id="1"/>
      <w:bookmarkEnd w:id="2"/>
    </w:p>
    <w:p w:rsidR="00F11B86" w:rsidP="006E6574" w:rsidRDefault="00E45E87" w14:paraId="0A684B66" w14:textId="77777777">
      <w:pPr>
        <w:pStyle w:val="Standard"/>
      </w:pPr>
      <w:r>
        <w:t xml:space="preserve">This decision establishes the 2026 ratemaking cost of capital for Pacific Gas and Electric Company (PG&amp;E), </w:t>
      </w:r>
      <w:r w:rsidR="00937C12">
        <w:t xml:space="preserve">Southern California Gas Company (SoCalGas), </w:t>
      </w:r>
      <w:r>
        <w:t xml:space="preserve">Southern California Edison Company (SCE), </w:t>
      </w:r>
      <w:r w:rsidR="00937C12">
        <w:t>and San Diego Gas &amp; Electric Company (SDG&amp;E).</w:t>
      </w:r>
    </w:p>
    <w:p w:rsidR="00F11B86" w:rsidP="006E6574" w:rsidRDefault="00F11B86" w14:paraId="5CCCD04B" w14:textId="77777777">
      <w:pPr>
        <w:pStyle w:val="Standard"/>
      </w:pPr>
      <w:r>
        <w:t>The test year 2026 authorized capital structures for the four applicants are as follows:</w:t>
      </w:r>
    </w:p>
    <w:tbl>
      <w:tblPr>
        <w:tblStyle w:val="TableGrid"/>
        <w:tblW w:w="0" w:type="auto"/>
        <w:tblLook w:val="04A0" w:firstRow="1" w:lastRow="0" w:firstColumn="1" w:lastColumn="0" w:noHBand="0" w:noVBand="1"/>
      </w:tblPr>
      <w:tblGrid>
        <w:gridCol w:w="2245"/>
        <w:gridCol w:w="1495"/>
        <w:gridCol w:w="1870"/>
        <w:gridCol w:w="1870"/>
        <w:gridCol w:w="1870"/>
      </w:tblGrid>
      <w:tr w:rsidRPr="00F14FC9" w:rsidR="00F14FC9" w:rsidTr="00F14FC9" w14:paraId="1DA65C50" w14:textId="77777777">
        <w:tc>
          <w:tcPr>
            <w:tcW w:w="2245" w:type="dxa"/>
          </w:tcPr>
          <w:p w:rsidRPr="00D303D0" w:rsidR="00F14FC9" w:rsidP="0034426A" w:rsidRDefault="00F14FC9" w14:paraId="341102C6" w14:textId="77777777">
            <w:pPr>
              <w:pStyle w:val="Standard"/>
              <w:ind w:firstLine="0"/>
              <w:jc w:val="center"/>
              <w:rPr>
                <w:b/>
                <w:bCs/>
              </w:rPr>
            </w:pPr>
          </w:p>
        </w:tc>
        <w:tc>
          <w:tcPr>
            <w:tcW w:w="1495" w:type="dxa"/>
          </w:tcPr>
          <w:p w:rsidRPr="00F14FC9" w:rsidR="00F14FC9" w:rsidP="0034426A" w:rsidRDefault="00F14FC9" w14:paraId="0BA43BA7" w14:textId="2BF72076">
            <w:pPr>
              <w:pStyle w:val="Standard"/>
              <w:ind w:firstLine="0"/>
              <w:jc w:val="center"/>
              <w:rPr>
                <w:b/>
                <w:bCs/>
              </w:rPr>
            </w:pPr>
            <w:r w:rsidRPr="00F14FC9">
              <w:rPr>
                <w:b/>
                <w:bCs/>
              </w:rPr>
              <w:t>PG&amp;E</w:t>
            </w:r>
          </w:p>
        </w:tc>
        <w:tc>
          <w:tcPr>
            <w:tcW w:w="1870" w:type="dxa"/>
          </w:tcPr>
          <w:p w:rsidRPr="00F14FC9" w:rsidR="00F14FC9" w:rsidP="0034426A" w:rsidRDefault="00F14FC9" w14:paraId="3691215A" w14:textId="3EEF0339">
            <w:pPr>
              <w:pStyle w:val="Standard"/>
              <w:ind w:firstLine="0"/>
              <w:jc w:val="center"/>
              <w:rPr>
                <w:b/>
                <w:bCs/>
              </w:rPr>
            </w:pPr>
            <w:r w:rsidRPr="00F14FC9">
              <w:rPr>
                <w:b/>
                <w:bCs/>
              </w:rPr>
              <w:t>SoCalGas</w:t>
            </w:r>
          </w:p>
        </w:tc>
        <w:tc>
          <w:tcPr>
            <w:tcW w:w="1870" w:type="dxa"/>
          </w:tcPr>
          <w:p w:rsidRPr="00F14FC9" w:rsidR="00F14FC9" w:rsidP="0034426A" w:rsidRDefault="00F14FC9" w14:paraId="78B94F8F" w14:textId="09EF92A9">
            <w:pPr>
              <w:pStyle w:val="Standard"/>
              <w:ind w:firstLine="0"/>
              <w:jc w:val="center"/>
              <w:rPr>
                <w:b/>
                <w:bCs/>
              </w:rPr>
            </w:pPr>
            <w:r w:rsidRPr="00F14FC9">
              <w:rPr>
                <w:b/>
                <w:bCs/>
              </w:rPr>
              <w:t>SCE</w:t>
            </w:r>
          </w:p>
        </w:tc>
        <w:tc>
          <w:tcPr>
            <w:tcW w:w="1870" w:type="dxa"/>
          </w:tcPr>
          <w:p w:rsidRPr="00F14FC9" w:rsidR="00F14FC9" w:rsidP="0034426A" w:rsidRDefault="00F14FC9" w14:paraId="782E274B" w14:textId="1AF748A4">
            <w:pPr>
              <w:pStyle w:val="Standard"/>
              <w:ind w:firstLine="0"/>
              <w:jc w:val="center"/>
              <w:rPr>
                <w:b/>
                <w:bCs/>
              </w:rPr>
            </w:pPr>
            <w:r w:rsidRPr="00F14FC9">
              <w:rPr>
                <w:b/>
                <w:bCs/>
              </w:rPr>
              <w:t>SDG&amp;E</w:t>
            </w:r>
          </w:p>
        </w:tc>
      </w:tr>
      <w:tr w:rsidR="00F14FC9" w:rsidTr="00F14FC9" w14:paraId="12F4555D" w14:textId="77777777">
        <w:tc>
          <w:tcPr>
            <w:tcW w:w="2245" w:type="dxa"/>
          </w:tcPr>
          <w:p w:rsidRPr="00D303D0" w:rsidR="00F14FC9" w:rsidP="006E6574" w:rsidRDefault="00F14FC9" w14:paraId="12302A7A" w14:textId="7B2821B5">
            <w:pPr>
              <w:pStyle w:val="Standard"/>
              <w:ind w:firstLine="0"/>
              <w:rPr>
                <w:b/>
                <w:bCs/>
              </w:rPr>
            </w:pPr>
            <w:r w:rsidRPr="00D303D0">
              <w:rPr>
                <w:b/>
                <w:bCs/>
              </w:rPr>
              <w:t>Long-term Debt</w:t>
            </w:r>
          </w:p>
        </w:tc>
        <w:tc>
          <w:tcPr>
            <w:tcW w:w="1495" w:type="dxa"/>
          </w:tcPr>
          <w:p w:rsidR="00F14FC9" w:rsidP="0034426A" w:rsidRDefault="00A5534D" w14:paraId="5CDA53C0" w14:textId="2A63837E">
            <w:pPr>
              <w:pStyle w:val="Standard"/>
              <w:ind w:firstLine="0"/>
              <w:jc w:val="center"/>
            </w:pPr>
            <w:r>
              <w:t>47.50</w:t>
            </w:r>
            <w:r w:rsidR="00060C45">
              <w:t>%</w:t>
            </w:r>
          </w:p>
        </w:tc>
        <w:tc>
          <w:tcPr>
            <w:tcW w:w="1870" w:type="dxa"/>
          </w:tcPr>
          <w:p w:rsidR="00F14FC9" w:rsidP="0034426A" w:rsidRDefault="00AC1505" w14:paraId="3ECBC6E4" w14:textId="2CCD91D8">
            <w:pPr>
              <w:pStyle w:val="Standard"/>
              <w:ind w:firstLine="0"/>
              <w:jc w:val="center"/>
            </w:pPr>
            <w:r>
              <w:t>45.60</w:t>
            </w:r>
            <w:r w:rsidR="00060C45">
              <w:t>%</w:t>
            </w:r>
          </w:p>
        </w:tc>
        <w:tc>
          <w:tcPr>
            <w:tcW w:w="1870" w:type="dxa"/>
          </w:tcPr>
          <w:p w:rsidR="00F14FC9" w:rsidP="0034426A" w:rsidRDefault="00CA71E8" w14:paraId="2A99E003" w14:textId="3A391B2A">
            <w:pPr>
              <w:pStyle w:val="Standard"/>
              <w:ind w:firstLine="0"/>
              <w:jc w:val="center"/>
            </w:pPr>
            <w:r>
              <w:t>43.00</w:t>
            </w:r>
            <w:r w:rsidR="00060C45">
              <w:t>%</w:t>
            </w:r>
          </w:p>
        </w:tc>
        <w:tc>
          <w:tcPr>
            <w:tcW w:w="1870" w:type="dxa"/>
          </w:tcPr>
          <w:p w:rsidR="00F14FC9" w:rsidP="0034426A" w:rsidRDefault="00CA71E8" w14:paraId="6C339BFE" w14:textId="59042354">
            <w:pPr>
              <w:pStyle w:val="Standard"/>
              <w:ind w:firstLine="0"/>
              <w:jc w:val="center"/>
            </w:pPr>
            <w:r>
              <w:t>45.25</w:t>
            </w:r>
            <w:r w:rsidR="00060C45">
              <w:t>%</w:t>
            </w:r>
          </w:p>
        </w:tc>
      </w:tr>
      <w:tr w:rsidR="00F14FC9" w:rsidTr="00F14FC9" w14:paraId="7DB4264E" w14:textId="77777777">
        <w:tc>
          <w:tcPr>
            <w:tcW w:w="2245" w:type="dxa"/>
          </w:tcPr>
          <w:p w:rsidRPr="00D303D0" w:rsidR="00F14FC9" w:rsidP="006E6574" w:rsidRDefault="00F14FC9" w14:paraId="427B8E74" w14:textId="2DB30603">
            <w:pPr>
              <w:pStyle w:val="Standard"/>
              <w:ind w:firstLine="0"/>
              <w:rPr>
                <w:b/>
                <w:bCs/>
              </w:rPr>
            </w:pPr>
            <w:r w:rsidRPr="00D303D0">
              <w:rPr>
                <w:b/>
                <w:bCs/>
              </w:rPr>
              <w:t>Preferred Equity</w:t>
            </w:r>
          </w:p>
        </w:tc>
        <w:tc>
          <w:tcPr>
            <w:tcW w:w="1495" w:type="dxa"/>
          </w:tcPr>
          <w:p w:rsidR="00F14FC9" w:rsidP="0034426A" w:rsidRDefault="000130A0" w14:paraId="1914BE6D" w14:textId="234205E3">
            <w:pPr>
              <w:pStyle w:val="Standard"/>
              <w:ind w:firstLine="0"/>
              <w:jc w:val="center"/>
            </w:pPr>
            <w:r>
              <w:t>0.</w:t>
            </w:r>
            <w:r w:rsidR="008D2B8E">
              <w:t>5</w:t>
            </w:r>
            <w:r w:rsidR="00060C45">
              <w:t>%</w:t>
            </w:r>
          </w:p>
        </w:tc>
        <w:tc>
          <w:tcPr>
            <w:tcW w:w="1870" w:type="dxa"/>
          </w:tcPr>
          <w:p w:rsidR="00F14FC9" w:rsidP="0034426A" w:rsidRDefault="00AC1505" w14:paraId="4BDA1D9C" w14:textId="65FC2642">
            <w:pPr>
              <w:pStyle w:val="Standard"/>
              <w:ind w:firstLine="0"/>
              <w:jc w:val="center"/>
            </w:pPr>
            <w:r>
              <w:t>2.40</w:t>
            </w:r>
            <w:r w:rsidR="00060C45">
              <w:t>%</w:t>
            </w:r>
          </w:p>
        </w:tc>
        <w:tc>
          <w:tcPr>
            <w:tcW w:w="1870" w:type="dxa"/>
          </w:tcPr>
          <w:p w:rsidR="00F14FC9" w:rsidP="0034426A" w:rsidRDefault="00CA71E8" w14:paraId="09AEC47D" w14:textId="09E9A51E">
            <w:pPr>
              <w:pStyle w:val="Standard"/>
              <w:ind w:firstLine="0"/>
              <w:jc w:val="center"/>
            </w:pPr>
            <w:r>
              <w:t>5.00</w:t>
            </w:r>
            <w:r w:rsidR="00060C45">
              <w:t>%</w:t>
            </w:r>
          </w:p>
        </w:tc>
        <w:tc>
          <w:tcPr>
            <w:tcW w:w="1870" w:type="dxa"/>
          </w:tcPr>
          <w:p w:rsidR="00F14FC9" w:rsidP="0034426A" w:rsidRDefault="00CA71E8" w14:paraId="10B4A895" w14:textId="2E021FF7">
            <w:pPr>
              <w:pStyle w:val="Standard"/>
              <w:ind w:firstLine="0"/>
              <w:jc w:val="center"/>
            </w:pPr>
            <w:r>
              <w:t>2.75</w:t>
            </w:r>
            <w:r w:rsidR="00060C45">
              <w:t>%</w:t>
            </w:r>
          </w:p>
        </w:tc>
      </w:tr>
      <w:tr w:rsidR="00F14FC9" w:rsidTr="00F14FC9" w14:paraId="514480BA" w14:textId="77777777">
        <w:tc>
          <w:tcPr>
            <w:tcW w:w="2245" w:type="dxa"/>
          </w:tcPr>
          <w:p w:rsidRPr="00D303D0" w:rsidR="00F14FC9" w:rsidP="006E6574" w:rsidRDefault="00F14FC9" w14:paraId="032E77CC" w14:textId="610C8F0F">
            <w:pPr>
              <w:pStyle w:val="Standard"/>
              <w:ind w:firstLine="0"/>
              <w:rPr>
                <w:b/>
                <w:bCs/>
              </w:rPr>
            </w:pPr>
            <w:r w:rsidRPr="00D303D0">
              <w:rPr>
                <w:b/>
                <w:bCs/>
              </w:rPr>
              <w:t>Common Equity</w:t>
            </w:r>
          </w:p>
        </w:tc>
        <w:tc>
          <w:tcPr>
            <w:tcW w:w="1495" w:type="dxa"/>
          </w:tcPr>
          <w:p w:rsidR="00F14FC9" w:rsidP="0034426A" w:rsidRDefault="006A1296" w14:paraId="28B69185" w14:textId="75664F7F">
            <w:pPr>
              <w:pStyle w:val="Standard"/>
              <w:ind w:firstLine="0"/>
              <w:jc w:val="center"/>
            </w:pPr>
            <w:r>
              <w:t>52.00</w:t>
            </w:r>
            <w:r w:rsidR="00060C45">
              <w:t>%</w:t>
            </w:r>
          </w:p>
        </w:tc>
        <w:tc>
          <w:tcPr>
            <w:tcW w:w="1870" w:type="dxa"/>
          </w:tcPr>
          <w:p w:rsidR="00F14FC9" w:rsidP="0034426A" w:rsidRDefault="006A1296" w14:paraId="7EF96EEF" w14:textId="60249624">
            <w:pPr>
              <w:pStyle w:val="Standard"/>
              <w:ind w:firstLine="0"/>
              <w:jc w:val="center"/>
            </w:pPr>
            <w:r>
              <w:t>52.00</w:t>
            </w:r>
            <w:r w:rsidR="00060C45">
              <w:t>%</w:t>
            </w:r>
          </w:p>
        </w:tc>
        <w:tc>
          <w:tcPr>
            <w:tcW w:w="1870" w:type="dxa"/>
          </w:tcPr>
          <w:p w:rsidR="00F14FC9" w:rsidP="0034426A" w:rsidRDefault="006A1296" w14:paraId="4221D2F1" w14:textId="31BCD8B6">
            <w:pPr>
              <w:pStyle w:val="Standard"/>
              <w:ind w:firstLine="0"/>
              <w:jc w:val="center"/>
            </w:pPr>
            <w:r>
              <w:t>52.00</w:t>
            </w:r>
            <w:r w:rsidR="00060C45">
              <w:t>%</w:t>
            </w:r>
          </w:p>
        </w:tc>
        <w:tc>
          <w:tcPr>
            <w:tcW w:w="1870" w:type="dxa"/>
          </w:tcPr>
          <w:p w:rsidR="00F14FC9" w:rsidP="0034426A" w:rsidRDefault="006A1296" w14:paraId="26A634CE" w14:textId="1AD29258">
            <w:pPr>
              <w:pStyle w:val="Standard"/>
              <w:ind w:firstLine="0"/>
              <w:jc w:val="center"/>
            </w:pPr>
            <w:r>
              <w:t>52.00</w:t>
            </w:r>
            <w:r w:rsidR="00060C45">
              <w:t>%</w:t>
            </w:r>
          </w:p>
        </w:tc>
      </w:tr>
      <w:tr w:rsidR="00F14FC9" w:rsidTr="00F14FC9" w14:paraId="477DAB45" w14:textId="77777777">
        <w:tc>
          <w:tcPr>
            <w:tcW w:w="2245" w:type="dxa"/>
          </w:tcPr>
          <w:p w:rsidRPr="00D303D0" w:rsidR="00F14FC9" w:rsidP="006E6574" w:rsidRDefault="00F14FC9" w14:paraId="4C0B3AC2" w14:textId="12CD12DF">
            <w:pPr>
              <w:pStyle w:val="Standard"/>
              <w:ind w:firstLine="0"/>
              <w:rPr>
                <w:b/>
                <w:bCs/>
              </w:rPr>
            </w:pPr>
            <w:r w:rsidRPr="00D303D0">
              <w:rPr>
                <w:b/>
                <w:bCs/>
              </w:rPr>
              <w:t>Total</w:t>
            </w:r>
          </w:p>
        </w:tc>
        <w:tc>
          <w:tcPr>
            <w:tcW w:w="1495" w:type="dxa"/>
          </w:tcPr>
          <w:p w:rsidR="00F14FC9" w:rsidP="0034426A" w:rsidRDefault="0034426A" w14:paraId="65DA007D" w14:textId="6BC4B536">
            <w:pPr>
              <w:pStyle w:val="Standard"/>
              <w:ind w:firstLine="0"/>
              <w:jc w:val="center"/>
            </w:pPr>
            <w:r>
              <w:t>100.00%</w:t>
            </w:r>
          </w:p>
        </w:tc>
        <w:tc>
          <w:tcPr>
            <w:tcW w:w="1870" w:type="dxa"/>
          </w:tcPr>
          <w:p w:rsidR="00F14FC9" w:rsidP="0034426A" w:rsidRDefault="0034426A" w14:paraId="77519758" w14:textId="6B5D544B">
            <w:pPr>
              <w:pStyle w:val="Standard"/>
              <w:ind w:firstLine="0"/>
              <w:jc w:val="center"/>
            </w:pPr>
            <w:r>
              <w:t>100.00%</w:t>
            </w:r>
          </w:p>
        </w:tc>
        <w:tc>
          <w:tcPr>
            <w:tcW w:w="1870" w:type="dxa"/>
          </w:tcPr>
          <w:p w:rsidR="00F14FC9" w:rsidP="0034426A" w:rsidRDefault="0034426A" w14:paraId="1028064E" w14:textId="69D25EC1">
            <w:pPr>
              <w:pStyle w:val="Standard"/>
              <w:ind w:firstLine="0"/>
              <w:jc w:val="center"/>
            </w:pPr>
            <w:r>
              <w:t>100.00%</w:t>
            </w:r>
          </w:p>
        </w:tc>
        <w:tc>
          <w:tcPr>
            <w:tcW w:w="1870" w:type="dxa"/>
          </w:tcPr>
          <w:p w:rsidR="00F14FC9" w:rsidP="0034426A" w:rsidRDefault="0034426A" w14:paraId="6A869136" w14:textId="0328748C">
            <w:pPr>
              <w:pStyle w:val="Standard"/>
              <w:ind w:firstLine="0"/>
              <w:jc w:val="center"/>
            </w:pPr>
            <w:r>
              <w:t>100.00%</w:t>
            </w:r>
          </w:p>
        </w:tc>
      </w:tr>
    </w:tbl>
    <w:p w:rsidR="0073353F" w:rsidP="006E6574" w:rsidRDefault="00937C12" w14:paraId="4234E894" w14:textId="3D6E70A9">
      <w:pPr>
        <w:pStyle w:val="Standard"/>
      </w:pPr>
      <w:r>
        <w:t xml:space="preserve"> </w:t>
      </w:r>
      <w:r w:rsidR="00E45E87">
        <w:t xml:space="preserve"> </w:t>
      </w:r>
      <w:r w:rsidR="00D303D0">
        <w:t>The test year 2026 authorized costs of long-term debt, costs of common equity, costs of preferred equity, and authorized rates of return are as follows</w:t>
      </w:r>
      <w:r w:rsidR="0034426A">
        <w:t>:</w:t>
      </w:r>
    </w:p>
    <w:tbl>
      <w:tblPr>
        <w:tblStyle w:val="TableGrid"/>
        <w:tblW w:w="0" w:type="auto"/>
        <w:tblLook w:val="04A0" w:firstRow="1" w:lastRow="0" w:firstColumn="1" w:lastColumn="0" w:noHBand="0" w:noVBand="1"/>
      </w:tblPr>
      <w:tblGrid>
        <w:gridCol w:w="3148"/>
        <w:gridCol w:w="1347"/>
        <w:gridCol w:w="1530"/>
        <w:gridCol w:w="1566"/>
        <w:gridCol w:w="1759"/>
      </w:tblGrid>
      <w:tr w:rsidRPr="00F14FC9" w:rsidR="0034426A" w:rsidTr="0034426A" w14:paraId="7C02CCF2" w14:textId="77777777">
        <w:tc>
          <w:tcPr>
            <w:tcW w:w="3148" w:type="dxa"/>
          </w:tcPr>
          <w:p w:rsidRPr="00D303D0" w:rsidR="0034426A" w:rsidP="0034426A" w:rsidRDefault="0034426A" w14:paraId="04388424" w14:textId="77777777">
            <w:pPr>
              <w:pStyle w:val="Standard"/>
              <w:ind w:firstLine="0"/>
              <w:jc w:val="center"/>
              <w:rPr>
                <w:b/>
                <w:bCs/>
              </w:rPr>
            </w:pPr>
          </w:p>
        </w:tc>
        <w:tc>
          <w:tcPr>
            <w:tcW w:w="1347" w:type="dxa"/>
          </w:tcPr>
          <w:p w:rsidRPr="00F14FC9" w:rsidR="0034426A" w:rsidP="0034426A" w:rsidRDefault="0034426A" w14:paraId="07320750" w14:textId="77777777">
            <w:pPr>
              <w:pStyle w:val="Standard"/>
              <w:ind w:firstLine="0"/>
              <w:jc w:val="center"/>
              <w:rPr>
                <w:b/>
                <w:bCs/>
              </w:rPr>
            </w:pPr>
            <w:r w:rsidRPr="00F14FC9">
              <w:rPr>
                <w:b/>
                <w:bCs/>
              </w:rPr>
              <w:t>PG&amp;E</w:t>
            </w:r>
          </w:p>
        </w:tc>
        <w:tc>
          <w:tcPr>
            <w:tcW w:w="1530" w:type="dxa"/>
          </w:tcPr>
          <w:p w:rsidRPr="00F14FC9" w:rsidR="0034426A" w:rsidP="0034426A" w:rsidRDefault="0034426A" w14:paraId="254F3E50" w14:textId="77777777">
            <w:pPr>
              <w:pStyle w:val="Standard"/>
              <w:ind w:firstLine="0"/>
              <w:jc w:val="center"/>
              <w:rPr>
                <w:b/>
                <w:bCs/>
              </w:rPr>
            </w:pPr>
            <w:r w:rsidRPr="00F14FC9">
              <w:rPr>
                <w:b/>
                <w:bCs/>
              </w:rPr>
              <w:t>SoCalGas</w:t>
            </w:r>
          </w:p>
        </w:tc>
        <w:tc>
          <w:tcPr>
            <w:tcW w:w="1566" w:type="dxa"/>
          </w:tcPr>
          <w:p w:rsidRPr="00F14FC9" w:rsidR="0034426A" w:rsidP="0034426A" w:rsidRDefault="0034426A" w14:paraId="6C164A04" w14:textId="77777777">
            <w:pPr>
              <w:pStyle w:val="Standard"/>
              <w:ind w:firstLine="0"/>
              <w:jc w:val="center"/>
              <w:rPr>
                <w:b/>
                <w:bCs/>
              </w:rPr>
            </w:pPr>
            <w:r w:rsidRPr="00F14FC9">
              <w:rPr>
                <w:b/>
                <w:bCs/>
              </w:rPr>
              <w:t>SCE</w:t>
            </w:r>
          </w:p>
        </w:tc>
        <w:tc>
          <w:tcPr>
            <w:tcW w:w="1759" w:type="dxa"/>
          </w:tcPr>
          <w:p w:rsidRPr="00F14FC9" w:rsidR="0034426A" w:rsidP="0034426A" w:rsidRDefault="0034426A" w14:paraId="2E227C2E" w14:textId="77777777">
            <w:pPr>
              <w:pStyle w:val="Standard"/>
              <w:ind w:firstLine="0"/>
              <w:jc w:val="center"/>
              <w:rPr>
                <w:b/>
                <w:bCs/>
              </w:rPr>
            </w:pPr>
            <w:r w:rsidRPr="00F14FC9">
              <w:rPr>
                <w:b/>
                <w:bCs/>
              </w:rPr>
              <w:t>SDG&amp;E</w:t>
            </w:r>
          </w:p>
        </w:tc>
      </w:tr>
      <w:tr w:rsidR="0034426A" w:rsidTr="0034426A" w14:paraId="7052E7A0" w14:textId="77777777">
        <w:tc>
          <w:tcPr>
            <w:tcW w:w="3148" w:type="dxa"/>
          </w:tcPr>
          <w:p w:rsidRPr="00D303D0" w:rsidR="0034426A" w:rsidRDefault="0034426A" w14:paraId="127D50C2" w14:textId="0555520A">
            <w:pPr>
              <w:pStyle w:val="Standard"/>
              <w:ind w:firstLine="0"/>
              <w:rPr>
                <w:b/>
                <w:bCs/>
              </w:rPr>
            </w:pPr>
            <w:r>
              <w:rPr>
                <w:b/>
                <w:bCs/>
              </w:rPr>
              <w:t xml:space="preserve">Cost of </w:t>
            </w:r>
            <w:r w:rsidRPr="00D303D0">
              <w:rPr>
                <w:b/>
                <w:bCs/>
              </w:rPr>
              <w:t>Long-term Debt</w:t>
            </w:r>
          </w:p>
        </w:tc>
        <w:tc>
          <w:tcPr>
            <w:tcW w:w="1347" w:type="dxa"/>
          </w:tcPr>
          <w:p w:rsidR="0034426A" w:rsidP="0034426A" w:rsidRDefault="00F2593B" w14:paraId="6C8FEB3B" w14:textId="6316C7EE">
            <w:pPr>
              <w:pStyle w:val="Standard"/>
              <w:ind w:firstLine="0"/>
              <w:jc w:val="center"/>
            </w:pPr>
            <w:r>
              <w:t>5.04</w:t>
            </w:r>
            <w:r w:rsidR="00060C45">
              <w:t>%</w:t>
            </w:r>
          </w:p>
        </w:tc>
        <w:tc>
          <w:tcPr>
            <w:tcW w:w="1530" w:type="dxa"/>
          </w:tcPr>
          <w:p w:rsidR="0034426A" w:rsidP="0034426A" w:rsidRDefault="00F2593B" w14:paraId="68401E95" w14:textId="4EE92FE8">
            <w:pPr>
              <w:pStyle w:val="Standard"/>
              <w:ind w:firstLine="0"/>
              <w:jc w:val="center"/>
            </w:pPr>
            <w:r>
              <w:t>5.02</w:t>
            </w:r>
            <w:r w:rsidR="00060C45">
              <w:t>%</w:t>
            </w:r>
          </w:p>
        </w:tc>
        <w:tc>
          <w:tcPr>
            <w:tcW w:w="1566" w:type="dxa"/>
          </w:tcPr>
          <w:p w:rsidR="0034426A" w:rsidP="0034426A" w:rsidRDefault="00F2593B" w14:paraId="7EE2268C" w14:textId="17F02530">
            <w:pPr>
              <w:pStyle w:val="Standard"/>
              <w:ind w:firstLine="0"/>
              <w:jc w:val="center"/>
            </w:pPr>
            <w:r>
              <w:t>4.71</w:t>
            </w:r>
            <w:r w:rsidR="00060C45">
              <w:t>%</w:t>
            </w:r>
          </w:p>
        </w:tc>
        <w:tc>
          <w:tcPr>
            <w:tcW w:w="1759" w:type="dxa"/>
          </w:tcPr>
          <w:p w:rsidR="0034426A" w:rsidP="0034426A" w:rsidRDefault="00F2593B" w14:paraId="44EDC2B1" w14:textId="142F3804">
            <w:pPr>
              <w:pStyle w:val="Standard"/>
              <w:ind w:firstLine="0"/>
              <w:jc w:val="center"/>
            </w:pPr>
            <w:r>
              <w:t>4.59</w:t>
            </w:r>
            <w:r w:rsidR="00060C45">
              <w:t>%</w:t>
            </w:r>
          </w:p>
        </w:tc>
      </w:tr>
      <w:tr w:rsidR="0034426A" w:rsidTr="0034426A" w14:paraId="11B4604E" w14:textId="77777777">
        <w:tc>
          <w:tcPr>
            <w:tcW w:w="3148" w:type="dxa"/>
          </w:tcPr>
          <w:p w:rsidRPr="00D303D0" w:rsidR="0034426A" w:rsidRDefault="0034426A" w14:paraId="378CD179" w14:textId="3F45768C">
            <w:pPr>
              <w:pStyle w:val="Standard"/>
              <w:ind w:firstLine="0"/>
              <w:rPr>
                <w:b/>
                <w:bCs/>
              </w:rPr>
            </w:pPr>
            <w:r>
              <w:rPr>
                <w:b/>
                <w:bCs/>
              </w:rPr>
              <w:t xml:space="preserve">Cost of </w:t>
            </w:r>
            <w:r w:rsidRPr="00D303D0">
              <w:rPr>
                <w:b/>
                <w:bCs/>
              </w:rPr>
              <w:t>Preferred Equity</w:t>
            </w:r>
          </w:p>
        </w:tc>
        <w:tc>
          <w:tcPr>
            <w:tcW w:w="1347" w:type="dxa"/>
          </w:tcPr>
          <w:p w:rsidR="0034426A" w:rsidP="0034426A" w:rsidRDefault="006B4097" w14:paraId="304CDB9C" w14:textId="6C715ED3">
            <w:pPr>
              <w:pStyle w:val="Standard"/>
              <w:ind w:firstLine="0"/>
              <w:jc w:val="center"/>
            </w:pPr>
            <w:r>
              <w:t>5.52</w:t>
            </w:r>
            <w:r w:rsidR="00060C45">
              <w:t>%</w:t>
            </w:r>
          </w:p>
        </w:tc>
        <w:tc>
          <w:tcPr>
            <w:tcW w:w="1530" w:type="dxa"/>
          </w:tcPr>
          <w:p w:rsidR="0034426A" w:rsidP="0034426A" w:rsidRDefault="006B4097" w14:paraId="0F91C28C" w14:textId="6EA425C8">
            <w:pPr>
              <w:pStyle w:val="Standard"/>
              <w:ind w:firstLine="0"/>
              <w:jc w:val="center"/>
            </w:pPr>
            <w:r>
              <w:t>6.00</w:t>
            </w:r>
            <w:r w:rsidR="00060C45">
              <w:t>%</w:t>
            </w:r>
          </w:p>
        </w:tc>
        <w:tc>
          <w:tcPr>
            <w:tcW w:w="1566" w:type="dxa"/>
          </w:tcPr>
          <w:p w:rsidR="0034426A" w:rsidP="0034426A" w:rsidRDefault="006B4097" w14:paraId="65E12449" w14:textId="2CF88F44">
            <w:pPr>
              <w:pStyle w:val="Standard"/>
              <w:ind w:firstLine="0"/>
              <w:jc w:val="center"/>
            </w:pPr>
            <w:r>
              <w:t>6.89</w:t>
            </w:r>
            <w:r w:rsidR="00060C45">
              <w:t>%</w:t>
            </w:r>
          </w:p>
        </w:tc>
        <w:tc>
          <w:tcPr>
            <w:tcW w:w="1759" w:type="dxa"/>
          </w:tcPr>
          <w:p w:rsidR="0034426A" w:rsidP="0034426A" w:rsidRDefault="006B4097" w14:paraId="093A03E7" w14:textId="6A36D9F1">
            <w:pPr>
              <w:pStyle w:val="Standard"/>
              <w:ind w:firstLine="0"/>
              <w:jc w:val="center"/>
            </w:pPr>
            <w:r>
              <w:t>6.22</w:t>
            </w:r>
            <w:r w:rsidR="00060C45">
              <w:t>%</w:t>
            </w:r>
          </w:p>
        </w:tc>
      </w:tr>
      <w:tr w:rsidR="0034426A" w:rsidTr="0034426A" w14:paraId="46FB506E" w14:textId="77777777">
        <w:tc>
          <w:tcPr>
            <w:tcW w:w="3148" w:type="dxa"/>
          </w:tcPr>
          <w:p w:rsidRPr="003B4435" w:rsidR="0034426A" w:rsidRDefault="0034426A" w14:paraId="4FDF4A54" w14:textId="1A654A10">
            <w:pPr>
              <w:pStyle w:val="Standard"/>
              <w:ind w:firstLine="0"/>
              <w:rPr>
                <w:b/>
                <w:bCs/>
              </w:rPr>
            </w:pPr>
            <w:r w:rsidRPr="003B4435">
              <w:rPr>
                <w:b/>
                <w:bCs/>
              </w:rPr>
              <w:t>Cost of Common Equity</w:t>
            </w:r>
          </w:p>
        </w:tc>
        <w:tc>
          <w:tcPr>
            <w:tcW w:w="1347" w:type="dxa"/>
          </w:tcPr>
          <w:p w:rsidRPr="003B4435" w:rsidR="0034426A" w:rsidP="0034426A" w:rsidRDefault="007C692C" w14:paraId="443368FC" w14:textId="596A8A8D">
            <w:pPr>
              <w:pStyle w:val="Standard"/>
              <w:ind w:firstLine="0"/>
              <w:jc w:val="center"/>
            </w:pPr>
            <w:r>
              <w:t>9.98</w:t>
            </w:r>
            <w:r w:rsidRPr="003B4435" w:rsidR="00060C45">
              <w:t>%</w:t>
            </w:r>
          </w:p>
        </w:tc>
        <w:tc>
          <w:tcPr>
            <w:tcW w:w="1530" w:type="dxa"/>
          </w:tcPr>
          <w:p w:rsidRPr="003B4435" w:rsidR="0034426A" w:rsidP="0034426A" w:rsidRDefault="00714EFE" w14:paraId="034F57AE" w14:textId="534BCAD4">
            <w:pPr>
              <w:pStyle w:val="Standard"/>
              <w:ind w:firstLine="0"/>
              <w:jc w:val="center"/>
            </w:pPr>
            <w:r>
              <w:t>9.78</w:t>
            </w:r>
            <w:r w:rsidRPr="003B4435" w:rsidR="00060C45">
              <w:t>%</w:t>
            </w:r>
          </w:p>
        </w:tc>
        <w:tc>
          <w:tcPr>
            <w:tcW w:w="1566" w:type="dxa"/>
          </w:tcPr>
          <w:p w:rsidRPr="003B4435" w:rsidR="0034426A" w:rsidP="0034426A" w:rsidRDefault="00714EFE" w14:paraId="15E3504E" w14:textId="2DD33CB1">
            <w:pPr>
              <w:pStyle w:val="Standard"/>
              <w:ind w:firstLine="0"/>
              <w:jc w:val="center"/>
            </w:pPr>
            <w:r>
              <w:t>10.03</w:t>
            </w:r>
            <w:r w:rsidRPr="003B4435" w:rsidR="00060C45">
              <w:t>%</w:t>
            </w:r>
          </w:p>
        </w:tc>
        <w:tc>
          <w:tcPr>
            <w:tcW w:w="1759" w:type="dxa"/>
          </w:tcPr>
          <w:p w:rsidR="0034426A" w:rsidP="0034426A" w:rsidRDefault="00714EFE" w14:paraId="4C8C8C9D" w14:textId="02A3B44E">
            <w:pPr>
              <w:pStyle w:val="Standard"/>
              <w:ind w:firstLine="0"/>
              <w:jc w:val="center"/>
            </w:pPr>
            <w:r>
              <w:t>9.93</w:t>
            </w:r>
            <w:r w:rsidRPr="003B4435" w:rsidR="00060C45">
              <w:t>%</w:t>
            </w:r>
          </w:p>
        </w:tc>
      </w:tr>
      <w:tr w:rsidR="0034426A" w:rsidTr="0034426A" w14:paraId="5859E282" w14:textId="77777777">
        <w:tc>
          <w:tcPr>
            <w:tcW w:w="3148" w:type="dxa"/>
          </w:tcPr>
          <w:p w:rsidRPr="00D303D0" w:rsidR="0034426A" w:rsidRDefault="0034426A" w14:paraId="32496D4B" w14:textId="32AF699C">
            <w:pPr>
              <w:pStyle w:val="Standard"/>
              <w:ind w:firstLine="0"/>
              <w:rPr>
                <w:b/>
                <w:bCs/>
              </w:rPr>
            </w:pPr>
            <w:r>
              <w:rPr>
                <w:b/>
                <w:bCs/>
              </w:rPr>
              <w:t>Rate of Return</w:t>
            </w:r>
          </w:p>
        </w:tc>
        <w:tc>
          <w:tcPr>
            <w:tcW w:w="1347" w:type="dxa"/>
          </w:tcPr>
          <w:p w:rsidR="0034426A" w:rsidP="0034426A" w:rsidRDefault="00714EFE" w14:paraId="45F2AE36" w14:textId="4DBE75DF">
            <w:pPr>
              <w:pStyle w:val="Standard"/>
              <w:ind w:firstLine="0"/>
              <w:jc w:val="center"/>
            </w:pPr>
            <w:r>
              <w:t>7.61</w:t>
            </w:r>
            <w:r w:rsidR="00060C45">
              <w:t>%</w:t>
            </w:r>
          </w:p>
        </w:tc>
        <w:tc>
          <w:tcPr>
            <w:tcW w:w="1530" w:type="dxa"/>
          </w:tcPr>
          <w:p w:rsidR="0034426A" w:rsidP="0034426A" w:rsidRDefault="00553594" w14:paraId="0A1230E7" w14:textId="4CEA97C1">
            <w:pPr>
              <w:pStyle w:val="Standard"/>
              <w:ind w:firstLine="0"/>
              <w:jc w:val="center"/>
            </w:pPr>
            <w:r>
              <w:t>7.52</w:t>
            </w:r>
            <w:r w:rsidR="00060C45">
              <w:t>%</w:t>
            </w:r>
          </w:p>
        </w:tc>
        <w:tc>
          <w:tcPr>
            <w:tcW w:w="1566" w:type="dxa"/>
          </w:tcPr>
          <w:p w:rsidR="0034426A" w:rsidP="0034426A" w:rsidRDefault="00553594" w14:paraId="76EAB4E1" w14:textId="6916FB87">
            <w:pPr>
              <w:pStyle w:val="Standard"/>
              <w:ind w:firstLine="0"/>
              <w:jc w:val="center"/>
            </w:pPr>
            <w:r>
              <w:t>7.59</w:t>
            </w:r>
            <w:r w:rsidR="00060C45">
              <w:t>%</w:t>
            </w:r>
          </w:p>
        </w:tc>
        <w:tc>
          <w:tcPr>
            <w:tcW w:w="1759" w:type="dxa"/>
          </w:tcPr>
          <w:p w:rsidR="0034426A" w:rsidP="0034426A" w:rsidRDefault="00553594" w14:paraId="252A06F6" w14:textId="23E5E8D4">
            <w:pPr>
              <w:pStyle w:val="Standard"/>
              <w:ind w:firstLine="0"/>
              <w:jc w:val="center"/>
            </w:pPr>
            <w:r>
              <w:t>7.41</w:t>
            </w:r>
            <w:r w:rsidR="00060C45">
              <w:t>%</w:t>
            </w:r>
          </w:p>
        </w:tc>
      </w:tr>
    </w:tbl>
    <w:p w:rsidR="0034426A" w:rsidP="006E6574" w:rsidRDefault="0034426A" w14:paraId="73FFFB62" w14:textId="77777777">
      <w:pPr>
        <w:pStyle w:val="Standard"/>
      </w:pPr>
    </w:p>
    <w:p w:rsidR="00B00E5E" w:rsidP="006E6574" w:rsidRDefault="00B00E5E" w14:paraId="052C5F6D" w14:textId="39939E94">
      <w:pPr>
        <w:pStyle w:val="Standard"/>
      </w:pPr>
      <w:r>
        <w:t>This proceeding is closed.</w:t>
      </w:r>
    </w:p>
    <w:p w:rsidR="0063491C" w:rsidP="00B00E5E" w:rsidRDefault="0063491C" w14:paraId="7D6B21D9" w14:textId="77777777">
      <w:pPr>
        <w:pStyle w:val="Heading1"/>
      </w:pPr>
      <w:bookmarkStart w:name="_Toc8123716" w:id="3"/>
      <w:bookmarkStart w:name="_Toc214017355" w:id="4"/>
      <w:r w:rsidRPr="006D0D56">
        <w:t>Factual</w:t>
      </w:r>
      <w:r>
        <w:t xml:space="preserve"> Background</w:t>
      </w:r>
      <w:bookmarkEnd w:id="3"/>
      <w:bookmarkEnd w:id="4"/>
    </w:p>
    <w:p w:rsidR="000A3221" w:rsidP="006E6574" w:rsidRDefault="003510EE" w14:paraId="7049B9C8" w14:textId="586F45F9">
      <w:pPr>
        <w:pStyle w:val="Standard"/>
      </w:pPr>
      <w:r>
        <w:t xml:space="preserve">The applicants are public utilities subject to the jurisdiction of California Public Utilities Commission (Commission) as defined in Section 218 of the Public </w:t>
      </w:r>
      <w:r>
        <w:lastRenderedPageBreak/>
        <w:t>Utilitie</w:t>
      </w:r>
      <w:r w:rsidR="0060045E">
        <w:t xml:space="preserve">s (Pub. Util.) Code. </w:t>
      </w:r>
      <w:r w:rsidR="00010C7C">
        <w:t>Pacific Gas and Electric Company (PG&amp;E), a California corporation, provides electric and gas services in central and northern California.</w:t>
      </w:r>
      <w:r w:rsidR="004F467E">
        <w:t xml:space="preserve"> Southern California Gas Company (SoCalGas), a California corporation </w:t>
      </w:r>
      <w:r w:rsidR="00464E0E">
        <w:t>wholly owned by Sempra Energy, provides gas services throughout central and southern California from Visalia to the Mexican border.</w:t>
      </w:r>
      <w:r w:rsidR="004909CA">
        <w:t xml:space="preserve"> Southern California Edison Company (SCE), a California corporation and wholly owned subsidiary of Edison International, provides electric service principally in southern California</w:t>
      </w:r>
      <w:r w:rsidR="00D07AE0">
        <w:t xml:space="preserve">. San Diego Gas &amp; Electric Company (SDG&amp;E), a California corporation </w:t>
      </w:r>
      <w:r w:rsidR="00262A2B">
        <w:t>wholly owned by Sempra Energy, provides electri</w:t>
      </w:r>
      <w:r w:rsidR="002B7EE6">
        <w:t xml:space="preserve">c and gas services in San Diego County and electric service </w:t>
      </w:r>
      <w:r w:rsidR="00980A1B">
        <w:t>in a portion of Orange County.</w:t>
      </w:r>
    </w:p>
    <w:p w:rsidR="005C05B2" w:rsidP="006E6574" w:rsidRDefault="00690CA7" w14:paraId="5F4EA3B6" w14:textId="7D0470D5">
      <w:pPr>
        <w:pStyle w:val="Standard"/>
      </w:pPr>
      <w:r>
        <w:t>PG&amp;E, SoCalGas, SCE, and SDG&amp;E (together, A</w:t>
      </w:r>
      <w:r w:rsidR="00980A1B">
        <w:t>pplicants</w:t>
      </w:r>
      <w:r>
        <w:t>)</w:t>
      </w:r>
      <w:r w:rsidR="00980A1B">
        <w:t xml:space="preserve"> filed their respective applications with the Commission on Ma</w:t>
      </w:r>
      <w:r w:rsidR="00290F94">
        <w:t xml:space="preserve">rch 20, 2025. The following parties filed protests </w:t>
      </w:r>
      <w:r w:rsidR="00C8407F">
        <w:t xml:space="preserve">on April 18, 2025: </w:t>
      </w:r>
      <w:r w:rsidR="0008087B">
        <w:t>Wild Tree Foundation (</w:t>
      </w:r>
      <w:r w:rsidR="008E2834">
        <w:t>Wild Tree</w:t>
      </w:r>
      <w:r w:rsidR="001A153A">
        <w:t>)</w:t>
      </w:r>
      <w:r w:rsidR="0008087B">
        <w:t xml:space="preserve"> and Southern California Generation Coalition (SCGC). The following parties filed protests on </w:t>
      </w:r>
      <w:r w:rsidR="00E00BDA">
        <w:t>April 24, 2025</w:t>
      </w:r>
      <w:r w:rsidR="00A330FB">
        <w:t xml:space="preserve">: </w:t>
      </w:r>
      <w:r w:rsidR="00F15ABE">
        <w:t>Public Advocates Office at the California Public Utilities Commission (Cal Advocates), Environmental Defense Fund (EDF), The Utility Reform Network (TURN)</w:t>
      </w:r>
      <w:r w:rsidR="0021343B">
        <w:t>, Energy Producers and Users Coalition and Indicated Shippers (EPUC/IS)</w:t>
      </w:r>
      <w:r w:rsidR="003A3C8E">
        <w:t xml:space="preserve">, The Protect Our Communities Foundation (PCF), and </w:t>
      </w:r>
      <w:r w:rsidR="000E3DA6">
        <w:t xml:space="preserve">Utility Consumers’ Action Network (UCAN). </w:t>
      </w:r>
      <w:r w:rsidR="00C30983">
        <w:t xml:space="preserve">On May 5, 2025, </w:t>
      </w:r>
      <w:r w:rsidR="005C05B2">
        <w:t xml:space="preserve">the </w:t>
      </w:r>
      <w:r w:rsidR="00FF0973">
        <w:t>A</w:t>
      </w:r>
      <w:r w:rsidR="005C05B2">
        <w:t xml:space="preserve">pplicants all filed </w:t>
      </w:r>
      <w:r w:rsidR="00FF0973">
        <w:t xml:space="preserve">respective </w:t>
      </w:r>
      <w:r w:rsidR="005C05B2">
        <w:t>replies to the protests.</w:t>
      </w:r>
    </w:p>
    <w:p w:rsidR="00980A1B" w:rsidP="006E6574" w:rsidRDefault="005C05B2" w14:paraId="01038B74" w14:textId="347A852F">
      <w:pPr>
        <w:pStyle w:val="Standard"/>
      </w:pPr>
      <w:r>
        <w:t>A prehearing conference (PHC) was held on June 25, 2025</w:t>
      </w:r>
      <w:r w:rsidR="00490539">
        <w:t xml:space="preserve">, where parties discussed the scope of the proceedings, consolidation, schedule, and the need for hearings. </w:t>
      </w:r>
      <w:r w:rsidR="00765CB2">
        <w:t>An evidentiary hearing was held on September 4, 2025.</w:t>
      </w:r>
    </w:p>
    <w:p w:rsidR="00DB18DF" w:rsidP="00DB18DF" w:rsidRDefault="00DB18DF" w14:paraId="362C8F1D" w14:textId="58902578">
      <w:pPr>
        <w:pStyle w:val="Standard"/>
      </w:pPr>
      <w:r>
        <w:t xml:space="preserve">Opening briefs were filed on </w:t>
      </w:r>
      <w:r w:rsidR="00765CB2">
        <w:t>September 19, 2025,</w:t>
      </w:r>
      <w:r>
        <w:t xml:space="preserve"> by the </w:t>
      </w:r>
      <w:r w:rsidR="00FF0973">
        <w:t>A</w:t>
      </w:r>
      <w:r>
        <w:t xml:space="preserve">pplicants, </w:t>
      </w:r>
      <w:r w:rsidR="00890EE7">
        <w:t xml:space="preserve">respectively, </w:t>
      </w:r>
      <w:r w:rsidR="003A02B0">
        <w:t xml:space="preserve">Cal Advocates, EDF, EPUC/IS, PCF, SBUA, SCGC, </w:t>
      </w:r>
      <w:r w:rsidR="00814FA9">
        <w:t xml:space="preserve">Sierra Club, TURN, UCAN, and </w:t>
      </w:r>
      <w:r w:rsidR="00EA3F3D">
        <w:t>Wild Tree</w:t>
      </w:r>
      <w:r w:rsidR="00184219">
        <w:t xml:space="preserve">. Reply briefs were filed </w:t>
      </w:r>
      <w:r w:rsidR="00EB3251">
        <w:t>October 3, 2025,</w:t>
      </w:r>
      <w:r w:rsidR="00184219">
        <w:t xml:space="preserve"> by the </w:t>
      </w:r>
      <w:r w:rsidR="00890EE7">
        <w:lastRenderedPageBreak/>
        <w:t>A</w:t>
      </w:r>
      <w:r w:rsidR="00184219">
        <w:t xml:space="preserve">pplicants, </w:t>
      </w:r>
      <w:r w:rsidR="00890EE7">
        <w:t xml:space="preserve">respectively, </w:t>
      </w:r>
      <w:r w:rsidR="00FA6080">
        <w:t>Cal Advocates, EDF,</w:t>
      </w:r>
      <w:r w:rsidR="008C6754">
        <w:t xml:space="preserve"> TURN,</w:t>
      </w:r>
      <w:r w:rsidR="00FA6080">
        <w:t xml:space="preserve"> EPUC/IS, SBUA, SCGC, Sierra Club/PCF, TURN, UCAN,</w:t>
      </w:r>
      <w:r w:rsidR="003909F2">
        <w:t xml:space="preserve"> San Diego Community Power/</w:t>
      </w:r>
      <w:r w:rsidR="0062426B">
        <w:t>Clean Energy Alliance</w:t>
      </w:r>
      <w:r w:rsidR="001061D5">
        <w:t xml:space="preserve"> </w:t>
      </w:r>
      <w:r w:rsidR="002177AA">
        <w:t>(CCAs),</w:t>
      </w:r>
      <w:r w:rsidR="00FA6080">
        <w:t xml:space="preserve"> and </w:t>
      </w:r>
      <w:r w:rsidR="00EA3F3D">
        <w:t>Wild Tree</w:t>
      </w:r>
      <w:r w:rsidR="00FA6080">
        <w:t>.</w:t>
      </w:r>
    </w:p>
    <w:p w:rsidR="00683B2C" w:rsidP="006D0D56" w:rsidRDefault="00683B2C" w14:paraId="6DDEBE1E" w14:textId="77777777">
      <w:pPr>
        <w:pStyle w:val="Heading2"/>
      </w:pPr>
      <w:bookmarkStart w:name="_Toc214017356" w:id="5"/>
      <w:r w:rsidRPr="006D0D56">
        <w:t>Submission</w:t>
      </w:r>
      <w:r>
        <w:t xml:space="preserve"> Date</w:t>
      </w:r>
      <w:bookmarkEnd w:id="5"/>
    </w:p>
    <w:p w:rsidR="00683B2C" w:rsidP="00055D30" w:rsidRDefault="00683B2C" w14:paraId="7CE2DCA4" w14:textId="2D900EAF">
      <w:pPr>
        <w:pStyle w:val="Standard"/>
      </w:pPr>
      <w:r w:rsidRPr="00FF0265">
        <w:t xml:space="preserve">This matter was submitted on </w:t>
      </w:r>
      <w:r w:rsidR="00EB3251">
        <w:t>October 3, 2025,</w:t>
      </w:r>
      <w:r w:rsidRPr="00FF0265">
        <w:t xml:space="preserve"> upon </w:t>
      </w:r>
      <w:r w:rsidR="00055D30">
        <w:t>filing of reply briefs.</w:t>
      </w:r>
    </w:p>
    <w:p w:rsidR="005A148C" w:rsidP="006D0D56" w:rsidRDefault="005939A5" w14:paraId="1CE816A1" w14:textId="77777777">
      <w:pPr>
        <w:pStyle w:val="Heading1"/>
      </w:pPr>
      <w:bookmarkStart w:name="_Toc8123719" w:id="6"/>
      <w:bookmarkStart w:name="_Toc214017357" w:id="7"/>
      <w:r>
        <w:t xml:space="preserve">Issues </w:t>
      </w:r>
      <w:r w:rsidRPr="006D0D56">
        <w:t>Before</w:t>
      </w:r>
      <w:r>
        <w:t xml:space="preserve"> the </w:t>
      </w:r>
      <w:bookmarkEnd w:id="6"/>
      <w:r w:rsidR="008A08BF">
        <w:t>Commission</w:t>
      </w:r>
      <w:bookmarkEnd w:id="7"/>
    </w:p>
    <w:p w:rsidR="00E177E4" w:rsidP="00E177E4" w:rsidRDefault="00B52622" w14:paraId="1CDA4CAD" w14:textId="03864AB1">
      <w:pPr>
        <w:pStyle w:val="Standard"/>
      </w:pPr>
      <w:bookmarkStart w:name="_Toc8123720" w:id="8"/>
      <w:r>
        <w:t>This proceeding addresses PG&amp;E’s, SoCalGas’, SCE’s, and SDG&amp;E’s</w:t>
      </w:r>
      <w:r w:rsidR="00690CA7">
        <w:t xml:space="preserve"> </w:t>
      </w:r>
      <w:r>
        <w:t>test year 2026 cost of capital. The following issues impact</w:t>
      </w:r>
      <w:r w:rsidR="005F1478">
        <w:t>ing</w:t>
      </w:r>
      <w:r>
        <w:t xml:space="preserve"> the four applicants are in scope before the Commission:</w:t>
      </w:r>
    </w:p>
    <w:p w:rsidRPr="00542932" w:rsidR="00542932" w:rsidP="00D438EA" w:rsidRDefault="00542932" w14:paraId="270D31F6" w14:textId="77777777">
      <w:pPr>
        <w:pStyle w:val="Standard"/>
        <w:numPr>
          <w:ilvl w:val="6"/>
          <w:numId w:val="18"/>
        </w:numPr>
        <w:spacing w:after="120" w:line="240" w:lineRule="auto"/>
        <w:ind w:right="1440"/>
      </w:pPr>
      <w:r w:rsidRPr="00542932">
        <w:t>What is the appropriate capital structure?</w:t>
      </w:r>
    </w:p>
    <w:p w:rsidRPr="00542932" w:rsidR="00542932" w:rsidP="00D438EA" w:rsidRDefault="00542932" w14:paraId="40426436" w14:textId="77777777">
      <w:pPr>
        <w:pStyle w:val="Standard"/>
        <w:numPr>
          <w:ilvl w:val="6"/>
          <w:numId w:val="18"/>
        </w:numPr>
        <w:spacing w:after="120" w:line="240" w:lineRule="auto"/>
        <w:ind w:right="1440"/>
      </w:pPr>
      <w:r w:rsidRPr="00542932">
        <w:t>What is the appropriate cost of long-term debt?</w:t>
      </w:r>
    </w:p>
    <w:p w:rsidRPr="00542932" w:rsidR="00542932" w:rsidP="00D438EA" w:rsidRDefault="00542932" w14:paraId="4E0B4E26" w14:textId="77777777">
      <w:pPr>
        <w:pStyle w:val="Standard"/>
        <w:numPr>
          <w:ilvl w:val="6"/>
          <w:numId w:val="18"/>
        </w:numPr>
        <w:spacing w:after="120" w:line="240" w:lineRule="auto"/>
        <w:ind w:right="1440"/>
      </w:pPr>
      <w:r w:rsidRPr="00542932">
        <w:t>What is the appropriate cost of preferred stock?</w:t>
      </w:r>
    </w:p>
    <w:p w:rsidRPr="00542932" w:rsidR="00542932" w:rsidP="00D438EA" w:rsidRDefault="00542932" w14:paraId="22C1DC2D" w14:textId="77777777">
      <w:pPr>
        <w:pStyle w:val="Standard"/>
        <w:numPr>
          <w:ilvl w:val="6"/>
          <w:numId w:val="18"/>
        </w:numPr>
        <w:spacing w:after="120" w:line="240" w:lineRule="auto"/>
        <w:ind w:right="1440"/>
      </w:pPr>
      <w:r w:rsidRPr="00542932">
        <w:t>What is the appropriate cost of common equity?</w:t>
      </w:r>
    </w:p>
    <w:p w:rsidRPr="00542932" w:rsidR="00542932" w:rsidP="00D438EA" w:rsidRDefault="00542932" w14:paraId="0228720F" w14:textId="77777777">
      <w:pPr>
        <w:pStyle w:val="Standard"/>
        <w:numPr>
          <w:ilvl w:val="6"/>
          <w:numId w:val="18"/>
        </w:numPr>
        <w:spacing w:after="120" w:line="240" w:lineRule="auto"/>
        <w:ind w:right="1440"/>
      </w:pPr>
      <w:r w:rsidRPr="00542932">
        <w:t>What is the appropriate rate of return on the utility rate base?</w:t>
      </w:r>
    </w:p>
    <w:p w:rsidRPr="00542932" w:rsidR="00542932" w:rsidP="00D438EA" w:rsidRDefault="00542932" w14:paraId="64AC5667" w14:textId="71F29EFB">
      <w:pPr>
        <w:pStyle w:val="Standard"/>
        <w:numPr>
          <w:ilvl w:val="6"/>
          <w:numId w:val="18"/>
        </w:numPr>
        <w:spacing w:after="120" w:line="240" w:lineRule="auto"/>
        <w:ind w:right="1440"/>
      </w:pPr>
      <w:r w:rsidRPr="00542932">
        <w:t xml:space="preserve">What is the appropriateness of continuing the cost of capital mechanism </w:t>
      </w:r>
      <w:r w:rsidR="00C932C3">
        <w:t xml:space="preserve">(CCM) </w:t>
      </w:r>
      <w:r w:rsidRPr="00542932">
        <w:t>as established in Decision 08-05-035 and modified by subsequent Commission decisions?</w:t>
      </w:r>
    </w:p>
    <w:p w:rsidRPr="00542932" w:rsidR="00542932" w:rsidP="00D438EA" w:rsidRDefault="00542932" w14:paraId="427BAD06" w14:textId="77777777">
      <w:pPr>
        <w:pStyle w:val="Standard"/>
        <w:numPr>
          <w:ilvl w:val="6"/>
          <w:numId w:val="18"/>
        </w:numPr>
        <w:spacing w:after="120" w:line="240" w:lineRule="auto"/>
        <w:ind w:right="1440"/>
      </w:pPr>
      <w:r w:rsidRPr="00542932">
        <w:t>Should the proposal regarding carrying costs on memorandum and balancing accounts amortized over 12</w:t>
      </w:r>
      <w:r w:rsidRPr="00542932">
        <w:noBreakHyphen/>
        <w:t>months set forth in SCE’s application be adopted?</w:t>
      </w:r>
    </w:p>
    <w:p w:rsidRPr="00542932" w:rsidR="00542932" w:rsidP="00D438EA" w:rsidRDefault="00542932" w14:paraId="1DA99679" w14:textId="77777777">
      <w:pPr>
        <w:pStyle w:val="Standard"/>
        <w:numPr>
          <w:ilvl w:val="6"/>
          <w:numId w:val="18"/>
        </w:numPr>
        <w:spacing w:after="120" w:line="240" w:lineRule="auto"/>
        <w:ind w:right="1440"/>
      </w:pPr>
      <w:r w:rsidRPr="00542932">
        <w:t>Should PG&amp;E’s proposal for a temporary yield spread adjustment over the three</w:t>
      </w:r>
      <w:r w:rsidRPr="00542932">
        <w:noBreakHyphen/>
        <w:t>month commercial paper rate applicable to under-collected and over-collected balances in PG&amp;E’s balancing and memorandum accounts based on PG&amp;E’s actual cost of short-term debt be adopted?</w:t>
      </w:r>
    </w:p>
    <w:p w:rsidRPr="00542932" w:rsidR="00542932" w:rsidP="00D438EA" w:rsidRDefault="00542932" w14:paraId="0DFE6AE4" w14:textId="77777777">
      <w:pPr>
        <w:pStyle w:val="Standard"/>
        <w:numPr>
          <w:ilvl w:val="6"/>
          <w:numId w:val="18"/>
        </w:numPr>
        <w:spacing w:after="120" w:line="240" w:lineRule="auto"/>
        <w:ind w:right="1440"/>
      </w:pPr>
      <w:r w:rsidRPr="00542932">
        <w:t>Should PG&amp;E’s request for a revenue credit associated with the Department of Energy Loan be approved?</w:t>
      </w:r>
    </w:p>
    <w:p w:rsidR="005F1478" w:rsidP="006D0D56" w:rsidRDefault="003D6F2A" w14:paraId="697118C8" w14:textId="0475467D">
      <w:pPr>
        <w:pStyle w:val="Standard"/>
        <w:spacing w:after="120" w:line="240" w:lineRule="auto"/>
      </w:pPr>
      <w:r>
        <w:t>All issues are res</w:t>
      </w:r>
      <w:r w:rsidR="003669D6">
        <w:t>olved in this decision.</w:t>
      </w:r>
      <w:r w:rsidR="0095333F">
        <w:t xml:space="preserve"> It is reasonable to close this proceeding.</w:t>
      </w:r>
    </w:p>
    <w:p w:rsidR="005939A5" w:rsidP="006D0D56" w:rsidRDefault="009D7AA3" w14:paraId="67C84F72" w14:textId="6A8B4F45">
      <w:pPr>
        <w:pStyle w:val="Heading1"/>
      </w:pPr>
      <w:bookmarkStart w:name="_Toc214017358" w:id="9"/>
      <w:bookmarkEnd w:id="8"/>
      <w:r>
        <w:lastRenderedPageBreak/>
        <w:t xml:space="preserve">Capital </w:t>
      </w:r>
      <w:r w:rsidRPr="006D0D56">
        <w:t>Structure</w:t>
      </w:r>
      <w:bookmarkEnd w:id="9"/>
    </w:p>
    <w:p w:rsidR="008A358E" w:rsidP="006E6574" w:rsidRDefault="00066E8A" w14:paraId="44E139C8" w14:textId="77777777">
      <w:pPr>
        <w:pStyle w:val="Standard"/>
      </w:pPr>
      <w:r>
        <w:t xml:space="preserve">The capital structure of an investor-owned utility (IOU) is the proportional authorization of shareholders’ equity and debt that </w:t>
      </w:r>
      <w:r w:rsidR="00BF5DFB">
        <w:t xml:space="preserve">comprise a company’s long-range financing. For the purposes of this proceeding, the capital structures of the Applicants are comprised of </w:t>
      </w:r>
      <w:r w:rsidR="000F0481">
        <w:t>distribution</w:t>
      </w:r>
      <w:r w:rsidR="008E2C43">
        <w:t>s</w:t>
      </w:r>
      <w:r w:rsidR="000F0481">
        <w:t xml:space="preserve"> of long-term debt</w:t>
      </w:r>
      <w:r w:rsidR="00B06771">
        <w:t>, preferred equity, and common equity.</w:t>
      </w:r>
      <w:r w:rsidR="00B06771">
        <w:rPr>
          <w:rStyle w:val="FootnoteReference"/>
        </w:rPr>
        <w:footnoteReference w:id="2"/>
      </w:r>
      <w:r w:rsidR="00B61A52">
        <w:t xml:space="preserve"> </w:t>
      </w:r>
      <w:r w:rsidR="004664E1">
        <w:t>Because the level of financial risk that the utilities face is determined in part</w:t>
      </w:r>
      <w:r w:rsidR="00F40CC7">
        <w:t xml:space="preserve"> by the proportion of their debt to permanent capital, or leverage, we must ensure that the utilities’ adopted equity ratios are sufficient to maintain reasonable</w:t>
      </w:r>
      <w:r w:rsidR="001E52AE">
        <w:t xml:space="preserve"> credit ratings and attract capital while also ensuring there are adequate ratepayer protections </w:t>
      </w:r>
      <w:r w:rsidR="000E51E5">
        <w:t>for</w:t>
      </w:r>
      <w:r w:rsidR="001E52AE">
        <w:t xml:space="preserve"> the costs of the components of capitalization.</w:t>
      </w:r>
    </w:p>
    <w:p w:rsidR="0073353F" w:rsidP="006E6574" w:rsidRDefault="008D235E" w14:paraId="0A9CBBBB" w14:textId="53BA8402">
      <w:pPr>
        <w:pStyle w:val="Standard"/>
      </w:pPr>
      <w:r>
        <w:t xml:space="preserve">Standard and Poor’s (S&amp;P) Global Market Intelligence data through </w:t>
      </w:r>
      <w:r w:rsidR="001E32D6">
        <w:t>March 31, 2025,</w:t>
      </w:r>
      <w:r w:rsidR="0004099A">
        <w:t xml:space="preserve"> indicates that the average electric industry authorized common equity portion in 2025 is </w:t>
      </w:r>
      <w:r w:rsidR="001E32D6">
        <w:t>50.53%</w:t>
      </w:r>
      <w:r w:rsidR="001E52AE">
        <w:t xml:space="preserve"> </w:t>
      </w:r>
      <w:r w:rsidR="0021083A">
        <w:t xml:space="preserve">and the average natural gas industry authorized common equity portion in 2025 is </w:t>
      </w:r>
      <w:r w:rsidR="003E3A04">
        <w:t>50.13%.</w:t>
      </w:r>
      <w:r w:rsidR="003E3A04">
        <w:rPr>
          <w:rStyle w:val="FootnoteReference"/>
        </w:rPr>
        <w:footnoteReference w:id="3"/>
      </w:r>
    </w:p>
    <w:p w:rsidR="00EA36C6" w:rsidP="006D0D56" w:rsidRDefault="002F6AE6" w14:paraId="39DABD51" w14:textId="7536614E">
      <w:pPr>
        <w:pStyle w:val="Heading2"/>
      </w:pPr>
      <w:bookmarkStart w:name="_Toc214017359" w:id="10"/>
      <w:r>
        <w:t>PG&amp;E</w:t>
      </w:r>
      <w:bookmarkEnd w:id="10"/>
    </w:p>
    <w:p w:rsidR="002F6AE6" w:rsidP="002F6AE6" w:rsidRDefault="008F1032" w14:paraId="26DF579B" w14:textId="65B9E0CE">
      <w:pPr>
        <w:pStyle w:val="Standard"/>
      </w:pPr>
      <w:r>
        <w:t xml:space="preserve">PG&amp;E seeks a test year 2026 </w:t>
      </w:r>
      <w:r w:rsidR="00586FAB">
        <w:t xml:space="preserve">ratemaking capital structure </w:t>
      </w:r>
      <w:r w:rsidR="00D832ED">
        <w:t>that maintains</w:t>
      </w:r>
      <w:r w:rsidR="00B002B4">
        <w:t xml:space="preserve"> </w:t>
      </w:r>
      <w:r w:rsidR="005B3887">
        <w:t>52.00% common equity</w:t>
      </w:r>
      <w:r w:rsidR="00152273">
        <w:t>, increases long-term debt to 47.70%, and d</w:t>
      </w:r>
      <w:r w:rsidR="00B21BA6">
        <w:t xml:space="preserve">ecreases preferred stock to 0.30%. </w:t>
      </w:r>
      <w:r w:rsidR="001C3232">
        <w:t xml:space="preserve">PG&amp;E’s </w:t>
      </w:r>
      <w:r w:rsidR="00BE2AA3">
        <w:t xml:space="preserve">current authorization is </w:t>
      </w:r>
      <w:r w:rsidR="00F53D4F">
        <w:t>52.00% common equity, 0.5% preferred equity, and 47.50%</w:t>
      </w:r>
      <w:r w:rsidR="00C36A32">
        <w:t xml:space="preserve"> </w:t>
      </w:r>
      <w:r w:rsidR="00EA1E68">
        <w:t xml:space="preserve">long-term </w:t>
      </w:r>
      <w:r w:rsidR="009E1E07">
        <w:t>debt</w:t>
      </w:r>
      <w:r w:rsidR="00C36A32">
        <w:t xml:space="preserve">. </w:t>
      </w:r>
      <w:r w:rsidR="00977DCC">
        <w:t xml:space="preserve">PG&amp;E notes that it does not intend to issue more preferred stock and, as such, </w:t>
      </w:r>
      <w:r w:rsidR="000A0B0E">
        <w:t>its actual and projected ratio of preferred stock is expected to decline</w:t>
      </w:r>
      <w:r w:rsidR="000F328B">
        <w:t xml:space="preserve"> and it will see a corresponding increase in long-term debt</w:t>
      </w:r>
      <w:r w:rsidR="000A0B0E">
        <w:t>.</w:t>
      </w:r>
      <w:r w:rsidR="000F328B">
        <w:rPr>
          <w:rStyle w:val="FootnoteReference"/>
        </w:rPr>
        <w:footnoteReference w:id="4"/>
      </w:r>
      <w:r w:rsidR="00F378C6">
        <w:t xml:space="preserve"> </w:t>
      </w:r>
      <w:r w:rsidR="00256447">
        <w:t xml:space="preserve">PG&amp;E supports its request by arguing </w:t>
      </w:r>
      <w:r w:rsidR="00256447">
        <w:lastRenderedPageBreak/>
        <w:t>that is in the interest of PG&amp;E’s ratepayers for PG&amp;E to target an investment grade credit rating of “A” because this gives PG&amp;E the ability to attract capital at lower rates. PG&amp;E also notes that credit ratings deteriorate as debt leverage increases.</w:t>
      </w:r>
      <w:r w:rsidR="00256447">
        <w:rPr>
          <w:rStyle w:val="FootnoteReference"/>
        </w:rPr>
        <w:footnoteReference w:id="5"/>
      </w:r>
      <w:r w:rsidR="00256447">
        <w:t xml:space="preserve"> </w:t>
      </w:r>
      <w:r w:rsidR="00F378C6">
        <w:t xml:space="preserve">S&amp;P’s issue/corporate family credit </w:t>
      </w:r>
      <w:r w:rsidR="007118B6">
        <w:t xml:space="preserve">rating for PG&amp;E </w:t>
      </w:r>
      <w:r w:rsidR="007E5B86">
        <w:t>is</w:t>
      </w:r>
      <w:r w:rsidR="00BF13FE">
        <w:t xml:space="preserve"> </w:t>
      </w:r>
      <w:r w:rsidR="001439F5">
        <w:t>BB</w:t>
      </w:r>
      <w:r w:rsidR="00B35027">
        <w:rPr>
          <w:rStyle w:val="FootnoteReference"/>
        </w:rPr>
        <w:footnoteReference w:id="6"/>
      </w:r>
      <w:r w:rsidR="003B3C19">
        <w:t xml:space="preserve"> and its secured credit rating </w:t>
      </w:r>
      <w:r w:rsidR="00BF13FE">
        <w:t xml:space="preserve">is </w:t>
      </w:r>
      <w:r w:rsidR="003B3C19">
        <w:t>BBB</w:t>
      </w:r>
      <w:r w:rsidR="001439F5">
        <w:t>.</w:t>
      </w:r>
      <w:r w:rsidR="005F70E6">
        <w:rPr>
          <w:rStyle w:val="FootnoteReference"/>
        </w:rPr>
        <w:footnoteReference w:id="7"/>
      </w:r>
      <w:r w:rsidR="00787EFF">
        <w:t xml:space="preserve"> Moody’s issue/corporate family credit rating for PG&amp;E </w:t>
      </w:r>
      <w:r w:rsidR="00BF13FE">
        <w:t xml:space="preserve">is </w:t>
      </w:r>
      <w:r w:rsidR="00787EFF">
        <w:t>B</w:t>
      </w:r>
      <w:r w:rsidR="00FB1D5E">
        <w:t>a</w:t>
      </w:r>
      <w:r w:rsidR="00CB42AC">
        <w:t>a3</w:t>
      </w:r>
      <w:r w:rsidR="00787EFF">
        <w:rPr>
          <w:rStyle w:val="FootnoteReference"/>
        </w:rPr>
        <w:footnoteReference w:id="8"/>
      </w:r>
      <w:r w:rsidR="00787EFF">
        <w:t xml:space="preserve"> and its secured credit rating </w:t>
      </w:r>
      <w:r w:rsidR="00CD5114">
        <w:t xml:space="preserve">is </w:t>
      </w:r>
      <w:r w:rsidR="00787EFF">
        <w:t>B</w:t>
      </w:r>
      <w:r w:rsidR="009512D6">
        <w:t>aa1</w:t>
      </w:r>
      <w:r w:rsidR="00787EFF">
        <w:t>.</w:t>
      </w:r>
      <w:r w:rsidR="00787EFF">
        <w:rPr>
          <w:rStyle w:val="FootnoteReference"/>
        </w:rPr>
        <w:footnoteReference w:id="9"/>
      </w:r>
      <w:r w:rsidR="004A76BD">
        <w:t xml:space="preserve"> PG&amp;E’s credit rating is considered investment grade</w:t>
      </w:r>
      <w:r w:rsidR="00123732">
        <w:t xml:space="preserve"> by Moody’s</w:t>
      </w:r>
      <w:r w:rsidR="004A76BD">
        <w:t>.</w:t>
      </w:r>
      <w:r w:rsidR="00800230">
        <w:t xml:space="preserve"> </w:t>
      </w:r>
      <w:bookmarkStart w:name="_Hlk212192037" w:id="11"/>
      <w:r w:rsidR="00800230">
        <w:t>PG&amp;E’s issue/corporate family credit rating from S&amp;P is considered speculative grade</w:t>
      </w:r>
      <w:r w:rsidR="00BC2B03">
        <w:t xml:space="preserve"> while its secured credit rating is considered investment grade.</w:t>
      </w:r>
      <w:bookmarkEnd w:id="11"/>
    </w:p>
    <w:p w:rsidRPr="000F0E29" w:rsidR="000F0E29" w:rsidP="000F0E29" w:rsidRDefault="00CA0BFB" w14:paraId="102869FD" w14:textId="36A1796C">
      <w:pPr>
        <w:pStyle w:val="Standard"/>
      </w:pPr>
      <w:r>
        <w:t>Intervenor</w:t>
      </w:r>
      <w:r w:rsidR="000418F3">
        <w:t xml:space="preserve"> parties oppose PG&amp;E’s proposed capital structure.</w:t>
      </w:r>
      <w:r>
        <w:t xml:space="preserve"> EPUC/IS, TURN, SBUA, Cal Advocates, </w:t>
      </w:r>
      <w:r w:rsidR="00EA3F3D">
        <w:t>Wild Tree</w:t>
      </w:r>
      <w:r>
        <w:t>, EDF, Sierra Club, and PCF</w:t>
      </w:r>
      <w:r w:rsidR="00EB4802">
        <w:t xml:space="preserve"> recommend lowering PG&amp;E’s common equity ratio to a range between 45% and 50.5%</w:t>
      </w:r>
      <w:r w:rsidR="00322B72">
        <w:t xml:space="preserve"> and argue that </w:t>
      </w:r>
      <w:r w:rsidR="005C79B4">
        <w:t>PG&amp;E’s requested common equity ratio is higher than the average proxy group and national average.</w:t>
      </w:r>
      <w:r w:rsidR="000418F3">
        <w:t xml:space="preserve"> </w:t>
      </w:r>
      <w:r w:rsidR="004C0131">
        <w:t xml:space="preserve">Specifically, </w:t>
      </w:r>
      <w:r w:rsidR="005277AB">
        <w:t>S</w:t>
      </w:r>
      <w:r w:rsidR="0095573E">
        <w:t xml:space="preserve">BUA </w:t>
      </w:r>
      <w:r w:rsidR="004D5503">
        <w:t xml:space="preserve">argues that </w:t>
      </w:r>
      <w:r w:rsidRPr="00504D52" w:rsidR="00504D52">
        <w:t>PG&amp;</w:t>
      </w:r>
      <w:r w:rsidR="000D5E78">
        <w:t>E's</w:t>
      </w:r>
      <w:r w:rsidRPr="00504D52" w:rsidR="00504D52">
        <w:t xml:space="preserve"> </w:t>
      </w:r>
      <w:r w:rsidR="000D5E78">
        <w:t>proposal</w:t>
      </w:r>
      <w:r w:rsidRPr="00504D52" w:rsidR="00504D52">
        <w:t xml:space="preserve"> to maintain a 52% equity ratio</w:t>
      </w:r>
      <w:r w:rsidR="00504D52">
        <w:t xml:space="preserve"> is excessive</w:t>
      </w:r>
      <w:r w:rsidR="000D5E78">
        <w:t>,</w:t>
      </w:r>
      <w:r w:rsidR="00562E07">
        <w:t xml:space="preserve"> and its</w:t>
      </w:r>
      <w:r w:rsidR="00504D52">
        <w:t xml:space="preserve"> </w:t>
      </w:r>
      <w:r w:rsidR="008953E7">
        <w:t xml:space="preserve">recommendation of </w:t>
      </w:r>
      <w:r w:rsidR="000D5E78">
        <w:t xml:space="preserve">a </w:t>
      </w:r>
      <w:r w:rsidRPr="008953E7" w:rsidR="008953E7">
        <w:t>50% equity ratio</w:t>
      </w:r>
      <w:r w:rsidR="008953E7">
        <w:t xml:space="preserve"> for PG&amp;E is </w:t>
      </w:r>
      <w:r w:rsidR="000D5E78">
        <w:t>consistent with t</w:t>
      </w:r>
      <w:r w:rsidRPr="000F0E29" w:rsidR="000F0E29">
        <w:t>he industry average equity ratio of</w:t>
      </w:r>
    </w:p>
    <w:p w:rsidR="004B507A" w:rsidP="001061D5" w:rsidRDefault="000F0E29" w14:paraId="3EED4979" w14:textId="06A0BF9B">
      <w:pPr>
        <w:pStyle w:val="Standard"/>
        <w:ind w:firstLine="0"/>
      </w:pPr>
      <w:r w:rsidRPr="000F0E29">
        <w:t>49.14%</w:t>
      </w:r>
      <w:r w:rsidR="000D5E78">
        <w:t>.</w:t>
      </w:r>
      <w:r w:rsidR="000D5E78">
        <w:rPr>
          <w:rStyle w:val="FootnoteReference"/>
        </w:rPr>
        <w:footnoteReference w:id="10"/>
      </w:r>
    </w:p>
    <w:p w:rsidR="00E064C5" w:rsidP="00E064C5" w:rsidRDefault="00E064C5" w14:paraId="676FE154" w14:textId="44C86988">
      <w:pPr>
        <w:pStyle w:val="Standard"/>
      </w:pPr>
      <w:r>
        <w:lastRenderedPageBreak/>
        <w:t>Cal Advocates argues that PG&amp;E’s equity ratio exceeds that of comparable utilities.</w:t>
      </w:r>
      <w:r>
        <w:rPr>
          <w:rStyle w:val="FootnoteReference"/>
        </w:rPr>
        <w:footnoteReference w:id="11"/>
      </w:r>
      <w:r>
        <w:t xml:space="preserve"> </w:t>
      </w:r>
      <w:r w:rsidRPr="007D7919">
        <w:t xml:space="preserve">Cal Advocates </w:t>
      </w:r>
      <w:r>
        <w:t>ultimately supports a</w:t>
      </w:r>
      <w:r w:rsidRPr="007D7919">
        <w:t xml:space="preserve"> capital structure with a 5</w:t>
      </w:r>
      <w:r>
        <w:t>2</w:t>
      </w:r>
      <w:r w:rsidRPr="007D7919">
        <w:t>.00% common equity ratio for the Joint Utilities.</w:t>
      </w:r>
      <w:r w:rsidRPr="007D7919">
        <w:rPr>
          <w:rStyle w:val="FootnoteReference"/>
        </w:rPr>
        <w:footnoteReference w:id="12"/>
      </w:r>
    </w:p>
    <w:p w:rsidR="00592864" w:rsidP="009B167C" w:rsidRDefault="00632C13" w14:paraId="546281C2" w14:textId="4A2B5FB7">
      <w:r>
        <w:t>EPUC/IS note</w:t>
      </w:r>
      <w:r w:rsidR="00D42F11">
        <w:t>s</w:t>
      </w:r>
      <w:r>
        <w:t xml:space="preserve"> that </w:t>
      </w:r>
      <w:r w:rsidR="00514799">
        <w:t>its</w:t>
      </w:r>
      <w:r>
        <w:t xml:space="preserve"> r</w:t>
      </w:r>
      <w:r w:rsidRPr="006F2E6E">
        <w:t xml:space="preserve">ecommended equity ratio for PG&amp;E </w:t>
      </w:r>
      <w:r w:rsidR="000D43F4">
        <w:t>is</w:t>
      </w:r>
      <w:r w:rsidRPr="006F2E6E">
        <w:t xml:space="preserve"> below </w:t>
      </w:r>
      <w:r w:rsidR="00885014">
        <w:t>PG&amp;E</w:t>
      </w:r>
      <w:r w:rsidRPr="006F2E6E">
        <w:t>’</w:t>
      </w:r>
      <w:r w:rsidR="000F1494">
        <w:t>s</w:t>
      </w:r>
      <w:r w:rsidRPr="006F2E6E">
        <w:t xml:space="preserve"> proposed 52.00%, but </w:t>
      </w:r>
      <w:r w:rsidR="002F3CAB">
        <w:t xml:space="preserve">asserts that it is </w:t>
      </w:r>
      <w:r w:rsidRPr="006F2E6E">
        <w:t>more closely aligned with PG&amp;</w:t>
      </w:r>
      <w:r w:rsidR="00885014">
        <w:t>E's</w:t>
      </w:r>
      <w:r w:rsidRPr="006F2E6E">
        <w:t xml:space="preserve"> </w:t>
      </w:r>
      <w:r w:rsidR="00F77DD3">
        <w:t xml:space="preserve">Generally Accepted Accounting </w:t>
      </w:r>
      <w:r w:rsidR="00CF3A73">
        <w:t>Principles</w:t>
      </w:r>
      <w:r w:rsidR="00F77DD3">
        <w:t xml:space="preserve"> (</w:t>
      </w:r>
      <w:r w:rsidRPr="006F2E6E">
        <w:t>GAAP</w:t>
      </w:r>
      <w:r w:rsidR="00F77DD3">
        <w:t>)</w:t>
      </w:r>
      <w:r w:rsidRPr="006F2E6E">
        <w:t xml:space="preserve"> equity ratios. </w:t>
      </w:r>
      <w:r w:rsidR="002F3CAB">
        <w:t>EPUC</w:t>
      </w:r>
      <w:r w:rsidR="00FC3B81">
        <w:t xml:space="preserve">/IS states that </w:t>
      </w:r>
      <w:r w:rsidRPr="006F2E6E">
        <w:t>PG&amp;E’s GAAP common equity averaged only 43.00%-44.00% from 2020 through 2023, and was 48.30% in 202</w:t>
      </w:r>
      <w:r>
        <w:t>4.</w:t>
      </w:r>
      <w:r w:rsidR="00E55B2A">
        <w:rPr>
          <w:rStyle w:val="FootnoteReference"/>
        </w:rPr>
        <w:footnoteReference w:id="13"/>
      </w:r>
      <w:r>
        <w:t xml:space="preserve"> </w:t>
      </w:r>
      <w:r w:rsidR="00823E97">
        <w:t>Additionally</w:t>
      </w:r>
      <w:r w:rsidR="00CF07AA">
        <w:t xml:space="preserve">, EPUC, IS, and TURN contend that </w:t>
      </w:r>
      <w:r w:rsidR="00CF3A73">
        <w:t>u</w:t>
      </w:r>
      <w:r w:rsidR="00CF07AA">
        <w:t>tilities</w:t>
      </w:r>
      <w:r w:rsidRPr="00D4378D" w:rsidR="00CF07AA">
        <w:t xml:space="preserve"> fail to establish that their respective ratemaking capital structure proposals appropriately balance shareholder and ratepayer interests. </w:t>
      </w:r>
      <w:r w:rsidR="00526BDC">
        <w:t>PG&amp;E</w:t>
      </w:r>
      <w:r w:rsidRPr="00D4378D" w:rsidR="00CF07AA">
        <w:t>’s proposal to maintain 52% common equity ratios reflect hypothetical and inflated estimates of the actual common equity capital that will be used to fund TY 2026 rate base investments.</w:t>
      </w:r>
      <w:r w:rsidR="00167E13">
        <w:rPr>
          <w:rStyle w:val="FootnoteReference"/>
        </w:rPr>
        <w:footnoteReference w:id="14"/>
      </w:r>
    </w:p>
    <w:p w:rsidR="00065457" w:rsidP="002F6AE6" w:rsidRDefault="00E973FD" w14:paraId="256BC8C7" w14:textId="0478BDD9">
      <w:pPr>
        <w:pStyle w:val="Standard"/>
      </w:pPr>
      <w:r>
        <w:t xml:space="preserve">TURN </w:t>
      </w:r>
      <w:r w:rsidR="00CF3A73">
        <w:t xml:space="preserve">recommends </w:t>
      </w:r>
      <w:r w:rsidRPr="00863A8D" w:rsidR="00584CDB">
        <w:t>the Commission reject PG&amp;E’s request to increase debt</w:t>
      </w:r>
      <w:r w:rsidR="006A116C">
        <w:t xml:space="preserve"> d</w:t>
      </w:r>
      <w:r w:rsidRPr="00863A8D" w:rsidR="006A116C">
        <w:t>ue to the financial risks and added costs to ratepayers from PG&amp;E’s high leverage</w:t>
      </w:r>
      <w:r w:rsidR="006A116C">
        <w:t>.</w:t>
      </w:r>
      <w:r w:rsidRPr="00863A8D" w:rsidR="006A116C">
        <w:t xml:space="preserve"> </w:t>
      </w:r>
      <w:r w:rsidR="00D42F11">
        <w:t>TURN cont</w:t>
      </w:r>
      <w:r w:rsidR="00B01092">
        <w:t>ends</w:t>
      </w:r>
      <w:r w:rsidR="00D42F11">
        <w:t xml:space="preserve"> that w</w:t>
      </w:r>
      <w:r w:rsidRPr="00863A8D" w:rsidR="00D42F11">
        <w:t>hile the debt increase appears minor, PG&amp;E’s actual average equity ratio from 2020–2024 has been about 40%, far below its authorized level.</w:t>
      </w:r>
      <w:r w:rsidR="007C15C7">
        <w:rPr>
          <w:rStyle w:val="FootnoteReference"/>
        </w:rPr>
        <w:footnoteReference w:id="15"/>
      </w:r>
      <w:r w:rsidRPr="00863A8D" w:rsidR="00D42F11">
        <w:t xml:space="preserve"> </w:t>
      </w:r>
      <w:r w:rsidRPr="00863A8D" w:rsidR="006A116C">
        <w:t xml:space="preserve"> </w:t>
      </w:r>
      <w:r w:rsidR="00626533">
        <w:t>TURN further recommends that t</w:t>
      </w:r>
      <w:r w:rsidRPr="00C26EBA" w:rsidR="00626533">
        <w:t xml:space="preserve">he commission require </w:t>
      </w:r>
      <w:r w:rsidR="007D3258">
        <w:t>PG&amp;E</w:t>
      </w:r>
      <w:r w:rsidRPr="00C26EBA" w:rsidR="00626533">
        <w:t xml:space="preserve"> to align </w:t>
      </w:r>
      <w:r w:rsidR="001001C2">
        <w:t>its</w:t>
      </w:r>
      <w:r w:rsidRPr="00C26EBA" w:rsidR="00626533">
        <w:t xml:space="preserve"> book equity capital structures with the authorized </w:t>
      </w:r>
      <w:r w:rsidR="008904DD">
        <w:t xml:space="preserve">capital </w:t>
      </w:r>
      <w:r w:rsidR="008904DD">
        <w:lastRenderedPageBreak/>
        <w:t xml:space="preserve">structure </w:t>
      </w:r>
      <w:r w:rsidRPr="00C26EBA" w:rsidR="00626533">
        <w:t>within 18 months of the effective date of this cost of capital proceeding</w:t>
      </w:r>
      <w:r w:rsidR="00626533">
        <w:t>.</w:t>
      </w:r>
      <w:r w:rsidR="006B4E4F">
        <w:rPr>
          <w:rStyle w:val="FootnoteReference"/>
        </w:rPr>
        <w:footnoteReference w:id="16"/>
      </w:r>
      <w:r w:rsidR="00065457">
        <w:t xml:space="preserve"> </w:t>
      </w:r>
    </w:p>
    <w:p w:rsidR="00236521" w:rsidP="002F6AE6" w:rsidRDefault="00EA3F3D" w14:paraId="5D559B8D" w14:textId="05B16A7B">
      <w:pPr>
        <w:pStyle w:val="Standard"/>
      </w:pPr>
      <w:r>
        <w:t>Wild Tree</w:t>
      </w:r>
      <w:r w:rsidR="00236521">
        <w:t xml:space="preserve"> </w:t>
      </w:r>
      <w:r w:rsidR="00786133">
        <w:t>recommend</w:t>
      </w:r>
      <w:r w:rsidR="00A70061">
        <w:t xml:space="preserve">s a capital structure of no more than 50% </w:t>
      </w:r>
      <w:r w:rsidR="0053206B">
        <w:t>common equity</w:t>
      </w:r>
      <w:r w:rsidR="00C6269E">
        <w:t>.</w:t>
      </w:r>
      <w:r w:rsidR="009B3012">
        <w:t xml:space="preserve"> </w:t>
      </w:r>
      <w:r>
        <w:t>Wild Tree</w:t>
      </w:r>
      <w:r w:rsidR="009B3012">
        <w:t xml:space="preserve"> </w:t>
      </w:r>
      <w:r w:rsidR="0058348B">
        <w:t xml:space="preserve">argues </w:t>
      </w:r>
      <w:r w:rsidR="009B3012">
        <w:t xml:space="preserve">that </w:t>
      </w:r>
      <w:r w:rsidR="00004786">
        <w:t>the</w:t>
      </w:r>
      <w:r w:rsidR="009830A6">
        <w:t xml:space="preserve"> utilities</w:t>
      </w:r>
      <w:r w:rsidR="00DA306E">
        <w:t xml:space="preserve"> </w:t>
      </w:r>
      <w:r w:rsidR="009830A6">
        <w:t xml:space="preserve">carry the burden </w:t>
      </w:r>
      <w:r w:rsidR="00075913">
        <w:t>to demonstrate their capital structures are reasonable</w:t>
      </w:r>
      <w:r w:rsidR="00B44021">
        <w:t>, and that the Commission must ascertain that requested capital structures</w:t>
      </w:r>
      <w:r w:rsidR="00BA166D">
        <w:t xml:space="preserve"> do not overcharge customers by including higher ratios of common equity than appropriate.</w:t>
      </w:r>
      <w:r w:rsidR="00BA166D">
        <w:rPr>
          <w:rStyle w:val="FootnoteReference"/>
        </w:rPr>
        <w:footnoteReference w:id="17"/>
      </w:r>
    </w:p>
    <w:p w:rsidR="00FB69D7" w:rsidP="002F6AE6" w:rsidRDefault="00FB69D7" w14:paraId="60031192" w14:textId="6BC65F32">
      <w:pPr>
        <w:pStyle w:val="Standard"/>
      </w:pPr>
      <w:r>
        <w:t xml:space="preserve">Sierra Club and PCF recommend optimizing capital structures with authorized ROE </w:t>
      </w:r>
      <w:r w:rsidR="00EE2F41">
        <w:t xml:space="preserve">amounts to </w:t>
      </w:r>
      <w:r w:rsidR="00111D0A">
        <w:t xml:space="preserve">achieve target cashflow-to-debt ratios. </w:t>
      </w:r>
      <w:r w:rsidR="008C318B">
        <w:t>Sier</w:t>
      </w:r>
      <w:r w:rsidR="00EB4834">
        <w:t xml:space="preserve">ra Club and PCF </w:t>
      </w:r>
      <w:r w:rsidR="00873A45">
        <w:t xml:space="preserve">explain that </w:t>
      </w:r>
      <w:r w:rsidR="0051387A">
        <w:t xml:space="preserve">net income is a key component of cash flow, and that net income </w:t>
      </w:r>
      <w:r w:rsidR="000A59F7">
        <w:t>is the product of rate base, equity ratio, and ROE.</w:t>
      </w:r>
      <w:r w:rsidR="004342AE">
        <w:rPr>
          <w:rStyle w:val="FootnoteReference"/>
        </w:rPr>
        <w:footnoteReference w:id="18"/>
      </w:r>
      <w:r w:rsidR="000A59F7">
        <w:t xml:space="preserve"> </w:t>
      </w:r>
      <w:r w:rsidR="001B79AA">
        <w:t>Sierra Club and PCF recommend a</w:t>
      </w:r>
      <w:r w:rsidR="00B066D1">
        <w:t>n equity ratio of 50.4%</w:t>
      </w:r>
      <w:r w:rsidR="00CD6893">
        <w:t xml:space="preserve"> for PG&amp;E</w:t>
      </w:r>
      <w:r w:rsidR="009E1D81">
        <w:t>, though their recommendation of equity ratio is</w:t>
      </w:r>
      <w:r w:rsidR="00B066D1">
        <w:t xml:space="preserve"> tied to their recommended ROE</w:t>
      </w:r>
      <w:r w:rsidR="009E1D81">
        <w:t>.</w:t>
      </w:r>
      <w:r w:rsidR="009E1D81">
        <w:rPr>
          <w:rStyle w:val="FootnoteReference"/>
        </w:rPr>
        <w:footnoteReference w:id="19"/>
      </w:r>
      <w:r w:rsidR="001E353A">
        <w:t xml:space="preserve"> Sierra Club and PCF uniformly recommend 0% </w:t>
      </w:r>
      <w:r w:rsidR="0023713F">
        <w:t xml:space="preserve">preferred equity </w:t>
      </w:r>
      <w:r w:rsidR="00661643">
        <w:t xml:space="preserve">in </w:t>
      </w:r>
      <w:r w:rsidR="00F711F8">
        <w:t xml:space="preserve">all </w:t>
      </w:r>
      <w:r w:rsidR="00661643">
        <w:t>recommended capital structure</w:t>
      </w:r>
      <w:r w:rsidR="00F711F8">
        <w:t>s.</w:t>
      </w:r>
      <w:r w:rsidR="00F711F8">
        <w:rPr>
          <w:rStyle w:val="FootnoteReference"/>
        </w:rPr>
        <w:footnoteReference w:id="20"/>
      </w:r>
    </w:p>
    <w:p w:rsidR="00CA30BA" w:rsidP="002F6AE6" w:rsidRDefault="00CA30BA" w14:paraId="13CAC63B" w14:textId="1B5F475E">
      <w:pPr>
        <w:pStyle w:val="Standard"/>
      </w:pPr>
      <w:r>
        <w:t xml:space="preserve">EDF </w:t>
      </w:r>
      <w:r w:rsidR="009174B6">
        <w:t xml:space="preserve">argues that the </w:t>
      </w:r>
      <w:r w:rsidR="00515BF7">
        <w:t>A</w:t>
      </w:r>
      <w:r w:rsidR="009174B6">
        <w:t xml:space="preserve">pplicants have failed to substantiate their recommendations for capital structure. </w:t>
      </w:r>
      <w:r w:rsidR="000A19DF">
        <w:t xml:space="preserve">EDF recommends that the Commission adopt a capital structure with at least 55% </w:t>
      </w:r>
      <w:r w:rsidR="00EB1B64">
        <w:t xml:space="preserve">debt for each utility, which would </w:t>
      </w:r>
      <w:r w:rsidR="00E76EB4">
        <w:t xml:space="preserve">target </w:t>
      </w:r>
      <w:r w:rsidR="00A03131">
        <w:t xml:space="preserve">BBB </w:t>
      </w:r>
      <w:r w:rsidR="00890F21">
        <w:t>credit ratings.</w:t>
      </w:r>
      <w:r w:rsidR="00880653">
        <w:rPr>
          <w:rStyle w:val="FootnoteReference"/>
        </w:rPr>
        <w:footnoteReference w:id="21"/>
      </w:r>
      <w:r w:rsidR="00890F21">
        <w:t xml:space="preserve"> </w:t>
      </w:r>
      <w:r w:rsidR="009174B6">
        <w:t xml:space="preserve"> </w:t>
      </w:r>
    </w:p>
    <w:p w:rsidR="003F3FD7" w:rsidP="00BF753A" w:rsidRDefault="00E826AD" w14:paraId="1B83B5C9" w14:textId="627BCF9D">
      <w:pPr>
        <w:pStyle w:val="Standard"/>
      </w:pPr>
      <w:r>
        <w:lastRenderedPageBreak/>
        <w:t xml:space="preserve">PG&amp;E </w:t>
      </w:r>
      <w:r w:rsidR="005961BD">
        <w:t xml:space="preserve">argues that it is in the best interest of its customers to achieve a credit rating </w:t>
      </w:r>
      <w:r w:rsidR="001424BD">
        <w:t>in the “A” category</w:t>
      </w:r>
      <w:r w:rsidR="006E0E86">
        <w:t>.</w:t>
      </w:r>
      <w:r w:rsidR="006E0E86">
        <w:rPr>
          <w:rStyle w:val="FootnoteReference"/>
        </w:rPr>
        <w:footnoteReference w:id="22"/>
      </w:r>
      <w:r w:rsidR="006E0E86">
        <w:t xml:space="preserve"> It argues that its proposed 52% </w:t>
      </w:r>
      <w:r w:rsidR="004F191D">
        <w:t xml:space="preserve">equity ratio is </w:t>
      </w:r>
      <w:r w:rsidR="002D2DC3">
        <w:t>“</w:t>
      </w:r>
      <w:r w:rsidR="004F191D">
        <w:t>needed to maintain sufficient cash flow to support and solidify its</w:t>
      </w:r>
      <w:r w:rsidR="002D2DC3">
        <w:t xml:space="preserve"> </w:t>
      </w:r>
      <w:r w:rsidR="00616ED1">
        <w:t>[F</w:t>
      </w:r>
      <w:r w:rsidR="004F191D">
        <w:t>und</w:t>
      </w:r>
      <w:r w:rsidR="007A0777">
        <w:t>s</w:t>
      </w:r>
      <w:r w:rsidR="004F191D">
        <w:t xml:space="preserve"> from </w:t>
      </w:r>
      <w:r w:rsidR="00616ED1">
        <w:t>O</w:t>
      </w:r>
      <w:r w:rsidR="004F191D">
        <w:t>perations</w:t>
      </w:r>
      <w:r w:rsidR="00BF3AE7">
        <w:t>]/Debt ratio</w:t>
      </w:r>
      <w:r w:rsidR="006E6FF9">
        <w:t>.</w:t>
      </w:r>
      <w:r w:rsidR="00BF753A">
        <w:t>”</w:t>
      </w:r>
      <w:r w:rsidR="006E6FF9">
        <w:rPr>
          <w:rStyle w:val="FootnoteReference"/>
        </w:rPr>
        <w:footnoteReference w:id="23"/>
      </w:r>
      <w:r w:rsidR="005E0741">
        <w:t xml:space="preserve"> </w:t>
      </w:r>
      <w:r w:rsidR="00C45CFF">
        <w:t xml:space="preserve">PG&amp;E asserts that any increases to debt in its capital structure </w:t>
      </w:r>
      <w:r w:rsidR="00002200">
        <w:t>risks a credit rating downgrade to</w:t>
      </w:r>
      <w:r w:rsidR="00FF0382">
        <w:t xml:space="preserve"> its already junk status.</w:t>
      </w:r>
      <w:r w:rsidR="002F1043">
        <w:rPr>
          <w:rStyle w:val="FootnoteReference"/>
        </w:rPr>
        <w:footnoteReference w:id="24"/>
      </w:r>
    </w:p>
    <w:p w:rsidR="00E826AD" w:rsidP="00BF753A" w:rsidRDefault="00243AD6" w14:paraId="00C4D04E" w14:textId="6965873E">
      <w:pPr>
        <w:pStyle w:val="Standard"/>
      </w:pPr>
      <w:r>
        <w:t xml:space="preserve">We determine that maintaining the existing common equity authorization of 52.00% is reasonably sufficient </w:t>
      </w:r>
      <w:r w:rsidR="00E621C1">
        <w:t>for PG&amp;E to maintain a reasonable credit rating and attract capital while ensuring adequate consideration o</w:t>
      </w:r>
      <w:r w:rsidR="0001157B">
        <w:t>f ratepayer protections</w:t>
      </w:r>
      <w:r w:rsidR="00AA168C">
        <w:t xml:space="preserve">. </w:t>
      </w:r>
      <w:r w:rsidR="00016C38">
        <w:t>PG&amp;E</w:t>
      </w:r>
      <w:r w:rsidR="004651BC">
        <w:t xml:space="preserve">’s request to reduce </w:t>
      </w:r>
      <w:r w:rsidR="00FB6B6A">
        <w:t xml:space="preserve">its preferred equity and proportionally increase its </w:t>
      </w:r>
      <w:r w:rsidR="008F3C1C">
        <w:t>long-term debt is denied.</w:t>
      </w:r>
      <w:r w:rsidR="00FF0382">
        <w:t xml:space="preserve"> </w:t>
      </w:r>
      <w:r w:rsidR="008E40DD">
        <w:t xml:space="preserve">PG&amp;E’s authorized capital structure remains 52.00% common equity, 0.5% preferred equity, and </w:t>
      </w:r>
      <w:r w:rsidR="00CD1213">
        <w:t>47.50% long-term debt.</w:t>
      </w:r>
    </w:p>
    <w:p w:rsidR="002F6AE6" w:rsidP="006D0D56" w:rsidRDefault="0094784F" w14:paraId="22A54306" w14:textId="518A00E0">
      <w:pPr>
        <w:pStyle w:val="Heading2"/>
      </w:pPr>
      <w:bookmarkStart w:name="_Toc214017360" w:id="12"/>
      <w:r w:rsidRPr="006D0D56">
        <w:t>SoCalGas</w:t>
      </w:r>
      <w:bookmarkEnd w:id="12"/>
    </w:p>
    <w:p w:rsidR="00C15084" w:rsidP="00C21706" w:rsidRDefault="00FB0FFA" w14:paraId="47B2E40E" w14:textId="764EB016">
      <w:pPr>
        <w:pStyle w:val="Standard"/>
      </w:pPr>
      <w:r>
        <w:t xml:space="preserve">SoCalGas </w:t>
      </w:r>
      <w:r w:rsidR="00A83F6B">
        <w:t>seeks</w:t>
      </w:r>
      <w:r>
        <w:t xml:space="preserve"> a </w:t>
      </w:r>
      <w:r w:rsidR="000A027A">
        <w:t xml:space="preserve">test year 2026 ratemaking </w:t>
      </w:r>
      <w:r>
        <w:t xml:space="preserve">capital structure of </w:t>
      </w:r>
      <w:r w:rsidR="008F4563">
        <w:t>52.00% common equity, 2.40% preferred equity, and 45.6</w:t>
      </w:r>
      <w:r w:rsidR="005453A1">
        <w:t>0</w:t>
      </w:r>
      <w:r w:rsidR="008F4563">
        <w:t>% long-term debt</w:t>
      </w:r>
      <w:r w:rsidR="000A027A">
        <w:t>, the same as authorized for test year 2023.</w:t>
      </w:r>
      <w:r w:rsidR="00E2264E">
        <w:t xml:space="preserve"> </w:t>
      </w:r>
      <w:r w:rsidR="009A7E83">
        <w:t>S&amp;P’s</w:t>
      </w:r>
      <w:r w:rsidR="00E2264E">
        <w:t xml:space="preserve"> current credit rating </w:t>
      </w:r>
      <w:r w:rsidR="009A7E83">
        <w:t xml:space="preserve">for SoCalGas </w:t>
      </w:r>
      <w:r w:rsidR="0085598B">
        <w:t xml:space="preserve">is </w:t>
      </w:r>
      <w:r w:rsidR="00D83A15">
        <w:t>A-</w:t>
      </w:r>
      <w:r w:rsidR="009A7E83">
        <w:t>.</w:t>
      </w:r>
      <w:r w:rsidR="00392155">
        <w:rPr>
          <w:rStyle w:val="FootnoteReference"/>
        </w:rPr>
        <w:footnoteReference w:id="25"/>
      </w:r>
      <w:r w:rsidR="00CD5114">
        <w:t xml:space="preserve"> </w:t>
      </w:r>
      <w:r w:rsidR="00392155">
        <w:t xml:space="preserve">Moody’s current credit rating for SoCalGas is </w:t>
      </w:r>
      <w:r w:rsidR="006A5DB9">
        <w:t>A2</w:t>
      </w:r>
      <w:r w:rsidR="002A2AFA">
        <w:t xml:space="preserve">, and </w:t>
      </w:r>
      <w:r w:rsidR="00AA3279">
        <w:t>Fitch's</w:t>
      </w:r>
      <w:r w:rsidR="002F495D">
        <w:t xml:space="preserve"> rating for </w:t>
      </w:r>
      <w:r w:rsidR="00D77A49">
        <w:t>So</w:t>
      </w:r>
      <w:r w:rsidR="00E967A0">
        <w:t>CalGas is A</w:t>
      </w:r>
      <w:r w:rsidR="006A5DB9">
        <w:t>.</w:t>
      </w:r>
      <w:r w:rsidR="006A5DB9">
        <w:rPr>
          <w:rStyle w:val="FootnoteReference"/>
        </w:rPr>
        <w:footnoteReference w:id="26"/>
      </w:r>
    </w:p>
    <w:p w:rsidR="005121DE" w:rsidP="00C21706" w:rsidRDefault="00394852" w14:paraId="7168CBCC" w14:textId="006A43E9">
      <w:pPr>
        <w:pStyle w:val="Standard"/>
      </w:pPr>
      <w:r>
        <w:t>SoCalGas notes that a “high Long-Term Debt ratio increases the debt repayment risk to lenders and</w:t>
      </w:r>
      <w:r w:rsidR="007457EC">
        <w:t xml:space="preserve">, all other things being equal, will result in higher costs of capital over the long-term since the utility will not be as competitive in </w:t>
      </w:r>
      <w:r w:rsidR="007457EC">
        <w:lastRenderedPageBreak/>
        <w:t xml:space="preserve">issuing new Long-Term Debt at low cost. Conversely, too low of a Long-Term </w:t>
      </w:r>
      <w:r w:rsidR="006D4D7D">
        <w:t>Debt ratio is not preferred as it does not take advantage of a tax-deductible source of financing</w:t>
      </w:r>
      <w:r w:rsidR="00C126FF">
        <w:t>, resulting in lower cost than equity.</w:t>
      </w:r>
      <w:r w:rsidR="00A80202">
        <w:t>”</w:t>
      </w:r>
      <w:r w:rsidR="00A80202">
        <w:rPr>
          <w:rStyle w:val="FootnoteReference"/>
        </w:rPr>
        <w:footnoteReference w:id="27"/>
      </w:r>
      <w:r w:rsidR="00674558">
        <w:t xml:space="preserve"> </w:t>
      </w:r>
      <w:r w:rsidR="00132423">
        <w:t>SoCalGas notes that preferred equity is viewed by credit rating agencies as a hybrid of long-term debt and common equity.</w:t>
      </w:r>
      <w:r w:rsidR="00A73449">
        <w:rPr>
          <w:rStyle w:val="FootnoteReference"/>
        </w:rPr>
        <w:footnoteReference w:id="28"/>
      </w:r>
      <w:r w:rsidR="00132423">
        <w:t xml:space="preserve"> </w:t>
      </w:r>
      <w:r w:rsidR="00674558">
        <w:t>SoCalGas’ credit rating is considered investment grade.</w:t>
      </w:r>
    </w:p>
    <w:p w:rsidR="00392155" w:rsidP="0094784F" w:rsidRDefault="00752699" w14:paraId="3CE8150E" w14:textId="26D860E9">
      <w:pPr>
        <w:pStyle w:val="Standard"/>
      </w:pPr>
      <w:r>
        <w:t xml:space="preserve">EPUC, IS, and TURN support SoCalGas’ proposal to maintain </w:t>
      </w:r>
      <w:r w:rsidR="00987647">
        <w:t>its existing capital structure.</w:t>
      </w:r>
      <w:r w:rsidR="00987647">
        <w:rPr>
          <w:rStyle w:val="FootnoteReference"/>
        </w:rPr>
        <w:footnoteReference w:id="29"/>
      </w:r>
      <w:r w:rsidR="00987647">
        <w:t xml:space="preserve"> </w:t>
      </w:r>
      <w:r w:rsidR="00EA3F3D">
        <w:t>Wild Tree</w:t>
      </w:r>
      <w:r w:rsidR="00DA7D13">
        <w:t xml:space="preserve"> and EDF recommend a reduction in SoCalGas’ </w:t>
      </w:r>
      <w:r w:rsidR="00321AF8">
        <w:t>common equity ratio to either 45% (EDF) or 50% (</w:t>
      </w:r>
      <w:r w:rsidR="00EA3F3D">
        <w:t>Wild Tree</w:t>
      </w:r>
      <w:r w:rsidR="00DE04B5">
        <w:t>).</w:t>
      </w:r>
    </w:p>
    <w:p w:rsidR="004201CE" w:rsidP="000409E3" w:rsidRDefault="00DE04B5" w14:paraId="5E2C40AA" w14:textId="12281421">
      <w:pPr>
        <w:pStyle w:val="Standard"/>
      </w:pPr>
      <w:r>
        <w:t>Cal Advocates argues that SoCalGas’ equity ratio exceeds that of comparable utilities.</w:t>
      </w:r>
      <w:r>
        <w:rPr>
          <w:rStyle w:val="FootnoteReference"/>
        </w:rPr>
        <w:footnoteReference w:id="30"/>
      </w:r>
      <w:r>
        <w:t xml:space="preserve"> </w:t>
      </w:r>
      <w:r w:rsidRPr="007D7919" w:rsidR="004201CE">
        <w:t xml:space="preserve">Cal Advocates </w:t>
      </w:r>
      <w:r w:rsidR="000409E3">
        <w:t>ultimately supports a</w:t>
      </w:r>
      <w:r w:rsidRPr="007D7919" w:rsidR="004201CE">
        <w:t xml:space="preserve"> capital structure with a 5</w:t>
      </w:r>
      <w:r w:rsidR="002C6660">
        <w:t>2</w:t>
      </w:r>
      <w:r w:rsidRPr="007D7919" w:rsidR="004201CE">
        <w:t>.00% common equity ratio for the Joint Utilities.</w:t>
      </w:r>
      <w:r w:rsidRPr="007D7919" w:rsidR="004201CE">
        <w:rPr>
          <w:rStyle w:val="FootnoteReference"/>
        </w:rPr>
        <w:footnoteReference w:id="31"/>
      </w:r>
    </w:p>
    <w:p w:rsidR="00CD6893" w:rsidP="00CD6893" w:rsidRDefault="00072618" w14:paraId="396D7A02" w14:textId="1972C55B">
      <w:pPr>
        <w:pStyle w:val="Standard"/>
      </w:pPr>
      <w:r>
        <w:t xml:space="preserve">As with PG&amp;E, </w:t>
      </w:r>
      <w:r w:rsidR="00EA3F3D">
        <w:t>Wild Tree</w:t>
      </w:r>
      <w:r w:rsidR="00CD6893">
        <w:t xml:space="preserve"> recommends a capital structure </w:t>
      </w:r>
      <w:r w:rsidR="00A33A4E">
        <w:t xml:space="preserve">for SoCalGas </w:t>
      </w:r>
      <w:r w:rsidR="00CD6893">
        <w:t>of no more than 50% common equity.</w:t>
      </w:r>
      <w:bookmarkStart w:name="_Hlk211333513" w:id="13"/>
      <w:r w:rsidR="00CD6893">
        <w:rPr>
          <w:rStyle w:val="FootnoteReference"/>
        </w:rPr>
        <w:footnoteReference w:id="32"/>
      </w:r>
      <w:bookmarkEnd w:id="13"/>
    </w:p>
    <w:p w:rsidR="00CD6893" w:rsidP="00CD6893" w:rsidRDefault="00CD6893" w14:paraId="37EE6AB4" w14:textId="504C1DEC">
      <w:pPr>
        <w:pStyle w:val="Standard"/>
      </w:pPr>
      <w:r>
        <w:t>Sierra Club and PCF recommend optimizing capital structures with authorized ROE amounts to achieve target cashflow-to-debt ratios. Sierra Club and PCF explain that net income is a key component of cash flow, and that net income is the product of rate base, equity ratio, and ROE.</w:t>
      </w:r>
      <w:r>
        <w:rPr>
          <w:rStyle w:val="FootnoteReference"/>
        </w:rPr>
        <w:footnoteReference w:id="33"/>
      </w:r>
      <w:r>
        <w:t xml:space="preserve"> Sierra Club and PCF </w:t>
      </w:r>
      <w:r>
        <w:lastRenderedPageBreak/>
        <w:t>recommend an equity ratio of 5</w:t>
      </w:r>
      <w:r w:rsidR="00072029">
        <w:t>2</w:t>
      </w:r>
      <w:r>
        <w:t>.</w:t>
      </w:r>
      <w:r w:rsidR="00072029">
        <w:t>9</w:t>
      </w:r>
      <w:r>
        <w:t xml:space="preserve">% for </w:t>
      </w:r>
      <w:r w:rsidR="00072029">
        <w:t>SoCalGas</w:t>
      </w:r>
      <w:r>
        <w:t xml:space="preserve"> though their equity ratio </w:t>
      </w:r>
      <w:r w:rsidR="00B84415">
        <w:t xml:space="preserve">recommendation </w:t>
      </w:r>
      <w:r>
        <w:t>is tied to their recommended ROE.</w:t>
      </w:r>
      <w:r>
        <w:rPr>
          <w:rStyle w:val="FootnoteReference"/>
        </w:rPr>
        <w:footnoteReference w:id="34"/>
      </w:r>
    </w:p>
    <w:p w:rsidR="00C32E22" w:rsidP="00CD6893" w:rsidRDefault="00CD6893" w14:paraId="28DD6DEE" w14:textId="20315001">
      <w:pPr>
        <w:pStyle w:val="Standard"/>
      </w:pPr>
      <w:r>
        <w:t xml:space="preserve">EDF argues that the </w:t>
      </w:r>
      <w:r w:rsidR="00515BF7">
        <w:t>A</w:t>
      </w:r>
      <w:r>
        <w:t>pplicants have failed to substantiate their recommendations for capital structure. EDF recommends that the Commission adopt a capital structure with at least 55% debt for each utility, which would target BBB credit ratings.</w:t>
      </w:r>
      <w:r>
        <w:rPr>
          <w:rStyle w:val="FootnoteReference"/>
        </w:rPr>
        <w:footnoteReference w:id="35"/>
      </w:r>
      <w:r>
        <w:t xml:space="preserve">  </w:t>
      </w:r>
    </w:p>
    <w:p w:rsidR="00616195" w:rsidP="0094784F" w:rsidRDefault="002E638A" w14:paraId="44B8F0F4" w14:textId="0E59732C">
      <w:pPr>
        <w:pStyle w:val="Standard"/>
      </w:pPr>
      <w:r>
        <w:t xml:space="preserve">SoCalGas argues that </w:t>
      </w:r>
      <w:r w:rsidR="00A55FDD">
        <w:t>the analyses supporting the intervenor</w:t>
      </w:r>
      <w:r w:rsidR="00CD70E3">
        <w:t>s’ capital structure recommendations are irrelevant</w:t>
      </w:r>
      <w:r w:rsidR="00AF50B7">
        <w:t xml:space="preserve">, </w:t>
      </w:r>
      <w:r w:rsidR="00EF4CF0">
        <w:t>flawed, or out of the scope of this proceeding</w:t>
      </w:r>
      <w:r w:rsidR="00AF50B7">
        <w:t>.</w:t>
      </w:r>
      <w:r w:rsidR="00AC70A5">
        <w:rPr>
          <w:rStyle w:val="FootnoteReference"/>
        </w:rPr>
        <w:footnoteReference w:id="36"/>
      </w:r>
      <w:r w:rsidR="009E273E">
        <w:t xml:space="preserve"> </w:t>
      </w:r>
      <w:r w:rsidRPr="00D332D5" w:rsidR="009E273E">
        <w:t xml:space="preserve">SoCalGas </w:t>
      </w:r>
      <w:r w:rsidR="005C5F3E">
        <w:t xml:space="preserve">argues that it </w:t>
      </w:r>
      <w:r w:rsidRPr="00D332D5" w:rsidR="009E273E">
        <w:t>has consistently maintained an actual capital structure that support</w:t>
      </w:r>
      <w:r w:rsidR="005C5F3E">
        <w:t>s</w:t>
      </w:r>
      <w:r w:rsidRPr="00D332D5" w:rsidR="009E273E">
        <w:t xml:space="preserve"> strong credit investment grade credit ratings, resulting in lower borrowing costs for ratepayers.</w:t>
      </w:r>
      <w:r w:rsidRPr="00D332D5" w:rsidR="009E273E">
        <w:rPr>
          <w:rStyle w:val="FootnoteReference"/>
        </w:rPr>
        <w:footnoteReference w:id="37"/>
      </w:r>
      <w:r w:rsidRPr="00D332D5" w:rsidR="009E273E">
        <w:t xml:space="preserve"> SoCalGas </w:t>
      </w:r>
      <w:r w:rsidR="00BB35E6">
        <w:t xml:space="preserve">further argues that it </w:t>
      </w:r>
      <w:r w:rsidR="00B37FA0">
        <w:t>should</w:t>
      </w:r>
      <w:r w:rsidRPr="00D332D5" w:rsidR="009E273E">
        <w:t xml:space="preserve"> maintain its current capital structure until regulatory under</w:t>
      </w:r>
      <w:r w:rsidR="00A33A4E">
        <w:t>-</w:t>
      </w:r>
      <w:r w:rsidRPr="00D332D5" w:rsidR="009E273E">
        <w:t>collections and customer arrearages have been addressed</w:t>
      </w:r>
      <w:r w:rsidR="00C93A85">
        <w:t>.</w:t>
      </w:r>
      <w:r w:rsidR="00C93A85">
        <w:rPr>
          <w:rStyle w:val="FootnoteReference"/>
        </w:rPr>
        <w:footnoteReference w:id="38"/>
      </w:r>
    </w:p>
    <w:p w:rsidR="0000122C" w:rsidP="0094784F" w:rsidRDefault="0000122C" w14:paraId="1DE4C266" w14:textId="35735243">
      <w:pPr>
        <w:pStyle w:val="Standard"/>
      </w:pPr>
      <w:r>
        <w:t xml:space="preserve">We determine that maintaining </w:t>
      </w:r>
      <w:r w:rsidR="00CD1213">
        <w:t xml:space="preserve">its existing capital structure </w:t>
      </w:r>
      <w:r>
        <w:t>is reasonably sufficient for SoCalGas to maintain a reasonable credit rating and attract capital while ensuring adequate consideration of ratepayer protections.</w:t>
      </w:r>
      <w:r w:rsidR="00F76DD5">
        <w:t xml:space="preserve"> SoCalGas’ authorized capital structure remains 52.00% common equity, 2.</w:t>
      </w:r>
      <w:r w:rsidR="008E40DD">
        <w:t>40</w:t>
      </w:r>
      <w:r w:rsidR="00F76DD5">
        <w:t xml:space="preserve">% preferred equity, and </w:t>
      </w:r>
      <w:r w:rsidR="008E40DD">
        <w:t>45.60% long-term debt.</w:t>
      </w:r>
    </w:p>
    <w:p w:rsidR="0094784F" w:rsidP="006D0D56" w:rsidRDefault="0094784F" w14:paraId="39CF82BC" w14:textId="106CF3B8">
      <w:pPr>
        <w:pStyle w:val="Heading2"/>
      </w:pPr>
      <w:bookmarkStart w:name="_Toc214017361" w:id="14"/>
      <w:r w:rsidRPr="006D0D56">
        <w:t>SCE</w:t>
      </w:r>
      <w:bookmarkEnd w:id="14"/>
    </w:p>
    <w:p w:rsidR="00BD1E48" w:rsidP="00C21706" w:rsidRDefault="00194A11" w14:paraId="1216A16C" w14:textId="645C9853">
      <w:pPr>
        <w:pStyle w:val="Standard"/>
      </w:pPr>
      <w:r>
        <w:t>SCE seeks a test year 2026 ratemaking capital structure of 52.00%</w:t>
      </w:r>
      <w:r w:rsidR="004A62EF">
        <w:t xml:space="preserve"> </w:t>
      </w:r>
      <w:r w:rsidR="0018449C">
        <w:t>common equity</w:t>
      </w:r>
      <w:r w:rsidR="00707448">
        <w:t xml:space="preserve">, </w:t>
      </w:r>
      <w:r w:rsidR="00BC42A5">
        <w:t>5.00% preferred equity, and 43</w:t>
      </w:r>
      <w:r w:rsidR="00584E71">
        <w:t>.00</w:t>
      </w:r>
      <w:r w:rsidR="00BC42A5">
        <w:t>% long-term debt</w:t>
      </w:r>
      <w:r w:rsidR="00584E71">
        <w:t xml:space="preserve">, the same as </w:t>
      </w:r>
      <w:r w:rsidR="00584E71">
        <w:lastRenderedPageBreak/>
        <w:t xml:space="preserve">authorized for test year 2023. </w:t>
      </w:r>
      <w:r w:rsidRPr="00AE3D1D" w:rsidR="00577B10">
        <w:t>SCE</w:t>
      </w:r>
      <w:r w:rsidRPr="00AE3D1D" w:rsidR="00812627">
        <w:t xml:space="preserve"> currently holds a Baa1 rating with a stable outlook from Moody’s and a BBB rating from Fitch. However, Fitch revised its outlook to negative, while S&amp;P </w:t>
      </w:r>
      <w:r w:rsidR="00A93481">
        <w:t>recently</w:t>
      </w:r>
      <w:r w:rsidRPr="00AE3D1D" w:rsidR="00577B10">
        <w:t xml:space="preserve"> </w:t>
      </w:r>
      <w:r w:rsidRPr="00AE3D1D" w:rsidR="00812627">
        <w:t xml:space="preserve">downgraded SCE’s corporate credit rating from BBB to BBB- amid rising </w:t>
      </w:r>
      <w:r w:rsidR="007A1867">
        <w:t xml:space="preserve">liability </w:t>
      </w:r>
      <w:r w:rsidRPr="00AE3D1D" w:rsidR="00812627">
        <w:t>concerns following the Eaton Fire</w:t>
      </w:r>
      <w:r w:rsidR="00812627">
        <w:t>.</w:t>
      </w:r>
      <w:r w:rsidR="00812627">
        <w:rPr>
          <w:rStyle w:val="FootnoteReference"/>
        </w:rPr>
        <w:footnoteReference w:id="39"/>
      </w:r>
      <w:r w:rsidR="00812627">
        <w:t xml:space="preserve"> </w:t>
      </w:r>
      <w:r w:rsidR="00674558">
        <w:t>SCE’s credit rating is considered investment grade.</w:t>
      </w:r>
    </w:p>
    <w:p w:rsidR="005C3585" w:rsidP="00E064C5" w:rsidRDefault="003B1296" w14:paraId="653822AA" w14:textId="3A3B76C8">
      <w:r>
        <w:t>S</w:t>
      </w:r>
      <w:r w:rsidRPr="00E43740">
        <w:t>everal intervenors</w:t>
      </w:r>
      <w:r w:rsidR="003F0C1B">
        <w:t xml:space="preserve"> </w:t>
      </w:r>
      <w:r w:rsidRPr="00E43740">
        <w:t xml:space="preserve">recommend lowering </w:t>
      </w:r>
      <w:r w:rsidR="003F0C1B">
        <w:t xml:space="preserve">SCE’s </w:t>
      </w:r>
      <w:r w:rsidRPr="00E43740">
        <w:t xml:space="preserve">equity ratio to </w:t>
      </w:r>
      <w:r w:rsidR="003F0C1B">
        <w:t xml:space="preserve">45 - </w:t>
      </w:r>
      <w:r w:rsidRPr="00E43740">
        <w:t>50%</w:t>
      </w:r>
      <w:r w:rsidR="003F0C1B">
        <w:t>.</w:t>
      </w:r>
      <w:r w:rsidR="00A56E5B">
        <w:t xml:space="preserve"> </w:t>
      </w:r>
      <w:r w:rsidR="00223382">
        <w:t xml:space="preserve">EPUC, IS, and TURN </w:t>
      </w:r>
      <w:r w:rsidR="00A63C2A">
        <w:t>co</w:t>
      </w:r>
      <w:r w:rsidR="005F236E">
        <w:t>ntend</w:t>
      </w:r>
      <w:r w:rsidR="00A63C2A">
        <w:t xml:space="preserve"> that </w:t>
      </w:r>
      <w:r w:rsidR="007E0888">
        <w:t xml:space="preserve">the </w:t>
      </w:r>
      <w:r w:rsidR="00A56E5B">
        <w:t>u</w:t>
      </w:r>
      <w:r w:rsidR="00D401D2">
        <w:t>tilities</w:t>
      </w:r>
      <w:r w:rsidRPr="00D4378D" w:rsidR="00223382">
        <w:t xml:space="preserve"> fail to establish that their respective ratemaking capital structure proposals appropriately balance shareholder and ratepayer interests. </w:t>
      </w:r>
      <w:r w:rsidR="00BD604B">
        <w:t xml:space="preserve">EPUC/IS asserts that </w:t>
      </w:r>
      <w:r w:rsidRPr="00D4378D" w:rsidR="00A63C2E">
        <w:t xml:space="preserve">SCE’s proposal to maintain </w:t>
      </w:r>
      <w:r w:rsidR="00A56E5B">
        <w:t xml:space="preserve">a </w:t>
      </w:r>
      <w:r w:rsidRPr="00D4378D" w:rsidR="00A63C2E">
        <w:t>52% common equity ratio reflect hypothetical and inflated estimates of the actual common equity capital that will be used to fund TY 2026 rate base investments.</w:t>
      </w:r>
      <w:r w:rsidR="00167E13">
        <w:rPr>
          <w:rStyle w:val="FootnoteReference"/>
        </w:rPr>
        <w:footnoteReference w:id="40"/>
      </w:r>
      <w:r w:rsidRPr="00D4378D" w:rsidR="00A63C2E">
        <w:t xml:space="preserve"> </w:t>
      </w:r>
      <w:r w:rsidR="007E0888">
        <w:t>EPUC/IS</w:t>
      </w:r>
      <w:r w:rsidR="003F6FBB">
        <w:t xml:space="preserve"> states that </w:t>
      </w:r>
      <w:r w:rsidRPr="006F2E6E" w:rsidR="005C3585">
        <w:t>SCE’s GAAP common equity declined from 47.50% in 2020 to only 39.50% in 2024.</w:t>
      </w:r>
      <w:r w:rsidR="005C3585">
        <w:rPr>
          <w:rStyle w:val="FootnoteReference"/>
        </w:rPr>
        <w:footnoteReference w:id="41"/>
      </w:r>
      <w:r w:rsidR="00536993">
        <w:t xml:space="preserve"> EPUC/IS</w:t>
      </w:r>
      <w:r w:rsidR="00617995">
        <w:t>’</w:t>
      </w:r>
      <w:r w:rsidR="006E3852">
        <w:t>s</w:t>
      </w:r>
      <w:r w:rsidR="00536993">
        <w:t xml:space="preserve"> r</w:t>
      </w:r>
      <w:r w:rsidRPr="006F2E6E" w:rsidR="00536993">
        <w:t xml:space="preserve">ecommended equity ratios for SCE are below </w:t>
      </w:r>
      <w:r w:rsidR="00DE4E28">
        <w:t>SCE’s</w:t>
      </w:r>
      <w:r w:rsidRPr="006F2E6E" w:rsidR="00536993">
        <w:t xml:space="preserve"> proposed 52.00%, but more closely aligned with SCE’s respective GAAP equity ratios.</w:t>
      </w:r>
      <w:r w:rsidR="00536993">
        <w:rPr>
          <w:rStyle w:val="FootnoteReference"/>
        </w:rPr>
        <w:footnoteReference w:id="42"/>
      </w:r>
      <w:r w:rsidRPr="006F2E6E" w:rsidR="00536993">
        <w:t xml:space="preserve"> </w:t>
      </w:r>
    </w:p>
    <w:p w:rsidR="00F913D0" w:rsidP="00F913D0" w:rsidRDefault="00F913D0" w14:paraId="5F86706E" w14:textId="69F06CDF">
      <w:pPr>
        <w:pStyle w:val="Standard"/>
      </w:pPr>
      <w:r>
        <w:t>Cal Advocates argues that SCE’s equity ratio exceeds that of comparable utilities.</w:t>
      </w:r>
      <w:r>
        <w:rPr>
          <w:rStyle w:val="FootnoteReference"/>
        </w:rPr>
        <w:footnoteReference w:id="43"/>
      </w:r>
      <w:r>
        <w:t xml:space="preserve"> </w:t>
      </w:r>
      <w:r w:rsidRPr="007D7919">
        <w:t xml:space="preserve">Cal Advocates </w:t>
      </w:r>
      <w:r>
        <w:t>ultimately supports a</w:t>
      </w:r>
      <w:r w:rsidRPr="007D7919">
        <w:t xml:space="preserve"> capital structure with a 5</w:t>
      </w:r>
      <w:r>
        <w:t>2</w:t>
      </w:r>
      <w:r w:rsidRPr="007D7919">
        <w:t>.00% common equity ratio for the Joint Utilities.</w:t>
      </w:r>
      <w:r w:rsidRPr="007D7919">
        <w:rPr>
          <w:rStyle w:val="FootnoteReference"/>
        </w:rPr>
        <w:footnoteReference w:id="44"/>
      </w:r>
    </w:p>
    <w:p w:rsidR="00292F13" w:rsidP="00DC3A6F" w:rsidRDefault="00292F13" w14:paraId="657D2AA8" w14:textId="28EE6C70">
      <w:r>
        <w:t xml:space="preserve">TURN </w:t>
      </w:r>
      <w:r w:rsidR="00A904D0">
        <w:t>notes that, due</w:t>
      </w:r>
      <w:r w:rsidRPr="00C26EBA" w:rsidR="00A904D0">
        <w:t xml:space="preserve"> to specific equity items subject to capital structure waivers and securitizations</w:t>
      </w:r>
      <w:r w:rsidR="00BB33EA">
        <w:t xml:space="preserve"> that</w:t>
      </w:r>
      <w:r w:rsidR="00F913D0">
        <w:t xml:space="preserve"> </w:t>
      </w:r>
      <w:r w:rsidRPr="00C26EBA" w:rsidR="00A904D0">
        <w:t xml:space="preserve">are not included in </w:t>
      </w:r>
      <w:r w:rsidR="00BB33EA">
        <w:t>SCE’s</w:t>
      </w:r>
      <w:r w:rsidRPr="00C26EBA" w:rsidR="00A904D0">
        <w:t xml:space="preserve"> regulatory capital </w:t>
      </w:r>
      <w:r w:rsidRPr="00C26EBA" w:rsidR="00A904D0">
        <w:lastRenderedPageBreak/>
        <w:t>structure</w:t>
      </w:r>
      <w:r w:rsidR="004C50F1">
        <w:t>,</w:t>
      </w:r>
      <w:r w:rsidR="00A904D0">
        <w:t xml:space="preserve"> </w:t>
      </w:r>
      <w:r w:rsidRPr="00C26EBA" w:rsidR="00A904D0">
        <w:t xml:space="preserve">SCE </w:t>
      </w:r>
      <w:r w:rsidR="00DC3A6F">
        <w:t>has</w:t>
      </w:r>
      <w:r w:rsidRPr="00C26EBA" w:rsidR="00A904D0">
        <w:t xml:space="preserve"> had </w:t>
      </w:r>
      <w:r w:rsidR="00BB33EA">
        <w:t xml:space="preserve">an </w:t>
      </w:r>
      <w:r w:rsidRPr="00C26EBA" w:rsidR="00A904D0">
        <w:t>average book</w:t>
      </w:r>
      <w:r w:rsidR="00A904D0">
        <w:t xml:space="preserve"> </w:t>
      </w:r>
      <w:r w:rsidRPr="00C26EBA" w:rsidR="00A904D0">
        <w:t>equity capital structure</w:t>
      </w:r>
      <w:r w:rsidR="000237B5">
        <w:t xml:space="preserve"> of</w:t>
      </w:r>
      <w:r w:rsidRPr="00C26EBA" w:rsidR="00A904D0">
        <w:t xml:space="preserve"> 42.1%</w:t>
      </w:r>
      <w:r w:rsidR="000237B5">
        <w:t xml:space="preserve"> over the period 2020 - 2024</w:t>
      </w:r>
      <w:r w:rsidR="00B01CA3">
        <w:t xml:space="preserve">, significantly lower than </w:t>
      </w:r>
      <w:r w:rsidR="00056AF4">
        <w:t xml:space="preserve">the </w:t>
      </w:r>
      <w:r w:rsidR="00B01CA3">
        <w:t xml:space="preserve">authorized </w:t>
      </w:r>
      <w:r w:rsidR="00056AF4">
        <w:t>equity ratios</w:t>
      </w:r>
      <w:r w:rsidR="00B01CA3">
        <w:t>.</w:t>
      </w:r>
      <w:r w:rsidR="00B01CA3">
        <w:rPr>
          <w:rStyle w:val="FootnoteReference"/>
        </w:rPr>
        <w:footnoteReference w:id="45"/>
      </w:r>
      <w:r w:rsidR="00B01CA3">
        <w:t xml:space="preserve"> </w:t>
      </w:r>
      <w:r w:rsidR="006F3F27">
        <w:t>TURN recommends that t</w:t>
      </w:r>
      <w:r w:rsidRPr="00C26EBA" w:rsidR="006F3F27">
        <w:t xml:space="preserve">he commission require </w:t>
      </w:r>
      <w:r w:rsidR="00D668AD">
        <w:t>SCE</w:t>
      </w:r>
      <w:r w:rsidRPr="00C26EBA" w:rsidR="006F3F27">
        <w:t xml:space="preserve"> to align </w:t>
      </w:r>
      <w:r w:rsidR="006F3F27">
        <w:t>its</w:t>
      </w:r>
      <w:r w:rsidRPr="00C26EBA" w:rsidR="006F3F27">
        <w:t xml:space="preserve"> book equity capital structures with the authorized </w:t>
      </w:r>
      <w:r w:rsidR="00243748">
        <w:t xml:space="preserve">equity ratio </w:t>
      </w:r>
      <w:r w:rsidRPr="00C26EBA" w:rsidR="006F3F27">
        <w:t>within 18 months of the effective date of this cost of capital proceeding</w:t>
      </w:r>
      <w:r w:rsidR="006F3F27">
        <w:t>.</w:t>
      </w:r>
      <w:r w:rsidR="006F3F27">
        <w:rPr>
          <w:rStyle w:val="FootnoteReference"/>
        </w:rPr>
        <w:footnoteReference w:id="46"/>
      </w:r>
    </w:p>
    <w:p w:rsidR="00072029" w:rsidP="00072029" w:rsidRDefault="00C3767B" w14:paraId="6AAB41B3" w14:textId="35073286">
      <w:pPr>
        <w:pStyle w:val="Standard"/>
      </w:pPr>
      <w:bookmarkStart w:name="_Hlk211343081" w:id="15"/>
      <w:r>
        <w:t xml:space="preserve">As with the other applicants, </w:t>
      </w:r>
      <w:r w:rsidR="00EA3F3D">
        <w:t>Wild Tree</w:t>
      </w:r>
      <w:r>
        <w:t xml:space="preserve"> recommends a capital </w:t>
      </w:r>
      <w:r w:rsidR="005542CD">
        <w:t>structure of no more than 50% common equity.</w:t>
      </w:r>
      <w:r w:rsidRPr="005542CD" w:rsidR="005542CD">
        <w:rPr>
          <w:rStyle w:val="FootnoteReference"/>
        </w:rPr>
        <w:t xml:space="preserve"> </w:t>
      </w:r>
      <w:r w:rsidR="005542CD">
        <w:rPr>
          <w:rStyle w:val="FootnoteReference"/>
        </w:rPr>
        <w:footnoteReference w:id="47"/>
      </w:r>
    </w:p>
    <w:bookmarkEnd w:id="15"/>
    <w:p w:rsidR="00072029" w:rsidP="00072029" w:rsidRDefault="00072029" w14:paraId="47045B53" w14:textId="40869E27">
      <w:pPr>
        <w:pStyle w:val="Standard"/>
      </w:pPr>
      <w:r>
        <w:t>Sierra Club and PCF recommend optimizing capital structures with authorized ROE amounts to achieve target cashflow-to-debt ratios. Sierra Club and PCF recommend an equity ratio of 5</w:t>
      </w:r>
      <w:r w:rsidR="00950113">
        <w:t>4</w:t>
      </w:r>
      <w:r>
        <w:t>.</w:t>
      </w:r>
      <w:r w:rsidR="00950113">
        <w:t>7</w:t>
      </w:r>
      <w:r>
        <w:t xml:space="preserve">% for </w:t>
      </w:r>
      <w:r w:rsidR="00950113">
        <w:t xml:space="preserve">SCE </w:t>
      </w:r>
      <w:r>
        <w:t>though their recommendation of equity ratio is tied to their recommended ROE.</w:t>
      </w:r>
      <w:r>
        <w:rPr>
          <w:rStyle w:val="FootnoteReference"/>
        </w:rPr>
        <w:footnoteReference w:id="48"/>
      </w:r>
    </w:p>
    <w:p w:rsidR="008405E7" w:rsidP="00423B6A" w:rsidRDefault="00072029" w14:paraId="2FCAC749" w14:textId="1438D5F4">
      <w:pPr>
        <w:pStyle w:val="Standard"/>
      </w:pPr>
      <w:r>
        <w:t xml:space="preserve">EDF argues that the </w:t>
      </w:r>
      <w:r w:rsidR="00515BF7">
        <w:t>A</w:t>
      </w:r>
      <w:r>
        <w:t>pplicants have failed to substantiate their recommendations for capital structure. EDF recommends that the Commission adopt a capital structure with at least 55% debt for each utility, which would target BBB credit ratings.</w:t>
      </w:r>
      <w:r>
        <w:rPr>
          <w:rStyle w:val="FootnoteReference"/>
        </w:rPr>
        <w:footnoteReference w:id="49"/>
      </w:r>
    </w:p>
    <w:p w:rsidR="00A330C2" w:rsidP="00423B6A" w:rsidRDefault="00307B65" w14:paraId="6EC8045F" w14:textId="3DF1C9C4">
      <w:pPr>
        <w:pStyle w:val="Standard"/>
      </w:pPr>
      <w:r>
        <w:t xml:space="preserve">SCE argues that any </w:t>
      </w:r>
      <w:r w:rsidR="00C93629">
        <w:t xml:space="preserve">increase in SCE’s leverage </w:t>
      </w:r>
      <w:r w:rsidR="00AA70C5">
        <w:t>would potentially weaken its credit quality and further lower its ratings.</w:t>
      </w:r>
      <w:r w:rsidR="00412FDE">
        <w:rPr>
          <w:rStyle w:val="FootnoteReference"/>
        </w:rPr>
        <w:footnoteReference w:id="50"/>
      </w:r>
      <w:r w:rsidR="00412FDE">
        <w:t xml:space="preserve"> </w:t>
      </w:r>
      <w:r w:rsidR="000B4A57">
        <w:t xml:space="preserve">SCE </w:t>
      </w:r>
      <w:r w:rsidR="00F03C64">
        <w:t xml:space="preserve">asserts that </w:t>
      </w:r>
      <w:r w:rsidR="00767A3D">
        <w:t xml:space="preserve">it would be inappropriate to rely </w:t>
      </w:r>
      <w:r w:rsidR="00512542">
        <w:t>on</w:t>
      </w:r>
      <w:r w:rsidR="00F43E65">
        <w:t xml:space="preserve"> the capital structure of</w:t>
      </w:r>
      <w:r w:rsidR="00512542">
        <w:t xml:space="preserve"> its parent company, EIX</w:t>
      </w:r>
      <w:r w:rsidR="00423B6A">
        <w:t>,</w:t>
      </w:r>
      <w:r w:rsidR="00512542">
        <w:t xml:space="preserve"> to reduce its common equity layer.</w:t>
      </w:r>
      <w:r w:rsidR="00512542">
        <w:rPr>
          <w:rStyle w:val="FootnoteReference"/>
        </w:rPr>
        <w:footnoteReference w:id="51"/>
      </w:r>
      <w:r w:rsidR="007C4A2B">
        <w:t xml:space="preserve"> SCE asserts that</w:t>
      </w:r>
      <w:r w:rsidR="00172BB3">
        <w:t xml:space="preserve"> TURN’s arguments about </w:t>
      </w:r>
      <w:r w:rsidR="00D61B9E">
        <w:lastRenderedPageBreak/>
        <w:t>phantom equity are unfounded, because it has significantly underearned its authorized ROE since at least 2017</w:t>
      </w:r>
      <w:r w:rsidR="00AB4BB4">
        <w:t xml:space="preserve">, and TURN </w:t>
      </w:r>
      <w:r w:rsidR="00FD0560">
        <w:t xml:space="preserve">ignored </w:t>
      </w:r>
      <w:r w:rsidR="001A0FC8">
        <w:t>Commission</w:t>
      </w:r>
      <w:r w:rsidR="00423B6A">
        <w:t>-</w:t>
      </w:r>
      <w:r w:rsidR="001A0FC8">
        <w:t>approved set</w:t>
      </w:r>
      <w:r w:rsidR="00AC11C5">
        <w:t xml:space="preserve">tlements that allowed SCE to </w:t>
      </w:r>
      <w:r w:rsidR="009A5E58">
        <w:t>permanently exclude debt used to finance costs related to the Thomas</w:t>
      </w:r>
      <w:r w:rsidR="00F20E91">
        <w:t xml:space="preserve"> Fire</w:t>
      </w:r>
      <w:r w:rsidR="009A5E58">
        <w:t xml:space="preserve"> and Montecito </w:t>
      </w:r>
      <w:r w:rsidR="00F20E91">
        <w:t>debris flows from its capital ratemaking structure</w:t>
      </w:r>
      <w:r w:rsidR="00D61B9E">
        <w:t>.</w:t>
      </w:r>
      <w:r w:rsidR="00AB4BB4">
        <w:rPr>
          <w:rStyle w:val="FootnoteReference"/>
        </w:rPr>
        <w:footnoteReference w:id="52"/>
      </w:r>
    </w:p>
    <w:p w:rsidR="00CD1213" w:rsidP="00CD1213" w:rsidRDefault="00CD1213" w14:paraId="41D5C9BB" w14:textId="770E2FE2">
      <w:pPr>
        <w:pStyle w:val="Standard"/>
      </w:pPr>
      <w:r>
        <w:t>We determine that maintaining its existing capital structure is reasonably sufficient for SCE to maintain a reasonable credit rating and attract capital while ensuring adequate consideration of ratepayer protections. SCE’s authorized capital structure remains 52.00% common equity, 5.00% preferred equity, and 43.00% long-term debt.</w:t>
      </w:r>
    </w:p>
    <w:p w:rsidRPr="0094784F" w:rsidR="0094784F" w:rsidP="006D0D56" w:rsidRDefault="0094784F" w14:paraId="1606FDA9" w14:textId="061EABA8">
      <w:pPr>
        <w:pStyle w:val="Heading2"/>
      </w:pPr>
      <w:bookmarkStart w:name="_Toc214017362" w:id="16"/>
      <w:r>
        <w:t>SDG&amp;E</w:t>
      </w:r>
      <w:bookmarkEnd w:id="16"/>
    </w:p>
    <w:p w:rsidR="002A4492" w:rsidP="00C21706" w:rsidRDefault="002A4492" w14:paraId="57CBDFBB" w14:textId="14512629">
      <w:pPr>
        <w:pStyle w:val="Standard"/>
      </w:pPr>
      <w:bookmarkStart w:name="_Toc8123721" w:id="17"/>
      <w:r>
        <w:t xml:space="preserve">SDG&amp;E seeks a test year 2026 ratemaking capital structure </w:t>
      </w:r>
      <w:r w:rsidR="00663ABC">
        <w:t xml:space="preserve">that </w:t>
      </w:r>
      <w:r w:rsidR="00185698">
        <w:t>increases common equity to</w:t>
      </w:r>
      <w:r>
        <w:t xml:space="preserve"> </w:t>
      </w:r>
      <w:r w:rsidR="00B46302">
        <w:t>54.00%,</w:t>
      </w:r>
      <w:r w:rsidR="00185698">
        <w:t xml:space="preserve"> decreases preferred equity to</w:t>
      </w:r>
      <w:r w:rsidR="00B46302">
        <w:t xml:space="preserve"> </w:t>
      </w:r>
      <w:r w:rsidR="00C414E0">
        <w:t xml:space="preserve">0.00%, and </w:t>
      </w:r>
      <w:r w:rsidR="00421949">
        <w:t xml:space="preserve">increases long-term debt to </w:t>
      </w:r>
      <w:r w:rsidR="00C414E0">
        <w:t>46.00%.</w:t>
      </w:r>
      <w:r w:rsidR="00491170">
        <w:t xml:space="preserve"> </w:t>
      </w:r>
      <w:r w:rsidR="00C36A32">
        <w:t xml:space="preserve">SDG&amp;E’s current authorization is </w:t>
      </w:r>
      <w:r w:rsidR="00D6396C">
        <w:t>52.00% common equity, 2.75% preferred equity, and 45.25%</w:t>
      </w:r>
      <w:r w:rsidR="000D3058">
        <w:t xml:space="preserve"> long-term debt. </w:t>
      </w:r>
      <w:r w:rsidR="002A5568">
        <w:t>S&amp;P’s corporate credit rating for S</w:t>
      </w:r>
      <w:r w:rsidR="005228B4">
        <w:t>DG&amp;</w:t>
      </w:r>
      <w:r w:rsidR="002A5568">
        <w:t>E is BBB+.</w:t>
      </w:r>
      <w:r w:rsidR="002A5568">
        <w:rPr>
          <w:rStyle w:val="FootnoteReference"/>
        </w:rPr>
        <w:footnoteReference w:id="53"/>
      </w:r>
      <w:r w:rsidR="005228B4">
        <w:t xml:space="preserve"> Moody’s corporate credit rating for SDG&amp;E is A3.</w:t>
      </w:r>
      <w:r w:rsidR="005228B4">
        <w:rPr>
          <w:rStyle w:val="FootnoteReference"/>
        </w:rPr>
        <w:footnoteReference w:id="54"/>
      </w:r>
      <w:r w:rsidR="005228B4">
        <w:t xml:space="preserve"> </w:t>
      </w:r>
      <w:r w:rsidR="00070245">
        <w:t xml:space="preserve">As noted in SDG&amp;E’s </w:t>
      </w:r>
      <w:r w:rsidR="00B36B0D">
        <w:t xml:space="preserve">September 22, 2025, </w:t>
      </w:r>
      <w:r w:rsidR="00070245">
        <w:t xml:space="preserve">motion for </w:t>
      </w:r>
      <w:r w:rsidR="00310527">
        <w:t>admission of exhibit into evidence</w:t>
      </w:r>
      <w:r w:rsidR="00B36B0D">
        <w:t>, o</w:t>
      </w:r>
      <w:r w:rsidR="00147F01">
        <w:t xml:space="preserve">n September 19, 2025, S&amp;P Global Ratings affirmed its credit rating for SDG&amp;E of BBB+ with a stable outlook while lowering SDG&amp;E’s business risk profile </w:t>
      </w:r>
      <w:r w:rsidR="00B27A42">
        <w:t xml:space="preserve">from excellent </w:t>
      </w:r>
      <w:r w:rsidR="00147F01">
        <w:t>to strong</w:t>
      </w:r>
      <w:r w:rsidR="00216A64">
        <w:t>.</w:t>
      </w:r>
      <w:r w:rsidR="00147F01">
        <w:rPr>
          <w:rStyle w:val="FootnoteReference"/>
        </w:rPr>
        <w:footnoteReference w:id="55"/>
      </w:r>
      <w:r w:rsidR="00147F01">
        <w:t xml:space="preserve"> </w:t>
      </w:r>
      <w:r w:rsidR="005228B4">
        <w:t>SDG&amp;E’s credit rating is considered investment grade.</w:t>
      </w:r>
    </w:p>
    <w:p w:rsidR="00C50C73" w:rsidP="0008612A" w:rsidRDefault="007D0BDC" w14:paraId="45ED3577" w14:textId="7A8696AA">
      <w:r>
        <w:lastRenderedPageBreak/>
        <w:t>EPUC</w:t>
      </w:r>
      <w:r w:rsidR="007E715D">
        <w:t>/</w:t>
      </w:r>
      <w:r>
        <w:t>IS argue</w:t>
      </w:r>
      <w:r w:rsidR="00C90FB0">
        <w:t>s</w:t>
      </w:r>
      <w:r>
        <w:t xml:space="preserve"> that </w:t>
      </w:r>
      <w:r w:rsidRPr="00D4378D" w:rsidR="00E5132B">
        <w:t xml:space="preserve">SDG&amp;E’s proposal to increase its common equity ratio to 54% is not </w:t>
      </w:r>
      <w:r w:rsidR="00E5132B">
        <w:t>cost-justified</w:t>
      </w:r>
      <w:r w:rsidR="00B11478">
        <w:t xml:space="preserve"> and that</w:t>
      </w:r>
      <w:r w:rsidRPr="00D4378D" w:rsidR="00E5132B">
        <w:t xml:space="preserve"> the record evidence demonstrates that SDG&amp;E has been able to maintain strong access to capital under reasonable terms and prices with its current equity ratio of 52%.</w:t>
      </w:r>
      <w:r w:rsidR="00B943FE">
        <w:rPr>
          <w:rStyle w:val="FootnoteReference"/>
        </w:rPr>
        <w:footnoteReference w:id="56"/>
      </w:r>
      <w:r w:rsidR="00F47C50">
        <w:t xml:space="preserve"> </w:t>
      </w:r>
      <w:r w:rsidRPr="00D4378D" w:rsidR="00E5132B">
        <w:t xml:space="preserve"> </w:t>
      </w:r>
      <w:r w:rsidR="00C94CD5">
        <w:t>EPUC</w:t>
      </w:r>
      <w:r w:rsidR="009D603A">
        <w:t>/IS</w:t>
      </w:r>
      <w:r w:rsidR="00C94CD5">
        <w:t xml:space="preserve"> also note that a</w:t>
      </w:r>
      <w:r w:rsidRPr="006F2E6E" w:rsidR="00240040">
        <w:t>verage authorized common equity ratios for utilities nationally are between 50.00% and 52.00%</w:t>
      </w:r>
      <w:r w:rsidR="00240040">
        <w:rPr>
          <w:rStyle w:val="FootnoteReference"/>
        </w:rPr>
        <w:footnoteReference w:id="57"/>
      </w:r>
      <w:r w:rsidR="00240040">
        <w:t xml:space="preserve"> </w:t>
      </w:r>
      <w:r w:rsidR="00C94CD5">
        <w:t xml:space="preserve">and argue that the </w:t>
      </w:r>
      <w:r w:rsidRPr="00A06060" w:rsidR="00240040">
        <w:t>Commission</w:t>
      </w:r>
      <w:r w:rsidR="00240040">
        <w:t xml:space="preserve"> should </w:t>
      </w:r>
      <w:r w:rsidRPr="00A06060" w:rsidR="00240040">
        <w:t>maintain SDG&amp;E’s currently authorized ratemaking capital structure, which was last approved</w:t>
      </w:r>
      <w:r w:rsidR="00240040">
        <w:t xml:space="preserve"> </w:t>
      </w:r>
      <w:r w:rsidRPr="00A06060" w:rsidR="00240040">
        <w:t>in the TY 2023 Cost of Capital proceeding.</w:t>
      </w:r>
      <w:r w:rsidR="00240040">
        <w:rPr>
          <w:rStyle w:val="FootnoteReference"/>
        </w:rPr>
        <w:footnoteReference w:id="58"/>
      </w:r>
      <w:r w:rsidR="00240040">
        <w:t xml:space="preserve"> </w:t>
      </w:r>
      <w:r w:rsidR="00C50C73">
        <w:t>EPUC/IS argues that SDG&amp;E</w:t>
      </w:r>
    </w:p>
    <w:p w:rsidR="00E5132B" w:rsidP="00497F90" w:rsidRDefault="0043200F" w14:paraId="78C1FDA7" w14:textId="60CE1639">
      <w:pPr>
        <w:ind w:firstLine="0"/>
      </w:pPr>
      <w:r w:rsidRPr="00215974">
        <w:t>fail</w:t>
      </w:r>
      <w:r w:rsidR="00497F90">
        <w:t>s</w:t>
      </w:r>
      <w:r w:rsidRPr="00215974">
        <w:t xml:space="preserve"> to demonstrate that its proposal to maintain its authorized common equity ratio adequately balances the interests of shareholders and ratepayers</w:t>
      </w:r>
      <w:r>
        <w:t>.</w:t>
      </w:r>
      <w:r>
        <w:rPr>
          <w:rStyle w:val="FootnoteReference"/>
        </w:rPr>
        <w:footnoteReference w:id="59"/>
      </w:r>
      <w:r w:rsidRPr="00215974">
        <w:t xml:space="preserve"> </w:t>
      </w:r>
    </w:p>
    <w:p w:rsidR="00D62CFE" w:rsidP="000427F5" w:rsidRDefault="00D62CFE" w14:paraId="748B6711" w14:textId="7844DF77">
      <w:r w:rsidRPr="008475F9">
        <w:t xml:space="preserve">TURN notes </w:t>
      </w:r>
      <w:r>
        <w:t xml:space="preserve">that SDG&amp;E </w:t>
      </w:r>
      <w:r w:rsidRPr="008475F9">
        <w:t>has averaged</w:t>
      </w:r>
      <w:r w:rsidR="00B13D19">
        <w:t xml:space="preserve"> a</w:t>
      </w:r>
      <w:r w:rsidRPr="008475F9">
        <w:t xml:space="preserve"> 55.6%</w:t>
      </w:r>
      <w:r w:rsidR="005E7E5B">
        <w:t xml:space="preserve"> equity ratio</w:t>
      </w:r>
      <w:r w:rsidRPr="008475F9">
        <w:t xml:space="preserve"> since 2018, with SoCalGas averaging</w:t>
      </w:r>
      <w:r w:rsidR="005E7E5B">
        <w:t xml:space="preserve"> a</w:t>
      </w:r>
      <w:r w:rsidRPr="008475F9">
        <w:t xml:space="preserve"> 53% </w:t>
      </w:r>
      <w:r w:rsidR="005E7E5B">
        <w:t xml:space="preserve">equity ratio </w:t>
      </w:r>
      <w:r w:rsidRPr="008475F9">
        <w:t>over the same period. T</w:t>
      </w:r>
      <w:r w:rsidR="005E7E5B">
        <w:t>URN notes that t</w:t>
      </w:r>
      <w:r w:rsidRPr="008475F9">
        <w:t>he Commission has not required these elevated ratios</w:t>
      </w:r>
      <w:r w:rsidR="0040349A">
        <w:t xml:space="preserve"> and suggest</w:t>
      </w:r>
      <w:r w:rsidR="0016388D">
        <w:t>s</w:t>
      </w:r>
      <w:r w:rsidR="0040349A">
        <w:t xml:space="preserve"> that</w:t>
      </w:r>
      <w:r w:rsidRPr="008475F9">
        <w:t xml:space="preserve"> SDG&amp;E and SoCalGas likely maintain them to strengthen their balance sheets and reduce financial risk for their parent company, Sempra, which offsets stable utility earnings in California and Texas against riskier midstream operations. </w:t>
      </w:r>
      <w:r w:rsidR="000D0BDF">
        <w:t xml:space="preserve">TURN </w:t>
      </w:r>
      <w:r w:rsidR="00522AD7">
        <w:t xml:space="preserve">also </w:t>
      </w:r>
      <w:r w:rsidR="000D0BDF">
        <w:t>notes that i</w:t>
      </w:r>
      <w:r w:rsidRPr="008475F9">
        <w:t>n 2024, Sempra’s consolidated equity ratio was 51.3%</w:t>
      </w:r>
      <w:r w:rsidR="00BC333E">
        <w:t xml:space="preserve"> and that, d</w:t>
      </w:r>
      <w:r w:rsidRPr="008475F9">
        <w:t xml:space="preserve">espite having a higher book equity ratio than authorized since its 2013 Cost of Capital, SDG&amp;E has earned or over-earned its authorized return by an average of 70 </w:t>
      </w:r>
      <w:r w:rsidR="00255CAB">
        <w:t>basis points (</w:t>
      </w:r>
      <w:r w:rsidRPr="008475F9">
        <w:t>bps</w:t>
      </w:r>
      <w:r w:rsidR="00255CAB">
        <w:t>)</w:t>
      </w:r>
      <w:r w:rsidRPr="008475F9">
        <w:t xml:space="preserve"> since 2013.</w:t>
      </w:r>
      <w:r w:rsidRPr="008475F9">
        <w:rPr>
          <w:rStyle w:val="FootnoteReference"/>
        </w:rPr>
        <w:footnoteReference w:id="60"/>
      </w:r>
      <w:r w:rsidRPr="008475F9">
        <w:t xml:space="preserve"> However, </w:t>
      </w:r>
      <w:r w:rsidR="005B30A6">
        <w:t xml:space="preserve">TURN notes that </w:t>
      </w:r>
      <w:r w:rsidR="000E738A">
        <w:t xml:space="preserve">the </w:t>
      </w:r>
      <w:r w:rsidRPr="008475F9">
        <w:t>Commission has not supported authorized equity capital structures higher than</w:t>
      </w:r>
      <w:r>
        <w:t xml:space="preserve"> </w:t>
      </w:r>
      <w:r w:rsidRPr="008475F9">
        <w:lastRenderedPageBreak/>
        <w:t>is necessary</w:t>
      </w:r>
      <w:r>
        <w:t>, and rejected SDG&amp;E</w:t>
      </w:r>
      <w:r w:rsidR="009C7F67">
        <w:t>’s</w:t>
      </w:r>
      <w:r>
        <w:t xml:space="preserve"> similar request in previous proceeding</w:t>
      </w:r>
      <w:r w:rsidR="000427F5">
        <w:t xml:space="preserve"> and</w:t>
      </w:r>
      <w:r w:rsidR="00BC333E">
        <w:t xml:space="preserve"> TURN argues that the Commission </w:t>
      </w:r>
      <w:r>
        <w:t>should continue to do so.</w:t>
      </w:r>
      <w:r>
        <w:rPr>
          <w:rStyle w:val="FootnoteReference"/>
        </w:rPr>
        <w:footnoteReference w:id="61"/>
      </w:r>
    </w:p>
    <w:p w:rsidRPr="00532D1B" w:rsidR="00532D1B" w:rsidP="00532D1B" w:rsidRDefault="00532D1B" w14:paraId="3C0055CE" w14:textId="784CE238">
      <w:pPr>
        <w:pStyle w:val="Standard"/>
      </w:pPr>
      <w:r w:rsidRPr="00532D1B">
        <w:t>Cal Advocates argues that S</w:t>
      </w:r>
      <w:r>
        <w:t>DG&amp;</w:t>
      </w:r>
      <w:r w:rsidRPr="00532D1B">
        <w:t>E’s equity ratio exceeds that of comparable utilities.</w:t>
      </w:r>
      <w:r w:rsidRPr="00532D1B">
        <w:rPr>
          <w:vertAlign w:val="superscript"/>
        </w:rPr>
        <w:footnoteReference w:id="62"/>
      </w:r>
      <w:r w:rsidRPr="00532D1B">
        <w:t xml:space="preserve"> Cal Advocates ultimately supports a capital structure with a 52.00% common equity ratio for the Joint Utilities.</w:t>
      </w:r>
      <w:r w:rsidRPr="00532D1B">
        <w:rPr>
          <w:vertAlign w:val="superscript"/>
        </w:rPr>
        <w:footnoteReference w:id="63"/>
      </w:r>
    </w:p>
    <w:p w:rsidR="00D62CFE" w:rsidP="00FD0950" w:rsidRDefault="00916D64" w14:paraId="27FB7384" w14:textId="5CF31F88">
      <w:r>
        <w:t xml:space="preserve">UCAN opposes SDG&amp;E's proposal </w:t>
      </w:r>
      <w:r w:rsidR="002D6A03">
        <w:t xml:space="preserve">to align its </w:t>
      </w:r>
      <w:r>
        <w:t>capit</w:t>
      </w:r>
      <w:r w:rsidR="002659B4">
        <w:t>al</w:t>
      </w:r>
      <w:r>
        <w:t xml:space="preserve"> structure </w:t>
      </w:r>
      <w:r w:rsidRPr="00E45162">
        <w:t xml:space="preserve">with SDG&amp;E’s actual five-year average. </w:t>
      </w:r>
      <w:r>
        <w:t xml:space="preserve"> UCAN notes </w:t>
      </w:r>
      <w:r w:rsidR="00E94868">
        <w:t xml:space="preserve">the Commission has stated that it is </w:t>
      </w:r>
      <w:r w:rsidRPr="00E45162">
        <w:t>“the policy of the Commission for the authorization of an IOU’s capital structure to be in the public interest of the ratepayers of California</w:t>
      </w:r>
      <w:r w:rsidR="00F9217F">
        <w:t>.</w:t>
      </w:r>
      <w:r w:rsidRPr="00E45162">
        <w:t>”</w:t>
      </w:r>
      <w:r w:rsidR="0027296C">
        <w:rPr>
          <w:rStyle w:val="FootnoteReference"/>
        </w:rPr>
        <w:footnoteReference w:id="64"/>
      </w:r>
      <w:r w:rsidRPr="00E45162">
        <w:t xml:space="preserve"> </w:t>
      </w:r>
      <w:r w:rsidR="00635ACE">
        <w:t xml:space="preserve">UCAN argues that </w:t>
      </w:r>
      <w:r w:rsidRPr="00E45162">
        <w:t>SDG&amp;E ratepayers would have to pay more due to a higher cost of capital from more equity in the capital structure compared to the current authorized capital structure.</w:t>
      </w:r>
      <w:r w:rsidRPr="00E45162">
        <w:rPr>
          <w:rStyle w:val="FootnoteReference"/>
        </w:rPr>
        <w:footnoteReference w:id="65"/>
      </w:r>
      <w:r w:rsidRPr="00E45162">
        <w:t xml:space="preserve">  </w:t>
      </w:r>
      <w:r>
        <w:t xml:space="preserve">Therefore, UCAN recommends a capital structure of 48% of </w:t>
      </w:r>
      <w:r w:rsidR="002536A0">
        <w:t>L</w:t>
      </w:r>
      <w:r w:rsidR="00FA4EB5">
        <w:t xml:space="preserve">ong-term </w:t>
      </w:r>
      <w:r>
        <w:t>debt and 52% common equity for SDG&amp;E.</w:t>
      </w:r>
      <w:r>
        <w:rPr>
          <w:rStyle w:val="FootnoteReference"/>
        </w:rPr>
        <w:footnoteReference w:id="66"/>
      </w:r>
    </w:p>
    <w:p w:rsidR="0041727F" w:rsidP="00543007" w:rsidRDefault="00543007" w14:paraId="1177C713" w14:textId="7B189963">
      <w:pPr>
        <w:pStyle w:val="Standard"/>
      </w:pPr>
      <w:r>
        <w:t xml:space="preserve">As with the other applicants, </w:t>
      </w:r>
      <w:r w:rsidR="00EA3F3D">
        <w:t>Wild Tree</w:t>
      </w:r>
      <w:r>
        <w:t xml:space="preserve"> recommends a capital structure of no more than 50% common equity.</w:t>
      </w:r>
      <w:r w:rsidR="0041727F">
        <w:rPr>
          <w:rStyle w:val="FootnoteReference"/>
        </w:rPr>
        <w:footnoteReference w:id="67"/>
      </w:r>
    </w:p>
    <w:p w:rsidR="0041727F" w:rsidP="0041727F" w:rsidRDefault="0041727F" w14:paraId="3B1CD056" w14:textId="3ED8B9E5">
      <w:pPr>
        <w:pStyle w:val="Standard"/>
      </w:pPr>
      <w:r>
        <w:t xml:space="preserve">Sierra Club and PCF recommend optimizing capital structures with authorized ROE amounts to achieve target cashflow-to-debt ratios. Sierra Club </w:t>
      </w:r>
      <w:r>
        <w:lastRenderedPageBreak/>
        <w:t>and PCF recommend an equity ratio of 5</w:t>
      </w:r>
      <w:r w:rsidR="00EC069C">
        <w:t>2</w:t>
      </w:r>
      <w:r>
        <w:t>.</w:t>
      </w:r>
      <w:r w:rsidR="00EC069C">
        <w:t>6</w:t>
      </w:r>
      <w:r>
        <w:t>% for S</w:t>
      </w:r>
      <w:r w:rsidR="00EC069C">
        <w:t>DG&amp;E</w:t>
      </w:r>
      <w:r>
        <w:t xml:space="preserve"> though their recommendation of equity ratio is tied to their recommended ROE.</w:t>
      </w:r>
      <w:r>
        <w:rPr>
          <w:rStyle w:val="FootnoteReference"/>
        </w:rPr>
        <w:footnoteReference w:id="68"/>
      </w:r>
    </w:p>
    <w:p w:rsidR="00334AE7" w:rsidP="0041727F" w:rsidRDefault="00334AE7" w14:paraId="4383D6C2" w14:textId="300AA5D9">
      <w:pPr>
        <w:pStyle w:val="Standard"/>
      </w:pPr>
      <w:r>
        <w:t xml:space="preserve">The CCAs </w:t>
      </w:r>
      <w:r w:rsidR="00476F70">
        <w:t>assert that SDG&amp;E</w:t>
      </w:r>
      <w:r w:rsidR="003F4AD7">
        <w:t xml:space="preserve">’s requested </w:t>
      </w:r>
      <w:r w:rsidR="00CA3DDD">
        <w:t xml:space="preserve">equity ratio is </w:t>
      </w:r>
      <w:r w:rsidR="00A700F9">
        <w:t>unsupported and contrary to the public interest</w:t>
      </w:r>
      <w:r w:rsidR="00B81088">
        <w:t xml:space="preserve">, and request that the Commission deny </w:t>
      </w:r>
      <w:r w:rsidR="0008324B">
        <w:t>SDG&amp;E’s equity ratio increase</w:t>
      </w:r>
      <w:r w:rsidR="00A700F9">
        <w:t>.</w:t>
      </w:r>
      <w:r w:rsidR="00A700F9">
        <w:rPr>
          <w:rStyle w:val="FootnoteReference"/>
        </w:rPr>
        <w:footnoteReference w:id="69"/>
      </w:r>
      <w:r w:rsidR="00A700F9">
        <w:t xml:space="preserve"> </w:t>
      </w:r>
    </w:p>
    <w:p w:rsidR="0041727F" w:rsidP="00543007" w:rsidRDefault="0041727F" w14:paraId="485B49FB" w14:textId="16D0E60C">
      <w:pPr>
        <w:pStyle w:val="Standard"/>
      </w:pPr>
      <w:r>
        <w:t xml:space="preserve">EDF argues that the </w:t>
      </w:r>
      <w:r w:rsidR="00E1299E">
        <w:t>A</w:t>
      </w:r>
      <w:r>
        <w:t>pplicants have failed to substantiate their recommendations for capital structure. EDF recommends that the Commission adopt a capital structure with at least 55% debt for each utility, which would target BBB credit ratings.</w:t>
      </w:r>
      <w:r>
        <w:rPr>
          <w:rStyle w:val="FootnoteReference"/>
        </w:rPr>
        <w:footnoteReference w:id="70"/>
      </w:r>
    </w:p>
    <w:p w:rsidR="00875D02" w:rsidP="00875D02" w:rsidRDefault="00875D02" w14:paraId="48783AB0" w14:textId="22CA009E">
      <w:r w:rsidRPr="009054CC">
        <w:t>SDG&amp;E</w:t>
      </w:r>
      <w:r w:rsidR="0052320D">
        <w:t xml:space="preserve"> </w:t>
      </w:r>
      <w:r w:rsidRPr="008F7B1A" w:rsidR="00346E30">
        <w:t>contends that the intervenors’ analysis</w:t>
      </w:r>
      <w:r w:rsidR="00346E30">
        <w:t xml:space="preserve">, </w:t>
      </w:r>
      <w:r w:rsidRPr="008F7B1A" w:rsidR="00346E30">
        <w:t>based on the capital structures of parent holding companies that may also finance unregulated operations</w:t>
      </w:r>
      <w:r w:rsidR="00346E30">
        <w:t xml:space="preserve">, </w:t>
      </w:r>
      <w:r w:rsidRPr="008F7B1A" w:rsidR="00346E30">
        <w:t xml:space="preserve">leads to flawed and misleading conclusions. </w:t>
      </w:r>
      <w:r w:rsidRPr="009054CC" w:rsidR="00E37DC1">
        <w:t>SDG&amp;E</w:t>
      </w:r>
      <w:r w:rsidRPr="009054CC">
        <w:t xml:space="preserve"> </w:t>
      </w:r>
      <w:r w:rsidR="006224A1">
        <w:t xml:space="preserve">argues that it </w:t>
      </w:r>
      <w:r w:rsidRPr="009054CC">
        <w:t xml:space="preserve">faces rising financial pressure, with under-collected balances </w:t>
      </w:r>
      <w:r w:rsidR="00D04C2D">
        <w:t xml:space="preserve">at $1.4 billion </w:t>
      </w:r>
      <w:r w:rsidR="005D793E">
        <w:t xml:space="preserve">in June 2025 compared to a historical average of </w:t>
      </w:r>
      <w:r w:rsidRPr="009054CC">
        <w:t>$300</w:t>
      </w:r>
      <w:r w:rsidR="00C8440C">
        <w:t xml:space="preserve"> million</w:t>
      </w:r>
      <w:r w:rsidRPr="009054CC">
        <w:t xml:space="preserve">. </w:t>
      </w:r>
      <w:r w:rsidR="006224A1">
        <w:t>SDG&amp;E argues that its p</w:t>
      </w:r>
      <w:r w:rsidR="00C43D4B">
        <w:t xml:space="preserve">roposed capital structure </w:t>
      </w:r>
      <w:r w:rsidR="00D67B45">
        <w:t>aligns</w:t>
      </w:r>
      <w:r w:rsidR="00C43D4B">
        <w:t xml:space="preserve"> with a</w:t>
      </w:r>
      <w:r w:rsidRPr="00072D03" w:rsidR="00072D03">
        <w:t xml:space="preserve">ctual capital structure </w:t>
      </w:r>
      <w:r w:rsidR="00D67B45">
        <w:t>at 54%</w:t>
      </w:r>
      <w:r w:rsidR="006224A1">
        <w:t>,</w:t>
      </w:r>
      <w:r w:rsidR="00467D3F">
        <w:t xml:space="preserve"> </w:t>
      </w:r>
      <w:r w:rsidR="00D67B45">
        <w:t>helping</w:t>
      </w:r>
      <w:r w:rsidR="00467D3F">
        <w:t xml:space="preserve"> SDG&amp;E manage </w:t>
      </w:r>
      <w:r w:rsidR="00781F91">
        <w:t>its</w:t>
      </w:r>
      <w:r w:rsidR="00467D3F">
        <w:t xml:space="preserve"> </w:t>
      </w:r>
      <w:r w:rsidR="00781F91">
        <w:t>risk</w:t>
      </w:r>
      <w:r w:rsidR="006224A1">
        <w:t>,</w:t>
      </w:r>
      <w:r w:rsidR="008037AE">
        <w:t xml:space="preserve"> </w:t>
      </w:r>
      <w:r w:rsidR="00D67B45">
        <w:t>buttressing</w:t>
      </w:r>
      <w:r w:rsidRPr="00072D03" w:rsidR="00072D03">
        <w:t xml:space="preserve"> the Company’s credit ratings</w:t>
      </w:r>
      <w:r w:rsidR="008037AE">
        <w:t>,</w:t>
      </w:r>
      <w:r w:rsidR="006224A1">
        <w:t xml:space="preserve"> and</w:t>
      </w:r>
      <w:r w:rsidR="008037AE">
        <w:t xml:space="preserve"> </w:t>
      </w:r>
      <w:r w:rsidRPr="00072D03" w:rsidR="00072D03">
        <w:t>providing a</w:t>
      </w:r>
      <w:r w:rsidR="00072D03">
        <w:t xml:space="preserve"> </w:t>
      </w:r>
      <w:r w:rsidRPr="00072D03" w:rsidR="00072D03">
        <w:t>benefit to ratepayers through lower borrowing costs</w:t>
      </w:r>
      <w:r w:rsidRPr="009054CC">
        <w:t>.</w:t>
      </w:r>
      <w:r w:rsidRPr="009054CC">
        <w:rPr>
          <w:rStyle w:val="FootnoteReference"/>
        </w:rPr>
        <w:footnoteReference w:id="71"/>
      </w:r>
    </w:p>
    <w:p w:rsidRPr="009054CC" w:rsidR="009400F6" w:rsidP="00F277FD" w:rsidRDefault="00F025D4" w14:paraId="4B71C1A4" w14:textId="7F0ECD69">
      <w:pPr>
        <w:pStyle w:val="Standard"/>
      </w:pPr>
      <w:r>
        <w:t xml:space="preserve">We determine that maintaining the existing common equity authorization of 52.00% is reasonably sufficient for SDG&amp;E to maintain a reasonable credit rating and attract capital while ensuring adequate consideration of ratepayer protections. SDG&amp;E’s request to reduce its preferred equity and proportionally increase its </w:t>
      </w:r>
      <w:r w:rsidR="00227ABF">
        <w:t>common</w:t>
      </w:r>
      <w:r>
        <w:t xml:space="preserve"> </w:t>
      </w:r>
      <w:r w:rsidR="00227ABF">
        <w:t>equity</w:t>
      </w:r>
      <w:r w:rsidR="00A1292E">
        <w:t xml:space="preserve"> and long-term debt</w:t>
      </w:r>
      <w:r>
        <w:t xml:space="preserve"> is denied. </w:t>
      </w:r>
      <w:r w:rsidR="00227ABF">
        <w:t>SD</w:t>
      </w:r>
      <w:r>
        <w:t xml:space="preserve">G&amp;E’s authorized </w:t>
      </w:r>
      <w:r>
        <w:lastRenderedPageBreak/>
        <w:t xml:space="preserve">capital structure remains 52.00% common equity, </w:t>
      </w:r>
      <w:r w:rsidR="00227ABF">
        <w:t>2.7</w:t>
      </w:r>
      <w:r>
        <w:t>5% preferred equity, and 4</w:t>
      </w:r>
      <w:r w:rsidR="00227ABF">
        <w:t>5</w:t>
      </w:r>
      <w:r>
        <w:t>.</w:t>
      </w:r>
      <w:r w:rsidR="00227ABF">
        <w:t>25</w:t>
      </w:r>
      <w:r>
        <w:t>% long-term debt.</w:t>
      </w:r>
      <w:r w:rsidR="00A56157">
        <w:t xml:space="preserve"> The authorized </w:t>
      </w:r>
      <w:r w:rsidR="000F437F">
        <w:t>capital structure strikes the appropriate balance of avoiding the credit risk that comes with increased leverage</w:t>
      </w:r>
      <w:r w:rsidR="00A1292E">
        <w:t xml:space="preserve"> while keeping SDG&amp;E’s equity ratio in line with</w:t>
      </w:r>
      <w:r w:rsidR="00B22135">
        <w:t xml:space="preserve"> </w:t>
      </w:r>
      <w:r w:rsidR="006F6607">
        <w:t>similar utilities.</w:t>
      </w:r>
      <w:r w:rsidR="00AA0AB3">
        <w:t xml:space="preserve"> Maintaining the current capital structure is supported by the record and </w:t>
      </w:r>
      <w:r w:rsidR="00296454">
        <w:t xml:space="preserve">is </w:t>
      </w:r>
      <w:r w:rsidR="00AA0AB3">
        <w:t>reasonable.</w:t>
      </w:r>
    </w:p>
    <w:p w:rsidR="00E748E1" w:rsidP="006D0D56" w:rsidRDefault="00E748E1" w14:paraId="74408909" w14:textId="417E24CD">
      <w:pPr>
        <w:pStyle w:val="Heading1"/>
      </w:pPr>
      <w:bookmarkStart w:name="_Toc214017363" w:id="19"/>
      <w:r>
        <w:t xml:space="preserve">Long-Term Debt </w:t>
      </w:r>
      <w:r w:rsidRPr="006D0D56">
        <w:t>and</w:t>
      </w:r>
      <w:r>
        <w:t xml:space="preserve"> Preferred Equity Costs</w:t>
      </w:r>
      <w:bookmarkEnd w:id="19"/>
    </w:p>
    <w:p w:rsidR="00E748E1" w:rsidP="00E748E1" w:rsidRDefault="00E748E1" w14:paraId="744956C3" w14:textId="02A0EBF9">
      <w:pPr>
        <w:pStyle w:val="Standard"/>
      </w:pPr>
      <w:r>
        <w:t>Long-term debt and preferred equity costs are based on actual, or embedded, costs. Future interest rates must be anticipated to reflect projected changes in a utility’s cost caused by the issuance and retirement of long-term debt and preferred equity during the year.</w:t>
      </w:r>
    </w:p>
    <w:p w:rsidR="00E748E1" w:rsidP="00E748E1" w:rsidRDefault="00E748E1" w14:paraId="199A140A" w14:textId="2331605C">
      <w:pPr>
        <w:pStyle w:val="Standard"/>
      </w:pPr>
      <w:r>
        <w:t xml:space="preserve">We recognize that actual interest rates do vary and that our task is to determine </w:t>
      </w:r>
      <w:r w:rsidR="00CC0541">
        <w:t>reasonable debt cost rather than actual cost based on an arbitrary selection of a past figure.</w:t>
      </w:r>
      <w:r w:rsidR="00A66E08">
        <w:rPr>
          <w:rStyle w:val="FootnoteReference"/>
        </w:rPr>
        <w:footnoteReference w:id="72"/>
      </w:r>
      <w:r w:rsidR="0051782A">
        <w:t xml:space="preserve"> Consistent with past practice, we conclude that the latest available interest rate forecast should be used to determine embedded debt cost in </w:t>
      </w:r>
      <w:r w:rsidR="00F82EEC">
        <w:t>this proceeding.</w:t>
      </w:r>
    </w:p>
    <w:p w:rsidR="00F82EEC" w:rsidP="006D0D56" w:rsidRDefault="00F82EEC" w14:paraId="198CC1B3" w14:textId="551254CE">
      <w:pPr>
        <w:pStyle w:val="Heading2"/>
      </w:pPr>
      <w:bookmarkStart w:name="_Toc214017364" w:id="20"/>
      <w:r>
        <w:t>PG&amp;E</w:t>
      </w:r>
      <w:bookmarkEnd w:id="20"/>
    </w:p>
    <w:p w:rsidR="00C15084" w:rsidP="00C15084" w:rsidRDefault="00352749" w14:paraId="3FAEADD1" w14:textId="530A97C2">
      <w:pPr>
        <w:pStyle w:val="Standard"/>
      </w:pPr>
      <w:r>
        <w:t>PG&amp;E’s proposed 2026</w:t>
      </w:r>
      <w:r w:rsidR="00955D9E">
        <w:t xml:space="preserve"> </w:t>
      </w:r>
      <w:r>
        <w:t xml:space="preserve">cost of long-term debt is 5.04% and its </w:t>
      </w:r>
      <w:r w:rsidR="007173FA">
        <w:t xml:space="preserve">proposed </w:t>
      </w:r>
      <w:r>
        <w:t>2026 cost of preferred equity is 5.52%</w:t>
      </w:r>
      <w:r w:rsidR="00F057DB">
        <w:t>.</w:t>
      </w:r>
      <w:r w:rsidR="00F04A4A">
        <w:rPr>
          <w:rStyle w:val="FootnoteReference"/>
        </w:rPr>
        <w:footnoteReference w:id="73"/>
      </w:r>
      <w:r w:rsidR="00D777AF">
        <w:t xml:space="preserve"> </w:t>
      </w:r>
      <w:r w:rsidR="0073026D">
        <w:t xml:space="preserve">PG&amp;E’s methodology for calculating the cost of long-term debt </w:t>
      </w:r>
      <w:r w:rsidR="008E34CA">
        <w:t>is uncontested.</w:t>
      </w:r>
      <w:r w:rsidRPr="008E34CA" w:rsidR="008E34CA">
        <w:rPr>
          <w:rStyle w:val="FootnoteReference"/>
        </w:rPr>
        <w:t xml:space="preserve"> </w:t>
      </w:r>
      <w:r w:rsidR="008E34CA">
        <w:rPr>
          <w:rStyle w:val="FootnoteReference"/>
        </w:rPr>
        <w:footnoteReference w:id="74"/>
      </w:r>
      <w:r w:rsidR="00213162">
        <w:rPr>
          <w:rStyle w:val="FootnoteReference"/>
        </w:rPr>
        <w:t xml:space="preserve"> </w:t>
      </w:r>
      <w:r w:rsidR="00853FFA">
        <w:t xml:space="preserve">Sierra Club/PCF propose a 2026 cost of long-term debt </w:t>
      </w:r>
      <w:r w:rsidR="00F979CA">
        <w:t xml:space="preserve">for PG&amp;E </w:t>
      </w:r>
      <w:r w:rsidR="00853FFA">
        <w:t>of 5.01%</w:t>
      </w:r>
      <w:r w:rsidR="00F601A5">
        <w:t>.</w:t>
      </w:r>
      <w:r w:rsidR="00D3417E">
        <w:rPr>
          <w:rStyle w:val="FootnoteReference"/>
        </w:rPr>
        <w:footnoteReference w:id="75"/>
      </w:r>
      <w:r w:rsidR="00387F29">
        <w:t xml:space="preserve"> Sierra Club/PCF also universally </w:t>
      </w:r>
      <w:r w:rsidR="00387F29">
        <w:lastRenderedPageBreak/>
        <w:t xml:space="preserve">recommended that the Commission retire </w:t>
      </w:r>
      <w:r w:rsidR="007A0E75">
        <w:t>each</w:t>
      </w:r>
      <w:r w:rsidR="00387F29">
        <w:t xml:space="preserve"> applicants’ preferred equity.</w:t>
      </w:r>
      <w:r w:rsidR="00387F29">
        <w:rPr>
          <w:rStyle w:val="FootnoteReference"/>
        </w:rPr>
        <w:footnoteReference w:id="76"/>
      </w:r>
      <w:r w:rsidR="00387F29">
        <w:t xml:space="preserve"> </w:t>
      </w:r>
      <w:r w:rsidR="00A979F4">
        <w:t xml:space="preserve"> PG&amp;E’s cost of preferred equity is</w:t>
      </w:r>
      <w:r w:rsidR="00387F29">
        <w:t xml:space="preserve"> otherwise</w:t>
      </w:r>
      <w:r w:rsidR="00A979F4">
        <w:t xml:space="preserve"> uncontested.</w:t>
      </w:r>
    </w:p>
    <w:p w:rsidR="00F82EEC" w:rsidP="007500CF" w:rsidRDefault="007500CF" w14:paraId="79F3C5A9" w14:textId="5A15134F">
      <w:pPr>
        <w:pStyle w:val="Standard"/>
      </w:pPr>
      <w:r>
        <w:t>PG&amp;E’s proposed 2026 costs of long-term debt and preferred equity are reasonable. The Commission adopts these proposals.</w:t>
      </w:r>
    </w:p>
    <w:p w:rsidR="00F82EEC" w:rsidP="006D0D56" w:rsidRDefault="00F82EEC" w14:paraId="589DDCEB" w14:textId="27E43260">
      <w:pPr>
        <w:pStyle w:val="Heading2"/>
      </w:pPr>
      <w:bookmarkStart w:name="_Toc214017365" w:id="21"/>
      <w:r w:rsidRPr="006D0D56">
        <w:t>SoCalGas</w:t>
      </w:r>
      <w:bookmarkEnd w:id="21"/>
    </w:p>
    <w:p w:rsidR="00C15084" w:rsidP="00C15084" w:rsidRDefault="00C4667A" w14:paraId="0EC4C3EB" w14:textId="1E6A1ACB">
      <w:pPr>
        <w:pStyle w:val="Standard"/>
      </w:pPr>
      <w:r>
        <w:t xml:space="preserve">SoCalGas’ </w:t>
      </w:r>
      <w:r w:rsidR="007173FA">
        <w:t>proposed 2026 cost of long-term debt is 5.02% and its proposed 2026 cost of preferred equity is 6.00%</w:t>
      </w:r>
      <w:r w:rsidR="00E51E29">
        <w:t>.</w:t>
      </w:r>
      <w:r w:rsidR="00CA00BD">
        <w:rPr>
          <w:rStyle w:val="FootnoteReference"/>
        </w:rPr>
        <w:footnoteReference w:id="77"/>
      </w:r>
      <w:r w:rsidR="002233F3">
        <w:t xml:space="preserve"> SoCalGas’ </w:t>
      </w:r>
      <w:r w:rsidR="00E55F08">
        <w:t>proposed 2026 cost of preferred equity is uncontested.</w:t>
      </w:r>
      <w:r w:rsidR="00E55F08">
        <w:rPr>
          <w:rStyle w:val="FootnoteReference"/>
        </w:rPr>
        <w:footnoteReference w:id="78"/>
      </w:r>
      <w:r w:rsidR="00E55F08">
        <w:t xml:space="preserve"> Cal Advocates and PCF</w:t>
      </w:r>
      <w:r w:rsidR="00D96535">
        <w:t xml:space="preserve"> both</w:t>
      </w:r>
      <w:r w:rsidR="000939E1">
        <w:t xml:space="preserve"> recommend </w:t>
      </w:r>
      <w:r w:rsidR="00D96535">
        <w:t xml:space="preserve">a lower 2026 cost of </w:t>
      </w:r>
      <w:r w:rsidR="00335446">
        <w:t>long-term debt for SoCalGas</w:t>
      </w:r>
      <w:r w:rsidR="00156EA6">
        <w:t xml:space="preserve"> based on their respective analyses</w:t>
      </w:r>
      <w:r w:rsidR="00335446">
        <w:t>.</w:t>
      </w:r>
      <w:r w:rsidR="00335446">
        <w:rPr>
          <w:rStyle w:val="FootnoteReference"/>
        </w:rPr>
        <w:footnoteReference w:id="79"/>
      </w:r>
      <w:r w:rsidR="00472C16">
        <w:t xml:space="preserve"> </w:t>
      </w:r>
      <w:r w:rsidR="009C1596">
        <w:t xml:space="preserve">Cal Advocates’ </w:t>
      </w:r>
      <w:r w:rsidR="00CC3EA0">
        <w:t xml:space="preserve">2026 </w:t>
      </w:r>
      <w:r w:rsidR="00B51516">
        <w:t xml:space="preserve">cost of long-term debt recommendations </w:t>
      </w:r>
      <w:r w:rsidR="00EC1DEC">
        <w:t xml:space="preserve">for SoCalGas </w:t>
      </w:r>
      <w:r w:rsidR="00B51516">
        <w:t>are supported with scant</w:t>
      </w:r>
      <w:r w:rsidR="00A846D2">
        <w:t xml:space="preserve"> or conflicting</w:t>
      </w:r>
      <w:r w:rsidR="00B51516">
        <w:t xml:space="preserve"> a</w:t>
      </w:r>
      <w:r w:rsidR="00A846D2">
        <w:t>nalysis, making it challenging to assess their validity</w:t>
      </w:r>
      <w:r w:rsidR="00842791">
        <w:t xml:space="preserve"> and soundness</w:t>
      </w:r>
      <w:r w:rsidR="00B51516">
        <w:t>.</w:t>
      </w:r>
      <w:r w:rsidR="007607FB">
        <w:t xml:space="preserve"> SoCalGas </w:t>
      </w:r>
      <w:r w:rsidR="00700A16">
        <w:t xml:space="preserve">notes that </w:t>
      </w:r>
      <w:r w:rsidR="00594A6A">
        <w:t>PCF’s recommended 2026 cost of long-term debt recommendation is predicated on a</w:t>
      </w:r>
      <w:r w:rsidR="00A95823">
        <w:t xml:space="preserve"> downgrading of SoCalGas’ current A2 credit rating to A3</w:t>
      </w:r>
      <w:r w:rsidR="00090E2E">
        <w:t xml:space="preserve">, which would be expected to </w:t>
      </w:r>
      <w:r w:rsidR="00BA57B0">
        <w:t>increase the cost of long-term debt</w:t>
      </w:r>
      <w:r w:rsidR="00CC3EA0">
        <w:t>.</w:t>
      </w:r>
      <w:r w:rsidR="00124575">
        <w:rPr>
          <w:rStyle w:val="FootnoteReference"/>
        </w:rPr>
        <w:footnoteReference w:id="80"/>
      </w:r>
      <w:r w:rsidR="00B32DF0">
        <w:t xml:space="preserve"> Sierra Club/PCF recommend retiring </w:t>
      </w:r>
      <w:r w:rsidR="000B6417">
        <w:t xml:space="preserve">SoCalGas’s preferred equity </w:t>
      </w:r>
      <w:r w:rsidR="00111B6B">
        <w:t xml:space="preserve">as it currently only has </w:t>
      </w:r>
      <w:r w:rsidR="004732FB">
        <w:t>$21.6 million of preferred equity outstanding</w:t>
      </w:r>
      <w:r w:rsidR="00467E77">
        <w:t xml:space="preserve">, amounting to 0.17% of rate base, </w:t>
      </w:r>
      <w:r w:rsidR="00C20358">
        <w:t xml:space="preserve">and </w:t>
      </w:r>
      <w:r w:rsidR="00BC2A89">
        <w:t xml:space="preserve">since </w:t>
      </w:r>
      <w:r w:rsidR="00EB7D95">
        <w:t xml:space="preserve">its sister company, SDG&amp;E, has recommended eliminating </w:t>
      </w:r>
      <w:r w:rsidR="004D7ACC">
        <w:t>preferred equity from its</w:t>
      </w:r>
      <w:r w:rsidR="00BC3E77">
        <w:t xml:space="preserve"> own</w:t>
      </w:r>
      <w:r w:rsidR="004D7ACC">
        <w:t xml:space="preserve"> capital structure.</w:t>
      </w:r>
      <w:r w:rsidR="004D7ACC">
        <w:rPr>
          <w:rStyle w:val="FootnoteReference"/>
        </w:rPr>
        <w:footnoteReference w:id="81"/>
      </w:r>
    </w:p>
    <w:p w:rsidR="00F82EEC" w:rsidP="00E748E1" w:rsidRDefault="007858BA" w14:paraId="133C0382" w14:textId="281C0217">
      <w:pPr>
        <w:pStyle w:val="Standard"/>
      </w:pPr>
      <w:r>
        <w:lastRenderedPageBreak/>
        <w:t xml:space="preserve">SoCalGas’ proposed 2026 costs of long-term debt and preferred equity are reasonable. The Commission adopts these proposals. </w:t>
      </w:r>
    </w:p>
    <w:p w:rsidR="00F82EEC" w:rsidP="006D0D56" w:rsidRDefault="00F82EEC" w14:paraId="61D3DE21" w14:textId="4BC213EB">
      <w:pPr>
        <w:pStyle w:val="Heading2"/>
      </w:pPr>
      <w:bookmarkStart w:name="_Toc214017366" w:id="22"/>
      <w:r w:rsidRPr="006D0D56">
        <w:t>SCE</w:t>
      </w:r>
      <w:bookmarkEnd w:id="22"/>
    </w:p>
    <w:p w:rsidR="00F96755" w:rsidP="00F96755" w:rsidRDefault="00F96755" w14:paraId="47C52427" w14:textId="1C9BA2ED">
      <w:pPr>
        <w:pStyle w:val="Standard"/>
      </w:pPr>
      <w:r>
        <w:t xml:space="preserve">SCE’s </w:t>
      </w:r>
      <w:r w:rsidR="005238C9">
        <w:t xml:space="preserve">proposed 2026 cost of long-term debt is 4.71% and its </w:t>
      </w:r>
      <w:r w:rsidR="00BA3FB1">
        <w:t xml:space="preserve">proposed </w:t>
      </w:r>
      <w:r w:rsidR="005238C9">
        <w:t>2026 cost of preferred equity is 6.89%</w:t>
      </w:r>
      <w:r w:rsidR="00402E8E">
        <w:t>.</w:t>
      </w:r>
      <w:r w:rsidR="00157CAF">
        <w:rPr>
          <w:rStyle w:val="FootnoteReference"/>
        </w:rPr>
        <w:footnoteReference w:id="82"/>
      </w:r>
      <w:r w:rsidR="00402E8E">
        <w:t xml:space="preserve"> No party contested SCE’s proposed cost of long-term debt and cost of preferred equity.</w:t>
      </w:r>
    </w:p>
    <w:p w:rsidR="00F82EEC" w:rsidP="00402E8E" w:rsidRDefault="00402E8E" w14:paraId="0C3A1B28" w14:textId="19200E02">
      <w:pPr>
        <w:pStyle w:val="Standard"/>
      </w:pPr>
      <w:r>
        <w:t>SCE’s proposed 2026 costs of long-term debt and preferred equity are reasonable. The Commission adopts these proposals.</w:t>
      </w:r>
    </w:p>
    <w:p w:rsidR="00F82EEC" w:rsidP="006D0D56" w:rsidRDefault="00F82EEC" w14:paraId="5E8F5BD7" w14:textId="5D059844">
      <w:pPr>
        <w:pStyle w:val="Heading2"/>
      </w:pPr>
      <w:bookmarkStart w:name="_Toc214017367" w:id="23"/>
      <w:r>
        <w:t>SDG&amp;E</w:t>
      </w:r>
      <w:bookmarkEnd w:id="23"/>
    </w:p>
    <w:p w:rsidR="00C15084" w:rsidP="00C15084" w:rsidRDefault="00116E69" w14:paraId="1E5C94FD" w14:textId="5E0059DA">
      <w:pPr>
        <w:pStyle w:val="Standard"/>
      </w:pPr>
      <w:r>
        <w:t xml:space="preserve">SDG&amp;E’s proposed 2026 cost of long-term debt is </w:t>
      </w:r>
      <w:r w:rsidR="0025273C">
        <w:t>4.59% and</w:t>
      </w:r>
      <w:r w:rsidR="00BA3FB1">
        <w:t xml:space="preserve">, though it </w:t>
      </w:r>
      <w:r w:rsidR="004A05D3">
        <w:t>proposes a 0.00% portion of preferred equity in its capital structure,</w:t>
      </w:r>
      <w:r w:rsidR="0025273C">
        <w:t xml:space="preserve"> </w:t>
      </w:r>
      <w:r w:rsidR="004A05D3">
        <w:t>its</w:t>
      </w:r>
      <w:r w:rsidR="0025273C">
        <w:t xml:space="preserve"> </w:t>
      </w:r>
      <w:r w:rsidR="00BA3FB1">
        <w:t xml:space="preserve">proposed </w:t>
      </w:r>
      <w:r w:rsidR="0025273C">
        <w:t>2026 cost of preferred equity is 6.22%.</w:t>
      </w:r>
      <w:r w:rsidR="007040EC">
        <w:rPr>
          <w:rStyle w:val="FootnoteReference"/>
        </w:rPr>
        <w:footnoteReference w:id="83"/>
      </w:r>
      <w:r w:rsidR="0025273C">
        <w:t xml:space="preserve"> </w:t>
      </w:r>
      <w:r w:rsidR="00AE79DF">
        <w:t>No party contested SDG&amp;E’s proposed cost of long-term debt and cost of preferred equity.</w:t>
      </w:r>
    </w:p>
    <w:p w:rsidR="00F82EEC" w:rsidP="00CA137E" w:rsidRDefault="00CA137E" w14:paraId="52D839FD" w14:textId="720B3810">
      <w:pPr>
        <w:pStyle w:val="Standard"/>
      </w:pPr>
      <w:r>
        <w:t>SDG&amp;E</w:t>
      </w:r>
      <w:r w:rsidR="00BA3FB1">
        <w:t>’</w:t>
      </w:r>
      <w:r>
        <w:t>s proposed 2026 costs of long-term debt and preferred equity are reasonable. The Commission adopts these proposals.</w:t>
      </w:r>
    </w:p>
    <w:p w:rsidR="00F82EEC" w:rsidP="006D0D56" w:rsidRDefault="00F82EEC" w14:paraId="3B85B0E0" w14:textId="77237141">
      <w:pPr>
        <w:pStyle w:val="Heading1"/>
      </w:pPr>
      <w:bookmarkStart w:name="_Toc214017368" w:id="24"/>
      <w:r>
        <w:t xml:space="preserve">Return on </w:t>
      </w:r>
      <w:r w:rsidRPr="006D0D56">
        <w:t>Common</w:t>
      </w:r>
      <w:r>
        <w:t xml:space="preserve"> Equity</w:t>
      </w:r>
      <w:bookmarkEnd w:id="24"/>
    </w:p>
    <w:p w:rsidR="00F82EEC" w:rsidP="00F82EEC" w:rsidRDefault="00F82EEC" w14:paraId="58B99ADC" w14:textId="64C6C2DB">
      <w:pPr>
        <w:pStyle w:val="Standard"/>
      </w:pPr>
      <w:r>
        <w:t xml:space="preserve">The legal standard for setting the fair rate of return has been established by the United States Supreme Court in the </w:t>
      </w:r>
      <w:r w:rsidR="00090B11">
        <w:rPr>
          <w:u w:val="single"/>
        </w:rPr>
        <w:t>Bluefield</w:t>
      </w:r>
      <w:r w:rsidR="00090B11">
        <w:t xml:space="preserve"> and </w:t>
      </w:r>
      <w:r w:rsidR="00090B11">
        <w:rPr>
          <w:u w:val="single"/>
        </w:rPr>
        <w:t>Hope</w:t>
      </w:r>
      <w:r w:rsidR="00090B11">
        <w:t xml:space="preserve"> cases.</w:t>
      </w:r>
      <w:r w:rsidR="00090B11">
        <w:rPr>
          <w:rStyle w:val="FootnoteReference"/>
        </w:rPr>
        <w:footnoteReference w:id="84"/>
      </w:r>
      <w:r w:rsidR="00416598">
        <w:t xml:space="preserve"> The </w:t>
      </w:r>
      <w:r w:rsidR="00416598">
        <w:rPr>
          <w:u w:val="single"/>
        </w:rPr>
        <w:t>Bluefield</w:t>
      </w:r>
      <w:r w:rsidR="00416598">
        <w:t xml:space="preserve"> decision states that a public utility is entitled </w:t>
      </w:r>
      <w:r w:rsidR="00C11998">
        <w:t xml:space="preserve">to earn a return upon the value of its property employed for the convenience of the public and sets forth </w:t>
      </w:r>
      <w:r w:rsidR="00C11998">
        <w:lastRenderedPageBreak/>
        <w:t>parameters to assess a reasonable return.</w:t>
      </w:r>
      <w:r w:rsidR="00B91AD2">
        <w:rPr>
          <w:rStyle w:val="FootnoteReference"/>
        </w:rPr>
        <w:footnoteReference w:id="85"/>
      </w:r>
      <w:r w:rsidR="00134E08">
        <w:t xml:space="preserve"> Such return should be equal to that generally being made at the same time and in the same general part of the country on investments in other business</w:t>
      </w:r>
      <w:r w:rsidRPr="00212EAB" w:rsidR="00134E08">
        <w:t xml:space="preserve"> undertakings</w:t>
      </w:r>
      <w:r w:rsidR="00134E08">
        <w:t xml:space="preserve"> attended by corresponding risks and uncertainties. That return should also be reasonably </w:t>
      </w:r>
      <w:r w:rsidR="007B7B4D">
        <w:t>sufficient to ensure confidence in the financial soundness of the utility, and adequate, under efficient management, to maintain and support its credit and to enable it to raise the money necessary for the proper discharge of its public duties.</w:t>
      </w:r>
    </w:p>
    <w:p w:rsidR="00B22E76" w:rsidP="00F82EEC" w:rsidRDefault="0032326F" w14:paraId="06D623BB" w14:textId="4E70E9CB">
      <w:pPr>
        <w:pStyle w:val="Standard"/>
      </w:pPr>
      <w:r>
        <w:t xml:space="preserve">The </w:t>
      </w:r>
      <w:r>
        <w:rPr>
          <w:u w:val="single"/>
        </w:rPr>
        <w:t>Hope</w:t>
      </w:r>
      <w:r>
        <w:t xml:space="preserve"> decision reinforces the </w:t>
      </w:r>
      <w:r>
        <w:rPr>
          <w:u w:val="single"/>
        </w:rPr>
        <w:t>Bluefield</w:t>
      </w:r>
      <w:r>
        <w:t xml:space="preserve"> decision and emphasizes that such returns should be sufficient to cover capital costs of the business. The capital cost of business includes debt service and equity dividends</w:t>
      </w:r>
      <w:r w:rsidR="00315DE5">
        <w:t>. The return should also be commensurate with returns available on alternative investments of comparable risks. However, in applying these parameters, we must not lose sight of our duty to utility ratepayers to protect them from unreasonable risks</w:t>
      </w:r>
      <w:r w:rsidR="00B22E76">
        <w:t>,</w:t>
      </w:r>
      <w:r w:rsidR="00315DE5">
        <w:t xml:space="preserve"> including risks of imprudent management</w:t>
      </w:r>
      <w:r w:rsidR="00B22E76">
        <w:t>.</w:t>
      </w:r>
      <w:r w:rsidR="00E625F2">
        <w:t xml:space="preserve"> Accordingly, the ROE established by the Commission offers an opportunity </w:t>
      </w:r>
      <w:r w:rsidR="0011331A">
        <w:t xml:space="preserve">for utilities </w:t>
      </w:r>
      <w:r w:rsidR="00E625F2">
        <w:t xml:space="preserve">to earn </w:t>
      </w:r>
      <w:r w:rsidR="00A21F8A">
        <w:t>a certain</w:t>
      </w:r>
      <w:r w:rsidR="00E625F2">
        <w:t xml:space="preserve"> ROE, not a guarantee.</w:t>
      </w:r>
    </w:p>
    <w:p w:rsidR="0032326F" w:rsidP="00F82EEC" w:rsidRDefault="00B22E76" w14:paraId="3C496565" w14:textId="192CD36A">
      <w:pPr>
        <w:pStyle w:val="Standard"/>
      </w:pPr>
      <w:r>
        <w:t>We aim to set the return on equity (ROE) at a level of return commensurate</w:t>
      </w:r>
      <w:r w:rsidR="004B78B9">
        <w:t xml:space="preserve"> with market returns on investments having corresponding risks and adequate to enable a utility to attract investors to finance the replacement and expansion of a utility’s fa</w:t>
      </w:r>
      <w:r w:rsidR="00452680">
        <w:t xml:space="preserve">cilities to fulfill its public utility service obligation. To accomplish this objective, we have consistently evaluated </w:t>
      </w:r>
      <w:r w:rsidR="000A673D">
        <w:t>analytical financial models as a starting point to arrive at a fair ROE.</w:t>
      </w:r>
    </w:p>
    <w:p w:rsidR="000A673D" w:rsidP="006D0D56" w:rsidRDefault="000A673D" w14:paraId="21B7124E" w14:textId="2D8A7670">
      <w:pPr>
        <w:pStyle w:val="Heading2"/>
      </w:pPr>
      <w:bookmarkStart w:name="_Toc214017369" w:id="25"/>
      <w:r>
        <w:lastRenderedPageBreak/>
        <w:t>Proxy Groups</w:t>
      </w:r>
      <w:bookmarkEnd w:id="25"/>
    </w:p>
    <w:p w:rsidR="00824CBA" w:rsidP="00824CBA" w:rsidRDefault="00824CBA" w14:paraId="126AD14E" w14:textId="491D2413">
      <w:pPr>
        <w:pStyle w:val="Standard"/>
      </w:pPr>
      <w:r>
        <w:t>In evaluating the ROE for similar companies, the Commission has historically held that three specific screens should be employed when selecting a comparable proxy group. Those screens are:</w:t>
      </w:r>
    </w:p>
    <w:p w:rsidR="00824CBA" w:rsidP="006D0D56" w:rsidRDefault="00824CBA" w14:paraId="0A626859" w14:textId="0DB9CE69">
      <w:pPr>
        <w:pStyle w:val="Standard"/>
        <w:numPr>
          <w:ilvl w:val="0"/>
          <w:numId w:val="19"/>
        </w:numPr>
        <w:spacing w:after="120" w:line="240" w:lineRule="auto"/>
        <w:ind w:right="1440"/>
      </w:pPr>
      <w:r>
        <w:t>To exclude companies that do not have investment grade credit ratings</w:t>
      </w:r>
      <w:r w:rsidR="006729AB">
        <w:t>,</w:t>
      </w:r>
    </w:p>
    <w:p w:rsidR="006729AB" w:rsidP="006D0D56" w:rsidRDefault="006729AB" w14:paraId="3626293A" w14:textId="6A6CE671">
      <w:pPr>
        <w:pStyle w:val="Standard"/>
        <w:numPr>
          <w:ilvl w:val="0"/>
          <w:numId w:val="19"/>
        </w:numPr>
        <w:spacing w:after="120" w:line="240" w:lineRule="auto"/>
        <w:ind w:right="1440"/>
      </w:pPr>
      <w:r>
        <w:t>To exclude companies that do not have a history of paying dividends, and,</w:t>
      </w:r>
    </w:p>
    <w:p w:rsidR="006729AB" w:rsidP="006D0D56" w:rsidRDefault="008D5DE7" w14:paraId="72D0BA09" w14:textId="342EC9AF">
      <w:pPr>
        <w:pStyle w:val="Standard"/>
        <w:numPr>
          <w:ilvl w:val="0"/>
          <w:numId w:val="19"/>
        </w:numPr>
        <w:ind w:right="1440"/>
      </w:pPr>
      <w:r>
        <w:t>To exclude companies undergoing a restructure or merger.</w:t>
      </w:r>
    </w:p>
    <w:p w:rsidR="008D5DE7" w:rsidP="008D5DE7" w:rsidRDefault="008D5DE7" w14:paraId="3B5ED8ED" w14:textId="04DC15B1">
      <w:pPr>
        <w:pStyle w:val="Standard"/>
      </w:pPr>
      <w:r>
        <w:t>Additional screens are acceptable to the extent that adequate justification is provided.</w:t>
      </w:r>
    </w:p>
    <w:p w:rsidR="008D5DE7" w:rsidP="008D5DE7" w:rsidRDefault="008D5DE7" w14:paraId="4452DD43" w14:textId="3F6E0A3D">
      <w:pPr>
        <w:pStyle w:val="Standard"/>
      </w:pPr>
      <w:r>
        <w:t xml:space="preserve">A proxy, by common definition, is a substitute. Hence, companies selected as a proxy group of a utility should have </w:t>
      </w:r>
      <w:r w:rsidR="00512A8D">
        <w:t xml:space="preserve">characteristics similar to that utility. In order to ensure comparability and reasonableness of financial modeling results, the utilities and companies selected in the proxy group should be exposed to similar risks. </w:t>
      </w:r>
      <w:r w:rsidR="00991A32">
        <w:t>In the record of this proceeding, there tends to be a high level of overlap between the proxy groups proposed by the Applicants and the proxy groups put forth by the intervenors.</w:t>
      </w:r>
    </w:p>
    <w:p w:rsidR="002C1210" w:rsidP="008D5DE7" w:rsidRDefault="0012204C" w14:paraId="4F84561E" w14:textId="29A3D1CF">
      <w:pPr>
        <w:pStyle w:val="Standard"/>
      </w:pPr>
      <w:r>
        <w:t xml:space="preserve">PG&amp;E’s witness </w:t>
      </w:r>
      <w:r w:rsidR="00752694">
        <w:t>analyze</w:t>
      </w:r>
      <w:r w:rsidR="00AD112D">
        <w:t>s</w:t>
      </w:r>
      <w:r w:rsidR="00771FE9">
        <w:t xml:space="preserve"> regulated electric utilities</w:t>
      </w:r>
      <w:r w:rsidR="005A6FE2">
        <w:t xml:space="preserve"> and </w:t>
      </w:r>
      <w:r w:rsidR="00771FE9">
        <w:t>regulated gas</w:t>
      </w:r>
      <w:r w:rsidR="005A6FE2">
        <w:t xml:space="preserve"> </w:t>
      </w:r>
      <w:r w:rsidR="00F41EDC">
        <w:t>utilities.</w:t>
      </w:r>
      <w:r w:rsidR="0000652F">
        <w:rPr>
          <w:rStyle w:val="FootnoteReference"/>
        </w:rPr>
        <w:footnoteReference w:id="86"/>
      </w:r>
      <w:r w:rsidR="00771FE9">
        <w:t xml:space="preserve"> </w:t>
      </w:r>
      <w:r w:rsidR="000C02CE">
        <w:t>EPUC/IS/TURN</w:t>
      </w:r>
      <w:r w:rsidR="00421CEA">
        <w:t xml:space="preserve"> use the same proxy group in their analyses, with the exception of excluding one company.</w:t>
      </w:r>
      <w:r w:rsidR="00EE2132">
        <w:rPr>
          <w:rStyle w:val="FootnoteReference"/>
        </w:rPr>
        <w:footnoteReference w:id="87"/>
      </w:r>
    </w:p>
    <w:p w:rsidR="008904D2" w:rsidP="008904D2" w:rsidRDefault="00E23CEF" w14:paraId="2E99E8CE" w14:textId="1EDF59F8">
      <w:pPr>
        <w:pStyle w:val="Standard"/>
      </w:pPr>
      <w:r>
        <w:t xml:space="preserve">SoCalGas’ witness </w:t>
      </w:r>
      <w:r w:rsidR="008904D2">
        <w:t>notes that</w:t>
      </w:r>
      <w:r w:rsidR="003140C6">
        <w:t xml:space="preserve"> while ROE is a market concept,</w:t>
      </w:r>
      <w:r w:rsidR="008904D2">
        <w:t xml:space="preserve"> SoCalGas is no</w:t>
      </w:r>
      <w:r w:rsidR="00167F0F">
        <w:t>t a publicly traded company</w:t>
      </w:r>
      <w:r w:rsidR="003140C6">
        <w:t xml:space="preserve"> but is instead </w:t>
      </w:r>
      <w:r w:rsidR="00FB0F1E">
        <w:t>a wholly</w:t>
      </w:r>
      <w:r w:rsidR="003140C6">
        <w:t xml:space="preserve"> owned subsidiary</w:t>
      </w:r>
      <w:r w:rsidR="00167F0F">
        <w:t>. As such,</w:t>
      </w:r>
      <w:r w:rsidR="00187A78">
        <w:t xml:space="preserve"> </w:t>
      </w:r>
      <w:r w:rsidR="00F87AEB">
        <w:t xml:space="preserve">SoCalGas’ witness selects seven gas companies </w:t>
      </w:r>
      <w:r w:rsidR="00D95BEB">
        <w:t xml:space="preserve">following screening criteria </w:t>
      </w:r>
      <w:r w:rsidR="00D95BEB">
        <w:lastRenderedPageBreak/>
        <w:t xml:space="preserve">designed to </w:t>
      </w:r>
      <w:r w:rsidR="00001048">
        <w:t xml:space="preserve">select </w:t>
      </w:r>
      <w:r w:rsidR="0007048A">
        <w:t xml:space="preserve">publicly traded </w:t>
      </w:r>
      <w:r w:rsidR="00510C6C">
        <w:t xml:space="preserve">domestic natural gas distribution </w:t>
      </w:r>
      <w:r w:rsidR="00001048">
        <w:t xml:space="preserve">companies that </w:t>
      </w:r>
      <w:r w:rsidR="007F1503">
        <w:t xml:space="preserve">have similar business and operating characteristics </w:t>
      </w:r>
      <w:r w:rsidR="00510C6C">
        <w:t>to</w:t>
      </w:r>
      <w:r w:rsidR="007F1503">
        <w:t xml:space="preserve"> SoCalGas</w:t>
      </w:r>
      <w:r w:rsidR="0007048A">
        <w:t>.</w:t>
      </w:r>
      <w:r w:rsidR="00510C6C">
        <w:rPr>
          <w:rStyle w:val="FootnoteReference"/>
        </w:rPr>
        <w:footnoteReference w:id="88"/>
      </w:r>
      <w:r w:rsidR="00167F0F">
        <w:t xml:space="preserve"> </w:t>
      </w:r>
      <w:r w:rsidR="00B07132">
        <w:t xml:space="preserve">SCGC notes </w:t>
      </w:r>
      <w:r w:rsidR="00F93F73">
        <w:t>the seven companies provided by SoCalGas have 24 gas utility subsidiaries or divisions between, often spanning multiple states.</w:t>
      </w:r>
      <w:r w:rsidR="003533A5">
        <w:t xml:space="preserve"> SCGC further argues that </w:t>
      </w:r>
      <w:r w:rsidR="001A2A05">
        <w:t>SoCalGas</w:t>
      </w:r>
      <w:r w:rsidR="0070116C">
        <w:t xml:space="preserve">’ regulatory risk is not </w:t>
      </w:r>
      <w:r w:rsidR="00E826B5">
        <w:t>higher than th</w:t>
      </w:r>
      <w:r w:rsidR="003515C4">
        <w:t>at</w:t>
      </w:r>
      <w:r w:rsidR="00E826B5">
        <w:t xml:space="preserve"> of the SoCalGas proxy group</w:t>
      </w:r>
      <w:r w:rsidR="003515C4">
        <w:t xml:space="preserve"> companies</w:t>
      </w:r>
      <w:r w:rsidR="0059545F">
        <w:t xml:space="preserve"> and that SoCalGas has </w:t>
      </w:r>
      <w:r w:rsidR="00E148DB">
        <w:t>superior risk mitigation than most of the proxy companies.</w:t>
      </w:r>
      <w:r w:rsidR="00E148DB">
        <w:rPr>
          <w:rStyle w:val="FootnoteReference"/>
        </w:rPr>
        <w:footnoteReference w:id="89"/>
      </w:r>
    </w:p>
    <w:p w:rsidR="00DA3C24" w:rsidP="008904D2" w:rsidRDefault="00DA3C24" w14:paraId="2E1DA356" w14:textId="2543A677">
      <w:pPr>
        <w:pStyle w:val="Standard"/>
      </w:pPr>
      <w:r>
        <w:t xml:space="preserve">SCE’s </w:t>
      </w:r>
      <w:r w:rsidR="00A247E9">
        <w:t xml:space="preserve">witness </w:t>
      </w:r>
      <w:r w:rsidR="005A20F3">
        <w:t>consider</w:t>
      </w:r>
      <w:r w:rsidR="00F047B1">
        <w:t>s</w:t>
      </w:r>
      <w:r w:rsidR="005A20F3">
        <w:t xml:space="preserve"> two proxy groups</w:t>
      </w:r>
      <w:r w:rsidR="00F047B1">
        <w:t xml:space="preserve">. The first proxy group is comprised of </w:t>
      </w:r>
      <w:r w:rsidR="00D64B8D">
        <w:t xml:space="preserve">electric utilities. The second proxy group is comprised of </w:t>
      </w:r>
      <w:r w:rsidR="007E5628">
        <w:t>regulated natural gas and water utilities</w:t>
      </w:r>
      <w:r w:rsidR="00660251">
        <w:t>.</w:t>
      </w:r>
      <w:r w:rsidR="00660251">
        <w:rPr>
          <w:rStyle w:val="FootnoteReference"/>
        </w:rPr>
        <w:footnoteReference w:id="90"/>
      </w:r>
    </w:p>
    <w:p w:rsidR="00C30790" w:rsidP="00826312" w:rsidRDefault="00826312" w14:paraId="02764B41" w14:textId="79053782">
      <w:pPr>
        <w:pStyle w:val="Standard"/>
        <w:ind w:firstLine="0"/>
      </w:pPr>
      <w:r>
        <w:tab/>
        <w:t>S</w:t>
      </w:r>
      <w:r w:rsidR="00F54018">
        <w:t>DG&amp;E</w:t>
      </w:r>
      <w:r>
        <w:t>’</w:t>
      </w:r>
      <w:r w:rsidR="00F54018">
        <w:t>s</w:t>
      </w:r>
      <w:r>
        <w:t xml:space="preserve"> witness notes that while ROE is a market concept, S</w:t>
      </w:r>
      <w:r w:rsidR="006353B0">
        <w:t>DG&amp;E</w:t>
      </w:r>
      <w:r>
        <w:t xml:space="preserve"> is not a publicly traded company but is instead a wholly owned subsidiary. As such, S</w:t>
      </w:r>
      <w:r w:rsidR="00F54018">
        <w:t>DG&amp;E’s</w:t>
      </w:r>
      <w:r>
        <w:t xml:space="preserve"> witness selects </w:t>
      </w:r>
      <w:r w:rsidR="00F54018">
        <w:t>26</w:t>
      </w:r>
      <w:r>
        <w:t xml:space="preserve"> </w:t>
      </w:r>
      <w:r w:rsidR="00BE0D96">
        <w:t>investor-owned domestic electric utility</w:t>
      </w:r>
      <w:r>
        <w:t xml:space="preserve"> companies following screening criteria designed to select publicly traded domestic </w:t>
      </w:r>
      <w:r w:rsidR="006C1574">
        <w:t>electric utility</w:t>
      </w:r>
      <w:r>
        <w:t xml:space="preserve"> companies that have similar business and operating characteristics to S</w:t>
      </w:r>
      <w:r w:rsidR="006C1574">
        <w:t>DG&amp;E</w:t>
      </w:r>
      <w:r>
        <w:t>.</w:t>
      </w:r>
      <w:r>
        <w:rPr>
          <w:rStyle w:val="FootnoteReference"/>
        </w:rPr>
        <w:footnoteReference w:id="91"/>
      </w:r>
      <w:r w:rsidR="00807DBB">
        <w:t xml:space="preserve"> UCAN </w:t>
      </w:r>
      <w:r w:rsidR="00D47249">
        <w:t>starts with</w:t>
      </w:r>
      <w:r w:rsidR="00807DBB">
        <w:t xml:space="preserve"> the same proxy companies as SDG&amp;E’s witness in their analysis</w:t>
      </w:r>
      <w:r w:rsidR="00D47249">
        <w:t xml:space="preserve"> but screens out </w:t>
      </w:r>
      <w:r w:rsidR="00C82E40">
        <w:t>12 companies for owning only electric utilities and not gas utilities.</w:t>
      </w:r>
      <w:r w:rsidR="00D43816">
        <w:rPr>
          <w:rStyle w:val="FootnoteReference"/>
        </w:rPr>
        <w:footnoteReference w:id="92"/>
      </w:r>
    </w:p>
    <w:p w:rsidR="00003E83" w:rsidP="00826312" w:rsidRDefault="00003E83" w14:paraId="2711F3FC" w14:textId="3DBA0E62">
      <w:pPr>
        <w:pStyle w:val="Standard"/>
        <w:ind w:firstLine="0"/>
      </w:pPr>
      <w:r>
        <w:tab/>
      </w:r>
      <w:r w:rsidR="00EA3F3D">
        <w:t>Wild Tree</w:t>
      </w:r>
      <w:r>
        <w:t xml:space="preserve">’s witness uses the same proxy groups </w:t>
      </w:r>
      <w:r w:rsidR="001D5B61">
        <w:t>as PG&amp;E and SDG&amp;E</w:t>
      </w:r>
      <w:r w:rsidR="00FD2DE7">
        <w:t xml:space="preserve"> in its analysis.</w:t>
      </w:r>
      <w:r w:rsidR="00FD2DE7">
        <w:rPr>
          <w:rStyle w:val="FootnoteReference"/>
        </w:rPr>
        <w:footnoteReference w:id="93"/>
      </w:r>
    </w:p>
    <w:p w:rsidR="00690767" w:rsidP="00826312" w:rsidRDefault="009118CF" w14:paraId="22C30343" w14:textId="058AF121">
      <w:pPr>
        <w:pStyle w:val="Standard"/>
        <w:ind w:firstLine="0"/>
      </w:pPr>
      <w:r>
        <w:lastRenderedPageBreak/>
        <w:tab/>
        <w:t xml:space="preserve">Cal Advocates’ witness </w:t>
      </w:r>
      <w:r w:rsidR="00B11BFE">
        <w:t xml:space="preserve">uses the same electric utilities that comprise the proxy groups of the witnesses for the electric utilities. </w:t>
      </w:r>
      <w:r w:rsidR="00490897">
        <w:t>For gas companies, Cal Advocates’ witness gas proxy group consists of eight natural gas distribution companies</w:t>
      </w:r>
      <w:r w:rsidR="005245BE">
        <w:t xml:space="preserve">. However, Cal Advocates’ witness </w:t>
      </w:r>
      <w:r w:rsidR="00123CA4">
        <w:t xml:space="preserve">uses a combination proxy group for gas companies because of the small size of the comparison group of eight </w:t>
      </w:r>
      <w:r w:rsidR="009F166E">
        <w:t>gas companies and consequent concerns around the reliability of ROE results for a group of this size.</w:t>
      </w:r>
      <w:r w:rsidR="009F166E">
        <w:rPr>
          <w:rStyle w:val="FootnoteReference"/>
        </w:rPr>
        <w:footnoteReference w:id="94"/>
      </w:r>
    </w:p>
    <w:p w:rsidR="00C448B8" w:rsidP="006D0D56" w:rsidRDefault="00C448B8" w14:paraId="72BCB79A" w14:textId="12342928">
      <w:pPr>
        <w:pStyle w:val="Heading2"/>
      </w:pPr>
      <w:bookmarkStart w:name="_Toc214017370" w:id="26"/>
      <w:r w:rsidRPr="006D0D56">
        <w:t>Financial</w:t>
      </w:r>
      <w:r>
        <w:t xml:space="preserve"> Models</w:t>
      </w:r>
      <w:bookmarkEnd w:id="26"/>
    </w:p>
    <w:p w:rsidR="00C448B8" w:rsidP="00C448B8" w:rsidRDefault="00C448B8" w14:paraId="047CAF1A" w14:textId="09C52EEA">
      <w:pPr>
        <w:pStyle w:val="Standard"/>
      </w:pPr>
      <w:r>
        <w:t xml:space="preserve">The financial models commonly used </w:t>
      </w:r>
      <w:r w:rsidR="0031420D">
        <w:t xml:space="preserve">for assessing ROE in cost of capital proceedings are the Capital Asset Pricing Model (CAPM), Risk Premium Model (RPM), and Discounted Cash Flow </w:t>
      </w:r>
      <w:r w:rsidR="00AA3E0B">
        <w:t>Model (DCF). Each model requires the exercise of considerable judgment on the reasonableness of the assumptions underlying the model and the reasonableness of the proxies used to validate the results. Detailed descriptions of these financial models are contained in the record and are not repeated here.</w:t>
      </w:r>
    </w:p>
    <w:p w:rsidR="00AA3E0B" w:rsidP="00C448B8" w:rsidRDefault="00AA3E0B" w14:paraId="24896B03" w14:textId="1A3182E0">
      <w:pPr>
        <w:pStyle w:val="Standard"/>
      </w:pPr>
      <w:r>
        <w:t xml:space="preserve">The Commission has historically indicated that </w:t>
      </w:r>
      <w:r w:rsidR="008E7976">
        <w:t>it</w:t>
      </w:r>
      <w:r>
        <w:t xml:space="preserve"> will not litigate the specific mechanics of each proposed model, inputs, and assumptions, and </w:t>
      </w:r>
      <w:r w:rsidR="008E7976">
        <w:t>we</w:t>
      </w:r>
      <w:r>
        <w:t xml:space="preserve"> continue to take this stance</w:t>
      </w:r>
      <w:r w:rsidR="008E7976">
        <w:t xml:space="preserve"> here</w:t>
      </w:r>
      <w:r>
        <w:t xml:space="preserve">. The financial models are applied to a proxy group </w:t>
      </w:r>
      <w:r w:rsidR="00A52E1A">
        <w:t xml:space="preserve">of companies comparable to the respective utility. A contributing factor resulting in </w:t>
      </w:r>
      <w:r w:rsidR="006007B5">
        <w:t>the</w:t>
      </w:r>
      <w:r w:rsidR="00A52E1A">
        <w:t xml:space="preserve"> wide range of financial modeling results is the parties’</w:t>
      </w:r>
      <w:r w:rsidR="00B704B9">
        <w:t xml:space="preserve"> difference</w:t>
      </w:r>
      <w:r w:rsidR="006007B5">
        <w:t>s in assumptions</w:t>
      </w:r>
      <w:r w:rsidR="0037393A">
        <w:t xml:space="preserve">, including differences in the proposed time period of the model as well as the various </w:t>
      </w:r>
      <w:r w:rsidR="009C7D77">
        <w:t>subjective inputs.</w:t>
      </w:r>
    </w:p>
    <w:p w:rsidR="00410348" w:rsidP="006D0D56" w:rsidRDefault="00053750" w14:paraId="17F66942" w14:textId="7811DA74">
      <w:pPr>
        <w:pStyle w:val="Heading3"/>
      </w:pPr>
      <w:bookmarkStart w:name="_Toc214017371" w:id="27"/>
      <w:r>
        <w:lastRenderedPageBreak/>
        <w:t xml:space="preserve">Capital </w:t>
      </w:r>
      <w:r w:rsidRPr="006D0D56">
        <w:t>Asset</w:t>
      </w:r>
      <w:r>
        <w:t xml:space="preserve"> Pricing Model</w:t>
      </w:r>
      <w:bookmarkEnd w:id="27"/>
    </w:p>
    <w:p w:rsidR="00C70E23" w:rsidP="00410B70" w:rsidRDefault="006A0C97" w14:paraId="56E672B0" w14:textId="3E9D1B79">
      <w:pPr>
        <w:pStyle w:val="Standard"/>
      </w:pPr>
      <w:r>
        <w:t xml:space="preserve">The CAPM is a risk premium approach </w:t>
      </w:r>
      <w:r w:rsidR="008579D0">
        <w:t>“based upon the theory that the market-required rate of return for a security is equal to the risk-free rate, plus a risk premium associated with the specific security.”</w:t>
      </w:r>
      <w:r w:rsidR="008579D0">
        <w:rPr>
          <w:rStyle w:val="FootnoteReference"/>
        </w:rPr>
        <w:footnoteReference w:id="95"/>
      </w:r>
      <w:r w:rsidR="008579D0">
        <w:t xml:space="preserve"> </w:t>
      </w:r>
      <w:r w:rsidR="00621F84">
        <w:t>The CAPM</w:t>
      </w:r>
      <w:r>
        <w:t xml:space="preserve"> </w:t>
      </w:r>
      <w:r w:rsidR="00290459">
        <w:t>estimates</w:t>
      </w:r>
      <w:r>
        <w:t xml:space="preserve"> an entity’s cost of equity</w:t>
      </w:r>
      <w:r w:rsidR="00A87FC6">
        <w:t xml:space="preserve"> </w:t>
      </w:r>
      <w:r w:rsidR="00E55638">
        <w:t xml:space="preserve">as the sum of </w:t>
      </w:r>
      <w:r w:rsidR="00E05F8A">
        <w:t xml:space="preserve">the interest rate on a risk-free bond and </w:t>
      </w:r>
      <w:r w:rsidR="009B6342">
        <w:t xml:space="preserve">a </w:t>
      </w:r>
      <w:r w:rsidR="00E05F8A">
        <w:t>risk premium</w:t>
      </w:r>
      <w:r w:rsidR="00621F84">
        <w:t xml:space="preserve">, itself the product of </w:t>
      </w:r>
      <w:r w:rsidR="0039033E">
        <w:t xml:space="preserve">market risk premium and </w:t>
      </w:r>
      <w:r w:rsidR="0039033E">
        <w:rPr>
          <w:i/>
          <w:iCs/>
        </w:rPr>
        <w:t>beta</w:t>
      </w:r>
      <w:r w:rsidR="0039033E">
        <w:t>, a measure of an asset</w:t>
      </w:r>
      <w:r w:rsidR="00C50C40">
        <w:t>’s risk</w:t>
      </w:r>
      <w:r w:rsidR="0039033E">
        <w:t>.</w:t>
      </w:r>
      <w:r w:rsidR="00E05F8A">
        <w:t xml:space="preserve"> </w:t>
      </w:r>
      <w:r w:rsidR="00CF1114">
        <w:t>The i</w:t>
      </w:r>
      <w:r w:rsidR="00C70E23">
        <w:t xml:space="preserve">nputs to the CAPM formula include 1) an estimate of the market risk-free rate, 2) each utility’s </w:t>
      </w:r>
      <w:r w:rsidRPr="00CF1114" w:rsidR="00C70E23">
        <w:rPr>
          <w:i/>
          <w:iCs/>
        </w:rPr>
        <w:t>beta</w:t>
      </w:r>
      <w:r w:rsidR="00C70E23">
        <w:t xml:space="preserve">, and 3) </w:t>
      </w:r>
      <w:r w:rsidR="00CF1114">
        <w:t xml:space="preserve">the </w:t>
      </w:r>
      <w:r w:rsidR="00C70E23">
        <w:t>market risk premium.</w:t>
      </w:r>
      <w:r w:rsidR="00CF1114">
        <w:rPr>
          <w:rStyle w:val="FootnoteReference"/>
        </w:rPr>
        <w:footnoteReference w:id="96"/>
      </w:r>
    </w:p>
    <w:p w:rsidR="00C15084" w:rsidP="00C15084" w:rsidRDefault="00E271FC" w14:paraId="168826C8" w14:textId="74A0B1DC">
      <w:pPr>
        <w:pStyle w:val="Standard"/>
      </w:pPr>
      <w:r>
        <w:t>T</w:t>
      </w:r>
      <w:r w:rsidRPr="00E271FC">
        <w:t>he parties</w:t>
      </w:r>
      <w:r>
        <w:t xml:space="preserve"> used t</w:t>
      </w:r>
      <w:r w:rsidRPr="00E271FC">
        <w:t>wo variations to the CAPM, traditional and empirical CAPMs. The empirical CAPM (ECAPM) is designed to correct for the empirical observation that traditional CAPM does not properly estimate the cost of capital relative to the beta for stocks. However, the ECAPM tends to produce higher overall cost of capital estimates because adjusting betas for electric utilities, which tend to have low betas, upward</w:t>
      </w:r>
      <w:r w:rsidR="00353DA1">
        <w:t>,</w:t>
      </w:r>
      <w:r w:rsidRPr="00E271FC">
        <w:t xml:space="preserve"> guarantees a higher ROE.</w:t>
      </w:r>
      <w:r w:rsidR="00353DA1">
        <w:rPr>
          <w:rStyle w:val="FootnoteReference"/>
        </w:rPr>
        <w:footnoteReference w:id="97"/>
      </w:r>
    </w:p>
    <w:p w:rsidR="00CC256D" w:rsidP="001966B6" w:rsidRDefault="00102C6A" w14:paraId="7ECB3CC8" w14:textId="23BD9616">
      <w:pPr>
        <w:pStyle w:val="Standard"/>
      </w:pPr>
      <w:r>
        <w:t>Each party u</w:t>
      </w:r>
      <w:r w:rsidR="008757C1">
        <w:t>ses</w:t>
      </w:r>
      <w:r>
        <w:t xml:space="preserve"> different</w:t>
      </w:r>
      <w:r w:rsidR="00AE5306">
        <w:t xml:space="preserve"> subjective</w:t>
      </w:r>
      <w:r>
        <w:t xml:space="preserve"> inputs in their </w:t>
      </w:r>
      <w:r w:rsidR="008757C1">
        <w:t xml:space="preserve">CAPM. The following tabulation summarizes the simple average result of the CAPM variations </w:t>
      </w:r>
      <w:r w:rsidR="00B41737">
        <w:t>calculated by the individual parties using subjective inputs.</w:t>
      </w:r>
    </w:p>
    <w:p w:rsidR="00CC256D" w:rsidP="006365C6" w:rsidRDefault="00D438EA" w14:paraId="2C9B0AE3" w14:textId="740A1BD3">
      <w:pPr>
        <w:pStyle w:val="Standard"/>
      </w:pPr>
      <w:r>
        <w:br/>
      </w:r>
      <w:r>
        <w:br/>
      </w:r>
      <w:r>
        <w:br/>
      </w:r>
      <w:r>
        <w:br/>
      </w:r>
    </w:p>
    <w:tbl>
      <w:tblPr>
        <w:tblStyle w:val="TableGrid"/>
        <w:tblW w:w="9625" w:type="dxa"/>
        <w:tblLook w:val="04A0" w:firstRow="1" w:lastRow="0" w:firstColumn="1" w:lastColumn="0" w:noHBand="0" w:noVBand="1"/>
      </w:tblPr>
      <w:tblGrid>
        <w:gridCol w:w="2155"/>
        <w:gridCol w:w="2160"/>
        <w:gridCol w:w="1800"/>
        <w:gridCol w:w="1620"/>
        <w:gridCol w:w="1890"/>
      </w:tblGrid>
      <w:tr w:rsidRPr="00321CCF" w:rsidR="00BA1D03" w:rsidTr="004A26C0" w14:paraId="7F035E6E" w14:textId="77777777">
        <w:tc>
          <w:tcPr>
            <w:tcW w:w="2155" w:type="dxa"/>
          </w:tcPr>
          <w:p w:rsidRPr="00321CCF" w:rsidR="00321CCF" w:rsidP="00321CCF" w:rsidRDefault="00321CCF" w14:paraId="34E130C5" w14:textId="77777777">
            <w:pPr>
              <w:ind w:firstLine="0"/>
              <w:rPr>
                <w:rFonts w:eastAsia="Calibri" w:cs="Times New Roman"/>
                <w:b/>
                <w:bCs/>
              </w:rPr>
            </w:pPr>
            <w:bookmarkStart w:name="_Hlk209097361" w:id="28"/>
          </w:p>
        </w:tc>
        <w:tc>
          <w:tcPr>
            <w:tcW w:w="2160" w:type="dxa"/>
          </w:tcPr>
          <w:p w:rsidRPr="00321CCF" w:rsidR="00321CCF" w:rsidP="00321CCF" w:rsidRDefault="00321CCF" w14:paraId="3E18D4A7" w14:textId="77777777">
            <w:pPr>
              <w:ind w:firstLine="0"/>
              <w:rPr>
                <w:rFonts w:eastAsia="Calibri" w:cs="Times New Roman"/>
                <w:b/>
                <w:bCs/>
              </w:rPr>
            </w:pPr>
            <w:r w:rsidRPr="00321CCF">
              <w:rPr>
                <w:rFonts w:eastAsia="Calibri" w:cs="Times New Roman"/>
                <w:b/>
                <w:bCs/>
              </w:rPr>
              <w:t>PG&amp;E</w:t>
            </w:r>
          </w:p>
        </w:tc>
        <w:tc>
          <w:tcPr>
            <w:tcW w:w="1800" w:type="dxa"/>
          </w:tcPr>
          <w:p w:rsidRPr="00321CCF" w:rsidR="00321CCF" w:rsidP="00321CCF" w:rsidRDefault="00321CCF" w14:paraId="59A2D166" w14:textId="77777777">
            <w:pPr>
              <w:ind w:firstLine="0"/>
              <w:rPr>
                <w:rFonts w:eastAsia="Calibri" w:cs="Times New Roman"/>
                <w:b/>
                <w:bCs/>
              </w:rPr>
            </w:pPr>
            <w:r w:rsidRPr="00321CCF">
              <w:rPr>
                <w:rFonts w:eastAsia="Calibri" w:cs="Times New Roman"/>
                <w:b/>
                <w:bCs/>
              </w:rPr>
              <w:t>SoCalGas</w:t>
            </w:r>
          </w:p>
        </w:tc>
        <w:tc>
          <w:tcPr>
            <w:tcW w:w="1620" w:type="dxa"/>
          </w:tcPr>
          <w:p w:rsidRPr="00321CCF" w:rsidR="00321CCF" w:rsidP="00321CCF" w:rsidRDefault="00321CCF" w14:paraId="564821E0" w14:textId="77777777">
            <w:pPr>
              <w:ind w:firstLine="0"/>
              <w:rPr>
                <w:rFonts w:eastAsia="Calibri" w:cs="Times New Roman"/>
                <w:b/>
                <w:bCs/>
              </w:rPr>
            </w:pPr>
            <w:r w:rsidRPr="00321CCF">
              <w:rPr>
                <w:rFonts w:eastAsia="Calibri" w:cs="Times New Roman"/>
                <w:b/>
                <w:bCs/>
              </w:rPr>
              <w:t>SCE</w:t>
            </w:r>
          </w:p>
        </w:tc>
        <w:tc>
          <w:tcPr>
            <w:tcW w:w="1890" w:type="dxa"/>
          </w:tcPr>
          <w:p w:rsidRPr="00321CCF" w:rsidR="00321CCF" w:rsidP="00321CCF" w:rsidRDefault="00321CCF" w14:paraId="284876D4" w14:textId="77777777">
            <w:pPr>
              <w:ind w:firstLine="0"/>
              <w:rPr>
                <w:rFonts w:eastAsia="Calibri" w:cs="Times New Roman"/>
                <w:b/>
                <w:bCs/>
              </w:rPr>
            </w:pPr>
            <w:r w:rsidRPr="00321CCF">
              <w:rPr>
                <w:rFonts w:eastAsia="Calibri" w:cs="Times New Roman"/>
                <w:b/>
                <w:bCs/>
              </w:rPr>
              <w:t>SDG&amp;E</w:t>
            </w:r>
          </w:p>
        </w:tc>
      </w:tr>
      <w:tr w:rsidRPr="00321CCF" w:rsidR="00BA1D03" w:rsidTr="004A26C0" w14:paraId="177D4ACC" w14:textId="77777777">
        <w:tc>
          <w:tcPr>
            <w:tcW w:w="2155" w:type="dxa"/>
          </w:tcPr>
          <w:p w:rsidRPr="00321CCF" w:rsidR="00321CCF" w:rsidP="00321CCF" w:rsidRDefault="00321CCF" w14:paraId="3F4AA3BD" w14:textId="77777777">
            <w:pPr>
              <w:ind w:firstLine="0"/>
              <w:rPr>
                <w:rFonts w:eastAsia="Calibri" w:cs="Times New Roman"/>
                <w:b/>
                <w:bCs/>
              </w:rPr>
            </w:pPr>
            <w:r w:rsidRPr="00321CCF">
              <w:rPr>
                <w:rFonts w:eastAsia="Calibri" w:cs="Times New Roman"/>
                <w:b/>
                <w:bCs/>
              </w:rPr>
              <w:t>Utility</w:t>
            </w:r>
          </w:p>
        </w:tc>
        <w:tc>
          <w:tcPr>
            <w:tcW w:w="2160" w:type="dxa"/>
          </w:tcPr>
          <w:p w:rsidRPr="00321CCF" w:rsidR="00321CCF" w:rsidP="00321CCF" w:rsidRDefault="00321CCF" w14:paraId="2D785437" w14:textId="4C2D8E7D">
            <w:pPr>
              <w:ind w:firstLine="0"/>
              <w:rPr>
                <w:rFonts w:eastAsia="Calibri" w:cs="Times New Roman"/>
                <w:szCs w:val="26"/>
              </w:rPr>
            </w:pPr>
            <w:r w:rsidRPr="00321CCF">
              <w:rPr>
                <w:rFonts w:eastAsia="Times New Roman" w:cs="Times New Roman"/>
                <w:color w:val="000000"/>
                <w:szCs w:val="26"/>
              </w:rPr>
              <w:t>10.89%-11.66%</w:t>
            </w:r>
            <w:r w:rsidR="00B91B66">
              <w:rPr>
                <w:rStyle w:val="FootnoteReference"/>
                <w:rFonts w:eastAsia="Times New Roman" w:cs="Times New Roman"/>
                <w:color w:val="000000"/>
                <w:szCs w:val="26"/>
              </w:rPr>
              <w:footnoteReference w:id="98"/>
            </w:r>
          </w:p>
        </w:tc>
        <w:tc>
          <w:tcPr>
            <w:tcW w:w="1800" w:type="dxa"/>
          </w:tcPr>
          <w:p w:rsidRPr="00321CCF" w:rsidR="00321CCF" w:rsidP="00321CCF" w:rsidRDefault="00321CCF" w14:paraId="7C43918D" w14:textId="2B86E6E3">
            <w:pPr>
              <w:ind w:firstLine="0"/>
              <w:rPr>
                <w:rFonts w:eastAsia="Calibri" w:cs="Times New Roman"/>
                <w:szCs w:val="26"/>
              </w:rPr>
            </w:pPr>
            <w:r w:rsidRPr="00321CCF">
              <w:rPr>
                <w:rFonts w:eastAsia="Times New Roman" w:cs="Times New Roman"/>
                <w:color w:val="000000"/>
                <w:szCs w:val="26"/>
              </w:rPr>
              <w:t>11.32%</w:t>
            </w:r>
            <w:r w:rsidR="0069135F">
              <w:rPr>
                <w:rStyle w:val="FootnoteReference"/>
                <w:rFonts w:eastAsia="Times New Roman" w:cs="Times New Roman"/>
                <w:color w:val="000000"/>
                <w:szCs w:val="26"/>
              </w:rPr>
              <w:footnoteReference w:id="99"/>
            </w:r>
          </w:p>
        </w:tc>
        <w:tc>
          <w:tcPr>
            <w:tcW w:w="1620" w:type="dxa"/>
          </w:tcPr>
          <w:p w:rsidRPr="00321CCF" w:rsidR="00321CCF" w:rsidP="00321CCF" w:rsidRDefault="00321CCF" w14:paraId="4733CAAE" w14:textId="77221E42">
            <w:pPr>
              <w:ind w:firstLine="0"/>
              <w:rPr>
                <w:rFonts w:eastAsia="Calibri" w:cs="Times New Roman"/>
                <w:szCs w:val="26"/>
              </w:rPr>
            </w:pPr>
            <w:r w:rsidRPr="00321CCF">
              <w:rPr>
                <w:rFonts w:eastAsia="Times New Roman" w:cs="Times New Roman"/>
                <w:color w:val="000000"/>
                <w:szCs w:val="26"/>
              </w:rPr>
              <w:t>9.50-11.75%</w:t>
            </w:r>
            <w:r w:rsidR="00D25EEC">
              <w:rPr>
                <w:rStyle w:val="FootnoteReference"/>
                <w:rFonts w:eastAsia="Times New Roman" w:cs="Times New Roman"/>
                <w:color w:val="000000"/>
                <w:szCs w:val="26"/>
              </w:rPr>
              <w:footnoteReference w:id="100"/>
            </w:r>
          </w:p>
        </w:tc>
        <w:tc>
          <w:tcPr>
            <w:tcW w:w="1890" w:type="dxa"/>
          </w:tcPr>
          <w:p w:rsidRPr="00321CCF" w:rsidR="00321CCF" w:rsidP="00321CCF" w:rsidRDefault="00321CCF" w14:paraId="28F343D0" w14:textId="1F2B836D">
            <w:pPr>
              <w:ind w:firstLine="0"/>
              <w:rPr>
                <w:rFonts w:eastAsia="Calibri" w:cs="Times New Roman"/>
                <w:szCs w:val="26"/>
              </w:rPr>
            </w:pPr>
            <w:r w:rsidRPr="00321CCF">
              <w:rPr>
                <w:rFonts w:eastAsia="Times New Roman" w:cs="Times New Roman"/>
                <w:color w:val="000000"/>
                <w:szCs w:val="26"/>
              </w:rPr>
              <w:t>11.26%</w:t>
            </w:r>
            <w:r w:rsidR="009A33B3">
              <w:rPr>
                <w:rStyle w:val="FootnoteReference"/>
                <w:rFonts w:eastAsia="Times New Roman" w:cs="Times New Roman"/>
                <w:color w:val="000000"/>
                <w:szCs w:val="26"/>
              </w:rPr>
              <w:footnoteReference w:id="101"/>
            </w:r>
          </w:p>
        </w:tc>
      </w:tr>
      <w:tr w:rsidRPr="00321CCF" w:rsidR="00BA1D03" w:rsidTr="004A26C0" w14:paraId="6B9B5A01" w14:textId="77777777">
        <w:tc>
          <w:tcPr>
            <w:tcW w:w="2155" w:type="dxa"/>
          </w:tcPr>
          <w:p w:rsidRPr="00321CCF" w:rsidR="00321CCF" w:rsidP="00321CCF" w:rsidRDefault="00321CCF" w14:paraId="3CAB2B7B" w14:textId="01AEF690">
            <w:pPr>
              <w:ind w:firstLine="0"/>
              <w:rPr>
                <w:rFonts w:eastAsia="Calibri" w:cs="Times New Roman"/>
                <w:b/>
                <w:bCs/>
              </w:rPr>
            </w:pPr>
            <w:r w:rsidRPr="00321CCF">
              <w:rPr>
                <w:rFonts w:eastAsia="Calibri" w:cs="Times New Roman"/>
                <w:b/>
                <w:bCs/>
              </w:rPr>
              <w:t>Cal Advocates</w:t>
            </w:r>
            <w:r w:rsidR="0069560A">
              <w:rPr>
                <w:rStyle w:val="FootnoteReference"/>
                <w:rFonts w:eastAsia="Calibri" w:cs="Times New Roman"/>
              </w:rPr>
              <w:footnoteReference w:id="102"/>
            </w:r>
          </w:p>
        </w:tc>
        <w:tc>
          <w:tcPr>
            <w:tcW w:w="2160" w:type="dxa"/>
          </w:tcPr>
          <w:p w:rsidRPr="00321CCF" w:rsidR="00321CCF" w:rsidP="00321CCF" w:rsidRDefault="00321CCF" w14:paraId="0DAFF071" w14:textId="61D69F6D">
            <w:pPr>
              <w:ind w:firstLine="0"/>
              <w:rPr>
                <w:rFonts w:eastAsia="Calibri" w:cs="Times New Roman"/>
              </w:rPr>
            </w:pPr>
            <w:r w:rsidRPr="00321CCF">
              <w:rPr>
                <w:rFonts w:eastAsia="Calibri" w:cs="Times New Roman"/>
              </w:rPr>
              <w:t>8.90%</w:t>
            </w:r>
          </w:p>
        </w:tc>
        <w:tc>
          <w:tcPr>
            <w:tcW w:w="1800" w:type="dxa"/>
          </w:tcPr>
          <w:p w:rsidRPr="00321CCF" w:rsidR="00321CCF" w:rsidP="00321CCF" w:rsidRDefault="00321CCF" w14:paraId="31A7E1F7" w14:textId="77777777">
            <w:pPr>
              <w:ind w:firstLine="0"/>
              <w:jc w:val="center"/>
              <w:rPr>
                <w:rFonts w:eastAsia="Calibri" w:cs="Times New Roman"/>
              </w:rPr>
            </w:pPr>
            <w:r w:rsidRPr="00321CCF">
              <w:rPr>
                <w:rFonts w:eastAsia="Calibri" w:cs="Times New Roman"/>
              </w:rPr>
              <w:t>9.05%</w:t>
            </w:r>
          </w:p>
        </w:tc>
        <w:tc>
          <w:tcPr>
            <w:tcW w:w="1620" w:type="dxa"/>
          </w:tcPr>
          <w:p w:rsidRPr="00321CCF" w:rsidR="00321CCF" w:rsidP="00321CCF" w:rsidRDefault="00321CCF" w14:paraId="10947C14" w14:textId="77777777">
            <w:pPr>
              <w:ind w:firstLine="0"/>
              <w:rPr>
                <w:rFonts w:eastAsia="Calibri" w:cs="Times New Roman"/>
              </w:rPr>
            </w:pPr>
            <w:r w:rsidRPr="00321CCF">
              <w:rPr>
                <w:rFonts w:eastAsia="Calibri" w:cs="Times New Roman"/>
              </w:rPr>
              <w:t>8.75%</w:t>
            </w:r>
          </w:p>
        </w:tc>
        <w:tc>
          <w:tcPr>
            <w:tcW w:w="1890" w:type="dxa"/>
          </w:tcPr>
          <w:p w:rsidRPr="00321CCF" w:rsidR="00321CCF" w:rsidP="00321CCF" w:rsidRDefault="00321CCF" w14:paraId="2B68B959" w14:textId="77777777">
            <w:pPr>
              <w:ind w:firstLine="0"/>
              <w:rPr>
                <w:rFonts w:eastAsia="Calibri" w:cs="Times New Roman"/>
              </w:rPr>
            </w:pPr>
            <w:r w:rsidRPr="00321CCF">
              <w:rPr>
                <w:rFonts w:eastAsia="Calibri" w:cs="Times New Roman"/>
              </w:rPr>
              <w:t>8.90%</w:t>
            </w:r>
          </w:p>
        </w:tc>
      </w:tr>
      <w:tr w:rsidRPr="00321CCF" w:rsidR="00BA1D03" w:rsidTr="004A26C0" w14:paraId="739CAA0B" w14:textId="77777777">
        <w:tc>
          <w:tcPr>
            <w:tcW w:w="2155" w:type="dxa"/>
          </w:tcPr>
          <w:p w:rsidRPr="00321CCF" w:rsidR="00321CCF" w:rsidP="00321CCF" w:rsidRDefault="00321CCF" w14:paraId="41D8CDED" w14:textId="77777777">
            <w:pPr>
              <w:ind w:firstLine="0"/>
              <w:rPr>
                <w:rFonts w:eastAsia="Calibri" w:cs="Times New Roman"/>
                <w:b/>
                <w:bCs/>
              </w:rPr>
            </w:pPr>
            <w:r w:rsidRPr="00321CCF">
              <w:rPr>
                <w:rFonts w:eastAsia="Calibri" w:cs="Times New Roman"/>
                <w:b/>
                <w:bCs/>
              </w:rPr>
              <w:t>EPUC/IS/TURN</w:t>
            </w:r>
          </w:p>
        </w:tc>
        <w:tc>
          <w:tcPr>
            <w:tcW w:w="2160" w:type="dxa"/>
          </w:tcPr>
          <w:p w:rsidRPr="00321CCF" w:rsidR="00321CCF" w:rsidP="00321CCF" w:rsidRDefault="00321CCF" w14:paraId="3560D6CA" w14:textId="3EAE32CA">
            <w:pPr>
              <w:ind w:firstLine="0"/>
              <w:rPr>
                <w:rFonts w:eastAsia="Calibri" w:cs="Times New Roman"/>
              </w:rPr>
            </w:pPr>
            <w:r w:rsidRPr="00321CCF">
              <w:rPr>
                <w:rFonts w:eastAsia="Calibri" w:cs="Times New Roman"/>
              </w:rPr>
              <w:t>9.75%</w:t>
            </w:r>
            <w:r w:rsidR="00DD132C">
              <w:rPr>
                <w:rStyle w:val="FootnoteReference"/>
                <w:rFonts w:eastAsia="Calibri" w:cs="Times New Roman"/>
              </w:rPr>
              <w:footnoteReference w:id="103"/>
            </w:r>
          </w:p>
        </w:tc>
        <w:tc>
          <w:tcPr>
            <w:tcW w:w="1800" w:type="dxa"/>
          </w:tcPr>
          <w:p w:rsidRPr="00321CCF" w:rsidR="00321CCF" w:rsidP="00321CCF" w:rsidRDefault="00321CCF" w14:paraId="5F1CC71E" w14:textId="3341FAFA">
            <w:pPr>
              <w:ind w:firstLine="0"/>
              <w:rPr>
                <w:rFonts w:eastAsia="Calibri" w:cs="Times New Roman"/>
              </w:rPr>
            </w:pPr>
            <w:r w:rsidRPr="00321CCF">
              <w:rPr>
                <w:rFonts w:eastAsia="Calibri" w:cs="Times New Roman"/>
              </w:rPr>
              <w:t>10.15%</w:t>
            </w:r>
            <w:r w:rsidR="00DD132C">
              <w:rPr>
                <w:rStyle w:val="FootnoteReference"/>
                <w:rFonts w:eastAsia="Calibri" w:cs="Times New Roman"/>
              </w:rPr>
              <w:footnoteReference w:id="104"/>
            </w:r>
          </w:p>
        </w:tc>
        <w:tc>
          <w:tcPr>
            <w:tcW w:w="1620" w:type="dxa"/>
          </w:tcPr>
          <w:p w:rsidRPr="00321CCF" w:rsidR="00321CCF" w:rsidP="00321CCF" w:rsidRDefault="00321CCF" w14:paraId="6E0FAB87" w14:textId="21018569">
            <w:pPr>
              <w:ind w:firstLine="0"/>
              <w:rPr>
                <w:rFonts w:eastAsia="Calibri" w:cs="Times New Roman"/>
              </w:rPr>
            </w:pPr>
            <w:r w:rsidRPr="00321CCF">
              <w:rPr>
                <w:rFonts w:eastAsia="Calibri" w:cs="Times New Roman"/>
              </w:rPr>
              <w:t>9.75%</w:t>
            </w:r>
            <w:r w:rsidR="00DD132C">
              <w:rPr>
                <w:rStyle w:val="FootnoteReference"/>
                <w:rFonts w:eastAsia="Calibri" w:cs="Times New Roman"/>
              </w:rPr>
              <w:footnoteReference w:id="105"/>
            </w:r>
          </w:p>
        </w:tc>
        <w:tc>
          <w:tcPr>
            <w:tcW w:w="1890" w:type="dxa"/>
          </w:tcPr>
          <w:p w:rsidRPr="00321CCF" w:rsidR="00321CCF" w:rsidP="00321CCF" w:rsidRDefault="00321CCF" w14:paraId="6A344DE1" w14:textId="04C41B1F">
            <w:pPr>
              <w:ind w:firstLine="0"/>
              <w:rPr>
                <w:rFonts w:eastAsia="Calibri" w:cs="Times New Roman"/>
              </w:rPr>
            </w:pPr>
            <w:r w:rsidRPr="00321CCF">
              <w:rPr>
                <w:rFonts w:eastAsia="Calibri" w:cs="Times New Roman"/>
              </w:rPr>
              <w:t>9.70%</w:t>
            </w:r>
            <w:r w:rsidR="00DD132C">
              <w:rPr>
                <w:rStyle w:val="FootnoteReference"/>
                <w:rFonts w:eastAsia="Calibri" w:cs="Times New Roman"/>
              </w:rPr>
              <w:footnoteReference w:id="106"/>
            </w:r>
          </w:p>
        </w:tc>
      </w:tr>
      <w:tr w:rsidRPr="00321CCF" w:rsidR="00BA1D03" w:rsidTr="004A26C0" w14:paraId="10E8A02F" w14:textId="77777777">
        <w:tc>
          <w:tcPr>
            <w:tcW w:w="2155" w:type="dxa"/>
          </w:tcPr>
          <w:p w:rsidRPr="00321CCF" w:rsidR="00321CCF" w:rsidP="00321CCF" w:rsidRDefault="00321CCF" w14:paraId="5C346B1F" w14:textId="77777777">
            <w:pPr>
              <w:ind w:firstLine="0"/>
              <w:rPr>
                <w:rFonts w:eastAsia="Calibri" w:cs="Times New Roman"/>
                <w:b/>
                <w:bCs/>
              </w:rPr>
            </w:pPr>
            <w:r w:rsidRPr="00321CCF">
              <w:rPr>
                <w:rFonts w:eastAsia="Calibri" w:cs="Times New Roman"/>
                <w:b/>
                <w:bCs/>
              </w:rPr>
              <w:t>UCAN</w:t>
            </w:r>
          </w:p>
        </w:tc>
        <w:tc>
          <w:tcPr>
            <w:tcW w:w="2160" w:type="dxa"/>
          </w:tcPr>
          <w:p w:rsidRPr="00321CCF" w:rsidR="00321CCF" w:rsidP="00321CCF" w:rsidRDefault="00321CCF" w14:paraId="61FE594E" w14:textId="77777777">
            <w:pPr>
              <w:ind w:firstLine="0"/>
              <w:rPr>
                <w:rFonts w:eastAsia="Calibri" w:cs="Times New Roman"/>
              </w:rPr>
            </w:pPr>
          </w:p>
        </w:tc>
        <w:tc>
          <w:tcPr>
            <w:tcW w:w="1800" w:type="dxa"/>
          </w:tcPr>
          <w:p w:rsidRPr="00321CCF" w:rsidR="00321CCF" w:rsidP="00321CCF" w:rsidRDefault="00321CCF" w14:paraId="75B4E564" w14:textId="77777777">
            <w:pPr>
              <w:ind w:firstLine="0"/>
              <w:rPr>
                <w:rFonts w:eastAsia="Calibri" w:cs="Times New Roman"/>
              </w:rPr>
            </w:pPr>
          </w:p>
        </w:tc>
        <w:tc>
          <w:tcPr>
            <w:tcW w:w="1620" w:type="dxa"/>
          </w:tcPr>
          <w:p w:rsidRPr="00321CCF" w:rsidR="00321CCF" w:rsidP="00321CCF" w:rsidRDefault="00321CCF" w14:paraId="37D12849" w14:textId="77777777">
            <w:pPr>
              <w:ind w:firstLine="0"/>
              <w:rPr>
                <w:rFonts w:eastAsia="Calibri" w:cs="Times New Roman"/>
              </w:rPr>
            </w:pPr>
          </w:p>
        </w:tc>
        <w:tc>
          <w:tcPr>
            <w:tcW w:w="1890" w:type="dxa"/>
          </w:tcPr>
          <w:p w:rsidRPr="00321CCF" w:rsidR="00321CCF" w:rsidP="00321CCF" w:rsidRDefault="00321CCF" w14:paraId="6E035534" w14:textId="282C5615">
            <w:pPr>
              <w:ind w:firstLine="0"/>
              <w:rPr>
                <w:rFonts w:eastAsia="Calibri" w:cs="Times New Roman"/>
              </w:rPr>
            </w:pPr>
            <w:r w:rsidRPr="00321CCF">
              <w:rPr>
                <w:rFonts w:eastAsia="Calibri" w:cs="Times New Roman"/>
              </w:rPr>
              <w:t>8.94%</w:t>
            </w:r>
            <w:r w:rsidR="00C055DD">
              <w:rPr>
                <w:rStyle w:val="FootnoteReference"/>
                <w:rFonts w:eastAsia="Calibri" w:cs="Times New Roman"/>
              </w:rPr>
              <w:footnoteReference w:id="107"/>
            </w:r>
          </w:p>
        </w:tc>
      </w:tr>
      <w:tr w:rsidRPr="00321CCF" w:rsidR="00BA1D03" w:rsidTr="004A26C0" w14:paraId="74F3FE07" w14:textId="77777777">
        <w:tc>
          <w:tcPr>
            <w:tcW w:w="2155" w:type="dxa"/>
          </w:tcPr>
          <w:p w:rsidRPr="00321CCF" w:rsidR="00321CCF" w:rsidP="00321CCF" w:rsidRDefault="00321CCF" w14:paraId="4755DAF4" w14:textId="172DDE7E">
            <w:pPr>
              <w:ind w:firstLine="0"/>
              <w:rPr>
                <w:rFonts w:eastAsia="Calibri" w:cs="Times New Roman"/>
                <w:b/>
                <w:bCs/>
              </w:rPr>
            </w:pPr>
            <w:r w:rsidRPr="00321CCF">
              <w:rPr>
                <w:rFonts w:eastAsia="Calibri" w:cs="Times New Roman"/>
                <w:b/>
                <w:bCs/>
              </w:rPr>
              <w:t>Wild Tree</w:t>
            </w:r>
            <w:r w:rsidR="004A26C0">
              <w:rPr>
                <w:rStyle w:val="FootnoteReference"/>
                <w:rFonts w:eastAsia="Calibri" w:cs="Times New Roman"/>
                <w:b/>
                <w:bCs/>
              </w:rPr>
              <w:footnoteReference w:id="108"/>
            </w:r>
          </w:p>
        </w:tc>
        <w:tc>
          <w:tcPr>
            <w:tcW w:w="2160" w:type="dxa"/>
          </w:tcPr>
          <w:p w:rsidRPr="00321CCF" w:rsidR="00321CCF" w:rsidP="00321CCF" w:rsidRDefault="00321CCF" w14:paraId="43BD9F1A" w14:textId="77777777">
            <w:pPr>
              <w:ind w:firstLine="0"/>
              <w:rPr>
                <w:rFonts w:eastAsia="Calibri" w:cs="Times New Roman"/>
              </w:rPr>
            </w:pPr>
            <w:r w:rsidRPr="00321CCF">
              <w:rPr>
                <w:rFonts w:eastAsia="Calibri" w:cs="Times New Roman"/>
              </w:rPr>
              <w:t>6.69%-7.29%</w:t>
            </w:r>
          </w:p>
        </w:tc>
        <w:tc>
          <w:tcPr>
            <w:tcW w:w="1800" w:type="dxa"/>
          </w:tcPr>
          <w:p w:rsidRPr="00321CCF" w:rsidR="00321CCF" w:rsidP="00321CCF" w:rsidRDefault="00321CCF" w14:paraId="5C8D87D4" w14:textId="77777777">
            <w:pPr>
              <w:ind w:firstLine="0"/>
              <w:rPr>
                <w:rFonts w:eastAsia="Calibri" w:cs="Times New Roman"/>
              </w:rPr>
            </w:pPr>
            <w:r w:rsidRPr="00321CCF">
              <w:rPr>
                <w:rFonts w:eastAsia="Calibri" w:cs="Times New Roman"/>
              </w:rPr>
              <w:t xml:space="preserve">6.78%-7.18% </w:t>
            </w:r>
          </w:p>
        </w:tc>
        <w:tc>
          <w:tcPr>
            <w:tcW w:w="1620" w:type="dxa"/>
          </w:tcPr>
          <w:p w:rsidRPr="00321CCF" w:rsidR="00321CCF" w:rsidP="00321CCF" w:rsidRDefault="00321CCF" w14:paraId="3CA0B29F" w14:textId="77777777">
            <w:pPr>
              <w:ind w:firstLine="0"/>
              <w:rPr>
                <w:rFonts w:eastAsia="Calibri" w:cs="Times New Roman"/>
              </w:rPr>
            </w:pPr>
            <w:r w:rsidRPr="00321CCF">
              <w:rPr>
                <w:rFonts w:eastAsia="Calibri" w:cs="Times New Roman"/>
              </w:rPr>
              <w:t>6.69%-7.29%</w:t>
            </w:r>
          </w:p>
        </w:tc>
        <w:tc>
          <w:tcPr>
            <w:tcW w:w="1890" w:type="dxa"/>
          </w:tcPr>
          <w:p w:rsidRPr="00321CCF" w:rsidR="00321CCF" w:rsidP="00321CCF" w:rsidRDefault="00321CCF" w14:paraId="7BF15919" w14:textId="77777777">
            <w:pPr>
              <w:ind w:firstLine="0"/>
              <w:rPr>
                <w:rFonts w:eastAsia="Calibri" w:cs="Times New Roman"/>
              </w:rPr>
            </w:pPr>
            <w:r w:rsidRPr="00321CCF">
              <w:rPr>
                <w:rFonts w:eastAsia="Calibri" w:cs="Times New Roman"/>
              </w:rPr>
              <w:t>6.69%-7.29%</w:t>
            </w:r>
          </w:p>
        </w:tc>
      </w:tr>
      <w:tr w:rsidRPr="00321CCF" w:rsidR="00BA1D03" w:rsidTr="004A26C0" w14:paraId="46FB7656" w14:textId="77777777">
        <w:tc>
          <w:tcPr>
            <w:tcW w:w="2155" w:type="dxa"/>
          </w:tcPr>
          <w:p w:rsidRPr="00321CCF" w:rsidR="00321CCF" w:rsidP="00321CCF" w:rsidRDefault="00321CCF" w14:paraId="4F654CC0" w14:textId="0518120E">
            <w:pPr>
              <w:ind w:firstLine="0"/>
              <w:rPr>
                <w:rFonts w:eastAsia="Calibri" w:cs="Times New Roman"/>
                <w:b/>
                <w:bCs/>
              </w:rPr>
            </w:pPr>
            <w:r w:rsidRPr="00321CCF">
              <w:rPr>
                <w:rFonts w:eastAsia="Calibri" w:cs="Times New Roman"/>
                <w:b/>
                <w:bCs/>
              </w:rPr>
              <w:t>SC/PCF</w:t>
            </w:r>
            <w:r w:rsidR="00317C22">
              <w:rPr>
                <w:rStyle w:val="FootnoteReference"/>
                <w:rFonts w:eastAsia="Calibri" w:cs="Times New Roman"/>
                <w:b/>
                <w:bCs/>
              </w:rPr>
              <w:footnoteReference w:id="109"/>
            </w:r>
          </w:p>
        </w:tc>
        <w:tc>
          <w:tcPr>
            <w:tcW w:w="2160" w:type="dxa"/>
          </w:tcPr>
          <w:p w:rsidRPr="00321CCF" w:rsidR="00321CCF" w:rsidP="00321CCF" w:rsidRDefault="00321CCF" w14:paraId="7C3E457A" w14:textId="77777777">
            <w:pPr>
              <w:ind w:firstLine="0"/>
              <w:rPr>
                <w:rFonts w:eastAsia="Calibri" w:cs="Times New Roman"/>
              </w:rPr>
            </w:pPr>
            <w:r w:rsidRPr="00321CCF">
              <w:rPr>
                <w:rFonts w:eastAsia="Calibri" w:cs="Times New Roman"/>
              </w:rPr>
              <w:t>5.42%</w:t>
            </w:r>
          </w:p>
        </w:tc>
        <w:tc>
          <w:tcPr>
            <w:tcW w:w="1800" w:type="dxa"/>
          </w:tcPr>
          <w:p w:rsidRPr="00321CCF" w:rsidR="00321CCF" w:rsidP="00321CCF" w:rsidRDefault="00321CCF" w14:paraId="7BFC5074" w14:textId="77777777">
            <w:pPr>
              <w:ind w:firstLine="0"/>
              <w:rPr>
                <w:rFonts w:eastAsia="Calibri" w:cs="Times New Roman"/>
              </w:rPr>
            </w:pPr>
            <w:r w:rsidRPr="00321CCF">
              <w:rPr>
                <w:rFonts w:eastAsia="Calibri" w:cs="Times New Roman"/>
              </w:rPr>
              <w:t>5.55%</w:t>
            </w:r>
          </w:p>
        </w:tc>
        <w:tc>
          <w:tcPr>
            <w:tcW w:w="1620" w:type="dxa"/>
          </w:tcPr>
          <w:p w:rsidRPr="00321CCF" w:rsidR="00321CCF" w:rsidP="00321CCF" w:rsidRDefault="00321CCF" w14:paraId="19A76B27" w14:textId="77777777">
            <w:pPr>
              <w:ind w:firstLine="0"/>
              <w:rPr>
                <w:rFonts w:eastAsia="Calibri" w:cs="Times New Roman"/>
              </w:rPr>
            </w:pPr>
            <w:r w:rsidRPr="00321CCF">
              <w:rPr>
                <w:rFonts w:eastAsia="Calibri" w:cs="Times New Roman"/>
              </w:rPr>
              <w:t>5.42%</w:t>
            </w:r>
          </w:p>
        </w:tc>
        <w:tc>
          <w:tcPr>
            <w:tcW w:w="1890" w:type="dxa"/>
          </w:tcPr>
          <w:p w:rsidRPr="00321CCF" w:rsidR="00321CCF" w:rsidP="00321CCF" w:rsidRDefault="00321CCF" w14:paraId="46C67821" w14:textId="77777777">
            <w:pPr>
              <w:ind w:firstLine="0"/>
              <w:rPr>
                <w:rFonts w:eastAsia="Calibri" w:cs="Times New Roman"/>
              </w:rPr>
            </w:pPr>
            <w:r w:rsidRPr="00321CCF">
              <w:rPr>
                <w:rFonts w:eastAsia="Calibri" w:cs="Times New Roman"/>
              </w:rPr>
              <w:t>5.38%</w:t>
            </w:r>
          </w:p>
        </w:tc>
      </w:tr>
      <w:tr w:rsidRPr="00321CCF" w:rsidR="00BA1D03" w:rsidTr="004A26C0" w14:paraId="69A56E19" w14:textId="77777777">
        <w:tc>
          <w:tcPr>
            <w:tcW w:w="2155" w:type="dxa"/>
          </w:tcPr>
          <w:p w:rsidRPr="00321CCF" w:rsidR="00321CCF" w:rsidP="00321CCF" w:rsidRDefault="00321CCF" w14:paraId="37F78DBF" w14:textId="5DCB4870">
            <w:pPr>
              <w:ind w:firstLine="0"/>
              <w:rPr>
                <w:rFonts w:eastAsia="Calibri" w:cs="Times New Roman"/>
                <w:b/>
                <w:bCs/>
              </w:rPr>
            </w:pPr>
            <w:r w:rsidRPr="00321CCF">
              <w:rPr>
                <w:rFonts w:eastAsia="Calibri" w:cs="Times New Roman"/>
                <w:b/>
                <w:bCs/>
              </w:rPr>
              <w:t>SBUA</w:t>
            </w:r>
            <w:r w:rsidR="00892872">
              <w:rPr>
                <w:rStyle w:val="FootnoteReference"/>
                <w:rFonts w:eastAsia="Calibri" w:cs="Times New Roman"/>
                <w:b/>
                <w:bCs/>
              </w:rPr>
              <w:footnoteReference w:id="110"/>
            </w:r>
          </w:p>
        </w:tc>
        <w:tc>
          <w:tcPr>
            <w:tcW w:w="2160" w:type="dxa"/>
          </w:tcPr>
          <w:p w:rsidRPr="00321CCF" w:rsidR="00321CCF" w:rsidP="00321CCF" w:rsidRDefault="00321CCF" w14:paraId="2F059D52" w14:textId="77777777">
            <w:pPr>
              <w:ind w:firstLine="0"/>
              <w:rPr>
                <w:rFonts w:eastAsia="Calibri" w:cs="Times New Roman"/>
              </w:rPr>
            </w:pPr>
            <w:r w:rsidRPr="00321CCF">
              <w:rPr>
                <w:rFonts w:eastAsia="Calibri" w:cs="Times New Roman"/>
              </w:rPr>
              <w:t>8.15% – 11.07%</w:t>
            </w:r>
          </w:p>
        </w:tc>
        <w:tc>
          <w:tcPr>
            <w:tcW w:w="1800" w:type="dxa"/>
          </w:tcPr>
          <w:p w:rsidRPr="00321CCF" w:rsidR="00321CCF" w:rsidP="00321CCF" w:rsidRDefault="00321CCF" w14:paraId="057130D4" w14:textId="77777777">
            <w:pPr>
              <w:ind w:firstLine="0"/>
              <w:rPr>
                <w:rFonts w:eastAsia="Calibri" w:cs="Times New Roman"/>
              </w:rPr>
            </w:pPr>
          </w:p>
        </w:tc>
        <w:tc>
          <w:tcPr>
            <w:tcW w:w="1620" w:type="dxa"/>
          </w:tcPr>
          <w:p w:rsidRPr="00321CCF" w:rsidR="00321CCF" w:rsidP="00321CCF" w:rsidRDefault="00321CCF" w14:paraId="626AE6EB" w14:textId="77777777">
            <w:pPr>
              <w:ind w:firstLine="0"/>
              <w:rPr>
                <w:rFonts w:eastAsia="Calibri" w:cs="Times New Roman"/>
              </w:rPr>
            </w:pPr>
          </w:p>
        </w:tc>
        <w:tc>
          <w:tcPr>
            <w:tcW w:w="1890" w:type="dxa"/>
          </w:tcPr>
          <w:p w:rsidRPr="00321CCF" w:rsidR="00321CCF" w:rsidP="00321CCF" w:rsidRDefault="00321CCF" w14:paraId="3A299E29" w14:textId="77777777">
            <w:pPr>
              <w:ind w:firstLine="0"/>
              <w:rPr>
                <w:rFonts w:eastAsia="Calibri" w:cs="Times New Roman"/>
              </w:rPr>
            </w:pPr>
          </w:p>
        </w:tc>
      </w:tr>
      <w:bookmarkEnd w:id="28"/>
    </w:tbl>
    <w:p w:rsidR="00053750" w:rsidP="00C448B8" w:rsidRDefault="00053750" w14:paraId="12499E46" w14:textId="00448BD2">
      <w:pPr>
        <w:pStyle w:val="Standard"/>
      </w:pPr>
    </w:p>
    <w:p w:rsidR="005F285B" w:rsidP="006D0D56" w:rsidRDefault="00295242" w14:paraId="46441106" w14:textId="0E0F0BD5">
      <w:pPr>
        <w:pStyle w:val="Heading3"/>
      </w:pPr>
      <w:bookmarkStart w:name="_Toc214017372" w:id="29"/>
      <w:r>
        <w:lastRenderedPageBreak/>
        <w:t>Risk Premium Model</w:t>
      </w:r>
      <w:bookmarkEnd w:id="29"/>
    </w:p>
    <w:p w:rsidR="00A54726" w:rsidP="00A54726" w:rsidRDefault="00295242" w14:paraId="4E005F3B" w14:textId="666B2FAF">
      <w:pPr>
        <w:pStyle w:val="Standard"/>
      </w:pPr>
      <w:r>
        <w:t>Similar to the CAPM, the RPM measures a company’s cost of equity capital by</w:t>
      </w:r>
      <w:r w:rsidR="00C15084">
        <w:t xml:space="preserve"> </w:t>
      </w:r>
      <w:r w:rsidR="007E2A4B">
        <w:t>adding a risk premium to a risk-free long-term treasury or utility bond yield.</w:t>
      </w:r>
      <w:r w:rsidR="00A54726">
        <w:t xml:space="preserve"> A risk premium is derived </w:t>
      </w:r>
      <w:r w:rsidR="00CB1598">
        <w:t>from</w:t>
      </w:r>
      <w:r w:rsidR="00A54726">
        <w:t xml:space="preserve"> an assessment of historic utility equity and bond returns</w:t>
      </w:r>
      <w:r w:rsidR="00F22E77">
        <w:t xml:space="preserve">. </w:t>
      </w:r>
      <w:r w:rsidR="00E41FB0">
        <w:t>A variation to the historical RPM is an allowed RPM which estimates the common equity allowed by regulatory commissions over a period of time in relationship to the level of long-term Treasury bond yield</w:t>
      </w:r>
      <w:r w:rsidR="008E2DE8">
        <w:t>s.</w:t>
      </w:r>
    </w:p>
    <w:p w:rsidR="00C15084" w:rsidP="00AE5306" w:rsidRDefault="00D5325C" w14:paraId="7EA31768" w14:textId="1A33B4FA">
      <w:pPr>
        <w:pStyle w:val="Standard"/>
      </w:pPr>
      <w:r>
        <w:t xml:space="preserve">Only the </w:t>
      </w:r>
      <w:r w:rsidR="00E1299E">
        <w:t>A</w:t>
      </w:r>
      <w:r>
        <w:t xml:space="preserve">pplicants </w:t>
      </w:r>
      <w:r w:rsidR="0025282D">
        <w:t>and EPUC/IS/TURN submitted</w:t>
      </w:r>
      <w:r w:rsidR="001E3C50">
        <w:t xml:space="preserve"> RP</w:t>
      </w:r>
      <w:r w:rsidR="00A70C0F">
        <w:t>M analysis.</w:t>
      </w:r>
      <w:r w:rsidR="0025282D">
        <w:t xml:space="preserve"> </w:t>
      </w:r>
      <w:r w:rsidR="00AE5306">
        <w:t>Each party uses different subjective inputs in their RPM. The following tabulation summarizes the simple average result of the RPM variations calculated by the individual parties using subjective inputs.</w:t>
      </w:r>
    </w:p>
    <w:tbl>
      <w:tblPr>
        <w:tblStyle w:val="TableGrid"/>
        <w:tblW w:w="0" w:type="auto"/>
        <w:tblLook w:val="04A0" w:firstRow="1" w:lastRow="0" w:firstColumn="1" w:lastColumn="0" w:noHBand="0" w:noVBand="1"/>
      </w:tblPr>
      <w:tblGrid>
        <w:gridCol w:w="2152"/>
        <w:gridCol w:w="2170"/>
        <w:gridCol w:w="1386"/>
        <w:gridCol w:w="2297"/>
        <w:gridCol w:w="1345"/>
      </w:tblGrid>
      <w:tr w:rsidRPr="003E6BF5" w:rsidR="003E6BF5" w:rsidTr="003673B5" w14:paraId="4697B7B7" w14:textId="77777777">
        <w:tc>
          <w:tcPr>
            <w:tcW w:w="2152" w:type="dxa"/>
          </w:tcPr>
          <w:p w:rsidRPr="003E6BF5" w:rsidR="003E6BF5" w:rsidP="003E6BF5" w:rsidRDefault="003E6BF5" w14:paraId="22D3EB8C" w14:textId="77777777">
            <w:pPr>
              <w:ind w:firstLine="0"/>
              <w:rPr>
                <w:rFonts w:eastAsia="Calibri" w:cs="Times New Roman"/>
                <w:b/>
                <w:bCs/>
              </w:rPr>
            </w:pPr>
            <w:bookmarkStart w:name="_Hlk209195814" w:id="30"/>
          </w:p>
        </w:tc>
        <w:tc>
          <w:tcPr>
            <w:tcW w:w="2170" w:type="dxa"/>
          </w:tcPr>
          <w:p w:rsidRPr="003E6BF5" w:rsidR="003E6BF5" w:rsidP="003E6BF5" w:rsidRDefault="003E6BF5" w14:paraId="37000FBC" w14:textId="7D162541">
            <w:pPr>
              <w:ind w:firstLine="0"/>
              <w:rPr>
                <w:rFonts w:eastAsia="Calibri" w:cs="Times New Roman"/>
                <w:b/>
                <w:bCs/>
              </w:rPr>
            </w:pPr>
            <w:r w:rsidRPr="003E6BF5">
              <w:rPr>
                <w:rFonts w:eastAsia="Calibri" w:cs="Times New Roman"/>
                <w:b/>
                <w:bCs/>
              </w:rPr>
              <w:t>PG&amp;E</w:t>
            </w:r>
          </w:p>
        </w:tc>
        <w:tc>
          <w:tcPr>
            <w:tcW w:w="1386" w:type="dxa"/>
          </w:tcPr>
          <w:p w:rsidRPr="003E6BF5" w:rsidR="003E6BF5" w:rsidP="003E6BF5" w:rsidRDefault="003E6BF5" w14:paraId="186869C7" w14:textId="77777777">
            <w:pPr>
              <w:ind w:firstLine="0"/>
              <w:rPr>
                <w:rFonts w:eastAsia="Calibri" w:cs="Times New Roman"/>
                <w:b/>
                <w:bCs/>
              </w:rPr>
            </w:pPr>
            <w:r w:rsidRPr="003E6BF5">
              <w:rPr>
                <w:rFonts w:eastAsia="Calibri" w:cs="Times New Roman"/>
                <w:b/>
                <w:bCs/>
              </w:rPr>
              <w:t>SoCalGas</w:t>
            </w:r>
          </w:p>
        </w:tc>
        <w:tc>
          <w:tcPr>
            <w:tcW w:w="2297" w:type="dxa"/>
          </w:tcPr>
          <w:p w:rsidRPr="003E6BF5" w:rsidR="003E6BF5" w:rsidP="003E6BF5" w:rsidRDefault="003E6BF5" w14:paraId="78AEBFE5" w14:textId="77777777">
            <w:pPr>
              <w:ind w:firstLine="0"/>
              <w:rPr>
                <w:rFonts w:eastAsia="Calibri" w:cs="Times New Roman"/>
                <w:b/>
                <w:bCs/>
              </w:rPr>
            </w:pPr>
            <w:r w:rsidRPr="003E6BF5">
              <w:rPr>
                <w:rFonts w:eastAsia="Calibri" w:cs="Times New Roman"/>
                <w:b/>
                <w:bCs/>
              </w:rPr>
              <w:t>SCE</w:t>
            </w:r>
          </w:p>
        </w:tc>
        <w:tc>
          <w:tcPr>
            <w:tcW w:w="1345" w:type="dxa"/>
          </w:tcPr>
          <w:p w:rsidRPr="003E6BF5" w:rsidR="003E6BF5" w:rsidP="003E6BF5" w:rsidRDefault="003E6BF5" w14:paraId="6304B4C4" w14:textId="77777777">
            <w:pPr>
              <w:ind w:firstLine="0"/>
              <w:rPr>
                <w:rFonts w:eastAsia="Calibri" w:cs="Times New Roman"/>
                <w:b/>
                <w:bCs/>
              </w:rPr>
            </w:pPr>
            <w:r w:rsidRPr="003E6BF5">
              <w:rPr>
                <w:rFonts w:eastAsia="Calibri" w:cs="Times New Roman"/>
                <w:b/>
                <w:bCs/>
              </w:rPr>
              <w:t>SDG&amp;E</w:t>
            </w:r>
          </w:p>
        </w:tc>
      </w:tr>
      <w:tr w:rsidRPr="003E6BF5" w:rsidR="003E6BF5" w:rsidTr="003673B5" w14:paraId="1822ECF0" w14:textId="77777777">
        <w:tc>
          <w:tcPr>
            <w:tcW w:w="2152" w:type="dxa"/>
          </w:tcPr>
          <w:p w:rsidRPr="003E6BF5" w:rsidR="003E6BF5" w:rsidP="003E6BF5" w:rsidRDefault="003E6BF5" w14:paraId="456FD2A1" w14:textId="77777777">
            <w:pPr>
              <w:ind w:firstLine="0"/>
              <w:rPr>
                <w:rFonts w:eastAsia="Calibri" w:cs="Times New Roman"/>
                <w:b/>
                <w:bCs/>
              </w:rPr>
            </w:pPr>
            <w:r w:rsidRPr="003E6BF5">
              <w:rPr>
                <w:rFonts w:eastAsia="Calibri" w:cs="Times New Roman"/>
                <w:b/>
                <w:bCs/>
              </w:rPr>
              <w:t>Utility</w:t>
            </w:r>
          </w:p>
        </w:tc>
        <w:tc>
          <w:tcPr>
            <w:tcW w:w="2170" w:type="dxa"/>
          </w:tcPr>
          <w:p w:rsidRPr="003E6BF5" w:rsidR="003E6BF5" w:rsidP="003E6BF5" w:rsidRDefault="003E6BF5" w14:paraId="6DF03A96" w14:textId="77777777">
            <w:pPr>
              <w:ind w:firstLine="0"/>
              <w:rPr>
                <w:rFonts w:eastAsia="Calibri" w:cs="Times New Roman"/>
              </w:rPr>
            </w:pPr>
            <w:r w:rsidRPr="003E6BF5">
              <w:rPr>
                <w:rFonts w:eastAsia="Calibri" w:cs="Times New Roman"/>
              </w:rPr>
              <w:t xml:space="preserve">10.54%-10.83% (Electric)  </w:t>
            </w:r>
          </w:p>
          <w:p w:rsidRPr="003E6BF5" w:rsidR="003E6BF5" w:rsidP="003E6BF5" w:rsidRDefault="003E6BF5" w14:paraId="34046D00" w14:textId="55A03496">
            <w:pPr>
              <w:ind w:firstLine="0"/>
              <w:rPr>
                <w:rFonts w:eastAsia="Calibri" w:cs="Times New Roman"/>
              </w:rPr>
            </w:pPr>
            <w:r w:rsidRPr="003E6BF5">
              <w:rPr>
                <w:rFonts w:eastAsia="Calibri" w:cs="Times New Roman"/>
              </w:rPr>
              <w:t>10.39%-10.67%</w:t>
            </w:r>
            <w:r w:rsidR="00892872">
              <w:rPr>
                <w:rStyle w:val="FootnoteReference"/>
                <w:rFonts w:eastAsia="Calibri" w:cs="Times New Roman"/>
                <w:b/>
                <w:bCs/>
              </w:rPr>
              <w:footnoteReference w:id="111"/>
            </w:r>
            <w:r w:rsidRPr="003E6BF5">
              <w:rPr>
                <w:rFonts w:eastAsia="Calibri" w:cs="Times New Roman"/>
              </w:rPr>
              <w:t xml:space="preserve"> (Gas)</w:t>
            </w:r>
          </w:p>
        </w:tc>
        <w:tc>
          <w:tcPr>
            <w:tcW w:w="1386" w:type="dxa"/>
          </w:tcPr>
          <w:p w:rsidRPr="003E6BF5" w:rsidR="003E6BF5" w:rsidP="003E6BF5" w:rsidRDefault="003E6BF5" w14:paraId="28D6710B" w14:textId="0146758F">
            <w:pPr>
              <w:ind w:firstLine="0"/>
              <w:rPr>
                <w:rFonts w:eastAsia="Calibri" w:cs="Times New Roman"/>
              </w:rPr>
            </w:pPr>
            <w:r w:rsidRPr="003E6BF5">
              <w:rPr>
                <w:rFonts w:eastAsia="Calibri" w:cs="Times New Roman"/>
              </w:rPr>
              <w:t>10.43%</w:t>
            </w:r>
            <w:r w:rsidR="00892872">
              <w:rPr>
                <w:rStyle w:val="FootnoteReference"/>
                <w:rFonts w:eastAsia="Calibri" w:cs="Times New Roman"/>
              </w:rPr>
              <w:footnoteReference w:id="112"/>
            </w:r>
          </w:p>
        </w:tc>
        <w:tc>
          <w:tcPr>
            <w:tcW w:w="2297" w:type="dxa"/>
          </w:tcPr>
          <w:p w:rsidRPr="003E6BF5" w:rsidR="003E6BF5" w:rsidP="003E6BF5" w:rsidRDefault="003E6BF5" w14:paraId="45BB76E2" w14:textId="102FC430">
            <w:pPr>
              <w:ind w:firstLine="0"/>
              <w:rPr>
                <w:rFonts w:eastAsia="Calibri" w:cs="Times New Roman"/>
              </w:rPr>
            </w:pPr>
            <w:r w:rsidRPr="003E6BF5">
              <w:rPr>
                <w:rFonts w:eastAsia="Calibri" w:cs="Times New Roman"/>
              </w:rPr>
              <w:t>10.50%-10.75%</w:t>
            </w:r>
            <w:r w:rsidR="005C5426">
              <w:rPr>
                <w:rStyle w:val="FootnoteReference"/>
                <w:rFonts w:eastAsia="Calibri" w:cs="Times New Roman"/>
              </w:rPr>
              <w:footnoteReference w:id="113"/>
            </w:r>
          </w:p>
        </w:tc>
        <w:tc>
          <w:tcPr>
            <w:tcW w:w="1345" w:type="dxa"/>
          </w:tcPr>
          <w:p w:rsidRPr="003E6BF5" w:rsidR="003E6BF5" w:rsidP="003E6BF5" w:rsidRDefault="003E6BF5" w14:paraId="43CC854E" w14:textId="52816835">
            <w:pPr>
              <w:ind w:firstLine="0"/>
              <w:rPr>
                <w:rFonts w:eastAsia="Calibri" w:cs="Times New Roman"/>
              </w:rPr>
            </w:pPr>
            <w:r w:rsidRPr="003E6BF5">
              <w:rPr>
                <w:rFonts w:eastAsia="Calibri" w:cs="Times New Roman"/>
              </w:rPr>
              <w:t>10.50%</w:t>
            </w:r>
            <w:r w:rsidR="00222717">
              <w:rPr>
                <w:rStyle w:val="FootnoteReference"/>
                <w:rFonts w:eastAsia="Calibri" w:cs="Times New Roman"/>
              </w:rPr>
              <w:footnoteReference w:id="114"/>
            </w:r>
          </w:p>
        </w:tc>
      </w:tr>
      <w:tr w:rsidRPr="003E6BF5" w:rsidR="003E6BF5" w:rsidTr="003673B5" w14:paraId="05E5E440" w14:textId="77777777">
        <w:tc>
          <w:tcPr>
            <w:tcW w:w="2152" w:type="dxa"/>
          </w:tcPr>
          <w:p w:rsidRPr="003E6BF5" w:rsidR="003E6BF5" w:rsidP="003E6BF5" w:rsidRDefault="003E6BF5" w14:paraId="0EE8605F" w14:textId="2128BF1A">
            <w:pPr>
              <w:ind w:firstLine="0"/>
              <w:rPr>
                <w:rFonts w:eastAsia="Calibri" w:cs="Times New Roman"/>
                <w:b/>
                <w:bCs/>
              </w:rPr>
            </w:pPr>
            <w:r w:rsidRPr="003E6BF5">
              <w:rPr>
                <w:rFonts w:eastAsia="Calibri" w:cs="Times New Roman"/>
                <w:b/>
                <w:bCs/>
              </w:rPr>
              <w:t>EPUC/IS/TURN</w:t>
            </w:r>
          </w:p>
        </w:tc>
        <w:tc>
          <w:tcPr>
            <w:tcW w:w="2170" w:type="dxa"/>
          </w:tcPr>
          <w:p w:rsidRPr="003E6BF5" w:rsidR="003E6BF5" w:rsidP="003E6BF5" w:rsidRDefault="003E6BF5" w14:paraId="03C5E44C" w14:textId="23807418">
            <w:pPr>
              <w:ind w:firstLine="0"/>
              <w:rPr>
                <w:rFonts w:eastAsia="Calibri" w:cs="Times New Roman"/>
              </w:rPr>
            </w:pPr>
            <w:r w:rsidRPr="003E6BF5">
              <w:rPr>
                <w:rFonts w:eastAsia="Calibri" w:cs="Times New Roman"/>
              </w:rPr>
              <w:t>9.70%</w:t>
            </w:r>
            <w:r w:rsidR="00410DA7">
              <w:rPr>
                <w:rStyle w:val="FootnoteReference"/>
                <w:rFonts w:eastAsia="Calibri" w:cs="Times New Roman"/>
              </w:rPr>
              <w:footnoteReference w:id="115"/>
            </w:r>
          </w:p>
        </w:tc>
        <w:tc>
          <w:tcPr>
            <w:tcW w:w="1386" w:type="dxa"/>
          </w:tcPr>
          <w:p w:rsidRPr="003E6BF5" w:rsidR="003E6BF5" w:rsidP="003E6BF5" w:rsidRDefault="003E6BF5" w14:paraId="59D3EB89" w14:textId="640E4755">
            <w:pPr>
              <w:ind w:firstLine="0"/>
              <w:rPr>
                <w:rFonts w:eastAsia="Calibri" w:cs="Times New Roman"/>
              </w:rPr>
            </w:pPr>
            <w:r w:rsidRPr="003E6BF5">
              <w:rPr>
                <w:rFonts w:eastAsia="Calibri" w:cs="Times New Roman"/>
              </w:rPr>
              <w:t>9.60%</w:t>
            </w:r>
            <w:r w:rsidR="00A8172E">
              <w:rPr>
                <w:rStyle w:val="FootnoteReference"/>
                <w:rFonts w:eastAsia="Calibri" w:cs="Times New Roman"/>
              </w:rPr>
              <w:footnoteReference w:id="116"/>
            </w:r>
          </w:p>
        </w:tc>
        <w:tc>
          <w:tcPr>
            <w:tcW w:w="2297" w:type="dxa"/>
          </w:tcPr>
          <w:p w:rsidRPr="003E6BF5" w:rsidR="003E6BF5" w:rsidP="003E6BF5" w:rsidRDefault="003E6BF5" w14:paraId="31FFBBE4" w14:textId="01D9D23C">
            <w:pPr>
              <w:ind w:firstLine="0"/>
              <w:rPr>
                <w:rFonts w:eastAsia="Calibri" w:cs="Times New Roman"/>
              </w:rPr>
            </w:pPr>
            <w:r w:rsidRPr="003E6BF5">
              <w:rPr>
                <w:rFonts w:eastAsia="Calibri" w:cs="Times New Roman"/>
              </w:rPr>
              <w:t>9.70%</w:t>
            </w:r>
            <w:r w:rsidR="00A8172E">
              <w:rPr>
                <w:rStyle w:val="FootnoteReference"/>
                <w:rFonts w:eastAsia="Calibri" w:cs="Times New Roman"/>
              </w:rPr>
              <w:footnoteReference w:id="117"/>
            </w:r>
          </w:p>
        </w:tc>
        <w:tc>
          <w:tcPr>
            <w:tcW w:w="1345" w:type="dxa"/>
          </w:tcPr>
          <w:p w:rsidRPr="003E6BF5" w:rsidR="003E6BF5" w:rsidP="003E6BF5" w:rsidRDefault="003E6BF5" w14:paraId="3AD7DA7E" w14:textId="071FF0B1">
            <w:pPr>
              <w:ind w:firstLine="0"/>
              <w:rPr>
                <w:rFonts w:eastAsia="Calibri" w:cs="Times New Roman"/>
              </w:rPr>
            </w:pPr>
            <w:r w:rsidRPr="003E6BF5">
              <w:rPr>
                <w:rFonts w:eastAsia="Calibri" w:cs="Times New Roman"/>
              </w:rPr>
              <w:t>9.70%</w:t>
            </w:r>
            <w:r w:rsidR="00621EB8">
              <w:rPr>
                <w:rStyle w:val="FootnoteReference"/>
                <w:rFonts w:eastAsia="Calibri" w:cs="Times New Roman"/>
              </w:rPr>
              <w:footnoteReference w:id="118"/>
            </w:r>
          </w:p>
        </w:tc>
      </w:tr>
      <w:bookmarkEnd w:id="30"/>
    </w:tbl>
    <w:p w:rsidR="00053750" w:rsidP="00C448B8" w:rsidRDefault="00053750" w14:paraId="7A68BCE0" w14:textId="51C5E0F3">
      <w:pPr>
        <w:pStyle w:val="Standard"/>
      </w:pPr>
    </w:p>
    <w:p w:rsidR="003859A7" w:rsidP="006D0D56" w:rsidRDefault="003859A7" w14:paraId="1E587764" w14:textId="799D7F39">
      <w:pPr>
        <w:pStyle w:val="Heading3"/>
      </w:pPr>
      <w:bookmarkStart w:name="_Toc214017373" w:id="31"/>
      <w:r w:rsidRPr="006D0D56">
        <w:lastRenderedPageBreak/>
        <w:t>Discounted</w:t>
      </w:r>
      <w:r>
        <w:t xml:space="preserve"> Cash Flow</w:t>
      </w:r>
      <w:bookmarkEnd w:id="31"/>
    </w:p>
    <w:p w:rsidR="0001164B" w:rsidP="003859A7" w:rsidRDefault="003859A7" w14:paraId="6DEF2320" w14:textId="6C9D2ED6">
      <w:pPr>
        <w:pStyle w:val="Standard"/>
      </w:pPr>
      <w:r>
        <w:t>The DCF</w:t>
      </w:r>
      <w:r w:rsidR="00634D0C">
        <w:t xml:space="preserve"> </w:t>
      </w:r>
      <w:r w:rsidR="00AD659A">
        <w:t xml:space="preserve">is used to </w:t>
      </w:r>
      <w:r w:rsidR="004A1D91">
        <w:t>estimate an equity return from a proxy group by</w:t>
      </w:r>
      <w:r w:rsidR="00C807BB">
        <w:t xml:space="preserve"> adding estimated dividend yields to investors’ expected long-term dividend growth rate. </w:t>
      </w:r>
      <w:r w:rsidRPr="003150FB" w:rsidR="00C807BB">
        <w:t>Variations used by the parties include constant growth and multi-stage growth.</w:t>
      </w:r>
    </w:p>
    <w:p w:rsidR="003859A7" w:rsidP="003859A7" w:rsidRDefault="00A067EC" w14:paraId="52680EA3" w14:textId="7CB888CE">
      <w:pPr>
        <w:pStyle w:val="Standard"/>
      </w:pPr>
      <w:r>
        <w:t xml:space="preserve">Each party uses different subjective inputs in their </w:t>
      </w:r>
      <w:r w:rsidR="00CF1BE1">
        <w:t xml:space="preserve">various </w:t>
      </w:r>
      <w:r>
        <w:t>DCF</w:t>
      </w:r>
      <w:r w:rsidR="00CF1BE1">
        <w:t xml:space="preserve"> models</w:t>
      </w:r>
      <w:r>
        <w:t>. The following tabulation summarizes the simple average result of</w:t>
      </w:r>
      <w:r w:rsidR="0000643B">
        <w:t xml:space="preserve"> different versions of</w:t>
      </w:r>
      <w:r>
        <w:t xml:space="preserve"> the DCF </w:t>
      </w:r>
      <w:r w:rsidR="00CF1BE1">
        <w:t>model</w:t>
      </w:r>
      <w:r>
        <w:t xml:space="preserve"> calculated by the individual parties using subjective inputs.</w:t>
      </w:r>
    </w:p>
    <w:tbl>
      <w:tblPr>
        <w:tblStyle w:val="TableGrid"/>
        <w:tblW w:w="9445" w:type="dxa"/>
        <w:tblLook w:val="04A0" w:firstRow="1" w:lastRow="0" w:firstColumn="1" w:lastColumn="0" w:noHBand="0" w:noVBand="1"/>
      </w:tblPr>
      <w:tblGrid>
        <w:gridCol w:w="2155"/>
        <w:gridCol w:w="1980"/>
        <w:gridCol w:w="1800"/>
        <w:gridCol w:w="1800"/>
        <w:gridCol w:w="1710"/>
      </w:tblGrid>
      <w:tr w:rsidRPr="00701642" w:rsidR="00701642" w14:paraId="41D12836" w14:textId="77777777">
        <w:tc>
          <w:tcPr>
            <w:tcW w:w="2155" w:type="dxa"/>
          </w:tcPr>
          <w:p w:rsidRPr="00701642" w:rsidR="00701642" w:rsidP="00701642" w:rsidRDefault="00701642" w14:paraId="3C7302AE" w14:textId="77777777">
            <w:pPr>
              <w:ind w:firstLine="0"/>
              <w:rPr>
                <w:rFonts w:eastAsia="Calibri" w:cs="Times New Roman"/>
                <w:b/>
                <w:bCs/>
              </w:rPr>
            </w:pPr>
            <w:bookmarkStart w:name="_Hlk209195873" w:id="32"/>
          </w:p>
        </w:tc>
        <w:tc>
          <w:tcPr>
            <w:tcW w:w="1980" w:type="dxa"/>
          </w:tcPr>
          <w:p w:rsidRPr="00701642" w:rsidR="00701642" w:rsidP="00701642" w:rsidRDefault="00701642" w14:paraId="233AA494" w14:textId="77777777">
            <w:pPr>
              <w:ind w:firstLine="0"/>
              <w:rPr>
                <w:rFonts w:eastAsia="Calibri" w:cs="Times New Roman"/>
                <w:b/>
                <w:bCs/>
              </w:rPr>
            </w:pPr>
            <w:r w:rsidRPr="00701642">
              <w:rPr>
                <w:rFonts w:eastAsia="Calibri" w:cs="Times New Roman"/>
                <w:b/>
                <w:bCs/>
              </w:rPr>
              <w:t>PG&amp;E</w:t>
            </w:r>
          </w:p>
        </w:tc>
        <w:tc>
          <w:tcPr>
            <w:tcW w:w="1800" w:type="dxa"/>
          </w:tcPr>
          <w:p w:rsidRPr="00701642" w:rsidR="00701642" w:rsidP="00701642" w:rsidRDefault="00701642" w14:paraId="1BC893AA" w14:textId="77777777">
            <w:pPr>
              <w:ind w:firstLine="0"/>
              <w:rPr>
                <w:rFonts w:eastAsia="Calibri" w:cs="Times New Roman"/>
                <w:b/>
                <w:bCs/>
              </w:rPr>
            </w:pPr>
            <w:r w:rsidRPr="00701642">
              <w:rPr>
                <w:rFonts w:eastAsia="Calibri" w:cs="Times New Roman"/>
                <w:b/>
                <w:bCs/>
              </w:rPr>
              <w:t>SoCalGas</w:t>
            </w:r>
          </w:p>
        </w:tc>
        <w:tc>
          <w:tcPr>
            <w:tcW w:w="1800" w:type="dxa"/>
          </w:tcPr>
          <w:p w:rsidRPr="00701642" w:rsidR="00701642" w:rsidP="00701642" w:rsidRDefault="00701642" w14:paraId="78D5A8B0" w14:textId="77777777">
            <w:pPr>
              <w:ind w:firstLine="0"/>
              <w:rPr>
                <w:rFonts w:eastAsia="Calibri" w:cs="Times New Roman"/>
                <w:b/>
                <w:bCs/>
              </w:rPr>
            </w:pPr>
            <w:r w:rsidRPr="00701642">
              <w:rPr>
                <w:rFonts w:eastAsia="Calibri" w:cs="Times New Roman"/>
                <w:b/>
                <w:bCs/>
              </w:rPr>
              <w:t>SCE</w:t>
            </w:r>
          </w:p>
        </w:tc>
        <w:tc>
          <w:tcPr>
            <w:tcW w:w="1710" w:type="dxa"/>
          </w:tcPr>
          <w:p w:rsidRPr="00701642" w:rsidR="00701642" w:rsidP="00701642" w:rsidRDefault="00701642" w14:paraId="37B5502A" w14:textId="77777777">
            <w:pPr>
              <w:ind w:firstLine="0"/>
              <w:rPr>
                <w:rFonts w:eastAsia="Calibri" w:cs="Times New Roman"/>
                <w:b/>
                <w:bCs/>
              </w:rPr>
            </w:pPr>
            <w:r w:rsidRPr="00701642">
              <w:rPr>
                <w:rFonts w:eastAsia="Calibri" w:cs="Times New Roman"/>
                <w:b/>
                <w:bCs/>
              </w:rPr>
              <w:t>SDG&amp;E</w:t>
            </w:r>
          </w:p>
        </w:tc>
      </w:tr>
      <w:tr w:rsidRPr="00701642" w:rsidR="00701642" w14:paraId="64716D1E" w14:textId="77777777">
        <w:tc>
          <w:tcPr>
            <w:tcW w:w="2155" w:type="dxa"/>
          </w:tcPr>
          <w:p w:rsidRPr="00701642" w:rsidR="00701642" w:rsidP="00701642" w:rsidRDefault="00701642" w14:paraId="10006800" w14:textId="77777777">
            <w:pPr>
              <w:ind w:firstLine="0"/>
              <w:rPr>
                <w:rFonts w:eastAsia="Calibri" w:cs="Times New Roman"/>
                <w:b/>
                <w:bCs/>
              </w:rPr>
            </w:pPr>
            <w:r w:rsidRPr="00701642">
              <w:rPr>
                <w:rFonts w:eastAsia="Calibri" w:cs="Times New Roman"/>
                <w:b/>
                <w:bCs/>
              </w:rPr>
              <w:t>Utility</w:t>
            </w:r>
          </w:p>
        </w:tc>
        <w:tc>
          <w:tcPr>
            <w:tcW w:w="1980" w:type="dxa"/>
          </w:tcPr>
          <w:p w:rsidRPr="00701642" w:rsidR="00701642" w:rsidP="00701642" w:rsidRDefault="00701642" w14:paraId="7AA28D4E" w14:textId="4AC0CAF7">
            <w:pPr>
              <w:ind w:firstLine="0"/>
              <w:rPr>
                <w:rFonts w:eastAsia="Calibri" w:cs="Times New Roman"/>
              </w:rPr>
            </w:pPr>
            <w:r w:rsidRPr="00701642">
              <w:rPr>
                <w:rFonts w:eastAsia="Calibri" w:cs="Times New Roman"/>
              </w:rPr>
              <w:t>9.56%-11.14%</w:t>
            </w:r>
            <w:r w:rsidR="002A057A">
              <w:rPr>
                <w:rStyle w:val="FootnoteReference"/>
                <w:rFonts w:eastAsia="Calibri" w:cs="Times New Roman"/>
              </w:rPr>
              <w:footnoteReference w:id="119"/>
            </w:r>
          </w:p>
        </w:tc>
        <w:tc>
          <w:tcPr>
            <w:tcW w:w="1800" w:type="dxa"/>
          </w:tcPr>
          <w:p w:rsidRPr="00701642" w:rsidR="00701642" w:rsidP="00701642" w:rsidRDefault="00701642" w14:paraId="4913EA36" w14:textId="75C90FCD">
            <w:pPr>
              <w:ind w:firstLine="0"/>
              <w:rPr>
                <w:rFonts w:eastAsia="Calibri" w:cs="Times New Roman"/>
              </w:rPr>
            </w:pPr>
            <w:r w:rsidRPr="00701642">
              <w:rPr>
                <w:rFonts w:eastAsia="Calibri" w:cs="Times New Roman"/>
              </w:rPr>
              <w:t>10.92%</w:t>
            </w:r>
            <w:r w:rsidR="00AA55E0">
              <w:rPr>
                <w:rStyle w:val="FootnoteReference"/>
                <w:rFonts w:eastAsia="Calibri" w:cs="Times New Roman"/>
              </w:rPr>
              <w:footnoteReference w:id="120"/>
            </w:r>
          </w:p>
        </w:tc>
        <w:tc>
          <w:tcPr>
            <w:tcW w:w="1800" w:type="dxa"/>
          </w:tcPr>
          <w:p w:rsidRPr="00701642" w:rsidR="00701642" w:rsidP="00701642" w:rsidRDefault="00701642" w14:paraId="1C0D03A5" w14:textId="695811B6">
            <w:pPr>
              <w:ind w:firstLine="0"/>
              <w:rPr>
                <w:rFonts w:eastAsia="Calibri" w:cs="Times New Roman"/>
              </w:rPr>
            </w:pPr>
            <w:r w:rsidRPr="00701642">
              <w:rPr>
                <w:rFonts w:eastAsia="Calibri" w:cs="Times New Roman"/>
              </w:rPr>
              <w:t>9.50%-12.25%</w:t>
            </w:r>
            <w:r w:rsidR="00AA55E0">
              <w:rPr>
                <w:rStyle w:val="FootnoteReference"/>
                <w:rFonts w:eastAsia="Calibri" w:cs="Times New Roman"/>
              </w:rPr>
              <w:footnoteReference w:id="121"/>
            </w:r>
          </w:p>
        </w:tc>
        <w:tc>
          <w:tcPr>
            <w:tcW w:w="1710" w:type="dxa"/>
          </w:tcPr>
          <w:p w:rsidRPr="00701642" w:rsidR="00701642" w:rsidP="00701642" w:rsidRDefault="00701642" w14:paraId="3A51853E" w14:textId="01F8EB6D">
            <w:pPr>
              <w:ind w:firstLine="0"/>
              <w:rPr>
                <w:rFonts w:eastAsia="Calibri" w:cs="Times New Roman"/>
              </w:rPr>
            </w:pPr>
            <w:r w:rsidRPr="00701642">
              <w:rPr>
                <w:rFonts w:eastAsia="Calibri" w:cs="Times New Roman"/>
              </w:rPr>
              <w:t>10.55%</w:t>
            </w:r>
            <w:r w:rsidR="00D96B5D">
              <w:rPr>
                <w:rStyle w:val="FootnoteReference"/>
                <w:rFonts w:eastAsia="Calibri" w:cs="Times New Roman"/>
              </w:rPr>
              <w:footnoteReference w:id="122"/>
            </w:r>
          </w:p>
        </w:tc>
      </w:tr>
      <w:tr w:rsidRPr="00701642" w:rsidR="00701642" w14:paraId="4E3C376F" w14:textId="77777777">
        <w:tc>
          <w:tcPr>
            <w:tcW w:w="2155" w:type="dxa"/>
          </w:tcPr>
          <w:p w:rsidRPr="00701642" w:rsidR="00701642" w:rsidP="00701642" w:rsidRDefault="00701642" w14:paraId="6E7410AE" w14:textId="1BDFCBCA">
            <w:pPr>
              <w:ind w:firstLine="0"/>
              <w:rPr>
                <w:rFonts w:eastAsia="Calibri" w:cs="Times New Roman"/>
                <w:b/>
                <w:bCs/>
              </w:rPr>
            </w:pPr>
            <w:r w:rsidRPr="00701642">
              <w:rPr>
                <w:rFonts w:eastAsia="Calibri" w:cs="Times New Roman"/>
                <w:b/>
                <w:bCs/>
              </w:rPr>
              <w:t>Cal Advocates</w:t>
            </w:r>
            <w:r w:rsidR="00694696">
              <w:rPr>
                <w:rStyle w:val="FootnoteReference"/>
                <w:rFonts w:eastAsia="Calibri" w:cs="Times New Roman"/>
                <w:b/>
                <w:bCs/>
              </w:rPr>
              <w:footnoteReference w:id="123"/>
            </w:r>
          </w:p>
        </w:tc>
        <w:tc>
          <w:tcPr>
            <w:tcW w:w="1980" w:type="dxa"/>
          </w:tcPr>
          <w:p w:rsidRPr="00701642" w:rsidR="00701642" w:rsidP="00701642" w:rsidRDefault="00701642" w14:paraId="75B0DBEB" w14:textId="77777777">
            <w:pPr>
              <w:ind w:firstLine="0"/>
              <w:rPr>
                <w:rFonts w:eastAsia="Calibri" w:cs="Times New Roman"/>
              </w:rPr>
            </w:pPr>
            <w:r w:rsidRPr="00701642">
              <w:rPr>
                <w:rFonts w:eastAsia="Calibri" w:cs="Times New Roman"/>
              </w:rPr>
              <w:t>9.75%</w:t>
            </w:r>
          </w:p>
        </w:tc>
        <w:tc>
          <w:tcPr>
            <w:tcW w:w="1800" w:type="dxa"/>
          </w:tcPr>
          <w:p w:rsidRPr="00701642" w:rsidR="00701642" w:rsidP="00701642" w:rsidRDefault="00701642" w14:paraId="1CF1B831" w14:textId="77777777">
            <w:pPr>
              <w:ind w:firstLine="0"/>
              <w:rPr>
                <w:rFonts w:eastAsia="Calibri" w:cs="Times New Roman"/>
              </w:rPr>
            </w:pPr>
            <w:r w:rsidRPr="00701642">
              <w:rPr>
                <w:rFonts w:eastAsia="Calibri" w:cs="Times New Roman"/>
              </w:rPr>
              <w:t>10.15%</w:t>
            </w:r>
          </w:p>
        </w:tc>
        <w:tc>
          <w:tcPr>
            <w:tcW w:w="1800" w:type="dxa"/>
          </w:tcPr>
          <w:p w:rsidRPr="00701642" w:rsidR="00701642" w:rsidP="00701642" w:rsidRDefault="00701642" w14:paraId="0033DFFC" w14:textId="77777777">
            <w:pPr>
              <w:ind w:firstLine="0"/>
              <w:rPr>
                <w:rFonts w:eastAsia="Calibri" w:cs="Times New Roman"/>
              </w:rPr>
            </w:pPr>
            <w:r w:rsidRPr="00701642">
              <w:rPr>
                <w:rFonts w:eastAsia="Calibri" w:cs="Times New Roman"/>
              </w:rPr>
              <w:t>9.75%</w:t>
            </w:r>
          </w:p>
        </w:tc>
        <w:tc>
          <w:tcPr>
            <w:tcW w:w="1710" w:type="dxa"/>
          </w:tcPr>
          <w:p w:rsidRPr="00701642" w:rsidR="00701642" w:rsidP="00701642" w:rsidRDefault="00701642" w14:paraId="61247227" w14:textId="77777777">
            <w:pPr>
              <w:ind w:firstLine="0"/>
              <w:rPr>
                <w:rFonts w:eastAsia="Calibri" w:cs="Times New Roman"/>
              </w:rPr>
            </w:pPr>
            <w:r w:rsidRPr="00701642">
              <w:rPr>
                <w:rFonts w:eastAsia="Calibri" w:cs="Times New Roman"/>
              </w:rPr>
              <w:t>9.75%</w:t>
            </w:r>
          </w:p>
        </w:tc>
      </w:tr>
      <w:tr w:rsidRPr="00701642" w:rsidR="00701642" w14:paraId="132C5AF5" w14:textId="77777777">
        <w:tc>
          <w:tcPr>
            <w:tcW w:w="2155" w:type="dxa"/>
          </w:tcPr>
          <w:p w:rsidRPr="00701642" w:rsidR="00701642" w:rsidP="00701642" w:rsidRDefault="00701642" w14:paraId="77276973" w14:textId="77777777">
            <w:pPr>
              <w:ind w:firstLine="0"/>
              <w:rPr>
                <w:rFonts w:eastAsia="Calibri" w:cs="Times New Roman"/>
                <w:b/>
                <w:bCs/>
              </w:rPr>
            </w:pPr>
            <w:r w:rsidRPr="00701642">
              <w:rPr>
                <w:rFonts w:eastAsia="Calibri" w:cs="Times New Roman"/>
                <w:b/>
                <w:bCs/>
              </w:rPr>
              <w:t>EPUC/IS/TURN</w:t>
            </w:r>
          </w:p>
        </w:tc>
        <w:tc>
          <w:tcPr>
            <w:tcW w:w="1980" w:type="dxa"/>
          </w:tcPr>
          <w:p w:rsidRPr="00701642" w:rsidR="00701642" w:rsidP="00701642" w:rsidRDefault="00701642" w14:paraId="3E054F99" w14:textId="328425F7">
            <w:pPr>
              <w:ind w:firstLine="0"/>
              <w:rPr>
                <w:rFonts w:eastAsia="Calibri" w:cs="Times New Roman"/>
              </w:rPr>
            </w:pPr>
            <w:r w:rsidRPr="00701642">
              <w:rPr>
                <w:rFonts w:eastAsia="Calibri" w:cs="Times New Roman"/>
              </w:rPr>
              <w:t>9.45% -9.59%</w:t>
            </w:r>
            <w:r w:rsidR="00694696">
              <w:rPr>
                <w:rStyle w:val="FootnoteReference"/>
                <w:rFonts w:eastAsia="Calibri" w:cs="Times New Roman"/>
              </w:rPr>
              <w:footnoteReference w:id="124"/>
            </w:r>
          </w:p>
        </w:tc>
        <w:tc>
          <w:tcPr>
            <w:tcW w:w="1800" w:type="dxa"/>
          </w:tcPr>
          <w:p w:rsidRPr="00701642" w:rsidR="00701642" w:rsidP="00701642" w:rsidRDefault="00701642" w14:paraId="6CCB6CEE" w14:textId="09B58922">
            <w:pPr>
              <w:ind w:firstLine="0"/>
              <w:rPr>
                <w:rFonts w:eastAsia="Calibri" w:cs="Times New Roman"/>
              </w:rPr>
            </w:pPr>
            <w:r w:rsidRPr="00701642">
              <w:rPr>
                <w:rFonts w:eastAsia="Calibri" w:cs="Times New Roman"/>
              </w:rPr>
              <w:t>9.95%-10.04%</w:t>
            </w:r>
            <w:r w:rsidR="00694696">
              <w:rPr>
                <w:rStyle w:val="FootnoteReference"/>
                <w:rFonts w:eastAsia="Calibri" w:cs="Times New Roman"/>
              </w:rPr>
              <w:footnoteReference w:id="125"/>
            </w:r>
          </w:p>
        </w:tc>
        <w:tc>
          <w:tcPr>
            <w:tcW w:w="1800" w:type="dxa"/>
          </w:tcPr>
          <w:p w:rsidRPr="00701642" w:rsidR="00701642" w:rsidP="00701642" w:rsidRDefault="00701642" w14:paraId="531EEA2F" w14:textId="7A52302B">
            <w:pPr>
              <w:ind w:firstLine="0"/>
              <w:jc w:val="center"/>
              <w:rPr>
                <w:rFonts w:eastAsia="Calibri" w:cs="Times New Roman"/>
              </w:rPr>
            </w:pPr>
            <w:r w:rsidRPr="00701642">
              <w:rPr>
                <w:rFonts w:eastAsia="Calibri" w:cs="Times New Roman"/>
              </w:rPr>
              <w:t>9.27%-9.48%</w:t>
            </w:r>
            <w:r w:rsidR="004C55A0">
              <w:rPr>
                <w:rStyle w:val="FootnoteReference"/>
                <w:rFonts w:eastAsia="Calibri" w:cs="Times New Roman"/>
              </w:rPr>
              <w:footnoteReference w:id="126"/>
            </w:r>
          </w:p>
        </w:tc>
        <w:tc>
          <w:tcPr>
            <w:tcW w:w="1710" w:type="dxa"/>
          </w:tcPr>
          <w:p w:rsidRPr="00701642" w:rsidR="00701642" w:rsidP="00701642" w:rsidRDefault="00701642" w14:paraId="640AF380" w14:textId="3475217A">
            <w:pPr>
              <w:ind w:firstLine="0"/>
              <w:jc w:val="center"/>
              <w:rPr>
                <w:rFonts w:eastAsia="Calibri" w:cs="Times New Roman"/>
              </w:rPr>
            </w:pPr>
            <w:r w:rsidRPr="00701642">
              <w:rPr>
                <w:rFonts w:eastAsia="Calibri" w:cs="Times New Roman"/>
              </w:rPr>
              <w:t>9.27%-9.45%</w:t>
            </w:r>
            <w:r w:rsidR="00714323">
              <w:rPr>
                <w:rStyle w:val="FootnoteReference"/>
                <w:rFonts w:eastAsia="Calibri" w:cs="Times New Roman"/>
              </w:rPr>
              <w:footnoteReference w:id="127"/>
            </w:r>
          </w:p>
        </w:tc>
      </w:tr>
      <w:tr w:rsidRPr="00701642" w:rsidR="00701642" w14:paraId="1D60CFAF" w14:textId="77777777">
        <w:tc>
          <w:tcPr>
            <w:tcW w:w="2155" w:type="dxa"/>
          </w:tcPr>
          <w:p w:rsidRPr="00701642" w:rsidR="00701642" w:rsidP="00701642" w:rsidRDefault="00701642" w14:paraId="27AA1A3C" w14:textId="2DB6F44A">
            <w:pPr>
              <w:ind w:firstLine="0"/>
              <w:rPr>
                <w:rFonts w:eastAsia="Calibri" w:cs="Times New Roman"/>
                <w:b/>
                <w:bCs/>
              </w:rPr>
            </w:pPr>
            <w:r w:rsidRPr="00701642">
              <w:rPr>
                <w:rFonts w:eastAsia="Calibri" w:cs="Times New Roman"/>
                <w:b/>
                <w:bCs/>
              </w:rPr>
              <w:t>UCAN</w:t>
            </w:r>
            <w:r w:rsidR="00714323">
              <w:rPr>
                <w:rStyle w:val="FootnoteReference"/>
                <w:rFonts w:eastAsia="Calibri" w:cs="Times New Roman"/>
                <w:b/>
                <w:bCs/>
              </w:rPr>
              <w:footnoteReference w:id="128"/>
            </w:r>
          </w:p>
        </w:tc>
        <w:tc>
          <w:tcPr>
            <w:tcW w:w="1980" w:type="dxa"/>
          </w:tcPr>
          <w:p w:rsidRPr="00701642" w:rsidR="00701642" w:rsidP="00701642" w:rsidRDefault="00701642" w14:paraId="43BD303C" w14:textId="77777777">
            <w:pPr>
              <w:ind w:firstLine="0"/>
              <w:rPr>
                <w:rFonts w:eastAsia="Calibri" w:cs="Times New Roman"/>
              </w:rPr>
            </w:pPr>
          </w:p>
        </w:tc>
        <w:tc>
          <w:tcPr>
            <w:tcW w:w="1800" w:type="dxa"/>
          </w:tcPr>
          <w:p w:rsidRPr="00701642" w:rsidR="00701642" w:rsidP="00701642" w:rsidRDefault="00701642" w14:paraId="4BF04FBA" w14:textId="77777777">
            <w:pPr>
              <w:ind w:firstLine="0"/>
              <w:rPr>
                <w:rFonts w:eastAsia="Calibri" w:cs="Times New Roman"/>
              </w:rPr>
            </w:pPr>
          </w:p>
        </w:tc>
        <w:tc>
          <w:tcPr>
            <w:tcW w:w="1800" w:type="dxa"/>
          </w:tcPr>
          <w:p w:rsidRPr="00701642" w:rsidR="00701642" w:rsidP="00701642" w:rsidRDefault="00701642" w14:paraId="5D2F7BEB" w14:textId="77777777">
            <w:pPr>
              <w:ind w:firstLine="0"/>
              <w:rPr>
                <w:rFonts w:eastAsia="Calibri" w:cs="Times New Roman"/>
              </w:rPr>
            </w:pPr>
          </w:p>
        </w:tc>
        <w:tc>
          <w:tcPr>
            <w:tcW w:w="1710" w:type="dxa"/>
          </w:tcPr>
          <w:p w:rsidRPr="00701642" w:rsidR="00701642" w:rsidP="00701642" w:rsidRDefault="00701642" w14:paraId="01B1CF0D" w14:textId="77777777">
            <w:pPr>
              <w:ind w:firstLine="0"/>
              <w:rPr>
                <w:rFonts w:eastAsia="Calibri" w:cs="Times New Roman"/>
              </w:rPr>
            </w:pPr>
            <w:r w:rsidRPr="00701642">
              <w:rPr>
                <w:rFonts w:eastAsia="Calibri" w:cs="Times New Roman"/>
              </w:rPr>
              <w:t>8.80%</w:t>
            </w:r>
          </w:p>
        </w:tc>
      </w:tr>
      <w:tr w:rsidRPr="00701642" w:rsidR="00701642" w14:paraId="19D7A0E5" w14:textId="77777777">
        <w:tc>
          <w:tcPr>
            <w:tcW w:w="2155" w:type="dxa"/>
          </w:tcPr>
          <w:p w:rsidRPr="00701642" w:rsidR="00701642" w:rsidP="00701642" w:rsidRDefault="00701642" w14:paraId="260C3BA1" w14:textId="21E67593">
            <w:pPr>
              <w:ind w:firstLine="0"/>
              <w:rPr>
                <w:rFonts w:eastAsia="Calibri" w:cs="Times New Roman"/>
                <w:b/>
                <w:bCs/>
              </w:rPr>
            </w:pPr>
            <w:r w:rsidRPr="00701642">
              <w:rPr>
                <w:rFonts w:eastAsia="Calibri" w:cs="Times New Roman"/>
                <w:b/>
                <w:bCs/>
              </w:rPr>
              <w:lastRenderedPageBreak/>
              <w:t>Wild Tree</w:t>
            </w:r>
            <w:r w:rsidR="008019CD">
              <w:rPr>
                <w:rStyle w:val="FootnoteReference"/>
                <w:rFonts w:eastAsia="Calibri" w:cs="Times New Roman"/>
                <w:b/>
                <w:bCs/>
              </w:rPr>
              <w:footnoteReference w:id="129"/>
            </w:r>
          </w:p>
        </w:tc>
        <w:tc>
          <w:tcPr>
            <w:tcW w:w="1980" w:type="dxa"/>
          </w:tcPr>
          <w:p w:rsidRPr="00701642" w:rsidR="00701642" w:rsidP="00701642" w:rsidRDefault="00701642" w14:paraId="3E584BCE" w14:textId="77777777">
            <w:pPr>
              <w:ind w:firstLine="0"/>
              <w:rPr>
                <w:rFonts w:eastAsia="Calibri" w:cs="Times New Roman"/>
              </w:rPr>
            </w:pPr>
            <w:r w:rsidRPr="00701642">
              <w:rPr>
                <w:rFonts w:eastAsia="Calibri" w:cs="Times New Roman"/>
              </w:rPr>
              <w:t xml:space="preserve">7.92%-8.70% </w:t>
            </w:r>
          </w:p>
        </w:tc>
        <w:tc>
          <w:tcPr>
            <w:tcW w:w="1800" w:type="dxa"/>
          </w:tcPr>
          <w:p w:rsidRPr="00701642" w:rsidR="00701642" w:rsidP="00701642" w:rsidRDefault="00701642" w14:paraId="5C610024" w14:textId="77777777">
            <w:pPr>
              <w:ind w:firstLine="0"/>
              <w:jc w:val="center"/>
              <w:rPr>
                <w:rFonts w:eastAsia="Calibri" w:cs="Times New Roman"/>
              </w:rPr>
            </w:pPr>
            <w:r w:rsidRPr="00701642">
              <w:rPr>
                <w:rFonts w:eastAsia="Calibri" w:cs="Times New Roman"/>
              </w:rPr>
              <w:t>7.59%-8.83%</w:t>
            </w:r>
          </w:p>
        </w:tc>
        <w:tc>
          <w:tcPr>
            <w:tcW w:w="1800" w:type="dxa"/>
          </w:tcPr>
          <w:p w:rsidRPr="00701642" w:rsidR="00701642" w:rsidP="00701642" w:rsidRDefault="00701642" w14:paraId="104F4AE9" w14:textId="77777777">
            <w:pPr>
              <w:ind w:firstLine="0"/>
              <w:rPr>
                <w:rFonts w:eastAsia="Calibri" w:cs="Times New Roman"/>
              </w:rPr>
            </w:pPr>
            <w:r w:rsidRPr="00701642">
              <w:rPr>
                <w:rFonts w:eastAsia="Calibri" w:cs="Times New Roman"/>
              </w:rPr>
              <w:t xml:space="preserve">7.92%-8.70% </w:t>
            </w:r>
          </w:p>
        </w:tc>
        <w:tc>
          <w:tcPr>
            <w:tcW w:w="1710" w:type="dxa"/>
          </w:tcPr>
          <w:p w:rsidRPr="00701642" w:rsidR="00701642" w:rsidP="00701642" w:rsidRDefault="00701642" w14:paraId="4CF97A5A" w14:textId="77777777">
            <w:pPr>
              <w:ind w:firstLine="0"/>
              <w:rPr>
                <w:rFonts w:eastAsia="Calibri" w:cs="Times New Roman"/>
              </w:rPr>
            </w:pPr>
            <w:r w:rsidRPr="00701642">
              <w:rPr>
                <w:rFonts w:eastAsia="Calibri" w:cs="Times New Roman"/>
              </w:rPr>
              <w:t xml:space="preserve">7.92%-8.70% </w:t>
            </w:r>
          </w:p>
        </w:tc>
      </w:tr>
      <w:tr w:rsidRPr="00701642" w:rsidR="00701642" w14:paraId="5089A8E0" w14:textId="77777777">
        <w:tc>
          <w:tcPr>
            <w:tcW w:w="2155" w:type="dxa"/>
          </w:tcPr>
          <w:p w:rsidRPr="00701642" w:rsidR="00701642" w:rsidP="00701642" w:rsidRDefault="00701642" w14:paraId="00442EA3" w14:textId="51048815">
            <w:pPr>
              <w:ind w:firstLine="0"/>
              <w:rPr>
                <w:rFonts w:eastAsia="Calibri" w:cs="Times New Roman"/>
                <w:b/>
                <w:bCs/>
              </w:rPr>
            </w:pPr>
            <w:r w:rsidRPr="00701642">
              <w:rPr>
                <w:rFonts w:eastAsia="Calibri" w:cs="Times New Roman"/>
                <w:b/>
                <w:bCs/>
              </w:rPr>
              <w:t>SC/PCF</w:t>
            </w:r>
            <w:r w:rsidR="008019CD">
              <w:rPr>
                <w:rStyle w:val="FootnoteReference"/>
                <w:rFonts w:eastAsia="Calibri" w:cs="Times New Roman"/>
                <w:b/>
                <w:bCs/>
              </w:rPr>
              <w:footnoteReference w:id="130"/>
            </w:r>
          </w:p>
        </w:tc>
        <w:tc>
          <w:tcPr>
            <w:tcW w:w="1980" w:type="dxa"/>
          </w:tcPr>
          <w:p w:rsidRPr="00701642" w:rsidR="00701642" w:rsidP="00701642" w:rsidRDefault="00701642" w14:paraId="52BDD497" w14:textId="77777777">
            <w:pPr>
              <w:ind w:firstLine="0"/>
              <w:rPr>
                <w:rFonts w:eastAsia="Calibri" w:cs="Times New Roman"/>
              </w:rPr>
            </w:pPr>
            <w:r w:rsidRPr="00701642">
              <w:rPr>
                <w:rFonts w:eastAsia="Calibri" w:cs="Times New Roman"/>
              </w:rPr>
              <w:t>6.99%</w:t>
            </w:r>
          </w:p>
        </w:tc>
        <w:tc>
          <w:tcPr>
            <w:tcW w:w="1800" w:type="dxa"/>
          </w:tcPr>
          <w:p w:rsidRPr="00701642" w:rsidR="00701642" w:rsidP="00701642" w:rsidRDefault="00701642" w14:paraId="57919998" w14:textId="77777777">
            <w:pPr>
              <w:ind w:firstLine="0"/>
              <w:rPr>
                <w:rFonts w:eastAsia="Calibri" w:cs="Times New Roman"/>
              </w:rPr>
            </w:pPr>
            <w:r w:rsidRPr="00701642">
              <w:rPr>
                <w:rFonts w:eastAsia="Calibri" w:cs="Times New Roman"/>
              </w:rPr>
              <w:t>6.98%</w:t>
            </w:r>
          </w:p>
        </w:tc>
        <w:tc>
          <w:tcPr>
            <w:tcW w:w="1800" w:type="dxa"/>
          </w:tcPr>
          <w:p w:rsidRPr="00701642" w:rsidR="00701642" w:rsidP="00701642" w:rsidRDefault="00BB0628" w14:paraId="07BE444C" w14:textId="22E2DDBF">
            <w:pPr>
              <w:ind w:firstLine="0"/>
              <w:rPr>
                <w:rFonts w:eastAsia="Calibri" w:cs="Times New Roman"/>
              </w:rPr>
            </w:pPr>
            <w:r>
              <w:rPr>
                <w:rFonts w:eastAsia="Calibri" w:cs="Times New Roman"/>
              </w:rPr>
              <w:t>6</w:t>
            </w:r>
            <w:r w:rsidRPr="00701642" w:rsidR="00701642">
              <w:rPr>
                <w:rFonts w:eastAsia="Calibri" w:cs="Times New Roman"/>
              </w:rPr>
              <w:t>.90%</w:t>
            </w:r>
          </w:p>
        </w:tc>
        <w:tc>
          <w:tcPr>
            <w:tcW w:w="1710" w:type="dxa"/>
          </w:tcPr>
          <w:p w:rsidRPr="00701642" w:rsidR="00701642" w:rsidP="00701642" w:rsidRDefault="00701642" w14:paraId="294ED68D" w14:textId="77777777">
            <w:pPr>
              <w:ind w:firstLine="0"/>
              <w:rPr>
                <w:rFonts w:eastAsia="Calibri" w:cs="Times New Roman"/>
              </w:rPr>
            </w:pPr>
            <w:r w:rsidRPr="00701642">
              <w:rPr>
                <w:rFonts w:eastAsia="Calibri" w:cs="Times New Roman"/>
              </w:rPr>
              <w:t>7.00%</w:t>
            </w:r>
          </w:p>
        </w:tc>
      </w:tr>
      <w:tr w:rsidRPr="00701642" w:rsidR="00701642" w14:paraId="7B7104E8" w14:textId="77777777">
        <w:tc>
          <w:tcPr>
            <w:tcW w:w="2155" w:type="dxa"/>
          </w:tcPr>
          <w:p w:rsidRPr="00701642" w:rsidR="00701642" w:rsidP="00701642" w:rsidRDefault="00701642" w14:paraId="4C20886B" w14:textId="57D3CB82">
            <w:pPr>
              <w:ind w:firstLine="0"/>
              <w:rPr>
                <w:rFonts w:eastAsia="Calibri" w:cs="Times New Roman"/>
                <w:b/>
                <w:bCs/>
              </w:rPr>
            </w:pPr>
            <w:r w:rsidRPr="00701642">
              <w:rPr>
                <w:rFonts w:eastAsia="Calibri" w:cs="Times New Roman"/>
                <w:b/>
                <w:bCs/>
              </w:rPr>
              <w:t>SBUA</w:t>
            </w:r>
            <w:r w:rsidR="00BB1239">
              <w:rPr>
                <w:rStyle w:val="FootnoteReference"/>
                <w:rFonts w:eastAsia="Calibri" w:cs="Times New Roman"/>
                <w:b/>
                <w:bCs/>
              </w:rPr>
              <w:footnoteReference w:id="131"/>
            </w:r>
          </w:p>
        </w:tc>
        <w:tc>
          <w:tcPr>
            <w:tcW w:w="1980" w:type="dxa"/>
          </w:tcPr>
          <w:p w:rsidRPr="00701642" w:rsidR="00701642" w:rsidP="00701642" w:rsidRDefault="00701642" w14:paraId="171E520E" w14:textId="77777777">
            <w:pPr>
              <w:ind w:firstLine="0"/>
              <w:rPr>
                <w:rFonts w:eastAsia="Calibri" w:cs="Times New Roman"/>
              </w:rPr>
            </w:pPr>
            <w:r w:rsidRPr="00701642">
              <w:rPr>
                <w:rFonts w:eastAsia="Calibri" w:cs="Times New Roman"/>
              </w:rPr>
              <w:t>8.73%-10.44%</w:t>
            </w:r>
          </w:p>
        </w:tc>
        <w:tc>
          <w:tcPr>
            <w:tcW w:w="1800" w:type="dxa"/>
          </w:tcPr>
          <w:p w:rsidRPr="00701642" w:rsidR="00701642" w:rsidP="00701642" w:rsidRDefault="00701642" w14:paraId="013EAD1F" w14:textId="77777777">
            <w:pPr>
              <w:ind w:firstLine="0"/>
              <w:rPr>
                <w:rFonts w:ascii="Aptos" w:hAnsi="Aptos" w:eastAsia="Aptos" w:cs="Times New Roman"/>
                <w:sz w:val="16"/>
                <w:szCs w:val="16"/>
              </w:rPr>
            </w:pPr>
          </w:p>
        </w:tc>
        <w:tc>
          <w:tcPr>
            <w:tcW w:w="1800" w:type="dxa"/>
          </w:tcPr>
          <w:p w:rsidRPr="00701642" w:rsidR="00701642" w:rsidP="00701642" w:rsidRDefault="00701642" w14:paraId="5C841D0E" w14:textId="77777777">
            <w:pPr>
              <w:ind w:firstLine="0"/>
              <w:rPr>
                <w:rFonts w:eastAsia="Calibri" w:cs="Times New Roman"/>
              </w:rPr>
            </w:pPr>
          </w:p>
        </w:tc>
        <w:tc>
          <w:tcPr>
            <w:tcW w:w="1710" w:type="dxa"/>
          </w:tcPr>
          <w:p w:rsidRPr="00701642" w:rsidR="00701642" w:rsidP="00701642" w:rsidRDefault="00701642" w14:paraId="535B9507" w14:textId="77777777">
            <w:pPr>
              <w:ind w:firstLine="0"/>
              <w:rPr>
                <w:rFonts w:eastAsia="Calibri" w:cs="Times New Roman"/>
              </w:rPr>
            </w:pPr>
          </w:p>
        </w:tc>
      </w:tr>
      <w:bookmarkEnd w:id="32"/>
    </w:tbl>
    <w:p w:rsidR="0001164B" w:rsidP="003859A7" w:rsidRDefault="0001164B" w14:paraId="0ACA1C75" w14:textId="77777777">
      <w:pPr>
        <w:pStyle w:val="Standard"/>
      </w:pPr>
    </w:p>
    <w:p w:rsidR="004A1D91" w:rsidP="006D0D56" w:rsidRDefault="004E7AED" w14:paraId="7D882E44" w14:textId="1EAD3559">
      <w:pPr>
        <w:pStyle w:val="Heading3"/>
      </w:pPr>
      <w:bookmarkStart w:name="_Toc214017374" w:id="33"/>
      <w:r w:rsidRPr="006D0D56">
        <w:t>Summary</w:t>
      </w:r>
      <w:bookmarkEnd w:id="33"/>
    </w:p>
    <w:p w:rsidR="00511A2D" w:rsidP="00C15084" w:rsidRDefault="00511A2D" w14:paraId="6B3CD96E" w14:textId="75EB1F2A">
      <w:pPr>
        <w:pStyle w:val="Standard"/>
      </w:pPr>
      <w:r>
        <w:t>From the results of these broad financial models, which are dependent on subjective inputs and assumptions, the parties advance arguments in support of their respective analyses</w:t>
      </w:r>
      <w:r w:rsidR="00A23AA3">
        <w:t xml:space="preserve"> and in criticism of the input assumptions used by other parties. </w:t>
      </w:r>
      <w:r w:rsidR="00AD4D45">
        <w:t xml:space="preserve">We note that none of the parties agree with the financial modeling results of the others. </w:t>
      </w:r>
    </w:p>
    <w:p w:rsidR="00FC25F4" w:rsidP="00FC25F4" w:rsidRDefault="0035635B" w14:paraId="4B12070D" w14:textId="05252E0F">
      <w:pPr>
        <w:pStyle w:val="Standard"/>
        <w:rPr>
          <w:highlight w:val="yellow"/>
        </w:rPr>
      </w:pPr>
      <w:r>
        <w:t>The utilities’ analyses generally yield higher results than the intervenors</w:t>
      </w:r>
      <w:r w:rsidR="00A7300D">
        <w:t>’ analyses,</w:t>
      </w:r>
      <w:r>
        <w:t xml:space="preserve"> regardless of the model used. </w:t>
      </w:r>
      <w:r w:rsidR="00614EBE">
        <w:t xml:space="preserve">The DCF model produces the most consistent </w:t>
      </w:r>
      <w:r w:rsidR="00A7300D">
        <w:t xml:space="preserve">results among the parties. The utility </w:t>
      </w:r>
      <w:r w:rsidR="003D1B49">
        <w:t xml:space="preserve">DCF </w:t>
      </w:r>
      <w:r w:rsidR="00A7300D">
        <w:t xml:space="preserve">results are higher than the intervenors, in part, because of the </w:t>
      </w:r>
      <w:r w:rsidR="00680540">
        <w:t>after tax weighted average cost of capital (ATWACC) adder</w:t>
      </w:r>
      <w:r w:rsidR="00802FA9">
        <w:t xml:space="preserve"> </w:t>
      </w:r>
      <w:r w:rsidR="002F29B9">
        <w:t xml:space="preserve">used </w:t>
      </w:r>
      <w:r w:rsidR="00802FA9">
        <w:t>by some of the utilities</w:t>
      </w:r>
      <w:r w:rsidR="00680540">
        <w:t>. The Commission has considered and rejected the ATWACC adder in multiple proceedings</w:t>
      </w:r>
      <w:r w:rsidR="00680540">
        <w:rPr>
          <w:rStyle w:val="FootnoteReference"/>
        </w:rPr>
        <w:footnoteReference w:id="132"/>
      </w:r>
      <w:r w:rsidR="00680540">
        <w:t xml:space="preserve"> and reject</w:t>
      </w:r>
      <w:r w:rsidR="00D90D33">
        <w:t>s</w:t>
      </w:r>
      <w:r w:rsidR="00680540">
        <w:t xml:space="preserve"> this adder here.</w:t>
      </w:r>
      <w:r w:rsidRPr="00FC25F4" w:rsidR="00FC25F4">
        <w:rPr>
          <w:highlight w:val="yellow"/>
        </w:rPr>
        <w:t xml:space="preserve"> </w:t>
      </w:r>
    </w:p>
    <w:p w:rsidR="00C25E9C" w:rsidP="00FC25F4" w:rsidRDefault="00C25E9C" w14:paraId="29D88937" w14:textId="753B963D">
      <w:pPr>
        <w:pStyle w:val="Standard"/>
      </w:pPr>
      <w:r>
        <w:t xml:space="preserve">Using </w:t>
      </w:r>
      <w:r w:rsidR="00E10A30">
        <w:t xml:space="preserve">the </w:t>
      </w:r>
      <w:r>
        <w:t xml:space="preserve">DCF model, utilities present midpoint ROE estimates in the low to upper mid 10% range, while EPUC/IS/TURN, Cal Advocates, and SBUA estimate ROEs in the low to upper mid 9% range. </w:t>
      </w:r>
    </w:p>
    <w:p w:rsidR="00CA147A" w:rsidP="00FC25F4" w:rsidRDefault="00EA3F3D" w14:paraId="76BDC110" w14:textId="3E9C6526">
      <w:pPr>
        <w:pStyle w:val="Standard"/>
      </w:pPr>
      <w:r>
        <w:lastRenderedPageBreak/>
        <w:t>Wild Tree</w:t>
      </w:r>
      <w:r w:rsidR="00CA147A">
        <w:t xml:space="preserve"> and </w:t>
      </w:r>
      <w:r w:rsidR="0028617B">
        <w:t xml:space="preserve">Sierra Club/PCF </w:t>
      </w:r>
      <w:r w:rsidR="002D3753">
        <w:t>a</w:t>
      </w:r>
      <w:r w:rsidR="00252188">
        <w:t>rgue</w:t>
      </w:r>
      <w:r w:rsidR="002D3753">
        <w:t xml:space="preserve"> that utilities’ and other intervenors’ use of </w:t>
      </w:r>
      <w:r w:rsidR="00B91195">
        <w:t>constant growth</w:t>
      </w:r>
      <w:r w:rsidR="002D3753">
        <w:t xml:space="preserve"> DCF</w:t>
      </w:r>
      <w:r w:rsidR="00B91195">
        <w:t xml:space="preserve"> models</w:t>
      </w:r>
      <w:r w:rsidRPr="0039606A" w:rsidR="0039606A">
        <w:t xml:space="preserve"> </w:t>
      </w:r>
      <w:r w:rsidR="0039606A">
        <w:t>with high growth rates result in economically and mathematically</w:t>
      </w:r>
      <w:r w:rsidR="001E6ED6">
        <w:t xml:space="preserve"> infeasible results.</w:t>
      </w:r>
      <w:r w:rsidR="00FF6AB0">
        <w:t xml:space="preserve"> Both Sierra Club and PCF assert that the results of </w:t>
      </w:r>
      <w:r w:rsidR="00304620">
        <w:t xml:space="preserve">the utilities constant growth DCF models are </w:t>
      </w:r>
      <w:r w:rsidR="006E3604">
        <w:t xml:space="preserve">unrealistic because it is impossible for </w:t>
      </w:r>
      <w:r w:rsidR="00D968BA">
        <w:t xml:space="preserve">a stock or an industry to grow faster than </w:t>
      </w:r>
      <w:r w:rsidR="006D2F72">
        <w:t>GDP into perpetuity.</w:t>
      </w:r>
      <w:r w:rsidR="001E6ED6">
        <w:rPr>
          <w:rStyle w:val="FootnoteReference"/>
        </w:rPr>
        <w:footnoteReference w:id="133"/>
      </w:r>
      <w:r w:rsidR="00261437">
        <w:t xml:space="preserve"> </w:t>
      </w:r>
      <w:r>
        <w:t>Wild Tree</w:t>
      </w:r>
      <w:r w:rsidR="00261437">
        <w:t xml:space="preserve"> </w:t>
      </w:r>
      <w:r w:rsidR="00A37F3E">
        <w:t>explains</w:t>
      </w:r>
      <w:r w:rsidR="00252188">
        <w:t xml:space="preserve"> that</w:t>
      </w:r>
      <w:r w:rsidR="00A37F3E">
        <w:t xml:space="preserve"> “</w:t>
      </w:r>
      <w:r w:rsidRPr="00CA1BA2" w:rsidR="00CA1BA2">
        <w:t xml:space="preserve">constant growth DCF requires a growth rate that can reasonably be sustained in perpetuity. </w:t>
      </w:r>
      <w:r w:rsidR="00BE37C4">
        <w:t xml:space="preserve">[The forecasts used by </w:t>
      </w:r>
      <w:r w:rsidR="00816103">
        <w:t>utility witnesses]</w:t>
      </w:r>
      <w:r w:rsidRPr="00CA1BA2" w:rsidR="00CA1BA2">
        <w:t xml:space="preserve"> are short-term, often overly optimistic, and inconsistent with a perpetual growth assumption.</w:t>
      </w:r>
      <w:r w:rsidR="00CA1BA2">
        <w:t>”</w:t>
      </w:r>
      <w:r w:rsidR="001F3223">
        <w:rPr>
          <w:rStyle w:val="FootnoteReference"/>
        </w:rPr>
        <w:footnoteReference w:id="134"/>
      </w:r>
      <w:r w:rsidR="00D01315">
        <w:t xml:space="preserve"> </w:t>
      </w:r>
      <w:r w:rsidR="007C1518">
        <w:t xml:space="preserve">PG&amp;E responds that </w:t>
      </w:r>
      <w:r w:rsidR="00BE275B">
        <w:t xml:space="preserve">individual segments </w:t>
      </w:r>
      <w:r w:rsidR="00450A6D">
        <w:t xml:space="preserve">of the economy can grow </w:t>
      </w:r>
      <w:r w:rsidR="00211E71">
        <w:t>faster than GDP</w:t>
      </w:r>
      <w:r w:rsidR="001D58E2">
        <w:t>, highlighting that US utility companies grew faster than the US economy from 1972 to 2009.</w:t>
      </w:r>
      <w:r w:rsidR="001D58E2">
        <w:rPr>
          <w:rStyle w:val="FootnoteReference"/>
        </w:rPr>
        <w:footnoteReference w:id="135"/>
      </w:r>
    </w:p>
    <w:p w:rsidR="00986A19" w:rsidRDefault="00E10A30" w14:paraId="1342D5DB" w14:textId="31F6E785">
      <w:r w:rsidRPr="00E10A30">
        <w:t xml:space="preserve">The CAPM model </w:t>
      </w:r>
      <w:r w:rsidR="00F54200">
        <w:t>produced</w:t>
      </w:r>
      <w:r w:rsidRPr="00E10A30">
        <w:t xml:space="preserve"> significantly higher results than the other models</w:t>
      </w:r>
      <w:r w:rsidR="00961CB7">
        <w:t xml:space="preserve"> for utilities</w:t>
      </w:r>
      <w:r w:rsidR="00410BF5">
        <w:t>,</w:t>
      </w:r>
      <w:r w:rsidRPr="00E10A30">
        <w:t xml:space="preserve"> </w:t>
      </w:r>
      <w:r w:rsidRPr="004E364B" w:rsidR="00F54200">
        <w:t>showing</w:t>
      </w:r>
      <w:r>
        <w:t xml:space="preserve"> </w:t>
      </w:r>
      <w:r w:rsidR="00733737">
        <w:t xml:space="preserve">PG&amp;E, SDG&amp;E, and SoCalGas ROE in </w:t>
      </w:r>
      <w:r w:rsidR="00126439">
        <w:t>mid-11</w:t>
      </w:r>
      <w:r w:rsidRPr="004E364B" w:rsidR="00F54200">
        <w:t>% compared to intervenor</w:t>
      </w:r>
      <w:r w:rsidR="00126439">
        <w:t>s</w:t>
      </w:r>
      <w:r w:rsidRPr="004E364B" w:rsidR="00F54200">
        <w:t>’ ROE results in the 9% range or lower.</w:t>
      </w:r>
      <w:r w:rsidR="00FE28C7">
        <w:t xml:space="preserve"> </w:t>
      </w:r>
      <w:r w:rsidR="00314808">
        <w:t>Intervenors</w:t>
      </w:r>
      <w:r w:rsidR="009A658B">
        <w:t xml:space="preserve">, </w:t>
      </w:r>
      <w:r w:rsidR="00B15A2A">
        <w:t>including SBUA,</w:t>
      </w:r>
      <w:r w:rsidR="0037739F">
        <w:rPr>
          <w:rStyle w:val="FootnoteReference"/>
        </w:rPr>
        <w:footnoteReference w:id="136"/>
      </w:r>
      <w:r w:rsidR="009A658B">
        <w:t xml:space="preserve"> </w:t>
      </w:r>
      <w:r w:rsidR="00E64181">
        <w:t>Cal Advocates</w:t>
      </w:r>
      <w:r w:rsidR="009A658B">
        <w:t>,</w:t>
      </w:r>
      <w:r w:rsidR="009B5077">
        <w:rPr>
          <w:rStyle w:val="FootnoteReference"/>
        </w:rPr>
        <w:footnoteReference w:id="137"/>
      </w:r>
      <w:r w:rsidR="009A658B">
        <w:t xml:space="preserve"> </w:t>
      </w:r>
      <w:r w:rsidR="009434A6">
        <w:t>EPUC/IS/TURN</w:t>
      </w:r>
      <w:r w:rsidR="00EA370C">
        <w:rPr>
          <w:rStyle w:val="FootnoteReference"/>
        </w:rPr>
        <w:footnoteReference w:id="138"/>
      </w:r>
      <w:r w:rsidR="009434A6">
        <w:t>,</w:t>
      </w:r>
      <w:r w:rsidR="001F0057">
        <w:t xml:space="preserve"> </w:t>
      </w:r>
      <w:r w:rsidR="00EA3F3D">
        <w:t>Wild Tree</w:t>
      </w:r>
      <w:r w:rsidR="001F0057">
        <w:t>,</w:t>
      </w:r>
      <w:r w:rsidR="001F0057">
        <w:rPr>
          <w:rStyle w:val="FootnoteReference"/>
        </w:rPr>
        <w:footnoteReference w:id="139"/>
      </w:r>
      <w:r w:rsidR="001D102C">
        <w:t xml:space="preserve"> </w:t>
      </w:r>
      <w:r w:rsidR="00443EE1">
        <w:t xml:space="preserve">and </w:t>
      </w:r>
      <w:r w:rsidR="001D102C">
        <w:t>Sierra Club/PCF,</w:t>
      </w:r>
      <w:r w:rsidR="001D102C">
        <w:rPr>
          <w:rStyle w:val="FootnoteReference"/>
        </w:rPr>
        <w:footnoteReference w:id="140"/>
      </w:r>
      <w:r w:rsidR="009375BE">
        <w:t xml:space="preserve"> </w:t>
      </w:r>
      <w:r w:rsidR="000D0098">
        <w:t>asser</w:t>
      </w:r>
      <w:r w:rsidR="00095EA3">
        <w:t>t</w:t>
      </w:r>
      <w:r w:rsidR="00E64181">
        <w:t xml:space="preserve"> that </w:t>
      </w:r>
      <w:r w:rsidR="00D7326F">
        <w:t>the</w:t>
      </w:r>
      <w:r w:rsidR="00AD7AB9">
        <w:t xml:space="preserve"> ROE proposed for</w:t>
      </w:r>
      <w:r w:rsidR="00D7326F">
        <w:t xml:space="preserve"> </w:t>
      </w:r>
      <w:r w:rsidR="009A658B">
        <w:t xml:space="preserve">PG&amp;E, </w:t>
      </w:r>
      <w:r w:rsidR="00D7326F">
        <w:t>SDG&amp;E</w:t>
      </w:r>
      <w:r w:rsidR="00B15A2A">
        <w:t>,</w:t>
      </w:r>
      <w:r w:rsidR="00D7326F">
        <w:t xml:space="preserve"> and SoCalGas </w:t>
      </w:r>
      <w:r w:rsidR="00314808">
        <w:t>based on</w:t>
      </w:r>
      <w:r w:rsidR="009A658B">
        <w:t xml:space="preserve"> </w:t>
      </w:r>
      <w:r w:rsidR="00314808">
        <w:t xml:space="preserve">the </w:t>
      </w:r>
      <w:r w:rsidR="00D7326F">
        <w:t xml:space="preserve">CAPM model </w:t>
      </w:r>
      <w:r w:rsidR="00314808">
        <w:t>are</w:t>
      </w:r>
      <w:r w:rsidR="00D7326F">
        <w:t xml:space="preserve"> inflated due to </w:t>
      </w:r>
      <w:r w:rsidR="00E64181">
        <w:t xml:space="preserve">the use of (1) </w:t>
      </w:r>
      <w:r w:rsidR="00CB2138">
        <w:t xml:space="preserve">the </w:t>
      </w:r>
      <w:r w:rsidR="00E64181">
        <w:t xml:space="preserve">ECAPM version of the CAPM </w:t>
      </w:r>
      <w:r w:rsidR="00095EA3">
        <w:t xml:space="preserve">or </w:t>
      </w:r>
      <w:r w:rsidR="00E64181">
        <w:t xml:space="preserve">(2) the expected market risk premium </w:t>
      </w:r>
      <w:r w:rsidR="00D7326F">
        <w:t>derived</w:t>
      </w:r>
      <w:r w:rsidR="000651EF">
        <w:t xml:space="preserve"> </w:t>
      </w:r>
      <w:r w:rsidR="000651EF">
        <w:lastRenderedPageBreak/>
        <w:t xml:space="preserve">from </w:t>
      </w:r>
      <w:r w:rsidR="001C7523">
        <w:t>unrealistic expected market return.</w:t>
      </w:r>
      <w:r w:rsidR="003A4493">
        <w:t xml:space="preserve"> </w:t>
      </w:r>
      <w:r w:rsidRPr="00564271" w:rsidR="00E833E9">
        <w:t xml:space="preserve">The ECAPM is a modification of the traditional CAPM. It is based on an empirical observation in various historical academic studies that </w:t>
      </w:r>
      <w:r w:rsidRPr="003C1978" w:rsidR="00E833E9">
        <w:t>low-beta stocks often outperform CAPM predictions, while high-beta stocks underperform</w:t>
      </w:r>
      <w:r w:rsidR="00E833E9">
        <w:t>.</w:t>
      </w:r>
      <w:r w:rsidRPr="00564271" w:rsidR="00E833E9">
        <w:t xml:space="preserve"> </w:t>
      </w:r>
      <w:r w:rsidRPr="00191D0C" w:rsidR="00E833E9">
        <w:t>This results in a 'flattened' security market line</w:t>
      </w:r>
      <w:r w:rsidRPr="00564271" w:rsidR="00E833E9">
        <w:t xml:space="preserve">, </w:t>
      </w:r>
      <w:r w:rsidRPr="00C76F49" w:rsidR="00E833E9">
        <w:t>altering the expected relationship between beta and return</w:t>
      </w:r>
      <w:r w:rsidRPr="00564271" w:rsidR="00E833E9">
        <w:t>.</w:t>
      </w:r>
      <w:r w:rsidR="00E833E9">
        <w:rPr>
          <w:rStyle w:val="FootnoteReference"/>
        </w:rPr>
        <w:footnoteReference w:id="141"/>
      </w:r>
      <w:r w:rsidR="00E833E9">
        <w:t xml:space="preserve"> </w:t>
      </w:r>
      <w:r w:rsidR="00B450A4">
        <w:t>T</w:t>
      </w:r>
      <w:r w:rsidRPr="00BB0DE9" w:rsidR="00E833E9">
        <w:t>he Commission has previously found that ECAPM tends to produce artificially high ROE estimates and has declined to rely on its results in past Cost of Capital proceedings</w:t>
      </w:r>
      <w:r w:rsidR="00E833E9">
        <w:t>.</w:t>
      </w:r>
      <w:r w:rsidR="00E833E9">
        <w:rPr>
          <w:rStyle w:val="FootnoteReference"/>
        </w:rPr>
        <w:footnoteReference w:id="142"/>
      </w:r>
    </w:p>
    <w:p w:rsidR="00E833E9" w:rsidP="00986A19" w:rsidRDefault="006B419A" w14:paraId="36332419" w14:textId="5CADD149">
      <w:r>
        <w:t xml:space="preserve">SC/PCF </w:t>
      </w:r>
      <w:r w:rsidR="009E4789">
        <w:t xml:space="preserve">assert that the </w:t>
      </w:r>
      <w:r w:rsidR="00501E2B">
        <w:t>utilities’ CAPM model</w:t>
      </w:r>
      <w:r w:rsidR="001500E5">
        <w:t xml:space="preserve"> beta</w:t>
      </w:r>
      <w:r w:rsidR="00501E2B">
        <w:t xml:space="preserve"> inputs are “cherry-picked”</w:t>
      </w:r>
      <w:r w:rsidR="001500E5">
        <w:t xml:space="preserve"> </w:t>
      </w:r>
      <w:r w:rsidR="00F44F9A">
        <w:t xml:space="preserve">because they include </w:t>
      </w:r>
      <w:r w:rsidR="009E6556">
        <w:t>a period of high</w:t>
      </w:r>
      <w:r w:rsidR="005A64BB">
        <w:t xml:space="preserve"> m</w:t>
      </w:r>
      <w:r w:rsidR="00A6442C">
        <w:t>arket</w:t>
      </w:r>
      <w:r w:rsidR="009E6556">
        <w:t xml:space="preserve"> volatility</w:t>
      </w:r>
      <w:r w:rsidR="002A13F4">
        <w:t xml:space="preserve"> in March</w:t>
      </w:r>
      <w:r w:rsidR="005D21D8">
        <w:t xml:space="preserve"> and April</w:t>
      </w:r>
      <w:r w:rsidR="002A13F4">
        <w:t xml:space="preserve"> 2020 due to the COVID-19 pandemic</w:t>
      </w:r>
      <w:r w:rsidR="000F435C">
        <w:t xml:space="preserve"> and because they</w:t>
      </w:r>
      <w:r w:rsidR="0045658C">
        <w:t xml:space="preserve"> all</w:t>
      </w:r>
      <w:r w:rsidR="000F435C">
        <w:t xml:space="preserve"> include the Blume adjustment</w:t>
      </w:r>
      <w:r w:rsidR="00023011">
        <w:t xml:space="preserve"> even when their sources had non-Blume adjusted betas</w:t>
      </w:r>
      <w:r w:rsidR="000850F7">
        <w:t>.</w:t>
      </w:r>
      <w:r w:rsidR="00023011">
        <w:rPr>
          <w:rStyle w:val="FootnoteReference"/>
        </w:rPr>
        <w:footnoteReference w:id="143"/>
      </w:r>
      <w:r w:rsidR="005D21D8">
        <w:t xml:space="preserve"> Cal Advocates and TURN/EPUC/IS also note</w:t>
      </w:r>
      <w:r w:rsidR="006B1955">
        <w:t xml:space="preserve"> unusual volatility in utility stocks in March and April of 2020</w:t>
      </w:r>
      <w:r w:rsidR="006A7ADB">
        <w:t>,</w:t>
      </w:r>
      <w:r w:rsidR="00152D35">
        <w:t xml:space="preserve"> and</w:t>
      </w:r>
      <w:r w:rsidR="006A7ADB">
        <w:t xml:space="preserve"> TURN/EPUC/IS also</w:t>
      </w:r>
      <w:r w:rsidR="00152D35">
        <w:t xml:space="preserve"> exclude those periods in their calculation of beta</w:t>
      </w:r>
      <w:r w:rsidR="006B1955">
        <w:t>.</w:t>
      </w:r>
      <w:r w:rsidR="006B1955">
        <w:rPr>
          <w:rStyle w:val="FootnoteReference"/>
        </w:rPr>
        <w:footnoteReference w:id="144"/>
      </w:r>
      <w:r w:rsidR="000850F7">
        <w:t xml:space="preserve"> The Blume adjustment</w:t>
      </w:r>
      <w:r w:rsidR="00FA2CCE">
        <w:t xml:space="preserve"> </w:t>
      </w:r>
      <w:r w:rsidR="00FE1F84">
        <w:t xml:space="preserve">normalizes </w:t>
      </w:r>
      <w:r w:rsidR="003908EC">
        <w:t xml:space="preserve">a beta value towards 1.0 </w:t>
      </w:r>
      <w:r w:rsidR="00AC01F1">
        <w:t xml:space="preserve">based </w:t>
      </w:r>
      <w:r w:rsidR="00FE1242">
        <w:t xml:space="preserve">on the tendency </w:t>
      </w:r>
      <w:r w:rsidR="00903FCC">
        <w:t xml:space="preserve">of betas </w:t>
      </w:r>
      <w:r w:rsidR="00336361">
        <w:t>to regress to 1.0</w:t>
      </w:r>
      <w:r w:rsidR="00CA3046">
        <w:t>,</w:t>
      </w:r>
      <w:r w:rsidR="006459DC">
        <w:t xml:space="preserve"> </w:t>
      </w:r>
      <w:r w:rsidR="0002033B">
        <w:t xml:space="preserve">which Sierra Club/PCF assert </w:t>
      </w:r>
      <w:r w:rsidR="00F654F3">
        <w:t xml:space="preserve">is </w:t>
      </w:r>
      <w:r w:rsidR="00D72ACC">
        <w:t>inappropriate for analysis of utility risk</w:t>
      </w:r>
      <w:r w:rsidR="004856F2">
        <w:t xml:space="preserve"> and as a result overstates utility risk</w:t>
      </w:r>
      <w:r w:rsidR="00F75A22">
        <w:t xml:space="preserve"> by 35-40%</w:t>
      </w:r>
      <w:r w:rsidR="004856F2">
        <w:t>.</w:t>
      </w:r>
      <w:r w:rsidR="00F75A22">
        <w:rPr>
          <w:rStyle w:val="FootnoteReference"/>
        </w:rPr>
        <w:footnoteReference w:id="145"/>
      </w:r>
      <w:r w:rsidR="004856F2">
        <w:t xml:space="preserve"> </w:t>
      </w:r>
    </w:p>
    <w:p w:rsidR="00F02599" w:rsidP="00F02599" w:rsidRDefault="00C526C7" w14:paraId="1A180373" w14:textId="7F6DBC42">
      <w:r>
        <w:t xml:space="preserve">The </w:t>
      </w:r>
      <w:r w:rsidR="00E1299E">
        <w:t>A</w:t>
      </w:r>
      <w:r>
        <w:t xml:space="preserve">pplicants </w:t>
      </w:r>
      <w:r w:rsidR="00F02599">
        <w:t xml:space="preserve">and EPUC/IS/TURN use the </w:t>
      </w:r>
      <w:r w:rsidR="00876288">
        <w:t>R</w:t>
      </w:r>
      <w:r w:rsidR="00AC6A9D">
        <w:t>P</w:t>
      </w:r>
      <w:r w:rsidR="00876288">
        <w:t xml:space="preserve">M or </w:t>
      </w:r>
      <w:r w:rsidRPr="00F0342A" w:rsidR="00F02599">
        <w:t>Bond Yield Plus Risk Premium Model</w:t>
      </w:r>
      <w:r w:rsidR="00F02599">
        <w:t xml:space="preserve"> (BYRP) to estimate ROE. </w:t>
      </w:r>
      <w:r w:rsidRPr="00131BBD" w:rsidR="00F02599">
        <w:t xml:space="preserve">This model is based on the principle </w:t>
      </w:r>
      <w:r w:rsidRPr="00131BBD" w:rsidR="00F02599">
        <w:lastRenderedPageBreak/>
        <w:t>that investors demand a higher return to compensate for taking on greater risk</w:t>
      </w:r>
      <w:r w:rsidR="00F02599">
        <w:t>. It</w:t>
      </w:r>
      <w:r w:rsidRPr="00E50432" w:rsidR="00F02599">
        <w:t xml:space="preserve"> </w:t>
      </w:r>
      <w:r w:rsidR="00F02599">
        <w:t>relies on two key</w:t>
      </w:r>
      <w:r w:rsidRPr="00E50432" w:rsidR="00F02599">
        <w:t xml:space="preserve"> estimates</w:t>
      </w:r>
      <w:r w:rsidR="00F02599">
        <w:t xml:space="preserve"> (1) </w:t>
      </w:r>
      <w:r w:rsidRPr="001B7BFB" w:rsidR="00F02599">
        <w:t>projected Treasury Yields</w:t>
      </w:r>
      <w:r w:rsidR="00F02599">
        <w:t xml:space="preserve"> and (2) estimated risk premium, calculated as the </w:t>
      </w:r>
      <w:r w:rsidRPr="00943C77" w:rsidR="00F02599">
        <w:t xml:space="preserve">difference between the authorized </w:t>
      </w:r>
      <w:r w:rsidR="00F02599">
        <w:t>ROE</w:t>
      </w:r>
      <w:r w:rsidRPr="00943C77" w:rsidR="00F02599">
        <w:t xml:space="preserve"> and the Treasury bond yield</w:t>
      </w:r>
      <w:r w:rsidR="00F02599">
        <w:t>. UCAN</w:t>
      </w:r>
      <w:r w:rsidR="00F02599">
        <w:rPr>
          <w:rStyle w:val="FootnoteReference"/>
        </w:rPr>
        <w:footnoteReference w:id="146"/>
      </w:r>
      <w:r w:rsidR="00F02599">
        <w:t xml:space="preserve">, </w:t>
      </w:r>
      <w:r w:rsidR="00EA3F3D">
        <w:t>Wild Tree</w:t>
      </w:r>
      <w:r w:rsidR="00F02599">
        <w:t>,</w:t>
      </w:r>
      <w:r w:rsidR="00F02599">
        <w:rPr>
          <w:rStyle w:val="FootnoteReference"/>
        </w:rPr>
        <w:footnoteReference w:id="147"/>
      </w:r>
      <w:r w:rsidR="00F02599">
        <w:t xml:space="preserve"> Cal Advocates,</w:t>
      </w:r>
      <w:r w:rsidR="00F02599">
        <w:rPr>
          <w:rStyle w:val="FootnoteReference"/>
        </w:rPr>
        <w:footnoteReference w:id="148"/>
      </w:r>
      <w:r w:rsidR="00F02599">
        <w:t xml:space="preserve"> and PCF/SC</w:t>
      </w:r>
      <w:r w:rsidR="00F02599">
        <w:rPr>
          <w:rStyle w:val="FootnoteReference"/>
        </w:rPr>
        <w:footnoteReference w:id="149"/>
      </w:r>
      <w:r w:rsidR="00F02599">
        <w:t xml:space="preserve"> </w:t>
      </w:r>
      <w:r w:rsidRPr="00AC689B" w:rsidR="00F02599">
        <w:t>object to using the BYRP method to estimate ROE because it relies on historical ROE decisions rather than market data, which investors use to form their expectations. As a result, it does not produce a market-based estimate of the cost of equity.</w:t>
      </w:r>
      <w:r w:rsidR="00AC6A9D">
        <w:t xml:space="preserve"> PCF </w:t>
      </w:r>
      <w:r w:rsidR="00DD10CE">
        <w:t xml:space="preserve">asserts that </w:t>
      </w:r>
      <w:r w:rsidR="0074185D">
        <w:t xml:space="preserve">the </w:t>
      </w:r>
      <w:r w:rsidR="00120189">
        <w:t xml:space="preserve">RPM </w:t>
      </w:r>
      <w:r w:rsidR="0074185D">
        <w:t xml:space="preserve">does not measure the cost of equity, citing a FERC decision stating that the RPM </w:t>
      </w:r>
      <w:r w:rsidR="00CA2B6B">
        <w:t>def</w:t>
      </w:r>
      <w:r w:rsidR="00DA35CA">
        <w:t xml:space="preserve">ies </w:t>
      </w:r>
      <w:r w:rsidR="00334DF4">
        <w:t>general</w:t>
      </w:r>
      <w:r w:rsidR="00DA35CA">
        <w:t xml:space="preserve"> financial logic.</w:t>
      </w:r>
      <w:r w:rsidR="00DA35CA">
        <w:rPr>
          <w:rStyle w:val="FootnoteReference"/>
        </w:rPr>
        <w:footnoteReference w:id="150"/>
      </w:r>
      <w:r w:rsidR="00120189">
        <w:t xml:space="preserve"> </w:t>
      </w:r>
      <w:r w:rsidR="00B53567">
        <w:t>PCF also argues that elevated market to book ratios</w:t>
      </w:r>
      <w:r w:rsidR="00C57256">
        <w:t xml:space="preserve"> demonstrate that authorized ROEs nationwide exceed investors’ expectations.</w:t>
      </w:r>
      <w:r w:rsidR="00C57256">
        <w:rPr>
          <w:rStyle w:val="FootnoteReference"/>
        </w:rPr>
        <w:footnoteReference w:id="151"/>
      </w:r>
      <w:r w:rsidR="00C57256">
        <w:t xml:space="preserve"> </w:t>
      </w:r>
      <w:r w:rsidR="00EA3F3D">
        <w:t>Wild Tree</w:t>
      </w:r>
      <w:r w:rsidR="00120189">
        <w:t xml:space="preserve"> a</w:t>
      </w:r>
      <w:r w:rsidR="00CD7C12">
        <w:t>rgues</w:t>
      </w:r>
      <w:r w:rsidR="00120189">
        <w:t xml:space="preserve"> that the RPM is not supported by theory, market data, or investor behavior and </w:t>
      </w:r>
      <w:r w:rsidR="004F1D83">
        <w:t xml:space="preserve">lacks the analytical rigor to contribute to understanding the </w:t>
      </w:r>
      <w:r w:rsidR="00E1299E">
        <w:t>A</w:t>
      </w:r>
      <w:r w:rsidR="004F1D83">
        <w:t>pplicants’ cost of equity</w:t>
      </w:r>
      <w:r w:rsidR="00120189">
        <w:t>.</w:t>
      </w:r>
      <w:r w:rsidR="004F1D83">
        <w:rPr>
          <w:rStyle w:val="FootnoteReference"/>
        </w:rPr>
        <w:footnoteReference w:id="152"/>
      </w:r>
      <w:r w:rsidR="00120189">
        <w:t xml:space="preserve"> </w:t>
      </w:r>
    </w:p>
    <w:p w:rsidR="00166A13" w:rsidP="006D0D56" w:rsidRDefault="003D6327" w14:paraId="05DA8AB6" w14:textId="21F59F03">
      <w:pPr>
        <w:pStyle w:val="Heading2"/>
      </w:pPr>
      <w:bookmarkStart w:name="_Toc214017375" w:id="34"/>
      <w:r>
        <w:t xml:space="preserve">Additional </w:t>
      </w:r>
      <w:r w:rsidRPr="006D0D56">
        <w:t>Risk</w:t>
      </w:r>
      <w:r>
        <w:t xml:space="preserve"> Factors</w:t>
      </w:r>
      <w:bookmarkEnd w:id="34"/>
    </w:p>
    <w:p w:rsidR="00B23D8D" w:rsidP="00B23D8D" w:rsidRDefault="00B23D8D" w14:paraId="141982B0" w14:textId="30FFF40D">
      <w:pPr>
        <w:pStyle w:val="Standard"/>
      </w:pPr>
      <w:r>
        <w:t>We also consider additional risk factors not specifically included in the financial models. Those additional risk factors fall into three categories: financial, business, and regulatory.</w:t>
      </w:r>
    </w:p>
    <w:p w:rsidR="00894C6B" w:rsidP="00B23D8D" w:rsidRDefault="007B7F0A" w14:paraId="408272DB" w14:textId="31E05C09">
      <w:pPr>
        <w:pStyle w:val="Standard"/>
      </w:pPr>
      <w:r>
        <w:t xml:space="preserve">Generally, the </w:t>
      </w:r>
      <w:r w:rsidR="00E1299E">
        <w:t>A</w:t>
      </w:r>
      <w:r>
        <w:t xml:space="preserve">pplicants argue that there are unique risks due to the overall positioning of their operations that warrant an authorized ROE that is on </w:t>
      </w:r>
      <w:r>
        <w:lastRenderedPageBreak/>
        <w:t xml:space="preserve">the higher end of the estimated models. Generally, the intervenors argue that the risk faced by the </w:t>
      </w:r>
      <w:r w:rsidR="00E1299E">
        <w:t>A</w:t>
      </w:r>
      <w:r>
        <w:t xml:space="preserve">pplicants are similar to the risks faced by other electric and gas investor-owned utilities, and risks that are outside the scope of the prudent-manager standard </w:t>
      </w:r>
      <w:r w:rsidR="001E0FFC">
        <w:t>do not</w:t>
      </w:r>
      <w:r>
        <w:t xml:space="preserve"> warrant higher ROE authorizations.</w:t>
      </w:r>
    </w:p>
    <w:p w:rsidR="00B856FC" w:rsidP="006D0D56" w:rsidRDefault="00B856FC" w14:paraId="5C19E957" w14:textId="4E6ACC64">
      <w:pPr>
        <w:pStyle w:val="Heading3"/>
      </w:pPr>
      <w:bookmarkStart w:name="_Toc214017376" w:id="35"/>
      <w:r w:rsidRPr="006D0D56">
        <w:t>Financial</w:t>
      </w:r>
      <w:r>
        <w:t xml:space="preserve"> Risk</w:t>
      </w:r>
      <w:bookmarkEnd w:id="35"/>
    </w:p>
    <w:p w:rsidRPr="00196492" w:rsidR="00196492" w:rsidP="00196492" w:rsidRDefault="00196492" w14:paraId="346A2D4B" w14:textId="6C40AD7D">
      <w:pPr>
        <w:pStyle w:val="Standard"/>
      </w:pPr>
      <w:r>
        <w:t xml:space="preserve">Financial risk is tied to the utility’s capital structure. The proportion of its debt to permanent capital determines the level of financial risk that a utility faces. As a utility’s debt ratio increases, a higher ROE may be needed to compensate for that increased risk. However, in this proceeding, there is minimal </w:t>
      </w:r>
      <w:r w:rsidR="000119A7">
        <w:t>change in financial risk because the debt ratios being adopted here are not materially changed from the utilities’ last authorized debt ratios.</w:t>
      </w:r>
    </w:p>
    <w:p w:rsidRPr="00B856FC" w:rsidR="00B856FC" w:rsidP="006D0D56" w:rsidRDefault="00B856FC" w14:paraId="1845D908" w14:textId="490EFAF3">
      <w:pPr>
        <w:pStyle w:val="Heading3"/>
      </w:pPr>
      <w:bookmarkStart w:name="_Toc214017377" w:id="36"/>
      <w:r w:rsidRPr="006D0D56">
        <w:t>Business</w:t>
      </w:r>
      <w:r>
        <w:t xml:space="preserve"> Risk</w:t>
      </w:r>
      <w:bookmarkEnd w:id="36"/>
    </w:p>
    <w:p w:rsidR="00EC4ECF" w:rsidP="00B23D8D" w:rsidRDefault="000119A7" w14:paraId="1A69FE14" w14:textId="4FD7BE5F">
      <w:pPr>
        <w:pStyle w:val="Standard"/>
      </w:pPr>
      <w:r>
        <w:t xml:space="preserve">Business risk pertains to </w:t>
      </w:r>
      <w:r w:rsidRPr="000119A7">
        <w:rPr>
          <w:i/>
          <w:iCs/>
        </w:rPr>
        <w:t>new</w:t>
      </w:r>
      <w:r>
        <w:t xml:space="preserve"> uncertainties resulting from competition and the economy. An increase in business risk can be caused by a variety of events that include capital investments, electric procurement, and catastrophic events. Each of these business risks overlap into financial and regulatory risk. </w:t>
      </w:r>
    </w:p>
    <w:p w:rsidR="008A485B" w:rsidP="006D0D56" w:rsidRDefault="004D5E95" w14:paraId="42CF7C40" w14:textId="768417B7">
      <w:pPr>
        <w:pStyle w:val="Heading3"/>
      </w:pPr>
      <w:bookmarkStart w:name="_Toc214017378" w:id="37"/>
      <w:r w:rsidRPr="004D5E95">
        <w:t xml:space="preserve">Transformation of the Electric Grid and Gas System </w:t>
      </w:r>
      <w:r>
        <w:t>/Clean Energy Goal</w:t>
      </w:r>
      <w:r w:rsidR="00E831A8">
        <w:t>s</w:t>
      </w:r>
      <w:bookmarkEnd w:id="37"/>
    </w:p>
    <w:p w:rsidR="008A485B" w:rsidP="00C061BF" w:rsidRDefault="00DD1BC8" w14:paraId="096D3EFB" w14:textId="191251E3">
      <w:pPr>
        <w:pStyle w:val="Standard"/>
      </w:pPr>
      <w:r>
        <w:t xml:space="preserve">SDG&amp;E notes that </w:t>
      </w:r>
      <w:r w:rsidRPr="008A485B" w:rsidR="008A485B">
        <w:t>Senate Bills</w:t>
      </w:r>
      <w:r w:rsidR="0088227C">
        <w:t xml:space="preserve"> (SB)</w:t>
      </w:r>
      <w:r w:rsidRPr="008A485B" w:rsidR="008A485B">
        <w:t xml:space="preserve"> 100 </w:t>
      </w:r>
      <w:r w:rsidR="0088227C">
        <w:t>(</w:t>
      </w:r>
      <w:r w:rsidR="00022BA5">
        <w:t>D</w:t>
      </w:r>
      <w:r w:rsidR="00D952DF">
        <w:t>e Leon</w:t>
      </w:r>
      <w:r w:rsidR="0088227C">
        <w:t xml:space="preserve">, </w:t>
      </w:r>
      <w:r w:rsidR="00573C7F">
        <w:t>20</w:t>
      </w:r>
      <w:r w:rsidR="001F2211">
        <w:t>18</w:t>
      </w:r>
      <w:r w:rsidR="0088227C">
        <w:t xml:space="preserve">) </w:t>
      </w:r>
      <w:r w:rsidRPr="008A485B" w:rsidR="008A485B">
        <w:t xml:space="preserve">and 1020 </w:t>
      </w:r>
      <w:r w:rsidR="0088227C">
        <w:t>(</w:t>
      </w:r>
      <w:r w:rsidR="00221027">
        <w:t>Laird</w:t>
      </w:r>
      <w:r w:rsidR="0088227C">
        <w:t xml:space="preserve">, </w:t>
      </w:r>
      <w:r w:rsidR="00221027">
        <w:t>2022</w:t>
      </w:r>
      <w:r w:rsidR="0088227C">
        <w:t xml:space="preserve">) </w:t>
      </w:r>
      <w:r w:rsidRPr="008A485B" w:rsidR="008A485B">
        <w:t xml:space="preserve">require California electric utilities, including SDG&amp;E, to meet increasing renewable energy targets—50% by 2026, 60% by 2030, 90% by 2035, and 95% by 2040. They also establish a goal of supplying all retail electricity in California with </w:t>
      </w:r>
      <w:r w:rsidRPr="008A485B" w:rsidR="0088227C">
        <w:t>R</w:t>
      </w:r>
      <w:r w:rsidR="0088227C">
        <w:t xml:space="preserve">enewable </w:t>
      </w:r>
      <w:r w:rsidRPr="008A485B" w:rsidR="008A485B">
        <w:t>P</w:t>
      </w:r>
      <w:r w:rsidR="0088227C">
        <w:t xml:space="preserve">ortfolio </w:t>
      </w:r>
      <w:r w:rsidRPr="008A485B" w:rsidR="008A485B">
        <w:t>S</w:t>
      </w:r>
      <w:r w:rsidR="0088227C">
        <w:t>tandard (RPS)</w:t>
      </w:r>
      <w:r w:rsidRPr="008A485B" w:rsidR="008A485B">
        <w:t>-eligible and zero-carbon resources by 2045.</w:t>
      </w:r>
      <w:r w:rsidR="00C061BF">
        <w:t xml:space="preserve"> </w:t>
      </w:r>
      <w:r>
        <w:t>SDG&amp;E argues that c</w:t>
      </w:r>
      <w:r w:rsidRPr="00C061BF" w:rsidR="00C061BF">
        <w:t>ompliance with California climate change mitigation requirements create risks for SDG&amp;E relative to the proxy companies.</w:t>
      </w:r>
      <w:r w:rsidR="00C061BF">
        <w:rPr>
          <w:rStyle w:val="FootnoteReference"/>
        </w:rPr>
        <w:footnoteReference w:id="153"/>
      </w:r>
    </w:p>
    <w:p w:rsidR="00552D65" w:rsidP="00C061BF" w:rsidRDefault="006A2518" w14:paraId="054EE849" w14:textId="559821A6">
      <w:pPr>
        <w:pStyle w:val="Standard"/>
      </w:pPr>
      <w:r>
        <w:lastRenderedPageBreak/>
        <w:t xml:space="preserve">SoCalGas </w:t>
      </w:r>
      <w:r w:rsidR="00DD1BC8">
        <w:t xml:space="preserve">argues that </w:t>
      </w:r>
      <w:r>
        <w:t>t</w:t>
      </w:r>
      <w:r w:rsidRPr="00FC39DF" w:rsidR="00FC39DF">
        <w:t xml:space="preserve">he energy transition poses a business risk to gas utilities, particularly SoCalGas, as a gas-only utility. While both SoCalGas and EDF recognize this risk, they differ on its impact on the cost of capital. SoCalGas argues the risk justifies a higher ROE, while EDF </w:t>
      </w:r>
      <w:r w:rsidR="00DD1BC8">
        <w:t>argues that</w:t>
      </w:r>
      <w:r w:rsidRPr="00FC39DF" w:rsidR="00FC39DF">
        <w:t xml:space="preserve"> the Commission should lower ROE to discourage investment in gas infrastructure.</w:t>
      </w:r>
      <w:r w:rsidR="00740CB4">
        <w:rPr>
          <w:rStyle w:val="FootnoteReference"/>
        </w:rPr>
        <w:footnoteReference w:id="154"/>
      </w:r>
      <w:r w:rsidRPr="00FC39DF" w:rsidR="00FC39DF">
        <w:t xml:space="preserve"> S</w:t>
      </w:r>
      <w:r w:rsidR="00DD1BC8">
        <w:t>oCalGas argues that s</w:t>
      </w:r>
      <w:r w:rsidRPr="00FC39DF" w:rsidR="00FC39DF">
        <w:t>imilar arguments from EDF were rejected in the 2023 Cost of Capital decision, and the Commission should do so again.</w:t>
      </w:r>
      <w:r w:rsidRPr="0036063F" w:rsidR="008C0FE8">
        <w:rPr>
          <w:rStyle w:val="FootnoteReference"/>
          <w:rFonts w:asciiTheme="minorHAnsi" w:hAnsiTheme="minorHAnsi"/>
        </w:rPr>
        <w:footnoteReference w:id="155"/>
      </w:r>
      <w:r w:rsidRPr="00FC39DF" w:rsidR="00FC39DF">
        <w:t xml:space="preserve"> </w:t>
      </w:r>
      <w:r w:rsidR="0021481E">
        <w:t>SoCalGas</w:t>
      </w:r>
      <w:r w:rsidRPr="00DA42FB" w:rsidR="0021481E">
        <w:t xml:space="preserve"> </w:t>
      </w:r>
      <w:r w:rsidR="00314BFE">
        <w:t xml:space="preserve">notes that it </w:t>
      </w:r>
      <w:r w:rsidRPr="00DA42FB" w:rsidR="0021481E">
        <w:t>plans to invest $</w:t>
      </w:r>
      <w:r w:rsidR="00167824">
        <w:t>9</w:t>
      </w:r>
      <w:r w:rsidRPr="00DA42FB" w:rsidR="0021481E">
        <w:t>.7 billion from 2025 to 2029</w:t>
      </w:r>
      <w:r w:rsidR="00A07D1C">
        <w:t xml:space="preserve"> and argues that t</w:t>
      </w:r>
      <w:r w:rsidRPr="00DA42FB" w:rsidR="0021481E">
        <w:t>his large capital program increases financial risk by raising the potential for under- or delayed recovery of costs and put</w:t>
      </w:r>
      <w:r w:rsidR="00A07D1C">
        <w:t xml:space="preserve">s </w:t>
      </w:r>
      <w:r w:rsidRPr="00DA42FB" w:rsidR="0021481E">
        <w:t>pressure on credit metrics if returns are inadequate.</w:t>
      </w:r>
      <w:r w:rsidR="0021481E">
        <w:rPr>
          <w:rStyle w:val="FootnoteReference"/>
        </w:rPr>
        <w:footnoteReference w:id="156"/>
      </w:r>
    </w:p>
    <w:p w:rsidR="00552D65" w:rsidP="00552D65" w:rsidRDefault="00552D65" w14:paraId="7570270E" w14:textId="3B41657B">
      <w:r>
        <w:t xml:space="preserve">TURN </w:t>
      </w:r>
      <w:r w:rsidR="007F4C3E">
        <w:t>observes</w:t>
      </w:r>
      <w:r>
        <w:t xml:space="preserve"> that i</w:t>
      </w:r>
      <w:r w:rsidRPr="00DC3950">
        <w:t xml:space="preserve">ncreases in capital spending </w:t>
      </w:r>
      <w:r w:rsidR="007F4C3E">
        <w:t>are</w:t>
      </w:r>
      <w:r w:rsidRPr="00DC3950">
        <w:t xml:space="preserve"> a nationwide trend</w:t>
      </w:r>
      <w:r w:rsidR="007F4C3E">
        <w:t xml:space="preserve"> and</w:t>
      </w:r>
      <w:r w:rsidRPr="00DC3950">
        <w:t xml:space="preserve"> is neither unique to California, nor new for California.</w:t>
      </w:r>
      <w:r w:rsidR="00A56E41">
        <w:t xml:space="preserve"> </w:t>
      </w:r>
      <w:r w:rsidR="00A801A9">
        <w:t xml:space="preserve">TURN notes that </w:t>
      </w:r>
      <w:r w:rsidRPr="00A56E41" w:rsidR="00A56E41">
        <w:t>S&amp;P expects electric, gas, and water utilities to grow at a</w:t>
      </w:r>
      <w:r w:rsidR="00A56E41">
        <w:t xml:space="preserve"> </w:t>
      </w:r>
      <w:r w:rsidRPr="00A56E41" w:rsidR="00A56E41">
        <w:t>compound annual rate of about 10%, consistent with the rate base growth projections the</w:t>
      </w:r>
      <w:r w:rsidR="0005480C">
        <w:t xml:space="preserve"> </w:t>
      </w:r>
      <w:r w:rsidRPr="00A56E41" w:rsidR="00A56E41">
        <w:t>California utilities have provided to their investors.</w:t>
      </w:r>
      <w:r>
        <w:rPr>
          <w:rStyle w:val="FootnoteReference"/>
        </w:rPr>
        <w:footnoteReference w:id="157"/>
      </w:r>
      <w:r w:rsidR="00C34445">
        <w:t xml:space="preserve"> </w:t>
      </w:r>
    </w:p>
    <w:p w:rsidR="00C42B27" w:rsidP="006D0D56" w:rsidRDefault="00C42B27" w14:paraId="1A814D47" w14:textId="24D650C7">
      <w:pPr>
        <w:pStyle w:val="Heading3"/>
      </w:pPr>
      <w:bookmarkStart w:name="_Toc214017379" w:id="38"/>
      <w:r>
        <w:t>Wildfire and Severe Weather Risk</w:t>
      </w:r>
      <w:bookmarkEnd w:id="38"/>
    </w:p>
    <w:p w:rsidRPr="001914D7" w:rsidR="001914D7" w:rsidP="001914D7" w:rsidRDefault="001914D7" w14:paraId="304B33D0" w14:textId="69A79482">
      <w:pPr>
        <w:pStyle w:val="Standard"/>
      </w:pPr>
      <w:r>
        <w:t xml:space="preserve">SDG&amp;E </w:t>
      </w:r>
      <w:r w:rsidR="00A801A9">
        <w:t>argues</w:t>
      </w:r>
      <w:r>
        <w:t xml:space="preserve"> </w:t>
      </w:r>
      <w:r w:rsidRPr="001914D7">
        <w:t>California</w:t>
      </w:r>
      <w:r>
        <w:t xml:space="preserve"> </w:t>
      </w:r>
      <w:r w:rsidRPr="001914D7">
        <w:t>electric utilities face unique risks related to catastrophic wildfires in California from a</w:t>
      </w:r>
      <w:r>
        <w:t xml:space="preserve"> </w:t>
      </w:r>
      <w:r w:rsidRPr="001914D7">
        <w:t>combination of the higher risk of wildfires in the state and the threat of massive uninsured and</w:t>
      </w:r>
      <w:r>
        <w:t xml:space="preserve"> </w:t>
      </w:r>
      <w:r w:rsidRPr="001914D7">
        <w:t>unrecoverable losses for California investor-owned utilities due to California’s application of</w:t>
      </w:r>
    </w:p>
    <w:p w:rsidR="001914D7" w:rsidP="00972878" w:rsidRDefault="001914D7" w14:paraId="43EAF909" w14:textId="548F48D1">
      <w:pPr>
        <w:pStyle w:val="Standard"/>
        <w:ind w:firstLine="0"/>
      </w:pPr>
      <w:r w:rsidRPr="001914D7">
        <w:t>“inverse condemnation</w:t>
      </w:r>
      <w:r w:rsidR="00F77BF7">
        <w:t>,</w:t>
      </w:r>
      <w:r w:rsidRPr="001914D7">
        <w:t>”</w:t>
      </w:r>
      <w:r w:rsidR="00DE1E40">
        <w:t xml:space="preserve"> </w:t>
      </w:r>
      <w:r w:rsidRPr="00DE1E40" w:rsidR="00DE1E40">
        <w:t>mak</w:t>
      </w:r>
      <w:r w:rsidR="003F4C4C">
        <w:t>ing</w:t>
      </w:r>
      <w:r w:rsidRPr="00DE1E40" w:rsidR="00DE1E40">
        <w:t xml:space="preserve"> California electric utilities strictly liable for liability damages if their facilities were a</w:t>
      </w:r>
      <w:r w:rsidR="00DE1E40">
        <w:t xml:space="preserve"> </w:t>
      </w:r>
      <w:r w:rsidRPr="00DE1E40" w:rsidR="00DE1E40">
        <w:t xml:space="preserve">contributing cause to the wildfire, even </w:t>
      </w:r>
      <w:r w:rsidRPr="00DE1E40" w:rsidR="00DE1E40">
        <w:lastRenderedPageBreak/>
        <w:t>if the utility was not negligent</w:t>
      </w:r>
      <w:r w:rsidRPr="001914D7">
        <w:t>.</w:t>
      </w:r>
      <w:r>
        <w:rPr>
          <w:rStyle w:val="FootnoteReference"/>
        </w:rPr>
        <w:footnoteReference w:id="158"/>
      </w:r>
      <w:r w:rsidR="00A5693C">
        <w:t xml:space="preserve"> </w:t>
      </w:r>
      <w:r w:rsidR="00D6785A">
        <w:t xml:space="preserve">SDG&amp;E claims that </w:t>
      </w:r>
      <w:r w:rsidRPr="00411249" w:rsidR="00D6785A">
        <w:t>wildfire risk</w:t>
      </w:r>
      <w:r w:rsidR="00D6785A">
        <w:t xml:space="preserve"> increased in 2025</w:t>
      </w:r>
      <w:r w:rsidRPr="00411249" w:rsidR="00D6785A">
        <w:rPr>
          <w:rStyle w:val="FootnoteReference"/>
        </w:rPr>
        <w:footnoteReference w:id="159"/>
      </w:r>
      <w:r w:rsidRPr="00411249" w:rsidR="00D6785A">
        <w:t xml:space="preserve"> </w:t>
      </w:r>
      <w:r w:rsidR="00257F5E">
        <w:t>and argues that</w:t>
      </w:r>
      <w:r w:rsidR="00BC5246">
        <w:t>,</w:t>
      </w:r>
      <w:r w:rsidR="00257F5E">
        <w:t xml:space="preserve"> a</w:t>
      </w:r>
      <w:r w:rsidRPr="00F873BE" w:rsidR="008F7FE4">
        <w:t>lthough A</w:t>
      </w:r>
      <w:r w:rsidR="00563468">
        <w:t xml:space="preserve">ssembly </w:t>
      </w:r>
      <w:r w:rsidRPr="00F873BE" w:rsidR="008F7FE4">
        <w:t>B</w:t>
      </w:r>
      <w:r w:rsidR="00563468">
        <w:t>ill (AB)</w:t>
      </w:r>
      <w:r w:rsidRPr="00F873BE" w:rsidR="008F7FE4">
        <w:t xml:space="preserve"> 1054 </w:t>
      </w:r>
      <w:r w:rsidR="0099471E">
        <w:t>(</w:t>
      </w:r>
      <w:r w:rsidR="00F83E5E">
        <w:t>Becker</w:t>
      </w:r>
      <w:r w:rsidR="0099471E">
        <w:t xml:space="preserve">, 2019) </w:t>
      </w:r>
      <w:r w:rsidRPr="00F873BE" w:rsidR="008F7FE4">
        <w:t>reduced SDG&amp;E’s wildfire risk, it didn’t eliminate it.</w:t>
      </w:r>
      <w:r w:rsidR="008F7FE4">
        <w:rPr>
          <w:rStyle w:val="FootnoteReference"/>
        </w:rPr>
        <w:footnoteReference w:id="160"/>
      </w:r>
      <w:r w:rsidRPr="00F873BE" w:rsidR="008F7FE4">
        <w:t xml:space="preserve"> </w:t>
      </w:r>
      <w:r w:rsidR="00257F5E">
        <w:t>SDG&amp;E claims that t</w:t>
      </w:r>
      <w:r w:rsidRPr="00F873BE" w:rsidR="008F7FE4">
        <w:t>he newer SB 254</w:t>
      </w:r>
      <w:r w:rsidR="00903D65">
        <w:t xml:space="preserve"> (</w:t>
      </w:r>
      <w:r w:rsidR="00836467">
        <w:t>Holden, 2025)</w:t>
      </w:r>
      <w:r w:rsidRPr="00F873BE" w:rsidR="008F7FE4">
        <w:t xml:space="preserve"> fund is smaller and could be exhausted within six years. S&amp;P downgraded SCE’s credit rating to BBB- on September 17, 2025, citing the fund’s smaller size and a potentially more challenging operating environment.</w:t>
      </w:r>
      <w:r w:rsidR="008F7FE4">
        <w:rPr>
          <w:rStyle w:val="FootnoteReference"/>
        </w:rPr>
        <w:footnoteReference w:id="161"/>
      </w:r>
      <w:r w:rsidR="008F7FE4">
        <w:t xml:space="preserve"> </w:t>
      </w:r>
      <w:r w:rsidRPr="00F873BE" w:rsidR="008F7FE4">
        <w:t>Moody’s similarly determined that such a legislative solution would only be a “temporary</w:t>
      </w:r>
      <w:r w:rsidR="008F7FE4">
        <w:t xml:space="preserve"> </w:t>
      </w:r>
      <w:r w:rsidRPr="00F873BE" w:rsidR="008F7FE4">
        <w:t>fix” and “not sustainable in a world where large fires continue to occur</w:t>
      </w:r>
      <w:r w:rsidR="008F7FE4">
        <w:t>.</w:t>
      </w:r>
      <w:r w:rsidR="00257F5E">
        <w:t>”</w:t>
      </w:r>
      <w:r w:rsidR="008F7FE4">
        <w:rPr>
          <w:rStyle w:val="FootnoteReference"/>
        </w:rPr>
        <w:footnoteReference w:id="162"/>
      </w:r>
      <w:r w:rsidR="008F7FE4">
        <w:t xml:space="preserve"> </w:t>
      </w:r>
    </w:p>
    <w:p w:rsidRPr="00986A19" w:rsidR="006A2518" w:rsidP="00986A19" w:rsidRDefault="006A2518" w14:paraId="46E45C34" w14:textId="02371DB2">
      <w:pPr>
        <w:pStyle w:val="Default"/>
        <w:spacing w:line="360" w:lineRule="auto"/>
        <w:ind w:firstLine="720"/>
        <w:rPr>
          <w:rFonts w:ascii="Book Antiqua" w:hAnsi="Book Antiqua"/>
          <w:sz w:val="26"/>
          <w:szCs w:val="26"/>
        </w:rPr>
      </w:pPr>
      <w:r w:rsidRPr="00986A19">
        <w:rPr>
          <w:rFonts w:ascii="Book Antiqua" w:hAnsi="Book Antiqua"/>
          <w:sz w:val="26"/>
          <w:szCs w:val="26"/>
        </w:rPr>
        <w:t xml:space="preserve">SoCalGas </w:t>
      </w:r>
      <w:r w:rsidR="008E45D6">
        <w:rPr>
          <w:rFonts w:ascii="Book Antiqua" w:hAnsi="Book Antiqua"/>
          <w:sz w:val="26"/>
          <w:szCs w:val="26"/>
        </w:rPr>
        <w:t>argues</w:t>
      </w:r>
      <w:r w:rsidRPr="00986A19">
        <w:rPr>
          <w:rFonts w:ascii="Book Antiqua" w:hAnsi="Book Antiqua"/>
          <w:sz w:val="26"/>
          <w:szCs w:val="26"/>
        </w:rPr>
        <w:t xml:space="preserve"> </w:t>
      </w:r>
      <w:r w:rsidR="00CA6849">
        <w:rPr>
          <w:rFonts w:ascii="Book Antiqua" w:hAnsi="Book Antiqua"/>
          <w:sz w:val="26"/>
          <w:szCs w:val="26"/>
        </w:rPr>
        <w:t>its</w:t>
      </w:r>
      <w:r w:rsidRPr="00986A19">
        <w:rPr>
          <w:rFonts w:ascii="Book Antiqua" w:hAnsi="Book Antiqua"/>
          <w:sz w:val="26"/>
          <w:szCs w:val="26"/>
        </w:rPr>
        <w:t xml:space="preserve"> business and financial risks have grown due to severe weather, wildfires, and other disruptive events. </w:t>
      </w:r>
      <w:r w:rsidR="00CA6849">
        <w:rPr>
          <w:rFonts w:ascii="Book Antiqua" w:hAnsi="Book Antiqua"/>
          <w:sz w:val="26"/>
          <w:szCs w:val="26"/>
        </w:rPr>
        <w:t>SoCalGas states that b</w:t>
      </w:r>
      <w:r w:rsidRPr="00986A19">
        <w:rPr>
          <w:rFonts w:ascii="Book Antiqua" w:hAnsi="Book Antiqua"/>
          <w:sz w:val="26"/>
          <w:szCs w:val="26"/>
        </w:rPr>
        <w:t>etween 2017 and 2019, the company faced 15 such incidents and sought to recover about $55 million in related costs through a 2023 CEMA application. However, the Commission approved only $18.96 million</w:t>
      </w:r>
      <w:r w:rsidR="004F0967">
        <w:rPr>
          <w:rFonts w:ascii="Book Antiqua" w:hAnsi="Book Antiqua"/>
          <w:sz w:val="26"/>
          <w:szCs w:val="26"/>
        </w:rPr>
        <w:t>. SoCalGas argues that this highlights</w:t>
      </w:r>
      <w:r w:rsidRPr="00986A19">
        <w:rPr>
          <w:rFonts w:ascii="Book Antiqua" w:hAnsi="Book Antiqua"/>
          <w:sz w:val="26"/>
          <w:szCs w:val="26"/>
        </w:rPr>
        <w:t xml:space="preserve"> the financial exposure SoCalGas faces from natural disasters in its service area.</w:t>
      </w:r>
      <w:r w:rsidRPr="00986A19">
        <w:rPr>
          <w:rStyle w:val="FootnoteReference"/>
          <w:rFonts w:ascii="Book Antiqua" w:hAnsi="Book Antiqua"/>
          <w:sz w:val="26"/>
          <w:szCs w:val="26"/>
        </w:rPr>
        <w:footnoteReference w:id="163"/>
      </w:r>
    </w:p>
    <w:p w:rsidR="009E4044" w:rsidP="00986A19" w:rsidRDefault="00ED697A" w14:paraId="3A589343" w14:textId="3FCDA670">
      <w:r>
        <w:t xml:space="preserve">TURN argues that </w:t>
      </w:r>
      <w:r w:rsidRPr="007C43BA" w:rsidR="00D91D73">
        <w:t>these risks are not unique to California</w:t>
      </w:r>
      <w:r w:rsidR="004F0967">
        <w:t xml:space="preserve"> and that</w:t>
      </w:r>
      <w:r w:rsidRPr="007C43BA" w:rsidR="00D91D73">
        <w:t xml:space="preserve"> threats like wildfires and storms are increasing nationwide. </w:t>
      </w:r>
      <w:r w:rsidR="004F0967">
        <w:t>TURN cites</w:t>
      </w:r>
      <w:r w:rsidR="00C368B4">
        <w:t xml:space="preserve"> </w:t>
      </w:r>
      <w:r w:rsidRPr="007C43BA" w:rsidR="00D91D73">
        <w:t>S&amp;P</w:t>
      </w:r>
      <w:r w:rsidR="00C368B4">
        <w:t>, which</w:t>
      </w:r>
      <w:r w:rsidRPr="007C43BA" w:rsidR="00D91D73">
        <w:t xml:space="preserve"> notes that wildfire risk now affects nearly all North American utilities, not just those in California. </w:t>
      </w:r>
      <w:r w:rsidR="00C368B4">
        <w:t>TURN notes that, d</w:t>
      </w:r>
      <w:r w:rsidRPr="007C43BA" w:rsidR="00D91D73">
        <w:t>espite this, utilities in other states with less comprehensive wildfire protections still have lower ROEs</w:t>
      </w:r>
      <w:r w:rsidR="00546AAE">
        <w:t xml:space="preserve"> than the </w:t>
      </w:r>
      <w:r w:rsidR="00546AAE">
        <w:lastRenderedPageBreak/>
        <w:t>Applicants</w:t>
      </w:r>
      <w:r w:rsidRPr="007C43BA" w:rsidR="00D91D73">
        <w:t xml:space="preserve">. </w:t>
      </w:r>
      <w:r w:rsidR="00C368B4">
        <w:t>TURN argues that t</w:t>
      </w:r>
      <w:r w:rsidRPr="007C43BA" w:rsidR="00D91D73">
        <w:t xml:space="preserve">his suggests California IOUs are not facing uniquely higher risks that would justify the elevated ROE premiums they seek. </w:t>
      </w:r>
      <w:r w:rsidR="00C368B4">
        <w:t>TURN notes that t</w:t>
      </w:r>
      <w:r w:rsidRPr="00DC3950" w:rsidR="009E4044">
        <w:t xml:space="preserve">he California Legislature has taken strong steps to protect utilities' financial health. For instance, after the 2017 and 2018 wildfires, </w:t>
      </w:r>
      <w:r w:rsidR="00C368B4">
        <w:t>TURN notes</w:t>
      </w:r>
      <w:r w:rsidR="00347EBE">
        <w:t xml:space="preserve"> </w:t>
      </w:r>
      <w:r w:rsidRPr="00DC3950" w:rsidR="009E4044">
        <w:t>ratepayers were expected to provide financial support to maintain utilities' investment-grade credit ratings, regardless of the utilities' performance or fault. Additionally,</w:t>
      </w:r>
      <w:r w:rsidR="00347EBE">
        <w:t xml:space="preserve"> TURN notes that</w:t>
      </w:r>
      <w:r w:rsidRPr="00DC3950" w:rsidR="009E4044">
        <w:t xml:space="preserve"> SB 901 </w:t>
      </w:r>
      <w:r w:rsidR="00DB7AF5">
        <w:t xml:space="preserve">(Dodd, 2018) </w:t>
      </w:r>
      <w:r w:rsidRPr="00DC3950" w:rsidR="009E4044">
        <w:t>allowed wildfire-related costs to be securitized—a tool both PG&amp;E and SCE have used to lower costs, which S&amp;P has consistently described as credit supportive.</w:t>
      </w:r>
      <w:r w:rsidR="009E4044">
        <w:rPr>
          <w:rStyle w:val="FootnoteReference"/>
        </w:rPr>
        <w:footnoteReference w:id="164"/>
      </w:r>
    </w:p>
    <w:p w:rsidR="006D6246" w:rsidP="006468DF" w:rsidRDefault="006D6246" w14:paraId="61197142" w14:textId="22371DD2">
      <w:r>
        <w:t xml:space="preserve">SBUA also notes </w:t>
      </w:r>
      <w:r w:rsidR="00CD1D3D">
        <w:t xml:space="preserve">that several </w:t>
      </w:r>
      <w:r w:rsidRPr="00981853" w:rsidR="00CD1D3D">
        <w:t>existing protections reduce</w:t>
      </w:r>
      <w:r w:rsidR="00CD1D3D">
        <w:t xml:space="preserve"> these</w:t>
      </w:r>
      <w:r w:rsidRPr="00981853" w:rsidR="00CD1D3D">
        <w:t xml:space="preserve"> risks. These include the $21 billion Wildfire Fund (AB 1054), liability limits under SB 901, </w:t>
      </w:r>
      <w:r w:rsidR="00724F02">
        <w:t>SB 254</w:t>
      </w:r>
      <w:r w:rsidR="008D2E3C">
        <w:t>,</w:t>
      </w:r>
      <w:r w:rsidR="006468DF">
        <w:t xml:space="preserve"> and ongoing policy initiatives, </w:t>
      </w:r>
      <w:r w:rsidR="008D2E3C">
        <w:t>demonstrate</w:t>
      </w:r>
      <w:r w:rsidR="006468DF">
        <w:t xml:space="preserve"> active state involvement in continuously addressing wildfire-related financial risks. </w:t>
      </w:r>
      <w:r w:rsidR="002D4765">
        <w:t>SBUA claims that P</w:t>
      </w:r>
      <w:r w:rsidR="009C661E">
        <w:t xml:space="preserve">ublic </w:t>
      </w:r>
      <w:r w:rsidR="002D4765">
        <w:t>S</w:t>
      </w:r>
      <w:r w:rsidR="009C661E">
        <w:t xml:space="preserve">afety </w:t>
      </w:r>
      <w:r w:rsidR="002D4765">
        <w:t>P</w:t>
      </w:r>
      <w:r w:rsidR="009C661E">
        <w:t xml:space="preserve">ower </w:t>
      </w:r>
      <w:r w:rsidR="002D4765">
        <w:t>S</w:t>
      </w:r>
      <w:r w:rsidR="009C661E">
        <w:t>hutoffs and mandated mitigation plans further lower the risks faced by utilities such as PG&amp;E.</w:t>
      </w:r>
      <w:r w:rsidR="009C661E">
        <w:rPr>
          <w:rStyle w:val="FootnoteReference"/>
        </w:rPr>
        <w:footnoteReference w:id="165"/>
      </w:r>
    </w:p>
    <w:p w:rsidR="009C24F3" w:rsidP="00DE1E40" w:rsidRDefault="003A437B" w14:paraId="50222A10" w14:textId="77777777">
      <w:pPr>
        <w:pStyle w:val="Standard"/>
      </w:pPr>
      <w:r>
        <w:t xml:space="preserve">EDF argues that the </w:t>
      </w:r>
      <w:r w:rsidR="00546AAE">
        <w:t>A</w:t>
      </w:r>
      <w:r>
        <w:t xml:space="preserve">pplicants </w:t>
      </w:r>
      <w:r w:rsidR="00E9480E">
        <w:t>present no evidence that California utilities face unique risks, highlighti</w:t>
      </w:r>
      <w:r w:rsidR="00863379">
        <w:t xml:space="preserve">ng recent </w:t>
      </w:r>
      <w:r w:rsidR="00F720C8">
        <w:t>wildfires</w:t>
      </w:r>
      <w:r w:rsidR="00863379">
        <w:t xml:space="preserve"> in Hawaii, Colorado, Texas, and the Pacific Northwest</w:t>
      </w:r>
      <w:r w:rsidR="00F720C8">
        <w:t>. EDF asserts that California</w:t>
      </w:r>
      <w:r w:rsidR="00E347AD">
        <w:t xml:space="preserve"> utilities’</w:t>
      </w:r>
      <w:r w:rsidR="00F720C8">
        <w:t xml:space="preserve"> wildfire risk </w:t>
      </w:r>
      <w:r w:rsidR="003A28E1">
        <w:t>was</w:t>
      </w:r>
      <w:r w:rsidR="00E347AD">
        <w:t xml:space="preserve"> in the middle of the range of all states.</w:t>
      </w:r>
      <w:r w:rsidR="00E30410">
        <w:rPr>
          <w:rStyle w:val="FootnoteReference"/>
        </w:rPr>
        <w:footnoteReference w:id="166"/>
      </w:r>
      <w:r w:rsidR="007C4AF2">
        <w:t xml:space="preserve"> </w:t>
      </w:r>
    </w:p>
    <w:p w:rsidR="003A437B" w:rsidP="00DE1E40" w:rsidRDefault="00A77219" w14:paraId="331641F0" w14:textId="5655DB8E">
      <w:pPr>
        <w:pStyle w:val="Standard"/>
      </w:pPr>
      <w:r>
        <w:t xml:space="preserve">CCAs assert that </w:t>
      </w:r>
      <w:r w:rsidR="00007E23">
        <w:t>California utilities do not face unique wildfire risk due to climate change</w:t>
      </w:r>
      <w:r w:rsidR="00D461BB">
        <w:t xml:space="preserve"> and</w:t>
      </w:r>
      <w:r w:rsidR="009C24F3">
        <w:t xml:space="preserve"> argue that,</w:t>
      </w:r>
      <w:r w:rsidR="00D461BB">
        <w:t xml:space="preserve"> as such</w:t>
      </w:r>
      <w:r w:rsidR="009C24F3">
        <w:t>,</w:t>
      </w:r>
      <w:r w:rsidR="00D461BB">
        <w:t xml:space="preserve"> the Commission should not authorize above-average ROEs.</w:t>
      </w:r>
      <w:r w:rsidR="00CF7CE7">
        <w:rPr>
          <w:rStyle w:val="FootnoteReference"/>
        </w:rPr>
        <w:footnoteReference w:id="167"/>
      </w:r>
      <w:r w:rsidR="00C64F8A">
        <w:t xml:space="preserve"> CCAs</w:t>
      </w:r>
      <w:r w:rsidR="004456D8">
        <w:t xml:space="preserve"> highlight that </w:t>
      </w:r>
      <w:r w:rsidR="00583FD5">
        <w:t>utilities</w:t>
      </w:r>
      <w:r w:rsidR="009B1C3C">
        <w:t xml:space="preserve"> in the Western US </w:t>
      </w:r>
      <w:r w:rsidR="00983480">
        <w:t xml:space="preserve">outside </w:t>
      </w:r>
      <w:r w:rsidR="00983480">
        <w:lastRenderedPageBreak/>
        <w:t>of California</w:t>
      </w:r>
      <w:r w:rsidR="00CF3350">
        <w:t xml:space="preserve"> have yet to implement </w:t>
      </w:r>
      <w:r w:rsidR="00E85A9E">
        <w:t xml:space="preserve">the comprehensive </w:t>
      </w:r>
      <w:r w:rsidR="0067510F">
        <w:t>wildfire mitigation plans that utilities here have.</w:t>
      </w:r>
      <w:r w:rsidR="000A5BB6">
        <w:rPr>
          <w:rStyle w:val="FootnoteReference"/>
        </w:rPr>
        <w:footnoteReference w:id="168"/>
      </w:r>
    </w:p>
    <w:p w:rsidR="00AB5285" w:rsidP="006D0D56" w:rsidRDefault="00CF20F9" w14:paraId="17250DAA" w14:textId="25C32A1C">
      <w:pPr>
        <w:pStyle w:val="Heading3"/>
      </w:pPr>
      <w:bookmarkStart w:name="_Toc214017380" w:id="39"/>
      <w:r w:rsidRPr="006E1A09">
        <w:t>Cashflow</w:t>
      </w:r>
      <w:r w:rsidRPr="00CF20F9">
        <w:rPr>
          <w:bCs/>
        </w:rPr>
        <w:t xml:space="preserve"> risk</w:t>
      </w:r>
      <w:bookmarkEnd w:id="39"/>
      <w:r w:rsidRPr="00CF20F9">
        <w:rPr>
          <w:bCs/>
        </w:rPr>
        <w:t xml:space="preserve"> </w:t>
      </w:r>
    </w:p>
    <w:p w:rsidR="005D5DAB" w:rsidP="000F2C4C" w:rsidRDefault="007F707A" w14:paraId="3C1DD5AF" w14:textId="0E0E57C9">
      <w:pPr>
        <w:pStyle w:val="Standard"/>
        <w:rPr>
          <w:b/>
          <w:bCs/>
        </w:rPr>
      </w:pPr>
      <w:r w:rsidRPr="00986A19">
        <w:t xml:space="preserve">SoCalGas </w:t>
      </w:r>
      <w:r w:rsidR="005F056E">
        <w:t xml:space="preserve">claims that it </w:t>
      </w:r>
      <w:r w:rsidRPr="00986A19">
        <w:t>faces a regulatory lag and sustained</w:t>
      </w:r>
      <w:r w:rsidR="009010FB">
        <w:t>,</w:t>
      </w:r>
      <w:r w:rsidRPr="00986A19">
        <w:t xml:space="preserve"> elevated under-collected regulatory account balances. SoCalGas</w:t>
      </w:r>
      <w:r w:rsidR="005F056E">
        <w:t xml:space="preserve"> claims that its</w:t>
      </w:r>
      <w:r w:rsidR="009010FB">
        <w:t xml:space="preserve"> </w:t>
      </w:r>
      <w:r w:rsidRPr="00986A19">
        <w:t>under-collected regulatory account balances increased from approximately $318 million in 2019 to $852 million as of December 31, 2024.</w:t>
      </w:r>
      <w:r w:rsidRPr="00986A19">
        <w:rPr>
          <w:vertAlign w:val="superscript"/>
        </w:rPr>
        <w:footnoteReference w:id="169"/>
      </w:r>
      <w:r w:rsidRPr="00986A19">
        <w:t xml:space="preserve"> </w:t>
      </w:r>
    </w:p>
    <w:p w:rsidR="0037505D" w:rsidP="007938B6" w:rsidRDefault="0037505D" w14:paraId="2EE6456D" w14:textId="48A0F803">
      <w:pPr>
        <w:pStyle w:val="Standard"/>
        <w:rPr>
          <w:b/>
          <w:bCs/>
        </w:rPr>
      </w:pPr>
      <w:r w:rsidRPr="009054CC">
        <w:t xml:space="preserve">SDG&amp;E </w:t>
      </w:r>
      <w:r w:rsidR="007938B6">
        <w:t xml:space="preserve">argues that it </w:t>
      </w:r>
      <w:r w:rsidRPr="009054CC">
        <w:t xml:space="preserve">faces rising financial pressure, with under-collected balances growing from $300 million to $1.4 billion by June 2025. </w:t>
      </w:r>
      <w:r w:rsidR="007938B6">
        <w:t>SDG&amp;E notes that c</w:t>
      </w:r>
      <w:r w:rsidRPr="009054CC">
        <w:t>redit agencies like Moody’s have flagged concerns about cash flow from 2025–2027.</w:t>
      </w:r>
      <w:r w:rsidRPr="009054CC" w:rsidR="00360A24">
        <w:rPr>
          <w:rStyle w:val="FootnoteReference"/>
        </w:rPr>
        <w:footnoteReference w:id="170"/>
      </w:r>
      <w:r w:rsidRPr="009054CC">
        <w:t xml:space="preserve"> </w:t>
      </w:r>
    </w:p>
    <w:p w:rsidR="00C42B27" w:rsidP="006D0D56" w:rsidRDefault="00252B2C" w14:paraId="74088117" w14:textId="5F1CE08F">
      <w:pPr>
        <w:pStyle w:val="Heading3"/>
      </w:pPr>
      <w:bookmarkStart w:name="_Toc214017381" w:id="40"/>
      <w:r>
        <w:t>Macroeconomic Environment</w:t>
      </w:r>
      <w:bookmarkEnd w:id="40"/>
    </w:p>
    <w:p w:rsidR="008752FC" w:rsidP="005B0D17" w:rsidRDefault="008752FC" w14:paraId="104B7E76" w14:textId="1C0A8E7A">
      <w:r>
        <w:t xml:space="preserve">SDG&amp;E </w:t>
      </w:r>
      <w:r w:rsidR="007D5784">
        <w:t>notes</w:t>
      </w:r>
      <w:r>
        <w:t xml:space="preserve"> that </w:t>
      </w:r>
      <w:r w:rsidR="00B56A5E">
        <w:t>i</w:t>
      </w:r>
      <w:r w:rsidRPr="00411249">
        <w:t>nterest rates have remained elevated.</w:t>
      </w:r>
      <w:r w:rsidRPr="00411249">
        <w:rPr>
          <w:rStyle w:val="FootnoteReference"/>
        </w:rPr>
        <w:footnoteReference w:id="171"/>
      </w:r>
      <w:r>
        <w:t xml:space="preserve"> </w:t>
      </w:r>
      <w:r w:rsidR="007D5784">
        <w:t xml:space="preserve">SDG&amp;E further notes that </w:t>
      </w:r>
      <w:r w:rsidRPr="000C734B">
        <w:t>the Federal Reserve decreased the federal</w:t>
      </w:r>
      <w:r>
        <w:t xml:space="preserve"> </w:t>
      </w:r>
      <w:r w:rsidRPr="000C734B">
        <w:t>fund overnight rate by 25</w:t>
      </w:r>
      <w:r w:rsidR="000927BC">
        <w:t xml:space="preserve"> bps</w:t>
      </w:r>
      <w:r w:rsidRPr="000C734B">
        <w:t xml:space="preserve"> to 4.0-4.25%</w:t>
      </w:r>
      <w:r w:rsidR="005B0D17">
        <w:t xml:space="preserve"> on September 17, 2025</w:t>
      </w:r>
      <w:r w:rsidR="00CC66AC">
        <w:t>.</w:t>
      </w:r>
      <w:r w:rsidRPr="000C734B">
        <w:t xml:space="preserve"> </w:t>
      </w:r>
      <w:r w:rsidR="00744FED">
        <w:t xml:space="preserve">SDG&amp;E claims </w:t>
      </w:r>
      <w:r w:rsidRPr="000C734B">
        <w:t>this</w:t>
      </w:r>
      <w:r w:rsidR="001B1658">
        <w:t xml:space="preserve"> decrease</w:t>
      </w:r>
      <w:r w:rsidRPr="000C734B">
        <w:t xml:space="preserve"> is only expected to affect short-term</w:t>
      </w:r>
      <w:r>
        <w:t xml:space="preserve"> </w:t>
      </w:r>
      <w:r w:rsidRPr="000C734B">
        <w:t>rates</w:t>
      </w:r>
      <w:r w:rsidR="001B1658">
        <w:t xml:space="preserve"> while l</w:t>
      </w:r>
      <w:r w:rsidRPr="000C734B">
        <w:t>ong-term rates are expected to remain near current levels</w:t>
      </w:r>
      <w:r>
        <w:t>.</w:t>
      </w:r>
      <w:r>
        <w:rPr>
          <w:rStyle w:val="FootnoteReference"/>
        </w:rPr>
        <w:footnoteReference w:id="172"/>
      </w:r>
    </w:p>
    <w:p w:rsidR="00FA7BE1" w:rsidP="00EE0258" w:rsidRDefault="00062710" w14:paraId="10F666C7" w14:textId="42464FB0">
      <w:pPr>
        <w:pStyle w:val="Standard"/>
      </w:pPr>
      <w:r>
        <w:t>SoCalGas states that it</w:t>
      </w:r>
      <w:r w:rsidRPr="0036063F">
        <w:t xml:space="preserve"> faces sustained </w:t>
      </w:r>
      <w:r w:rsidR="007E411D">
        <w:t>f</w:t>
      </w:r>
      <w:r w:rsidRPr="0036063F">
        <w:t xml:space="preserve">inancial </w:t>
      </w:r>
      <w:r w:rsidR="007E411D">
        <w:t>r</w:t>
      </w:r>
      <w:r w:rsidRPr="0036063F">
        <w:t xml:space="preserve">isk </w:t>
      </w:r>
      <w:r>
        <w:t>including</w:t>
      </w:r>
      <w:r w:rsidRPr="0036063F">
        <w:t xml:space="preserve"> higher interest costs due to increased interest rates and extended regulatory lag.</w:t>
      </w:r>
      <w:r w:rsidRPr="0036063F">
        <w:rPr>
          <w:rStyle w:val="FootnoteReference"/>
        </w:rPr>
        <w:footnoteReference w:id="173"/>
      </w:r>
      <w:r>
        <w:t xml:space="preserve"> </w:t>
      </w:r>
    </w:p>
    <w:p w:rsidRPr="00AE7334" w:rsidR="00AE7334" w:rsidP="00EE0258" w:rsidRDefault="00AE7334" w14:paraId="52AC0222" w14:textId="3878E503">
      <w:pPr>
        <w:pStyle w:val="Standard"/>
      </w:pPr>
      <w:r>
        <w:lastRenderedPageBreak/>
        <w:t xml:space="preserve">PG&amp;E names </w:t>
      </w:r>
      <w:r w:rsidR="00120BEB">
        <w:t>several</w:t>
      </w:r>
      <w:r>
        <w:t xml:space="preserve"> </w:t>
      </w:r>
      <w:r w:rsidR="00120BEB">
        <w:t>m</w:t>
      </w:r>
      <w:r w:rsidRPr="00FA7BE1">
        <w:t xml:space="preserve">arket </w:t>
      </w:r>
      <w:r w:rsidR="00120BEB">
        <w:t>r</w:t>
      </w:r>
      <w:r w:rsidRPr="00FA7BE1">
        <w:t>isks</w:t>
      </w:r>
      <w:r>
        <w:t>, including s</w:t>
      </w:r>
      <w:r w:rsidRPr="00AE7334">
        <w:t xml:space="preserve">upply chain disruptions, financial market volatility, and policies like substantial tariffs from a new </w:t>
      </w:r>
      <w:r w:rsidR="00482046">
        <w:t xml:space="preserve">presidential </w:t>
      </w:r>
      <w:r w:rsidRPr="00AE7334">
        <w:t>administration.</w:t>
      </w:r>
      <w:r w:rsidR="00482046">
        <w:rPr>
          <w:rStyle w:val="FootnoteReference"/>
        </w:rPr>
        <w:footnoteReference w:id="174"/>
      </w:r>
    </w:p>
    <w:p w:rsidRPr="00252B2C" w:rsidR="00AE7334" w:rsidP="00252B2C" w:rsidRDefault="00186D60" w14:paraId="3CB65799" w14:textId="6F8D3F08">
      <w:pPr>
        <w:pStyle w:val="Standard"/>
      </w:pPr>
      <w:r>
        <w:t>SBUA notes that</w:t>
      </w:r>
      <w:r w:rsidR="00686FA2">
        <w:t xml:space="preserve"> </w:t>
      </w:r>
      <w:r w:rsidR="00435DB8">
        <w:t>California</w:t>
      </w:r>
      <w:r w:rsidR="00686FA2">
        <w:t xml:space="preserve"> </w:t>
      </w:r>
      <w:r w:rsidR="00EE0258">
        <w:t>u</w:t>
      </w:r>
      <w:r w:rsidR="00686FA2">
        <w:t>tilities, specifically PG&amp;E</w:t>
      </w:r>
      <w:r w:rsidR="00256D97">
        <w:t>,</w:t>
      </w:r>
      <w:r w:rsidR="00686FA2">
        <w:t xml:space="preserve"> face the same</w:t>
      </w:r>
      <w:r w:rsidR="00F26852">
        <w:t xml:space="preserve"> </w:t>
      </w:r>
      <w:r w:rsidR="009F718D">
        <w:t xml:space="preserve">business and </w:t>
      </w:r>
      <w:r w:rsidR="00F26852">
        <w:t xml:space="preserve">inflation risk </w:t>
      </w:r>
      <w:r w:rsidR="00256D97">
        <w:t>as utilities in</w:t>
      </w:r>
      <w:r w:rsidR="00F26852">
        <w:t xml:space="preserve"> </w:t>
      </w:r>
      <w:r w:rsidR="00435DB8">
        <w:t>the proxy group. However,</w:t>
      </w:r>
      <w:r w:rsidR="001B0FA0">
        <w:t xml:space="preserve"> SBUA argues,</w:t>
      </w:r>
      <w:r w:rsidR="00435DB8">
        <w:t xml:space="preserve"> the</w:t>
      </w:r>
      <w:r w:rsidR="00A83B9B">
        <w:t xml:space="preserve"> risks associated with current inflation trends, which have decreased from a CPI of 8.0% in 2022 to 2.4% in Q1 2025, are shared by all regulated utilities and, as a result, are reflected in the utility proxy group's calculated costs of equity.</w:t>
      </w:r>
      <w:r w:rsidR="009F718D">
        <w:rPr>
          <w:rStyle w:val="FootnoteReference"/>
        </w:rPr>
        <w:footnoteReference w:id="175"/>
      </w:r>
    </w:p>
    <w:p w:rsidR="000119A7" w:rsidP="006D0D56" w:rsidRDefault="000119A7" w14:paraId="717A11A9" w14:textId="311DD691">
      <w:pPr>
        <w:pStyle w:val="Heading3"/>
      </w:pPr>
      <w:bookmarkStart w:name="_Toc214017382" w:id="41"/>
      <w:r>
        <w:t xml:space="preserve">Regulatory </w:t>
      </w:r>
      <w:r w:rsidRPr="006D0D56">
        <w:t>Risk</w:t>
      </w:r>
      <w:bookmarkEnd w:id="41"/>
    </w:p>
    <w:p w:rsidR="00314293" w:rsidP="000119A7" w:rsidRDefault="000119A7" w14:paraId="5DF76A32" w14:textId="6D61771A">
      <w:pPr>
        <w:pStyle w:val="Standard"/>
      </w:pPr>
      <w:r>
        <w:t xml:space="preserve">Regulatory risk pertains to </w:t>
      </w:r>
      <w:r>
        <w:rPr>
          <w:i/>
          <w:iCs/>
        </w:rPr>
        <w:t xml:space="preserve">new </w:t>
      </w:r>
      <w:r>
        <w:t>risks that investors may face from future regulatory actions that we, and other regulatory agencies, might take. Regulatory risk</w:t>
      </w:r>
      <w:r w:rsidR="005E4911">
        <w:t xml:space="preserve"> assessment is also </w:t>
      </w:r>
      <w:r w:rsidR="00927E62">
        <w:t xml:space="preserve">a consideration </w:t>
      </w:r>
      <w:r w:rsidR="005E4911">
        <w:t xml:space="preserve">used by rating agencies </w:t>
      </w:r>
      <w:r w:rsidR="00927E62">
        <w:t>when developing</w:t>
      </w:r>
      <w:r w:rsidR="005E4911">
        <w:t xml:space="preserve"> utility bond ratings. </w:t>
      </w:r>
      <w:r w:rsidRPr="0022752A" w:rsidR="005E4911">
        <w:t>The Applicants once again put forth arguments that the regulatory environment</w:t>
      </w:r>
      <w:r w:rsidRPr="0022752A" w:rsidR="006C425A">
        <w:t xml:space="preserve"> in California poses new risks that should be factored</w:t>
      </w:r>
      <w:r w:rsidR="002E7959">
        <w:t xml:space="preserve"> into the Commission determining the appropriate ROE following the established standards.</w:t>
      </w:r>
      <w:r w:rsidR="003512F7">
        <w:t xml:space="preserve"> Th</w:t>
      </w:r>
      <w:r w:rsidR="001B16F4">
        <w:t>e intervenors generally disagree with the Applicants’ arguments around regulatory risk.</w:t>
      </w:r>
      <w:r w:rsidR="003512F7">
        <w:t xml:space="preserve"> </w:t>
      </w:r>
    </w:p>
    <w:p w:rsidR="000119A7" w:rsidP="006D0D56" w:rsidRDefault="003A2B2F" w14:paraId="55EBD379" w14:textId="3C15C1A2">
      <w:pPr>
        <w:pStyle w:val="Heading3"/>
      </w:pPr>
      <w:bookmarkStart w:name="_bookmark1" w:id="42"/>
      <w:bookmarkStart w:name="_bookmark0" w:id="43"/>
      <w:bookmarkStart w:name="_Toc214017383" w:id="44"/>
      <w:bookmarkEnd w:id="42"/>
      <w:bookmarkEnd w:id="43"/>
      <w:r>
        <w:t>Authorized ROE Risk</w:t>
      </w:r>
      <w:bookmarkEnd w:id="44"/>
      <w:r w:rsidR="006C425A">
        <w:t xml:space="preserve"> </w:t>
      </w:r>
    </w:p>
    <w:p w:rsidR="00BA35C6" w:rsidP="003B7C8A" w:rsidRDefault="00E741E0" w14:paraId="0A87B859" w14:textId="6BA3E6C1">
      <w:pPr>
        <w:pStyle w:val="Standard"/>
      </w:pPr>
      <w:r>
        <w:t xml:space="preserve">An authorized ROE </w:t>
      </w:r>
      <w:r w:rsidR="009F3F68">
        <w:t>carries</w:t>
      </w:r>
      <w:r w:rsidR="00690C36">
        <w:t xml:space="preserve"> risk </w:t>
      </w:r>
      <w:r>
        <w:t xml:space="preserve">when it does not </w:t>
      </w:r>
      <w:r w:rsidR="009F3F68">
        <w:t>adequately compensate a utility for</w:t>
      </w:r>
      <w:r w:rsidR="00E514E6">
        <w:t xml:space="preserve"> the risk that investors must assume. California is generally perceived as having a constructive regulatory environment. However, the utilities are concerned that a lower ROE could potentially harm their credit profile and </w:t>
      </w:r>
      <w:r w:rsidR="00E514E6">
        <w:lastRenderedPageBreak/>
        <w:t xml:space="preserve">increase their cost of capital during a time when they need to spend substantial amounts on capital </w:t>
      </w:r>
      <w:r w:rsidR="008101C7">
        <w:t>investment projects above their historic norm.</w:t>
      </w:r>
    </w:p>
    <w:p w:rsidR="00432DFE" w:rsidP="006D0D56" w:rsidRDefault="00432DFE" w14:paraId="351E3B94" w14:textId="0ED7BA40">
      <w:pPr>
        <w:pStyle w:val="Heading3"/>
      </w:pPr>
      <w:bookmarkStart w:name="_Toc214017384" w:id="45"/>
      <w:r>
        <w:t>Cost Recovery Risk</w:t>
      </w:r>
      <w:bookmarkEnd w:id="45"/>
    </w:p>
    <w:p w:rsidR="00497B1B" w:rsidP="00C15084" w:rsidRDefault="007738AB" w14:paraId="17848107" w14:textId="1D9B0BFD">
      <w:pPr>
        <w:pStyle w:val="Standard"/>
      </w:pPr>
      <w:r>
        <w:t>SoCalGas</w:t>
      </w:r>
      <w:r w:rsidR="00962361">
        <w:t xml:space="preserve"> notes that it</w:t>
      </w:r>
      <w:r w:rsidRPr="00DA42FB" w:rsidR="00DA42FB">
        <w:t xml:space="preserve"> plans to invest $12.7 billion from 2025 to 2029. </w:t>
      </w:r>
      <w:r w:rsidR="00D61EAB">
        <w:t>SoCalGas argues that t</w:t>
      </w:r>
      <w:r w:rsidRPr="00DA42FB" w:rsidR="00DA42FB">
        <w:t xml:space="preserve">his large capital program increases financial risk by raising the potential for under- or delayed recovery of costs and putting pressure on credit metrics if returns are inadequate. </w:t>
      </w:r>
      <w:r w:rsidR="00DA42FB">
        <w:rPr>
          <w:rStyle w:val="FootnoteReference"/>
        </w:rPr>
        <w:footnoteReference w:id="176"/>
      </w:r>
    </w:p>
    <w:p w:rsidR="00A2592C" w:rsidP="00AD1F6A" w:rsidRDefault="00AD1F6A" w14:paraId="595F80EE" w14:textId="66E23F5A">
      <w:pPr>
        <w:pStyle w:val="Standard"/>
      </w:pPr>
      <w:r>
        <w:t>SCE s</w:t>
      </w:r>
      <w:r w:rsidR="00F024F6">
        <w:t>tates</w:t>
      </w:r>
      <w:r>
        <w:t xml:space="preserve"> it faces risk in recovering costs related to the electric grid transformation. SCE states that vehicle electrification is the primary driver of load growth in its service area, but</w:t>
      </w:r>
      <w:r w:rsidR="001D6842">
        <w:t>,</w:t>
      </w:r>
      <w:r>
        <w:t xml:space="preserve"> in D.25-09-</w:t>
      </w:r>
      <w:r w:rsidRPr="002722EB" w:rsidR="0011458A">
        <w:t>0</w:t>
      </w:r>
      <w:r w:rsidR="0011458A">
        <w:t>30</w:t>
      </w:r>
      <w:r w:rsidR="001D6842">
        <w:t>,</w:t>
      </w:r>
      <w:r>
        <w:t xml:space="preserve"> the Commission recently reduced SCE’s transportation electrification revenue request by 50%</w:t>
      </w:r>
      <w:r w:rsidR="00F024F6">
        <w:t>,</w:t>
      </w:r>
      <w:r>
        <w:t xml:space="preserve"> which</w:t>
      </w:r>
      <w:r w:rsidR="00F024F6">
        <w:t>, SCE claims,</w:t>
      </w:r>
      <w:r>
        <w:t xml:space="preserve"> increases uncertainty about whether SCE will be able to recover the costs of its load growth investments.</w:t>
      </w:r>
      <w:r>
        <w:rPr>
          <w:rStyle w:val="FootnoteReference"/>
        </w:rPr>
        <w:footnoteReference w:id="177"/>
      </w:r>
      <w:r>
        <w:t xml:space="preserve"> SCE also s</w:t>
      </w:r>
      <w:r w:rsidR="00F024F6">
        <w:t>tates</w:t>
      </w:r>
      <w:r>
        <w:t xml:space="preserve"> that the Commission’s processes related to SB 410</w:t>
      </w:r>
      <w:r w:rsidR="0076293E">
        <w:t xml:space="preserve"> (Becker, 2023)</w:t>
      </w:r>
      <w:r>
        <w:t xml:space="preserve"> create uncertainty. SCE </w:t>
      </w:r>
      <w:r w:rsidR="00784F6A">
        <w:t>claims</w:t>
      </w:r>
      <w:r>
        <w:t xml:space="preserve"> its costs for customer energization allowed under SB 410 may only apply to projects that close before the end of 2026, and that </w:t>
      </w:r>
      <w:r w:rsidR="00784F6A">
        <w:t>the</w:t>
      </w:r>
      <w:r>
        <w:t xml:space="preserve"> costs </w:t>
      </w:r>
      <w:r w:rsidR="00784F6A">
        <w:t xml:space="preserve">it </w:t>
      </w:r>
      <w:r>
        <w:t>incur</w:t>
      </w:r>
      <w:r w:rsidR="007972A9">
        <w:t>s</w:t>
      </w:r>
      <w:r>
        <w:t xml:space="preserve"> under SB 410 may be disallowed if found unreasonable.</w:t>
      </w:r>
      <w:r>
        <w:rPr>
          <w:rStyle w:val="FootnoteReference"/>
        </w:rPr>
        <w:footnoteReference w:id="178"/>
      </w:r>
      <w:r>
        <w:t xml:space="preserve"> SCE also </w:t>
      </w:r>
      <w:r w:rsidR="00784F6A">
        <w:t>claims</w:t>
      </w:r>
      <w:r>
        <w:t xml:space="preserve"> it faces regulatory risk because of the widespread and increasing deployment of distributed energy resources in its service territory. While SCE is allowed to track costs associated with DERs, it says it faces risk due to potential future disallowances.</w:t>
      </w:r>
      <w:r>
        <w:rPr>
          <w:rStyle w:val="FootnoteReference"/>
        </w:rPr>
        <w:footnoteReference w:id="179"/>
      </w:r>
    </w:p>
    <w:p w:rsidR="00432DFE" w:rsidP="006D0D56" w:rsidRDefault="00432DFE" w14:paraId="03F52D7A" w14:textId="16EE87F4">
      <w:pPr>
        <w:pStyle w:val="Heading3"/>
      </w:pPr>
      <w:bookmarkStart w:name="_Toc214017385" w:id="46"/>
      <w:r>
        <w:lastRenderedPageBreak/>
        <w:t>Regulatory Lag</w:t>
      </w:r>
      <w:bookmarkEnd w:id="46"/>
    </w:p>
    <w:p w:rsidR="00661C60" w:rsidP="00962361" w:rsidRDefault="00FD678F" w14:paraId="136AD198" w14:textId="1F129F84">
      <w:pPr>
        <w:pStyle w:val="Standard"/>
        <w:tabs>
          <w:tab w:val="left" w:pos="1253"/>
        </w:tabs>
      </w:pPr>
      <w:r>
        <w:t xml:space="preserve">SoCalGas </w:t>
      </w:r>
      <w:r w:rsidR="00972878">
        <w:t>states that</w:t>
      </w:r>
      <w:r>
        <w:t xml:space="preserve"> r</w:t>
      </w:r>
      <w:r w:rsidRPr="00661C60" w:rsidR="00661C60">
        <w:t xml:space="preserve">egulatory delays and uncertainty also increase the utilities’ investment risk and resulting financing costs and project viability. </w:t>
      </w:r>
      <w:r w:rsidR="00972878">
        <w:t>SoCalGas asserts that t</w:t>
      </w:r>
      <w:r w:rsidRPr="00661C60" w:rsidR="00661C60">
        <w:t>he delay in recovery of costs tracked in regulatory accounts increases the risk of SoCalGas’s cash flows, credit metrics, and capital structure being negatively impacted</w:t>
      </w:r>
      <w:r w:rsidR="00661C60">
        <w:t>.</w:t>
      </w:r>
      <w:r w:rsidR="00661C60">
        <w:rPr>
          <w:rStyle w:val="FootnoteReference"/>
        </w:rPr>
        <w:footnoteReference w:id="180"/>
      </w:r>
    </w:p>
    <w:p w:rsidR="00AD1F6A" w:rsidP="00C020F2" w:rsidRDefault="006F351C" w14:paraId="05B89E6C" w14:textId="4183641B">
      <w:pPr>
        <w:pStyle w:val="Standard"/>
      </w:pPr>
      <w:r>
        <w:t>PG&amp;E states that it has regulatory risk related to delays in approval of revenues in its balancing and memorandum accounts. At the end of 2024</w:t>
      </w:r>
      <w:r w:rsidR="005D0D4D">
        <w:t>,</w:t>
      </w:r>
      <w:r>
        <w:t xml:space="preserve"> PG&amp;E </w:t>
      </w:r>
      <w:r w:rsidR="005D0D4D">
        <w:t xml:space="preserve">claims it </w:t>
      </w:r>
      <w:r>
        <w:t>had a net under</w:t>
      </w:r>
      <w:r w:rsidR="00FC1FE6">
        <w:t>-</w:t>
      </w:r>
      <w:r>
        <w:t>collected balance of $5.6 billion in its balancing and memorandum accounts. PG&amp;E also asserts that not all of these costs are eventually recovered, citing D.24-12-075</w:t>
      </w:r>
      <w:r w:rsidR="005D0D4D">
        <w:t>,</w:t>
      </w:r>
      <w:r>
        <w:t xml:space="preserve"> which disallowed $160 million in recovery in a Wildfire Mitigation and Catastrophic Event proceeding.</w:t>
      </w:r>
      <w:r>
        <w:rPr>
          <w:rStyle w:val="FootnoteReference"/>
        </w:rPr>
        <w:footnoteReference w:id="181"/>
      </w:r>
      <w:r>
        <w:t xml:space="preserve"> PG&amp;E also states that it has risk </w:t>
      </w:r>
      <w:r w:rsidR="00D20D5E">
        <w:t xml:space="preserve">from </w:t>
      </w:r>
      <w:r>
        <w:t>of its planned capital program</w:t>
      </w:r>
      <w:r w:rsidR="005D0D4D">
        <w:t>.</w:t>
      </w:r>
      <w:r>
        <w:t xml:space="preserve"> PG&amp;E </w:t>
      </w:r>
      <w:r w:rsidR="005D0D4D">
        <w:t xml:space="preserve">states that it </w:t>
      </w:r>
      <w:r>
        <w:t>p</w:t>
      </w:r>
      <w:r w:rsidR="00966CD4">
        <w:t xml:space="preserve">rojects capital </w:t>
      </w:r>
      <w:r>
        <w:t>expend</w:t>
      </w:r>
      <w:r w:rsidR="00966CD4">
        <w:t>itures of</w:t>
      </w:r>
      <w:r>
        <w:t xml:space="preserve"> </w:t>
      </w:r>
      <w:r w:rsidR="0002214F">
        <w:t xml:space="preserve">approximately </w:t>
      </w:r>
      <w:r>
        <w:t>$52.5 billion from 2025 through 2028</w:t>
      </w:r>
      <w:r w:rsidR="005D0D4D">
        <w:t>,</w:t>
      </w:r>
      <w:r>
        <w:t xml:space="preserve"> which represents nearly 63% of its current net utility plant.</w:t>
      </w:r>
      <w:r>
        <w:rPr>
          <w:rStyle w:val="FootnoteReference"/>
        </w:rPr>
        <w:footnoteReference w:id="182"/>
      </w:r>
      <w:r>
        <w:t xml:space="preserve"> PG&amp;E asserts this capital program increases its risk by increasing the risk of under-recovery, and that an inadequate return would put downward pressure on its credit metrics.</w:t>
      </w:r>
      <w:r>
        <w:rPr>
          <w:rStyle w:val="FootnoteReference"/>
        </w:rPr>
        <w:footnoteReference w:id="183"/>
      </w:r>
    </w:p>
    <w:p w:rsidR="00DE273F" w:rsidP="00DE273F" w:rsidRDefault="00DE273F" w14:paraId="341256F8" w14:textId="528B3D70">
      <w:r>
        <w:t>TURN notes that</w:t>
      </w:r>
      <w:r w:rsidRPr="007C43BA">
        <w:t xml:space="preserve"> </w:t>
      </w:r>
      <w:r w:rsidR="00141F5F">
        <w:t>the Commission</w:t>
      </w:r>
      <w:r w:rsidRPr="007C43BA">
        <w:t xml:space="preserve"> has long employed multiple constructive regulatory mechanisms including a forecast test year which reduces the impacts of regulatory lag</w:t>
      </w:r>
      <w:r w:rsidR="00141F5F">
        <w:t>,</w:t>
      </w:r>
      <w:r w:rsidRPr="007C43BA">
        <w:t xml:space="preserve"> regular rate cases, which do not require that a utility be under-earning to warrant a formal rate case review by the Commission, </w:t>
      </w:r>
      <w:r w:rsidRPr="007C43BA">
        <w:lastRenderedPageBreak/>
        <w:t>and adjustment mechanisms that reduce the utilities’ risks relative to comparators, such as decoupling, fuel adjustments, and balancing accounts that recognized credit rating agencies.</w:t>
      </w:r>
      <w:r w:rsidRPr="007C43BA">
        <w:rPr>
          <w:rStyle w:val="FootnoteReference"/>
        </w:rPr>
        <w:footnoteReference w:id="184"/>
      </w:r>
      <w:r w:rsidRPr="007C43BA">
        <w:t xml:space="preserve"> </w:t>
      </w:r>
    </w:p>
    <w:p w:rsidR="00F57ECD" w:rsidP="0015705C" w:rsidRDefault="00DE273F" w14:paraId="431F363B" w14:textId="17CFBC64">
      <w:pPr>
        <w:pStyle w:val="Standard"/>
      </w:pPr>
      <w:r>
        <w:t xml:space="preserve">SBUA </w:t>
      </w:r>
      <w:r w:rsidR="0015705C">
        <w:t xml:space="preserve">argues </w:t>
      </w:r>
      <w:r>
        <w:t xml:space="preserve">that investors recognize that California's regulatory framework, notably mechanisms such as AB 1054, the CCM, revenue decoupling, and securitization options, provide substantial protections and mitigate business and financial risks significantly. </w:t>
      </w:r>
      <w:r w:rsidR="00972878">
        <w:t>SBUA argues that this</w:t>
      </w:r>
      <w:r>
        <w:t xml:space="preserve"> </w:t>
      </w:r>
      <w:r w:rsidR="00972878">
        <w:t>position</w:t>
      </w:r>
      <w:r>
        <w:t xml:space="preserve"> aligns with S&amp;P Global's regulatory evaluation, which characterizes the traditional aspects of California's regulatory framework as "relatively constructive for investors," highlighting these mechanisms as factors that positively influence investor confidence and reduce regulatory risk</w:t>
      </w:r>
      <w:r w:rsidRPr="001937D9">
        <w:t>.</w:t>
      </w:r>
      <w:r>
        <w:rPr>
          <w:rStyle w:val="FootnoteReference"/>
        </w:rPr>
        <w:footnoteReference w:id="185"/>
      </w:r>
    </w:p>
    <w:p w:rsidR="00F57ECD" w:rsidP="006D0D56" w:rsidRDefault="00F57ECD" w14:paraId="427E4CB1" w14:textId="0A178392">
      <w:pPr>
        <w:pStyle w:val="Heading3"/>
      </w:pPr>
      <w:bookmarkStart w:name="_Toc214017386" w:id="47"/>
      <w:r w:rsidRPr="006D0D56">
        <w:t>Summary</w:t>
      </w:r>
      <w:bookmarkEnd w:id="47"/>
    </w:p>
    <w:p w:rsidR="00D86178" w:rsidP="00D86178" w:rsidRDefault="00D86178" w14:paraId="39AA99B4" w14:textId="58178F5C">
      <w:pPr>
        <w:pStyle w:val="Standard"/>
      </w:pPr>
      <w:r>
        <w:t xml:space="preserve">The </w:t>
      </w:r>
      <w:r w:rsidR="008D17FC">
        <w:t>utilities are driven by financial, business, and regulatory factors that include energy availability, ability to attract capital to raise money for the proper discharge of their public utility duties</w:t>
      </w:r>
      <w:r w:rsidR="006A2B06">
        <w:t xml:space="preserve">, and to maintain investment-grade creditworthiness, all of which are important components of the </w:t>
      </w:r>
      <w:r w:rsidR="006A2B06">
        <w:rPr>
          <w:u w:val="single"/>
        </w:rPr>
        <w:t>Hope</w:t>
      </w:r>
      <w:r w:rsidR="006A2B06">
        <w:t xml:space="preserve"> and </w:t>
      </w:r>
      <w:r w:rsidR="006A2B06">
        <w:rPr>
          <w:u w:val="single"/>
        </w:rPr>
        <w:t>Bluefield</w:t>
      </w:r>
      <w:r w:rsidR="006A2B06">
        <w:t xml:space="preserve"> decisions. Based on the above financial, business, and regulatory risks</w:t>
      </w:r>
      <w:r w:rsidR="0074580A">
        <w:t xml:space="preserve"> discussion, we conclude that the ROE ranges adopted in this proceeding from the various financial models adequately compensate</w:t>
      </w:r>
      <w:r w:rsidR="003160CD">
        <w:t xml:space="preserve"> the utilities for these risks.</w:t>
      </w:r>
    </w:p>
    <w:p w:rsidR="003160CD" w:rsidP="006D0D56" w:rsidRDefault="003160CD" w14:paraId="18967C6A" w14:textId="6F57D41C">
      <w:pPr>
        <w:pStyle w:val="Heading2"/>
      </w:pPr>
      <w:bookmarkStart w:name="_Toc214017387" w:id="48"/>
      <w:r w:rsidRPr="006D0D56">
        <w:t>Authorized</w:t>
      </w:r>
      <w:r>
        <w:t xml:space="preserve"> Return on Equity National Trends</w:t>
      </w:r>
      <w:bookmarkEnd w:id="48"/>
    </w:p>
    <w:p w:rsidR="00450DCF" w:rsidP="00196252" w:rsidRDefault="00B11D23" w14:paraId="7F5518CB" w14:textId="118A7462">
      <w:pPr>
        <w:pStyle w:val="Standard"/>
      </w:pPr>
      <w:r>
        <w:t>S&amp;P Global market intelligence data show that t</w:t>
      </w:r>
      <w:r w:rsidR="00480153">
        <w:t xml:space="preserve">he </w:t>
      </w:r>
      <w:r w:rsidRPr="00450DCF" w:rsidR="00450DCF">
        <w:t>average authorized returns on equity for regulated utilities have</w:t>
      </w:r>
      <w:r>
        <w:t xml:space="preserve"> </w:t>
      </w:r>
      <w:r w:rsidRPr="00450DCF" w:rsidR="00450DCF">
        <w:t xml:space="preserve">ranged from 9.39% to 9.72% for the period from 2014 through the first quarter of 2025, and that between 2020 and </w:t>
      </w:r>
      <w:r w:rsidRPr="00450DCF" w:rsidR="00450DCF">
        <w:lastRenderedPageBreak/>
        <w:t>2025, authorized returns on equity have averaged around</w:t>
      </w:r>
      <w:r w:rsidR="00450DCF">
        <w:t xml:space="preserve"> </w:t>
      </w:r>
      <w:r w:rsidRPr="00450DCF" w:rsidR="00450DCF">
        <w:t>9.60%.</w:t>
      </w:r>
      <w:r>
        <w:rPr>
          <w:rStyle w:val="FootnoteReference"/>
        </w:rPr>
        <w:footnoteReference w:id="186"/>
      </w:r>
      <w:r w:rsidRPr="00450DCF" w:rsidR="00450DCF">
        <w:t xml:space="preserve"> </w:t>
      </w:r>
      <w:r w:rsidR="00242273">
        <w:t xml:space="preserve">Additionally, the average </w:t>
      </w:r>
      <w:r w:rsidR="004D47CD">
        <w:t xml:space="preserve">ROE granted to United States electric utilities during 2024 is </w:t>
      </w:r>
      <w:r w:rsidR="00E75696">
        <w:t xml:space="preserve">9.78% and the average </w:t>
      </w:r>
      <w:r w:rsidR="00C911EE">
        <w:t xml:space="preserve">ROE to United States gas utilities during 2024 is 9.65%. In the first half of 2025, these values are </w:t>
      </w:r>
      <w:r w:rsidR="00745FA4">
        <w:t>9.72% and 9.73%, respectively.</w:t>
      </w:r>
      <w:r w:rsidR="004D47CD">
        <w:t xml:space="preserve"> </w:t>
      </w:r>
    </w:p>
    <w:p w:rsidR="00B11D23" w:rsidP="00450DCF" w:rsidRDefault="00B11D23" w14:paraId="078A55F5" w14:textId="6E7C89C4">
      <w:pPr>
        <w:pStyle w:val="Standard"/>
        <w:ind w:firstLine="0"/>
      </w:pPr>
      <w:r w:rsidRPr="00B11D23">
        <w:rPr>
          <w:noProof/>
        </w:rPr>
        <w:drawing>
          <wp:inline distT="0" distB="0" distL="0" distR="0" wp14:anchorId="3ABE10DA" wp14:editId="7107678C">
            <wp:extent cx="5943600" cy="5909310"/>
            <wp:effectExtent l="0" t="0" r="0" b="0"/>
            <wp:docPr id="414227797" name="Picture 1" descr="Graphical user interface, chart, application,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27797" name="Picture 1" descr="Graphical user interface, chart, application, line chart&#10;&#10;AI-generated content may be incorrect."/>
                    <pic:cNvPicPr/>
                  </pic:nvPicPr>
                  <pic:blipFill>
                    <a:blip r:embed="rId16"/>
                    <a:stretch>
                      <a:fillRect/>
                    </a:stretch>
                  </pic:blipFill>
                  <pic:spPr>
                    <a:xfrm>
                      <a:off x="0" y="0"/>
                      <a:ext cx="5943600" cy="5909310"/>
                    </a:xfrm>
                    <a:prstGeom prst="rect">
                      <a:avLst/>
                    </a:prstGeom>
                  </pic:spPr>
                </pic:pic>
              </a:graphicData>
            </a:graphic>
          </wp:inline>
        </w:drawing>
      </w:r>
    </w:p>
    <w:p w:rsidR="00741388" w:rsidP="00400723" w:rsidRDefault="00741388" w14:paraId="213EB93E" w14:textId="77777777">
      <w:pPr>
        <w:ind w:firstLine="0"/>
      </w:pPr>
      <w:r>
        <w:lastRenderedPageBreak/>
        <w:t>Additionally, SCE</w:t>
      </w:r>
      <w:r>
        <w:rPr>
          <w:rStyle w:val="FootnoteReference"/>
        </w:rPr>
        <w:footnoteReference w:id="187"/>
      </w:r>
      <w:r>
        <w:t xml:space="preserve"> and SDG&amp;E</w:t>
      </w:r>
      <w:r>
        <w:rPr>
          <w:rStyle w:val="FootnoteReference"/>
        </w:rPr>
        <w:footnoteReference w:id="188"/>
      </w:r>
      <w:r>
        <w:t xml:space="preserve"> note t</w:t>
      </w:r>
      <w:r w:rsidRPr="00E9246D">
        <w:t>he average authorized “all cases” ROE for electric utilities in the first half of 2025 was 9.68 percent</w:t>
      </w:r>
      <w:r>
        <w:t xml:space="preserve">. </w:t>
      </w:r>
    </w:p>
    <w:p w:rsidR="007724EA" w:rsidP="00400723" w:rsidRDefault="007724EA" w14:paraId="378157FA" w14:textId="7C511F38">
      <w:pPr>
        <w:ind w:firstLine="0"/>
      </w:pPr>
      <w:r>
        <w:tab/>
      </w:r>
      <w:r w:rsidR="00131DE9">
        <w:t xml:space="preserve">Sierra Club and </w:t>
      </w:r>
      <w:r w:rsidR="0019070B">
        <w:t xml:space="preserve">Wild Tree argue that the national average ROE is well above the utilities’ cost of equity. In particular, Sierra Club </w:t>
      </w:r>
      <w:r w:rsidR="000262A4">
        <w:t>argues that market-to-book values above 1.0</w:t>
      </w:r>
      <w:r w:rsidR="005F1FA8">
        <w:t xml:space="preserve"> indicate that investors are receiving more than just their investment plus a reasonable return.</w:t>
      </w:r>
      <w:r w:rsidR="005F1FA8">
        <w:rPr>
          <w:rStyle w:val="FootnoteReference"/>
        </w:rPr>
        <w:footnoteReference w:id="189"/>
      </w:r>
      <w:r w:rsidR="00AB232A">
        <w:t>Wild Tree asserts that authorized ROEs are well above the cost of equity because of elevated market-to-book ratios</w:t>
      </w:r>
      <w:r w:rsidR="00283941">
        <w:t xml:space="preserve"> and that, if regulators were to authorize ROEs at the cost of equity, “market and book values would converge.”</w:t>
      </w:r>
      <w:r w:rsidR="00283941">
        <w:rPr>
          <w:rStyle w:val="FootnoteReference"/>
        </w:rPr>
        <w:footnoteReference w:id="190"/>
      </w:r>
    </w:p>
    <w:p w:rsidR="00C127AD" w:rsidP="00400723" w:rsidRDefault="00400723" w14:paraId="454F1B86" w14:textId="66A7B0EC">
      <w:pPr>
        <w:ind w:firstLine="0"/>
      </w:pPr>
      <w:r>
        <w:tab/>
        <w:t xml:space="preserve">We assess </w:t>
      </w:r>
      <w:r w:rsidR="001645D6">
        <w:t>credit rating</w:t>
      </w:r>
      <w:r w:rsidR="007724EA">
        <w:t xml:space="preserve"> actions</w:t>
      </w:r>
      <w:r>
        <w:t xml:space="preserve"> relative to the authorizations that were made in the Test Year 2023 Cost of Capital cycle adopted in </w:t>
      </w:r>
      <w:r w:rsidR="00F5633A">
        <w:t>D.22-12-031.</w:t>
      </w:r>
      <w:r w:rsidR="00C70791">
        <w:t xml:space="preserve"> Since the Test Year 2023 Decision, </w:t>
      </w:r>
      <w:r w:rsidR="00F84214">
        <w:t xml:space="preserve">PG&amp;E’s </w:t>
      </w:r>
      <w:r w:rsidR="00EC37E0">
        <w:t>credit rating has improved</w:t>
      </w:r>
      <w:r w:rsidR="000A53BE">
        <w:t xml:space="preserve"> and SoCalGas, SCE, and SDG&amp;E remain investment grade.</w:t>
      </w:r>
    </w:p>
    <w:p w:rsidR="00C729FC" w:rsidP="00400723" w:rsidRDefault="00C127AD" w14:paraId="6B934194" w14:textId="77777777">
      <w:pPr>
        <w:ind w:firstLine="0"/>
      </w:pPr>
      <w:r>
        <w:tab/>
        <w:t>Return on equity should be reasonably sufficient to ensure confidence in the financial soundness of the utility and enable it to attract capital to finance the replacement and expansion of facilities.</w:t>
      </w:r>
    </w:p>
    <w:p w:rsidR="00400723" w:rsidP="00192DAA" w:rsidRDefault="00C729FC" w14:paraId="53B35E31" w14:textId="6431E19A">
      <w:r>
        <w:t xml:space="preserve">The </w:t>
      </w:r>
      <w:r>
        <w:rPr>
          <w:u w:val="single"/>
        </w:rPr>
        <w:t>Hope</w:t>
      </w:r>
      <w:r w:rsidR="00C241DE">
        <w:t xml:space="preserve"> and </w:t>
      </w:r>
      <w:r w:rsidR="00C241DE">
        <w:rPr>
          <w:u w:val="single"/>
        </w:rPr>
        <w:t>Bluefield</w:t>
      </w:r>
      <w:r w:rsidR="00C241DE">
        <w:t xml:space="preserve"> standards for determining fair compensation to the utility also ensure that the rates charged to customers for maintaining utilities’ financial integrity will be just and reasonable.</w:t>
      </w:r>
    </w:p>
    <w:p w:rsidR="00D91BC7" w:rsidP="00D91BC7" w:rsidRDefault="00D90852" w14:paraId="7F9CD248" w14:textId="2D5A3680">
      <w:pPr>
        <w:ind w:firstLine="360"/>
      </w:pPr>
      <w:r>
        <w:t>The ROE adopted in this decision appropriately aligns the Applicants with national trends with consider</w:t>
      </w:r>
      <w:r w:rsidR="00455D70">
        <w:t>ation of the risk profile of each individual utility.</w:t>
      </w:r>
      <w:r w:rsidR="007036D8">
        <w:t xml:space="preserve"> Other modifications made to the ROE in the </w:t>
      </w:r>
      <w:r w:rsidR="001B11AF">
        <w:t>Test Year 2026</w:t>
      </w:r>
      <w:r w:rsidR="00535C9A">
        <w:t xml:space="preserve"> cycle are in response </w:t>
      </w:r>
      <w:r w:rsidR="00535C9A">
        <w:lastRenderedPageBreak/>
        <w:t xml:space="preserve">to our analysis of the quantitative financial models, other macroeconomic trends, </w:t>
      </w:r>
      <w:r w:rsidR="00901CC9">
        <w:t xml:space="preserve">credit worthiness, and our understanding of the risks that are present for the Applicants. Ultimately, we reduce the ROE authorization for the Applicants </w:t>
      </w:r>
      <w:r w:rsidR="00965F2C">
        <w:t xml:space="preserve">30 </w:t>
      </w:r>
      <w:r w:rsidR="00916AB5">
        <w:t xml:space="preserve">basis points from the authorization provided in </w:t>
      </w:r>
      <w:r w:rsidR="008A02B4">
        <w:t>D.</w:t>
      </w:r>
      <w:r w:rsidR="005710E1">
        <w:t>24-10-008</w:t>
      </w:r>
      <w:r w:rsidR="00916AB5">
        <w:t>.</w:t>
      </w:r>
    </w:p>
    <w:p w:rsidR="008A77A3" w:rsidP="006D0D56" w:rsidRDefault="008A77A3" w14:paraId="184BCC26" w14:textId="1DD0947B">
      <w:pPr>
        <w:pStyle w:val="Heading2"/>
      </w:pPr>
      <w:bookmarkStart w:name="_Toc214017388" w:id="49"/>
      <w:r>
        <w:t xml:space="preserve">PG&amp;E’s </w:t>
      </w:r>
      <w:r w:rsidRPr="006D0D56">
        <w:t>Return</w:t>
      </w:r>
      <w:r>
        <w:t xml:space="preserve"> on Equity</w:t>
      </w:r>
      <w:bookmarkEnd w:id="49"/>
    </w:p>
    <w:p w:rsidR="00CC256D" w:rsidP="00D233A9" w:rsidRDefault="00EE5B97" w14:paraId="7887FB5F" w14:textId="7AB00C3B">
      <w:pPr>
        <w:pStyle w:val="Standard"/>
      </w:pPr>
      <w:r>
        <w:t>The following tabulation summarizes the final ROE proposals by PG&amp;E and the intervenors:</w:t>
      </w:r>
    </w:p>
    <w:p w:rsidR="00CC256D" w:rsidP="008A77A3" w:rsidRDefault="00CC256D" w14:paraId="485EDBF4" w14:textId="77777777">
      <w:pPr>
        <w:pStyle w:val="Standard"/>
      </w:pPr>
    </w:p>
    <w:tbl>
      <w:tblPr>
        <w:tblStyle w:val="TableGrid"/>
        <w:tblW w:w="0" w:type="auto"/>
        <w:jc w:val="center"/>
        <w:tblLook w:val="04A0" w:firstRow="1" w:lastRow="0" w:firstColumn="1" w:lastColumn="0" w:noHBand="0" w:noVBand="1"/>
      </w:tblPr>
      <w:tblGrid>
        <w:gridCol w:w="4046"/>
        <w:gridCol w:w="4050"/>
      </w:tblGrid>
      <w:tr w:rsidRPr="007D7839" w:rsidR="004C6756" w14:paraId="7B12325B" w14:textId="77777777">
        <w:trPr>
          <w:jc w:val="center"/>
        </w:trPr>
        <w:tc>
          <w:tcPr>
            <w:tcW w:w="4045" w:type="dxa"/>
          </w:tcPr>
          <w:p w:rsidRPr="007D7839" w:rsidR="004C6756" w:rsidRDefault="004C6756" w14:paraId="53CF5AB7" w14:textId="77777777">
            <w:pPr>
              <w:jc w:val="center"/>
              <w:rPr>
                <w:rFonts w:eastAsia="Calibri" w:cs="Times New Roman"/>
                <w:b/>
                <w:bCs/>
              </w:rPr>
            </w:pPr>
            <w:r w:rsidRPr="007D7839">
              <w:rPr>
                <w:rFonts w:eastAsia="Calibri" w:cs="Times New Roman"/>
                <w:b/>
                <w:bCs/>
              </w:rPr>
              <w:t>Party</w:t>
            </w:r>
          </w:p>
        </w:tc>
        <w:tc>
          <w:tcPr>
            <w:tcW w:w="4050" w:type="dxa"/>
          </w:tcPr>
          <w:p w:rsidRPr="007D7839" w:rsidR="004C6756" w:rsidRDefault="004C6756" w14:paraId="54D7EFAA" w14:textId="77777777">
            <w:pPr>
              <w:jc w:val="center"/>
              <w:rPr>
                <w:rFonts w:eastAsia="Calibri" w:cs="Times New Roman"/>
              </w:rPr>
            </w:pPr>
            <w:r w:rsidRPr="007D7839">
              <w:rPr>
                <w:rFonts w:eastAsia="Calibri" w:cs="Times New Roman"/>
                <w:b/>
                <w:bCs/>
              </w:rPr>
              <w:t>Final Proposed ROE</w:t>
            </w:r>
          </w:p>
        </w:tc>
      </w:tr>
      <w:tr w:rsidRPr="007D7839" w:rsidR="004C6756" w14:paraId="6D9A944A" w14:textId="77777777">
        <w:trPr>
          <w:jc w:val="center"/>
        </w:trPr>
        <w:tc>
          <w:tcPr>
            <w:tcW w:w="4045" w:type="dxa"/>
          </w:tcPr>
          <w:p w:rsidRPr="007D7839" w:rsidR="004C6756" w:rsidRDefault="004C6756" w14:paraId="0422D8F4" w14:textId="77777777">
            <w:pPr>
              <w:rPr>
                <w:rFonts w:eastAsia="Calibri" w:cs="Times New Roman"/>
              </w:rPr>
            </w:pPr>
            <w:r w:rsidRPr="007D7839">
              <w:rPr>
                <w:rFonts w:eastAsia="Calibri" w:cs="Times New Roman"/>
              </w:rPr>
              <w:t>PG&amp;E</w:t>
            </w:r>
            <w:r>
              <w:rPr>
                <w:rStyle w:val="FootnoteReference"/>
                <w:rFonts w:eastAsia="Calibri" w:cs="Times New Roman"/>
              </w:rPr>
              <w:footnoteReference w:id="191"/>
            </w:r>
          </w:p>
        </w:tc>
        <w:tc>
          <w:tcPr>
            <w:tcW w:w="4050" w:type="dxa"/>
          </w:tcPr>
          <w:p w:rsidRPr="007D7839" w:rsidR="004C6756" w:rsidRDefault="004C6756" w14:paraId="47E9C0E9" w14:textId="77777777">
            <w:pPr>
              <w:jc w:val="center"/>
              <w:rPr>
                <w:rFonts w:eastAsia="Calibri" w:cs="Times New Roman"/>
              </w:rPr>
            </w:pPr>
            <w:r>
              <w:rPr>
                <w:rFonts w:eastAsia="Calibri" w:cs="Times New Roman"/>
              </w:rPr>
              <w:t>11.30%</w:t>
            </w:r>
          </w:p>
        </w:tc>
      </w:tr>
      <w:tr w:rsidRPr="00BF57E3" w:rsidR="004C6756" w14:paraId="6BCFACAD" w14:textId="77777777">
        <w:tblPrEx>
          <w:jc w:val="left"/>
        </w:tblPrEx>
        <w:tc>
          <w:tcPr>
            <w:tcW w:w="4046" w:type="dxa"/>
            <w:noWrap/>
            <w:hideMark/>
          </w:tcPr>
          <w:p w:rsidRPr="00BF57E3" w:rsidR="004C6756" w:rsidRDefault="004C6756" w14:paraId="5E37DF6E" w14:textId="77777777">
            <w:pPr>
              <w:rPr>
                <w:rFonts w:eastAsia="Times New Roman" w:cs="Times New Roman"/>
                <w:color w:val="000000"/>
                <w:szCs w:val="26"/>
              </w:rPr>
            </w:pPr>
            <w:r w:rsidRPr="00BF57E3">
              <w:rPr>
                <w:rFonts w:eastAsia="Times New Roman" w:cs="Times New Roman"/>
                <w:color w:val="000000"/>
                <w:szCs w:val="26"/>
              </w:rPr>
              <w:t>EPUC/IS/TURN</w:t>
            </w:r>
            <w:r>
              <w:rPr>
                <w:rStyle w:val="FootnoteReference"/>
                <w:rFonts w:eastAsia="Times New Roman" w:cs="Times New Roman"/>
                <w:color w:val="000000"/>
                <w:szCs w:val="26"/>
              </w:rPr>
              <w:footnoteReference w:id="192"/>
            </w:r>
          </w:p>
        </w:tc>
        <w:tc>
          <w:tcPr>
            <w:tcW w:w="4046" w:type="dxa"/>
            <w:noWrap/>
            <w:hideMark/>
          </w:tcPr>
          <w:p w:rsidRPr="00BF57E3" w:rsidR="004C6756" w:rsidRDefault="004C6756" w14:paraId="2083653E" w14:textId="77777777">
            <w:pPr>
              <w:jc w:val="center"/>
              <w:rPr>
                <w:rFonts w:eastAsia="Times New Roman" w:cs="Times New Roman"/>
                <w:color w:val="000000"/>
                <w:szCs w:val="26"/>
              </w:rPr>
            </w:pPr>
            <w:r w:rsidRPr="00BF57E3">
              <w:rPr>
                <w:rFonts w:eastAsia="Times New Roman" w:cs="Times New Roman"/>
                <w:color w:val="000000"/>
                <w:szCs w:val="26"/>
              </w:rPr>
              <w:t>9.50%</w:t>
            </w:r>
          </w:p>
        </w:tc>
      </w:tr>
      <w:tr w:rsidRPr="00BF57E3" w:rsidR="004C6756" w14:paraId="08B8D030" w14:textId="77777777">
        <w:tblPrEx>
          <w:jc w:val="left"/>
        </w:tblPrEx>
        <w:tc>
          <w:tcPr>
            <w:tcW w:w="4046" w:type="dxa"/>
            <w:noWrap/>
            <w:hideMark/>
          </w:tcPr>
          <w:p w:rsidRPr="00BF57E3" w:rsidR="004C6756" w:rsidRDefault="004C6756" w14:paraId="192048AF" w14:textId="77777777">
            <w:pPr>
              <w:rPr>
                <w:rFonts w:eastAsia="Times New Roman" w:cs="Times New Roman"/>
                <w:color w:val="000000"/>
                <w:szCs w:val="26"/>
              </w:rPr>
            </w:pPr>
            <w:r w:rsidRPr="00BF57E3">
              <w:rPr>
                <w:rFonts w:eastAsia="Times New Roman" w:cs="Times New Roman"/>
                <w:color w:val="000000"/>
                <w:szCs w:val="26"/>
              </w:rPr>
              <w:t>TURN</w:t>
            </w:r>
            <w:r>
              <w:rPr>
                <w:rStyle w:val="FootnoteReference"/>
                <w:rFonts w:eastAsia="Times New Roman" w:cs="Times New Roman"/>
                <w:color w:val="000000"/>
                <w:szCs w:val="26"/>
              </w:rPr>
              <w:footnoteReference w:id="193"/>
            </w:r>
          </w:p>
        </w:tc>
        <w:tc>
          <w:tcPr>
            <w:tcW w:w="4046" w:type="dxa"/>
            <w:noWrap/>
            <w:hideMark/>
          </w:tcPr>
          <w:p w:rsidRPr="00BF57E3" w:rsidR="004C6756" w:rsidRDefault="004C6756" w14:paraId="06912158" w14:textId="77777777">
            <w:pPr>
              <w:jc w:val="center"/>
              <w:rPr>
                <w:rFonts w:eastAsia="Times New Roman" w:cs="Times New Roman"/>
                <w:color w:val="000000"/>
                <w:szCs w:val="26"/>
              </w:rPr>
            </w:pPr>
            <w:r w:rsidRPr="00BF57E3">
              <w:rPr>
                <w:rFonts w:eastAsia="Times New Roman" w:cs="Times New Roman"/>
                <w:color w:val="000000"/>
                <w:szCs w:val="26"/>
              </w:rPr>
              <w:t>9.50%</w:t>
            </w:r>
          </w:p>
        </w:tc>
      </w:tr>
      <w:tr w:rsidRPr="00BF57E3" w:rsidR="004C6756" w14:paraId="7B68B1D3" w14:textId="77777777">
        <w:tblPrEx>
          <w:jc w:val="left"/>
        </w:tblPrEx>
        <w:tc>
          <w:tcPr>
            <w:tcW w:w="4046" w:type="dxa"/>
            <w:noWrap/>
            <w:hideMark/>
          </w:tcPr>
          <w:p w:rsidRPr="00BF57E3" w:rsidR="004C6756" w:rsidRDefault="004C6756" w14:paraId="35178327" w14:textId="77777777">
            <w:pPr>
              <w:rPr>
                <w:rFonts w:eastAsia="Times New Roman" w:cs="Times New Roman"/>
                <w:color w:val="000000"/>
                <w:szCs w:val="26"/>
              </w:rPr>
            </w:pPr>
            <w:r w:rsidRPr="00BF57E3">
              <w:rPr>
                <w:rFonts w:eastAsia="Times New Roman" w:cs="Times New Roman"/>
                <w:color w:val="000000"/>
                <w:szCs w:val="26"/>
              </w:rPr>
              <w:t>SBUA</w:t>
            </w:r>
            <w:r>
              <w:rPr>
                <w:rStyle w:val="FootnoteReference"/>
                <w:rFonts w:eastAsia="Times New Roman" w:cs="Times New Roman"/>
                <w:color w:val="000000"/>
                <w:szCs w:val="26"/>
              </w:rPr>
              <w:footnoteReference w:id="194"/>
            </w:r>
          </w:p>
        </w:tc>
        <w:tc>
          <w:tcPr>
            <w:tcW w:w="4046" w:type="dxa"/>
            <w:noWrap/>
            <w:hideMark/>
          </w:tcPr>
          <w:p w:rsidRPr="00BF57E3" w:rsidR="004C6756" w:rsidRDefault="004C6756" w14:paraId="620F2E1B" w14:textId="77777777">
            <w:pPr>
              <w:jc w:val="center"/>
              <w:rPr>
                <w:rFonts w:eastAsia="Times New Roman" w:cs="Times New Roman"/>
                <w:color w:val="000000"/>
                <w:szCs w:val="26"/>
              </w:rPr>
            </w:pPr>
            <w:r w:rsidRPr="00BF57E3">
              <w:rPr>
                <w:rFonts w:eastAsia="Times New Roman" w:cs="Times New Roman"/>
                <w:color w:val="000000"/>
                <w:szCs w:val="26"/>
              </w:rPr>
              <w:t>9.60%</w:t>
            </w:r>
          </w:p>
        </w:tc>
      </w:tr>
      <w:tr w:rsidRPr="00BF57E3" w:rsidR="004C6756" w14:paraId="5AE671AD" w14:textId="77777777">
        <w:tblPrEx>
          <w:jc w:val="left"/>
        </w:tblPrEx>
        <w:tc>
          <w:tcPr>
            <w:tcW w:w="4046" w:type="dxa"/>
            <w:noWrap/>
            <w:hideMark/>
          </w:tcPr>
          <w:p w:rsidRPr="00BF57E3" w:rsidR="004C6756" w:rsidRDefault="004C6756" w14:paraId="7A7ADAB1" w14:textId="77777777">
            <w:pPr>
              <w:rPr>
                <w:rFonts w:eastAsia="Times New Roman" w:cs="Times New Roman"/>
                <w:color w:val="000000"/>
                <w:szCs w:val="26"/>
              </w:rPr>
            </w:pPr>
            <w:r w:rsidRPr="00BF57E3">
              <w:rPr>
                <w:rFonts w:eastAsia="Times New Roman" w:cs="Times New Roman"/>
                <w:color w:val="000000"/>
                <w:szCs w:val="26"/>
              </w:rPr>
              <w:t>Cal Advocates</w:t>
            </w:r>
            <w:r>
              <w:rPr>
                <w:rStyle w:val="FootnoteReference"/>
                <w:rFonts w:eastAsia="Times New Roman" w:cs="Times New Roman"/>
                <w:color w:val="000000"/>
                <w:szCs w:val="26"/>
              </w:rPr>
              <w:footnoteReference w:id="195"/>
            </w:r>
          </w:p>
        </w:tc>
        <w:tc>
          <w:tcPr>
            <w:tcW w:w="4046" w:type="dxa"/>
            <w:noWrap/>
            <w:hideMark/>
          </w:tcPr>
          <w:p w:rsidRPr="00BF57E3" w:rsidR="004C6756" w:rsidRDefault="004C6756" w14:paraId="5624BFFF" w14:textId="11A73207">
            <w:pPr>
              <w:jc w:val="center"/>
              <w:rPr>
                <w:rFonts w:eastAsia="Times New Roman" w:cs="Times New Roman"/>
                <w:color w:val="000000"/>
                <w:szCs w:val="26"/>
              </w:rPr>
            </w:pPr>
            <w:r w:rsidRPr="00BF57E3">
              <w:rPr>
                <w:rFonts w:eastAsia="Times New Roman" w:cs="Times New Roman"/>
                <w:color w:val="000000"/>
                <w:szCs w:val="26"/>
              </w:rPr>
              <w:t>9.</w:t>
            </w:r>
            <w:r w:rsidR="0034260F">
              <w:rPr>
                <w:rFonts w:eastAsia="Times New Roman" w:cs="Times New Roman"/>
                <w:color w:val="000000"/>
                <w:szCs w:val="26"/>
              </w:rPr>
              <w:t>625</w:t>
            </w:r>
            <w:r w:rsidRPr="00BF57E3">
              <w:rPr>
                <w:rFonts w:eastAsia="Times New Roman" w:cs="Times New Roman"/>
                <w:color w:val="000000"/>
                <w:szCs w:val="26"/>
              </w:rPr>
              <w:t>%</w:t>
            </w:r>
          </w:p>
        </w:tc>
      </w:tr>
      <w:tr w:rsidRPr="00BF57E3" w:rsidR="004C6756" w14:paraId="3D4B481E" w14:textId="77777777">
        <w:tblPrEx>
          <w:jc w:val="left"/>
        </w:tblPrEx>
        <w:tc>
          <w:tcPr>
            <w:tcW w:w="4046" w:type="dxa"/>
            <w:noWrap/>
            <w:hideMark/>
          </w:tcPr>
          <w:p w:rsidRPr="00BF57E3" w:rsidR="004C6756" w:rsidRDefault="004C6756" w14:paraId="55A3E418" w14:textId="77777777">
            <w:pPr>
              <w:rPr>
                <w:rFonts w:eastAsia="Times New Roman" w:cs="Times New Roman"/>
                <w:color w:val="000000"/>
                <w:szCs w:val="26"/>
              </w:rPr>
            </w:pPr>
            <w:r w:rsidRPr="00BF57E3">
              <w:rPr>
                <w:rFonts w:eastAsia="Times New Roman" w:cs="Times New Roman"/>
                <w:color w:val="000000"/>
                <w:szCs w:val="26"/>
              </w:rPr>
              <w:t>Wild Tree</w:t>
            </w:r>
            <w:r>
              <w:rPr>
                <w:rStyle w:val="FootnoteReference"/>
                <w:rFonts w:eastAsia="Times New Roman" w:cs="Times New Roman"/>
                <w:color w:val="000000"/>
                <w:szCs w:val="26"/>
              </w:rPr>
              <w:footnoteReference w:id="196"/>
            </w:r>
          </w:p>
        </w:tc>
        <w:tc>
          <w:tcPr>
            <w:tcW w:w="4046" w:type="dxa"/>
            <w:noWrap/>
            <w:hideMark/>
          </w:tcPr>
          <w:p w:rsidRPr="00BF57E3" w:rsidR="004C6756" w:rsidRDefault="004C6756" w14:paraId="0B725C4A" w14:textId="77777777">
            <w:pPr>
              <w:jc w:val="center"/>
              <w:rPr>
                <w:rFonts w:eastAsia="Times New Roman" w:cs="Times New Roman"/>
                <w:color w:val="000000"/>
                <w:szCs w:val="26"/>
              </w:rPr>
            </w:pPr>
            <w:r w:rsidRPr="00BF57E3">
              <w:rPr>
                <w:rFonts w:eastAsia="Times New Roman" w:cs="Times New Roman"/>
                <w:color w:val="000000"/>
                <w:szCs w:val="26"/>
              </w:rPr>
              <w:t>8.30%</w:t>
            </w:r>
          </w:p>
        </w:tc>
      </w:tr>
      <w:tr w:rsidRPr="00BF57E3" w:rsidR="004C6756" w14:paraId="76976B73" w14:textId="77777777">
        <w:tblPrEx>
          <w:jc w:val="left"/>
        </w:tblPrEx>
        <w:tc>
          <w:tcPr>
            <w:tcW w:w="4046" w:type="dxa"/>
            <w:noWrap/>
            <w:hideMark/>
          </w:tcPr>
          <w:p w:rsidRPr="00BF57E3" w:rsidR="004C6756" w:rsidRDefault="004C6756" w14:paraId="0C1A7A72" w14:textId="77777777">
            <w:pPr>
              <w:rPr>
                <w:rFonts w:eastAsia="Times New Roman" w:cs="Times New Roman"/>
                <w:color w:val="000000"/>
                <w:szCs w:val="26"/>
              </w:rPr>
            </w:pPr>
            <w:r w:rsidRPr="00BF57E3">
              <w:rPr>
                <w:rFonts w:eastAsia="Times New Roman" w:cs="Times New Roman"/>
                <w:color w:val="000000"/>
                <w:szCs w:val="26"/>
              </w:rPr>
              <w:t>EDF</w:t>
            </w:r>
            <w:r>
              <w:rPr>
                <w:rStyle w:val="FootnoteReference"/>
                <w:rFonts w:eastAsia="Times New Roman" w:cs="Times New Roman"/>
                <w:color w:val="000000"/>
                <w:szCs w:val="26"/>
              </w:rPr>
              <w:footnoteReference w:id="197"/>
            </w:r>
          </w:p>
        </w:tc>
        <w:tc>
          <w:tcPr>
            <w:tcW w:w="4046" w:type="dxa"/>
            <w:noWrap/>
            <w:hideMark/>
          </w:tcPr>
          <w:p w:rsidRPr="00BF57E3" w:rsidR="004C6756" w:rsidRDefault="004C6756" w14:paraId="6ED82F31" w14:textId="77777777">
            <w:pPr>
              <w:jc w:val="center"/>
              <w:rPr>
                <w:rFonts w:eastAsia="Times New Roman" w:cs="Times New Roman"/>
                <w:color w:val="000000"/>
                <w:szCs w:val="26"/>
              </w:rPr>
            </w:pPr>
            <w:r>
              <w:rPr>
                <w:rFonts w:eastAsia="Times New Roman" w:cs="Times New Roman"/>
                <w:color w:val="000000"/>
                <w:szCs w:val="26"/>
              </w:rPr>
              <w:t>7.43% - 8.55</w:t>
            </w:r>
            <w:r w:rsidRPr="00BF57E3">
              <w:rPr>
                <w:rFonts w:eastAsia="Times New Roman" w:cs="Times New Roman"/>
                <w:color w:val="000000"/>
                <w:szCs w:val="26"/>
              </w:rPr>
              <w:t>%</w:t>
            </w:r>
          </w:p>
        </w:tc>
      </w:tr>
      <w:tr w:rsidRPr="00BF57E3" w:rsidR="004C6756" w14:paraId="32A14599" w14:textId="77777777">
        <w:tblPrEx>
          <w:jc w:val="left"/>
        </w:tblPrEx>
        <w:tc>
          <w:tcPr>
            <w:tcW w:w="4046" w:type="dxa"/>
            <w:noWrap/>
            <w:hideMark/>
          </w:tcPr>
          <w:p w:rsidRPr="00BF57E3" w:rsidR="004C6756" w:rsidRDefault="004C6756" w14:paraId="2A021656" w14:textId="77777777">
            <w:pPr>
              <w:rPr>
                <w:rFonts w:eastAsia="Times New Roman" w:cs="Times New Roman"/>
                <w:color w:val="000000"/>
                <w:szCs w:val="26"/>
              </w:rPr>
            </w:pPr>
            <w:r w:rsidRPr="00BF57E3">
              <w:rPr>
                <w:rFonts w:eastAsia="Times New Roman" w:cs="Times New Roman"/>
                <w:color w:val="000000"/>
                <w:szCs w:val="26"/>
              </w:rPr>
              <w:t>SC/PCF</w:t>
            </w:r>
            <w:r>
              <w:rPr>
                <w:rStyle w:val="FootnoteReference"/>
                <w:rFonts w:eastAsia="Times New Roman" w:cs="Times New Roman"/>
                <w:color w:val="000000"/>
                <w:szCs w:val="26"/>
              </w:rPr>
              <w:footnoteReference w:id="198"/>
            </w:r>
          </w:p>
        </w:tc>
        <w:tc>
          <w:tcPr>
            <w:tcW w:w="4046" w:type="dxa"/>
            <w:noWrap/>
            <w:hideMark/>
          </w:tcPr>
          <w:p w:rsidRPr="00BF57E3" w:rsidR="004C6756" w:rsidRDefault="004C6756" w14:paraId="2D1FA8F3" w14:textId="77777777">
            <w:pPr>
              <w:jc w:val="center"/>
              <w:rPr>
                <w:rFonts w:eastAsia="Times New Roman" w:cs="Times New Roman"/>
                <w:color w:val="000000"/>
                <w:szCs w:val="26"/>
              </w:rPr>
            </w:pPr>
            <w:r w:rsidRPr="00BF57E3">
              <w:rPr>
                <w:rFonts w:eastAsia="Times New Roman" w:cs="Times New Roman"/>
                <w:color w:val="000000"/>
                <w:szCs w:val="26"/>
              </w:rPr>
              <w:t>6.22%</w:t>
            </w:r>
          </w:p>
        </w:tc>
      </w:tr>
    </w:tbl>
    <w:p w:rsidR="00EE5B97" w:rsidP="008A77A3" w:rsidRDefault="008C7D3F" w14:paraId="12F0165B" w14:textId="78E9A5BD">
      <w:pPr>
        <w:pStyle w:val="Standard"/>
      </w:pPr>
      <w:r>
        <w:lastRenderedPageBreak/>
        <w:t>After considering the evidence on market conditions, trends, creditworthiness, interest rate forecasts, quantitative financial models, additiona</w:t>
      </w:r>
      <w:r w:rsidR="00FD3C34">
        <w:t xml:space="preserve">l risk factors, and interest coverage presented by the parties and applying our informed judgement, we </w:t>
      </w:r>
      <w:r w:rsidR="007A76ED">
        <w:t>find that</w:t>
      </w:r>
      <w:r w:rsidR="00C246D3">
        <w:t xml:space="preserve"> PG&amp;E</w:t>
      </w:r>
      <w:r w:rsidR="007A76ED">
        <w:t>’s</w:t>
      </w:r>
      <w:r w:rsidR="008E0728">
        <w:t xml:space="preserve"> ROE should be within the range</w:t>
      </w:r>
      <w:r w:rsidR="00C246D3">
        <w:t xml:space="preserve"> </w:t>
      </w:r>
      <w:r w:rsidR="00BA2A31">
        <w:t>9.</w:t>
      </w:r>
      <w:r w:rsidR="00DA328D">
        <w:t>65</w:t>
      </w:r>
      <w:r w:rsidR="00BA2A31">
        <w:t xml:space="preserve">% to </w:t>
      </w:r>
      <w:r w:rsidR="00BA6C95">
        <w:t>10.</w:t>
      </w:r>
      <w:r w:rsidR="00DA328D">
        <w:t>20</w:t>
      </w:r>
      <w:r w:rsidR="00BA2A31">
        <w:t>%</w:t>
      </w:r>
      <w:r w:rsidR="003C6EBE">
        <w:t xml:space="preserve"> and that the just and reasonable ROE for PG&amp;E’s authorized</w:t>
      </w:r>
      <w:r w:rsidR="00315395">
        <w:t xml:space="preserve"> </w:t>
      </w:r>
      <w:r w:rsidR="005A5BA3">
        <w:t>t</w:t>
      </w:r>
      <w:r w:rsidR="00315395">
        <w:t xml:space="preserve">est </w:t>
      </w:r>
      <w:r w:rsidR="004F03F5">
        <w:t>y</w:t>
      </w:r>
      <w:r w:rsidR="00315395">
        <w:t xml:space="preserve">ear 2026 is </w:t>
      </w:r>
      <w:r w:rsidR="00DA5CEF">
        <w:t>9.98</w:t>
      </w:r>
      <w:r w:rsidR="00315395">
        <w:t>%</w:t>
      </w:r>
      <w:r w:rsidR="00B7216F">
        <w:t xml:space="preserve">. </w:t>
      </w:r>
      <w:r w:rsidR="00A9761B">
        <w:t xml:space="preserve">This ROE is </w:t>
      </w:r>
      <w:r w:rsidR="009D0711">
        <w:t xml:space="preserve">the lowest amount that is </w:t>
      </w:r>
      <w:r w:rsidR="00A9761B">
        <w:t xml:space="preserve">reasonably sufficient to assure confidence in the financial soundness of the utility </w:t>
      </w:r>
      <w:r w:rsidR="00D1573C">
        <w:t xml:space="preserve">and to improve and maintain investment grade credit ratings </w:t>
      </w:r>
      <w:r w:rsidR="009D0711">
        <w:t>and so balances</w:t>
      </w:r>
      <w:r w:rsidR="00D1573C">
        <w:t xml:space="preserve"> the interests between shareholders and ratepayers. </w:t>
      </w:r>
    </w:p>
    <w:p w:rsidR="008A77A3" w:rsidP="006D0D56" w:rsidRDefault="008A77A3" w14:paraId="058F4F41" w14:textId="5E5E7517">
      <w:pPr>
        <w:pStyle w:val="Heading2"/>
      </w:pPr>
      <w:bookmarkStart w:name="_Toc214017389" w:id="50"/>
      <w:r>
        <w:t xml:space="preserve">SoCalGas’ </w:t>
      </w:r>
      <w:r w:rsidRPr="006D0D56">
        <w:t>Return</w:t>
      </w:r>
      <w:r>
        <w:t xml:space="preserve"> on Equity</w:t>
      </w:r>
      <w:bookmarkEnd w:id="50"/>
    </w:p>
    <w:p w:rsidR="00AB2AE0" w:rsidP="00AB2AE0" w:rsidRDefault="00AB2AE0" w14:paraId="68717E1A" w14:textId="6C8BDEA6">
      <w:pPr>
        <w:pStyle w:val="Standard"/>
      </w:pPr>
      <w:r>
        <w:t>The following tabulation summarizes the final ROE proposals by SoCalGas and the intervenors:</w:t>
      </w:r>
    </w:p>
    <w:p w:rsidR="00D438EA" w:rsidP="00AB2AE0" w:rsidRDefault="00D438EA" w14:paraId="713FDB6F" w14:textId="77777777">
      <w:pPr>
        <w:pStyle w:val="Standard"/>
      </w:pPr>
    </w:p>
    <w:tbl>
      <w:tblPr>
        <w:tblStyle w:val="TableGrid"/>
        <w:tblW w:w="0" w:type="auto"/>
        <w:jc w:val="center"/>
        <w:tblLook w:val="04A0" w:firstRow="1" w:lastRow="0" w:firstColumn="1" w:lastColumn="0" w:noHBand="0" w:noVBand="1"/>
      </w:tblPr>
      <w:tblGrid>
        <w:gridCol w:w="4045"/>
        <w:gridCol w:w="4050"/>
      </w:tblGrid>
      <w:tr w:rsidRPr="007D7839" w:rsidR="00833AF5" w14:paraId="7233916E" w14:textId="77777777">
        <w:trPr>
          <w:jc w:val="center"/>
        </w:trPr>
        <w:tc>
          <w:tcPr>
            <w:tcW w:w="4045" w:type="dxa"/>
          </w:tcPr>
          <w:p w:rsidRPr="007D7839" w:rsidR="00833AF5" w:rsidRDefault="00833AF5" w14:paraId="1530ED02" w14:textId="77777777">
            <w:pPr>
              <w:jc w:val="center"/>
              <w:rPr>
                <w:rFonts w:eastAsia="Calibri" w:cs="Times New Roman"/>
                <w:b/>
                <w:bCs/>
              </w:rPr>
            </w:pPr>
            <w:r w:rsidRPr="007D7839">
              <w:rPr>
                <w:rFonts w:eastAsia="Calibri" w:cs="Times New Roman"/>
                <w:b/>
                <w:bCs/>
              </w:rPr>
              <w:t>Party</w:t>
            </w:r>
          </w:p>
        </w:tc>
        <w:tc>
          <w:tcPr>
            <w:tcW w:w="4050" w:type="dxa"/>
          </w:tcPr>
          <w:p w:rsidRPr="007D7839" w:rsidR="00833AF5" w:rsidRDefault="00833AF5" w14:paraId="11011948" w14:textId="77777777">
            <w:pPr>
              <w:jc w:val="center"/>
              <w:rPr>
                <w:rFonts w:eastAsia="Calibri" w:cs="Times New Roman"/>
              </w:rPr>
            </w:pPr>
            <w:r w:rsidRPr="007D7839">
              <w:rPr>
                <w:rFonts w:eastAsia="Calibri" w:cs="Times New Roman"/>
                <w:b/>
                <w:bCs/>
              </w:rPr>
              <w:t>Final Proposed ROE</w:t>
            </w:r>
          </w:p>
        </w:tc>
      </w:tr>
      <w:tr w:rsidRPr="007D7839" w:rsidR="00833AF5" w14:paraId="1A846544" w14:textId="77777777">
        <w:trPr>
          <w:jc w:val="center"/>
        </w:trPr>
        <w:tc>
          <w:tcPr>
            <w:tcW w:w="4045" w:type="dxa"/>
          </w:tcPr>
          <w:p w:rsidRPr="007D7839" w:rsidR="00833AF5" w:rsidRDefault="00833AF5" w14:paraId="3F5F2498" w14:textId="77777777">
            <w:pPr>
              <w:rPr>
                <w:rFonts w:eastAsia="Calibri" w:cs="Times New Roman"/>
              </w:rPr>
            </w:pPr>
            <w:r w:rsidRPr="007D7839">
              <w:rPr>
                <w:rFonts w:eastAsia="Calibri" w:cs="Times New Roman"/>
              </w:rPr>
              <w:t>SoCalGas</w:t>
            </w:r>
            <w:r>
              <w:rPr>
                <w:rStyle w:val="FootnoteReference"/>
                <w:rFonts w:eastAsia="Calibri" w:cs="Times New Roman"/>
              </w:rPr>
              <w:footnoteReference w:id="199"/>
            </w:r>
          </w:p>
        </w:tc>
        <w:tc>
          <w:tcPr>
            <w:tcW w:w="4050" w:type="dxa"/>
          </w:tcPr>
          <w:p w:rsidRPr="007D7839" w:rsidR="00833AF5" w:rsidRDefault="00833AF5" w14:paraId="400BA9F8" w14:textId="77777777">
            <w:pPr>
              <w:jc w:val="center"/>
              <w:rPr>
                <w:rFonts w:eastAsia="Calibri" w:cs="Times New Roman"/>
              </w:rPr>
            </w:pPr>
            <w:r>
              <w:rPr>
                <w:rFonts w:eastAsia="Calibri" w:cs="Times New Roman"/>
              </w:rPr>
              <w:t>11.00%</w:t>
            </w:r>
          </w:p>
        </w:tc>
      </w:tr>
      <w:tr w:rsidRPr="00185A08" w:rsidR="00833AF5" w14:paraId="5C1FA655" w14:textId="77777777">
        <w:tblPrEx>
          <w:jc w:val="left"/>
        </w:tblPrEx>
        <w:trPr>
          <w:trHeight w:val="288"/>
        </w:trPr>
        <w:tc>
          <w:tcPr>
            <w:tcW w:w="4045" w:type="dxa"/>
            <w:noWrap/>
            <w:hideMark/>
          </w:tcPr>
          <w:p w:rsidRPr="00185A08" w:rsidR="00833AF5" w:rsidRDefault="00833AF5" w14:paraId="642D90D5" w14:textId="77777777">
            <w:pPr>
              <w:rPr>
                <w:rFonts w:eastAsia="Times New Roman" w:cs="Times New Roman"/>
                <w:color w:val="000000"/>
                <w:szCs w:val="26"/>
              </w:rPr>
            </w:pPr>
            <w:r w:rsidRPr="00185A08">
              <w:rPr>
                <w:rFonts w:eastAsia="Times New Roman" w:cs="Times New Roman"/>
                <w:color w:val="000000"/>
                <w:szCs w:val="26"/>
              </w:rPr>
              <w:t>EPUC/IS/TURN</w:t>
            </w:r>
            <w:r>
              <w:rPr>
                <w:rStyle w:val="FootnoteReference"/>
                <w:rFonts w:eastAsia="Times New Roman" w:cs="Times New Roman"/>
                <w:color w:val="000000"/>
                <w:szCs w:val="26"/>
              </w:rPr>
              <w:footnoteReference w:id="200"/>
            </w:r>
          </w:p>
        </w:tc>
        <w:tc>
          <w:tcPr>
            <w:tcW w:w="4050" w:type="dxa"/>
            <w:noWrap/>
            <w:hideMark/>
          </w:tcPr>
          <w:p w:rsidRPr="00185A08" w:rsidR="00833AF5" w:rsidRDefault="00833AF5" w14:paraId="431A1EE2" w14:textId="77777777">
            <w:pPr>
              <w:jc w:val="center"/>
              <w:rPr>
                <w:rFonts w:eastAsia="Times New Roman" w:cs="Times New Roman"/>
                <w:color w:val="000000"/>
                <w:szCs w:val="26"/>
              </w:rPr>
            </w:pPr>
            <w:r w:rsidRPr="00185A08">
              <w:rPr>
                <w:rFonts w:eastAsia="Times New Roman" w:cs="Times New Roman"/>
                <w:color w:val="000000"/>
                <w:szCs w:val="26"/>
              </w:rPr>
              <w:t>9.50%</w:t>
            </w:r>
          </w:p>
        </w:tc>
      </w:tr>
      <w:tr w:rsidRPr="00185A08" w:rsidR="00833AF5" w14:paraId="4135B004" w14:textId="77777777">
        <w:tblPrEx>
          <w:jc w:val="left"/>
        </w:tblPrEx>
        <w:trPr>
          <w:trHeight w:val="288"/>
        </w:trPr>
        <w:tc>
          <w:tcPr>
            <w:tcW w:w="4045" w:type="dxa"/>
            <w:noWrap/>
            <w:hideMark/>
          </w:tcPr>
          <w:p w:rsidRPr="00185A08" w:rsidR="00833AF5" w:rsidRDefault="00833AF5" w14:paraId="453CE9BD" w14:textId="77777777">
            <w:pPr>
              <w:rPr>
                <w:rFonts w:eastAsia="Times New Roman" w:cs="Times New Roman"/>
                <w:color w:val="000000"/>
                <w:szCs w:val="26"/>
              </w:rPr>
            </w:pPr>
            <w:r w:rsidRPr="00185A08">
              <w:rPr>
                <w:rFonts w:eastAsia="Times New Roman" w:cs="Times New Roman"/>
                <w:color w:val="000000"/>
                <w:szCs w:val="26"/>
              </w:rPr>
              <w:t>TURN</w:t>
            </w:r>
            <w:r>
              <w:rPr>
                <w:rStyle w:val="FootnoteReference"/>
                <w:rFonts w:eastAsia="Times New Roman" w:cs="Times New Roman"/>
                <w:color w:val="000000"/>
                <w:szCs w:val="26"/>
              </w:rPr>
              <w:footnoteReference w:id="201"/>
            </w:r>
          </w:p>
        </w:tc>
        <w:tc>
          <w:tcPr>
            <w:tcW w:w="4050" w:type="dxa"/>
            <w:noWrap/>
            <w:hideMark/>
          </w:tcPr>
          <w:p w:rsidRPr="00185A08" w:rsidR="00833AF5" w:rsidRDefault="00833AF5" w14:paraId="4CDFCFDA" w14:textId="77777777">
            <w:pPr>
              <w:jc w:val="center"/>
              <w:rPr>
                <w:rFonts w:eastAsia="Times New Roman" w:cs="Times New Roman"/>
                <w:color w:val="000000"/>
                <w:szCs w:val="26"/>
              </w:rPr>
            </w:pPr>
            <w:r w:rsidRPr="00185A08">
              <w:rPr>
                <w:rFonts w:eastAsia="Times New Roman" w:cs="Times New Roman"/>
                <w:color w:val="000000"/>
                <w:szCs w:val="26"/>
              </w:rPr>
              <w:t>9.50%</w:t>
            </w:r>
          </w:p>
        </w:tc>
      </w:tr>
      <w:tr w:rsidRPr="00185A08" w:rsidR="00833AF5" w14:paraId="4E865614" w14:textId="77777777">
        <w:tblPrEx>
          <w:jc w:val="left"/>
        </w:tblPrEx>
        <w:trPr>
          <w:trHeight w:val="288"/>
        </w:trPr>
        <w:tc>
          <w:tcPr>
            <w:tcW w:w="4045" w:type="dxa"/>
            <w:noWrap/>
            <w:hideMark/>
          </w:tcPr>
          <w:p w:rsidRPr="00185A08" w:rsidR="00833AF5" w:rsidRDefault="00833AF5" w14:paraId="43AE70C8" w14:textId="77777777">
            <w:pPr>
              <w:rPr>
                <w:rFonts w:eastAsia="Times New Roman" w:cs="Times New Roman"/>
                <w:color w:val="000000"/>
                <w:szCs w:val="26"/>
              </w:rPr>
            </w:pPr>
            <w:r w:rsidRPr="00185A08">
              <w:rPr>
                <w:rFonts w:eastAsia="Times New Roman" w:cs="Times New Roman"/>
                <w:color w:val="000000"/>
                <w:szCs w:val="26"/>
              </w:rPr>
              <w:t>Cal Advocates</w:t>
            </w:r>
            <w:r>
              <w:rPr>
                <w:rStyle w:val="FootnoteReference"/>
                <w:rFonts w:eastAsia="Times New Roman" w:cs="Times New Roman"/>
                <w:color w:val="000000"/>
                <w:szCs w:val="26"/>
              </w:rPr>
              <w:footnoteReference w:id="202"/>
            </w:r>
          </w:p>
        </w:tc>
        <w:tc>
          <w:tcPr>
            <w:tcW w:w="4050" w:type="dxa"/>
            <w:noWrap/>
            <w:hideMark/>
          </w:tcPr>
          <w:p w:rsidRPr="00185A08" w:rsidR="00833AF5" w:rsidRDefault="00833AF5" w14:paraId="16296EA4" w14:textId="021B7909">
            <w:pPr>
              <w:jc w:val="center"/>
              <w:rPr>
                <w:rFonts w:eastAsia="Times New Roman" w:cs="Times New Roman"/>
                <w:color w:val="000000"/>
                <w:szCs w:val="26"/>
              </w:rPr>
            </w:pPr>
            <w:r w:rsidRPr="00185A08">
              <w:rPr>
                <w:rFonts w:eastAsia="Times New Roman" w:cs="Times New Roman"/>
                <w:color w:val="000000"/>
                <w:szCs w:val="26"/>
              </w:rPr>
              <w:t>9.</w:t>
            </w:r>
            <w:r w:rsidR="00FC73F4">
              <w:rPr>
                <w:rFonts w:eastAsia="Times New Roman" w:cs="Times New Roman"/>
                <w:color w:val="000000"/>
                <w:szCs w:val="26"/>
              </w:rPr>
              <w:t>1</w:t>
            </w:r>
            <w:r w:rsidRPr="00185A08">
              <w:rPr>
                <w:rFonts w:eastAsia="Times New Roman" w:cs="Times New Roman"/>
                <w:color w:val="000000"/>
                <w:szCs w:val="26"/>
              </w:rPr>
              <w:t>25%</w:t>
            </w:r>
          </w:p>
        </w:tc>
      </w:tr>
      <w:tr w:rsidRPr="00185A08" w:rsidR="00833AF5" w14:paraId="069A009A" w14:textId="77777777">
        <w:tblPrEx>
          <w:jc w:val="left"/>
        </w:tblPrEx>
        <w:trPr>
          <w:trHeight w:val="288"/>
        </w:trPr>
        <w:tc>
          <w:tcPr>
            <w:tcW w:w="4045" w:type="dxa"/>
            <w:noWrap/>
            <w:hideMark/>
          </w:tcPr>
          <w:p w:rsidRPr="00185A08" w:rsidR="00833AF5" w:rsidRDefault="00833AF5" w14:paraId="12A12891" w14:textId="77777777">
            <w:pPr>
              <w:rPr>
                <w:rFonts w:eastAsia="Times New Roman" w:cs="Times New Roman"/>
                <w:color w:val="000000"/>
                <w:szCs w:val="26"/>
              </w:rPr>
            </w:pPr>
            <w:r w:rsidRPr="00185A08">
              <w:rPr>
                <w:rFonts w:eastAsia="Times New Roman" w:cs="Times New Roman"/>
                <w:color w:val="000000"/>
                <w:szCs w:val="26"/>
              </w:rPr>
              <w:t>Wild Tree</w:t>
            </w:r>
            <w:r>
              <w:rPr>
                <w:rStyle w:val="FootnoteReference"/>
                <w:rFonts w:eastAsia="Times New Roman" w:cs="Times New Roman"/>
                <w:color w:val="000000"/>
                <w:szCs w:val="26"/>
              </w:rPr>
              <w:footnoteReference w:id="203"/>
            </w:r>
          </w:p>
        </w:tc>
        <w:tc>
          <w:tcPr>
            <w:tcW w:w="4050" w:type="dxa"/>
            <w:noWrap/>
            <w:hideMark/>
          </w:tcPr>
          <w:p w:rsidRPr="00185A08" w:rsidR="00833AF5" w:rsidRDefault="00833AF5" w14:paraId="4B9DFA59" w14:textId="77777777">
            <w:pPr>
              <w:jc w:val="center"/>
              <w:rPr>
                <w:rFonts w:eastAsia="Times New Roman" w:cs="Times New Roman"/>
                <w:color w:val="000000"/>
                <w:szCs w:val="26"/>
              </w:rPr>
            </w:pPr>
            <w:r w:rsidRPr="00185A08">
              <w:rPr>
                <w:rFonts w:eastAsia="Times New Roman" w:cs="Times New Roman"/>
                <w:color w:val="000000"/>
                <w:szCs w:val="26"/>
              </w:rPr>
              <w:t>8.01%</w:t>
            </w:r>
          </w:p>
        </w:tc>
      </w:tr>
      <w:tr w:rsidRPr="00185A08" w:rsidR="00833AF5" w14:paraId="5DE31233" w14:textId="77777777">
        <w:tblPrEx>
          <w:jc w:val="left"/>
        </w:tblPrEx>
        <w:trPr>
          <w:trHeight w:val="288"/>
        </w:trPr>
        <w:tc>
          <w:tcPr>
            <w:tcW w:w="4045" w:type="dxa"/>
            <w:noWrap/>
            <w:hideMark/>
          </w:tcPr>
          <w:p w:rsidRPr="00185A08" w:rsidR="00833AF5" w:rsidRDefault="00833AF5" w14:paraId="5D15C65F" w14:textId="77777777">
            <w:pPr>
              <w:rPr>
                <w:rFonts w:eastAsia="Times New Roman" w:cs="Times New Roman"/>
                <w:color w:val="000000"/>
                <w:szCs w:val="26"/>
              </w:rPr>
            </w:pPr>
            <w:r w:rsidRPr="00185A08">
              <w:rPr>
                <w:rFonts w:eastAsia="Times New Roman" w:cs="Times New Roman"/>
                <w:color w:val="000000"/>
                <w:szCs w:val="26"/>
              </w:rPr>
              <w:t>EDF</w:t>
            </w:r>
            <w:r>
              <w:rPr>
                <w:rStyle w:val="FootnoteReference"/>
                <w:rFonts w:eastAsia="Times New Roman" w:cs="Times New Roman"/>
                <w:color w:val="000000"/>
                <w:szCs w:val="26"/>
              </w:rPr>
              <w:footnoteReference w:id="204"/>
            </w:r>
          </w:p>
        </w:tc>
        <w:tc>
          <w:tcPr>
            <w:tcW w:w="4050" w:type="dxa"/>
            <w:noWrap/>
            <w:hideMark/>
          </w:tcPr>
          <w:p w:rsidRPr="00185A08" w:rsidR="00833AF5" w:rsidRDefault="00833AF5" w14:paraId="27680DB8" w14:textId="77777777">
            <w:pPr>
              <w:jc w:val="center"/>
              <w:rPr>
                <w:rFonts w:eastAsia="Times New Roman" w:cs="Times New Roman"/>
                <w:color w:val="000000"/>
                <w:szCs w:val="26"/>
              </w:rPr>
            </w:pPr>
            <w:r w:rsidRPr="00185A08">
              <w:rPr>
                <w:rFonts w:eastAsia="Times New Roman" w:cs="Times New Roman"/>
                <w:color w:val="000000"/>
                <w:szCs w:val="26"/>
              </w:rPr>
              <w:t>6.30</w:t>
            </w:r>
            <w:r>
              <w:rPr>
                <w:rFonts w:eastAsia="Times New Roman" w:cs="Times New Roman"/>
                <w:color w:val="000000"/>
                <w:szCs w:val="26"/>
              </w:rPr>
              <w:t>%</w:t>
            </w:r>
            <w:r w:rsidRPr="00185A08">
              <w:rPr>
                <w:rFonts w:eastAsia="Times New Roman" w:cs="Times New Roman"/>
                <w:color w:val="000000"/>
                <w:szCs w:val="26"/>
              </w:rPr>
              <w:t>-7.39%</w:t>
            </w:r>
          </w:p>
        </w:tc>
      </w:tr>
      <w:tr w:rsidRPr="00185A08" w:rsidR="00833AF5" w14:paraId="0AC93B61" w14:textId="77777777">
        <w:tblPrEx>
          <w:jc w:val="left"/>
        </w:tblPrEx>
        <w:trPr>
          <w:trHeight w:val="288"/>
        </w:trPr>
        <w:tc>
          <w:tcPr>
            <w:tcW w:w="4045" w:type="dxa"/>
            <w:noWrap/>
            <w:hideMark/>
          </w:tcPr>
          <w:p w:rsidRPr="00185A08" w:rsidR="00833AF5" w:rsidRDefault="00833AF5" w14:paraId="6B3E1DDE" w14:textId="77777777">
            <w:pPr>
              <w:rPr>
                <w:rFonts w:eastAsia="Times New Roman" w:cs="Times New Roman"/>
                <w:color w:val="000000"/>
                <w:szCs w:val="26"/>
              </w:rPr>
            </w:pPr>
            <w:r w:rsidRPr="00185A08">
              <w:rPr>
                <w:rFonts w:eastAsia="Times New Roman" w:cs="Times New Roman"/>
                <w:color w:val="000000"/>
                <w:szCs w:val="26"/>
              </w:rPr>
              <w:lastRenderedPageBreak/>
              <w:t>SC/PCF</w:t>
            </w:r>
            <w:r>
              <w:rPr>
                <w:rStyle w:val="FootnoteReference"/>
                <w:rFonts w:eastAsia="Times New Roman" w:cs="Times New Roman"/>
                <w:color w:val="000000"/>
                <w:szCs w:val="26"/>
              </w:rPr>
              <w:footnoteReference w:id="205"/>
            </w:r>
          </w:p>
        </w:tc>
        <w:tc>
          <w:tcPr>
            <w:tcW w:w="4050" w:type="dxa"/>
            <w:noWrap/>
            <w:hideMark/>
          </w:tcPr>
          <w:p w:rsidRPr="00185A08" w:rsidR="00833AF5" w:rsidRDefault="00833AF5" w14:paraId="490CCAB4" w14:textId="77777777">
            <w:pPr>
              <w:jc w:val="center"/>
              <w:rPr>
                <w:rFonts w:eastAsia="Times New Roman" w:cs="Times New Roman"/>
                <w:color w:val="000000"/>
                <w:szCs w:val="26"/>
              </w:rPr>
            </w:pPr>
            <w:r w:rsidRPr="00185A08">
              <w:rPr>
                <w:rFonts w:eastAsia="Times New Roman" w:cs="Times New Roman"/>
                <w:color w:val="000000"/>
                <w:szCs w:val="26"/>
              </w:rPr>
              <w:t>6.21%</w:t>
            </w:r>
          </w:p>
        </w:tc>
      </w:tr>
    </w:tbl>
    <w:p w:rsidR="008A77A3" w:rsidP="00D438EA" w:rsidRDefault="00916AB5" w14:paraId="11892D08" w14:textId="20CC1336">
      <w:pPr>
        <w:pStyle w:val="Standard"/>
        <w:spacing w:before="240"/>
      </w:pPr>
      <w:r w:rsidRPr="00916AB5">
        <w:t xml:space="preserve">After considering the evidence on market conditions, trends, creditworthiness, interest rate forecasts, quantitative financial models, additional risk factors, and interest coverage presented by the parties and applying our informed judgement, we </w:t>
      </w:r>
      <w:r w:rsidR="00471470">
        <w:t>find that SoCalGas’ ROE should be</w:t>
      </w:r>
      <w:r w:rsidRPr="00916AB5">
        <w:t xml:space="preserve"> </w:t>
      </w:r>
      <w:r w:rsidR="009A361E">
        <w:t xml:space="preserve">within the range </w:t>
      </w:r>
      <w:r w:rsidRPr="00916AB5">
        <w:t>9.</w:t>
      </w:r>
      <w:r w:rsidR="00DA328D">
        <w:t>45</w:t>
      </w:r>
      <w:r w:rsidRPr="00916AB5">
        <w:t xml:space="preserve">% to </w:t>
      </w:r>
      <w:r w:rsidR="00DA328D">
        <w:t>10.00</w:t>
      </w:r>
      <w:r w:rsidRPr="00916AB5">
        <w:t>%</w:t>
      </w:r>
      <w:r w:rsidR="00810EB0">
        <w:t xml:space="preserve"> and that the just and reasonable ROE for SoCalGas’ authorized </w:t>
      </w:r>
      <w:r w:rsidR="005A5BA3">
        <w:t>t</w:t>
      </w:r>
      <w:r w:rsidR="00810EB0">
        <w:t xml:space="preserve">est </w:t>
      </w:r>
      <w:r w:rsidR="005A5BA3">
        <w:t>y</w:t>
      </w:r>
      <w:r w:rsidR="00810EB0">
        <w:t xml:space="preserve">ear 2026 </w:t>
      </w:r>
      <w:r w:rsidR="005E2294">
        <w:t>is</w:t>
      </w:r>
      <w:r w:rsidRPr="00916AB5">
        <w:t xml:space="preserve"> </w:t>
      </w:r>
      <w:r w:rsidR="00DA5CEF">
        <w:t>9.78</w:t>
      </w:r>
      <w:r w:rsidRPr="00916AB5">
        <w:t xml:space="preserve">%. This ROE is </w:t>
      </w:r>
      <w:r w:rsidR="005C3E57">
        <w:t xml:space="preserve">the lowest amount that is </w:t>
      </w:r>
      <w:r w:rsidRPr="00916AB5">
        <w:t xml:space="preserve">reasonably sufficient to assure confidence in the financial soundness of the utility and to improve and maintain investment grade credit ratings </w:t>
      </w:r>
      <w:r w:rsidR="005C3E57">
        <w:t>and so balances</w:t>
      </w:r>
      <w:r w:rsidRPr="00916AB5">
        <w:t xml:space="preserve"> the interests between shareholders and ratepayers.</w:t>
      </w:r>
    </w:p>
    <w:p w:rsidR="008A77A3" w:rsidP="00CA761B" w:rsidRDefault="00CA761B" w14:paraId="20B75C0E" w14:textId="668DDFF4">
      <w:pPr>
        <w:pStyle w:val="Heading2"/>
      </w:pPr>
      <w:bookmarkStart w:name="_Toc214017390" w:id="51"/>
      <w:r>
        <w:t>SCE’s Return on Equity</w:t>
      </w:r>
      <w:bookmarkEnd w:id="51"/>
    </w:p>
    <w:p w:rsidR="00AB2AE0" w:rsidP="00AB2AE0" w:rsidRDefault="00AB2AE0" w14:paraId="26BFFAD5" w14:textId="35F36F22">
      <w:pPr>
        <w:pStyle w:val="Standard"/>
      </w:pPr>
      <w:r>
        <w:t>The following tabulation summarizes the final ROE proposals by SCE and the intervenors:</w:t>
      </w:r>
    </w:p>
    <w:tbl>
      <w:tblPr>
        <w:tblStyle w:val="TableGrid"/>
        <w:tblW w:w="0" w:type="auto"/>
        <w:jc w:val="center"/>
        <w:tblLook w:val="04A0" w:firstRow="1" w:lastRow="0" w:firstColumn="1" w:lastColumn="0" w:noHBand="0" w:noVBand="1"/>
      </w:tblPr>
      <w:tblGrid>
        <w:gridCol w:w="4045"/>
        <w:gridCol w:w="4050"/>
      </w:tblGrid>
      <w:tr w:rsidRPr="007D7839" w:rsidR="005078E4" w14:paraId="4203920E" w14:textId="77777777">
        <w:trPr>
          <w:jc w:val="center"/>
        </w:trPr>
        <w:tc>
          <w:tcPr>
            <w:tcW w:w="4045" w:type="dxa"/>
          </w:tcPr>
          <w:p w:rsidRPr="007D7839" w:rsidR="005078E4" w:rsidRDefault="005078E4" w14:paraId="330094F6" w14:textId="77777777">
            <w:pPr>
              <w:jc w:val="center"/>
              <w:rPr>
                <w:rFonts w:eastAsia="Calibri" w:cs="Times New Roman"/>
                <w:b/>
                <w:bCs/>
              </w:rPr>
            </w:pPr>
            <w:r w:rsidRPr="007D7839">
              <w:rPr>
                <w:rFonts w:eastAsia="Calibri" w:cs="Times New Roman"/>
                <w:b/>
                <w:bCs/>
              </w:rPr>
              <w:t>Party</w:t>
            </w:r>
          </w:p>
        </w:tc>
        <w:tc>
          <w:tcPr>
            <w:tcW w:w="4050" w:type="dxa"/>
          </w:tcPr>
          <w:p w:rsidRPr="007D7839" w:rsidR="005078E4" w:rsidRDefault="005078E4" w14:paraId="385F7B22" w14:textId="77777777">
            <w:pPr>
              <w:jc w:val="center"/>
              <w:rPr>
                <w:rFonts w:eastAsia="Calibri" w:cs="Times New Roman"/>
              </w:rPr>
            </w:pPr>
            <w:r w:rsidRPr="007D7839">
              <w:rPr>
                <w:rFonts w:eastAsia="Calibri" w:cs="Times New Roman"/>
                <w:b/>
                <w:bCs/>
              </w:rPr>
              <w:t>Final Proposed ROE</w:t>
            </w:r>
          </w:p>
        </w:tc>
      </w:tr>
      <w:tr w:rsidRPr="007D7839" w:rsidR="005078E4" w14:paraId="0359609A" w14:textId="77777777">
        <w:trPr>
          <w:jc w:val="center"/>
        </w:trPr>
        <w:tc>
          <w:tcPr>
            <w:tcW w:w="4045" w:type="dxa"/>
          </w:tcPr>
          <w:p w:rsidRPr="007D7839" w:rsidR="005078E4" w:rsidRDefault="005078E4" w14:paraId="1E070099" w14:textId="77777777">
            <w:pPr>
              <w:rPr>
                <w:rFonts w:eastAsia="Calibri" w:cs="Times New Roman"/>
              </w:rPr>
            </w:pPr>
            <w:r w:rsidRPr="007D7839">
              <w:rPr>
                <w:rFonts w:eastAsia="Calibri" w:cs="Times New Roman"/>
              </w:rPr>
              <w:t>SCE</w:t>
            </w:r>
            <w:r>
              <w:rPr>
                <w:rStyle w:val="FootnoteReference"/>
                <w:rFonts w:eastAsia="Calibri" w:cs="Times New Roman"/>
              </w:rPr>
              <w:footnoteReference w:id="206"/>
            </w:r>
          </w:p>
        </w:tc>
        <w:tc>
          <w:tcPr>
            <w:tcW w:w="4050" w:type="dxa"/>
          </w:tcPr>
          <w:p w:rsidRPr="007D7839" w:rsidR="005078E4" w:rsidRDefault="005078E4" w14:paraId="0DAEBB70" w14:textId="77777777">
            <w:pPr>
              <w:jc w:val="center"/>
              <w:rPr>
                <w:rFonts w:eastAsia="Calibri" w:cs="Times New Roman"/>
              </w:rPr>
            </w:pPr>
            <w:r>
              <w:rPr>
                <w:rFonts w:eastAsia="Calibri" w:cs="Times New Roman"/>
              </w:rPr>
              <w:t>11.75%</w:t>
            </w:r>
          </w:p>
        </w:tc>
      </w:tr>
      <w:tr w:rsidRPr="007D7839" w:rsidR="005078E4" w14:paraId="3D3AF6D5"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16DBAE2B" w14:textId="77777777">
            <w:pPr>
              <w:rPr>
                <w:rFonts w:eastAsia="Calibri" w:cs="Times New Roman"/>
                <w:szCs w:val="26"/>
              </w:rPr>
            </w:pPr>
            <w:r w:rsidRPr="00DE59D4">
              <w:rPr>
                <w:rFonts w:eastAsia="Times New Roman" w:cs="Times New Roman"/>
                <w:color w:val="000000"/>
                <w:szCs w:val="26"/>
              </w:rPr>
              <w:t>EPUC/IS/TURN</w:t>
            </w:r>
            <w:r>
              <w:rPr>
                <w:rStyle w:val="FootnoteReference"/>
                <w:rFonts w:eastAsia="Times New Roman" w:cs="Times New Roman"/>
                <w:color w:val="000000"/>
                <w:szCs w:val="26"/>
              </w:rPr>
              <w:footnoteReference w:id="207"/>
            </w:r>
          </w:p>
        </w:tc>
        <w:tc>
          <w:tcPr>
            <w:tcW w:w="4050" w:type="dxa"/>
            <w:tcBorders>
              <w:top w:val="nil"/>
              <w:left w:val="nil"/>
              <w:bottom w:val="single" w:color="auto" w:sz="4" w:space="0"/>
              <w:right w:val="single" w:color="auto" w:sz="4" w:space="0"/>
            </w:tcBorders>
            <w:vAlign w:val="bottom"/>
          </w:tcPr>
          <w:p w:rsidRPr="00DE59D4" w:rsidR="005078E4" w:rsidRDefault="005078E4" w14:paraId="04B56045" w14:textId="77777777">
            <w:pPr>
              <w:jc w:val="center"/>
              <w:rPr>
                <w:rFonts w:eastAsia="Calibri" w:cs="Times New Roman"/>
                <w:szCs w:val="26"/>
              </w:rPr>
            </w:pPr>
            <w:r w:rsidRPr="00DE59D4">
              <w:rPr>
                <w:rFonts w:eastAsia="Times New Roman" w:cs="Times New Roman"/>
                <w:color w:val="000000"/>
                <w:szCs w:val="26"/>
              </w:rPr>
              <w:t>9.50%</w:t>
            </w:r>
          </w:p>
        </w:tc>
      </w:tr>
      <w:tr w:rsidRPr="007D7839" w:rsidR="005078E4" w14:paraId="0104C993"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1A1C12F6" w14:textId="77777777">
            <w:pPr>
              <w:rPr>
                <w:rFonts w:eastAsia="Calibri" w:cs="Times New Roman"/>
                <w:szCs w:val="26"/>
              </w:rPr>
            </w:pPr>
            <w:r w:rsidRPr="00DE59D4">
              <w:rPr>
                <w:rFonts w:eastAsia="Times New Roman" w:cs="Times New Roman"/>
                <w:color w:val="000000"/>
                <w:szCs w:val="26"/>
              </w:rPr>
              <w:t>TURN</w:t>
            </w:r>
            <w:r>
              <w:rPr>
                <w:rStyle w:val="FootnoteReference"/>
                <w:rFonts w:eastAsia="Times New Roman" w:cs="Times New Roman"/>
                <w:color w:val="000000"/>
                <w:szCs w:val="26"/>
              </w:rPr>
              <w:footnoteReference w:id="208"/>
            </w:r>
          </w:p>
        </w:tc>
        <w:tc>
          <w:tcPr>
            <w:tcW w:w="4050" w:type="dxa"/>
            <w:tcBorders>
              <w:top w:val="nil"/>
              <w:left w:val="nil"/>
              <w:bottom w:val="single" w:color="auto" w:sz="4" w:space="0"/>
              <w:right w:val="single" w:color="auto" w:sz="4" w:space="0"/>
            </w:tcBorders>
            <w:vAlign w:val="bottom"/>
          </w:tcPr>
          <w:p w:rsidRPr="00DE59D4" w:rsidR="005078E4" w:rsidRDefault="005078E4" w14:paraId="42102914" w14:textId="77777777">
            <w:pPr>
              <w:jc w:val="center"/>
              <w:rPr>
                <w:rFonts w:eastAsia="Calibri" w:cs="Times New Roman"/>
                <w:szCs w:val="26"/>
              </w:rPr>
            </w:pPr>
            <w:r w:rsidRPr="00DE59D4">
              <w:rPr>
                <w:rFonts w:eastAsia="Times New Roman" w:cs="Times New Roman"/>
                <w:color w:val="000000"/>
                <w:szCs w:val="26"/>
              </w:rPr>
              <w:t>9.50%</w:t>
            </w:r>
          </w:p>
        </w:tc>
      </w:tr>
      <w:tr w:rsidRPr="007D7839" w:rsidR="005078E4" w14:paraId="7CA704A6"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2FB5AFB2" w14:textId="77777777">
            <w:pPr>
              <w:rPr>
                <w:rFonts w:eastAsia="Calibri" w:cs="Times New Roman"/>
                <w:szCs w:val="26"/>
              </w:rPr>
            </w:pPr>
            <w:r w:rsidRPr="00DE59D4">
              <w:rPr>
                <w:rFonts w:eastAsia="Times New Roman" w:cs="Times New Roman"/>
                <w:color w:val="000000"/>
                <w:szCs w:val="26"/>
              </w:rPr>
              <w:t>Cal Advocates</w:t>
            </w:r>
            <w:r>
              <w:rPr>
                <w:rStyle w:val="FootnoteReference"/>
                <w:rFonts w:eastAsia="Times New Roman" w:cs="Times New Roman"/>
                <w:color w:val="000000"/>
                <w:szCs w:val="26"/>
              </w:rPr>
              <w:footnoteReference w:id="209"/>
            </w:r>
          </w:p>
        </w:tc>
        <w:tc>
          <w:tcPr>
            <w:tcW w:w="4050" w:type="dxa"/>
            <w:tcBorders>
              <w:top w:val="nil"/>
              <w:left w:val="nil"/>
              <w:bottom w:val="single" w:color="auto" w:sz="4" w:space="0"/>
              <w:right w:val="single" w:color="auto" w:sz="4" w:space="0"/>
            </w:tcBorders>
            <w:vAlign w:val="bottom"/>
          </w:tcPr>
          <w:p w:rsidRPr="00DE59D4" w:rsidR="005078E4" w:rsidRDefault="005078E4" w14:paraId="68220858" w14:textId="18CA37D6">
            <w:pPr>
              <w:jc w:val="center"/>
              <w:rPr>
                <w:rFonts w:eastAsia="Calibri" w:cs="Times New Roman"/>
                <w:szCs w:val="26"/>
              </w:rPr>
            </w:pPr>
            <w:r w:rsidRPr="00DE59D4">
              <w:rPr>
                <w:rFonts w:eastAsia="Times New Roman" w:cs="Times New Roman"/>
                <w:color w:val="000000"/>
                <w:szCs w:val="26"/>
              </w:rPr>
              <w:t>9.</w:t>
            </w:r>
            <w:r w:rsidR="00FA6CE3">
              <w:rPr>
                <w:rFonts w:eastAsia="Times New Roman" w:cs="Times New Roman"/>
                <w:color w:val="000000"/>
                <w:szCs w:val="26"/>
              </w:rPr>
              <w:t>2</w:t>
            </w:r>
            <w:r w:rsidRPr="00DE59D4">
              <w:rPr>
                <w:rFonts w:eastAsia="Times New Roman" w:cs="Times New Roman"/>
                <w:color w:val="000000"/>
                <w:szCs w:val="26"/>
              </w:rPr>
              <w:t>5%</w:t>
            </w:r>
          </w:p>
        </w:tc>
      </w:tr>
      <w:tr w:rsidRPr="007D7839" w:rsidR="005078E4" w14:paraId="6892AC95"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2E6A5362" w14:textId="77777777">
            <w:pPr>
              <w:rPr>
                <w:rFonts w:eastAsia="Calibri" w:cs="Times New Roman"/>
                <w:szCs w:val="26"/>
              </w:rPr>
            </w:pPr>
            <w:r w:rsidRPr="00DE59D4">
              <w:rPr>
                <w:rFonts w:eastAsia="Times New Roman" w:cs="Times New Roman"/>
                <w:color w:val="000000"/>
                <w:szCs w:val="26"/>
              </w:rPr>
              <w:t>Wild Tree</w:t>
            </w:r>
            <w:r>
              <w:rPr>
                <w:rStyle w:val="FootnoteReference"/>
                <w:rFonts w:eastAsia="Times New Roman" w:cs="Times New Roman"/>
                <w:color w:val="000000"/>
                <w:szCs w:val="26"/>
              </w:rPr>
              <w:footnoteReference w:id="210"/>
            </w:r>
          </w:p>
        </w:tc>
        <w:tc>
          <w:tcPr>
            <w:tcW w:w="4050" w:type="dxa"/>
            <w:tcBorders>
              <w:top w:val="nil"/>
              <w:left w:val="nil"/>
              <w:bottom w:val="single" w:color="auto" w:sz="4" w:space="0"/>
              <w:right w:val="single" w:color="auto" w:sz="4" w:space="0"/>
            </w:tcBorders>
            <w:vAlign w:val="bottom"/>
          </w:tcPr>
          <w:p w:rsidRPr="00DE59D4" w:rsidR="005078E4" w:rsidRDefault="005078E4" w14:paraId="400DB2D7" w14:textId="77777777">
            <w:pPr>
              <w:jc w:val="center"/>
              <w:rPr>
                <w:rFonts w:eastAsia="Calibri" w:cs="Times New Roman"/>
                <w:szCs w:val="26"/>
              </w:rPr>
            </w:pPr>
            <w:r w:rsidRPr="00DE59D4">
              <w:rPr>
                <w:rFonts w:eastAsia="Times New Roman" w:cs="Times New Roman"/>
                <w:color w:val="000000"/>
                <w:szCs w:val="26"/>
              </w:rPr>
              <w:t>8.30%</w:t>
            </w:r>
          </w:p>
        </w:tc>
      </w:tr>
      <w:tr w:rsidRPr="007D7839" w:rsidR="005078E4" w14:paraId="2039BDC3"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E59D4" w:rsidR="005078E4" w:rsidRDefault="005078E4" w14:paraId="5DF3BF19" w14:textId="77777777">
            <w:pPr>
              <w:rPr>
                <w:rFonts w:eastAsia="Calibri" w:cs="Times New Roman"/>
                <w:szCs w:val="26"/>
              </w:rPr>
            </w:pPr>
            <w:r w:rsidRPr="00DE59D4">
              <w:rPr>
                <w:rFonts w:eastAsia="Times New Roman" w:cs="Times New Roman"/>
                <w:color w:val="000000"/>
                <w:szCs w:val="26"/>
              </w:rPr>
              <w:lastRenderedPageBreak/>
              <w:t>EDF</w:t>
            </w:r>
            <w:r>
              <w:rPr>
                <w:rStyle w:val="FootnoteReference"/>
                <w:rFonts w:eastAsia="Times New Roman" w:cs="Times New Roman"/>
                <w:color w:val="000000"/>
                <w:szCs w:val="26"/>
              </w:rPr>
              <w:footnoteReference w:id="211"/>
            </w:r>
          </w:p>
        </w:tc>
        <w:tc>
          <w:tcPr>
            <w:tcW w:w="4050" w:type="dxa"/>
            <w:tcBorders>
              <w:top w:val="single" w:color="auto" w:sz="4" w:space="0"/>
              <w:left w:val="nil"/>
              <w:bottom w:val="single" w:color="auto" w:sz="4" w:space="0"/>
              <w:right w:val="single" w:color="auto" w:sz="4" w:space="0"/>
            </w:tcBorders>
            <w:vAlign w:val="bottom"/>
          </w:tcPr>
          <w:p w:rsidRPr="00DE59D4" w:rsidR="005078E4" w:rsidRDefault="005078E4" w14:paraId="6AF6FC4B" w14:textId="77777777">
            <w:pPr>
              <w:jc w:val="center"/>
              <w:rPr>
                <w:rFonts w:eastAsia="Calibri" w:cs="Times New Roman"/>
                <w:szCs w:val="26"/>
              </w:rPr>
            </w:pPr>
            <w:r w:rsidRPr="00DE59D4">
              <w:rPr>
                <w:rFonts w:eastAsia="Times New Roman" w:cs="Times New Roman"/>
                <w:color w:val="000000"/>
                <w:szCs w:val="26"/>
              </w:rPr>
              <w:t>5.09%-6.66%</w:t>
            </w:r>
          </w:p>
        </w:tc>
      </w:tr>
      <w:tr w:rsidRPr="007D7839" w:rsidR="005078E4" w14:paraId="763E8D1A"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E59D4" w:rsidR="005078E4" w:rsidRDefault="005078E4" w14:paraId="6231A6B2" w14:textId="77777777">
            <w:pPr>
              <w:rPr>
                <w:rFonts w:eastAsia="Calibri" w:cs="Times New Roman"/>
                <w:szCs w:val="26"/>
              </w:rPr>
            </w:pPr>
            <w:r w:rsidRPr="00DE59D4">
              <w:rPr>
                <w:rFonts w:eastAsia="Times New Roman" w:cs="Times New Roman"/>
                <w:color w:val="000000"/>
                <w:szCs w:val="26"/>
              </w:rPr>
              <w:t>SC/PCF</w:t>
            </w:r>
            <w:r>
              <w:rPr>
                <w:rStyle w:val="FootnoteReference"/>
                <w:rFonts w:eastAsia="Times New Roman" w:cs="Times New Roman"/>
                <w:color w:val="000000"/>
                <w:szCs w:val="26"/>
              </w:rPr>
              <w:footnoteReference w:id="212"/>
            </w:r>
          </w:p>
        </w:tc>
        <w:tc>
          <w:tcPr>
            <w:tcW w:w="4050" w:type="dxa"/>
            <w:tcBorders>
              <w:top w:val="single" w:color="auto" w:sz="4" w:space="0"/>
              <w:left w:val="nil"/>
              <w:bottom w:val="single" w:color="auto" w:sz="4" w:space="0"/>
              <w:right w:val="single" w:color="auto" w:sz="4" w:space="0"/>
            </w:tcBorders>
            <w:vAlign w:val="bottom"/>
          </w:tcPr>
          <w:p w:rsidRPr="00DE59D4" w:rsidR="005078E4" w:rsidRDefault="005078E4" w14:paraId="25D4F819" w14:textId="77777777">
            <w:pPr>
              <w:jc w:val="center"/>
              <w:rPr>
                <w:rFonts w:eastAsia="Calibri" w:cs="Times New Roman"/>
                <w:szCs w:val="26"/>
              </w:rPr>
            </w:pPr>
            <w:r w:rsidRPr="00DE59D4">
              <w:rPr>
                <w:rFonts w:eastAsia="Times New Roman" w:cs="Times New Roman"/>
                <w:color w:val="000000"/>
                <w:szCs w:val="26"/>
              </w:rPr>
              <w:t>6.11%</w:t>
            </w:r>
          </w:p>
        </w:tc>
      </w:tr>
    </w:tbl>
    <w:p w:rsidR="00CA761B" w:rsidP="00D438EA" w:rsidRDefault="00937542" w14:paraId="1A5F4268" w14:textId="1EE8358F">
      <w:pPr>
        <w:pStyle w:val="Standard"/>
        <w:spacing w:before="240"/>
      </w:pPr>
      <w:r>
        <w:t xml:space="preserve">After considering the evidence on market conditions, trends, creditworthiness, interest rate forecasts, quantitative financial models, additional risk factors, and interest coverage presented by the parties and applying our informed judgement, we </w:t>
      </w:r>
      <w:r w:rsidR="00283BBB">
        <w:t>find that SCE’s ROE should be within the range</w:t>
      </w:r>
      <w:r>
        <w:t xml:space="preserve"> 9.</w:t>
      </w:r>
      <w:r w:rsidR="006D61D4">
        <w:t>70</w:t>
      </w:r>
      <w:r>
        <w:t>% to 10.</w:t>
      </w:r>
      <w:r w:rsidR="006D61D4">
        <w:t>25</w:t>
      </w:r>
      <w:r>
        <w:t>%</w:t>
      </w:r>
      <w:r w:rsidR="00516872">
        <w:t xml:space="preserve"> and that the just and reasonable ROE for SCE’s authorized </w:t>
      </w:r>
      <w:r w:rsidR="00215F61">
        <w:t>t</w:t>
      </w:r>
      <w:r w:rsidR="00516872">
        <w:t xml:space="preserve">est </w:t>
      </w:r>
      <w:r w:rsidR="00215F61">
        <w:t>y</w:t>
      </w:r>
      <w:r w:rsidR="00516872">
        <w:t>ear 202</w:t>
      </w:r>
      <w:r w:rsidR="00215F61">
        <w:t>6</w:t>
      </w:r>
      <w:r w:rsidR="008D4E5F">
        <w:t xml:space="preserve"> is </w:t>
      </w:r>
      <w:r w:rsidR="00BA0245">
        <w:t>10.03</w:t>
      </w:r>
      <w:r>
        <w:t xml:space="preserve">%. This ROE is </w:t>
      </w:r>
      <w:r w:rsidR="008D4E5F">
        <w:t xml:space="preserve">the lowest amount that is </w:t>
      </w:r>
      <w:r>
        <w:t xml:space="preserve">reasonably sufficient to assure confidence in the financial soundness of the utility and to improve and maintain investment grade credit ratings </w:t>
      </w:r>
      <w:r w:rsidR="004170D2">
        <w:t>and so balances</w:t>
      </w:r>
      <w:r>
        <w:t xml:space="preserve"> the interests between shareholders and ratepayers.</w:t>
      </w:r>
    </w:p>
    <w:p w:rsidR="00CA761B" w:rsidP="00CA761B" w:rsidRDefault="00CA761B" w14:paraId="6D115426" w14:textId="1439332E">
      <w:pPr>
        <w:pStyle w:val="Heading2"/>
      </w:pPr>
      <w:bookmarkStart w:name="_Toc214017391" w:id="52"/>
      <w:r>
        <w:t>SDG&amp;E’s Return on Equity</w:t>
      </w:r>
      <w:bookmarkEnd w:id="52"/>
    </w:p>
    <w:p w:rsidR="00AB2AE0" w:rsidP="00AB2AE0" w:rsidRDefault="00AB2AE0" w14:paraId="11505375" w14:textId="7B37F4F9">
      <w:pPr>
        <w:pStyle w:val="Standard"/>
      </w:pPr>
      <w:r>
        <w:t>The following tabulation summarizes the final ROE proposals by SDG&amp;E and the intervenors:</w:t>
      </w:r>
    </w:p>
    <w:tbl>
      <w:tblPr>
        <w:tblStyle w:val="TableGrid"/>
        <w:tblW w:w="0" w:type="auto"/>
        <w:jc w:val="center"/>
        <w:tblLook w:val="04A0" w:firstRow="1" w:lastRow="0" w:firstColumn="1" w:lastColumn="0" w:noHBand="0" w:noVBand="1"/>
      </w:tblPr>
      <w:tblGrid>
        <w:gridCol w:w="4045"/>
        <w:gridCol w:w="4050"/>
      </w:tblGrid>
      <w:tr w:rsidRPr="007D7839" w:rsidR="00A16C8E" w14:paraId="4FA470C2" w14:textId="77777777">
        <w:trPr>
          <w:jc w:val="center"/>
        </w:trPr>
        <w:tc>
          <w:tcPr>
            <w:tcW w:w="4045" w:type="dxa"/>
          </w:tcPr>
          <w:p w:rsidRPr="007D7839" w:rsidR="00A16C8E" w:rsidRDefault="00A16C8E" w14:paraId="31757F76" w14:textId="77777777">
            <w:pPr>
              <w:jc w:val="center"/>
              <w:rPr>
                <w:rFonts w:eastAsia="Calibri" w:cs="Times New Roman"/>
                <w:b/>
                <w:bCs/>
              </w:rPr>
            </w:pPr>
            <w:r w:rsidRPr="007D7839">
              <w:rPr>
                <w:rFonts w:eastAsia="Calibri" w:cs="Times New Roman"/>
                <w:b/>
                <w:bCs/>
              </w:rPr>
              <w:t>Party</w:t>
            </w:r>
          </w:p>
        </w:tc>
        <w:tc>
          <w:tcPr>
            <w:tcW w:w="4050" w:type="dxa"/>
          </w:tcPr>
          <w:p w:rsidRPr="007D7839" w:rsidR="00A16C8E" w:rsidRDefault="00A16C8E" w14:paraId="03A798FA" w14:textId="77777777">
            <w:pPr>
              <w:jc w:val="center"/>
              <w:rPr>
                <w:rFonts w:eastAsia="Calibri" w:cs="Times New Roman"/>
              </w:rPr>
            </w:pPr>
            <w:r w:rsidRPr="007D7839">
              <w:rPr>
                <w:rFonts w:eastAsia="Calibri" w:cs="Times New Roman"/>
                <w:b/>
                <w:bCs/>
              </w:rPr>
              <w:t>Final Proposed ROE</w:t>
            </w:r>
          </w:p>
        </w:tc>
      </w:tr>
      <w:tr w:rsidRPr="007D7839" w:rsidR="00A16C8E" w14:paraId="625AFE5E" w14:textId="77777777">
        <w:trPr>
          <w:jc w:val="center"/>
        </w:trPr>
        <w:tc>
          <w:tcPr>
            <w:tcW w:w="4045" w:type="dxa"/>
          </w:tcPr>
          <w:p w:rsidRPr="007D7839" w:rsidR="00A16C8E" w:rsidRDefault="00A16C8E" w14:paraId="72869652" w14:textId="77777777">
            <w:pPr>
              <w:rPr>
                <w:rFonts w:eastAsia="Calibri" w:cs="Times New Roman"/>
              </w:rPr>
            </w:pPr>
            <w:r w:rsidRPr="007D7839">
              <w:rPr>
                <w:rFonts w:eastAsia="Calibri" w:cs="Times New Roman"/>
              </w:rPr>
              <w:t>SDG&amp;E</w:t>
            </w:r>
            <w:r>
              <w:rPr>
                <w:rStyle w:val="FootnoteReference"/>
                <w:rFonts w:eastAsia="Calibri" w:cs="Times New Roman"/>
              </w:rPr>
              <w:footnoteReference w:id="213"/>
            </w:r>
          </w:p>
        </w:tc>
        <w:tc>
          <w:tcPr>
            <w:tcW w:w="4050" w:type="dxa"/>
          </w:tcPr>
          <w:p w:rsidRPr="007D7839" w:rsidR="00A16C8E" w:rsidRDefault="00A16C8E" w14:paraId="3041AB72" w14:textId="77777777">
            <w:pPr>
              <w:jc w:val="center"/>
              <w:rPr>
                <w:rFonts w:eastAsia="Calibri" w:cs="Times New Roman"/>
              </w:rPr>
            </w:pPr>
            <w:r>
              <w:rPr>
                <w:rFonts w:eastAsia="Calibri" w:cs="Times New Roman"/>
              </w:rPr>
              <w:t>11.25%</w:t>
            </w:r>
          </w:p>
        </w:tc>
      </w:tr>
      <w:tr w:rsidRPr="007D7839" w:rsidR="00A16C8E" w14:paraId="7577DFE1"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57DD40B3" w14:textId="77777777">
            <w:pPr>
              <w:tabs>
                <w:tab w:val="left" w:pos="1144"/>
              </w:tabs>
              <w:rPr>
                <w:rFonts w:eastAsia="Calibri" w:cs="Times New Roman"/>
                <w:szCs w:val="26"/>
              </w:rPr>
            </w:pPr>
            <w:r w:rsidRPr="00DC48BC">
              <w:rPr>
                <w:rFonts w:eastAsia="Times New Roman" w:cs="Times New Roman"/>
                <w:color w:val="000000"/>
                <w:szCs w:val="26"/>
              </w:rPr>
              <w:t>EPUC/IS/TURN</w:t>
            </w:r>
            <w:r>
              <w:rPr>
                <w:rStyle w:val="FootnoteReference"/>
                <w:rFonts w:eastAsia="Times New Roman" w:cs="Times New Roman"/>
                <w:color w:val="000000"/>
                <w:szCs w:val="26"/>
              </w:rPr>
              <w:footnoteReference w:id="214"/>
            </w:r>
          </w:p>
        </w:tc>
        <w:tc>
          <w:tcPr>
            <w:tcW w:w="4050" w:type="dxa"/>
            <w:tcBorders>
              <w:top w:val="nil"/>
              <w:left w:val="nil"/>
              <w:bottom w:val="single" w:color="auto" w:sz="4" w:space="0"/>
              <w:right w:val="single" w:color="auto" w:sz="4" w:space="0"/>
            </w:tcBorders>
            <w:vAlign w:val="bottom"/>
          </w:tcPr>
          <w:p w:rsidRPr="00DC48BC" w:rsidR="00A16C8E" w:rsidRDefault="00A16C8E" w14:paraId="5E080A16" w14:textId="77777777">
            <w:pPr>
              <w:jc w:val="center"/>
              <w:rPr>
                <w:rFonts w:eastAsia="Calibri" w:cs="Times New Roman"/>
                <w:szCs w:val="26"/>
              </w:rPr>
            </w:pPr>
            <w:r w:rsidRPr="00DC48BC">
              <w:rPr>
                <w:rFonts w:eastAsia="Times New Roman" w:cs="Times New Roman"/>
                <w:color w:val="000000"/>
                <w:szCs w:val="26"/>
              </w:rPr>
              <w:t>9.50%</w:t>
            </w:r>
          </w:p>
        </w:tc>
      </w:tr>
      <w:tr w:rsidRPr="007D7839" w:rsidR="00A16C8E" w14:paraId="08E4FBB9"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12D4BE8A" w14:textId="77777777">
            <w:pPr>
              <w:rPr>
                <w:rFonts w:eastAsia="Calibri" w:cs="Times New Roman"/>
                <w:szCs w:val="26"/>
              </w:rPr>
            </w:pPr>
            <w:r w:rsidRPr="00DC48BC">
              <w:rPr>
                <w:rFonts w:eastAsia="Times New Roman" w:cs="Times New Roman"/>
                <w:color w:val="000000"/>
                <w:szCs w:val="26"/>
              </w:rPr>
              <w:t>TURN</w:t>
            </w:r>
            <w:r>
              <w:rPr>
                <w:rStyle w:val="FootnoteReference"/>
                <w:rFonts w:eastAsia="Times New Roman" w:cs="Times New Roman"/>
                <w:color w:val="000000"/>
                <w:szCs w:val="26"/>
              </w:rPr>
              <w:footnoteReference w:id="215"/>
            </w:r>
          </w:p>
        </w:tc>
        <w:tc>
          <w:tcPr>
            <w:tcW w:w="4050" w:type="dxa"/>
            <w:tcBorders>
              <w:top w:val="nil"/>
              <w:left w:val="nil"/>
              <w:bottom w:val="single" w:color="auto" w:sz="4" w:space="0"/>
              <w:right w:val="single" w:color="auto" w:sz="4" w:space="0"/>
            </w:tcBorders>
            <w:vAlign w:val="bottom"/>
          </w:tcPr>
          <w:p w:rsidRPr="00DC48BC" w:rsidR="00A16C8E" w:rsidRDefault="00A16C8E" w14:paraId="069E7B18" w14:textId="77777777">
            <w:pPr>
              <w:jc w:val="center"/>
              <w:rPr>
                <w:rFonts w:eastAsia="Calibri" w:cs="Times New Roman"/>
                <w:szCs w:val="26"/>
              </w:rPr>
            </w:pPr>
            <w:r w:rsidRPr="00DC48BC">
              <w:rPr>
                <w:rFonts w:eastAsia="Times New Roman" w:cs="Times New Roman"/>
                <w:color w:val="000000"/>
                <w:szCs w:val="26"/>
              </w:rPr>
              <w:t>9.50%</w:t>
            </w:r>
          </w:p>
        </w:tc>
      </w:tr>
      <w:tr w:rsidRPr="007D7839" w:rsidR="00A16C8E" w14:paraId="603164FF"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53999DEE" w14:textId="77777777">
            <w:pPr>
              <w:rPr>
                <w:rFonts w:eastAsia="Calibri" w:cs="Times New Roman"/>
                <w:szCs w:val="26"/>
              </w:rPr>
            </w:pPr>
            <w:r w:rsidRPr="00DC48BC">
              <w:rPr>
                <w:rFonts w:eastAsia="Times New Roman" w:cs="Times New Roman"/>
                <w:color w:val="000000"/>
                <w:szCs w:val="26"/>
              </w:rPr>
              <w:t>Cal Advocates</w:t>
            </w:r>
            <w:r>
              <w:rPr>
                <w:rStyle w:val="FootnoteReference"/>
                <w:rFonts w:eastAsia="Times New Roman" w:cs="Times New Roman"/>
                <w:color w:val="000000"/>
                <w:szCs w:val="26"/>
              </w:rPr>
              <w:footnoteReference w:id="216"/>
            </w:r>
          </w:p>
        </w:tc>
        <w:tc>
          <w:tcPr>
            <w:tcW w:w="4050" w:type="dxa"/>
            <w:tcBorders>
              <w:top w:val="nil"/>
              <w:left w:val="nil"/>
              <w:bottom w:val="single" w:color="auto" w:sz="4" w:space="0"/>
              <w:right w:val="single" w:color="auto" w:sz="4" w:space="0"/>
            </w:tcBorders>
            <w:vAlign w:val="bottom"/>
          </w:tcPr>
          <w:p w:rsidRPr="00DC48BC" w:rsidR="00A16C8E" w:rsidRDefault="00A16C8E" w14:paraId="474C965E" w14:textId="5025A1DD">
            <w:pPr>
              <w:jc w:val="center"/>
              <w:rPr>
                <w:rFonts w:eastAsia="Calibri" w:cs="Times New Roman"/>
                <w:szCs w:val="26"/>
              </w:rPr>
            </w:pPr>
            <w:r w:rsidRPr="00DC48BC">
              <w:rPr>
                <w:rFonts w:eastAsia="Times New Roman" w:cs="Times New Roman"/>
                <w:color w:val="000000"/>
                <w:szCs w:val="26"/>
              </w:rPr>
              <w:t>9.</w:t>
            </w:r>
            <w:r w:rsidR="00321BAC">
              <w:rPr>
                <w:rFonts w:eastAsia="Times New Roman" w:cs="Times New Roman"/>
                <w:color w:val="000000"/>
                <w:szCs w:val="26"/>
              </w:rPr>
              <w:t>2</w:t>
            </w:r>
            <w:r w:rsidRPr="00DC48BC">
              <w:rPr>
                <w:rFonts w:eastAsia="Times New Roman" w:cs="Times New Roman"/>
                <w:color w:val="000000"/>
                <w:szCs w:val="26"/>
              </w:rPr>
              <w:t>5%</w:t>
            </w:r>
          </w:p>
        </w:tc>
      </w:tr>
      <w:tr w:rsidRPr="007D7839" w:rsidR="00A16C8E" w14:paraId="4CD37136"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61FC6419" w14:textId="77777777">
            <w:pPr>
              <w:rPr>
                <w:rFonts w:eastAsia="Calibri" w:cs="Times New Roman"/>
                <w:szCs w:val="26"/>
              </w:rPr>
            </w:pPr>
            <w:r w:rsidRPr="00DC48BC">
              <w:rPr>
                <w:rFonts w:eastAsia="Times New Roman" w:cs="Times New Roman"/>
                <w:color w:val="000000"/>
                <w:szCs w:val="26"/>
              </w:rPr>
              <w:lastRenderedPageBreak/>
              <w:t>Wild Tree</w:t>
            </w:r>
            <w:r>
              <w:rPr>
                <w:rStyle w:val="FootnoteReference"/>
                <w:rFonts w:eastAsia="Times New Roman" w:cs="Times New Roman"/>
                <w:color w:val="000000"/>
                <w:szCs w:val="26"/>
              </w:rPr>
              <w:footnoteReference w:id="217"/>
            </w:r>
          </w:p>
        </w:tc>
        <w:tc>
          <w:tcPr>
            <w:tcW w:w="4050" w:type="dxa"/>
            <w:tcBorders>
              <w:top w:val="nil"/>
              <w:left w:val="nil"/>
              <w:bottom w:val="single" w:color="auto" w:sz="4" w:space="0"/>
              <w:right w:val="single" w:color="auto" w:sz="4" w:space="0"/>
            </w:tcBorders>
            <w:vAlign w:val="bottom"/>
          </w:tcPr>
          <w:p w:rsidRPr="00DC48BC" w:rsidR="00A16C8E" w:rsidRDefault="00A16C8E" w14:paraId="2A990EA4" w14:textId="77777777">
            <w:pPr>
              <w:jc w:val="center"/>
              <w:rPr>
                <w:rFonts w:eastAsia="Calibri" w:cs="Times New Roman"/>
                <w:szCs w:val="26"/>
              </w:rPr>
            </w:pPr>
            <w:r w:rsidRPr="00DC48BC">
              <w:rPr>
                <w:rFonts w:eastAsia="Times New Roman" w:cs="Times New Roman"/>
                <w:color w:val="000000"/>
                <w:szCs w:val="26"/>
              </w:rPr>
              <w:t>8.30%</w:t>
            </w:r>
          </w:p>
        </w:tc>
      </w:tr>
      <w:tr w:rsidRPr="007D7839" w:rsidR="00A16C8E" w14:paraId="48BB436B"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66AAF0F8" w14:textId="77777777">
            <w:pPr>
              <w:rPr>
                <w:rFonts w:eastAsia="Calibri" w:cs="Times New Roman"/>
                <w:szCs w:val="26"/>
              </w:rPr>
            </w:pPr>
            <w:r w:rsidRPr="00DC48BC">
              <w:rPr>
                <w:rFonts w:eastAsia="Times New Roman" w:cs="Times New Roman"/>
                <w:color w:val="000000"/>
                <w:szCs w:val="26"/>
              </w:rPr>
              <w:t>EDF</w:t>
            </w:r>
            <w:r>
              <w:rPr>
                <w:rStyle w:val="FootnoteReference"/>
                <w:rFonts w:eastAsia="Times New Roman" w:cs="Times New Roman"/>
                <w:color w:val="000000"/>
                <w:szCs w:val="26"/>
              </w:rPr>
              <w:footnoteReference w:id="218"/>
            </w:r>
          </w:p>
        </w:tc>
        <w:tc>
          <w:tcPr>
            <w:tcW w:w="4050" w:type="dxa"/>
            <w:tcBorders>
              <w:top w:val="nil"/>
              <w:left w:val="nil"/>
              <w:bottom w:val="single" w:color="auto" w:sz="4" w:space="0"/>
              <w:right w:val="single" w:color="auto" w:sz="4" w:space="0"/>
            </w:tcBorders>
            <w:vAlign w:val="bottom"/>
          </w:tcPr>
          <w:p w:rsidRPr="00DC48BC" w:rsidR="00A16C8E" w:rsidRDefault="00A16C8E" w14:paraId="46EB3774" w14:textId="77777777">
            <w:pPr>
              <w:jc w:val="center"/>
              <w:rPr>
                <w:rFonts w:eastAsia="Calibri" w:cs="Times New Roman"/>
                <w:szCs w:val="26"/>
              </w:rPr>
            </w:pPr>
            <w:r w:rsidRPr="00DC48BC">
              <w:rPr>
                <w:rFonts w:eastAsia="Times New Roman" w:cs="Times New Roman"/>
                <w:color w:val="000000"/>
                <w:szCs w:val="26"/>
              </w:rPr>
              <w:t>6.47%-7.55%</w:t>
            </w:r>
          </w:p>
        </w:tc>
      </w:tr>
      <w:tr w:rsidRPr="007D7839" w:rsidR="00A16C8E" w14:paraId="3D26682A"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C48BC" w:rsidR="00A16C8E" w:rsidRDefault="00A16C8E" w14:paraId="53163763" w14:textId="77777777">
            <w:pPr>
              <w:rPr>
                <w:rFonts w:eastAsia="Calibri" w:cs="Times New Roman"/>
                <w:szCs w:val="26"/>
              </w:rPr>
            </w:pPr>
            <w:r w:rsidRPr="00DC48BC">
              <w:rPr>
                <w:rFonts w:eastAsia="Times New Roman" w:cs="Times New Roman"/>
                <w:color w:val="000000"/>
                <w:szCs w:val="26"/>
              </w:rPr>
              <w:t>SC/PCF</w:t>
            </w:r>
            <w:r>
              <w:rPr>
                <w:rStyle w:val="FootnoteReference"/>
                <w:rFonts w:eastAsia="Times New Roman" w:cs="Times New Roman"/>
                <w:color w:val="000000"/>
                <w:szCs w:val="26"/>
              </w:rPr>
              <w:footnoteReference w:id="219"/>
            </w:r>
            <w:r>
              <w:rPr>
                <w:rFonts w:eastAsia="Times New Roman" w:cs="Times New Roman"/>
                <w:color w:val="000000"/>
                <w:szCs w:val="26"/>
              </w:rPr>
              <w:t xml:space="preserve"> </w:t>
            </w:r>
          </w:p>
        </w:tc>
        <w:tc>
          <w:tcPr>
            <w:tcW w:w="4050" w:type="dxa"/>
            <w:tcBorders>
              <w:top w:val="single" w:color="auto" w:sz="4" w:space="0"/>
              <w:left w:val="nil"/>
              <w:bottom w:val="single" w:color="auto" w:sz="4" w:space="0"/>
              <w:right w:val="single" w:color="auto" w:sz="4" w:space="0"/>
            </w:tcBorders>
            <w:vAlign w:val="bottom"/>
          </w:tcPr>
          <w:p w:rsidRPr="00DC48BC" w:rsidR="00A16C8E" w:rsidRDefault="00A16C8E" w14:paraId="1657B0CD" w14:textId="77777777">
            <w:pPr>
              <w:jc w:val="center"/>
              <w:rPr>
                <w:rFonts w:eastAsia="Calibri" w:cs="Times New Roman"/>
                <w:szCs w:val="26"/>
              </w:rPr>
            </w:pPr>
            <w:r w:rsidRPr="00DC48BC">
              <w:rPr>
                <w:rFonts w:eastAsia="Times New Roman" w:cs="Times New Roman"/>
                <w:color w:val="000000"/>
                <w:szCs w:val="26"/>
              </w:rPr>
              <w:t>6.15%</w:t>
            </w:r>
          </w:p>
        </w:tc>
      </w:tr>
      <w:tr w:rsidRPr="007D7839" w:rsidR="00A16C8E" w14:paraId="46A2F066"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C48BC" w:rsidR="00A16C8E" w:rsidRDefault="00A16C8E" w14:paraId="0576D5DF" w14:textId="77777777">
            <w:pPr>
              <w:rPr>
                <w:rFonts w:eastAsia="Calibri" w:cs="Times New Roman"/>
                <w:szCs w:val="26"/>
              </w:rPr>
            </w:pPr>
            <w:r w:rsidRPr="00DC48BC">
              <w:rPr>
                <w:rFonts w:eastAsia="Times New Roman" w:cs="Times New Roman"/>
                <w:color w:val="000000"/>
                <w:szCs w:val="26"/>
              </w:rPr>
              <w:t>UCAN</w:t>
            </w:r>
            <w:r>
              <w:rPr>
                <w:rStyle w:val="FootnoteReference"/>
                <w:rFonts w:eastAsia="Times New Roman" w:cs="Times New Roman"/>
                <w:color w:val="000000"/>
                <w:szCs w:val="26"/>
              </w:rPr>
              <w:footnoteReference w:id="220"/>
            </w:r>
          </w:p>
        </w:tc>
        <w:tc>
          <w:tcPr>
            <w:tcW w:w="4050" w:type="dxa"/>
            <w:tcBorders>
              <w:top w:val="single" w:color="auto" w:sz="4" w:space="0"/>
              <w:left w:val="nil"/>
              <w:bottom w:val="single" w:color="auto" w:sz="4" w:space="0"/>
              <w:right w:val="single" w:color="auto" w:sz="4" w:space="0"/>
            </w:tcBorders>
            <w:vAlign w:val="bottom"/>
          </w:tcPr>
          <w:p w:rsidRPr="00DC48BC" w:rsidR="00A16C8E" w:rsidRDefault="00A16C8E" w14:paraId="3AF791D8" w14:textId="77777777">
            <w:pPr>
              <w:jc w:val="center"/>
              <w:rPr>
                <w:rFonts w:eastAsia="Calibri" w:cs="Times New Roman"/>
                <w:szCs w:val="26"/>
              </w:rPr>
            </w:pPr>
            <w:r w:rsidRPr="00DC48BC">
              <w:rPr>
                <w:rFonts w:eastAsia="Times New Roman" w:cs="Times New Roman"/>
                <w:color w:val="000000"/>
                <w:szCs w:val="26"/>
              </w:rPr>
              <w:t>8.87%</w:t>
            </w:r>
          </w:p>
        </w:tc>
      </w:tr>
    </w:tbl>
    <w:p w:rsidR="00AB2AE0" w:rsidP="00D438EA" w:rsidRDefault="002820AA" w14:paraId="6B14A023" w14:textId="4599A43E">
      <w:pPr>
        <w:pStyle w:val="Standard"/>
        <w:spacing w:before="240"/>
      </w:pPr>
      <w:r>
        <w:t xml:space="preserve">After considering the evidence on market conditions, trends, creditworthiness, interest rate forecasts, quantitative financial models, additional risk factors, and interest coverage presented by the parties and applying our informed judgement, we </w:t>
      </w:r>
      <w:r w:rsidR="00F15106">
        <w:t>find that SDG&amp;E’s ROE should be within the range</w:t>
      </w:r>
      <w:r>
        <w:t xml:space="preserve"> </w:t>
      </w:r>
      <w:r w:rsidR="00AD4C36">
        <w:t>9.60</w:t>
      </w:r>
      <w:r>
        <w:t>% to 10.</w:t>
      </w:r>
      <w:r w:rsidR="00AD4C36">
        <w:t>15</w:t>
      </w:r>
      <w:r>
        <w:t>%</w:t>
      </w:r>
      <w:r w:rsidR="00F15106">
        <w:t xml:space="preserve">and that the just and reasonable ROE for SDG&amp;E’s authorized </w:t>
      </w:r>
      <w:r w:rsidR="00343ED3">
        <w:t>t</w:t>
      </w:r>
      <w:r w:rsidR="00F15106">
        <w:t xml:space="preserve">est </w:t>
      </w:r>
      <w:r w:rsidR="00343ED3">
        <w:t>y</w:t>
      </w:r>
      <w:r w:rsidR="00F15106">
        <w:t>ear 2026 is</w:t>
      </w:r>
      <w:r>
        <w:t xml:space="preserve"> </w:t>
      </w:r>
      <w:r w:rsidR="00BA0245">
        <w:t>9.93</w:t>
      </w:r>
      <w:r>
        <w:t xml:space="preserve">%. This ROE is </w:t>
      </w:r>
      <w:r w:rsidR="00F15106">
        <w:t xml:space="preserve">the lowest amount </w:t>
      </w:r>
      <w:r w:rsidR="00F1668F">
        <w:t xml:space="preserve">that is </w:t>
      </w:r>
      <w:r>
        <w:t xml:space="preserve">reasonably sufficient to assure confidence in the financial soundness of the utility and to improve and maintain investment grade credit ratings </w:t>
      </w:r>
      <w:r w:rsidR="00F1668F">
        <w:t>and so balances</w:t>
      </w:r>
      <w:r>
        <w:t xml:space="preserve"> the interests between shareholders and ratepayers.</w:t>
      </w:r>
    </w:p>
    <w:p w:rsidR="009165E0" w:rsidP="006D0D56" w:rsidRDefault="009165E0" w14:paraId="382F7F39" w14:textId="37CFC400">
      <w:pPr>
        <w:pStyle w:val="Heading1"/>
      </w:pPr>
      <w:bookmarkStart w:name="_Toc214017392" w:id="53"/>
      <w:r w:rsidRPr="006D0D56">
        <w:t>Implementation</w:t>
      </w:r>
      <w:bookmarkEnd w:id="53"/>
    </w:p>
    <w:p w:rsidR="00E349A1" w:rsidP="00E349A1" w:rsidRDefault="009165E0" w14:paraId="78BFDA4F" w14:textId="77777777">
      <w:pPr>
        <w:pStyle w:val="Standard"/>
      </w:pPr>
      <w:r>
        <w:t xml:space="preserve">PG&amp;E, SoCalGas, SCE, and SDG&amp;E shall implement the revenue requirement changes authorized by this decision in their </w:t>
      </w:r>
      <w:r w:rsidR="004C56CF">
        <w:t xml:space="preserve">respective end-of-year consolidated revenue requirement Tier 1 Advice Letter filings, also referred to as </w:t>
      </w:r>
      <w:r w:rsidR="00BA196D">
        <w:t>Annual Electric True-Ups or Annual Gas True-Ups, for effective dates no earlier than January 1, 2026.</w:t>
      </w:r>
    </w:p>
    <w:p w:rsidR="00E349A1" w:rsidP="006D0D56" w:rsidRDefault="00E349A1" w14:paraId="4CAB1071" w14:textId="77777777">
      <w:pPr>
        <w:pStyle w:val="Heading1"/>
        <w:ind w:right="3600"/>
      </w:pPr>
      <w:bookmarkStart w:name="_Toc214017393" w:id="54"/>
      <w:r>
        <w:lastRenderedPageBreak/>
        <w:t xml:space="preserve">PG&amp;E’s Yield </w:t>
      </w:r>
      <w:r w:rsidRPr="006D0D56">
        <w:t>Spread</w:t>
      </w:r>
      <w:r>
        <w:t xml:space="preserve"> Adjustment Proposal</w:t>
      </w:r>
      <w:bookmarkEnd w:id="54"/>
    </w:p>
    <w:p w:rsidRPr="006D5832" w:rsidR="006D5832" w:rsidP="006D5832" w:rsidRDefault="006D5832" w14:paraId="5EF75B64" w14:textId="5A0D5619">
      <w:pPr>
        <w:pStyle w:val="Standard"/>
      </w:pPr>
      <w:r w:rsidRPr="006D5832">
        <w:t xml:space="preserve">PG&amp;E requests approval for a temporary Yield Spread Adjustment (YSA) above the Commercial Paper Rate. </w:t>
      </w:r>
      <w:r w:rsidR="002B6BE4">
        <w:t>PG&amp;E</w:t>
      </w:r>
      <w:r w:rsidRPr="006D5832">
        <w:t xml:space="preserve"> proposes to track under- and over-collections through balancing and memorandum accounts and to submit a Tier 2 Advice Letter annually by November 15 to establish the YSA effective January 1 of the following year. PG&amp;E renews its request for a YSA because the company continues to lack access to commercial paper markets, resulting in higher short-term borrowing costs. From November 2023 to October 2024, PG&amp;E </w:t>
      </w:r>
      <w:r w:rsidR="007E7466">
        <w:t xml:space="preserve">estimates that it </w:t>
      </w:r>
      <w:r w:rsidRPr="006D5832">
        <w:t>incurred approximately $65 million in financing costs above the commercial paper rate.</w:t>
      </w:r>
      <w:r w:rsidRPr="006D5832">
        <w:rPr>
          <w:vertAlign w:val="superscript"/>
        </w:rPr>
        <w:footnoteReference w:id="221"/>
      </w:r>
      <w:r w:rsidRPr="006D5832">
        <w:t xml:space="preserve"> Additionally, the Commission’s decision in the previous </w:t>
      </w:r>
      <w:r w:rsidR="00AD3FB3">
        <w:t>cost of capital</w:t>
      </w:r>
      <w:r w:rsidRPr="006D5832">
        <w:t xml:space="preserve"> proceeding</w:t>
      </w:r>
      <w:r w:rsidR="00AD3FB3">
        <w:t>, A.22-04-008, et al.,</w:t>
      </w:r>
      <w:r w:rsidRPr="006D5832">
        <w:t xml:space="preserve"> expressly permitted PG&amp;E to submit a renewed YSA </w:t>
      </w:r>
      <w:r w:rsidR="00AF2181">
        <w:t xml:space="preserve">request </w:t>
      </w:r>
      <w:r w:rsidR="00F27F48">
        <w:t xml:space="preserve">once the 5-year capital structure waiver authorized </w:t>
      </w:r>
      <w:r w:rsidR="008B1704">
        <w:t>in D.20-05-053 expires if it still lacks access to the Commercial Paper</w:t>
      </w:r>
      <w:r w:rsidRPr="006D5832">
        <w:t>.</w:t>
      </w:r>
      <w:r w:rsidRPr="006D5832">
        <w:rPr>
          <w:vertAlign w:val="superscript"/>
        </w:rPr>
        <w:footnoteReference w:id="222"/>
      </w:r>
    </w:p>
    <w:p w:rsidRPr="006D5832" w:rsidR="006D5832" w:rsidP="006D5832" w:rsidRDefault="006D5832" w14:paraId="2A08CC68" w14:textId="6CA0D6C2">
      <w:pPr>
        <w:pStyle w:val="Standard"/>
      </w:pPr>
      <w:r w:rsidRPr="006D5832">
        <w:t>TURN and EPUC/IS/TURN recommend that the Commission reject PG&amp;E’s request for a YSA. TURN argue</w:t>
      </w:r>
      <w:r w:rsidR="00AD3FB3">
        <w:t>s</w:t>
      </w:r>
      <w:r w:rsidRPr="006D5832">
        <w:t xml:space="preserve"> that the Commission has already acknowledged </w:t>
      </w:r>
      <w:r w:rsidR="004D6D04">
        <w:t>in D.</w:t>
      </w:r>
      <w:r w:rsidR="00821D99">
        <w:t xml:space="preserve">24-10-008 </w:t>
      </w:r>
      <w:r w:rsidRPr="006D5832">
        <w:t xml:space="preserve">PG&amp;E’s request is closely tied to the benefits the utility received under its capital structure waiver. Since then, </w:t>
      </w:r>
      <w:r w:rsidR="00DE404E">
        <w:t xml:space="preserve">TURN </w:t>
      </w:r>
      <w:r w:rsidR="00EA08DF">
        <w:t>states</w:t>
      </w:r>
      <w:r w:rsidR="00DE404E">
        <w:t xml:space="preserve"> that </w:t>
      </w:r>
      <w:r w:rsidRPr="006D5832">
        <w:t>PG&amp;E's credit rating has improved to the point where it now has access to Tier 2 commercial paper markets. TURN estimate</w:t>
      </w:r>
      <w:r w:rsidR="00236828">
        <w:t>s</w:t>
      </w:r>
      <w:r w:rsidRPr="006D5832">
        <w:t xml:space="preserve"> the cost of the proposed YSA to ratepayers at approximately $57 million annually.</w:t>
      </w:r>
      <w:r w:rsidRPr="006D5832">
        <w:rPr>
          <w:vertAlign w:val="superscript"/>
        </w:rPr>
        <w:footnoteReference w:id="223"/>
      </w:r>
      <w:r w:rsidRPr="006D5832">
        <w:t xml:space="preserve"> EPUC</w:t>
      </w:r>
      <w:r w:rsidR="00E242F8">
        <w:t>/</w:t>
      </w:r>
      <w:r w:rsidRPr="006D5832">
        <w:t>IS</w:t>
      </w:r>
      <w:r w:rsidR="00FE1D80">
        <w:t xml:space="preserve"> and </w:t>
      </w:r>
      <w:r w:rsidRPr="006D5832">
        <w:t>TURN further note that although PG&amp;E’s capital structure waiver expire</w:t>
      </w:r>
      <w:r w:rsidR="00EA08DF">
        <w:t>d</w:t>
      </w:r>
      <w:r w:rsidRPr="006D5832">
        <w:t xml:space="preserve"> in June 2025, the </w:t>
      </w:r>
      <w:r w:rsidRPr="006D5832">
        <w:lastRenderedPageBreak/>
        <w:t xml:space="preserve">utility has not demonstrated that its current level of compensation is insufficient to justify a YSA. </w:t>
      </w:r>
      <w:r w:rsidR="00EA08DF">
        <w:t>EPUC</w:t>
      </w:r>
      <w:r w:rsidR="00E242F8">
        <w:t>/</w:t>
      </w:r>
      <w:r w:rsidR="00FE1D80">
        <w:t>IS and TURN argue that, e</w:t>
      </w:r>
      <w:r w:rsidRPr="006D5832">
        <w:t>ven without the waiver, PG&amp;E’s authorized ratemaking capital structure continues to reflect a hypothetical equity ratio that exceeds its actual equity, inflating the cost to customers and increasing PG&amp;E’s return on common equity.</w:t>
      </w:r>
      <w:r w:rsidRPr="006D5832">
        <w:rPr>
          <w:vertAlign w:val="superscript"/>
        </w:rPr>
        <w:footnoteReference w:id="224"/>
      </w:r>
      <w:r w:rsidRPr="006D5832">
        <w:t xml:space="preserve"> Cal Advocates agrees with EPUC/IS and TURN that PG&amp;E failed to meet its burden of proof for a YSA.</w:t>
      </w:r>
      <w:r w:rsidRPr="006D5832">
        <w:rPr>
          <w:vertAlign w:val="superscript"/>
        </w:rPr>
        <w:footnoteReference w:id="225"/>
      </w:r>
    </w:p>
    <w:p w:rsidR="00DF751F" w:rsidP="00DF751F" w:rsidRDefault="006D5832" w14:paraId="7FC3E393" w14:textId="128AA99F">
      <w:pPr>
        <w:pStyle w:val="Standard"/>
      </w:pPr>
      <w:r w:rsidRPr="006D5832">
        <w:t>PG&amp;E contends that TURN’s over-recovery claim is based on flawed assumptions about how the rate base is financed</w:t>
      </w:r>
      <w:r w:rsidR="00E242F8">
        <w:t xml:space="preserve"> </w:t>
      </w:r>
      <w:r w:rsidRPr="006D5832">
        <w:t>and that cost of capital actually declines as leverage increases. PG&amp;E argue</w:t>
      </w:r>
      <w:r w:rsidR="00E242F8">
        <w:t>s</w:t>
      </w:r>
      <w:r w:rsidRPr="006D5832">
        <w:t xml:space="preserve"> there is no credible evidence of over-recovery and pointed out that it has earned materially below its authorized return on equity every year since 2020. PG&amp;E </w:t>
      </w:r>
      <w:r w:rsidR="00E242F8">
        <w:t>attributes</w:t>
      </w:r>
      <w:r w:rsidRPr="006D5832" w:rsidR="00E242F8">
        <w:t xml:space="preserve"> </w:t>
      </w:r>
      <w:r w:rsidRPr="006D5832">
        <w:t xml:space="preserve">this underperformance in part to losses from the under-recovery of short-term debt costs. PG&amp;E </w:t>
      </w:r>
      <w:r w:rsidR="00E242F8">
        <w:t>emphasizes</w:t>
      </w:r>
      <w:r w:rsidRPr="006D5832" w:rsidR="00E242F8">
        <w:t xml:space="preserve"> </w:t>
      </w:r>
      <w:r w:rsidRPr="006D5832">
        <w:t xml:space="preserve">that no party has shown its short-term borrowing cost proposal to be unreasonable. Furthermore, PG&amp;E </w:t>
      </w:r>
      <w:r w:rsidR="00E242F8">
        <w:t>argues that</w:t>
      </w:r>
      <w:r w:rsidRPr="006D5832" w:rsidR="00E242F8">
        <w:t xml:space="preserve"> </w:t>
      </w:r>
      <w:r w:rsidRPr="006D5832">
        <w:t>EPUC/IS</w:t>
      </w:r>
      <w:r w:rsidR="00E242F8">
        <w:t xml:space="preserve"> and </w:t>
      </w:r>
      <w:r w:rsidRPr="006D5832">
        <w:t xml:space="preserve">TURN’s recommendation </w:t>
      </w:r>
      <w:r w:rsidR="00E242F8">
        <w:t>is</w:t>
      </w:r>
      <w:r w:rsidRPr="006D5832" w:rsidR="00E242F8">
        <w:t xml:space="preserve"> </w:t>
      </w:r>
      <w:r w:rsidRPr="006D5832">
        <w:t xml:space="preserve">based on an incorrect principle, </w:t>
      </w:r>
      <w:r w:rsidR="007E57F4">
        <w:t xml:space="preserve">namely, </w:t>
      </w:r>
      <w:r w:rsidRPr="006D5832">
        <w:t>that a utility’s over-recovery in one area should justify disallowance in another, which it claims contradicts regulatory principles that promote efficiency while allowing for a fair return.</w:t>
      </w:r>
      <w:r w:rsidRPr="006D5832">
        <w:rPr>
          <w:vertAlign w:val="superscript"/>
        </w:rPr>
        <w:footnoteReference w:id="226"/>
      </w:r>
    </w:p>
    <w:p w:rsidRPr="00DF751F" w:rsidR="00833403" w:rsidP="00DE775B" w:rsidRDefault="00D913D9" w14:paraId="2B2BD74C" w14:textId="19F94A29">
      <w:pPr>
        <w:pStyle w:val="Standard"/>
      </w:pPr>
      <w:r>
        <w:t xml:space="preserve">As PG&amp;E notes, the </w:t>
      </w:r>
      <w:r w:rsidR="000A1A3B">
        <w:t xml:space="preserve">5-year capital structure waiver </w:t>
      </w:r>
      <w:r w:rsidR="00D6797D">
        <w:t>expired on June 1, 2025</w:t>
      </w:r>
      <w:r w:rsidR="00BB7C1A">
        <w:t xml:space="preserve">, and PG&amp;E states that it does not intend to </w:t>
      </w:r>
      <w:r w:rsidR="00603FCB">
        <w:t>seek an extension of that waiver request.</w:t>
      </w:r>
      <w:r w:rsidR="00D6797D">
        <w:t xml:space="preserve"> Additionally, </w:t>
      </w:r>
      <w:r w:rsidR="00DA78AA">
        <w:t>TURN</w:t>
      </w:r>
      <w:r w:rsidR="00E563A3">
        <w:t xml:space="preserve"> notes that </w:t>
      </w:r>
      <w:r w:rsidR="00DA78AA">
        <w:t>PG&amp;E</w:t>
      </w:r>
      <w:r w:rsidR="00E563A3">
        <w:t xml:space="preserve"> has </w:t>
      </w:r>
      <w:r w:rsidR="000502CE">
        <w:t xml:space="preserve">access to Tier 2 </w:t>
      </w:r>
      <w:r w:rsidR="00EB66DD">
        <w:t xml:space="preserve">Commercial </w:t>
      </w:r>
      <w:r w:rsidR="00EB66DD">
        <w:lastRenderedPageBreak/>
        <w:t>Paper</w:t>
      </w:r>
      <w:r w:rsidR="00DA78AA">
        <w:t>. PG&amp;E notes that</w:t>
      </w:r>
      <w:r w:rsidR="00EB66DD">
        <w:t xml:space="preserve"> </w:t>
      </w:r>
      <w:r w:rsidR="00DA78AA">
        <w:t>it still</w:t>
      </w:r>
      <w:r w:rsidR="00EB66DD">
        <w:t xml:space="preserve"> lacks access to Tier 1 Commercial Paper (i.e., </w:t>
      </w:r>
      <w:r w:rsidR="008E4F27">
        <w:t xml:space="preserve">the rate </w:t>
      </w:r>
      <w:r w:rsidR="001A5818">
        <w:t>applicable to the under-collected and over-collected balances in PG&amp;E’s balancing and memorandum accounts)</w:t>
      </w:r>
      <w:r w:rsidR="00B81016">
        <w:t>.</w:t>
      </w:r>
      <w:r w:rsidR="00603FCB">
        <w:rPr>
          <w:rStyle w:val="FootnoteReference"/>
        </w:rPr>
        <w:footnoteReference w:id="227"/>
      </w:r>
      <w:r w:rsidRPr="00C6181A" w:rsidR="00C6181A">
        <w:t xml:space="preserve"> </w:t>
      </w:r>
      <w:r w:rsidR="006868B7">
        <w:t xml:space="preserve">These conditions persuade us that </w:t>
      </w:r>
      <w:r w:rsidR="003F3710">
        <w:t xml:space="preserve">approval of PG&amp;E’s YSA </w:t>
      </w:r>
      <w:r w:rsidR="00DB1935">
        <w:t xml:space="preserve">request </w:t>
      </w:r>
      <w:r w:rsidR="003F3710">
        <w:t>is reasonable</w:t>
      </w:r>
      <w:r w:rsidR="00B55ACB">
        <w:t xml:space="preserve"> for the TY 2026 Cost of Capital cycle</w:t>
      </w:r>
      <w:r w:rsidR="003F3710">
        <w:t xml:space="preserve">. </w:t>
      </w:r>
      <w:r w:rsidR="00DB1D9A">
        <w:t>PG&amp;E’s request is granted with modifications.</w:t>
      </w:r>
      <w:r w:rsidR="00774894">
        <w:t xml:space="preserve"> </w:t>
      </w:r>
      <w:r w:rsidRPr="009E5F0B" w:rsidR="009E5F0B">
        <w:t xml:space="preserve">PG&amp;E </w:t>
      </w:r>
      <w:r w:rsidR="009E5F0B">
        <w:t>shall</w:t>
      </w:r>
      <w:r w:rsidRPr="009E5F0B" w:rsidR="009E5F0B">
        <w:t xml:space="preserve"> track under- and over-collections through balancing and memorandum accounts and</w:t>
      </w:r>
      <w:r w:rsidR="00696A4C">
        <w:t xml:space="preserve">, if a YSA is </w:t>
      </w:r>
      <w:r w:rsidR="00F82273">
        <w:t>requested for a given year, PG&amp;E</w:t>
      </w:r>
      <w:r w:rsidRPr="009E5F0B" w:rsidR="009E5F0B">
        <w:t xml:space="preserve"> </w:t>
      </w:r>
      <w:r w:rsidR="00F82273">
        <w:t>shall</w:t>
      </w:r>
      <w:r w:rsidRPr="009E5F0B" w:rsidR="009E5F0B">
        <w:t xml:space="preserve"> submit a Tier 2 </w:t>
      </w:r>
      <w:r w:rsidR="00F82273">
        <w:t>a</w:t>
      </w:r>
      <w:r w:rsidRPr="009E5F0B" w:rsidR="009E5F0B">
        <w:t xml:space="preserve">dvice </w:t>
      </w:r>
      <w:r w:rsidR="00F82273">
        <w:t>l</w:t>
      </w:r>
      <w:r w:rsidRPr="009E5F0B" w:rsidR="009E5F0B">
        <w:t>etter annually by November 15 to establish the YSA effective January 1 of the following year.</w:t>
      </w:r>
      <w:r w:rsidR="003C1F22">
        <w:t xml:space="preserve"> </w:t>
      </w:r>
      <w:r w:rsidR="00774894">
        <w:t xml:space="preserve">The YSA </w:t>
      </w:r>
      <w:r w:rsidR="00506BC1">
        <w:t xml:space="preserve">is authorized starting January 1, 2026, and </w:t>
      </w:r>
      <w:r w:rsidR="00774894">
        <w:t>will terminate December 31, 202</w:t>
      </w:r>
      <w:r w:rsidR="00267200">
        <w:t>8</w:t>
      </w:r>
      <w:r w:rsidR="00774894">
        <w:t xml:space="preserve">, or when PG&amp;E gains access to </w:t>
      </w:r>
      <w:r w:rsidR="00A53E7F">
        <w:t xml:space="preserve">Tier 1 Commercial Paper, whichever </w:t>
      </w:r>
      <w:r w:rsidR="00506BC1">
        <w:t>occurs</w:t>
      </w:r>
      <w:r w:rsidR="00A53E7F">
        <w:t xml:space="preserve"> first.</w:t>
      </w:r>
      <w:r w:rsidR="00506BC1">
        <w:t xml:space="preserve"> </w:t>
      </w:r>
    </w:p>
    <w:p w:rsidR="00DF751F" w:rsidP="006D0D56" w:rsidRDefault="00161E41" w14:paraId="0C804F09" w14:textId="77777777">
      <w:pPr>
        <w:pStyle w:val="Heading1"/>
        <w:ind w:right="3600"/>
      </w:pPr>
      <w:bookmarkStart w:name="_Toc214017394" w:id="55"/>
      <w:r>
        <w:t>PG&amp;E’s Request for Revenue Credit Associated with the Department of Energy Loan</w:t>
      </w:r>
      <w:bookmarkEnd w:id="55"/>
    </w:p>
    <w:p w:rsidR="00A06B5E" w:rsidP="00A06B5E" w:rsidRDefault="00A06B5E" w14:paraId="3913366D" w14:textId="226749CB">
      <w:r>
        <w:t xml:space="preserve">On January 17, 2025, PG&amp;E and the DOE entered into a loan agreement with a total program capacity of up to $15 billion, available to be drawn intermittently through 2031. While the DOE loan offers a lower cost of debt, the exact timing of the draws remains at the DOE’s discretion. As a result, PG&amp;E’s requested long-term debt cost of 5.04% does not reflect the potential benefits of the DOE loan, due to the uncertainty surrounding the draw schedule. Therefore, PG&amp;E has proposed to submit an Advice Letter calculating the resulting interest cost savings once draws occur. These savings will be returned to customers as a revenue credit through the Annual Electric True-Up and Annual Gas True-Up </w:t>
      </w:r>
      <w:r>
        <w:lastRenderedPageBreak/>
        <w:t>filings submitted each December for the following year.</w:t>
      </w:r>
      <w:r>
        <w:rPr>
          <w:rStyle w:val="FootnoteReference"/>
        </w:rPr>
        <w:footnoteReference w:id="228"/>
      </w:r>
      <w:r w:rsidRPr="00BB162C">
        <w:t xml:space="preserve"> </w:t>
      </w:r>
      <w:r w:rsidRPr="00933069" w:rsidR="00A7175B">
        <w:t>No party contests this request</w:t>
      </w:r>
      <w:r w:rsidR="00A7175B">
        <w:t>.</w:t>
      </w:r>
    </w:p>
    <w:p w:rsidRPr="00DF751F" w:rsidR="00DF751F" w:rsidP="00DF751F" w:rsidRDefault="00776822" w14:paraId="75999A12" w14:textId="5E7D60EC">
      <w:pPr>
        <w:pStyle w:val="Standard"/>
      </w:pPr>
      <w:r>
        <w:t xml:space="preserve">PG&amp;E’s request is reasonable and in the interest of ratepayers. As such, we approve this request. </w:t>
      </w:r>
      <w:r w:rsidR="008364F8">
        <w:t xml:space="preserve">PG&amp;E shall submit a Tier 2 </w:t>
      </w:r>
      <w:r w:rsidR="00D3506B">
        <w:t xml:space="preserve">advice letter calculating the resulting interest cost saving from the DOE loan </w:t>
      </w:r>
      <w:r w:rsidR="00933042">
        <w:t xml:space="preserve">within </w:t>
      </w:r>
      <w:r w:rsidR="0085457E">
        <w:t>60 days of draws occurring. These savings shall be returned to customers as a revenue credit through PG&amp;E’s Annual Electric True-Up and Annual Gas True-Up filings</w:t>
      </w:r>
      <w:r w:rsidR="00575B3C">
        <w:t xml:space="preserve"> submitted each December for the following year.</w:t>
      </w:r>
    </w:p>
    <w:p w:rsidR="009165E0" w:rsidP="006D0D56" w:rsidRDefault="00BA196D" w14:paraId="7CB35B0A" w14:textId="1E023087">
      <w:pPr>
        <w:pStyle w:val="Heading1"/>
        <w:ind w:right="3600"/>
      </w:pPr>
      <w:r>
        <w:t xml:space="preserve"> </w:t>
      </w:r>
      <w:bookmarkStart w:name="_Toc214017395" w:id="56"/>
      <w:r w:rsidR="00DF751F">
        <w:t>SCE’s Accrued Carrying Cost Proposal</w:t>
      </w:r>
      <w:bookmarkEnd w:id="56"/>
    </w:p>
    <w:p w:rsidRPr="00C01E19" w:rsidR="00C01E19" w:rsidP="00C01E19" w:rsidRDefault="00C01E19" w14:paraId="4B46444C" w14:textId="6A82DF17">
      <w:pPr>
        <w:pStyle w:val="Standard"/>
      </w:pPr>
      <w:r w:rsidRPr="00C01E19">
        <w:t xml:space="preserve">SCE requests that future balancing and memorandum accounts amortized over periods longer than 12 months accrue carrying charges at SCE’s weighted average cost of capital (WACC), rather than at the short-term commercial paper rate. SCE argues that this approach is consistent with generally accepted financial principles, which hold that the duration of an asset should be matched with the duration of the liability used to finance it. </w:t>
      </w:r>
      <w:r w:rsidR="00642052">
        <w:t>SCE</w:t>
      </w:r>
      <w:r w:rsidRPr="00C01E19">
        <w:t xml:space="preserve"> further explains that it does not have unlimited access to commercial paper, making reliance on short-term financing impractical for longer-term cost recovery. For accounts amortized over more than 12 months, SCE </w:t>
      </w:r>
      <w:r w:rsidR="009A2199">
        <w:t xml:space="preserve">notes that it </w:t>
      </w:r>
      <w:r w:rsidRPr="00C01E19">
        <w:t>typically employs longer-term financing aligned with the capital structure previously authorized by the Commission.</w:t>
      </w:r>
      <w:r w:rsidRPr="00C01E19">
        <w:rPr>
          <w:vertAlign w:val="superscript"/>
        </w:rPr>
        <w:footnoteReference w:id="229"/>
      </w:r>
      <w:r w:rsidRPr="00C01E19">
        <w:t xml:space="preserve"> </w:t>
      </w:r>
    </w:p>
    <w:p w:rsidR="006B57B2" w:rsidP="00C01E19" w:rsidRDefault="00C01E19" w14:paraId="6949A904" w14:textId="4ECB6D51">
      <w:pPr>
        <w:pStyle w:val="Standard"/>
      </w:pPr>
      <w:r w:rsidRPr="00C01E19">
        <w:t xml:space="preserve">TURN and EPUC/IS recommend that the Commission reject SCE’s proposal to apply its weighted average cost of capital (WACC) as the carrying cost for memorandum and balancing accounts amortized over </w:t>
      </w:r>
      <w:r w:rsidR="00FE32E0">
        <w:t xml:space="preserve">more than </w:t>
      </w:r>
      <w:r w:rsidRPr="00C01E19">
        <w:t xml:space="preserve">12 </w:t>
      </w:r>
      <w:r w:rsidRPr="00C01E19">
        <w:lastRenderedPageBreak/>
        <w:t>months. TURN estimates that this change would impose an additional $250 million in costs on ratepayers.</w:t>
      </w:r>
      <w:r w:rsidRPr="00C01E19">
        <w:rPr>
          <w:vertAlign w:val="superscript"/>
        </w:rPr>
        <w:footnoteReference w:id="230"/>
      </w:r>
      <w:r w:rsidRPr="00C01E19">
        <w:t xml:space="preserve"> </w:t>
      </w:r>
    </w:p>
    <w:p w:rsidRPr="00C01E19" w:rsidR="00C01E19" w:rsidP="00C01E19" w:rsidRDefault="00C01E19" w14:paraId="441A0646" w14:textId="42697CA4">
      <w:pPr>
        <w:pStyle w:val="Standard"/>
      </w:pPr>
      <w:r w:rsidRPr="00C01E19">
        <w:t xml:space="preserve">SCE argues that aligning the duration of financing with the life of the asset is important and claims it has limited access to commercial paper markets. However, TURN points out that SCE provides no new evidence that its financial circumstances have changed since the Commission last denied a similar request. As such, TURN recommends the proposal </w:t>
      </w:r>
      <w:r w:rsidR="00E04FE5">
        <w:t xml:space="preserve">again </w:t>
      </w:r>
      <w:r w:rsidRPr="00C01E19">
        <w:t>be rejected.</w:t>
      </w:r>
      <w:r w:rsidR="00E265D6">
        <w:rPr>
          <w:rStyle w:val="FootnoteReference"/>
        </w:rPr>
        <w:footnoteReference w:id="231"/>
      </w:r>
    </w:p>
    <w:p w:rsidRPr="00C01E19" w:rsidR="00C01E19" w:rsidP="00C01E19" w:rsidRDefault="00C01E19" w14:paraId="13ABAA7B" w14:textId="18F7FD13">
      <w:pPr>
        <w:pStyle w:val="Standard"/>
      </w:pPr>
      <w:r w:rsidRPr="00C01E19">
        <w:t>EPUC/IS</w:t>
      </w:r>
      <w:r w:rsidR="00E04FE5">
        <w:t xml:space="preserve"> and </w:t>
      </w:r>
      <w:r w:rsidRPr="00C01E19">
        <w:t>TURN emphasize that using the short-term debt rate remains appropriate for these accounts</w:t>
      </w:r>
      <w:r w:rsidR="00A6243E">
        <w:t xml:space="preserve"> as this</w:t>
      </w:r>
      <w:r w:rsidRPr="00C01E19">
        <w:t xml:space="preserve"> enables SCE to borrow against short-term facilities when deferring costs and to repay those borrowings as customer collections occur. In contrast, the WACC includes long-term debt and equity, financing instruments that carry longer maturities and often include restrictions or penalties for early repayment.</w:t>
      </w:r>
      <w:r w:rsidRPr="00C01E19">
        <w:rPr>
          <w:vertAlign w:val="superscript"/>
        </w:rPr>
        <w:footnoteReference w:id="232"/>
      </w:r>
      <w:r w:rsidRPr="00C01E19">
        <w:t xml:space="preserve"> For this reason, EPUC/IS</w:t>
      </w:r>
      <w:r w:rsidR="00A6243E">
        <w:t xml:space="preserve"> and </w:t>
      </w:r>
      <w:r w:rsidRPr="00C01E19">
        <w:t>TURN conclude that applying the long-term WACC to short-term deferral assets is inappropriate and unjustified.</w:t>
      </w:r>
      <w:r w:rsidR="00F01C81">
        <w:rPr>
          <w:rStyle w:val="FootnoteReference"/>
        </w:rPr>
        <w:footnoteReference w:id="233"/>
      </w:r>
      <w:r w:rsidRPr="00C01E19">
        <w:t xml:space="preserve"> </w:t>
      </w:r>
    </w:p>
    <w:p w:rsidRPr="00C01E19" w:rsidR="00C01E19" w:rsidP="00C01E19" w:rsidRDefault="00C01E19" w14:paraId="3BB7F026" w14:textId="649B47D0">
      <w:pPr>
        <w:pStyle w:val="Standard"/>
      </w:pPr>
      <w:r w:rsidRPr="00C01E19">
        <w:t>Cal Advocates also agrees with TURN and EPUC/IS that SCE failed to meet its burden of proof when SCE made another request to recover its W</w:t>
      </w:r>
      <w:r w:rsidR="0031414A">
        <w:t>A</w:t>
      </w:r>
      <w:r w:rsidRPr="00C01E19">
        <w:t>CC for balancing and memorandum accounts amortized over more than 12 months.</w:t>
      </w:r>
      <w:r w:rsidRPr="00C01E19">
        <w:rPr>
          <w:vertAlign w:val="superscript"/>
        </w:rPr>
        <w:footnoteReference w:id="234"/>
      </w:r>
    </w:p>
    <w:p w:rsidR="00DF751F" w:rsidP="00DF751F" w:rsidRDefault="00147AC4" w14:paraId="5B0DD263" w14:textId="190E1341">
      <w:pPr>
        <w:pStyle w:val="Standard"/>
      </w:pPr>
      <w:r>
        <w:t>We are persuaded that</w:t>
      </w:r>
      <w:r w:rsidR="007800ED">
        <w:t xml:space="preserve"> the lower risk profile of balancing and memorandum accounts </w:t>
      </w:r>
      <w:r w:rsidR="00BE29E5">
        <w:t xml:space="preserve">generally </w:t>
      </w:r>
      <w:r w:rsidR="007800ED">
        <w:t xml:space="preserve">warrant </w:t>
      </w:r>
      <w:r w:rsidR="008E5605">
        <w:t xml:space="preserve">lower commensurate carrying </w:t>
      </w:r>
      <w:r w:rsidR="008E5605">
        <w:lastRenderedPageBreak/>
        <w:t xml:space="preserve">charges. </w:t>
      </w:r>
      <w:r w:rsidR="00072F1C">
        <w:t xml:space="preserve">Long-term debt </w:t>
      </w:r>
      <w:r w:rsidR="002545C6">
        <w:t>is associated with more risks, including default risks, than balancing and memorandum accounts amortized over more than 12 months.</w:t>
      </w:r>
      <w:r w:rsidR="00766A92">
        <w:t xml:space="preserve"> As such, the commercial paper rate for balancing and memorandum accounts amortized over more than 12 months </w:t>
      </w:r>
      <w:r w:rsidR="00A0610B">
        <w:t>continues to be appropriate and reasonable. SCE’s accrued carrying cost proposal is denied.</w:t>
      </w:r>
      <w:r>
        <w:t xml:space="preserve"> </w:t>
      </w:r>
    </w:p>
    <w:p w:rsidR="00DF751F" w:rsidP="006D0D56" w:rsidRDefault="00DF751F" w14:paraId="70D2FD19" w14:textId="7BB58273">
      <w:pPr>
        <w:pStyle w:val="Heading1"/>
      </w:pPr>
      <w:bookmarkStart w:name="_Toc214017396" w:id="57"/>
      <w:r>
        <w:t xml:space="preserve">Cost of </w:t>
      </w:r>
      <w:r w:rsidRPr="006D0D56">
        <w:t>Capital</w:t>
      </w:r>
      <w:r>
        <w:t xml:space="preserve"> Mechanism</w:t>
      </w:r>
      <w:bookmarkEnd w:id="57"/>
    </w:p>
    <w:p w:rsidR="00A10B2C" w:rsidP="00C15084" w:rsidRDefault="0045170C" w14:paraId="086087E7" w14:textId="4190B5C4">
      <w:pPr>
        <w:pStyle w:val="Standard"/>
      </w:pPr>
      <w:r>
        <w:t xml:space="preserve">The </w:t>
      </w:r>
      <w:r w:rsidR="00820066">
        <w:t xml:space="preserve">Applicants </w:t>
      </w:r>
      <w:r w:rsidR="006A7C5D">
        <w:t>request continuation of the</w:t>
      </w:r>
      <w:r w:rsidR="009B0BDA">
        <w:t xml:space="preserve"> </w:t>
      </w:r>
      <w:r w:rsidR="006A7C5D">
        <w:t>CCM as</w:t>
      </w:r>
      <w:r w:rsidR="007C419C">
        <w:t xml:space="preserve"> established in D.08-05-035 and</w:t>
      </w:r>
      <w:r w:rsidR="006A7C5D">
        <w:t xml:space="preserve"> modified in </w:t>
      </w:r>
      <w:r w:rsidR="000526DB">
        <w:t>D.24-10-008</w:t>
      </w:r>
      <w:r w:rsidR="005640DD">
        <w:t xml:space="preserve">, and to reset </w:t>
      </w:r>
      <w:r w:rsidR="00A0220C">
        <w:t>the interest rate benchmark</w:t>
      </w:r>
      <w:r w:rsidR="007B54BC">
        <w:t xml:space="preserve"> for the TY 2026 rate cycle</w:t>
      </w:r>
      <w:r w:rsidR="0044380E">
        <w:t xml:space="preserve">, using the Moody’s Baa index for the 12-month period ending September </w:t>
      </w:r>
      <w:r w:rsidR="005054D1">
        <w:t>30, 2025</w:t>
      </w:r>
      <w:r w:rsidR="007B54BC">
        <w:t>.</w:t>
      </w:r>
      <w:r w:rsidR="007B54BC">
        <w:rPr>
          <w:rStyle w:val="FootnoteReference"/>
        </w:rPr>
        <w:footnoteReference w:id="235"/>
      </w:r>
      <w:r w:rsidR="000526DB">
        <w:t xml:space="preserve"> </w:t>
      </w:r>
      <w:r>
        <w:t xml:space="preserve">Intervenors recommended several </w:t>
      </w:r>
      <w:r w:rsidR="009B0BDA">
        <w:t xml:space="preserve">changes to the CCM. </w:t>
      </w:r>
    </w:p>
    <w:p w:rsidR="00C15084" w:rsidP="00C15084" w:rsidRDefault="00CF5C55" w14:paraId="1FB17B9A" w14:textId="129D1E3D">
      <w:pPr>
        <w:pStyle w:val="Standard"/>
      </w:pPr>
      <w:r>
        <w:t>EDF</w:t>
      </w:r>
      <w:r w:rsidR="00DE3B6F">
        <w:t xml:space="preserve"> </w:t>
      </w:r>
      <w:r w:rsidR="007922CD">
        <w:t xml:space="preserve">asserts that the CCM has never been implemented to </w:t>
      </w:r>
      <w:r w:rsidR="00191550">
        <w:t>lower ROEs</w:t>
      </w:r>
      <w:r w:rsidR="000338EF">
        <w:t xml:space="preserve">, </w:t>
      </w:r>
      <w:r w:rsidR="00D14450">
        <w:t xml:space="preserve">and notes that utilities have never submitted </w:t>
      </w:r>
      <w:r w:rsidR="003F101A">
        <w:t xml:space="preserve">an advice letter to lower ROEs </w:t>
      </w:r>
      <w:r w:rsidR="00A10B2C">
        <w:t>resulting from CCM implementation.</w:t>
      </w:r>
      <w:r w:rsidR="007468C3">
        <w:rPr>
          <w:rStyle w:val="FootnoteReference"/>
        </w:rPr>
        <w:footnoteReference w:id="236"/>
      </w:r>
      <w:r w:rsidR="00A10B2C">
        <w:t xml:space="preserve"> EDF </w:t>
      </w:r>
      <w:r>
        <w:t>recommend</w:t>
      </w:r>
      <w:r w:rsidR="00A10B2C">
        <w:t>s</w:t>
      </w:r>
      <w:r>
        <w:t xml:space="preserve"> </w:t>
      </w:r>
      <w:r w:rsidR="006F2D9F">
        <w:t xml:space="preserve">adjusting the CCM </w:t>
      </w:r>
      <w:r w:rsidR="009E1C60">
        <w:t>so that</w:t>
      </w:r>
      <w:r w:rsidR="003E3A5D">
        <w:t xml:space="preserve"> outside parties </w:t>
      </w:r>
      <w:r w:rsidR="00830583">
        <w:t xml:space="preserve">may propose </w:t>
      </w:r>
      <w:r w:rsidR="00DE3B6F">
        <w:t xml:space="preserve">implementing </w:t>
      </w:r>
      <w:r w:rsidR="00830583">
        <w:t xml:space="preserve">the </w:t>
      </w:r>
      <w:r w:rsidR="00DE3B6F">
        <w:t xml:space="preserve">CCM </w:t>
      </w:r>
      <w:r w:rsidR="007937F7">
        <w:t>to adjust ROEs</w:t>
      </w:r>
      <w:r w:rsidR="0060517B">
        <w:t>.</w:t>
      </w:r>
      <w:r w:rsidR="0060517B">
        <w:rPr>
          <w:rStyle w:val="FootnoteReference"/>
        </w:rPr>
        <w:footnoteReference w:id="237"/>
      </w:r>
      <w:r w:rsidR="00441E49">
        <w:t xml:space="preserve"> </w:t>
      </w:r>
      <w:r w:rsidR="00EA3F3D">
        <w:t>Wild Tree</w:t>
      </w:r>
      <w:r w:rsidR="00441E49">
        <w:t xml:space="preserve"> </w:t>
      </w:r>
      <w:r w:rsidR="00BE2FAD">
        <w:t>offers a similar observatio</w:t>
      </w:r>
      <w:r w:rsidR="00213172">
        <w:t>n</w:t>
      </w:r>
      <w:r w:rsidR="003950C6">
        <w:t xml:space="preserve"> asserting</w:t>
      </w:r>
      <w:r w:rsidR="00213172">
        <w:t xml:space="preserve"> that the CCM has been asymmetrically applied</w:t>
      </w:r>
      <w:r w:rsidR="003950C6">
        <w:t>.</w:t>
      </w:r>
      <w:r w:rsidR="003950C6">
        <w:rPr>
          <w:rStyle w:val="FootnoteReference"/>
        </w:rPr>
        <w:footnoteReference w:id="238"/>
      </w:r>
    </w:p>
    <w:p w:rsidR="00077ED7" w:rsidP="00C15084" w:rsidRDefault="00077ED7" w14:paraId="031F6003" w14:textId="1C358520">
      <w:pPr>
        <w:pStyle w:val="Standard"/>
      </w:pPr>
      <w:r>
        <w:t xml:space="preserve">EPUC/IS recommends that the Commission </w:t>
      </w:r>
      <w:r w:rsidR="00B74970">
        <w:t xml:space="preserve">investigate any change in authorized </w:t>
      </w:r>
      <w:r w:rsidR="005E034F">
        <w:t>ROE before implementation of the CCM. EPUC/IS recommends providing intervenors with a procedural pathway for raising a challenge to the CCM adjustment before implementation.</w:t>
      </w:r>
      <w:r w:rsidR="00963394">
        <w:rPr>
          <w:rStyle w:val="FootnoteReference"/>
        </w:rPr>
        <w:footnoteReference w:id="239"/>
      </w:r>
      <w:r w:rsidR="005E034F">
        <w:t xml:space="preserve"> </w:t>
      </w:r>
    </w:p>
    <w:p w:rsidR="00CF6F94" w:rsidP="007B4BCC" w:rsidRDefault="00EA3F3D" w14:paraId="00A165E5" w14:textId="6208A3D3">
      <w:pPr>
        <w:pStyle w:val="Standard"/>
      </w:pPr>
      <w:r>
        <w:lastRenderedPageBreak/>
        <w:t>Wild Tree</w:t>
      </w:r>
      <w:r w:rsidR="00E54532">
        <w:t xml:space="preserve"> asserts that the CCM does</w:t>
      </w:r>
      <w:r w:rsidR="005376BF">
        <w:t xml:space="preserve"> not</w:t>
      </w:r>
      <w:r w:rsidR="00E54532">
        <w:t xml:space="preserve"> </w:t>
      </w:r>
      <w:r w:rsidR="008F3308">
        <w:t>adequately reflect changes in the cost of capital as markets change.</w:t>
      </w:r>
      <w:r w:rsidR="008F3308">
        <w:rPr>
          <w:rStyle w:val="FootnoteReference"/>
        </w:rPr>
        <w:footnoteReference w:id="240"/>
      </w:r>
      <w:r w:rsidR="008F3308">
        <w:t xml:space="preserve"> </w:t>
      </w:r>
      <w:r>
        <w:t>Wild Tree</w:t>
      </w:r>
      <w:r w:rsidR="00D33417">
        <w:t xml:space="preserve"> recommends </w:t>
      </w:r>
      <w:r w:rsidR="00974937">
        <w:t xml:space="preserve">incorporating </w:t>
      </w:r>
      <w:r w:rsidR="004E52D7">
        <w:t xml:space="preserve">beta coefficients and market risk premiums </w:t>
      </w:r>
      <w:r w:rsidR="00B86BBA">
        <w:t>into the CCM formula.</w:t>
      </w:r>
      <w:r w:rsidR="004E6501">
        <w:rPr>
          <w:rStyle w:val="FootnoteReference"/>
        </w:rPr>
        <w:footnoteReference w:id="241"/>
      </w:r>
    </w:p>
    <w:p w:rsidR="007B4BCC" w:rsidP="007B4BCC" w:rsidRDefault="001212CB" w14:paraId="0FCF932E" w14:textId="6FB1E7FE">
      <w:pPr>
        <w:pStyle w:val="Standard"/>
      </w:pPr>
      <w:r>
        <w:t xml:space="preserve">No party proposes </w:t>
      </w:r>
      <w:r w:rsidR="00C81301">
        <w:t xml:space="preserve">discontinuing the CCM. </w:t>
      </w:r>
    </w:p>
    <w:p w:rsidRPr="007B4BCC" w:rsidR="00C81301" w:rsidP="00F94CA6" w:rsidRDefault="00E35EBF" w14:paraId="65C4C662" w14:textId="604A3F51">
      <w:pPr>
        <w:pStyle w:val="Standard"/>
      </w:pPr>
      <w:r>
        <w:t>We are persuaded that the CCM should be continued</w:t>
      </w:r>
      <w:r w:rsidR="008235B8">
        <w:t xml:space="preserve"> in its current form</w:t>
      </w:r>
      <w:r w:rsidR="004C4B29">
        <w:t xml:space="preserve"> and the CCM in</w:t>
      </w:r>
      <w:r w:rsidR="00544B3D">
        <w:t>terest rate benchmark</w:t>
      </w:r>
      <w:r w:rsidR="004C4B29">
        <w:t xml:space="preserve"> should be reset</w:t>
      </w:r>
      <w:r>
        <w:t xml:space="preserve">. </w:t>
      </w:r>
      <w:r w:rsidR="00F94CA6">
        <w:t>In D.24-10-008, as noted by several parties, t</w:t>
      </w:r>
      <w:r w:rsidR="001B10C0">
        <w:t>he Commission</w:t>
      </w:r>
      <w:r w:rsidR="00F94CA6">
        <w:t xml:space="preserve"> </w:t>
      </w:r>
      <w:r w:rsidR="00691F88">
        <w:t xml:space="preserve">recognized </w:t>
      </w:r>
      <w:r w:rsidR="004029D6">
        <w:t>a structural asymmetry in the implementation of the CCM</w:t>
      </w:r>
      <w:r w:rsidR="00CA356C">
        <w:t xml:space="preserve"> in that ratepayers have no direct path to challenge an upward CCM </w:t>
      </w:r>
      <w:r w:rsidR="00FD749C">
        <w:t>adjustment</w:t>
      </w:r>
      <w:r w:rsidR="00281B88">
        <w:t>.</w:t>
      </w:r>
      <w:r w:rsidR="00F036E2">
        <w:t xml:space="preserve"> However, </w:t>
      </w:r>
      <w:r w:rsidR="00930AE3">
        <w:t>as also noted in D.24-10-008, the CCM is premised on a reduction in regulatory burden.</w:t>
      </w:r>
      <w:r w:rsidR="00930AE3">
        <w:rPr>
          <w:rStyle w:val="FootnoteReference"/>
        </w:rPr>
        <w:footnoteReference w:id="242"/>
      </w:r>
      <w:r w:rsidR="00930AE3">
        <w:t xml:space="preserve"> T</w:t>
      </w:r>
      <w:r w:rsidR="00AD2E0E">
        <w:t xml:space="preserve">he </w:t>
      </w:r>
      <w:r w:rsidR="00786153">
        <w:t>modifications to the CCM in D.24-10-008</w:t>
      </w:r>
      <w:r w:rsidR="007B318C">
        <w:t xml:space="preserve">, including an alignment of the CCM adjustment factor with the best </w:t>
      </w:r>
      <w:r w:rsidR="000A26EA">
        <w:t>available empirical evidence that resulted in a more than halving of ROE adjustments</w:t>
      </w:r>
      <w:r w:rsidR="0089323D">
        <w:t xml:space="preserve"> arising from the CCM</w:t>
      </w:r>
      <w:r w:rsidR="00930AE3">
        <w:t xml:space="preserve">, </w:t>
      </w:r>
      <w:r w:rsidR="00C62985">
        <w:t xml:space="preserve">reduces the risk to ratepayers of an unreasonable adjustment of </w:t>
      </w:r>
      <w:r w:rsidR="0089323D">
        <w:t>ROE</w:t>
      </w:r>
      <w:r w:rsidR="00D1771F">
        <w:t xml:space="preserve"> while ensuring that the CCM achieves the goal of reducing regulatory burden on </w:t>
      </w:r>
      <w:r w:rsidR="00076686">
        <w:t xml:space="preserve">parties to cost of capital proceedings. As such, </w:t>
      </w:r>
      <w:r w:rsidR="00CC3027">
        <w:t>changes to the CCM are not needed at this time.</w:t>
      </w:r>
      <w:r w:rsidR="0087349E">
        <w:t xml:space="preserve"> The CCM </w:t>
      </w:r>
      <w:r w:rsidR="000016DC">
        <w:t>in</w:t>
      </w:r>
      <w:r w:rsidR="00544B3D">
        <w:t>terest rate benchmark</w:t>
      </w:r>
      <w:r w:rsidR="000016DC">
        <w:t xml:space="preserve"> is reset to the October through September average of the Moody’s utility bond rates for the most recent year.</w:t>
      </w:r>
    </w:p>
    <w:p w:rsidR="00603238" w:rsidP="00E748E1" w:rsidRDefault="00603238" w14:paraId="10591E53" w14:textId="3025C614">
      <w:pPr>
        <w:pStyle w:val="Heading1"/>
      </w:pPr>
      <w:bookmarkStart w:name="_Toc214017397" w:id="58"/>
      <w:r>
        <w:t>Summary of Public Comment</w:t>
      </w:r>
      <w:bookmarkEnd w:id="58"/>
    </w:p>
    <w:p w:rsidRPr="00FC25F4" w:rsidR="00603238" w:rsidP="00FC25F4" w:rsidRDefault="00603238" w14:paraId="771C2446" w14:textId="05BA727B">
      <w:pPr>
        <w:rPr>
          <w:rFonts w:ascii="Calibri" w:hAnsi="Calibri"/>
          <w:sz w:val="22"/>
        </w:rPr>
      </w:pPr>
      <w:r w:rsidRPr="009606F2">
        <w:t xml:space="preserve">Rule 1.18 allows any member of the public to submit written comment in any Commission proceeding using the “Public Comment” tab of the online Docket Card for that proceeding on the Commission’s website.  Rule 1.18(b) </w:t>
      </w:r>
      <w:r w:rsidRPr="009606F2">
        <w:lastRenderedPageBreak/>
        <w:t>requires that relevant written comment submitted in a proceeding be summarized in the final decision issued in that proceeding.</w:t>
      </w:r>
      <w:r w:rsidR="007231C0">
        <w:t xml:space="preserve"> </w:t>
      </w:r>
      <w:r w:rsidR="000848A3">
        <w:t xml:space="preserve">There were 69 public comments </w:t>
      </w:r>
      <w:r w:rsidR="001F0FA6">
        <w:t>on</w:t>
      </w:r>
      <w:r w:rsidR="000848A3">
        <w:t xml:space="preserve"> A.25-03-010, </w:t>
      </w:r>
      <w:r w:rsidR="000023E0">
        <w:t xml:space="preserve">101 public comments </w:t>
      </w:r>
      <w:r w:rsidR="001F0FA6">
        <w:t>on</w:t>
      </w:r>
      <w:r w:rsidR="000023E0">
        <w:t xml:space="preserve"> A.25-03-0</w:t>
      </w:r>
      <w:r w:rsidR="00DF0D51">
        <w:t xml:space="preserve">11, </w:t>
      </w:r>
      <w:r w:rsidR="00F56DEB">
        <w:t xml:space="preserve">142 public comments </w:t>
      </w:r>
      <w:r w:rsidR="001F0FA6">
        <w:t>on</w:t>
      </w:r>
      <w:r w:rsidR="00F56DEB">
        <w:t xml:space="preserve"> A.25-03-012, </w:t>
      </w:r>
      <w:r w:rsidR="00FF7783">
        <w:t xml:space="preserve">and 11 public comments </w:t>
      </w:r>
      <w:r w:rsidR="001F0FA6">
        <w:t>on</w:t>
      </w:r>
      <w:r w:rsidR="00FF7783">
        <w:t xml:space="preserve"> </w:t>
      </w:r>
      <w:r w:rsidR="00540ADB">
        <w:t xml:space="preserve">A.25-03-013. </w:t>
      </w:r>
      <w:r w:rsidR="006270C2">
        <w:t xml:space="preserve">The assigned ALJ read all public comments. </w:t>
      </w:r>
      <w:r w:rsidR="00F56DEB">
        <w:t>The p</w:t>
      </w:r>
      <w:r w:rsidR="00540ADB">
        <w:t xml:space="preserve">ublic comments are overwhelmingly </w:t>
      </w:r>
      <w:r w:rsidR="005E17C1">
        <w:t xml:space="preserve">opposed to </w:t>
      </w:r>
      <w:r w:rsidR="00540ADB">
        <w:t xml:space="preserve">rate increases for the </w:t>
      </w:r>
      <w:r w:rsidR="005E17C1">
        <w:t>respective Applicants</w:t>
      </w:r>
      <w:r w:rsidR="00AB7547">
        <w:t xml:space="preserve"> </w:t>
      </w:r>
      <w:r w:rsidR="00E271DA">
        <w:t>and many share</w:t>
      </w:r>
      <w:r w:rsidR="00C0152B">
        <w:t xml:space="preserve"> the</w:t>
      </w:r>
      <w:r w:rsidR="00E271DA">
        <w:t xml:space="preserve"> personal struggles </w:t>
      </w:r>
      <w:r w:rsidR="00C0152B">
        <w:t xml:space="preserve">many Californians have </w:t>
      </w:r>
      <w:r w:rsidR="00E271DA">
        <w:t>with affording access to electric and gas service.</w:t>
      </w:r>
      <w:r w:rsidR="00BA5E89">
        <w:t xml:space="preserve"> We thank the public </w:t>
      </w:r>
      <w:r w:rsidR="00D21779">
        <w:t>for</w:t>
      </w:r>
      <w:r w:rsidR="00BA5E89">
        <w:t xml:space="preserve"> sharing </w:t>
      </w:r>
      <w:r w:rsidR="00041269">
        <w:t>their thoughts and experiences with the Commission.</w:t>
      </w:r>
    </w:p>
    <w:p w:rsidR="004A1EAD" w:rsidP="004A1EAD" w:rsidRDefault="004A1EAD" w14:paraId="73FB88D0" w14:textId="77777777">
      <w:pPr>
        <w:pStyle w:val="Heading1"/>
      </w:pPr>
      <w:bookmarkStart w:name="_Toc214017398" w:id="59"/>
      <w:bookmarkStart w:name="_Toc8123723" w:id="60"/>
      <w:bookmarkEnd w:id="17"/>
      <w:r>
        <w:t>Procedural Matters</w:t>
      </w:r>
      <w:bookmarkEnd w:id="59"/>
    </w:p>
    <w:p w:rsidRPr="008B175A" w:rsidR="004A1EAD" w:rsidP="004A1EAD" w:rsidRDefault="004A1EAD" w14:paraId="13BC9903" w14:textId="62807D2B">
      <w:pPr>
        <w:pStyle w:val="Standard"/>
      </w:pPr>
      <w:r w:rsidRPr="008B175A">
        <w:t>This decision affirms all rulings made by the Administrative Law Judge and assigned Commissioner in this proceeding. All motions not ruled on are deemed denied.</w:t>
      </w:r>
    </w:p>
    <w:p w:rsidR="005939A5" w:rsidP="005939A5" w:rsidRDefault="005939A5" w14:paraId="4546CEE6" w14:textId="07959726">
      <w:pPr>
        <w:pStyle w:val="Heading1"/>
      </w:pPr>
      <w:bookmarkStart w:name="_Toc214017399" w:id="61"/>
      <w:r>
        <w:t>Comments on Proposed Decision</w:t>
      </w:r>
      <w:bookmarkEnd w:id="60"/>
      <w:bookmarkEnd w:id="61"/>
    </w:p>
    <w:p w:rsidR="005939A5" w:rsidP="00584EBD" w:rsidRDefault="005C58FA" w14:paraId="5BFD9683" w14:textId="095A961F">
      <w:pPr>
        <w:pStyle w:val="Standard"/>
      </w:pPr>
      <w:r w:rsidRPr="00B03624">
        <w:t xml:space="preserve">The proposed decision of ALJ </w:t>
      </w:r>
      <w:r w:rsidRPr="00B03624" w:rsidR="00584EBD">
        <w:t>Jonathan</w:t>
      </w:r>
      <w:r w:rsidR="00584EBD">
        <w:t xml:space="preserve"> Lakey</w:t>
      </w:r>
      <w:r w:rsidR="00D17B74">
        <w:t xml:space="preserve"> </w:t>
      </w:r>
      <w:r>
        <w:t xml:space="preserve">in this matter was mailed to the parties in accordance with Section 311 of the Public Utilities Code and comments were allowed under Rule 14.3 of the Commission’s Rules of Practice and Procedure.  Comments were filed on </w:t>
      </w:r>
      <w:r w:rsidR="00061E2B">
        <w:t>December 4, 2025 by SCE, EPUC/IS, Sierra Club/PCF</w:t>
      </w:r>
      <w:r w:rsidR="00D90912">
        <w:t>, PG&amp;E, SDG&amp;E, UCAN, TURN, SBUA, Wild Tree, Cal Advocates, EDF, and SoCalGas. Reply</w:t>
      </w:r>
      <w:r>
        <w:t xml:space="preserve"> comments were filed on </w:t>
      </w:r>
      <w:r w:rsidR="00D257C0">
        <w:t xml:space="preserve">December 9, 2025, </w:t>
      </w:r>
      <w:r>
        <w:t xml:space="preserve">by </w:t>
      </w:r>
      <w:r w:rsidR="00D257C0">
        <w:t xml:space="preserve">SoCalGas, </w:t>
      </w:r>
      <w:r w:rsidR="0056690E">
        <w:t>EDF, SDG&amp;E, SCE, TURN,</w:t>
      </w:r>
      <w:r w:rsidR="001B6085">
        <w:t xml:space="preserve"> Sierra Club/PCF, </w:t>
      </w:r>
      <w:r w:rsidR="00965F2C">
        <w:t xml:space="preserve">PG&amp;E, </w:t>
      </w:r>
      <w:r w:rsidR="001B6085">
        <w:t xml:space="preserve">SBUA, Cal Advocates, </w:t>
      </w:r>
      <w:r w:rsidR="00DC56B3">
        <w:t xml:space="preserve">and </w:t>
      </w:r>
      <w:r w:rsidR="001B6085">
        <w:t>EPUC/IS</w:t>
      </w:r>
      <w:r w:rsidR="00D257C0">
        <w:t>.</w:t>
      </w:r>
      <w:r w:rsidRPr="00C878D5" w:rsidR="00D257C0">
        <w:t xml:space="preserve"> </w:t>
      </w:r>
      <w:r w:rsidR="007C1D6F">
        <w:t xml:space="preserve">Changes have been made throughout the decision in response to </w:t>
      </w:r>
      <w:r w:rsidR="002132A1">
        <w:t>these comments.</w:t>
      </w:r>
      <w:r w:rsidR="007A64E2">
        <w:t xml:space="preserve"> </w:t>
      </w:r>
      <w:r w:rsidR="00296AE3">
        <w:t>After considering opening and reply comments, a slight increase in</w:t>
      </w:r>
      <w:r w:rsidR="00846CBF">
        <w:t xml:space="preserve"> authorized</w:t>
      </w:r>
      <w:r w:rsidR="00296AE3">
        <w:t xml:space="preserve"> </w:t>
      </w:r>
      <w:r w:rsidR="001F3866">
        <w:t xml:space="preserve">ROE </w:t>
      </w:r>
      <w:r w:rsidR="006B11AD">
        <w:t xml:space="preserve">is </w:t>
      </w:r>
      <w:r w:rsidR="00BD1580">
        <w:t>appropriate.</w:t>
      </w:r>
      <w:r w:rsidR="00D74ABD">
        <w:t xml:space="preserve"> </w:t>
      </w:r>
      <w:r w:rsidRPr="00BD1580" w:rsidR="00BD1580">
        <w:t xml:space="preserve">This modest adjustment duly accounts for prevailing market conditions and the Applicants’ risk profiles and is appropriate to support the Applicants’ capacity to attract capital on reasonable </w:t>
      </w:r>
      <w:r w:rsidRPr="00BD1580" w:rsidR="00BD1580">
        <w:lastRenderedPageBreak/>
        <w:t>terms sufficient to finance the prudent discharge of their statutory public utility obligations and to support the maintenance or achievement of investment-grade creditworthiness.</w:t>
      </w:r>
      <w:r w:rsidR="004E2FDE">
        <w:t xml:space="preserve"> The corresponding ROR is adjusted accordingly.</w:t>
      </w:r>
    </w:p>
    <w:p w:rsidR="005939A5" w:rsidP="005939A5" w:rsidRDefault="005939A5" w14:paraId="2A8401BF" w14:textId="77777777">
      <w:pPr>
        <w:pStyle w:val="Heading1"/>
      </w:pPr>
      <w:bookmarkStart w:name="_Toc8123724" w:id="62"/>
      <w:bookmarkStart w:name="_Toc214017400" w:id="63"/>
      <w:r>
        <w:t>Assignment of Proceeding</w:t>
      </w:r>
      <w:bookmarkEnd w:id="62"/>
      <w:bookmarkEnd w:id="63"/>
    </w:p>
    <w:p w:rsidR="005939A5" w:rsidP="006E6574" w:rsidRDefault="00584EBD" w14:paraId="2543D448" w14:textId="5966DEBC">
      <w:pPr>
        <w:pStyle w:val="Standard"/>
      </w:pPr>
      <w:r>
        <w:t>President Alice Reynolds</w:t>
      </w:r>
      <w:r w:rsidR="005939A5">
        <w:t xml:space="preserve"> is the assigned Commissioner and </w:t>
      </w:r>
      <w:r>
        <w:t>Jonathan Lakey</w:t>
      </w:r>
      <w:r w:rsidR="005939A5">
        <w:t xml:space="preserve"> is the assigned Administrative Law Judge in this proceeding.</w:t>
      </w:r>
    </w:p>
    <w:p w:rsidR="005939A5" w:rsidP="005939A5" w:rsidRDefault="005939A5" w14:paraId="3633841B" w14:textId="77777777">
      <w:pPr>
        <w:pStyle w:val="Dummy"/>
      </w:pPr>
      <w:bookmarkStart w:name="_Toc8123725" w:id="64"/>
      <w:bookmarkStart w:name="_Toc214017401" w:id="65"/>
      <w:r>
        <w:t>Findings of Fact</w:t>
      </w:r>
      <w:bookmarkEnd w:id="64"/>
      <w:bookmarkEnd w:id="65"/>
    </w:p>
    <w:p w:rsidRPr="001E2A62" w:rsidR="00F62B7A" w:rsidP="001E2A62" w:rsidRDefault="00E460F4" w14:paraId="715FD141" w14:textId="32F02F79">
      <w:pPr>
        <w:pStyle w:val="FoF"/>
      </w:pPr>
      <w:r>
        <w:t>The applicants are public utilities subject to the jurisdiction of this Commission.</w:t>
      </w:r>
    </w:p>
    <w:p w:rsidRPr="001E2A62" w:rsidR="00F62B7A" w:rsidP="001E2A62" w:rsidRDefault="009A4D80" w14:paraId="03EB9577" w14:textId="091B549D">
      <w:pPr>
        <w:pStyle w:val="FoF"/>
      </w:pPr>
      <w:r>
        <w:t>PG&amp;E, SoCalGas, SCE, and SDG&amp;E’s applications were consolidated.</w:t>
      </w:r>
    </w:p>
    <w:p w:rsidR="008E6AE6" w:rsidP="001E2A62" w:rsidRDefault="00665388" w14:paraId="7FD1AA9A" w14:textId="54E9E28D">
      <w:pPr>
        <w:pStyle w:val="FoF"/>
      </w:pPr>
      <w:r>
        <w:t>PG&amp;E and SDG&amp;E requested modifications to their authorized capital structure.</w:t>
      </w:r>
    </w:p>
    <w:p w:rsidR="00CC5F67" w:rsidP="001E2A62" w:rsidRDefault="00F506A2" w14:paraId="299F600A" w14:textId="733DC8F3">
      <w:pPr>
        <w:pStyle w:val="FoF"/>
      </w:pPr>
      <w:r>
        <w:t xml:space="preserve">PG&amp;E seeks a test year 2026 ratemaking capital structure of </w:t>
      </w:r>
      <w:r w:rsidR="00BC2989">
        <w:t>52.00% common,</w:t>
      </w:r>
      <w:r w:rsidRPr="006566AB" w:rsidR="006566AB">
        <w:t xml:space="preserve"> </w:t>
      </w:r>
      <w:r w:rsidR="006566AB">
        <w:t>preferred stock of 0.30%, and</w:t>
      </w:r>
      <w:r w:rsidR="00BC2989">
        <w:t xml:space="preserve"> long-term-debt of 47.70%</w:t>
      </w:r>
      <w:r w:rsidR="006566AB">
        <w:t>.</w:t>
      </w:r>
      <w:r w:rsidR="00B56241">
        <w:t xml:space="preserve"> PG&amp;E’s current authorization is 52.00%</w:t>
      </w:r>
      <w:r w:rsidR="00D86920">
        <w:t xml:space="preserve"> common equity. 0.5% preferred equity, and 47.75% </w:t>
      </w:r>
      <w:r w:rsidR="002C2105">
        <w:t>long-term debt</w:t>
      </w:r>
      <w:r w:rsidR="00D86920">
        <w:t>.</w:t>
      </w:r>
    </w:p>
    <w:p w:rsidR="006566AB" w:rsidP="001E2A62" w:rsidRDefault="00CB1326" w14:paraId="241F4C43" w14:textId="7547B09C">
      <w:pPr>
        <w:pStyle w:val="FoF"/>
      </w:pPr>
      <w:r>
        <w:t xml:space="preserve">SoCalGas seeks a test year 2026 ratemaking capital structure that maintains its existing capital structure </w:t>
      </w:r>
      <w:r w:rsidR="00B8442B">
        <w:t>of 52.00% common equity, 2.40% preferred equity, and 45.60% long-term debt.</w:t>
      </w:r>
    </w:p>
    <w:p w:rsidR="007E5211" w:rsidP="001E2A62" w:rsidRDefault="007E5211" w14:paraId="0ECE370D" w14:textId="33F0EED8">
      <w:pPr>
        <w:pStyle w:val="FoF"/>
      </w:pPr>
      <w:r>
        <w:t>SCE seeks a test year 2026 ratemaking capital structure that maintains its existing capital structure of 52.00</w:t>
      </w:r>
      <w:r w:rsidR="00003210">
        <w:t>% common equity, 5.00% preferred equity, and 43.00%</w:t>
      </w:r>
      <w:r w:rsidR="004649C3">
        <w:t xml:space="preserve"> long-term debt.</w:t>
      </w:r>
    </w:p>
    <w:p w:rsidR="004649C3" w:rsidP="001E2A62" w:rsidRDefault="004649C3" w14:paraId="67D6FF7A" w14:textId="1098D851">
      <w:pPr>
        <w:pStyle w:val="FoF"/>
      </w:pPr>
      <w:r>
        <w:t xml:space="preserve">SDG&amp;E seeks a test year 2026 ratemaking capital structure of </w:t>
      </w:r>
      <w:r w:rsidR="00686363">
        <w:t>54.00% common equity, 0.00% preferred equity, and 46.00% long-term debt</w:t>
      </w:r>
      <w:r w:rsidR="00D46A23">
        <w:t xml:space="preserve">. SDG&amp;E’s </w:t>
      </w:r>
      <w:r w:rsidR="00047C73">
        <w:t xml:space="preserve">current authorization is 52.00% common equity, </w:t>
      </w:r>
      <w:r w:rsidR="00531769">
        <w:t>2.75% preferred equity, and 45.25% long-term debt.</w:t>
      </w:r>
    </w:p>
    <w:p w:rsidRPr="0029130E" w:rsidR="00282A0A" w:rsidP="001E2A62" w:rsidRDefault="00282A0A" w14:paraId="0741060F" w14:textId="3E4D4CF7">
      <w:pPr>
        <w:pStyle w:val="FoF"/>
      </w:pPr>
      <w:r>
        <w:lastRenderedPageBreak/>
        <w:t xml:space="preserve">S&amp;P Global Market Intelligence data through </w:t>
      </w:r>
      <w:r w:rsidRPr="0029130E" w:rsidR="00945C51">
        <w:t>March 31, 2025</w:t>
      </w:r>
      <w:r w:rsidRPr="0029130E" w:rsidR="00A45723">
        <w:t>,</w:t>
      </w:r>
      <w:r w:rsidRPr="00945C51" w:rsidR="00A45723">
        <w:t xml:space="preserve"> i</w:t>
      </w:r>
      <w:r w:rsidR="00A45723">
        <w:t>ndicates that the average electric industry authorized common equity portion in 202</w:t>
      </w:r>
      <w:r w:rsidR="009409C8">
        <w:t>5</w:t>
      </w:r>
      <w:r w:rsidR="00A45723">
        <w:t xml:space="preserve"> </w:t>
      </w:r>
      <w:r w:rsidRPr="0029130E" w:rsidR="00A45723">
        <w:t xml:space="preserve">is </w:t>
      </w:r>
      <w:r w:rsidRPr="0029130E" w:rsidR="009409C8">
        <w:t xml:space="preserve">50.53% </w:t>
      </w:r>
      <w:r w:rsidRPr="0029130E" w:rsidR="00525A1B">
        <w:t xml:space="preserve">and the </w:t>
      </w:r>
      <w:r w:rsidRPr="0029130E" w:rsidR="00F63B84">
        <w:t>average natural gas industry authorized com</w:t>
      </w:r>
      <w:r w:rsidRPr="0029130E" w:rsidR="00BE10EF">
        <w:t>mon equity portion in 202</w:t>
      </w:r>
      <w:r w:rsidR="0029130E">
        <w:t>5</w:t>
      </w:r>
      <w:r w:rsidRPr="0029130E" w:rsidR="00BE10EF">
        <w:t xml:space="preserve"> is </w:t>
      </w:r>
      <w:r w:rsidRPr="0029130E" w:rsidR="0029130E">
        <w:t>50.13%.</w:t>
      </w:r>
    </w:p>
    <w:p w:rsidR="00BE10EF" w:rsidP="001E2A62" w:rsidRDefault="00BE10EF" w14:paraId="6A701C2C" w14:textId="00B946F4">
      <w:pPr>
        <w:pStyle w:val="FoF"/>
      </w:pPr>
      <w:r>
        <w:t xml:space="preserve">An authorization of 52.00% </w:t>
      </w:r>
      <w:r w:rsidR="001728A4">
        <w:t xml:space="preserve">common </w:t>
      </w:r>
      <w:r>
        <w:t xml:space="preserve">equity for the </w:t>
      </w:r>
      <w:r w:rsidR="001728A4">
        <w:t>A</w:t>
      </w:r>
      <w:r>
        <w:t xml:space="preserve">pplicants is </w:t>
      </w:r>
      <w:r w:rsidR="002D3444">
        <w:t>higher than the</w:t>
      </w:r>
      <w:r w:rsidR="00CC2669">
        <w:t xml:space="preserve"> electric and gas industry averages</w:t>
      </w:r>
      <w:r>
        <w:t>.</w:t>
      </w:r>
    </w:p>
    <w:p w:rsidR="00BE10EF" w:rsidP="001E2A62" w:rsidRDefault="00103243" w14:paraId="63B2A338" w14:textId="72DFACDC">
      <w:pPr>
        <w:pStyle w:val="FoF"/>
      </w:pPr>
      <w:r>
        <w:t>Preferred equity is viewed by credit rating agencies as a hybrid of long-term debt and common equity.</w:t>
      </w:r>
    </w:p>
    <w:p w:rsidR="004744B7" w:rsidP="001E2A62" w:rsidRDefault="00215B5D" w14:paraId="0D4D3537" w14:textId="3A8F5524">
      <w:pPr>
        <w:pStyle w:val="FoF"/>
      </w:pPr>
      <w:r>
        <w:t xml:space="preserve">It is not beneficial to ratepayers for PG&amp;E </w:t>
      </w:r>
      <w:r w:rsidR="00652491">
        <w:t xml:space="preserve">to </w:t>
      </w:r>
      <w:r w:rsidR="00247291">
        <w:t>increase its authorized leverage as a result of this proceeding.</w:t>
      </w:r>
    </w:p>
    <w:p w:rsidR="00247291" w:rsidP="001E2A62" w:rsidRDefault="00790A9D" w14:paraId="300221F3" w14:textId="7CBCE903">
      <w:pPr>
        <w:pStyle w:val="FoF"/>
      </w:pPr>
      <w:r>
        <w:t xml:space="preserve">It is not beneficial to ratepayers </w:t>
      </w:r>
      <w:r w:rsidR="00CA4976">
        <w:t xml:space="preserve">for SDG&amp;E to reduce its preferred equity </w:t>
      </w:r>
      <w:r w:rsidR="00735D64">
        <w:t xml:space="preserve">to 0.00% </w:t>
      </w:r>
      <w:r w:rsidR="00CA4976">
        <w:t>and</w:t>
      </w:r>
      <w:r w:rsidR="00735D64">
        <w:t xml:space="preserve"> increase its long-term debt</w:t>
      </w:r>
      <w:r w:rsidR="00CA4976">
        <w:t xml:space="preserve"> </w:t>
      </w:r>
      <w:r w:rsidR="00735D64">
        <w:t>and</w:t>
      </w:r>
      <w:r w:rsidR="00CA4976">
        <w:t xml:space="preserve"> common equity.</w:t>
      </w:r>
    </w:p>
    <w:p w:rsidRPr="00C603F6" w:rsidR="00073656" w:rsidP="001E2A62" w:rsidRDefault="00A55023" w14:paraId="4C97D0C9" w14:textId="00C601BE">
      <w:pPr>
        <w:pStyle w:val="FoF"/>
      </w:pPr>
      <w:r w:rsidRPr="00C603F6">
        <w:t>Generally, parties did not object to the proposed embedded cost of debt and preferred equity proposed by the applicants.</w:t>
      </w:r>
    </w:p>
    <w:p w:rsidR="00A55023" w:rsidP="001E2A62" w:rsidRDefault="006010EB" w14:paraId="328F778E" w14:textId="10B4E03C">
      <w:pPr>
        <w:pStyle w:val="FoF"/>
      </w:pPr>
      <w:r>
        <w:t>PG&amp;E seeks a Test Year 2026 ROE authorization of 11.30%</w:t>
      </w:r>
      <w:r w:rsidR="002B1AB4">
        <w:t>.</w:t>
      </w:r>
    </w:p>
    <w:p w:rsidR="002B1AB4" w:rsidP="001E2A62" w:rsidRDefault="002B1AB4" w14:paraId="5F8FC69F" w14:textId="08F50E8C">
      <w:pPr>
        <w:pStyle w:val="FoF"/>
      </w:pPr>
      <w:r>
        <w:t>SoCalGas seeks a Test Year 2026 ROE authorization of 11.00%</w:t>
      </w:r>
      <w:r w:rsidR="00DA4392">
        <w:t>.</w:t>
      </w:r>
    </w:p>
    <w:p w:rsidR="00263595" w:rsidP="001E2A62" w:rsidRDefault="00263595" w14:paraId="4E3ABC44" w14:textId="118DD9EF">
      <w:pPr>
        <w:pStyle w:val="FoF"/>
      </w:pPr>
      <w:r>
        <w:t xml:space="preserve">SCE seeks a Test Year 2026 ROE authorization of </w:t>
      </w:r>
      <w:r w:rsidR="00DA4392">
        <w:t>11.75%.</w:t>
      </w:r>
    </w:p>
    <w:p w:rsidR="00DA4392" w:rsidP="001E2A62" w:rsidRDefault="00DA4392" w14:paraId="46B4A1FA" w14:textId="6DC953C3">
      <w:pPr>
        <w:pStyle w:val="FoF"/>
      </w:pPr>
      <w:r>
        <w:t xml:space="preserve">SDG&amp;E seeks a Test Year 2026 ROE authorization of </w:t>
      </w:r>
      <w:r w:rsidR="009D5774">
        <w:t>11.25%.</w:t>
      </w:r>
    </w:p>
    <w:p w:rsidR="009D5774" w:rsidP="001E2A62" w:rsidRDefault="00EF1743" w14:paraId="16D4A488" w14:textId="31601765">
      <w:pPr>
        <w:pStyle w:val="FoF"/>
      </w:pPr>
      <w:r>
        <w:t>The intervenors sought Test Year 2026 ROE authorizations for the applicants that were lower than the ROE authorizations the utilities proposed.</w:t>
      </w:r>
    </w:p>
    <w:p w:rsidR="00EF1743" w:rsidP="001E2A62" w:rsidRDefault="00EF1743" w14:paraId="5184B7C0" w14:textId="2BA91286">
      <w:pPr>
        <w:pStyle w:val="FoF"/>
      </w:pPr>
      <w:r>
        <w:t>ROE is most effectively set at a level of return commensurate with market returns on investments having corresponding risks and adequate to enable a utility to attract investors to finance the replacement and expansion of a utility’s facilities to fulfill its public utility obligation while ensuring there is ratepayer protection from unreasonable costs.</w:t>
      </w:r>
    </w:p>
    <w:p w:rsidR="00EF1743" w:rsidP="001E2A62" w:rsidRDefault="00EF1743" w14:paraId="0751D291" w14:textId="4159417D">
      <w:pPr>
        <w:pStyle w:val="FoF"/>
      </w:pPr>
      <w:r>
        <w:lastRenderedPageBreak/>
        <w:t>The Applicants and many intervenors proposed proxy groups of similarly situated companies in an effort to argue what the appropriate commensurate market benchmark is for setting the ROE of the utilities.</w:t>
      </w:r>
    </w:p>
    <w:p w:rsidR="00161E5C" w:rsidP="00161E5C" w:rsidRDefault="007E25E5" w14:paraId="70855F94" w14:textId="77777777">
      <w:pPr>
        <w:pStyle w:val="FoF"/>
      </w:pPr>
      <w:r>
        <w:t>PG&amp;E, SoCalGas, and SDG&amp;E proposed proxy groups of similar companies to be used in their financial models.</w:t>
      </w:r>
      <w:r w:rsidRPr="00161E5C" w:rsidR="00161E5C">
        <w:t xml:space="preserve"> </w:t>
      </w:r>
    </w:p>
    <w:p w:rsidR="00161E5C" w:rsidP="00161E5C" w:rsidRDefault="00161E5C" w14:paraId="2C2FFEEC" w14:textId="72959BC2">
      <w:pPr>
        <w:pStyle w:val="FoF"/>
      </w:pPr>
      <w:r>
        <w:t>PG&amp;E’s witness analyzed regulated electric utilities and regulated gas utilities.</w:t>
      </w:r>
    </w:p>
    <w:p w:rsidR="00A22D18" w:rsidP="001E2A62" w:rsidRDefault="00F313D5" w14:paraId="251EA035" w14:textId="638D06B4">
      <w:pPr>
        <w:pStyle w:val="FoF"/>
      </w:pPr>
      <w:r>
        <w:t xml:space="preserve">SoCalGas’ witness </w:t>
      </w:r>
      <w:r w:rsidR="00BD58A0">
        <w:t xml:space="preserve">analyzed seven </w:t>
      </w:r>
      <w:r w:rsidR="00B84B6B">
        <w:t>publicly traded domestic natural gas distribution companies.</w:t>
      </w:r>
    </w:p>
    <w:p w:rsidR="00161E5C" w:rsidP="00161E5C" w:rsidRDefault="00161E5C" w14:paraId="214D59B6" w14:textId="0FF54507">
      <w:pPr>
        <w:pStyle w:val="FoF"/>
      </w:pPr>
      <w:r>
        <w:t>SCE</w:t>
      </w:r>
      <w:r w:rsidR="00500A12">
        <w:t>’s witness analyzed</w:t>
      </w:r>
      <w:r>
        <w:t xml:space="preserve"> a proxy group that includes electric utilities and </w:t>
      </w:r>
      <w:r w:rsidR="003E1FF8">
        <w:t xml:space="preserve">a </w:t>
      </w:r>
      <w:r>
        <w:t>secondary proxy group that contains water and natural gas utilities.</w:t>
      </w:r>
    </w:p>
    <w:p w:rsidR="00161E5C" w:rsidP="001E2A62" w:rsidRDefault="00161E5C" w14:paraId="3E18677B" w14:textId="552CE5B9">
      <w:pPr>
        <w:pStyle w:val="FoF"/>
      </w:pPr>
      <w:r>
        <w:t xml:space="preserve">SDG&amp;E’s witness </w:t>
      </w:r>
      <w:r w:rsidR="00500A12">
        <w:t xml:space="preserve">analyzed a proxy </w:t>
      </w:r>
      <w:r w:rsidR="00531B6F">
        <w:t xml:space="preserve">comprised of 26 investor-owned domestic electric utility </w:t>
      </w:r>
      <w:r w:rsidR="003E1FF8">
        <w:t xml:space="preserve">companies, </w:t>
      </w:r>
      <w:r w:rsidR="00523381">
        <w:t>some of which owned both electric and gas utilities.</w:t>
      </w:r>
    </w:p>
    <w:p w:rsidR="00523381" w:rsidP="001E2A62" w:rsidRDefault="00523381" w14:paraId="2B7F9C8A" w14:textId="5015C432">
      <w:pPr>
        <w:pStyle w:val="FoF"/>
      </w:pPr>
      <w:r>
        <w:t>In some circumstances there was overlap in the proxy groups proposed by the intervenors</w:t>
      </w:r>
      <w:r w:rsidR="003C68AB">
        <w:t>, on some occasions matching the proxy groups of some utilities or differing only slightly.</w:t>
      </w:r>
    </w:p>
    <w:p w:rsidR="003C68AB" w:rsidP="001E2A62" w:rsidRDefault="003C68AB" w14:paraId="2E63A61A" w14:textId="2897B68B">
      <w:pPr>
        <w:pStyle w:val="FoF"/>
      </w:pPr>
      <w:r>
        <w:t>In some circumstances, intervenors used different companies for their proxy groups and at times excluded companies from their proxy group when using the CAPM, RPM, and DCF financial models.</w:t>
      </w:r>
    </w:p>
    <w:p w:rsidR="000E7401" w:rsidP="001E2A62" w:rsidRDefault="000E7401" w14:paraId="2FF2B6EE" w14:textId="7B66C275">
      <w:pPr>
        <w:pStyle w:val="FoF"/>
      </w:pPr>
      <w:r>
        <w:t>The parties used variations of the CAPM, DCF, and RPM financial models to support their respective ROE recommendations.</w:t>
      </w:r>
    </w:p>
    <w:p w:rsidR="00440F66" w:rsidP="001E2A62" w:rsidRDefault="00440F66" w14:paraId="1863CBD6" w14:textId="4CCBC75E">
      <w:pPr>
        <w:pStyle w:val="FoF"/>
      </w:pPr>
      <w:r>
        <w:t>Each party used different subjective inputs and variations of the CAPM, DCF, and RPM financial models as a basis for their recommended ROEs.</w:t>
      </w:r>
    </w:p>
    <w:p w:rsidR="00EA3BB3" w:rsidP="001E2A62" w:rsidRDefault="00EA3BB3" w14:paraId="5E1B8278" w14:textId="734980A3">
      <w:pPr>
        <w:pStyle w:val="FoF"/>
      </w:pPr>
      <w:r>
        <w:lastRenderedPageBreak/>
        <w:t>In setting the ROE, it is beneficial for the Commission to consider new risks that reasonably impact the utilities while ensuring that it is not consider</w:t>
      </w:r>
      <w:r w:rsidR="00693F34">
        <w:t>ing risks that are unreasonable and beyond the prudent manager standard.</w:t>
      </w:r>
    </w:p>
    <w:p w:rsidR="00693F34" w:rsidP="001E2A62" w:rsidRDefault="00693F34" w14:paraId="6BD31A7A" w14:textId="057B49BB">
      <w:pPr>
        <w:pStyle w:val="FoF"/>
      </w:pPr>
      <w:r>
        <w:t>Financial risk is tied to the utility’s capital structure.</w:t>
      </w:r>
    </w:p>
    <w:p w:rsidR="007870D5" w:rsidP="001E2A62" w:rsidRDefault="007870D5" w14:paraId="73709D07" w14:textId="11109C20">
      <w:pPr>
        <w:pStyle w:val="FoF"/>
      </w:pPr>
      <w:r>
        <w:t>Business risk pertains to new uncertainties resulting from competition and the economy.</w:t>
      </w:r>
    </w:p>
    <w:p w:rsidR="007870D5" w:rsidP="001E2A62" w:rsidRDefault="007870D5" w14:paraId="2D6952A3" w14:textId="469E21B3">
      <w:pPr>
        <w:pStyle w:val="FoF"/>
      </w:pPr>
      <w:r>
        <w:t>There is significant complexity in the utilit</w:t>
      </w:r>
      <w:r w:rsidR="00247F84">
        <w:t>ies’ obligation to transform the electric and gas grids of California and there are significant statutory and regulatory mechanisms in place to ensure reasonable risk is applied to the Applicants in achieving the necessary outcomes.</w:t>
      </w:r>
    </w:p>
    <w:p w:rsidR="00247F84" w:rsidP="001E2A62" w:rsidRDefault="006E1D1C" w14:paraId="66F82F9D" w14:textId="12E77838">
      <w:pPr>
        <w:pStyle w:val="FoF"/>
      </w:pPr>
      <w:r>
        <w:t xml:space="preserve">Natural gas utilities in the United States do not confront the same wildfire risks </w:t>
      </w:r>
      <w:r w:rsidR="00296A0D">
        <w:t>as electric utilities in the United States.</w:t>
      </w:r>
    </w:p>
    <w:p w:rsidR="00296A0D" w:rsidP="001E2A62" w:rsidRDefault="00296A0D" w14:paraId="68E05E3A" w14:textId="7412C039">
      <w:pPr>
        <w:pStyle w:val="FoF"/>
      </w:pPr>
      <w:r>
        <w:t xml:space="preserve">There are regulatory mechanisms in place to mitigate cashflow risks </w:t>
      </w:r>
      <w:r w:rsidR="00C04312">
        <w:t>faced by the Applicants.</w:t>
      </w:r>
    </w:p>
    <w:p w:rsidR="00C04312" w:rsidP="001E2A62" w:rsidRDefault="00C04312" w14:paraId="7398ACDD" w14:textId="530E6234">
      <w:pPr>
        <w:pStyle w:val="FoF"/>
      </w:pPr>
      <w:r>
        <w:t xml:space="preserve">There are macroeconomic </w:t>
      </w:r>
      <w:r w:rsidR="00BC1B3E">
        <w:t>uncertainties present that are relatively ubiquitous and generally impact all electric and gas utilities in the United States uniformly.</w:t>
      </w:r>
    </w:p>
    <w:p w:rsidR="00293BDB" w:rsidP="001E2A62" w:rsidRDefault="00293BDB" w14:paraId="27904057" w14:textId="44D53261">
      <w:pPr>
        <w:pStyle w:val="FoF"/>
      </w:pPr>
      <w:r>
        <w:t>Regulatory risk pertains to new risks that investors may face from future regulatory actions.</w:t>
      </w:r>
    </w:p>
    <w:p w:rsidR="00293BDB" w:rsidP="001E2A62" w:rsidRDefault="00293BDB" w14:paraId="11739156" w14:textId="39FCE814">
      <w:pPr>
        <w:pStyle w:val="FoF"/>
      </w:pPr>
      <w:r>
        <w:t xml:space="preserve">There were generally no new regulatory risks presented for the Test Year 2026 Cost of Capital cycle that were not previously addressed by the Commission in </w:t>
      </w:r>
      <w:r w:rsidR="004A09A2">
        <w:t>prior Cost of Capital cycles.</w:t>
      </w:r>
    </w:p>
    <w:p w:rsidR="00192837" w:rsidP="001E2A62" w:rsidRDefault="00192837" w14:paraId="45BB1F2A" w14:textId="13421924">
      <w:pPr>
        <w:pStyle w:val="FoF"/>
      </w:pPr>
      <w:r>
        <w:t>S&amp;P’s issue/corporate family credit rating for PG&amp;E is BB</w:t>
      </w:r>
      <w:r>
        <w:rPr>
          <w:rStyle w:val="FootnoteReference"/>
        </w:rPr>
        <w:footnoteReference w:id="243"/>
      </w:r>
      <w:r>
        <w:t xml:space="preserve"> and its secured credit rating is BBB.</w:t>
      </w:r>
      <w:r w:rsidR="00392DF9">
        <w:t xml:space="preserve"> </w:t>
      </w:r>
      <w:r w:rsidRPr="00392DF9" w:rsidR="00392DF9">
        <w:t xml:space="preserve">PG&amp;E’s </w:t>
      </w:r>
      <w:r w:rsidRPr="00392DF9" w:rsidR="00C73A7E">
        <w:t xml:space="preserve">secured credit rating </w:t>
      </w:r>
      <w:r w:rsidR="00C73A7E">
        <w:t xml:space="preserve">from S&amp;P </w:t>
      </w:r>
      <w:r w:rsidRPr="00392DF9" w:rsidR="00C73A7E">
        <w:t xml:space="preserve">is </w:t>
      </w:r>
      <w:r w:rsidRPr="00392DF9" w:rsidR="00C73A7E">
        <w:lastRenderedPageBreak/>
        <w:t>considered investment grade</w:t>
      </w:r>
      <w:r w:rsidR="00C73A7E">
        <w:t xml:space="preserve"> while its</w:t>
      </w:r>
      <w:r w:rsidRPr="00392DF9" w:rsidR="00C73A7E">
        <w:t xml:space="preserve"> </w:t>
      </w:r>
      <w:r w:rsidRPr="00392DF9" w:rsidR="00392DF9">
        <w:t xml:space="preserve">issue/corporate family credit rating from S&amp;P is considered </w:t>
      </w:r>
      <w:r w:rsidR="00C73A7E">
        <w:t>sub-investment</w:t>
      </w:r>
      <w:r w:rsidRPr="00392DF9" w:rsidR="00392DF9">
        <w:t xml:space="preserve"> grade.</w:t>
      </w:r>
    </w:p>
    <w:p w:rsidR="00C73A7E" w:rsidP="001E2A62" w:rsidRDefault="006378AE" w14:paraId="72B339BD" w14:textId="0CA3577E">
      <w:pPr>
        <w:pStyle w:val="FoF"/>
      </w:pPr>
      <w:r>
        <w:t xml:space="preserve">SoCalGas has an </w:t>
      </w:r>
      <w:r w:rsidR="003F0A20">
        <w:t>investment grade rating of A-.</w:t>
      </w:r>
    </w:p>
    <w:p w:rsidR="00423F01" w:rsidP="001E2A62" w:rsidRDefault="00423F01" w14:paraId="4076BA66" w14:textId="45DB1911">
      <w:pPr>
        <w:pStyle w:val="FoF"/>
      </w:pPr>
      <w:r>
        <w:t xml:space="preserve">SCE has an investment grade rating of </w:t>
      </w:r>
      <w:r w:rsidR="00AC61AE">
        <w:t>BBB-.</w:t>
      </w:r>
    </w:p>
    <w:p w:rsidR="00AC61AE" w:rsidP="001E2A62" w:rsidRDefault="002031E2" w14:paraId="3F2A9E34" w14:textId="70F656D4">
      <w:pPr>
        <w:pStyle w:val="FoF"/>
      </w:pPr>
      <w:r>
        <w:t>On</w:t>
      </w:r>
      <w:r w:rsidR="00AC61AE">
        <w:t xml:space="preserve"> </w:t>
      </w:r>
      <w:r w:rsidR="00F56D1E">
        <w:t>September 17, 2025</w:t>
      </w:r>
      <w:r w:rsidR="00BA0B5E">
        <w:t xml:space="preserve">, </w:t>
      </w:r>
      <w:r w:rsidR="00347600">
        <w:t xml:space="preserve">S&amp;P revised </w:t>
      </w:r>
      <w:r>
        <w:t>its outlook for SCE from stable to negative.</w:t>
      </w:r>
    </w:p>
    <w:p w:rsidR="002031E2" w:rsidP="001E2A62" w:rsidRDefault="00EB1156" w14:paraId="19A1203B" w14:textId="6A4AAF9C">
      <w:pPr>
        <w:pStyle w:val="FoF"/>
      </w:pPr>
      <w:r>
        <w:t>SDG&amp;E has an investment grade rating of BBB+.</w:t>
      </w:r>
    </w:p>
    <w:p w:rsidR="00A3468D" w:rsidP="001E2A62" w:rsidRDefault="00A3468D" w14:paraId="329F3BC7" w14:textId="3812526A">
      <w:pPr>
        <w:pStyle w:val="FoF"/>
      </w:pPr>
      <w:r>
        <w:t>Quantitative financial models are commonly used as a starting point to estimate a fair ROE.</w:t>
      </w:r>
    </w:p>
    <w:p w:rsidR="000B556D" w:rsidP="000B556D" w:rsidRDefault="00A3468D" w14:paraId="7C22532B" w14:textId="74BCA214">
      <w:pPr>
        <w:pStyle w:val="FoF"/>
      </w:pPr>
      <w:r>
        <w:t>The average ROE authorized for electric and gas</w:t>
      </w:r>
      <w:r w:rsidR="000B556D">
        <w:t xml:space="preserve"> utilities in the United States in the first half of 2025 were </w:t>
      </w:r>
      <w:r w:rsidR="0045581D">
        <w:t>9</w:t>
      </w:r>
      <w:r w:rsidR="000B556D">
        <w:t xml:space="preserve">.72% and </w:t>
      </w:r>
      <w:r w:rsidR="0045581D">
        <w:t>9</w:t>
      </w:r>
      <w:r w:rsidR="000B556D">
        <w:t>.73%, re</w:t>
      </w:r>
      <w:r w:rsidR="00EA06A8">
        <w:t>spectively.</w:t>
      </w:r>
    </w:p>
    <w:p w:rsidR="00DC7A56" w:rsidP="000B556D" w:rsidRDefault="0079509C" w14:paraId="7498F584" w14:textId="733864EF">
      <w:pPr>
        <w:pStyle w:val="FoF"/>
      </w:pPr>
      <w:r>
        <w:t xml:space="preserve">The average </w:t>
      </w:r>
      <w:r w:rsidR="00FE44AD">
        <w:t>ROE authorized for electric and gas utilities</w:t>
      </w:r>
      <w:r w:rsidR="00EE432C">
        <w:t xml:space="preserve"> in the United States in 2024 </w:t>
      </w:r>
      <w:r w:rsidR="0079792A">
        <w:t>were 9.78% and 9.65%, respectively.</w:t>
      </w:r>
    </w:p>
    <w:p w:rsidR="002365F1" w:rsidP="000B556D" w:rsidRDefault="005709F7" w14:paraId="527BB1DF" w14:textId="77F772A8">
      <w:pPr>
        <w:pStyle w:val="FoF"/>
      </w:pPr>
      <w:r>
        <w:t xml:space="preserve">The United States Supreme Court’s </w:t>
      </w:r>
      <w:r>
        <w:rPr>
          <w:u w:val="single"/>
        </w:rPr>
        <w:t>Hope</w:t>
      </w:r>
      <w:r>
        <w:t xml:space="preserve"> and </w:t>
      </w:r>
      <w:r>
        <w:rPr>
          <w:u w:val="single"/>
        </w:rPr>
        <w:t>Bluefield</w:t>
      </w:r>
      <w:r w:rsidR="00273597">
        <w:t xml:space="preserve"> decisions set the standard that utilities should be authorized an ROE at a level for which they can attract capital to raise money for the proper discharge of their public utility duties and maintain creditworthiness.</w:t>
      </w:r>
    </w:p>
    <w:p w:rsidR="00273597" w:rsidP="000B556D" w:rsidRDefault="00273597" w14:paraId="77396011" w14:textId="72EED32E">
      <w:pPr>
        <w:pStyle w:val="FoF"/>
      </w:pPr>
      <w:r>
        <w:t xml:space="preserve">The </w:t>
      </w:r>
      <w:r w:rsidR="002B083B">
        <w:t>CCM is a beneficial mechanism for the Commission to employ to protect both ratepayers and shareholders from major market shifts.</w:t>
      </w:r>
    </w:p>
    <w:p w:rsidR="00E335FD" w:rsidP="000B556D" w:rsidRDefault="00450B0A" w14:paraId="4BBABC83" w14:textId="6E6857CB">
      <w:pPr>
        <w:pStyle w:val="FoF"/>
      </w:pPr>
      <w:r>
        <w:t xml:space="preserve">The 5-year capital structure waiver </w:t>
      </w:r>
      <w:r w:rsidR="00C603F6">
        <w:t>approved in D.20-05-053 expired in June 2025.</w:t>
      </w:r>
    </w:p>
    <w:p w:rsidR="00C603F6" w:rsidP="000B556D" w:rsidRDefault="00C603F6" w14:paraId="3BCECF52" w14:textId="3A506526">
      <w:pPr>
        <w:pStyle w:val="FoF"/>
      </w:pPr>
      <w:r>
        <w:t>PG&amp;E lacks access to Tier 1 Commercial Paper.</w:t>
      </w:r>
    </w:p>
    <w:p w:rsidR="00972D84" w:rsidP="000B556D" w:rsidRDefault="00972D84" w14:paraId="43E24E5B" w14:textId="48C762C9">
      <w:pPr>
        <w:pStyle w:val="FoF"/>
      </w:pPr>
      <w:r>
        <w:t xml:space="preserve">PG&amp;E’s request for revenue credit </w:t>
      </w:r>
      <w:r w:rsidR="006F1E84">
        <w:t>associated with the DOE loan is in the interest of ratepayers.</w:t>
      </w:r>
    </w:p>
    <w:p w:rsidRPr="008E1C62" w:rsidR="00E07C5D" w:rsidP="000B556D" w:rsidRDefault="005E58F0" w14:paraId="42603E50" w14:textId="5D9748E3">
      <w:pPr>
        <w:pStyle w:val="FoF"/>
      </w:pPr>
      <w:r>
        <w:t>Regulatory accounts that are amortized over more than 12 months do not have the same risk profile as long-term debt.</w:t>
      </w:r>
    </w:p>
    <w:p w:rsidR="005939A5" w:rsidP="005939A5" w:rsidRDefault="005939A5" w14:paraId="298AD4E0" w14:textId="77777777">
      <w:pPr>
        <w:pStyle w:val="Dummy"/>
      </w:pPr>
      <w:bookmarkStart w:name="_Toc8123726" w:id="66"/>
      <w:bookmarkStart w:name="_Toc214017402" w:id="67"/>
      <w:r>
        <w:lastRenderedPageBreak/>
        <w:t>Conclusions of Law</w:t>
      </w:r>
      <w:bookmarkEnd w:id="66"/>
      <w:bookmarkEnd w:id="67"/>
    </w:p>
    <w:p w:rsidRPr="001E2A62" w:rsidR="00932865" w:rsidP="001E2A62" w:rsidRDefault="005B4672" w14:paraId="4E1563D3" w14:textId="6B9B106B">
      <w:pPr>
        <w:pStyle w:val="CoL"/>
      </w:pPr>
      <w:r>
        <w:t>The consolidation of these applications does not mean that a uniform ROE should be applied to each of the utilities.</w:t>
      </w:r>
    </w:p>
    <w:p w:rsidR="00932865" w:rsidP="001E2A62" w:rsidRDefault="005B4672" w14:paraId="25A37650" w14:textId="27E66B17">
      <w:pPr>
        <w:pStyle w:val="CoL"/>
      </w:pPr>
      <w:r>
        <w:t xml:space="preserve">The legal standard for setting the fair ROE has been established by the United States Supreme Court in the </w:t>
      </w:r>
      <w:r w:rsidRPr="00837E3E" w:rsidR="00837E3E">
        <w:rPr>
          <w:u w:val="single"/>
        </w:rPr>
        <w:t>Hope</w:t>
      </w:r>
      <w:r w:rsidR="00837E3E">
        <w:t xml:space="preserve"> and </w:t>
      </w:r>
      <w:r w:rsidRPr="00837E3E" w:rsidR="00837E3E">
        <w:rPr>
          <w:u w:val="single"/>
        </w:rPr>
        <w:t>Bluefield</w:t>
      </w:r>
      <w:r w:rsidR="00837E3E">
        <w:t xml:space="preserve"> </w:t>
      </w:r>
      <w:r w:rsidR="00383422">
        <w:t>cases.</w:t>
      </w:r>
    </w:p>
    <w:p w:rsidR="00C106DB" w:rsidP="001E2A62" w:rsidRDefault="00837E3E" w14:paraId="0623C23B" w14:textId="235085D3">
      <w:pPr>
        <w:pStyle w:val="CoL"/>
      </w:pPr>
      <w:r>
        <w:t xml:space="preserve">The capital structures proposed by </w:t>
      </w:r>
      <w:r w:rsidR="00C64533">
        <w:t>SoCalGas and SCE should be adopted because they are balanced, attainable, and intended to support an investment grade rating and attract capital.</w:t>
      </w:r>
    </w:p>
    <w:p w:rsidR="001D4D91" w:rsidP="001E2A62" w:rsidRDefault="001D4D91" w14:paraId="61F7EFAD" w14:textId="4E08A73C">
      <w:pPr>
        <w:pStyle w:val="CoL"/>
      </w:pPr>
      <w:r>
        <w:t>The capital structures proposed by PG&amp;E and SDG&amp;E should not be adopted because they do not sufficiently balance ratepayer interests with the intention</w:t>
      </w:r>
      <w:r w:rsidR="0071635A">
        <w:t xml:space="preserve"> to maintain an investment grade rating and attract capital.</w:t>
      </w:r>
    </w:p>
    <w:p w:rsidR="0071635A" w:rsidP="001E2A62" w:rsidRDefault="00370327" w14:paraId="7E287750" w14:textId="7BAF073C">
      <w:pPr>
        <w:pStyle w:val="CoL"/>
      </w:pPr>
      <w:r>
        <w:t xml:space="preserve">PG&amp;E should not be authorized </w:t>
      </w:r>
      <w:r w:rsidR="00A27004">
        <w:t xml:space="preserve">to increase the leverage in its capital structure </w:t>
      </w:r>
      <w:r w:rsidR="00CE5DA8">
        <w:t>as a result of this proceeding.</w:t>
      </w:r>
    </w:p>
    <w:p w:rsidR="00CE5DA8" w:rsidP="001E2A62" w:rsidRDefault="00CE5DA8" w14:paraId="02AE587C" w14:textId="57B58864">
      <w:pPr>
        <w:pStyle w:val="CoL"/>
      </w:pPr>
      <w:r>
        <w:t>SDG&amp;E should not be authorized to increase its</w:t>
      </w:r>
      <w:r w:rsidR="003F5711">
        <w:t xml:space="preserve"> leverage and common equity as a result of this proceeding.</w:t>
      </w:r>
    </w:p>
    <w:p w:rsidR="003F5711" w:rsidP="001E2A62" w:rsidRDefault="00D52422" w14:paraId="4903D5DB" w14:textId="4352DEA3">
      <w:pPr>
        <w:pStyle w:val="CoL"/>
      </w:pPr>
      <w:r>
        <w:t>SDG&amp;E should be authorized a common equity allocation of 52.00%</w:t>
      </w:r>
      <w:r w:rsidR="00A902E7">
        <w:t>, in line with the other applicants and reasonable when compared to national averages. SDG&amp;E should authorized a long-term debt allocation of</w:t>
      </w:r>
      <w:r w:rsidR="003D3A94">
        <w:t xml:space="preserve"> 45.25% and a preferred equity allocation of 2.75%</w:t>
      </w:r>
      <w:r w:rsidR="00F017A1">
        <w:t>.</w:t>
      </w:r>
    </w:p>
    <w:p w:rsidR="00F017A1" w:rsidP="001E2A62" w:rsidRDefault="00F017A1" w14:paraId="284E75D4" w14:textId="097A285C">
      <w:pPr>
        <w:pStyle w:val="CoL"/>
      </w:pPr>
      <w:r>
        <w:t>The Applicants’ costs of long-term debt and preferred equity are reasonable and should be adopted.</w:t>
      </w:r>
    </w:p>
    <w:p w:rsidR="00F017A1" w:rsidP="001E2A62" w:rsidRDefault="00F017A1" w14:paraId="2968644B" w14:textId="09969ED3">
      <w:pPr>
        <w:pStyle w:val="CoL"/>
      </w:pPr>
      <w:r>
        <w:t>Companies selected for a proxy group should have basic characteristics similar to the utility that the companies are selected</w:t>
      </w:r>
      <w:r w:rsidR="00D67015">
        <w:t xml:space="preserve"> as proxies for.</w:t>
      </w:r>
    </w:p>
    <w:p w:rsidR="00D67015" w:rsidP="001E2A62" w:rsidRDefault="00D67015" w14:paraId="67EAD1C8" w14:textId="35B660A5">
      <w:pPr>
        <w:pStyle w:val="CoL"/>
      </w:pPr>
      <w:r>
        <w:t>Companies within a proxy group should not deviate from financial model to financial model.</w:t>
      </w:r>
    </w:p>
    <w:p w:rsidR="00D67015" w:rsidP="001E2A62" w:rsidRDefault="00600A6C" w14:paraId="4AFF9E0E" w14:textId="3EC77411">
      <w:pPr>
        <w:pStyle w:val="CoL"/>
      </w:pPr>
      <w:r>
        <w:lastRenderedPageBreak/>
        <w:t xml:space="preserve">Companies within a proxy group should continue to be screened to ensure that the included companies have investment grade credit ratings, a history of paying dividends, and are not undergoing </w:t>
      </w:r>
      <w:r w:rsidR="00FF6B25">
        <w:t>restructuring</w:t>
      </w:r>
      <w:r>
        <w:t xml:space="preserve"> or merger.</w:t>
      </w:r>
    </w:p>
    <w:p w:rsidR="00600A6C" w:rsidP="001E2A62" w:rsidRDefault="00FF6B25" w14:paraId="1B2FF382" w14:textId="08319785">
      <w:pPr>
        <w:pStyle w:val="CoL"/>
      </w:pPr>
      <w:r>
        <w:t>Although the relationship</w:t>
      </w:r>
      <w:r w:rsidR="003B0193">
        <w:t xml:space="preserve"> between components of quantitative financial models </w:t>
      </w:r>
      <w:r w:rsidR="00096EA9">
        <w:t>is</w:t>
      </w:r>
      <w:r w:rsidR="003B0193">
        <w:t xml:space="preserve"> objective, the results are dependent on subjective inputs.</w:t>
      </w:r>
    </w:p>
    <w:p w:rsidR="009A7A7B" w:rsidP="001E2A62" w:rsidRDefault="009A7A7B" w14:paraId="4759E9E1" w14:textId="45576A32">
      <w:pPr>
        <w:pStyle w:val="CoL"/>
      </w:pPr>
      <w:r>
        <w:t>The key to selecting a specific ROE is informed judgment, not the precision of quantitative financial models.</w:t>
      </w:r>
    </w:p>
    <w:p w:rsidR="003667E1" w:rsidP="001E2A62" w:rsidRDefault="003667E1" w14:paraId="502561D9" w14:textId="748C6DA4">
      <w:pPr>
        <w:pStyle w:val="CoL"/>
      </w:pPr>
      <w:r>
        <w:t>Company-wide factors such as risks, capital structures, debt costs, and credit ratings are considered in arriving at a fair ROE.</w:t>
      </w:r>
    </w:p>
    <w:p w:rsidR="003667E1" w:rsidP="001E2A62" w:rsidRDefault="003F2786" w14:paraId="7EEAEFBD" w14:textId="1BE856E4">
      <w:pPr>
        <w:pStyle w:val="CoL"/>
      </w:pPr>
      <w:r>
        <w:t>There should be no adjustment to the financial modeling results for other financial, business, or regulatory risks because the financial modeling results already include those risks.</w:t>
      </w:r>
    </w:p>
    <w:p w:rsidR="003F2786" w:rsidP="001E2A62" w:rsidRDefault="00F14F8B" w14:paraId="3F966C37" w14:textId="5442940D">
      <w:pPr>
        <w:pStyle w:val="CoL"/>
      </w:pPr>
      <w:r>
        <w:t xml:space="preserve">A Test Year 2026 ROE range </w:t>
      </w:r>
      <w:r w:rsidR="0011731E">
        <w:t>for PG&amp;E of</w:t>
      </w:r>
      <w:r>
        <w:t xml:space="preserve"> </w:t>
      </w:r>
      <w:r w:rsidR="005728A0">
        <w:t>9.</w:t>
      </w:r>
      <w:r w:rsidR="00BF2E95">
        <w:t>65</w:t>
      </w:r>
      <w:r w:rsidR="005728A0">
        <w:t>% to 10.</w:t>
      </w:r>
      <w:r w:rsidR="00C06336">
        <w:t>20</w:t>
      </w:r>
      <w:r w:rsidR="005728A0">
        <w:t>% is reasonable</w:t>
      </w:r>
      <w:r w:rsidR="0011731E">
        <w:t>.</w:t>
      </w:r>
    </w:p>
    <w:p w:rsidRPr="001E2A62" w:rsidR="0011731E" w:rsidP="0011731E" w:rsidRDefault="0011731E" w14:paraId="4F3213AE" w14:textId="7A6F6BEA">
      <w:pPr>
        <w:pStyle w:val="CoL"/>
      </w:pPr>
      <w:r>
        <w:t>A Test Year 2026 ROE range for SoCalGas of 9.</w:t>
      </w:r>
      <w:r w:rsidR="00C06336">
        <w:t>45</w:t>
      </w:r>
      <w:r>
        <w:t xml:space="preserve">% to </w:t>
      </w:r>
      <w:r w:rsidR="00C06336">
        <w:t>10.0</w:t>
      </w:r>
      <w:r w:rsidR="00F27D40">
        <w:t>0</w:t>
      </w:r>
      <w:r>
        <w:t>% is reasonable.</w:t>
      </w:r>
    </w:p>
    <w:p w:rsidRPr="001E2A62" w:rsidR="0011731E" w:rsidP="0011731E" w:rsidRDefault="0011731E" w14:paraId="03F0368D" w14:textId="731D54ED">
      <w:pPr>
        <w:pStyle w:val="CoL"/>
      </w:pPr>
      <w:r>
        <w:t xml:space="preserve">A Test Year 2026 ROE range for </w:t>
      </w:r>
      <w:r w:rsidR="00056FDF">
        <w:t>SCE</w:t>
      </w:r>
      <w:r>
        <w:t xml:space="preserve"> of 9.</w:t>
      </w:r>
      <w:r w:rsidR="00C06336">
        <w:t>70</w:t>
      </w:r>
      <w:r>
        <w:t>% to 10.</w:t>
      </w:r>
      <w:r w:rsidR="00C06336">
        <w:t>25</w:t>
      </w:r>
      <w:r>
        <w:t>% is reasonable.</w:t>
      </w:r>
    </w:p>
    <w:p w:rsidRPr="001E2A62" w:rsidR="0011731E" w:rsidP="0011731E" w:rsidRDefault="0011731E" w14:paraId="48988E72" w14:textId="5C6DE98E">
      <w:pPr>
        <w:pStyle w:val="CoL"/>
      </w:pPr>
      <w:r>
        <w:t xml:space="preserve">A Test Year 2026 ROE range for </w:t>
      </w:r>
      <w:r w:rsidR="00EF12D5">
        <w:t>SD</w:t>
      </w:r>
      <w:r>
        <w:t>G&amp;E of 9.</w:t>
      </w:r>
      <w:r w:rsidR="00F372EF">
        <w:t>60</w:t>
      </w:r>
      <w:r>
        <w:t>% to 10.</w:t>
      </w:r>
      <w:r w:rsidR="00F372EF">
        <w:t>15</w:t>
      </w:r>
      <w:r>
        <w:t>% is reasonable.</w:t>
      </w:r>
    </w:p>
    <w:p w:rsidR="0011731E" w:rsidP="001E2A62" w:rsidRDefault="00414C14" w14:paraId="7E74B916" w14:textId="1E48B1E3">
      <w:pPr>
        <w:pStyle w:val="CoL"/>
      </w:pPr>
      <w:r>
        <w:t xml:space="preserve">A Test Year 2026 ROE </w:t>
      </w:r>
      <w:r w:rsidR="00412922">
        <w:t xml:space="preserve">of </w:t>
      </w:r>
      <w:r w:rsidR="00777E9F">
        <w:t>9.98</w:t>
      </w:r>
      <w:r w:rsidR="00412922">
        <w:t xml:space="preserve">% and ROR of </w:t>
      </w:r>
      <w:r w:rsidR="002D3C9E">
        <w:t>7.61</w:t>
      </w:r>
      <w:r w:rsidR="00412922">
        <w:t>%</w:t>
      </w:r>
      <w:r w:rsidR="004F72BC">
        <w:t xml:space="preserve"> is just and reasonable for PG&amp;E.</w:t>
      </w:r>
    </w:p>
    <w:p w:rsidR="004F72BC" w:rsidP="004F72BC" w:rsidRDefault="004F72BC" w14:paraId="35744B24" w14:textId="13379EF3">
      <w:pPr>
        <w:pStyle w:val="CoL"/>
      </w:pPr>
      <w:r>
        <w:t xml:space="preserve">A Test Year 2026 ROE of </w:t>
      </w:r>
      <w:r w:rsidR="00C578BC">
        <w:t>9.78</w:t>
      </w:r>
      <w:r>
        <w:t xml:space="preserve">% and ROR of </w:t>
      </w:r>
      <w:r w:rsidR="0036082C">
        <w:t>7.52</w:t>
      </w:r>
      <w:r>
        <w:t>% is just and reasonable for SoCalGas.</w:t>
      </w:r>
    </w:p>
    <w:p w:rsidR="004F72BC" w:rsidP="004F72BC" w:rsidRDefault="004F72BC" w14:paraId="3D125347" w14:textId="0A98D4C5">
      <w:pPr>
        <w:pStyle w:val="CoL"/>
      </w:pPr>
      <w:r>
        <w:t xml:space="preserve">A Test Year 2026 ROE of </w:t>
      </w:r>
      <w:r w:rsidR="00C578BC">
        <w:t>10.03</w:t>
      </w:r>
      <w:r>
        <w:t xml:space="preserve">% and ROR of </w:t>
      </w:r>
      <w:r w:rsidR="0036082C">
        <w:t>7.59</w:t>
      </w:r>
      <w:r>
        <w:t xml:space="preserve">% is just and reasonable for </w:t>
      </w:r>
      <w:r w:rsidR="00B5546A">
        <w:t>SCE</w:t>
      </w:r>
      <w:r>
        <w:t>.</w:t>
      </w:r>
    </w:p>
    <w:p w:rsidR="004F72BC" w:rsidP="004F72BC" w:rsidRDefault="004F72BC" w14:paraId="487A6E0D" w14:textId="494980C7">
      <w:pPr>
        <w:pStyle w:val="CoL"/>
      </w:pPr>
      <w:r>
        <w:t xml:space="preserve">A Test Year 2026 ROE of </w:t>
      </w:r>
      <w:r w:rsidR="00C578BC">
        <w:t>9.93</w:t>
      </w:r>
      <w:r>
        <w:t xml:space="preserve">% and ROR of </w:t>
      </w:r>
      <w:r w:rsidR="0036082C">
        <w:t>7.41</w:t>
      </w:r>
      <w:r>
        <w:t xml:space="preserve">% is just and reasonable for </w:t>
      </w:r>
      <w:r w:rsidR="008C3DE1">
        <w:t>SD</w:t>
      </w:r>
      <w:r>
        <w:t>G&amp;E.</w:t>
      </w:r>
    </w:p>
    <w:p w:rsidR="00685BBC" w:rsidP="001E2A62" w:rsidRDefault="00685BBC" w14:paraId="56FA5898" w14:textId="3F925492">
      <w:pPr>
        <w:pStyle w:val="CoL"/>
      </w:pPr>
      <w:r>
        <w:t>PG&amp;E’s YSA proposal should be approved with modifications.</w:t>
      </w:r>
    </w:p>
    <w:p w:rsidR="00972D84" w:rsidP="001E2A62" w:rsidRDefault="00972D84" w14:paraId="727C42BF" w14:textId="69337E19">
      <w:pPr>
        <w:pStyle w:val="CoL"/>
      </w:pPr>
      <w:r>
        <w:lastRenderedPageBreak/>
        <w:t>PG&amp;E’s request for revenue credit associated with the DOE loan should be approved.</w:t>
      </w:r>
    </w:p>
    <w:p w:rsidR="00685BBC" w:rsidP="001E2A62" w:rsidRDefault="00685BBC" w14:paraId="59ABECEE" w14:textId="56E97A63">
      <w:pPr>
        <w:pStyle w:val="CoL"/>
      </w:pPr>
      <w:r>
        <w:t>SCE’s accrued carrying cost proposal should not be authorized due to a mismatch of the risk profile of regulatory accounts</w:t>
      </w:r>
      <w:r w:rsidR="00451767">
        <w:t xml:space="preserve"> amortized over 12 months and the returns of SCE’s weighted average cost of capital.</w:t>
      </w:r>
    </w:p>
    <w:p w:rsidRPr="001E2A62" w:rsidR="000E225E" w:rsidP="005703C1" w:rsidRDefault="000E225E" w14:paraId="452BEF17" w14:textId="0FFCF6E7">
      <w:pPr>
        <w:pStyle w:val="CoL"/>
      </w:pPr>
      <w:r>
        <w:t>The CCM should be extended through the Test Year 2026 Cost of Capital cycle</w:t>
      </w:r>
      <w:r w:rsidR="00A043DF">
        <w:t xml:space="preserve"> and the CCM interest rate benchmark </w:t>
      </w:r>
      <w:r w:rsidR="00C7158C">
        <w:t>should be reset</w:t>
      </w:r>
      <w:r>
        <w:t>.</w:t>
      </w:r>
    </w:p>
    <w:p w:rsidR="00BB0243" w:rsidP="000A6E05" w:rsidRDefault="005939A5" w14:paraId="6480C0DA" w14:textId="77777777">
      <w:pPr>
        <w:pStyle w:val="Mainex"/>
      </w:pPr>
      <w:bookmarkStart w:name="_Toc214017403" w:id="68"/>
      <w:r>
        <w:t>O</w:t>
      </w:r>
      <w:r w:rsidR="00722850">
        <w:t>RDER</w:t>
      </w:r>
      <w:bookmarkEnd w:id="68"/>
    </w:p>
    <w:p w:rsidR="00BB0243" w:rsidP="000A6E05" w:rsidRDefault="00BB0243" w14:paraId="3A735B83" w14:textId="77777777">
      <w:pPr>
        <w:keepNext/>
      </w:pPr>
      <w:r w:rsidRPr="00BB0243">
        <w:rPr>
          <w:b/>
        </w:rPr>
        <w:t>IT IS ORDERED</w:t>
      </w:r>
      <w:r>
        <w:t xml:space="preserve"> that:</w:t>
      </w:r>
    </w:p>
    <w:p w:rsidR="00932865" w:rsidP="001E2A62" w:rsidRDefault="002515F2" w14:paraId="768A9524" w14:textId="1BC0C797">
      <w:pPr>
        <w:pStyle w:val="OP"/>
      </w:pPr>
      <w:r>
        <w:t>Pacific Gas and Electric Company</w:t>
      </w:r>
      <w:r w:rsidR="00387D07">
        <w:t>’s</w:t>
      </w:r>
      <w:r>
        <w:t xml:space="preserve"> cost of capital for its test year 2026 operations is as follows:</w:t>
      </w:r>
    </w:p>
    <w:p w:rsidR="003A3B90" w:rsidP="003A3B90" w:rsidRDefault="003A3B90" w14:paraId="08CE5DE0" w14:textId="77777777">
      <w:pPr>
        <w:pStyle w:val="OP"/>
        <w:numPr>
          <w:ilvl w:val="0"/>
          <w:numId w:val="0"/>
        </w:numPr>
        <w:ind w:firstLine="540"/>
      </w:pPr>
    </w:p>
    <w:p w:rsidR="003A3B90" w:rsidP="003A3B90" w:rsidRDefault="003A3B90" w14:paraId="012031BC" w14:textId="77777777">
      <w:pPr>
        <w:pStyle w:val="OP"/>
        <w:numPr>
          <w:ilvl w:val="0"/>
          <w:numId w:val="0"/>
        </w:numPr>
        <w:ind w:firstLine="540"/>
      </w:pP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7A67FF" w:rsidTr="002F72F5" w14:paraId="7DC2C260" w14:textId="77777777">
        <w:tc>
          <w:tcPr>
            <w:tcW w:w="2880" w:type="dxa"/>
          </w:tcPr>
          <w:p w:rsidRPr="007A67FF" w:rsidR="007A67FF" w:rsidP="002515F2" w:rsidRDefault="007A67FF" w14:paraId="3C580957" w14:textId="77777777">
            <w:pPr>
              <w:pStyle w:val="OP"/>
              <w:numPr>
                <w:ilvl w:val="0"/>
                <w:numId w:val="0"/>
              </w:numPr>
              <w:rPr>
                <w:b/>
                <w:bCs/>
              </w:rPr>
            </w:pPr>
          </w:p>
        </w:tc>
        <w:tc>
          <w:tcPr>
            <w:tcW w:w="2520" w:type="dxa"/>
          </w:tcPr>
          <w:p w:rsidRPr="007A67FF" w:rsidR="007A67FF" w:rsidP="002515F2" w:rsidRDefault="007A67FF" w14:paraId="186B272C" w14:textId="71B32BBC">
            <w:pPr>
              <w:pStyle w:val="OP"/>
              <w:numPr>
                <w:ilvl w:val="0"/>
                <w:numId w:val="0"/>
              </w:numPr>
              <w:rPr>
                <w:b/>
                <w:bCs/>
              </w:rPr>
            </w:pPr>
            <w:r>
              <w:rPr>
                <w:b/>
                <w:bCs/>
              </w:rPr>
              <w:t>Capital Proportion</w:t>
            </w:r>
          </w:p>
        </w:tc>
        <w:tc>
          <w:tcPr>
            <w:tcW w:w="1715" w:type="dxa"/>
          </w:tcPr>
          <w:p w:rsidRPr="007A67FF" w:rsidR="007A67FF" w:rsidP="002515F2" w:rsidRDefault="007A67FF" w14:paraId="61CA9148" w14:textId="79E24BBE">
            <w:pPr>
              <w:pStyle w:val="OP"/>
              <w:numPr>
                <w:ilvl w:val="0"/>
                <w:numId w:val="0"/>
              </w:numPr>
              <w:rPr>
                <w:b/>
                <w:bCs/>
              </w:rPr>
            </w:pPr>
            <w:r>
              <w:rPr>
                <w:b/>
                <w:bCs/>
              </w:rPr>
              <w:t>Cost Factor</w:t>
            </w:r>
          </w:p>
        </w:tc>
        <w:tc>
          <w:tcPr>
            <w:tcW w:w="2240" w:type="dxa"/>
          </w:tcPr>
          <w:p w:rsidRPr="007A67FF" w:rsidR="007A67FF" w:rsidP="002515F2" w:rsidRDefault="007A67FF" w14:paraId="3334703E" w14:textId="3E36F167">
            <w:pPr>
              <w:pStyle w:val="OP"/>
              <w:numPr>
                <w:ilvl w:val="0"/>
                <w:numId w:val="0"/>
              </w:numPr>
              <w:rPr>
                <w:b/>
                <w:bCs/>
              </w:rPr>
            </w:pPr>
            <w:r>
              <w:rPr>
                <w:b/>
                <w:bCs/>
              </w:rPr>
              <w:t>Weighted Cost</w:t>
            </w:r>
          </w:p>
        </w:tc>
      </w:tr>
      <w:tr w:rsidR="00A54843" w:rsidTr="002F72F5" w14:paraId="799EC1F5" w14:textId="77777777">
        <w:tc>
          <w:tcPr>
            <w:tcW w:w="2880" w:type="dxa"/>
          </w:tcPr>
          <w:p w:rsidR="00A54843" w:rsidP="00A54843" w:rsidRDefault="00A54843" w14:paraId="33A7E47F" w14:textId="716636F4">
            <w:pPr>
              <w:pStyle w:val="OP"/>
              <w:numPr>
                <w:ilvl w:val="0"/>
                <w:numId w:val="0"/>
              </w:numPr>
            </w:pPr>
            <w:r>
              <w:t>Long-Term Debt</w:t>
            </w:r>
          </w:p>
        </w:tc>
        <w:tc>
          <w:tcPr>
            <w:tcW w:w="2520" w:type="dxa"/>
          </w:tcPr>
          <w:p w:rsidR="00A54843" w:rsidP="00A54843" w:rsidRDefault="00A54843" w14:paraId="4AF5AD49" w14:textId="58A15427">
            <w:pPr>
              <w:pStyle w:val="OP"/>
              <w:numPr>
                <w:ilvl w:val="0"/>
                <w:numId w:val="0"/>
              </w:numPr>
            </w:pPr>
            <w:r w:rsidRPr="007D65BA">
              <w:t>47.50%</w:t>
            </w:r>
          </w:p>
        </w:tc>
        <w:tc>
          <w:tcPr>
            <w:tcW w:w="1715" w:type="dxa"/>
          </w:tcPr>
          <w:p w:rsidR="00A54843" w:rsidP="00A54843" w:rsidRDefault="00A54843" w14:paraId="4E05987E" w14:textId="32CD50AA">
            <w:pPr>
              <w:pStyle w:val="OP"/>
              <w:numPr>
                <w:ilvl w:val="0"/>
                <w:numId w:val="0"/>
              </w:numPr>
            </w:pPr>
            <w:r w:rsidRPr="00BF30E7">
              <w:t>5.04%</w:t>
            </w:r>
          </w:p>
        </w:tc>
        <w:tc>
          <w:tcPr>
            <w:tcW w:w="2240" w:type="dxa"/>
          </w:tcPr>
          <w:p w:rsidR="00A54843" w:rsidP="00A54843" w:rsidRDefault="00A54843" w14:paraId="47B804D9" w14:textId="516C4C9F">
            <w:pPr>
              <w:pStyle w:val="OP"/>
              <w:numPr>
                <w:ilvl w:val="0"/>
                <w:numId w:val="0"/>
              </w:numPr>
            </w:pPr>
            <w:r w:rsidRPr="004E066A">
              <w:t>2.39%</w:t>
            </w:r>
          </w:p>
        </w:tc>
      </w:tr>
      <w:tr w:rsidR="00A54843" w:rsidTr="002F72F5" w14:paraId="673B564E" w14:textId="77777777">
        <w:tc>
          <w:tcPr>
            <w:tcW w:w="2880" w:type="dxa"/>
          </w:tcPr>
          <w:p w:rsidR="00A54843" w:rsidP="00A54843" w:rsidRDefault="00A54843" w14:paraId="5A83DEFF" w14:textId="3E43579E">
            <w:pPr>
              <w:pStyle w:val="OP"/>
              <w:numPr>
                <w:ilvl w:val="0"/>
                <w:numId w:val="0"/>
              </w:numPr>
            </w:pPr>
            <w:r>
              <w:t>Preferred Equity</w:t>
            </w:r>
          </w:p>
        </w:tc>
        <w:tc>
          <w:tcPr>
            <w:tcW w:w="2520" w:type="dxa"/>
          </w:tcPr>
          <w:p w:rsidR="00A54843" w:rsidP="00A54843" w:rsidRDefault="00A54843" w14:paraId="100EB462" w14:textId="4026309D">
            <w:pPr>
              <w:pStyle w:val="OP"/>
              <w:numPr>
                <w:ilvl w:val="0"/>
                <w:numId w:val="0"/>
              </w:numPr>
            </w:pPr>
            <w:r w:rsidRPr="007D65BA">
              <w:t>0.5%</w:t>
            </w:r>
          </w:p>
        </w:tc>
        <w:tc>
          <w:tcPr>
            <w:tcW w:w="1715" w:type="dxa"/>
          </w:tcPr>
          <w:p w:rsidR="00A54843" w:rsidP="00A54843" w:rsidRDefault="00A54843" w14:paraId="1F2ABB9E" w14:textId="099C4E19">
            <w:pPr>
              <w:pStyle w:val="OP"/>
              <w:numPr>
                <w:ilvl w:val="0"/>
                <w:numId w:val="0"/>
              </w:numPr>
            </w:pPr>
            <w:r w:rsidRPr="00BF30E7">
              <w:t>5.52%</w:t>
            </w:r>
          </w:p>
        </w:tc>
        <w:tc>
          <w:tcPr>
            <w:tcW w:w="2240" w:type="dxa"/>
          </w:tcPr>
          <w:p w:rsidR="00A54843" w:rsidP="00A54843" w:rsidRDefault="00A54843" w14:paraId="456C4FB9" w14:textId="42C45B95">
            <w:pPr>
              <w:pStyle w:val="OP"/>
              <w:numPr>
                <w:ilvl w:val="0"/>
                <w:numId w:val="0"/>
              </w:numPr>
            </w:pPr>
            <w:r w:rsidRPr="004E066A">
              <w:t>0.03%</w:t>
            </w:r>
          </w:p>
        </w:tc>
      </w:tr>
      <w:tr w:rsidR="00A54843" w:rsidTr="002F72F5" w14:paraId="7D8354CF" w14:textId="77777777">
        <w:tc>
          <w:tcPr>
            <w:tcW w:w="2880" w:type="dxa"/>
          </w:tcPr>
          <w:p w:rsidR="00A54843" w:rsidP="00A54843" w:rsidRDefault="00A54843" w14:paraId="6A6ACFF7" w14:textId="353A3677">
            <w:pPr>
              <w:pStyle w:val="OP"/>
              <w:numPr>
                <w:ilvl w:val="0"/>
                <w:numId w:val="0"/>
              </w:numPr>
            </w:pPr>
            <w:r>
              <w:t>Common Equity</w:t>
            </w:r>
          </w:p>
        </w:tc>
        <w:tc>
          <w:tcPr>
            <w:tcW w:w="2520" w:type="dxa"/>
          </w:tcPr>
          <w:p w:rsidR="00A54843" w:rsidP="00A54843" w:rsidRDefault="00A54843" w14:paraId="1EB92A92" w14:textId="1423C5B6">
            <w:pPr>
              <w:pStyle w:val="OP"/>
              <w:numPr>
                <w:ilvl w:val="0"/>
                <w:numId w:val="0"/>
              </w:numPr>
            </w:pPr>
            <w:r w:rsidRPr="007D65BA">
              <w:t>52.00%</w:t>
            </w:r>
          </w:p>
        </w:tc>
        <w:tc>
          <w:tcPr>
            <w:tcW w:w="1715" w:type="dxa"/>
          </w:tcPr>
          <w:p w:rsidR="00A54843" w:rsidP="00A54843" w:rsidRDefault="0025484E" w14:paraId="40A2F5D6" w14:textId="1E8EF7AC">
            <w:pPr>
              <w:pStyle w:val="OP"/>
              <w:numPr>
                <w:ilvl w:val="0"/>
                <w:numId w:val="0"/>
              </w:numPr>
            </w:pPr>
            <w:r>
              <w:t>9.98</w:t>
            </w:r>
            <w:r w:rsidRPr="00BF30E7" w:rsidR="00A54843">
              <w:t>%</w:t>
            </w:r>
          </w:p>
        </w:tc>
        <w:tc>
          <w:tcPr>
            <w:tcW w:w="2240" w:type="dxa"/>
          </w:tcPr>
          <w:p w:rsidR="00A54843" w:rsidP="00A54843" w:rsidRDefault="00D109B2" w14:paraId="46BDE191" w14:textId="6DC0376E">
            <w:pPr>
              <w:pStyle w:val="OP"/>
              <w:numPr>
                <w:ilvl w:val="0"/>
                <w:numId w:val="0"/>
              </w:numPr>
            </w:pPr>
            <w:r>
              <w:t>5.19</w:t>
            </w:r>
            <w:r w:rsidRPr="004E066A" w:rsidR="00A54843">
              <w:t>%</w:t>
            </w:r>
          </w:p>
        </w:tc>
      </w:tr>
      <w:tr w:rsidR="007A67FF" w:rsidTr="002F72F5" w14:paraId="63AF7C7F" w14:textId="77777777">
        <w:tc>
          <w:tcPr>
            <w:tcW w:w="2880" w:type="dxa"/>
          </w:tcPr>
          <w:p w:rsidR="007A67FF" w:rsidP="002515F2" w:rsidRDefault="002F72F5" w14:paraId="325980F0" w14:textId="231EBC8F">
            <w:pPr>
              <w:pStyle w:val="OP"/>
              <w:numPr>
                <w:ilvl w:val="0"/>
                <w:numId w:val="0"/>
              </w:numPr>
            </w:pPr>
            <w:r>
              <w:t>Return on Rate Base</w:t>
            </w:r>
          </w:p>
        </w:tc>
        <w:tc>
          <w:tcPr>
            <w:tcW w:w="2520" w:type="dxa"/>
          </w:tcPr>
          <w:p w:rsidR="007A67FF" w:rsidP="002515F2" w:rsidRDefault="007A67FF" w14:paraId="2EB434DB" w14:textId="77777777">
            <w:pPr>
              <w:pStyle w:val="OP"/>
              <w:numPr>
                <w:ilvl w:val="0"/>
                <w:numId w:val="0"/>
              </w:numPr>
            </w:pPr>
          </w:p>
        </w:tc>
        <w:tc>
          <w:tcPr>
            <w:tcW w:w="1715" w:type="dxa"/>
          </w:tcPr>
          <w:p w:rsidR="007A67FF" w:rsidP="002515F2" w:rsidRDefault="007A67FF" w14:paraId="525C7BD7" w14:textId="77777777">
            <w:pPr>
              <w:pStyle w:val="OP"/>
              <w:numPr>
                <w:ilvl w:val="0"/>
                <w:numId w:val="0"/>
              </w:numPr>
            </w:pPr>
          </w:p>
        </w:tc>
        <w:tc>
          <w:tcPr>
            <w:tcW w:w="2240" w:type="dxa"/>
          </w:tcPr>
          <w:p w:rsidR="007A67FF" w:rsidP="002515F2" w:rsidRDefault="0025484E" w14:paraId="4107CF7B" w14:textId="7175667D">
            <w:pPr>
              <w:pStyle w:val="OP"/>
              <w:numPr>
                <w:ilvl w:val="0"/>
                <w:numId w:val="0"/>
              </w:numPr>
            </w:pPr>
            <w:r>
              <w:t>7.61</w:t>
            </w:r>
            <w:r w:rsidR="00EF234E">
              <w:t>%</w:t>
            </w:r>
          </w:p>
        </w:tc>
      </w:tr>
    </w:tbl>
    <w:p w:rsidRPr="001E2A62" w:rsidR="002515F2" w:rsidP="002515F2" w:rsidRDefault="002515F2" w14:paraId="755BC16A" w14:textId="77777777">
      <w:pPr>
        <w:pStyle w:val="OP"/>
        <w:numPr>
          <w:ilvl w:val="0"/>
          <w:numId w:val="0"/>
        </w:numPr>
        <w:ind w:left="540"/>
      </w:pPr>
    </w:p>
    <w:p w:rsidR="00387D07" w:rsidP="00950C10" w:rsidRDefault="00387D07" w14:paraId="558A9FEC" w14:textId="484B4FF6">
      <w:pPr>
        <w:pStyle w:val="OP"/>
      </w:pPr>
      <w:r>
        <w:t>Southern California Gas Company’s cost</w:t>
      </w:r>
      <w:r w:rsidR="0048012F">
        <w:t xml:space="preserve"> of capital for its test year 2026 operations is as follows:</w:t>
      </w: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48012F" w14:paraId="57D1DF04" w14:textId="77777777">
        <w:tc>
          <w:tcPr>
            <w:tcW w:w="2880" w:type="dxa"/>
          </w:tcPr>
          <w:p w:rsidRPr="007A67FF" w:rsidR="0048012F" w:rsidRDefault="0048012F" w14:paraId="6A65B6C3" w14:textId="77777777">
            <w:pPr>
              <w:pStyle w:val="OP"/>
              <w:numPr>
                <w:ilvl w:val="0"/>
                <w:numId w:val="0"/>
              </w:numPr>
              <w:rPr>
                <w:b/>
                <w:bCs/>
              </w:rPr>
            </w:pPr>
          </w:p>
        </w:tc>
        <w:tc>
          <w:tcPr>
            <w:tcW w:w="2520" w:type="dxa"/>
          </w:tcPr>
          <w:p w:rsidRPr="007A67FF" w:rsidR="0048012F" w:rsidRDefault="0048012F" w14:paraId="5B213699" w14:textId="77777777">
            <w:pPr>
              <w:pStyle w:val="OP"/>
              <w:numPr>
                <w:ilvl w:val="0"/>
                <w:numId w:val="0"/>
              </w:numPr>
              <w:rPr>
                <w:b/>
                <w:bCs/>
              </w:rPr>
            </w:pPr>
            <w:r>
              <w:rPr>
                <w:b/>
                <w:bCs/>
              </w:rPr>
              <w:t>Capital Proportion</w:t>
            </w:r>
          </w:p>
        </w:tc>
        <w:tc>
          <w:tcPr>
            <w:tcW w:w="1715" w:type="dxa"/>
          </w:tcPr>
          <w:p w:rsidRPr="007A67FF" w:rsidR="0048012F" w:rsidRDefault="0048012F" w14:paraId="24386AAB" w14:textId="77777777">
            <w:pPr>
              <w:pStyle w:val="OP"/>
              <w:numPr>
                <w:ilvl w:val="0"/>
                <w:numId w:val="0"/>
              </w:numPr>
              <w:rPr>
                <w:b/>
                <w:bCs/>
              </w:rPr>
            </w:pPr>
            <w:r>
              <w:rPr>
                <w:b/>
                <w:bCs/>
              </w:rPr>
              <w:t>Cost Factor</w:t>
            </w:r>
          </w:p>
        </w:tc>
        <w:tc>
          <w:tcPr>
            <w:tcW w:w="2240" w:type="dxa"/>
          </w:tcPr>
          <w:p w:rsidRPr="007A67FF" w:rsidR="0048012F" w:rsidRDefault="0048012F" w14:paraId="2360E8DB" w14:textId="77777777">
            <w:pPr>
              <w:pStyle w:val="OP"/>
              <w:numPr>
                <w:ilvl w:val="0"/>
                <w:numId w:val="0"/>
              </w:numPr>
              <w:rPr>
                <w:b/>
                <w:bCs/>
              </w:rPr>
            </w:pPr>
            <w:r>
              <w:rPr>
                <w:b/>
                <w:bCs/>
              </w:rPr>
              <w:t>Weighted Cost</w:t>
            </w:r>
          </w:p>
        </w:tc>
      </w:tr>
      <w:tr w:rsidR="00E56742" w14:paraId="42261BF5" w14:textId="77777777">
        <w:tc>
          <w:tcPr>
            <w:tcW w:w="2880" w:type="dxa"/>
          </w:tcPr>
          <w:p w:rsidR="00E56742" w:rsidP="00E56742" w:rsidRDefault="00E56742" w14:paraId="296584E8" w14:textId="77777777">
            <w:pPr>
              <w:pStyle w:val="OP"/>
              <w:numPr>
                <w:ilvl w:val="0"/>
                <w:numId w:val="0"/>
              </w:numPr>
            </w:pPr>
            <w:r>
              <w:t>Long-Term Debt</w:t>
            </w:r>
          </w:p>
        </w:tc>
        <w:tc>
          <w:tcPr>
            <w:tcW w:w="2520" w:type="dxa"/>
          </w:tcPr>
          <w:p w:rsidR="00E56742" w:rsidP="00E56742" w:rsidRDefault="00E56742" w14:paraId="36A873B3" w14:textId="003FEDA1">
            <w:pPr>
              <w:pStyle w:val="OP"/>
              <w:numPr>
                <w:ilvl w:val="0"/>
                <w:numId w:val="0"/>
              </w:numPr>
            </w:pPr>
            <w:r w:rsidRPr="0061497E">
              <w:t>45.60%</w:t>
            </w:r>
          </w:p>
        </w:tc>
        <w:tc>
          <w:tcPr>
            <w:tcW w:w="1715" w:type="dxa"/>
          </w:tcPr>
          <w:p w:rsidR="00E56742" w:rsidP="00E56742" w:rsidRDefault="00E56742" w14:paraId="776B7570" w14:textId="18D405CA">
            <w:pPr>
              <w:pStyle w:val="OP"/>
              <w:numPr>
                <w:ilvl w:val="0"/>
                <w:numId w:val="0"/>
              </w:numPr>
            </w:pPr>
            <w:r w:rsidRPr="00036D49">
              <w:t>5.02%</w:t>
            </w:r>
          </w:p>
        </w:tc>
        <w:tc>
          <w:tcPr>
            <w:tcW w:w="2240" w:type="dxa"/>
          </w:tcPr>
          <w:p w:rsidR="00E56742" w:rsidP="00E56742" w:rsidRDefault="00E56742" w14:paraId="70853A9A" w14:textId="34BFE678">
            <w:pPr>
              <w:pStyle w:val="OP"/>
              <w:numPr>
                <w:ilvl w:val="0"/>
                <w:numId w:val="0"/>
              </w:numPr>
            </w:pPr>
            <w:r w:rsidRPr="003960F5">
              <w:t>2.29%</w:t>
            </w:r>
          </w:p>
        </w:tc>
      </w:tr>
      <w:tr w:rsidR="00E56742" w14:paraId="42D27A47" w14:textId="77777777">
        <w:tc>
          <w:tcPr>
            <w:tcW w:w="2880" w:type="dxa"/>
          </w:tcPr>
          <w:p w:rsidR="00E56742" w:rsidP="00E56742" w:rsidRDefault="00E56742" w14:paraId="4B0B6324" w14:textId="77777777">
            <w:pPr>
              <w:pStyle w:val="OP"/>
              <w:numPr>
                <w:ilvl w:val="0"/>
                <w:numId w:val="0"/>
              </w:numPr>
            </w:pPr>
            <w:r>
              <w:t>Preferred Equity</w:t>
            </w:r>
          </w:p>
        </w:tc>
        <w:tc>
          <w:tcPr>
            <w:tcW w:w="2520" w:type="dxa"/>
          </w:tcPr>
          <w:p w:rsidR="00E56742" w:rsidP="00E56742" w:rsidRDefault="00E56742" w14:paraId="0EE72D74" w14:textId="2F8BF85B">
            <w:pPr>
              <w:pStyle w:val="OP"/>
              <w:numPr>
                <w:ilvl w:val="0"/>
                <w:numId w:val="0"/>
              </w:numPr>
            </w:pPr>
            <w:r w:rsidRPr="0061497E">
              <w:t>2.40%</w:t>
            </w:r>
          </w:p>
        </w:tc>
        <w:tc>
          <w:tcPr>
            <w:tcW w:w="1715" w:type="dxa"/>
          </w:tcPr>
          <w:p w:rsidR="00E56742" w:rsidP="00E56742" w:rsidRDefault="00E56742" w14:paraId="55C778A8" w14:textId="18EEC3F1">
            <w:pPr>
              <w:pStyle w:val="OP"/>
              <w:numPr>
                <w:ilvl w:val="0"/>
                <w:numId w:val="0"/>
              </w:numPr>
            </w:pPr>
            <w:r w:rsidRPr="00036D49">
              <w:t>6.00%</w:t>
            </w:r>
          </w:p>
        </w:tc>
        <w:tc>
          <w:tcPr>
            <w:tcW w:w="2240" w:type="dxa"/>
          </w:tcPr>
          <w:p w:rsidR="00E56742" w:rsidP="00E56742" w:rsidRDefault="00E56742" w14:paraId="606CA3BD" w14:textId="40F95FD6">
            <w:pPr>
              <w:pStyle w:val="OP"/>
              <w:numPr>
                <w:ilvl w:val="0"/>
                <w:numId w:val="0"/>
              </w:numPr>
            </w:pPr>
            <w:r w:rsidRPr="003960F5">
              <w:t>0.14%</w:t>
            </w:r>
          </w:p>
        </w:tc>
      </w:tr>
      <w:tr w:rsidR="00E56742" w14:paraId="55A38623" w14:textId="77777777">
        <w:tc>
          <w:tcPr>
            <w:tcW w:w="2880" w:type="dxa"/>
          </w:tcPr>
          <w:p w:rsidR="00E56742" w:rsidP="00E56742" w:rsidRDefault="00E56742" w14:paraId="1FA9CFDC" w14:textId="77777777">
            <w:pPr>
              <w:pStyle w:val="OP"/>
              <w:numPr>
                <w:ilvl w:val="0"/>
                <w:numId w:val="0"/>
              </w:numPr>
            </w:pPr>
            <w:r>
              <w:t>Common Equity</w:t>
            </w:r>
          </w:p>
        </w:tc>
        <w:tc>
          <w:tcPr>
            <w:tcW w:w="2520" w:type="dxa"/>
          </w:tcPr>
          <w:p w:rsidR="00E56742" w:rsidP="00E56742" w:rsidRDefault="00E56742" w14:paraId="5097EB22" w14:textId="27C37DBF">
            <w:pPr>
              <w:pStyle w:val="OP"/>
              <w:numPr>
                <w:ilvl w:val="0"/>
                <w:numId w:val="0"/>
              </w:numPr>
            </w:pPr>
            <w:r w:rsidRPr="0061497E">
              <w:t>52.00%</w:t>
            </w:r>
          </w:p>
        </w:tc>
        <w:tc>
          <w:tcPr>
            <w:tcW w:w="1715" w:type="dxa"/>
          </w:tcPr>
          <w:p w:rsidR="00E56742" w:rsidP="00E56742" w:rsidRDefault="001C0AE0" w14:paraId="6F246ABD" w14:textId="0250C9AF">
            <w:pPr>
              <w:pStyle w:val="OP"/>
              <w:numPr>
                <w:ilvl w:val="0"/>
                <w:numId w:val="0"/>
              </w:numPr>
            </w:pPr>
            <w:r>
              <w:t>9.78</w:t>
            </w:r>
            <w:r w:rsidRPr="00036D49" w:rsidR="00E56742">
              <w:t>%</w:t>
            </w:r>
          </w:p>
        </w:tc>
        <w:tc>
          <w:tcPr>
            <w:tcW w:w="2240" w:type="dxa"/>
          </w:tcPr>
          <w:p w:rsidR="00E56742" w:rsidP="00E56742" w:rsidRDefault="00CA1862" w14:paraId="631FCA5F" w14:textId="7055ED07">
            <w:pPr>
              <w:pStyle w:val="OP"/>
              <w:numPr>
                <w:ilvl w:val="0"/>
                <w:numId w:val="0"/>
              </w:numPr>
            </w:pPr>
            <w:r>
              <w:t>5.09</w:t>
            </w:r>
            <w:r w:rsidRPr="003960F5" w:rsidR="00E56742">
              <w:t>%</w:t>
            </w:r>
          </w:p>
        </w:tc>
      </w:tr>
      <w:tr w:rsidR="0048012F" w14:paraId="5106F900" w14:textId="77777777">
        <w:tc>
          <w:tcPr>
            <w:tcW w:w="2880" w:type="dxa"/>
          </w:tcPr>
          <w:p w:rsidR="0048012F" w:rsidRDefault="0048012F" w14:paraId="7D5DCE91" w14:textId="77777777">
            <w:pPr>
              <w:pStyle w:val="OP"/>
              <w:numPr>
                <w:ilvl w:val="0"/>
                <w:numId w:val="0"/>
              </w:numPr>
            </w:pPr>
            <w:r>
              <w:lastRenderedPageBreak/>
              <w:t>Return on Rate Base</w:t>
            </w:r>
          </w:p>
        </w:tc>
        <w:tc>
          <w:tcPr>
            <w:tcW w:w="2520" w:type="dxa"/>
          </w:tcPr>
          <w:p w:rsidR="0048012F" w:rsidRDefault="0048012F" w14:paraId="12CA996C" w14:textId="77777777">
            <w:pPr>
              <w:pStyle w:val="OP"/>
              <w:numPr>
                <w:ilvl w:val="0"/>
                <w:numId w:val="0"/>
              </w:numPr>
            </w:pPr>
          </w:p>
        </w:tc>
        <w:tc>
          <w:tcPr>
            <w:tcW w:w="1715" w:type="dxa"/>
          </w:tcPr>
          <w:p w:rsidR="0048012F" w:rsidRDefault="0048012F" w14:paraId="016C8ABF" w14:textId="77777777">
            <w:pPr>
              <w:pStyle w:val="OP"/>
              <w:numPr>
                <w:ilvl w:val="0"/>
                <w:numId w:val="0"/>
              </w:numPr>
            </w:pPr>
          </w:p>
        </w:tc>
        <w:tc>
          <w:tcPr>
            <w:tcW w:w="2240" w:type="dxa"/>
          </w:tcPr>
          <w:p w:rsidR="0048012F" w:rsidRDefault="00CA1862" w14:paraId="3C1371F1" w14:textId="79489268">
            <w:pPr>
              <w:pStyle w:val="OP"/>
              <w:numPr>
                <w:ilvl w:val="0"/>
                <w:numId w:val="0"/>
              </w:numPr>
            </w:pPr>
            <w:r>
              <w:t>7.52</w:t>
            </w:r>
            <w:r w:rsidR="00B9436A">
              <w:t>%</w:t>
            </w:r>
          </w:p>
        </w:tc>
      </w:tr>
    </w:tbl>
    <w:p w:rsidR="0048012F" w:rsidP="0048012F" w:rsidRDefault="0048012F" w14:paraId="28FC195C" w14:textId="77777777">
      <w:pPr>
        <w:pStyle w:val="OP"/>
        <w:numPr>
          <w:ilvl w:val="0"/>
          <w:numId w:val="0"/>
        </w:numPr>
      </w:pPr>
    </w:p>
    <w:p w:rsidR="0048012F" w:rsidP="00950C10" w:rsidRDefault="0048012F" w14:paraId="6519C038" w14:textId="19762563">
      <w:pPr>
        <w:pStyle w:val="OP"/>
      </w:pPr>
      <w:r>
        <w:t>Southern California Edison Company’s cost of capital for its test year 2026</w:t>
      </w:r>
      <w:r w:rsidR="005922E7">
        <w:t xml:space="preserve"> operations is as follows:</w:t>
      </w: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5922E7" w14:paraId="096F467D" w14:textId="77777777">
        <w:tc>
          <w:tcPr>
            <w:tcW w:w="2880" w:type="dxa"/>
          </w:tcPr>
          <w:p w:rsidRPr="007A67FF" w:rsidR="005922E7" w:rsidRDefault="005922E7" w14:paraId="0A576969" w14:textId="77777777">
            <w:pPr>
              <w:pStyle w:val="OP"/>
              <w:numPr>
                <w:ilvl w:val="0"/>
                <w:numId w:val="0"/>
              </w:numPr>
              <w:rPr>
                <w:b/>
                <w:bCs/>
              </w:rPr>
            </w:pPr>
          </w:p>
        </w:tc>
        <w:tc>
          <w:tcPr>
            <w:tcW w:w="2520" w:type="dxa"/>
          </w:tcPr>
          <w:p w:rsidRPr="007A67FF" w:rsidR="005922E7" w:rsidRDefault="005922E7" w14:paraId="56739EE2" w14:textId="77777777">
            <w:pPr>
              <w:pStyle w:val="OP"/>
              <w:numPr>
                <w:ilvl w:val="0"/>
                <w:numId w:val="0"/>
              </w:numPr>
              <w:rPr>
                <w:b/>
                <w:bCs/>
              </w:rPr>
            </w:pPr>
            <w:r>
              <w:rPr>
                <w:b/>
                <w:bCs/>
              </w:rPr>
              <w:t>Capital Proportion</w:t>
            </w:r>
          </w:p>
        </w:tc>
        <w:tc>
          <w:tcPr>
            <w:tcW w:w="1715" w:type="dxa"/>
          </w:tcPr>
          <w:p w:rsidRPr="007A67FF" w:rsidR="005922E7" w:rsidRDefault="005922E7" w14:paraId="2CA337B8" w14:textId="77777777">
            <w:pPr>
              <w:pStyle w:val="OP"/>
              <w:numPr>
                <w:ilvl w:val="0"/>
                <w:numId w:val="0"/>
              </w:numPr>
              <w:rPr>
                <w:b/>
                <w:bCs/>
              </w:rPr>
            </w:pPr>
            <w:r>
              <w:rPr>
                <w:b/>
                <w:bCs/>
              </w:rPr>
              <w:t>Cost Factor</w:t>
            </w:r>
          </w:p>
        </w:tc>
        <w:tc>
          <w:tcPr>
            <w:tcW w:w="2240" w:type="dxa"/>
          </w:tcPr>
          <w:p w:rsidRPr="007A67FF" w:rsidR="005922E7" w:rsidRDefault="005922E7" w14:paraId="0C9D4BBD" w14:textId="77777777">
            <w:pPr>
              <w:pStyle w:val="OP"/>
              <w:numPr>
                <w:ilvl w:val="0"/>
                <w:numId w:val="0"/>
              </w:numPr>
              <w:rPr>
                <w:b/>
                <w:bCs/>
              </w:rPr>
            </w:pPr>
            <w:r>
              <w:rPr>
                <w:b/>
                <w:bCs/>
              </w:rPr>
              <w:t>Weighted Cost</w:t>
            </w:r>
          </w:p>
        </w:tc>
      </w:tr>
      <w:tr w:rsidR="00E56742" w14:paraId="481F5EB9" w14:textId="77777777">
        <w:tc>
          <w:tcPr>
            <w:tcW w:w="2880" w:type="dxa"/>
          </w:tcPr>
          <w:p w:rsidR="00E56742" w:rsidP="00E56742" w:rsidRDefault="00E56742" w14:paraId="0CEFDF10" w14:textId="77777777">
            <w:pPr>
              <w:pStyle w:val="OP"/>
              <w:numPr>
                <w:ilvl w:val="0"/>
                <w:numId w:val="0"/>
              </w:numPr>
            </w:pPr>
            <w:r>
              <w:t>Long-Term Debt</w:t>
            </w:r>
          </w:p>
        </w:tc>
        <w:tc>
          <w:tcPr>
            <w:tcW w:w="2520" w:type="dxa"/>
          </w:tcPr>
          <w:p w:rsidR="00E56742" w:rsidP="00E56742" w:rsidRDefault="00E56742" w14:paraId="694D1E62" w14:textId="01A6FD03">
            <w:pPr>
              <w:pStyle w:val="OP"/>
              <w:numPr>
                <w:ilvl w:val="0"/>
                <w:numId w:val="0"/>
              </w:numPr>
            </w:pPr>
            <w:r w:rsidRPr="00C915C9">
              <w:t>43.00%</w:t>
            </w:r>
          </w:p>
        </w:tc>
        <w:tc>
          <w:tcPr>
            <w:tcW w:w="1715" w:type="dxa"/>
          </w:tcPr>
          <w:p w:rsidR="00E56742" w:rsidP="00E56742" w:rsidRDefault="00E56742" w14:paraId="4E9390EF" w14:textId="2811B25F">
            <w:pPr>
              <w:pStyle w:val="OP"/>
              <w:numPr>
                <w:ilvl w:val="0"/>
                <w:numId w:val="0"/>
              </w:numPr>
            </w:pPr>
            <w:r w:rsidRPr="00D53EC8">
              <w:t>4.71%</w:t>
            </w:r>
          </w:p>
        </w:tc>
        <w:tc>
          <w:tcPr>
            <w:tcW w:w="2240" w:type="dxa"/>
          </w:tcPr>
          <w:p w:rsidR="00E56742" w:rsidP="00E56742" w:rsidRDefault="00E56742" w14:paraId="0E2BF9EB" w14:textId="49FF1A65">
            <w:pPr>
              <w:pStyle w:val="OP"/>
              <w:numPr>
                <w:ilvl w:val="0"/>
                <w:numId w:val="0"/>
              </w:numPr>
            </w:pPr>
            <w:r w:rsidRPr="00CE5E7C">
              <w:t>2.03%</w:t>
            </w:r>
          </w:p>
        </w:tc>
      </w:tr>
      <w:tr w:rsidR="00E56742" w14:paraId="09D7F516" w14:textId="77777777">
        <w:tc>
          <w:tcPr>
            <w:tcW w:w="2880" w:type="dxa"/>
          </w:tcPr>
          <w:p w:rsidR="00E56742" w:rsidP="00E56742" w:rsidRDefault="00E56742" w14:paraId="7681BB71" w14:textId="77777777">
            <w:pPr>
              <w:pStyle w:val="OP"/>
              <w:numPr>
                <w:ilvl w:val="0"/>
                <w:numId w:val="0"/>
              </w:numPr>
            </w:pPr>
            <w:r>
              <w:t>Preferred Equity</w:t>
            </w:r>
          </w:p>
        </w:tc>
        <w:tc>
          <w:tcPr>
            <w:tcW w:w="2520" w:type="dxa"/>
          </w:tcPr>
          <w:p w:rsidR="00E56742" w:rsidP="00E56742" w:rsidRDefault="00E56742" w14:paraId="6A00CEE4" w14:textId="7E4512EF">
            <w:pPr>
              <w:pStyle w:val="OP"/>
              <w:numPr>
                <w:ilvl w:val="0"/>
                <w:numId w:val="0"/>
              </w:numPr>
            </w:pPr>
            <w:r w:rsidRPr="00C915C9">
              <w:t>5.00%</w:t>
            </w:r>
          </w:p>
        </w:tc>
        <w:tc>
          <w:tcPr>
            <w:tcW w:w="1715" w:type="dxa"/>
          </w:tcPr>
          <w:p w:rsidR="00E56742" w:rsidP="00E56742" w:rsidRDefault="00E56742" w14:paraId="3C0DEFF3" w14:textId="49F4B9E8">
            <w:pPr>
              <w:pStyle w:val="OP"/>
              <w:numPr>
                <w:ilvl w:val="0"/>
                <w:numId w:val="0"/>
              </w:numPr>
            </w:pPr>
            <w:r w:rsidRPr="00D53EC8">
              <w:t>6.89%</w:t>
            </w:r>
          </w:p>
        </w:tc>
        <w:tc>
          <w:tcPr>
            <w:tcW w:w="2240" w:type="dxa"/>
          </w:tcPr>
          <w:p w:rsidR="00E56742" w:rsidP="00E56742" w:rsidRDefault="00E56742" w14:paraId="7DBAFF10" w14:textId="5AA47952">
            <w:pPr>
              <w:pStyle w:val="OP"/>
              <w:numPr>
                <w:ilvl w:val="0"/>
                <w:numId w:val="0"/>
              </w:numPr>
            </w:pPr>
            <w:r w:rsidRPr="00CE5E7C">
              <w:t>0.34%</w:t>
            </w:r>
          </w:p>
        </w:tc>
      </w:tr>
      <w:tr w:rsidR="00E56742" w14:paraId="1212901E" w14:textId="77777777">
        <w:tc>
          <w:tcPr>
            <w:tcW w:w="2880" w:type="dxa"/>
          </w:tcPr>
          <w:p w:rsidR="00E56742" w:rsidP="00E56742" w:rsidRDefault="00E56742" w14:paraId="3CE2129A" w14:textId="77777777">
            <w:pPr>
              <w:pStyle w:val="OP"/>
              <w:numPr>
                <w:ilvl w:val="0"/>
                <w:numId w:val="0"/>
              </w:numPr>
            </w:pPr>
            <w:r>
              <w:t>Common Equity</w:t>
            </w:r>
          </w:p>
        </w:tc>
        <w:tc>
          <w:tcPr>
            <w:tcW w:w="2520" w:type="dxa"/>
          </w:tcPr>
          <w:p w:rsidR="00E56742" w:rsidP="00E56742" w:rsidRDefault="00E56742" w14:paraId="47F06DF8" w14:textId="3AF45988">
            <w:pPr>
              <w:pStyle w:val="OP"/>
              <w:numPr>
                <w:ilvl w:val="0"/>
                <w:numId w:val="0"/>
              </w:numPr>
            </w:pPr>
            <w:r w:rsidRPr="00C915C9">
              <w:t>52.00%</w:t>
            </w:r>
          </w:p>
        </w:tc>
        <w:tc>
          <w:tcPr>
            <w:tcW w:w="1715" w:type="dxa"/>
          </w:tcPr>
          <w:p w:rsidR="00E56742" w:rsidP="00E56742" w:rsidRDefault="00783773" w14:paraId="6DB79CA1" w14:textId="6D5AC505">
            <w:pPr>
              <w:pStyle w:val="OP"/>
              <w:numPr>
                <w:ilvl w:val="0"/>
                <w:numId w:val="0"/>
              </w:numPr>
            </w:pPr>
            <w:r>
              <w:t>10.03</w:t>
            </w:r>
            <w:r w:rsidRPr="00D53EC8" w:rsidR="00E56742">
              <w:t>%</w:t>
            </w:r>
          </w:p>
        </w:tc>
        <w:tc>
          <w:tcPr>
            <w:tcW w:w="2240" w:type="dxa"/>
          </w:tcPr>
          <w:p w:rsidR="00E56742" w:rsidP="00E56742" w:rsidRDefault="00783773" w14:paraId="3800CF04" w14:textId="4E4542A2">
            <w:pPr>
              <w:pStyle w:val="OP"/>
              <w:numPr>
                <w:ilvl w:val="0"/>
                <w:numId w:val="0"/>
              </w:numPr>
            </w:pPr>
            <w:r>
              <w:t>5.22</w:t>
            </w:r>
            <w:r w:rsidRPr="00CE5E7C" w:rsidR="00E56742">
              <w:t>%</w:t>
            </w:r>
          </w:p>
        </w:tc>
      </w:tr>
      <w:tr w:rsidR="005922E7" w14:paraId="14C20A07" w14:textId="77777777">
        <w:tc>
          <w:tcPr>
            <w:tcW w:w="2880" w:type="dxa"/>
          </w:tcPr>
          <w:p w:rsidR="005922E7" w:rsidRDefault="005922E7" w14:paraId="6D2F8332" w14:textId="77777777">
            <w:pPr>
              <w:pStyle w:val="OP"/>
              <w:numPr>
                <w:ilvl w:val="0"/>
                <w:numId w:val="0"/>
              </w:numPr>
            </w:pPr>
            <w:r>
              <w:t>Return on Rate Base</w:t>
            </w:r>
          </w:p>
        </w:tc>
        <w:tc>
          <w:tcPr>
            <w:tcW w:w="2520" w:type="dxa"/>
          </w:tcPr>
          <w:p w:rsidR="005922E7" w:rsidRDefault="005922E7" w14:paraId="52C90D20" w14:textId="77777777">
            <w:pPr>
              <w:pStyle w:val="OP"/>
              <w:numPr>
                <w:ilvl w:val="0"/>
                <w:numId w:val="0"/>
              </w:numPr>
            </w:pPr>
          </w:p>
        </w:tc>
        <w:tc>
          <w:tcPr>
            <w:tcW w:w="1715" w:type="dxa"/>
          </w:tcPr>
          <w:p w:rsidR="005922E7" w:rsidRDefault="005922E7" w14:paraId="06095720" w14:textId="77777777">
            <w:pPr>
              <w:pStyle w:val="OP"/>
              <w:numPr>
                <w:ilvl w:val="0"/>
                <w:numId w:val="0"/>
              </w:numPr>
            </w:pPr>
          </w:p>
        </w:tc>
        <w:tc>
          <w:tcPr>
            <w:tcW w:w="2240" w:type="dxa"/>
          </w:tcPr>
          <w:p w:rsidR="005922E7" w:rsidRDefault="00783773" w14:paraId="2F601994" w14:textId="4E004FAA">
            <w:pPr>
              <w:pStyle w:val="OP"/>
              <w:numPr>
                <w:ilvl w:val="0"/>
                <w:numId w:val="0"/>
              </w:numPr>
            </w:pPr>
            <w:r>
              <w:t>7.59</w:t>
            </w:r>
            <w:r w:rsidR="001E6AF8">
              <w:t>%</w:t>
            </w:r>
          </w:p>
        </w:tc>
      </w:tr>
    </w:tbl>
    <w:p w:rsidR="005922E7" w:rsidP="005922E7" w:rsidRDefault="005922E7" w14:paraId="5C0A1869" w14:textId="77777777">
      <w:pPr>
        <w:pStyle w:val="OP"/>
        <w:numPr>
          <w:ilvl w:val="0"/>
          <w:numId w:val="0"/>
        </w:numPr>
        <w:ind w:firstLine="540"/>
      </w:pPr>
    </w:p>
    <w:p w:rsidR="005922E7" w:rsidP="00950C10" w:rsidRDefault="005922E7" w14:paraId="7BC9DCAF" w14:textId="0030E287">
      <w:pPr>
        <w:pStyle w:val="OP"/>
      </w:pPr>
      <w:r>
        <w:t>San Diego Gas &amp; Electric Company’s cost of capital for its test year 2026 operations is as follows:</w:t>
      </w:r>
    </w:p>
    <w:p w:rsidR="003A3B90" w:rsidP="003A3B90" w:rsidRDefault="003A3B90" w14:paraId="3D019717" w14:textId="77777777">
      <w:pPr>
        <w:pStyle w:val="OP"/>
        <w:numPr>
          <w:ilvl w:val="0"/>
          <w:numId w:val="0"/>
        </w:numPr>
        <w:ind w:firstLine="540"/>
      </w:pP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5922E7" w14:paraId="205C3B3E" w14:textId="77777777">
        <w:tc>
          <w:tcPr>
            <w:tcW w:w="2880" w:type="dxa"/>
          </w:tcPr>
          <w:p w:rsidRPr="007A67FF" w:rsidR="005922E7" w:rsidRDefault="005922E7" w14:paraId="0C854E2F" w14:textId="77777777">
            <w:pPr>
              <w:pStyle w:val="OP"/>
              <w:numPr>
                <w:ilvl w:val="0"/>
                <w:numId w:val="0"/>
              </w:numPr>
              <w:rPr>
                <w:b/>
                <w:bCs/>
              </w:rPr>
            </w:pPr>
          </w:p>
        </w:tc>
        <w:tc>
          <w:tcPr>
            <w:tcW w:w="2520" w:type="dxa"/>
          </w:tcPr>
          <w:p w:rsidRPr="007A67FF" w:rsidR="005922E7" w:rsidRDefault="005922E7" w14:paraId="711514EC" w14:textId="77777777">
            <w:pPr>
              <w:pStyle w:val="OP"/>
              <w:numPr>
                <w:ilvl w:val="0"/>
                <w:numId w:val="0"/>
              </w:numPr>
              <w:rPr>
                <w:b/>
                <w:bCs/>
              </w:rPr>
            </w:pPr>
            <w:r>
              <w:rPr>
                <w:b/>
                <w:bCs/>
              </w:rPr>
              <w:t>Capital Proportion</w:t>
            </w:r>
          </w:p>
        </w:tc>
        <w:tc>
          <w:tcPr>
            <w:tcW w:w="1715" w:type="dxa"/>
          </w:tcPr>
          <w:p w:rsidRPr="007A67FF" w:rsidR="005922E7" w:rsidRDefault="005922E7" w14:paraId="50D0963F" w14:textId="77777777">
            <w:pPr>
              <w:pStyle w:val="OP"/>
              <w:numPr>
                <w:ilvl w:val="0"/>
                <w:numId w:val="0"/>
              </w:numPr>
              <w:rPr>
                <w:b/>
                <w:bCs/>
              </w:rPr>
            </w:pPr>
            <w:r>
              <w:rPr>
                <w:b/>
                <w:bCs/>
              </w:rPr>
              <w:t>Cost Factor</w:t>
            </w:r>
          </w:p>
        </w:tc>
        <w:tc>
          <w:tcPr>
            <w:tcW w:w="2240" w:type="dxa"/>
          </w:tcPr>
          <w:p w:rsidRPr="007A67FF" w:rsidR="005922E7" w:rsidRDefault="005922E7" w14:paraId="6D20DA1B" w14:textId="77777777">
            <w:pPr>
              <w:pStyle w:val="OP"/>
              <w:numPr>
                <w:ilvl w:val="0"/>
                <w:numId w:val="0"/>
              </w:numPr>
              <w:rPr>
                <w:b/>
                <w:bCs/>
              </w:rPr>
            </w:pPr>
            <w:r>
              <w:rPr>
                <w:b/>
                <w:bCs/>
              </w:rPr>
              <w:t>Weighted Cost</w:t>
            </w:r>
          </w:p>
        </w:tc>
      </w:tr>
      <w:tr w:rsidR="00056788" w14:paraId="0FCF94FC" w14:textId="77777777">
        <w:tc>
          <w:tcPr>
            <w:tcW w:w="2880" w:type="dxa"/>
          </w:tcPr>
          <w:p w:rsidR="00056788" w:rsidP="00056788" w:rsidRDefault="00056788" w14:paraId="0D596FB3" w14:textId="77777777">
            <w:pPr>
              <w:pStyle w:val="OP"/>
              <w:numPr>
                <w:ilvl w:val="0"/>
                <w:numId w:val="0"/>
              </w:numPr>
            </w:pPr>
            <w:r>
              <w:t>Long-Term Debt</w:t>
            </w:r>
          </w:p>
        </w:tc>
        <w:tc>
          <w:tcPr>
            <w:tcW w:w="2520" w:type="dxa"/>
          </w:tcPr>
          <w:p w:rsidR="00056788" w:rsidP="00056788" w:rsidRDefault="00056788" w14:paraId="3B1EE604" w14:textId="1811C4F7">
            <w:pPr>
              <w:pStyle w:val="OP"/>
              <w:numPr>
                <w:ilvl w:val="0"/>
                <w:numId w:val="0"/>
              </w:numPr>
            </w:pPr>
            <w:r w:rsidRPr="00FD60E5">
              <w:t>45.25%</w:t>
            </w:r>
          </w:p>
        </w:tc>
        <w:tc>
          <w:tcPr>
            <w:tcW w:w="1715" w:type="dxa"/>
          </w:tcPr>
          <w:p w:rsidR="00056788" w:rsidP="00056788" w:rsidRDefault="00056788" w14:paraId="2B6B05F0" w14:textId="1422D884">
            <w:pPr>
              <w:pStyle w:val="OP"/>
              <w:numPr>
                <w:ilvl w:val="0"/>
                <w:numId w:val="0"/>
              </w:numPr>
            </w:pPr>
            <w:r w:rsidRPr="001516BA">
              <w:t>4.59%</w:t>
            </w:r>
          </w:p>
        </w:tc>
        <w:tc>
          <w:tcPr>
            <w:tcW w:w="2240" w:type="dxa"/>
          </w:tcPr>
          <w:p w:rsidR="00056788" w:rsidP="00056788" w:rsidRDefault="00056788" w14:paraId="43CFA3E6" w14:textId="6C98AD3F">
            <w:pPr>
              <w:pStyle w:val="OP"/>
              <w:numPr>
                <w:ilvl w:val="0"/>
                <w:numId w:val="0"/>
              </w:numPr>
            </w:pPr>
            <w:r w:rsidRPr="006C6413">
              <w:t>2.08%</w:t>
            </w:r>
          </w:p>
        </w:tc>
      </w:tr>
      <w:tr w:rsidR="00056788" w14:paraId="45694ECA" w14:textId="77777777">
        <w:tc>
          <w:tcPr>
            <w:tcW w:w="2880" w:type="dxa"/>
          </w:tcPr>
          <w:p w:rsidR="00056788" w:rsidP="00056788" w:rsidRDefault="00056788" w14:paraId="299346A3" w14:textId="77777777">
            <w:pPr>
              <w:pStyle w:val="OP"/>
              <w:numPr>
                <w:ilvl w:val="0"/>
                <w:numId w:val="0"/>
              </w:numPr>
            </w:pPr>
            <w:r>
              <w:t>Preferred Equity</w:t>
            </w:r>
          </w:p>
        </w:tc>
        <w:tc>
          <w:tcPr>
            <w:tcW w:w="2520" w:type="dxa"/>
          </w:tcPr>
          <w:p w:rsidR="00056788" w:rsidP="00056788" w:rsidRDefault="00056788" w14:paraId="1209B2CF" w14:textId="7CBDF04C">
            <w:pPr>
              <w:pStyle w:val="OP"/>
              <w:numPr>
                <w:ilvl w:val="0"/>
                <w:numId w:val="0"/>
              </w:numPr>
            </w:pPr>
            <w:r w:rsidRPr="00FD60E5">
              <w:t>2.75%</w:t>
            </w:r>
          </w:p>
        </w:tc>
        <w:tc>
          <w:tcPr>
            <w:tcW w:w="1715" w:type="dxa"/>
          </w:tcPr>
          <w:p w:rsidR="00056788" w:rsidP="00056788" w:rsidRDefault="00056788" w14:paraId="191D6FA4" w14:textId="17D8F2FB">
            <w:pPr>
              <w:pStyle w:val="OP"/>
              <w:numPr>
                <w:ilvl w:val="0"/>
                <w:numId w:val="0"/>
              </w:numPr>
            </w:pPr>
            <w:r w:rsidRPr="001516BA">
              <w:t>6.22%</w:t>
            </w:r>
          </w:p>
        </w:tc>
        <w:tc>
          <w:tcPr>
            <w:tcW w:w="2240" w:type="dxa"/>
          </w:tcPr>
          <w:p w:rsidR="00056788" w:rsidP="00056788" w:rsidRDefault="00056788" w14:paraId="1950A226" w14:textId="383B4BBD">
            <w:pPr>
              <w:pStyle w:val="OP"/>
              <w:numPr>
                <w:ilvl w:val="0"/>
                <w:numId w:val="0"/>
              </w:numPr>
            </w:pPr>
            <w:r w:rsidRPr="006C6413">
              <w:t>0.17%</w:t>
            </w:r>
          </w:p>
        </w:tc>
      </w:tr>
      <w:tr w:rsidR="00056788" w14:paraId="3FE4844B" w14:textId="77777777">
        <w:tc>
          <w:tcPr>
            <w:tcW w:w="2880" w:type="dxa"/>
          </w:tcPr>
          <w:p w:rsidR="00056788" w:rsidP="00056788" w:rsidRDefault="00056788" w14:paraId="7400840E" w14:textId="77777777">
            <w:pPr>
              <w:pStyle w:val="OP"/>
              <w:numPr>
                <w:ilvl w:val="0"/>
                <w:numId w:val="0"/>
              </w:numPr>
            </w:pPr>
            <w:r>
              <w:t>Common Equity</w:t>
            </w:r>
          </w:p>
        </w:tc>
        <w:tc>
          <w:tcPr>
            <w:tcW w:w="2520" w:type="dxa"/>
          </w:tcPr>
          <w:p w:rsidR="00056788" w:rsidP="00056788" w:rsidRDefault="00056788" w14:paraId="52D703C6" w14:textId="1DB89922">
            <w:pPr>
              <w:pStyle w:val="OP"/>
              <w:numPr>
                <w:ilvl w:val="0"/>
                <w:numId w:val="0"/>
              </w:numPr>
            </w:pPr>
            <w:r w:rsidRPr="00FD60E5">
              <w:t>52.00%</w:t>
            </w:r>
          </w:p>
        </w:tc>
        <w:tc>
          <w:tcPr>
            <w:tcW w:w="1715" w:type="dxa"/>
          </w:tcPr>
          <w:p w:rsidR="00056788" w:rsidP="00056788" w:rsidRDefault="00783773" w14:paraId="1DB891FB" w14:textId="104F4024">
            <w:pPr>
              <w:pStyle w:val="OP"/>
              <w:numPr>
                <w:ilvl w:val="0"/>
                <w:numId w:val="0"/>
              </w:numPr>
            </w:pPr>
            <w:r>
              <w:t>9.93</w:t>
            </w:r>
            <w:r w:rsidRPr="001516BA" w:rsidR="00056788">
              <w:t>%</w:t>
            </w:r>
          </w:p>
        </w:tc>
        <w:tc>
          <w:tcPr>
            <w:tcW w:w="2240" w:type="dxa"/>
          </w:tcPr>
          <w:p w:rsidR="00056788" w:rsidP="00056788" w:rsidRDefault="00783773" w14:paraId="4CC515DC" w14:textId="4B5C4BF7">
            <w:pPr>
              <w:pStyle w:val="OP"/>
              <w:numPr>
                <w:ilvl w:val="0"/>
                <w:numId w:val="0"/>
              </w:numPr>
            </w:pPr>
            <w:r>
              <w:t>5.16</w:t>
            </w:r>
            <w:r w:rsidRPr="006C6413" w:rsidR="00056788">
              <w:t>%</w:t>
            </w:r>
          </w:p>
        </w:tc>
      </w:tr>
      <w:tr w:rsidR="005922E7" w14:paraId="79248FA3" w14:textId="77777777">
        <w:tc>
          <w:tcPr>
            <w:tcW w:w="2880" w:type="dxa"/>
          </w:tcPr>
          <w:p w:rsidR="005922E7" w:rsidRDefault="005922E7" w14:paraId="3CB41640" w14:textId="77777777">
            <w:pPr>
              <w:pStyle w:val="OP"/>
              <w:numPr>
                <w:ilvl w:val="0"/>
                <w:numId w:val="0"/>
              </w:numPr>
            </w:pPr>
            <w:r>
              <w:t>Return on Rate Base</w:t>
            </w:r>
          </w:p>
        </w:tc>
        <w:tc>
          <w:tcPr>
            <w:tcW w:w="2520" w:type="dxa"/>
          </w:tcPr>
          <w:p w:rsidR="005922E7" w:rsidRDefault="005922E7" w14:paraId="63C66965" w14:textId="77777777">
            <w:pPr>
              <w:pStyle w:val="OP"/>
              <w:numPr>
                <w:ilvl w:val="0"/>
                <w:numId w:val="0"/>
              </w:numPr>
            </w:pPr>
          </w:p>
        </w:tc>
        <w:tc>
          <w:tcPr>
            <w:tcW w:w="1715" w:type="dxa"/>
          </w:tcPr>
          <w:p w:rsidR="005922E7" w:rsidRDefault="005922E7" w14:paraId="4DC620DB" w14:textId="77777777">
            <w:pPr>
              <w:pStyle w:val="OP"/>
              <w:numPr>
                <w:ilvl w:val="0"/>
                <w:numId w:val="0"/>
              </w:numPr>
            </w:pPr>
          </w:p>
        </w:tc>
        <w:tc>
          <w:tcPr>
            <w:tcW w:w="2240" w:type="dxa"/>
          </w:tcPr>
          <w:p w:rsidR="005922E7" w:rsidRDefault="00783773" w14:paraId="44E7513E" w14:textId="28736CBD">
            <w:pPr>
              <w:pStyle w:val="OP"/>
              <w:numPr>
                <w:ilvl w:val="0"/>
                <w:numId w:val="0"/>
              </w:numPr>
            </w:pPr>
            <w:r>
              <w:t>7.41</w:t>
            </w:r>
            <w:r w:rsidR="001E6AF8">
              <w:t>%</w:t>
            </w:r>
          </w:p>
        </w:tc>
      </w:tr>
    </w:tbl>
    <w:p w:rsidR="005922E7" w:rsidP="005922E7" w:rsidRDefault="005922E7" w14:paraId="32DABCAF" w14:textId="77777777">
      <w:pPr>
        <w:pStyle w:val="OP"/>
        <w:numPr>
          <w:ilvl w:val="0"/>
          <w:numId w:val="0"/>
        </w:numPr>
      </w:pPr>
    </w:p>
    <w:p w:rsidR="009B4899" w:rsidP="00950C10" w:rsidRDefault="009B4899" w14:paraId="63D32E7F" w14:textId="626FF30F">
      <w:pPr>
        <w:pStyle w:val="OP"/>
      </w:pPr>
      <w:r>
        <w:t xml:space="preserve">Pacific Gas and Electric Company, Southern California Gas Company, Southern California Edison Company, and San Diego Gas &amp; Electric Company shall </w:t>
      </w:r>
      <w:r w:rsidR="003C74E8">
        <w:t>implement the revenue requirement changes authorized by this decision in their respective end-of-year consolidated revenue requirement Ti</w:t>
      </w:r>
      <w:r w:rsidR="001C5FDC">
        <w:t>e</w:t>
      </w:r>
      <w:r w:rsidR="003C74E8">
        <w:t>r 1 Advice Letter filings, also referred to as Annual Electric True-Ups or Annual Gas True-Ups, for effective dates no earlier than January 1, 202</w:t>
      </w:r>
      <w:r w:rsidR="001B456B">
        <w:t>6.</w:t>
      </w:r>
    </w:p>
    <w:p w:rsidR="00F746BC" w:rsidP="00950C10" w:rsidRDefault="00F746BC" w14:paraId="3F5B1AFA" w14:textId="67D4491C">
      <w:pPr>
        <w:pStyle w:val="OP"/>
      </w:pPr>
      <w:r>
        <w:lastRenderedPageBreak/>
        <w:t>Pacific Gas and Electric Company is authorized to</w:t>
      </w:r>
      <w:r w:rsidR="00F25B5E">
        <w:t xml:space="preserve"> establish a temporary Yield Spread Adjustment</w:t>
      </w:r>
      <w:r w:rsidR="00C44814">
        <w:t xml:space="preserve"> (YSA) beginning January 1, 2026. PG&amp;E shall</w:t>
      </w:r>
      <w:r w:rsidR="002E2D6F">
        <w:t xml:space="preserve"> </w:t>
      </w:r>
      <w:r w:rsidR="001908C3">
        <w:t xml:space="preserve">track under- and over-collections through balancing and memorandum accounts </w:t>
      </w:r>
      <w:r w:rsidR="00C44814">
        <w:t>and</w:t>
      </w:r>
      <w:r w:rsidR="0006282E">
        <w:t>, if a YSA is requested for a given year</w:t>
      </w:r>
      <w:r w:rsidR="00C75F0D">
        <w:t>, Pacific Gas and Electric Company</w:t>
      </w:r>
      <w:r w:rsidR="00C44814">
        <w:t xml:space="preserve"> may </w:t>
      </w:r>
      <w:r w:rsidR="00F65329">
        <w:t xml:space="preserve">submit a Tier 2 advice letter </w:t>
      </w:r>
      <w:r w:rsidR="00567E6C">
        <w:t xml:space="preserve">to the Commission’s Energy Division </w:t>
      </w:r>
      <w:r w:rsidR="00F65329">
        <w:t xml:space="preserve">annually by November 15 </w:t>
      </w:r>
      <w:r w:rsidR="00A12805">
        <w:t>to establish the YSA effective January 1 of the following year.</w:t>
      </w:r>
      <w:r w:rsidR="002E2D6F">
        <w:t xml:space="preserve"> </w:t>
      </w:r>
      <w:r>
        <w:t xml:space="preserve"> </w:t>
      </w:r>
      <w:r w:rsidR="00267200">
        <w:t xml:space="preserve">The temporary YSA will terminate December 31, </w:t>
      </w:r>
      <w:r w:rsidR="0043676B">
        <w:t>2028, or when Pacific Gas and Electric Company gains access to Tier 1 Commercial Paper, whichever occurs first</w:t>
      </w:r>
      <w:r w:rsidR="005033A5">
        <w:t>.</w:t>
      </w:r>
    </w:p>
    <w:p w:rsidR="00821F5E" w:rsidP="00950C10" w:rsidRDefault="00A20C01" w14:paraId="04F69367" w14:textId="6598F084">
      <w:pPr>
        <w:pStyle w:val="OP"/>
      </w:pPr>
      <w:r>
        <w:t>Pacific Gas and Electric Company shall submit a Tier 2 advice letter to the Commission’s Energy Division</w:t>
      </w:r>
      <w:r w:rsidR="00567E6C">
        <w:t xml:space="preserve"> calculating interest</w:t>
      </w:r>
      <w:r w:rsidR="00397561">
        <w:t xml:space="preserve"> cost savings from the United States Department of Energy loan </w:t>
      </w:r>
      <w:r w:rsidR="000B32CE">
        <w:t xml:space="preserve">within 60 days of draws occurring. Pacific Gas and Electric Company shall return these </w:t>
      </w:r>
      <w:r w:rsidR="009E4B0E">
        <w:t>savings to ratepayers as a revenue credit through Pacific Gas and Electric Company’s Annual Electric True-Up and Annual Gas True-Up filings submitted each December for the following year.</w:t>
      </w:r>
    </w:p>
    <w:p w:rsidR="009A674D" w:rsidP="00950C10" w:rsidRDefault="009A674D" w14:paraId="6D28B888" w14:textId="7B6135F8">
      <w:pPr>
        <w:pStyle w:val="OP"/>
      </w:pPr>
      <w:r>
        <w:t xml:space="preserve">Southern California Edison Company’s </w:t>
      </w:r>
      <w:r w:rsidR="0017151E">
        <w:t>accrued carrying cost proposal shall not be authorized.</w:t>
      </w:r>
    </w:p>
    <w:p w:rsidR="001B4563" w:rsidP="008E217C" w:rsidRDefault="001B4563" w14:paraId="1920E250" w14:textId="73BC3C0B">
      <w:pPr>
        <w:pStyle w:val="OP"/>
      </w:pPr>
      <w:r>
        <w:t>The Cost of Capital Mechanism shall continue to be in effect through the 2026 Cost of Capital cycle for Pacific Gas and Electric Company, Southern California Gas Company, Southern California Edison Company, and San Diego Gas &amp; Electric Company.</w:t>
      </w:r>
    </w:p>
    <w:p w:rsidR="00F6397D" w:rsidP="00950C10" w:rsidRDefault="00E23CBB" w14:paraId="3D887D24" w14:textId="6773B847">
      <w:pPr>
        <w:pStyle w:val="OP"/>
      </w:pPr>
      <w:r w:rsidRPr="001E2A62">
        <w:t>Application</w:t>
      </w:r>
      <w:r w:rsidR="00EB5F9D">
        <w:t>s</w:t>
      </w:r>
      <w:r w:rsidRPr="001E2A62">
        <w:t xml:space="preserve"> </w:t>
      </w:r>
      <w:r w:rsidR="00B611BE">
        <w:t xml:space="preserve">(A.) </w:t>
      </w:r>
      <w:r w:rsidR="00950C10">
        <w:t>25</w:t>
      </w:r>
      <w:r w:rsidRPr="001E2A62">
        <w:t>-</w:t>
      </w:r>
      <w:r w:rsidR="00950C10">
        <w:t>03</w:t>
      </w:r>
      <w:r w:rsidRPr="001E2A62">
        <w:t>-</w:t>
      </w:r>
      <w:r w:rsidR="00950C10">
        <w:t>010</w:t>
      </w:r>
      <w:r w:rsidR="00B611BE">
        <w:t xml:space="preserve">. A.25-03-011, A.25-03-012, and </w:t>
      </w:r>
      <w:r w:rsidR="000E1CA9">
        <w:t>A.25-03-013</w:t>
      </w:r>
      <w:r w:rsidRPr="001E2A62">
        <w:t xml:space="preserve"> </w:t>
      </w:r>
      <w:r w:rsidR="000E1CA9">
        <w:t>are</w:t>
      </w:r>
      <w:r w:rsidRPr="001E2A62">
        <w:t xml:space="preserve"> closed.</w:t>
      </w:r>
    </w:p>
    <w:p w:rsidR="00953AB0" w:rsidP="00953AB0" w:rsidRDefault="00953AB0" w14:paraId="0031DA58" w14:textId="77777777">
      <w:pPr>
        <w:pStyle w:val="OP"/>
        <w:numPr>
          <w:ilvl w:val="0"/>
          <w:numId w:val="0"/>
        </w:numPr>
        <w:ind w:firstLine="540"/>
      </w:pPr>
    </w:p>
    <w:p w:rsidR="00953AB0" w:rsidP="00953AB0" w:rsidRDefault="00953AB0" w14:paraId="64761D4B" w14:textId="77777777">
      <w:pPr>
        <w:pStyle w:val="OP"/>
        <w:numPr>
          <w:ilvl w:val="0"/>
          <w:numId w:val="0"/>
        </w:numPr>
        <w:ind w:firstLine="540"/>
      </w:pPr>
    </w:p>
    <w:p w:rsidR="00953AB0" w:rsidP="00953AB0" w:rsidRDefault="00953AB0" w14:paraId="430284CB" w14:textId="77777777">
      <w:pPr>
        <w:pStyle w:val="OP"/>
        <w:numPr>
          <w:ilvl w:val="0"/>
          <w:numId w:val="0"/>
        </w:numPr>
        <w:ind w:firstLine="540"/>
      </w:pPr>
    </w:p>
    <w:p w:rsidR="008F0116" w:rsidP="008F0116" w:rsidRDefault="008F0116" w14:paraId="383599AE" w14:textId="77777777">
      <w:r>
        <w:lastRenderedPageBreak/>
        <w:t>This order is effective today.</w:t>
      </w:r>
    </w:p>
    <w:p w:rsidR="00714CF2" w:rsidP="00816E05" w:rsidRDefault="008F0116" w14:paraId="7B558C9D" w14:textId="52AD3EC1">
      <w:r>
        <w:t xml:space="preserve">Dated </w:t>
      </w:r>
      <w:r w:rsidR="00953AB0">
        <w:t>December 18, 2025</w:t>
      </w:r>
      <w:r>
        <w:t>, at Sa</w:t>
      </w:r>
      <w:r w:rsidR="008B179F">
        <w:t>cramento</w:t>
      </w:r>
      <w:r>
        <w:t>, California</w:t>
      </w:r>
      <w:r w:rsidR="00953AB0">
        <w:t>.</w:t>
      </w:r>
    </w:p>
    <w:p w:rsidR="00953AB0" w:rsidP="00816E05" w:rsidRDefault="00953AB0" w14:paraId="0DB832AD" w14:textId="77777777"/>
    <w:p w:rsidRPr="00B6234F" w:rsidR="00B6234F" w:rsidP="00B6234F" w:rsidRDefault="00B6234F" w14:paraId="7D7518CD" w14:textId="77777777">
      <w:pPr>
        <w:keepNext/>
        <w:autoSpaceDE w:val="0"/>
        <w:autoSpaceDN w:val="0"/>
        <w:adjustRightInd w:val="0"/>
        <w:spacing w:line="240" w:lineRule="auto"/>
        <w:ind w:left="4320" w:firstLine="0"/>
        <w:rPr>
          <w:rFonts w:eastAsia="Times New Roman" w:cs="Times New Roman"/>
          <w:szCs w:val="20"/>
        </w:rPr>
      </w:pPr>
      <w:r w:rsidRPr="00B6234F">
        <w:rPr>
          <w:rFonts w:eastAsia="Times New Roman" w:cs="Times New Roman"/>
          <w:szCs w:val="20"/>
        </w:rPr>
        <w:t>ALICE REYNOLDS</w:t>
      </w:r>
    </w:p>
    <w:p w:rsidRPr="00B6234F" w:rsidR="00B6234F" w:rsidP="00B6234F" w:rsidRDefault="00B6234F" w14:paraId="10457792" w14:textId="77777777">
      <w:pPr>
        <w:keepNext/>
        <w:autoSpaceDE w:val="0"/>
        <w:autoSpaceDN w:val="0"/>
        <w:adjustRightInd w:val="0"/>
        <w:spacing w:line="240" w:lineRule="auto"/>
        <w:ind w:left="5400" w:firstLine="0"/>
        <w:rPr>
          <w:rFonts w:eastAsia="Times New Roman" w:cs="Times New Roman"/>
          <w:szCs w:val="20"/>
        </w:rPr>
      </w:pPr>
      <w:r w:rsidRPr="00B6234F">
        <w:rPr>
          <w:rFonts w:eastAsia="Times New Roman" w:cs="Times New Roman"/>
          <w:szCs w:val="20"/>
        </w:rPr>
        <w:t>President</w:t>
      </w:r>
    </w:p>
    <w:p w:rsidRPr="00B6234F" w:rsidR="00B6234F" w:rsidP="00B6234F" w:rsidRDefault="00B6234F" w14:paraId="5408E2B2" w14:textId="77777777">
      <w:pPr>
        <w:keepNext/>
        <w:autoSpaceDE w:val="0"/>
        <w:autoSpaceDN w:val="0"/>
        <w:adjustRightInd w:val="0"/>
        <w:spacing w:line="240" w:lineRule="auto"/>
        <w:ind w:left="4320" w:firstLine="0"/>
        <w:rPr>
          <w:rFonts w:eastAsia="Times New Roman" w:cs="Times New Roman"/>
          <w:szCs w:val="20"/>
        </w:rPr>
      </w:pPr>
      <w:r w:rsidRPr="00B6234F">
        <w:rPr>
          <w:rFonts w:eastAsia="Times New Roman" w:cs="Times New Roman"/>
          <w:szCs w:val="20"/>
        </w:rPr>
        <w:t>JOHN REYNOLDS</w:t>
      </w:r>
    </w:p>
    <w:p w:rsidRPr="00B6234F" w:rsidR="00B6234F" w:rsidP="00B6234F" w:rsidRDefault="00B6234F" w14:paraId="73EDAB84" w14:textId="77777777">
      <w:pPr>
        <w:keepNext/>
        <w:autoSpaceDE w:val="0"/>
        <w:autoSpaceDN w:val="0"/>
        <w:adjustRightInd w:val="0"/>
        <w:spacing w:line="240" w:lineRule="auto"/>
        <w:ind w:left="4320" w:firstLine="0"/>
        <w:rPr>
          <w:rFonts w:eastAsia="Times New Roman" w:cs="Times New Roman"/>
          <w:szCs w:val="20"/>
        </w:rPr>
      </w:pPr>
      <w:r w:rsidRPr="00B6234F">
        <w:rPr>
          <w:rFonts w:eastAsia="Times New Roman" w:cs="Times New Roman"/>
          <w:szCs w:val="20"/>
        </w:rPr>
        <w:t>KAREN DOUGLAS</w:t>
      </w:r>
    </w:p>
    <w:p w:rsidRPr="00B6234F" w:rsidR="00B6234F" w:rsidP="00B6234F" w:rsidRDefault="00B6234F" w14:paraId="7FD9D385" w14:textId="77777777">
      <w:pPr>
        <w:keepNext/>
        <w:autoSpaceDE w:val="0"/>
        <w:autoSpaceDN w:val="0"/>
        <w:adjustRightInd w:val="0"/>
        <w:spacing w:line="240" w:lineRule="auto"/>
        <w:ind w:left="4320" w:firstLine="0"/>
        <w:rPr>
          <w:rFonts w:eastAsia="Times New Roman" w:cs="Times New Roman"/>
          <w:szCs w:val="20"/>
        </w:rPr>
      </w:pPr>
      <w:r w:rsidRPr="00B6234F">
        <w:rPr>
          <w:rFonts w:eastAsia="Times New Roman" w:cs="Times New Roman"/>
          <w:szCs w:val="20"/>
        </w:rPr>
        <w:t>MATTHEW BAKER</w:t>
      </w:r>
    </w:p>
    <w:p w:rsidRPr="00B6234F" w:rsidR="00B6234F" w:rsidP="00B6234F" w:rsidRDefault="00B6234F" w14:paraId="62949D29" w14:textId="77777777">
      <w:pPr>
        <w:keepNext/>
        <w:autoSpaceDE w:val="0"/>
        <w:autoSpaceDN w:val="0"/>
        <w:adjustRightInd w:val="0"/>
        <w:spacing w:line="240" w:lineRule="auto"/>
        <w:ind w:left="5400" w:firstLine="0"/>
        <w:rPr>
          <w:rFonts w:eastAsia="Times New Roman" w:cs="Times New Roman"/>
          <w:szCs w:val="20"/>
        </w:rPr>
      </w:pPr>
      <w:r w:rsidRPr="00B6234F">
        <w:rPr>
          <w:rFonts w:eastAsia="Times New Roman" w:cs="Times New Roman"/>
          <w:szCs w:val="20"/>
        </w:rPr>
        <w:t>Commissioners</w:t>
      </w:r>
    </w:p>
    <w:p w:rsidRPr="00B6234F" w:rsidR="00B6234F" w:rsidP="00B6234F" w:rsidRDefault="00B6234F" w14:paraId="7A5E13DE" w14:textId="77777777">
      <w:pPr>
        <w:keepNext/>
        <w:autoSpaceDE w:val="0"/>
        <w:autoSpaceDN w:val="0"/>
        <w:adjustRightInd w:val="0"/>
        <w:spacing w:line="240" w:lineRule="auto"/>
        <w:ind w:left="4320" w:firstLine="0"/>
        <w:rPr>
          <w:rFonts w:eastAsia="Times New Roman" w:cs="Times New Roman"/>
          <w:szCs w:val="20"/>
        </w:rPr>
      </w:pPr>
    </w:p>
    <w:p w:rsidRPr="00B6234F" w:rsidR="00B6234F" w:rsidP="00B6234F" w:rsidRDefault="00B6234F" w14:paraId="062D3406" w14:textId="77777777">
      <w:pPr>
        <w:keepNext/>
        <w:autoSpaceDE w:val="0"/>
        <w:autoSpaceDN w:val="0"/>
        <w:adjustRightInd w:val="0"/>
        <w:spacing w:line="240" w:lineRule="auto"/>
        <w:ind w:firstLine="0"/>
        <w:rPr>
          <w:rFonts w:cs="Times New Roman" w:asciiTheme="minorHAnsi" w:hAnsiTheme="minorHAnsi"/>
          <w:sz w:val="22"/>
          <w:szCs w:val="20"/>
        </w:rPr>
      </w:pPr>
    </w:p>
    <w:p w:rsidRPr="00B6234F" w:rsidR="00B6234F" w:rsidP="00B6234F" w:rsidRDefault="00B6234F" w14:paraId="0F316DC6" w14:textId="77777777">
      <w:pPr>
        <w:keepNext/>
        <w:autoSpaceDE w:val="0"/>
        <w:autoSpaceDN w:val="0"/>
        <w:adjustRightInd w:val="0"/>
        <w:spacing w:line="240" w:lineRule="auto"/>
        <w:ind w:firstLine="0"/>
        <w:rPr>
          <w:rFonts w:cs="Times New Roman" w:asciiTheme="minorHAnsi" w:hAnsiTheme="minorHAnsi"/>
          <w:sz w:val="22"/>
          <w:szCs w:val="20"/>
        </w:rPr>
      </w:pPr>
    </w:p>
    <w:p w:rsidRPr="00B6234F" w:rsidR="00B6234F" w:rsidP="00B6234F" w:rsidRDefault="00B6234F" w14:paraId="764D031E" w14:textId="53062FAF">
      <w:pPr>
        <w:keepNext/>
        <w:autoSpaceDE w:val="0"/>
        <w:autoSpaceDN w:val="0"/>
        <w:adjustRightInd w:val="0"/>
        <w:spacing w:line="240" w:lineRule="auto"/>
        <w:ind w:firstLine="0"/>
        <w:rPr>
          <w:rFonts w:cs="Times New Roman"/>
          <w:szCs w:val="26"/>
        </w:rPr>
      </w:pPr>
      <w:r w:rsidRPr="00B6234F">
        <w:rPr>
          <w:rFonts w:cs="Times New Roman"/>
          <w:szCs w:val="26"/>
        </w:rPr>
        <w:t>I dissent.</w:t>
      </w:r>
    </w:p>
    <w:p w:rsidRPr="00B6234F" w:rsidR="00B6234F" w:rsidP="00B6234F" w:rsidRDefault="00B6234F" w14:paraId="037D8CF7" w14:textId="77777777">
      <w:pPr>
        <w:keepNext/>
        <w:autoSpaceDE w:val="0"/>
        <w:autoSpaceDN w:val="0"/>
        <w:adjustRightInd w:val="0"/>
        <w:spacing w:line="240" w:lineRule="auto"/>
        <w:ind w:firstLine="0"/>
        <w:rPr>
          <w:rFonts w:cs="Times New Roman"/>
          <w:szCs w:val="26"/>
        </w:rPr>
      </w:pPr>
    </w:p>
    <w:p w:rsidRPr="00B6234F" w:rsidR="00B6234F" w:rsidP="00B6234F" w:rsidRDefault="00B6234F" w14:paraId="029584F9" w14:textId="2A52A105">
      <w:pPr>
        <w:keepNext/>
        <w:tabs>
          <w:tab w:val="left" w:pos="3888"/>
        </w:tabs>
        <w:spacing w:line="240" w:lineRule="auto"/>
        <w:ind w:firstLine="0"/>
        <w:rPr>
          <w:szCs w:val="26"/>
          <w:u w:val="single"/>
        </w:rPr>
      </w:pPr>
      <w:r w:rsidRPr="00B6234F">
        <w:rPr>
          <w:szCs w:val="26"/>
          <w:u w:val="single"/>
        </w:rPr>
        <w:t>/s/ DARCIE L. HOUCK</w:t>
      </w:r>
      <w:r w:rsidRPr="00B6234F">
        <w:rPr>
          <w:szCs w:val="26"/>
          <w:u w:val="single"/>
        </w:rPr>
        <w:tab/>
      </w:r>
    </w:p>
    <w:p w:rsidRPr="00B6234F" w:rsidR="00B6234F" w:rsidP="00B6234F" w:rsidRDefault="00B6234F" w14:paraId="3D1B0280" w14:textId="77777777">
      <w:pPr>
        <w:keepNext/>
        <w:spacing w:line="240" w:lineRule="auto"/>
        <w:ind w:firstLine="0"/>
        <w:rPr>
          <w:szCs w:val="26"/>
        </w:rPr>
      </w:pPr>
      <w:r w:rsidRPr="00B6234F">
        <w:rPr>
          <w:szCs w:val="26"/>
        </w:rPr>
        <w:t>Darcie L. Houck</w:t>
      </w:r>
    </w:p>
    <w:p w:rsidRPr="00B6234F" w:rsidR="00B6234F" w:rsidP="00B6234F" w:rsidRDefault="00B6234F" w14:paraId="503BAB43" w14:textId="77777777">
      <w:pPr>
        <w:spacing w:line="240" w:lineRule="auto"/>
        <w:ind w:firstLine="0"/>
        <w:rPr>
          <w:szCs w:val="26"/>
        </w:rPr>
      </w:pPr>
      <w:r w:rsidRPr="00B6234F">
        <w:rPr>
          <w:szCs w:val="26"/>
        </w:rPr>
        <w:t>Commissioner</w:t>
      </w:r>
    </w:p>
    <w:p w:rsidR="008143FE" w:rsidP="008143FE" w:rsidRDefault="008143FE" w14:paraId="76037A32" w14:textId="6B27FC1A">
      <w:pPr>
        <w:autoSpaceDE w:val="0"/>
        <w:autoSpaceDN w:val="0"/>
        <w:adjustRightInd w:val="0"/>
        <w:spacing w:line="240" w:lineRule="auto"/>
        <w:jc w:val="both"/>
        <w:rPr>
          <w:rFonts w:cs="Times New Roman"/>
          <w:szCs w:val="20"/>
        </w:rPr>
      </w:pPr>
    </w:p>
    <w:p w:rsidR="008143FE" w:rsidP="008143FE" w:rsidRDefault="008143FE" w14:paraId="0E7FBCEB" w14:textId="77777777">
      <w:pPr>
        <w:autoSpaceDE w:val="0"/>
        <w:autoSpaceDN w:val="0"/>
        <w:adjustRightInd w:val="0"/>
        <w:spacing w:line="240" w:lineRule="auto"/>
        <w:ind w:left="4320"/>
        <w:jc w:val="both"/>
        <w:rPr>
          <w:rFonts w:cs="Times New Roman"/>
          <w:szCs w:val="20"/>
        </w:rPr>
      </w:pPr>
    </w:p>
    <w:p w:rsidRPr="00953AB0" w:rsidR="008143FE" w:rsidP="00953AB0" w:rsidRDefault="008143FE" w14:paraId="4DE71AB6" w14:textId="77777777">
      <w:pPr>
        <w:autoSpaceDE w:val="0"/>
        <w:autoSpaceDN w:val="0"/>
        <w:adjustRightInd w:val="0"/>
        <w:spacing w:line="240" w:lineRule="auto"/>
        <w:ind w:left="4320"/>
        <w:jc w:val="both"/>
        <w:rPr>
          <w:rFonts w:cs="Times New Roman"/>
          <w:szCs w:val="20"/>
        </w:rPr>
      </w:pPr>
    </w:p>
    <w:p w:rsidRPr="00714CF2" w:rsidR="00953AB0" w:rsidP="00816E05" w:rsidRDefault="00953AB0" w14:paraId="413F0C1A" w14:textId="77777777"/>
    <w:sectPr w:rsidRPr="00714CF2" w:rsidR="00953AB0" w:rsidSect="00E20F67">
      <w:headerReference w:type="default" r:id="rId17"/>
      <w:footerReference w:type="default" r:id="rId18"/>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BA8B" w14:textId="77777777" w:rsidR="00B50F17" w:rsidRDefault="00B50F17" w:rsidP="0098138E">
      <w:pPr>
        <w:spacing w:line="240" w:lineRule="auto"/>
      </w:pPr>
      <w:r>
        <w:separator/>
      </w:r>
    </w:p>
  </w:endnote>
  <w:endnote w:type="continuationSeparator" w:id="0">
    <w:p w14:paraId="31601606" w14:textId="77777777" w:rsidR="00B50F17" w:rsidRDefault="00B50F1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4BF6" w14:textId="730ECA79" w:rsidR="00EE0B25" w:rsidRDefault="009948B7" w:rsidP="00EE0B25">
    <w:pPr>
      <w:pStyle w:val="Footer"/>
      <w:ind w:firstLine="0"/>
    </w:pPr>
    <w:r w:rsidRPr="009948B7">
      <w:rPr>
        <w:sz w:val="16"/>
        <w:szCs w:val="16"/>
      </w:rPr>
      <w:t>591833054</w:t>
    </w:r>
    <w:r w:rsidR="00EE0B25">
      <w:tab/>
      <w:t>-</w:t>
    </w:r>
    <w:sdt>
      <w:sdtPr>
        <w:id w:val="-1560930924"/>
        <w:docPartObj>
          <w:docPartGallery w:val="Page Numbers (Bottom of Page)"/>
          <w:docPartUnique/>
        </w:docPartObj>
      </w:sdtPr>
      <w:sdtEndPr>
        <w:rPr>
          <w:noProof/>
        </w:rPr>
      </w:sdtEndPr>
      <w:sdtContent>
        <w:r w:rsidR="00EE0B25">
          <w:fldChar w:fldCharType="begin"/>
        </w:r>
        <w:r w:rsidR="00EE0B25">
          <w:instrText xml:space="preserve"> PAGE   \* MERGEFORMAT </w:instrText>
        </w:r>
        <w:r w:rsidR="00EE0B25">
          <w:fldChar w:fldCharType="separate"/>
        </w:r>
        <w:r w:rsidR="00EE0B25">
          <w:rPr>
            <w:noProof/>
          </w:rPr>
          <w:t>2</w:t>
        </w:r>
        <w:r w:rsidR="00EE0B25">
          <w:rPr>
            <w:noProof/>
          </w:rPr>
          <w:fldChar w:fldCharType="end"/>
        </w:r>
        <w:r w:rsidR="00EE0B25">
          <w:rPr>
            <w:noProof/>
          </w:rPr>
          <w:t>-</w:t>
        </w:r>
      </w:sdtContent>
    </w:sdt>
  </w:p>
  <w:p w14:paraId="46FE2A7E" w14:textId="77777777" w:rsidR="00EE0B25" w:rsidRPr="00EE0B25" w:rsidRDefault="00EE0B25" w:rsidP="00EE0B25">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EC39" w14:textId="0BB212B6" w:rsidR="00E20F67" w:rsidRDefault="00E20F67" w:rsidP="00E20F67">
    <w:pPr>
      <w:pStyle w:val="Footer"/>
      <w:ind w:firstLine="0"/>
    </w:pPr>
    <w:r w:rsidRPr="00E20F67">
      <w:rPr>
        <w:sz w:val="16"/>
        <w:szCs w:val="16"/>
      </w:rPr>
      <w:t>585053091</w:t>
    </w:r>
    <w:r>
      <w:tab/>
      <w:t>-</w:t>
    </w:r>
    <w:sdt>
      <w:sdtPr>
        <w:id w:val="-21410964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6157C532" w14:textId="77777777" w:rsidR="00E20F67" w:rsidRDefault="00E20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9990"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5B34" w14:textId="464471CC" w:rsidR="00E20F67" w:rsidRDefault="00E20F67" w:rsidP="00E20F67">
    <w:pPr>
      <w:pStyle w:val="Footer"/>
      <w:ind w:firstLine="0"/>
      <w:jc w:val="center"/>
    </w:pPr>
    <w:r>
      <w:t>-</w:t>
    </w:r>
    <w:sdt>
      <w:sdtPr>
        <w:id w:val="-460806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7DFC61C0" w14:textId="6B1835CF" w:rsidR="00E23CBB" w:rsidRDefault="00E23CBB" w:rsidP="00E20F67">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BC11" w14:textId="77777777" w:rsidR="00B50F17" w:rsidRDefault="00B50F17" w:rsidP="00DF58E7">
      <w:pPr>
        <w:spacing w:line="240" w:lineRule="auto"/>
        <w:ind w:firstLine="0"/>
      </w:pPr>
      <w:r>
        <w:separator/>
      </w:r>
    </w:p>
  </w:footnote>
  <w:footnote w:type="continuationSeparator" w:id="0">
    <w:p w14:paraId="60060695" w14:textId="77777777" w:rsidR="00B50F17" w:rsidRDefault="00B50F17" w:rsidP="00DF58E7">
      <w:pPr>
        <w:spacing w:line="240" w:lineRule="auto"/>
        <w:ind w:firstLine="0"/>
      </w:pPr>
      <w:r>
        <w:continuationSeparator/>
      </w:r>
    </w:p>
  </w:footnote>
  <w:footnote w:type="continuationNotice" w:id="1">
    <w:p w14:paraId="03A46A2E" w14:textId="77777777" w:rsidR="00B50F17" w:rsidRPr="00DF58E7" w:rsidRDefault="00B50F17" w:rsidP="00DF58E7">
      <w:pPr>
        <w:spacing w:line="240" w:lineRule="auto"/>
        <w:ind w:firstLine="0"/>
        <w:jc w:val="right"/>
        <w:rPr>
          <w:i/>
          <w:sz w:val="22"/>
        </w:rPr>
      </w:pPr>
      <w:r w:rsidRPr="00DF58E7">
        <w:rPr>
          <w:i/>
          <w:sz w:val="22"/>
        </w:rPr>
        <w:t>Footnote continued on next page.</w:t>
      </w:r>
    </w:p>
  </w:footnote>
  <w:footnote w:id="2">
    <w:p w14:paraId="28C935A8" w14:textId="3AFB5EA0" w:rsidR="00B06771" w:rsidRDefault="00B06771">
      <w:pPr>
        <w:pStyle w:val="FootnoteText"/>
      </w:pPr>
      <w:r>
        <w:rPr>
          <w:rStyle w:val="FootnoteReference"/>
        </w:rPr>
        <w:footnoteRef/>
      </w:r>
      <w:r>
        <w:t xml:space="preserve"> Debt due within one year</w:t>
      </w:r>
      <w:r w:rsidR="001325ED">
        <w:t xml:space="preserve"> (i.e., </w:t>
      </w:r>
      <w:r>
        <w:t>short-term debt</w:t>
      </w:r>
      <w:r w:rsidR="001325ED">
        <w:t>)</w:t>
      </w:r>
      <w:r>
        <w:t xml:space="preserve"> is excluded.</w:t>
      </w:r>
    </w:p>
  </w:footnote>
  <w:footnote w:id="3">
    <w:p w14:paraId="356727E7" w14:textId="4BFA30DB" w:rsidR="003E3A04" w:rsidRDefault="003E3A04">
      <w:pPr>
        <w:pStyle w:val="FootnoteText"/>
      </w:pPr>
      <w:r>
        <w:rPr>
          <w:rStyle w:val="FootnoteReference"/>
        </w:rPr>
        <w:footnoteRef/>
      </w:r>
      <w:r>
        <w:t xml:space="preserve"> </w:t>
      </w:r>
      <w:r w:rsidR="001D26C3">
        <w:t xml:space="preserve">Exhibit </w:t>
      </w:r>
      <w:r w:rsidR="00ED7D29">
        <w:t>EIT-01 at 35.</w:t>
      </w:r>
    </w:p>
  </w:footnote>
  <w:footnote w:id="4">
    <w:p w14:paraId="10646105" w14:textId="1D486E9B" w:rsidR="000F328B" w:rsidRDefault="000F328B">
      <w:pPr>
        <w:pStyle w:val="FootnoteText"/>
      </w:pPr>
      <w:r>
        <w:rPr>
          <w:rStyle w:val="FootnoteReference"/>
        </w:rPr>
        <w:footnoteRef/>
      </w:r>
      <w:r>
        <w:t xml:space="preserve"> </w:t>
      </w:r>
      <w:r w:rsidR="008A646A">
        <w:t>Application 25-03-010 at 1</w:t>
      </w:r>
      <w:r w:rsidR="003F7D9F">
        <w:t>3</w:t>
      </w:r>
      <w:r w:rsidR="008A646A">
        <w:t>.</w:t>
      </w:r>
    </w:p>
  </w:footnote>
  <w:footnote w:id="5">
    <w:p w14:paraId="5BFD380B" w14:textId="77777777" w:rsidR="00256447" w:rsidRDefault="00256447" w:rsidP="00256447">
      <w:pPr>
        <w:pStyle w:val="FootnoteText"/>
      </w:pPr>
      <w:r>
        <w:rPr>
          <w:rStyle w:val="FootnoteReference"/>
        </w:rPr>
        <w:footnoteRef/>
      </w:r>
      <w:r>
        <w:t xml:space="preserve"> PG&amp;E Opening Brief at 60 – 61.</w:t>
      </w:r>
    </w:p>
  </w:footnote>
  <w:footnote w:id="6">
    <w:p w14:paraId="64F5FF0B" w14:textId="59BD2FE5" w:rsidR="00B35027" w:rsidRDefault="00B35027">
      <w:pPr>
        <w:pStyle w:val="FootnoteText"/>
      </w:pPr>
      <w:r>
        <w:rPr>
          <w:rStyle w:val="FootnoteReference"/>
        </w:rPr>
        <w:footnoteRef/>
      </w:r>
      <w:r>
        <w:t xml:space="preserve"> </w:t>
      </w:r>
      <w:r w:rsidR="005F70E6">
        <w:t>August 29, 2025, Filing of Stipulated Facts at 2.</w:t>
      </w:r>
    </w:p>
  </w:footnote>
  <w:footnote w:id="7">
    <w:p w14:paraId="2B295A85" w14:textId="643E8011" w:rsidR="005F70E6" w:rsidRDefault="005F70E6">
      <w:pPr>
        <w:pStyle w:val="FootnoteText"/>
      </w:pPr>
      <w:r>
        <w:rPr>
          <w:rStyle w:val="FootnoteReference"/>
        </w:rPr>
        <w:footnoteRef/>
      </w:r>
      <w:r>
        <w:t xml:space="preserve"> August 29, 2025, Filing of Stipulated Facts at 2.</w:t>
      </w:r>
    </w:p>
  </w:footnote>
  <w:footnote w:id="8">
    <w:p w14:paraId="36C80876" w14:textId="14B5298D" w:rsidR="00787EFF" w:rsidRDefault="00787EFF" w:rsidP="00787EFF">
      <w:pPr>
        <w:pStyle w:val="FootnoteText"/>
      </w:pPr>
      <w:r>
        <w:rPr>
          <w:rStyle w:val="FootnoteReference"/>
        </w:rPr>
        <w:footnoteRef/>
      </w:r>
      <w:r>
        <w:t xml:space="preserve"> </w:t>
      </w:r>
      <w:r w:rsidR="00CD5114">
        <w:rPr>
          <w:i/>
          <w:iCs/>
        </w:rPr>
        <w:t>Id.</w:t>
      </w:r>
    </w:p>
  </w:footnote>
  <w:footnote w:id="9">
    <w:p w14:paraId="2690BF7D" w14:textId="5D614576" w:rsidR="00787EFF" w:rsidRPr="00CD5114" w:rsidRDefault="00787EFF" w:rsidP="00787EFF">
      <w:pPr>
        <w:pStyle w:val="FootnoteText"/>
      </w:pPr>
      <w:r>
        <w:rPr>
          <w:rStyle w:val="FootnoteReference"/>
        </w:rPr>
        <w:footnoteRef/>
      </w:r>
      <w:r>
        <w:t xml:space="preserve"> </w:t>
      </w:r>
      <w:r w:rsidR="00CD5114">
        <w:rPr>
          <w:i/>
          <w:iCs/>
        </w:rPr>
        <w:t>Id.</w:t>
      </w:r>
    </w:p>
  </w:footnote>
  <w:footnote w:id="10">
    <w:p w14:paraId="5FE33F66" w14:textId="1F31AB19" w:rsidR="000D5E78" w:rsidRDefault="000D5E78">
      <w:pPr>
        <w:pStyle w:val="FootnoteText"/>
      </w:pPr>
      <w:r>
        <w:rPr>
          <w:rStyle w:val="FootnoteReference"/>
        </w:rPr>
        <w:footnoteRef/>
      </w:r>
      <w:r>
        <w:t xml:space="preserve"> </w:t>
      </w:r>
      <w:r w:rsidR="00FB238A">
        <w:t xml:space="preserve">SBUA Opening Brief at </w:t>
      </w:r>
      <w:r w:rsidR="00344752">
        <w:t>12 – 13</w:t>
      </w:r>
      <w:r w:rsidR="00FB238A">
        <w:t>.</w:t>
      </w:r>
    </w:p>
  </w:footnote>
  <w:footnote w:id="11">
    <w:p w14:paraId="4A242EA1" w14:textId="77777777" w:rsidR="00E064C5" w:rsidRDefault="00E064C5" w:rsidP="00E064C5">
      <w:pPr>
        <w:pStyle w:val="FootnoteText"/>
      </w:pPr>
      <w:r>
        <w:rPr>
          <w:rStyle w:val="FootnoteReference"/>
        </w:rPr>
        <w:footnoteRef/>
      </w:r>
      <w:r>
        <w:t xml:space="preserve"> </w:t>
      </w:r>
      <w:r w:rsidRPr="0089171A">
        <w:t>Exhibit CADV-02 at</w:t>
      </w:r>
      <w:r>
        <w:t xml:space="preserve"> 4.</w:t>
      </w:r>
    </w:p>
  </w:footnote>
  <w:footnote w:id="12">
    <w:p w14:paraId="691DC288" w14:textId="4585ED82" w:rsidR="00E064C5" w:rsidRDefault="00E064C5" w:rsidP="00E064C5">
      <w:pPr>
        <w:pStyle w:val="FootnoteText"/>
      </w:pPr>
      <w:r>
        <w:rPr>
          <w:rStyle w:val="FootnoteReference"/>
        </w:rPr>
        <w:footnoteRef/>
      </w:r>
      <w:r>
        <w:t xml:space="preserve"> Cal Advocates Opening Brief at 4.</w:t>
      </w:r>
    </w:p>
  </w:footnote>
  <w:footnote w:id="13">
    <w:p w14:paraId="1AAA73C4" w14:textId="08CF4D9A" w:rsidR="00E55B2A" w:rsidRDefault="00E55B2A">
      <w:pPr>
        <w:pStyle w:val="FootnoteText"/>
      </w:pPr>
      <w:r>
        <w:rPr>
          <w:rStyle w:val="FootnoteReference"/>
        </w:rPr>
        <w:footnoteRef/>
      </w:r>
      <w:r>
        <w:t xml:space="preserve"> </w:t>
      </w:r>
      <w:r w:rsidR="00C87737" w:rsidRPr="00D4378D">
        <w:t>EPUC/IS O</w:t>
      </w:r>
      <w:r w:rsidR="00C87737">
        <w:t xml:space="preserve">pening </w:t>
      </w:r>
      <w:r w:rsidR="00C87737" w:rsidRPr="00D4378D">
        <w:t>B</w:t>
      </w:r>
      <w:r w:rsidR="00C87737">
        <w:t xml:space="preserve">rief at </w:t>
      </w:r>
      <w:r w:rsidR="00ED0586">
        <w:t>49 – 50</w:t>
      </w:r>
      <w:r w:rsidR="00C87737">
        <w:t>.</w:t>
      </w:r>
    </w:p>
  </w:footnote>
  <w:footnote w:id="14">
    <w:p w14:paraId="248EBB9E" w14:textId="404BBDCD" w:rsidR="00167E13" w:rsidRDefault="00167E13">
      <w:pPr>
        <w:pStyle w:val="FootnoteText"/>
      </w:pPr>
      <w:r>
        <w:rPr>
          <w:rStyle w:val="FootnoteReference"/>
        </w:rPr>
        <w:footnoteRef/>
      </w:r>
      <w:r>
        <w:t xml:space="preserve"> </w:t>
      </w:r>
      <w:r w:rsidR="00ED0586">
        <w:rPr>
          <w:i/>
          <w:iCs/>
        </w:rPr>
        <w:t>Id.</w:t>
      </w:r>
      <w:r>
        <w:t xml:space="preserve"> at 4.</w:t>
      </w:r>
    </w:p>
  </w:footnote>
  <w:footnote w:id="15">
    <w:p w14:paraId="51828FD8" w14:textId="7521A740" w:rsidR="007C15C7" w:rsidRDefault="007C15C7">
      <w:pPr>
        <w:pStyle w:val="FootnoteText"/>
      </w:pPr>
      <w:r>
        <w:rPr>
          <w:rStyle w:val="FootnoteReference"/>
        </w:rPr>
        <w:footnoteRef/>
      </w:r>
      <w:r>
        <w:t xml:space="preserve"> </w:t>
      </w:r>
      <w:r w:rsidR="006B4E4F">
        <w:t xml:space="preserve">TURN Opening Brief at </w:t>
      </w:r>
      <w:r w:rsidR="00ED0586">
        <w:t>24 – 26</w:t>
      </w:r>
      <w:r w:rsidR="006B4E4F">
        <w:t>.</w:t>
      </w:r>
    </w:p>
  </w:footnote>
  <w:footnote w:id="16">
    <w:p w14:paraId="1DA21582" w14:textId="0997A237" w:rsidR="006B4E4F" w:rsidRDefault="006B4E4F">
      <w:pPr>
        <w:pStyle w:val="FootnoteText"/>
      </w:pPr>
      <w:r>
        <w:rPr>
          <w:rStyle w:val="FootnoteReference"/>
        </w:rPr>
        <w:footnoteRef/>
      </w:r>
      <w:r>
        <w:t xml:space="preserve"> </w:t>
      </w:r>
      <w:r w:rsidR="000102F2">
        <w:t>TURN Opening Brief at 35.</w:t>
      </w:r>
    </w:p>
  </w:footnote>
  <w:footnote w:id="17">
    <w:p w14:paraId="0DD66CCF" w14:textId="7CD74B30" w:rsidR="00BA166D" w:rsidRDefault="00BA166D">
      <w:pPr>
        <w:pStyle w:val="FootnoteText"/>
      </w:pPr>
      <w:r>
        <w:rPr>
          <w:rStyle w:val="FootnoteReference"/>
        </w:rPr>
        <w:footnoteRef/>
      </w:r>
      <w:r>
        <w:t xml:space="preserve"> </w:t>
      </w:r>
      <w:r w:rsidR="003974A0">
        <w:t xml:space="preserve">Exhibit </w:t>
      </w:r>
      <w:r>
        <w:t>WTF-01</w:t>
      </w:r>
      <w:r w:rsidR="00BE6213">
        <w:t xml:space="preserve"> at </w:t>
      </w:r>
      <w:r w:rsidR="00021BA1">
        <w:t xml:space="preserve">4 </w:t>
      </w:r>
      <w:r w:rsidR="006A6850">
        <w:t>–</w:t>
      </w:r>
      <w:r w:rsidR="00021BA1">
        <w:t xml:space="preserve"> </w:t>
      </w:r>
      <w:r w:rsidR="006A6850">
        <w:t>5</w:t>
      </w:r>
      <w:r w:rsidR="00DC3CED">
        <w:t>.</w:t>
      </w:r>
    </w:p>
  </w:footnote>
  <w:footnote w:id="18">
    <w:p w14:paraId="3604F635" w14:textId="2950F0D8" w:rsidR="004342AE" w:rsidRDefault="004342AE">
      <w:pPr>
        <w:pStyle w:val="FootnoteText"/>
      </w:pPr>
      <w:r>
        <w:rPr>
          <w:rStyle w:val="FootnoteReference"/>
        </w:rPr>
        <w:footnoteRef/>
      </w:r>
      <w:r>
        <w:t xml:space="preserve"> </w:t>
      </w:r>
      <w:r w:rsidR="003974A0">
        <w:t xml:space="preserve">Exhibit </w:t>
      </w:r>
      <w:r w:rsidR="006435EF">
        <w:t xml:space="preserve">SC/PCF-01 </w:t>
      </w:r>
      <w:r w:rsidR="00EC41E7">
        <w:t xml:space="preserve">at </w:t>
      </w:r>
      <w:r w:rsidR="00021BA1">
        <w:t>28 – 29</w:t>
      </w:r>
      <w:r w:rsidR="00EC41E7">
        <w:t>.</w:t>
      </w:r>
    </w:p>
  </w:footnote>
  <w:footnote w:id="19">
    <w:p w14:paraId="32526019" w14:textId="7EB1D003" w:rsidR="009E1D81" w:rsidRDefault="009E1D81">
      <w:pPr>
        <w:pStyle w:val="FootnoteText"/>
      </w:pPr>
      <w:r>
        <w:rPr>
          <w:rStyle w:val="FootnoteReference"/>
        </w:rPr>
        <w:footnoteRef/>
      </w:r>
      <w:r>
        <w:t xml:space="preserve"> </w:t>
      </w:r>
      <w:r w:rsidR="00021BA1">
        <w:rPr>
          <w:i/>
          <w:iCs/>
        </w:rPr>
        <w:t>Id.</w:t>
      </w:r>
      <w:r>
        <w:t xml:space="preserve"> at 99.</w:t>
      </w:r>
    </w:p>
  </w:footnote>
  <w:footnote w:id="20">
    <w:p w14:paraId="343EFF45" w14:textId="67FF73D4" w:rsidR="00F711F8" w:rsidRDefault="00F711F8">
      <w:pPr>
        <w:pStyle w:val="FootnoteText"/>
      </w:pPr>
      <w:r>
        <w:rPr>
          <w:rStyle w:val="FootnoteReference"/>
        </w:rPr>
        <w:footnoteRef/>
      </w:r>
      <w:r>
        <w:t xml:space="preserve"> PCF Opening Brief</w:t>
      </w:r>
      <w:r w:rsidR="00021BA1">
        <w:t xml:space="preserve"> at </w:t>
      </w:r>
      <w:r>
        <w:t>36</w:t>
      </w:r>
      <w:r w:rsidR="00021BA1">
        <w:t>.</w:t>
      </w:r>
    </w:p>
  </w:footnote>
  <w:footnote w:id="21">
    <w:p w14:paraId="3CFF2995" w14:textId="1BA7A8F8" w:rsidR="00880653" w:rsidRDefault="00880653">
      <w:pPr>
        <w:pStyle w:val="FootnoteText"/>
      </w:pPr>
      <w:r>
        <w:rPr>
          <w:rStyle w:val="FootnoteReference"/>
        </w:rPr>
        <w:footnoteRef/>
      </w:r>
      <w:r>
        <w:t xml:space="preserve"> </w:t>
      </w:r>
      <w:r w:rsidR="003974A0">
        <w:t xml:space="preserve">Exhibit </w:t>
      </w:r>
      <w:r>
        <w:t>EDF-01 at</w:t>
      </w:r>
      <w:r w:rsidR="00021BA1">
        <w:t xml:space="preserve"> 13 – 16</w:t>
      </w:r>
      <w:r w:rsidR="00F81822">
        <w:t>.</w:t>
      </w:r>
    </w:p>
  </w:footnote>
  <w:footnote w:id="22">
    <w:p w14:paraId="03A3086E" w14:textId="5D17A835" w:rsidR="006E0E86" w:rsidRDefault="006E0E86">
      <w:pPr>
        <w:pStyle w:val="FootnoteText"/>
      </w:pPr>
      <w:r>
        <w:rPr>
          <w:rStyle w:val="FootnoteReference"/>
        </w:rPr>
        <w:footnoteRef/>
      </w:r>
      <w:r>
        <w:t xml:space="preserve"> PG&amp;E Reply Brief at 25.</w:t>
      </w:r>
    </w:p>
  </w:footnote>
  <w:footnote w:id="23">
    <w:p w14:paraId="5D84E0CB" w14:textId="47550479" w:rsidR="006E6FF9" w:rsidRDefault="006E6FF9">
      <w:pPr>
        <w:pStyle w:val="FootnoteText"/>
      </w:pPr>
      <w:r>
        <w:rPr>
          <w:rStyle w:val="FootnoteReference"/>
        </w:rPr>
        <w:footnoteRef/>
      </w:r>
      <w:r>
        <w:t xml:space="preserve"> </w:t>
      </w:r>
      <w:r w:rsidR="00F83213">
        <w:rPr>
          <w:i/>
          <w:iCs/>
        </w:rPr>
        <w:t>Id.</w:t>
      </w:r>
    </w:p>
  </w:footnote>
  <w:footnote w:id="24">
    <w:p w14:paraId="73DD0922" w14:textId="634B66E4" w:rsidR="00F83213" w:rsidRDefault="002F1043">
      <w:pPr>
        <w:pStyle w:val="FootnoteText"/>
      </w:pPr>
      <w:r>
        <w:rPr>
          <w:rStyle w:val="FootnoteReference"/>
        </w:rPr>
        <w:footnoteRef/>
      </w:r>
      <w:r>
        <w:t xml:space="preserve"> </w:t>
      </w:r>
      <w:r w:rsidR="00DC7A55">
        <w:rPr>
          <w:i/>
          <w:iCs/>
        </w:rPr>
        <w:t>Id.</w:t>
      </w:r>
      <w:r>
        <w:t xml:space="preserve"> at 2</w:t>
      </w:r>
      <w:r w:rsidR="00F83213">
        <w:t>6.</w:t>
      </w:r>
    </w:p>
  </w:footnote>
  <w:footnote w:id="25">
    <w:p w14:paraId="2C4112E6" w14:textId="7ED8A06C" w:rsidR="00392155" w:rsidRPr="00392155" w:rsidRDefault="00392155">
      <w:pPr>
        <w:pStyle w:val="FootnoteText"/>
      </w:pPr>
      <w:r>
        <w:rPr>
          <w:rStyle w:val="FootnoteReference"/>
        </w:rPr>
        <w:footnoteRef/>
      </w:r>
      <w:r>
        <w:t xml:space="preserve"> </w:t>
      </w:r>
      <w:r w:rsidR="003974A0">
        <w:t>August 29, 2025, Filing of Stipulated Facts at 2.</w:t>
      </w:r>
    </w:p>
  </w:footnote>
  <w:footnote w:id="26">
    <w:p w14:paraId="5B6AC7F2" w14:textId="2FD4B3C5" w:rsidR="006A5DB9" w:rsidRPr="00180177" w:rsidRDefault="006A5DB9">
      <w:pPr>
        <w:pStyle w:val="FootnoteText"/>
      </w:pPr>
      <w:r>
        <w:rPr>
          <w:rStyle w:val="FootnoteReference"/>
        </w:rPr>
        <w:footnoteRef/>
      </w:r>
      <w:r>
        <w:t xml:space="preserve"> </w:t>
      </w:r>
      <w:r w:rsidR="00180177">
        <w:rPr>
          <w:i/>
          <w:iCs/>
        </w:rPr>
        <w:t>Id.</w:t>
      </w:r>
    </w:p>
  </w:footnote>
  <w:footnote w:id="27">
    <w:p w14:paraId="48206E6C" w14:textId="4361657E" w:rsidR="00A80202" w:rsidRDefault="00A80202">
      <w:pPr>
        <w:pStyle w:val="FootnoteText"/>
      </w:pPr>
      <w:r>
        <w:rPr>
          <w:rStyle w:val="FootnoteReference"/>
        </w:rPr>
        <w:footnoteRef/>
      </w:r>
      <w:r>
        <w:t xml:space="preserve"> </w:t>
      </w:r>
      <w:r w:rsidR="005B4BB1">
        <w:t>Application 25-03-011 at 6.</w:t>
      </w:r>
    </w:p>
  </w:footnote>
  <w:footnote w:id="28">
    <w:p w14:paraId="07BC01B6" w14:textId="3A838535" w:rsidR="00A73449" w:rsidRDefault="00A73449">
      <w:pPr>
        <w:pStyle w:val="FootnoteText"/>
      </w:pPr>
      <w:r>
        <w:rPr>
          <w:rStyle w:val="FootnoteReference"/>
        </w:rPr>
        <w:footnoteRef/>
      </w:r>
      <w:r>
        <w:t xml:space="preserve"> </w:t>
      </w:r>
      <w:r w:rsidR="005D5835">
        <w:t>Exhibit SCG-05 at 10.</w:t>
      </w:r>
    </w:p>
  </w:footnote>
  <w:footnote w:id="29">
    <w:p w14:paraId="3B6D3255" w14:textId="4AE186FB" w:rsidR="00987647" w:rsidRDefault="00987647">
      <w:pPr>
        <w:pStyle w:val="FootnoteText"/>
      </w:pPr>
      <w:r w:rsidRPr="00AC70A5">
        <w:rPr>
          <w:rStyle w:val="FootnoteReference"/>
        </w:rPr>
        <w:footnoteRef/>
      </w:r>
      <w:r w:rsidRPr="00AC70A5">
        <w:t xml:space="preserve"> </w:t>
      </w:r>
      <w:r w:rsidR="006322C4">
        <w:t xml:space="preserve">Exhibit </w:t>
      </w:r>
      <w:r w:rsidR="006322C4" w:rsidRPr="00104256">
        <w:t>EIT-01</w:t>
      </w:r>
      <w:r w:rsidR="00260CE9">
        <w:t xml:space="preserve"> at </w:t>
      </w:r>
      <w:r w:rsidR="006322C4">
        <w:t>252</w:t>
      </w:r>
      <w:r w:rsidR="00260CE9">
        <w:t>.</w:t>
      </w:r>
    </w:p>
  </w:footnote>
  <w:footnote w:id="30">
    <w:p w14:paraId="3B49940B" w14:textId="183860EB" w:rsidR="00DE04B5" w:rsidRDefault="00DE04B5" w:rsidP="00DE04B5">
      <w:pPr>
        <w:pStyle w:val="FootnoteText"/>
      </w:pPr>
      <w:r>
        <w:rPr>
          <w:rStyle w:val="FootnoteReference"/>
        </w:rPr>
        <w:footnoteRef/>
      </w:r>
      <w:r>
        <w:t xml:space="preserve"> </w:t>
      </w:r>
      <w:r w:rsidRPr="0089171A">
        <w:t>Exhibit CADV-02 at</w:t>
      </w:r>
      <w:r>
        <w:t xml:space="preserve"> 4.</w:t>
      </w:r>
    </w:p>
  </w:footnote>
  <w:footnote w:id="31">
    <w:p w14:paraId="62B9B218" w14:textId="003196B8" w:rsidR="004201CE" w:rsidRDefault="004201CE" w:rsidP="004201CE">
      <w:pPr>
        <w:pStyle w:val="FootnoteText"/>
      </w:pPr>
      <w:r>
        <w:rPr>
          <w:rStyle w:val="FootnoteReference"/>
        </w:rPr>
        <w:footnoteRef/>
      </w:r>
      <w:r>
        <w:t xml:space="preserve"> Cal Advocates Opening Brief at </w:t>
      </w:r>
      <w:r w:rsidR="009313E7">
        <w:t>4</w:t>
      </w:r>
      <w:r>
        <w:t>.</w:t>
      </w:r>
    </w:p>
  </w:footnote>
  <w:footnote w:id="32">
    <w:p w14:paraId="6760BDF2" w14:textId="77777777" w:rsidR="00CD6893" w:rsidRDefault="00CD6893" w:rsidP="00CD6893">
      <w:pPr>
        <w:pStyle w:val="FootnoteText"/>
      </w:pPr>
      <w:r>
        <w:rPr>
          <w:rStyle w:val="FootnoteReference"/>
        </w:rPr>
        <w:footnoteRef/>
      </w:r>
      <w:r>
        <w:t xml:space="preserve"> Exhibit WTF-01 at 4-5.</w:t>
      </w:r>
    </w:p>
  </w:footnote>
  <w:footnote w:id="33">
    <w:p w14:paraId="0563E8ED" w14:textId="77777777" w:rsidR="00CD6893" w:rsidRDefault="00CD6893" w:rsidP="00CD6893">
      <w:pPr>
        <w:pStyle w:val="FootnoteText"/>
      </w:pPr>
      <w:r>
        <w:rPr>
          <w:rStyle w:val="FootnoteReference"/>
        </w:rPr>
        <w:footnoteRef/>
      </w:r>
      <w:r>
        <w:t xml:space="preserve"> Exhibit SC/PCF-01 at 28-29.</w:t>
      </w:r>
    </w:p>
  </w:footnote>
  <w:footnote w:id="34">
    <w:p w14:paraId="64EB70D0" w14:textId="05773148" w:rsidR="00CD6893" w:rsidRDefault="00CD6893" w:rsidP="00CD6893">
      <w:pPr>
        <w:pStyle w:val="FootnoteText"/>
      </w:pPr>
      <w:r>
        <w:rPr>
          <w:rStyle w:val="FootnoteReference"/>
        </w:rPr>
        <w:footnoteRef/>
      </w:r>
      <w:r>
        <w:t xml:space="preserve"> </w:t>
      </w:r>
      <w:r w:rsidR="00021BA1">
        <w:rPr>
          <w:i/>
          <w:iCs/>
        </w:rPr>
        <w:t>Id.</w:t>
      </w:r>
      <w:r>
        <w:t xml:space="preserve"> at 9</w:t>
      </w:r>
      <w:r w:rsidR="00072029">
        <w:t>4</w:t>
      </w:r>
      <w:r>
        <w:t>.</w:t>
      </w:r>
    </w:p>
  </w:footnote>
  <w:footnote w:id="35">
    <w:p w14:paraId="3753B58D" w14:textId="172BCB27" w:rsidR="00CD6893" w:rsidRDefault="00CD6893" w:rsidP="00CD6893">
      <w:pPr>
        <w:pStyle w:val="FootnoteText"/>
      </w:pPr>
      <w:r>
        <w:rPr>
          <w:rStyle w:val="FootnoteReference"/>
        </w:rPr>
        <w:footnoteRef/>
      </w:r>
      <w:r>
        <w:t xml:space="preserve"> Exhibit EDF-01 at </w:t>
      </w:r>
      <w:r w:rsidR="00D07213">
        <w:t>13 – 16</w:t>
      </w:r>
      <w:r>
        <w:t>.</w:t>
      </w:r>
    </w:p>
  </w:footnote>
  <w:footnote w:id="36">
    <w:p w14:paraId="5CF418F1" w14:textId="4C2E8433" w:rsidR="00AC70A5" w:rsidRDefault="00AC70A5">
      <w:pPr>
        <w:pStyle w:val="FootnoteText"/>
      </w:pPr>
      <w:r>
        <w:rPr>
          <w:rStyle w:val="FootnoteReference"/>
        </w:rPr>
        <w:footnoteRef/>
      </w:r>
      <w:r w:rsidR="00A471FC">
        <w:t xml:space="preserve"> </w:t>
      </w:r>
      <w:r w:rsidR="0058408E">
        <w:t>SoCalGas Opening Brief at 27</w:t>
      </w:r>
      <w:r w:rsidR="00A471FC">
        <w:t>.</w:t>
      </w:r>
      <w:r w:rsidDel="0058408E">
        <w:t xml:space="preserve"> </w:t>
      </w:r>
    </w:p>
  </w:footnote>
  <w:footnote w:id="37">
    <w:p w14:paraId="04ECEDE6" w14:textId="65F4547A" w:rsidR="009E273E" w:rsidRDefault="009E273E" w:rsidP="009E273E">
      <w:pPr>
        <w:pStyle w:val="FootnoteText"/>
      </w:pPr>
      <w:r>
        <w:rPr>
          <w:rStyle w:val="FootnoteReference"/>
        </w:rPr>
        <w:footnoteRef/>
      </w:r>
      <w:r>
        <w:t xml:space="preserve"> </w:t>
      </w:r>
      <w:r w:rsidR="00D07213">
        <w:rPr>
          <w:i/>
          <w:iCs/>
        </w:rPr>
        <w:t>Id.</w:t>
      </w:r>
      <w:r>
        <w:t xml:space="preserve"> at 49.</w:t>
      </w:r>
    </w:p>
  </w:footnote>
  <w:footnote w:id="38">
    <w:p w14:paraId="6716C2BD" w14:textId="359F95A8" w:rsidR="00C93A85" w:rsidRDefault="00C93A85">
      <w:pPr>
        <w:pStyle w:val="FootnoteText"/>
      </w:pPr>
      <w:r>
        <w:rPr>
          <w:rStyle w:val="FootnoteReference"/>
        </w:rPr>
        <w:footnoteRef/>
      </w:r>
      <w:r>
        <w:t xml:space="preserve"> </w:t>
      </w:r>
      <w:r w:rsidR="00D07213">
        <w:rPr>
          <w:i/>
          <w:iCs/>
        </w:rPr>
        <w:t>Id.</w:t>
      </w:r>
      <w:r>
        <w:t xml:space="preserve"> at 50.</w:t>
      </w:r>
    </w:p>
  </w:footnote>
  <w:footnote w:id="39">
    <w:p w14:paraId="28A541BD" w14:textId="36648358" w:rsidR="00812627" w:rsidRDefault="00812627" w:rsidP="00812627">
      <w:pPr>
        <w:pStyle w:val="FootnoteText"/>
      </w:pPr>
      <w:r>
        <w:rPr>
          <w:rStyle w:val="FootnoteReference"/>
        </w:rPr>
        <w:footnoteRef/>
      </w:r>
      <w:r>
        <w:t xml:space="preserve"> Exhibit SCE-09 at 2. </w:t>
      </w:r>
    </w:p>
  </w:footnote>
  <w:footnote w:id="40">
    <w:p w14:paraId="5184C70C" w14:textId="125D1735" w:rsidR="00167E13" w:rsidRDefault="00167E13">
      <w:pPr>
        <w:pStyle w:val="FootnoteText"/>
      </w:pPr>
      <w:r>
        <w:rPr>
          <w:rStyle w:val="FootnoteReference"/>
        </w:rPr>
        <w:footnoteRef/>
      </w:r>
      <w:r>
        <w:t xml:space="preserve"> </w:t>
      </w:r>
      <w:r w:rsidRPr="00D4378D">
        <w:t>EPUC/IS O</w:t>
      </w:r>
      <w:r>
        <w:t xml:space="preserve">pening </w:t>
      </w:r>
      <w:r w:rsidRPr="00D4378D">
        <w:t>B</w:t>
      </w:r>
      <w:r>
        <w:t>rief at 4.</w:t>
      </w:r>
    </w:p>
  </w:footnote>
  <w:footnote w:id="41">
    <w:p w14:paraId="7462CC27" w14:textId="4DFB36B5" w:rsidR="005C3585" w:rsidRDefault="005C3585" w:rsidP="005C3585">
      <w:pPr>
        <w:pStyle w:val="FootnoteText"/>
      </w:pPr>
      <w:r>
        <w:rPr>
          <w:rStyle w:val="FootnoteReference"/>
        </w:rPr>
        <w:footnoteRef/>
      </w:r>
      <w:r>
        <w:t xml:space="preserve"> </w:t>
      </w:r>
      <w:r w:rsidR="00C62413">
        <w:rPr>
          <w:i/>
          <w:iCs/>
        </w:rPr>
        <w:t>Id.</w:t>
      </w:r>
      <w:r>
        <w:t xml:space="preserve"> at 50.</w:t>
      </w:r>
    </w:p>
  </w:footnote>
  <w:footnote w:id="42">
    <w:p w14:paraId="6E933C63" w14:textId="7B2F2E9D" w:rsidR="00536993" w:rsidRDefault="00536993" w:rsidP="00536993">
      <w:pPr>
        <w:pStyle w:val="FootnoteText"/>
      </w:pPr>
      <w:r>
        <w:rPr>
          <w:rStyle w:val="FootnoteReference"/>
        </w:rPr>
        <w:footnoteRef/>
      </w:r>
      <w:r>
        <w:t xml:space="preserve"> </w:t>
      </w:r>
      <w:r w:rsidR="00C62413">
        <w:rPr>
          <w:i/>
          <w:iCs/>
        </w:rPr>
        <w:t>Id.</w:t>
      </w:r>
      <w:r>
        <w:t xml:space="preserve"> at 49.</w:t>
      </w:r>
    </w:p>
  </w:footnote>
  <w:footnote w:id="43">
    <w:p w14:paraId="43940640" w14:textId="77777777" w:rsidR="00F913D0" w:rsidRDefault="00F913D0" w:rsidP="00F913D0">
      <w:pPr>
        <w:pStyle w:val="FootnoteText"/>
      </w:pPr>
      <w:r>
        <w:rPr>
          <w:rStyle w:val="FootnoteReference"/>
        </w:rPr>
        <w:footnoteRef/>
      </w:r>
      <w:r>
        <w:t xml:space="preserve"> </w:t>
      </w:r>
      <w:r w:rsidRPr="0089171A">
        <w:t>Exhibit CADV-02 at</w:t>
      </w:r>
      <w:r>
        <w:t xml:space="preserve"> 4.</w:t>
      </w:r>
    </w:p>
  </w:footnote>
  <w:footnote w:id="44">
    <w:p w14:paraId="20C09A5F" w14:textId="313AB6E0" w:rsidR="00F913D0" w:rsidRDefault="00F913D0" w:rsidP="00F913D0">
      <w:pPr>
        <w:pStyle w:val="FootnoteText"/>
      </w:pPr>
      <w:r>
        <w:rPr>
          <w:rStyle w:val="FootnoteReference"/>
        </w:rPr>
        <w:footnoteRef/>
      </w:r>
      <w:r>
        <w:t xml:space="preserve"> Cal Advocates Opening Brief at 4.</w:t>
      </w:r>
    </w:p>
  </w:footnote>
  <w:footnote w:id="45">
    <w:p w14:paraId="45306FAF" w14:textId="7256A863" w:rsidR="00B01CA3" w:rsidRDefault="00B01CA3">
      <w:pPr>
        <w:pStyle w:val="FootnoteText"/>
      </w:pPr>
      <w:r>
        <w:rPr>
          <w:rStyle w:val="FootnoteReference"/>
        </w:rPr>
        <w:footnoteRef/>
      </w:r>
      <w:r>
        <w:t xml:space="preserve"> </w:t>
      </w:r>
      <w:r w:rsidR="00A6090F">
        <w:t>TURN Opening Brief at 29</w:t>
      </w:r>
      <w:r w:rsidR="007C54DA">
        <w:t>.</w:t>
      </w:r>
    </w:p>
  </w:footnote>
  <w:footnote w:id="46">
    <w:p w14:paraId="2915C4CF" w14:textId="210F734E" w:rsidR="006F3F27" w:rsidRDefault="006F3F27" w:rsidP="006F3F27">
      <w:pPr>
        <w:pStyle w:val="FootnoteText"/>
      </w:pPr>
      <w:r>
        <w:rPr>
          <w:rStyle w:val="FootnoteReference"/>
        </w:rPr>
        <w:footnoteRef/>
      </w:r>
      <w:r>
        <w:t xml:space="preserve"> </w:t>
      </w:r>
      <w:r w:rsidR="00C62413">
        <w:rPr>
          <w:i/>
          <w:iCs/>
        </w:rPr>
        <w:t>Id.</w:t>
      </w:r>
      <w:r>
        <w:t xml:space="preserve"> at 35.</w:t>
      </w:r>
    </w:p>
  </w:footnote>
  <w:footnote w:id="47">
    <w:p w14:paraId="20980575" w14:textId="3793CA13" w:rsidR="005542CD" w:rsidRDefault="005542CD" w:rsidP="005542CD">
      <w:pPr>
        <w:pStyle w:val="FootnoteText"/>
      </w:pPr>
      <w:r>
        <w:rPr>
          <w:rStyle w:val="FootnoteReference"/>
        </w:rPr>
        <w:footnoteRef/>
      </w:r>
      <w:r>
        <w:t xml:space="preserve"> Exhibit WTF-01 at </w:t>
      </w:r>
      <w:r w:rsidR="00255D8D">
        <w:t>4 – 5</w:t>
      </w:r>
      <w:r>
        <w:t>.</w:t>
      </w:r>
    </w:p>
  </w:footnote>
  <w:footnote w:id="48">
    <w:p w14:paraId="57B0F3EA" w14:textId="02D45966" w:rsidR="00072029" w:rsidRDefault="00072029" w:rsidP="00072029">
      <w:pPr>
        <w:pStyle w:val="FootnoteText"/>
      </w:pPr>
      <w:r>
        <w:rPr>
          <w:rStyle w:val="FootnoteReference"/>
        </w:rPr>
        <w:footnoteRef/>
      </w:r>
      <w:r>
        <w:t xml:space="preserve"> </w:t>
      </w:r>
      <w:r w:rsidR="008405E7">
        <w:rPr>
          <w:i/>
          <w:iCs/>
        </w:rPr>
        <w:t>Id.</w:t>
      </w:r>
      <w:r>
        <w:t xml:space="preserve"> at 9</w:t>
      </w:r>
      <w:r w:rsidR="0041727F">
        <w:t>7</w:t>
      </w:r>
      <w:r>
        <w:t>.</w:t>
      </w:r>
    </w:p>
  </w:footnote>
  <w:footnote w:id="49">
    <w:p w14:paraId="3A8A44BB" w14:textId="500D9600" w:rsidR="00072029" w:rsidRDefault="00072029" w:rsidP="00072029">
      <w:pPr>
        <w:pStyle w:val="FootnoteText"/>
      </w:pPr>
      <w:r>
        <w:rPr>
          <w:rStyle w:val="FootnoteReference"/>
        </w:rPr>
        <w:footnoteRef/>
      </w:r>
      <w:r>
        <w:t xml:space="preserve"> Exhibit EDF-01 at </w:t>
      </w:r>
      <w:r w:rsidR="00FD0950">
        <w:t>13 – 16</w:t>
      </w:r>
      <w:r>
        <w:t>.</w:t>
      </w:r>
    </w:p>
  </w:footnote>
  <w:footnote w:id="50">
    <w:p w14:paraId="4CAC2592" w14:textId="6DEDA9A3" w:rsidR="00412FDE" w:rsidRDefault="00412FDE">
      <w:pPr>
        <w:pStyle w:val="FootnoteText"/>
      </w:pPr>
      <w:r>
        <w:rPr>
          <w:rStyle w:val="FootnoteReference"/>
        </w:rPr>
        <w:footnoteRef/>
      </w:r>
      <w:r>
        <w:t xml:space="preserve"> SCE Reply Brief at 23.</w:t>
      </w:r>
    </w:p>
  </w:footnote>
  <w:footnote w:id="51">
    <w:p w14:paraId="55D8F6AC" w14:textId="008292BE" w:rsidR="00512542" w:rsidRDefault="00512542">
      <w:pPr>
        <w:pStyle w:val="FootnoteText"/>
      </w:pPr>
      <w:r>
        <w:rPr>
          <w:rStyle w:val="FootnoteReference"/>
        </w:rPr>
        <w:footnoteRef/>
      </w:r>
      <w:r>
        <w:t xml:space="preserve"> </w:t>
      </w:r>
      <w:r w:rsidR="00FD0950">
        <w:rPr>
          <w:i/>
          <w:iCs/>
        </w:rPr>
        <w:t>Id.</w:t>
      </w:r>
      <w:r>
        <w:t xml:space="preserve"> at 24</w:t>
      </w:r>
      <w:r w:rsidR="00AB4BB4">
        <w:t>.</w:t>
      </w:r>
    </w:p>
  </w:footnote>
  <w:footnote w:id="52">
    <w:p w14:paraId="45605BF6" w14:textId="6FB2B601" w:rsidR="00AB4BB4" w:rsidRDefault="00AB4BB4">
      <w:pPr>
        <w:pStyle w:val="FootnoteText"/>
      </w:pPr>
      <w:r>
        <w:rPr>
          <w:rStyle w:val="FootnoteReference"/>
        </w:rPr>
        <w:footnoteRef/>
      </w:r>
      <w:r>
        <w:t xml:space="preserve"> </w:t>
      </w:r>
      <w:r w:rsidR="00FD0950">
        <w:rPr>
          <w:i/>
          <w:iCs/>
        </w:rPr>
        <w:t>Id.</w:t>
      </w:r>
      <w:r>
        <w:t xml:space="preserve"> at 25.</w:t>
      </w:r>
    </w:p>
  </w:footnote>
  <w:footnote w:id="53">
    <w:p w14:paraId="192E09B7" w14:textId="76644780" w:rsidR="002A5568" w:rsidRPr="002A5568" w:rsidRDefault="002A5568">
      <w:pPr>
        <w:pStyle w:val="FootnoteText"/>
      </w:pPr>
      <w:r>
        <w:rPr>
          <w:rStyle w:val="FootnoteReference"/>
        </w:rPr>
        <w:footnoteRef/>
      </w:r>
      <w:r>
        <w:t xml:space="preserve"> </w:t>
      </w:r>
      <w:r w:rsidR="008D1B23">
        <w:t>August 29, 2025, Filing of Stipulated Facts at 2.</w:t>
      </w:r>
    </w:p>
  </w:footnote>
  <w:footnote w:id="54">
    <w:p w14:paraId="1C491860" w14:textId="1FF6CF63" w:rsidR="005228B4" w:rsidRPr="005228B4" w:rsidRDefault="005228B4">
      <w:pPr>
        <w:pStyle w:val="FootnoteText"/>
      </w:pPr>
      <w:r>
        <w:rPr>
          <w:rStyle w:val="FootnoteReference"/>
        </w:rPr>
        <w:footnoteRef/>
      </w:r>
      <w:r>
        <w:t xml:space="preserve"> </w:t>
      </w:r>
      <w:r>
        <w:rPr>
          <w:i/>
          <w:iCs/>
        </w:rPr>
        <w:t>Id.</w:t>
      </w:r>
    </w:p>
  </w:footnote>
  <w:footnote w:id="55">
    <w:p w14:paraId="56A35685" w14:textId="77777777" w:rsidR="00147F01" w:rsidRDefault="00147F01" w:rsidP="00147F01">
      <w:pPr>
        <w:pStyle w:val="FootnoteText"/>
      </w:pPr>
      <w:r>
        <w:rPr>
          <w:rStyle w:val="FootnoteReference"/>
        </w:rPr>
        <w:footnoteRef/>
      </w:r>
      <w:r>
        <w:t xml:space="preserve"> Exhibit SDG-14C.</w:t>
      </w:r>
    </w:p>
  </w:footnote>
  <w:footnote w:id="56">
    <w:p w14:paraId="4AC838CC" w14:textId="721A6018" w:rsidR="00B943FE" w:rsidRDefault="00B943FE">
      <w:pPr>
        <w:pStyle w:val="FootnoteText"/>
      </w:pPr>
      <w:r>
        <w:rPr>
          <w:rStyle w:val="FootnoteReference"/>
        </w:rPr>
        <w:footnoteRef/>
      </w:r>
      <w:r>
        <w:t xml:space="preserve"> </w:t>
      </w:r>
      <w:bookmarkStart w:id="18" w:name="_Hlk210227792"/>
      <w:r w:rsidRPr="00D4378D">
        <w:t>EPUC/IS O</w:t>
      </w:r>
      <w:r>
        <w:t xml:space="preserve">pening </w:t>
      </w:r>
      <w:r w:rsidRPr="00D4378D">
        <w:t>B</w:t>
      </w:r>
      <w:r>
        <w:t xml:space="preserve">rief at </w:t>
      </w:r>
      <w:r w:rsidR="00C7593F">
        <w:t>53 – 56</w:t>
      </w:r>
      <w:r>
        <w:t>.</w:t>
      </w:r>
      <w:bookmarkEnd w:id="18"/>
    </w:p>
  </w:footnote>
  <w:footnote w:id="57">
    <w:p w14:paraId="071F11BD" w14:textId="2F40FEAC" w:rsidR="00240040" w:rsidRDefault="00240040" w:rsidP="00240040">
      <w:pPr>
        <w:pStyle w:val="FootnoteText"/>
      </w:pPr>
      <w:r>
        <w:rPr>
          <w:rStyle w:val="FootnoteReference"/>
        </w:rPr>
        <w:footnoteRef/>
      </w:r>
      <w:r>
        <w:t xml:space="preserve"> </w:t>
      </w:r>
      <w:r w:rsidR="00FD0950">
        <w:rPr>
          <w:i/>
          <w:iCs/>
        </w:rPr>
        <w:t>Id.</w:t>
      </w:r>
      <w:r>
        <w:t xml:space="preserve"> at 48.</w:t>
      </w:r>
    </w:p>
  </w:footnote>
  <w:footnote w:id="58">
    <w:p w14:paraId="4DF83ADA" w14:textId="4B48BB67" w:rsidR="00240040" w:rsidRDefault="00240040" w:rsidP="00240040">
      <w:pPr>
        <w:pStyle w:val="FootnoteText"/>
      </w:pPr>
      <w:r>
        <w:rPr>
          <w:rStyle w:val="FootnoteReference"/>
        </w:rPr>
        <w:footnoteRef/>
      </w:r>
      <w:r>
        <w:t xml:space="preserve"> </w:t>
      </w:r>
      <w:r w:rsidR="00FD0950">
        <w:rPr>
          <w:i/>
          <w:iCs/>
        </w:rPr>
        <w:t>Id.</w:t>
      </w:r>
      <w:r>
        <w:t xml:space="preserve"> at 53</w:t>
      </w:r>
    </w:p>
  </w:footnote>
  <w:footnote w:id="59">
    <w:p w14:paraId="21CAFC7E" w14:textId="6E8B4D05" w:rsidR="0043200F" w:rsidRDefault="0043200F" w:rsidP="0043200F">
      <w:pPr>
        <w:pStyle w:val="FootnoteText"/>
      </w:pPr>
      <w:r>
        <w:rPr>
          <w:rStyle w:val="FootnoteReference"/>
        </w:rPr>
        <w:footnoteRef/>
      </w:r>
      <w:r>
        <w:t xml:space="preserve"> </w:t>
      </w:r>
      <w:r w:rsidRPr="00D4378D">
        <w:t>EPUC/IS O</w:t>
      </w:r>
      <w:r>
        <w:t xml:space="preserve">pening </w:t>
      </w:r>
      <w:r w:rsidRPr="00D4378D">
        <w:t>B</w:t>
      </w:r>
      <w:r>
        <w:t xml:space="preserve">rief at </w:t>
      </w:r>
      <w:r w:rsidR="00FD0950">
        <w:t>91 – 97</w:t>
      </w:r>
      <w:r>
        <w:t>.</w:t>
      </w:r>
    </w:p>
  </w:footnote>
  <w:footnote w:id="60">
    <w:p w14:paraId="22FDE865" w14:textId="77777777" w:rsidR="00D62CFE" w:rsidRDefault="00D62CFE" w:rsidP="00D62CFE">
      <w:pPr>
        <w:pStyle w:val="FootnoteText"/>
      </w:pPr>
      <w:r>
        <w:rPr>
          <w:rStyle w:val="FootnoteReference"/>
        </w:rPr>
        <w:footnoteRef/>
      </w:r>
      <w:r>
        <w:t xml:space="preserve"> TURN Opening Brief at 20-21.</w:t>
      </w:r>
    </w:p>
  </w:footnote>
  <w:footnote w:id="61">
    <w:p w14:paraId="01C92FDB" w14:textId="62B42E33" w:rsidR="00D62CFE" w:rsidRDefault="00D62CFE" w:rsidP="00D62CFE">
      <w:pPr>
        <w:pStyle w:val="FootnoteText"/>
      </w:pPr>
      <w:r>
        <w:rPr>
          <w:rStyle w:val="FootnoteReference"/>
        </w:rPr>
        <w:footnoteRef/>
      </w:r>
      <w:r>
        <w:t xml:space="preserve"> </w:t>
      </w:r>
      <w:r w:rsidR="00FD0950">
        <w:rPr>
          <w:i/>
          <w:iCs/>
        </w:rPr>
        <w:t>Id.</w:t>
      </w:r>
      <w:r>
        <w:t xml:space="preserve"> at 23.</w:t>
      </w:r>
    </w:p>
  </w:footnote>
  <w:footnote w:id="62">
    <w:p w14:paraId="73E89CD2" w14:textId="77777777" w:rsidR="00532D1B" w:rsidRDefault="00532D1B" w:rsidP="00532D1B">
      <w:pPr>
        <w:pStyle w:val="FootnoteText"/>
      </w:pPr>
      <w:r>
        <w:rPr>
          <w:rStyle w:val="FootnoteReference"/>
        </w:rPr>
        <w:footnoteRef/>
      </w:r>
      <w:r>
        <w:t xml:space="preserve"> </w:t>
      </w:r>
      <w:r w:rsidRPr="0089171A">
        <w:t>Exhibit CADV-02 at</w:t>
      </w:r>
      <w:r>
        <w:t xml:space="preserve"> 4.</w:t>
      </w:r>
    </w:p>
  </w:footnote>
  <w:footnote w:id="63">
    <w:p w14:paraId="3DD52517" w14:textId="1CBAC455" w:rsidR="00532D1B" w:rsidRDefault="00532D1B" w:rsidP="00532D1B">
      <w:pPr>
        <w:pStyle w:val="FootnoteText"/>
      </w:pPr>
      <w:r>
        <w:rPr>
          <w:rStyle w:val="FootnoteReference"/>
        </w:rPr>
        <w:footnoteRef/>
      </w:r>
      <w:r>
        <w:t xml:space="preserve"> Cal Advocates Opening Brief at 4</w:t>
      </w:r>
      <w:r w:rsidR="00587986">
        <w:t xml:space="preserve">. </w:t>
      </w:r>
    </w:p>
  </w:footnote>
  <w:footnote w:id="64">
    <w:p w14:paraId="06059129" w14:textId="79E56F37" w:rsidR="0027296C" w:rsidRDefault="0027296C">
      <w:pPr>
        <w:pStyle w:val="FootnoteText"/>
      </w:pPr>
      <w:r>
        <w:rPr>
          <w:rStyle w:val="FootnoteReference"/>
        </w:rPr>
        <w:footnoteRef/>
      </w:r>
      <w:r>
        <w:t xml:space="preserve"> UCAN Opening Brief at 15.</w:t>
      </w:r>
    </w:p>
  </w:footnote>
  <w:footnote w:id="65">
    <w:p w14:paraId="4EF35A79" w14:textId="0D3F11B6" w:rsidR="00916D64" w:rsidRDefault="00916D64" w:rsidP="00916D64">
      <w:pPr>
        <w:pStyle w:val="FootnoteText"/>
      </w:pPr>
      <w:r>
        <w:rPr>
          <w:rStyle w:val="FootnoteReference"/>
        </w:rPr>
        <w:footnoteRef/>
      </w:r>
      <w:r w:rsidR="0027296C">
        <w:t xml:space="preserve"> </w:t>
      </w:r>
      <w:r w:rsidR="0027296C">
        <w:rPr>
          <w:i/>
          <w:iCs/>
        </w:rPr>
        <w:t>Id.</w:t>
      </w:r>
      <w:r w:rsidR="0027296C">
        <w:t xml:space="preserve"> at 15 – 16.</w:t>
      </w:r>
      <w:r w:rsidR="00310D64">
        <w:t xml:space="preserve"> </w:t>
      </w:r>
    </w:p>
  </w:footnote>
  <w:footnote w:id="66">
    <w:p w14:paraId="68E2B7E9" w14:textId="77777777" w:rsidR="00916D64" w:rsidRDefault="00916D64" w:rsidP="00916D64">
      <w:pPr>
        <w:pStyle w:val="FootnoteText"/>
      </w:pPr>
      <w:r>
        <w:rPr>
          <w:rStyle w:val="FootnoteReference"/>
        </w:rPr>
        <w:footnoteRef/>
      </w:r>
      <w:r>
        <w:t xml:space="preserve"> UCAN Opening Brief at 97.</w:t>
      </w:r>
    </w:p>
  </w:footnote>
  <w:footnote w:id="67">
    <w:p w14:paraId="23006350" w14:textId="00394CAB" w:rsidR="0041727F" w:rsidRDefault="0041727F" w:rsidP="0041727F">
      <w:pPr>
        <w:pStyle w:val="FootnoteText"/>
      </w:pPr>
      <w:r>
        <w:rPr>
          <w:rStyle w:val="FootnoteReference"/>
        </w:rPr>
        <w:footnoteRef/>
      </w:r>
      <w:r>
        <w:t xml:space="preserve"> Exhibit WTF-01 at 4</w:t>
      </w:r>
      <w:r w:rsidR="00310D64">
        <w:t xml:space="preserve"> – 5.</w:t>
      </w:r>
      <w:r w:rsidR="00587986">
        <w:t xml:space="preserve"> </w:t>
      </w:r>
    </w:p>
  </w:footnote>
  <w:footnote w:id="68">
    <w:p w14:paraId="43191734" w14:textId="778F819A" w:rsidR="0041727F" w:rsidRDefault="0041727F" w:rsidP="0041727F">
      <w:pPr>
        <w:pStyle w:val="FootnoteText"/>
      </w:pPr>
      <w:r>
        <w:rPr>
          <w:rStyle w:val="FootnoteReference"/>
        </w:rPr>
        <w:footnoteRef/>
      </w:r>
      <w:r>
        <w:t xml:space="preserve"> </w:t>
      </w:r>
      <w:r w:rsidR="00B04C4D">
        <w:t>Exhibit SC/PCF-01</w:t>
      </w:r>
      <w:r>
        <w:t xml:space="preserve"> at 97.</w:t>
      </w:r>
    </w:p>
  </w:footnote>
  <w:footnote w:id="69">
    <w:p w14:paraId="23B83576" w14:textId="73DED7D7" w:rsidR="00A700F9" w:rsidRDefault="00A700F9">
      <w:pPr>
        <w:pStyle w:val="FootnoteText"/>
      </w:pPr>
      <w:r>
        <w:rPr>
          <w:rStyle w:val="FootnoteReference"/>
        </w:rPr>
        <w:footnoteRef/>
      </w:r>
      <w:r>
        <w:t xml:space="preserve"> CCAs Reply Brief at 6.</w:t>
      </w:r>
    </w:p>
  </w:footnote>
  <w:footnote w:id="70">
    <w:p w14:paraId="349C049A" w14:textId="08AF4D15" w:rsidR="0041727F" w:rsidRDefault="0041727F" w:rsidP="0041727F">
      <w:pPr>
        <w:pStyle w:val="FootnoteText"/>
      </w:pPr>
      <w:r>
        <w:rPr>
          <w:rStyle w:val="FootnoteReference"/>
        </w:rPr>
        <w:footnoteRef/>
      </w:r>
      <w:r>
        <w:t xml:space="preserve"> Exhibit EDF-01 at </w:t>
      </w:r>
      <w:r w:rsidR="00C00C8D">
        <w:t>13 – 16</w:t>
      </w:r>
      <w:r>
        <w:t>.</w:t>
      </w:r>
    </w:p>
  </w:footnote>
  <w:footnote w:id="71">
    <w:p w14:paraId="477055AB" w14:textId="714B573C" w:rsidR="00875D02" w:rsidRDefault="00875D02" w:rsidP="00875D02">
      <w:pPr>
        <w:pStyle w:val="FootnoteText"/>
      </w:pPr>
      <w:r>
        <w:rPr>
          <w:rStyle w:val="FootnoteReference"/>
        </w:rPr>
        <w:footnoteRef/>
      </w:r>
      <w:r>
        <w:t xml:space="preserve"> SDG&amp;E </w:t>
      </w:r>
      <w:r w:rsidR="00C00C8D">
        <w:t>Opening Brief</w:t>
      </w:r>
      <w:r>
        <w:t xml:space="preserve"> at </w:t>
      </w:r>
      <w:r w:rsidR="00C00C8D">
        <w:t>33 – 34</w:t>
      </w:r>
      <w:r>
        <w:t>.</w:t>
      </w:r>
    </w:p>
  </w:footnote>
  <w:footnote w:id="72">
    <w:p w14:paraId="1293953C" w14:textId="7AF80337" w:rsidR="00A66E08" w:rsidRDefault="00A66E08">
      <w:pPr>
        <w:pStyle w:val="FootnoteText"/>
      </w:pPr>
      <w:r>
        <w:rPr>
          <w:rStyle w:val="FootnoteReference"/>
        </w:rPr>
        <w:footnoteRef/>
      </w:r>
      <w:r>
        <w:t xml:space="preserve"> 38 CPUC2d (1990) 233 at 242 and 243.</w:t>
      </w:r>
    </w:p>
  </w:footnote>
  <w:footnote w:id="73">
    <w:p w14:paraId="2BC28446" w14:textId="6FB8B964" w:rsidR="00F04A4A" w:rsidRDefault="00F04A4A">
      <w:pPr>
        <w:pStyle w:val="FootnoteText"/>
      </w:pPr>
      <w:r>
        <w:rPr>
          <w:rStyle w:val="FootnoteReference"/>
        </w:rPr>
        <w:footnoteRef/>
      </w:r>
      <w:r>
        <w:t xml:space="preserve"> Application 25-03-010 at 11.</w:t>
      </w:r>
    </w:p>
  </w:footnote>
  <w:footnote w:id="74">
    <w:p w14:paraId="4A4259A9" w14:textId="7AA45BA9" w:rsidR="008E34CA" w:rsidRDefault="008E34CA" w:rsidP="008E34CA">
      <w:pPr>
        <w:pStyle w:val="FootnoteText"/>
      </w:pPr>
      <w:r>
        <w:rPr>
          <w:rStyle w:val="FootnoteReference"/>
        </w:rPr>
        <w:footnoteRef/>
      </w:r>
      <w:r>
        <w:t xml:space="preserve"> </w:t>
      </w:r>
      <w:r w:rsidR="001D26C3">
        <w:t xml:space="preserve">Exhibit </w:t>
      </w:r>
      <w:r>
        <w:t>PGE-04 at 1.</w:t>
      </w:r>
    </w:p>
  </w:footnote>
  <w:footnote w:id="75">
    <w:p w14:paraId="03E2FE64" w14:textId="47E39406" w:rsidR="00D3417E" w:rsidRDefault="00D3417E">
      <w:pPr>
        <w:pStyle w:val="FootnoteText"/>
      </w:pPr>
      <w:r>
        <w:rPr>
          <w:rStyle w:val="FootnoteReference"/>
        </w:rPr>
        <w:footnoteRef/>
      </w:r>
      <w:r>
        <w:t xml:space="preserve"> </w:t>
      </w:r>
      <w:r w:rsidR="001D26C3">
        <w:t xml:space="preserve">Exhibit </w:t>
      </w:r>
      <w:r>
        <w:t>SC/PCF-01 at 99.</w:t>
      </w:r>
    </w:p>
  </w:footnote>
  <w:footnote w:id="76">
    <w:p w14:paraId="49830086" w14:textId="3773FDBB" w:rsidR="00387F29" w:rsidRDefault="00387F29" w:rsidP="00387F29">
      <w:pPr>
        <w:pStyle w:val="FootnoteText"/>
      </w:pPr>
      <w:r>
        <w:rPr>
          <w:rStyle w:val="FootnoteReference"/>
        </w:rPr>
        <w:footnoteRef/>
      </w:r>
      <w:r w:rsidR="00A75EFF">
        <w:t xml:space="preserve"> </w:t>
      </w:r>
      <w:r w:rsidR="00A75EFF">
        <w:rPr>
          <w:i/>
          <w:iCs/>
        </w:rPr>
        <w:t>Id.</w:t>
      </w:r>
      <w:r w:rsidR="00A75EFF">
        <w:t xml:space="preserve"> at 95, 96, and 98.</w:t>
      </w:r>
    </w:p>
  </w:footnote>
  <w:footnote w:id="77">
    <w:p w14:paraId="744448F1" w14:textId="05F42533" w:rsidR="00CA00BD" w:rsidRDefault="00CA00BD">
      <w:pPr>
        <w:pStyle w:val="FootnoteText"/>
      </w:pPr>
      <w:r>
        <w:rPr>
          <w:rStyle w:val="FootnoteReference"/>
        </w:rPr>
        <w:footnoteRef/>
      </w:r>
      <w:r>
        <w:t xml:space="preserve"> SoCalGas Opening Brief at </w:t>
      </w:r>
      <w:r w:rsidR="002233F3">
        <w:t>66.</w:t>
      </w:r>
    </w:p>
  </w:footnote>
  <w:footnote w:id="78">
    <w:p w14:paraId="3B2AEEE7" w14:textId="1F6C9326" w:rsidR="00E55F08" w:rsidRPr="00E55F08" w:rsidRDefault="00E55F08">
      <w:pPr>
        <w:pStyle w:val="FootnoteText"/>
      </w:pPr>
      <w:r>
        <w:rPr>
          <w:rStyle w:val="FootnoteReference"/>
        </w:rPr>
        <w:footnoteRef/>
      </w:r>
      <w:r>
        <w:t xml:space="preserve"> </w:t>
      </w:r>
      <w:r>
        <w:rPr>
          <w:i/>
          <w:iCs/>
        </w:rPr>
        <w:t>Id.</w:t>
      </w:r>
      <w:r>
        <w:t xml:space="preserve"> at 67.</w:t>
      </w:r>
    </w:p>
  </w:footnote>
  <w:footnote w:id="79">
    <w:p w14:paraId="68305F54" w14:textId="35D82148" w:rsidR="00335446" w:rsidRDefault="00335446">
      <w:pPr>
        <w:pStyle w:val="FootnoteText"/>
      </w:pPr>
      <w:r>
        <w:rPr>
          <w:rStyle w:val="FootnoteReference"/>
        </w:rPr>
        <w:footnoteRef/>
      </w:r>
      <w:r>
        <w:t xml:space="preserve"> </w:t>
      </w:r>
      <w:r w:rsidR="001D26C3">
        <w:t xml:space="preserve">Exhibit </w:t>
      </w:r>
      <w:r>
        <w:t xml:space="preserve">CADV-02 at 6; </w:t>
      </w:r>
      <w:r w:rsidR="001D26C3">
        <w:t xml:space="preserve">Exhibit </w:t>
      </w:r>
      <w:r w:rsidR="00A93C20">
        <w:t>SC/PCF-01 at 95.</w:t>
      </w:r>
    </w:p>
  </w:footnote>
  <w:footnote w:id="80">
    <w:p w14:paraId="5CC47824" w14:textId="77D54748" w:rsidR="00124575" w:rsidRDefault="00124575">
      <w:pPr>
        <w:pStyle w:val="FootnoteText"/>
      </w:pPr>
      <w:r>
        <w:rPr>
          <w:rStyle w:val="FootnoteReference"/>
        </w:rPr>
        <w:footnoteRef/>
      </w:r>
      <w:r>
        <w:t xml:space="preserve"> </w:t>
      </w:r>
      <w:r w:rsidR="001D26C3">
        <w:t xml:space="preserve">Exhibit </w:t>
      </w:r>
      <w:r>
        <w:t>SCG-05 at RG-13.</w:t>
      </w:r>
    </w:p>
  </w:footnote>
  <w:footnote w:id="81">
    <w:p w14:paraId="2CB0A224" w14:textId="09B6D02F" w:rsidR="004D7ACC" w:rsidRDefault="004D7ACC">
      <w:pPr>
        <w:pStyle w:val="FootnoteText"/>
      </w:pPr>
      <w:r>
        <w:rPr>
          <w:rStyle w:val="FootnoteReference"/>
        </w:rPr>
        <w:footnoteRef/>
      </w:r>
      <w:r>
        <w:t xml:space="preserve"> Exhibit SC/PCF-01 at 92.</w:t>
      </w:r>
    </w:p>
  </w:footnote>
  <w:footnote w:id="82">
    <w:p w14:paraId="19C61B51" w14:textId="4DC72F2D" w:rsidR="00157CAF" w:rsidRDefault="00157CAF">
      <w:pPr>
        <w:pStyle w:val="FootnoteText"/>
      </w:pPr>
      <w:r>
        <w:rPr>
          <w:rStyle w:val="FootnoteReference"/>
        </w:rPr>
        <w:footnoteRef/>
      </w:r>
      <w:r>
        <w:t xml:space="preserve"> Application 25-03-01</w:t>
      </w:r>
      <w:r w:rsidR="008C558D">
        <w:t>2 at 6.</w:t>
      </w:r>
    </w:p>
  </w:footnote>
  <w:footnote w:id="83">
    <w:p w14:paraId="4E83F322" w14:textId="756AC89D" w:rsidR="007040EC" w:rsidRDefault="007040EC">
      <w:pPr>
        <w:pStyle w:val="FootnoteText"/>
      </w:pPr>
      <w:r>
        <w:rPr>
          <w:rStyle w:val="FootnoteReference"/>
        </w:rPr>
        <w:footnoteRef/>
      </w:r>
      <w:r>
        <w:t xml:space="preserve"> Application 25-03-013 at 2.</w:t>
      </w:r>
    </w:p>
  </w:footnote>
  <w:footnote w:id="84">
    <w:p w14:paraId="33669A8D" w14:textId="4B049150" w:rsidR="00090B11" w:rsidRPr="00416598" w:rsidRDefault="00090B11">
      <w:pPr>
        <w:pStyle w:val="FootnoteText"/>
      </w:pPr>
      <w:r>
        <w:rPr>
          <w:rStyle w:val="FootnoteReference"/>
        </w:rPr>
        <w:footnoteRef/>
      </w:r>
      <w:r>
        <w:t xml:space="preserve"> </w:t>
      </w:r>
      <w:r w:rsidR="000A7D97">
        <w:rPr>
          <w:u w:val="single"/>
        </w:rPr>
        <w:t>The Federal Power Commission v. Hope Natural Gas Company</w:t>
      </w:r>
      <w:r w:rsidR="000A7D97">
        <w:t>, 320 U.S. 591</w:t>
      </w:r>
      <w:r w:rsidR="008162B1">
        <w:t xml:space="preserve"> (1944) and </w:t>
      </w:r>
      <w:r w:rsidR="008162B1">
        <w:rPr>
          <w:u w:val="single"/>
        </w:rPr>
        <w:t xml:space="preserve">Bluefield Water Works &amp; Improvement Company v. Public Service Commission </w:t>
      </w:r>
      <w:r w:rsidR="00416598">
        <w:rPr>
          <w:u w:val="single"/>
        </w:rPr>
        <w:t>of the State of Virginia</w:t>
      </w:r>
      <w:r w:rsidR="00416598">
        <w:t>, 262 U.S. 679 (1923).</w:t>
      </w:r>
    </w:p>
  </w:footnote>
  <w:footnote w:id="85">
    <w:p w14:paraId="544A597A" w14:textId="450E442E" w:rsidR="00B91AD2" w:rsidRPr="00B91AD2" w:rsidRDefault="00B91AD2">
      <w:pPr>
        <w:pStyle w:val="FootnoteText"/>
      </w:pPr>
      <w:r>
        <w:rPr>
          <w:rStyle w:val="FootnoteReference"/>
        </w:rPr>
        <w:footnoteRef/>
      </w:r>
      <w:r>
        <w:t xml:space="preserve"> </w:t>
      </w:r>
      <w:r>
        <w:rPr>
          <w:u w:val="single"/>
        </w:rPr>
        <w:t>Hope</w:t>
      </w:r>
      <w:r>
        <w:t xml:space="preserve"> </w:t>
      </w:r>
      <w:r w:rsidR="00134E08">
        <w:t>holds that the value a utility’s property could be calculated based on the amount of prudent investment minus depreciation.</w:t>
      </w:r>
    </w:p>
  </w:footnote>
  <w:footnote w:id="86">
    <w:p w14:paraId="7AB54203" w14:textId="47B70917" w:rsidR="0000652F" w:rsidRDefault="0000652F">
      <w:pPr>
        <w:pStyle w:val="FootnoteText"/>
      </w:pPr>
      <w:r>
        <w:rPr>
          <w:rStyle w:val="FootnoteReference"/>
        </w:rPr>
        <w:footnoteRef/>
      </w:r>
      <w:r>
        <w:t xml:space="preserve"> </w:t>
      </w:r>
      <w:r w:rsidR="001D26C3">
        <w:t xml:space="preserve">Exhibit </w:t>
      </w:r>
      <w:r w:rsidR="000C02CE">
        <w:t>PGE-01 at 2-14 – 2-16.</w:t>
      </w:r>
    </w:p>
  </w:footnote>
  <w:footnote w:id="87">
    <w:p w14:paraId="7335AB2F" w14:textId="1052CE84" w:rsidR="00EE2132" w:rsidRDefault="00EE2132">
      <w:pPr>
        <w:pStyle w:val="FootnoteText"/>
      </w:pPr>
      <w:r>
        <w:rPr>
          <w:rStyle w:val="FootnoteReference"/>
        </w:rPr>
        <w:footnoteRef/>
      </w:r>
      <w:r>
        <w:t xml:space="preserve"> </w:t>
      </w:r>
      <w:r w:rsidR="001D26C3">
        <w:t xml:space="preserve">Exhibit </w:t>
      </w:r>
      <w:r>
        <w:t xml:space="preserve">EIT-01 at </w:t>
      </w:r>
      <w:r w:rsidR="00D30E74">
        <w:t>66.</w:t>
      </w:r>
    </w:p>
  </w:footnote>
  <w:footnote w:id="88">
    <w:p w14:paraId="55168FA3" w14:textId="79F08CA8" w:rsidR="00510C6C" w:rsidRDefault="00510C6C">
      <w:pPr>
        <w:pStyle w:val="FootnoteText"/>
      </w:pPr>
      <w:r>
        <w:rPr>
          <w:rStyle w:val="FootnoteReference"/>
        </w:rPr>
        <w:footnoteRef/>
      </w:r>
      <w:r>
        <w:t xml:space="preserve"> </w:t>
      </w:r>
      <w:r w:rsidR="00FB797D">
        <w:t xml:space="preserve">Exhibit </w:t>
      </w:r>
      <w:r w:rsidR="00FD0A1E">
        <w:t>SCG-03 at JCN-</w:t>
      </w:r>
      <w:r w:rsidR="003A6C51">
        <w:t>20</w:t>
      </w:r>
      <w:r w:rsidR="00FD0A1E">
        <w:t xml:space="preserve"> – JCN-23.</w:t>
      </w:r>
    </w:p>
  </w:footnote>
  <w:footnote w:id="89">
    <w:p w14:paraId="798B339E" w14:textId="7B5CBFBA" w:rsidR="00E148DB" w:rsidRDefault="00E148DB">
      <w:pPr>
        <w:pStyle w:val="FootnoteText"/>
      </w:pPr>
      <w:r>
        <w:rPr>
          <w:rStyle w:val="FootnoteReference"/>
        </w:rPr>
        <w:footnoteRef/>
      </w:r>
      <w:r>
        <w:t xml:space="preserve"> </w:t>
      </w:r>
      <w:r w:rsidR="00FB797D">
        <w:t xml:space="preserve">Exhibit </w:t>
      </w:r>
      <w:r>
        <w:t>SCC-01 at 16 – 17.</w:t>
      </w:r>
    </w:p>
  </w:footnote>
  <w:footnote w:id="90">
    <w:p w14:paraId="2F55E432" w14:textId="7A00CE80" w:rsidR="00660251" w:rsidRDefault="00660251">
      <w:pPr>
        <w:pStyle w:val="FootnoteText"/>
      </w:pPr>
      <w:r>
        <w:rPr>
          <w:rStyle w:val="FootnoteReference"/>
        </w:rPr>
        <w:footnoteRef/>
      </w:r>
      <w:r>
        <w:t xml:space="preserve"> </w:t>
      </w:r>
      <w:r w:rsidR="00FB797D">
        <w:t xml:space="preserve">Exhibit </w:t>
      </w:r>
      <w:r>
        <w:t>SCE-</w:t>
      </w:r>
      <w:r w:rsidR="00CC62EB">
        <w:t xml:space="preserve">02E at </w:t>
      </w:r>
      <w:r w:rsidR="00C30790">
        <w:t>32.</w:t>
      </w:r>
    </w:p>
  </w:footnote>
  <w:footnote w:id="91">
    <w:p w14:paraId="2331A604" w14:textId="5981EDD9" w:rsidR="00826312" w:rsidRDefault="00826312" w:rsidP="00826312">
      <w:pPr>
        <w:pStyle w:val="FootnoteText"/>
      </w:pPr>
      <w:r>
        <w:rPr>
          <w:rStyle w:val="FootnoteReference"/>
        </w:rPr>
        <w:footnoteRef/>
      </w:r>
      <w:r>
        <w:t xml:space="preserve"> </w:t>
      </w:r>
      <w:r w:rsidR="00FB797D">
        <w:t xml:space="preserve">Exhibit </w:t>
      </w:r>
      <w:r>
        <w:t>S</w:t>
      </w:r>
      <w:r w:rsidR="00807DBB">
        <w:t>DG</w:t>
      </w:r>
      <w:r>
        <w:t>-03 at JCN-20 – JCN-2</w:t>
      </w:r>
      <w:r w:rsidR="00807DBB">
        <w:t>4</w:t>
      </w:r>
      <w:r>
        <w:t>.</w:t>
      </w:r>
    </w:p>
  </w:footnote>
  <w:footnote w:id="92">
    <w:p w14:paraId="0219A2F5" w14:textId="7788E148" w:rsidR="00D43816" w:rsidRDefault="00D43816">
      <w:pPr>
        <w:pStyle w:val="FootnoteText"/>
      </w:pPr>
      <w:r>
        <w:rPr>
          <w:rStyle w:val="FootnoteReference"/>
        </w:rPr>
        <w:footnoteRef/>
      </w:r>
      <w:r>
        <w:t xml:space="preserve"> </w:t>
      </w:r>
      <w:r w:rsidR="00FB797D">
        <w:t xml:space="preserve">Exhibit </w:t>
      </w:r>
      <w:r>
        <w:t>UCAN-01 at 9 – 10.</w:t>
      </w:r>
    </w:p>
  </w:footnote>
  <w:footnote w:id="93">
    <w:p w14:paraId="745EEC76" w14:textId="7C31CE63" w:rsidR="00FD2DE7" w:rsidRDefault="00FD2DE7">
      <w:pPr>
        <w:pStyle w:val="FootnoteText"/>
      </w:pPr>
      <w:r>
        <w:rPr>
          <w:rStyle w:val="FootnoteReference"/>
        </w:rPr>
        <w:footnoteRef/>
      </w:r>
      <w:r>
        <w:t xml:space="preserve"> </w:t>
      </w:r>
      <w:r w:rsidR="00FB797D">
        <w:t xml:space="preserve">Exhibit </w:t>
      </w:r>
      <w:r w:rsidR="0051575E">
        <w:t>WTF-01 at 42.</w:t>
      </w:r>
    </w:p>
  </w:footnote>
  <w:footnote w:id="94">
    <w:p w14:paraId="3E512594" w14:textId="3422583F" w:rsidR="009F166E" w:rsidRDefault="009F166E">
      <w:pPr>
        <w:pStyle w:val="FootnoteText"/>
      </w:pPr>
      <w:r>
        <w:rPr>
          <w:rStyle w:val="FootnoteReference"/>
        </w:rPr>
        <w:footnoteRef/>
      </w:r>
      <w:r>
        <w:t xml:space="preserve"> </w:t>
      </w:r>
      <w:r w:rsidR="00FB797D">
        <w:t xml:space="preserve">Exhibit </w:t>
      </w:r>
      <w:r>
        <w:t>CADV-02 at 24 – 25.</w:t>
      </w:r>
    </w:p>
  </w:footnote>
  <w:footnote w:id="95">
    <w:p w14:paraId="5133C8AA" w14:textId="684EB437" w:rsidR="008579D0" w:rsidRDefault="008579D0" w:rsidP="008579D0">
      <w:pPr>
        <w:pStyle w:val="FootnoteText"/>
      </w:pPr>
      <w:r>
        <w:rPr>
          <w:rStyle w:val="FootnoteReference"/>
        </w:rPr>
        <w:footnoteRef/>
      </w:r>
      <w:r>
        <w:t xml:space="preserve"> Exhibit EIT-01 at </w:t>
      </w:r>
      <w:r w:rsidR="0094768B">
        <w:t>153.</w:t>
      </w:r>
    </w:p>
  </w:footnote>
  <w:footnote w:id="96">
    <w:p w14:paraId="2C33B6DE" w14:textId="5D60BCC9" w:rsidR="00CF1114" w:rsidRPr="002A46CA" w:rsidRDefault="00CF1114">
      <w:pPr>
        <w:pStyle w:val="FootnoteText"/>
      </w:pPr>
      <w:r>
        <w:rPr>
          <w:rStyle w:val="FootnoteReference"/>
        </w:rPr>
        <w:footnoteRef/>
      </w:r>
      <w:r>
        <w:t xml:space="preserve"> </w:t>
      </w:r>
      <w:r>
        <w:rPr>
          <w:i/>
          <w:iCs/>
        </w:rPr>
        <w:t>Id.</w:t>
      </w:r>
      <w:r w:rsidR="002A46CA">
        <w:t xml:space="preserve"> at 155.</w:t>
      </w:r>
    </w:p>
  </w:footnote>
  <w:footnote w:id="97">
    <w:p w14:paraId="53D43BD5" w14:textId="58A8B677" w:rsidR="00353DA1" w:rsidRDefault="00353DA1">
      <w:pPr>
        <w:pStyle w:val="FootnoteText"/>
      </w:pPr>
      <w:r>
        <w:rPr>
          <w:rStyle w:val="FootnoteReference"/>
        </w:rPr>
        <w:footnoteRef/>
      </w:r>
      <w:r>
        <w:t xml:space="preserve"> </w:t>
      </w:r>
      <w:r w:rsidR="00D5325C">
        <w:t>Exhibit SC/PCF-01 at 80.</w:t>
      </w:r>
    </w:p>
  </w:footnote>
  <w:footnote w:id="98">
    <w:p w14:paraId="0AC036DE" w14:textId="09EABB91" w:rsidR="00B91B66" w:rsidRDefault="00B91B66">
      <w:pPr>
        <w:pStyle w:val="FootnoteText"/>
      </w:pPr>
      <w:r>
        <w:rPr>
          <w:rStyle w:val="FootnoteReference"/>
        </w:rPr>
        <w:footnoteRef/>
      </w:r>
      <w:r>
        <w:t xml:space="preserve"> </w:t>
      </w:r>
      <w:r w:rsidR="0069135F">
        <w:t>Exhibit PGE-03 at 2-17.</w:t>
      </w:r>
    </w:p>
  </w:footnote>
  <w:footnote w:id="99">
    <w:p w14:paraId="71545E70" w14:textId="3E19997D" w:rsidR="0069135F" w:rsidRDefault="0069135F">
      <w:pPr>
        <w:pStyle w:val="FootnoteText"/>
      </w:pPr>
      <w:r>
        <w:rPr>
          <w:rStyle w:val="FootnoteReference"/>
        </w:rPr>
        <w:footnoteRef/>
      </w:r>
      <w:r>
        <w:t xml:space="preserve"> </w:t>
      </w:r>
      <w:r w:rsidR="00D25EEC">
        <w:t>Exhibit SCG-06 at 12.</w:t>
      </w:r>
    </w:p>
  </w:footnote>
  <w:footnote w:id="100">
    <w:p w14:paraId="72EFBF9C" w14:textId="6D3D44E3" w:rsidR="00D25EEC" w:rsidRDefault="00D25EEC">
      <w:pPr>
        <w:pStyle w:val="FootnoteText"/>
      </w:pPr>
      <w:r>
        <w:rPr>
          <w:rStyle w:val="FootnoteReference"/>
        </w:rPr>
        <w:footnoteRef/>
      </w:r>
      <w:r>
        <w:t xml:space="preserve"> Exhibit SCE-07 at 62.</w:t>
      </w:r>
    </w:p>
  </w:footnote>
  <w:footnote w:id="101">
    <w:p w14:paraId="635DA099" w14:textId="5FBF8670" w:rsidR="009A33B3" w:rsidRDefault="009A33B3">
      <w:pPr>
        <w:pStyle w:val="FootnoteText"/>
      </w:pPr>
      <w:r>
        <w:rPr>
          <w:rStyle w:val="FootnoteReference"/>
        </w:rPr>
        <w:footnoteRef/>
      </w:r>
      <w:r>
        <w:t xml:space="preserve"> Exhibit SDG-06 at 12.</w:t>
      </w:r>
    </w:p>
  </w:footnote>
  <w:footnote w:id="102">
    <w:p w14:paraId="30359D3F" w14:textId="77777777" w:rsidR="0069560A" w:rsidRDefault="0069560A" w:rsidP="0069560A">
      <w:pPr>
        <w:pStyle w:val="FootnoteText"/>
      </w:pPr>
      <w:r>
        <w:rPr>
          <w:rStyle w:val="FootnoteReference"/>
        </w:rPr>
        <w:footnoteRef/>
      </w:r>
      <w:r>
        <w:t xml:space="preserve"> Exhibit CADV-02 at 72.</w:t>
      </w:r>
    </w:p>
  </w:footnote>
  <w:footnote w:id="103">
    <w:p w14:paraId="3BDF555C" w14:textId="082CA1A5" w:rsidR="00DD132C" w:rsidRDefault="00DD132C">
      <w:pPr>
        <w:pStyle w:val="FootnoteText"/>
      </w:pPr>
      <w:r>
        <w:rPr>
          <w:rStyle w:val="FootnoteReference"/>
        </w:rPr>
        <w:footnoteRef/>
      </w:r>
      <w:r>
        <w:t xml:space="preserve"> Exhibit EIT-01 at 98.</w:t>
      </w:r>
    </w:p>
  </w:footnote>
  <w:footnote w:id="104">
    <w:p w14:paraId="05461FF7" w14:textId="6C80E70A" w:rsidR="00DD132C" w:rsidRPr="00DD132C" w:rsidRDefault="00DD132C">
      <w:pPr>
        <w:pStyle w:val="FootnoteText"/>
      </w:pPr>
      <w:r>
        <w:rPr>
          <w:rStyle w:val="FootnoteReference"/>
        </w:rPr>
        <w:footnoteRef/>
      </w:r>
      <w:r>
        <w:t xml:space="preserve"> </w:t>
      </w:r>
      <w:r>
        <w:rPr>
          <w:i/>
          <w:iCs/>
        </w:rPr>
        <w:t xml:space="preserve">Id. </w:t>
      </w:r>
      <w:r>
        <w:t>at 286</w:t>
      </w:r>
      <w:r w:rsidR="00C055DD">
        <w:t>.</w:t>
      </w:r>
    </w:p>
  </w:footnote>
  <w:footnote w:id="105">
    <w:p w14:paraId="5267C5CA" w14:textId="119B1011" w:rsidR="00DD132C" w:rsidRPr="00DD132C" w:rsidRDefault="00DD132C">
      <w:pPr>
        <w:pStyle w:val="FootnoteText"/>
      </w:pPr>
      <w:r>
        <w:rPr>
          <w:rStyle w:val="FootnoteReference"/>
        </w:rPr>
        <w:footnoteRef/>
      </w:r>
      <w:r>
        <w:t xml:space="preserve"> </w:t>
      </w:r>
      <w:r>
        <w:rPr>
          <w:i/>
          <w:iCs/>
        </w:rPr>
        <w:t>Id.</w:t>
      </w:r>
      <w:r>
        <w:t xml:space="preserve"> at 161.</w:t>
      </w:r>
    </w:p>
  </w:footnote>
  <w:footnote w:id="106">
    <w:p w14:paraId="7251178D" w14:textId="06A469F1" w:rsidR="00DD132C" w:rsidRPr="00C055DD" w:rsidRDefault="00DD132C">
      <w:pPr>
        <w:pStyle w:val="FootnoteText"/>
      </w:pPr>
      <w:r>
        <w:rPr>
          <w:rStyle w:val="FootnoteReference"/>
        </w:rPr>
        <w:footnoteRef/>
      </w:r>
      <w:r>
        <w:t xml:space="preserve"> </w:t>
      </w:r>
      <w:r w:rsidR="00C055DD">
        <w:rPr>
          <w:i/>
          <w:iCs/>
        </w:rPr>
        <w:t>Id.</w:t>
      </w:r>
      <w:r w:rsidR="00C055DD">
        <w:t xml:space="preserve"> at 232.</w:t>
      </w:r>
    </w:p>
  </w:footnote>
  <w:footnote w:id="107">
    <w:p w14:paraId="47EF2963" w14:textId="3F5E023A" w:rsidR="00C055DD" w:rsidRDefault="00C055DD">
      <w:pPr>
        <w:pStyle w:val="FootnoteText"/>
      </w:pPr>
      <w:r>
        <w:rPr>
          <w:rStyle w:val="FootnoteReference"/>
        </w:rPr>
        <w:footnoteRef/>
      </w:r>
      <w:r>
        <w:t xml:space="preserve"> Exhibit UCAN-01 at 9.</w:t>
      </w:r>
    </w:p>
  </w:footnote>
  <w:footnote w:id="108">
    <w:p w14:paraId="55BD4E94" w14:textId="4E03EE35" w:rsidR="004A26C0" w:rsidRDefault="004A26C0">
      <w:pPr>
        <w:pStyle w:val="FootnoteText"/>
      </w:pPr>
      <w:r>
        <w:rPr>
          <w:rStyle w:val="FootnoteReference"/>
        </w:rPr>
        <w:footnoteRef/>
      </w:r>
      <w:r>
        <w:t xml:space="preserve"> Exhibit WTF-01 at 13 – 14.</w:t>
      </w:r>
    </w:p>
  </w:footnote>
  <w:footnote w:id="109">
    <w:p w14:paraId="07796241" w14:textId="5C0545BC" w:rsidR="00317C22" w:rsidRDefault="00317C22">
      <w:pPr>
        <w:pStyle w:val="FootnoteText"/>
      </w:pPr>
      <w:r>
        <w:rPr>
          <w:rStyle w:val="FootnoteReference"/>
        </w:rPr>
        <w:footnoteRef/>
      </w:r>
      <w:r>
        <w:t xml:space="preserve"> Exhibit SC/PCF-01 at 7.</w:t>
      </w:r>
    </w:p>
  </w:footnote>
  <w:footnote w:id="110">
    <w:p w14:paraId="5AA6E367" w14:textId="589D0958" w:rsidR="00892872" w:rsidRDefault="00892872">
      <w:pPr>
        <w:pStyle w:val="FootnoteText"/>
      </w:pPr>
      <w:r>
        <w:rPr>
          <w:rStyle w:val="FootnoteReference"/>
        </w:rPr>
        <w:footnoteRef/>
      </w:r>
      <w:r>
        <w:t xml:space="preserve"> Exhibit SBA-01 at 56.</w:t>
      </w:r>
    </w:p>
  </w:footnote>
  <w:footnote w:id="111">
    <w:p w14:paraId="7E0E2FA3" w14:textId="77777777" w:rsidR="00892872" w:rsidRDefault="00892872" w:rsidP="00892872">
      <w:pPr>
        <w:pStyle w:val="FootnoteText"/>
      </w:pPr>
      <w:r>
        <w:rPr>
          <w:rStyle w:val="FootnoteReference"/>
        </w:rPr>
        <w:footnoteRef/>
      </w:r>
      <w:r>
        <w:t xml:space="preserve"> Exhibit PGE-03 at 2-17.</w:t>
      </w:r>
    </w:p>
  </w:footnote>
  <w:footnote w:id="112">
    <w:p w14:paraId="07188D73" w14:textId="500CA556" w:rsidR="00892872" w:rsidRDefault="00892872">
      <w:pPr>
        <w:pStyle w:val="FootnoteText"/>
      </w:pPr>
      <w:r>
        <w:rPr>
          <w:rStyle w:val="FootnoteReference"/>
        </w:rPr>
        <w:footnoteRef/>
      </w:r>
      <w:r>
        <w:t xml:space="preserve"> </w:t>
      </w:r>
      <w:r w:rsidR="005C5426">
        <w:t>Exhibit SCG-06 at 12.</w:t>
      </w:r>
    </w:p>
  </w:footnote>
  <w:footnote w:id="113">
    <w:p w14:paraId="13862727" w14:textId="3B7A830F" w:rsidR="005C5426" w:rsidRDefault="005C5426">
      <w:pPr>
        <w:pStyle w:val="FootnoteText"/>
      </w:pPr>
      <w:r>
        <w:rPr>
          <w:rStyle w:val="FootnoteReference"/>
        </w:rPr>
        <w:footnoteRef/>
      </w:r>
      <w:r>
        <w:t xml:space="preserve"> Exhibit</w:t>
      </w:r>
      <w:r w:rsidR="00F60B7F">
        <w:t xml:space="preserve"> SCE-07 at 62.</w:t>
      </w:r>
    </w:p>
  </w:footnote>
  <w:footnote w:id="114">
    <w:p w14:paraId="4987A91F" w14:textId="166CA24D" w:rsidR="00222717" w:rsidRDefault="00222717">
      <w:pPr>
        <w:pStyle w:val="FootnoteText"/>
      </w:pPr>
      <w:r>
        <w:rPr>
          <w:rStyle w:val="FootnoteReference"/>
        </w:rPr>
        <w:footnoteRef/>
      </w:r>
      <w:r>
        <w:t xml:space="preserve"> Exhibit SDG-06 at 12.</w:t>
      </w:r>
    </w:p>
  </w:footnote>
  <w:footnote w:id="115">
    <w:p w14:paraId="11F27944" w14:textId="14824142" w:rsidR="00410DA7" w:rsidRDefault="00410DA7">
      <w:pPr>
        <w:pStyle w:val="FootnoteText"/>
      </w:pPr>
      <w:r>
        <w:rPr>
          <w:rStyle w:val="FootnoteReference"/>
        </w:rPr>
        <w:footnoteRef/>
      </w:r>
      <w:r>
        <w:t xml:space="preserve"> Exhibit EIT</w:t>
      </w:r>
      <w:r w:rsidR="00A8172E">
        <w:t>-01 at 91.</w:t>
      </w:r>
    </w:p>
  </w:footnote>
  <w:footnote w:id="116">
    <w:p w14:paraId="12D3773A" w14:textId="44476426" w:rsidR="00A8172E" w:rsidRPr="00A8172E" w:rsidRDefault="00A8172E">
      <w:pPr>
        <w:pStyle w:val="FootnoteText"/>
      </w:pPr>
      <w:r>
        <w:rPr>
          <w:rStyle w:val="FootnoteReference"/>
        </w:rPr>
        <w:footnoteRef/>
      </w:r>
      <w:r>
        <w:t xml:space="preserve"> </w:t>
      </w:r>
      <w:r>
        <w:rPr>
          <w:i/>
          <w:iCs/>
        </w:rPr>
        <w:t>Id.</w:t>
      </w:r>
      <w:r>
        <w:t xml:space="preserve"> at 280.</w:t>
      </w:r>
    </w:p>
  </w:footnote>
  <w:footnote w:id="117">
    <w:p w14:paraId="1C6305C4" w14:textId="0B278B84" w:rsidR="00A8172E" w:rsidRPr="00A8172E" w:rsidRDefault="00A8172E">
      <w:pPr>
        <w:pStyle w:val="FootnoteText"/>
      </w:pPr>
      <w:r>
        <w:rPr>
          <w:rStyle w:val="FootnoteReference"/>
        </w:rPr>
        <w:footnoteRef/>
      </w:r>
      <w:r>
        <w:t xml:space="preserve"> </w:t>
      </w:r>
      <w:r>
        <w:rPr>
          <w:i/>
          <w:iCs/>
        </w:rPr>
        <w:t>Id.</w:t>
      </w:r>
      <w:r>
        <w:t xml:space="preserve"> at </w:t>
      </w:r>
      <w:r w:rsidR="00621EB8">
        <w:t>153.</w:t>
      </w:r>
    </w:p>
  </w:footnote>
  <w:footnote w:id="118">
    <w:p w14:paraId="6F617071" w14:textId="458E9E6E" w:rsidR="00621EB8" w:rsidRPr="00621EB8" w:rsidRDefault="00621EB8">
      <w:pPr>
        <w:pStyle w:val="FootnoteText"/>
      </w:pPr>
      <w:r>
        <w:rPr>
          <w:rStyle w:val="FootnoteReference"/>
        </w:rPr>
        <w:footnoteRef/>
      </w:r>
      <w:r>
        <w:t xml:space="preserve"> </w:t>
      </w:r>
      <w:r>
        <w:rPr>
          <w:i/>
          <w:iCs/>
        </w:rPr>
        <w:t xml:space="preserve">Id. </w:t>
      </w:r>
      <w:r>
        <w:t>at 225.</w:t>
      </w:r>
    </w:p>
  </w:footnote>
  <w:footnote w:id="119">
    <w:p w14:paraId="6137546F" w14:textId="18C5C2A6" w:rsidR="002A057A" w:rsidRDefault="002A057A">
      <w:pPr>
        <w:pStyle w:val="FootnoteText"/>
      </w:pPr>
      <w:r>
        <w:rPr>
          <w:rStyle w:val="FootnoteReference"/>
        </w:rPr>
        <w:footnoteRef/>
      </w:r>
      <w:r>
        <w:t xml:space="preserve"> </w:t>
      </w:r>
      <w:r w:rsidR="00AA55E0">
        <w:t>Exhibit PGE-03 at 2-17.</w:t>
      </w:r>
    </w:p>
  </w:footnote>
  <w:footnote w:id="120">
    <w:p w14:paraId="3D701FD6" w14:textId="5E57CCC9" w:rsidR="00AA55E0" w:rsidRDefault="00AA55E0">
      <w:pPr>
        <w:pStyle w:val="FootnoteText"/>
      </w:pPr>
      <w:r>
        <w:rPr>
          <w:rStyle w:val="FootnoteReference"/>
        </w:rPr>
        <w:footnoteRef/>
      </w:r>
      <w:r>
        <w:t xml:space="preserve"> Exhibit SCG-06 at 12.</w:t>
      </w:r>
    </w:p>
  </w:footnote>
  <w:footnote w:id="121">
    <w:p w14:paraId="72AC5306" w14:textId="460326EB" w:rsidR="00AA55E0" w:rsidRDefault="00AA55E0">
      <w:pPr>
        <w:pStyle w:val="FootnoteText"/>
      </w:pPr>
      <w:r>
        <w:rPr>
          <w:rStyle w:val="FootnoteReference"/>
        </w:rPr>
        <w:footnoteRef/>
      </w:r>
      <w:r>
        <w:t xml:space="preserve"> </w:t>
      </w:r>
      <w:r w:rsidR="00D96B5D">
        <w:t>Exhibit SCE-07 at 62.</w:t>
      </w:r>
    </w:p>
  </w:footnote>
  <w:footnote w:id="122">
    <w:p w14:paraId="456C7735" w14:textId="1A150781" w:rsidR="00D96B5D" w:rsidRDefault="00D96B5D">
      <w:pPr>
        <w:pStyle w:val="FootnoteText"/>
      </w:pPr>
      <w:r>
        <w:rPr>
          <w:rStyle w:val="FootnoteReference"/>
        </w:rPr>
        <w:footnoteRef/>
      </w:r>
      <w:r>
        <w:t xml:space="preserve"> Exhibit SDG-06 at 12.</w:t>
      </w:r>
    </w:p>
  </w:footnote>
  <w:footnote w:id="123">
    <w:p w14:paraId="7399BD7A" w14:textId="66D91EEC" w:rsidR="00694696" w:rsidRDefault="00694696">
      <w:pPr>
        <w:pStyle w:val="FootnoteText"/>
      </w:pPr>
      <w:r>
        <w:rPr>
          <w:rStyle w:val="FootnoteReference"/>
        </w:rPr>
        <w:footnoteRef/>
      </w:r>
      <w:r>
        <w:t xml:space="preserve"> Exhibit CADV-02 at 72.</w:t>
      </w:r>
    </w:p>
  </w:footnote>
  <w:footnote w:id="124">
    <w:p w14:paraId="12B15398" w14:textId="3AC3EF06" w:rsidR="00694696" w:rsidRDefault="00694696">
      <w:pPr>
        <w:pStyle w:val="FootnoteText"/>
      </w:pPr>
      <w:r>
        <w:rPr>
          <w:rStyle w:val="FootnoteReference"/>
        </w:rPr>
        <w:footnoteRef/>
      </w:r>
      <w:r>
        <w:t xml:space="preserve"> Exhibit EIT-01 at 84.</w:t>
      </w:r>
    </w:p>
  </w:footnote>
  <w:footnote w:id="125">
    <w:p w14:paraId="145A8990" w14:textId="3C1E87F2" w:rsidR="00694696" w:rsidRPr="004C55A0" w:rsidRDefault="00694696">
      <w:pPr>
        <w:pStyle w:val="FootnoteText"/>
      </w:pPr>
      <w:r>
        <w:rPr>
          <w:rStyle w:val="FootnoteReference"/>
        </w:rPr>
        <w:footnoteRef/>
      </w:r>
      <w:r>
        <w:t xml:space="preserve"> </w:t>
      </w:r>
      <w:r w:rsidR="004C55A0">
        <w:rPr>
          <w:i/>
          <w:iCs/>
        </w:rPr>
        <w:t>Id.</w:t>
      </w:r>
      <w:r w:rsidR="004C55A0">
        <w:t xml:space="preserve"> at 273.</w:t>
      </w:r>
    </w:p>
  </w:footnote>
  <w:footnote w:id="126">
    <w:p w14:paraId="3E0ED8FB" w14:textId="51BF56E3" w:rsidR="004C55A0" w:rsidRPr="004C55A0" w:rsidRDefault="004C55A0">
      <w:pPr>
        <w:pStyle w:val="FootnoteText"/>
      </w:pPr>
      <w:r>
        <w:rPr>
          <w:rStyle w:val="FootnoteReference"/>
        </w:rPr>
        <w:footnoteRef/>
      </w:r>
      <w:r>
        <w:t xml:space="preserve"> </w:t>
      </w:r>
      <w:r>
        <w:rPr>
          <w:i/>
          <w:iCs/>
        </w:rPr>
        <w:t>Id.</w:t>
      </w:r>
      <w:r>
        <w:t xml:space="preserve"> at </w:t>
      </w:r>
      <w:r w:rsidR="00714323">
        <w:t>146.</w:t>
      </w:r>
    </w:p>
  </w:footnote>
  <w:footnote w:id="127">
    <w:p w14:paraId="0C920516" w14:textId="0F82F328" w:rsidR="00714323" w:rsidRPr="00714323" w:rsidRDefault="00714323">
      <w:pPr>
        <w:pStyle w:val="FootnoteText"/>
      </w:pPr>
      <w:r>
        <w:rPr>
          <w:rStyle w:val="FootnoteReference"/>
        </w:rPr>
        <w:footnoteRef/>
      </w:r>
      <w:r>
        <w:t xml:space="preserve"> </w:t>
      </w:r>
      <w:r>
        <w:rPr>
          <w:i/>
          <w:iCs/>
        </w:rPr>
        <w:t xml:space="preserve">Id. </w:t>
      </w:r>
      <w:r>
        <w:t>at 218.</w:t>
      </w:r>
    </w:p>
  </w:footnote>
  <w:footnote w:id="128">
    <w:p w14:paraId="5EC67B8B" w14:textId="347259A9" w:rsidR="00714323" w:rsidRDefault="00714323">
      <w:pPr>
        <w:pStyle w:val="FootnoteText"/>
      </w:pPr>
      <w:r>
        <w:rPr>
          <w:rStyle w:val="FootnoteReference"/>
        </w:rPr>
        <w:footnoteRef/>
      </w:r>
      <w:r>
        <w:t xml:space="preserve"> </w:t>
      </w:r>
      <w:r w:rsidR="008019CD">
        <w:t>Exhibit UCAN-01 at 9.</w:t>
      </w:r>
    </w:p>
  </w:footnote>
  <w:footnote w:id="129">
    <w:p w14:paraId="21393F54" w14:textId="223E7468" w:rsidR="008019CD" w:rsidRDefault="008019CD">
      <w:pPr>
        <w:pStyle w:val="FootnoteText"/>
      </w:pPr>
      <w:r>
        <w:rPr>
          <w:rStyle w:val="FootnoteReference"/>
        </w:rPr>
        <w:footnoteRef/>
      </w:r>
      <w:r>
        <w:t xml:space="preserve"> Exhibit WTF-01 at 13 – 14.</w:t>
      </w:r>
    </w:p>
  </w:footnote>
  <w:footnote w:id="130">
    <w:p w14:paraId="35E5605A" w14:textId="3F69C5BD" w:rsidR="008019CD" w:rsidRDefault="008019CD">
      <w:pPr>
        <w:pStyle w:val="FootnoteText"/>
      </w:pPr>
      <w:r>
        <w:rPr>
          <w:rStyle w:val="FootnoteReference"/>
        </w:rPr>
        <w:footnoteRef/>
      </w:r>
      <w:r>
        <w:t xml:space="preserve"> Exhibit SC/PCF</w:t>
      </w:r>
      <w:r w:rsidR="00BB1239">
        <w:t>-01 at 7.</w:t>
      </w:r>
    </w:p>
  </w:footnote>
  <w:footnote w:id="131">
    <w:p w14:paraId="733330FC" w14:textId="17A07903" w:rsidR="00BB1239" w:rsidRDefault="00BB1239">
      <w:pPr>
        <w:pStyle w:val="FootnoteText"/>
      </w:pPr>
      <w:r>
        <w:rPr>
          <w:rStyle w:val="FootnoteReference"/>
        </w:rPr>
        <w:footnoteRef/>
      </w:r>
      <w:r>
        <w:t xml:space="preserve"> Exhibit SBA-01 at 50.</w:t>
      </w:r>
    </w:p>
  </w:footnote>
  <w:footnote w:id="132">
    <w:p w14:paraId="15204F2A" w14:textId="69B73BEC" w:rsidR="00680540" w:rsidRDefault="00680540" w:rsidP="009075B8">
      <w:pPr>
        <w:pStyle w:val="FootnoteText"/>
      </w:pPr>
      <w:r>
        <w:rPr>
          <w:rStyle w:val="FootnoteReference"/>
        </w:rPr>
        <w:footnoteRef/>
      </w:r>
      <w:r>
        <w:t xml:space="preserve"> </w:t>
      </w:r>
      <w:r w:rsidR="009075B8">
        <w:t xml:space="preserve"> </w:t>
      </w:r>
      <w:r w:rsidR="009075B8" w:rsidRPr="009075B8">
        <w:rPr>
          <w:i/>
          <w:iCs/>
        </w:rPr>
        <w:t>See</w:t>
      </w:r>
      <w:r w:rsidR="009075B8">
        <w:t xml:space="preserve"> D.18-03-035: “By way of background, the ATWACC method was first brought before the</w:t>
      </w:r>
      <w:r w:rsidR="00D438EA">
        <w:t xml:space="preserve"> </w:t>
      </w:r>
      <w:r w:rsidR="009075B8">
        <w:t>Commission in an energy 1998 cost of capital proceeding and was represented in several</w:t>
      </w:r>
      <w:r w:rsidR="00D438EA">
        <w:t xml:space="preserve"> </w:t>
      </w:r>
      <w:r w:rsidR="009075B8">
        <w:t>subsequent energy cost of capital proceedings. Each time the ATWACC method was presented</w:t>
      </w:r>
      <w:r w:rsidR="00D438EA">
        <w:t xml:space="preserve"> </w:t>
      </w:r>
      <w:r w:rsidR="009075B8">
        <w:t>to the Commission, the Commission declined to adopt it.” See also D.04-12-014; D.09-05-019.</w:t>
      </w:r>
    </w:p>
  </w:footnote>
  <w:footnote w:id="133">
    <w:p w14:paraId="0C31D2E3" w14:textId="1A66C219" w:rsidR="001E6ED6" w:rsidRDefault="001E6ED6">
      <w:pPr>
        <w:pStyle w:val="FootnoteText"/>
      </w:pPr>
      <w:r>
        <w:rPr>
          <w:rStyle w:val="FootnoteReference"/>
        </w:rPr>
        <w:footnoteRef/>
      </w:r>
      <w:r>
        <w:t xml:space="preserve"> </w:t>
      </w:r>
      <w:r w:rsidR="00720D57">
        <w:t>PCF Opening Brief</w:t>
      </w:r>
      <w:r w:rsidR="00B15365">
        <w:t xml:space="preserve"> at 32, Sierra Club Opening Brief at </w:t>
      </w:r>
      <w:r w:rsidR="00A22298">
        <w:t>32</w:t>
      </w:r>
      <w:r w:rsidR="002D4A29">
        <w:t>.</w:t>
      </w:r>
    </w:p>
  </w:footnote>
  <w:footnote w:id="134">
    <w:p w14:paraId="7EFDA9AE" w14:textId="53C59ED1" w:rsidR="001F3223" w:rsidRDefault="001F3223">
      <w:pPr>
        <w:pStyle w:val="FootnoteText"/>
      </w:pPr>
      <w:r>
        <w:rPr>
          <w:rStyle w:val="FootnoteReference"/>
        </w:rPr>
        <w:footnoteRef/>
      </w:r>
      <w:r>
        <w:t xml:space="preserve"> W</w:t>
      </w:r>
      <w:r w:rsidR="00765B52">
        <w:t>ild Tree</w:t>
      </w:r>
      <w:r>
        <w:t xml:space="preserve"> Opening Brief</w:t>
      </w:r>
      <w:r w:rsidR="00D01315">
        <w:t xml:space="preserve"> at 30.</w:t>
      </w:r>
    </w:p>
  </w:footnote>
  <w:footnote w:id="135">
    <w:p w14:paraId="59743A6D" w14:textId="3D1A8AB0" w:rsidR="001D58E2" w:rsidRDefault="001D58E2">
      <w:pPr>
        <w:pStyle w:val="FootnoteText"/>
      </w:pPr>
      <w:r>
        <w:rPr>
          <w:rStyle w:val="FootnoteReference"/>
        </w:rPr>
        <w:footnoteRef/>
      </w:r>
      <w:r>
        <w:t xml:space="preserve"> PG&amp;E Opening Brief at 54.</w:t>
      </w:r>
    </w:p>
  </w:footnote>
  <w:footnote w:id="136">
    <w:p w14:paraId="17097D0B" w14:textId="2FDA264C" w:rsidR="0037739F" w:rsidRDefault="0037739F">
      <w:pPr>
        <w:pStyle w:val="FootnoteText"/>
      </w:pPr>
      <w:r>
        <w:rPr>
          <w:rStyle w:val="FootnoteReference"/>
        </w:rPr>
        <w:footnoteRef/>
      </w:r>
      <w:r>
        <w:t xml:space="preserve"> </w:t>
      </w:r>
      <w:r w:rsidR="006B21A6">
        <w:t>Exhibit SBA</w:t>
      </w:r>
      <w:r w:rsidR="00865053">
        <w:t>-01 at 54.</w:t>
      </w:r>
    </w:p>
  </w:footnote>
  <w:footnote w:id="137">
    <w:p w14:paraId="01EF4487" w14:textId="6BDDB608" w:rsidR="009B5077" w:rsidRDefault="009B5077" w:rsidP="009B5077">
      <w:pPr>
        <w:pStyle w:val="FootnoteText"/>
      </w:pPr>
      <w:r>
        <w:rPr>
          <w:rStyle w:val="FootnoteReference"/>
        </w:rPr>
        <w:footnoteRef/>
      </w:r>
      <w:r>
        <w:t xml:space="preserve"> Exhibit </w:t>
      </w:r>
      <w:r w:rsidRPr="004B6A1E">
        <w:t>CADV-02</w:t>
      </w:r>
      <w:r>
        <w:t xml:space="preserve"> at </w:t>
      </w:r>
      <w:r w:rsidR="006D74CC">
        <w:t>76 – 83</w:t>
      </w:r>
      <w:r>
        <w:t>.</w:t>
      </w:r>
    </w:p>
  </w:footnote>
  <w:footnote w:id="138">
    <w:p w14:paraId="00BDC379" w14:textId="304EC37B" w:rsidR="00EA370C" w:rsidRDefault="00EA370C">
      <w:pPr>
        <w:pStyle w:val="FootnoteText"/>
      </w:pPr>
      <w:r>
        <w:rPr>
          <w:rStyle w:val="FootnoteReference"/>
        </w:rPr>
        <w:footnoteRef/>
      </w:r>
      <w:r>
        <w:t xml:space="preserve"> </w:t>
      </w:r>
      <w:r w:rsidR="003E5411">
        <w:t xml:space="preserve">Exhibit </w:t>
      </w:r>
      <w:r w:rsidR="003E5411" w:rsidRPr="003E5411">
        <w:t>EIT-01</w:t>
      </w:r>
      <w:r w:rsidR="003E5411">
        <w:t xml:space="preserve"> at 103, </w:t>
      </w:r>
      <w:r w:rsidR="00C872F1">
        <w:t>236, 290.</w:t>
      </w:r>
    </w:p>
  </w:footnote>
  <w:footnote w:id="139">
    <w:p w14:paraId="17BB629A" w14:textId="77777777" w:rsidR="001F0057" w:rsidRDefault="001F0057">
      <w:pPr>
        <w:pStyle w:val="FootnoteText"/>
      </w:pPr>
      <w:r>
        <w:rPr>
          <w:rStyle w:val="FootnoteReference"/>
        </w:rPr>
        <w:footnoteRef/>
      </w:r>
      <w:r>
        <w:t xml:space="preserve"> Exhibit WTF-01 at </w:t>
      </w:r>
      <w:r w:rsidR="002A36C3">
        <w:t>86</w:t>
      </w:r>
      <w:r w:rsidR="001D102C">
        <w:t>.</w:t>
      </w:r>
    </w:p>
  </w:footnote>
  <w:footnote w:id="140">
    <w:p w14:paraId="4E5764E0" w14:textId="15A5F49E" w:rsidR="001D102C" w:rsidRDefault="001D102C">
      <w:pPr>
        <w:pStyle w:val="FootnoteText"/>
      </w:pPr>
      <w:r>
        <w:rPr>
          <w:rStyle w:val="FootnoteReference"/>
        </w:rPr>
        <w:footnoteRef/>
      </w:r>
      <w:r w:rsidR="00BA49D7">
        <w:t xml:space="preserve"> </w:t>
      </w:r>
      <w:r w:rsidR="00790BE9">
        <w:t>Exhibit SC/PCF at 76.</w:t>
      </w:r>
    </w:p>
  </w:footnote>
  <w:footnote w:id="141">
    <w:p w14:paraId="2DE14CB8" w14:textId="54B8B194" w:rsidR="00E833E9" w:rsidRDefault="00E833E9" w:rsidP="00E833E9">
      <w:pPr>
        <w:pStyle w:val="FootnoteText"/>
      </w:pPr>
      <w:r>
        <w:rPr>
          <w:rStyle w:val="FootnoteReference"/>
        </w:rPr>
        <w:footnoteRef/>
      </w:r>
      <w:r>
        <w:t xml:space="preserve"> </w:t>
      </w:r>
      <w:r w:rsidR="006D74CC">
        <w:rPr>
          <w:i/>
          <w:iCs/>
        </w:rPr>
        <w:t xml:space="preserve">Id. </w:t>
      </w:r>
      <w:r w:rsidR="006D74CC">
        <w:t>at</w:t>
      </w:r>
      <w:r>
        <w:t xml:space="preserve"> 80.</w:t>
      </w:r>
    </w:p>
  </w:footnote>
  <w:footnote w:id="142">
    <w:p w14:paraId="3748F5E0" w14:textId="654C7217" w:rsidR="00E833E9" w:rsidRDefault="00E833E9" w:rsidP="00E833E9">
      <w:pPr>
        <w:pStyle w:val="FootnoteText"/>
      </w:pPr>
      <w:r>
        <w:rPr>
          <w:rStyle w:val="FootnoteReference"/>
        </w:rPr>
        <w:footnoteRef/>
      </w:r>
      <w:r>
        <w:t xml:space="preserve"> </w:t>
      </w:r>
      <w:r w:rsidRPr="002A0204">
        <w:t>D.12-12-034 at 25</w:t>
      </w:r>
      <w:r>
        <w:t>,</w:t>
      </w:r>
      <w:r w:rsidRPr="002A0204">
        <w:t xml:space="preserve"> citing D.99-06-057: “We are not persuaded that ECAPM produces a result that should be considered. Electric utilities in general have low betas. Adjusting betas upward guarantees a higher ROE. “ 1 CPUC3d (1999) 146 at 168-169.  </w:t>
      </w:r>
    </w:p>
  </w:footnote>
  <w:footnote w:id="143">
    <w:p w14:paraId="018E911F" w14:textId="1E841A79" w:rsidR="00023011" w:rsidRDefault="00023011">
      <w:pPr>
        <w:pStyle w:val="FootnoteText"/>
      </w:pPr>
      <w:r>
        <w:rPr>
          <w:rStyle w:val="FootnoteReference"/>
        </w:rPr>
        <w:footnoteRef/>
      </w:r>
      <w:r>
        <w:t xml:space="preserve"> Exhibit SC/</w:t>
      </w:r>
      <w:r w:rsidR="00F67690">
        <w:t>PCF</w:t>
      </w:r>
      <w:r w:rsidR="0037525F">
        <w:t xml:space="preserve"> at </w:t>
      </w:r>
      <w:r w:rsidR="0067764D">
        <w:t>72 – 74.</w:t>
      </w:r>
    </w:p>
  </w:footnote>
  <w:footnote w:id="144">
    <w:p w14:paraId="20756C4B" w14:textId="1B0EC20D" w:rsidR="006B1955" w:rsidRDefault="006B1955">
      <w:pPr>
        <w:pStyle w:val="FootnoteText"/>
      </w:pPr>
      <w:r>
        <w:rPr>
          <w:rStyle w:val="FootnoteReference"/>
        </w:rPr>
        <w:footnoteRef/>
      </w:r>
      <w:r>
        <w:t xml:space="preserve"> Exhibit </w:t>
      </w:r>
      <w:r w:rsidR="00E970B4">
        <w:t>CADV</w:t>
      </w:r>
      <w:r>
        <w:t xml:space="preserve">-01 at </w:t>
      </w:r>
      <w:r w:rsidR="00E970B4">
        <w:t xml:space="preserve">60 </w:t>
      </w:r>
      <w:r w:rsidR="0067764D">
        <w:t>–</w:t>
      </w:r>
      <w:r w:rsidR="00E970B4">
        <w:t xml:space="preserve"> 61</w:t>
      </w:r>
      <w:r w:rsidR="00AB10F9">
        <w:t xml:space="preserve">, Exhibit </w:t>
      </w:r>
      <w:r w:rsidR="0067764D">
        <w:t>EIT</w:t>
      </w:r>
      <w:r w:rsidR="00563BA8">
        <w:t>-01</w:t>
      </w:r>
      <w:r w:rsidR="003D6BB4">
        <w:t xml:space="preserve"> at</w:t>
      </w:r>
      <w:r w:rsidR="00E13CE0">
        <w:t xml:space="preserve"> </w:t>
      </w:r>
      <w:r w:rsidR="00876D22">
        <w:t>94 – 95</w:t>
      </w:r>
      <w:r w:rsidR="00E13CE0">
        <w:t>.</w:t>
      </w:r>
    </w:p>
  </w:footnote>
  <w:footnote w:id="145">
    <w:p w14:paraId="4C123A5C" w14:textId="1820D52F" w:rsidR="00F75A22" w:rsidRDefault="00F75A22">
      <w:pPr>
        <w:pStyle w:val="FootnoteText"/>
      </w:pPr>
      <w:r>
        <w:rPr>
          <w:rStyle w:val="FootnoteReference"/>
        </w:rPr>
        <w:footnoteRef/>
      </w:r>
      <w:r>
        <w:t xml:space="preserve"> </w:t>
      </w:r>
      <w:r w:rsidR="00F67690">
        <w:t>Exhibit SC/PCF-01 at 73</w:t>
      </w:r>
      <w:r w:rsidR="00C60AD5">
        <w:t>.</w:t>
      </w:r>
    </w:p>
  </w:footnote>
  <w:footnote w:id="146">
    <w:p w14:paraId="26490A73" w14:textId="77777777" w:rsidR="00F02599" w:rsidRDefault="00F02599" w:rsidP="00F02599">
      <w:pPr>
        <w:pStyle w:val="FootnoteText"/>
      </w:pPr>
      <w:r>
        <w:rPr>
          <w:rStyle w:val="FootnoteReference"/>
        </w:rPr>
        <w:footnoteRef/>
      </w:r>
      <w:r>
        <w:t xml:space="preserve"> </w:t>
      </w:r>
      <w:r w:rsidRPr="00F17024">
        <w:t xml:space="preserve">Exhibit </w:t>
      </w:r>
      <w:r>
        <w:t>UCAN-01 at 20.</w:t>
      </w:r>
    </w:p>
  </w:footnote>
  <w:footnote w:id="147">
    <w:p w14:paraId="5B22B60B" w14:textId="5DEB9003" w:rsidR="00F02599" w:rsidRDefault="00F02599" w:rsidP="00F02599">
      <w:pPr>
        <w:pStyle w:val="FootnoteText"/>
      </w:pPr>
      <w:r>
        <w:rPr>
          <w:rStyle w:val="FootnoteReference"/>
        </w:rPr>
        <w:footnoteRef/>
      </w:r>
      <w:r>
        <w:t xml:space="preserve"> Exhibit WTF-01 at </w:t>
      </w:r>
      <w:r w:rsidR="0067764D">
        <w:t>90 – 91</w:t>
      </w:r>
      <w:r>
        <w:t>.</w:t>
      </w:r>
    </w:p>
  </w:footnote>
  <w:footnote w:id="148">
    <w:p w14:paraId="5DAE9CC9" w14:textId="77777777" w:rsidR="00F02599" w:rsidRDefault="00F02599" w:rsidP="00F02599">
      <w:pPr>
        <w:pStyle w:val="FootnoteText"/>
      </w:pPr>
      <w:r>
        <w:rPr>
          <w:rStyle w:val="FootnoteReference"/>
        </w:rPr>
        <w:footnoteRef/>
      </w:r>
      <w:r>
        <w:t xml:space="preserve"> Exhibit </w:t>
      </w:r>
      <w:r w:rsidRPr="004B6A1E">
        <w:t>CADV-02</w:t>
      </w:r>
      <w:r>
        <w:t xml:space="preserve"> at 114.</w:t>
      </w:r>
    </w:p>
  </w:footnote>
  <w:footnote w:id="149">
    <w:p w14:paraId="0EC1AE3A" w14:textId="77777777" w:rsidR="00F02599" w:rsidRDefault="00F02599" w:rsidP="00F02599">
      <w:pPr>
        <w:pStyle w:val="FootnoteText"/>
      </w:pPr>
      <w:r>
        <w:rPr>
          <w:rStyle w:val="FootnoteReference"/>
        </w:rPr>
        <w:footnoteRef/>
      </w:r>
      <w:r>
        <w:t xml:space="preserve"> </w:t>
      </w:r>
      <w:r w:rsidRPr="00F17024">
        <w:t>Exhibit SC/PCF-01</w:t>
      </w:r>
      <w:r>
        <w:t xml:space="preserve"> at 35.</w:t>
      </w:r>
    </w:p>
  </w:footnote>
  <w:footnote w:id="150">
    <w:p w14:paraId="3ED2CAC5" w14:textId="750D814B" w:rsidR="00DA35CA" w:rsidRDefault="00DA35CA">
      <w:pPr>
        <w:pStyle w:val="FootnoteText"/>
      </w:pPr>
      <w:r>
        <w:rPr>
          <w:rStyle w:val="FootnoteReference"/>
        </w:rPr>
        <w:footnoteRef/>
      </w:r>
      <w:r>
        <w:t xml:space="preserve"> </w:t>
      </w:r>
      <w:r w:rsidR="00334DF4">
        <w:t>PCF Opening Brief</w:t>
      </w:r>
      <w:r w:rsidR="005E5FE2">
        <w:t xml:space="preserve"> </w:t>
      </w:r>
      <w:r w:rsidR="00152F0C">
        <w:t>at 30,</w:t>
      </w:r>
      <w:r w:rsidR="00334DF4">
        <w:t xml:space="preserve"> citing FERC Opinion No. 569, p. 61796.</w:t>
      </w:r>
    </w:p>
  </w:footnote>
  <w:footnote w:id="151">
    <w:p w14:paraId="2FDC1D73" w14:textId="41BB2ED8" w:rsidR="00C57256" w:rsidRPr="00B21BBE" w:rsidRDefault="00C57256">
      <w:pPr>
        <w:pStyle w:val="FootnoteText"/>
      </w:pPr>
      <w:r>
        <w:rPr>
          <w:rStyle w:val="FootnoteReference"/>
        </w:rPr>
        <w:footnoteRef/>
      </w:r>
      <w:r>
        <w:t xml:space="preserve"> </w:t>
      </w:r>
      <w:r w:rsidR="00B21BBE">
        <w:rPr>
          <w:i/>
          <w:iCs/>
        </w:rPr>
        <w:t>Id.</w:t>
      </w:r>
      <w:r w:rsidR="00B21BBE">
        <w:t xml:space="preserve"> at 31.</w:t>
      </w:r>
    </w:p>
  </w:footnote>
  <w:footnote w:id="152">
    <w:p w14:paraId="1578177A" w14:textId="60D89773" w:rsidR="004F1D83" w:rsidRDefault="004F1D83">
      <w:pPr>
        <w:pStyle w:val="FootnoteText"/>
      </w:pPr>
      <w:r>
        <w:rPr>
          <w:rStyle w:val="FootnoteReference"/>
        </w:rPr>
        <w:footnoteRef/>
      </w:r>
      <w:r>
        <w:t xml:space="preserve"> Exhibit WTF-01 at </w:t>
      </w:r>
      <w:r w:rsidR="000C1C4C">
        <w:t>92</w:t>
      </w:r>
      <w:r w:rsidR="00E970B4">
        <w:t>.</w:t>
      </w:r>
    </w:p>
  </w:footnote>
  <w:footnote w:id="153">
    <w:p w14:paraId="1676C883" w14:textId="4BB1C286" w:rsidR="00C061BF" w:rsidRDefault="00C061BF">
      <w:pPr>
        <w:pStyle w:val="FootnoteText"/>
      </w:pPr>
      <w:r>
        <w:rPr>
          <w:rStyle w:val="FootnoteReference"/>
        </w:rPr>
        <w:footnoteRef/>
      </w:r>
      <w:r>
        <w:t xml:space="preserve"> Exhibit SDG-03 at 53.</w:t>
      </w:r>
    </w:p>
  </w:footnote>
  <w:footnote w:id="154">
    <w:p w14:paraId="5EA73FBC" w14:textId="22672240" w:rsidR="00740CB4" w:rsidRDefault="00740CB4">
      <w:pPr>
        <w:pStyle w:val="FootnoteText"/>
      </w:pPr>
      <w:r>
        <w:rPr>
          <w:rStyle w:val="FootnoteReference"/>
        </w:rPr>
        <w:footnoteRef/>
      </w:r>
      <w:r>
        <w:t xml:space="preserve"> </w:t>
      </w:r>
      <w:r w:rsidR="000C46F6">
        <w:t>SoCalGas Opening Brief at 10.</w:t>
      </w:r>
    </w:p>
  </w:footnote>
  <w:footnote w:id="155">
    <w:p w14:paraId="3D94BCBE" w14:textId="26899269" w:rsidR="008C0FE8" w:rsidRDefault="008C0FE8" w:rsidP="008C0FE8">
      <w:pPr>
        <w:pStyle w:val="FootnoteText"/>
      </w:pPr>
      <w:r>
        <w:rPr>
          <w:rStyle w:val="FootnoteReference"/>
        </w:rPr>
        <w:footnoteRef/>
      </w:r>
      <w:r>
        <w:t xml:space="preserve"> SoCalGas Opening Brief at </w:t>
      </w:r>
      <w:r w:rsidR="00E970B4">
        <w:t>10 – 11</w:t>
      </w:r>
      <w:r>
        <w:t>.</w:t>
      </w:r>
    </w:p>
  </w:footnote>
  <w:footnote w:id="156">
    <w:p w14:paraId="19C5602E" w14:textId="255589B9" w:rsidR="0021481E" w:rsidRDefault="0021481E" w:rsidP="0021481E">
      <w:pPr>
        <w:pStyle w:val="FootnoteText"/>
      </w:pPr>
      <w:r>
        <w:rPr>
          <w:rStyle w:val="FootnoteReference"/>
        </w:rPr>
        <w:footnoteRef/>
      </w:r>
      <w:r>
        <w:t xml:space="preserve"> </w:t>
      </w:r>
      <w:r w:rsidR="00167824">
        <w:t>SoCalGas Opening Brief at 52</w:t>
      </w:r>
      <w:r>
        <w:t>.</w:t>
      </w:r>
    </w:p>
  </w:footnote>
  <w:footnote w:id="157">
    <w:p w14:paraId="6A974B2E" w14:textId="77777777" w:rsidR="00552D65" w:rsidRDefault="00552D65" w:rsidP="00552D65">
      <w:pPr>
        <w:pStyle w:val="FootnoteText"/>
      </w:pPr>
      <w:r>
        <w:rPr>
          <w:rStyle w:val="FootnoteReference"/>
        </w:rPr>
        <w:footnoteRef/>
      </w:r>
      <w:r>
        <w:t xml:space="preserve"> TURN Opening Brief at 8.</w:t>
      </w:r>
    </w:p>
  </w:footnote>
  <w:footnote w:id="158">
    <w:p w14:paraId="05600530" w14:textId="48230BD3" w:rsidR="001914D7" w:rsidRDefault="001914D7">
      <w:pPr>
        <w:pStyle w:val="FootnoteText"/>
      </w:pPr>
      <w:r>
        <w:rPr>
          <w:rStyle w:val="FootnoteReference"/>
        </w:rPr>
        <w:footnoteRef/>
      </w:r>
      <w:r>
        <w:t xml:space="preserve"> Application </w:t>
      </w:r>
      <w:r w:rsidR="00E970B4">
        <w:t>25-03-013</w:t>
      </w:r>
      <w:r w:rsidR="007553EA">
        <w:t xml:space="preserve"> at 9.</w:t>
      </w:r>
    </w:p>
  </w:footnote>
  <w:footnote w:id="159">
    <w:p w14:paraId="7F737A2C" w14:textId="262736B2" w:rsidR="00D6785A" w:rsidRDefault="00D6785A" w:rsidP="00D6785A">
      <w:pPr>
        <w:pStyle w:val="FootnoteText"/>
      </w:pPr>
      <w:r>
        <w:rPr>
          <w:rStyle w:val="FootnoteReference"/>
        </w:rPr>
        <w:footnoteRef/>
      </w:r>
      <w:r>
        <w:t xml:space="preserve"> SDG&amp;E </w:t>
      </w:r>
      <w:r w:rsidR="00E970B4">
        <w:t>Opening Brief</w:t>
      </w:r>
      <w:r>
        <w:t xml:space="preserve"> at </w:t>
      </w:r>
      <w:r w:rsidR="00E970B4">
        <w:t>18 – 19</w:t>
      </w:r>
      <w:r>
        <w:t>.</w:t>
      </w:r>
    </w:p>
  </w:footnote>
  <w:footnote w:id="160">
    <w:p w14:paraId="4C2A0B8E" w14:textId="5AD9B824" w:rsidR="008F7FE4" w:rsidRDefault="008F7FE4" w:rsidP="008F7FE4">
      <w:pPr>
        <w:pStyle w:val="FootnoteText"/>
      </w:pPr>
      <w:r>
        <w:rPr>
          <w:rStyle w:val="FootnoteReference"/>
        </w:rPr>
        <w:footnoteRef/>
      </w:r>
      <w:r>
        <w:t xml:space="preserve"> </w:t>
      </w:r>
      <w:r w:rsidR="00E970B4">
        <w:rPr>
          <w:i/>
          <w:iCs/>
        </w:rPr>
        <w:t xml:space="preserve">Id. </w:t>
      </w:r>
      <w:r>
        <w:t>at 20.</w:t>
      </w:r>
    </w:p>
  </w:footnote>
  <w:footnote w:id="161">
    <w:p w14:paraId="040A26CC" w14:textId="79386AE0" w:rsidR="008F7FE4" w:rsidRDefault="008F7FE4" w:rsidP="008F7FE4">
      <w:pPr>
        <w:pStyle w:val="FootnoteText"/>
      </w:pPr>
      <w:r>
        <w:rPr>
          <w:rStyle w:val="FootnoteReference"/>
        </w:rPr>
        <w:footnoteRef/>
      </w:r>
      <w:r>
        <w:t xml:space="preserve"> </w:t>
      </w:r>
      <w:r w:rsidR="00E970B4">
        <w:rPr>
          <w:i/>
          <w:iCs/>
        </w:rPr>
        <w:t>Id.</w:t>
      </w:r>
      <w:r>
        <w:t xml:space="preserve"> at 25.</w:t>
      </w:r>
    </w:p>
  </w:footnote>
  <w:footnote w:id="162">
    <w:p w14:paraId="147F1C48" w14:textId="2A4673AE" w:rsidR="008F7FE4" w:rsidRDefault="008F7FE4" w:rsidP="008F7FE4">
      <w:pPr>
        <w:pStyle w:val="FootnoteText"/>
      </w:pPr>
      <w:r>
        <w:rPr>
          <w:rStyle w:val="FootnoteReference"/>
        </w:rPr>
        <w:footnoteRef/>
      </w:r>
      <w:r>
        <w:t xml:space="preserve"> </w:t>
      </w:r>
      <w:r w:rsidR="00E970B4">
        <w:rPr>
          <w:i/>
          <w:iCs/>
        </w:rPr>
        <w:t xml:space="preserve">Id. </w:t>
      </w:r>
      <w:r>
        <w:t>at 27.</w:t>
      </w:r>
    </w:p>
  </w:footnote>
  <w:footnote w:id="163">
    <w:p w14:paraId="68273CDF" w14:textId="5445C8F9" w:rsidR="006A2518" w:rsidRDefault="006A2518" w:rsidP="006A2518">
      <w:pPr>
        <w:pStyle w:val="FootnoteText"/>
      </w:pPr>
      <w:r>
        <w:rPr>
          <w:rStyle w:val="FootnoteReference"/>
        </w:rPr>
        <w:footnoteRef/>
      </w:r>
      <w:r>
        <w:t xml:space="preserve"> SoCalGas Opening Brief at </w:t>
      </w:r>
      <w:r w:rsidR="001D1F22">
        <w:t>44 – 45</w:t>
      </w:r>
      <w:r w:rsidR="00E970B4">
        <w:t>.</w:t>
      </w:r>
      <w:r w:rsidR="001D1F22">
        <w:t xml:space="preserve"> </w:t>
      </w:r>
    </w:p>
  </w:footnote>
  <w:footnote w:id="164">
    <w:p w14:paraId="3982B30E" w14:textId="77777777" w:rsidR="009E4044" w:rsidRDefault="009E4044" w:rsidP="009E4044">
      <w:pPr>
        <w:pStyle w:val="FootnoteText"/>
      </w:pPr>
      <w:r>
        <w:rPr>
          <w:rStyle w:val="FootnoteReference"/>
        </w:rPr>
        <w:footnoteRef/>
      </w:r>
      <w:r>
        <w:t xml:space="preserve"> TURN Opening Brief at 9.</w:t>
      </w:r>
    </w:p>
  </w:footnote>
  <w:footnote w:id="165">
    <w:p w14:paraId="7250F4B5" w14:textId="67E58A19" w:rsidR="009C661E" w:rsidRDefault="009C661E">
      <w:pPr>
        <w:pStyle w:val="FootnoteText"/>
      </w:pPr>
      <w:r>
        <w:rPr>
          <w:rStyle w:val="FootnoteReference"/>
        </w:rPr>
        <w:footnoteRef/>
      </w:r>
      <w:r>
        <w:t xml:space="preserve"> Exhi</w:t>
      </w:r>
      <w:r w:rsidR="00734E89">
        <w:t xml:space="preserve">bit SBA-01 at </w:t>
      </w:r>
      <w:r w:rsidR="001D1F22">
        <w:t>33 – 34</w:t>
      </w:r>
      <w:r w:rsidR="00734E89">
        <w:t>.</w:t>
      </w:r>
    </w:p>
  </w:footnote>
  <w:footnote w:id="166">
    <w:p w14:paraId="42E87F35" w14:textId="27EF141F" w:rsidR="00E30410" w:rsidRDefault="00E30410">
      <w:pPr>
        <w:pStyle w:val="FootnoteText"/>
      </w:pPr>
      <w:r>
        <w:rPr>
          <w:rStyle w:val="FootnoteReference"/>
        </w:rPr>
        <w:footnoteRef/>
      </w:r>
      <w:r>
        <w:t xml:space="preserve"> Exhibit EDF-01</w:t>
      </w:r>
      <w:r w:rsidR="00CF5C55">
        <w:t xml:space="preserve"> at 64.</w:t>
      </w:r>
    </w:p>
  </w:footnote>
  <w:footnote w:id="167">
    <w:p w14:paraId="4BA5023A" w14:textId="2E83B588" w:rsidR="00CF7CE7" w:rsidRDefault="00CF7CE7">
      <w:pPr>
        <w:pStyle w:val="FootnoteText"/>
      </w:pPr>
      <w:r>
        <w:rPr>
          <w:rStyle w:val="FootnoteReference"/>
        </w:rPr>
        <w:footnoteRef/>
      </w:r>
      <w:r>
        <w:t xml:space="preserve"> </w:t>
      </w:r>
      <w:r w:rsidR="00C64F8A">
        <w:t>SDCP</w:t>
      </w:r>
      <w:r w:rsidR="001D1F22">
        <w:t>/</w:t>
      </w:r>
      <w:r w:rsidR="00C64F8A">
        <w:t xml:space="preserve">CEA </w:t>
      </w:r>
      <w:r w:rsidR="001D1F22">
        <w:t>R</w:t>
      </w:r>
      <w:r w:rsidR="00C64F8A">
        <w:t xml:space="preserve">eply </w:t>
      </w:r>
      <w:r w:rsidR="001D1F22">
        <w:t>B</w:t>
      </w:r>
      <w:r w:rsidR="00C64F8A">
        <w:t>rief at 3</w:t>
      </w:r>
      <w:r w:rsidR="000A5BB6">
        <w:t>.</w:t>
      </w:r>
    </w:p>
  </w:footnote>
  <w:footnote w:id="168">
    <w:p w14:paraId="10D13A03" w14:textId="171A51DD" w:rsidR="000A5BB6" w:rsidRDefault="000A5BB6">
      <w:pPr>
        <w:pStyle w:val="FootnoteText"/>
      </w:pPr>
      <w:r>
        <w:rPr>
          <w:rStyle w:val="FootnoteReference"/>
        </w:rPr>
        <w:footnoteRef/>
      </w:r>
      <w:r>
        <w:t xml:space="preserve"> </w:t>
      </w:r>
      <w:r w:rsidR="001D1F22">
        <w:rPr>
          <w:i/>
          <w:iCs/>
        </w:rPr>
        <w:t>Id.</w:t>
      </w:r>
      <w:r>
        <w:t xml:space="preserve"> at 4.</w:t>
      </w:r>
    </w:p>
  </w:footnote>
  <w:footnote w:id="169">
    <w:p w14:paraId="2854BCB1" w14:textId="77777777" w:rsidR="007F707A" w:rsidRDefault="007F707A" w:rsidP="007F707A">
      <w:pPr>
        <w:pStyle w:val="FootnoteText"/>
      </w:pPr>
      <w:r>
        <w:rPr>
          <w:rStyle w:val="FootnoteReference"/>
        </w:rPr>
        <w:footnoteRef/>
      </w:r>
      <w:r>
        <w:t xml:space="preserve"> SoCalGas Opening Brief at 39.</w:t>
      </w:r>
    </w:p>
  </w:footnote>
  <w:footnote w:id="170">
    <w:p w14:paraId="567AC06D" w14:textId="40794934" w:rsidR="00360A24" w:rsidRDefault="00360A24" w:rsidP="00360A24">
      <w:pPr>
        <w:pStyle w:val="FootnoteText"/>
      </w:pPr>
      <w:r>
        <w:rPr>
          <w:rStyle w:val="FootnoteReference"/>
        </w:rPr>
        <w:footnoteRef/>
      </w:r>
      <w:r>
        <w:t xml:space="preserve"> SDG&amp;E </w:t>
      </w:r>
      <w:r w:rsidR="004876EA">
        <w:t>Opening Brief at 33 – 34</w:t>
      </w:r>
      <w:r>
        <w:t>.</w:t>
      </w:r>
    </w:p>
  </w:footnote>
  <w:footnote w:id="171">
    <w:p w14:paraId="7FF5F568" w14:textId="4772AD4F" w:rsidR="008752FC" w:rsidRDefault="008752FC" w:rsidP="008752FC">
      <w:pPr>
        <w:pStyle w:val="FootnoteText"/>
      </w:pPr>
      <w:r>
        <w:rPr>
          <w:rStyle w:val="FootnoteReference"/>
        </w:rPr>
        <w:footnoteRef/>
      </w:r>
      <w:r>
        <w:t xml:space="preserve"> </w:t>
      </w:r>
      <w:r w:rsidR="004876EA">
        <w:rPr>
          <w:i/>
          <w:iCs/>
        </w:rPr>
        <w:t>Id.</w:t>
      </w:r>
      <w:r>
        <w:t xml:space="preserve"> at 13.</w:t>
      </w:r>
    </w:p>
  </w:footnote>
  <w:footnote w:id="172">
    <w:p w14:paraId="19D48DEB" w14:textId="52448A72" w:rsidR="008752FC" w:rsidRDefault="008752FC" w:rsidP="008752FC">
      <w:pPr>
        <w:pStyle w:val="FootnoteText"/>
      </w:pPr>
      <w:r>
        <w:rPr>
          <w:rStyle w:val="FootnoteReference"/>
        </w:rPr>
        <w:footnoteRef/>
      </w:r>
      <w:r>
        <w:t xml:space="preserve"> </w:t>
      </w:r>
      <w:r w:rsidR="004876EA">
        <w:rPr>
          <w:i/>
          <w:iCs/>
        </w:rPr>
        <w:t>Id.</w:t>
      </w:r>
      <w:r>
        <w:t xml:space="preserve"> at 14.</w:t>
      </w:r>
    </w:p>
  </w:footnote>
  <w:footnote w:id="173">
    <w:p w14:paraId="69206B47" w14:textId="77777777" w:rsidR="00062710" w:rsidRDefault="00062710" w:rsidP="00062710">
      <w:pPr>
        <w:pStyle w:val="FootnoteText"/>
      </w:pPr>
      <w:r>
        <w:rPr>
          <w:rStyle w:val="FootnoteReference"/>
        </w:rPr>
        <w:footnoteRef/>
      </w:r>
      <w:r>
        <w:t xml:space="preserve"> SoCalGas Opening Brief at 4.</w:t>
      </w:r>
    </w:p>
  </w:footnote>
  <w:footnote w:id="174">
    <w:p w14:paraId="649BDD09" w14:textId="44F25125" w:rsidR="00482046" w:rsidRDefault="00482046">
      <w:pPr>
        <w:pStyle w:val="FootnoteText"/>
      </w:pPr>
      <w:r>
        <w:rPr>
          <w:rStyle w:val="FootnoteReference"/>
        </w:rPr>
        <w:footnoteRef/>
      </w:r>
      <w:r w:rsidR="00914E48">
        <w:t>Exhibit PGE-01 at 1-9.</w:t>
      </w:r>
    </w:p>
  </w:footnote>
  <w:footnote w:id="175">
    <w:p w14:paraId="42E4029C" w14:textId="07073857" w:rsidR="009F718D" w:rsidRDefault="009F718D">
      <w:pPr>
        <w:pStyle w:val="FootnoteText"/>
      </w:pPr>
      <w:r>
        <w:rPr>
          <w:rStyle w:val="FootnoteReference"/>
        </w:rPr>
        <w:footnoteRef/>
      </w:r>
      <w:r>
        <w:t xml:space="preserve"> </w:t>
      </w:r>
      <w:r w:rsidR="00B03D42">
        <w:t xml:space="preserve">Exhibit SBA-01 at </w:t>
      </w:r>
      <w:r w:rsidR="00C020F2">
        <w:t>31 – 32</w:t>
      </w:r>
      <w:r w:rsidR="00B03D42">
        <w:t>.</w:t>
      </w:r>
    </w:p>
  </w:footnote>
  <w:footnote w:id="176">
    <w:p w14:paraId="6F8DE1E3" w14:textId="5C0AC8A3" w:rsidR="00DA42FB" w:rsidRDefault="00DA42FB">
      <w:pPr>
        <w:pStyle w:val="FootnoteText"/>
      </w:pPr>
      <w:r>
        <w:rPr>
          <w:rStyle w:val="FootnoteReference"/>
        </w:rPr>
        <w:footnoteRef/>
      </w:r>
      <w:r>
        <w:t xml:space="preserve"> </w:t>
      </w:r>
      <w:r w:rsidR="00710F8E">
        <w:t>Exhibit SDG-03 at 5</w:t>
      </w:r>
      <w:r w:rsidR="005E1917">
        <w:t>0.</w:t>
      </w:r>
    </w:p>
  </w:footnote>
  <w:footnote w:id="177">
    <w:p w14:paraId="321DEEE5" w14:textId="77777777" w:rsidR="00AD1F6A" w:rsidRDefault="00AD1F6A" w:rsidP="00AD1F6A">
      <w:pPr>
        <w:pStyle w:val="FootnoteText"/>
      </w:pPr>
      <w:r>
        <w:rPr>
          <w:rStyle w:val="FootnoteReference"/>
        </w:rPr>
        <w:footnoteRef/>
      </w:r>
      <w:r>
        <w:t xml:space="preserve"> SCE Opening Brief at 39.</w:t>
      </w:r>
    </w:p>
  </w:footnote>
  <w:footnote w:id="178">
    <w:p w14:paraId="41628C20" w14:textId="0F61C6B4" w:rsidR="00AD1F6A" w:rsidRDefault="00AD1F6A" w:rsidP="00AD1F6A">
      <w:pPr>
        <w:pStyle w:val="FootnoteText"/>
      </w:pPr>
      <w:r>
        <w:rPr>
          <w:rStyle w:val="FootnoteReference"/>
        </w:rPr>
        <w:footnoteRef/>
      </w:r>
      <w:r>
        <w:t xml:space="preserve"> </w:t>
      </w:r>
      <w:r w:rsidR="00FC1FE6">
        <w:rPr>
          <w:i/>
          <w:iCs/>
        </w:rPr>
        <w:t>Id</w:t>
      </w:r>
      <w:r w:rsidR="00FC1FE6" w:rsidRPr="00C020F2">
        <w:t>. at 39 – 40.</w:t>
      </w:r>
    </w:p>
  </w:footnote>
  <w:footnote w:id="179">
    <w:p w14:paraId="7CA685A8" w14:textId="42E8A5D2" w:rsidR="00AD1F6A" w:rsidRDefault="00AD1F6A" w:rsidP="00AD1F6A">
      <w:pPr>
        <w:pStyle w:val="FootnoteText"/>
      </w:pPr>
      <w:r>
        <w:rPr>
          <w:rStyle w:val="FootnoteReference"/>
        </w:rPr>
        <w:footnoteRef/>
      </w:r>
      <w:r>
        <w:t xml:space="preserve"> </w:t>
      </w:r>
      <w:r w:rsidR="00FC1FE6">
        <w:rPr>
          <w:i/>
          <w:iCs/>
        </w:rPr>
        <w:t>Id.</w:t>
      </w:r>
      <w:r>
        <w:t xml:space="preserve"> at 40.</w:t>
      </w:r>
    </w:p>
  </w:footnote>
  <w:footnote w:id="180">
    <w:p w14:paraId="7E1626FC" w14:textId="7562AA59" w:rsidR="00661C60" w:rsidRDefault="00661C60">
      <w:pPr>
        <w:pStyle w:val="FootnoteText"/>
      </w:pPr>
      <w:r>
        <w:rPr>
          <w:rStyle w:val="FootnoteReference"/>
        </w:rPr>
        <w:footnoteRef/>
      </w:r>
      <w:r>
        <w:t xml:space="preserve"> SoCalGas Opening Testimony at 37.</w:t>
      </w:r>
    </w:p>
  </w:footnote>
  <w:footnote w:id="181">
    <w:p w14:paraId="5F6E8A41" w14:textId="77777777" w:rsidR="006F351C" w:rsidRDefault="006F351C" w:rsidP="006F351C">
      <w:pPr>
        <w:pStyle w:val="FootnoteText"/>
      </w:pPr>
      <w:r>
        <w:rPr>
          <w:rStyle w:val="FootnoteReference"/>
        </w:rPr>
        <w:footnoteRef/>
      </w:r>
      <w:r>
        <w:t xml:space="preserve"> PG&amp;E Opening Brief at 30.</w:t>
      </w:r>
    </w:p>
  </w:footnote>
  <w:footnote w:id="182">
    <w:p w14:paraId="2EBAD7BA" w14:textId="77777777" w:rsidR="006F351C" w:rsidRDefault="006F351C" w:rsidP="006F351C">
      <w:pPr>
        <w:pStyle w:val="FootnoteText"/>
      </w:pPr>
      <w:r>
        <w:rPr>
          <w:rStyle w:val="FootnoteReference"/>
        </w:rPr>
        <w:footnoteRef/>
      </w:r>
      <w:r>
        <w:t xml:space="preserve"> PG&amp;E Opening Brief at 31. </w:t>
      </w:r>
    </w:p>
  </w:footnote>
  <w:footnote w:id="183">
    <w:p w14:paraId="50F2B490" w14:textId="77777777" w:rsidR="006F351C" w:rsidRDefault="006F351C" w:rsidP="006F351C">
      <w:pPr>
        <w:pStyle w:val="FootnoteText"/>
      </w:pPr>
      <w:r>
        <w:rPr>
          <w:rStyle w:val="FootnoteReference"/>
        </w:rPr>
        <w:footnoteRef/>
      </w:r>
      <w:r>
        <w:t xml:space="preserve"> PG&amp;E Opening Brief at 31. </w:t>
      </w:r>
    </w:p>
  </w:footnote>
  <w:footnote w:id="184">
    <w:p w14:paraId="7EE8AF9C" w14:textId="3B0B6CAE" w:rsidR="00DE273F" w:rsidRDefault="00DE273F" w:rsidP="00DE273F">
      <w:pPr>
        <w:pStyle w:val="FootnoteText"/>
      </w:pPr>
      <w:r>
        <w:rPr>
          <w:rStyle w:val="FootnoteReference"/>
        </w:rPr>
        <w:footnoteRef/>
      </w:r>
      <w:r>
        <w:t xml:space="preserve"> TURN Opening Brief at </w:t>
      </w:r>
      <w:r w:rsidR="005970C0">
        <w:t>2 – 4.</w:t>
      </w:r>
    </w:p>
  </w:footnote>
  <w:footnote w:id="185">
    <w:p w14:paraId="3FA6015D" w14:textId="4107268D" w:rsidR="00DE273F" w:rsidRDefault="00DE273F" w:rsidP="00DE273F">
      <w:pPr>
        <w:pStyle w:val="FootnoteText"/>
      </w:pPr>
      <w:r>
        <w:rPr>
          <w:rStyle w:val="FootnoteReference"/>
        </w:rPr>
        <w:footnoteRef/>
      </w:r>
      <w:r>
        <w:t xml:space="preserve"> Exhibit SBA-01 at 40.</w:t>
      </w:r>
    </w:p>
    <w:p w14:paraId="5E8F12D7" w14:textId="77777777" w:rsidR="00DE273F" w:rsidRDefault="00DE273F" w:rsidP="00DE273F">
      <w:pPr>
        <w:pStyle w:val="FootnoteText"/>
      </w:pPr>
    </w:p>
  </w:footnote>
  <w:footnote w:id="186">
    <w:p w14:paraId="40A506D0" w14:textId="710F3E57" w:rsidR="00B11D23" w:rsidRDefault="00B11D23">
      <w:pPr>
        <w:pStyle w:val="FootnoteText"/>
      </w:pPr>
      <w:r>
        <w:rPr>
          <w:rStyle w:val="FootnoteReference"/>
        </w:rPr>
        <w:footnoteRef/>
      </w:r>
      <w:r>
        <w:t xml:space="preserve"> </w:t>
      </w:r>
      <w:r w:rsidR="00621F1E">
        <w:t xml:space="preserve">Exhibit </w:t>
      </w:r>
      <w:r w:rsidR="0017754F" w:rsidRPr="00104256">
        <w:t>EIT-01</w:t>
      </w:r>
      <w:r w:rsidR="0017754F">
        <w:t xml:space="preserve"> at </w:t>
      </w:r>
      <w:r w:rsidR="00E644EB">
        <w:t>33 – 34</w:t>
      </w:r>
      <w:r w:rsidR="0017754F">
        <w:t>.</w:t>
      </w:r>
    </w:p>
  </w:footnote>
  <w:footnote w:id="187">
    <w:p w14:paraId="2894B604" w14:textId="339F61CF" w:rsidR="00741388" w:rsidRDefault="00741388" w:rsidP="00741388">
      <w:pPr>
        <w:pStyle w:val="FootnoteText"/>
      </w:pPr>
      <w:r>
        <w:rPr>
          <w:rStyle w:val="FootnoteReference"/>
        </w:rPr>
        <w:footnoteRef/>
      </w:r>
      <w:r>
        <w:t xml:space="preserve"> SCE </w:t>
      </w:r>
      <w:r w:rsidR="00E644EB">
        <w:t>O</w:t>
      </w:r>
      <w:r>
        <w:t xml:space="preserve">pening </w:t>
      </w:r>
      <w:r w:rsidR="00E644EB">
        <w:t>B</w:t>
      </w:r>
      <w:r>
        <w:t>rief at 11.</w:t>
      </w:r>
    </w:p>
  </w:footnote>
  <w:footnote w:id="188">
    <w:p w14:paraId="6C1772B8" w14:textId="2515E53F" w:rsidR="00741388" w:rsidRDefault="00741388" w:rsidP="00741388">
      <w:pPr>
        <w:pStyle w:val="FootnoteText"/>
      </w:pPr>
      <w:r>
        <w:rPr>
          <w:rStyle w:val="FootnoteReference"/>
        </w:rPr>
        <w:footnoteRef/>
      </w:r>
      <w:r>
        <w:t xml:space="preserve"> SDG&amp;E </w:t>
      </w:r>
      <w:r w:rsidR="00E644EB">
        <w:t>O</w:t>
      </w:r>
      <w:r>
        <w:t xml:space="preserve">pening </w:t>
      </w:r>
      <w:r w:rsidR="00E644EB">
        <w:t>B</w:t>
      </w:r>
      <w:r>
        <w:t>rief at 16.</w:t>
      </w:r>
    </w:p>
  </w:footnote>
  <w:footnote w:id="189">
    <w:p w14:paraId="1BA01F2A" w14:textId="371FC7DE" w:rsidR="005F1FA8" w:rsidRDefault="005F1FA8">
      <w:pPr>
        <w:pStyle w:val="FootnoteText"/>
      </w:pPr>
      <w:r>
        <w:rPr>
          <w:rStyle w:val="FootnoteReference"/>
        </w:rPr>
        <w:footnoteRef/>
      </w:r>
      <w:r>
        <w:t xml:space="preserve"> </w:t>
      </w:r>
      <w:r w:rsidR="00AB232A">
        <w:t>Sierra Club Opening Brief at 11.</w:t>
      </w:r>
    </w:p>
  </w:footnote>
  <w:footnote w:id="190">
    <w:p w14:paraId="4F27AE5D" w14:textId="69CDA305" w:rsidR="00283941" w:rsidRDefault="00283941">
      <w:pPr>
        <w:pStyle w:val="FootnoteText"/>
      </w:pPr>
      <w:r>
        <w:rPr>
          <w:rStyle w:val="FootnoteReference"/>
        </w:rPr>
        <w:footnoteRef/>
      </w:r>
      <w:r>
        <w:t xml:space="preserve"> Wild Tree Opening Brief at 12.</w:t>
      </w:r>
    </w:p>
  </w:footnote>
  <w:footnote w:id="191">
    <w:p w14:paraId="6FF7D7D2" w14:textId="24C1D0E3" w:rsidR="004C6756" w:rsidRDefault="004C6756" w:rsidP="004C6756">
      <w:pPr>
        <w:pStyle w:val="FootnoteText"/>
      </w:pPr>
      <w:r>
        <w:rPr>
          <w:rStyle w:val="FootnoteReference"/>
        </w:rPr>
        <w:footnoteRef/>
      </w:r>
      <w:r>
        <w:t xml:space="preserve"> Application </w:t>
      </w:r>
      <w:r w:rsidR="0051449E">
        <w:t>25-03-010</w:t>
      </w:r>
      <w:r>
        <w:t xml:space="preserve"> at 12.</w:t>
      </w:r>
    </w:p>
  </w:footnote>
  <w:footnote w:id="192">
    <w:p w14:paraId="121F79F2" w14:textId="77777777" w:rsidR="004C6756" w:rsidRDefault="004C6756" w:rsidP="004C6756">
      <w:pPr>
        <w:pStyle w:val="FootnoteText"/>
      </w:pPr>
      <w:r>
        <w:rPr>
          <w:rStyle w:val="FootnoteReference"/>
        </w:rPr>
        <w:footnoteRef/>
      </w:r>
      <w:r>
        <w:t xml:space="preserve"> Exhibit </w:t>
      </w:r>
      <w:r w:rsidRPr="00104256">
        <w:t>EIT-01</w:t>
      </w:r>
      <w:r>
        <w:t xml:space="preserve"> at 10.</w:t>
      </w:r>
    </w:p>
  </w:footnote>
  <w:footnote w:id="193">
    <w:p w14:paraId="5C95E6B2" w14:textId="77777777" w:rsidR="004C6756" w:rsidRDefault="004C6756" w:rsidP="004C6756">
      <w:pPr>
        <w:pStyle w:val="FootnoteText"/>
      </w:pPr>
      <w:r>
        <w:rPr>
          <w:rStyle w:val="FootnoteReference"/>
        </w:rPr>
        <w:footnoteRef/>
      </w:r>
      <w:r>
        <w:t xml:space="preserve"> Exhibit </w:t>
      </w:r>
      <w:r w:rsidRPr="00BF0100">
        <w:t>TRN-01</w:t>
      </w:r>
      <w:r>
        <w:t xml:space="preserve"> at 11.</w:t>
      </w:r>
    </w:p>
  </w:footnote>
  <w:footnote w:id="194">
    <w:p w14:paraId="7DC013D3" w14:textId="77777777" w:rsidR="004C6756" w:rsidRDefault="004C6756" w:rsidP="004C6756">
      <w:pPr>
        <w:pStyle w:val="FootnoteText"/>
      </w:pPr>
      <w:r>
        <w:rPr>
          <w:rStyle w:val="FootnoteReference"/>
        </w:rPr>
        <w:footnoteRef/>
      </w:r>
      <w:r>
        <w:t xml:space="preserve"> Exhibit </w:t>
      </w:r>
      <w:r w:rsidRPr="00185A08">
        <w:t>SBA-01</w:t>
      </w:r>
      <w:r>
        <w:t xml:space="preserve"> at 10.</w:t>
      </w:r>
    </w:p>
  </w:footnote>
  <w:footnote w:id="195">
    <w:p w14:paraId="4CC58BB3" w14:textId="1579B0B8" w:rsidR="004C6756" w:rsidRDefault="004C6756" w:rsidP="004C6756">
      <w:pPr>
        <w:pStyle w:val="FootnoteText"/>
      </w:pPr>
      <w:r>
        <w:rPr>
          <w:rStyle w:val="FootnoteReference"/>
        </w:rPr>
        <w:footnoteRef/>
      </w:r>
      <w:r>
        <w:t xml:space="preserve"> </w:t>
      </w:r>
      <w:r w:rsidR="00C10832">
        <w:t xml:space="preserve">Cal Advocates Opening Brief at </w:t>
      </w:r>
      <w:r w:rsidR="00FC73F4">
        <w:t>4</w:t>
      </w:r>
      <w:r>
        <w:t>.</w:t>
      </w:r>
    </w:p>
  </w:footnote>
  <w:footnote w:id="196">
    <w:p w14:paraId="518D2A38" w14:textId="77777777" w:rsidR="004C6756" w:rsidRDefault="004C6756" w:rsidP="004C6756">
      <w:pPr>
        <w:pStyle w:val="FootnoteText"/>
      </w:pPr>
      <w:r>
        <w:rPr>
          <w:rStyle w:val="FootnoteReference"/>
        </w:rPr>
        <w:footnoteRef/>
      </w:r>
      <w:r>
        <w:t xml:space="preserve"> Exhibit WTF-01 at 8. </w:t>
      </w:r>
    </w:p>
  </w:footnote>
  <w:footnote w:id="197">
    <w:p w14:paraId="2F99782B" w14:textId="77777777" w:rsidR="004C6756" w:rsidRDefault="004C6756" w:rsidP="004C6756">
      <w:pPr>
        <w:pStyle w:val="FootnoteText"/>
      </w:pPr>
      <w:r>
        <w:rPr>
          <w:rStyle w:val="FootnoteReference"/>
        </w:rPr>
        <w:footnoteRef/>
      </w:r>
      <w:r>
        <w:t xml:space="preserve"> Exhibit </w:t>
      </w:r>
      <w:r w:rsidRPr="00185A08">
        <w:t>EDF-01</w:t>
      </w:r>
      <w:r>
        <w:t xml:space="preserve"> at 68.</w:t>
      </w:r>
    </w:p>
  </w:footnote>
  <w:footnote w:id="198">
    <w:p w14:paraId="2DA3CA96" w14:textId="77777777" w:rsidR="004C6756" w:rsidRDefault="004C6756" w:rsidP="004C6756">
      <w:pPr>
        <w:pStyle w:val="FootnoteText"/>
      </w:pPr>
      <w:r>
        <w:rPr>
          <w:rStyle w:val="FootnoteReference"/>
        </w:rPr>
        <w:footnoteRef/>
      </w:r>
      <w:r>
        <w:t xml:space="preserve"> Exhibit </w:t>
      </w:r>
      <w:r w:rsidRPr="00912AF1">
        <w:t>SC/PCF-01</w:t>
      </w:r>
      <w:r>
        <w:t xml:space="preserve"> at 7.</w:t>
      </w:r>
    </w:p>
  </w:footnote>
  <w:footnote w:id="199">
    <w:p w14:paraId="64F79F80" w14:textId="1CB6CB2E" w:rsidR="00833AF5" w:rsidRDefault="00833AF5" w:rsidP="00833AF5">
      <w:pPr>
        <w:pStyle w:val="FootnoteText"/>
      </w:pPr>
      <w:r>
        <w:rPr>
          <w:rStyle w:val="FootnoteReference"/>
        </w:rPr>
        <w:footnoteRef/>
      </w:r>
      <w:r>
        <w:t xml:space="preserve"> Application </w:t>
      </w:r>
      <w:r w:rsidR="008508E9">
        <w:t>25-03-011</w:t>
      </w:r>
      <w:r>
        <w:t xml:space="preserve"> at 8.</w:t>
      </w:r>
    </w:p>
  </w:footnote>
  <w:footnote w:id="200">
    <w:p w14:paraId="0AAED23C" w14:textId="77777777" w:rsidR="00833AF5" w:rsidRDefault="00833AF5" w:rsidP="00833AF5">
      <w:pPr>
        <w:pStyle w:val="FootnoteText"/>
      </w:pPr>
      <w:r>
        <w:rPr>
          <w:rStyle w:val="FootnoteReference"/>
        </w:rPr>
        <w:footnoteRef/>
      </w:r>
      <w:r>
        <w:t xml:space="preserve"> Exhibit </w:t>
      </w:r>
      <w:r w:rsidRPr="00104256">
        <w:t>EIT-01</w:t>
      </w:r>
      <w:r>
        <w:t xml:space="preserve"> at 10.</w:t>
      </w:r>
    </w:p>
  </w:footnote>
  <w:footnote w:id="201">
    <w:p w14:paraId="6FC40E60" w14:textId="77777777" w:rsidR="00833AF5" w:rsidRDefault="00833AF5" w:rsidP="00833AF5">
      <w:pPr>
        <w:pStyle w:val="FootnoteText"/>
      </w:pPr>
      <w:r>
        <w:rPr>
          <w:rStyle w:val="FootnoteReference"/>
        </w:rPr>
        <w:footnoteRef/>
      </w:r>
      <w:r>
        <w:t xml:space="preserve"> Exhibit </w:t>
      </w:r>
      <w:r w:rsidRPr="00BF0100">
        <w:t>TRN-01</w:t>
      </w:r>
      <w:r>
        <w:t xml:space="preserve"> at 11.</w:t>
      </w:r>
    </w:p>
  </w:footnote>
  <w:footnote w:id="202">
    <w:p w14:paraId="4F687D1F" w14:textId="0001CC0C" w:rsidR="00833AF5" w:rsidRDefault="00833AF5" w:rsidP="00833AF5">
      <w:pPr>
        <w:pStyle w:val="FootnoteText"/>
      </w:pPr>
      <w:r>
        <w:rPr>
          <w:rStyle w:val="FootnoteReference"/>
        </w:rPr>
        <w:footnoteRef/>
      </w:r>
      <w:r>
        <w:t xml:space="preserve"> </w:t>
      </w:r>
      <w:r w:rsidR="00F10F89">
        <w:t>Cal Advocates Opening Brief at 4.</w:t>
      </w:r>
    </w:p>
  </w:footnote>
  <w:footnote w:id="203">
    <w:p w14:paraId="7694FF07" w14:textId="77777777" w:rsidR="00833AF5" w:rsidRDefault="00833AF5" w:rsidP="00833AF5">
      <w:pPr>
        <w:pStyle w:val="FootnoteText"/>
      </w:pPr>
      <w:r>
        <w:rPr>
          <w:rStyle w:val="FootnoteReference"/>
        </w:rPr>
        <w:footnoteRef/>
      </w:r>
      <w:r>
        <w:t xml:space="preserve"> Exhibit WTF-01 at 8. </w:t>
      </w:r>
    </w:p>
  </w:footnote>
  <w:footnote w:id="204">
    <w:p w14:paraId="4D08978B" w14:textId="77777777" w:rsidR="00833AF5" w:rsidRDefault="00833AF5" w:rsidP="00833AF5">
      <w:pPr>
        <w:pStyle w:val="FootnoteText"/>
      </w:pPr>
      <w:r>
        <w:rPr>
          <w:rStyle w:val="FootnoteReference"/>
        </w:rPr>
        <w:footnoteRef/>
      </w:r>
      <w:r>
        <w:t xml:space="preserve"> Exhibit </w:t>
      </w:r>
      <w:r w:rsidRPr="00185A08">
        <w:t>EDF-01</w:t>
      </w:r>
      <w:r>
        <w:t xml:space="preserve"> at 68.</w:t>
      </w:r>
    </w:p>
  </w:footnote>
  <w:footnote w:id="205">
    <w:p w14:paraId="5DAA8DD4" w14:textId="77777777" w:rsidR="00833AF5" w:rsidRDefault="00833AF5" w:rsidP="00833AF5">
      <w:pPr>
        <w:pStyle w:val="FootnoteText"/>
      </w:pPr>
      <w:r>
        <w:rPr>
          <w:rStyle w:val="FootnoteReference"/>
        </w:rPr>
        <w:footnoteRef/>
      </w:r>
      <w:r>
        <w:t xml:space="preserve"> Exhibit </w:t>
      </w:r>
      <w:r w:rsidRPr="00912AF1">
        <w:t>SC/PCF-01</w:t>
      </w:r>
      <w:r>
        <w:t xml:space="preserve"> at 7.</w:t>
      </w:r>
    </w:p>
  </w:footnote>
  <w:footnote w:id="206">
    <w:p w14:paraId="58B81D39" w14:textId="769AC449" w:rsidR="005078E4" w:rsidRDefault="005078E4" w:rsidP="005078E4">
      <w:pPr>
        <w:pStyle w:val="FootnoteText"/>
      </w:pPr>
      <w:r>
        <w:rPr>
          <w:rStyle w:val="FootnoteReference"/>
        </w:rPr>
        <w:footnoteRef/>
      </w:r>
      <w:r>
        <w:t xml:space="preserve"> Application </w:t>
      </w:r>
      <w:r w:rsidR="003B2CE4">
        <w:t>25-03-012</w:t>
      </w:r>
      <w:r>
        <w:t xml:space="preserve"> at 6.</w:t>
      </w:r>
    </w:p>
  </w:footnote>
  <w:footnote w:id="207">
    <w:p w14:paraId="2A45FA6F" w14:textId="77777777" w:rsidR="005078E4" w:rsidRDefault="005078E4" w:rsidP="005078E4">
      <w:pPr>
        <w:pStyle w:val="FootnoteText"/>
      </w:pPr>
      <w:r>
        <w:rPr>
          <w:rStyle w:val="FootnoteReference"/>
        </w:rPr>
        <w:footnoteRef/>
      </w:r>
      <w:r>
        <w:t xml:space="preserve"> Exhibit </w:t>
      </w:r>
      <w:r w:rsidRPr="00104256">
        <w:t>EIT-01</w:t>
      </w:r>
      <w:r>
        <w:t xml:space="preserve"> at 10.</w:t>
      </w:r>
    </w:p>
  </w:footnote>
  <w:footnote w:id="208">
    <w:p w14:paraId="59A54F49" w14:textId="77777777" w:rsidR="005078E4" w:rsidRDefault="005078E4" w:rsidP="005078E4">
      <w:pPr>
        <w:pStyle w:val="FootnoteText"/>
      </w:pPr>
      <w:r>
        <w:rPr>
          <w:rStyle w:val="FootnoteReference"/>
        </w:rPr>
        <w:footnoteRef/>
      </w:r>
      <w:r>
        <w:t xml:space="preserve"> Exhibit </w:t>
      </w:r>
      <w:r w:rsidRPr="00BF0100">
        <w:t>TRN-01</w:t>
      </w:r>
      <w:r>
        <w:t xml:space="preserve"> at 11.</w:t>
      </w:r>
    </w:p>
  </w:footnote>
  <w:footnote w:id="209">
    <w:p w14:paraId="35DF90FE" w14:textId="58980B08" w:rsidR="005078E4" w:rsidRDefault="005078E4" w:rsidP="005078E4">
      <w:pPr>
        <w:pStyle w:val="FootnoteText"/>
      </w:pPr>
      <w:r>
        <w:rPr>
          <w:rStyle w:val="FootnoteReference"/>
        </w:rPr>
        <w:footnoteRef/>
      </w:r>
      <w:r>
        <w:t xml:space="preserve"> </w:t>
      </w:r>
      <w:r w:rsidR="00FA6CE3">
        <w:t>Cal Advocates Opening Brief at 4.</w:t>
      </w:r>
      <w:r>
        <w:t>.</w:t>
      </w:r>
    </w:p>
  </w:footnote>
  <w:footnote w:id="210">
    <w:p w14:paraId="5CCA2235" w14:textId="77777777" w:rsidR="005078E4" w:rsidRDefault="005078E4" w:rsidP="005078E4">
      <w:pPr>
        <w:pStyle w:val="FootnoteText"/>
      </w:pPr>
      <w:r>
        <w:rPr>
          <w:rStyle w:val="FootnoteReference"/>
        </w:rPr>
        <w:footnoteRef/>
      </w:r>
      <w:r>
        <w:t xml:space="preserve"> Exhibit WTF-01 at 8. </w:t>
      </w:r>
    </w:p>
  </w:footnote>
  <w:footnote w:id="211">
    <w:p w14:paraId="518F4576" w14:textId="77777777" w:rsidR="005078E4" w:rsidRDefault="005078E4" w:rsidP="005078E4">
      <w:pPr>
        <w:pStyle w:val="FootnoteText"/>
      </w:pPr>
      <w:r>
        <w:rPr>
          <w:rStyle w:val="FootnoteReference"/>
        </w:rPr>
        <w:footnoteRef/>
      </w:r>
      <w:r>
        <w:t xml:space="preserve"> Exhibit </w:t>
      </w:r>
      <w:r w:rsidRPr="00185A08">
        <w:t>EDF-01</w:t>
      </w:r>
      <w:r>
        <w:t xml:space="preserve"> at 68.</w:t>
      </w:r>
    </w:p>
  </w:footnote>
  <w:footnote w:id="212">
    <w:p w14:paraId="0068A387" w14:textId="77777777" w:rsidR="005078E4" w:rsidRDefault="005078E4" w:rsidP="005078E4">
      <w:pPr>
        <w:pStyle w:val="FootnoteText"/>
      </w:pPr>
      <w:r>
        <w:rPr>
          <w:rStyle w:val="FootnoteReference"/>
        </w:rPr>
        <w:footnoteRef/>
      </w:r>
      <w:r>
        <w:t xml:space="preserve"> Exhibit </w:t>
      </w:r>
      <w:r w:rsidRPr="00912AF1">
        <w:t>SC/PCF-01</w:t>
      </w:r>
      <w:r>
        <w:t xml:space="preserve"> at 7.</w:t>
      </w:r>
    </w:p>
  </w:footnote>
  <w:footnote w:id="213">
    <w:p w14:paraId="73ED463A" w14:textId="08FF839B" w:rsidR="00A16C8E" w:rsidRDefault="00A16C8E" w:rsidP="00A16C8E">
      <w:pPr>
        <w:pStyle w:val="FootnoteText"/>
      </w:pPr>
      <w:r>
        <w:rPr>
          <w:rStyle w:val="FootnoteReference"/>
        </w:rPr>
        <w:footnoteRef/>
      </w:r>
      <w:r>
        <w:t xml:space="preserve"> Application </w:t>
      </w:r>
      <w:r w:rsidR="003B2CE4">
        <w:t>25-03-013</w:t>
      </w:r>
      <w:r>
        <w:t xml:space="preserve"> at 2.</w:t>
      </w:r>
    </w:p>
  </w:footnote>
  <w:footnote w:id="214">
    <w:p w14:paraId="70AC22B7" w14:textId="77777777" w:rsidR="00A16C8E" w:rsidRDefault="00A16C8E" w:rsidP="00A16C8E">
      <w:pPr>
        <w:pStyle w:val="FootnoteText"/>
      </w:pPr>
      <w:r>
        <w:rPr>
          <w:rStyle w:val="FootnoteReference"/>
        </w:rPr>
        <w:footnoteRef/>
      </w:r>
      <w:r>
        <w:t xml:space="preserve"> Exhibit </w:t>
      </w:r>
      <w:r w:rsidRPr="00104256">
        <w:t>EIT-01</w:t>
      </w:r>
      <w:r>
        <w:t xml:space="preserve"> at 10.</w:t>
      </w:r>
    </w:p>
  </w:footnote>
  <w:footnote w:id="215">
    <w:p w14:paraId="16BCCC3B" w14:textId="77777777" w:rsidR="00A16C8E" w:rsidRDefault="00A16C8E" w:rsidP="00A16C8E">
      <w:pPr>
        <w:pStyle w:val="FootnoteText"/>
      </w:pPr>
      <w:r>
        <w:rPr>
          <w:rStyle w:val="FootnoteReference"/>
        </w:rPr>
        <w:footnoteRef/>
      </w:r>
      <w:r>
        <w:t xml:space="preserve"> Exhibit </w:t>
      </w:r>
      <w:r w:rsidRPr="00BF0100">
        <w:t>TRN-01</w:t>
      </w:r>
      <w:r>
        <w:t xml:space="preserve"> at 11.</w:t>
      </w:r>
    </w:p>
  </w:footnote>
  <w:footnote w:id="216">
    <w:p w14:paraId="63F3AFC0" w14:textId="7FA04148" w:rsidR="00A16C8E" w:rsidRDefault="00A16C8E" w:rsidP="00A16C8E">
      <w:pPr>
        <w:pStyle w:val="FootnoteText"/>
      </w:pPr>
      <w:r>
        <w:rPr>
          <w:rStyle w:val="FootnoteReference"/>
        </w:rPr>
        <w:footnoteRef/>
      </w:r>
      <w:r>
        <w:t xml:space="preserve"> </w:t>
      </w:r>
      <w:r w:rsidR="00321BAC">
        <w:t>Cal Advocates Opening Brief at 4</w:t>
      </w:r>
      <w:r>
        <w:t>.</w:t>
      </w:r>
    </w:p>
  </w:footnote>
  <w:footnote w:id="217">
    <w:p w14:paraId="16AA3B0F" w14:textId="77777777" w:rsidR="00A16C8E" w:rsidRDefault="00A16C8E" w:rsidP="00A16C8E">
      <w:pPr>
        <w:pStyle w:val="FootnoteText"/>
      </w:pPr>
      <w:r>
        <w:rPr>
          <w:rStyle w:val="FootnoteReference"/>
        </w:rPr>
        <w:footnoteRef/>
      </w:r>
      <w:r>
        <w:t xml:space="preserve"> Exhibit WTF-01 at 8. </w:t>
      </w:r>
    </w:p>
  </w:footnote>
  <w:footnote w:id="218">
    <w:p w14:paraId="1BA86DEB" w14:textId="77777777" w:rsidR="00A16C8E" w:rsidRDefault="00A16C8E" w:rsidP="00A16C8E">
      <w:pPr>
        <w:pStyle w:val="FootnoteText"/>
      </w:pPr>
      <w:r>
        <w:rPr>
          <w:rStyle w:val="FootnoteReference"/>
        </w:rPr>
        <w:footnoteRef/>
      </w:r>
      <w:r>
        <w:t xml:space="preserve"> Exhibit </w:t>
      </w:r>
      <w:r w:rsidRPr="00185A08">
        <w:t>EDF-01</w:t>
      </w:r>
      <w:r>
        <w:t xml:space="preserve"> at 68.</w:t>
      </w:r>
    </w:p>
  </w:footnote>
  <w:footnote w:id="219">
    <w:p w14:paraId="278D7E14" w14:textId="77777777" w:rsidR="00A16C8E" w:rsidRDefault="00A16C8E" w:rsidP="00A16C8E">
      <w:pPr>
        <w:pStyle w:val="FootnoteText"/>
      </w:pPr>
      <w:r>
        <w:rPr>
          <w:rStyle w:val="FootnoteReference"/>
        </w:rPr>
        <w:footnoteRef/>
      </w:r>
      <w:r>
        <w:t xml:space="preserve"> Exhibit </w:t>
      </w:r>
      <w:r w:rsidRPr="00912AF1">
        <w:t>SC/PCF-01</w:t>
      </w:r>
      <w:r>
        <w:t xml:space="preserve"> at 7.</w:t>
      </w:r>
    </w:p>
  </w:footnote>
  <w:footnote w:id="220">
    <w:p w14:paraId="7A2A9775" w14:textId="77777777" w:rsidR="00A16C8E" w:rsidRDefault="00A16C8E" w:rsidP="00A16C8E">
      <w:pPr>
        <w:pStyle w:val="FootnoteText"/>
      </w:pPr>
      <w:r>
        <w:rPr>
          <w:rStyle w:val="FootnoteReference"/>
        </w:rPr>
        <w:footnoteRef/>
      </w:r>
      <w:r>
        <w:t xml:space="preserve"> Exhibit </w:t>
      </w:r>
      <w:r w:rsidRPr="00DC48BC">
        <w:t>UCAN-01</w:t>
      </w:r>
      <w:r>
        <w:t xml:space="preserve"> at 3.</w:t>
      </w:r>
    </w:p>
  </w:footnote>
  <w:footnote w:id="221">
    <w:p w14:paraId="58400550" w14:textId="630C3A23" w:rsidR="006D5832" w:rsidRDefault="006D5832" w:rsidP="006D5832">
      <w:pPr>
        <w:pStyle w:val="FootnoteText"/>
      </w:pPr>
      <w:r>
        <w:rPr>
          <w:rStyle w:val="FootnoteReference"/>
        </w:rPr>
        <w:footnoteRef/>
      </w:r>
      <w:r>
        <w:t xml:space="preserve"> Application </w:t>
      </w:r>
      <w:r w:rsidR="00E16A90">
        <w:t>25-03-010</w:t>
      </w:r>
      <w:r>
        <w:t xml:space="preserve"> at 15.</w:t>
      </w:r>
    </w:p>
  </w:footnote>
  <w:footnote w:id="222">
    <w:p w14:paraId="2B18A31C" w14:textId="79A1BB41" w:rsidR="006D5832" w:rsidRDefault="006D5832" w:rsidP="006D5832">
      <w:pPr>
        <w:pStyle w:val="FootnoteText"/>
      </w:pPr>
      <w:r>
        <w:rPr>
          <w:rStyle w:val="FootnoteReference"/>
        </w:rPr>
        <w:footnoteRef/>
      </w:r>
      <w:r>
        <w:t xml:space="preserve"> </w:t>
      </w:r>
      <w:r w:rsidR="000E61CE">
        <w:t>D.24-10-008</w:t>
      </w:r>
      <w:r>
        <w:t xml:space="preserve"> at 13.</w:t>
      </w:r>
    </w:p>
  </w:footnote>
  <w:footnote w:id="223">
    <w:p w14:paraId="6B3622DD" w14:textId="77777777" w:rsidR="006D5832" w:rsidRDefault="006D5832" w:rsidP="006D5832">
      <w:pPr>
        <w:pStyle w:val="FootnoteText"/>
      </w:pPr>
      <w:r>
        <w:rPr>
          <w:rStyle w:val="FootnoteReference"/>
        </w:rPr>
        <w:footnoteRef/>
      </w:r>
      <w:r>
        <w:t xml:space="preserve"> Exhibit TRN-01 at 46.</w:t>
      </w:r>
    </w:p>
  </w:footnote>
  <w:footnote w:id="224">
    <w:p w14:paraId="16E4733F" w14:textId="7538DB72" w:rsidR="006D5832" w:rsidRDefault="006D5832" w:rsidP="006D5832">
      <w:pPr>
        <w:pStyle w:val="FootnoteText"/>
      </w:pPr>
      <w:r>
        <w:rPr>
          <w:rStyle w:val="FootnoteReference"/>
        </w:rPr>
        <w:footnoteRef/>
      </w:r>
      <w:r>
        <w:t xml:space="preserve"> Exhibit EIT-01 at </w:t>
      </w:r>
      <w:r w:rsidR="00897DA0">
        <w:t>1</w:t>
      </w:r>
      <w:r w:rsidR="007C2C78">
        <w:t>6 – 17.</w:t>
      </w:r>
    </w:p>
  </w:footnote>
  <w:footnote w:id="225">
    <w:p w14:paraId="5525EE35" w14:textId="01565A5D" w:rsidR="006D5832" w:rsidRDefault="006D5832" w:rsidP="006D5832">
      <w:pPr>
        <w:pStyle w:val="FootnoteText"/>
      </w:pPr>
      <w:r>
        <w:rPr>
          <w:rStyle w:val="FootnoteReference"/>
        </w:rPr>
        <w:footnoteRef/>
      </w:r>
      <w:r>
        <w:t xml:space="preserve"> Cal Advocates R</w:t>
      </w:r>
      <w:r w:rsidR="008C0E1A">
        <w:t>eply</w:t>
      </w:r>
      <w:r>
        <w:t xml:space="preserve"> Brief at 18.</w:t>
      </w:r>
    </w:p>
  </w:footnote>
  <w:footnote w:id="226">
    <w:p w14:paraId="2B305B8B" w14:textId="77777777" w:rsidR="006D5832" w:rsidRDefault="006D5832" w:rsidP="006D5832">
      <w:pPr>
        <w:pStyle w:val="FootnoteText"/>
      </w:pPr>
      <w:r>
        <w:rPr>
          <w:rStyle w:val="FootnoteReference"/>
        </w:rPr>
        <w:footnoteRef/>
      </w:r>
      <w:r>
        <w:t xml:space="preserve"> Exhibit PGE-03 at 4-2.</w:t>
      </w:r>
    </w:p>
  </w:footnote>
  <w:footnote w:id="227">
    <w:p w14:paraId="24DA559A" w14:textId="36DE0EB2" w:rsidR="00603FCB" w:rsidRDefault="00603FCB">
      <w:pPr>
        <w:pStyle w:val="FootnoteText"/>
      </w:pPr>
      <w:r>
        <w:rPr>
          <w:rStyle w:val="FootnoteReference"/>
        </w:rPr>
        <w:footnoteRef/>
      </w:r>
      <w:r>
        <w:t xml:space="preserve"> </w:t>
      </w:r>
      <w:r w:rsidR="0048444B">
        <w:t>Exhibit PGE-01 at 5-2.</w:t>
      </w:r>
    </w:p>
  </w:footnote>
  <w:footnote w:id="228">
    <w:p w14:paraId="311BC306" w14:textId="166A15A1" w:rsidR="00A06B5E" w:rsidRDefault="00A06B5E" w:rsidP="00A06B5E">
      <w:pPr>
        <w:pStyle w:val="FootnoteText"/>
      </w:pPr>
      <w:r>
        <w:rPr>
          <w:rStyle w:val="FootnoteReference"/>
        </w:rPr>
        <w:footnoteRef/>
      </w:r>
      <w:r>
        <w:t xml:space="preserve"> Application </w:t>
      </w:r>
      <w:r w:rsidR="00416154">
        <w:t>25-03-010</w:t>
      </w:r>
      <w:r>
        <w:t xml:space="preserve"> at 14.</w:t>
      </w:r>
    </w:p>
  </w:footnote>
  <w:footnote w:id="229">
    <w:p w14:paraId="1A84B5E0" w14:textId="5BF1AC67" w:rsidR="00C01E19" w:rsidRDefault="00C01E19" w:rsidP="00C01E19">
      <w:pPr>
        <w:pStyle w:val="FootnoteText"/>
      </w:pPr>
      <w:r>
        <w:rPr>
          <w:rStyle w:val="FootnoteReference"/>
        </w:rPr>
        <w:footnoteRef/>
      </w:r>
      <w:r>
        <w:t xml:space="preserve"> Application 25</w:t>
      </w:r>
      <w:r w:rsidR="009A2199">
        <w:t>-</w:t>
      </w:r>
      <w:r>
        <w:t>03</w:t>
      </w:r>
      <w:r w:rsidR="009A2199">
        <w:t>-</w:t>
      </w:r>
      <w:r>
        <w:t xml:space="preserve">012 at </w:t>
      </w:r>
      <w:r w:rsidR="009A2199">
        <w:t>10 – 11</w:t>
      </w:r>
      <w:r>
        <w:t>.</w:t>
      </w:r>
    </w:p>
  </w:footnote>
  <w:footnote w:id="230">
    <w:p w14:paraId="70422492" w14:textId="77777777" w:rsidR="00C01E19" w:rsidRDefault="00C01E19" w:rsidP="00C01E19">
      <w:pPr>
        <w:pStyle w:val="FootnoteText"/>
      </w:pPr>
      <w:r>
        <w:rPr>
          <w:rStyle w:val="FootnoteReference"/>
        </w:rPr>
        <w:footnoteRef/>
      </w:r>
      <w:r>
        <w:t xml:space="preserve"> Exhibit TRN-01 at 47.</w:t>
      </w:r>
    </w:p>
  </w:footnote>
  <w:footnote w:id="231">
    <w:p w14:paraId="63DF778B" w14:textId="25128288" w:rsidR="00E265D6" w:rsidRDefault="00E265D6">
      <w:pPr>
        <w:pStyle w:val="FootnoteText"/>
      </w:pPr>
      <w:r>
        <w:rPr>
          <w:rStyle w:val="FootnoteReference"/>
        </w:rPr>
        <w:footnoteRef/>
      </w:r>
      <w:r>
        <w:t xml:space="preserve"> </w:t>
      </w:r>
      <w:r w:rsidR="00F940C2">
        <w:t xml:space="preserve">Exhibit TRN-01 at </w:t>
      </w:r>
      <w:r w:rsidR="004E6F78">
        <w:t>46 – 47</w:t>
      </w:r>
      <w:r w:rsidR="00F940C2">
        <w:t>.</w:t>
      </w:r>
    </w:p>
  </w:footnote>
  <w:footnote w:id="232">
    <w:p w14:paraId="3481D8D8" w14:textId="69B16FF8" w:rsidR="00C01E19" w:rsidRDefault="00C01E19" w:rsidP="00C01E19">
      <w:pPr>
        <w:pStyle w:val="FootnoteText"/>
      </w:pPr>
      <w:r>
        <w:rPr>
          <w:rStyle w:val="FootnoteReference"/>
        </w:rPr>
        <w:footnoteRef/>
      </w:r>
      <w:r>
        <w:t xml:space="preserve"> Exhibit </w:t>
      </w:r>
      <w:r w:rsidRPr="00104256">
        <w:t>EIT-01</w:t>
      </w:r>
      <w:r>
        <w:t xml:space="preserve"> at </w:t>
      </w:r>
      <w:r w:rsidR="00490F10">
        <w:t>17 – 18</w:t>
      </w:r>
      <w:r>
        <w:t>.</w:t>
      </w:r>
    </w:p>
  </w:footnote>
  <w:footnote w:id="233">
    <w:p w14:paraId="7CB473E0" w14:textId="53B5AB55" w:rsidR="00F01C81" w:rsidRDefault="00F01C81">
      <w:pPr>
        <w:pStyle w:val="FootnoteText"/>
      </w:pPr>
      <w:r>
        <w:rPr>
          <w:rStyle w:val="FootnoteReference"/>
        </w:rPr>
        <w:footnoteRef/>
      </w:r>
      <w:r>
        <w:t xml:space="preserve"> Exhibit </w:t>
      </w:r>
      <w:r w:rsidRPr="00104256">
        <w:t>EIT-01</w:t>
      </w:r>
      <w:r>
        <w:t xml:space="preserve"> at 18.</w:t>
      </w:r>
    </w:p>
  </w:footnote>
  <w:footnote w:id="234">
    <w:p w14:paraId="7468AE35" w14:textId="257048A9" w:rsidR="00C01E19" w:rsidRDefault="00C01E19" w:rsidP="00C01E19">
      <w:pPr>
        <w:pStyle w:val="FootnoteText"/>
      </w:pPr>
      <w:r>
        <w:rPr>
          <w:rStyle w:val="FootnoteReference"/>
        </w:rPr>
        <w:footnoteRef/>
      </w:r>
      <w:r>
        <w:t xml:space="preserve"> Cal Advocates R</w:t>
      </w:r>
      <w:r w:rsidR="009B3B5C">
        <w:t>eply</w:t>
      </w:r>
      <w:r>
        <w:t xml:space="preserve"> Brief at 19.</w:t>
      </w:r>
    </w:p>
  </w:footnote>
  <w:footnote w:id="235">
    <w:p w14:paraId="6A981BF5" w14:textId="41860385" w:rsidR="007B54BC" w:rsidRDefault="007B54BC">
      <w:pPr>
        <w:pStyle w:val="FootnoteText"/>
      </w:pPr>
      <w:r>
        <w:rPr>
          <w:rStyle w:val="FootnoteReference"/>
        </w:rPr>
        <w:footnoteRef/>
      </w:r>
      <w:r>
        <w:t xml:space="preserve"> PG&amp;E Opening Brief at </w:t>
      </w:r>
      <w:r w:rsidR="005054D1">
        <w:t>76</w:t>
      </w:r>
      <w:r w:rsidR="00B7204C">
        <w:t xml:space="preserve">, SCE Opening Brief at 56, </w:t>
      </w:r>
      <w:r w:rsidR="00072BBD">
        <w:t>SDG&amp;E Opening Brief at 37,</w:t>
      </w:r>
      <w:r w:rsidR="009B0BDA">
        <w:t xml:space="preserve"> SoCalGas Opening Brief at 69.</w:t>
      </w:r>
    </w:p>
  </w:footnote>
  <w:footnote w:id="236">
    <w:p w14:paraId="76C4C784" w14:textId="1D5E0D7D" w:rsidR="007468C3" w:rsidRDefault="007468C3">
      <w:pPr>
        <w:pStyle w:val="FootnoteText"/>
      </w:pPr>
      <w:r>
        <w:rPr>
          <w:rStyle w:val="FootnoteReference"/>
        </w:rPr>
        <w:footnoteRef/>
      </w:r>
      <w:r>
        <w:t xml:space="preserve"> Exhibit EDF-01 at 66.</w:t>
      </w:r>
    </w:p>
  </w:footnote>
  <w:footnote w:id="237">
    <w:p w14:paraId="0E4AEDDB" w14:textId="10F0B70A" w:rsidR="0060517B" w:rsidRDefault="0060517B">
      <w:pPr>
        <w:pStyle w:val="FootnoteText"/>
      </w:pPr>
      <w:r>
        <w:rPr>
          <w:rStyle w:val="FootnoteReference"/>
        </w:rPr>
        <w:footnoteRef/>
      </w:r>
      <w:r>
        <w:t xml:space="preserve"> Exhibit EDF-01 </w:t>
      </w:r>
      <w:r w:rsidR="007468C3">
        <w:t>at 67.</w:t>
      </w:r>
    </w:p>
  </w:footnote>
  <w:footnote w:id="238">
    <w:p w14:paraId="51C0ED66" w14:textId="091F2E6A" w:rsidR="003950C6" w:rsidRDefault="003950C6">
      <w:pPr>
        <w:pStyle w:val="FootnoteText"/>
      </w:pPr>
      <w:r>
        <w:rPr>
          <w:rStyle w:val="FootnoteReference"/>
        </w:rPr>
        <w:footnoteRef/>
      </w:r>
      <w:r>
        <w:t xml:space="preserve"> Exhibit WTF-01 at 82</w:t>
      </w:r>
    </w:p>
  </w:footnote>
  <w:footnote w:id="239">
    <w:p w14:paraId="4C40DBB7" w14:textId="14C774EE" w:rsidR="00963394" w:rsidRDefault="00963394">
      <w:pPr>
        <w:pStyle w:val="FootnoteText"/>
      </w:pPr>
      <w:r>
        <w:rPr>
          <w:rStyle w:val="FootnoteReference"/>
        </w:rPr>
        <w:footnoteRef/>
      </w:r>
      <w:r>
        <w:t xml:space="preserve"> EPUC/IS Opening Brief at 104.</w:t>
      </w:r>
    </w:p>
  </w:footnote>
  <w:footnote w:id="240">
    <w:p w14:paraId="40135719" w14:textId="631A3577" w:rsidR="008F3308" w:rsidRDefault="008F3308">
      <w:pPr>
        <w:pStyle w:val="FootnoteText"/>
      </w:pPr>
      <w:r>
        <w:rPr>
          <w:rStyle w:val="FootnoteReference"/>
        </w:rPr>
        <w:footnoteRef/>
      </w:r>
      <w:r>
        <w:t xml:space="preserve"> Exhibit WTF-01 at 81. </w:t>
      </w:r>
    </w:p>
  </w:footnote>
  <w:footnote w:id="241">
    <w:p w14:paraId="6BF449B5" w14:textId="77777777" w:rsidR="004E6501" w:rsidRDefault="004E6501" w:rsidP="004E6501">
      <w:pPr>
        <w:pStyle w:val="FootnoteText"/>
      </w:pPr>
      <w:r>
        <w:rPr>
          <w:rStyle w:val="FootnoteReference"/>
        </w:rPr>
        <w:footnoteRef/>
      </w:r>
      <w:r>
        <w:t xml:space="preserve"> EPUC/IS Opening Brief at 104.</w:t>
      </w:r>
    </w:p>
  </w:footnote>
  <w:footnote w:id="242">
    <w:p w14:paraId="3C88490F" w14:textId="77777777" w:rsidR="00930AE3" w:rsidRDefault="00930AE3" w:rsidP="00930AE3">
      <w:pPr>
        <w:pStyle w:val="FootnoteText"/>
      </w:pPr>
      <w:r>
        <w:rPr>
          <w:rStyle w:val="FootnoteReference"/>
        </w:rPr>
        <w:footnoteRef/>
      </w:r>
      <w:r>
        <w:t xml:space="preserve"> A.24-10-008 at 24.</w:t>
      </w:r>
    </w:p>
  </w:footnote>
  <w:footnote w:id="243">
    <w:p w14:paraId="316BB9C8" w14:textId="77777777" w:rsidR="00192837" w:rsidRDefault="00192837" w:rsidP="00192837">
      <w:pPr>
        <w:pStyle w:val="FootnoteText"/>
      </w:pPr>
      <w:r>
        <w:rPr>
          <w:rStyle w:val="FootnoteReference"/>
        </w:rPr>
        <w:footnoteRef/>
      </w:r>
      <w:r>
        <w:t xml:space="preserve"> August 29, 2025, Filing of Stipulated Facts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7672" w14:textId="77777777" w:rsidR="00E20F67" w:rsidRDefault="00E20F67" w:rsidP="00E20F67">
    <w:pPr>
      <w:pStyle w:val="Header"/>
      <w:ind w:firstLine="0"/>
      <w:rPr>
        <w:b/>
      </w:rPr>
    </w:pPr>
  </w:p>
  <w:p w14:paraId="67C6BEC3" w14:textId="77777777" w:rsidR="00E20F67" w:rsidRPr="00585390" w:rsidRDefault="00E20F67" w:rsidP="00E20F67">
    <w:pPr>
      <w:pStyle w:val="Header"/>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6D86" w14:textId="24790339" w:rsidR="00E23CBB" w:rsidRDefault="007C5912" w:rsidP="00EE4315">
    <w:pPr>
      <w:pStyle w:val="Header"/>
      <w:tabs>
        <w:tab w:val="clear" w:pos="4680"/>
      </w:tabs>
      <w:ind w:firstLine="0"/>
      <w:rPr>
        <w:b/>
      </w:rPr>
    </w:pPr>
    <w:r>
      <w:t>ALJ/JLQ/asf</w:t>
    </w:r>
    <w:r w:rsidR="00E23CBB">
      <w:tab/>
    </w:r>
  </w:p>
  <w:p w14:paraId="4B792BE2" w14:textId="77777777" w:rsidR="007C5912" w:rsidRPr="007C5912" w:rsidRDefault="007C5912" w:rsidP="007C5912">
    <w:pPr>
      <w:pStyle w:val="Header"/>
      <w:tabs>
        <w:tab w:val="clear" w:pos="4680"/>
      </w:tabs>
      <w:ind w:firstLine="0"/>
      <w:rPr>
        <w:i/>
        <w:color w:val="FF0000"/>
      </w:rPr>
    </w:pPr>
  </w:p>
  <w:p w14:paraId="7E3BF27D" w14:textId="7E4E5F04" w:rsidR="00B3087D" w:rsidRPr="00B3087D" w:rsidRDefault="00B3087D" w:rsidP="007C5912">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50D1" w14:textId="517D5CD3" w:rsidR="00FE2351" w:rsidRDefault="00D438EA" w:rsidP="00EE4315">
    <w:pPr>
      <w:pStyle w:val="Header"/>
      <w:tabs>
        <w:tab w:val="clear" w:pos="4680"/>
      </w:tabs>
      <w:ind w:firstLine="0"/>
      <w:rPr>
        <w:b/>
      </w:rPr>
    </w:pPr>
    <w:r>
      <w:t xml:space="preserve">A.25-03-010 et al. </w:t>
    </w:r>
    <w:r w:rsidR="006D0D56">
      <w:t>ALJ/JLQ/asf</w:t>
    </w:r>
    <w:r w:rsidR="00FE2351">
      <w:tab/>
    </w:r>
  </w:p>
  <w:p w14:paraId="71998848" w14:textId="08D488E1" w:rsidR="00FE2351" w:rsidRDefault="00FE2351" w:rsidP="006D0D56">
    <w:pPr>
      <w:pStyle w:val="Header"/>
      <w:tabs>
        <w:tab w:val="clear" w:pos="4680"/>
      </w:tabs>
      <w:ind w:firstLine="0"/>
      <w:rPr>
        <w:i/>
        <w:color w:val="FF0000"/>
      </w:rPr>
    </w:pPr>
  </w:p>
  <w:p w14:paraId="79C945F0" w14:textId="77777777" w:rsidR="006D0D56" w:rsidRPr="00B3087D" w:rsidRDefault="006D0D56" w:rsidP="006D0D56">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6E5A18"/>
    <w:multiLevelType w:val="hybridMultilevel"/>
    <w:tmpl w:val="28C8E670"/>
    <w:lvl w:ilvl="0" w:tplc="DC46E86E">
      <w:start w:val="1"/>
      <w:numFmt w:val="bullet"/>
      <w:lvlText w:val=""/>
      <w:lvlJc w:val="left"/>
      <w:pPr>
        <w:ind w:left="1020" w:hanging="360"/>
      </w:pPr>
      <w:rPr>
        <w:rFonts w:ascii="Symbol" w:hAnsi="Symbol"/>
      </w:rPr>
    </w:lvl>
    <w:lvl w:ilvl="1" w:tplc="7C3C86AA">
      <w:start w:val="1"/>
      <w:numFmt w:val="bullet"/>
      <w:lvlText w:val=""/>
      <w:lvlJc w:val="left"/>
      <w:pPr>
        <w:ind w:left="1020" w:hanging="360"/>
      </w:pPr>
      <w:rPr>
        <w:rFonts w:ascii="Symbol" w:hAnsi="Symbol"/>
      </w:rPr>
    </w:lvl>
    <w:lvl w:ilvl="2" w:tplc="CFF21E9E">
      <w:start w:val="1"/>
      <w:numFmt w:val="bullet"/>
      <w:lvlText w:val=""/>
      <w:lvlJc w:val="left"/>
      <w:pPr>
        <w:ind w:left="1020" w:hanging="360"/>
      </w:pPr>
      <w:rPr>
        <w:rFonts w:ascii="Symbol" w:hAnsi="Symbol"/>
      </w:rPr>
    </w:lvl>
    <w:lvl w:ilvl="3" w:tplc="EDC2C916">
      <w:start w:val="1"/>
      <w:numFmt w:val="bullet"/>
      <w:lvlText w:val=""/>
      <w:lvlJc w:val="left"/>
      <w:pPr>
        <w:ind w:left="1020" w:hanging="360"/>
      </w:pPr>
      <w:rPr>
        <w:rFonts w:ascii="Symbol" w:hAnsi="Symbol"/>
      </w:rPr>
    </w:lvl>
    <w:lvl w:ilvl="4" w:tplc="C59EE728">
      <w:start w:val="1"/>
      <w:numFmt w:val="bullet"/>
      <w:lvlText w:val=""/>
      <w:lvlJc w:val="left"/>
      <w:pPr>
        <w:ind w:left="1020" w:hanging="360"/>
      </w:pPr>
      <w:rPr>
        <w:rFonts w:ascii="Symbol" w:hAnsi="Symbol"/>
      </w:rPr>
    </w:lvl>
    <w:lvl w:ilvl="5" w:tplc="8A80B6AA">
      <w:start w:val="1"/>
      <w:numFmt w:val="bullet"/>
      <w:lvlText w:val=""/>
      <w:lvlJc w:val="left"/>
      <w:pPr>
        <w:ind w:left="1020" w:hanging="360"/>
      </w:pPr>
      <w:rPr>
        <w:rFonts w:ascii="Symbol" w:hAnsi="Symbol"/>
      </w:rPr>
    </w:lvl>
    <w:lvl w:ilvl="6" w:tplc="124AFD5C">
      <w:start w:val="1"/>
      <w:numFmt w:val="bullet"/>
      <w:lvlText w:val=""/>
      <w:lvlJc w:val="left"/>
      <w:pPr>
        <w:ind w:left="1020" w:hanging="360"/>
      </w:pPr>
      <w:rPr>
        <w:rFonts w:ascii="Symbol" w:hAnsi="Symbol"/>
      </w:rPr>
    </w:lvl>
    <w:lvl w:ilvl="7" w:tplc="3F5401CA">
      <w:start w:val="1"/>
      <w:numFmt w:val="bullet"/>
      <w:lvlText w:val=""/>
      <w:lvlJc w:val="left"/>
      <w:pPr>
        <w:ind w:left="1020" w:hanging="360"/>
      </w:pPr>
      <w:rPr>
        <w:rFonts w:ascii="Symbol" w:hAnsi="Symbol"/>
      </w:rPr>
    </w:lvl>
    <w:lvl w:ilvl="8" w:tplc="F3CA0DA8">
      <w:start w:val="1"/>
      <w:numFmt w:val="bullet"/>
      <w:lvlText w:val=""/>
      <w:lvlJc w:val="left"/>
      <w:pPr>
        <w:ind w:left="1020" w:hanging="360"/>
      </w:pPr>
      <w:rPr>
        <w:rFonts w:ascii="Symbol" w:hAnsi="Symbol"/>
      </w:rPr>
    </w:lvl>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D32699B"/>
    <w:multiLevelType w:val="hybridMultilevel"/>
    <w:tmpl w:val="C32882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3B0818"/>
    <w:multiLevelType w:val="hybridMultilevel"/>
    <w:tmpl w:val="521C7102"/>
    <w:lvl w:ilvl="0" w:tplc="D9F89172">
      <w:start w:val="1"/>
      <w:numFmt w:val="bullet"/>
      <w:lvlText w:val=""/>
      <w:lvlJc w:val="left"/>
      <w:pPr>
        <w:tabs>
          <w:tab w:val="num" w:pos="720"/>
        </w:tabs>
        <w:ind w:left="720" w:hanging="360"/>
      </w:pPr>
      <w:rPr>
        <w:rFonts w:ascii="Symbol" w:hAnsi="Symbol" w:hint="default"/>
      </w:rPr>
    </w:lvl>
    <w:lvl w:ilvl="1" w:tplc="690ED648" w:tentative="1">
      <w:start w:val="1"/>
      <w:numFmt w:val="bullet"/>
      <w:lvlText w:val=""/>
      <w:lvlJc w:val="left"/>
      <w:pPr>
        <w:tabs>
          <w:tab w:val="num" w:pos="1440"/>
        </w:tabs>
        <w:ind w:left="1440" w:hanging="360"/>
      </w:pPr>
      <w:rPr>
        <w:rFonts w:ascii="Symbol" w:hAnsi="Symbol" w:hint="default"/>
      </w:rPr>
    </w:lvl>
    <w:lvl w:ilvl="2" w:tplc="402EA510" w:tentative="1">
      <w:start w:val="1"/>
      <w:numFmt w:val="bullet"/>
      <w:lvlText w:val=""/>
      <w:lvlJc w:val="left"/>
      <w:pPr>
        <w:tabs>
          <w:tab w:val="num" w:pos="2160"/>
        </w:tabs>
        <w:ind w:left="2160" w:hanging="360"/>
      </w:pPr>
      <w:rPr>
        <w:rFonts w:ascii="Symbol" w:hAnsi="Symbol" w:hint="default"/>
      </w:rPr>
    </w:lvl>
    <w:lvl w:ilvl="3" w:tplc="0AC8F11E" w:tentative="1">
      <w:start w:val="1"/>
      <w:numFmt w:val="bullet"/>
      <w:lvlText w:val=""/>
      <w:lvlJc w:val="left"/>
      <w:pPr>
        <w:tabs>
          <w:tab w:val="num" w:pos="2880"/>
        </w:tabs>
        <w:ind w:left="2880" w:hanging="360"/>
      </w:pPr>
      <w:rPr>
        <w:rFonts w:ascii="Symbol" w:hAnsi="Symbol" w:hint="default"/>
      </w:rPr>
    </w:lvl>
    <w:lvl w:ilvl="4" w:tplc="B504ECD4" w:tentative="1">
      <w:start w:val="1"/>
      <w:numFmt w:val="bullet"/>
      <w:lvlText w:val=""/>
      <w:lvlJc w:val="left"/>
      <w:pPr>
        <w:tabs>
          <w:tab w:val="num" w:pos="3600"/>
        </w:tabs>
        <w:ind w:left="3600" w:hanging="360"/>
      </w:pPr>
      <w:rPr>
        <w:rFonts w:ascii="Symbol" w:hAnsi="Symbol" w:hint="default"/>
      </w:rPr>
    </w:lvl>
    <w:lvl w:ilvl="5" w:tplc="1B8AE308" w:tentative="1">
      <w:start w:val="1"/>
      <w:numFmt w:val="bullet"/>
      <w:lvlText w:val=""/>
      <w:lvlJc w:val="left"/>
      <w:pPr>
        <w:tabs>
          <w:tab w:val="num" w:pos="4320"/>
        </w:tabs>
        <w:ind w:left="4320" w:hanging="360"/>
      </w:pPr>
      <w:rPr>
        <w:rFonts w:ascii="Symbol" w:hAnsi="Symbol" w:hint="default"/>
      </w:rPr>
    </w:lvl>
    <w:lvl w:ilvl="6" w:tplc="3D8EC300" w:tentative="1">
      <w:start w:val="1"/>
      <w:numFmt w:val="bullet"/>
      <w:lvlText w:val=""/>
      <w:lvlJc w:val="left"/>
      <w:pPr>
        <w:tabs>
          <w:tab w:val="num" w:pos="5040"/>
        </w:tabs>
        <w:ind w:left="5040" w:hanging="360"/>
      </w:pPr>
      <w:rPr>
        <w:rFonts w:ascii="Symbol" w:hAnsi="Symbol" w:hint="default"/>
      </w:rPr>
    </w:lvl>
    <w:lvl w:ilvl="7" w:tplc="5C64DD7E" w:tentative="1">
      <w:start w:val="1"/>
      <w:numFmt w:val="bullet"/>
      <w:lvlText w:val=""/>
      <w:lvlJc w:val="left"/>
      <w:pPr>
        <w:tabs>
          <w:tab w:val="num" w:pos="5760"/>
        </w:tabs>
        <w:ind w:left="5760" w:hanging="360"/>
      </w:pPr>
      <w:rPr>
        <w:rFonts w:ascii="Symbol" w:hAnsi="Symbol" w:hint="default"/>
      </w:rPr>
    </w:lvl>
    <w:lvl w:ilvl="8" w:tplc="E2BA8C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3E3648C"/>
    <w:multiLevelType w:val="hybridMultilevel"/>
    <w:tmpl w:val="1DD03718"/>
    <w:lvl w:ilvl="0" w:tplc="1F80CFBC">
      <w:start w:val="1"/>
      <w:numFmt w:val="bullet"/>
      <w:lvlText w:val=""/>
      <w:lvlJc w:val="left"/>
      <w:pPr>
        <w:ind w:left="1800" w:hanging="360"/>
      </w:pPr>
      <w:rPr>
        <w:rFonts w:ascii="Symbol" w:hAnsi="Symbol"/>
      </w:rPr>
    </w:lvl>
    <w:lvl w:ilvl="1" w:tplc="0FB60FB4">
      <w:start w:val="1"/>
      <w:numFmt w:val="bullet"/>
      <w:lvlText w:val=""/>
      <w:lvlJc w:val="left"/>
      <w:pPr>
        <w:ind w:left="1800" w:hanging="360"/>
      </w:pPr>
      <w:rPr>
        <w:rFonts w:ascii="Symbol" w:hAnsi="Symbol"/>
      </w:rPr>
    </w:lvl>
    <w:lvl w:ilvl="2" w:tplc="BB60DD78">
      <w:start w:val="1"/>
      <w:numFmt w:val="bullet"/>
      <w:lvlText w:val=""/>
      <w:lvlJc w:val="left"/>
      <w:pPr>
        <w:ind w:left="1800" w:hanging="360"/>
      </w:pPr>
      <w:rPr>
        <w:rFonts w:ascii="Symbol" w:hAnsi="Symbol"/>
      </w:rPr>
    </w:lvl>
    <w:lvl w:ilvl="3" w:tplc="02722B48">
      <w:start w:val="1"/>
      <w:numFmt w:val="bullet"/>
      <w:lvlText w:val=""/>
      <w:lvlJc w:val="left"/>
      <w:pPr>
        <w:ind w:left="1800" w:hanging="360"/>
      </w:pPr>
      <w:rPr>
        <w:rFonts w:ascii="Symbol" w:hAnsi="Symbol"/>
      </w:rPr>
    </w:lvl>
    <w:lvl w:ilvl="4" w:tplc="EB8617EE">
      <w:start w:val="1"/>
      <w:numFmt w:val="bullet"/>
      <w:lvlText w:val=""/>
      <w:lvlJc w:val="left"/>
      <w:pPr>
        <w:ind w:left="1800" w:hanging="360"/>
      </w:pPr>
      <w:rPr>
        <w:rFonts w:ascii="Symbol" w:hAnsi="Symbol"/>
      </w:rPr>
    </w:lvl>
    <w:lvl w:ilvl="5" w:tplc="6C8EF46C">
      <w:start w:val="1"/>
      <w:numFmt w:val="bullet"/>
      <w:lvlText w:val=""/>
      <w:lvlJc w:val="left"/>
      <w:pPr>
        <w:ind w:left="1800" w:hanging="360"/>
      </w:pPr>
      <w:rPr>
        <w:rFonts w:ascii="Symbol" w:hAnsi="Symbol"/>
      </w:rPr>
    </w:lvl>
    <w:lvl w:ilvl="6" w:tplc="6EFAD634">
      <w:start w:val="1"/>
      <w:numFmt w:val="bullet"/>
      <w:lvlText w:val=""/>
      <w:lvlJc w:val="left"/>
      <w:pPr>
        <w:ind w:left="1800" w:hanging="360"/>
      </w:pPr>
      <w:rPr>
        <w:rFonts w:ascii="Symbol" w:hAnsi="Symbol"/>
      </w:rPr>
    </w:lvl>
    <w:lvl w:ilvl="7" w:tplc="460A7B50">
      <w:start w:val="1"/>
      <w:numFmt w:val="bullet"/>
      <w:lvlText w:val=""/>
      <w:lvlJc w:val="left"/>
      <w:pPr>
        <w:ind w:left="1800" w:hanging="360"/>
      </w:pPr>
      <w:rPr>
        <w:rFonts w:ascii="Symbol" w:hAnsi="Symbol"/>
      </w:rPr>
    </w:lvl>
    <w:lvl w:ilvl="8" w:tplc="18E2F098">
      <w:start w:val="1"/>
      <w:numFmt w:val="bullet"/>
      <w:lvlText w:val=""/>
      <w:lvlJc w:val="left"/>
      <w:pPr>
        <w:ind w:left="1800" w:hanging="360"/>
      </w:pPr>
      <w:rPr>
        <w:rFonts w:ascii="Symbol" w:hAnsi="Symbol"/>
      </w:r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5BE22B8F"/>
    <w:multiLevelType w:val="hybridMultilevel"/>
    <w:tmpl w:val="C374F15E"/>
    <w:lvl w:ilvl="0" w:tplc="D9E6EB4E">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A25780"/>
    <w:multiLevelType w:val="multilevel"/>
    <w:tmpl w:val="3C526EDE"/>
    <w:numStyleLink w:val="Headings"/>
  </w:abstractNum>
  <w:abstractNum w:abstractNumId="18" w15:restartNumberingAfterBreak="0">
    <w:nsid w:val="6E64522B"/>
    <w:multiLevelType w:val="multilevel"/>
    <w:tmpl w:val="6C8C916A"/>
    <w:lvl w:ilvl="0">
      <w:start w:val="1"/>
      <w:numFmt w:val="decimal"/>
      <w:lvlText w:val="%1."/>
      <w:lvlJc w:val="left"/>
      <w:pPr>
        <w:tabs>
          <w:tab w:val="num" w:pos="2790"/>
        </w:tabs>
        <w:ind w:left="279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ind w:left="1080" w:hanging="360"/>
      </w:p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18F4A5AC"/>
    <w:numStyleLink w:val="FoFCoLOP"/>
  </w:abstractNum>
  <w:abstractNum w:abstractNumId="21" w15:restartNumberingAfterBreak="0">
    <w:nsid w:val="7E792BCF"/>
    <w:multiLevelType w:val="hybridMultilevel"/>
    <w:tmpl w:val="7F740024"/>
    <w:lvl w:ilvl="0" w:tplc="31DAF772">
      <w:start w:val="9"/>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526949">
    <w:abstractNumId w:val="15"/>
  </w:num>
  <w:num w:numId="2" w16cid:durableId="140774137">
    <w:abstractNumId w:val="1"/>
  </w:num>
  <w:num w:numId="3" w16cid:durableId="1898543446">
    <w:abstractNumId w:val="14"/>
  </w:num>
  <w:num w:numId="4" w16cid:durableId="701521005">
    <w:abstractNumId w:val="2"/>
  </w:num>
  <w:num w:numId="5" w16cid:durableId="2017029027">
    <w:abstractNumId w:val="20"/>
  </w:num>
  <w:num w:numId="6" w16cid:durableId="973756952">
    <w:abstractNumId w:val="10"/>
  </w:num>
  <w:num w:numId="7" w16cid:durableId="827667741">
    <w:abstractNumId w:val="5"/>
  </w:num>
  <w:num w:numId="8" w16cid:durableId="1760327020">
    <w:abstractNumId w:val="19"/>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9"/>
  </w:num>
  <w:num w:numId="15" w16cid:durableId="1714382259">
    <w:abstractNumId w:val="17"/>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8994240">
    <w:abstractNumId w:val="18"/>
  </w:num>
  <w:num w:numId="19" w16cid:durableId="1708139799">
    <w:abstractNumId w:val="11"/>
  </w:num>
  <w:num w:numId="20" w16cid:durableId="360323427">
    <w:abstractNumId w:val="8"/>
  </w:num>
  <w:num w:numId="21" w16cid:durableId="1388644442">
    <w:abstractNumId w:val="21"/>
  </w:num>
  <w:num w:numId="22" w16cid:durableId="1074812809">
    <w:abstractNumId w:val="17"/>
  </w:num>
  <w:num w:numId="23" w16cid:durableId="214515058">
    <w:abstractNumId w:val="12"/>
  </w:num>
  <w:num w:numId="24" w16cid:durableId="2080324691">
    <w:abstractNumId w:val="16"/>
  </w:num>
  <w:num w:numId="25" w16cid:durableId="105454978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F5"/>
    <w:rsid w:val="00000815"/>
    <w:rsid w:val="00000C67"/>
    <w:rsid w:val="00000F6A"/>
    <w:rsid w:val="00001048"/>
    <w:rsid w:val="0000122C"/>
    <w:rsid w:val="000016DC"/>
    <w:rsid w:val="00001FEC"/>
    <w:rsid w:val="00002200"/>
    <w:rsid w:val="000023E0"/>
    <w:rsid w:val="00003210"/>
    <w:rsid w:val="00003C42"/>
    <w:rsid w:val="00003D7D"/>
    <w:rsid w:val="00003E83"/>
    <w:rsid w:val="00004686"/>
    <w:rsid w:val="00004786"/>
    <w:rsid w:val="000053AF"/>
    <w:rsid w:val="000054A1"/>
    <w:rsid w:val="00005740"/>
    <w:rsid w:val="00005985"/>
    <w:rsid w:val="00006315"/>
    <w:rsid w:val="0000643B"/>
    <w:rsid w:val="0000652F"/>
    <w:rsid w:val="00006843"/>
    <w:rsid w:val="00007E23"/>
    <w:rsid w:val="000102F2"/>
    <w:rsid w:val="000106B8"/>
    <w:rsid w:val="00010A0D"/>
    <w:rsid w:val="00010B11"/>
    <w:rsid w:val="00010C7C"/>
    <w:rsid w:val="0001157B"/>
    <w:rsid w:val="0001164B"/>
    <w:rsid w:val="00011788"/>
    <w:rsid w:val="000119A7"/>
    <w:rsid w:val="00011D38"/>
    <w:rsid w:val="00012161"/>
    <w:rsid w:val="000130A0"/>
    <w:rsid w:val="000130F6"/>
    <w:rsid w:val="00013A29"/>
    <w:rsid w:val="0001460E"/>
    <w:rsid w:val="00014615"/>
    <w:rsid w:val="00014DE4"/>
    <w:rsid w:val="00016937"/>
    <w:rsid w:val="00016C38"/>
    <w:rsid w:val="0001798C"/>
    <w:rsid w:val="0002033B"/>
    <w:rsid w:val="00021BA1"/>
    <w:rsid w:val="0002214F"/>
    <w:rsid w:val="00022BA5"/>
    <w:rsid w:val="00023011"/>
    <w:rsid w:val="000237B5"/>
    <w:rsid w:val="0002558D"/>
    <w:rsid w:val="000262A4"/>
    <w:rsid w:val="00027A79"/>
    <w:rsid w:val="000312E2"/>
    <w:rsid w:val="00031368"/>
    <w:rsid w:val="000318E7"/>
    <w:rsid w:val="00032389"/>
    <w:rsid w:val="000338EF"/>
    <w:rsid w:val="00033F8A"/>
    <w:rsid w:val="00034532"/>
    <w:rsid w:val="0003528F"/>
    <w:rsid w:val="00040271"/>
    <w:rsid w:val="0004099A"/>
    <w:rsid w:val="000409E3"/>
    <w:rsid w:val="00041269"/>
    <w:rsid w:val="000413BF"/>
    <w:rsid w:val="000418F3"/>
    <w:rsid w:val="00041BFC"/>
    <w:rsid w:val="000427F5"/>
    <w:rsid w:val="00042949"/>
    <w:rsid w:val="000430EE"/>
    <w:rsid w:val="000442FA"/>
    <w:rsid w:val="00044634"/>
    <w:rsid w:val="000449D0"/>
    <w:rsid w:val="000450EC"/>
    <w:rsid w:val="00047C73"/>
    <w:rsid w:val="00047E98"/>
    <w:rsid w:val="000502CE"/>
    <w:rsid w:val="000526DB"/>
    <w:rsid w:val="000528E0"/>
    <w:rsid w:val="00053750"/>
    <w:rsid w:val="00054051"/>
    <w:rsid w:val="0005480C"/>
    <w:rsid w:val="000552BB"/>
    <w:rsid w:val="000552C9"/>
    <w:rsid w:val="0005599A"/>
    <w:rsid w:val="00055B7C"/>
    <w:rsid w:val="00055D30"/>
    <w:rsid w:val="00056788"/>
    <w:rsid w:val="00056AF4"/>
    <w:rsid w:val="00056EFA"/>
    <w:rsid w:val="00056FDF"/>
    <w:rsid w:val="00060C45"/>
    <w:rsid w:val="0006141D"/>
    <w:rsid w:val="0006155B"/>
    <w:rsid w:val="00061676"/>
    <w:rsid w:val="00061E2B"/>
    <w:rsid w:val="00062710"/>
    <w:rsid w:val="0006282E"/>
    <w:rsid w:val="000651EF"/>
    <w:rsid w:val="00065457"/>
    <w:rsid w:val="000655CD"/>
    <w:rsid w:val="00066E8A"/>
    <w:rsid w:val="00070245"/>
    <w:rsid w:val="0007048A"/>
    <w:rsid w:val="0007115A"/>
    <w:rsid w:val="00072029"/>
    <w:rsid w:val="00072618"/>
    <w:rsid w:val="00072BBD"/>
    <w:rsid w:val="00072D03"/>
    <w:rsid w:val="00072F1C"/>
    <w:rsid w:val="00073656"/>
    <w:rsid w:val="000737DA"/>
    <w:rsid w:val="00073F2C"/>
    <w:rsid w:val="00074CD9"/>
    <w:rsid w:val="00075913"/>
    <w:rsid w:val="00075E38"/>
    <w:rsid w:val="00076686"/>
    <w:rsid w:val="00076CE6"/>
    <w:rsid w:val="00077ED7"/>
    <w:rsid w:val="0008087B"/>
    <w:rsid w:val="00080E2E"/>
    <w:rsid w:val="0008324B"/>
    <w:rsid w:val="000842BF"/>
    <w:rsid w:val="00084540"/>
    <w:rsid w:val="0008460B"/>
    <w:rsid w:val="000848A3"/>
    <w:rsid w:val="000850F7"/>
    <w:rsid w:val="0008599F"/>
    <w:rsid w:val="0008612A"/>
    <w:rsid w:val="00086480"/>
    <w:rsid w:val="00086DB3"/>
    <w:rsid w:val="000874C9"/>
    <w:rsid w:val="00090196"/>
    <w:rsid w:val="000905BB"/>
    <w:rsid w:val="00090669"/>
    <w:rsid w:val="00090B11"/>
    <w:rsid w:val="00090E2E"/>
    <w:rsid w:val="0009196E"/>
    <w:rsid w:val="000927BC"/>
    <w:rsid w:val="000939E1"/>
    <w:rsid w:val="00093FCE"/>
    <w:rsid w:val="000946CC"/>
    <w:rsid w:val="0009541B"/>
    <w:rsid w:val="000958DB"/>
    <w:rsid w:val="00095EA3"/>
    <w:rsid w:val="00096877"/>
    <w:rsid w:val="00096EA9"/>
    <w:rsid w:val="000973C8"/>
    <w:rsid w:val="000975E0"/>
    <w:rsid w:val="00097602"/>
    <w:rsid w:val="000A027A"/>
    <w:rsid w:val="000A064E"/>
    <w:rsid w:val="000A0B0E"/>
    <w:rsid w:val="000A1134"/>
    <w:rsid w:val="000A19DF"/>
    <w:rsid w:val="000A1A3B"/>
    <w:rsid w:val="000A26EA"/>
    <w:rsid w:val="000A2AA9"/>
    <w:rsid w:val="000A2E98"/>
    <w:rsid w:val="000A3221"/>
    <w:rsid w:val="000A53BE"/>
    <w:rsid w:val="000A56F2"/>
    <w:rsid w:val="000A59F7"/>
    <w:rsid w:val="000A5BB6"/>
    <w:rsid w:val="000A6200"/>
    <w:rsid w:val="000A673D"/>
    <w:rsid w:val="000A6E05"/>
    <w:rsid w:val="000A7D97"/>
    <w:rsid w:val="000B09D3"/>
    <w:rsid w:val="000B12FA"/>
    <w:rsid w:val="000B15BE"/>
    <w:rsid w:val="000B32CE"/>
    <w:rsid w:val="000B379F"/>
    <w:rsid w:val="000B4A57"/>
    <w:rsid w:val="000B556D"/>
    <w:rsid w:val="000B5A9F"/>
    <w:rsid w:val="000B5FCA"/>
    <w:rsid w:val="000B6227"/>
    <w:rsid w:val="000B6417"/>
    <w:rsid w:val="000B6899"/>
    <w:rsid w:val="000C02CE"/>
    <w:rsid w:val="000C08BF"/>
    <w:rsid w:val="000C1C4C"/>
    <w:rsid w:val="000C2BE9"/>
    <w:rsid w:val="000C2C1E"/>
    <w:rsid w:val="000C3079"/>
    <w:rsid w:val="000C3B9A"/>
    <w:rsid w:val="000C46F6"/>
    <w:rsid w:val="000C6CFF"/>
    <w:rsid w:val="000C6E2C"/>
    <w:rsid w:val="000D0098"/>
    <w:rsid w:val="000D0BDF"/>
    <w:rsid w:val="000D25A8"/>
    <w:rsid w:val="000D2691"/>
    <w:rsid w:val="000D3058"/>
    <w:rsid w:val="000D331E"/>
    <w:rsid w:val="000D43F4"/>
    <w:rsid w:val="000D4C15"/>
    <w:rsid w:val="000D5750"/>
    <w:rsid w:val="000D5E78"/>
    <w:rsid w:val="000D607D"/>
    <w:rsid w:val="000D6614"/>
    <w:rsid w:val="000D7283"/>
    <w:rsid w:val="000E06CF"/>
    <w:rsid w:val="000E08E5"/>
    <w:rsid w:val="000E137A"/>
    <w:rsid w:val="000E18E1"/>
    <w:rsid w:val="000E1CA9"/>
    <w:rsid w:val="000E1E1B"/>
    <w:rsid w:val="000E225E"/>
    <w:rsid w:val="000E270A"/>
    <w:rsid w:val="000E3DA6"/>
    <w:rsid w:val="000E4C53"/>
    <w:rsid w:val="000E51E5"/>
    <w:rsid w:val="000E61CE"/>
    <w:rsid w:val="000E6BAE"/>
    <w:rsid w:val="000E738A"/>
    <w:rsid w:val="000E7401"/>
    <w:rsid w:val="000F0147"/>
    <w:rsid w:val="000F0481"/>
    <w:rsid w:val="000F0E29"/>
    <w:rsid w:val="000F12CA"/>
    <w:rsid w:val="000F1494"/>
    <w:rsid w:val="000F1BCE"/>
    <w:rsid w:val="000F215A"/>
    <w:rsid w:val="000F2C4C"/>
    <w:rsid w:val="000F328B"/>
    <w:rsid w:val="000F435C"/>
    <w:rsid w:val="000F437F"/>
    <w:rsid w:val="000F48C6"/>
    <w:rsid w:val="000F50B3"/>
    <w:rsid w:val="000F5698"/>
    <w:rsid w:val="000F7361"/>
    <w:rsid w:val="001001C2"/>
    <w:rsid w:val="0010047B"/>
    <w:rsid w:val="001016A5"/>
    <w:rsid w:val="00102A13"/>
    <w:rsid w:val="00102B49"/>
    <w:rsid w:val="00102C6A"/>
    <w:rsid w:val="00102DA3"/>
    <w:rsid w:val="00102F4E"/>
    <w:rsid w:val="00103243"/>
    <w:rsid w:val="00103F22"/>
    <w:rsid w:val="001040C8"/>
    <w:rsid w:val="001061D5"/>
    <w:rsid w:val="0010793C"/>
    <w:rsid w:val="00110190"/>
    <w:rsid w:val="001111C5"/>
    <w:rsid w:val="0011175C"/>
    <w:rsid w:val="00111B6B"/>
    <w:rsid w:val="00111D0A"/>
    <w:rsid w:val="00111FBD"/>
    <w:rsid w:val="0011331A"/>
    <w:rsid w:val="0011458A"/>
    <w:rsid w:val="00114614"/>
    <w:rsid w:val="0011552B"/>
    <w:rsid w:val="0011602D"/>
    <w:rsid w:val="00116E69"/>
    <w:rsid w:val="0011731E"/>
    <w:rsid w:val="00117BF0"/>
    <w:rsid w:val="00117CA4"/>
    <w:rsid w:val="00120189"/>
    <w:rsid w:val="001202ED"/>
    <w:rsid w:val="001208D8"/>
    <w:rsid w:val="00120BEB"/>
    <w:rsid w:val="00121089"/>
    <w:rsid w:val="001212CB"/>
    <w:rsid w:val="0012191B"/>
    <w:rsid w:val="0012204C"/>
    <w:rsid w:val="001220A4"/>
    <w:rsid w:val="00123732"/>
    <w:rsid w:val="00123ABD"/>
    <w:rsid w:val="00123CA4"/>
    <w:rsid w:val="001244D9"/>
    <w:rsid w:val="00124575"/>
    <w:rsid w:val="00126439"/>
    <w:rsid w:val="00127A9F"/>
    <w:rsid w:val="00130A47"/>
    <w:rsid w:val="0013153E"/>
    <w:rsid w:val="00131DE9"/>
    <w:rsid w:val="00132423"/>
    <w:rsid w:val="001325ED"/>
    <w:rsid w:val="001334C6"/>
    <w:rsid w:val="00134C13"/>
    <w:rsid w:val="00134E08"/>
    <w:rsid w:val="00136C6E"/>
    <w:rsid w:val="00136D19"/>
    <w:rsid w:val="001378A6"/>
    <w:rsid w:val="00140100"/>
    <w:rsid w:val="00141F5F"/>
    <w:rsid w:val="001424BD"/>
    <w:rsid w:val="001439F5"/>
    <w:rsid w:val="00145ED3"/>
    <w:rsid w:val="00145FD1"/>
    <w:rsid w:val="001465AD"/>
    <w:rsid w:val="00147A15"/>
    <w:rsid w:val="00147AC4"/>
    <w:rsid w:val="00147F01"/>
    <w:rsid w:val="001500E5"/>
    <w:rsid w:val="00152273"/>
    <w:rsid w:val="00152C7B"/>
    <w:rsid w:val="00152D35"/>
    <w:rsid w:val="00152F0C"/>
    <w:rsid w:val="001545DB"/>
    <w:rsid w:val="00155887"/>
    <w:rsid w:val="00156EA6"/>
    <w:rsid w:val="0015702F"/>
    <w:rsid w:val="0015705C"/>
    <w:rsid w:val="00157CAF"/>
    <w:rsid w:val="00160FA0"/>
    <w:rsid w:val="0016155A"/>
    <w:rsid w:val="00161E41"/>
    <w:rsid w:val="00161E5C"/>
    <w:rsid w:val="00162666"/>
    <w:rsid w:val="001629C4"/>
    <w:rsid w:val="0016388D"/>
    <w:rsid w:val="0016441B"/>
    <w:rsid w:val="001645D6"/>
    <w:rsid w:val="00164A59"/>
    <w:rsid w:val="0016536E"/>
    <w:rsid w:val="00165CDE"/>
    <w:rsid w:val="00165E3F"/>
    <w:rsid w:val="00166A13"/>
    <w:rsid w:val="00167824"/>
    <w:rsid w:val="00167DB0"/>
    <w:rsid w:val="00167E13"/>
    <w:rsid w:val="00167F0F"/>
    <w:rsid w:val="0017151E"/>
    <w:rsid w:val="0017200C"/>
    <w:rsid w:val="001728A4"/>
    <w:rsid w:val="00172BB3"/>
    <w:rsid w:val="001750E9"/>
    <w:rsid w:val="00176BF2"/>
    <w:rsid w:val="0017754F"/>
    <w:rsid w:val="00177E9D"/>
    <w:rsid w:val="00180177"/>
    <w:rsid w:val="00182B29"/>
    <w:rsid w:val="00184219"/>
    <w:rsid w:val="0018449C"/>
    <w:rsid w:val="001849CE"/>
    <w:rsid w:val="00184A8F"/>
    <w:rsid w:val="00185050"/>
    <w:rsid w:val="0018523C"/>
    <w:rsid w:val="00185698"/>
    <w:rsid w:val="00186D60"/>
    <w:rsid w:val="00187A78"/>
    <w:rsid w:val="0019060A"/>
    <w:rsid w:val="0019070B"/>
    <w:rsid w:val="001908C3"/>
    <w:rsid w:val="001914D7"/>
    <w:rsid w:val="00191550"/>
    <w:rsid w:val="0019175C"/>
    <w:rsid w:val="0019265F"/>
    <w:rsid w:val="00192837"/>
    <w:rsid w:val="00192DAA"/>
    <w:rsid w:val="001937D9"/>
    <w:rsid w:val="00193C85"/>
    <w:rsid w:val="00194A11"/>
    <w:rsid w:val="00195A78"/>
    <w:rsid w:val="00196252"/>
    <w:rsid w:val="001963AC"/>
    <w:rsid w:val="00196492"/>
    <w:rsid w:val="001966B6"/>
    <w:rsid w:val="00197CCC"/>
    <w:rsid w:val="001A0714"/>
    <w:rsid w:val="001A077E"/>
    <w:rsid w:val="001A0FC8"/>
    <w:rsid w:val="001A153A"/>
    <w:rsid w:val="001A2A05"/>
    <w:rsid w:val="001A4A4F"/>
    <w:rsid w:val="001A4AED"/>
    <w:rsid w:val="001A553B"/>
    <w:rsid w:val="001A5818"/>
    <w:rsid w:val="001A6F9B"/>
    <w:rsid w:val="001A76BF"/>
    <w:rsid w:val="001A76FE"/>
    <w:rsid w:val="001B0B10"/>
    <w:rsid w:val="001B0DB3"/>
    <w:rsid w:val="001B0FA0"/>
    <w:rsid w:val="001B10C0"/>
    <w:rsid w:val="001B1142"/>
    <w:rsid w:val="001B11AF"/>
    <w:rsid w:val="001B1356"/>
    <w:rsid w:val="001B1658"/>
    <w:rsid w:val="001B16F4"/>
    <w:rsid w:val="001B1D2B"/>
    <w:rsid w:val="001B2074"/>
    <w:rsid w:val="001B34BB"/>
    <w:rsid w:val="001B353F"/>
    <w:rsid w:val="001B4563"/>
    <w:rsid w:val="001B456B"/>
    <w:rsid w:val="001B4FED"/>
    <w:rsid w:val="001B52EF"/>
    <w:rsid w:val="001B6085"/>
    <w:rsid w:val="001B7083"/>
    <w:rsid w:val="001B79AA"/>
    <w:rsid w:val="001B7E7D"/>
    <w:rsid w:val="001C0AE0"/>
    <w:rsid w:val="001C0B95"/>
    <w:rsid w:val="001C3232"/>
    <w:rsid w:val="001C363F"/>
    <w:rsid w:val="001C37C6"/>
    <w:rsid w:val="001C52CA"/>
    <w:rsid w:val="001C5E51"/>
    <w:rsid w:val="001C5FDC"/>
    <w:rsid w:val="001C60E1"/>
    <w:rsid w:val="001C7416"/>
    <w:rsid w:val="001C7523"/>
    <w:rsid w:val="001C7633"/>
    <w:rsid w:val="001D03B2"/>
    <w:rsid w:val="001D0D37"/>
    <w:rsid w:val="001D0F92"/>
    <w:rsid w:val="001D0FD6"/>
    <w:rsid w:val="001D102C"/>
    <w:rsid w:val="001D13A4"/>
    <w:rsid w:val="001D1864"/>
    <w:rsid w:val="001D1F22"/>
    <w:rsid w:val="001D21E3"/>
    <w:rsid w:val="001D26C3"/>
    <w:rsid w:val="001D280F"/>
    <w:rsid w:val="001D3D6C"/>
    <w:rsid w:val="001D4912"/>
    <w:rsid w:val="001D4D91"/>
    <w:rsid w:val="001D4E09"/>
    <w:rsid w:val="001D58E2"/>
    <w:rsid w:val="001D5B61"/>
    <w:rsid w:val="001D6842"/>
    <w:rsid w:val="001D6D4F"/>
    <w:rsid w:val="001D7002"/>
    <w:rsid w:val="001D7FE5"/>
    <w:rsid w:val="001E0E54"/>
    <w:rsid w:val="001E0FFC"/>
    <w:rsid w:val="001E2A62"/>
    <w:rsid w:val="001E32D6"/>
    <w:rsid w:val="001E3333"/>
    <w:rsid w:val="001E353A"/>
    <w:rsid w:val="001E3B42"/>
    <w:rsid w:val="001E3C50"/>
    <w:rsid w:val="001E52AE"/>
    <w:rsid w:val="001E5E72"/>
    <w:rsid w:val="001E6AF8"/>
    <w:rsid w:val="001E6ED6"/>
    <w:rsid w:val="001E7035"/>
    <w:rsid w:val="001E7E02"/>
    <w:rsid w:val="001F0057"/>
    <w:rsid w:val="001F0368"/>
    <w:rsid w:val="001F0FA6"/>
    <w:rsid w:val="001F1CE8"/>
    <w:rsid w:val="001F2211"/>
    <w:rsid w:val="001F2819"/>
    <w:rsid w:val="001F2D7C"/>
    <w:rsid w:val="001F3223"/>
    <w:rsid w:val="001F3866"/>
    <w:rsid w:val="001F38D5"/>
    <w:rsid w:val="001F3C43"/>
    <w:rsid w:val="001F4C5D"/>
    <w:rsid w:val="001F4CE7"/>
    <w:rsid w:val="001F527E"/>
    <w:rsid w:val="001F59C2"/>
    <w:rsid w:val="001F63D0"/>
    <w:rsid w:val="001F70BA"/>
    <w:rsid w:val="00200AA0"/>
    <w:rsid w:val="00201B01"/>
    <w:rsid w:val="00201BCF"/>
    <w:rsid w:val="00202BA0"/>
    <w:rsid w:val="00202F5C"/>
    <w:rsid w:val="002031E2"/>
    <w:rsid w:val="002043EC"/>
    <w:rsid w:val="00204949"/>
    <w:rsid w:val="00205B24"/>
    <w:rsid w:val="0020625C"/>
    <w:rsid w:val="0020681B"/>
    <w:rsid w:val="00207169"/>
    <w:rsid w:val="00207823"/>
    <w:rsid w:val="0021083A"/>
    <w:rsid w:val="002110D7"/>
    <w:rsid w:val="00211E3F"/>
    <w:rsid w:val="00211E71"/>
    <w:rsid w:val="00212EAB"/>
    <w:rsid w:val="00213162"/>
    <w:rsid w:val="00213172"/>
    <w:rsid w:val="002132A1"/>
    <w:rsid w:val="0021343B"/>
    <w:rsid w:val="00213B0A"/>
    <w:rsid w:val="0021481E"/>
    <w:rsid w:val="00215340"/>
    <w:rsid w:val="00215B5D"/>
    <w:rsid w:val="00215F61"/>
    <w:rsid w:val="00216A64"/>
    <w:rsid w:val="002177AA"/>
    <w:rsid w:val="0022003E"/>
    <w:rsid w:val="00220214"/>
    <w:rsid w:val="00220887"/>
    <w:rsid w:val="00221027"/>
    <w:rsid w:val="00221634"/>
    <w:rsid w:val="00222717"/>
    <w:rsid w:val="00223382"/>
    <w:rsid w:val="002233F3"/>
    <w:rsid w:val="00223B38"/>
    <w:rsid w:val="00225796"/>
    <w:rsid w:val="00225EB1"/>
    <w:rsid w:val="0022752A"/>
    <w:rsid w:val="002276D3"/>
    <w:rsid w:val="00227ABF"/>
    <w:rsid w:val="00231907"/>
    <w:rsid w:val="00234961"/>
    <w:rsid w:val="00235A76"/>
    <w:rsid w:val="00236521"/>
    <w:rsid w:val="002365F1"/>
    <w:rsid w:val="00236828"/>
    <w:rsid w:val="00236DCB"/>
    <w:rsid w:val="00236FA5"/>
    <w:rsid w:val="0023713F"/>
    <w:rsid w:val="00237B2C"/>
    <w:rsid w:val="00237DA0"/>
    <w:rsid w:val="00240040"/>
    <w:rsid w:val="00241D86"/>
    <w:rsid w:val="00242273"/>
    <w:rsid w:val="00243748"/>
    <w:rsid w:val="00243AD6"/>
    <w:rsid w:val="00243DC0"/>
    <w:rsid w:val="00244E38"/>
    <w:rsid w:val="002454A1"/>
    <w:rsid w:val="00247291"/>
    <w:rsid w:val="00247477"/>
    <w:rsid w:val="00247F84"/>
    <w:rsid w:val="002515BF"/>
    <w:rsid w:val="002515F2"/>
    <w:rsid w:val="00251FF3"/>
    <w:rsid w:val="00252188"/>
    <w:rsid w:val="002525BF"/>
    <w:rsid w:val="0025273C"/>
    <w:rsid w:val="0025282D"/>
    <w:rsid w:val="00252B2C"/>
    <w:rsid w:val="002536A0"/>
    <w:rsid w:val="002545C6"/>
    <w:rsid w:val="0025484E"/>
    <w:rsid w:val="00255CAB"/>
    <w:rsid w:val="00255CC4"/>
    <w:rsid w:val="00255D8D"/>
    <w:rsid w:val="00256447"/>
    <w:rsid w:val="002567BE"/>
    <w:rsid w:val="00256D97"/>
    <w:rsid w:val="002572E5"/>
    <w:rsid w:val="00257313"/>
    <w:rsid w:val="00257865"/>
    <w:rsid w:val="00257877"/>
    <w:rsid w:val="00257A05"/>
    <w:rsid w:val="00257F5E"/>
    <w:rsid w:val="0026051B"/>
    <w:rsid w:val="00260CE9"/>
    <w:rsid w:val="00261437"/>
    <w:rsid w:val="00261AD6"/>
    <w:rsid w:val="00262656"/>
    <w:rsid w:val="00262A2B"/>
    <w:rsid w:val="00263595"/>
    <w:rsid w:val="002642B4"/>
    <w:rsid w:val="00264788"/>
    <w:rsid w:val="002659B4"/>
    <w:rsid w:val="00265B88"/>
    <w:rsid w:val="00267200"/>
    <w:rsid w:val="0027009A"/>
    <w:rsid w:val="00270440"/>
    <w:rsid w:val="002704C5"/>
    <w:rsid w:val="0027110D"/>
    <w:rsid w:val="002722EB"/>
    <w:rsid w:val="0027234D"/>
    <w:rsid w:val="0027296C"/>
    <w:rsid w:val="0027326B"/>
    <w:rsid w:val="00273597"/>
    <w:rsid w:val="002751D6"/>
    <w:rsid w:val="00277D2F"/>
    <w:rsid w:val="00277F21"/>
    <w:rsid w:val="00280EC1"/>
    <w:rsid w:val="002810FB"/>
    <w:rsid w:val="00281B88"/>
    <w:rsid w:val="002820AA"/>
    <w:rsid w:val="00282A0A"/>
    <w:rsid w:val="00283828"/>
    <w:rsid w:val="00283941"/>
    <w:rsid w:val="00283BBB"/>
    <w:rsid w:val="00284D8D"/>
    <w:rsid w:val="002858A5"/>
    <w:rsid w:val="0028617B"/>
    <w:rsid w:val="00286A9C"/>
    <w:rsid w:val="00287326"/>
    <w:rsid w:val="00287BC5"/>
    <w:rsid w:val="002902EA"/>
    <w:rsid w:val="00290459"/>
    <w:rsid w:val="00290F94"/>
    <w:rsid w:val="00291299"/>
    <w:rsid w:val="0029130E"/>
    <w:rsid w:val="0029183E"/>
    <w:rsid w:val="00292F13"/>
    <w:rsid w:val="00293BDB"/>
    <w:rsid w:val="00293DEE"/>
    <w:rsid w:val="00295242"/>
    <w:rsid w:val="00295B59"/>
    <w:rsid w:val="0029613D"/>
    <w:rsid w:val="00296454"/>
    <w:rsid w:val="00296A0D"/>
    <w:rsid w:val="00296AE3"/>
    <w:rsid w:val="00296F69"/>
    <w:rsid w:val="00297335"/>
    <w:rsid w:val="002A057A"/>
    <w:rsid w:val="002A0B5D"/>
    <w:rsid w:val="002A13F4"/>
    <w:rsid w:val="002A2AFA"/>
    <w:rsid w:val="002A36C3"/>
    <w:rsid w:val="002A4492"/>
    <w:rsid w:val="002A46CA"/>
    <w:rsid w:val="002A4D1F"/>
    <w:rsid w:val="002A5568"/>
    <w:rsid w:val="002A6D98"/>
    <w:rsid w:val="002A7741"/>
    <w:rsid w:val="002A7ABD"/>
    <w:rsid w:val="002B083B"/>
    <w:rsid w:val="002B1AB4"/>
    <w:rsid w:val="002B4182"/>
    <w:rsid w:val="002B4AFA"/>
    <w:rsid w:val="002B6A77"/>
    <w:rsid w:val="002B6BE4"/>
    <w:rsid w:val="002B7EE6"/>
    <w:rsid w:val="002B7F33"/>
    <w:rsid w:val="002C1210"/>
    <w:rsid w:val="002C151C"/>
    <w:rsid w:val="002C20D9"/>
    <w:rsid w:val="002C2105"/>
    <w:rsid w:val="002C2A5F"/>
    <w:rsid w:val="002C4554"/>
    <w:rsid w:val="002C4F34"/>
    <w:rsid w:val="002C5F5B"/>
    <w:rsid w:val="002C6660"/>
    <w:rsid w:val="002C7803"/>
    <w:rsid w:val="002C7A5B"/>
    <w:rsid w:val="002C7FE9"/>
    <w:rsid w:val="002D09A3"/>
    <w:rsid w:val="002D0C36"/>
    <w:rsid w:val="002D0DC5"/>
    <w:rsid w:val="002D1927"/>
    <w:rsid w:val="002D1FB4"/>
    <w:rsid w:val="002D2BED"/>
    <w:rsid w:val="002D2CF3"/>
    <w:rsid w:val="002D2DC3"/>
    <w:rsid w:val="002D3444"/>
    <w:rsid w:val="002D3753"/>
    <w:rsid w:val="002D3C9E"/>
    <w:rsid w:val="002D4765"/>
    <w:rsid w:val="002D4887"/>
    <w:rsid w:val="002D4A29"/>
    <w:rsid w:val="002D4EFD"/>
    <w:rsid w:val="002D65F5"/>
    <w:rsid w:val="002D6A03"/>
    <w:rsid w:val="002D6E97"/>
    <w:rsid w:val="002D703E"/>
    <w:rsid w:val="002D7901"/>
    <w:rsid w:val="002E0F36"/>
    <w:rsid w:val="002E101D"/>
    <w:rsid w:val="002E15A2"/>
    <w:rsid w:val="002E1A0B"/>
    <w:rsid w:val="002E2378"/>
    <w:rsid w:val="002E2D6F"/>
    <w:rsid w:val="002E4E94"/>
    <w:rsid w:val="002E4F74"/>
    <w:rsid w:val="002E638A"/>
    <w:rsid w:val="002E75A2"/>
    <w:rsid w:val="002E7959"/>
    <w:rsid w:val="002F067A"/>
    <w:rsid w:val="002F1043"/>
    <w:rsid w:val="002F29B9"/>
    <w:rsid w:val="002F2CA0"/>
    <w:rsid w:val="002F3485"/>
    <w:rsid w:val="002F3CAB"/>
    <w:rsid w:val="002F43A8"/>
    <w:rsid w:val="002F4773"/>
    <w:rsid w:val="002F495D"/>
    <w:rsid w:val="002F52D6"/>
    <w:rsid w:val="002F6AE6"/>
    <w:rsid w:val="002F72F5"/>
    <w:rsid w:val="002F7723"/>
    <w:rsid w:val="002F7CFB"/>
    <w:rsid w:val="00304620"/>
    <w:rsid w:val="00305243"/>
    <w:rsid w:val="00306623"/>
    <w:rsid w:val="0030735D"/>
    <w:rsid w:val="00307B65"/>
    <w:rsid w:val="00310527"/>
    <w:rsid w:val="00310D64"/>
    <w:rsid w:val="0031333C"/>
    <w:rsid w:val="0031392E"/>
    <w:rsid w:val="00313F64"/>
    <w:rsid w:val="003140C6"/>
    <w:rsid w:val="0031414A"/>
    <w:rsid w:val="0031420D"/>
    <w:rsid w:val="00314293"/>
    <w:rsid w:val="00314808"/>
    <w:rsid w:val="00314BFE"/>
    <w:rsid w:val="003150FB"/>
    <w:rsid w:val="00315395"/>
    <w:rsid w:val="00315A97"/>
    <w:rsid w:val="00315DE5"/>
    <w:rsid w:val="00316071"/>
    <w:rsid w:val="003160CD"/>
    <w:rsid w:val="00316EB0"/>
    <w:rsid w:val="00317C22"/>
    <w:rsid w:val="00320359"/>
    <w:rsid w:val="00320669"/>
    <w:rsid w:val="00321192"/>
    <w:rsid w:val="00321AF8"/>
    <w:rsid w:val="00321BAC"/>
    <w:rsid w:val="00321CCF"/>
    <w:rsid w:val="00321FA8"/>
    <w:rsid w:val="003226B9"/>
    <w:rsid w:val="003227EE"/>
    <w:rsid w:val="00322B72"/>
    <w:rsid w:val="00322CCB"/>
    <w:rsid w:val="0032326F"/>
    <w:rsid w:val="00323FE2"/>
    <w:rsid w:val="003264D6"/>
    <w:rsid w:val="00326E4A"/>
    <w:rsid w:val="00330673"/>
    <w:rsid w:val="003306C6"/>
    <w:rsid w:val="0033132E"/>
    <w:rsid w:val="00332557"/>
    <w:rsid w:val="0033402E"/>
    <w:rsid w:val="00334AE7"/>
    <w:rsid w:val="00334DF4"/>
    <w:rsid w:val="00335446"/>
    <w:rsid w:val="00335717"/>
    <w:rsid w:val="00336361"/>
    <w:rsid w:val="0033699A"/>
    <w:rsid w:val="00340A02"/>
    <w:rsid w:val="00341383"/>
    <w:rsid w:val="0034260F"/>
    <w:rsid w:val="00343A0B"/>
    <w:rsid w:val="00343CDD"/>
    <w:rsid w:val="00343E5C"/>
    <w:rsid w:val="00343ED3"/>
    <w:rsid w:val="0034426A"/>
    <w:rsid w:val="00344752"/>
    <w:rsid w:val="00344FB8"/>
    <w:rsid w:val="003468B8"/>
    <w:rsid w:val="00346C1D"/>
    <w:rsid w:val="00346DB3"/>
    <w:rsid w:val="00346E30"/>
    <w:rsid w:val="00347600"/>
    <w:rsid w:val="00347DBD"/>
    <w:rsid w:val="00347E87"/>
    <w:rsid w:val="00347EBE"/>
    <w:rsid w:val="00347F8E"/>
    <w:rsid w:val="00350BBE"/>
    <w:rsid w:val="003510EE"/>
    <w:rsid w:val="003512F7"/>
    <w:rsid w:val="003515C4"/>
    <w:rsid w:val="00352749"/>
    <w:rsid w:val="003531BB"/>
    <w:rsid w:val="003533A5"/>
    <w:rsid w:val="0035368D"/>
    <w:rsid w:val="00353D44"/>
    <w:rsid w:val="00353DA1"/>
    <w:rsid w:val="0035419A"/>
    <w:rsid w:val="00356120"/>
    <w:rsid w:val="0035635B"/>
    <w:rsid w:val="00357B9A"/>
    <w:rsid w:val="0036017B"/>
    <w:rsid w:val="0036082C"/>
    <w:rsid w:val="00360A24"/>
    <w:rsid w:val="00362755"/>
    <w:rsid w:val="00362819"/>
    <w:rsid w:val="00362C82"/>
    <w:rsid w:val="003663A3"/>
    <w:rsid w:val="003667E1"/>
    <w:rsid w:val="0036696A"/>
    <w:rsid w:val="003669D6"/>
    <w:rsid w:val="003673B5"/>
    <w:rsid w:val="00370327"/>
    <w:rsid w:val="00372B58"/>
    <w:rsid w:val="0037393A"/>
    <w:rsid w:val="00373B93"/>
    <w:rsid w:val="00374654"/>
    <w:rsid w:val="0037505D"/>
    <w:rsid w:val="0037525F"/>
    <w:rsid w:val="00375E75"/>
    <w:rsid w:val="003765AB"/>
    <w:rsid w:val="00376D4C"/>
    <w:rsid w:val="00377110"/>
    <w:rsid w:val="0037739F"/>
    <w:rsid w:val="003775F3"/>
    <w:rsid w:val="0038054B"/>
    <w:rsid w:val="00380CD1"/>
    <w:rsid w:val="00381362"/>
    <w:rsid w:val="00382CF6"/>
    <w:rsid w:val="00383422"/>
    <w:rsid w:val="00384234"/>
    <w:rsid w:val="003847FA"/>
    <w:rsid w:val="0038564E"/>
    <w:rsid w:val="003859A7"/>
    <w:rsid w:val="00385F6C"/>
    <w:rsid w:val="003862AE"/>
    <w:rsid w:val="00387D07"/>
    <w:rsid w:val="00387F29"/>
    <w:rsid w:val="0039033E"/>
    <w:rsid w:val="003908EC"/>
    <w:rsid w:val="003909F2"/>
    <w:rsid w:val="00390CCF"/>
    <w:rsid w:val="00390E87"/>
    <w:rsid w:val="00392155"/>
    <w:rsid w:val="003927A5"/>
    <w:rsid w:val="00392DF9"/>
    <w:rsid w:val="003938E9"/>
    <w:rsid w:val="00394852"/>
    <w:rsid w:val="003948E5"/>
    <w:rsid w:val="003950C6"/>
    <w:rsid w:val="003956C5"/>
    <w:rsid w:val="0039606A"/>
    <w:rsid w:val="00396911"/>
    <w:rsid w:val="003973F3"/>
    <w:rsid w:val="003974A0"/>
    <w:rsid w:val="00397561"/>
    <w:rsid w:val="00397F9D"/>
    <w:rsid w:val="003A02B0"/>
    <w:rsid w:val="003A02CA"/>
    <w:rsid w:val="003A0B33"/>
    <w:rsid w:val="003A28E1"/>
    <w:rsid w:val="003A2B2F"/>
    <w:rsid w:val="003A38F0"/>
    <w:rsid w:val="003A3B90"/>
    <w:rsid w:val="003A3C8E"/>
    <w:rsid w:val="003A437B"/>
    <w:rsid w:val="003A4493"/>
    <w:rsid w:val="003A49AC"/>
    <w:rsid w:val="003A6403"/>
    <w:rsid w:val="003A6C51"/>
    <w:rsid w:val="003B0193"/>
    <w:rsid w:val="003B074F"/>
    <w:rsid w:val="003B0E07"/>
    <w:rsid w:val="003B1296"/>
    <w:rsid w:val="003B1891"/>
    <w:rsid w:val="003B2343"/>
    <w:rsid w:val="003B2A15"/>
    <w:rsid w:val="003B2CE4"/>
    <w:rsid w:val="003B2F09"/>
    <w:rsid w:val="003B31A5"/>
    <w:rsid w:val="003B3C19"/>
    <w:rsid w:val="003B4435"/>
    <w:rsid w:val="003B62C3"/>
    <w:rsid w:val="003B7257"/>
    <w:rsid w:val="003B7451"/>
    <w:rsid w:val="003B7A36"/>
    <w:rsid w:val="003B7C8A"/>
    <w:rsid w:val="003C1F22"/>
    <w:rsid w:val="003C3B72"/>
    <w:rsid w:val="003C5273"/>
    <w:rsid w:val="003C68AB"/>
    <w:rsid w:val="003C6EBE"/>
    <w:rsid w:val="003C74E8"/>
    <w:rsid w:val="003C7509"/>
    <w:rsid w:val="003D1B49"/>
    <w:rsid w:val="003D2064"/>
    <w:rsid w:val="003D2F91"/>
    <w:rsid w:val="003D3A94"/>
    <w:rsid w:val="003D4269"/>
    <w:rsid w:val="003D5539"/>
    <w:rsid w:val="003D6327"/>
    <w:rsid w:val="003D64AA"/>
    <w:rsid w:val="003D6BB4"/>
    <w:rsid w:val="003D6E4D"/>
    <w:rsid w:val="003D6F2A"/>
    <w:rsid w:val="003E03CC"/>
    <w:rsid w:val="003E1FF8"/>
    <w:rsid w:val="003E2484"/>
    <w:rsid w:val="003E344D"/>
    <w:rsid w:val="003E3A04"/>
    <w:rsid w:val="003E3A5D"/>
    <w:rsid w:val="003E518B"/>
    <w:rsid w:val="003E5411"/>
    <w:rsid w:val="003E6BF5"/>
    <w:rsid w:val="003E6C23"/>
    <w:rsid w:val="003E75A3"/>
    <w:rsid w:val="003F069A"/>
    <w:rsid w:val="003F0A20"/>
    <w:rsid w:val="003F0C1B"/>
    <w:rsid w:val="003F0C1F"/>
    <w:rsid w:val="003F0E6C"/>
    <w:rsid w:val="003F101A"/>
    <w:rsid w:val="003F2786"/>
    <w:rsid w:val="003F3710"/>
    <w:rsid w:val="003F3FD7"/>
    <w:rsid w:val="003F4329"/>
    <w:rsid w:val="003F4AD7"/>
    <w:rsid w:val="003F4C4C"/>
    <w:rsid w:val="003F5711"/>
    <w:rsid w:val="003F682B"/>
    <w:rsid w:val="003F6F14"/>
    <w:rsid w:val="003F6FBB"/>
    <w:rsid w:val="003F6FF6"/>
    <w:rsid w:val="003F7271"/>
    <w:rsid w:val="003F75C8"/>
    <w:rsid w:val="003F7D9F"/>
    <w:rsid w:val="00400723"/>
    <w:rsid w:val="00400D2E"/>
    <w:rsid w:val="004011C7"/>
    <w:rsid w:val="004019A7"/>
    <w:rsid w:val="004029D6"/>
    <w:rsid w:val="00402D43"/>
    <w:rsid w:val="00402E8E"/>
    <w:rsid w:val="0040349A"/>
    <w:rsid w:val="00404F25"/>
    <w:rsid w:val="004053D8"/>
    <w:rsid w:val="00405585"/>
    <w:rsid w:val="004072A9"/>
    <w:rsid w:val="0040747C"/>
    <w:rsid w:val="00410348"/>
    <w:rsid w:val="00410B70"/>
    <w:rsid w:val="00410BF5"/>
    <w:rsid w:val="00410DA7"/>
    <w:rsid w:val="00412534"/>
    <w:rsid w:val="00412922"/>
    <w:rsid w:val="00412C83"/>
    <w:rsid w:val="00412FDE"/>
    <w:rsid w:val="00414C14"/>
    <w:rsid w:val="004158D2"/>
    <w:rsid w:val="00416154"/>
    <w:rsid w:val="00416598"/>
    <w:rsid w:val="004170D2"/>
    <w:rsid w:val="0041727F"/>
    <w:rsid w:val="004201CE"/>
    <w:rsid w:val="00420664"/>
    <w:rsid w:val="00420D62"/>
    <w:rsid w:val="00421949"/>
    <w:rsid w:val="00421CEA"/>
    <w:rsid w:val="004223A4"/>
    <w:rsid w:val="00422B2E"/>
    <w:rsid w:val="0042323D"/>
    <w:rsid w:val="00423B6A"/>
    <w:rsid w:val="00423F01"/>
    <w:rsid w:val="004243AB"/>
    <w:rsid w:val="00426014"/>
    <w:rsid w:val="0042644F"/>
    <w:rsid w:val="00426604"/>
    <w:rsid w:val="00426CCD"/>
    <w:rsid w:val="0043200F"/>
    <w:rsid w:val="00432735"/>
    <w:rsid w:val="00432DFE"/>
    <w:rsid w:val="00433C57"/>
    <w:rsid w:val="004342AE"/>
    <w:rsid w:val="00435070"/>
    <w:rsid w:val="004357F9"/>
    <w:rsid w:val="00435D54"/>
    <w:rsid w:val="00435DB8"/>
    <w:rsid w:val="00436687"/>
    <w:rsid w:val="0043676B"/>
    <w:rsid w:val="00436A7A"/>
    <w:rsid w:val="00437447"/>
    <w:rsid w:val="00437C0B"/>
    <w:rsid w:val="00440F66"/>
    <w:rsid w:val="00441E49"/>
    <w:rsid w:val="00442F51"/>
    <w:rsid w:val="0044380E"/>
    <w:rsid w:val="004438E2"/>
    <w:rsid w:val="00443EE1"/>
    <w:rsid w:val="00444421"/>
    <w:rsid w:val="00444E55"/>
    <w:rsid w:val="004456D8"/>
    <w:rsid w:val="0044617E"/>
    <w:rsid w:val="00446ACF"/>
    <w:rsid w:val="004502F5"/>
    <w:rsid w:val="00450359"/>
    <w:rsid w:val="00450A6D"/>
    <w:rsid w:val="00450B0A"/>
    <w:rsid w:val="00450DCF"/>
    <w:rsid w:val="0045170C"/>
    <w:rsid w:val="00451767"/>
    <w:rsid w:val="00452680"/>
    <w:rsid w:val="00452B7F"/>
    <w:rsid w:val="004538EE"/>
    <w:rsid w:val="00454D3E"/>
    <w:rsid w:val="0045581D"/>
    <w:rsid w:val="00455D70"/>
    <w:rsid w:val="004564B5"/>
    <w:rsid w:val="0045658C"/>
    <w:rsid w:val="00456A41"/>
    <w:rsid w:val="00456E70"/>
    <w:rsid w:val="0046078B"/>
    <w:rsid w:val="00460B7D"/>
    <w:rsid w:val="00461A76"/>
    <w:rsid w:val="00461B7A"/>
    <w:rsid w:val="0046386C"/>
    <w:rsid w:val="004649C3"/>
    <w:rsid w:val="00464E0E"/>
    <w:rsid w:val="004651BC"/>
    <w:rsid w:val="004659F3"/>
    <w:rsid w:val="00466029"/>
    <w:rsid w:val="004664E1"/>
    <w:rsid w:val="00467006"/>
    <w:rsid w:val="00467180"/>
    <w:rsid w:val="0046778B"/>
    <w:rsid w:val="00467D3F"/>
    <w:rsid w:val="00467E77"/>
    <w:rsid w:val="00471470"/>
    <w:rsid w:val="00471596"/>
    <w:rsid w:val="00471691"/>
    <w:rsid w:val="0047199F"/>
    <w:rsid w:val="00471A08"/>
    <w:rsid w:val="00472C16"/>
    <w:rsid w:val="00472E34"/>
    <w:rsid w:val="004731E2"/>
    <w:rsid w:val="004732AC"/>
    <w:rsid w:val="004732FB"/>
    <w:rsid w:val="00474349"/>
    <w:rsid w:val="004744B7"/>
    <w:rsid w:val="00474760"/>
    <w:rsid w:val="00474B30"/>
    <w:rsid w:val="0047535F"/>
    <w:rsid w:val="004757C1"/>
    <w:rsid w:val="00476F70"/>
    <w:rsid w:val="004775E7"/>
    <w:rsid w:val="0048012F"/>
    <w:rsid w:val="00480153"/>
    <w:rsid w:val="00480CB0"/>
    <w:rsid w:val="00482046"/>
    <w:rsid w:val="00482640"/>
    <w:rsid w:val="004832B3"/>
    <w:rsid w:val="00483603"/>
    <w:rsid w:val="004840D4"/>
    <w:rsid w:val="004842E2"/>
    <w:rsid w:val="0048444B"/>
    <w:rsid w:val="00484CAC"/>
    <w:rsid w:val="00484F2F"/>
    <w:rsid w:val="004856F2"/>
    <w:rsid w:val="00485859"/>
    <w:rsid w:val="00485D07"/>
    <w:rsid w:val="004876EA"/>
    <w:rsid w:val="004878F9"/>
    <w:rsid w:val="00490539"/>
    <w:rsid w:val="00490897"/>
    <w:rsid w:val="004909CA"/>
    <w:rsid w:val="00490F10"/>
    <w:rsid w:val="00491170"/>
    <w:rsid w:val="00491E7F"/>
    <w:rsid w:val="0049364B"/>
    <w:rsid w:val="00495F6A"/>
    <w:rsid w:val="00497B1B"/>
    <w:rsid w:val="00497F90"/>
    <w:rsid w:val="004A05D3"/>
    <w:rsid w:val="004A09A2"/>
    <w:rsid w:val="004A0CF1"/>
    <w:rsid w:val="004A1D91"/>
    <w:rsid w:val="004A1EAD"/>
    <w:rsid w:val="004A26C0"/>
    <w:rsid w:val="004A33B0"/>
    <w:rsid w:val="004A4413"/>
    <w:rsid w:val="004A45D5"/>
    <w:rsid w:val="004A4691"/>
    <w:rsid w:val="004A47BE"/>
    <w:rsid w:val="004A4A57"/>
    <w:rsid w:val="004A4C75"/>
    <w:rsid w:val="004A59D4"/>
    <w:rsid w:val="004A62EF"/>
    <w:rsid w:val="004A639F"/>
    <w:rsid w:val="004A6805"/>
    <w:rsid w:val="004A76BD"/>
    <w:rsid w:val="004B0458"/>
    <w:rsid w:val="004B34EA"/>
    <w:rsid w:val="004B3E15"/>
    <w:rsid w:val="004B507A"/>
    <w:rsid w:val="004B5494"/>
    <w:rsid w:val="004B6A1E"/>
    <w:rsid w:val="004B78B9"/>
    <w:rsid w:val="004B7A4A"/>
    <w:rsid w:val="004C0131"/>
    <w:rsid w:val="004C0A12"/>
    <w:rsid w:val="004C1CF9"/>
    <w:rsid w:val="004C4B29"/>
    <w:rsid w:val="004C50F1"/>
    <w:rsid w:val="004C5569"/>
    <w:rsid w:val="004C55A0"/>
    <w:rsid w:val="004C56CF"/>
    <w:rsid w:val="004C6756"/>
    <w:rsid w:val="004C68F2"/>
    <w:rsid w:val="004C7A2B"/>
    <w:rsid w:val="004C7D3A"/>
    <w:rsid w:val="004D07E1"/>
    <w:rsid w:val="004D0ACE"/>
    <w:rsid w:val="004D294C"/>
    <w:rsid w:val="004D3037"/>
    <w:rsid w:val="004D41B1"/>
    <w:rsid w:val="004D47CD"/>
    <w:rsid w:val="004D4C00"/>
    <w:rsid w:val="004D5503"/>
    <w:rsid w:val="004D5E95"/>
    <w:rsid w:val="004D6232"/>
    <w:rsid w:val="004D6D04"/>
    <w:rsid w:val="004D7ACC"/>
    <w:rsid w:val="004D7EFD"/>
    <w:rsid w:val="004E21A8"/>
    <w:rsid w:val="004E23B3"/>
    <w:rsid w:val="004E2FDE"/>
    <w:rsid w:val="004E33C0"/>
    <w:rsid w:val="004E356F"/>
    <w:rsid w:val="004E3A72"/>
    <w:rsid w:val="004E4D1E"/>
    <w:rsid w:val="004E5244"/>
    <w:rsid w:val="004E52D7"/>
    <w:rsid w:val="004E6501"/>
    <w:rsid w:val="004E6F78"/>
    <w:rsid w:val="004E7AED"/>
    <w:rsid w:val="004F03F5"/>
    <w:rsid w:val="004F0967"/>
    <w:rsid w:val="004F0F3A"/>
    <w:rsid w:val="004F12FA"/>
    <w:rsid w:val="004F191D"/>
    <w:rsid w:val="004F1D83"/>
    <w:rsid w:val="004F2A4A"/>
    <w:rsid w:val="004F3A8E"/>
    <w:rsid w:val="004F3D68"/>
    <w:rsid w:val="004F41F7"/>
    <w:rsid w:val="004F467E"/>
    <w:rsid w:val="004F5B4C"/>
    <w:rsid w:val="004F6843"/>
    <w:rsid w:val="004F72BC"/>
    <w:rsid w:val="00500560"/>
    <w:rsid w:val="00500809"/>
    <w:rsid w:val="005008E5"/>
    <w:rsid w:val="00500A12"/>
    <w:rsid w:val="005018A8"/>
    <w:rsid w:val="00501E2B"/>
    <w:rsid w:val="005033A5"/>
    <w:rsid w:val="00504A39"/>
    <w:rsid w:val="00504D52"/>
    <w:rsid w:val="00504E34"/>
    <w:rsid w:val="005054D1"/>
    <w:rsid w:val="00505A39"/>
    <w:rsid w:val="005067F5"/>
    <w:rsid w:val="00506BC1"/>
    <w:rsid w:val="0050724F"/>
    <w:rsid w:val="005078E4"/>
    <w:rsid w:val="00507A7B"/>
    <w:rsid w:val="00510913"/>
    <w:rsid w:val="00510C6C"/>
    <w:rsid w:val="00510FF5"/>
    <w:rsid w:val="00511A2D"/>
    <w:rsid w:val="005121DE"/>
    <w:rsid w:val="00512542"/>
    <w:rsid w:val="00512A8D"/>
    <w:rsid w:val="0051387A"/>
    <w:rsid w:val="00513EE0"/>
    <w:rsid w:val="0051449E"/>
    <w:rsid w:val="0051463F"/>
    <w:rsid w:val="00514799"/>
    <w:rsid w:val="00514938"/>
    <w:rsid w:val="0051575E"/>
    <w:rsid w:val="00515BF7"/>
    <w:rsid w:val="0051603C"/>
    <w:rsid w:val="00516872"/>
    <w:rsid w:val="0051782A"/>
    <w:rsid w:val="0052003F"/>
    <w:rsid w:val="005217FD"/>
    <w:rsid w:val="005228B4"/>
    <w:rsid w:val="00522AD7"/>
    <w:rsid w:val="00523189"/>
    <w:rsid w:val="0052320D"/>
    <w:rsid w:val="00523381"/>
    <w:rsid w:val="00523545"/>
    <w:rsid w:val="005238C9"/>
    <w:rsid w:val="005240BF"/>
    <w:rsid w:val="005245BE"/>
    <w:rsid w:val="005246DF"/>
    <w:rsid w:val="00525A1B"/>
    <w:rsid w:val="00526BDC"/>
    <w:rsid w:val="00527049"/>
    <w:rsid w:val="00527665"/>
    <w:rsid w:val="005277AB"/>
    <w:rsid w:val="00531769"/>
    <w:rsid w:val="00531B6F"/>
    <w:rsid w:val="0053206B"/>
    <w:rsid w:val="00532D1B"/>
    <w:rsid w:val="0053539C"/>
    <w:rsid w:val="00535C9A"/>
    <w:rsid w:val="00536331"/>
    <w:rsid w:val="00536993"/>
    <w:rsid w:val="005376BF"/>
    <w:rsid w:val="00537EE6"/>
    <w:rsid w:val="00540ADB"/>
    <w:rsid w:val="00541754"/>
    <w:rsid w:val="00541F2A"/>
    <w:rsid w:val="00542194"/>
    <w:rsid w:val="005427B0"/>
    <w:rsid w:val="00542932"/>
    <w:rsid w:val="00543007"/>
    <w:rsid w:val="005438BE"/>
    <w:rsid w:val="00543F9C"/>
    <w:rsid w:val="005445C7"/>
    <w:rsid w:val="00544B3D"/>
    <w:rsid w:val="005453A1"/>
    <w:rsid w:val="005464B3"/>
    <w:rsid w:val="00546AAE"/>
    <w:rsid w:val="005517F6"/>
    <w:rsid w:val="00551983"/>
    <w:rsid w:val="00552D65"/>
    <w:rsid w:val="00553594"/>
    <w:rsid w:val="005542CD"/>
    <w:rsid w:val="00554929"/>
    <w:rsid w:val="00554BD7"/>
    <w:rsid w:val="0055584E"/>
    <w:rsid w:val="00556149"/>
    <w:rsid w:val="005622A9"/>
    <w:rsid w:val="00562E07"/>
    <w:rsid w:val="0056308D"/>
    <w:rsid w:val="00563468"/>
    <w:rsid w:val="00563BA8"/>
    <w:rsid w:val="00563E5E"/>
    <w:rsid w:val="00563FB0"/>
    <w:rsid w:val="005640DD"/>
    <w:rsid w:val="00564510"/>
    <w:rsid w:val="0056493D"/>
    <w:rsid w:val="00566740"/>
    <w:rsid w:val="0056690E"/>
    <w:rsid w:val="00566BE5"/>
    <w:rsid w:val="00567E10"/>
    <w:rsid w:val="00567E6C"/>
    <w:rsid w:val="005703C1"/>
    <w:rsid w:val="005709F7"/>
    <w:rsid w:val="005710E1"/>
    <w:rsid w:val="005725FE"/>
    <w:rsid w:val="005728A0"/>
    <w:rsid w:val="00572A9D"/>
    <w:rsid w:val="00573C7F"/>
    <w:rsid w:val="005745CA"/>
    <w:rsid w:val="00575B3C"/>
    <w:rsid w:val="00577B10"/>
    <w:rsid w:val="005802BE"/>
    <w:rsid w:val="0058348B"/>
    <w:rsid w:val="00583FD5"/>
    <w:rsid w:val="0058408E"/>
    <w:rsid w:val="00584205"/>
    <w:rsid w:val="00584613"/>
    <w:rsid w:val="00584CDB"/>
    <w:rsid w:val="00584E71"/>
    <w:rsid w:val="00584EBD"/>
    <w:rsid w:val="00585390"/>
    <w:rsid w:val="0058615A"/>
    <w:rsid w:val="00586CC7"/>
    <w:rsid w:val="00586FAB"/>
    <w:rsid w:val="00587986"/>
    <w:rsid w:val="00590495"/>
    <w:rsid w:val="00591DC9"/>
    <w:rsid w:val="005922E7"/>
    <w:rsid w:val="00592864"/>
    <w:rsid w:val="005939A5"/>
    <w:rsid w:val="00594A6A"/>
    <w:rsid w:val="0059545F"/>
    <w:rsid w:val="005961BD"/>
    <w:rsid w:val="005970C0"/>
    <w:rsid w:val="005A0E63"/>
    <w:rsid w:val="005A148C"/>
    <w:rsid w:val="005A2036"/>
    <w:rsid w:val="005A20F3"/>
    <w:rsid w:val="005A24D1"/>
    <w:rsid w:val="005A2775"/>
    <w:rsid w:val="005A283E"/>
    <w:rsid w:val="005A28AB"/>
    <w:rsid w:val="005A2F39"/>
    <w:rsid w:val="005A35C1"/>
    <w:rsid w:val="005A36B0"/>
    <w:rsid w:val="005A36C1"/>
    <w:rsid w:val="005A4B89"/>
    <w:rsid w:val="005A4D4A"/>
    <w:rsid w:val="005A5BA3"/>
    <w:rsid w:val="005A64BB"/>
    <w:rsid w:val="005A6FE2"/>
    <w:rsid w:val="005B0D17"/>
    <w:rsid w:val="005B1E46"/>
    <w:rsid w:val="005B30A6"/>
    <w:rsid w:val="005B3887"/>
    <w:rsid w:val="005B3E97"/>
    <w:rsid w:val="005B4226"/>
    <w:rsid w:val="005B4672"/>
    <w:rsid w:val="005B4BB1"/>
    <w:rsid w:val="005B4C0B"/>
    <w:rsid w:val="005B5C3B"/>
    <w:rsid w:val="005B7397"/>
    <w:rsid w:val="005B7D68"/>
    <w:rsid w:val="005C05B2"/>
    <w:rsid w:val="005C1E88"/>
    <w:rsid w:val="005C3585"/>
    <w:rsid w:val="005C3E57"/>
    <w:rsid w:val="005C5210"/>
    <w:rsid w:val="005C5426"/>
    <w:rsid w:val="005C58FA"/>
    <w:rsid w:val="005C59DB"/>
    <w:rsid w:val="005C5F1E"/>
    <w:rsid w:val="005C5F3E"/>
    <w:rsid w:val="005C79B4"/>
    <w:rsid w:val="005D0BE7"/>
    <w:rsid w:val="005D0D4D"/>
    <w:rsid w:val="005D102F"/>
    <w:rsid w:val="005D1904"/>
    <w:rsid w:val="005D21D8"/>
    <w:rsid w:val="005D39FB"/>
    <w:rsid w:val="005D3AA6"/>
    <w:rsid w:val="005D4844"/>
    <w:rsid w:val="005D5626"/>
    <w:rsid w:val="005D5835"/>
    <w:rsid w:val="005D5926"/>
    <w:rsid w:val="005D5C8F"/>
    <w:rsid w:val="005D5DAB"/>
    <w:rsid w:val="005D6F64"/>
    <w:rsid w:val="005D70E1"/>
    <w:rsid w:val="005D7844"/>
    <w:rsid w:val="005D793E"/>
    <w:rsid w:val="005E034F"/>
    <w:rsid w:val="005E0741"/>
    <w:rsid w:val="005E0B7E"/>
    <w:rsid w:val="005E0D44"/>
    <w:rsid w:val="005E1724"/>
    <w:rsid w:val="005E17C1"/>
    <w:rsid w:val="005E1917"/>
    <w:rsid w:val="005E2294"/>
    <w:rsid w:val="005E3005"/>
    <w:rsid w:val="005E3315"/>
    <w:rsid w:val="005E48B8"/>
    <w:rsid w:val="005E4911"/>
    <w:rsid w:val="005E4C96"/>
    <w:rsid w:val="005E58F0"/>
    <w:rsid w:val="005E5A9F"/>
    <w:rsid w:val="005E5CA0"/>
    <w:rsid w:val="005E5FE2"/>
    <w:rsid w:val="005E60DD"/>
    <w:rsid w:val="005E7E5B"/>
    <w:rsid w:val="005F056E"/>
    <w:rsid w:val="005F1112"/>
    <w:rsid w:val="005F1469"/>
    <w:rsid w:val="005F1478"/>
    <w:rsid w:val="005F1F19"/>
    <w:rsid w:val="005F1FA8"/>
    <w:rsid w:val="005F236E"/>
    <w:rsid w:val="005F285B"/>
    <w:rsid w:val="005F48E0"/>
    <w:rsid w:val="005F70E6"/>
    <w:rsid w:val="005F7470"/>
    <w:rsid w:val="005F7C35"/>
    <w:rsid w:val="0060045E"/>
    <w:rsid w:val="006007B5"/>
    <w:rsid w:val="00600A6C"/>
    <w:rsid w:val="006010EB"/>
    <w:rsid w:val="006017C8"/>
    <w:rsid w:val="006017CD"/>
    <w:rsid w:val="00601BC7"/>
    <w:rsid w:val="0060290B"/>
    <w:rsid w:val="00603238"/>
    <w:rsid w:val="00603881"/>
    <w:rsid w:val="00603FCB"/>
    <w:rsid w:val="0060517B"/>
    <w:rsid w:val="00605686"/>
    <w:rsid w:val="0061090A"/>
    <w:rsid w:val="00611537"/>
    <w:rsid w:val="00613787"/>
    <w:rsid w:val="00613831"/>
    <w:rsid w:val="006143C2"/>
    <w:rsid w:val="00614EBE"/>
    <w:rsid w:val="00615DF4"/>
    <w:rsid w:val="00616195"/>
    <w:rsid w:val="00616ED1"/>
    <w:rsid w:val="00617995"/>
    <w:rsid w:val="00620C6A"/>
    <w:rsid w:val="00621B81"/>
    <w:rsid w:val="00621EB8"/>
    <w:rsid w:val="00621F1E"/>
    <w:rsid w:val="00621F84"/>
    <w:rsid w:val="006221AF"/>
    <w:rsid w:val="006224A1"/>
    <w:rsid w:val="0062426B"/>
    <w:rsid w:val="00626533"/>
    <w:rsid w:val="006270C2"/>
    <w:rsid w:val="00631031"/>
    <w:rsid w:val="00631282"/>
    <w:rsid w:val="006314B7"/>
    <w:rsid w:val="00631BCD"/>
    <w:rsid w:val="00632207"/>
    <w:rsid w:val="006322C4"/>
    <w:rsid w:val="00632728"/>
    <w:rsid w:val="00632847"/>
    <w:rsid w:val="00632C13"/>
    <w:rsid w:val="006336F3"/>
    <w:rsid w:val="00633F5E"/>
    <w:rsid w:val="0063491C"/>
    <w:rsid w:val="00634D0C"/>
    <w:rsid w:val="00635038"/>
    <w:rsid w:val="0063524E"/>
    <w:rsid w:val="006353B0"/>
    <w:rsid w:val="00635555"/>
    <w:rsid w:val="00635ACE"/>
    <w:rsid w:val="0063611D"/>
    <w:rsid w:val="006365C6"/>
    <w:rsid w:val="006371AB"/>
    <w:rsid w:val="006378AE"/>
    <w:rsid w:val="00640F6A"/>
    <w:rsid w:val="00641A5C"/>
    <w:rsid w:val="00642052"/>
    <w:rsid w:val="006435EF"/>
    <w:rsid w:val="00643E72"/>
    <w:rsid w:val="006459DC"/>
    <w:rsid w:val="00645E1E"/>
    <w:rsid w:val="006468DF"/>
    <w:rsid w:val="00647192"/>
    <w:rsid w:val="006505B7"/>
    <w:rsid w:val="00651D55"/>
    <w:rsid w:val="00652491"/>
    <w:rsid w:val="00652849"/>
    <w:rsid w:val="00652A64"/>
    <w:rsid w:val="006534DB"/>
    <w:rsid w:val="00655492"/>
    <w:rsid w:val="006566AB"/>
    <w:rsid w:val="00657F20"/>
    <w:rsid w:val="00660251"/>
    <w:rsid w:val="00661643"/>
    <w:rsid w:val="00661AFE"/>
    <w:rsid w:val="00661B7E"/>
    <w:rsid w:val="00661C60"/>
    <w:rsid w:val="00662C55"/>
    <w:rsid w:val="00663ABC"/>
    <w:rsid w:val="00665388"/>
    <w:rsid w:val="006656F8"/>
    <w:rsid w:val="0066606E"/>
    <w:rsid w:val="006661FB"/>
    <w:rsid w:val="00666A81"/>
    <w:rsid w:val="0066784E"/>
    <w:rsid w:val="006705C7"/>
    <w:rsid w:val="006709E9"/>
    <w:rsid w:val="00670B64"/>
    <w:rsid w:val="006723B3"/>
    <w:rsid w:val="006729AB"/>
    <w:rsid w:val="006734E5"/>
    <w:rsid w:val="00674558"/>
    <w:rsid w:val="0067510F"/>
    <w:rsid w:val="0067552E"/>
    <w:rsid w:val="006773A0"/>
    <w:rsid w:val="0067764D"/>
    <w:rsid w:val="00680540"/>
    <w:rsid w:val="00680F19"/>
    <w:rsid w:val="00681A4D"/>
    <w:rsid w:val="00681F1D"/>
    <w:rsid w:val="006832C1"/>
    <w:rsid w:val="0068363E"/>
    <w:rsid w:val="00683B2C"/>
    <w:rsid w:val="006840E8"/>
    <w:rsid w:val="00685BBC"/>
    <w:rsid w:val="00686363"/>
    <w:rsid w:val="006864AB"/>
    <w:rsid w:val="006868B7"/>
    <w:rsid w:val="00686B3C"/>
    <w:rsid w:val="00686FA2"/>
    <w:rsid w:val="0068739C"/>
    <w:rsid w:val="006905CB"/>
    <w:rsid w:val="00690767"/>
    <w:rsid w:val="00690C36"/>
    <w:rsid w:val="00690CA7"/>
    <w:rsid w:val="00690FF5"/>
    <w:rsid w:val="0069135F"/>
    <w:rsid w:val="00691D3C"/>
    <w:rsid w:val="00691F88"/>
    <w:rsid w:val="006920A4"/>
    <w:rsid w:val="00692CD8"/>
    <w:rsid w:val="00693774"/>
    <w:rsid w:val="00693F34"/>
    <w:rsid w:val="0069435B"/>
    <w:rsid w:val="00694696"/>
    <w:rsid w:val="0069560A"/>
    <w:rsid w:val="00695EFA"/>
    <w:rsid w:val="00696103"/>
    <w:rsid w:val="006961AB"/>
    <w:rsid w:val="00696A47"/>
    <w:rsid w:val="00696A4C"/>
    <w:rsid w:val="00696D64"/>
    <w:rsid w:val="00696DB6"/>
    <w:rsid w:val="00697246"/>
    <w:rsid w:val="0069784D"/>
    <w:rsid w:val="00697CAC"/>
    <w:rsid w:val="00697DD1"/>
    <w:rsid w:val="006A0C97"/>
    <w:rsid w:val="006A116C"/>
    <w:rsid w:val="006A118E"/>
    <w:rsid w:val="006A1296"/>
    <w:rsid w:val="006A2518"/>
    <w:rsid w:val="006A2B06"/>
    <w:rsid w:val="006A48FF"/>
    <w:rsid w:val="006A49FE"/>
    <w:rsid w:val="006A4DA7"/>
    <w:rsid w:val="006A5DB9"/>
    <w:rsid w:val="006A5EF3"/>
    <w:rsid w:val="006A658A"/>
    <w:rsid w:val="006A6850"/>
    <w:rsid w:val="006A6853"/>
    <w:rsid w:val="006A7611"/>
    <w:rsid w:val="006A7ADB"/>
    <w:rsid w:val="006A7C5D"/>
    <w:rsid w:val="006B0503"/>
    <w:rsid w:val="006B0D82"/>
    <w:rsid w:val="006B1001"/>
    <w:rsid w:val="006B11AD"/>
    <w:rsid w:val="006B1955"/>
    <w:rsid w:val="006B21A6"/>
    <w:rsid w:val="006B36F2"/>
    <w:rsid w:val="006B3BE9"/>
    <w:rsid w:val="006B4097"/>
    <w:rsid w:val="006B419A"/>
    <w:rsid w:val="006B4A2D"/>
    <w:rsid w:val="006B4E4F"/>
    <w:rsid w:val="006B5487"/>
    <w:rsid w:val="006B57B2"/>
    <w:rsid w:val="006B587C"/>
    <w:rsid w:val="006B607B"/>
    <w:rsid w:val="006B63D7"/>
    <w:rsid w:val="006B6930"/>
    <w:rsid w:val="006B7463"/>
    <w:rsid w:val="006B7E0E"/>
    <w:rsid w:val="006C1574"/>
    <w:rsid w:val="006C1C5D"/>
    <w:rsid w:val="006C1F10"/>
    <w:rsid w:val="006C3395"/>
    <w:rsid w:val="006C425A"/>
    <w:rsid w:val="006C553C"/>
    <w:rsid w:val="006C6BC7"/>
    <w:rsid w:val="006C7006"/>
    <w:rsid w:val="006D0D56"/>
    <w:rsid w:val="006D183D"/>
    <w:rsid w:val="006D2834"/>
    <w:rsid w:val="006D2F72"/>
    <w:rsid w:val="006D4D7D"/>
    <w:rsid w:val="006D4F47"/>
    <w:rsid w:val="006D5832"/>
    <w:rsid w:val="006D5AFF"/>
    <w:rsid w:val="006D60C3"/>
    <w:rsid w:val="006D61D4"/>
    <w:rsid w:val="006D6246"/>
    <w:rsid w:val="006D74CC"/>
    <w:rsid w:val="006E0E86"/>
    <w:rsid w:val="006E15AB"/>
    <w:rsid w:val="006E1A09"/>
    <w:rsid w:val="006E1D1C"/>
    <w:rsid w:val="006E2758"/>
    <w:rsid w:val="006E32AA"/>
    <w:rsid w:val="006E3604"/>
    <w:rsid w:val="006E3852"/>
    <w:rsid w:val="006E4494"/>
    <w:rsid w:val="006E5E28"/>
    <w:rsid w:val="006E5ECF"/>
    <w:rsid w:val="006E6574"/>
    <w:rsid w:val="006E6F31"/>
    <w:rsid w:val="006E6FF9"/>
    <w:rsid w:val="006E720A"/>
    <w:rsid w:val="006E7A29"/>
    <w:rsid w:val="006F0B9D"/>
    <w:rsid w:val="006F0C5C"/>
    <w:rsid w:val="006F0E18"/>
    <w:rsid w:val="006F1C2D"/>
    <w:rsid w:val="006F1E84"/>
    <w:rsid w:val="006F2D9F"/>
    <w:rsid w:val="006F3349"/>
    <w:rsid w:val="006F351C"/>
    <w:rsid w:val="006F387E"/>
    <w:rsid w:val="006F3D56"/>
    <w:rsid w:val="006F3F27"/>
    <w:rsid w:val="006F451C"/>
    <w:rsid w:val="006F4585"/>
    <w:rsid w:val="006F6607"/>
    <w:rsid w:val="006F686E"/>
    <w:rsid w:val="006F6B90"/>
    <w:rsid w:val="006F7171"/>
    <w:rsid w:val="00700A16"/>
    <w:rsid w:val="0070116C"/>
    <w:rsid w:val="00701642"/>
    <w:rsid w:val="0070172F"/>
    <w:rsid w:val="00701BF7"/>
    <w:rsid w:val="00701D00"/>
    <w:rsid w:val="00702AAF"/>
    <w:rsid w:val="00703392"/>
    <w:rsid w:val="0070357A"/>
    <w:rsid w:val="007036D8"/>
    <w:rsid w:val="007040EC"/>
    <w:rsid w:val="007049DC"/>
    <w:rsid w:val="007062D7"/>
    <w:rsid w:val="00706593"/>
    <w:rsid w:val="00706742"/>
    <w:rsid w:val="00707448"/>
    <w:rsid w:val="00707A7C"/>
    <w:rsid w:val="00710F8E"/>
    <w:rsid w:val="007112B1"/>
    <w:rsid w:val="00711769"/>
    <w:rsid w:val="007118B6"/>
    <w:rsid w:val="007127CB"/>
    <w:rsid w:val="00712F2F"/>
    <w:rsid w:val="00713C66"/>
    <w:rsid w:val="00714323"/>
    <w:rsid w:val="00714C21"/>
    <w:rsid w:val="00714CF2"/>
    <w:rsid w:val="00714EFE"/>
    <w:rsid w:val="007151C6"/>
    <w:rsid w:val="007156B9"/>
    <w:rsid w:val="0071635A"/>
    <w:rsid w:val="007173FA"/>
    <w:rsid w:val="0071758B"/>
    <w:rsid w:val="00717A5E"/>
    <w:rsid w:val="00720817"/>
    <w:rsid w:val="00720D57"/>
    <w:rsid w:val="007213A5"/>
    <w:rsid w:val="00721AF2"/>
    <w:rsid w:val="00722757"/>
    <w:rsid w:val="00722850"/>
    <w:rsid w:val="00722AA5"/>
    <w:rsid w:val="00722CC3"/>
    <w:rsid w:val="007231C0"/>
    <w:rsid w:val="00724F02"/>
    <w:rsid w:val="0073026D"/>
    <w:rsid w:val="0073353F"/>
    <w:rsid w:val="00733737"/>
    <w:rsid w:val="007344F7"/>
    <w:rsid w:val="00734E89"/>
    <w:rsid w:val="00734ECD"/>
    <w:rsid w:val="007354C5"/>
    <w:rsid w:val="00735A91"/>
    <w:rsid w:val="00735D64"/>
    <w:rsid w:val="007364F3"/>
    <w:rsid w:val="007366A4"/>
    <w:rsid w:val="00736C85"/>
    <w:rsid w:val="00740CB4"/>
    <w:rsid w:val="00741388"/>
    <w:rsid w:val="0074185D"/>
    <w:rsid w:val="00742BC6"/>
    <w:rsid w:val="00742E45"/>
    <w:rsid w:val="0074363F"/>
    <w:rsid w:val="00743909"/>
    <w:rsid w:val="007447AF"/>
    <w:rsid w:val="00744FED"/>
    <w:rsid w:val="007457EC"/>
    <w:rsid w:val="0074580A"/>
    <w:rsid w:val="00745B2C"/>
    <w:rsid w:val="00745FA4"/>
    <w:rsid w:val="007468C3"/>
    <w:rsid w:val="00746E18"/>
    <w:rsid w:val="007500CF"/>
    <w:rsid w:val="007505E0"/>
    <w:rsid w:val="00750816"/>
    <w:rsid w:val="00751261"/>
    <w:rsid w:val="00751EE8"/>
    <w:rsid w:val="00752354"/>
    <w:rsid w:val="00752694"/>
    <w:rsid w:val="00752699"/>
    <w:rsid w:val="007539D9"/>
    <w:rsid w:val="00753AED"/>
    <w:rsid w:val="00753AF1"/>
    <w:rsid w:val="007553EA"/>
    <w:rsid w:val="0075751A"/>
    <w:rsid w:val="007607FB"/>
    <w:rsid w:val="00760B48"/>
    <w:rsid w:val="007616DB"/>
    <w:rsid w:val="0076293E"/>
    <w:rsid w:val="00762DD1"/>
    <w:rsid w:val="00763430"/>
    <w:rsid w:val="00763774"/>
    <w:rsid w:val="0076435A"/>
    <w:rsid w:val="00764A8C"/>
    <w:rsid w:val="007657C1"/>
    <w:rsid w:val="00765B52"/>
    <w:rsid w:val="00765CB2"/>
    <w:rsid w:val="00766A92"/>
    <w:rsid w:val="00766C73"/>
    <w:rsid w:val="00767330"/>
    <w:rsid w:val="00767A3D"/>
    <w:rsid w:val="00767C37"/>
    <w:rsid w:val="007700E0"/>
    <w:rsid w:val="00770FBF"/>
    <w:rsid w:val="00771FE9"/>
    <w:rsid w:val="007724EA"/>
    <w:rsid w:val="00772EBB"/>
    <w:rsid w:val="007738AB"/>
    <w:rsid w:val="00774894"/>
    <w:rsid w:val="00776822"/>
    <w:rsid w:val="0077755F"/>
    <w:rsid w:val="00777E9F"/>
    <w:rsid w:val="007800ED"/>
    <w:rsid w:val="00780C3B"/>
    <w:rsid w:val="00781F91"/>
    <w:rsid w:val="00783773"/>
    <w:rsid w:val="007845F5"/>
    <w:rsid w:val="0078484D"/>
    <w:rsid w:val="00784F6A"/>
    <w:rsid w:val="007858BA"/>
    <w:rsid w:val="00785A19"/>
    <w:rsid w:val="00786133"/>
    <w:rsid w:val="00786153"/>
    <w:rsid w:val="007870D5"/>
    <w:rsid w:val="00787EFF"/>
    <w:rsid w:val="0079094A"/>
    <w:rsid w:val="00790A9D"/>
    <w:rsid w:val="00790BE9"/>
    <w:rsid w:val="007922CD"/>
    <w:rsid w:val="00792F8B"/>
    <w:rsid w:val="007937F7"/>
    <w:rsid w:val="007938B6"/>
    <w:rsid w:val="0079509C"/>
    <w:rsid w:val="00796AE2"/>
    <w:rsid w:val="00796E27"/>
    <w:rsid w:val="007972A9"/>
    <w:rsid w:val="0079792A"/>
    <w:rsid w:val="00797D10"/>
    <w:rsid w:val="007A0777"/>
    <w:rsid w:val="007A0AE2"/>
    <w:rsid w:val="007A0BA4"/>
    <w:rsid w:val="007A0E75"/>
    <w:rsid w:val="007A1867"/>
    <w:rsid w:val="007A1889"/>
    <w:rsid w:val="007A22DA"/>
    <w:rsid w:val="007A406D"/>
    <w:rsid w:val="007A4A51"/>
    <w:rsid w:val="007A4D94"/>
    <w:rsid w:val="007A62B0"/>
    <w:rsid w:val="007A64E2"/>
    <w:rsid w:val="007A67FF"/>
    <w:rsid w:val="007A73A3"/>
    <w:rsid w:val="007A76ED"/>
    <w:rsid w:val="007B03AA"/>
    <w:rsid w:val="007B1C6F"/>
    <w:rsid w:val="007B230C"/>
    <w:rsid w:val="007B2A98"/>
    <w:rsid w:val="007B318C"/>
    <w:rsid w:val="007B3A33"/>
    <w:rsid w:val="007B42D0"/>
    <w:rsid w:val="007B45A9"/>
    <w:rsid w:val="007B4BCC"/>
    <w:rsid w:val="007B54BC"/>
    <w:rsid w:val="007B5F5D"/>
    <w:rsid w:val="007B7904"/>
    <w:rsid w:val="007B7B4D"/>
    <w:rsid w:val="007B7F0A"/>
    <w:rsid w:val="007C1518"/>
    <w:rsid w:val="007C15C7"/>
    <w:rsid w:val="007C1899"/>
    <w:rsid w:val="007C1D6F"/>
    <w:rsid w:val="007C23F4"/>
    <w:rsid w:val="007C27B6"/>
    <w:rsid w:val="007C2C78"/>
    <w:rsid w:val="007C2E02"/>
    <w:rsid w:val="007C3417"/>
    <w:rsid w:val="007C419C"/>
    <w:rsid w:val="007C4A2B"/>
    <w:rsid w:val="007C4AF2"/>
    <w:rsid w:val="007C54DA"/>
    <w:rsid w:val="007C5912"/>
    <w:rsid w:val="007C5A0C"/>
    <w:rsid w:val="007C61B1"/>
    <w:rsid w:val="007C62FF"/>
    <w:rsid w:val="007C6425"/>
    <w:rsid w:val="007C692C"/>
    <w:rsid w:val="007C7C14"/>
    <w:rsid w:val="007D02C4"/>
    <w:rsid w:val="007D0BDC"/>
    <w:rsid w:val="007D1DB0"/>
    <w:rsid w:val="007D2EF4"/>
    <w:rsid w:val="007D3258"/>
    <w:rsid w:val="007D35B8"/>
    <w:rsid w:val="007D3DAE"/>
    <w:rsid w:val="007D4448"/>
    <w:rsid w:val="007D5466"/>
    <w:rsid w:val="007D5784"/>
    <w:rsid w:val="007D638D"/>
    <w:rsid w:val="007D65B3"/>
    <w:rsid w:val="007D6A26"/>
    <w:rsid w:val="007E06E0"/>
    <w:rsid w:val="007E0888"/>
    <w:rsid w:val="007E0FEE"/>
    <w:rsid w:val="007E1673"/>
    <w:rsid w:val="007E25E5"/>
    <w:rsid w:val="007E2926"/>
    <w:rsid w:val="007E2A4B"/>
    <w:rsid w:val="007E2A85"/>
    <w:rsid w:val="007E3420"/>
    <w:rsid w:val="007E411D"/>
    <w:rsid w:val="007E5211"/>
    <w:rsid w:val="007E5628"/>
    <w:rsid w:val="007E57F4"/>
    <w:rsid w:val="007E5B86"/>
    <w:rsid w:val="007E715D"/>
    <w:rsid w:val="007E7466"/>
    <w:rsid w:val="007F031D"/>
    <w:rsid w:val="007F1503"/>
    <w:rsid w:val="007F1926"/>
    <w:rsid w:val="007F2017"/>
    <w:rsid w:val="007F28A1"/>
    <w:rsid w:val="007F2BE4"/>
    <w:rsid w:val="007F2CD1"/>
    <w:rsid w:val="007F3040"/>
    <w:rsid w:val="007F30C9"/>
    <w:rsid w:val="007F30F2"/>
    <w:rsid w:val="007F4C3E"/>
    <w:rsid w:val="007F5109"/>
    <w:rsid w:val="007F53AA"/>
    <w:rsid w:val="007F6780"/>
    <w:rsid w:val="007F707A"/>
    <w:rsid w:val="00800230"/>
    <w:rsid w:val="008019CD"/>
    <w:rsid w:val="00801B23"/>
    <w:rsid w:val="00802FA9"/>
    <w:rsid w:val="0080301E"/>
    <w:rsid w:val="008037AE"/>
    <w:rsid w:val="0080390E"/>
    <w:rsid w:val="00804451"/>
    <w:rsid w:val="00805D51"/>
    <w:rsid w:val="0080725D"/>
    <w:rsid w:val="008076F7"/>
    <w:rsid w:val="00807DBB"/>
    <w:rsid w:val="00807EFF"/>
    <w:rsid w:val="008101C7"/>
    <w:rsid w:val="008107C3"/>
    <w:rsid w:val="00810EB0"/>
    <w:rsid w:val="00812627"/>
    <w:rsid w:val="00812B1D"/>
    <w:rsid w:val="008142B1"/>
    <w:rsid w:val="008143FE"/>
    <w:rsid w:val="0081469B"/>
    <w:rsid w:val="00814FA9"/>
    <w:rsid w:val="0081563F"/>
    <w:rsid w:val="008159CF"/>
    <w:rsid w:val="00815CD1"/>
    <w:rsid w:val="00816103"/>
    <w:rsid w:val="008162B1"/>
    <w:rsid w:val="0081669B"/>
    <w:rsid w:val="00816E05"/>
    <w:rsid w:val="008178AE"/>
    <w:rsid w:val="00820066"/>
    <w:rsid w:val="00820887"/>
    <w:rsid w:val="00821D99"/>
    <w:rsid w:val="00821DE7"/>
    <w:rsid w:val="00821F5E"/>
    <w:rsid w:val="008223F2"/>
    <w:rsid w:val="00822F6B"/>
    <w:rsid w:val="0082308D"/>
    <w:rsid w:val="008235B8"/>
    <w:rsid w:val="00823E97"/>
    <w:rsid w:val="00824CBA"/>
    <w:rsid w:val="008260B9"/>
    <w:rsid w:val="00826312"/>
    <w:rsid w:val="00830583"/>
    <w:rsid w:val="00830BC7"/>
    <w:rsid w:val="00833403"/>
    <w:rsid w:val="008339BB"/>
    <w:rsid w:val="00833AF5"/>
    <w:rsid w:val="008349B6"/>
    <w:rsid w:val="00836467"/>
    <w:rsid w:val="008364F8"/>
    <w:rsid w:val="00837E3E"/>
    <w:rsid w:val="008405E7"/>
    <w:rsid w:val="00840607"/>
    <w:rsid w:val="00840CE4"/>
    <w:rsid w:val="008416F2"/>
    <w:rsid w:val="00842615"/>
    <w:rsid w:val="00842791"/>
    <w:rsid w:val="008429D3"/>
    <w:rsid w:val="008436C6"/>
    <w:rsid w:val="008438D9"/>
    <w:rsid w:val="0084464E"/>
    <w:rsid w:val="00846A45"/>
    <w:rsid w:val="00846CBF"/>
    <w:rsid w:val="008471A0"/>
    <w:rsid w:val="00847BC1"/>
    <w:rsid w:val="00850153"/>
    <w:rsid w:val="00850723"/>
    <w:rsid w:val="008508E9"/>
    <w:rsid w:val="00853999"/>
    <w:rsid w:val="00853A2C"/>
    <w:rsid w:val="00853FFA"/>
    <w:rsid w:val="0085457E"/>
    <w:rsid w:val="00854AA3"/>
    <w:rsid w:val="00854B10"/>
    <w:rsid w:val="0085598B"/>
    <w:rsid w:val="008579D0"/>
    <w:rsid w:val="0086159B"/>
    <w:rsid w:val="00861E99"/>
    <w:rsid w:val="008621FC"/>
    <w:rsid w:val="00862E5B"/>
    <w:rsid w:val="00863379"/>
    <w:rsid w:val="0086419A"/>
    <w:rsid w:val="00865053"/>
    <w:rsid w:val="00865734"/>
    <w:rsid w:val="00866B05"/>
    <w:rsid w:val="00866F06"/>
    <w:rsid w:val="0087023B"/>
    <w:rsid w:val="0087042B"/>
    <w:rsid w:val="008706C6"/>
    <w:rsid w:val="00870B69"/>
    <w:rsid w:val="00870C72"/>
    <w:rsid w:val="00871B68"/>
    <w:rsid w:val="00872718"/>
    <w:rsid w:val="008728A6"/>
    <w:rsid w:val="00872F01"/>
    <w:rsid w:val="00872FE2"/>
    <w:rsid w:val="008731CF"/>
    <w:rsid w:val="0087349E"/>
    <w:rsid w:val="00873A45"/>
    <w:rsid w:val="008747CD"/>
    <w:rsid w:val="008752FC"/>
    <w:rsid w:val="008757C1"/>
    <w:rsid w:val="00875D02"/>
    <w:rsid w:val="00876288"/>
    <w:rsid w:val="00876D22"/>
    <w:rsid w:val="00877133"/>
    <w:rsid w:val="00880653"/>
    <w:rsid w:val="00881410"/>
    <w:rsid w:val="0088227C"/>
    <w:rsid w:val="00883A33"/>
    <w:rsid w:val="00885014"/>
    <w:rsid w:val="008855D1"/>
    <w:rsid w:val="008872B9"/>
    <w:rsid w:val="008875BF"/>
    <w:rsid w:val="008904D2"/>
    <w:rsid w:val="008904DD"/>
    <w:rsid w:val="00890EE7"/>
    <w:rsid w:val="00890F21"/>
    <w:rsid w:val="00892872"/>
    <w:rsid w:val="0089323D"/>
    <w:rsid w:val="00894AD1"/>
    <w:rsid w:val="00894C6B"/>
    <w:rsid w:val="008953E7"/>
    <w:rsid w:val="0089541D"/>
    <w:rsid w:val="00895DFB"/>
    <w:rsid w:val="008972FB"/>
    <w:rsid w:val="00897CEC"/>
    <w:rsid w:val="00897DA0"/>
    <w:rsid w:val="008A02B4"/>
    <w:rsid w:val="008A08BF"/>
    <w:rsid w:val="008A179F"/>
    <w:rsid w:val="008A358E"/>
    <w:rsid w:val="008A485B"/>
    <w:rsid w:val="008A5E1B"/>
    <w:rsid w:val="008A646A"/>
    <w:rsid w:val="008A6720"/>
    <w:rsid w:val="008A77A3"/>
    <w:rsid w:val="008A7C13"/>
    <w:rsid w:val="008B0864"/>
    <w:rsid w:val="008B0C58"/>
    <w:rsid w:val="008B1704"/>
    <w:rsid w:val="008B175A"/>
    <w:rsid w:val="008B179F"/>
    <w:rsid w:val="008B1B56"/>
    <w:rsid w:val="008B1D4E"/>
    <w:rsid w:val="008B34CC"/>
    <w:rsid w:val="008B4D11"/>
    <w:rsid w:val="008B7D16"/>
    <w:rsid w:val="008C0204"/>
    <w:rsid w:val="008C0E1A"/>
    <w:rsid w:val="008C0FE8"/>
    <w:rsid w:val="008C150F"/>
    <w:rsid w:val="008C2FE2"/>
    <w:rsid w:val="008C318B"/>
    <w:rsid w:val="008C3CB7"/>
    <w:rsid w:val="008C3DE1"/>
    <w:rsid w:val="008C4693"/>
    <w:rsid w:val="008C4953"/>
    <w:rsid w:val="008C558D"/>
    <w:rsid w:val="008C60DB"/>
    <w:rsid w:val="008C616F"/>
    <w:rsid w:val="008C6754"/>
    <w:rsid w:val="008C6992"/>
    <w:rsid w:val="008C7413"/>
    <w:rsid w:val="008C7D3F"/>
    <w:rsid w:val="008D16B7"/>
    <w:rsid w:val="008D17FC"/>
    <w:rsid w:val="008D1B23"/>
    <w:rsid w:val="008D235E"/>
    <w:rsid w:val="008D2B03"/>
    <w:rsid w:val="008D2B8E"/>
    <w:rsid w:val="008D2E3C"/>
    <w:rsid w:val="008D35FB"/>
    <w:rsid w:val="008D38F1"/>
    <w:rsid w:val="008D4E5F"/>
    <w:rsid w:val="008D5DE7"/>
    <w:rsid w:val="008D6183"/>
    <w:rsid w:val="008D6B17"/>
    <w:rsid w:val="008D7943"/>
    <w:rsid w:val="008D7F6D"/>
    <w:rsid w:val="008E0728"/>
    <w:rsid w:val="008E147C"/>
    <w:rsid w:val="008E1C62"/>
    <w:rsid w:val="008E217C"/>
    <w:rsid w:val="008E25B0"/>
    <w:rsid w:val="008E2834"/>
    <w:rsid w:val="008E2C43"/>
    <w:rsid w:val="008E2DE8"/>
    <w:rsid w:val="008E34CA"/>
    <w:rsid w:val="008E40DD"/>
    <w:rsid w:val="008E41F2"/>
    <w:rsid w:val="008E45D6"/>
    <w:rsid w:val="008E4BF5"/>
    <w:rsid w:val="008E4F27"/>
    <w:rsid w:val="008E5605"/>
    <w:rsid w:val="008E67F4"/>
    <w:rsid w:val="008E6AE6"/>
    <w:rsid w:val="008E7704"/>
    <w:rsid w:val="008E7976"/>
    <w:rsid w:val="008E7D20"/>
    <w:rsid w:val="008F0116"/>
    <w:rsid w:val="008F05BC"/>
    <w:rsid w:val="008F07AD"/>
    <w:rsid w:val="008F1032"/>
    <w:rsid w:val="008F11BB"/>
    <w:rsid w:val="008F143D"/>
    <w:rsid w:val="008F16E8"/>
    <w:rsid w:val="008F3308"/>
    <w:rsid w:val="008F3C1C"/>
    <w:rsid w:val="008F4563"/>
    <w:rsid w:val="008F474B"/>
    <w:rsid w:val="008F4903"/>
    <w:rsid w:val="008F512F"/>
    <w:rsid w:val="008F59AB"/>
    <w:rsid w:val="008F5F73"/>
    <w:rsid w:val="008F666E"/>
    <w:rsid w:val="008F69D8"/>
    <w:rsid w:val="008F7C50"/>
    <w:rsid w:val="008F7FE4"/>
    <w:rsid w:val="009010FB"/>
    <w:rsid w:val="00901CC9"/>
    <w:rsid w:val="00903D65"/>
    <w:rsid w:val="00903FCC"/>
    <w:rsid w:val="009054B8"/>
    <w:rsid w:val="00905970"/>
    <w:rsid w:val="0090623E"/>
    <w:rsid w:val="00906DA1"/>
    <w:rsid w:val="00906E78"/>
    <w:rsid w:val="009075B8"/>
    <w:rsid w:val="00910E3E"/>
    <w:rsid w:val="00910ED7"/>
    <w:rsid w:val="009118CF"/>
    <w:rsid w:val="00913307"/>
    <w:rsid w:val="009135DD"/>
    <w:rsid w:val="00913DF9"/>
    <w:rsid w:val="009141E0"/>
    <w:rsid w:val="00914313"/>
    <w:rsid w:val="00914CFA"/>
    <w:rsid w:val="00914E48"/>
    <w:rsid w:val="00915523"/>
    <w:rsid w:val="009165E0"/>
    <w:rsid w:val="00916AB5"/>
    <w:rsid w:val="00916D64"/>
    <w:rsid w:val="009174B6"/>
    <w:rsid w:val="00917573"/>
    <w:rsid w:val="0091791E"/>
    <w:rsid w:val="00920C18"/>
    <w:rsid w:val="00921C3D"/>
    <w:rsid w:val="00922EF7"/>
    <w:rsid w:val="00923A2E"/>
    <w:rsid w:val="009259CA"/>
    <w:rsid w:val="00925B9A"/>
    <w:rsid w:val="00926B37"/>
    <w:rsid w:val="00927AAB"/>
    <w:rsid w:val="00927E62"/>
    <w:rsid w:val="00927FF4"/>
    <w:rsid w:val="0093022C"/>
    <w:rsid w:val="00930AE3"/>
    <w:rsid w:val="00930F01"/>
    <w:rsid w:val="009313E7"/>
    <w:rsid w:val="00932865"/>
    <w:rsid w:val="00932CA5"/>
    <w:rsid w:val="00933042"/>
    <w:rsid w:val="0093548B"/>
    <w:rsid w:val="00935EB5"/>
    <w:rsid w:val="00935F33"/>
    <w:rsid w:val="00937542"/>
    <w:rsid w:val="009375BE"/>
    <w:rsid w:val="00937C12"/>
    <w:rsid w:val="009400F6"/>
    <w:rsid w:val="0094048F"/>
    <w:rsid w:val="009409C8"/>
    <w:rsid w:val="00940E54"/>
    <w:rsid w:val="009416FD"/>
    <w:rsid w:val="009434A6"/>
    <w:rsid w:val="009437D1"/>
    <w:rsid w:val="00943B7E"/>
    <w:rsid w:val="00943C6A"/>
    <w:rsid w:val="00944D47"/>
    <w:rsid w:val="009453E5"/>
    <w:rsid w:val="00945BE2"/>
    <w:rsid w:val="00945C51"/>
    <w:rsid w:val="00946C63"/>
    <w:rsid w:val="00946CF9"/>
    <w:rsid w:val="0094768B"/>
    <w:rsid w:val="0094772C"/>
    <w:rsid w:val="00947795"/>
    <w:rsid w:val="0094784F"/>
    <w:rsid w:val="00950113"/>
    <w:rsid w:val="00950C10"/>
    <w:rsid w:val="009512D6"/>
    <w:rsid w:val="0095333F"/>
    <w:rsid w:val="00953AB0"/>
    <w:rsid w:val="00953DBF"/>
    <w:rsid w:val="00954982"/>
    <w:rsid w:val="0095573E"/>
    <w:rsid w:val="00955D0A"/>
    <w:rsid w:val="00955D9E"/>
    <w:rsid w:val="00956363"/>
    <w:rsid w:val="00956B9A"/>
    <w:rsid w:val="009574CE"/>
    <w:rsid w:val="00960017"/>
    <w:rsid w:val="00960604"/>
    <w:rsid w:val="009606F2"/>
    <w:rsid w:val="00960C13"/>
    <w:rsid w:val="0096125A"/>
    <w:rsid w:val="009614B3"/>
    <w:rsid w:val="00961CB7"/>
    <w:rsid w:val="00962361"/>
    <w:rsid w:val="00963394"/>
    <w:rsid w:val="00963D37"/>
    <w:rsid w:val="0096407C"/>
    <w:rsid w:val="00965F2C"/>
    <w:rsid w:val="0096672B"/>
    <w:rsid w:val="00966CD4"/>
    <w:rsid w:val="00970BDC"/>
    <w:rsid w:val="00971BC2"/>
    <w:rsid w:val="00972771"/>
    <w:rsid w:val="00972878"/>
    <w:rsid w:val="00972D84"/>
    <w:rsid w:val="00973998"/>
    <w:rsid w:val="00974937"/>
    <w:rsid w:val="00974949"/>
    <w:rsid w:val="00975FD9"/>
    <w:rsid w:val="00976418"/>
    <w:rsid w:val="00977DCC"/>
    <w:rsid w:val="00980A1B"/>
    <w:rsid w:val="0098138E"/>
    <w:rsid w:val="00982FF0"/>
    <w:rsid w:val="009830A6"/>
    <w:rsid w:val="00983480"/>
    <w:rsid w:val="00983562"/>
    <w:rsid w:val="00984B23"/>
    <w:rsid w:val="0098655A"/>
    <w:rsid w:val="00986A19"/>
    <w:rsid w:val="00986C4C"/>
    <w:rsid w:val="00987647"/>
    <w:rsid w:val="00991A32"/>
    <w:rsid w:val="00991D23"/>
    <w:rsid w:val="00992248"/>
    <w:rsid w:val="0099471E"/>
    <w:rsid w:val="009948B7"/>
    <w:rsid w:val="009A1CBE"/>
    <w:rsid w:val="009A1F4F"/>
    <w:rsid w:val="009A2199"/>
    <w:rsid w:val="009A2CFA"/>
    <w:rsid w:val="009A33B3"/>
    <w:rsid w:val="009A361E"/>
    <w:rsid w:val="009A4D80"/>
    <w:rsid w:val="009A5178"/>
    <w:rsid w:val="009A5E58"/>
    <w:rsid w:val="009A658B"/>
    <w:rsid w:val="009A6616"/>
    <w:rsid w:val="009A674D"/>
    <w:rsid w:val="009A6E36"/>
    <w:rsid w:val="009A7682"/>
    <w:rsid w:val="009A772A"/>
    <w:rsid w:val="009A7A7B"/>
    <w:rsid w:val="009A7E83"/>
    <w:rsid w:val="009B0BDA"/>
    <w:rsid w:val="009B0F0D"/>
    <w:rsid w:val="009B167C"/>
    <w:rsid w:val="009B18ED"/>
    <w:rsid w:val="009B1C3C"/>
    <w:rsid w:val="009B3012"/>
    <w:rsid w:val="009B3038"/>
    <w:rsid w:val="009B3146"/>
    <w:rsid w:val="009B334E"/>
    <w:rsid w:val="009B3B5C"/>
    <w:rsid w:val="009B4899"/>
    <w:rsid w:val="009B4D55"/>
    <w:rsid w:val="009B5077"/>
    <w:rsid w:val="009B5E70"/>
    <w:rsid w:val="009B6342"/>
    <w:rsid w:val="009B7151"/>
    <w:rsid w:val="009B74EB"/>
    <w:rsid w:val="009C0B63"/>
    <w:rsid w:val="009C125C"/>
    <w:rsid w:val="009C1596"/>
    <w:rsid w:val="009C1F06"/>
    <w:rsid w:val="009C24F3"/>
    <w:rsid w:val="009C267C"/>
    <w:rsid w:val="009C3435"/>
    <w:rsid w:val="009C5E43"/>
    <w:rsid w:val="009C661E"/>
    <w:rsid w:val="009C6DF8"/>
    <w:rsid w:val="009C6E0B"/>
    <w:rsid w:val="009C7D77"/>
    <w:rsid w:val="009C7F67"/>
    <w:rsid w:val="009D0226"/>
    <w:rsid w:val="009D0711"/>
    <w:rsid w:val="009D283D"/>
    <w:rsid w:val="009D3DDB"/>
    <w:rsid w:val="009D43DB"/>
    <w:rsid w:val="009D4B9B"/>
    <w:rsid w:val="009D5774"/>
    <w:rsid w:val="009D603A"/>
    <w:rsid w:val="009D6362"/>
    <w:rsid w:val="009D66DD"/>
    <w:rsid w:val="009D7AA3"/>
    <w:rsid w:val="009D7F1B"/>
    <w:rsid w:val="009E06F0"/>
    <w:rsid w:val="009E07B5"/>
    <w:rsid w:val="009E0F58"/>
    <w:rsid w:val="009E1C60"/>
    <w:rsid w:val="009E1D81"/>
    <w:rsid w:val="009E1E07"/>
    <w:rsid w:val="009E273E"/>
    <w:rsid w:val="009E4044"/>
    <w:rsid w:val="009E4239"/>
    <w:rsid w:val="009E4789"/>
    <w:rsid w:val="009E4B0E"/>
    <w:rsid w:val="009E510F"/>
    <w:rsid w:val="009E5F0B"/>
    <w:rsid w:val="009E6052"/>
    <w:rsid w:val="009E6556"/>
    <w:rsid w:val="009E6B4E"/>
    <w:rsid w:val="009E7C7F"/>
    <w:rsid w:val="009F09BA"/>
    <w:rsid w:val="009F14FB"/>
    <w:rsid w:val="009F166E"/>
    <w:rsid w:val="009F19FC"/>
    <w:rsid w:val="009F1DB1"/>
    <w:rsid w:val="009F2023"/>
    <w:rsid w:val="009F3F68"/>
    <w:rsid w:val="009F4C01"/>
    <w:rsid w:val="009F569F"/>
    <w:rsid w:val="009F5CD1"/>
    <w:rsid w:val="009F6130"/>
    <w:rsid w:val="009F70A9"/>
    <w:rsid w:val="009F718D"/>
    <w:rsid w:val="00A00E35"/>
    <w:rsid w:val="00A0220C"/>
    <w:rsid w:val="00A03131"/>
    <w:rsid w:val="00A036F0"/>
    <w:rsid w:val="00A03BEA"/>
    <w:rsid w:val="00A043DF"/>
    <w:rsid w:val="00A0484B"/>
    <w:rsid w:val="00A04AFE"/>
    <w:rsid w:val="00A05D9D"/>
    <w:rsid w:val="00A0610B"/>
    <w:rsid w:val="00A067EC"/>
    <w:rsid w:val="00A06B5E"/>
    <w:rsid w:val="00A07859"/>
    <w:rsid w:val="00A07D1C"/>
    <w:rsid w:val="00A109CA"/>
    <w:rsid w:val="00A10B2C"/>
    <w:rsid w:val="00A12805"/>
    <w:rsid w:val="00A1292E"/>
    <w:rsid w:val="00A1588F"/>
    <w:rsid w:val="00A16C8E"/>
    <w:rsid w:val="00A17CE0"/>
    <w:rsid w:val="00A20C01"/>
    <w:rsid w:val="00A2114F"/>
    <w:rsid w:val="00A21F8A"/>
    <w:rsid w:val="00A21FBD"/>
    <w:rsid w:val="00A22298"/>
    <w:rsid w:val="00A22C83"/>
    <w:rsid w:val="00A22D18"/>
    <w:rsid w:val="00A23AA3"/>
    <w:rsid w:val="00A23D48"/>
    <w:rsid w:val="00A241A3"/>
    <w:rsid w:val="00A247E9"/>
    <w:rsid w:val="00A2592C"/>
    <w:rsid w:val="00A268B9"/>
    <w:rsid w:val="00A27004"/>
    <w:rsid w:val="00A273ED"/>
    <w:rsid w:val="00A30193"/>
    <w:rsid w:val="00A312FC"/>
    <w:rsid w:val="00A31F64"/>
    <w:rsid w:val="00A330C2"/>
    <w:rsid w:val="00A330FB"/>
    <w:rsid w:val="00A3385B"/>
    <w:rsid w:val="00A33A4E"/>
    <w:rsid w:val="00A3468D"/>
    <w:rsid w:val="00A37938"/>
    <w:rsid w:val="00A37F3E"/>
    <w:rsid w:val="00A4058A"/>
    <w:rsid w:val="00A411C5"/>
    <w:rsid w:val="00A4177F"/>
    <w:rsid w:val="00A42306"/>
    <w:rsid w:val="00A44E8D"/>
    <w:rsid w:val="00A44F00"/>
    <w:rsid w:val="00A45723"/>
    <w:rsid w:val="00A466CC"/>
    <w:rsid w:val="00A46EA8"/>
    <w:rsid w:val="00A471FC"/>
    <w:rsid w:val="00A51BF5"/>
    <w:rsid w:val="00A52E1A"/>
    <w:rsid w:val="00A53E7F"/>
    <w:rsid w:val="00A54590"/>
    <w:rsid w:val="00A54726"/>
    <w:rsid w:val="00A54843"/>
    <w:rsid w:val="00A55023"/>
    <w:rsid w:val="00A5534D"/>
    <w:rsid w:val="00A55ACD"/>
    <w:rsid w:val="00A55BB5"/>
    <w:rsid w:val="00A55E28"/>
    <w:rsid w:val="00A55E93"/>
    <w:rsid w:val="00A55FDD"/>
    <w:rsid w:val="00A56157"/>
    <w:rsid w:val="00A56312"/>
    <w:rsid w:val="00A5693C"/>
    <w:rsid w:val="00A56E41"/>
    <w:rsid w:val="00A56E5B"/>
    <w:rsid w:val="00A57BB1"/>
    <w:rsid w:val="00A6090F"/>
    <w:rsid w:val="00A61531"/>
    <w:rsid w:val="00A6243E"/>
    <w:rsid w:val="00A63560"/>
    <w:rsid w:val="00A63C2A"/>
    <w:rsid w:val="00A63C2E"/>
    <w:rsid w:val="00A6442C"/>
    <w:rsid w:val="00A646B4"/>
    <w:rsid w:val="00A654F1"/>
    <w:rsid w:val="00A66073"/>
    <w:rsid w:val="00A66E08"/>
    <w:rsid w:val="00A67495"/>
    <w:rsid w:val="00A679A4"/>
    <w:rsid w:val="00A67AE3"/>
    <w:rsid w:val="00A70061"/>
    <w:rsid w:val="00A700F9"/>
    <w:rsid w:val="00A7020A"/>
    <w:rsid w:val="00A70C0F"/>
    <w:rsid w:val="00A71189"/>
    <w:rsid w:val="00A7175B"/>
    <w:rsid w:val="00A727A3"/>
    <w:rsid w:val="00A72BDD"/>
    <w:rsid w:val="00A7300D"/>
    <w:rsid w:val="00A73449"/>
    <w:rsid w:val="00A7472C"/>
    <w:rsid w:val="00A74CE5"/>
    <w:rsid w:val="00A75A7C"/>
    <w:rsid w:val="00A75EFF"/>
    <w:rsid w:val="00A77219"/>
    <w:rsid w:val="00A8019C"/>
    <w:rsid w:val="00A801A9"/>
    <w:rsid w:val="00A80202"/>
    <w:rsid w:val="00A80745"/>
    <w:rsid w:val="00A8172E"/>
    <w:rsid w:val="00A839B0"/>
    <w:rsid w:val="00A83B9B"/>
    <w:rsid w:val="00A83F6B"/>
    <w:rsid w:val="00A84353"/>
    <w:rsid w:val="00A846D2"/>
    <w:rsid w:val="00A84772"/>
    <w:rsid w:val="00A85D27"/>
    <w:rsid w:val="00A8601E"/>
    <w:rsid w:val="00A87232"/>
    <w:rsid w:val="00A87FC6"/>
    <w:rsid w:val="00A902E7"/>
    <w:rsid w:val="00A904D0"/>
    <w:rsid w:val="00A90615"/>
    <w:rsid w:val="00A90622"/>
    <w:rsid w:val="00A92EF1"/>
    <w:rsid w:val="00A93302"/>
    <w:rsid w:val="00A93481"/>
    <w:rsid w:val="00A93894"/>
    <w:rsid w:val="00A939FC"/>
    <w:rsid w:val="00A93C20"/>
    <w:rsid w:val="00A94957"/>
    <w:rsid w:val="00A9563A"/>
    <w:rsid w:val="00A95823"/>
    <w:rsid w:val="00A96A3D"/>
    <w:rsid w:val="00A96BC5"/>
    <w:rsid w:val="00A9761B"/>
    <w:rsid w:val="00A979F4"/>
    <w:rsid w:val="00AA0AB3"/>
    <w:rsid w:val="00AA0C31"/>
    <w:rsid w:val="00AA168C"/>
    <w:rsid w:val="00AA205D"/>
    <w:rsid w:val="00AA2D18"/>
    <w:rsid w:val="00AA318A"/>
    <w:rsid w:val="00AA3279"/>
    <w:rsid w:val="00AA3846"/>
    <w:rsid w:val="00AA3B79"/>
    <w:rsid w:val="00AA3E0B"/>
    <w:rsid w:val="00AA55E0"/>
    <w:rsid w:val="00AA5CDA"/>
    <w:rsid w:val="00AA70C5"/>
    <w:rsid w:val="00AB0CF0"/>
    <w:rsid w:val="00AB10F9"/>
    <w:rsid w:val="00AB1BC9"/>
    <w:rsid w:val="00AB1FF2"/>
    <w:rsid w:val="00AB232A"/>
    <w:rsid w:val="00AB2AE0"/>
    <w:rsid w:val="00AB4887"/>
    <w:rsid w:val="00AB4A7E"/>
    <w:rsid w:val="00AB4BB4"/>
    <w:rsid w:val="00AB5285"/>
    <w:rsid w:val="00AB6A2F"/>
    <w:rsid w:val="00AB7547"/>
    <w:rsid w:val="00AB7875"/>
    <w:rsid w:val="00AC01F1"/>
    <w:rsid w:val="00AC0C95"/>
    <w:rsid w:val="00AC11C5"/>
    <w:rsid w:val="00AC1505"/>
    <w:rsid w:val="00AC2E6A"/>
    <w:rsid w:val="00AC446D"/>
    <w:rsid w:val="00AC50DC"/>
    <w:rsid w:val="00AC61AE"/>
    <w:rsid w:val="00AC68EE"/>
    <w:rsid w:val="00AC6A9D"/>
    <w:rsid w:val="00AC70A5"/>
    <w:rsid w:val="00AC71CB"/>
    <w:rsid w:val="00AC7BEF"/>
    <w:rsid w:val="00AC7C02"/>
    <w:rsid w:val="00AD0045"/>
    <w:rsid w:val="00AD112D"/>
    <w:rsid w:val="00AD1612"/>
    <w:rsid w:val="00AD1916"/>
    <w:rsid w:val="00AD1F6A"/>
    <w:rsid w:val="00AD2210"/>
    <w:rsid w:val="00AD2CB9"/>
    <w:rsid w:val="00AD2E0E"/>
    <w:rsid w:val="00AD3963"/>
    <w:rsid w:val="00AD3FB3"/>
    <w:rsid w:val="00AD4C36"/>
    <w:rsid w:val="00AD4D45"/>
    <w:rsid w:val="00AD50F3"/>
    <w:rsid w:val="00AD5702"/>
    <w:rsid w:val="00AD5FBD"/>
    <w:rsid w:val="00AD659A"/>
    <w:rsid w:val="00AD6A8E"/>
    <w:rsid w:val="00AD7AB9"/>
    <w:rsid w:val="00AE07F7"/>
    <w:rsid w:val="00AE1026"/>
    <w:rsid w:val="00AE1A72"/>
    <w:rsid w:val="00AE2369"/>
    <w:rsid w:val="00AE252A"/>
    <w:rsid w:val="00AE5306"/>
    <w:rsid w:val="00AE7334"/>
    <w:rsid w:val="00AE79DF"/>
    <w:rsid w:val="00AF027A"/>
    <w:rsid w:val="00AF02F2"/>
    <w:rsid w:val="00AF1CA1"/>
    <w:rsid w:val="00AF1D36"/>
    <w:rsid w:val="00AF1EC9"/>
    <w:rsid w:val="00AF2181"/>
    <w:rsid w:val="00AF2C50"/>
    <w:rsid w:val="00AF3ACE"/>
    <w:rsid w:val="00AF5071"/>
    <w:rsid w:val="00AF50B7"/>
    <w:rsid w:val="00AF6E0A"/>
    <w:rsid w:val="00B00170"/>
    <w:rsid w:val="00B002B4"/>
    <w:rsid w:val="00B00DF9"/>
    <w:rsid w:val="00B00E5E"/>
    <w:rsid w:val="00B01092"/>
    <w:rsid w:val="00B01724"/>
    <w:rsid w:val="00B01CA3"/>
    <w:rsid w:val="00B01F7E"/>
    <w:rsid w:val="00B03624"/>
    <w:rsid w:val="00B03D42"/>
    <w:rsid w:val="00B04C4D"/>
    <w:rsid w:val="00B066D1"/>
    <w:rsid w:val="00B06771"/>
    <w:rsid w:val="00B07132"/>
    <w:rsid w:val="00B079B4"/>
    <w:rsid w:val="00B11478"/>
    <w:rsid w:val="00B116EC"/>
    <w:rsid w:val="00B11BFE"/>
    <w:rsid w:val="00B11D23"/>
    <w:rsid w:val="00B12CE8"/>
    <w:rsid w:val="00B1316C"/>
    <w:rsid w:val="00B1324C"/>
    <w:rsid w:val="00B13642"/>
    <w:rsid w:val="00B13D19"/>
    <w:rsid w:val="00B13E86"/>
    <w:rsid w:val="00B13FF9"/>
    <w:rsid w:val="00B15365"/>
    <w:rsid w:val="00B15A2A"/>
    <w:rsid w:val="00B16C2A"/>
    <w:rsid w:val="00B1797C"/>
    <w:rsid w:val="00B17D27"/>
    <w:rsid w:val="00B2086B"/>
    <w:rsid w:val="00B20AD5"/>
    <w:rsid w:val="00B21ACC"/>
    <w:rsid w:val="00B21BA6"/>
    <w:rsid w:val="00B21BBE"/>
    <w:rsid w:val="00B22135"/>
    <w:rsid w:val="00B226B8"/>
    <w:rsid w:val="00B228CF"/>
    <w:rsid w:val="00B22E76"/>
    <w:rsid w:val="00B22FE7"/>
    <w:rsid w:val="00B231B0"/>
    <w:rsid w:val="00B23D8D"/>
    <w:rsid w:val="00B240DD"/>
    <w:rsid w:val="00B27A42"/>
    <w:rsid w:val="00B3087D"/>
    <w:rsid w:val="00B31001"/>
    <w:rsid w:val="00B31279"/>
    <w:rsid w:val="00B31912"/>
    <w:rsid w:val="00B3220F"/>
    <w:rsid w:val="00B32424"/>
    <w:rsid w:val="00B32D54"/>
    <w:rsid w:val="00B32DF0"/>
    <w:rsid w:val="00B333EA"/>
    <w:rsid w:val="00B33405"/>
    <w:rsid w:val="00B342E2"/>
    <w:rsid w:val="00B34794"/>
    <w:rsid w:val="00B35027"/>
    <w:rsid w:val="00B35294"/>
    <w:rsid w:val="00B35EBA"/>
    <w:rsid w:val="00B36001"/>
    <w:rsid w:val="00B365B8"/>
    <w:rsid w:val="00B3693A"/>
    <w:rsid w:val="00B36B0D"/>
    <w:rsid w:val="00B37FA0"/>
    <w:rsid w:val="00B40E0F"/>
    <w:rsid w:val="00B41737"/>
    <w:rsid w:val="00B41914"/>
    <w:rsid w:val="00B42A83"/>
    <w:rsid w:val="00B44021"/>
    <w:rsid w:val="00B450A4"/>
    <w:rsid w:val="00B458EB"/>
    <w:rsid w:val="00B46302"/>
    <w:rsid w:val="00B46BE2"/>
    <w:rsid w:val="00B47808"/>
    <w:rsid w:val="00B50F17"/>
    <w:rsid w:val="00B51516"/>
    <w:rsid w:val="00B52622"/>
    <w:rsid w:val="00B53567"/>
    <w:rsid w:val="00B543CE"/>
    <w:rsid w:val="00B5546A"/>
    <w:rsid w:val="00B55ACB"/>
    <w:rsid w:val="00B56241"/>
    <w:rsid w:val="00B567DF"/>
    <w:rsid w:val="00B56A5E"/>
    <w:rsid w:val="00B56B31"/>
    <w:rsid w:val="00B60421"/>
    <w:rsid w:val="00B611BE"/>
    <w:rsid w:val="00B61A52"/>
    <w:rsid w:val="00B6201F"/>
    <w:rsid w:val="00B62306"/>
    <w:rsid w:val="00B6234F"/>
    <w:rsid w:val="00B63367"/>
    <w:rsid w:val="00B6352D"/>
    <w:rsid w:val="00B63F57"/>
    <w:rsid w:val="00B64A13"/>
    <w:rsid w:val="00B652F1"/>
    <w:rsid w:val="00B65D85"/>
    <w:rsid w:val="00B66DEF"/>
    <w:rsid w:val="00B67C00"/>
    <w:rsid w:val="00B704B9"/>
    <w:rsid w:val="00B7098D"/>
    <w:rsid w:val="00B70D56"/>
    <w:rsid w:val="00B71CB1"/>
    <w:rsid w:val="00B7204C"/>
    <w:rsid w:val="00B7216F"/>
    <w:rsid w:val="00B73AE5"/>
    <w:rsid w:val="00B74970"/>
    <w:rsid w:val="00B76B0F"/>
    <w:rsid w:val="00B76C79"/>
    <w:rsid w:val="00B77280"/>
    <w:rsid w:val="00B77A08"/>
    <w:rsid w:val="00B81016"/>
    <w:rsid w:val="00B81088"/>
    <w:rsid w:val="00B81835"/>
    <w:rsid w:val="00B81EB6"/>
    <w:rsid w:val="00B81FCF"/>
    <w:rsid w:val="00B83693"/>
    <w:rsid w:val="00B83B34"/>
    <w:rsid w:val="00B842D0"/>
    <w:rsid w:val="00B84415"/>
    <w:rsid w:val="00B8442B"/>
    <w:rsid w:val="00B84B6B"/>
    <w:rsid w:val="00B856FC"/>
    <w:rsid w:val="00B85A04"/>
    <w:rsid w:val="00B85B2A"/>
    <w:rsid w:val="00B86545"/>
    <w:rsid w:val="00B86668"/>
    <w:rsid w:val="00B8687F"/>
    <w:rsid w:val="00B86BBA"/>
    <w:rsid w:val="00B86F14"/>
    <w:rsid w:val="00B87286"/>
    <w:rsid w:val="00B91195"/>
    <w:rsid w:val="00B9125F"/>
    <w:rsid w:val="00B91AD2"/>
    <w:rsid w:val="00B91B66"/>
    <w:rsid w:val="00B9211A"/>
    <w:rsid w:val="00B927ED"/>
    <w:rsid w:val="00B928E9"/>
    <w:rsid w:val="00B92BD4"/>
    <w:rsid w:val="00B936C6"/>
    <w:rsid w:val="00B936CB"/>
    <w:rsid w:val="00B9436A"/>
    <w:rsid w:val="00B943FE"/>
    <w:rsid w:val="00B9494D"/>
    <w:rsid w:val="00BA0245"/>
    <w:rsid w:val="00BA0B5E"/>
    <w:rsid w:val="00BA0D98"/>
    <w:rsid w:val="00BA12C4"/>
    <w:rsid w:val="00BA166D"/>
    <w:rsid w:val="00BA196D"/>
    <w:rsid w:val="00BA19FF"/>
    <w:rsid w:val="00BA1D03"/>
    <w:rsid w:val="00BA2269"/>
    <w:rsid w:val="00BA2A31"/>
    <w:rsid w:val="00BA3442"/>
    <w:rsid w:val="00BA35C6"/>
    <w:rsid w:val="00BA3C52"/>
    <w:rsid w:val="00BA3E72"/>
    <w:rsid w:val="00BA3E8B"/>
    <w:rsid w:val="00BA3EC6"/>
    <w:rsid w:val="00BA3FB1"/>
    <w:rsid w:val="00BA4333"/>
    <w:rsid w:val="00BA49D7"/>
    <w:rsid w:val="00BA4F8C"/>
    <w:rsid w:val="00BA57B0"/>
    <w:rsid w:val="00BA5E89"/>
    <w:rsid w:val="00BA6380"/>
    <w:rsid w:val="00BA6C95"/>
    <w:rsid w:val="00BA7189"/>
    <w:rsid w:val="00BA7B61"/>
    <w:rsid w:val="00BB0243"/>
    <w:rsid w:val="00BB0628"/>
    <w:rsid w:val="00BB10FB"/>
    <w:rsid w:val="00BB1239"/>
    <w:rsid w:val="00BB1763"/>
    <w:rsid w:val="00BB27AC"/>
    <w:rsid w:val="00BB33EA"/>
    <w:rsid w:val="00BB35E6"/>
    <w:rsid w:val="00BB376F"/>
    <w:rsid w:val="00BB5E18"/>
    <w:rsid w:val="00BB694A"/>
    <w:rsid w:val="00BB762F"/>
    <w:rsid w:val="00BB7C1A"/>
    <w:rsid w:val="00BC1B3E"/>
    <w:rsid w:val="00BC2500"/>
    <w:rsid w:val="00BC2989"/>
    <w:rsid w:val="00BC2A89"/>
    <w:rsid w:val="00BC2B03"/>
    <w:rsid w:val="00BC2FC4"/>
    <w:rsid w:val="00BC333E"/>
    <w:rsid w:val="00BC3E77"/>
    <w:rsid w:val="00BC42A5"/>
    <w:rsid w:val="00BC5246"/>
    <w:rsid w:val="00BC6C56"/>
    <w:rsid w:val="00BC71A2"/>
    <w:rsid w:val="00BC728F"/>
    <w:rsid w:val="00BC7B85"/>
    <w:rsid w:val="00BD1028"/>
    <w:rsid w:val="00BD1580"/>
    <w:rsid w:val="00BD1E48"/>
    <w:rsid w:val="00BD3144"/>
    <w:rsid w:val="00BD58A0"/>
    <w:rsid w:val="00BD604B"/>
    <w:rsid w:val="00BE0469"/>
    <w:rsid w:val="00BE0BC2"/>
    <w:rsid w:val="00BE0C0E"/>
    <w:rsid w:val="00BE0D96"/>
    <w:rsid w:val="00BE10EF"/>
    <w:rsid w:val="00BE275B"/>
    <w:rsid w:val="00BE297A"/>
    <w:rsid w:val="00BE29E5"/>
    <w:rsid w:val="00BE2AA3"/>
    <w:rsid w:val="00BE2FAD"/>
    <w:rsid w:val="00BE37C4"/>
    <w:rsid w:val="00BE38DC"/>
    <w:rsid w:val="00BE3CB5"/>
    <w:rsid w:val="00BE3FF4"/>
    <w:rsid w:val="00BE4A06"/>
    <w:rsid w:val="00BE4D36"/>
    <w:rsid w:val="00BE6213"/>
    <w:rsid w:val="00BE71F9"/>
    <w:rsid w:val="00BF13FE"/>
    <w:rsid w:val="00BF1693"/>
    <w:rsid w:val="00BF2E95"/>
    <w:rsid w:val="00BF3AE7"/>
    <w:rsid w:val="00BF3EB9"/>
    <w:rsid w:val="00BF4B96"/>
    <w:rsid w:val="00BF4B99"/>
    <w:rsid w:val="00BF559F"/>
    <w:rsid w:val="00BF5DFB"/>
    <w:rsid w:val="00BF5FCE"/>
    <w:rsid w:val="00BF753A"/>
    <w:rsid w:val="00C00C8D"/>
    <w:rsid w:val="00C0152B"/>
    <w:rsid w:val="00C01E19"/>
    <w:rsid w:val="00C020E2"/>
    <w:rsid w:val="00C020F2"/>
    <w:rsid w:val="00C02C6F"/>
    <w:rsid w:val="00C04312"/>
    <w:rsid w:val="00C04E85"/>
    <w:rsid w:val="00C055DD"/>
    <w:rsid w:val="00C061BF"/>
    <w:rsid w:val="00C06336"/>
    <w:rsid w:val="00C06582"/>
    <w:rsid w:val="00C06BBA"/>
    <w:rsid w:val="00C071D5"/>
    <w:rsid w:val="00C106DB"/>
    <w:rsid w:val="00C10832"/>
    <w:rsid w:val="00C10B06"/>
    <w:rsid w:val="00C10B5F"/>
    <w:rsid w:val="00C10BCA"/>
    <w:rsid w:val="00C11998"/>
    <w:rsid w:val="00C126FF"/>
    <w:rsid w:val="00C127AD"/>
    <w:rsid w:val="00C12AB0"/>
    <w:rsid w:val="00C14190"/>
    <w:rsid w:val="00C145AA"/>
    <w:rsid w:val="00C146E8"/>
    <w:rsid w:val="00C15084"/>
    <w:rsid w:val="00C17269"/>
    <w:rsid w:val="00C17B15"/>
    <w:rsid w:val="00C20358"/>
    <w:rsid w:val="00C21706"/>
    <w:rsid w:val="00C220A4"/>
    <w:rsid w:val="00C22EBC"/>
    <w:rsid w:val="00C23957"/>
    <w:rsid w:val="00C241DE"/>
    <w:rsid w:val="00C2423F"/>
    <w:rsid w:val="00C2450B"/>
    <w:rsid w:val="00C246D3"/>
    <w:rsid w:val="00C25BE0"/>
    <w:rsid w:val="00C25CCF"/>
    <w:rsid w:val="00C25E9C"/>
    <w:rsid w:val="00C26594"/>
    <w:rsid w:val="00C306EF"/>
    <w:rsid w:val="00C30790"/>
    <w:rsid w:val="00C30983"/>
    <w:rsid w:val="00C30FE5"/>
    <w:rsid w:val="00C32566"/>
    <w:rsid w:val="00C32CDB"/>
    <w:rsid w:val="00C32E22"/>
    <w:rsid w:val="00C32F9C"/>
    <w:rsid w:val="00C33115"/>
    <w:rsid w:val="00C333BC"/>
    <w:rsid w:val="00C34445"/>
    <w:rsid w:val="00C3670D"/>
    <w:rsid w:val="00C36725"/>
    <w:rsid w:val="00C36755"/>
    <w:rsid w:val="00C368B4"/>
    <w:rsid w:val="00C36A32"/>
    <w:rsid w:val="00C3767B"/>
    <w:rsid w:val="00C37783"/>
    <w:rsid w:val="00C4085D"/>
    <w:rsid w:val="00C414E0"/>
    <w:rsid w:val="00C420ED"/>
    <w:rsid w:val="00C42B27"/>
    <w:rsid w:val="00C43D4B"/>
    <w:rsid w:val="00C44814"/>
    <w:rsid w:val="00C448B8"/>
    <w:rsid w:val="00C45CFF"/>
    <w:rsid w:val="00C4646E"/>
    <w:rsid w:val="00C4667A"/>
    <w:rsid w:val="00C46BFE"/>
    <w:rsid w:val="00C47D9D"/>
    <w:rsid w:val="00C50C40"/>
    <w:rsid w:val="00C50C73"/>
    <w:rsid w:val="00C50F79"/>
    <w:rsid w:val="00C51F90"/>
    <w:rsid w:val="00C52119"/>
    <w:rsid w:val="00C526C7"/>
    <w:rsid w:val="00C5302F"/>
    <w:rsid w:val="00C53B03"/>
    <w:rsid w:val="00C5551D"/>
    <w:rsid w:val="00C55797"/>
    <w:rsid w:val="00C57256"/>
    <w:rsid w:val="00C57733"/>
    <w:rsid w:val="00C578BC"/>
    <w:rsid w:val="00C57B6A"/>
    <w:rsid w:val="00C603F6"/>
    <w:rsid w:val="00C60AD5"/>
    <w:rsid w:val="00C6181A"/>
    <w:rsid w:val="00C61A56"/>
    <w:rsid w:val="00C62413"/>
    <w:rsid w:val="00C6269E"/>
    <w:rsid w:val="00C62985"/>
    <w:rsid w:val="00C634B9"/>
    <w:rsid w:val="00C643BB"/>
    <w:rsid w:val="00C64533"/>
    <w:rsid w:val="00C64F8A"/>
    <w:rsid w:val="00C6733A"/>
    <w:rsid w:val="00C70791"/>
    <w:rsid w:val="00C70E23"/>
    <w:rsid w:val="00C711B0"/>
    <w:rsid w:val="00C7158C"/>
    <w:rsid w:val="00C728D5"/>
    <w:rsid w:val="00C729FC"/>
    <w:rsid w:val="00C73A7E"/>
    <w:rsid w:val="00C74318"/>
    <w:rsid w:val="00C7593F"/>
    <w:rsid w:val="00C75C5B"/>
    <w:rsid w:val="00C75F0D"/>
    <w:rsid w:val="00C807BB"/>
    <w:rsid w:val="00C80CCE"/>
    <w:rsid w:val="00C80E83"/>
    <w:rsid w:val="00C81301"/>
    <w:rsid w:val="00C81362"/>
    <w:rsid w:val="00C82E40"/>
    <w:rsid w:val="00C835EE"/>
    <w:rsid w:val="00C8407F"/>
    <w:rsid w:val="00C84284"/>
    <w:rsid w:val="00C8440C"/>
    <w:rsid w:val="00C8459F"/>
    <w:rsid w:val="00C85173"/>
    <w:rsid w:val="00C85B62"/>
    <w:rsid w:val="00C86E3F"/>
    <w:rsid w:val="00C872F1"/>
    <w:rsid w:val="00C876AD"/>
    <w:rsid w:val="00C87737"/>
    <w:rsid w:val="00C878D5"/>
    <w:rsid w:val="00C9033B"/>
    <w:rsid w:val="00C906B0"/>
    <w:rsid w:val="00C90EB7"/>
    <w:rsid w:val="00C90FB0"/>
    <w:rsid w:val="00C911EE"/>
    <w:rsid w:val="00C913A1"/>
    <w:rsid w:val="00C932C3"/>
    <w:rsid w:val="00C93629"/>
    <w:rsid w:val="00C93A85"/>
    <w:rsid w:val="00C943DE"/>
    <w:rsid w:val="00C94CD5"/>
    <w:rsid w:val="00C94EAB"/>
    <w:rsid w:val="00C95BB3"/>
    <w:rsid w:val="00C96993"/>
    <w:rsid w:val="00C96F5A"/>
    <w:rsid w:val="00C973BA"/>
    <w:rsid w:val="00CA00BD"/>
    <w:rsid w:val="00CA0371"/>
    <w:rsid w:val="00CA0BFB"/>
    <w:rsid w:val="00CA137E"/>
    <w:rsid w:val="00CA147A"/>
    <w:rsid w:val="00CA1862"/>
    <w:rsid w:val="00CA199F"/>
    <w:rsid w:val="00CA1BA2"/>
    <w:rsid w:val="00CA276C"/>
    <w:rsid w:val="00CA2B6B"/>
    <w:rsid w:val="00CA2C49"/>
    <w:rsid w:val="00CA3046"/>
    <w:rsid w:val="00CA30BA"/>
    <w:rsid w:val="00CA356C"/>
    <w:rsid w:val="00CA3DDD"/>
    <w:rsid w:val="00CA4976"/>
    <w:rsid w:val="00CA5460"/>
    <w:rsid w:val="00CA5716"/>
    <w:rsid w:val="00CA6267"/>
    <w:rsid w:val="00CA64E0"/>
    <w:rsid w:val="00CA6849"/>
    <w:rsid w:val="00CA71E8"/>
    <w:rsid w:val="00CA761B"/>
    <w:rsid w:val="00CA785D"/>
    <w:rsid w:val="00CB09D4"/>
    <w:rsid w:val="00CB1326"/>
    <w:rsid w:val="00CB1598"/>
    <w:rsid w:val="00CB2138"/>
    <w:rsid w:val="00CB42AC"/>
    <w:rsid w:val="00CB699E"/>
    <w:rsid w:val="00CC0541"/>
    <w:rsid w:val="00CC139C"/>
    <w:rsid w:val="00CC1881"/>
    <w:rsid w:val="00CC1DCB"/>
    <w:rsid w:val="00CC1E09"/>
    <w:rsid w:val="00CC256D"/>
    <w:rsid w:val="00CC2669"/>
    <w:rsid w:val="00CC3027"/>
    <w:rsid w:val="00CC3EA0"/>
    <w:rsid w:val="00CC4820"/>
    <w:rsid w:val="00CC4CC6"/>
    <w:rsid w:val="00CC5C90"/>
    <w:rsid w:val="00CC5D21"/>
    <w:rsid w:val="00CC5F67"/>
    <w:rsid w:val="00CC62EB"/>
    <w:rsid w:val="00CC66AC"/>
    <w:rsid w:val="00CC6A99"/>
    <w:rsid w:val="00CC73C7"/>
    <w:rsid w:val="00CC75DA"/>
    <w:rsid w:val="00CD0244"/>
    <w:rsid w:val="00CD05F7"/>
    <w:rsid w:val="00CD1213"/>
    <w:rsid w:val="00CD12C8"/>
    <w:rsid w:val="00CD1D3D"/>
    <w:rsid w:val="00CD5114"/>
    <w:rsid w:val="00CD5658"/>
    <w:rsid w:val="00CD569F"/>
    <w:rsid w:val="00CD6893"/>
    <w:rsid w:val="00CD6C5B"/>
    <w:rsid w:val="00CD7076"/>
    <w:rsid w:val="00CD70E3"/>
    <w:rsid w:val="00CD7C12"/>
    <w:rsid w:val="00CE21B7"/>
    <w:rsid w:val="00CE2DE0"/>
    <w:rsid w:val="00CE3648"/>
    <w:rsid w:val="00CE4892"/>
    <w:rsid w:val="00CE4FFE"/>
    <w:rsid w:val="00CE5004"/>
    <w:rsid w:val="00CE5DA8"/>
    <w:rsid w:val="00CE606B"/>
    <w:rsid w:val="00CE7906"/>
    <w:rsid w:val="00CF07AA"/>
    <w:rsid w:val="00CF1114"/>
    <w:rsid w:val="00CF1BE1"/>
    <w:rsid w:val="00CF1D46"/>
    <w:rsid w:val="00CF20F9"/>
    <w:rsid w:val="00CF2407"/>
    <w:rsid w:val="00CF3350"/>
    <w:rsid w:val="00CF3A73"/>
    <w:rsid w:val="00CF4080"/>
    <w:rsid w:val="00CF418E"/>
    <w:rsid w:val="00CF43EA"/>
    <w:rsid w:val="00CF510C"/>
    <w:rsid w:val="00CF5512"/>
    <w:rsid w:val="00CF5BB2"/>
    <w:rsid w:val="00CF5C55"/>
    <w:rsid w:val="00CF6F94"/>
    <w:rsid w:val="00CF7CE7"/>
    <w:rsid w:val="00D001B2"/>
    <w:rsid w:val="00D00AA3"/>
    <w:rsid w:val="00D01315"/>
    <w:rsid w:val="00D0137E"/>
    <w:rsid w:val="00D034D4"/>
    <w:rsid w:val="00D045E6"/>
    <w:rsid w:val="00D04C2D"/>
    <w:rsid w:val="00D0504E"/>
    <w:rsid w:val="00D07213"/>
    <w:rsid w:val="00D07AE0"/>
    <w:rsid w:val="00D07B9D"/>
    <w:rsid w:val="00D07F73"/>
    <w:rsid w:val="00D109B2"/>
    <w:rsid w:val="00D10CB1"/>
    <w:rsid w:val="00D12A6C"/>
    <w:rsid w:val="00D12D6E"/>
    <w:rsid w:val="00D14450"/>
    <w:rsid w:val="00D14844"/>
    <w:rsid w:val="00D14C8C"/>
    <w:rsid w:val="00D1573C"/>
    <w:rsid w:val="00D16676"/>
    <w:rsid w:val="00D16745"/>
    <w:rsid w:val="00D1771F"/>
    <w:rsid w:val="00D17B74"/>
    <w:rsid w:val="00D2041C"/>
    <w:rsid w:val="00D20D5E"/>
    <w:rsid w:val="00D21779"/>
    <w:rsid w:val="00D231EE"/>
    <w:rsid w:val="00D233A9"/>
    <w:rsid w:val="00D233DD"/>
    <w:rsid w:val="00D23FE2"/>
    <w:rsid w:val="00D24E21"/>
    <w:rsid w:val="00D257C0"/>
    <w:rsid w:val="00D25ADE"/>
    <w:rsid w:val="00D25EEC"/>
    <w:rsid w:val="00D2777D"/>
    <w:rsid w:val="00D303D0"/>
    <w:rsid w:val="00D304FA"/>
    <w:rsid w:val="00D30E74"/>
    <w:rsid w:val="00D31BD3"/>
    <w:rsid w:val="00D31C60"/>
    <w:rsid w:val="00D32F5A"/>
    <w:rsid w:val="00D33075"/>
    <w:rsid w:val="00D33417"/>
    <w:rsid w:val="00D337A3"/>
    <w:rsid w:val="00D340CD"/>
    <w:rsid w:val="00D3417E"/>
    <w:rsid w:val="00D34B42"/>
    <w:rsid w:val="00D3506B"/>
    <w:rsid w:val="00D401D2"/>
    <w:rsid w:val="00D403FB"/>
    <w:rsid w:val="00D40882"/>
    <w:rsid w:val="00D42F11"/>
    <w:rsid w:val="00D43297"/>
    <w:rsid w:val="00D43816"/>
    <w:rsid w:val="00D438EA"/>
    <w:rsid w:val="00D44A03"/>
    <w:rsid w:val="00D44DB6"/>
    <w:rsid w:val="00D461BB"/>
    <w:rsid w:val="00D46A23"/>
    <w:rsid w:val="00D46C15"/>
    <w:rsid w:val="00D47106"/>
    <w:rsid w:val="00D47249"/>
    <w:rsid w:val="00D478C6"/>
    <w:rsid w:val="00D47BCB"/>
    <w:rsid w:val="00D50119"/>
    <w:rsid w:val="00D50A49"/>
    <w:rsid w:val="00D50E98"/>
    <w:rsid w:val="00D512DB"/>
    <w:rsid w:val="00D51849"/>
    <w:rsid w:val="00D52422"/>
    <w:rsid w:val="00D5325C"/>
    <w:rsid w:val="00D55E2C"/>
    <w:rsid w:val="00D55F58"/>
    <w:rsid w:val="00D56782"/>
    <w:rsid w:val="00D5687A"/>
    <w:rsid w:val="00D56A77"/>
    <w:rsid w:val="00D57F4E"/>
    <w:rsid w:val="00D60A7D"/>
    <w:rsid w:val="00D619C9"/>
    <w:rsid w:val="00D61B9E"/>
    <w:rsid w:val="00D61EAB"/>
    <w:rsid w:val="00D62CFE"/>
    <w:rsid w:val="00D6396C"/>
    <w:rsid w:val="00D6401D"/>
    <w:rsid w:val="00D6477A"/>
    <w:rsid w:val="00D64B8D"/>
    <w:rsid w:val="00D668AD"/>
    <w:rsid w:val="00D67015"/>
    <w:rsid w:val="00D670B9"/>
    <w:rsid w:val="00D67209"/>
    <w:rsid w:val="00D6785A"/>
    <w:rsid w:val="00D6797D"/>
    <w:rsid w:val="00D67B45"/>
    <w:rsid w:val="00D70E02"/>
    <w:rsid w:val="00D71D5B"/>
    <w:rsid w:val="00D72ACC"/>
    <w:rsid w:val="00D72E21"/>
    <w:rsid w:val="00D7326F"/>
    <w:rsid w:val="00D740D4"/>
    <w:rsid w:val="00D745EA"/>
    <w:rsid w:val="00D747E7"/>
    <w:rsid w:val="00D74ABD"/>
    <w:rsid w:val="00D75904"/>
    <w:rsid w:val="00D75D3D"/>
    <w:rsid w:val="00D7770D"/>
    <w:rsid w:val="00D777AF"/>
    <w:rsid w:val="00D77A49"/>
    <w:rsid w:val="00D77C0B"/>
    <w:rsid w:val="00D77E13"/>
    <w:rsid w:val="00D8209A"/>
    <w:rsid w:val="00D82A43"/>
    <w:rsid w:val="00D832ED"/>
    <w:rsid w:val="00D83A15"/>
    <w:rsid w:val="00D84FDD"/>
    <w:rsid w:val="00D85CA1"/>
    <w:rsid w:val="00D86178"/>
    <w:rsid w:val="00D86920"/>
    <w:rsid w:val="00D87E99"/>
    <w:rsid w:val="00D90852"/>
    <w:rsid w:val="00D90857"/>
    <w:rsid w:val="00D90912"/>
    <w:rsid w:val="00D9093B"/>
    <w:rsid w:val="00D90D33"/>
    <w:rsid w:val="00D913D9"/>
    <w:rsid w:val="00D91B43"/>
    <w:rsid w:val="00D91BC7"/>
    <w:rsid w:val="00D91D73"/>
    <w:rsid w:val="00D92680"/>
    <w:rsid w:val="00D92D80"/>
    <w:rsid w:val="00D93004"/>
    <w:rsid w:val="00D934F4"/>
    <w:rsid w:val="00D952DF"/>
    <w:rsid w:val="00D9548F"/>
    <w:rsid w:val="00D95BEB"/>
    <w:rsid w:val="00D96535"/>
    <w:rsid w:val="00D968BA"/>
    <w:rsid w:val="00D96B5D"/>
    <w:rsid w:val="00D97023"/>
    <w:rsid w:val="00DA0642"/>
    <w:rsid w:val="00DA0890"/>
    <w:rsid w:val="00DA1DA4"/>
    <w:rsid w:val="00DA22EA"/>
    <w:rsid w:val="00DA2426"/>
    <w:rsid w:val="00DA24DC"/>
    <w:rsid w:val="00DA306E"/>
    <w:rsid w:val="00DA328D"/>
    <w:rsid w:val="00DA35CA"/>
    <w:rsid w:val="00DA370C"/>
    <w:rsid w:val="00DA3C24"/>
    <w:rsid w:val="00DA3CB1"/>
    <w:rsid w:val="00DA42FB"/>
    <w:rsid w:val="00DA4392"/>
    <w:rsid w:val="00DA4543"/>
    <w:rsid w:val="00DA4E21"/>
    <w:rsid w:val="00DA5CEF"/>
    <w:rsid w:val="00DA6113"/>
    <w:rsid w:val="00DA7068"/>
    <w:rsid w:val="00DA76FE"/>
    <w:rsid w:val="00DA78AA"/>
    <w:rsid w:val="00DA7B0F"/>
    <w:rsid w:val="00DA7B5D"/>
    <w:rsid w:val="00DA7B7A"/>
    <w:rsid w:val="00DA7D13"/>
    <w:rsid w:val="00DB0CB1"/>
    <w:rsid w:val="00DB18DF"/>
    <w:rsid w:val="00DB1935"/>
    <w:rsid w:val="00DB1D9A"/>
    <w:rsid w:val="00DB333F"/>
    <w:rsid w:val="00DB35E5"/>
    <w:rsid w:val="00DB370B"/>
    <w:rsid w:val="00DB38A4"/>
    <w:rsid w:val="00DB4044"/>
    <w:rsid w:val="00DB4D31"/>
    <w:rsid w:val="00DB7781"/>
    <w:rsid w:val="00DB7AF5"/>
    <w:rsid w:val="00DC092A"/>
    <w:rsid w:val="00DC14B0"/>
    <w:rsid w:val="00DC27A7"/>
    <w:rsid w:val="00DC3462"/>
    <w:rsid w:val="00DC37E6"/>
    <w:rsid w:val="00DC3938"/>
    <w:rsid w:val="00DC39E4"/>
    <w:rsid w:val="00DC3A6F"/>
    <w:rsid w:val="00DC3CED"/>
    <w:rsid w:val="00DC481E"/>
    <w:rsid w:val="00DC557C"/>
    <w:rsid w:val="00DC56B3"/>
    <w:rsid w:val="00DC5F67"/>
    <w:rsid w:val="00DC61F9"/>
    <w:rsid w:val="00DC7747"/>
    <w:rsid w:val="00DC7A55"/>
    <w:rsid w:val="00DC7A56"/>
    <w:rsid w:val="00DD096D"/>
    <w:rsid w:val="00DD10CE"/>
    <w:rsid w:val="00DD132C"/>
    <w:rsid w:val="00DD1BC8"/>
    <w:rsid w:val="00DD2EFB"/>
    <w:rsid w:val="00DD2F2E"/>
    <w:rsid w:val="00DD7B13"/>
    <w:rsid w:val="00DE04B5"/>
    <w:rsid w:val="00DE1DEE"/>
    <w:rsid w:val="00DE1E40"/>
    <w:rsid w:val="00DE273F"/>
    <w:rsid w:val="00DE2A02"/>
    <w:rsid w:val="00DE310F"/>
    <w:rsid w:val="00DE3B6F"/>
    <w:rsid w:val="00DE404E"/>
    <w:rsid w:val="00DE4E28"/>
    <w:rsid w:val="00DE4F10"/>
    <w:rsid w:val="00DE5B7B"/>
    <w:rsid w:val="00DE6EDD"/>
    <w:rsid w:val="00DE775B"/>
    <w:rsid w:val="00DF0D51"/>
    <w:rsid w:val="00DF0FEB"/>
    <w:rsid w:val="00DF49CF"/>
    <w:rsid w:val="00DF50BA"/>
    <w:rsid w:val="00DF50EF"/>
    <w:rsid w:val="00DF58E7"/>
    <w:rsid w:val="00DF6327"/>
    <w:rsid w:val="00DF6464"/>
    <w:rsid w:val="00DF6E9D"/>
    <w:rsid w:val="00DF751F"/>
    <w:rsid w:val="00DF7B9D"/>
    <w:rsid w:val="00E00BDA"/>
    <w:rsid w:val="00E00F5B"/>
    <w:rsid w:val="00E01338"/>
    <w:rsid w:val="00E04F48"/>
    <w:rsid w:val="00E04FE5"/>
    <w:rsid w:val="00E05F8A"/>
    <w:rsid w:val="00E064C5"/>
    <w:rsid w:val="00E07C5D"/>
    <w:rsid w:val="00E10A30"/>
    <w:rsid w:val="00E11876"/>
    <w:rsid w:val="00E118C4"/>
    <w:rsid w:val="00E12122"/>
    <w:rsid w:val="00E1299E"/>
    <w:rsid w:val="00E13CE0"/>
    <w:rsid w:val="00E148DB"/>
    <w:rsid w:val="00E16365"/>
    <w:rsid w:val="00E16A90"/>
    <w:rsid w:val="00E16DFC"/>
    <w:rsid w:val="00E177E4"/>
    <w:rsid w:val="00E17B18"/>
    <w:rsid w:val="00E208F8"/>
    <w:rsid w:val="00E20F67"/>
    <w:rsid w:val="00E22401"/>
    <w:rsid w:val="00E2264E"/>
    <w:rsid w:val="00E23CBB"/>
    <w:rsid w:val="00E23CEF"/>
    <w:rsid w:val="00E242F8"/>
    <w:rsid w:val="00E255EA"/>
    <w:rsid w:val="00E265D6"/>
    <w:rsid w:val="00E271DA"/>
    <w:rsid w:val="00E271FC"/>
    <w:rsid w:val="00E279C1"/>
    <w:rsid w:val="00E27DD8"/>
    <w:rsid w:val="00E30410"/>
    <w:rsid w:val="00E305BE"/>
    <w:rsid w:val="00E30644"/>
    <w:rsid w:val="00E31BE1"/>
    <w:rsid w:val="00E32A1A"/>
    <w:rsid w:val="00E335FD"/>
    <w:rsid w:val="00E33666"/>
    <w:rsid w:val="00E33BBD"/>
    <w:rsid w:val="00E347AD"/>
    <w:rsid w:val="00E349A1"/>
    <w:rsid w:val="00E34C26"/>
    <w:rsid w:val="00E35135"/>
    <w:rsid w:val="00E35EBF"/>
    <w:rsid w:val="00E371AD"/>
    <w:rsid w:val="00E37A4F"/>
    <w:rsid w:val="00E37B59"/>
    <w:rsid w:val="00E37C10"/>
    <w:rsid w:val="00E37DC1"/>
    <w:rsid w:val="00E4051A"/>
    <w:rsid w:val="00E40A3E"/>
    <w:rsid w:val="00E40B79"/>
    <w:rsid w:val="00E41FB0"/>
    <w:rsid w:val="00E43959"/>
    <w:rsid w:val="00E440E2"/>
    <w:rsid w:val="00E446F9"/>
    <w:rsid w:val="00E4540F"/>
    <w:rsid w:val="00E45E31"/>
    <w:rsid w:val="00E45E87"/>
    <w:rsid w:val="00E460F4"/>
    <w:rsid w:val="00E46857"/>
    <w:rsid w:val="00E478E0"/>
    <w:rsid w:val="00E47B9D"/>
    <w:rsid w:val="00E47FF5"/>
    <w:rsid w:val="00E50971"/>
    <w:rsid w:val="00E5132B"/>
    <w:rsid w:val="00E514E6"/>
    <w:rsid w:val="00E51E29"/>
    <w:rsid w:val="00E5202B"/>
    <w:rsid w:val="00E530C6"/>
    <w:rsid w:val="00E533A5"/>
    <w:rsid w:val="00E53438"/>
    <w:rsid w:val="00E54532"/>
    <w:rsid w:val="00E54C5E"/>
    <w:rsid w:val="00E54DA8"/>
    <w:rsid w:val="00E55638"/>
    <w:rsid w:val="00E55B2A"/>
    <w:rsid w:val="00E55F08"/>
    <w:rsid w:val="00E563A3"/>
    <w:rsid w:val="00E56742"/>
    <w:rsid w:val="00E5773E"/>
    <w:rsid w:val="00E57E70"/>
    <w:rsid w:val="00E60017"/>
    <w:rsid w:val="00E605A4"/>
    <w:rsid w:val="00E617CC"/>
    <w:rsid w:val="00E621C1"/>
    <w:rsid w:val="00E625F2"/>
    <w:rsid w:val="00E63012"/>
    <w:rsid w:val="00E6381E"/>
    <w:rsid w:val="00E64181"/>
    <w:rsid w:val="00E64182"/>
    <w:rsid w:val="00E644EB"/>
    <w:rsid w:val="00E66630"/>
    <w:rsid w:val="00E725FC"/>
    <w:rsid w:val="00E731FE"/>
    <w:rsid w:val="00E741E0"/>
    <w:rsid w:val="00E748E1"/>
    <w:rsid w:val="00E75696"/>
    <w:rsid w:val="00E7612C"/>
    <w:rsid w:val="00E76EB4"/>
    <w:rsid w:val="00E815A6"/>
    <w:rsid w:val="00E826AD"/>
    <w:rsid w:val="00E826B5"/>
    <w:rsid w:val="00E831A8"/>
    <w:rsid w:val="00E833E9"/>
    <w:rsid w:val="00E85A9E"/>
    <w:rsid w:val="00E90340"/>
    <w:rsid w:val="00E92E0E"/>
    <w:rsid w:val="00E9392B"/>
    <w:rsid w:val="00E9480E"/>
    <w:rsid w:val="00E94868"/>
    <w:rsid w:val="00E954A8"/>
    <w:rsid w:val="00E954DE"/>
    <w:rsid w:val="00E95F62"/>
    <w:rsid w:val="00E967A0"/>
    <w:rsid w:val="00E970B4"/>
    <w:rsid w:val="00E97304"/>
    <w:rsid w:val="00E973FD"/>
    <w:rsid w:val="00EA036D"/>
    <w:rsid w:val="00EA037E"/>
    <w:rsid w:val="00EA04FF"/>
    <w:rsid w:val="00EA0649"/>
    <w:rsid w:val="00EA06A8"/>
    <w:rsid w:val="00EA07D6"/>
    <w:rsid w:val="00EA08DF"/>
    <w:rsid w:val="00EA0FD3"/>
    <w:rsid w:val="00EA1AF5"/>
    <w:rsid w:val="00EA1E68"/>
    <w:rsid w:val="00EA1E69"/>
    <w:rsid w:val="00EA36C6"/>
    <w:rsid w:val="00EA370C"/>
    <w:rsid w:val="00EA3BB3"/>
    <w:rsid w:val="00EA3E4A"/>
    <w:rsid w:val="00EA3F3D"/>
    <w:rsid w:val="00EA5A28"/>
    <w:rsid w:val="00EA6CA2"/>
    <w:rsid w:val="00EB1156"/>
    <w:rsid w:val="00EB1B35"/>
    <w:rsid w:val="00EB1B64"/>
    <w:rsid w:val="00EB1D3A"/>
    <w:rsid w:val="00EB2C79"/>
    <w:rsid w:val="00EB3251"/>
    <w:rsid w:val="00EB4802"/>
    <w:rsid w:val="00EB4834"/>
    <w:rsid w:val="00EB5154"/>
    <w:rsid w:val="00EB557F"/>
    <w:rsid w:val="00EB5D19"/>
    <w:rsid w:val="00EB5D1D"/>
    <w:rsid w:val="00EB5F9D"/>
    <w:rsid w:val="00EB63EC"/>
    <w:rsid w:val="00EB66DD"/>
    <w:rsid w:val="00EB7398"/>
    <w:rsid w:val="00EB7D95"/>
    <w:rsid w:val="00EC053A"/>
    <w:rsid w:val="00EC069C"/>
    <w:rsid w:val="00EC0813"/>
    <w:rsid w:val="00EC1DEC"/>
    <w:rsid w:val="00EC26D3"/>
    <w:rsid w:val="00EC2F00"/>
    <w:rsid w:val="00EC30F9"/>
    <w:rsid w:val="00EC37E0"/>
    <w:rsid w:val="00EC41E7"/>
    <w:rsid w:val="00EC4ECF"/>
    <w:rsid w:val="00EC6392"/>
    <w:rsid w:val="00EC64DD"/>
    <w:rsid w:val="00ED0586"/>
    <w:rsid w:val="00ED305D"/>
    <w:rsid w:val="00ED33F6"/>
    <w:rsid w:val="00ED5725"/>
    <w:rsid w:val="00ED5E6A"/>
    <w:rsid w:val="00ED680B"/>
    <w:rsid w:val="00ED697A"/>
    <w:rsid w:val="00ED6BC9"/>
    <w:rsid w:val="00ED7031"/>
    <w:rsid w:val="00ED7D29"/>
    <w:rsid w:val="00EE0258"/>
    <w:rsid w:val="00EE02FA"/>
    <w:rsid w:val="00EE0B25"/>
    <w:rsid w:val="00EE2132"/>
    <w:rsid w:val="00EE2F41"/>
    <w:rsid w:val="00EE3060"/>
    <w:rsid w:val="00EE4315"/>
    <w:rsid w:val="00EE432C"/>
    <w:rsid w:val="00EE5B97"/>
    <w:rsid w:val="00EE71D8"/>
    <w:rsid w:val="00EF032C"/>
    <w:rsid w:val="00EF09E1"/>
    <w:rsid w:val="00EF12D5"/>
    <w:rsid w:val="00EF1637"/>
    <w:rsid w:val="00EF1743"/>
    <w:rsid w:val="00EF22A8"/>
    <w:rsid w:val="00EF234E"/>
    <w:rsid w:val="00EF253F"/>
    <w:rsid w:val="00EF28A5"/>
    <w:rsid w:val="00EF2C08"/>
    <w:rsid w:val="00EF4CE1"/>
    <w:rsid w:val="00EF4CF0"/>
    <w:rsid w:val="00EF543C"/>
    <w:rsid w:val="00EF67EE"/>
    <w:rsid w:val="00EF6925"/>
    <w:rsid w:val="00F004BF"/>
    <w:rsid w:val="00F00A83"/>
    <w:rsid w:val="00F017A1"/>
    <w:rsid w:val="00F01C81"/>
    <w:rsid w:val="00F024F6"/>
    <w:rsid w:val="00F02599"/>
    <w:rsid w:val="00F025D4"/>
    <w:rsid w:val="00F036E2"/>
    <w:rsid w:val="00F03C64"/>
    <w:rsid w:val="00F043CF"/>
    <w:rsid w:val="00F047B1"/>
    <w:rsid w:val="00F048A6"/>
    <w:rsid w:val="00F04A4A"/>
    <w:rsid w:val="00F04E3D"/>
    <w:rsid w:val="00F057DB"/>
    <w:rsid w:val="00F0597E"/>
    <w:rsid w:val="00F0689C"/>
    <w:rsid w:val="00F06D4D"/>
    <w:rsid w:val="00F07A88"/>
    <w:rsid w:val="00F10A82"/>
    <w:rsid w:val="00F10F89"/>
    <w:rsid w:val="00F1188F"/>
    <w:rsid w:val="00F11B86"/>
    <w:rsid w:val="00F12118"/>
    <w:rsid w:val="00F13170"/>
    <w:rsid w:val="00F13D1B"/>
    <w:rsid w:val="00F14DEF"/>
    <w:rsid w:val="00F14E8D"/>
    <w:rsid w:val="00F14F8B"/>
    <w:rsid w:val="00F14FC9"/>
    <w:rsid w:val="00F15106"/>
    <w:rsid w:val="00F15ABE"/>
    <w:rsid w:val="00F1639F"/>
    <w:rsid w:val="00F1668F"/>
    <w:rsid w:val="00F20E91"/>
    <w:rsid w:val="00F22C41"/>
    <w:rsid w:val="00F22E77"/>
    <w:rsid w:val="00F23247"/>
    <w:rsid w:val="00F2363A"/>
    <w:rsid w:val="00F24C06"/>
    <w:rsid w:val="00F2593B"/>
    <w:rsid w:val="00F25B5E"/>
    <w:rsid w:val="00F261B6"/>
    <w:rsid w:val="00F26419"/>
    <w:rsid w:val="00F26852"/>
    <w:rsid w:val="00F26B7D"/>
    <w:rsid w:val="00F26ED3"/>
    <w:rsid w:val="00F277FD"/>
    <w:rsid w:val="00F27D40"/>
    <w:rsid w:val="00F27F48"/>
    <w:rsid w:val="00F31035"/>
    <w:rsid w:val="00F310C0"/>
    <w:rsid w:val="00F31297"/>
    <w:rsid w:val="00F313D5"/>
    <w:rsid w:val="00F32F98"/>
    <w:rsid w:val="00F3343D"/>
    <w:rsid w:val="00F334EC"/>
    <w:rsid w:val="00F338FA"/>
    <w:rsid w:val="00F35335"/>
    <w:rsid w:val="00F3717F"/>
    <w:rsid w:val="00F372EF"/>
    <w:rsid w:val="00F378C6"/>
    <w:rsid w:val="00F37B2F"/>
    <w:rsid w:val="00F40201"/>
    <w:rsid w:val="00F40CC7"/>
    <w:rsid w:val="00F41EDC"/>
    <w:rsid w:val="00F42327"/>
    <w:rsid w:val="00F4265E"/>
    <w:rsid w:val="00F42B87"/>
    <w:rsid w:val="00F4353D"/>
    <w:rsid w:val="00F43548"/>
    <w:rsid w:val="00F43654"/>
    <w:rsid w:val="00F43E65"/>
    <w:rsid w:val="00F44355"/>
    <w:rsid w:val="00F44F33"/>
    <w:rsid w:val="00F44F9A"/>
    <w:rsid w:val="00F453CB"/>
    <w:rsid w:val="00F474D2"/>
    <w:rsid w:val="00F478AD"/>
    <w:rsid w:val="00F47C50"/>
    <w:rsid w:val="00F506A2"/>
    <w:rsid w:val="00F50DA6"/>
    <w:rsid w:val="00F5318E"/>
    <w:rsid w:val="00F53D4F"/>
    <w:rsid w:val="00F54018"/>
    <w:rsid w:val="00F54200"/>
    <w:rsid w:val="00F55335"/>
    <w:rsid w:val="00F55743"/>
    <w:rsid w:val="00F55E30"/>
    <w:rsid w:val="00F5633A"/>
    <w:rsid w:val="00F56D1E"/>
    <w:rsid w:val="00F56DEB"/>
    <w:rsid w:val="00F57ECD"/>
    <w:rsid w:val="00F601A5"/>
    <w:rsid w:val="00F60B7F"/>
    <w:rsid w:val="00F62B7A"/>
    <w:rsid w:val="00F62B99"/>
    <w:rsid w:val="00F6397D"/>
    <w:rsid w:val="00F63B84"/>
    <w:rsid w:val="00F65329"/>
    <w:rsid w:val="00F654F3"/>
    <w:rsid w:val="00F658EF"/>
    <w:rsid w:val="00F66BC2"/>
    <w:rsid w:val="00F67540"/>
    <w:rsid w:val="00F67690"/>
    <w:rsid w:val="00F70199"/>
    <w:rsid w:val="00F7051B"/>
    <w:rsid w:val="00F70700"/>
    <w:rsid w:val="00F71083"/>
    <w:rsid w:val="00F711F8"/>
    <w:rsid w:val="00F720C8"/>
    <w:rsid w:val="00F72514"/>
    <w:rsid w:val="00F727AD"/>
    <w:rsid w:val="00F7293E"/>
    <w:rsid w:val="00F73371"/>
    <w:rsid w:val="00F746BC"/>
    <w:rsid w:val="00F74DBF"/>
    <w:rsid w:val="00F75197"/>
    <w:rsid w:val="00F75A22"/>
    <w:rsid w:val="00F76650"/>
    <w:rsid w:val="00F76DD5"/>
    <w:rsid w:val="00F77BF7"/>
    <w:rsid w:val="00F77D55"/>
    <w:rsid w:val="00F77DD3"/>
    <w:rsid w:val="00F80CF2"/>
    <w:rsid w:val="00F81150"/>
    <w:rsid w:val="00F81822"/>
    <w:rsid w:val="00F8210F"/>
    <w:rsid w:val="00F821C7"/>
    <w:rsid w:val="00F82273"/>
    <w:rsid w:val="00F82302"/>
    <w:rsid w:val="00F82EEC"/>
    <w:rsid w:val="00F83213"/>
    <w:rsid w:val="00F83E5E"/>
    <w:rsid w:val="00F84214"/>
    <w:rsid w:val="00F85750"/>
    <w:rsid w:val="00F87AEB"/>
    <w:rsid w:val="00F913D0"/>
    <w:rsid w:val="00F9187B"/>
    <w:rsid w:val="00F9217F"/>
    <w:rsid w:val="00F92385"/>
    <w:rsid w:val="00F93F73"/>
    <w:rsid w:val="00F940C2"/>
    <w:rsid w:val="00F94218"/>
    <w:rsid w:val="00F9445B"/>
    <w:rsid w:val="00F94CA6"/>
    <w:rsid w:val="00F95907"/>
    <w:rsid w:val="00F95EDD"/>
    <w:rsid w:val="00F9622E"/>
    <w:rsid w:val="00F96755"/>
    <w:rsid w:val="00F979CA"/>
    <w:rsid w:val="00FA1B4F"/>
    <w:rsid w:val="00FA2419"/>
    <w:rsid w:val="00FA2CCE"/>
    <w:rsid w:val="00FA3DE1"/>
    <w:rsid w:val="00FA4EB5"/>
    <w:rsid w:val="00FA6080"/>
    <w:rsid w:val="00FA6598"/>
    <w:rsid w:val="00FA6CE3"/>
    <w:rsid w:val="00FA6FB8"/>
    <w:rsid w:val="00FA7BE1"/>
    <w:rsid w:val="00FB0F1E"/>
    <w:rsid w:val="00FB0FFA"/>
    <w:rsid w:val="00FB1D5E"/>
    <w:rsid w:val="00FB2244"/>
    <w:rsid w:val="00FB227B"/>
    <w:rsid w:val="00FB238A"/>
    <w:rsid w:val="00FB3879"/>
    <w:rsid w:val="00FB40C4"/>
    <w:rsid w:val="00FB68A7"/>
    <w:rsid w:val="00FB69D7"/>
    <w:rsid w:val="00FB6B6A"/>
    <w:rsid w:val="00FB797D"/>
    <w:rsid w:val="00FC0087"/>
    <w:rsid w:val="00FC1FE6"/>
    <w:rsid w:val="00FC25F4"/>
    <w:rsid w:val="00FC37F3"/>
    <w:rsid w:val="00FC39DF"/>
    <w:rsid w:val="00FC3B81"/>
    <w:rsid w:val="00FC41F4"/>
    <w:rsid w:val="00FC47F9"/>
    <w:rsid w:val="00FC5313"/>
    <w:rsid w:val="00FC55FA"/>
    <w:rsid w:val="00FC56F5"/>
    <w:rsid w:val="00FC5C1A"/>
    <w:rsid w:val="00FC6079"/>
    <w:rsid w:val="00FC6921"/>
    <w:rsid w:val="00FC6DC4"/>
    <w:rsid w:val="00FC6DCF"/>
    <w:rsid w:val="00FC73F4"/>
    <w:rsid w:val="00FD0560"/>
    <w:rsid w:val="00FD0950"/>
    <w:rsid w:val="00FD0A1E"/>
    <w:rsid w:val="00FD1C5F"/>
    <w:rsid w:val="00FD2621"/>
    <w:rsid w:val="00FD2DE7"/>
    <w:rsid w:val="00FD3C34"/>
    <w:rsid w:val="00FD4FA4"/>
    <w:rsid w:val="00FD51B1"/>
    <w:rsid w:val="00FD564D"/>
    <w:rsid w:val="00FD63BD"/>
    <w:rsid w:val="00FD678F"/>
    <w:rsid w:val="00FD73F9"/>
    <w:rsid w:val="00FD749C"/>
    <w:rsid w:val="00FD7CF7"/>
    <w:rsid w:val="00FE03BA"/>
    <w:rsid w:val="00FE1242"/>
    <w:rsid w:val="00FE1CAF"/>
    <w:rsid w:val="00FE1D80"/>
    <w:rsid w:val="00FE1F84"/>
    <w:rsid w:val="00FE2351"/>
    <w:rsid w:val="00FE28C7"/>
    <w:rsid w:val="00FE32E0"/>
    <w:rsid w:val="00FE337D"/>
    <w:rsid w:val="00FE44AD"/>
    <w:rsid w:val="00FE5580"/>
    <w:rsid w:val="00FE57D0"/>
    <w:rsid w:val="00FE57F9"/>
    <w:rsid w:val="00FE7193"/>
    <w:rsid w:val="00FE7D1D"/>
    <w:rsid w:val="00FF0382"/>
    <w:rsid w:val="00FF0426"/>
    <w:rsid w:val="00FF0973"/>
    <w:rsid w:val="00FF110C"/>
    <w:rsid w:val="00FF2A5A"/>
    <w:rsid w:val="00FF319B"/>
    <w:rsid w:val="00FF3EDD"/>
    <w:rsid w:val="00FF42C8"/>
    <w:rsid w:val="00FF46AB"/>
    <w:rsid w:val="00FF6AB0"/>
    <w:rsid w:val="00FF6B25"/>
    <w:rsid w:val="00FF7783"/>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9FECC"/>
  <w15:chartTrackingRefBased/>
  <w15:docId w15:val="{16C2C354-AC94-4A7A-90B4-2944F730C2B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164B"/>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tabs>
        <w:tab w:val="num" w:pos="360"/>
      </w:tabs>
      <w:spacing w:after="120" w:line="240" w:lineRule="auto"/>
      <w:ind w:left="0" w:firstLine="72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32326F"/>
    <w:rPr>
      <w:sz w:val="16"/>
      <w:szCs w:val="16"/>
    </w:rPr>
  </w:style>
  <w:style w:type="paragraph" w:styleId="CommentText">
    <w:name w:val="annotation text"/>
    <w:basedOn w:val="Normal"/>
    <w:link w:val="CommentTextChar"/>
    <w:uiPriority w:val="99"/>
    <w:unhideWhenUsed/>
    <w:rsid w:val="0032326F"/>
    <w:pPr>
      <w:spacing w:line="240" w:lineRule="auto"/>
    </w:pPr>
    <w:rPr>
      <w:sz w:val="20"/>
      <w:szCs w:val="20"/>
    </w:rPr>
  </w:style>
  <w:style w:type="character" w:customStyle="1" w:styleId="CommentTextChar">
    <w:name w:val="Comment Text Char"/>
    <w:basedOn w:val="DefaultParagraphFont"/>
    <w:link w:val="CommentText"/>
    <w:uiPriority w:val="99"/>
    <w:rsid w:val="0032326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2326F"/>
    <w:rPr>
      <w:b/>
      <w:bCs/>
    </w:rPr>
  </w:style>
  <w:style w:type="character" w:customStyle="1" w:styleId="CommentSubjectChar">
    <w:name w:val="Comment Subject Char"/>
    <w:basedOn w:val="CommentTextChar"/>
    <w:link w:val="CommentSubject"/>
    <w:uiPriority w:val="99"/>
    <w:semiHidden/>
    <w:rsid w:val="0032326F"/>
    <w:rPr>
      <w:rFonts w:ascii="Book Antiqua" w:hAnsi="Book Antiqua"/>
      <w:b/>
      <w:bCs/>
      <w:sz w:val="20"/>
      <w:szCs w:val="20"/>
    </w:rPr>
  </w:style>
  <w:style w:type="paragraph" w:styleId="Revision">
    <w:name w:val="Revision"/>
    <w:hidden/>
    <w:uiPriority w:val="99"/>
    <w:semiHidden/>
    <w:rsid w:val="00DA7068"/>
    <w:pPr>
      <w:spacing w:after="0" w:line="240" w:lineRule="auto"/>
    </w:pPr>
    <w:rPr>
      <w:rFonts w:ascii="Book Antiqua" w:hAnsi="Book Antiqua"/>
      <w:sz w:val="26"/>
    </w:rPr>
  </w:style>
  <w:style w:type="character" w:customStyle="1" w:styleId="CommentTextChar1">
    <w:name w:val="Comment Text Char1"/>
    <w:basedOn w:val="DefaultParagraphFont"/>
    <w:uiPriority w:val="99"/>
    <w:rsid w:val="00072029"/>
    <w:rPr>
      <w:sz w:val="20"/>
      <w:szCs w:val="20"/>
    </w:rPr>
  </w:style>
  <w:style w:type="paragraph" w:styleId="EndnoteText">
    <w:name w:val="endnote text"/>
    <w:basedOn w:val="Normal"/>
    <w:link w:val="EndnoteTextChar"/>
    <w:uiPriority w:val="99"/>
    <w:semiHidden/>
    <w:unhideWhenUsed/>
    <w:rsid w:val="00F711F8"/>
    <w:pPr>
      <w:spacing w:line="240" w:lineRule="auto"/>
    </w:pPr>
    <w:rPr>
      <w:sz w:val="20"/>
      <w:szCs w:val="20"/>
    </w:rPr>
  </w:style>
  <w:style w:type="character" w:customStyle="1" w:styleId="EndnoteTextChar">
    <w:name w:val="Endnote Text Char"/>
    <w:basedOn w:val="DefaultParagraphFont"/>
    <w:link w:val="EndnoteText"/>
    <w:uiPriority w:val="99"/>
    <w:semiHidden/>
    <w:rsid w:val="00F711F8"/>
    <w:rPr>
      <w:rFonts w:ascii="Book Antiqua" w:hAnsi="Book Antiqua"/>
      <w:sz w:val="20"/>
      <w:szCs w:val="20"/>
    </w:rPr>
  </w:style>
  <w:style w:type="character" w:styleId="EndnoteReference">
    <w:name w:val="endnote reference"/>
    <w:basedOn w:val="DefaultParagraphFont"/>
    <w:uiPriority w:val="99"/>
    <w:semiHidden/>
    <w:unhideWhenUsed/>
    <w:rsid w:val="00F711F8"/>
    <w:rPr>
      <w:vertAlign w:val="superscript"/>
    </w:rPr>
  </w:style>
  <w:style w:type="paragraph" w:styleId="ListParagraph">
    <w:name w:val="List Paragraph"/>
    <w:basedOn w:val="Normal"/>
    <w:uiPriority w:val="34"/>
    <w:qFormat/>
    <w:rsid w:val="00AA5CDA"/>
    <w:pPr>
      <w:spacing w:line="240" w:lineRule="auto"/>
      <w:ind w:left="720" w:firstLine="0"/>
      <w:contextualSpacing/>
    </w:pPr>
    <w:rPr>
      <w:rFonts w:ascii="Times New Roman" w:eastAsia="Times New Roman" w:hAnsi="Times New Roman" w:cs="Times New Roman"/>
      <w:sz w:val="24"/>
      <w:szCs w:val="24"/>
    </w:rPr>
  </w:style>
  <w:style w:type="paragraph" w:customStyle="1" w:styleId="Default">
    <w:name w:val="Default"/>
    <w:rsid w:val="00CD024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odyText">
    <w:name w:val="Body Text"/>
    <w:basedOn w:val="Normal"/>
    <w:link w:val="BodyTextChar"/>
    <w:uiPriority w:val="99"/>
    <w:semiHidden/>
    <w:unhideWhenUsed/>
    <w:rsid w:val="00613787"/>
    <w:pPr>
      <w:spacing w:after="120"/>
    </w:pPr>
  </w:style>
  <w:style w:type="character" w:customStyle="1" w:styleId="BodyTextChar">
    <w:name w:val="Body Text Char"/>
    <w:basedOn w:val="DefaultParagraphFont"/>
    <w:link w:val="BodyText"/>
    <w:uiPriority w:val="99"/>
    <w:semiHidden/>
    <w:rsid w:val="00613787"/>
    <w:rPr>
      <w:rFonts w:ascii="Book Antiqua" w:hAnsi="Book Antiqua"/>
      <w:sz w:val="26"/>
    </w:rPr>
  </w:style>
  <w:style w:type="character" w:styleId="Mention">
    <w:name w:val="Mention"/>
    <w:basedOn w:val="DefaultParagraphFont"/>
    <w:uiPriority w:val="99"/>
    <w:unhideWhenUsed/>
    <w:rsid w:val="00003C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73675D40-ACCE-481C-904F-69BB75721AD4}">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69</ap:Pages>
  <ap:Words>13709</ap:Words>
  <ap:Characters>78145</ap:Characters>
  <ap:Application>Microsoft Office Word</ap:Application>
  <ap:DocSecurity>0</ap:DocSecurity>
  <ap:Lines>651</ap:Lines>
  <ap:Paragraphs>183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91671</ap:CharactersWithSpaces>
  <ap:SharedDoc>false</ap:SharedDoc>
  <ap:HLinks>
    <vt:vector baseType="variant" size="300">
      <vt:variant>
        <vt:i4>1114163</vt:i4>
      </vt:variant>
      <vt:variant>
        <vt:i4>296</vt:i4>
      </vt:variant>
      <vt:variant>
        <vt:i4>0</vt:i4>
      </vt:variant>
      <vt:variant>
        <vt:i4>5</vt:i4>
      </vt:variant>
      <vt:variant>
        <vt:lpwstr/>
      </vt:variant>
      <vt:variant>
        <vt:lpwstr>_Toc214017403</vt:lpwstr>
      </vt:variant>
      <vt:variant>
        <vt:i4>1114163</vt:i4>
      </vt:variant>
      <vt:variant>
        <vt:i4>290</vt:i4>
      </vt:variant>
      <vt:variant>
        <vt:i4>0</vt:i4>
      </vt:variant>
      <vt:variant>
        <vt:i4>5</vt:i4>
      </vt:variant>
      <vt:variant>
        <vt:lpwstr/>
      </vt:variant>
      <vt:variant>
        <vt:lpwstr>_Toc214017402</vt:lpwstr>
      </vt:variant>
      <vt:variant>
        <vt:i4>1114163</vt:i4>
      </vt:variant>
      <vt:variant>
        <vt:i4>284</vt:i4>
      </vt:variant>
      <vt:variant>
        <vt:i4>0</vt:i4>
      </vt:variant>
      <vt:variant>
        <vt:i4>5</vt:i4>
      </vt:variant>
      <vt:variant>
        <vt:lpwstr/>
      </vt:variant>
      <vt:variant>
        <vt:lpwstr>_Toc214017401</vt:lpwstr>
      </vt:variant>
      <vt:variant>
        <vt:i4>1114163</vt:i4>
      </vt:variant>
      <vt:variant>
        <vt:i4>278</vt:i4>
      </vt:variant>
      <vt:variant>
        <vt:i4>0</vt:i4>
      </vt:variant>
      <vt:variant>
        <vt:i4>5</vt:i4>
      </vt:variant>
      <vt:variant>
        <vt:lpwstr/>
      </vt:variant>
      <vt:variant>
        <vt:lpwstr>_Toc214017400</vt:lpwstr>
      </vt:variant>
      <vt:variant>
        <vt:i4>1572916</vt:i4>
      </vt:variant>
      <vt:variant>
        <vt:i4>272</vt:i4>
      </vt:variant>
      <vt:variant>
        <vt:i4>0</vt:i4>
      </vt:variant>
      <vt:variant>
        <vt:i4>5</vt:i4>
      </vt:variant>
      <vt:variant>
        <vt:lpwstr/>
      </vt:variant>
      <vt:variant>
        <vt:lpwstr>_Toc214017399</vt:lpwstr>
      </vt:variant>
      <vt:variant>
        <vt:i4>1572916</vt:i4>
      </vt:variant>
      <vt:variant>
        <vt:i4>266</vt:i4>
      </vt:variant>
      <vt:variant>
        <vt:i4>0</vt:i4>
      </vt:variant>
      <vt:variant>
        <vt:i4>5</vt:i4>
      </vt:variant>
      <vt:variant>
        <vt:lpwstr/>
      </vt:variant>
      <vt:variant>
        <vt:lpwstr>_Toc214017398</vt:lpwstr>
      </vt:variant>
      <vt:variant>
        <vt:i4>1572916</vt:i4>
      </vt:variant>
      <vt:variant>
        <vt:i4>260</vt:i4>
      </vt:variant>
      <vt:variant>
        <vt:i4>0</vt:i4>
      </vt:variant>
      <vt:variant>
        <vt:i4>5</vt:i4>
      </vt:variant>
      <vt:variant>
        <vt:lpwstr/>
      </vt:variant>
      <vt:variant>
        <vt:lpwstr>_Toc214017397</vt:lpwstr>
      </vt:variant>
      <vt:variant>
        <vt:i4>1572916</vt:i4>
      </vt:variant>
      <vt:variant>
        <vt:i4>254</vt:i4>
      </vt:variant>
      <vt:variant>
        <vt:i4>0</vt:i4>
      </vt:variant>
      <vt:variant>
        <vt:i4>5</vt:i4>
      </vt:variant>
      <vt:variant>
        <vt:lpwstr/>
      </vt:variant>
      <vt:variant>
        <vt:lpwstr>_Toc214017396</vt:lpwstr>
      </vt:variant>
      <vt:variant>
        <vt:i4>1572916</vt:i4>
      </vt:variant>
      <vt:variant>
        <vt:i4>248</vt:i4>
      </vt:variant>
      <vt:variant>
        <vt:i4>0</vt:i4>
      </vt:variant>
      <vt:variant>
        <vt:i4>5</vt:i4>
      </vt:variant>
      <vt:variant>
        <vt:lpwstr/>
      </vt:variant>
      <vt:variant>
        <vt:lpwstr>_Toc214017395</vt:lpwstr>
      </vt:variant>
      <vt:variant>
        <vt:i4>1572916</vt:i4>
      </vt:variant>
      <vt:variant>
        <vt:i4>242</vt:i4>
      </vt:variant>
      <vt:variant>
        <vt:i4>0</vt:i4>
      </vt:variant>
      <vt:variant>
        <vt:i4>5</vt:i4>
      </vt:variant>
      <vt:variant>
        <vt:lpwstr/>
      </vt:variant>
      <vt:variant>
        <vt:lpwstr>_Toc214017394</vt:lpwstr>
      </vt:variant>
      <vt:variant>
        <vt:i4>1572916</vt:i4>
      </vt:variant>
      <vt:variant>
        <vt:i4>236</vt:i4>
      </vt:variant>
      <vt:variant>
        <vt:i4>0</vt:i4>
      </vt:variant>
      <vt:variant>
        <vt:i4>5</vt:i4>
      </vt:variant>
      <vt:variant>
        <vt:lpwstr/>
      </vt:variant>
      <vt:variant>
        <vt:lpwstr>_Toc214017393</vt:lpwstr>
      </vt:variant>
      <vt:variant>
        <vt:i4>1572916</vt:i4>
      </vt:variant>
      <vt:variant>
        <vt:i4>230</vt:i4>
      </vt:variant>
      <vt:variant>
        <vt:i4>0</vt:i4>
      </vt:variant>
      <vt:variant>
        <vt:i4>5</vt:i4>
      </vt:variant>
      <vt:variant>
        <vt:lpwstr/>
      </vt:variant>
      <vt:variant>
        <vt:lpwstr>_Toc214017392</vt:lpwstr>
      </vt:variant>
      <vt:variant>
        <vt:i4>1572916</vt:i4>
      </vt:variant>
      <vt:variant>
        <vt:i4>224</vt:i4>
      </vt:variant>
      <vt:variant>
        <vt:i4>0</vt:i4>
      </vt:variant>
      <vt:variant>
        <vt:i4>5</vt:i4>
      </vt:variant>
      <vt:variant>
        <vt:lpwstr/>
      </vt:variant>
      <vt:variant>
        <vt:lpwstr>_Toc214017391</vt:lpwstr>
      </vt:variant>
      <vt:variant>
        <vt:i4>1572916</vt:i4>
      </vt:variant>
      <vt:variant>
        <vt:i4>218</vt:i4>
      </vt:variant>
      <vt:variant>
        <vt:i4>0</vt:i4>
      </vt:variant>
      <vt:variant>
        <vt:i4>5</vt:i4>
      </vt:variant>
      <vt:variant>
        <vt:lpwstr/>
      </vt:variant>
      <vt:variant>
        <vt:lpwstr>_Toc214017390</vt:lpwstr>
      </vt:variant>
      <vt:variant>
        <vt:i4>1638452</vt:i4>
      </vt:variant>
      <vt:variant>
        <vt:i4>212</vt:i4>
      </vt:variant>
      <vt:variant>
        <vt:i4>0</vt:i4>
      </vt:variant>
      <vt:variant>
        <vt:i4>5</vt:i4>
      </vt:variant>
      <vt:variant>
        <vt:lpwstr/>
      </vt:variant>
      <vt:variant>
        <vt:lpwstr>_Toc214017389</vt:lpwstr>
      </vt:variant>
      <vt:variant>
        <vt:i4>1638452</vt:i4>
      </vt:variant>
      <vt:variant>
        <vt:i4>206</vt:i4>
      </vt:variant>
      <vt:variant>
        <vt:i4>0</vt:i4>
      </vt:variant>
      <vt:variant>
        <vt:i4>5</vt:i4>
      </vt:variant>
      <vt:variant>
        <vt:lpwstr/>
      </vt:variant>
      <vt:variant>
        <vt:lpwstr>_Toc214017388</vt:lpwstr>
      </vt:variant>
      <vt:variant>
        <vt:i4>1638452</vt:i4>
      </vt:variant>
      <vt:variant>
        <vt:i4>200</vt:i4>
      </vt:variant>
      <vt:variant>
        <vt:i4>0</vt:i4>
      </vt:variant>
      <vt:variant>
        <vt:i4>5</vt:i4>
      </vt:variant>
      <vt:variant>
        <vt:lpwstr/>
      </vt:variant>
      <vt:variant>
        <vt:lpwstr>_Toc214017387</vt:lpwstr>
      </vt:variant>
      <vt:variant>
        <vt:i4>1638452</vt:i4>
      </vt:variant>
      <vt:variant>
        <vt:i4>194</vt:i4>
      </vt:variant>
      <vt:variant>
        <vt:i4>0</vt:i4>
      </vt:variant>
      <vt:variant>
        <vt:i4>5</vt:i4>
      </vt:variant>
      <vt:variant>
        <vt:lpwstr/>
      </vt:variant>
      <vt:variant>
        <vt:lpwstr>_Toc214017386</vt:lpwstr>
      </vt:variant>
      <vt:variant>
        <vt:i4>1638452</vt:i4>
      </vt:variant>
      <vt:variant>
        <vt:i4>188</vt:i4>
      </vt:variant>
      <vt:variant>
        <vt:i4>0</vt:i4>
      </vt:variant>
      <vt:variant>
        <vt:i4>5</vt:i4>
      </vt:variant>
      <vt:variant>
        <vt:lpwstr/>
      </vt:variant>
      <vt:variant>
        <vt:lpwstr>_Toc214017385</vt:lpwstr>
      </vt:variant>
      <vt:variant>
        <vt:i4>1638452</vt:i4>
      </vt:variant>
      <vt:variant>
        <vt:i4>182</vt:i4>
      </vt:variant>
      <vt:variant>
        <vt:i4>0</vt:i4>
      </vt:variant>
      <vt:variant>
        <vt:i4>5</vt:i4>
      </vt:variant>
      <vt:variant>
        <vt:lpwstr/>
      </vt:variant>
      <vt:variant>
        <vt:lpwstr>_Toc214017384</vt:lpwstr>
      </vt:variant>
      <vt:variant>
        <vt:i4>1638452</vt:i4>
      </vt:variant>
      <vt:variant>
        <vt:i4>176</vt:i4>
      </vt:variant>
      <vt:variant>
        <vt:i4>0</vt:i4>
      </vt:variant>
      <vt:variant>
        <vt:i4>5</vt:i4>
      </vt:variant>
      <vt:variant>
        <vt:lpwstr/>
      </vt:variant>
      <vt:variant>
        <vt:lpwstr>_Toc214017383</vt:lpwstr>
      </vt:variant>
      <vt:variant>
        <vt:i4>1638452</vt:i4>
      </vt:variant>
      <vt:variant>
        <vt:i4>170</vt:i4>
      </vt:variant>
      <vt:variant>
        <vt:i4>0</vt:i4>
      </vt:variant>
      <vt:variant>
        <vt:i4>5</vt:i4>
      </vt:variant>
      <vt:variant>
        <vt:lpwstr/>
      </vt:variant>
      <vt:variant>
        <vt:lpwstr>_Toc214017382</vt:lpwstr>
      </vt:variant>
      <vt:variant>
        <vt:i4>1638452</vt:i4>
      </vt:variant>
      <vt:variant>
        <vt:i4>164</vt:i4>
      </vt:variant>
      <vt:variant>
        <vt:i4>0</vt:i4>
      </vt:variant>
      <vt:variant>
        <vt:i4>5</vt:i4>
      </vt:variant>
      <vt:variant>
        <vt:lpwstr/>
      </vt:variant>
      <vt:variant>
        <vt:lpwstr>_Toc214017381</vt:lpwstr>
      </vt:variant>
      <vt:variant>
        <vt:i4>1638452</vt:i4>
      </vt:variant>
      <vt:variant>
        <vt:i4>158</vt:i4>
      </vt:variant>
      <vt:variant>
        <vt:i4>0</vt:i4>
      </vt:variant>
      <vt:variant>
        <vt:i4>5</vt:i4>
      </vt:variant>
      <vt:variant>
        <vt:lpwstr/>
      </vt:variant>
      <vt:variant>
        <vt:lpwstr>_Toc214017380</vt:lpwstr>
      </vt:variant>
      <vt:variant>
        <vt:i4>1441844</vt:i4>
      </vt:variant>
      <vt:variant>
        <vt:i4>152</vt:i4>
      </vt:variant>
      <vt:variant>
        <vt:i4>0</vt:i4>
      </vt:variant>
      <vt:variant>
        <vt:i4>5</vt:i4>
      </vt:variant>
      <vt:variant>
        <vt:lpwstr/>
      </vt:variant>
      <vt:variant>
        <vt:lpwstr>_Toc214017379</vt:lpwstr>
      </vt:variant>
      <vt:variant>
        <vt:i4>1441844</vt:i4>
      </vt:variant>
      <vt:variant>
        <vt:i4>146</vt:i4>
      </vt:variant>
      <vt:variant>
        <vt:i4>0</vt:i4>
      </vt:variant>
      <vt:variant>
        <vt:i4>5</vt:i4>
      </vt:variant>
      <vt:variant>
        <vt:lpwstr/>
      </vt:variant>
      <vt:variant>
        <vt:lpwstr>_Toc214017378</vt:lpwstr>
      </vt:variant>
      <vt:variant>
        <vt:i4>1441844</vt:i4>
      </vt:variant>
      <vt:variant>
        <vt:i4>140</vt:i4>
      </vt:variant>
      <vt:variant>
        <vt:i4>0</vt:i4>
      </vt:variant>
      <vt:variant>
        <vt:i4>5</vt:i4>
      </vt:variant>
      <vt:variant>
        <vt:lpwstr/>
      </vt:variant>
      <vt:variant>
        <vt:lpwstr>_Toc214017377</vt:lpwstr>
      </vt:variant>
      <vt:variant>
        <vt:i4>1441844</vt:i4>
      </vt:variant>
      <vt:variant>
        <vt:i4>134</vt:i4>
      </vt:variant>
      <vt:variant>
        <vt:i4>0</vt:i4>
      </vt:variant>
      <vt:variant>
        <vt:i4>5</vt:i4>
      </vt:variant>
      <vt:variant>
        <vt:lpwstr/>
      </vt:variant>
      <vt:variant>
        <vt:lpwstr>_Toc214017376</vt:lpwstr>
      </vt:variant>
      <vt:variant>
        <vt:i4>1441844</vt:i4>
      </vt:variant>
      <vt:variant>
        <vt:i4>128</vt:i4>
      </vt:variant>
      <vt:variant>
        <vt:i4>0</vt:i4>
      </vt:variant>
      <vt:variant>
        <vt:i4>5</vt:i4>
      </vt:variant>
      <vt:variant>
        <vt:lpwstr/>
      </vt:variant>
      <vt:variant>
        <vt:lpwstr>_Toc214017375</vt:lpwstr>
      </vt:variant>
      <vt:variant>
        <vt:i4>1441844</vt:i4>
      </vt:variant>
      <vt:variant>
        <vt:i4>122</vt:i4>
      </vt:variant>
      <vt:variant>
        <vt:i4>0</vt:i4>
      </vt:variant>
      <vt:variant>
        <vt:i4>5</vt:i4>
      </vt:variant>
      <vt:variant>
        <vt:lpwstr/>
      </vt:variant>
      <vt:variant>
        <vt:lpwstr>_Toc214017374</vt:lpwstr>
      </vt:variant>
      <vt:variant>
        <vt:i4>1441844</vt:i4>
      </vt:variant>
      <vt:variant>
        <vt:i4>116</vt:i4>
      </vt:variant>
      <vt:variant>
        <vt:i4>0</vt:i4>
      </vt:variant>
      <vt:variant>
        <vt:i4>5</vt:i4>
      </vt:variant>
      <vt:variant>
        <vt:lpwstr/>
      </vt:variant>
      <vt:variant>
        <vt:lpwstr>_Toc214017373</vt:lpwstr>
      </vt:variant>
      <vt:variant>
        <vt:i4>1441844</vt:i4>
      </vt:variant>
      <vt:variant>
        <vt:i4>110</vt:i4>
      </vt:variant>
      <vt:variant>
        <vt:i4>0</vt:i4>
      </vt:variant>
      <vt:variant>
        <vt:i4>5</vt:i4>
      </vt:variant>
      <vt:variant>
        <vt:lpwstr/>
      </vt:variant>
      <vt:variant>
        <vt:lpwstr>_Toc214017372</vt:lpwstr>
      </vt:variant>
      <vt:variant>
        <vt:i4>1441844</vt:i4>
      </vt:variant>
      <vt:variant>
        <vt:i4>104</vt:i4>
      </vt:variant>
      <vt:variant>
        <vt:i4>0</vt:i4>
      </vt:variant>
      <vt:variant>
        <vt:i4>5</vt:i4>
      </vt:variant>
      <vt:variant>
        <vt:lpwstr/>
      </vt:variant>
      <vt:variant>
        <vt:lpwstr>_Toc214017371</vt:lpwstr>
      </vt:variant>
      <vt:variant>
        <vt:i4>1441844</vt:i4>
      </vt:variant>
      <vt:variant>
        <vt:i4>98</vt:i4>
      </vt:variant>
      <vt:variant>
        <vt:i4>0</vt:i4>
      </vt:variant>
      <vt:variant>
        <vt:i4>5</vt:i4>
      </vt:variant>
      <vt:variant>
        <vt:lpwstr/>
      </vt:variant>
      <vt:variant>
        <vt:lpwstr>_Toc214017370</vt:lpwstr>
      </vt:variant>
      <vt:variant>
        <vt:i4>1507380</vt:i4>
      </vt:variant>
      <vt:variant>
        <vt:i4>92</vt:i4>
      </vt:variant>
      <vt:variant>
        <vt:i4>0</vt:i4>
      </vt:variant>
      <vt:variant>
        <vt:i4>5</vt:i4>
      </vt:variant>
      <vt:variant>
        <vt:lpwstr/>
      </vt:variant>
      <vt:variant>
        <vt:lpwstr>_Toc214017369</vt:lpwstr>
      </vt:variant>
      <vt:variant>
        <vt:i4>1507380</vt:i4>
      </vt:variant>
      <vt:variant>
        <vt:i4>86</vt:i4>
      </vt:variant>
      <vt:variant>
        <vt:i4>0</vt:i4>
      </vt:variant>
      <vt:variant>
        <vt:i4>5</vt:i4>
      </vt:variant>
      <vt:variant>
        <vt:lpwstr/>
      </vt:variant>
      <vt:variant>
        <vt:lpwstr>_Toc214017368</vt:lpwstr>
      </vt:variant>
      <vt:variant>
        <vt:i4>1507380</vt:i4>
      </vt:variant>
      <vt:variant>
        <vt:i4>80</vt:i4>
      </vt:variant>
      <vt:variant>
        <vt:i4>0</vt:i4>
      </vt:variant>
      <vt:variant>
        <vt:i4>5</vt:i4>
      </vt:variant>
      <vt:variant>
        <vt:lpwstr/>
      </vt:variant>
      <vt:variant>
        <vt:lpwstr>_Toc214017367</vt:lpwstr>
      </vt:variant>
      <vt:variant>
        <vt:i4>1507380</vt:i4>
      </vt:variant>
      <vt:variant>
        <vt:i4>74</vt:i4>
      </vt:variant>
      <vt:variant>
        <vt:i4>0</vt:i4>
      </vt:variant>
      <vt:variant>
        <vt:i4>5</vt:i4>
      </vt:variant>
      <vt:variant>
        <vt:lpwstr/>
      </vt:variant>
      <vt:variant>
        <vt:lpwstr>_Toc214017366</vt:lpwstr>
      </vt:variant>
      <vt:variant>
        <vt:i4>1507380</vt:i4>
      </vt:variant>
      <vt:variant>
        <vt:i4>68</vt:i4>
      </vt:variant>
      <vt:variant>
        <vt:i4>0</vt:i4>
      </vt:variant>
      <vt:variant>
        <vt:i4>5</vt:i4>
      </vt:variant>
      <vt:variant>
        <vt:lpwstr/>
      </vt:variant>
      <vt:variant>
        <vt:lpwstr>_Toc214017365</vt:lpwstr>
      </vt:variant>
      <vt:variant>
        <vt:i4>1507380</vt:i4>
      </vt:variant>
      <vt:variant>
        <vt:i4>62</vt:i4>
      </vt:variant>
      <vt:variant>
        <vt:i4>0</vt:i4>
      </vt:variant>
      <vt:variant>
        <vt:i4>5</vt:i4>
      </vt:variant>
      <vt:variant>
        <vt:lpwstr/>
      </vt:variant>
      <vt:variant>
        <vt:lpwstr>_Toc214017364</vt:lpwstr>
      </vt:variant>
      <vt:variant>
        <vt:i4>1507380</vt:i4>
      </vt:variant>
      <vt:variant>
        <vt:i4>56</vt:i4>
      </vt:variant>
      <vt:variant>
        <vt:i4>0</vt:i4>
      </vt:variant>
      <vt:variant>
        <vt:i4>5</vt:i4>
      </vt:variant>
      <vt:variant>
        <vt:lpwstr/>
      </vt:variant>
      <vt:variant>
        <vt:lpwstr>_Toc214017363</vt:lpwstr>
      </vt:variant>
      <vt:variant>
        <vt:i4>1507380</vt:i4>
      </vt:variant>
      <vt:variant>
        <vt:i4>50</vt:i4>
      </vt:variant>
      <vt:variant>
        <vt:i4>0</vt:i4>
      </vt:variant>
      <vt:variant>
        <vt:i4>5</vt:i4>
      </vt:variant>
      <vt:variant>
        <vt:lpwstr/>
      </vt:variant>
      <vt:variant>
        <vt:lpwstr>_Toc214017362</vt:lpwstr>
      </vt:variant>
      <vt:variant>
        <vt:i4>1507380</vt:i4>
      </vt:variant>
      <vt:variant>
        <vt:i4>44</vt:i4>
      </vt:variant>
      <vt:variant>
        <vt:i4>0</vt:i4>
      </vt:variant>
      <vt:variant>
        <vt:i4>5</vt:i4>
      </vt:variant>
      <vt:variant>
        <vt:lpwstr/>
      </vt:variant>
      <vt:variant>
        <vt:lpwstr>_Toc214017361</vt:lpwstr>
      </vt:variant>
      <vt:variant>
        <vt:i4>1507380</vt:i4>
      </vt:variant>
      <vt:variant>
        <vt:i4>38</vt:i4>
      </vt:variant>
      <vt:variant>
        <vt:i4>0</vt:i4>
      </vt:variant>
      <vt:variant>
        <vt:i4>5</vt:i4>
      </vt:variant>
      <vt:variant>
        <vt:lpwstr/>
      </vt:variant>
      <vt:variant>
        <vt:lpwstr>_Toc214017360</vt:lpwstr>
      </vt:variant>
      <vt:variant>
        <vt:i4>1310772</vt:i4>
      </vt:variant>
      <vt:variant>
        <vt:i4>32</vt:i4>
      </vt:variant>
      <vt:variant>
        <vt:i4>0</vt:i4>
      </vt:variant>
      <vt:variant>
        <vt:i4>5</vt:i4>
      </vt:variant>
      <vt:variant>
        <vt:lpwstr/>
      </vt:variant>
      <vt:variant>
        <vt:lpwstr>_Toc214017359</vt:lpwstr>
      </vt:variant>
      <vt:variant>
        <vt:i4>1310772</vt:i4>
      </vt:variant>
      <vt:variant>
        <vt:i4>26</vt:i4>
      </vt:variant>
      <vt:variant>
        <vt:i4>0</vt:i4>
      </vt:variant>
      <vt:variant>
        <vt:i4>5</vt:i4>
      </vt:variant>
      <vt:variant>
        <vt:lpwstr/>
      </vt:variant>
      <vt:variant>
        <vt:lpwstr>_Toc214017358</vt:lpwstr>
      </vt:variant>
      <vt:variant>
        <vt:i4>1310772</vt:i4>
      </vt:variant>
      <vt:variant>
        <vt:i4>20</vt:i4>
      </vt:variant>
      <vt:variant>
        <vt:i4>0</vt:i4>
      </vt:variant>
      <vt:variant>
        <vt:i4>5</vt:i4>
      </vt:variant>
      <vt:variant>
        <vt:lpwstr/>
      </vt:variant>
      <vt:variant>
        <vt:lpwstr>_Toc214017357</vt:lpwstr>
      </vt:variant>
      <vt:variant>
        <vt:i4>1310772</vt:i4>
      </vt:variant>
      <vt:variant>
        <vt:i4>14</vt:i4>
      </vt:variant>
      <vt:variant>
        <vt:i4>0</vt:i4>
      </vt:variant>
      <vt:variant>
        <vt:i4>5</vt:i4>
      </vt:variant>
      <vt:variant>
        <vt:lpwstr/>
      </vt:variant>
      <vt:variant>
        <vt:lpwstr>_Toc214017356</vt:lpwstr>
      </vt:variant>
      <vt:variant>
        <vt:i4>1310772</vt:i4>
      </vt:variant>
      <vt:variant>
        <vt:i4>8</vt:i4>
      </vt:variant>
      <vt:variant>
        <vt:i4>0</vt:i4>
      </vt:variant>
      <vt:variant>
        <vt:i4>5</vt:i4>
      </vt:variant>
      <vt:variant>
        <vt:lpwstr/>
      </vt:variant>
      <vt:variant>
        <vt:lpwstr>_Toc214017355</vt:lpwstr>
      </vt:variant>
      <vt:variant>
        <vt:i4>1310772</vt:i4>
      </vt:variant>
      <vt:variant>
        <vt:i4>2</vt:i4>
      </vt:variant>
      <vt:variant>
        <vt:i4>0</vt:i4>
      </vt:variant>
      <vt:variant>
        <vt:i4>5</vt:i4>
      </vt:variant>
      <vt:variant>
        <vt:lpwstr/>
      </vt:variant>
      <vt:variant>
        <vt:lpwstr>_Toc214017353</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2025-12-22T11:35:27Z</dcterms:created>
  <dcterms:modified xsi:type="dcterms:W3CDTF">2025-12-22T11:35:27Z</dcterms:modified>
</cp:coreProperties>
</file>